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138430</wp:posOffset>
            </wp:positionH>
            <wp:positionV relativeFrom="paragraph">
              <wp:posOffset>217805</wp:posOffset>
            </wp:positionV>
            <wp:extent cx="68656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5620" cy="825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260350</wp:posOffset>
            </wp:positionV>
            <wp:extent cx="6865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2847340</wp:posOffset>
            </wp:positionH>
            <wp:positionV relativeFrom="paragraph">
              <wp:posOffset>227330</wp:posOffset>
            </wp:positionV>
            <wp:extent cx="14471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2847340</wp:posOffset>
            </wp:positionH>
            <wp:positionV relativeFrom="paragraph">
              <wp:posOffset>241935</wp:posOffset>
            </wp:positionV>
            <wp:extent cx="14471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ind w:left="640" w:right="240" w:hanging="422"/>
        <w:spacing w:after="0" w:line="276" w:lineRule="auto"/>
        <w:tabs>
          <w:tab w:leader="none" w:pos="6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REGISTRATION STATEMENT PURSUANT TO SECTION 12 OF THE SECURITIES EXCHANGE ACT OF 1934</w:t>
      </w:r>
    </w:p>
    <w:p>
      <w:pPr>
        <w:spacing w:after="0" w:line="14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2" w:lineRule="exact"/>
        <w:rPr>
          <w:sz w:val="24"/>
          <w:szCs w:val="24"/>
          <w:color w:val="auto"/>
        </w:rPr>
      </w:pPr>
    </w:p>
    <w:p>
      <w:pPr>
        <w:ind w:left="640" w:right="260" w:hanging="422"/>
        <w:spacing w:after="0" w:line="276" w:lineRule="auto"/>
        <w:tabs>
          <w:tab w:leader="none" w:pos="6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13(a) OR 15(d) OF THE SECURITIES EXCHANGE ACT OF 1934</w:t>
      </w:r>
    </w:p>
    <w:p>
      <w:pPr>
        <w:spacing w:after="0" w:line="14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21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Commission File Number: 001-31349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2847340</wp:posOffset>
            </wp:positionH>
            <wp:positionV relativeFrom="paragraph">
              <wp:posOffset>234950</wp:posOffset>
            </wp:positionV>
            <wp:extent cx="1447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2"/>
          <w:szCs w:val="42"/>
          <w:b w:val="1"/>
          <w:bCs w:val="1"/>
          <w:color w:val="auto"/>
        </w:rPr>
        <w:t>THOMSON REUTERS CORPORATION</w:t>
      </w:r>
    </w:p>
    <w:p>
      <w:pPr>
        <w:spacing w:after="0" w:line="5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2847340</wp:posOffset>
            </wp:positionH>
            <wp:positionV relativeFrom="paragraph">
              <wp:posOffset>220980</wp:posOffset>
            </wp:positionV>
            <wp:extent cx="1447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1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 (if applicable))</w:t>
      </w:r>
    </w:p>
    <w:p>
      <w:pPr>
        <w:spacing w:after="0" w:line="18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Province of Ontario, Canada</w:t>
      </w:r>
    </w:p>
    <w:p>
      <w:pPr>
        <w:spacing w:after="0" w:line="1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(Province or other jurisdiction of incorporation or organization)</w:t>
      </w:r>
    </w:p>
    <w:p>
      <w:pPr>
        <w:spacing w:after="0" w:line="18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2741</w:t>
      </w:r>
    </w:p>
    <w:p>
      <w:pPr>
        <w:spacing w:after="0" w:line="1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(Primary Standard Industrial Classification Code Number (if applicable))</w:t>
      </w:r>
    </w:p>
    <w:p>
      <w:pPr>
        <w:spacing w:after="0" w:line="18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98-0176673</w:t>
      </w:r>
    </w:p>
    <w:p>
      <w:pPr>
        <w:spacing w:after="0" w:line="1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(I.R.S. Employer Identification Number (if applicable))</w:t>
      </w:r>
    </w:p>
    <w:p>
      <w:pPr>
        <w:spacing w:after="0" w:line="18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19 Duncan Street</w:t>
      </w:r>
    </w:p>
    <w:p>
      <w:pPr>
        <w:spacing w:after="0" w:line="2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Toronto, Ontario M5H 3H1, Canada</w:t>
      </w:r>
    </w:p>
    <w:p>
      <w:pPr>
        <w:spacing w:after="0" w:line="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Telephone: (647) 480-7000</w:t>
      </w: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(Address and telephone number of Registrant’s principal executive offices)</w:t>
      </w:r>
    </w:p>
    <w:p>
      <w:pPr>
        <w:spacing w:after="0" w:line="18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Thomson Reuters Holdings Inc.</w:t>
      </w:r>
    </w:p>
    <w:p>
      <w:pPr>
        <w:spacing w:after="0" w:line="2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Attn: Legal Department</w:t>
      </w:r>
    </w:p>
    <w:p>
      <w:pPr>
        <w:spacing w:after="0" w:line="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3 Times Square</w:t>
      </w:r>
    </w:p>
    <w:p>
      <w:pPr>
        <w:spacing w:after="0" w:line="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New York, New York 10036</w:t>
      </w:r>
    </w:p>
    <w:p>
      <w:pPr>
        <w:spacing w:after="0" w:line="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Telephone: (646) 540-3000</w:t>
      </w:r>
    </w:p>
    <w:p>
      <w:pPr>
        <w:jc w:val="center"/>
        <w:ind w:right="-219"/>
        <w:spacing w:after="0" w:line="217" w:lineRule="auto"/>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w:t>
      </w: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of agent for service in the United States)</w:t>
      </w:r>
    </w:p>
    <w:p>
      <w:pPr>
        <w:spacing w:after="0" w:line="18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239" w:lineRule="exact"/>
        <w:rPr>
          <w:sz w:val="24"/>
          <w:szCs w:val="24"/>
          <w:color w:val="auto"/>
        </w:rPr>
      </w:pPr>
    </w:p>
    <w:tbl>
      <w:tblPr>
        <w:tblLayout w:type="fixed"/>
        <w:tblInd w:w="220" w:type="dxa"/>
        <w:tblCellMar>
          <w:top w:w="0" w:type="dxa"/>
          <w:left w:w="0" w:type="dxa"/>
          <w:bottom w:w="0" w:type="dxa"/>
          <w:right w:w="0" w:type="dxa"/>
        </w:tblCellMar>
      </w:tblPr>
      <w:tr>
        <w:trPr>
          <w:trHeight w:val="184"/>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7"/>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Common shares</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TRI</w:t>
            </w:r>
          </w:p>
        </w:tc>
        <w:tc>
          <w:tcPr>
            <w:tcW w:w="120" w:type="dxa"/>
            <w:vAlign w:val="bottom"/>
          </w:tcPr>
          <w:p>
            <w:pPr>
              <w:spacing w:after="0"/>
              <w:rPr>
                <w:sz w:val="19"/>
                <w:szCs w:val="19"/>
                <w:color w:val="auto"/>
              </w:rPr>
            </w:pPr>
          </w:p>
        </w:tc>
        <w:tc>
          <w:tcPr>
            <w:tcW w:w="3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 Nasdaq Stock Market LLC</w:t>
            </w:r>
          </w:p>
        </w:tc>
      </w:tr>
    </w:tbl>
    <w:p>
      <w:pPr>
        <w:spacing w:after="0" w:line="17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Act:</w:t>
      </w:r>
    </w:p>
    <w:p>
      <w:pPr>
        <w:spacing w:after="0" w:line="2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9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Securities for which there is a reporting obligation pursuant to Section 15(d) of the Act:</w:t>
      </w:r>
    </w:p>
    <w:p>
      <w:pPr>
        <w:spacing w:after="0" w:line="2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Debt Securities of Thomson Reuters Corporation and Guarantees of Debt Securities of TR Finance LLC</w:t>
      </w:r>
    </w:p>
    <w:p>
      <w:pPr>
        <w:spacing w:after="0" w:line="19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 annual reports, indicate by check mark the information filed with this Form:</w:t>
      </w:r>
    </w:p>
    <w:p>
      <w:pPr>
        <w:spacing w:after="0" w:line="207" w:lineRule="exact"/>
        <w:rPr>
          <w:sz w:val="24"/>
          <w:szCs w:val="24"/>
          <w:color w:val="auto"/>
        </w:rPr>
      </w:pPr>
    </w:p>
    <w:p>
      <w:pPr>
        <w:ind w:left="1880"/>
        <w:spacing w:after="0" w:line="207" w:lineRule="exact"/>
        <w:tabs>
          <w:tab w:leader="none" w:pos="69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Annual information form</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b w:val="1"/>
          <w:bCs w:val="1"/>
          <w:color w:val="auto"/>
        </w:rPr>
        <w:t>Audited annual financial statements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2847340</wp:posOffset>
            </wp:positionH>
            <wp:positionV relativeFrom="paragraph">
              <wp:posOffset>266700</wp:posOffset>
            </wp:positionV>
            <wp:extent cx="1447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20" w:right="100"/>
        <w:spacing w:after="0" w:line="276" w:lineRule="auto"/>
        <w:rPr>
          <w:sz w:val="20"/>
          <w:szCs w:val="20"/>
          <w:color w:val="auto"/>
        </w:rPr>
      </w:pPr>
      <w:r>
        <w:rPr>
          <w:rFonts w:ascii="Times New Roman" w:cs="Times New Roman" w:eastAsia="Times New Roman" w:hAnsi="Times New Roman"/>
          <w:sz w:val="18"/>
          <w:szCs w:val="18"/>
          <w:b w:val="1"/>
          <w:bCs w:val="1"/>
          <w:color w:val="auto"/>
        </w:rPr>
        <w:t>Indicate the number of outstanding shares of each of the issuer’s classes of capital or common stock as of the close of the period covered by the annual report:</w:t>
      </w:r>
    </w:p>
    <w:p>
      <w:pPr>
        <w:sectPr>
          <w:pgSz w:w="11900" w:h="16838" w:orient="portrait"/>
          <w:cols w:equalWidth="0" w:num="1">
            <w:col w:w="11020"/>
          </w:cols>
          <w:pgMar w:left="320" w:top="225" w:right="559" w:bottom="0" w:gutter="0" w:footer="0" w:header="0"/>
        </w:sectPr>
      </w:pPr>
    </w:p>
    <w:bookmarkStart w:id="1" w:name="page2"/>
    <w:bookmarkEnd w:id="1"/>
    <w:p>
      <w:pPr>
        <w:jc w:val="center"/>
        <w:ind w:right="-1"/>
        <w:spacing w:after="0"/>
        <w:rPr>
          <w:sz w:val="20"/>
          <w:szCs w:val="20"/>
          <w:color w:val="auto"/>
        </w:rPr>
      </w:pPr>
      <w:r>
        <w:rPr>
          <w:rFonts w:ascii="Times New Roman" w:cs="Times New Roman" w:eastAsia="Times New Roman" w:hAnsi="Times New Roman"/>
          <w:sz w:val="18"/>
          <w:szCs w:val="18"/>
          <w:color w:val="auto"/>
        </w:rPr>
        <w:t>450,010,485 common shares, 6,000,000 Series II preference shares and 1 Thomson Reuters Founders Share</w:t>
      </w:r>
    </w:p>
    <w:p>
      <w:pPr>
        <w:spacing w:after="0" w:line="215" w:lineRule="exact"/>
        <w:rPr>
          <w:sz w:val="20"/>
          <w:szCs w:val="20"/>
          <w:color w:val="auto"/>
        </w:rPr>
      </w:pPr>
    </w:p>
    <w:p>
      <w:pPr>
        <w:ind w:left="2" w:right="60"/>
        <w:spacing w:after="0" w:line="261"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w:t>
      </w:r>
    </w:p>
    <w:p>
      <w:pPr>
        <w:spacing w:after="0" w:line="136" w:lineRule="exact"/>
        <w:rPr>
          <w:sz w:val="20"/>
          <w:szCs w:val="20"/>
          <w:color w:val="auto"/>
        </w:rPr>
      </w:pPr>
    </w:p>
    <w:p>
      <w:pPr>
        <w:jc w:val="center"/>
        <w:ind w:right="18"/>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54" w:lineRule="exact"/>
        <w:rPr>
          <w:sz w:val="20"/>
          <w:szCs w:val="20"/>
          <w:color w:val="auto"/>
        </w:rPr>
      </w:pPr>
    </w:p>
    <w:p>
      <w:pPr>
        <w:ind w:left="2" w:right="220"/>
        <w:spacing w:after="0" w:line="261"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36" w:lineRule="exact"/>
        <w:rPr>
          <w:sz w:val="20"/>
          <w:szCs w:val="20"/>
          <w:color w:val="auto"/>
        </w:rPr>
      </w:pPr>
    </w:p>
    <w:p>
      <w:pPr>
        <w:ind w:left="4582"/>
        <w:spacing w:after="0" w:line="207" w:lineRule="exact"/>
        <w:tabs>
          <w:tab w:leader="none" w:pos="5782"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4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Indicate by check mark whether the Registrant is an emerging growth company as defined in Rule 12b-2 of the Exchange Act.</w:t>
      </w:r>
    </w:p>
    <w:p>
      <w:pPr>
        <w:spacing w:after="0" w:line="180" w:lineRule="exact"/>
        <w:rPr>
          <w:sz w:val="20"/>
          <w:szCs w:val="20"/>
          <w:color w:val="auto"/>
        </w:rPr>
      </w:pPr>
    </w:p>
    <w:p>
      <w:pPr>
        <w:ind w:left="8682"/>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0"/>
          <w:szCs w:val="20"/>
          <w:color w:val="auto"/>
        </w:rPr>
      </w:pPr>
    </w:p>
    <w:p>
      <w:pPr>
        <w:jc w:val="both"/>
        <w:ind w:left="2" w:right="80"/>
        <w:spacing w:after="0" w:line="228"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5" w:lineRule="exact"/>
        <w:rPr>
          <w:sz w:val="20"/>
          <w:szCs w:val="20"/>
          <w:color w:val="auto"/>
        </w:rPr>
      </w:pPr>
    </w:p>
    <w:p>
      <w:pPr>
        <w:ind w:left="2" w:right="400" w:hanging="2"/>
        <w:spacing w:after="0" w:line="276" w:lineRule="auto"/>
        <w:tabs>
          <w:tab w:leader="none" w:pos="13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term “new or revised financial accounting standard” refers to any update issued by the Financial Accounting Standards Board to its Accounting Standards Codification after April 5, 2012.</w:t>
      </w:r>
    </w:p>
    <w:p>
      <w:pPr>
        <w:spacing w:after="0" w:line="160" w:lineRule="exact"/>
        <w:rPr>
          <w:sz w:val="20"/>
          <w:szCs w:val="20"/>
          <w:color w:val="auto"/>
        </w:rPr>
      </w:pPr>
    </w:p>
    <w:p>
      <w:pPr>
        <w:ind w:left="2" w:right="240"/>
        <w:spacing w:after="0" w:line="228"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65" w:lineRule="exact"/>
        <w:rPr>
          <w:sz w:val="20"/>
          <w:szCs w:val="20"/>
          <w:color w:val="auto"/>
        </w:rPr>
      </w:pPr>
    </w:p>
    <w:p>
      <w:pPr>
        <w:ind w:left="2" w:right="540"/>
        <w:spacing w:after="0" w:line="236" w:lineRule="exact"/>
        <w:rPr>
          <w:sz w:val="20"/>
          <w:szCs w:val="20"/>
          <w:color w:val="auto"/>
        </w:rPr>
      </w:pPr>
      <w:r>
        <w:rPr>
          <w:rFonts w:ascii="Times New Roman" w:cs="Times New Roman" w:eastAsia="Times New Roman" w:hAnsi="Times New Roman"/>
          <w:sz w:val="18"/>
          <w:szCs w:val="18"/>
          <w:b w:val="1"/>
          <w:bCs w:val="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65" w:lineRule="exact"/>
        <w:rPr>
          <w:sz w:val="20"/>
          <w:szCs w:val="20"/>
          <w:color w:val="auto"/>
        </w:rPr>
      </w:pPr>
    </w:p>
    <w:p>
      <w:pPr>
        <w:ind w:left="2" w:right="840"/>
        <w:spacing w:after="0" w:line="236" w:lineRule="exact"/>
        <w:rPr>
          <w:sz w:val="20"/>
          <w:szCs w:val="20"/>
          <w:color w:val="auto"/>
        </w:rPr>
      </w:pPr>
      <w:r>
        <w:rPr>
          <w:rFonts w:ascii="Times New Roman" w:cs="Times New Roman" w:eastAsia="Times New Roman" w:hAnsi="Times New Roman"/>
          <w:sz w:val="17"/>
          <w:szCs w:val="17"/>
          <w:b w:val="1"/>
          <w:bCs w:val="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92" w:lineRule="exact"/>
        <w:rPr>
          <w:sz w:val="20"/>
          <w:szCs w:val="20"/>
          <w:color w:val="auto"/>
        </w:rPr>
      </w:pPr>
    </w:p>
    <w:p>
      <w:pPr>
        <w:ind w:left="2"/>
        <w:spacing w:after="0"/>
        <w:tabs>
          <w:tab w:leader="none" w:pos="4922" w:val="left"/>
          <w:tab w:leader="none" w:pos="9262" w:val="left"/>
        </w:tabs>
        <w:rPr>
          <w:sz w:val="20"/>
          <w:szCs w:val="20"/>
          <w:color w:val="auto"/>
        </w:rPr>
      </w:pPr>
      <w:r>
        <w:rPr>
          <w:rFonts w:ascii="Times New Roman" w:cs="Times New Roman" w:eastAsia="Times New Roman" w:hAnsi="Times New Roman"/>
          <w:sz w:val="18"/>
          <w:szCs w:val="18"/>
          <w:i w:val="1"/>
          <w:iCs w:val="1"/>
          <w:color w:val="auto"/>
        </w:rPr>
        <w:t>Auditor Name</w:t>
      </w:r>
      <w:r>
        <w:rPr>
          <w:rFonts w:ascii="Times New Roman" w:cs="Times New Roman" w:eastAsia="Times New Roman" w:hAnsi="Times New Roman"/>
          <w:sz w:val="18"/>
          <w:szCs w:val="18"/>
          <w:color w:val="auto"/>
        </w:rPr>
        <w:t>: PricewaterhouseCoopers LLP</w:t>
      </w:r>
      <w:r>
        <w:rPr>
          <w:sz w:val="20"/>
          <w:szCs w:val="20"/>
          <w:color w:val="auto"/>
        </w:rPr>
        <w:tab/>
      </w:r>
      <w:r>
        <w:rPr>
          <w:rFonts w:ascii="Times New Roman" w:cs="Times New Roman" w:eastAsia="Times New Roman" w:hAnsi="Times New Roman"/>
          <w:sz w:val="18"/>
          <w:szCs w:val="18"/>
          <w:i w:val="1"/>
          <w:iCs w:val="1"/>
          <w:color w:val="auto"/>
        </w:rPr>
        <w:t>Auditor Location</w:t>
      </w:r>
      <w:r>
        <w:rPr>
          <w:rFonts w:ascii="Times New Roman" w:cs="Times New Roman" w:eastAsia="Times New Roman" w:hAnsi="Times New Roman"/>
          <w:sz w:val="18"/>
          <w:szCs w:val="18"/>
          <w:color w:val="auto"/>
        </w:rPr>
        <w:t>: New York, NY, USA</w:t>
      </w:r>
      <w:r>
        <w:rPr>
          <w:sz w:val="20"/>
          <w:szCs w:val="20"/>
          <w:color w:val="auto"/>
        </w:rPr>
        <w:tab/>
      </w:r>
      <w:r>
        <w:rPr>
          <w:rFonts w:ascii="Times New Roman" w:cs="Times New Roman" w:eastAsia="Times New Roman" w:hAnsi="Times New Roman"/>
          <w:sz w:val="17"/>
          <w:szCs w:val="17"/>
          <w:i w:val="1"/>
          <w:iCs w:val="1"/>
          <w:color w:val="auto"/>
        </w:rPr>
        <w:t>Auditor Firm ID</w:t>
      </w:r>
      <w:r>
        <w:rPr>
          <w:rFonts w:ascii="Times New Roman" w:cs="Times New Roman" w:eastAsia="Times New Roman" w:hAnsi="Times New Roman"/>
          <w:sz w:val="17"/>
          <w:szCs w:val="17"/>
          <w:color w:val="auto"/>
        </w:rPr>
        <w:t>: 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68656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656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226695</wp:posOffset>
            </wp:positionV>
            <wp:extent cx="68656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ectPr>
          <w:pgSz w:w="11900" w:h="16838" w:orient="portrait"/>
          <w:cols w:equalWidth="0" w:num="1">
            <w:col w:w="10822"/>
          </w:cols>
          <w:pgMar w:left="538" w:top="121" w:right="5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1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UNDERTAKING AND CONSENT TO SERVICE OF PROCESS</w:t>
      </w:r>
    </w:p>
    <w:p>
      <w:pPr>
        <w:spacing w:after="0" w:line="124" w:lineRule="exact"/>
        <w:rPr>
          <w:sz w:val="20"/>
          <w:szCs w:val="20"/>
          <w:color w:val="auto"/>
        </w:rPr>
      </w:pPr>
    </w:p>
    <w:p>
      <w:pPr>
        <w:ind w:left="640" w:hanging="422"/>
        <w:spacing w:after="0"/>
        <w:tabs>
          <w:tab w:leader="none" w:pos="6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Undertaking.</w:t>
      </w:r>
    </w:p>
    <w:p>
      <w:pPr>
        <w:spacing w:after="0" w:line="113" w:lineRule="exact"/>
        <w:rPr>
          <w:sz w:val="20"/>
          <w:szCs w:val="20"/>
          <w:color w:val="auto"/>
        </w:rPr>
      </w:pPr>
    </w:p>
    <w:p>
      <w:pPr>
        <w:ind w:left="220" w:right="40"/>
        <w:spacing w:after="0" w:line="259" w:lineRule="auto"/>
        <w:rPr>
          <w:sz w:val="20"/>
          <w:szCs w:val="20"/>
          <w:color w:val="auto"/>
        </w:rPr>
      </w:pPr>
      <w:r>
        <w:rPr>
          <w:rFonts w:ascii="Times New Roman" w:cs="Times New Roman" w:eastAsia="Times New Roman" w:hAnsi="Times New Roman"/>
          <w:sz w:val="18"/>
          <w:szCs w:val="18"/>
          <w:color w:val="auto"/>
        </w:rPr>
        <w:t>The Registrant undertakes to make available, in person or by telephone, representatives to respond to inquiries made by the Commission staff, and to furnish promptly, when requested to do so by the Commission staff, information relating to: the securities registered pursuant to Form 40-F; the securities in relation to which the obligation to file an annual report on Form 40-F arises; or transactions in said securities.</w:t>
      </w:r>
    </w:p>
    <w:p>
      <w:pPr>
        <w:spacing w:after="0" w:line="322" w:lineRule="exact"/>
        <w:rPr>
          <w:sz w:val="20"/>
          <w:szCs w:val="20"/>
          <w:color w:val="auto"/>
        </w:rPr>
      </w:pPr>
    </w:p>
    <w:p>
      <w:pPr>
        <w:ind w:left="640" w:hanging="422"/>
        <w:spacing w:after="0"/>
        <w:tabs>
          <w:tab w:leader="none" w:pos="6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Consent to Service of Process.</w:t>
      </w:r>
    </w:p>
    <w:p>
      <w:pPr>
        <w:spacing w:after="0" w:line="126" w:lineRule="exact"/>
        <w:rPr>
          <w:rFonts w:ascii="Times New Roman" w:cs="Times New Roman" w:eastAsia="Times New Roman" w:hAnsi="Times New Roman"/>
          <w:sz w:val="18"/>
          <w:szCs w:val="18"/>
          <w:b w:val="1"/>
          <w:bCs w:val="1"/>
          <w:color w:val="auto"/>
        </w:rPr>
      </w:pPr>
    </w:p>
    <w:p>
      <w:pPr>
        <w:ind w:left="1600" w:hanging="415"/>
        <w:spacing w:after="0" w:line="274" w:lineRule="auto"/>
        <w:tabs>
          <w:tab w:leader="none" w:pos="16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has previously filed a Form F-X in connection with the class of securities in relation to which the obligation to file this report arises.</w:t>
      </w:r>
    </w:p>
    <w:p>
      <w:pPr>
        <w:spacing w:after="0" w:line="70" w:lineRule="exact"/>
        <w:rPr>
          <w:rFonts w:ascii="Times New Roman" w:cs="Times New Roman" w:eastAsia="Times New Roman" w:hAnsi="Times New Roman"/>
          <w:sz w:val="18"/>
          <w:szCs w:val="18"/>
          <w:color w:val="auto"/>
        </w:rPr>
      </w:pPr>
    </w:p>
    <w:p>
      <w:pPr>
        <w:ind w:left="1600" w:right="160" w:hanging="415"/>
        <w:spacing w:after="0" w:line="274" w:lineRule="auto"/>
        <w:tabs>
          <w:tab w:leader="none" w:pos="16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to the name or address of the Registrant’s agent for service shall be communicated promptly to the Commission by amendment to Form F-X referencing the file number of the Registrant.</w:t>
      </w:r>
    </w:p>
    <w:p>
      <w:pPr>
        <w:sectPr>
          <w:pgSz w:w="11900" w:h="16838" w:orient="portrait"/>
          <w:cols w:equalWidth="0" w:num="1">
            <w:col w:w="10780"/>
          </w:cols>
          <w:pgMar w:left="320" w:top="477" w:right="7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ind w:left="220" w:right="420"/>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certifies that it meets all of the requirements for filing on Form 40-F and has duly caused this annual report to be signed on its behalf by the undersigned, thereto duly authorized.</w:t>
      </w:r>
    </w:p>
    <w:p>
      <w:pPr>
        <w:spacing w:after="0" w:line="188"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THOMSON REUTERS CORPORATION</w:t>
      </w:r>
    </w:p>
    <w:p>
      <w:pPr>
        <w:spacing w:after="0" w:line="219" w:lineRule="exact"/>
        <w:rPr>
          <w:sz w:val="20"/>
          <w:szCs w:val="20"/>
          <w:color w:val="auto"/>
        </w:rPr>
      </w:pPr>
    </w:p>
    <w:tbl>
      <w:tblPr>
        <w:tblLayout w:type="fixed"/>
        <w:tblInd w:w="6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Eastwood</w:t>
            </w:r>
          </w:p>
        </w:tc>
      </w:tr>
      <w:tr>
        <w:trPr>
          <w:trHeight w:val="200"/>
        </w:trPr>
        <w:tc>
          <w:tcPr>
            <w:tcW w:w="5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Michael Eastwood</w:t>
            </w:r>
          </w:p>
        </w:tc>
      </w:tr>
      <w:tr>
        <w:trPr>
          <w:trHeight w:val="23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Date: March 6, 2025</w:t>
      </w:r>
    </w:p>
    <w:p>
      <w:pPr>
        <w:sectPr>
          <w:pgSz w:w="11900" w:h="16838" w:orient="portrait"/>
          <w:cols w:equalWidth="0" w:num="1">
            <w:col w:w="11020"/>
          </w:cols>
          <w:pgMar w:left="320" w:top="477"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1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EXHIBIT INDEX</w:t>
      </w:r>
    </w:p>
    <w:p>
      <w:pPr>
        <w:sectPr>
          <w:pgSz w:w="11900" w:h="16838" w:orient="portrait"/>
          <w:cols w:equalWidth="0" w:num="1">
            <w:col w:w="10880"/>
          </w:cols>
          <w:pgMar w:left="320" w:top="477" w:right="699" w:bottom="1440" w:gutter="0" w:footer="0" w:header="0"/>
        </w:sectPr>
      </w:pPr>
    </w:p>
    <w:p>
      <w:pPr>
        <w:spacing w:after="0" w:line="2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-5080</wp:posOffset>
            </wp:positionV>
            <wp:extent cx="4876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ind w:left="300" w:hanging="82"/>
        <w:spacing w:after="0"/>
        <w:tabs>
          <w:tab w:leader="none" w:pos="3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97.1</w:t>
      </w:r>
    </w:p>
    <w:p>
      <w:pPr>
        <w:spacing w:after="0" w:line="125" w:lineRule="exact"/>
        <w:rPr>
          <w:rFonts w:ascii="Times New Roman" w:cs="Times New Roman" w:eastAsia="Times New Roman" w:hAnsi="Times New Roman"/>
          <w:sz w:val="15"/>
          <w:szCs w:val="15"/>
          <w:color w:val="auto"/>
        </w:rPr>
      </w:pPr>
    </w:p>
    <w:p>
      <w:pPr>
        <w:ind w:left="300" w:hanging="82"/>
        <w:spacing w:after="0"/>
        <w:tabs>
          <w:tab w:leader="none" w:pos="3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99.1</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Recovery Policy</w:t>
      </w:r>
    </w:p>
    <w:p>
      <w:pPr>
        <w:spacing w:after="0" w:line="104"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color w:val="auto"/>
        </w:rPr>
        <w:t>Annual Report for the year ended December 31, 2024 (which constitutes an Annual Information Form and includes Management’s Discussion and Analysis and Audited Financial Statements for the year ended December 31, 2024), and includes a Form 40-F Cross Reference Table on page 163</w:t>
      </w:r>
    </w:p>
    <w:p>
      <w:pPr>
        <w:spacing w:after="0" w:line="72" w:lineRule="exact"/>
        <w:rPr>
          <w:sz w:val="20"/>
          <w:szCs w:val="20"/>
          <w:color w:val="auto"/>
        </w:rPr>
      </w:pPr>
    </w:p>
    <w:p>
      <w:pPr>
        <w:sectPr>
          <w:pgSz w:w="11900" w:h="16838" w:orient="portrait"/>
          <w:cols w:equalWidth="0" w:num="2">
            <w:col w:w="860" w:space="440"/>
            <w:col w:w="9580"/>
          </w:cols>
          <w:pgMar w:left="320" w:top="477" w:right="699" w:bottom="1440" w:gutter="0" w:footer="0" w:header="0"/>
          <w:type w:val="continuous"/>
        </w:sectPr>
      </w:pPr>
    </w:p>
    <w:tbl>
      <w:tblPr>
        <w:tblLayout w:type="fixed"/>
        <w:tblInd w:w="220" w:type="dxa"/>
        <w:tblCellMar>
          <w:top w:w="0" w:type="dxa"/>
          <w:left w:w="0" w:type="dxa"/>
          <w:bottom w:w="0" w:type="dxa"/>
          <w:right w:w="0" w:type="dxa"/>
        </w:tblCellMar>
      </w:tblPr>
      <w:tr>
        <w:trPr>
          <w:trHeight w:val="23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99.2</w:t>
            </w:r>
          </w:p>
        </w:tc>
        <w:tc>
          <w:tcPr>
            <w:tcW w:w="9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Consent of PricewaterhouseCoopers LLP</w:t>
            </w: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99.3</w:t>
            </w:r>
          </w:p>
        </w:tc>
        <w:tc>
          <w:tcPr>
            <w:tcW w:w="9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Section 302 of the Sarbanes-Oxley Act of 2002</w:t>
            </w: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99.4</w:t>
            </w:r>
          </w:p>
        </w:tc>
        <w:tc>
          <w:tcPr>
            <w:tcW w:w="9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Section 302 of the Sarbanes-Oxley Act of 2002</w:t>
            </w: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99.5</w:t>
            </w:r>
          </w:p>
        </w:tc>
        <w:tc>
          <w:tcPr>
            <w:tcW w:w="9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Section 906 of the Sarbanes-Oxley Act of 2002</w:t>
            </w: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99.6</w:t>
            </w:r>
          </w:p>
        </w:tc>
        <w:tc>
          <w:tcPr>
            <w:tcW w:w="9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Section 906 of the Sarbanes-Oxley Act of 2002</w:t>
            </w: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99.7</w:t>
            </w:r>
          </w:p>
        </w:tc>
        <w:tc>
          <w:tcPr>
            <w:tcW w:w="9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Code of Business Conduct and Ethics</w:t>
            </w: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99.8</w:t>
            </w:r>
          </w:p>
        </w:tc>
        <w:tc>
          <w:tcPr>
            <w:tcW w:w="9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Audit Committee Charter</w:t>
            </w:r>
          </w:p>
        </w:tc>
      </w:tr>
      <w:tr>
        <w:trPr>
          <w:trHeight w:val="29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99.9</w:t>
            </w:r>
          </w:p>
        </w:tc>
        <w:tc>
          <w:tcPr>
            <w:tcW w:w="9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List of Subsidiary Issuers and Guarantors (incorporated by reference to Exhibit 22.1 of the joint Registration Statement on Form F-3</w:t>
            </w:r>
          </w:p>
        </w:tc>
      </w:tr>
      <w:tr>
        <w:trPr>
          <w:trHeight w:val="212"/>
        </w:trPr>
        <w:tc>
          <w:tcPr>
            <w:tcW w:w="880" w:type="dxa"/>
            <w:vAlign w:val="bottom"/>
          </w:tcPr>
          <w:p>
            <w:pPr>
              <w:spacing w:after="0"/>
              <w:rPr>
                <w:sz w:val="18"/>
                <w:szCs w:val="18"/>
                <w:color w:val="auto"/>
              </w:rPr>
            </w:pPr>
          </w:p>
        </w:tc>
        <w:tc>
          <w:tcPr>
            <w:tcW w:w="97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(File No. 333-239392) and Form F-10 (File No. 333-239390) filed on July 6, 2020 by Thomson Reuters Corporation and the subsidiary</w:t>
            </w:r>
          </w:p>
        </w:tc>
      </w:tr>
      <w:tr>
        <w:trPr>
          <w:trHeight w:val="231"/>
        </w:trPr>
        <w:tc>
          <w:tcPr>
            <w:tcW w:w="880" w:type="dxa"/>
            <w:vAlign w:val="bottom"/>
          </w:tcPr>
          <w:p>
            <w:pPr>
              <w:spacing w:after="0"/>
              <w:rPr>
                <w:sz w:val="20"/>
                <w:szCs w:val="20"/>
                <w:color w:val="auto"/>
              </w:rPr>
            </w:pPr>
          </w:p>
        </w:tc>
        <w:tc>
          <w:tcPr>
            <w:tcW w:w="9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issuer and guarantors named therein)</w:t>
            </w:r>
          </w:p>
        </w:tc>
      </w:tr>
      <w:tr>
        <w:trPr>
          <w:trHeight w:val="29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7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w:t>
            </w:r>
          </w:p>
        </w:tc>
      </w:tr>
      <w:tr>
        <w:trPr>
          <w:trHeight w:val="231"/>
        </w:trPr>
        <w:tc>
          <w:tcPr>
            <w:tcW w:w="880" w:type="dxa"/>
            <w:vAlign w:val="bottom"/>
          </w:tcPr>
          <w:p>
            <w:pPr>
              <w:spacing w:after="0"/>
              <w:rPr>
                <w:sz w:val="20"/>
                <w:szCs w:val="20"/>
                <w:color w:val="auto"/>
              </w:rPr>
            </w:pPr>
          </w:p>
        </w:tc>
        <w:tc>
          <w:tcPr>
            <w:tcW w:w="9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ectPr>
          <w:pgSz w:w="11900" w:h="16838" w:orient="portrait"/>
          <w:cols w:equalWidth="0" w:num="1">
            <w:col w:w="10880"/>
          </w:cols>
          <w:pgMar w:left="320" w:top="477" w:right="6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ectPr>
          <w:pgSz w:w="11900" w:h="16838" w:orient="portrait"/>
          <w:cols w:equalWidth="0" w:num="1">
            <w:col w:w="10139"/>
          </w:cols>
          <w:pgMar w:left="320" w:top="477"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1506220" cy="614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06220" cy="614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Incentive-Based Compensation Clawback Policy</w:t>
      </w:r>
    </w:p>
    <w:p>
      <w:pPr>
        <w:spacing w:after="0" w:line="26"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b w:val="1"/>
          <w:bCs w:val="1"/>
          <w:color w:val="auto"/>
        </w:rPr>
        <w:t>(Financial Restatement)</w:t>
      </w:r>
    </w:p>
    <w:p>
      <w:pPr>
        <w:spacing w:after="0" w:line="222" w:lineRule="exact"/>
        <w:rPr>
          <w:sz w:val="20"/>
          <w:szCs w:val="20"/>
          <w:color w:val="auto"/>
        </w:rPr>
      </w:pPr>
    </w:p>
    <w:p>
      <w:pPr>
        <w:ind w:left="422" w:hanging="422"/>
        <w:spacing w:after="0"/>
        <w:tabs>
          <w:tab w:leader="none" w:pos="42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Introduction</w:t>
      </w:r>
    </w:p>
    <w:p>
      <w:pPr>
        <w:spacing w:after="0" w:line="111" w:lineRule="exact"/>
        <w:rPr>
          <w:sz w:val="20"/>
          <w:szCs w:val="20"/>
          <w:color w:val="auto"/>
        </w:rPr>
      </w:pPr>
    </w:p>
    <w:p>
      <w:pPr>
        <w:ind w:left="2" w:right="80"/>
        <w:spacing w:after="0" w:line="250" w:lineRule="auto"/>
        <w:rPr>
          <w:sz w:val="20"/>
          <w:szCs w:val="20"/>
          <w:color w:val="auto"/>
        </w:rPr>
      </w:pPr>
      <w:r>
        <w:rPr>
          <w:rFonts w:ascii="Times New Roman" w:cs="Times New Roman" w:eastAsia="Times New Roman" w:hAnsi="Times New Roman"/>
          <w:sz w:val="18"/>
          <w:szCs w:val="18"/>
          <w:color w:val="auto"/>
        </w:rPr>
        <w:t>This incentive-based compensation clawback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has been adopted by each of the Board of Directors (or equivalent governing body,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Thomson Reuters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of each Listed Subsidiary (as defined below) to create and maintain a culture that emphasizes integrity and accountability and that reinforces the pay-for-performance compensation philosophy of the Company and the Listed Subsidiaries (each, a “</w:t>
      </w:r>
      <w:r>
        <w:rPr>
          <w:rFonts w:ascii="Times New Roman" w:cs="Times New Roman" w:eastAsia="Times New Roman" w:hAnsi="Times New Roman"/>
          <w:sz w:val="18"/>
          <w:szCs w:val="18"/>
          <w:b w:val="1"/>
          <w:bCs w:val="1"/>
          <w:color w:val="auto"/>
        </w:rPr>
        <w:t>Subject Issuer</w:t>
      </w:r>
      <w:r>
        <w:rPr>
          <w:rFonts w:ascii="Times New Roman" w:cs="Times New Roman" w:eastAsia="Times New Roman" w:hAnsi="Times New Roman"/>
          <w:sz w:val="18"/>
          <w:szCs w:val="18"/>
          <w:color w:val="auto"/>
        </w:rPr>
        <w:t>”). The Board of each Subject Issuer has therefore adopted this Policy which provides for the recoupment of certain executive compensation in the event of an accounting restatement resulting from material noncompliance with financial reporting requirements under Canadian and U.S. securities laws. This Policy is designed to comply with Section 10D of the Securities Exchange Act of 1934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Rule 10D-1 issued thereunder, and the listing standards of the national securities exchange on which the applicable Subject Issuer’s securities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listed to implement Rule 10D-1 under the Exchange Act (collectively, the “</w:t>
      </w:r>
      <w:r>
        <w:rPr>
          <w:rFonts w:ascii="Times New Roman" w:cs="Times New Roman" w:eastAsia="Times New Roman" w:hAnsi="Times New Roman"/>
          <w:sz w:val="18"/>
          <w:szCs w:val="18"/>
          <w:b w:val="1"/>
          <w:bCs w:val="1"/>
          <w:color w:val="auto"/>
        </w:rPr>
        <w:t>U.S. Clawback Rules</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ind w:left="422" w:hanging="422"/>
        <w:spacing w:after="0"/>
        <w:tabs>
          <w:tab w:leader="none" w:pos="42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1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For purposes of this Policy, the following terms shall have the meanings set forth below:</w:t>
      </w:r>
    </w:p>
    <w:p>
      <w:pPr>
        <w:spacing w:after="0" w:line="215" w:lineRule="exact"/>
        <w:rPr>
          <w:sz w:val="20"/>
          <w:szCs w:val="20"/>
          <w:color w:val="auto"/>
        </w:rPr>
      </w:pPr>
    </w:p>
    <w:p>
      <w:pPr>
        <w:jc w:val="both"/>
        <w:ind w:left="2" w:right="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Executive Officers</w:t>
      </w:r>
      <w:r>
        <w:rPr>
          <w:rFonts w:ascii="Times New Roman" w:cs="Times New Roman" w:eastAsia="Times New Roman" w:hAnsi="Times New Roman"/>
          <w:sz w:val="18"/>
          <w:szCs w:val="18"/>
          <w:color w:val="auto"/>
        </w:rPr>
        <w:t>” means the current and former executive officers of each Subject Issuer, as determined by the applicable Subject Issuer’s Board in accordance with the U.S. Clawback Rules, and such other officers or employees who may from time to time be deemed subject to the Policy by the applicable Subject Issuer’s Board.</w:t>
      </w:r>
    </w:p>
    <w:p>
      <w:pPr>
        <w:spacing w:after="0" w:line="173" w:lineRule="exact"/>
        <w:rPr>
          <w:sz w:val="20"/>
          <w:szCs w:val="20"/>
          <w:color w:val="auto"/>
        </w:rPr>
      </w:pPr>
    </w:p>
    <w:p>
      <w:pPr>
        <w:ind w:left="2" w:right="100"/>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October 2, 2023, with respect to the Company, and March 6, 2025, with respect to the Listed Subsidiaries listed on Schedule A hereto.</w:t>
      </w:r>
    </w:p>
    <w:p>
      <w:pPr>
        <w:spacing w:after="0" w:line="160" w:lineRule="exact"/>
        <w:rPr>
          <w:sz w:val="20"/>
          <w:szCs w:val="20"/>
          <w:color w:val="auto"/>
        </w:rPr>
      </w:pPr>
    </w:p>
    <w:p>
      <w:pPr>
        <w:ind w:left="2" w:right="4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Excess Incentive-Based Compensation</w:t>
      </w:r>
      <w:r>
        <w:rPr>
          <w:rFonts w:ascii="Times New Roman" w:cs="Times New Roman" w:eastAsia="Times New Roman" w:hAnsi="Times New Roman"/>
          <w:sz w:val="18"/>
          <w:szCs w:val="18"/>
          <w:color w:val="auto"/>
        </w:rPr>
        <w:t>” means the amount by which any Incentive-Based Compensation that is granted, earned, or vested based on erroneous or inaccurate data contained in Materially Non-Compliant Financial Statements as originally publicly filed exceeds the amount of any Incentive-Based Compensation that would have been granted, earned, or vested based on the data contained in any subsequent restatement of such Materially Non-Compliant Financial Statements, as computed without regard to any taxes paid thereon and otherwise as determined by the applicable Subject Issuer’s Board in accordance with the U.S. Clawback Rules. If the applicable Subject Issuer’s Board cannot determine the amount of excess Incentive-Based Compensation received by the Covered Executive Officer directly from the information in the accounting restatement, then it will make its determination based on a reasonable estimate of the effect of the accounting restatement.</w:t>
      </w:r>
    </w:p>
    <w:p>
      <w:pPr>
        <w:spacing w:after="0" w:line="187" w:lineRule="exact"/>
        <w:rPr>
          <w:sz w:val="20"/>
          <w:szCs w:val="20"/>
          <w:color w:val="auto"/>
        </w:rPr>
      </w:pPr>
    </w:p>
    <w:p>
      <w:pPr>
        <w:jc w:val="both"/>
        <w:ind w:left="2" w:right="8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“Financial Reporting Measure” </w:t>
      </w:r>
      <w:r>
        <w:rPr>
          <w:rFonts w:ascii="Times New Roman" w:cs="Times New Roman" w:eastAsia="Times New Roman" w:hAnsi="Times New Roman"/>
          <w:sz w:val="18"/>
          <w:szCs w:val="18"/>
          <w:color w:val="auto"/>
        </w:rPr>
        <w:t>means any measure that is determined and presented in accordance with the accounting principles used in preparing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statements, or any measure derived wholly or in part from the financial information, and includes, for example, stock price, total shareholder return, revenues, net income, earnings before interest, taxes, depreciation, and amortization (EBITDA), funds from operations, liquidity measures such as working capital or operating cash flow, return measures such as return on invested capital or return on assets, and earnings measures such as earnings per share.</w:t>
      </w:r>
    </w:p>
    <w:p>
      <w:pPr>
        <w:spacing w:after="0" w:line="181" w:lineRule="exact"/>
        <w:rPr>
          <w:sz w:val="20"/>
          <w:szCs w:val="20"/>
          <w:color w:val="auto"/>
        </w:rPr>
      </w:pPr>
    </w:p>
    <w:p>
      <w:pPr>
        <w:ind w:left="2" w:right="180"/>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Human Resources Committee</w:t>
      </w:r>
      <w:r>
        <w:rPr>
          <w:rFonts w:ascii="Times New Roman" w:cs="Times New Roman" w:eastAsia="Times New Roman" w:hAnsi="Times New Roman"/>
          <w:sz w:val="18"/>
          <w:szCs w:val="18"/>
          <w:color w:val="auto"/>
        </w:rPr>
        <w:t>” means the Human Resources Committee of the Company’s Board or such other committee as the Company’s Board may, from time to time, appoint to oversee the application of this Policy.</w:t>
      </w:r>
    </w:p>
    <w:p>
      <w:pPr>
        <w:sectPr>
          <w:pgSz w:w="11900" w:h="16838" w:orient="portrait"/>
          <w:cols w:equalWidth="0" w:num="1">
            <w:col w:w="10822"/>
          </w:cols>
          <w:pgMar w:left="538" w:top="119" w:right="539" w:bottom="1440" w:gutter="0" w:footer="0" w:header="0"/>
        </w:sectPr>
      </w:pPr>
    </w:p>
    <w:bookmarkStart w:id="7" w:name="page8"/>
    <w:bookmarkEnd w:id="7"/>
    <w:p>
      <w:pPr>
        <w:ind w:left="2" w:right="6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Incentive-Based Compensation</w:t>
      </w:r>
      <w:r>
        <w:rPr>
          <w:rFonts w:ascii="Times New Roman" w:cs="Times New Roman" w:eastAsia="Times New Roman" w:hAnsi="Times New Roman"/>
          <w:sz w:val="18"/>
          <w:szCs w:val="18"/>
          <w:color w:val="auto"/>
        </w:rPr>
        <w:t>” means with respect to each applicable Subject Issuer, any compensation that is granted, earned, or vested based wholly or in part on the attainment of a Financial Reporting Measure of such Subject Issuer, which may include: annual bonuses and other short- and long-term cash incentives, stock options, stock appreciation rights, restricted stock, restricted stock units, performance shares, or performance units. For the avoidance of doubt, Incentive-Based Compensation does not include awards that vest exclusively upon completion of a specified employment period, without any performance condition, and bonus awards that are discretionary or based on subjective goals or goals unrelated to Financial Reporting Measures.</w:t>
      </w:r>
    </w:p>
    <w:p>
      <w:pPr>
        <w:spacing w:after="0" w:line="185" w:lineRule="exact"/>
        <w:rPr>
          <w:sz w:val="20"/>
          <w:szCs w:val="20"/>
          <w:color w:val="auto"/>
        </w:rPr>
      </w:pPr>
    </w:p>
    <w:p>
      <w:pPr>
        <w:ind w:left="2" w:right="80"/>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Listed Subsidiary</w:t>
      </w:r>
      <w:r>
        <w:rPr>
          <w:rFonts w:ascii="Times New Roman" w:cs="Times New Roman" w:eastAsia="Times New Roman" w:hAnsi="Times New Roman"/>
          <w:sz w:val="18"/>
          <w:szCs w:val="18"/>
          <w:color w:val="auto"/>
        </w:rPr>
        <w:t>” means any subsidiary of the Company, including those listed on Schedule A hereto, with a class of securities that may be listed on a U.S. Stock Exchange (as defined below) from time to time.</w:t>
      </w:r>
    </w:p>
    <w:p>
      <w:pPr>
        <w:spacing w:after="0" w:line="160" w:lineRule="exact"/>
        <w:rPr>
          <w:sz w:val="20"/>
          <w:szCs w:val="20"/>
          <w:color w:val="auto"/>
        </w:rPr>
      </w:pPr>
    </w:p>
    <w:p>
      <w:pPr>
        <w:ind w:left="2"/>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Lookback Period</w:t>
      </w:r>
      <w:r>
        <w:rPr>
          <w:rFonts w:ascii="Times New Roman" w:cs="Times New Roman" w:eastAsia="Times New Roman" w:hAnsi="Times New Roman"/>
          <w:sz w:val="18"/>
          <w:szCs w:val="18"/>
          <w:color w:val="auto"/>
        </w:rPr>
        <w:t>” means the three completed fiscal years immediately preceding the date on which the applicable Subject Issuer is required to prepare an accounting restatement (as determined in accordance with the U.S. Clawback Rules) or any applicable transition period as specified under the Exchange Act.</w:t>
      </w:r>
    </w:p>
    <w:p>
      <w:pPr>
        <w:spacing w:after="0" w:line="173" w:lineRule="exact"/>
        <w:rPr>
          <w:sz w:val="20"/>
          <w:szCs w:val="20"/>
          <w:color w:val="auto"/>
        </w:rPr>
      </w:pPr>
    </w:p>
    <w:p>
      <w:pPr>
        <w:ind w:left="2" w:right="10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Materially Non-Compliant Financial Statements</w:t>
      </w:r>
      <w:r>
        <w:rPr>
          <w:rFonts w:ascii="Times New Roman" w:cs="Times New Roman" w:eastAsia="Times New Roman" w:hAnsi="Times New Roman"/>
          <w:sz w:val="18"/>
          <w:szCs w:val="18"/>
          <w:color w:val="auto"/>
        </w:rPr>
        <w:t>” means any financial statements of the applicable Subject Issuer where there has been any restatement of the financial statements due to material non-compliance with any financial reporting requirement under applicable securities laws, including any required accounting restatement correcting an error that either (1) is material to the previously-issued financial statements (i.e. a “big R” restatement); or (2) would result in a material misstatement if the error were corrected in the current period or left uncorrected in the current period (i.e. a “little r” restatement).</w:t>
      </w:r>
    </w:p>
    <w:p>
      <w:pPr>
        <w:spacing w:after="0" w:line="18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 xml:space="preserve"> means the current period or the Lookback Period, as applicable.</w:t>
      </w:r>
    </w:p>
    <w:p>
      <w:pPr>
        <w:spacing w:after="0" w:line="217" w:lineRule="exact"/>
        <w:rPr>
          <w:sz w:val="20"/>
          <w:szCs w:val="20"/>
          <w:color w:val="auto"/>
        </w:rPr>
      </w:pPr>
    </w:p>
    <w:p>
      <w:pPr>
        <w:ind w:left="2" w:right="260"/>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Stock Exchange</w:t>
      </w:r>
      <w:r>
        <w:rPr>
          <w:rFonts w:ascii="Times New Roman" w:cs="Times New Roman" w:eastAsia="Times New Roman" w:hAnsi="Times New Roman"/>
          <w:sz w:val="18"/>
          <w:szCs w:val="18"/>
          <w:color w:val="auto"/>
        </w:rPr>
        <w:t>” means the New York Stock Exchange, Nasdaq and/or any other U.S. national securities exchange(s) on which the applicable Subject Issuer’s securities are listed.</w:t>
      </w:r>
    </w:p>
    <w:p>
      <w:pPr>
        <w:spacing w:after="0" w:line="306" w:lineRule="exact"/>
        <w:rPr>
          <w:sz w:val="20"/>
          <w:szCs w:val="20"/>
          <w:color w:val="auto"/>
        </w:rPr>
      </w:pPr>
    </w:p>
    <w:p>
      <w:pPr>
        <w:ind w:left="422" w:hanging="422"/>
        <w:spacing w:after="0"/>
        <w:tabs>
          <w:tab w:leader="none" w:pos="42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Recoupment of Incentive-Based Compensation</w:t>
      </w:r>
    </w:p>
    <w:p>
      <w:pPr>
        <w:spacing w:after="0" w:line="113" w:lineRule="exact"/>
        <w:rPr>
          <w:sz w:val="20"/>
          <w:szCs w:val="20"/>
          <w:color w:val="auto"/>
        </w:rPr>
      </w:pPr>
    </w:p>
    <w:p>
      <w:pPr>
        <w:ind w:left="2" w:right="240"/>
        <w:spacing w:after="0" w:line="274" w:lineRule="auto"/>
        <w:rPr>
          <w:sz w:val="20"/>
          <w:szCs w:val="20"/>
          <w:color w:val="auto"/>
        </w:rPr>
      </w:pPr>
      <w:r>
        <w:rPr>
          <w:rFonts w:ascii="Times New Roman" w:cs="Times New Roman" w:eastAsia="Times New Roman" w:hAnsi="Times New Roman"/>
          <w:sz w:val="17"/>
          <w:szCs w:val="17"/>
          <w:color w:val="auto"/>
        </w:rPr>
        <w:t>In the event of Materially Non-Compliant Financial Statements, the applicable Subject Issuer’s Board will require reimbursement or forfeiture of any Excess Incentive-Based Compensation granted, earned, or vested in favour of, any current or former Covered Executive Officer during the relevant Performance Period. Notwithstanding the foregoing, such reimbursement or forfeiture of Excess Incentive-Based Compensation shall not be required from a Covered Executive Officer if that individual was not a Covered Executive Officer at any time during the relevant Performance Period.</w:t>
      </w:r>
    </w:p>
    <w:p>
      <w:pPr>
        <w:spacing w:after="0" w:line="311" w:lineRule="exact"/>
        <w:rPr>
          <w:sz w:val="20"/>
          <w:szCs w:val="20"/>
          <w:color w:val="auto"/>
        </w:rPr>
      </w:pPr>
    </w:p>
    <w:p>
      <w:pPr>
        <w:ind w:left="422" w:hanging="422"/>
        <w:spacing w:after="0"/>
        <w:tabs>
          <w:tab w:leader="none" w:pos="42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Method of Recoupment</w:t>
      </w:r>
    </w:p>
    <w:p>
      <w:pPr>
        <w:spacing w:after="0" w:line="113" w:lineRule="exact"/>
        <w:rPr>
          <w:sz w:val="20"/>
          <w:szCs w:val="20"/>
          <w:color w:val="auto"/>
        </w:rPr>
      </w:pPr>
    </w:p>
    <w:p>
      <w:pPr>
        <w:ind w:left="2" w:right="40"/>
        <w:spacing w:after="0" w:line="268" w:lineRule="auto"/>
        <w:rPr>
          <w:sz w:val="20"/>
          <w:szCs w:val="20"/>
          <w:color w:val="auto"/>
        </w:rPr>
      </w:pPr>
      <w:r>
        <w:rPr>
          <w:rFonts w:ascii="Times New Roman" w:cs="Times New Roman" w:eastAsia="Times New Roman" w:hAnsi="Times New Roman"/>
          <w:sz w:val="17"/>
          <w:szCs w:val="17"/>
          <w:color w:val="auto"/>
        </w:rPr>
        <w:t>The applicable Subject Issuer’s Board shall have the sole discretion and authority to determine the method for recouping any Incentive-Based Compensation under Section 3 of this Policy which may include, without limitation, (i) requiring the Covered Executive Officer to repay all or a portion of any cash bonus (including any performance bonus) or other equity-based compensation granted, awarded or paid to the Covered Executive Officer;</w:t>
      </w:r>
    </w:p>
    <w:p>
      <w:pPr>
        <w:spacing w:after="0" w:line="1" w:lineRule="exact"/>
        <w:rPr>
          <w:sz w:val="20"/>
          <w:szCs w:val="20"/>
          <w:color w:val="auto"/>
        </w:rPr>
      </w:pPr>
    </w:p>
    <w:p>
      <w:pPr>
        <w:ind w:left="2" w:right="20" w:hanging="2"/>
        <w:spacing w:after="0" w:line="246" w:lineRule="auto"/>
        <w:tabs>
          <w:tab w:leader="none" w:pos="26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canceling all or a portion of any unvested or vested equity-based compensation deferred by or granted, awarded or paid to the Covered Executive Officer; (iii) requiring the Covered Executive Officer to repay all or a portion of any gains realized by the Covered Executive Officer on the exercise of stock options or other equity-based compensation; (iv) offsetting the recoupment amount against any current or future equity-based compensation or any other amounts owed by the applicable Subject Issuer to the Covered Executive Officer; (v) combining any of items (i) to (iv) above; and/or (vi) taking any other remedial and recovery action permitted by law, as determined by the applicable Subject Issuer’s Board. Any recoupment under this Policy shall be reasonably prompt.</w:t>
      </w:r>
    </w:p>
    <w:p>
      <w:pPr>
        <w:spacing w:after="0" w:line="335" w:lineRule="exact"/>
        <w:rPr>
          <w:sz w:val="20"/>
          <w:szCs w:val="20"/>
          <w:color w:val="auto"/>
        </w:rPr>
      </w:pPr>
    </w:p>
    <w:p>
      <w:pPr>
        <w:ind w:left="422" w:hanging="422"/>
        <w:spacing w:after="0"/>
        <w:tabs>
          <w:tab w:leader="none" w:pos="422"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Indemnification</w:t>
      </w:r>
    </w:p>
    <w:p>
      <w:pPr>
        <w:spacing w:after="0" w:line="113" w:lineRule="exact"/>
        <w:rPr>
          <w:sz w:val="20"/>
          <w:szCs w:val="20"/>
          <w:color w:val="auto"/>
        </w:rPr>
      </w:pPr>
    </w:p>
    <w:p>
      <w:pPr>
        <w:ind w:left="2" w:right="300"/>
        <w:spacing w:after="0" w:line="274" w:lineRule="auto"/>
        <w:rPr>
          <w:sz w:val="20"/>
          <w:szCs w:val="20"/>
          <w:color w:val="auto"/>
        </w:rPr>
      </w:pPr>
      <w:r>
        <w:rPr>
          <w:rFonts w:ascii="Times New Roman" w:cs="Times New Roman" w:eastAsia="Times New Roman" w:hAnsi="Times New Roman"/>
          <w:sz w:val="18"/>
          <w:szCs w:val="18"/>
          <w:color w:val="auto"/>
        </w:rPr>
        <w:t>No Subject Issuer shall indemnify a Covered Executive Officer for any losses suffered as a result of recoupment under this Policy, including without limitation, the loss of any Incentive-Based Compensation.</w:t>
      </w:r>
    </w:p>
    <w:p>
      <w:pPr>
        <w:sectPr>
          <w:pgSz w:w="11900" w:h="16838" w:orient="portrait"/>
          <w:cols w:equalWidth="0" w:num="1">
            <w:col w:w="10802"/>
          </w:cols>
          <w:pgMar w:left="538" w:top="265" w:right="559" w:bottom="1440" w:gutter="0" w:footer="0" w:header="0"/>
        </w:sectPr>
      </w:pPr>
    </w:p>
    <w:bookmarkStart w:id="8" w:name="page9"/>
    <w:bookmarkEnd w:id="8"/>
    <w:p>
      <w:pPr>
        <w:ind w:left="422" w:hanging="422"/>
        <w:spacing w:after="0"/>
        <w:tabs>
          <w:tab w:leader="none" w:pos="42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Effective Date</w:t>
      </w:r>
    </w:p>
    <w:p>
      <w:pPr>
        <w:spacing w:after="0" w:line="113" w:lineRule="exact"/>
        <w:rPr>
          <w:sz w:val="20"/>
          <w:szCs w:val="20"/>
          <w:color w:val="auto"/>
        </w:rPr>
      </w:pPr>
    </w:p>
    <w:p>
      <w:pPr>
        <w:ind w:left="2" w:right="440"/>
        <w:spacing w:after="0" w:line="274" w:lineRule="auto"/>
        <w:rPr>
          <w:sz w:val="20"/>
          <w:szCs w:val="20"/>
          <w:color w:val="auto"/>
        </w:rPr>
      </w:pPr>
      <w:r>
        <w:rPr>
          <w:rFonts w:ascii="Times New Roman" w:cs="Times New Roman" w:eastAsia="Times New Roman" w:hAnsi="Times New Roman"/>
          <w:sz w:val="18"/>
          <w:szCs w:val="18"/>
          <w:color w:val="auto"/>
        </w:rPr>
        <w:t>This Policy shall be effective as of the Effective Date and shall apply to Incentive-Based Compensation that is approved, awarded or granted to, or earned by, the Covered Executive Officers on or after that date.</w:t>
      </w:r>
    </w:p>
    <w:p>
      <w:pPr>
        <w:spacing w:after="0" w:line="307" w:lineRule="exact"/>
        <w:rPr>
          <w:sz w:val="20"/>
          <w:szCs w:val="20"/>
          <w:color w:val="auto"/>
        </w:rPr>
      </w:pPr>
    </w:p>
    <w:p>
      <w:pPr>
        <w:ind w:left="422" w:hanging="422"/>
        <w:spacing w:after="0"/>
        <w:tabs>
          <w:tab w:leader="none" w:pos="422"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Board Authority</w:t>
      </w:r>
    </w:p>
    <w:p>
      <w:pPr>
        <w:spacing w:after="0" w:line="113" w:lineRule="exact"/>
        <w:rPr>
          <w:sz w:val="20"/>
          <w:szCs w:val="20"/>
          <w:color w:val="auto"/>
        </w:rPr>
      </w:pPr>
    </w:p>
    <w:p>
      <w:pPr>
        <w:ind w:left="2"/>
        <w:spacing w:after="0" w:line="250" w:lineRule="auto"/>
        <w:rPr>
          <w:sz w:val="20"/>
          <w:szCs w:val="20"/>
          <w:color w:val="auto"/>
        </w:rPr>
      </w:pPr>
      <w:r>
        <w:rPr>
          <w:rFonts w:ascii="Times New Roman" w:cs="Times New Roman" w:eastAsia="Times New Roman" w:hAnsi="Times New Roman"/>
          <w:sz w:val="18"/>
          <w:szCs w:val="18"/>
          <w:color w:val="auto"/>
        </w:rPr>
        <w:t>All determinations, decisions and interpretations to be made under this Policy shall be made by the applicable Subject Issuer’s Board, and with respect to the Company, on the recommendation of the Human Resources Committee. Any determination, decision or interpretation made by the applicable Subject Issuer’s Board under this Policy shall be final, binding and conclusive on all Covered Executive Officers and all other parties. This Policy may be amended or terminated at any time by the applicable Subject Issuer’s Board. The applicable Subject Issuer’s Board will amend this Policy as it deems necessary to comply with applicable laws and any rules, regulations, guidance or standards adopted by a securities regulatory authority or a stock exchange on which the applicable Subject Issuer’s securities are listed. It is intended that this Policy be interpreted in a manner that is consistent with the requirements of the U.S. Clawback Rules.</w:t>
      </w:r>
    </w:p>
    <w:p>
      <w:pPr>
        <w:spacing w:after="0" w:line="330" w:lineRule="exact"/>
        <w:rPr>
          <w:sz w:val="20"/>
          <w:szCs w:val="20"/>
          <w:color w:val="auto"/>
        </w:rPr>
      </w:pPr>
    </w:p>
    <w:p>
      <w:pPr>
        <w:ind w:left="422" w:hanging="422"/>
        <w:spacing w:after="0"/>
        <w:tabs>
          <w:tab w:leader="none" w:pos="422"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 of the Policy</w:t>
      </w:r>
    </w:p>
    <w:p>
      <w:pPr>
        <w:spacing w:after="0" w:line="113" w:lineRule="exact"/>
        <w:rPr>
          <w:sz w:val="20"/>
          <w:szCs w:val="20"/>
          <w:color w:val="auto"/>
        </w:rPr>
      </w:pPr>
    </w:p>
    <w:p>
      <w:pPr>
        <w:ind w:left="2" w:right="80"/>
        <w:spacing w:after="0" w:line="249" w:lineRule="auto"/>
        <w:rPr>
          <w:sz w:val="20"/>
          <w:szCs w:val="20"/>
          <w:color w:val="auto"/>
        </w:rPr>
      </w:pPr>
      <w:r>
        <w:rPr>
          <w:rFonts w:ascii="Times New Roman" w:cs="Times New Roman" w:eastAsia="Times New Roman" w:hAnsi="Times New Roman"/>
          <w:sz w:val="18"/>
          <w:szCs w:val="18"/>
          <w:color w:val="auto"/>
        </w:rPr>
        <w:t xml:space="preserve">Any applicable award agreement, form or other document setting forth the terms and conditions of any Incentive-Based Compensation covered by the Policy which is approved, granted, awarded, earned or paid on or after the applicable Effective Date shall be deemed to include the restrictions imposed herein and incorporate this Policy by reference and, in the event of any inconsistency, the terms of the Policy will govern. The applicable Subject Issuer’s Board may require that any employment agreement, equity award agreement, or similar agreement entered into on or after the applicable Effective Date shall, as a condition to the grant of any benefit thereunder, require a Covered Executive Officer to agree to abide by the terms of this Policy. To the extent necessary and where permitted by law, this Policy shall constitute an agreement to extend and to exclude the applicability of any statute of limitations (including, without limitation, the </w:t>
      </w:r>
      <w:r>
        <w:rPr>
          <w:rFonts w:ascii="Times New Roman" w:cs="Times New Roman" w:eastAsia="Times New Roman" w:hAnsi="Times New Roman"/>
          <w:sz w:val="18"/>
          <w:szCs w:val="18"/>
          <w:i w:val="1"/>
          <w:iCs w:val="1"/>
          <w:color w:val="auto"/>
        </w:rPr>
        <w:t>Limitations Act, 2002 (Ontario)</w:t>
      </w:r>
      <w:r>
        <w:rPr>
          <w:rFonts w:ascii="Times New Roman" w:cs="Times New Roman" w:eastAsia="Times New Roman" w:hAnsi="Times New Roman"/>
          <w:sz w:val="18"/>
          <w:szCs w:val="18"/>
          <w:color w:val="auto"/>
        </w:rPr>
        <w:t>) for recoupment by the applicable Subject Issuer of any Excess Incentive-Based Compensation or Incentive-Based Compensation.</w:t>
      </w:r>
    </w:p>
    <w:p>
      <w:pPr>
        <w:spacing w:after="0" w:line="190" w:lineRule="exact"/>
        <w:rPr>
          <w:sz w:val="20"/>
          <w:szCs w:val="20"/>
          <w:color w:val="auto"/>
        </w:rPr>
      </w:pPr>
    </w:p>
    <w:p>
      <w:pPr>
        <w:ind w:left="2" w:right="440"/>
        <w:spacing w:after="0" w:line="274" w:lineRule="auto"/>
        <w:rPr>
          <w:sz w:val="20"/>
          <w:szCs w:val="20"/>
          <w:color w:val="auto"/>
        </w:rPr>
      </w:pPr>
      <w:r>
        <w:rPr>
          <w:rFonts w:ascii="Times New Roman" w:cs="Times New Roman" w:eastAsia="Times New Roman" w:hAnsi="Times New Roman"/>
          <w:sz w:val="18"/>
          <w:szCs w:val="18"/>
          <w:color w:val="auto"/>
        </w:rPr>
        <w:t>This Policy shall be qualified by reference to the U.S. Clawback Rules. To the extent there is a conflict between this Policy and the U.S. Clawback Rules, or any interpretive question arises hereunder, the U.S. Clawback Rules shall control.</w:t>
      </w:r>
    </w:p>
    <w:p>
      <w:pPr>
        <w:spacing w:after="0" w:line="307" w:lineRule="exact"/>
        <w:rPr>
          <w:sz w:val="20"/>
          <w:szCs w:val="20"/>
          <w:color w:val="auto"/>
        </w:rPr>
      </w:pPr>
    </w:p>
    <w:p>
      <w:pPr>
        <w:ind w:left="422" w:hanging="422"/>
        <w:spacing w:after="0"/>
        <w:tabs>
          <w:tab w:leader="none" w:pos="422"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Impairment of Other Remedies</w:t>
      </w:r>
    </w:p>
    <w:p>
      <w:pPr>
        <w:spacing w:after="0" w:line="113" w:lineRule="exact"/>
        <w:rPr>
          <w:sz w:val="20"/>
          <w:szCs w:val="20"/>
          <w:color w:val="auto"/>
        </w:rPr>
      </w:pPr>
    </w:p>
    <w:p>
      <w:pPr>
        <w:ind w:left="2"/>
        <w:spacing w:after="0" w:line="269" w:lineRule="auto"/>
        <w:rPr>
          <w:sz w:val="20"/>
          <w:szCs w:val="20"/>
          <w:color w:val="auto"/>
        </w:rPr>
      </w:pPr>
      <w:r>
        <w:rPr>
          <w:rFonts w:ascii="Times New Roman" w:cs="Times New Roman" w:eastAsia="Times New Roman" w:hAnsi="Times New Roman"/>
          <w:sz w:val="17"/>
          <w:szCs w:val="17"/>
          <w:color w:val="auto"/>
        </w:rPr>
        <w:t>Any recoupment under this Policy is in addition to, and not in lieu of, any other remedies or rights of recoupment that may be available to the applicable Subject Issuer under applicable law, including, without limitation, (i) dismissing the Covered Executive Officer, (ii) adjusting the future compensation of the Covered Executive Officer, or (iii) authorizing legal action or taking such other action to enforce the Covered Executive Officer’s obligations to the applicable Subject Issuer as it may deem appropriate in view of all of the facts and circumstances surrounding the particular case; provided, however, that any amounts recouped under any law or other policy (including the Wrongful Acts Clawback Policy) that would be recoverable under this Policy shall count toward any required recoupment under this Policy and vice versa, in each case without duplication.</w:t>
      </w:r>
    </w:p>
    <w:p>
      <w:pPr>
        <w:spacing w:after="0" w:line="313" w:lineRule="exact"/>
        <w:rPr>
          <w:sz w:val="20"/>
          <w:szCs w:val="20"/>
          <w:color w:val="auto"/>
        </w:rPr>
      </w:pPr>
    </w:p>
    <w:p>
      <w:pPr>
        <w:ind w:left="422" w:hanging="422"/>
        <w:spacing w:after="0"/>
        <w:tabs>
          <w:tab w:leader="none" w:pos="422"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Impracticability</w:t>
      </w:r>
    </w:p>
    <w:p>
      <w:pPr>
        <w:spacing w:after="0" w:line="113" w:lineRule="exact"/>
        <w:rPr>
          <w:sz w:val="20"/>
          <w:szCs w:val="20"/>
          <w:color w:val="auto"/>
        </w:rPr>
      </w:pPr>
    </w:p>
    <w:p>
      <w:pPr>
        <w:ind w:left="2" w:right="100"/>
        <w:spacing w:after="0" w:line="255" w:lineRule="auto"/>
        <w:rPr>
          <w:sz w:val="20"/>
          <w:szCs w:val="20"/>
          <w:color w:val="auto"/>
        </w:rPr>
      </w:pPr>
      <w:r>
        <w:rPr>
          <w:rFonts w:ascii="Times New Roman" w:cs="Times New Roman" w:eastAsia="Times New Roman" w:hAnsi="Times New Roman"/>
          <w:sz w:val="18"/>
          <w:szCs w:val="18"/>
          <w:color w:val="auto"/>
        </w:rPr>
        <w:t>The applicable Subject Issuer’s Board shall recover any Excess Incentive-Based Compensation in accordance with this Policy unless such recovery would be impracticable, as determined by the majority of the independent directors serving on the Compensation Committee of the Company’s Board (or in its absence or if not applicable, the majority of the independent directors serving on the applicable Subject Issuer’s Board) in accordance with the U.S. Clawback Rules.</w:t>
      </w:r>
    </w:p>
    <w:p>
      <w:pPr>
        <w:spacing w:after="0" w:line="324" w:lineRule="exact"/>
        <w:rPr>
          <w:sz w:val="20"/>
          <w:szCs w:val="20"/>
          <w:color w:val="auto"/>
        </w:rPr>
      </w:pPr>
    </w:p>
    <w:p>
      <w:pPr>
        <w:ind w:left="422" w:hanging="422"/>
        <w:spacing w:after="0"/>
        <w:tabs>
          <w:tab w:leader="none" w:pos="422"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Successors</w:t>
      </w:r>
    </w:p>
    <w:p>
      <w:pPr>
        <w:spacing w:after="0" w:line="113" w:lineRule="exact"/>
        <w:rPr>
          <w:sz w:val="20"/>
          <w:szCs w:val="20"/>
          <w:color w:val="auto"/>
        </w:rPr>
      </w:pPr>
    </w:p>
    <w:p>
      <w:pPr>
        <w:ind w:left="2" w:right="360"/>
        <w:spacing w:after="0" w:line="274" w:lineRule="auto"/>
        <w:rPr>
          <w:sz w:val="20"/>
          <w:szCs w:val="20"/>
          <w:color w:val="auto"/>
        </w:rPr>
      </w:pPr>
      <w:r>
        <w:rPr>
          <w:rFonts w:ascii="Times New Roman" w:cs="Times New Roman" w:eastAsia="Times New Roman" w:hAnsi="Times New Roman"/>
          <w:sz w:val="18"/>
          <w:szCs w:val="18"/>
          <w:color w:val="auto"/>
        </w:rPr>
        <w:t>This Policy shall be binding and enforceable against all Covered Executive Officers and their beneficiaries, heirs, executors, administrators or other legal representatives.</w:t>
      </w:r>
    </w:p>
    <w:p>
      <w:pPr>
        <w:sectPr>
          <w:pgSz w:w="11900" w:h="16838" w:orient="portrait"/>
          <w:cols w:equalWidth="0" w:num="1">
            <w:col w:w="10802"/>
          </w:cols>
          <w:pgMar w:left="538" w:top="265" w:right="559" w:bottom="1440" w:gutter="0" w:footer="0" w:header="0"/>
        </w:sectPr>
      </w:pPr>
    </w:p>
    <w:bookmarkStart w:id="9" w:name="page10"/>
    <w:bookmarkEnd w:id="9"/>
    <w:p>
      <w:pPr>
        <w:jc w:val="center"/>
        <w:ind w:right="-37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SCHEDULE A</w:t>
      </w:r>
    </w:p>
    <w:p>
      <w:pPr>
        <w:spacing w:after="0" w:line="21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Listed Subsidiaries</w:t>
      </w:r>
    </w:p>
    <w:p>
      <w:pPr>
        <w:spacing w:after="0" w:line="219" w:lineRule="exact"/>
        <w:rPr>
          <w:sz w:val="20"/>
          <w:szCs w:val="20"/>
          <w:color w:val="auto"/>
        </w:rPr>
      </w:pPr>
    </w:p>
    <w:p>
      <w:pPr>
        <w:ind w:firstLine="432"/>
        <w:spacing w:after="0" w:line="274" w:lineRule="auto"/>
        <w:rPr>
          <w:sz w:val="20"/>
          <w:szCs w:val="20"/>
          <w:color w:val="auto"/>
        </w:rPr>
      </w:pPr>
      <w:r>
        <w:rPr>
          <w:rFonts w:ascii="Times New Roman" w:cs="Times New Roman" w:eastAsia="Times New Roman" w:hAnsi="Times New Roman"/>
          <w:sz w:val="18"/>
          <w:szCs w:val="18"/>
          <w:color w:val="auto"/>
        </w:rPr>
        <w:t>This Policy applies to each subsidiary of the Company with a class of securities that is (or is expected to be) listed on a U.S. Stock Exchange, including the following:</w:t>
      </w:r>
    </w:p>
    <w:p>
      <w:pPr>
        <w:spacing w:after="0" w:line="71" w:lineRule="exact"/>
        <w:rPr>
          <w:sz w:val="20"/>
          <w:szCs w:val="20"/>
          <w:color w:val="auto"/>
        </w:rPr>
      </w:pPr>
    </w:p>
    <w:p>
      <w:pPr>
        <w:ind w:left="960" w:hanging="432"/>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 Finance LLC</w:t>
      </w:r>
    </w:p>
    <w:p>
      <w:pPr>
        <w:sectPr>
          <w:pgSz w:w="11900" w:h="16838" w:orient="portrait"/>
          <w:cols w:equalWidth="0" w:num="1">
            <w:col w:w="10420"/>
          </w:cols>
          <w:pgMar w:left="540" w:top="265" w:right="9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4845050</wp:posOffset>
            </wp:positionH>
            <wp:positionV relativeFrom="paragraph">
              <wp:posOffset>6350</wp:posOffset>
            </wp:positionV>
            <wp:extent cx="2019300" cy="673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19300" cy="673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64"/>
          <w:szCs w:val="64"/>
          <w:color w:val="D64000"/>
        </w:rPr>
        <w:t>Annual Report 2024</w:t>
      </w: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color w:val="auto"/>
        </w:rPr>
        <w:t>March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1304290</wp:posOffset>
            </wp:positionV>
            <wp:extent cx="7062470" cy="4753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62470" cy="4753610"/>
                    </a:xfrm>
                    <a:prstGeom prst="rect">
                      <a:avLst/>
                    </a:prstGeom>
                    <a:noFill/>
                  </pic:spPr>
                </pic:pic>
              </a:graphicData>
            </a:graphic>
          </wp:anchor>
        </w:drawing>
      </w:r>
    </w:p>
    <w:p>
      <w:pPr>
        <w:sectPr>
          <w:pgSz w:w="11900" w:h="16838" w:orient="portrait"/>
          <w:cols w:equalWidth="0" w:num="1">
            <w:col w:w="10820"/>
          </w:cols>
          <w:pgMar w:left="540" w:top="122" w:right="5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Information in this annual report is provided as of March 5, 2025 unless otherwise indicated.</w:t>
      </w:r>
    </w:p>
    <w:p>
      <w:pPr>
        <w:spacing w:after="0" w:line="70" w:lineRule="exact"/>
        <w:rPr>
          <w:sz w:val="20"/>
          <w:szCs w:val="20"/>
          <w:color w:val="auto"/>
        </w:rPr>
      </w:pPr>
    </w:p>
    <w:p>
      <w:pPr>
        <w:ind w:left="220" w:right="100"/>
        <w:spacing w:after="0" w:line="233" w:lineRule="auto"/>
        <w:rPr>
          <w:sz w:val="20"/>
          <w:szCs w:val="20"/>
          <w:color w:val="auto"/>
        </w:rPr>
      </w:pPr>
      <w:r>
        <w:rPr>
          <w:rFonts w:ascii="Arial" w:cs="Arial" w:eastAsia="Arial" w:hAnsi="Arial"/>
          <w:sz w:val="17"/>
          <w:szCs w:val="17"/>
          <w:color w:val="auto"/>
        </w:rPr>
        <w:t>Certain statements in this annual report are forward-looking. These forward-looking statements are based on certain assumptions and reflect our current expectations. As a result, forward-looking statements are subject to a number of risks and uncertainties that could cause actual results or events to differ materially from current expectations. Some of the factors that could cause actual results to differ materially from current expectations are discussed in the “Risk Factors” section of this annual report as well as in materials that we from time to time file with, or furnish to, the Canadian securities regulatory authorities and the U.S. Securities and Exchange Commission. There is no assurance that any forward-looking statements will materialize. You are cautioned not to place undue reliance on forward-looking statements, which reflect expectations only as of the date of this annual report. Except as may be required by applicable law, we disclaim any intention or obligation to update or revise any forward-looking statements.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terms in this annual report have the following meanings, unless otherwise indicated:</w:t>
      </w:r>
    </w:p>
    <w:p>
      <w:pPr>
        <w:spacing w:after="0" w:line="251" w:lineRule="exact"/>
        <w:rPr>
          <w:sz w:val="20"/>
          <w:szCs w:val="20"/>
          <w:color w:val="auto"/>
        </w:rPr>
      </w:pPr>
    </w:p>
    <w:tbl>
      <w:tblPr>
        <w:tblLayout w:type="fixed"/>
        <w:tblInd w:w="220" w:type="dxa"/>
        <w:tblCellMar>
          <w:top w:w="0" w:type="dxa"/>
          <w:left w:w="0" w:type="dxa"/>
          <w:bottom w:w="0" w:type="dxa"/>
          <w:right w:w="0" w:type="dxa"/>
        </w:tblCellMar>
      </w:tblPr>
      <w:tr>
        <w:trPr>
          <w:trHeight w:val="343"/>
        </w:trPr>
        <w:tc>
          <w:tcPr>
            <w:tcW w:w="1940" w:type="dxa"/>
            <w:vAlign w:val="bottom"/>
            <w:tcBorders>
              <w:bottom w:val="single" w:sz="8" w:color="262626"/>
            </w:tcBorders>
            <w:shd w:val="clear" w:color="auto" w:fill="262626"/>
          </w:tcPr>
          <w:p>
            <w:pPr>
              <w:spacing w:after="0"/>
              <w:rPr>
                <w:sz w:val="20"/>
                <w:szCs w:val="20"/>
                <w:color w:val="auto"/>
              </w:rPr>
            </w:pPr>
            <w:r>
              <w:rPr>
                <w:rFonts w:ascii="Arial" w:cs="Arial" w:eastAsia="Arial" w:hAnsi="Arial"/>
                <w:sz w:val="16"/>
                <w:szCs w:val="16"/>
                <w:color w:val="FFFFFF"/>
              </w:rPr>
              <w:t>  Term</w:t>
            </w:r>
          </w:p>
        </w:tc>
        <w:tc>
          <w:tcPr>
            <w:tcW w:w="8860" w:type="dxa"/>
            <w:vAlign w:val="bottom"/>
            <w:tcBorders>
              <w:bottom w:val="single" w:sz="8" w:color="262626"/>
            </w:tcBorders>
            <w:shd w:val="clear" w:color="auto" w:fill="262626"/>
          </w:tcPr>
          <w:p>
            <w:pPr>
              <w:ind w:left="120"/>
              <w:spacing w:after="0"/>
              <w:rPr>
                <w:sz w:val="20"/>
                <w:szCs w:val="20"/>
                <w:color w:val="auto"/>
              </w:rPr>
            </w:pPr>
            <w:r>
              <w:rPr>
                <w:rFonts w:ascii="Arial" w:cs="Arial" w:eastAsia="Arial" w:hAnsi="Arial"/>
                <w:sz w:val="16"/>
                <w:szCs w:val="16"/>
                <w:color w:val="FFFFFF"/>
              </w:rPr>
              <w:t>Definition</w:t>
            </w:r>
          </w:p>
        </w:tc>
      </w:tr>
      <w:tr>
        <w:trPr>
          <w:trHeight w:val="252"/>
        </w:trPr>
        <w:tc>
          <w:tcPr>
            <w:tcW w:w="1940" w:type="dxa"/>
            <w:vAlign w:val="bottom"/>
            <w:tcBorders>
              <w:top w:val="single" w:sz="8" w:color="D64000"/>
              <w:bottom w:val="single" w:sz="8" w:color="B2B2B2"/>
            </w:tcBorders>
          </w:tcPr>
          <w:p>
            <w:pPr>
              <w:spacing w:after="0"/>
              <w:rPr>
                <w:sz w:val="20"/>
                <w:szCs w:val="20"/>
                <w:color w:val="auto"/>
              </w:rPr>
            </w:pPr>
            <w:r>
              <w:rPr>
                <w:rFonts w:ascii="Arial" w:cs="Arial" w:eastAsia="Arial" w:hAnsi="Arial"/>
                <w:sz w:val="16"/>
                <w:szCs w:val="16"/>
                <w:color w:val="auto"/>
              </w:rPr>
              <w:t>  AI</w:t>
            </w:r>
          </w:p>
        </w:tc>
        <w:tc>
          <w:tcPr>
            <w:tcW w:w="8860" w:type="dxa"/>
            <w:vAlign w:val="bottom"/>
            <w:tcBorders>
              <w:top w:val="single" w:sz="8" w:color="D64000"/>
              <w:bottom w:val="single" w:sz="8" w:color="B2B2B2"/>
            </w:tcBorders>
          </w:tcPr>
          <w:p>
            <w:pPr>
              <w:ind w:left="120"/>
              <w:spacing w:after="0"/>
              <w:rPr>
                <w:sz w:val="20"/>
                <w:szCs w:val="20"/>
                <w:color w:val="auto"/>
              </w:rPr>
            </w:pPr>
            <w:r>
              <w:rPr>
                <w:rFonts w:ascii="Arial" w:cs="Arial" w:eastAsia="Arial" w:hAnsi="Arial"/>
                <w:sz w:val="16"/>
                <w:szCs w:val="16"/>
                <w:color w:val="auto"/>
              </w:rPr>
              <w:t>Artificial intelligence</w:t>
            </w:r>
          </w:p>
        </w:tc>
      </w:tr>
      <w:tr>
        <w:trPr>
          <w:trHeight w:val="245"/>
        </w:trPr>
        <w:tc>
          <w:tcPr>
            <w:tcW w:w="194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“Big 3” segments</w:t>
            </w:r>
          </w:p>
        </w:tc>
        <w:tc>
          <w:tcPr>
            <w:tcW w:w="886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Our combined Legal Professionals, Corporates and Tax &amp; Accounting Professionals segments</w:t>
            </w:r>
          </w:p>
        </w:tc>
      </w:tr>
      <w:tr>
        <w:trPr>
          <w:trHeight w:val="245"/>
        </w:trPr>
        <w:tc>
          <w:tcPr>
            <w:tcW w:w="194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Blackstone’s consortium</w:t>
            </w:r>
          </w:p>
        </w:tc>
        <w:tc>
          <w:tcPr>
            <w:tcW w:w="886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The Blackstone Group and its subsidiaries, and private equity funds affiliated with Blackstone</w:t>
            </w:r>
          </w:p>
        </w:tc>
      </w:tr>
      <w:tr>
        <w:trPr>
          <w:trHeight w:val="245"/>
        </w:trPr>
        <w:tc>
          <w:tcPr>
            <w:tcW w:w="194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bp</w:t>
            </w:r>
          </w:p>
        </w:tc>
        <w:tc>
          <w:tcPr>
            <w:tcW w:w="886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Basis points – one basis point is equal to 1/100th of 1%,“100bp” is equivalent to 1%</w:t>
            </w:r>
          </w:p>
        </w:tc>
      </w:tr>
      <w:tr>
        <w:trPr>
          <w:trHeight w:val="231"/>
        </w:trPr>
        <w:tc>
          <w:tcPr>
            <w:tcW w:w="1940" w:type="dxa"/>
            <w:vAlign w:val="bottom"/>
          </w:tcPr>
          <w:p>
            <w:pPr>
              <w:spacing w:after="0"/>
              <w:rPr>
                <w:sz w:val="20"/>
                <w:szCs w:val="20"/>
                <w:color w:val="auto"/>
              </w:rPr>
            </w:pPr>
            <w:r>
              <w:rPr>
                <w:rFonts w:ascii="Arial" w:cs="Arial" w:eastAsia="Arial" w:hAnsi="Arial"/>
                <w:sz w:val="16"/>
                <w:szCs w:val="16"/>
                <w:color w:val="auto"/>
              </w:rPr>
              <w:t>  constant currency</w:t>
            </w:r>
          </w:p>
        </w:tc>
        <w:tc>
          <w:tcPr>
            <w:tcW w:w="8860" w:type="dxa"/>
            <w:vAlign w:val="bottom"/>
          </w:tcPr>
          <w:p>
            <w:pPr>
              <w:ind w:left="120"/>
              <w:spacing w:after="0"/>
              <w:rPr>
                <w:sz w:val="20"/>
                <w:szCs w:val="20"/>
                <w:color w:val="auto"/>
              </w:rPr>
            </w:pPr>
            <w:r>
              <w:rPr>
                <w:rFonts w:ascii="Arial" w:cs="Arial" w:eastAsia="Arial" w:hAnsi="Arial"/>
                <w:sz w:val="16"/>
                <w:szCs w:val="16"/>
                <w:color w:val="auto"/>
              </w:rPr>
              <w:t>A non-IFRS measure derived by applying the same foreign currency exchange rates to the financial results of the current</w:t>
            </w:r>
          </w:p>
        </w:tc>
      </w:tr>
      <w:tr>
        <w:trPr>
          <w:trHeight w:val="200"/>
        </w:trPr>
        <w:tc>
          <w:tcPr>
            <w:tcW w:w="1940" w:type="dxa"/>
            <w:vAlign w:val="bottom"/>
            <w:tcBorders>
              <w:bottom w:val="single" w:sz="8" w:color="B2B2B2"/>
            </w:tcBorders>
          </w:tcPr>
          <w:p>
            <w:pPr>
              <w:spacing w:after="0"/>
              <w:rPr>
                <w:sz w:val="17"/>
                <w:szCs w:val="17"/>
                <w:color w:val="auto"/>
              </w:rPr>
            </w:pPr>
          </w:p>
        </w:tc>
        <w:tc>
          <w:tcPr>
            <w:tcW w:w="886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and equivalent prior-year period</w:t>
            </w:r>
          </w:p>
        </w:tc>
      </w:tr>
      <w:tr>
        <w:trPr>
          <w:trHeight w:val="245"/>
        </w:trPr>
        <w:tc>
          <w:tcPr>
            <w:tcW w:w="194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EBITDA</w:t>
            </w:r>
          </w:p>
        </w:tc>
        <w:tc>
          <w:tcPr>
            <w:tcW w:w="886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Earnings before interest, tax, depreciation and amortization</w:t>
            </w:r>
          </w:p>
        </w:tc>
      </w:tr>
      <w:tr>
        <w:trPr>
          <w:trHeight w:val="245"/>
        </w:trPr>
        <w:tc>
          <w:tcPr>
            <w:tcW w:w="194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EPS</w:t>
            </w:r>
          </w:p>
        </w:tc>
        <w:tc>
          <w:tcPr>
            <w:tcW w:w="886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Earnings per share</w:t>
            </w:r>
          </w:p>
        </w:tc>
      </w:tr>
      <w:tr>
        <w:trPr>
          <w:trHeight w:val="245"/>
        </w:trPr>
        <w:tc>
          <w:tcPr>
            <w:tcW w:w="194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IFRS</w:t>
            </w:r>
          </w:p>
        </w:tc>
        <w:tc>
          <w:tcPr>
            <w:tcW w:w="886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International Financial Reporting Standards</w:t>
            </w:r>
          </w:p>
        </w:tc>
      </w:tr>
      <w:tr>
        <w:trPr>
          <w:trHeight w:val="245"/>
        </w:trPr>
        <w:tc>
          <w:tcPr>
            <w:tcW w:w="194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LSEG</w:t>
            </w:r>
          </w:p>
        </w:tc>
        <w:tc>
          <w:tcPr>
            <w:tcW w:w="886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London Stock Exchange Group plc</w:t>
            </w:r>
          </w:p>
        </w:tc>
      </w:tr>
      <w:tr>
        <w:trPr>
          <w:trHeight w:val="245"/>
        </w:trPr>
        <w:tc>
          <w:tcPr>
            <w:tcW w:w="194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ML</w:t>
            </w:r>
          </w:p>
        </w:tc>
        <w:tc>
          <w:tcPr>
            <w:tcW w:w="886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Machine learning</w:t>
            </w:r>
          </w:p>
        </w:tc>
      </w:tr>
      <w:tr>
        <w:trPr>
          <w:trHeight w:val="245"/>
        </w:trPr>
        <w:tc>
          <w:tcPr>
            <w:tcW w:w="194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n/a</w:t>
            </w:r>
          </w:p>
        </w:tc>
        <w:tc>
          <w:tcPr>
            <w:tcW w:w="886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Not applicable</w:t>
            </w:r>
          </w:p>
        </w:tc>
      </w:tr>
      <w:tr>
        <w:trPr>
          <w:trHeight w:val="245"/>
        </w:trPr>
        <w:tc>
          <w:tcPr>
            <w:tcW w:w="194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n/m</w:t>
            </w:r>
          </w:p>
        </w:tc>
        <w:tc>
          <w:tcPr>
            <w:tcW w:w="886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Not meaningful</w:t>
            </w:r>
          </w:p>
        </w:tc>
      </w:tr>
      <w:tr>
        <w:trPr>
          <w:trHeight w:val="231"/>
        </w:trPr>
        <w:tc>
          <w:tcPr>
            <w:tcW w:w="1940" w:type="dxa"/>
            <w:vAlign w:val="bottom"/>
          </w:tcPr>
          <w:p>
            <w:pPr>
              <w:spacing w:after="0"/>
              <w:rPr>
                <w:sz w:val="20"/>
                <w:szCs w:val="20"/>
                <w:color w:val="auto"/>
              </w:rPr>
            </w:pPr>
            <w:r>
              <w:rPr>
                <w:rFonts w:ascii="Arial" w:cs="Arial" w:eastAsia="Arial" w:hAnsi="Arial"/>
                <w:sz w:val="16"/>
                <w:szCs w:val="16"/>
                <w:color w:val="auto"/>
              </w:rPr>
              <w:t>  organic or organically</w:t>
            </w:r>
          </w:p>
        </w:tc>
        <w:tc>
          <w:tcPr>
            <w:tcW w:w="8860" w:type="dxa"/>
            <w:vAlign w:val="bottom"/>
          </w:tcPr>
          <w:p>
            <w:pPr>
              <w:ind w:left="120"/>
              <w:spacing w:after="0"/>
              <w:rPr>
                <w:sz w:val="20"/>
                <w:szCs w:val="20"/>
                <w:color w:val="auto"/>
              </w:rPr>
            </w:pPr>
            <w:r>
              <w:rPr>
                <w:rFonts w:ascii="Arial" w:cs="Arial" w:eastAsia="Arial" w:hAnsi="Arial"/>
                <w:sz w:val="16"/>
                <w:szCs w:val="16"/>
                <w:color w:val="auto"/>
              </w:rPr>
              <w:t>A non-IFRS measure that represents changes in revenues of our existing businesses at constant currency. The metric</w:t>
            </w:r>
          </w:p>
        </w:tc>
      </w:tr>
      <w:tr>
        <w:trPr>
          <w:trHeight w:val="200"/>
        </w:trPr>
        <w:tc>
          <w:tcPr>
            <w:tcW w:w="1940" w:type="dxa"/>
            <w:vAlign w:val="bottom"/>
            <w:tcBorders>
              <w:bottom w:val="single" w:sz="8" w:color="B2B2B2"/>
            </w:tcBorders>
          </w:tcPr>
          <w:p>
            <w:pPr>
              <w:spacing w:after="0"/>
              <w:rPr>
                <w:sz w:val="17"/>
                <w:szCs w:val="17"/>
                <w:color w:val="auto"/>
              </w:rPr>
            </w:pPr>
          </w:p>
        </w:tc>
        <w:tc>
          <w:tcPr>
            <w:tcW w:w="886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excludes the distortive impacts of acquisitions and dispositions from not owning the business in both comparable periods</w:t>
            </w:r>
          </w:p>
        </w:tc>
      </w:tr>
      <w:tr>
        <w:trPr>
          <w:trHeight w:val="245"/>
        </w:trPr>
        <w:tc>
          <w:tcPr>
            <w:tcW w:w="194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Woodbridge</w:t>
            </w:r>
          </w:p>
        </w:tc>
        <w:tc>
          <w:tcPr>
            <w:tcW w:w="886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The Woodbridge Company Limited, our principal and controlling shareholder</w:t>
            </w:r>
          </w:p>
        </w:tc>
      </w:tr>
      <w:tr>
        <w:trPr>
          <w:trHeight w:val="231"/>
        </w:trPr>
        <w:tc>
          <w:tcPr>
            <w:tcW w:w="1940" w:type="dxa"/>
            <w:vAlign w:val="bottom"/>
          </w:tcPr>
          <w:p>
            <w:pPr>
              <w:spacing w:after="0"/>
              <w:rPr>
                <w:sz w:val="20"/>
                <w:szCs w:val="20"/>
                <w:color w:val="auto"/>
              </w:rPr>
            </w:pPr>
            <w:r>
              <w:rPr>
                <w:rFonts w:ascii="Arial" w:cs="Arial" w:eastAsia="Arial" w:hAnsi="Arial"/>
                <w:sz w:val="16"/>
                <w:szCs w:val="16"/>
                <w:color w:val="auto"/>
              </w:rPr>
              <w:t>  YPL</w:t>
            </w:r>
          </w:p>
        </w:tc>
        <w:tc>
          <w:tcPr>
            <w:tcW w:w="8860" w:type="dxa"/>
            <w:vAlign w:val="bottom"/>
          </w:tcPr>
          <w:p>
            <w:pPr>
              <w:ind w:left="120"/>
              <w:spacing w:after="0"/>
              <w:rPr>
                <w:sz w:val="20"/>
                <w:szCs w:val="20"/>
                <w:color w:val="auto"/>
              </w:rPr>
            </w:pPr>
            <w:r>
              <w:rPr>
                <w:rFonts w:ascii="Arial" w:cs="Arial" w:eastAsia="Arial" w:hAnsi="Arial"/>
                <w:sz w:val="16"/>
                <w:szCs w:val="16"/>
                <w:color w:val="auto"/>
              </w:rPr>
              <w:t>York Parent Limited, the entity that owned LSEG shares, which is jointly owned by our company and the Blackstone</w:t>
            </w:r>
          </w:p>
        </w:tc>
      </w:tr>
      <w:tr>
        <w:trPr>
          <w:trHeight w:val="200"/>
        </w:trPr>
        <w:tc>
          <w:tcPr>
            <w:tcW w:w="1940" w:type="dxa"/>
            <w:vAlign w:val="bottom"/>
            <w:tcBorders>
              <w:bottom w:val="single" w:sz="8" w:color="B2B2B2"/>
            </w:tcBorders>
          </w:tcPr>
          <w:p>
            <w:pPr>
              <w:spacing w:after="0"/>
              <w:rPr>
                <w:sz w:val="17"/>
                <w:szCs w:val="17"/>
                <w:color w:val="auto"/>
              </w:rPr>
            </w:pPr>
          </w:p>
        </w:tc>
        <w:tc>
          <w:tcPr>
            <w:tcW w:w="886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consortium. References to YPL also include its subsidiaries.</w:t>
            </w:r>
          </w:p>
        </w:tc>
      </w:tr>
      <w:tr>
        <w:trPr>
          <w:trHeight w:val="251"/>
        </w:trPr>
        <w:tc>
          <w:tcPr>
            <w:tcW w:w="1940" w:type="dxa"/>
            <w:vAlign w:val="bottom"/>
            <w:tcBorders>
              <w:bottom w:val="single" w:sz="8" w:color="D64000"/>
            </w:tcBorders>
          </w:tcPr>
          <w:p>
            <w:pPr>
              <w:spacing w:after="0"/>
              <w:rPr>
                <w:sz w:val="20"/>
                <w:szCs w:val="20"/>
                <w:color w:val="auto"/>
              </w:rPr>
            </w:pPr>
            <w:r>
              <w:rPr>
                <w:rFonts w:ascii="Arial" w:cs="Arial" w:eastAsia="Arial" w:hAnsi="Arial"/>
                <w:sz w:val="16"/>
                <w:szCs w:val="16"/>
                <w:color w:val="auto"/>
              </w:rPr>
              <w:t>  $ and US$</w:t>
            </w:r>
          </w:p>
        </w:tc>
        <w:tc>
          <w:tcPr>
            <w:tcW w:w="8860" w:type="dxa"/>
            <w:vAlign w:val="bottom"/>
            <w:tcBorders>
              <w:bottom w:val="single" w:sz="8" w:color="D64000"/>
            </w:tcBorders>
          </w:tcPr>
          <w:p>
            <w:pPr>
              <w:ind w:left="120"/>
              <w:spacing w:after="0"/>
              <w:rPr>
                <w:sz w:val="20"/>
                <w:szCs w:val="20"/>
                <w:color w:val="auto"/>
              </w:rPr>
            </w:pPr>
            <w:r>
              <w:rPr>
                <w:rFonts w:ascii="Arial" w:cs="Arial" w:eastAsia="Arial" w:hAnsi="Arial"/>
                <w:sz w:val="16"/>
                <w:szCs w:val="16"/>
                <w:color w:val="auto"/>
              </w:rPr>
              <w:t>U.S. dollars</w:t>
            </w:r>
          </w:p>
        </w:tc>
      </w:tr>
    </w:tbl>
    <w:p>
      <w:pPr>
        <w:spacing w:after="0" w:line="71" w:lineRule="exact"/>
        <w:rPr>
          <w:sz w:val="20"/>
          <w:szCs w:val="20"/>
          <w:color w:val="auto"/>
        </w:rPr>
      </w:pPr>
    </w:p>
    <w:p>
      <w:pPr>
        <w:ind w:left="220" w:right="120"/>
        <w:spacing w:after="0" w:line="234" w:lineRule="auto"/>
        <w:rPr>
          <w:sz w:val="20"/>
          <w:szCs w:val="20"/>
          <w:color w:val="auto"/>
        </w:rPr>
      </w:pPr>
      <w:r>
        <w:rPr>
          <w:rFonts w:ascii="Arial" w:cs="Arial" w:eastAsia="Arial" w:hAnsi="Arial"/>
          <w:sz w:val="17"/>
          <w:szCs w:val="17"/>
          <w:color w:val="auto"/>
        </w:rPr>
        <w:t>Non-IFRS financial measures are defined and reconciled to the most directly comparable measure in the “Management’s Discussion and Analysis” section of this annual report. See Appendix A of the Management’s Discussion and Analysis for a description of our non-IFRS financial measures, including an explanation of why we believe they are useful measures of our performance. See Appendices B and C of the Management’s Discussion and Analysis for reconciliations of our non-IFRS financial measures to the most directly comparable IFRS measures. Non-IFRS measures do not have standardized meanings prescribed by IFRS and therefore are unlikely to be comparable to the calculation of similar measures used by other companies and should not be viewed as alternatives to measures of financial performance calculated in accordance with IFRS.</w:t>
      </w:r>
    </w:p>
    <w:p>
      <w:pPr>
        <w:spacing w:after="0" w:line="44" w:lineRule="exact"/>
        <w:rPr>
          <w:sz w:val="20"/>
          <w:szCs w:val="20"/>
          <w:color w:val="auto"/>
        </w:rPr>
      </w:pPr>
    </w:p>
    <w:p>
      <w:pPr>
        <w:ind w:left="220" w:right="760"/>
        <w:spacing w:after="0" w:line="260" w:lineRule="auto"/>
        <w:rPr>
          <w:sz w:val="20"/>
          <w:szCs w:val="20"/>
          <w:color w:val="auto"/>
        </w:rPr>
      </w:pPr>
      <w:r>
        <w:rPr>
          <w:rFonts w:ascii="Arial" w:cs="Arial" w:eastAsia="Arial" w:hAnsi="Arial"/>
          <w:sz w:val="17"/>
          <w:szCs w:val="17"/>
          <w:color w:val="auto"/>
        </w:rPr>
        <w:t>For information regarding our disclosure requirements under applicable Canadian and U.S. laws and regulations, please see the “Cross Reference Tables” section of this annual report.</w:t>
      </w:r>
    </w:p>
    <w:p>
      <w:pPr>
        <w:spacing w:after="0" w:line="40" w:lineRule="exact"/>
        <w:rPr>
          <w:sz w:val="20"/>
          <w:szCs w:val="20"/>
          <w:color w:val="auto"/>
        </w:rPr>
      </w:pPr>
    </w:p>
    <w:p>
      <w:pPr>
        <w:ind w:left="220" w:right="20"/>
        <w:spacing w:after="0" w:line="243" w:lineRule="auto"/>
        <w:rPr>
          <w:sz w:val="20"/>
          <w:szCs w:val="20"/>
          <w:color w:val="auto"/>
        </w:rPr>
      </w:pPr>
      <w:r>
        <w:rPr>
          <w:rFonts w:ascii="Arial" w:cs="Arial" w:eastAsia="Arial" w:hAnsi="Arial"/>
          <w:sz w:val="17"/>
          <w:szCs w:val="17"/>
          <w:color w:val="auto"/>
        </w:rPr>
        <w:t>Information contained on our website or any other websites identified in this annual report is not part of this annual report. All website addresses listed in this annual report are intended to be inactive, textual references only. The Thomson Reuters logo and our other trademarks, trade names and service names mentioned in this annual report are the property of Thomson Reuters.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Front cover photo credit: REUTERS/Maxim Shemetov; Page 9 photo credit: REUTERS/Piroschka Van De Wouw; and Page 15 photo credit:</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REUTERS/Daniel Beccevil.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106680</wp:posOffset>
            </wp:positionV>
            <wp:extent cx="68656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Thomson Reuters Annual Report 2024</w:t>
      </w:r>
    </w:p>
    <w:p>
      <w:pPr>
        <w:sectPr>
          <w:pgSz w:w="11900" w:h="16838" w:orient="portrait"/>
          <w:cols w:equalWidth="0" w:num="1">
            <w:col w:w="11020"/>
          </w:cols>
          <w:pgMar w:left="320" w:top="477" w:right="5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209550</wp:posOffset>
            </wp:positionV>
            <wp:extent cx="7062470" cy="9086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62470" cy="9086850"/>
                    </a:xfrm>
                    <a:prstGeom prst="rect">
                      <a:avLst/>
                    </a:prstGeom>
                    <a:noFill/>
                  </pic:spPr>
                </pic:pic>
              </a:graphicData>
            </a:graphic>
          </wp:anchor>
        </w:drawing>
      </w:r>
    </w:p>
    <w:p>
      <w:pPr>
        <w:spacing w:after="0" w:line="379" w:lineRule="exact"/>
        <w:rPr>
          <w:sz w:val="20"/>
          <w:szCs w:val="20"/>
          <w:color w:val="auto"/>
        </w:rPr>
      </w:pPr>
    </w:p>
    <w:p>
      <w:pPr>
        <w:ind w:left="220"/>
        <w:spacing w:after="0"/>
        <w:rPr>
          <w:sz w:val="20"/>
          <w:szCs w:val="20"/>
          <w:color w:val="auto"/>
        </w:rPr>
      </w:pPr>
      <w:r>
        <w:rPr>
          <w:rFonts w:ascii="Arial" w:cs="Arial" w:eastAsia="Arial" w:hAnsi="Arial"/>
          <w:sz w:val="46"/>
          <w:szCs w:val="46"/>
          <w:color w:val="D64000"/>
        </w:rPr>
        <w:t>   Table of Contents</w:t>
      </w:r>
    </w:p>
    <w:tbl>
      <w:tblPr>
        <w:tblLayout w:type="fixed"/>
        <w:tblInd w:w="760" w:type="dxa"/>
        <w:tblCellMar>
          <w:top w:w="0" w:type="dxa"/>
          <w:left w:w="0" w:type="dxa"/>
          <w:bottom w:w="0" w:type="dxa"/>
          <w:right w:w="0" w:type="dxa"/>
        </w:tblCellMar>
      </w:tblPr>
      <w:tr>
        <w:trPr>
          <w:trHeight w:val="237"/>
        </w:trPr>
        <w:tc>
          <w:tcPr>
            <w:tcW w:w="5940" w:type="dxa"/>
            <w:vAlign w:val="bottom"/>
            <w:gridSpan w:val="45"/>
          </w:tcPr>
          <w:p>
            <w:pPr>
              <w:spacing w:after="0" w:line="218" w:lineRule="exact"/>
              <w:rPr>
                <w:sz w:val="20"/>
                <w:szCs w:val="20"/>
                <w:color w:val="auto"/>
              </w:rPr>
            </w:pPr>
            <w:r>
              <w:rPr>
                <w:rFonts w:ascii="Arial" w:cs="Arial" w:eastAsia="Arial" w:hAnsi="Arial"/>
                <w:sz w:val="21"/>
                <w:szCs w:val="21"/>
                <w:b w:val="1"/>
                <w:bCs w:val="1"/>
                <w:color w:val="0000EE"/>
              </w:rPr>
              <w:t>Business</w:t>
            </w:r>
          </w:p>
        </w:tc>
        <w:tc>
          <w:tcPr>
            <w:tcW w:w="42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0"/>
        </w:trPr>
        <w:tc>
          <w:tcPr>
            <w:tcW w:w="3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40" w:type="dxa"/>
            <w:vAlign w:val="bottom"/>
          </w:tcPr>
          <w:p>
            <w:pPr>
              <w:spacing w:after="0"/>
              <w:rPr>
                <w:sz w:val="15"/>
                <w:szCs w:val="15"/>
                <w:color w:val="auto"/>
              </w:rPr>
            </w:pPr>
          </w:p>
        </w:tc>
        <w:tc>
          <w:tcPr>
            <w:tcW w:w="5600" w:type="dxa"/>
            <w:vAlign w:val="bottom"/>
            <w:gridSpan w:val="44"/>
          </w:tcPr>
          <w:p>
            <w:pPr>
              <w:spacing w:after="0" w:line="179" w:lineRule="exact"/>
              <w:rPr>
                <w:sz w:val="20"/>
                <w:szCs w:val="20"/>
                <w:color w:val="auto"/>
              </w:rPr>
            </w:pPr>
            <w:r>
              <w:rPr>
                <w:rFonts w:ascii="Arial" w:cs="Arial" w:eastAsia="Arial" w:hAnsi="Arial"/>
                <w:sz w:val="16"/>
                <w:szCs w:val="16"/>
                <w:color w:val="0000EE"/>
              </w:rPr>
              <w:t>Overview</w:t>
            </w:r>
          </w:p>
        </w:tc>
        <w:tc>
          <w:tcPr>
            <w:tcW w:w="4280" w:type="dxa"/>
            <w:vAlign w:val="bottom"/>
          </w:tcPr>
          <w:p>
            <w:pPr>
              <w:jc w:val="right"/>
              <w:spacing w:after="0" w:line="179"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640" w:type="dxa"/>
            <w:vAlign w:val="bottom"/>
            <w:tcBorders>
              <w:top w:val="single" w:sz="8" w:color="0000EE"/>
            </w:tcBorders>
            <w:gridSpan w:val="4"/>
          </w:tcPr>
          <w:p>
            <w:pPr>
              <w:spacing w:after="0" w:line="165" w:lineRule="exact"/>
              <w:rPr>
                <w:sz w:val="20"/>
                <w:szCs w:val="20"/>
                <w:color w:val="auto"/>
              </w:rPr>
            </w:pPr>
            <w:r>
              <w:rPr>
                <w:rFonts w:ascii="Arial" w:cs="Arial" w:eastAsia="Arial" w:hAnsi="Arial"/>
                <w:sz w:val="16"/>
                <w:szCs w:val="16"/>
                <w:color w:val="0000EE"/>
                <w:w w:val="89"/>
              </w:rPr>
              <w:t>Customer</w:t>
            </w:r>
          </w:p>
        </w:tc>
        <w:tc>
          <w:tcPr>
            <w:tcW w:w="40" w:type="dxa"/>
            <w:vAlign w:val="bottom"/>
          </w:tcPr>
          <w:p>
            <w:pPr>
              <w:spacing w:after="0"/>
              <w:rPr>
                <w:sz w:val="14"/>
                <w:szCs w:val="14"/>
                <w:color w:val="auto"/>
              </w:rPr>
            </w:pPr>
          </w:p>
        </w:tc>
        <w:tc>
          <w:tcPr>
            <w:tcW w:w="4920" w:type="dxa"/>
            <w:vAlign w:val="bottom"/>
            <w:gridSpan w:val="39"/>
          </w:tcPr>
          <w:p>
            <w:pPr>
              <w:jc w:val="right"/>
              <w:ind w:right="4180"/>
              <w:spacing w:after="0" w:line="165" w:lineRule="exact"/>
              <w:rPr>
                <w:sz w:val="20"/>
                <w:szCs w:val="20"/>
                <w:color w:val="auto"/>
              </w:rPr>
            </w:pPr>
            <w:r>
              <w:rPr>
                <w:rFonts w:ascii="Arial" w:cs="Arial" w:eastAsia="Arial" w:hAnsi="Arial"/>
                <w:sz w:val="16"/>
                <w:szCs w:val="16"/>
                <w:color w:val="0000EE"/>
                <w:w w:val="99"/>
              </w:rPr>
              <w:t>Segments</w:t>
            </w: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8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line="20" w:lineRule="exact"/>
              <w:rPr>
                <w:sz w:val="1"/>
                <w:szCs w:val="1"/>
                <w:color w:val="auto"/>
              </w:rPr>
            </w:pPr>
          </w:p>
        </w:tc>
      </w:tr>
      <w:tr>
        <w:trPr>
          <w:trHeight w:val="166"/>
        </w:trPr>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80" w:type="dxa"/>
            <w:vAlign w:val="bottom"/>
            <w:gridSpan w:val="43"/>
          </w:tcPr>
          <w:p>
            <w:pPr>
              <w:spacing w:after="0" w:line="165" w:lineRule="exact"/>
              <w:rPr>
                <w:sz w:val="20"/>
                <w:szCs w:val="20"/>
                <w:color w:val="auto"/>
              </w:rPr>
            </w:pPr>
            <w:r>
              <w:rPr>
                <w:rFonts w:ascii="Arial" w:cs="Arial" w:eastAsia="Arial" w:hAnsi="Arial"/>
                <w:sz w:val="16"/>
                <w:szCs w:val="16"/>
                <w:color w:val="0000EE"/>
              </w:rPr>
              <w:t>Legal Professionals</w:t>
            </w:r>
          </w:p>
        </w:tc>
        <w:tc>
          <w:tcPr>
            <w:tcW w:w="4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top w:val="single" w:sz="8" w:color="0000EE"/>
            </w:tcBorders>
            <w:gridSpan w:val="20"/>
          </w:tcPr>
          <w:p>
            <w:pPr>
              <w:spacing w:after="0" w:line="165" w:lineRule="exact"/>
              <w:rPr>
                <w:sz w:val="20"/>
                <w:szCs w:val="20"/>
                <w:color w:val="auto"/>
              </w:rPr>
            </w:pPr>
            <w:r>
              <w:rPr>
                <w:rFonts w:ascii="Arial" w:cs="Arial" w:eastAsia="Arial" w:hAnsi="Arial"/>
                <w:sz w:val="16"/>
                <w:szCs w:val="16"/>
                <w:color w:val="0000EE"/>
              </w:rPr>
              <w:t>Corporates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8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line="20" w:lineRule="exact"/>
              <w:rPr>
                <w:sz w:val="1"/>
                <w:szCs w:val="1"/>
                <w:color w:val="auto"/>
              </w:rPr>
            </w:pPr>
          </w:p>
        </w:tc>
      </w:tr>
      <w:tr>
        <w:trPr>
          <w:trHeight w:val="166"/>
        </w:trPr>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80" w:type="dxa"/>
            <w:vAlign w:val="bottom"/>
            <w:gridSpan w:val="43"/>
          </w:tcPr>
          <w:p>
            <w:pPr>
              <w:spacing w:after="0" w:line="165" w:lineRule="exact"/>
              <w:rPr>
                <w:sz w:val="20"/>
                <w:szCs w:val="20"/>
                <w:color w:val="auto"/>
              </w:rPr>
            </w:pPr>
            <w:r>
              <w:rPr>
                <w:rFonts w:ascii="Arial" w:cs="Arial" w:eastAsia="Arial" w:hAnsi="Arial"/>
                <w:sz w:val="16"/>
                <w:szCs w:val="16"/>
                <w:color w:val="0000EE"/>
              </w:rPr>
              <w:t>Tax &amp; Accounting Professionals</w:t>
            </w:r>
          </w:p>
        </w:tc>
        <w:tc>
          <w:tcPr>
            <w:tcW w:w="4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tcBorders>
              <w:top w:val="single" w:sz="8" w:color="0000EE"/>
            </w:tcBorders>
            <w:gridSpan w:val="33"/>
          </w:tcPr>
          <w:p>
            <w:pPr>
              <w:spacing w:after="0" w:line="165" w:lineRule="exact"/>
              <w:rPr>
                <w:sz w:val="20"/>
                <w:szCs w:val="20"/>
                <w:color w:val="auto"/>
              </w:rPr>
            </w:pPr>
            <w:r>
              <w:rPr>
                <w:rFonts w:ascii="Arial" w:cs="Arial" w:eastAsia="Arial" w:hAnsi="Arial"/>
                <w:sz w:val="16"/>
                <w:szCs w:val="16"/>
                <w:color w:val="0000EE"/>
              </w:rPr>
              <w:t>Reuters News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Borders>
              <w:top w:val="single" w:sz="8" w:color="0000EE"/>
            </w:tcBorders>
            <w:gridSpan w:val="14"/>
          </w:tcPr>
          <w:p>
            <w:pPr>
              <w:spacing w:after="0" w:line="165" w:lineRule="exact"/>
              <w:rPr>
                <w:sz w:val="20"/>
                <w:szCs w:val="20"/>
                <w:color w:val="auto"/>
              </w:rPr>
            </w:pPr>
            <w:r>
              <w:rPr>
                <w:rFonts w:ascii="Arial" w:cs="Arial" w:eastAsia="Arial" w:hAnsi="Arial"/>
                <w:sz w:val="16"/>
                <w:szCs w:val="16"/>
                <w:color w:val="0000EE"/>
              </w:rPr>
              <w:t>Global Print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320" w:type="dxa"/>
            <w:vAlign w:val="bottom"/>
          </w:tcPr>
          <w:p>
            <w:pPr>
              <w:spacing w:after="0" w:line="165" w:lineRule="exact"/>
              <w:rPr>
                <w:sz w:val="20"/>
                <w:szCs w:val="20"/>
                <w:color w:val="auto"/>
              </w:rPr>
            </w:pPr>
            <w:r>
              <w:rPr>
                <w:rFonts w:ascii="Arial" w:cs="Arial" w:eastAsia="Arial" w:hAnsi="Arial"/>
                <w:sz w:val="16"/>
                <w:szCs w:val="16"/>
                <w:color w:val="0000EE"/>
              </w:rPr>
              <w:t>Key</w:t>
            </w:r>
          </w:p>
        </w:tc>
        <w:tc>
          <w:tcPr>
            <w:tcW w:w="800" w:type="dxa"/>
            <w:vAlign w:val="bottom"/>
            <w:tcBorders>
              <w:top w:val="single" w:sz="8" w:color="0000EE"/>
            </w:tcBorders>
            <w:gridSpan w:val="9"/>
          </w:tcPr>
          <w:p>
            <w:pPr>
              <w:spacing w:after="0" w:line="165" w:lineRule="exact"/>
              <w:rPr>
                <w:sz w:val="20"/>
                <w:szCs w:val="20"/>
                <w:color w:val="auto"/>
              </w:rPr>
            </w:pPr>
            <w:r>
              <w:rPr>
                <w:rFonts w:ascii="Arial" w:cs="Arial" w:eastAsia="Arial" w:hAnsi="Arial"/>
                <w:sz w:val="16"/>
                <w:szCs w:val="16"/>
                <w:color w:val="0000EE"/>
              </w:rPr>
              <w:t>Brands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800" w:type="dxa"/>
            <w:vAlign w:val="bottom"/>
            <w:tcBorders>
              <w:top w:val="single" w:sz="8" w:color="0000EE"/>
            </w:tcBorders>
            <w:gridSpan w:val="6"/>
          </w:tcPr>
          <w:p>
            <w:pPr>
              <w:spacing w:after="0" w:line="165" w:lineRule="exact"/>
              <w:rPr>
                <w:sz w:val="20"/>
                <w:szCs w:val="20"/>
                <w:color w:val="auto"/>
              </w:rPr>
            </w:pPr>
            <w:r>
              <w:rPr>
                <w:rFonts w:ascii="Arial" w:cs="Arial" w:eastAsia="Arial" w:hAnsi="Arial"/>
                <w:sz w:val="16"/>
                <w:szCs w:val="16"/>
                <w:color w:val="0000EE"/>
              </w:rPr>
              <w:t>Additional</w:t>
            </w:r>
          </w:p>
        </w:tc>
        <w:tc>
          <w:tcPr>
            <w:tcW w:w="4800" w:type="dxa"/>
            <w:vAlign w:val="bottom"/>
            <w:gridSpan w:val="38"/>
          </w:tcPr>
          <w:p>
            <w:pPr>
              <w:jc w:val="center"/>
              <w:ind w:right="3400"/>
              <w:spacing w:after="0" w:line="165" w:lineRule="exact"/>
              <w:rPr>
                <w:sz w:val="20"/>
                <w:szCs w:val="20"/>
                <w:color w:val="auto"/>
              </w:rPr>
            </w:pPr>
            <w:r>
              <w:rPr>
                <w:rFonts w:ascii="Arial" w:cs="Arial" w:eastAsia="Arial" w:hAnsi="Arial"/>
                <w:sz w:val="16"/>
                <w:szCs w:val="16"/>
                <w:color w:val="0000EE"/>
                <w:w w:val="93"/>
              </w:rPr>
              <w:t>Business Information</w:t>
            </w: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900" w:type="dxa"/>
            <w:vAlign w:val="bottom"/>
            <w:tcBorders>
              <w:top w:val="single" w:sz="8" w:color="0000EE"/>
            </w:tcBorders>
            <w:gridSpan w:val="29"/>
          </w:tcPr>
          <w:p>
            <w:pPr>
              <w:spacing w:after="0" w:line="165" w:lineRule="exact"/>
              <w:rPr>
                <w:sz w:val="20"/>
                <w:szCs w:val="20"/>
                <w:color w:val="auto"/>
              </w:rPr>
            </w:pPr>
            <w:r>
              <w:rPr>
                <w:rFonts w:ascii="Arial" w:cs="Arial" w:eastAsia="Arial" w:hAnsi="Arial"/>
                <w:sz w:val="16"/>
                <w:szCs w:val="16"/>
                <w:color w:val="0000EE"/>
              </w:rPr>
              <w:t>Corporate Center</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8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line="20" w:lineRule="exact"/>
              <w:rPr>
                <w:sz w:val="1"/>
                <w:szCs w:val="1"/>
                <w:color w:val="auto"/>
              </w:rPr>
            </w:pPr>
          </w:p>
        </w:tc>
      </w:tr>
      <w:tr>
        <w:trPr>
          <w:trHeight w:val="165"/>
        </w:trPr>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80" w:type="dxa"/>
            <w:vAlign w:val="bottom"/>
            <w:gridSpan w:val="43"/>
          </w:tcPr>
          <w:p>
            <w:pPr>
              <w:spacing w:after="0" w:line="165" w:lineRule="exact"/>
              <w:rPr>
                <w:sz w:val="20"/>
                <w:szCs w:val="20"/>
                <w:color w:val="auto"/>
              </w:rPr>
            </w:pPr>
            <w:r>
              <w:rPr>
                <w:rFonts w:ascii="Arial" w:cs="Arial" w:eastAsia="Arial" w:hAnsi="Arial"/>
                <w:sz w:val="16"/>
                <w:szCs w:val="16"/>
                <w:color w:val="0000EE"/>
              </w:rPr>
              <w:t>The Role of Thomson Reuters Enterprise Centre</w:t>
            </w:r>
          </w:p>
        </w:tc>
        <w:tc>
          <w:tcPr>
            <w:tcW w:w="4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0" w:type="dxa"/>
            <w:vAlign w:val="bottom"/>
            <w:tcBorders>
              <w:top w:val="single" w:sz="8" w:color="0000EE"/>
            </w:tcBorders>
            <w:gridSpan w:val="41"/>
          </w:tcPr>
          <w:p>
            <w:pPr>
              <w:spacing w:after="0" w:line="165" w:lineRule="exact"/>
              <w:rPr>
                <w:sz w:val="20"/>
                <w:szCs w:val="20"/>
                <w:color w:val="auto"/>
              </w:rPr>
            </w:pPr>
            <w:r>
              <w:rPr>
                <w:rFonts w:ascii="Arial" w:cs="Arial" w:eastAsia="Arial" w:hAnsi="Arial"/>
                <w:sz w:val="16"/>
                <w:szCs w:val="16"/>
                <w:color w:val="0000EE"/>
              </w:rPr>
              <w:t>Operations &amp; Technology</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tcBorders>
              <w:top w:val="single" w:sz="8" w:color="0000EE"/>
            </w:tcBorders>
            <w:gridSpan w:val="26"/>
          </w:tcPr>
          <w:p>
            <w:pPr>
              <w:spacing w:after="0" w:line="165" w:lineRule="exact"/>
              <w:rPr>
                <w:sz w:val="20"/>
                <w:szCs w:val="20"/>
                <w:color w:val="auto"/>
              </w:rPr>
            </w:pPr>
            <w:r>
              <w:rPr>
                <w:rFonts w:ascii="Arial" w:cs="Arial" w:eastAsia="Arial" w:hAnsi="Arial"/>
                <w:sz w:val="16"/>
                <w:szCs w:val="16"/>
                <w:color w:val="0000EE"/>
                <w:w w:val="95"/>
              </w:rPr>
              <w:t>Innovation, Research and</w:t>
            </w:r>
          </w:p>
        </w:tc>
        <w:tc>
          <w:tcPr>
            <w:tcW w:w="3520" w:type="dxa"/>
            <w:vAlign w:val="bottom"/>
            <w:gridSpan w:val="17"/>
          </w:tcPr>
          <w:p>
            <w:pPr>
              <w:ind w:left="80"/>
              <w:spacing w:after="0" w:line="165" w:lineRule="exact"/>
              <w:rPr>
                <w:sz w:val="20"/>
                <w:szCs w:val="20"/>
                <w:color w:val="auto"/>
              </w:rPr>
            </w:pPr>
            <w:r>
              <w:rPr>
                <w:rFonts w:ascii="Arial" w:cs="Arial" w:eastAsia="Arial" w:hAnsi="Arial"/>
                <w:sz w:val="16"/>
                <w:szCs w:val="16"/>
                <w:color w:val="0000EE"/>
              </w:rPr>
              <w:t>Development</w:t>
            </w: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tcBorders>
              <w:top w:val="single" w:sz="8" w:color="0000EE"/>
            </w:tcBorders>
            <w:gridSpan w:val="37"/>
          </w:tcPr>
          <w:p>
            <w:pPr>
              <w:spacing w:after="0" w:line="165" w:lineRule="exact"/>
              <w:rPr>
                <w:sz w:val="20"/>
                <w:szCs w:val="20"/>
                <w:color w:val="auto"/>
              </w:rPr>
            </w:pPr>
            <w:r>
              <w:rPr>
                <w:rFonts w:ascii="Arial" w:cs="Arial" w:eastAsia="Arial" w:hAnsi="Arial"/>
                <w:sz w:val="16"/>
                <w:szCs w:val="16"/>
                <w:color w:val="0000EE"/>
              </w:rPr>
              <w:t>Go To Market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Borders>
              <w:top w:val="single" w:sz="8" w:color="0000EE"/>
            </w:tcBorders>
            <w:gridSpan w:val="11"/>
          </w:tcPr>
          <w:p>
            <w:pPr>
              <w:spacing w:after="0" w:line="165" w:lineRule="exact"/>
              <w:rPr>
                <w:sz w:val="20"/>
                <w:szCs w:val="20"/>
                <w:color w:val="auto"/>
              </w:rPr>
            </w:pPr>
            <w:r>
              <w:rPr>
                <w:rFonts w:ascii="Arial" w:cs="Arial" w:eastAsia="Arial" w:hAnsi="Arial"/>
                <w:sz w:val="16"/>
                <w:szCs w:val="16"/>
                <w:color w:val="0000EE"/>
              </w:rPr>
              <w:t>Intellectual</w:t>
            </w:r>
          </w:p>
        </w:tc>
        <w:tc>
          <w:tcPr>
            <w:tcW w:w="4340" w:type="dxa"/>
            <w:vAlign w:val="bottom"/>
            <w:gridSpan w:val="32"/>
          </w:tcPr>
          <w:p>
            <w:pPr>
              <w:jc w:val="center"/>
              <w:ind w:right="3900"/>
              <w:spacing w:after="0" w:line="165" w:lineRule="exact"/>
              <w:rPr>
                <w:sz w:val="20"/>
                <w:szCs w:val="20"/>
                <w:color w:val="auto"/>
              </w:rPr>
            </w:pPr>
            <w:r>
              <w:rPr>
                <w:rFonts w:ascii="Arial" w:cs="Arial" w:eastAsia="Arial" w:hAnsi="Arial"/>
                <w:sz w:val="16"/>
                <w:szCs w:val="16"/>
                <w:color w:val="0000EE"/>
                <w:w w:val="72"/>
              </w:rPr>
              <w:t>Property</w:t>
            </w: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Borders>
              <w:top w:val="single" w:sz="8" w:color="0000EE"/>
              <w:bottom w:val="single" w:sz="8" w:color="0000EE"/>
            </w:tcBorders>
            <w:gridSpan w:val="21"/>
          </w:tcPr>
          <w:p>
            <w:pPr>
              <w:spacing w:after="0" w:line="165" w:lineRule="exact"/>
              <w:rPr>
                <w:sz w:val="20"/>
                <w:szCs w:val="20"/>
                <w:color w:val="auto"/>
              </w:rPr>
            </w:pPr>
            <w:r>
              <w:rPr>
                <w:rFonts w:ascii="Arial" w:cs="Arial" w:eastAsia="Arial" w:hAnsi="Arial"/>
                <w:sz w:val="16"/>
                <w:szCs w:val="16"/>
                <w:color w:val="0000EE"/>
              </w:rPr>
              <w:t>Acquisitions and</w:t>
            </w:r>
          </w:p>
        </w:tc>
        <w:tc>
          <w:tcPr>
            <w:tcW w:w="680" w:type="dxa"/>
            <w:vAlign w:val="bottom"/>
            <w:tcBorders>
              <w:bottom w:val="single" w:sz="8" w:color="0000EE"/>
            </w:tcBorders>
            <w:gridSpan w:val="10"/>
          </w:tcPr>
          <w:p>
            <w:pPr>
              <w:spacing w:after="0" w:line="165" w:lineRule="exact"/>
              <w:rPr>
                <w:sz w:val="20"/>
                <w:szCs w:val="20"/>
                <w:color w:val="auto"/>
              </w:rPr>
            </w:pPr>
            <w:r>
              <w:rPr>
                <w:rFonts w:ascii="Arial" w:cs="Arial" w:eastAsia="Arial" w:hAnsi="Arial"/>
                <w:sz w:val="16"/>
                <w:szCs w:val="16"/>
                <w:color w:val="0000EE"/>
                <w:w w:val="74"/>
              </w:rPr>
              <w:t>Dispositions</w:t>
            </w:r>
          </w:p>
        </w:tc>
        <w:tc>
          <w:tcPr>
            <w:tcW w:w="3220" w:type="dxa"/>
            <w:vAlign w:val="bottom"/>
            <w:gridSpan w:val="12"/>
          </w:tcPr>
          <w:p>
            <w:pPr>
              <w:spacing w:after="0"/>
              <w:rPr>
                <w:sz w:val="14"/>
                <w:szCs w:val="14"/>
                <w:color w:val="auto"/>
              </w:rPr>
            </w:pP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80" w:type="dxa"/>
            <w:vAlign w:val="bottom"/>
            <w:gridSpan w:val="43"/>
          </w:tcPr>
          <w:p>
            <w:pPr>
              <w:spacing w:after="0" w:line="165" w:lineRule="exact"/>
              <w:rPr>
                <w:sz w:val="20"/>
                <w:szCs w:val="20"/>
                <w:color w:val="auto"/>
              </w:rPr>
            </w:pPr>
            <w:r>
              <w:rPr>
                <w:rFonts w:ascii="Arial" w:cs="Arial" w:eastAsia="Arial" w:hAnsi="Arial"/>
                <w:sz w:val="16"/>
                <w:szCs w:val="16"/>
                <w:color w:val="0000EE"/>
              </w:rPr>
              <w:t>Thomson Reuters Venture Fund</w:t>
            </w: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40" w:type="dxa"/>
            <w:vAlign w:val="bottom"/>
            <w:tcBorders>
              <w:top w:val="single" w:sz="8" w:color="0000EE"/>
            </w:tcBorders>
            <w:gridSpan w:val="34"/>
          </w:tcPr>
          <w:p>
            <w:pPr>
              <w:spacing w:after="0" w:line="165" w:lineRule="exact"/>
              <w:rPr>
                <w:sz w:val="20"/>
                <w:szCs w:val="20"/>
                <w:color w:val="auto"/>
              </w:rPr>
            </w:pPr>
            <w:r>
              <w:rPr>
                <w:rFonts w:ascii="Arial" w:cs="Arial" w:eastAsia="Arial" w:hAnsi="Arial"/>
                <w:sz w:val="16"/>
                <w:szCs w:val="16"/>
                <w:color w:val="0000EE"/>
              </w:rPr>
              <w:t>Human Capital Management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gridSpan w:val="2"/>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Borders>
              <w:top w:val="single" w:sz="8" w:color="0000EE"/>
            </w:tcBorders>
            <w:gridSpan w:val="30"/>
          </w:tcPr>
          <w:p>
            <w:pPr>
              <w:spacing w:after="0" w:line="165" w:lineRule="exact"/>
              <w:rPr>
                <w:sz w:val="20"/>
                <w:szCs w:val="20"/>
                <w:color w:val="auto"/>
              </w:rPr>
            </w:pPr>
            <w:r>
              <w:rPr>
                <w:rFonts w:ascii="Arial" w:cs="Arial" w:eastAsia="Arial" w:hAnsi="Arial"/>
                <w:sz w:val="16"/>
                <w:szCs w:val="16"/>
                <w:color w:val="0000EE"/>
              </w:rPr>
              <w:t>Environmental, Social and</w:t>
            </w:r>
          </w:p>
        </w:tc>
        <w:tc>
          <w:tcPr>
            <w:tcW w:w="3280" w:type="dxa"/>
            <w:vAlign w:val="bottom"/>
            <w:gridSpan w:val="13"/>
          </w:tcPr>
          <w:p>
            <w:pPr>
              <w:spacing w:after="0" w:line="165" w:lineRule="exact"/>
              <w:rPr>
                <w:sz w:val="20"/>
                <w:szCs w:val="20"/>
                <w:color w:val="auto"/>
              </w:rPr>
            </w:pPr>
            <w:r>
              <w:rPr>
                <w:rFonts w:ascii="Arial" w:cs="Arial" w:eastAsia="Arial" w:hAnsi="Arial"/>
                <w:sz w:val="16"/>
                <w:szCs w:val="16"/>
                <w:color w:val="0000EE"/>
              </w:rPr>
              <w:t>Governance (ESG)</w:t>
            </w: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Borders>
              <w:top w:val="single" w:sz="8" w:color="0000EE"/>
              <w:bottom w:val="single" w:sz="8" w:color="0000EE"/>
            </w:tcBorders>
            <w:gridSpan w:val="24"/>
          </w:tcPr>
          <w:p>
            <w:pPr>
              <w:spacing w:after="0" w:line="165" w:lineRule="exact"/>
              <w:rPr>
                <w:sz w:val="20"/>
                <w:szCs w:val="20"/>
                <w:color w:val="auto"/>
              </w:rPr>
            </w:pPr>
            <w:r>
              <w:rPr>
                <w:rFonts w:ascii="Arial" w:cs="Arial" w:eastAsia="Arial" w:hAnsi="Arial"/>
                <w:sz w:val="16"/>
                <w:szCs w:val="16"/>
                <w:color w:val="0000EE"/>
                <w:w w:val="97"/>
              </w:rPr>
              <w:t>Properties and Facilities</w:t>
            </w:r>
          </w:p>
        </w:tc>
        <w:tc>
          <w:tcPr>
            <w:tcW w:w="1540" w:type="dxa"/>
            <w:vAlign w:val="bottom"/>
            <w:tcBorders>
              <w:top w:val="single" w:sz="8" w:color="0000EE"/>
            </w:tcBorders>
            <w:gridSpan w:val="15"/>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11"/>
        </w:trPr>
        <w:tc>
          <w:tcPr>
            <w:tcW w:w="1280" w:type="dxa"/>
            <w:vAlign w:val="bottom"/>
            <w:tcBorders>
              <w:bottom w:val="single" w:sz="8" w:color="0000EE"/>
            </w:tcBorders>
            <w:gridSpan w:val="9"/>
          </w:tcPr>
          <w:p>
            <w:pPr>
              <w:spacing w:after="0"/>
              <w:rPr>
                <w:sz w:val="20"/>
                <w:szCs w:val="20"/>
                <w:color w:val="auto"/>
              </w:rPr>
            </w:pPr>
            <w:r>
              <w:rPr>
                <w:rFonts w:ascii="Arial" w:cs="Arial" w:eastAsia="Arial" w:hAnsi="Arial"/>
                <w:sz w:val="21"/>
                <w:szCs w:val="21"/>
                <w:b w:val="1"/>
                <w:bCs w:val="1"/>
                <w:color w:val="0000EE"/>
                <w:w w:val="99"/>
              </w:rPr>
              <w:t>Risk Factors</w:t>
            </w:r>
          </w:p>
        </w:tc>
        <w:tc>
          <w:tcPr>
            <w:tcW w:w="4660" w:type="dxa"/>
            <w:vAlign w:val="bottom"/>
            <w:gridSpan w:val="36"/>
          </w:tcPr>
          <w:p>
            <w:pPr>
              <w:spacing w:after="0"/>
              <w:rPr>
                <w:sz w:val="24"/>
                <w:szCs w:val="24"/>
                <w:color w:val="auto"/>
              </w:rPr>
            </w:pPr>
          </w:p>
        </w:tc>
        <w:tc>
          <w:tcPr>
            <w:tcW w:w="428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0" w:type="dxa"/>
            <w:vAlign w:val="bottom"/>
          </w:tcPr>
          <w:p>
            <w:pPr>
              <w:spacing w:after="0"/>
              <w:rPr>
                <w:sz w:val="1"/>
                <w:szCs w:val="1"/>
                <w:color w:val="auto"/>
              </w:rPr>
            </w:pPr>
          </w:p>
        </w:tc>
      </w:tr>
      <w:tr>
        <w:trPr>
          <w:trHeight w:val="324"/>
        </w:trPr>
        <w:tc>
          <w:tcPr>
            <w:tcW w:w="5940" w:type="dxa"/>
            <w:vAlign w:val="bottom"/>
            <w:gridSpan w:val="45"/>
          </w:tcPr>
          <w:p>
            <w:pPr>
              <w:spacing w:after="0"/>
              <w:rPr>
                <w:sz w:val="20"/>
                <w:szCs w:val="20"/>
                <w:color w:val="auto"/>
              </w:rPr>
            </w:pPr>
            <w:r>
              <w:rPr>
                <w:rFonts w:ascii="Arial" w:cs="Arial" w:eastAsia="Arial" w:hAnsi="Arial"/>
                <w:sz w:val="21"/>
                <w:szCs w:val="21"/>
                <w:b w:val="1"/>
                <w:bCs w:val="1"/>
                <w:color w:val="0000EE"/>
              </w:rPr>
              <w:t>Management’s Discussion and Analysis</w:t>
            </w:r>
          </w:p>
        </w:tc>
        <w:tc>
          <w:tcPr>
            <w:tcW w:w="4280" w:type="dxa"/>
            <w:vAlign w:val="bottom"/>
          </w:tcPr>
          <w:p>
            <w:pPr>
              <w:jc w:val="right"/>
              <w:spacing w:after="0"/>
              <w:rPr>
                <w:sz w:val="20"/>
                <w:szCs w:val="20"/>
                <w:color w:val="auto"/>
              </w:rPr>
            </w:pPr>
            <w:r>
              <w:rPr>
                <w:rFonts w:ascii="Arial" w:cs="Arial" w:eastAsia="Arial" w:hAnsi="Arial"/>
                <w:sz w:val="16"/>
                <w:szCs w:val="16"/>
                <w:b w:val="1"/>
                <w:bCs w:val="1"/>
                <w:color w:val="auto"/>
              </w:rPr>
              <w:t>28</w:t>
            </w:r>
          </w:p>
        </w:tc>
        <w:tc>
          <w:tcPr>
            <w:tcW w:w="0" w:type="dxa"/>
            <w:vAlign w:val="bottom"/>
          </w:tcPr>
          <w:p>
            <w:pPr>
              <w:spacing w:after="0"/>
              <w:rPr>
                <w:sz w:val="1"/>
                <w:szCs w:val="1"/>
                <w:color w:val="auto"/>
              </w:rPr>
            </w:pPr>
          </w:p>
        </w:tc>
      </w:tr>
      <w:tr>
        <w:trPr>
          <w:trHeight w:val="324"/>
        </w:trPr>
        <w:tc>
          <w:tcPr>
            <w:tcW w:w="4020" w:type="dxa"/>
            <w:vAlign w:val="bottom"/>
            <w:tcBorders>
              <w:top w:val="single" w:sz="8" w:color="0000EE"/>
            </w:tcBorders>
            <w:gridSpan w:val="42"/>
          </w:tcPr>
          <w:p>
            <w:pPr>
              <w:spacing w:after="0"/>
              <w:rPr>
                <w:sz w:val="20"/>
                <w:szCs w:val="20"/>
                <w:color w:val="auto"/>
              </w:rPr>
            </w:pPr>
            <w:r>
              <w:rPr>
                <w:rFonts w:ascii="Arial" w:cs="Arial" w:eastAsia="Arial" w:hAnsi="Arial"/>
                <w:sz w:val="21"/>
                <w:szCs w:val="21"/>
                <w:b w:val="1"/>
                <w:bCs w:val="1"/>
                <w:color w:val="0000EE"/>
              </w:rPr>
              <w:t>Consolidated Financial Statements</w:t>
            </w:r>
          </w:p>
        </w:tc>
        <w:tc>
          <w:tcPr>
            <w:tcW w:w="1920" w:type="dxa"/>
            <w:vAlign w:val="bottom"/>
            <w:gridSpan w:val="3"/>
          </w:tcPr>
          <w:p>
            <w:pPr>
              <w:spacing w:after="0"/>
              <w:rPr>
                <w:sz w:val="24"/>
                <w:szCs w:val="24"/>
                <w:color w:val="auto"/>
              </w:rPr>
            </w:pPr>
          </w:p>
        </w:tc>
        <w:tc>
          <w:tcPr>
            <w:tcW w:w="4280" w:type="dxa"/>
            <w:vAlign w:val="bottom"/>
          </w:tcPr>
          <w:p>
            <w:pPr>
              <w:jc w:val="right"/>
              <w:spacing w:after="0"/>
              <w:rPr>
                <w:sz w:val="20"/>
                <w:szCs w:val="20"/>
                <w:color w:val="auto"/>
              </w:rPr>
            </w:pPr>
            <w:r>
              <w:rPr>
                <w:rFonts w:ascii="Arial" w:cs="Arial" w:eastAsia="Arial" w:hAnsi="Arial"/>
                <w:sz w:val="16"/>
                <w:szCs w:val="16"/>
                <w:b w:val="1"/>
                <w:bCs w:val="1"/>
                <w:color w:val="auto"/>
              </w:rPr>
              <w:t>81</w:t>
            </w:r>
          </w:p>
        </w:tc>
        <w:tc>
          <w:tcPr>
            <w:tcW w:w="0" w:type="dxa"/>
            <w:vAlign w:val="bottom"/>
          </w:tcPr>
          <w:p>
            <w:pPr>
              <w:spacing w:after="0"/>
              <w:rPr>
                <w:sz w:val="1"/>
                <w:szCs w:val="1"/>
                <w:color w:val="auto"/>
              </w:rPr>
            </w:pPr>
          </w:p>
        </w:tc>
      </w:tr>
      <w:tr>
        <w:trPr>
          <w:trHeight w:val="325"/>
        </w:trPr>
        <w:tc>
          <w:tcPr>
            <w:tcW w:w="3520" w:type="dxa"/>
            <w:vAlign w:val="bottom"/>
            <w:tcBorders>
              <w:top w:val="single" w:sz="8" w:color="0000EE"/>
            </w:tcBorders>
            <w:gridSpan w:val="40"/>
          </w:tcPr>
          <w:p>
            <w:pPr>
              <w:spacing w:after="0"/>
              <w:rPr>
                <w:sz w:val="20"/>
                <w:szCs w:val="20"/>
                <w:color w:val="auto"/>
              </w:rPr>
            </w:pPr>
            <w:r>
              <w:rPr>
                <w:rFonts w:ascii="Arial" w:cs="Arial" w:eastAsia="Arial" w:hAnsi="Arial"/>
                <w:sz w:val="21"/>
                <w:szCs w:val="21"/>
                <w:b w:val="1"/>
                <w:bCs w:val="1"/>
                <w:color w:val="0000EE"/>
              </w:rPr>
              <w:t>Governance</w:t>
            </w:r>
          </w:p>
        </w:tc>
        <w:tc>
          <w:tcPr>
            <w:tcW w:w="2420" w:type="dxa"/>
            <w:vAlign w:val="bottom"/>
            <w:gridSpan w:val="5"/>
          </w:tcPr>
          <w:p>
            <w:pPr>
              <w:spacing w:after="0"/>
              <w:rPr>
                <w:sz w:val="24"/>
                <w:szCs w:val="24"/>
                <w:color w:val="auto"/>
              </w:rPr>
            </w:pPr>
          </w:p>
        </w:tc>
        <w:tc>
          <w:tcPr>
            <w:tcW w:w="4280" w:type="dxa"/>
            <w:vAlign w:val="bottom"/>
          </w:tcPr>
          <w:p>
            <w:pPr>
              <w:jc w:val="right"/>
              <w:spacing w:after="0"/>
              <w:rPr>
                <w:sz w:val="20"/>
                <w:szCs w:val="20"/>
                <w:color w:val="auto"/>
              </w:rPr>
            </w:pPr>
            <w:r>
              <w:rPr>
                <w:rFonts w:ascii="Arial" w:cs="Arial" w:eastAsia="Arial" w:hAnsi="Arial"/>
                <w:sz w:val="16"/>
                <w:szCs w:val="16"/>
                <w:b w:val="1"/>
                <w:bCs w:val="1"/>
                <w:color w:val="auto"/>
              </w:rPr>
              <w:t>142</w:t>
            </w:r>
          </w:p>
        </w:tc>
        <w:tc>
          <w:tcPr>
            <w:tcW w:w="0" w:type="dxa"/>
            <w:vAlign w:val="bottom"/>
          </w:tcPr>
          <w:p>
            <w:pPr>
              <w:spacing w:after="0"/>
              <w:rPr>
                <w:sz w:val="1"/>
                <w:szCs w:val="1"/>
                <w:color w:val="auto"/>
              </w:rPr>
            </w:pPr>
          </w:p>
        </w:tc>
      </w:tr>
      <w:tr>
        <w:trPr>
          <w:trHeight w:val="20"/>
        </w:trPr>
        <w:tc>
          <w:tcPr>
            <w:tcW w:w="34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40" w:type="dxa"/>
            <w:vAlign w:val="bottom"/>
          </w:tcPr>
          <w:p>
            <w:pPr>
              <w:spacing w:after="0"/>
              <w:rPr>
                <w:sz w:val="15"/>
                <w:szCs w:val="15"/>
                <w:color w:val="auto"/>
              </w:rPr>
            </w:pPr>
          </w:p>
        </w:tc>
        <w:tc>
          <w:tcPr>
            <w:tcW w:w="5600" w:type="dxa"/>
            <w:vAlign w:val="bottom"/>
            <w:gridSpan w:val="44"/>
          </w:tcPr>
          <w:p>
            <w:pPr>
              <w:spacing w:after="0" w:line="179" w:lineRule="exact"/>
              <w:rPr>
                <w:sz w:val="20"/>
                <w:szCs w:val="20"/>
                <w:color w:val="auto"/>
              </w:rPr>
            </w:pPr>
            <w:r>
              <w:rPr>
                <w:rFonts w:ascii="Arial" w:cs="Arial" w:eastAsia="Arial" w:hAnsi="Arial"/>
                <w:sz w:val="16"/>
                <w:szCs w:val="16"/>
                <w:color w:val="0000EE"/>
              </w:rPr>
              <w:t>Executive Officers</w:t>
            </w:r>
          </w:p>
        </w:tc>
        <w:tc>
          <w:tcPr>
            <w:tcW w:w="4280" w:type="dxa"/>
            <w:vAlign w:val="bottom"/>
          </w:tcPr>
          <w:p>
            <w:pPr>
              <w:jc w:val="right"/>
              <w:spacing w:after="0" w:line="179" w:lineRule="exact"/>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620" w:type="dxa"/>
            <w:vAlign w:val="bottom"/>
            <w:tcBorders>
              <w:top w:val="single" w:sz="8" w:color="0000EE"/>
              <w:bottom w:val="single" w:sz="8" w:color="0000EE"/>
            </w:tcBorders>
            <w:gridSpan w:val="3"/>
          </w:tcPr>
          <w:p>
            <w:pPr>
              <w:spacing w:after="0" w:line="165" w:lineRule="exact"/>
              <w:rPr>
                <w:sz w:val="20"/>
                <w:szCs w:val="20"/>
                <w:color w:val="auto"/>
              </w:rPr>
            </w:pPr>
            <w:r>
              <w:rPr>
                <w:rFonts w:ascii="Arial" w:cs="Arial" w:eastAsia="Arial" w:hAnsi="Arial"/>
                <w:sz w:val="16"/>
                <w:szCs w:val="16"/>
                <w:color w:val="0000EE"/>
                <w:w w:val="93"/>
              </w:rPr>
              <w:t>Directors</w:t>
            </w:r>
          </w:p>
        </w:tc>
        <w:tc>
          <w:tcPr>
            <w:tcW w:w="660" w:type="dxa"/>
            <w:vAlign w:val="bottom"/>
            <w:tcBorders>
              <w:top w:val="single" w:sz="8" w:color="0000EE"/>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6"/>
          </w:tcPr>
          <w:p>
            <w:pPr>
              <w:spacing w:after="0"/>
              <w:rPr>
                <w:sz w:val="14"/>
                <w:szCs w:val="14"/>
                <w:color w:val="auto"/>
              </w:rPr>
            </w:pPr>
          </w:p>
        </w:tc>
        <w:tc>
          <w:tcPr>
            <w:tcW w:w="960" w:type="dxa"/>
            <w:vAlign w:val="bottom"/>
          </w:tcPr>
          <w:p>
            <w:pPr>
              <w:spacing w:after="0"/>
              <w:rPr>
                <w:sz w:val="14"/>
                <w:szCs w:val="14"/>
                <w:color w:val="auto"/>
              </w:rPr>
            </w:pP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1160" w:type="dxa"/>
            <w:vAlign w:val="bottom"/>
            <w:tcBorders>
              <w:bottom w:val="single" w:sz="8" w:color="0000EE"/>
            </w:tcBorders>
            <w:gridSpan w:val="11"/>
          </w:tcPr>
          <w:p>
            <w:pPr>
              <w:spacing w:after="0" w:line="165" w:lineRule="exact"/>
              <w:rPr>
                <w:sz w:val="20"/>
                <w:szCs w:val="20"/>
                <w:color w:val="auto"/>
              </w:rPr>
            </w:pPr>
            <w:r>
              <w:rPr>
                <w:rFonts w:ascii="Arial" w:cs="Arial" w:eastAsia="Arial" w:hAnsi="Arial"/>
                <w:sz w:val="16"/>
                <w:szCs w:val="16"/>
                <w:color w:val="0000EE"/>
                <w:w w:val="96"/>
              </w:rPr>
              <w:t>Audit Committee</w:t>
            </w:r>
          </w:p>
        </w:tc>
        <w:tc>
          <w:tcPr>
            <w:tcW w:w="4440" w:type="dxa"/>
            <w:vAlign w:val="bottom"/>
            <w:gridSpan w:val="33"/>
          </w:tcPr>
          <w:p>
            <w:pPr>
              <w:spacing w:after="0"/>
              <w:rPr>
                <w:sz w:val="14"/>
                <w:szCs w:val="14"/>
                <w:color w:val="auto"/>
              </w:rPr>
            </w:pP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5600" w:type="dxa"/>
            <w:vAlign w:val="bottom"/>
            <w:gridSpan w:val="44"/>
          </w:tcPr>
          <w:p>
            <w:pPr>
              <w:spacing w:after="0" w:line="165" w:lineRule="exact"/>
              <w:rPr>
                <w:sz w:val="20"/>
                <w:szCs w:val="20"/>
                <w:color w:val="auto"/>
              </w:rPr>
            </w:pPr>
            <w:r>
              <w:rPr>
                <w:rFonts w:ascii="Arial" w:cs="Arial" w:eastAsia="Arial" w:hAnsi="Arial"/>
                <w:sz w:val="16"/>
                <w:szCs w:val="16"/>
                <w:color w:val="0000EE"/>
              </w:rPr>
              <w:t>Principal Accountant Fees and Services</w:t>
            </w: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2780" w:type="dxa"/>
            <w:vAlign w:val="bottom"/>
            <w:tcBorders>
              <w:top w:val="single" w:sz="8" w:color="0000EE"/>
            </w:tcBorders>
            <w:gridSpan w:val="37"/>
          </w:tcPr>
          <w:p>
            <w:pPr>
              <w:spacing w:after="0" w:line="165" w:lineRule="exact"/>
              <w:rPr>
                <w:sz w:val="20"/>
                <w:szCs w:val="20"/>
                <w:color w:val="auto"/>
              </w:rPr>
            </w:pPr>
            <w:r>
              <w:rPr>
                <w:rFonts w:ascii="Arial" w:cs="Arial" w:eastAsia="Arial" w:hAnsi="Arial"/>
                <w:sz w:val="16"/>
                <w:szCs w:val="16"/>
                <w:color w:val="0000EE"/>
              </w:rPr>
              <w:t>Woodbridge</w:t>
            </w:r>
          </w:p>
        </w:tc>
        <w:tc>
          <w:tcPr>
            <w:tcW w:w="1860" w:type="dxa"/>
            <w:vAlign w:val="bottom"/>
            <w:gridSpan w:val="6"/>
          </w:tcPr>
          <w:p>
            <w:pPr>
              <w:spacing w:after="0"/>
              <w:rPr>
                <w:sz w:val="14"/>
                <w:szCs w:val="14"/>
                <w:color w:val="auto"/>
              </w:rPr>
            </w:pPr>
          </w:p>
        </w:tc>
        <w:tc>
          <w:tcPr>
            <w:tcW w:w="960" w:type="dxa"/>
            <w:vAlign w:val="bottom"/>
          </w:tcPr>
          <w:p>
            <w:pPr>
              <w:spacing w:after="0"/>
              <w:rPr>
                <w:sz w:val="14"/>
                <w:szCs w:val="14"/>
                <w:color w:val="auto"/>
              </w:rPr>
            </w:pP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880" w:type="dxa"/>
            <w:vAlign w:val="bottom"/>
            <w:tcBorders>
              <w:top w:val="single" w:sz="8" w:color="0000EE"/>
            </w:tcBorders>
            <w:gridSpan w:val="7"/>
          </w:tcPr>
          <w:p>
            <w:pPr>
              <w:spacing w:after="0" w:line="165" w:lineRule="exact"/>
              <w:rPr>
                <w:sz w:val="20"/>
                <w:szCs w:val="20"/>
                <w:color w:val="auto"/>
              </w:rPr>
            </w:pPr>
            <w:r>
              <w:rPr>
                <w:rFonts w:ascii="Arial" w:cs="Arial" w:eastAsia="Arial" w:hAnsi="Arial"/>
                <w:sz w:val="16"/>
                <w:szCs w:val="16"/>
                <w:color w:val="0000EE"/>
              </w:rPr>
              <w:t>Controlled</w:t>
            </w:r>
          </w:p>
        </w:tc>
        <w:tc>
          <w:tcPr>
            <w:tcW w:w="4720" w:type="dxa"/>
            <w:vAlign w:val="bottom"/>
            <w:gridSpan w:val="37"/>
          </w:tcPr>
          <w:p>
            <w:pPr>
              <w:jc w:val="right"/>
              <w:ind w:right="4180"/>
              <w:spacing w:after="0" w:line="165" w:lineRule="exact"/>
              <w:rPr>
                <w:sz w:val="20"/>
                <w:szCs w:val="20"/>
                <w:color w:val="auto"/>
              </w:rPr>
            </w:pPr>
            <w:r>
              <w:rPr>
                <w:rFonts w:ascii="Arial" w:cs="Arial" w:eastAsia="Arial" w:hAnsi="Arial"/>
                <w:sz w:val="16"/>
                <w:szCs w:val="16"/>
                <w:color w:val="0000EE"/>
                <w:w w:val="75"/>
              </w:rPr>
              <w:t>Company</w:t>
            </w: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1420" w:type="dxa"/>
            <w:vAlign w:val="bottom"/>
            <w:tcBorders>
              <w:top w:val="single" w:sz="8" w:color="0000EE"/>
              <w:bottom w:val="single" w:sz="8" w:color="0000EE"/>
            </w:tcBorders>
            <w:gridSpan w:val="17"/>
          </w:tcPr>
          <w:p>
            <w:pPr>
              <w:spacing w:after="0" w:line="165" w:lineRule="exact"/>
              <w:rPr>
                <w:sz w:val="20"/>
                <w:szCs w:val="20"/>
                <w:color w:val="auto"/>
              </w:rPr>
            </w:pPr>
            <w:r>
              <w:rPr>
                <w:rFonts w:ascii="Arial" w:cs="Arial" w:eastAsia="Arial" w:hAnsi="Arial"/>
                <w:sz w:val="16"/>
                <w:szCs w:val="16"/>
                <w:color w:val="0000EE"/>
                <w:w w:val="87"/>
              </w:rPr>
              <w:t>Independent Directors</w:t>
            </w:r>
          </w:p>
        </w:tc>
        <w:tc>
          <w:tcPr>
            <w:tcW w:w="20" w:type="dxa"/>
            <w:vAlign w:val="bottom"/>
            <w:tcBorders>
              <w:bottom w:val="single" w:sz="8" w:color="0000EE"/>
            </w:tcBorders>
          </w:tcPr>
          <w:p>
            <w:pPr>
              <w:spacing w:after="0"/>
              <w:rPr>
                <w:sz w:val="14"/>
                <w:szCs w:val="14"/>
                <w:color w:val="auto"/>
              </w:rPr>
            </w:pPr>
          </w:p>
        </w:tc>
        <w:tc>
          <w:tcPr>
            <w:tcW w:w="80" w:type="dxa"/>
            <w:vAlign w:val="bottom"/>
            <w:tcBorders>
              <w:bottom w:val="single" w:sz="8" w:color="0000EE"/>
            </w:tcBorders>
          </w:tcPr>
          <w:p>
            <w:pPr>
              <w:spacing w:after="0"/>
              <w:rPr>
                <w:sz w:val="14"/>
                <w:szCs w:val="14"/>
                <w:color w:val="auto"/>
              </w:rPr>
            </w:pPr>
          </w:p>
        </w:tc>
        <w:tc>
          <w:tcPr>
            <w:tcW w:w="40" w:type="dxa"/>
            <w:vAlign w:val="bottom"/>
            <w:tcBorders>
              <w:bottom w:val="single" w:sz="8" w:color="0000EE"/>
            </w:tcBorders>
          </w:tcPr>
          <w:p>
            <w:pPr>
              <w:spacing w:after="0"/>
              <w:rPr>
                <w:sz w:val="14"/>
                <w:szCs w:val="14"/>
                <w:color w:val="auto"/>
              </w:rPr>
            </w:pPr>
          </w:p>
        </w:tc>
        <w:tc>
          <w:tcPr>
            <w:tcW w:w="26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2000" w:type="dxa"/>
            <w:vAlign w:val="bottom"/>
            <w:gridSpan w:val="7"/>
          </w:tcPr>
          <w:p>
            <w:pPr>
              <w:spacing w:after="0"/>
              <w:rPr>
                <w:sz w:val="14"/>
                <w:szCs w:val="14"/>
                <w:color w:val="auto"/>
              </w:rPr>
            </w:pPr>
          </w:p>
        </w:tc>
        <w:tc>
          <w:tcPr>
            <w:tcW w:w="960" w:type="dxa"/>
            <w:vAlign w:val="bottom"/>
          </w:tcPr>
          <w:p>
            <w:pPr>
              <w:spacing w:after="0"/>
              <w:rPr>
                <w:sz w:val="14"/>
                <w:szCs w:val="14"/>
                <w:color w:val="auto"/>
              </w:rPr>
            </w:pP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1560" w:type="dxa"/>
            <w:vAlign w:val="bottom"/>
            <w:tcBorders>
              <w:bottom w:val="single" w:sz="8" w:color="0000EE"/>
            </w:tcBorders>
            <w:gridSpan w:val="20"/>
          </w:tcPr>
          <w:p>
            <w:pPr>
              <w:spacing w:after="0" w:line="165" w:lineRule="exact"/>
              <w:rPr>
                <w:sz w:val="20"/>
                <w:szCs w:val="20"/>
                <w:color w:val="auto"/>
              </w:rPr>
            </w:pPr>
            <w:r>
              <w:rPr>
                <w:rFonts w:ascii="Arial" w:cs="Arial" w:eastAsia="Arial" w:hAnsi="Arial"/>
                <w:sz w:val="16"/>
                <w:szCs w:val="16"/>
                <w:color w:val="0000EE"/>
              </w:rPr>
              <w:t>Presiding Directors at</w:t>
            </w:r>
          </w:p>
        </w:tc>
        <w:tc>
          <w:tcPr>
            <w:tcW w:w="4040" w:type="dxa"/>
            <w:vAlign w:val="bottom"/>
            <w:tcBorders>
              <w:bottom w:val="single" w:sz="8" w:color="0000EE"/>
            </w:tcBorders>
            <w:gridSpan w:val="24"/>
          </w:tcPr>
          <w:p>
            <w:pPr>
              <w:spacing w:after="0" w:line="165" w:lineRule="exact"/>
              <w:rPr>
                <w:sz w:val="20"/>
                <w:szCs w:val="20"/>
                <w:color w:val="auto"/>
              </w:rPr>
            </w:pPr>
            <w:r>
              <w:rPr>
                <w:rFonts w:ascii="Arial" w:cs="Arial" w:eastAsia="Arial" w:hAnsi="Arial"/>
                <w:sz w:val="16"/>
                <w:szCs w:val="16"/>
                <w:color w:val="0000EE"/>
                <w:w w:val="98"/>
              </w:rPr>
              <w:t>Meetings of Non-Management and Independent Directors</w:t>
            </w: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5600" w:type="dxa"/>
            <w:vAlign w:val="bottom"/>
            <w:gridSpan w:val="44"/>
          </w:tcPr>
          <w:p>
            <w:pPr>
              <w:spacing w:after="0" w:line="165" w:lineRule="exact"/>
              <w:rPr>
                <w:sz w:val="20"/>
                <w:szCs w:val="20"/>
                <w:color w:val="auto"/>
              </w:rPr>
            </w:pPr>
            <w:r>
              <w:rPr>
                <w:rFonts w:ascii="Arial" w:cs="Arial" w:eastAsia="Arial" w:hAnsi="Arial"/>
                <w:sz w:val="16"/>
                <w:szCs w:val="16"/>
                <w:color w:val="0000EE"/>
              </w:rPr>
              <w:t>Code of Business Conduct and Ethics</w:t>
            </w: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2640" w:type="dxa"/>
            <w:vAlign w:val="bottom"/>
            <w:tcBorders>
              <w:top w:val="single" w:sz="8" w:color="0000EE"/>
            </w:tcBorders>
            <w:gridSpan w:val="36"/>
          </w:tcPr>
          <w:p>
            <w:pPr>
              <w:spacing w:after="0" w:line="165" w:lineRule="exact"/>
              <w:rPr>
                <w:sz w:val="20"/>
                <w:szCs w:val="20"/>
                <w:color w:val="auto"/>
              </w:rPr>
            </w:pPr>
            <w:r>
              <w:rPr>
                <w:rFonts w:ascii="Arial" w:cs="Arial" w:eastAsia="Arial" w:hAnsi="Arial"/>
                <w:sz w:val="16"/>
                <w:szCs w:val="16"/>
                <w:color w:val="0000EE"/>
              </w:rPr>
              <w:t>Additional Disclosures</w:t>
            </w:r>
          </w:p>
        </w:tc>
        <w:tc>
          <w:tcPr>
            <w:tcW w:w="2000" w:type="dxa"/>
            <w:vAlign w:val="bottom"/>
            <w:gridSpan w:val="7"/>
          </w:tcPr>
          <w:p>
            <w:pPr>
              <w:spacing w:after="0"/>
              <w:rPr>
                <w:sz w:val="14"/>
                <w:szCs w:val="14"/>
                <w:color w:val="auto"/>
              </w:rPr>
            </w:pPr>
          </w:p>
        </w:tc>
        <w:tc>
          <w:tcPr>
            <w:tcW w:w="960" w:type="dxa"/>
            <w:vAlign w:val="bottom"/>
          </w:tcPr>
          <w:p>
            <w:pPr>
              <w:spacing w:after="0"/>
              <w:rPr>
                <w:sz w:val="14"/>
                <w:szCs w:val="14"/>
                <w:color w:val="auto"/>
              </w:rPr>
            </w:pP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620" w:type="dxa"/>
            <w:vAlign w:val="bottom"/>
            <w:gridSpan w:val="9"/>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1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940" w:type="dxa"/>
            <w:vAlign w:val="bottom"/>
            <w:gridSpan w:val="45"/>
          </w:tcPr>
          <w:p>
            <w:pPr>
              <w:spacing w:after="0"/>
              <w:rPr>
                <w:sz w:val="20"/>
                <w:szCs w:val="20"/>
                <w:color w:val="auto"/>
              </w:rPr>
            </w:pPr>
            <w:r>
              <w:rPr>
                <w:rFonts w:ascii="Arial" w:cs="Arial" w:eastAsia="Arial" w:hAnsi="Arial"/>
                <w:sz w:val="21"/>
                <w:szCs w:val="21"/>
                <w:b w:val="1"/>
                <w:bCs w:val="1"/>
                <w:color w:val="0000EE"/>
              </w:rPr>
              <w:t>Additional Information</w:t>
            </w:r>
          </w:p>
        </w:tc>
        <w:tc>
          <w:tcPr>
            <w:tcW w:w="4280" w:type="dxa"/>
            <w:vAlign w:val="bottom"/>
          </w:tcPr>
          <w:p>
            <w:pPr>
              <w:jc w:val="right"/>
              <w:spacing w:after="0"/>
              <w:rPr>
                <w:sz w:val="20"/>
                <w:szCs w:val="20"/>
                <w:color w:val="auto"/>
              </w:rPr>
            </w:pPr>
            <w:r>
              <w:rPr>
                <w:rFonts w:ascii="Arial" w:cs="Arial" w:eastAsia="Arial" w:hAnsi="Arial"/>
                <w:sz w:val="16"/>
                <w:szCs w:val="16"/>
                <w:b w:val="1"/>
                <w:bCs w:val="1"/>
                <w:color w:val="auto"/>
              </w:rPr>
              <w:t>152</w:t>
            </w:r>
          </w:p>
        </w:tc>
        <w:tc>
          <w:tcPr>
            <w:tcW w:w="0" w:type="dxa"/>
            <w:vAlign w:val="bottom"/>
          </w:tcPr>
          <w:p>
            <w:pPr>
              <w:spacing w:after="0"/>
              <w:rPr>
                <w:sz w:val="1"/>
                <w:szCs w:val="1"/>
                <w:color w:val="auto"/>
              </w:rPr>
            </w:pPr>
          </w:p>
        </w:tc>
      </w:tr>
      <w:tr>
        <w:trPr>
          <w:trHeight w:val="20"/>
        </w:trPr>
        <w:tc>
          <w:tcPr>
            <w:tcW w:w="3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620" w:type="dxa"/>
            <w:vAlign w:val="bottom"/>
            <w:gridSpan w:val="9"/>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1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40" w:type="dxa"/>
            <w:vAlign w:val="bottom"/>
          </w:tcPr>
          <w:p>
            <w:pPr>
              <w:spacing w:after="0"/>
              <w:rPr>
                <w:sz w:val="15"/>
                <w:szCs w:val="15"/>
                <w:color w:val="auto"/>
              </w:rPr>
            </w:pPr>
          </w:p>
        </w:tc>
        <w:tc>
          <w:tcPr>
            <w:tcW w:w="5600" w:type="dxa"/>
            <w:vAlign w:val="bottom"/>
            <w:gridSpan w:val="44"/>
          </w:tcPr>
          <w:p>
            <w:pPr>
              <w:spacing w:after="0" w:line="179" w:lineRule="exact"/>
              <w:rPr>
                <w:sz w:val="20"/>
                <w:szCs w:val="20"/>
                <w:color w:val="auto"/>
              </w:rPr>
            </w:pPr>
            <w:r>
              <w:rPr>
                <w:rFonts w:ascii="Arial" w:cs="Arial" w:eastAsia="Arial" w:hAnsi="Arial"/>
                <w:sz w:val="16"/>
                <w:szCs w:val="16"/>
                <w:color w:val="0000EE"/>
              </w:rPr>
              <w:t>Description of Capital Structure</w:t>
            </w:r>
          </w:p>
        </w:tc>
        <w:tc>
          <w:tcPr>
            <w:tcW w:w="4280" w:type="dxa"/>
            <w:vAlign w:val="bottom"/>
          </w:tcPr>
          <w:p>
            <w:pPr>
              <w:jc w:val="right"/>
              <w:spacing w:after="0" w:line="179" w:lineRule="exact"/>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2180" w:type="dxa"/>
            <w:vAlign w:val="bottom"/>
            <w:tcBorders>
              <w:top w:val="single" w:sz="8" w:color="0000EE"/>
            </w:tcBorders>
            <w:gridSpan w:val="28"/>
          </w:tcPr>
          <w:p>
            <w:pPr>
              <w:spacing w:after="0" w:line="165" w:lineRule="exact"/>
              <w:rPr>
                <w:sz w:val="20"/>
                <w:szCs w:val="20"/>
                <w:color w:val="auto"/>
              </w:rPr>
            </w:pPr>
            <w:r>
              <w:rPr>
                <w:rFonts w:ascii="Arial" w:cs="Arial" w:eastAsia="Arial" w:hAnsi="Arial"/>
                <w:sz w:val="16"/>
                <w:szCs w:val="16"/>
                <w:color w:val="0000EE"/>
              </w:rPr>
              <w:t>Market for Securities</w:t>
            </w:r>
          </w:p>
        </w:tc>
        <w:tc>
          <w:tcPr>
            <w:tcW w:w="2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10"/>
          </w:tcPr>
          <w:p>
            <w:pPr>
              <w:spacing w:after="0"/>
              <w:rPr>
                <w:sz w:val="14"/>
                <w:szCs w:val="14"/>
                <w:color w:val="auto"/>
              </w:rPr>
            </w:pPr>
          </w:p>
        </w:tc>
        <w:tc>
          <w:tcPr>
            <w:tcW w:w="960" w:type="dxa"/>
            <w:vAlign w:val="bottom"/>
          </w:tcPr>
          <w:p>
            <w:pPr>
              <w:spacing w:after="0"/>
              <w:rPr>
                <w:sz w:val="14"/>
                <w:szCs w:val="14"/>
                <w:color w:val="auto"/>
              </w:rPr>
            </w:pP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1440" w:type="dxa"/>
            <w:vAlign w:val="bottom"/>
            <w:tcBorders>
              <w:top w:val="single" w:sz="8" w:color="0000EE"/>
            </w:tcBorders>
            <w:gridSpan w:val="18"/>
          </w:tcPr>
          <w:p>
            <w:pPr>
              <w:spacing w:after="0" w:line="165" w:lineRule="exact"/>
              <w:rPr>
                <w:sz w:val="20"/>
                <w:szCs w:val="20"/>
                <w:color w:val="auto"/>
              </w:rPr>
            </w:pPr>
            <w:r>
              <w:rPr>
                <w:rFonts w:ascii="Arial" w:cs="Arial" w:eastAsia="Arial" w:hAnsi="Arial"/>
                <w:sz w:val="16"/>
                <w:szCs w:val="16"/>
                <w:color w:val="0000EE"/>
              </w:rPr>
              <w:t>Dividends</w:t>
            </w:r>
          </w:p>
        </w:tc>
        <w:tc>
          <w:tcPr>
            <w:tcW w:w="80" w:type="dxa"/>
            <w:vAlign w:val="bottom"/>
          </w:tcPr>
          <w:p>
            <w:pPr>
              <w:spacing w:after="0"/>
              <w:rPr>
                <w:sz w:val="14"/>
                <w:szCs w:val="14"/>
                <w:color w:val="auto"/>
              </w:rPr>
            </w:pPr>
          </w:p>
        </w:tc>
        <w:tc>
          <w:tcPr>
            <w:tcW w:w="300" w:type="dxa"/>
            <w:vAlign w:val="bottom"/>
            <w:gridSpan w:val="4"/>
          </w:tcPr>
          <w:p>
            <w:pPr>
              <w:spacing w:after="0"/>
              <w:rPr>
                <w:sz w:val="14"/>
                <w:szCs w:val="14"/>
                <w:color w:val="auto"/>
              </w:rPr>
            </w:pPr>
          </w:p>
        </w:tc>
        <w:tc>
          <w:tcPr>
            <w:tcW w:w="240" w:type="dxa"/>
            <w:vAlign w:val="bottom"/>
            <w:gridSpan w:val="3"/>
          </w:tcPr>
          <w:p>
            <w:pPr>
              <w:spacing w:after="0"/>
              <w:rPr>
                <w:sz w:val="14"/>
                <w:szCs w:val="14"/>
                <w:color w:val="auto"/>
              </w:rPr>
            </w:pPr>
          </w:p>
        </w:tc>
        <w:tc>
          <w:tcPr>
            <w:tcW w:w="140" w:type="dxa"/>
            <w:vAlign w:val="bottom"/>
            <w:gridSpan w:val="3"/>
          </w:tcPr>
          <w:p>
            <w:pPr>
              <w:spacing w:after="0"/>
              <w:rPr>
                <w:sz w:val="14"/>
                <w:szCs w:val="14"/>
                <w:color w:val="auto"/>
              </w:rPr>
            </w:pPr>
          </w:p>
        </w:tc>
        <w:tc>
          <w:tcPr>
            <w:tcW w:w="18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10"/>
          </w:tcPr>
          <w:p>
            <w:pPr>
              <w:spacing w:after="0"/>
              <w:rPr>
                <w:sz w:val="14"/>
                <w:szCs w:val="14"/>
                <w:color w:val="auto"/>
              </w:rPr>
            </w:pPr>
          </w:p>
        </w:tc>
        <w:tc>
          <w:tcPr>
            <w:tcW w:w="960" w:type="dxa"/>
            <w:vAlign w:val="bottom"/>
          </w:tcPr>
          <w:p>
            <w:pPr>
              <w:spacing w:after="0"/>
              <w:rPr>
                <w:sz w:val="14"/>
                <w:szCs w:val="14"/>
                <w:color w:val="auto"/>
              </w:rPr>
            </w:pP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680" w:type="dxa"/>
            <w:vAlign w:val="bottom"/>
            <w:tcBorders>
              <w:top w:val="single" w:sz="8" w:color="0000EE"/>
            </w:tcBorders>
            <w:gridSpan w:val="5"/>
          </w:tcPr>
          <w:p>
            <w:pPr>
              <w:spacing w:after="0" w:line="165" w:lineRule="exact"/>
              <w:rPr>
                <w:sz w:val="20"/>
                <w:szCs w:val="20"/>
                <w:color w:val="auto"/>
              </w:rPr>
            </w:pPr>
            <w:r>
              <w:rPr>
                <w:rFonts w:ascii="Arial" w:cs="Arial" w:eastAsia="Arial" w:hAnsi="Arial"/>
                <w:sz w:val="16"/>
                <w:szCs w:val="16"/>
                <w:color w:val="0000EE"/>
              </w:rPr>
              <w:t>Transfer</w:t>
            </w:r>
          </w:p>
        </w:tc>
        <w:tc>
          <w:tcPr>
            <w:tcW w:w="4920" w:type="dxa"/>
            <w:vAlign w:val="bottom"/>
            <w:gridSpan w:val="39"/>
          </w:tcPr>
          <w:p>
            <w:pPr>
              <w:spacing w:after="0" w:line="165" w:lineRule="exact"/>
              <w:rPr>
                <w:sz w:val="20"/>
                <w:szCs w:val="20"/>
                <w:color w:val="auto"/>
              </w:rPr>
            </w:pPr>
            <w:r>
              <w:rPr>
                <w:rFonts w:ascii="Arial" w:cs="Arial" w:eastAsia="Arial" w:hAnsi="Arial"/>
                <w:sz w:val="16"/>
                <w:szCs w:val="16"/>
                <w:color w:val="0000EE"/>
              </w:rPr>
              <w:t>Agents and Registrars</w:t>
            </w: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2200" w:type="dxa"/>
            <w:vAlign w:val="bottom"/>
            <w:tcBorders>
              <w:top w:val="single" w:sz="8" w:color="0000EE"/>
            </w:tcBorders>
            <w:gridSpan w:val="29"/>
          </w:tcPr>
          <w:p>
            <w:pPr>
              <w:spacing w:after="0" w:line="165" w:lineRule="exact"/>
              <w:rPr>
                <w:sz w:val="20"/>
                <w:szCs w:val="20"/>
                <w:color w:val="auto"/>
              </w:rPr>
            </w:pPr>
            <w:r>
              <w:rPr>
                <w:rFonts w:ascii="Arial" w:cs="Arial" w:eastAsia="Arial" w:hAnsi="Arial"/>
                <w:sz w:val="16"/>
                <w:szCs w:val="16"/>
                <w:color w:val="0000EE"/>
              </w:rPr>
              <w:t>Ratings of Debt Securities</w:t>
            </w:r>
          </w:p>
        </w:tc>
        <w:tc>
          <w:tcPr>
            <w:tcW w:w="18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10"/>
          </w:tcPr>
          <w:p>
            <w:pPr>
              <w:spacing w:after="0"/>
              <w:rPr>
                <w:sz w:val="14"/>
                <w:szCs w:val="14"/>
                <w:color w:val="auto"/>
              </w:rPr>
            </w:pPr>
          </w:p>
        </w:tc>
        <w:tc>
          <w:tcPr>
            <w:tcW w:w="960" w:type="dxa"/>
            <w:vAlign w:val="bottom"/>
          </w:tcPr>
          <w:p>
            <w:pPr>
              <w:spacing w:after="0"/>
              <w:rPr>
                <w:sz w:val="14"/>
                <w:szCs w:val="14"/>
                <w:color w:val="auto"/>
              </w:rPr>
            </w:pP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1820" w:type="dxa"/>
            <w:vAlign w:val="bottom"/>
            <w:tcBorders>
              <w:top w:val="single" w:sz="8" w:color="0000EE"/>
            </w:tcBorders>
            <w:gridSpan w:val="23"/>
          </w:tcPr>
          <w:p>
            <w:pPr>
              <w:spacing w:after="0" w:line="165" w:lineRule="exact"/>
              <w:rPr>
                <w:sz w:val="20"/>
                <w:szCs w:val="20"/>
                <w:color w:val="auto"/>
              </w:rPr>
            </w:pPr>
            <w:r>
              <w:rPr>
                <w:rFonts w:ascii="Arial" w:cs="Arial" w:eastAsia="Arial" w:hAnsi="Arial"/>
                <w:sz w:val="16"/>
                <w:szCs w:val="16"/>
                <w:color w:val="0000EE"/>
              </w:rPr>
              <w:t>Investment in LSEG</w:t>
            </w:r>
          </w:p>
        </w:tc>
        <w:tc>
          <w:tcPr>
            <w:tcW w:w="240" w:type="dxa"/>
            <w:vAlign w:val="bottom"/>
            <w:gridSpan w:val="3"/>
          </w:tcPr>
          <w:p>
            <w:pPr>
              <w:spacing w:after="0"/>
              <w:rPr>
                <w:sz w:val="14"/>
                <w:szCs w:val="14"/>
                <w:color w:val="auto"/>
              </w:rPr>
            </w:pPr>
          </w:p>
        </w:tc>
        <w:tc>
          <w:tcPr>
            <w:tcW w:w="320" w:type="dxa"/>
            <w:vAlign w:val="bottom"/>
            <w:gridSpan w:val="6"/>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10"/>
          </w:tcPr>
          <w:p>
            <w:pPr>
              <w:spacing w:after="0"/>
              <w:rPr>
                <w:sz w:val="14"/>
                <w:szCs w:val="14"/>
                <w:color w:val="auto"/>
              </w:rPr>
            </w:pPr>
          </w:p>
        </w:tc>
        <w:tc>
          <w:tcPr>
            <w:tcW w:w="960" w:type="dxa"/>
            <w:vAlign w:val="bottom"/>
          </w:tcPr>
          <w:p>
            <w:pPr>
              <w:spacing w:after="0"/>
              <w:rPr>
                <w:sz w:val="14"/>
                <w:szCs w:val="14"/>
                <w:color w:val="auto"/>
              </w:rPr>
            </w:pP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1300" w:type="dxa"/>
            <w:vAlign w:val="bottom"/>
            <w:tcBorders>
              <w:top w:val="single" w:sz="8" w:color="0000EE"/>
              <w:bottom w:val="single" w:sz="8" w:color="0000EE"/>
            </w:tcBorders>
            <w:gridSpan w:val="14"/>
          </w:tcPr>
          <w:p>
            <w:pPr>
              <w:spacing w:after="0" w:line="165" w:lineRule="exact"/>
              <w:rPr>
                <w:sz w:val="20"/>
                <w:szCs w:val="20"/>
                <w:color w:val="auto"/>
              </w:rPr>
            </w:pPr>
            <w:r>
              <w:rPr>
                <w:rFonts w:ascii="Arial" w:cs="Arial" w:eastAsia="Arial" w:hAnsi="Arial"/>
                <w:sz w:val="16"/>
                <w:szCs w:val="16"/>
                <w:color w:val="0000EE"/>
                <w:w w:val="98"/>
              </w:rPr>
              <w:t>Material Contracts</w:t>
            </w:r>
          </w:p>
        </w:tc>
        <w:tc>
          <w:tcPr>
            <w:tcW w:w="120" w:type="dxa"/>
            <w:vAlign w:val="bottom"/>
            <w:tcBorders>
              <w:top w:val="single" w:sz="8" w:color="0000EE"/>
            </w:tcBorders>
            <w:gridSpan w:val="3"/>
          </w:tcPr>
          <w:p>
            <w:pPr>
              <w:spacing w:after="0"/>
              <w:rPr>
                <w:sz w:val="14"/>
                <w:szCs w:val="14"/>
                <w:color w:val="auto"/>
              </w:rPr>
            </w:pPr>
          </w:p>
        </w:tc>
        <w:tc>
          <w:tcPr>
            <w:tcW w:w="100" w:type="dxa"/>
            <w:vAlign w:val="bottom"/>
            <w:gridSpan w:val="2"/>
          </w:tcPr>
          <w:p>
            <w:pPr>
              <w:spacing w:after="0"/>
              <w:rPr>
                <w:sz w:val="14"/>
                <w:szCs w:val="14"/>
                <w:color w:val="auto"/>
              </w:rPr>
            </w:pPr>
          </w:p>
        </w:tc>
        <w:tc>
          <w:tcPr>
            <w:tcW w:w="540" w:type="dxa"/>
            <w:vAlign w:val="bottom"/>
            <w:gridSpan w:val="7"/>
          </w:tcPr>
          <w:p>
            <w:pPr>
              <w:spacing w:after="0"/>
              <w:rPr>
                <w:sz w:val="14"/>
                <w:szCs w:val="14"/>
                <w:color w:val="auto"/>
              </w:rPr>
            </w:pPr>
          </w:p>
        </w:tc>
        <w:tc>
          <w:tcPr>
            <w:tcW w:w="320" w:type="dxa"/>
            <w:vAlign w:val="bottom"/>
            <w:gridSpan w:val="6"/>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10"/>
          </w:tcPr>
          <w:p>
            <w:pPr>
              <w:spacing w:after="0"/>
              <w:rPr>
                <w:sz w:val="14"/>
                <w:szCs w:val="14"/>
                <w:color w:val="auto"/>
              </w:rPr>
            </w:pPr>
          </w:p>
        </w:tc>
        <w:tc>
          <w:tcPr>
            <w:tcW w:w="960" w:type="dxa"/>
            <w:vAlign w:val="bottom"/>
          </w:tcPr>
          <w:p>
            <w:pPr>
              <w:spacing w:after="0"/>
              <w:rPr>
                <w:sz w:val="14"/>
                <w:szCs w:val="14"/>
                <w:color w:val="auto"/>
              </w:rPr>
            </w:pP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5600" w:type="dxa"/>
            <w:vAlign w:val="bottom"/>
            <w:gridSpan w:val="44"/>
          </w:tcPr>
          <w:p>
            <w:pPr>
              <w:spacing w:after="0" w:line="165" w:lineRule="exact"/>
              <w:rPr>
                <w:sz w:val="20"/>
                <w:szCs w:val="20"/>
                <w:color w:val="auto"/>
              </w:rPr>
            </w:pPr>
            <w:r>
              <w:rPr>
                <w:rFonts w:ascii="Arial" w:cs="Arial" w:eastAsia="Arial" w:hAnsi="Arial"/>
                <w:sz w:val="16"/>
                <w:szCs w:val="16"/>
                <w:color w:val="0000EE"/>
              </w:rPr>
              <w:t>Principal Subsidiaries</w:t>
            </w: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1520" w:type="dxa"/>
            <w:vAlign w:val="bottom"/>
            <w:tcBorders>
              <w:top w:val="single" w:sz="8" w:color="0000EE"/>
            </w:tcBorders>
            <w:gridSpan w:val="19"/>
          </w:tcPr>
          <w:p>
            <w:pPr>
              <w:spacing w:after="0" w:line="165" w:lineRule="exact"/>
              <w:rPr>
                <w:sz w:val="20"/>
                <w:szCs w:val="20"/>
                <w:color w:val="auto"/>
              </w:rPr>
            </w:pPr>
            <w:r>
              <w:rPr>
                <w:rFonts w:ascii="Arial" w:cs="Arial" w:eastAsia="Arial" w:hAnsi="Arial"/>
                <w:sz w:val="16"/>
                <w:szCs w:val="16"/>
                <w:color w:val="0000EE"/>
              </w:rPr>
              <w:t>Interests of Experts</w:t>
            </w:r>
          </w:p>
        </w:tc>
        <w:tc>
          <w:tcPr>
            <w:tcW w:w="540" w:type="dxa"/>
            <w:vAlign w:val="bottom"/>
            <w:gridSpan w:val="7"/>
          </w:tcPr>
          <w:p>
            <w:pPr>
              <w:spacing w:after="0"/>
              <w:rPr>
                <w:sz w:val="14"/>
                <w:szCs w:val="14"/>
                <w:color w:val="auto"/>
              </w:rPr>
            </w:pPr>
          </w:p>
        </w:tc>
        <w:tc>
          <w:tcPr>
            <w:tcW w:w="320" w:type="dxa"/>
            <w:vAlign w:val="bottom"/>
            <w:gridSpan w:val="6"/>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10"/>
          </w:tcPr>
          <w:p>
            <w:pPr>
              <w:spacing w:after="0"/>
              <w:rPr>
                <w:sz w:val="14"/>
                <w:szCs w:val="14"/>
                <w:color w:val="auto"/>
              </w:rPr>
            </w:pPr>
          </w:p>
        </w:tc>
        <w:tc>
          <w:tcPr>
            <w:tcW w:w="960" w:type="dxa"/>
            <w:vAlign w:val="bottom"/>
          </w:tcPr>
          <w:p>
            <w:pPr>
              <w:spacing w:after="0"/>
              <w:rPr>
                <w:sz w:val="14"/>
                <w:szCs w:val="14"/>
                <w:color w:val="auto"/>
              </w:rPr>
            </w:pP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1340" w:type="dxa"/>
            <w:vAlign w:val="bottom"/>
            <w:tcBorders>
              <w:top w:val="single" w:sz="8" w:color="0000EE"/>
            </w:tcBorders>
            <w:gridSpan w:val="16"/>
          </w:tcPr>
          <w:p>
            <w:pPr>
              <w:spacing w:after="0" w:line="165" w:lineRule="exact"/>
              <w:rPr>
                <w:sz w:val="20"/>
                <w:szCs w:val="20"/>
                <w:color w:val="auto"/>
              </w:rPr>
            </w:pPr>
            <w:r>
              <w:rPr>
                <w:rFonts w:ascii="Arial" w:cs="Arial" w:eastAsia="Arial" w:hAnsi="Arial"/>
                <w:sz w:val="16"/>
                <w:szCs w:val="16"/>
                <w:color w:val="0000EE"/>
                <w:w w:val="96"/>
              </w:rPr>
              <w:t>Further Information</w:t>
            </w:r>
          </w:p>
        </w:tc>
        <w:tc>
          <w:tcPr>
            <w:tcW w:w="4260" w:type="dxa"/>
            <w:vAlign w:val="bottom"/>
            <w:gridSpan w:val="28"/>
          </w:tcPr>
          <w:p>
            <w:pPr>
              <w:ind w:left="40"/>
              <w:spacing w:after="0" w:line="165" w:lineRule="exact"/>
              <w:rPr>
                <w:sz w:val="20"/>
                <w:szCs w:val="20"/>
                <w:color w:val="auto"/>
              </w:rPr>
            </w:pPr>
            <w:r>
              <w:rPr>
                <w:rFonts w:ascii="Arial" w:cs="Arial" w:eastAsia="Arial" w:hAnsi="Arial"/>
                <w:sz w:val="16"/>
                <w:szCs w:val="16"/>
                <w:color w:val="0000EE"/>
              </w:rPr>
              <w:t>and Disclosures</w:t>
            </w: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2060" w:type="dxa"/>
            <w:vAlign w:val="bottom"/>
            <w:gridSpan w:val="26"/>
            <w:shd w:val="clear" w:color="auto" w:fill="0000EE"/>
          </w:tcPr>
          <w:p>
            <w:pPr>
              <w:spacing w:after="0" w:line="20" w:lineRule="exact"/>
              <w:rPr>
                <w:sz w:val="1"/>
                <w:szCs w:val="1"/>
                <w:color w:val="auto"/>
              </w:rPr>
            </w:pPr>
          </w:p>
        </w:tc>
        <w:tc>
          <w:tcPr>
            <w:tcW w:w="320" w:type="dxa"/>
            <w:vAlign w:val="bottom"/>
            <w:tcBorders>
              <w:right w:val="single" w:sz="8" w:color="0000EE"/>
            </w:tcBorders>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40" w:type="dxa"/>
            <w:vAlign w:val="bottom"/>
            <w:gridSpan w:val="1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940" w:type="dxa"/>
            <w:vAlign w:val="bottom"/>
            <w:gridSpan w:val="45"/>
          </w:tcPr>
          <w:p>
            <w:pPr>
              <w:spacing w:after="0"/>
              <w:rPr>
                <w:sz w:val="20"/>
                <w:szCs w:val="20"/>
                <w:color w:val="auto"/>
              </w:rPr>
            </w:pPr>
            <w:r>
              <w:rPr>
                <w:rFonts w:ascii="Arial" w:cs="Arial" w:eastAsia="Arial" w:hAnsi="Arial"/>
                <w:sz w:val="21"/>
                <w:szCs w:val="21"/>
                <w:b w:val="1"/>
                <w:bCs w:val="1"/>
                <w:color w:val="0000EE"/>
              </w:rPr>
              <w:t>Cross Reference Tables</w:t>
            </w:r>
          </w:p>
        </w:tc>
        <w:tc>
          <w:tcPr>
            <w:tcW w:w="4280" w:type="dxa"/>
            <w:vAlign w:val="bottom"/>
          </w:tcPr>
          <w:p>
            <w:pPr>
              <w:jc w:val="right"/>
              <w:spacing w:after="0"/>
              <w:rPr>
                <w:sz w:val="20"/>
                <w:szCs w:val="20"/>
                <w:color w:val="auto"/>
              </w:rPr>
            </w:pPr>
            <w:r>
              <w:rPr>
                <w:rFonts w:ascii="Arial" w:cs="Arial" w:eastAsia="Arial" w:hAnsi="Arial"/>
                <w:sz w:val="16"/>
                <w:szCs w:val="16"/>
                <w:b w:val="1"/>
                <w:bCs w:val="1"/>
                <w:color w:val="auto"/>
              </w:rPr>
              <w:t>162</w:t>
            </w:r>
          </w:p>
        </w:tc>
        <w:tc>
          <w:tcPr>
            <w:tcW w:w="0" w:type="dxa"/>
            <w:vAlign w:val="bottom"/>
          </w:tcPr>
          <w:p>
            <w:pPr>
              <w:spacing w:after="0"/>
              <w:rPr>
                <w:sz w:val="1"/>
                <w:szCs w:val="1"/>
                <w:color w:val="auto"/>
              </w:rPr>
            </w:pPr>
          </w:p>
        </w:tc>
      </w:tr>
      <w:tr>
        <w:trPr>
          <w:trHeight w:val="20"/>
        </w:trPr>
        <w:tc>
          <w:tcPr>
            <w:tcW w:w="340" w:type="dxa"/>
            <w:vAlign w:val="bottom"/>
            <w:tcBorders>
              <w:right w:val="single" w:sz="8" w:color="0000EE"/>
            </w:tcBorders>
            <w:shd w:val="clear" w:color="auto" w:fill="0000EE"/>
          </w:tcPr>
          <w:p>
            <w:pPr>
              <w:spacing w:after="0" w:line="20" w:lineRule="exact"/>
              <w:rPr>
                <w:sz w:val="1"/>
                <w:szCs w:val="1"/>
                <w:color w:val="auto"/>
              </w:rPr>
            </w:pPr>
          </w:p>
        </w:tc>
        <w:tc>
          <w:tcPr>
            <w:tcW w:w="2060" w:type="dxa"/>
            <w:vAlign w:val="bottom"/>
            <w:gridSpan w:val="26"/>
            <w:shd w:val="clear" w:color="auto" w:fill="0000EE"/>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260" w:type="dxa"/>
            <w:vAlign w:val="bottom"/>
            <w:gridSpan w:val="11"/>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40" w:type="dxa"/>
            <w:vAlign w:val="bottom"/>
          </w:tcPr>
          <w:p>
            <w:pPr>
              <w:spacing w:after="0"/>
              <w:rPr>
                <w:sz w:val="15"/>
                <w:szCs w:val="15"/>
                <w:color w:val="auto"/>
              </w:rPr>
            </w:pPr>
          </w:p>
        </w:tc>
        <w:tc>
          <w:tcPr>
            <w:tcW w:w="5600" w:type="dxa"/>
            <w:vAlign w:val="bottom"/>
            <w:gridSpan w:val="44"/>
          </w:tcPr>
          <w:p>
            <w:pPr>
              <w:spacing w:after="0" w:line="179" w:lineRule="exact"/>
              <w:rPr>
                <w:sz w:val="20"/>
                <w:szCs w:val="20"/>
                <w:color w:val="auto"/>
              </w:rPr>
            </w:pPr>
            <w:r>
              <w:rPr>
                <w:rFonts w:ascii="Arial" w:cs="Arial" w:eastAsia="Arial" w:hAnsi="Arial"/>
                <w:sz w:val="16"/>
                <w:szCs w:val="16"/>
                <w:color w:val="0000EE"/>
              </w:rPr>
              <w:t>Annual Information Form (Form 51-102F2) Cross Reference Table</w:t>
            </w:r>
          </w:p>
        </w:tc>
        <w:tc>
          <w:tcPr>
            <w:tcW w:w="4280" w:type="dxa"/>
            <w:vAlign w:val="bottom"/>
          </w:tcPr>
          <w:p>
            <w:pPr>
              <w:jc w:val="right"/>
              <w:spacing w:after="0" w:line="179" w:lineRule="exact"/>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4640" w:type="dxa"/>
            <w:vAlign w:val="bottom"/>
            <w:tcBorders>
              <w:top w:val="single" w:sz="8" w:color="0000EE"/>
            </w:tcBorders>
            <w:gridSpan w:val="43"/>
          </w:tcPr>
          <w:p>
            <w:pPr>
              <w:spacing w:after="0" w:line="165" w:lineRule="exact"/>
              <w:rPr>
                <w:sz w:val="20"/>
                <w:szCs w:val="20"/>
                <w:color w:val="auto"/>
              </w:rPr>
            </w:pPr>
            <w:r>
              <w:rPr>
                <w:rFonts w:ascii="Arial" w:cs="Arial" w:eastAsia="Arial" w:hAnsi="Arial"/>
                <w:sz w:val="16"/>
                <w:szCs w:val="16"/>
                <w:color w:val="0000EE"/>
              </w:rPr>
              <w:t>Form 40-F Cross Reference Table</w:t>
            </w:r>
          </w:p>
        </w:tc>
        <w:tc>
          <w:tcPr>
            <w:tcW w:w="960" w:type="dxa"/>
            <w:vAlign w:val="bottom"/>
          </w:tcPr>
          <w:p>
            <w:pPr>
              <w:spacing w:after="0"/>
              <w:rPr>
                <w:sz w:val="14"/>
                <w:szCs w:val="14"/>
                <w:color w:val="auto"/>
              </w:rPr>
            </w:pPr>
          </w:p>
        </w:tc>
        <w:tc>
          <w:tcPr>
            <w:tcW w:w="4280" w:type="dxa"/>
            <w:vAlign w:val="bottom"/>
          </w:tcPr>
          <w:p>
            <w:pPr>
              <w:jc w:val="right"/>
              <w:spacing w:after="0" w:line="165" w:lineRule="exact"/>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20"/>
        <w:spacing w:after="0"/>
        <w:rPr>
          <w:sz w:val="20"/>
          <w:szCs w:val="20"/>
          <w:color w:val="auto"/>
        </w:rPr>
      </w:pPr>
      <w:r>
        <w:rPr>
          <w:rFonts w:ascii="Arial" w:cs="Arial" w:eastAsia="Arial" w:hAnsi="Arial"/>
          <w:sz w:val="124"/>
          <w:szCs w:val="124"/>
          <w:color w:val="auto"/>
        </w:rPr>
        <w:t> </w:t>
      </w:r>
    </w:p>
    <w:p>
      <w:pPr>
        <w:ind w:left="220"/>
        <w:spacing w:after="0" w:line="235" w:lineRule="auto"/>
        <w:rPr>
          <w:sz w:val="20"/>
          <w:szCs w:val="20"/>
          <w:color w:val="auto"/>
        </w:rPr>
      </w:pPr>
      <w:r>
        <w:rPr>
          <w:rFonts w:ascii="Arial" w:cs="Arial" w:eastAsia="Arial" w:hAnsi="Arial"/>
          <w:sz w:val="18"/>
          <w:szCs w:val="18"/>
          <w:color w:val="auto"/>
        </w:rPr>
        <w:t> </w:t>
      </w:r>
    </w:p>
    <w:p>
      <w:pPr>
        <w:ind w:left="220"/>
        <w:spacing w:after="0" w:line="230" w:lineRule="auto"/>
        <w:rPr>
          <w:sz w:val="20"/>
          <w:szCs w:val="20"/>
          <w:color w:val="auto"/>
        </w:rPr>
      </w:pPr>
      <w:r>
        <w:rPr>
          <w:rFonts w:ascii="Arial" w:cs="Arial" w:eastAsia="Arial" w:hAnsi="Arial"/>
          <w:sz w:val="18"/>
          <w:szCs w:val="18"/>
          <w:color w:val="auto"/>
        </w:rPr>
        <w:t> </w:t>
      </w:r>
    </w:p>
    <w:p>
      <w:pPr>
        <w:ind w:left="220"/>
        <w:spacing w:after="0" w:line="231" w:lineRule="auto"/>
        <w:rPr>
          <w:sz w:val="20"/>
          <w:szCs w:val="20"/>
          <w:color w:val="auto"/>
        </w:rPr>
      </w:pPr>
      <w:r>
        <w:rPr>
          <w:rFonts w:ascii="Arial" w:cs="Arial" w:eastAsia="Arial" w:hAnsi="Arial"/>
          <w:sz w:val="18"/>
          <w:szCs w:val="18"/>
          <w:color w:val="auto"/>
        </w:rPr>
        <w:t> </w:t>
      </w:r>
    </w:p>
    <w:p>
      <w:pPr>
        <w:ind w:left="220"/>
        <w:spacing w:after="0" w:line="230" w:lineRule="auto"/>
        <w:rPr>
          <w:sz w:val="20"/>
          <w:szCs w:val="20"/>
          <w:color w:val="auto"/>
        </w:rPr>
      </w:pPr>
      <w:r>
        <w:rPr>
          <w:rFonts w:ascii="Arial" w:cs="Arial" w:eastAsia="Arial" w:hAnsi="Arial"/>
          <w:sz w:val="18"/>
          <w:szCs w:val="18"/>
          <w:color w:val="auto"/>
        </w:rPr>
        <w:t> </w:t>
      </w:r>
    </w:p>
    <w:p>
      <w:pPr>
        <w:ind w:left="220"/>
        <w:spacing w:after="0" w:line="231" w:lineRule="auto"/>
        <w:rPr>
          <w:sz w:val="20"/>
          <w:szCs w:val="20"/>
          <w:color w:val="auto"/>
        </w:rPr>
      </w:pPr>
      <w:r>
        <w:rPr>
          <w:rFonts w:ascii="Arial" w:cs="Arial" w:eastAsia="Arial" w:hAnsi="Arial"/>
          <w:sz w:val="18"/>
          <w:szCs w:val="18"/>
          <w:color w:val="auto"/>
        </w:rPr>
        <w:t> </w:t>
      </w:r>
    </w:p>
    <w:p>
      <w:pPr>
        <w:ind w:left="220"/>
        <w:spacing w:after="0" w:line="230" w:lineRule="auto"/>
        <w:rPr>
          <w:sz w:val="20"/>
          <w:szCs w:val="20"/>
          <w:color w:val="auto"/>
        </w:rPr>
      </w:pPr>
      <w:r>
        <w:rPr>
          <w:rFonts w:ascii="Arial" w:cs="Arial" w:eastAsia="Arial" w:hAnsi="Arial"/>
          <w:sz w:val="18"/>
          <w:szCs w:val="18"/>
          <w:color w:val="auto"/>
        </w:rPr>
        <w:t> </w:t>
      </w:r>
    </w:p>
    <w:p>
      <w:pPr>
        <w:ind w:left="220"/>
        <w:spacing w:after="0" w:line="231" w:lineRule="auto"/>
        <w:rPr>
          <w:sz w:val="20"/>
          <w:szCs w:val="20"/>
          <w:color w:val="auto"/>
        </w:rPr>
      </w:pPr>
      <w:r>
        <w:rPr>
          <w:rFonts w:ascii="Arial" w:cs="Arial" w:eastAsia="Arial" w:hAnsi="Arial"/>
          <w:sz w:val="18"/>
          <w:szCs w:val="18"/>
          <w:color w:val="auto"/>
        </w:rPr>
        <w:t> </w:t>
      </w:r>
    </w:p>
    <w:p>
      <w:pPr>
        <w:ind w:left="220"/>
        <w:spacing w:after="0"/>
        <w:rPr>
          <w:sz w:val="20"/>
          <w:szCs w:val="20"/>
          <w:color w:val="auto"/>
        </w:rPr>
      </w:pPr>
      <w:r>
        <w:rPr>
          <w:rFonts w:ascii="Arial" w:cs="Arial" w:eastAsia="Arial" w:hAnsi="Arial"/>
          <w:sz w:val="18"/>
          <w:szCs w:val="18"/>
          <w:color w:val="auto"/>
        </w:rPr>
        <w:t> </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       Thomson Reuters Annual Report 2024</w:t>
      </w:r>
    </w:p>
    <w:p>
      <w:pPr>
        <w:sectPr>
          <w:pgSz w:w="11900" w:h="16838" w:orient="portrait"/>
          <w:cols w:equalWidth="0" w:num="1">
            <w:col w:w="10980"/>
          </w:cols>
          <w:pgMar w:left="320" w:top="477" w:right="599" w:bottom="1134"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Arial" w:cs="Arial" w:eastAsia="Arial" w:hAnsi="Arial"/>
          <w:sz w:val="46"/>
          <w:szCs w:val="46"/>
          <w:b w:val="1"/>
          <w:bCs w:val="1"/>
          <w:color w:val="D64000"/>
        </w:rPr>
        <w:t>Business</w:t>
      </w:r>
    </w:p>
    <w:p>
      <w:pPr>
        <w:spacing w:after="0" w:line="200" w:lineRule="exact"/>
        <w:rPr>
          <w:sz w:val="20"/>
          <w:szCs w:val="20"/>
          <w:color w:val="auto"/>
        </w:rPr>
      </w:pPr>
    </w:p>
    <w:p>
      <w:pPr>
        <w:spacing w:after="0" w:line="24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Overview</w:t>
      </w:r>
    </w:p>
    <w:p>
      <w:pPr>
        <w:spacing w:after="0" w:line="84" w:lineRule="exact"/>
        <w:rPr>
          <w:sz w:val="20"/>
          <w:szCs w:val="20"/>
          <w:color w:val="auto"/>
        </w:rPr>
      </w:pPr>
    </w:p>
    <w:p>
      <w:pPr>
        <w:ind w:left="220" w:right="180"/>
        <w:spacing w:after="0" w:line="254" w:lineRule="auto"/>
        <w:rPr>
          <w:sz w:val="20"/>
          <w:szCs w:val="20"/>
          <w:color w:val="auto"/>
        </w:rPr>
      </w:pPr>
      <w:r>
        <w:rPr>
          <w:rFonts w:ascii="Arial" w:cs="Arial" w:eastAsia="Arial" w:hAnsi="Arial"/>
          <w:sz w:val="16"/>
          <w:szCs w:val="16"/>
          <w:color w:val="auto"/>
        </w:rPr>
        <w:t xml:space="preserve">Thomson Reuters informs the way forward by bringing together the trusted content and technology that people and organizations need to make the right decisions. We serve professionals across legal, tax, audit, accounting, compliance, government, and media. Our products combine highly specialized software and insights to empower professionals with the data, intelligence, and solutions needed to make informed decisions, and to help institutions in their pursuit of justice, truth and transparency. Reuters, part of Thomson Reuters, is a world leading provider of trusted journalism and news. Thomson Reuters shares are listed on the Toronto Stock Exchange and the Nasdaq (symbol: TRI). Our website is </w:t>
      </w:r>
      <w:r>
        <w:rPr>
          <w:rFonts w:ascii="Arial" w:cs="Arial" w:eastAsia="Arial" w:hAnsi="Arial"/>
          <w:sz w:val="16"/>
          <w:szCs w:val="16"/>
          <w:color w:val="D64000"/>
        </w:rPr>
        <w:t>tr.com</w:t>
      </w:r>
      <w:r>
        <w:rPr>
          <w:rFonts w:ascii="Arial" w:cs="Arial" w:eastAsia="Arial" w:hAnsi="Arial"/>
          <w:sz w:val="16"/>
          <w:szCs w:val="16"/>
          <w:color w:val="auto"/>
        </w:rPr>
        <w:t>.</w:t>
      </w:r>
    </w:p>
    <w:p>
      <w:pPr>
        <w:spacing w:after="0" w:line="4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are organized in five reportable segments reflecting how we manage our businesses:</w:t>
      </w:r>
    </w:p>
    <w:p>
      <w:pPr>
        <w:spacing w:after="0" w:line="228" w:lineRule="exact"/>
        <w:rPr>
          <w:sz w:val="20"/>
          <w:szCs w:val="20"/>
          <w:color w:val="auto"/>
        </w:rPr>
      </w:pPr>
    </w:p>
    <w:p>
      <w:pPr>
        <w:ind w:left="1740"/>
        <w:spacing w:after="0"/>
        <w:rPr>
          <w:sz w:val="20"/>
          <w:szCs w:val="20"/>
          <w:color w:val="auto"/>
        </w:rPr>
      </w:pPr>
      <w:r>
        <w:rPr>
          <w:rFonts w:ascii="Arial" w:cs="Arial" w:eastAsia="Arial" w:hAnsi="Arial"/>
          <w:sz w:val="25"/>
          <w:szCs w:val="25"/>
          <w:b w:val="1"/>
          <w:bCs w:val="1"/>
          <w:color w:val="D64000"/>
        </w:rPr>
        <w:t>Legal Professionals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-58420</wp:posOffset>
            </wp:positionV>
            <wp:extent cx="471170" cy="538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1170" cy="538480"/>
                    </a:xfrm>
                    <a:prstGeom prst="rect">
                      <a:avLst/>
                    </a:prstGeom>
                    <a:noFill/>
                  </pic:spPr>
                </pic:pic>
              </a:graphicData>
            </a:graphic>
          </wp:anchor>
        </w:drawing>
      </w:r>
    </w:p>
    <w:p>
      <w:pPr>
        <w:spacing w:after="0" w:line="77" w:lineRule="exact"/>
        <w:rPr>
          <w:sz w:val="20"/>
          <w:szCs w:val="20"/>
          <w:color w:val="auto"/>
        </w:rPr>
      </w:pPr>
    </w:p>
    <w:p>
      <w:pPr>
        <w:jc w:val="both"/>
        <w:ind w:left="1740" w:right="300"/>
        <w:spacing w:after="0" w:line="243" w:lineRule="auto"/>
        <w:rPr>
          <w:sz w:val="20"/>
          <w:szCs w:val="20"/>
          <w:color w:val="auto"/>
        </w:rPr>
      </w:pPr>
      <w:r>
        <w:rPr>
          <w:rFonts w:ascii="Arial" w:cs="Arial" w:eastAsia="Arial" w:hAnsi="Arial"/>
          <w:sz w:val="17"/>
          <w:szCs w:val="17"/>
          <w:color w:val="auto"/>
        </w:rPr>
        <w:t>Serves law firms and governments with research and workflow products powered by leading-edge technologies, including generative AI, focusing on intuitive legal research and integrated legal workflow solutions that combine content, tools and analytics.</w:t>
      </w:r>
    </w:p>
    <w:p>
      <w:pPr>
        <w:spacing w:after="0" w:line="214" w:lineRule="exact"/>
        <w:rPr>
          <w:sz w:val="20"/>
          <w:szCs w:val="20"/>
          <w:color w:val="auto"/>
        </w:rPr>
      </w:pPr>
    </w:p>
    <w:p>
      <w:pPr>
        <w:ind w:left="1740"/>
        <w:spacing w:after="0"/>
        <w:rPr>
          <w:sz w:val="20"/>
          <w:szCs w:val="20"/>
          <w:color w:val="auto"/>
        </w:rPr>
      </w:pPr>
      <w:r>
        <w:rPr>
          <w:rFonts w:ascii="Arial" w:cs="Arial" w:eastAsia="Arial" w:hAnsi="Arial"/>
          <w:sz w:val="25"/>
          <w:szCs w:val="25"/>
          <w:b w:val="1"/>
          <w:bCs w:val="1"/>
          <w:color w:val="D64000"/>
        </w:rPr>
        <w:t>Corporates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-66675</wp:posOffset>
            </wp:positionV>
            <wp:extent cx="530225" cy="5556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0225" cy="555625"/>
                    </a:xfrm>
                    <a:prstGeom prst="rect">
                      <a:avLst/>
                    </a:prstGeom>
                    <a:noFill/>
                  </pic:spPr>
                </pic:pic>
              </a:graphicData>
            </a:graphic>
          </wp:anchor>
        </w:drawing>
      </w:r>
    </w:p>
    <w:p>
      <w:pPr>
        <w:spacing w:after="0" w:line="77" w:lineRule="exact"/>
        <w:rPr>
          <w:sz w:val="20"/>
          <w:szCs w:val="20"/>
          <w:color w:val="auto"/>
        </w:rPr>
      </w:pPr>
    </w:p>
    <w:p>
      <w:pPr>
        <w:ind w:left="1740" w:right="200"/>
        <w:spacing w:after="0" w:line="243" w:lineRule="auto"/>
        <w:rPr>
          <w:sz w:val="20"/>
          <w:szCs w:val="20"/>
          <w:color w:val="auto"/>
        </w:rPr>
      </w:pPr>
      <w:r>
        <w:rPr>
          <w:rFonts w:ascii="Arial" w:cs="Arial" w:eastAsia="Arial" w:hAnsi="Arial"/>
          <w:sz w:val="17"/>
          <w:szCs w:val="17"/>
          <w:color w:val="auto"/>
        </w:rPr>
        <w:t>Serves corporations, ranging from small businesses to multinational organizations, including the seven largest global accounting firms, with our full suite of content-driven products, powered by leading-edge technologies, including generative AI, and integrated compliance workflow solutions to help them achieve their business outcomes.</w:t>
      </w:r>
    </w:p>
    <w:p>
      <w:pPr>
        <w:spacing w:after="0" w:line="214" w:lineRule="exact"/>
        <w:rPr>
          <w:sz w:val="20"/>
          <w:szCs w:val="20"/>
          <w:color w:val="auto"/>
        </w:rPr>
      </w:pPr>
    </w:p>
    <w:p>
      <w:pPr>
        <w:ind w:left="1740"/>
        <w:spacing w:after="0"/>
        <w:rPr>
          <w:sz w:val="20"/>
          <w:szCs w:val="20"/>
          <w:color w:val="auto"/>
        </w:rPr>
      </w:pPr>
      <w:r>
        <w:rPr>
          <w:rFonts w:ascii="Arial" w:cs="Arial" w:eastAsia="Arial" w:hAnsi="Arial"/>
          <w:sz w:val="25"/>
          <w:szCs w:val="25"/>
          <w:b w:val="1"/>
          <w:bCs w:val="1"/>
          <w:color w:val="D64000"/>
        </w:rPr>
        <w:t>Tax &amp; Accounting Professionals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-49530</wp:posOffset>
            </wp:positionV>
            <wp:extent cx="437515" cy="4038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7515" cy="403860"/>
                    </a:xfrm>
                    <a:prstGeom prst="rect">
                      <a:avLst/>
                    </a:prstGeom>
                    <a:noFill/>
                  </pic:spPr>
                </pic:pic>
              </a:graphicData>
            </a:graphic>
          </wp:anchor>
        </w:drawing>
      </w:r>
    </w:p>
    <w:p>
      <w:pPr>
        <w:spacing w:after="0" w:line="77" w:lineRule="exact"/>
        <w:rPr>
          <w:sz w:val="20"/>
          <w:szCs w:val="20"/>
          <w:color w:val="auto"/>
        </w:rPr>
      </w:pPr>
    </w:p>
    <w:p>
      <w:pPr>
        <w:ind w:left="1740" w:right="440"/>
        <w:spacing w:after="0" w:line="260" w:lineRule="auto"/>
        <w:rPr>
          <w:sz w:val="20"/>
          <w:szCs w:val="20"/>
          <w:color w:val="auto"/>
        </w:rPr>
      </w:pPr>
      <w:r>
        <w:rPr>
          <w:rFonts w:ascii="Arial" w:cs="Arial" w:eastAsia="Arial" w:hAnsi="Arial"/>
          <w:sz w:val="17"/>
          <w:szCs w:val="17"/>
          <w:color w:val="auto"/>
        </w:rPr>
        <w:t>Serves tax, audit and accounting firms (other than the seven largest, which are served by our Corporates segment) with research and workflow products powered by leading-edge technologies, including generative AI.</w:t>
      </w:r>
    </w:p>
    <w:p>
      <w:pPr>
        <w:spacing w:after="0" w:line="199" w:lineRule="exact"/>
        <w:rPr>
          <w:sz w:val="20"/>
          <w:szCs w:val="20"/>
          <w:color w:val="auto"/>
        </w:rPr>
      </w:pPr>
    </w:p>
    <w:p>
      <w:pPr>
        <w:ind w:left="1740"/>
        <w:spacing w:after="0"/>
        <w:rPr>
          <w:sz w:val="20"/>
          <w:szCs w:val="20"/>
          <w:color w:val="auto"/>
        </w:rPr>
      </w:pPr>
      <w:r>
        <w:rPr>
          <w:rFonts w:ascii="Arial" w:cs="Arial" w:eastAsia="Arial" w:hAnsi="Arial"/>
          <w:sz w:val="25"/>
          <w:szCs w:val="25"/>
          <w:b w:val="1"/>
          <w:bCs w:val="1"/>
          <w:color w:val="D64000"/>
        </w:rPr>
        <w:t>Reuters 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0</wp:posOffset>
            </wp:positionV>
            <wp:extent cx="521970" cy="4121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970" cy="412115"/>
                    </a:xfrm>
                    <a:prstGeom prst="rect">
                      <a:avLst/>
                    </a:prstGeom>
                    <a:noFill/>
                  </pic:spPr>
                </pic:pic>
              </a:graphicData>
            </a:graphic>
          </wp:anchor>
        </w:drawing>
      </w:r>
    </w:p>
    <w:p>
      <w:pPr>
        <w:spacing w:after="0" w:line="77" w:lineRule="exact"/>
        <w:rPr>
          <w:sz w:val="20"/>
          <w:szCs w:val="20"/>
          <w:color w:val="auto"/>
        </w:rPr>
      </w:pPr>
    </w:p>
    <w:p>
      <w:pPr>
        <w:ind w:left="1740" w:right="180"/>
        <w:spacing w:after="0" w:line="243" w:lineRule="auto"/>
        <w:rPr>
          <w:sz w:val="20"/>
          <w:szCs w:val="20"/>
          <w:color w:val="auto"/>
        </w:rPr>
      </w:pPr>
      <w:r>
        <w:rPr>
          <w:rFonts w:ascii="Arial" w:cs="Arial" w:eastAsia="Arial" w:hAnsi="Arial"/>
          <w:sz w:val="17"/>
          <w:szCs w:val="17"/>
          <w:color w:val="auto"/>
        </w:rPr>
        <w:t>Supplies business, financial and global news and data to the world’s media organizations, professionals and news consumers through Reuters News Agency, Reuters.com, Reuters Events, Thomson Reuters products and to financial firms exclusively via LSEG products.</w:t>
      </w:r>
    </w:p>
    <w:p>
      <w:pPr>
        <w:spacing w:after="0" w:line="214" w:lineRule="exact"/>
        <w:rPr>
          <w:sz w:val="20"/>
          <w:szCs w:val="20"/>
          <w:color w:val="auto"/>
        </w:rPr>
      </w:pPr>
    </w:p>
    <w:p>
      <w:pPr>
        <w:ind w:left="1740"/>
        <w:spacing w:after="0"/>
        <w:rPr>
          <w:sz w:val="20"/>
          <w:szCs w:val="20"/>
          <w:color w:val="auto"/>
        </w:rPr>
      </w:pPr>
      <w:r>
        <w:rPr>
          <w:rFonts w:ascii="Arial" w:cs="Arial" w:eastAsia="Arial" w:hAnsi="Arial"/>
          <w:sz w:val="25"/>
          <w:szCs w:val="25"/>
          <w:b w:val="1"/>
          <w:bCs w:val="1"/>
          <w:color w:val="D64000"/>
        </w:rPr>
        <w:t>Global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-100330</wp:posOffset>
            </wp:positionV>
            <wp:extent cx="429260" cy="3530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9260" cy="353060"/>
                    </a:xfrm>
                    <a:prstGeom prst="rect">
                      <a:avLst/>
                    </a:prstGeom>
                    <a:noFill/>
                  </pic:spPr>
                </pic:pic>
              </a:graphicData>
            </a:graphic>
          </wp:anchor>
        </w:drawing>
      </w:r>
    </w:p>
    <w:p>
      <w:pPr>
        <w:spacing w:after="0" w:line="77" w:lineRule="exact"/>
        <w:rPr>
          <w:sz w:val="20"/>
          <w:szCs w:val="20"/>
          <w:color w:val="auto"/>
        </w:rPr>
      </w:pPr>
    </w:p>
    <w:p>
      <w:pPr>
        <w:ind w:left="1740" w:right="220"/>
        <w:spacing w:after="0" w:line="260" w:lineRule="auto"/>
        <w:rPr>
          <w:sz w:val="20"/>
          <w:szCs w:val="20"/>
          <w:color w:val="auto"/>
        </w:rPr>
      </w:pPr>
      <w:r>
        <w:rPr>
          <w:rFonts w:ascii="Arial" w:cs="Arial" w:eastAsia="Arial" w:hAnsi="Arial"/>
          <w:sz w:val="17"/>
          <w:szCs w:val="17"/>
          <w:color w:val="auto"/>
        </w:rPr>
        <w:t>Provides legal and tax information primarily in print format to customers around the world and provides commercial printing services to a wide range of book publishers.</w:t>
      </w:r>
    </w:p>
    <w:p>
      <w:pPr>
        <w:spacing w:after="0" w:line="5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We refer to our Legal Professionals, Corporates and Tax &amp; Accounting Professionals segments, on a combined basis, as our “Big 3” segments.</w:t>
      </w:r>
    </w:p>
    <w:p>
      <w:pPr>
        <w:spacing w:after="0" w:line="96" w:lineRule="exact"/>
        <w:rPr>
          <w:sz w:val="20"/>
          <w:szCs w:val="20"/>
          <w:color w:val="auto"/>
        </w:rPr>
      </w:pPr>
    </w:p>
    <w:p>
      <w:pPr>
        <w:ind w:left="220" w:right="160"/>
        <w:spacing w:after="0" w:line="238" w:lineRule="auto"/>
        <w:rPr>
          <w:sz w:val="20"/>
          <w:szCs w:val="20"/>
          <w:color w:val="auto"/>
        </w:rPr>
      </w:pPr>
      <w:r>
        <w:rPr>
          <w:rFonts w:ascii="Arial" w:cs="Arial" w:eastAsia="Arial" w:hAnsi="Arial"/>
          <w:sz w:val="17"/>
          <w:szCs w:val="17"/>
          <w:color w:val="auto"/>
        </w:rPr>
        <w:t>Our businesses are supported by a corporate center that manages our commercial and technology operations, including those around our sales capabilities, digital customer experience, and product and content development, as well as our global facilities. Costs relating to these activities are allocated to our business segments. We also report “Corporate costs”, which includes expenses for centrally managed functions such as finance, legal and human resources.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Our Business Model and Key Operating Characteristics</w:t>
      </w:r>
    </w:p>
    <w:p>
      <w:pPr>
        <w:spacing w:after="0" w:line="84" w:lineRule="exact"/>
        <w:rPr>
          <w:sz w:val="20"/>
          <w:szCs w:val="20"/>
          <w:color w:val="auto"/>
        </w:rPr>
      </w:pPr>
    </w:p>
    <w:p>
      <w:pPr>
        <w:ind w:left="220" w:right="180"/>
        <w:spacing w:after="0" w:line="234" w:lineRule="auto"/>
        <w:rPr>
          <w:sz w:val="20"/>
          <w:szCs w:val="20"/>
          <w:color w:val="auto"/>
        </w:rPr>
      </w:pPr>
      <w:r>
        <w:rPr>
          <w:rFonts w:ascii="Arial" w:cs="Arial" w:eastAsia="Arial" w:hAnsi="Arial"/>
          <w:sz w:val="17"/>
          <w:szCs w:val="17"/>
          <w:color w:val="auto"/>
        </w:rPr>
        <w:t>We derive most of our revenues from selling information and software solutions, primarily on a recurring subscription basis. Our solutions blend deep domain knowledge with software and automation tools. We believe our workflow solutions make our customers more productive by streamlining how they operate, enabling them to focus on higher value activities. Many of our customers use our solutions as part of their workflows, which has led to strong customer retention. We believe that our customers trust us because of our history and dependability and our deep understanding of their businesses and industries, and they rely on our services for navigating a rapidly changing and increasingly complex digital world. Over the years, our business model has proven to be capital efficient and cash flow generative, and it has enabled us to maintain leading and scalable positions in our chosen market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92075</wp:posOffset>
            </wp:positionV>
            <wp:extent cx="68656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6"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2</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Some of our key business and operating characteristics are:</w:t>
      </w:r>
    </w:p>
    <w:p>
      <w:pPr>
        <w:sectPr>
          <w:pgSz w:w="11900" w:h="16838" w:orient="portrait"/>
          <w:cols w:equalWidth="0" w:num="1">
            <w:col w:w="11040"/>
          </w:cols>
          <w:pgMar w:left="320" w:top="477" w:right="539" w:bottom="1440" w:gutter="0" w:footer="0" w:header="0"/>
        </w:sectPr>
      </w:pPr>
    </w:p>
    <w:p>
      <w:pPr>
        <w:spacing w:after="0" w:line="240" w:lineRule="exact"/>
        <w:rPr>
          <w:sz w:val="20"/>
          <w:szCs w:val="20"/>
          <w:color w:val="auto"/>
        </w:rPr>
      </w:pPr>
    </w:p>
    <w:p>
      <w:pPr>
        <w:ind w:left="700"/>
        <w:spacing w:after="0"/>
        <w:rPr>
          <w:sz w:val="20"/>
          <w:szCs w:val="20"/>
          <w:color w:val="auto"/>
        </w:rPr>
      </w:pPr>
      <w:r>
        <w:rPr>
          <w:rFonts w:ascii="Arial" w:cs="Arial" w:eastAsia="Arial" w:hAnsi="Arial"/>
          <w:sz w:val="25"/>
          <w:szCs w:val="25"/>
          <w:b w:val="1"/>
          <w:bCs w:val="1"/>
          <w:color w:val="D64000"/>
        </w:rPr>
        <w:t>Attractive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-167640</wp:posOffset>
            </wp:positionV>
            <wp:extent cx="8255" cy="26250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2625090"/>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-167640</wp:posOffset>
            </wp:positionV>
            <wp:extent cx="8255" cy="2625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2625090"/>
                    </a:xfrm>
                    <a:prstGeom prst="rect">
                      <a:avLst/>
                    </a:prstGeom>
                    <a:noFill/>
                  </pic:spPr>
                </pic:pic>
              </a:graphicData>
            </a:graphic>
          </wp:anchor>
        </w:drawing>
      </w:r>
    </w:p>
    <w:p>
      <w:pPr>
        <w:spacing w:after="0" w:line="8"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D64000"/>
        </w:rPr>
        <w:t>Industry</w:t>
      </w:r>
    </w:p>
    <w:p>
      <w:pPr>
        <w:spacing w:after="0" w:line="81" w:lineRule="exact"/>
        <w:rPr>
          <w:sz w:val="20"/>
          <w:szCs w:val="20"/>
          <w:color w:val="auto"/>
        </w:rPr>
      </w:pPr>
    </w:p>
    <w:p>
      <w:pPr>
        <w:jc w:val="both"/>
        <w:ind w:left="700" w:hanging="237"/>
        <w:spacing w:after="0" w:line="248" w:lineRule="auto"/>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Currently our “Big 3”</w:t>
      </w:r>
      <w:r>
        <w:rPr>
          <w:rFonts w:ascii="Arial" w:cs="Arial" w:eastAsia="Arial" w:hAnsi="Arial"/>
          <w:sz w:val="16"/>
          <w:szCs w:val="16"/>
          <w:color w:val="D64000"/>
        </w:rPr>
        <w:t xml:space="preserve"> </w:t>
      </w:r>
      <w:r>
        <w:rPr>
          <w:rFonts w:ascii="Arial" w:cs="Arial" w:eastAsia="Arial" w:hAnsi="Arial"/>
          <w:sz w:val="16"/>
          <w:szCs w:val="16"/>
          <w:color w:val="000000"/>
        </w:rPr>
        <w:t>segments operate in an estimated</w:t>
      </w:r>
    </w:p>
    <w:p>
      <w:pPr>
        <w:spacing w:after="0" w:line="2" w:lineRule="exact"/>
        <w:rPr>
          <w:sz w:val="20"/>
          <w:szCs w:val="20"/>
          <w:color w:val="auto"/>
        </w:rPr>
      </w:pPr>
    </w:p>
    <w:p>
      <w:pPr>
        <w:jc w:val="both"/>
        <w:ind w:left="700" w:right="180"/>
        <w:spacing w:after="0" w:line="245" w:lineRule="auto"/>
        <w:rPr>
          <w:sz w:val="20"/>
          <w:szCs w:val="20"/>
          <w:color w:val="auto"/>
        </w:rPr>
      </w:pPr>
      <w:r>
        <w:rPr>
          <w:rFonts w:ascii="Arial" w:cs="Arial" w:eastAsia="Arial" w:hAnsi="Arial"/>
          <w:sz w:val="16"/>
          <w:szCs w:val="16"/>
          <w:color w:val="auto"/>
        </w:rPr>
        <w:t>$28 billion market expected to grow between 8% and 11% over the next 5 years</w:t>
      </w:r>
    </w:p>
    <w:p>
      <w:pPr>
        <w:spacing w:after="0" w:line="65" w:lineRule="exact"/>
        <w:rPr>
          <w:sz w:val="20"/>
          <w:szCs w:val="20"/>
          <w:color w:val="auto"/>
        </w:rPr>
      </w:pPr>
    </w:p>
    <w:p>
      <w:pPr>
        <w:jc w:val="both"/>
        <w:ind w:left="700" w:right="160" w:hanging="237"/>
        <w:spacing w:after="0" w:line="253" w:lineRule="auto"/>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Legal, Tax &amp; Risk</w:t>
      </w:r>
      <w:r>
        <w:rPr>
          <w:rFonts w:ascii="Arial" w:cs="Arial" w:eastAsia="Arial" w:hAnsi="Arial"/>
          <w:sz w:val="16"/>
          <w:szCs w:val="16"/>
          <w:color w:val="D64000"/>
        </w:rPr>
        <w:t xml:space="preserve"> </w:t>
      </w:r>
      <w:r>
        <w:rPr>
          <w:rFonts w:ascii="Arial" w:cs="Arial" w:eastAsia="Arial" w:hAnsi="Arial"/>
          <w:sz w:val="16"/>
          <w:szCs w:val="16"/>
          <w:color w:val="000000"/>
        </w:rPr>
        <w:t>markets are prime for content-driven innovation</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7"/>
        </w:trPr>
        <w:tc>
          <w:tcPr>
            <w:tcW w:w="120" w:type="dxa"/>
            <w:vAlign w:val="bottom"/>
          </w:tcPr>
          <w:p>
            <w:pPr>
              <w:spacing w:after="0"/>
              <w:rPr>
                <w:sz w:val="24"/>
                <w:szCs w:val="24"/>
                <w:color w:val="auto"/>
              </w:rPr>
            </w:pPr>
          </w:p>
        </w:tc>
        <w:tc>
          <w:tcPr>
            <w:tcW w:w="1880" w:type="dxa"/>
            <w:vAlign w:val="bottom"/>
            <w:tcBorders>
              <w:right w:val="single" w:sz="8" w:color="D64000"/>
            </w:tcBorders>
          </w:tcPr>
          <w:p>
            <w:pPr>
              <w:jc w:val="center"/>
              <w:ind w:right="133"/>
              <w:spacing w:after="0"/>
              <w:rPr>
                <w:sz w:val="20"/>
                <w:szCs w:val="20"/>
                <w:color w:val="auto"/>
              </w:rPr>
            </w:pPr>
            <w:r>
              <w:rPr>
                <w:rFonts w:ascii="Arial" w:cs="Arial" w:eastAsia="Arial" w:hAnsi="Arial"/>
                <w:sz w:val="25"/>
                <w:szCs w:val="25"/>
                <w:b w:val="1"/>
                <w:bCs w:val="1"/>
                <w:color w:val="D64000"/>
                <w:w w:val="99"/>
              </w:rPr>
              <w:t>Balanced and</w:t>
            </w:r>
          </w:p>
        </w:tc>
        <w:tc>
          <w:tcPr>
            <w:tcW w:w="2260" w:type="dxa"/>
            <w:vAlign w:val="bottom"/>
            <w:tcBorders>
              <w:right w:val="single" w:sz="8" w:color="D64000"/>
            </w:tcBorders>
          </w:tcPr>
          <w:p>
            <w:pPr>
              <w:jc w:val="center"/>
              <w:spacing w:after="0"/>
              <w:rPr>
                <w:sz w:val="20"/>
                <w:szCs w:val="20"/>
                <w:color w:val="auto"/>
              </w:rPr>
            </w:pPr>
            <w:r>
              <w:rPr>
                <w:rFonts w:ascii="Arial" w:cs="Arial" w:eastAsia="Arial" w:hAnsi="Arial"/>
                <w:sz w:val="25"/>
                <w:szCs w:val="25"/>
                <w:b w:val="1"/>
                <w:bCs w:val="1"/>
                <w:color w:val="D64000"/>
                <w:w w:val="98"/>
              </w:rPr>
              <w:t>Attractive</w:t>
            </w:r>
          </w:p>
        </w:tc>
        <w:tc>
          <w:tcPr>
            <w:tcW w:w="0" w:type="dxa"/>
            <w:vAlign w:val="bottom"/>
          </w:tcPr>
          <w:p>
            <w:pPr>
              <w:spacing w:after="0"/>
              <w:rPr>
                <w:sz w:val="1"/>
                <w:szCs w:val="1"/>
                <w:color w:val="auto"/>
              </w:rPr>
            </w:pPr>
          </w:p>
        </w:tc>
      </w:tr>
      <w:tr>
        <w:trPr>
          <w:trHeight w:val="292"/>
        </w:trPr>
        <w:tc>
          <w:tcPr>
            <w:tcW w:w="120" w:type="dxa"/>
            <w:vAlign w:val="bottom"/>
          </w:tcPr>
          <w:p>
            <w:pPr>
              <w:spacing w:after="0"/>
              <w:rPr>
                <w:sz w:val="24"/>
                <w:szCs w:val="24"/>
                <w:color w:val="auto"/>
              </w:rPr>
            </w:pPr>
          </w:p>
        </w:tc>
        <w:tc>
          <w:tcPr>
            <w:tcW w:w="1880" w:type="dxa"/>
            <w:vAlign w:val="bottom"/>
            <w:tcBorders>
              <w:right w:val="single" w:sz="8" w:color="D64000"/>
            </w:tcBorders>
          </w:tcPr>
          <w:p>
            <w:pPr>
              <w:jc w:val="center"/>
              <w:ind w:right="133"/>
              <w:spacing w:after="0"/>
              <w:rPr>
                <w:sz w:val="20"/>
                <w:szCs w:val="20"/>
                <w:color w:val="auto"/>
              </w:rPr>
            </w:pPr>
            <w:r>
              <w:rPr>
                <w:rFonts w:ascii="Arial" w:cs="Arial" w:eastAsia="Arial" w:hAnsi="Arial"/>
                <w:sz w:val="25"/>
                <w:szCs w:val="25"/>
                <w:b w:val="1"/>
                <w:bCs w:val="1"/>
                <w:color w:val="D64000"/>
                <w:w w:val="98"/>
              </w:rPr>
              <w:t>Diversified</w:t>
            </w:r>
          </w:p>
        </w:tc>
        <w:tc>
          <w:tcPr>
            <w:tcW w:w="2260" w:type="dxa"/>
            <w:vAlign w:val="bottom"/>
            <w:tcBorders>
              <w:right w:val="single" w:sz="8" w:color="D64000"/>
            </w:tcBorders>
          </w:tcPr>
          <w:p>
            <w:pPr>
              <w:jc w:val="center"/>
              <w:spacing w:after="0"/>
              <w:rPr>
                <w:sz w:val="20"/>
                <w:szCs w:val="20"/>
                <w:color w:val="auto"/>
              </w:rPr>
            </w:pPr>
            <w:r>
              <w:rPr>
                <w:rFonts w:ascii="Arial" w:cs="Arial" w:eastAsia="Arial" w:hAnsi="Arial"/>
                <w:sz w:val="25"/>
                <w:szCs w:val="25"/>
                <w:b w:val="1"/>
                <w:bCs w:val="1"/>
                <w:color w:val="D64000"/>
                <w:w w:val="98"/>
              </w:rPr>
              <w:t>Business</w:t>
            </w:r>
          </w:p>
        </w:tc>
        <w:tc>
          <w:tcPr>
            <w:tcW w:w="0" w:type="dxa"/>
            <w:vAlign w:val="bottom"/>
          </w:tcPr>
          <w:p>
            <w:pPr>
              <w:spacing w:after="0"/>
              <w:rPr>
                <w:sz w:val="1"/>
                <w:szCs w:val="1"/>
                <w:color w:val="auto"/>
              </w:rPr>
            </w:pPr>
          </w:p>
        </w:tc>
      </w:tr>
      <w:tr>
        <w:trPr>
          <w:trHeight w:val="340"/>
        </w:trPr>
        <w:tc>
          <w:tcPr>
            <w:tcW w:w="120" w:type="dxa"/>
            <w:vAlign w:val="bottom"/>
          </w:tcPr>
          <w:p>
            <w:pPr>
              <w:spacing w:after="0"/>
              <w:rPr>
                <w:sz w:val="24"/>
                <w:szCs w:val="24"/>
                <w:color w:val="auto"/>
              </w:rPr>
            </w:pPr>
          </w:p>
        </w:tc>
        <w:tc>
          <w:tcPr>
            <w:tcW w:w="1880" w:type="dxa"/>
            <w:vAlign w:val="bottom"/>
            <w:tcBorders>
              <w:right w:val="single" w:sz="8" w:color="D64000"/>
            </w:tcBorders>
          </w:tcPr>
          <w:p>
            <w:pPr>
              <w:jc w:val="center"/>
              <w:ind w:right="113"/>
              <w:spacing w:after="0"/>
              <w:rPr>
                <w:sz w:val="20"/>
                <w:szCs w:val="20"/>
                <w:color w:val="auto"/>
              </w:rPr>
            </w:pPr>
            <w:r>
              <w:rPr>
                <w:rFonts w:ascii="Arial" w:cs="Arial" w:eastAsia="Arial" w:hAnsi="Arial"/>
                <w:sz w:val="25"/>
                <w:szCs w:val="25"/>
                <w:b w:val="1"/>
                <w:bCs w:val="1"/>
                <w:color w:val="D64000"/>
                <w:w w:val="98"/>
              </w:rPr>
              <w:t>Leadership</w:t>
            </w:r>
          </w:p>
        </w:tc>
        <w:tc>
          <w:tcPr>
            <w:tcW w:w="2260" w:type="dxa"/>
            <w:vAlign w:val="bottom"/>
            <w:tcBorders>
              <w:right w:val="single" w:sz="8" w:color="D64000"/>
            </w:tcBorders>
          </w:tcPr>
          <w:p>
            <w:pPr>
              <w:jc w:val="center"/>
              <w:spacing w:after="0"/>
              <w:rPr>
                <w:sz w:val="20"/>
                <w:szCs w:val="20"/>
                <w:color w:val="auto"/>
              </w:rPr>
            </w:pPr>
            <w:r>
              <w:rPr>
                <w:rFonts w:ascii="Arial" w:cs="Arial" w:eastAsia="Arial" w:hAnsi="Arial"/>
                <w:sz w:val="25"/>
                <w:szCs w:val="25"/>
                <w:b w:val="1"/>
                <w:bCs w:val="1"/>
                <w:color w:val="D64000"/>
                <w:w w:val="99"/>
              </w:rPr>
              <w:t>Model</w:t>
            </w:r>
          </w:p>
        </w:tc>
        <w:tc>
          <w:tcPr>
            <w:tcW w:w="0" w:type="dxa"/>
            <w:vAlign w:val="bottom"/>
          </w:tcPr>
          <w:p>
            <w:pPr>
              <w:spacing w:after="0"/>
              <w:rPr>
                <w:sz w:val="1"/>
                <w:szCs w:val="1"/>
                <w:color w:val="auto"/>
              </w:rPr>
            </w:pPr>
          </w:p>
        </w:tc>
      </w:tr>
      <w:tr>
        <w:trPr>
          <w:trHeight w:val="238"/>
        </w:trPr>
        <w:tc>
          <w:tcPr>
            <w:tcW w:w="2000" w:type="dxa"/>
            <w:vAlign w:val="bottom"/>
            <w:tcBorders>
              <w:right w:val="single" w:sz="8" w:color="D64000"/>
            </w:tcBorders>
            <w:gridSpan w:val="2"/>
          </w:tcPr>
          <w:p>
            <w:pPr>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A leader in key Legal</w:t>
            </w:r>
          </w:p>
        </w:tc>
        <w:tc>
          <w:tcPr>
            <w:tcW w:w="2260" w:type="dxa"/>
            <w:vAlign w:val="bottom"/>
            <w:tcBorders>
              <w:right w:val="single" w:sz="8" w:color="D64000"/>
            </w:tcBorders>
          </w:tcPr>
          <w:p>
            <w:pPr>
              <w:ind w:left="16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81% of revenues were</w:t>
            </w: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1880" w:type="dxa"/>
            <w:vAlign w:val="bottom"/>
            <w:tcBorders>
              <w:right w:val="single" w:sz="8" w:color="D64000"/>
            </w:tcBorders>
          </w:tcPr>
          <w:p>
            <w:pPr>
              <w:ind w:left="120"/>
              <w:spacing w:after="0"/>
              <w:rPr>
                <w:sz w:val="20"/>
                <w:szCs w:val="20"/>
                <w:color w:val="auto"/>
              </w:rPr>
            </w:pPr>
            <w:r>
              <w:rPr>
                <w:rFonts w:ascii="Arial" w:cs="Arial" w:eastAsia="Arial" w:hAnsi="Arial"/>
                <w:sz w:val="16"/>
                <w:szCs w:val="16"/>
                <w:color w:val="auto"/>
              </w:rPr>
              <w:t>Professionals,</w:t>
            </w:r>
          </w:p>
        </w:tc>
        <w:tc>
          <w:tcPr>
            <w:tcW w:w="2260" w:type="dxa"/>
            <w:vAlign w:val="bottom"/>
            <w:tcBorders>
              <w:right w:val="single" w:sz="8" w:color="D64000"/>
            </w:tcBorders>
          </w:tcPr>
          <w:p>
            <w:pPr>
              <w:ind w:left="400"/>
              <w:spacing w:after="0"/>
              <w:rPr>
                <w:sz w:val="20"/>
                <w:szCs w:val="20"/>
                <w:color w:val="auto"/>
              </w:rPr>
            </w:pPr>
            <w:r>
              <w:rPr>
                <w:rFonts w:ascii="Arial" w:cs="Arial" w:eastAsia="Arial" w:hAnsi="Arial"/>
                <w:sz w:val="16"/>
                <w:szCs w:val="16"/>
                <w:color w:val="auto"/>
              </w:rPr>
              <w:t>recurring in 2024</w:t>
            </w: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1880" w:type="dxa"/>
            <w:vAlign w:val="bottom"/>
            <w:tcBorders>
              <w:right w:val="single" w:sz="8" w:color="D64000"/>
            </w:tcBorders>
          </w:tcPr>
          <w:p>
            <w:pPr>
              <w:ind w:left="120"/>
              <w:spacing w:after="0"/>
              <w:rPr>
                <w:sz w:val="20"/>
                <w:szCs w:val="20"/>
                <w:color w:val="auto"/>
              </w:rPr>
            </w:pPr>
            <w:r>
              <w:rPr>
                <w:rFonts w:ascii="Arial" w:cs="Arial" w:eastAsia="Arial" w:hAnsi="Arial"/>
                <w:sz w:val="16"/>
                <w:szCs w:val="16"/>
                <w:color w:val="auto"/>
              </w:rPr>
              <w:t>Corporates, Tax &amp;</w:t>
            </w:r>
          </w:p>
        </w:tc>
        <w:tc>
          <w:tcPr>
            <w:tcW w:w="2260" w:type="dxa"/>
            <w:vAlign w:val="bottom"/>
            <w:tcBorders>
              <w:right w:val="single" w:sz="8" w:color="D64000"/>
            </w:tcBorders>
            <w:vMerge w:val="restart"/>
          </w:tcPr>
          <w:p>
            <w:pPr>
              <w:ind w:left="16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Fixed cost model supports</w:t>
            </w:r>
          </w:p>
        </w:tc>
        <w:tc>
          <w:tcPr>
            <w:tcW w:w="0" w:type="dxa"/>
            <w:vAlign w:val="bottom"/>
          </w:tcPr>
          <w:p>
            <w:pPr>
              <w:spacing w:after="0"/>
              <w:rPr>
                <w:sz w:val="1"/>
                <w:szCs w:val="1"/>
                <w:color w:val="auto"/>
              </w:rPr>
            </w:pPr>
          </w:p>
        </w:tc>
      </w:tr>
      <w:tr>
        <w:trPr>
          <w:trHeight w:val="93"/>
        </w:trPr>
        <w:tc>
          <w:tcPr>
            <w:tcW w:w="120" w:type="dxa"/>
            <w:vAlign w:val="bottom"/>
          </w:tcPr>
          <w:p>
            <w:pPr>
              <w:spacing w:after="0"/>
              <w:rPr>
                <w:sz w:val="8"/>
                <w:szCs w:val="8"/>
                <w:color w:val="auto"/>
              </w:rPr>
            </w:pPr>
          </w:p>
        </w:tc>
        <w:tc>
          <w:tcPr>
            <w:tcW w:w="1880" w:type="dxa"/>
            <w:vAlign w:val="bottom"/>
            <w:tcBorders>
              <w:right w:val="single" w:sz="8" w:color="D64000"/>
            </w:tcBorders>
            <w:vMerge w:val="restart"/>
          </w:tcPr>
          <w:p>
            <w:pPr>
              <w:ind w:left="120"/>
              <w:spacing w:after="0"/>
              <w:rPr>
                <w:sz w:val="20"/>
                <w:szCs w:val="20"/>
                <w:color w:val="auto"/>
              </w:rPr>
            </w:pPr>
            <w:r>
              <w:rPr>
                <w:rFonts w:ascii="Arial" w:cs="Arial" w:eastAsia="Arial" w:hAnsi="Arial"/>
                <w:sz w:val="16"/>
                <w:szCs w:val="16"/>
                <w:color w:val="auto"/>
              </w:rPr>
              <w:t>Accounting</w:t>
            </w:r>
          </w:p>
        </w:tc>
        <w:tc>
          <w:tcPr>
            <w:tcW w:w="2260" w:type="dxa"/>
            <w:vAlign w:val="bottom"/>
            <w:tcBorders>
              <w:right w:val="single" w:sz="8" w:color="D6400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20" w:type="dxa"/>
            <w:vAlign w:val="bottom"/>
          </w:tcPr>
          <w:p>
            <w:pPr>
              <w:spacing w:after="0"/>
              <w:rPr>
                <w:sz w:val="8"/>
                <w:szCs w:val="8"/>
                <w:color w:val="auto"/>
              </w:rPr>
            </w:pPr>
          </w:p>
        </w:tc>
        <w:tc>
          <w:tcPr>
            <w:tcW w:w="1880" w:type="dxa"/>
            <w:vAlign w:val="bottom"/>
            <w:tcBorders>
              <w:right w:val="single" w:sz="8" w:color="D64000"/>
            </w:tcBorders>
            <w:vMerge w:val="continue"/>
          </w:tcPr>
          <w:p>
            <w:pPr>
              <w:spacing w:after="0"/>
              <w:rPr>
                <w:sz w:val="8"/>
                <w:szCs w:val="8"/>
                <w:color w:val="auto"/>
              </w:rPr>
            </w:pPr>
          </w:p>
        </w:tc>
        <w:tc>
          <w:tcPr>
            <w:tcW w:w="2260" w:type="dxa"/>
            <w:vAlign w:val="bottom"/>
            <w:tcBorders>
              <w:right w:val="single" w:sz="8" w:color="D64000"/>
            </w:tcBorders>
            <w:vMerge w:val="restart"/>
          </w:tcPr>
          <w:p>
            <w:pPr>
              <w:ind w:left="400"/>
              <w:spacing w:after="0"/>
              <w:rPr>
                <w:sz w:val="20"/>
                <w:szCs w:val="20"/>
                <w:color w:val="auto"/>
              </w:rPr>
            </w:pPr>
            <w:r>
              <w:rPr>
                <w:rFonts w:ascii="Arial" w:cs="Arial" w:eastAsia="Arial" w:hAnsi="Arial"/>
                <w:sz w:val="16"/>
                <w:szCs w:val="16"/>
                <w:color w:val="auto"/>
              </w:rPr>
              <w:t>operating leverage as we</w:t>
            </w:r>
          </w:p>
        </w:tc>
        <w:tc>
          <w:tcPr>
            <w:tcW w:w="0" w:type="dxa"/>
            <w:vAlign w:val="bottom"/>
          </w:tcPr>
          <w:p>
            <w:pPr>
              <w:spacing w:after="0"/>
              <w:rPr>
                <w:sz w:val="1"/>
                <w:szCs w:val="1"/>
                <w:color w:val="auto"/>
              </w:rPr>
            </w:pPr>
          </w:p>
        </w:tc>
      </w:tr>
      <w:tr>
        <w:trPr>
          <w:trHeight w:val="93"/>
        </w:trPr>
        <w:tc>
          <w:tcPr>
            <w:tcW w:w="120" w:type="dxa"/>
            <w:vAlign w:val="bottom"/>
          </w:tcPr>
          <w:p>
            <w:pPr>
              <w:spacing w:after="0"/>
              <w:rPr>
                <w:sz w:val="8"/>
                <w:szCs w:val="8"/>
                <w:color w:val="auto"/>
              </w:rPr>
            </w:pPr>
          </w:p>
        </w:tc>
        <w:tc>
          <w:tcPr>
            <w:tcW w:w="1880" w:type="dxa"/>
            <w:vAlign w:val="bottom"/>
            <w:tcBorders>
              <w:right w:val="single" w:sz="8" w:color="D64000"/>
            </w:tcBorders>
            <w:vMerge w:val="restart"/>
          </w:tcPr>
          <w:p>
            <w:pPr>
              <w:ind w:left="120"/>
              <w:spacing w:after="0"/>
              <w:rPr>
                <w:sz w:val="20"/>
                <w:szCs w:val="20"/>
                <w:color w:val="auto"/>
              </w:rPr>
            </w:pPr>
            <w:r>
              <w:rPr>
                <w:rFonts w:ascii="Arial" w:cs="Arial" w:eastAsia="Arial" w:hAnsi="Arial"/>
                <w:sz w:val="16"/>
                <w:szCs w:val="16"/>
                <w:color w:val="auto"/>
              </w:rPr>
              <w:t>Professionals and News</w:t>
            </w:r>
          </w:p>
        </w:tc>
        <w:tc>
          <w:tcPr>
            <w:tcW w:w="2260" w:type="dxa"/>
            <w:vAlign w:val="bottom"/>
            <w:tcBorders>
              <w:right w:val="single" w:sz="8" w:color="D6400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20" w:type="dxa"/>
            <w:vAlign w:val="bottom"/>
          </w:tcPr>
          <w:p>
            <w:pPr>
              <w:spacing w:after="0"/>
              <w:rPr>
                <w:sz w:val="8"/>
                <w:szCs w:val="8"/>
                <w:color w:val="auto"/>
              </w:rPr>
            </w:pPr>
          </w:p>
        </w:tc>
        <w:tc>
          <w:tcPr>
            <w:tcW w:w="1880" w:type="dxa"/>
            <w:vAlign w:val="bottom"/>
            <w:tcBorders>
              <w:right w:val="single" w:sz="8" w:color="D64000"/>
            </w:tcBorders>
            <w:vMerge w:val="continue"/>
          </w:tcPr>
          <w:p>
            <w:pPr>
              <w:spacing w:after="0"/>
              <w:rPr>
                <w:sz w:val="8"/>
                <w:szCs w:val="8"/>
                <w:color w:val="auto"/>
              </w:rPr>
            </w:pPr>
          </w:p>
        </w:tc>
        <w:tc>
          <w:tcPr>
            <w:tcW w:w="2260" w:type="dxa"/>
            <w:vAlign w:val="bottom"/>
            <w:tcBorders>
              <w:right w:val="single" w:sz="8" w:color="D64000"/>
            </w:tcBorders>
            <w:vMerge w:val="restart"/>
          </w:tcPr>
          <w:p>
            <w:pPr>
              <w:ind w:left="400"/>
              <w:spacing w:after="0"/>
              <w:rPr>
                <w:sz w:val="20"/>
                <w:szCs w:val="20"/>
                <w:color w:val="auto"/>
              </w:rPr>
            </w:pPr>
            <w:r>
              <w:rPr>
                <w:rFonts w:ascii="Arial" w:cs="Arial" w:eastAsia="Arial" w:hAnsi="Arial"/>
                <w:sz w:val="16"/>
                <w:szCs w:val="16"/>
                <w:color w:val="auto"/>
              </w:rPr>
              <w:t>grow</w:t>
            </w:r>
          </w:p>
        </w:tc>
        <w:tc>
          <w:tcPr>
            <w:tcW w:w="0" w:type="dxa"/>
            <w:vAlign w:val="bottom"/>
          </w:tcPr>
          <w:p>
            <w:pPr>
              <w:spacing w:after="0"/>
              <w:rPr>
                <w:sz w:val="1"/>
                <w:szCs w:val="1"/>
                <w:color w:val="auto"/>
              </w:rPr>
            </w:pPr>
          </w:p>
        </w:tc>
      </w:tr>
      <w:tr>
        <w:trPr>
          <w:trHeight w:val="117"/>
        </w:trPr>
        <w:tc>
          <w:tcPr>
            <w:tcW w:w="120" w:type="dxa"/>
            <w:vAlign w:val="bottom"/>
          </w:tcPr>
          <w:p>
            <w:pPr>
              <w:spacing w:after="0"/>
              <w:rPr>
                <w:sz w:val="10"/>
                <w:szCs w:val="10"/>
                <w:color w:val="auto"/>
              </w:rPr>
            </w:pPr>
          </w:p>
        </w:tc>
        <w:tc>
          <w:tcPr>
            <w:tcW w:w="1880" w:type="dxa"/>
            <w:vAlign w:val="bottom"/>
            <w:tcBorders>
              <w:right w:val="single" w:sz="8" w:color="D64000"/>
            </w:tcBorders>
            <w:vMerge w:val="restart"/>
          </w:tcPr>
          <w:p>
            <w:pPr>
              <w:ind w:left="120"/>
              <w:spacing w:after="0"/>
              <w:rPr>
                <w:sz w:val="20"/>
                <w:szCs w:val="20"/>
                <w:color w:val="auto"/>
              </w:rPr>
            </w:pPr>
            <w:r>
              <w:rPr>
                <w:rFonts w:ascii="Arial" w:cs="Arial" w:eastAsia="Arial" w:hAnsi="Arial"/>
                <w:sz w:val="16"/>
                <w:szCs w:val="16"/>
                <w:color w:val="auto"/>
              </w:rPr>
              <w:t>segments</w:t>
            </w:r>
          </w:p>
        </w:tc>
        <w:tc>
          <w:tcPr>
            <w:tcW w:w="2260" w:type="dxa"/>
            <w:vAlign w:val="bottom"/>
            <w:tcBorders>
              <w:right w:val="single" w:sz="8" w:color="D64000"/>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20" w:type="dxa"/>
            <w:vAlign w:val="bottom"/>
          </w:tcPr>
          <w:p>
            <w:pPr>
              <w:spacing w:after="0"/>
              <w:rPr>
                <w:sz w:val="8"/>
                <w:szCs w:val="8"/>
                <w:color w:val="auto"/>
              </w:rPr>
            </w:pPr>
          </w:p>
        </w:tc>
        <w:tc>
          <w:tcPr>
            <w:tcW w:w="1880" w:type="dxa"/>
            <w:vAlign w:val="bottom"/>
            <w:tcBorders>
              <w:right w:val="single" w:sz="8" w:color="D64000"/>
            </w:tcBorders>
            <w:vMerge w:val="continue"/>
          </w:tcPr>
          <w:p>
            <w:pPr>
              <w:spacing w:after="0"/>
              <w:rPr>
                <w:sz w:val="8"/>
                <w:szCs w:val="8"/>
                <w:color w:val="auto"/>
              </w:rPr>
            </w:pPr>
          </w:p>
        </w:tc>
        <w:tc>
          <w:tcPr>
            <w:tcW w:w="2260" w:type="dxa"/>
            <w:vAlign w:val="bottom"/>
            <w:tcBorders>
              <w:right w:val="single" w:sz="8" w:color="D64000"/>
            </w:tcBorders>
            <w:vMerge w:val="restart"/>
          </w:tcPr>
          <w:p>
            <w:pPr>
              <w:ind w:left="16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Strong and consistent</w:t>
            </w:r>
          </w:p>
        </w:tc>
        <w:tc>
          <w:tcPr>
            <w:tcW w:w="0" w:type="dxa"/>
            <w:vAlign w:val="bottom"/>
          </w:tcPr>
          <w:p>
            <w:pPr>
              <w:spacing w:after="0"/>
              <w:rPr>
                <w:sz w:val="1"/>
                <w:szCs w:val="1"/>
                <w:color w:val="auto"/>
              </w:rPr>
            </w:pPr>
          </w:p>
        </w:tc>
      </w:tr>
      <w:tr>
        <w:trPr>
          <w:trHeight w:val="161"/>
        </w:trPr>
        <w:tc>
          <w:tcPr>
            <w:tcW w:w="120" w:type="dxa"/>
            <w:vAlign w:val="bottom"/>
            <w:vMerge w:val="restart"/>
          </w:tcPr>
          <w:p>
            <w:pPr>
              <w:spacing w:after="0"/>
              <w:rPr>
                <w:sz w:val="20"/>
                <w:szCs w:val="20"/>
                <w:color w:val="auto"/>
              </w:rPr>
            </w:pPr>
            <w:r>
              <w:rPr>
                <w:rFonts w:ascii="Arial" w:cs="Arial" w:eastAsia="Arial" w:hAnsi="Arial"/>
                <w:sz w:val="16"/>
                <w:szCs w:val="16"/>
                <w:color w:val="D64000"/>
                <w:w w:val="99"/>
              </w:rPr>
              <w:t>•</w:t>
            </w:r>
            <w:r>
              <w:rPr>
                <w:rFonts w:ascii="Arial" w:cs="Arial" w:eastAsia="Arial" w:hAnsi="Arial"/>
                <w:sz w:val="16"/>
                <w:szCs w:val="16"/>
                <w:color w:val="000000"/>
                <w:w w:val="99"/>
              </w:rPr>
              <w:t xml:space="preserve"> </w:t>
            </w:r>
          </w:p>
        </w:tc>
        <w:tc>
          <w:tcPr>
            <w:tcW w:w="1880" w:type="dxa"/>
            <w:vAlign w:val="bottom"/>
            <w:tcBorders>
              <w:right w:val="single" w:sz="8" w:color="D64000"/>
            </w:tcBorders>
            <w:vMerge w:val="restart"/>
          </w:tcPr>
          <w:p>
            <w:pPr>
              <w:ind w:left="100"/>
              <w:spacing w:after="0"/>
              <w:rPr>
                <w:sz w:val="20"/>
                <w:szCs w:val="20"/>
                <w:color w:val="auto"/>
              </w:rPr>
            </w:pPr>
            <w:r>
              <w:rPr>
                <w:rFonts w:ascii="Arial" w:cs="Arial" w:eastAsia="Arial" w:hAnsi="Arial"/>
                <w:sz w:val="16"/>
                <w:szCs w:val="16"/>
                <w:color w:val="auto"/>
              </w:rPr>
              <w:t>Resilient businesses,</w:t>
            </w:r>
          </w:p>
        </w:tc>
        <w:tc>
          <w:tcPr>
            <w:tcW w:w="2260" w:type="dxa"/>
            <w:vAlign w:val="bottom"/>
            <w:tcBorders>
              <w:right w:val="single" w:sz="8" w:color="D64000"/>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20" w:type="dxa"/>
            <w:vAlign w:val="bottom"/>
            <w:vMerge w:val="continue"/>
          </w:tcPr>
          <w:p>
            <w:pPr>
              <w:spacing w:after="0"/>
              <w:rPr>
                <w:sz w:val="8"/>
                <w:szCs w:val="8"/>
                <w:color w:val="auto"/>
              </w:rPr>
            </w:pPr>
          </w:p>
        </w:tc>
        <w:tc>
          <w:tcPr>
            <w:tcW w:w="1880" w:type="dxa"/>
            <w:vAlign w:val="bottom"/>
            <w:tcBorders>
              <w:right w:val="single" w:sz="8" w:color="D64000"/>
            </w:tcBorders>
            <w:vMerge w:val="continue"/>
          </w:tcPr>
          <w:p>
            <w:pPr>
              <w:spacing w:after="0"/>
              <w:rPr>
                <w:sz w:val="8"/>
                <w:szCs w:val="8"/>
                <w:color w:val="auto"/>
              </w:rPr>
            </w:pPr>
          </w:p>
        </w:tc>
        <w:tc>
          <w:tcPr>
            <w:tcW w:w="2260" w:type="dxa"/>
            <w:vAlign w:val="bottom"/>
            <w:tcBorders>
              <w:right w:val="single" w:sz="8" w:color="D64000"/>
            </w:tcBorders>
            <w:vMerge w:val="restart"/>
          </w:tcPr>
          <w:p>
            <w:pPr>
              <w:ind w:left="400"/>
              <w:spacing w:after="0"/>
              <w:rPr>
                <w:sz w:val="20"/>
                <w:szCs w:val="20"/>
                <w:color w:val="auto"/>
              </w:rPr>
            </w:pPr>
            <w:r>
              <w:rPr>
                <w:rFonts w:ascii="Arial" w:cs="Arial" w:eastAsia="Arial" w:hAnsi="Arial"/>
                <w:sz w:val="16"/>
                <w:szCs w:val="16"/>
                <w:color w:val="auto"/>
              </w:rPr>
              <w:t>cash generation</w:t>
            </w:r>
          </w:p>
        </w:tc>
        <w:tc>
          <w:tcPr>
            <w:tcW w:w="0" w:type="dxa"/>
            <w:vAlign w:val="bottom"/>
          </w:tcPr>
          <w:p>
            <w:pPr>
              <w:spacing w:after="0"/>
              <w:rPr>
                <w:sz w:val="1"/>
                <w:szCs w:val="1"/>
                <w:color w:val="auto"/>
              </w:rPr>
            </w:pPr>
          </w:p>
        </w:tc>
      </w:tr>
      <w:tr>
        <w:trPr>
          <w:trHeight w:val="93"/>
        </w:trPr>
        <w:tc>
          <w:tcPr>
            <w:tcW w:w="120" w:type="dxa"/>
            <w:vAlign w:val="bottom"/>
          </w:tcPr>
          <w:p>
            <w:pPr>
              <w:spacing w:after="0"/>
              <w:rPr>
                <w:sz w:val="8"/>
                <w:szCs w:val="8"/>
                <w:color w:val="auto"/>
              </w:rPr>
            </w:pPr>
          </w:p>
        </w:tc>
        <w:tc>
          <w:tcPr>
            <w:tcW w:w="1880" w:type="dxa"/>
            <w:vAlign w:val="bottom"/>
            <w:tcBorders>
              <w:right w:val="single" w:sz="8" w:color="D64000"/>
            </w:tcBorders>
            <w:vMerge w:val="restart"/>
          </w:tcPr>
          <w:p>
            <w:pPr>
              <w:ind w:left="120"/>
              <w:spacing w:after="0"/>
              <w:rPr>
                <w:sz w:val="20"/>
                <w:szCs w:val="20"/>
                <w:color w:val="auto"/>
              </w:rPr>
            </w:pPr>
            <w:r>
              <w:rPr>
                <w:rFonts w:ascii="Arial" w:cs="Arial" w:eastAsia="Arial" w:hAnsi="Arial"/>
                <w:sz w:val="16"/>
                <w:szCs w:val="16"/>
                <w:color w:val="auto"/>
              </w:rPr>
              <w:t>historically stable,</w:t>
            </w:r>
          </w:p>
        </w:tc>
        <w:tc>
          <w:tcPr>
            <w:tcW w:w="2260" w:type="dxa"/>
            <w:vAlign w:val="bottom"/>
            <w:tcBorders>
              <w:right w:val="single" w:sz="8" w:color="D6400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20" w:type="dxa"/>
            <w:vAlign w:val="bottom"/>
          </w:tcPr>
          <w:p>
            <w:pPr>
              <w:spacing w:after="0"/>
              <w:rPr>
                <w:sz w:val="8"/>
                <w:szCs w:val="8"/>
                <w:color w:val="auto"/>
              </w:rPr>
            </w:pPr>
          </w:p>
        </w:tc>
        <w:tc>
          <w:tcPr>
            <w:tcW w:w="1880" w:type="dxa"/>
            <w:vAlign w:val="bottom"/>
            <w:tcBorders>
              <w:right w:val="single" w:sz="8" w:color="D64000"/>
            </w:tcBorders>
            <w:vMerge w:val="continue"/>
          </w:tcPr>
          <w:p>
            <w:pPr>
              <w:spacing w:after="0"/>
              <w:rPr>
                <w:sz w:val="8"/>
                <w:szCs w:val="8"/>
                <w:color w:val="auto"/>
              </w:rPr>
            </w:pPr>
          </w:p>
        </w:tc>
        <w:tc>
          <w:tcPr>
            <w:tcW w:w="2260" w:type="dxa"/>
            <w:vAlign w:val="bottom"/>
            <w:tcBorders>
              <w:right w:val="single" w:sz="8" w:color="D64000"/>
            </w:tcBorders>
            <w:vMerge w:val="restart"/>
          </w:tcPr>
          <w:p>
            <w:pPr>
              <w:ind w:left="400"/>
              <w:spacing w:after="0"/>
              <w:rPr>
                <w:sz w:val="20"/>
                <w:szCs w:val="20"/>
                <w:color w:val="auto"/>
              </w:rPr>
            </w:pPr>
            <w:r>
              <w:rPr>
                <w:rFonts w:ascii="Arial" w:cs="Arial" w:eastAsia="Arial" w:hAnsi="Arial"/>
                <w:sz w:val="16"/>
                <w:szCs w:val="16"/>
                <w:color w:val="auto"/>
              </w:rPr>
              <w:t>capabilities</w:t>
            </w:r>
          </w:p>
        </w:tc>
        <w:tc>
          <w:tcPr>
            <w:tcW w:w="0" w:type="dxa"/>
            <w:vAlign w:val="bottom"/>
          </w:tcPr>
          <w:p>
            <w:pPr>
              <w:spacing w:after="0"/>
              <w:rPr>
                <w:sz w:val="1"/>
                <w:szCs w:val="1"/>
                <w:color w:val="auto"/>
              </w:rPr>
            </w:pPr>
          </w:p>
        </w:tc>
      </w:tr>
      <w:tr>
        <w:trPr>
          <w:trHeight w:val="117"/>
        </w:trPr>
        <w:tc>
          <w:tcPr>
            <w:tcW w:w="120" w:type="dxa"/>
            <w:vAlign w:val="bottom"/>
          </w:tcPr>
          <w:p>
            <w:pPr>
              <w:spacing w:after="0"/>
              <w:rPr>
                <w:sz w:val="10"/>
                <w:szCs w:val="10"/>
                <w:color w:val="auto"/>
              </w:rPr>
            </w:pPr>
          </w:p>
        </w:tc>
        <w:tc>
          <w:tcPr>
            <w:tcW w:w="1880" w:type="dxa"/>
            <w:vAlign w:val="bottom"/>
            <w:tcBorders>
              <w:right w:val="single" w:sz="8" w:color="D64000"/>
            </w:tcBorders>
            <w:vMerge w:val="restart"/>
          </w:tcPr>
          <w:p>
            <w:pPr>
              <w:ind w:left="120"/>
              <w:spacing w:after="0"/>
              <w:rPr>
                <w:sz w:val="20"/>
                <w:szCs w:val="20"/>
                <w:color w:val="auto"/>
              </w:rPr>
            </w:pPr>
            <w:r>
              <w:rPr>
                <w:rFonts w:ascii="Arial" w:cs="Arial" w:eastAsia="Arial" w:hAnsi="Arial"/>
                <w:sz w:val="16"/>
                <w:szCs w:val="16"/>
                <w:color w:val="auto"/>
              </w:rPr>
              <w:t>through periods of</w:t>
            </w:r>
          </w:p>
        </w:tc>
        <w:tc>
          <w:tcPr>
            <w:tcW w:w="2260" w:type="dxa"/>
            <w:vAlign w:val="bottom"/>
            <w:tcBorders>
              <w:right w:val="single" w:sz="8" w:color="D64000"/>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1880" w:type="dxa"/>
            <w:vAlign w:val="bottom"/>
            <w:tcBorders>
              <w:right w:val="single" w:sz="8" w:color="D64000"/>
            </w:tcBorders>
            <w:vMerge w:val="continue"/>
          </w:tcPr>
          <w:p>
            <w:pPr>
              <w:spacing w:after="0"/>
              <w:rPr>
                <w:sz w:val="5"/>
                <w:szCs w:val="5"/>
                <w:color w:val="auto"/>
              </w:rPr>
            </w:pPr>
          </w:p>
        </w:tc>
        <w:tc>
          <w:tcPr>
            <w:tcW w:w="2260" w:type="dxa"/>
            <w:vAlign w:val="bottom"/>
            <w:tcBorders>
              <w:right w:val="single" w:sz="8" w:color="D64000"/>
            </w:tcBorders>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1880" w:type="dxa"/>
            <w:vAlign w:val="bottom"/>
            <w:tcBorders>
              <w:right w:val="single" w:sz="8" w:color="D64000"/>
            </w:tcBorders>
          </w:tcPr>
          <w:p>
            <w:pPr>
              <w:ind w:left="120"/>
              <w:spacing w:after="0"/>
              <w:rPr>
                <w:sz w:val="20"/>
                <w:szCs w:val="20"/>
                <w:color w:val="auto"/>
              </w:rPr>
            </w:pPr>
            <w:r>
              <w:rPr>
                <w:rFonts w:ascii="Arial" w:cs="Arial" w:eastAsia="Arial" w:hAnsi="Arial"/>
                <w:sz w:val="16"/>
                <w:szCs w:val="16"/>
                <w:color w:val="auto"/>
              </w:rPr>
              <w:t>macroeconomic</w:t>
            </w:r>
          </w:p>
        </w:tc>
        <w:tc>
          <w:tcPr>
            <w:tcW w:w="2260" w:type="dxa"/>
            <w:vAlign w:val="bottom"/>
            <w:tcBorders>
              <w:right w:val="single" w:sz="8" w:color="D64000"/>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880" w:type="dxa"/>
            <w:vAlign w:val="bottom"/>
            <w:tcBorders>
              <w:right w:val="single" w:sz="8" w:color="D64000"/>
            </w:tcBorders>
          </w:tcPr>
          <w:p>
            <w:pPr>
              <w:ind w:left="120"/>
              <w:spacing w:after="0"/>
              <w:rPr>
                <w:sz w:val="20"/>
                <w:szCs w:val="20"/>
                <w:color w:val="auto"/>
              </w:rPr>
            </w:pPr>
            <w:r>
              <w:rPr>
                <w:rFonts w:ascii="Arial" w:cs="Arial" w:eastAsia="Arial" w:hAnsi="Arial"/>
                <w:sz w:val="16"/>
                <w:szCs w:val="16"/>
                <w:color w:val="auto"/>
              </w:rPr>
              <w:t>uncertainty</w:t>
            </w:r>
          </w:p>
        </w:tc>
        <w:tc>
          <w:tcPr>
            <w:tcW w:w="2260" w:type="dxa"/>
            <w:vAlign w:val="bottom"/>
            <w:tcBorders>
              <w:right w:val="single" w:sz="8" w:color="D64000"/>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20" w:type="dxa"/>
            <w:vAlign w:val="bottom"/>
          </w:tcPr>
          <w:p>
            <w:pPr>
              <w:spacing w:after="0"/>
              <w:rPr>
                <w:sz w:val="20"/>
                <w:szCs w:val="20"/>
                <w:color w:val="auto"/>
              </w:rPr>
            </w:pPr>
            <w:r>
              <w:rPr>
                <w:rFonts w:ascii="Arial" w:cs="Arial" w:eastAsia="Arial" w:hAnsi="Arial"/>
                <w:sz w:val="16"/>
                <w:szCs w:val="16"/>
                <w:color w:val="D64000"/>
                <w:w w:val="99"/>
              </w:rPr>
              <w:t>•</w:t>
            </w:r>
            <w:r>
              <w:rPr>
                <w:rFonts w:ascii="Arial" w:cs="Arial" w:eastAsia="Arial" w:hAnsi="Arial"/>
                <w:sz w:val="16"/>
                <w:szCs w:val="16"/>
                <w:color w:val="000000"/>
                <w:w w:val="99"/>
              </w:rPr>
              <w:t xml:space="preserve"> </w:t>
            </w:r>
          </w:p>
        </w:tc>
        <w:tc>
          <w:tcPr>
            <w:tcW w:w="1880" w:type="dxa"/>
            <w:vAlign w:val="bottom"/>
            <w:tcBorders>
              <w:right w:val="single" w:sz="8" w:color="D64000"/>
            </w:tcBorders>
          </w:tcPr>
          <w:p>
            <w:pPr>
              <w:ind w:left="100"/>
              <w:spacing w:after="0"/>
              <w:rPr>
                <w:sz w:val="20"/>
                <w:szCs w:val="20"/>
                <w:color w:val="auto"/>
              </w:rPr>
            </w:pPr>
            <w:r>
              <w:rPr>
                <w:rFonts w:ascii="Arial" w:cs="Arial" w:eastAsia="Arial" w:hAnsi="Arial"/>
                <w:sz w:val="16"/>
                <w:szCs w:val="16"/>
                <w:color w:val="auto"/>
              </w:rPr>
              <w:t>Approximately 450,000</w:t>
            </w:r>
          </w:p>
        </w:tc>
        <w:tc>
          <w:tcPr>
            <w:tcW w:w="2260" w:type="dxa"/>
            <w:vAlign w:val="bottom"/>
            <w:tcBorders>
              <w:right w:val="single" w:sz="8" w:color="D64000"/>
            </w:tcBorders>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1880" w:type="dxa"/>
            <w:vAlign w:val="bottom"/>
            <w:tcBorders>
              <w:right w:val="single" w:sz="8" w:color="D64000"/>
            </w:tcBorders>
          </w:tcPr>
          <w:p>
            <w:pPr>
              <w:ind w:left="120"/>
              <w:spacing w:after="0"/>
              <w:rPr>
                <w:sz w:val="20"/>
                <w:szCs w:val="20"/>
                <w:color w:val="auto"/>
              </w:rPr>
            </w:pPr>
            <w:r>
              <w:rPr>
                <w:rFonts w:ascii="Arial" w:cs="Arial" w:eastAsia="Arial" w:hAnsi="Arial"/>
                <w:sz w:val="16"/>
                <w:szCs w:val="16"/>
                <w:color w:val="auto"/>
              </w:rPr>
              <w:t>customers; largest</w:t>
            </w:r>
          </w:p>
        </w:tc>
        <w:tc>
          <w:tcPr>
            <w:tcW w:w="2260" w:type="dxa"/>
            <w:vAlign w:val="bottom"/>
            <w:tcBorders>
              <w:right w:val="single" w:sz="8" w:color="D64000"/>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1880" w:type="dxa"/>
            <w:vAlign w:val="bottom"/>
            <w:tcBorders>
              <w:right w:val="single" w:sz="8" w:color="D64000"/>
            </w:tcBorders>
          </w:tcPr>
          <w:p>
            <w:pPr>
              <w:ind w:left="120"/>
              <w:spacing w:after="0"/>
              <w:rPr>
                <w:sz w:val="20"/>
                <w:szCs w:val="20"/>
                <w:color w:val="auto"/>
              </w:rPr>
            </w:pPr>
            <w:r>
              <w:rPr>
                <w:rFonts w:ascii="Arial" w:cs="Arial" w:eastAsia="Arial" w:hAnsi="Arial"/>
                <w:sz w:val="16"/>
                <w:szCs w:val="16"/>
                <w:color w:val="auto"/>
              </w:rPr>
              <w:t>customer is</w:t>
            </w:r>
          </w:p>
        </w:tc>
        <w:tc>
          <w:tcPr>
            <w:tcW w:w="2260" w:type="dxa"/>
            <w:vAlign w:val="bottom"/>
            <w:tcBorders>
              <w:right w:val="single" w:sz="8" w:color="D64000"/>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1880" w:type="dxa"/>
            <w:vAlign w:val="bottom"/>
            <w:tcBorders>
              <w:right w:val="single" w:sz="8" w:color="D64000"/>
            </w:tcBorders>
          </w:tcPr>
          <w:p>
            <w:pPr>
              <w:ind w:left="120"/>
              <w:spacing w:after="0"/>
              <w:rPr>
                <w:sz w:val="20"/>
                <w:szCs w:val="20"/>
                <w:color w:val="auto"/>
              </w:rPr>
            </w:pPr>
            <w:r>
              <w:rPr>
                <w:rFonts w:ascii="Arial" w:cs="Arial" w:eastAsia="Arial" w:hAnsi="Arial"/>
                <w:sz w:val="16"/>
                <w:szCs w:val="16"/>
                <w:color w:val="auto"/>
              </w:rPr>
              <w:t>approximately 5% of</w:t>
            </w:r>
          </w:p>
        </w:tc>
        <w:tc>
          <w:tcPr>
            <w:tcW w:w="2260" w:type="dxa"/>
            <w:vAlign w:val="bottom"/>
            <w:tcBorders>
              <w:right w:val="single" w:sz="8" w:color="D64000"/>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1880" w:type="dxa"/>
            <w:vAlign w:val="bottom"/>
            <w:tcBorders>
              <w:right w:val="single" w:sz="8" w:color="D64000"/>
            </w:tcBorders>
          </w:tcPr>
          <w:p>
            <w:pPr>
              <w:ind w:left="120"/>
              <w:spacing w:after="0"/>
              <w:rPr>
                <w:sz w:val="20"/>
                <w:szCs w:val="20"/>
                <w:color w:val="auto"/>
              </w:rPr>
            </w:pPr>
            <w:r>
              <w:rPr>
                <w:rFonts w:ascii="Arial" w:cs="Arial" w:eastAsia="Arial" w:hAnsi="Arial"/>
                <w:sz w:val="16"/>
                <w:szCs w:val="16"/>
                <w:color w:val="auto"/>
              </w:rPr>
              <w:t>revenues*</w:t>
            </w:r>
          </w:p>
        </w:tc>
        <w:tc>
          <w:tcPr>
            <w:tcW w:w="2260" w:type="dxa"/>
            <w:vAlign w:val="bottom"/>
            <w:tcBorders>
              <w:right w:val="single" w:sz="8" w:color="D6400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center"/>
        <w:ind w:left="280" w:right="80"/>
        <w:spacing w:after="0" w:line="281" w:lineRule="auto"/>
        <w:rPr>
          <w:sz w:val="20"/>
          <w:szCs w:val="20"/>
          <w:color w:val="auto"/>
        </w:rPr>
      </w:pPr>
      <w:r>
        <w:rPr>
          <w:rFonts w:ascii="Arial" w:cs="Arial" w:eastAsia="Arial" w:hAnsi="Arial"/>
          <w:sz w:val="24"/>
          <w:szCs w:val="24"/>
          <w:b w:val="1"/>
          <w:bCs w:val="1"/>
          <w:color w:val="D64000"/>
        </w:rPr>
        <w:t>Strong Competitive Positioning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-600710</wp:posOffset>
            </wp:positionV>
            <wp:extent cx="8255" cy="2625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2625090"/>
                    </a:xfrm>
                    <a:prstGeom prst="rect">
                      <a:avLst/>
                    </a:prstGeom>
                    <a:noFill/>
                  </pic:spPr>
                </pic:pic>
              </a:graphicData>
            </a:graphic>
          </wp:anchor>
        </w:drawing>
      </w:r>
    </w:p>
    <w:p>
      <w:pPr>
        <w:ind w:left="220" w:hanging="237"/>
        <w:spacing w:after="0" w:line="275" w:lineRule="auto"/>
        <w:rPr>
          <w:sz w:val="20"/>
          <w:szCs w:val="20"/>
          <w:color w:val="auto"/>
        </w:rPr>
      </w:pPr>
      <w:r>
        <w:rPr>
          <w:rFonts w:ascii="Arial" w:cs="Arial" w:eastAsia="Arial" w:hAnsi="Arial"/>
          <w:sz w:val="15"/>
          <w:szCs w:val="15"/>
          <w:color w:val="D64000"/>
        </w:rPr>
        <w:t>•</w:t>
      </w:r>
      <w:r>
        <w:rPr>
          <w:rFonts w:ascii="Arial" w:cs="Arial" w:eastAsia="Arial" w:hAnsi="Arial"/>
          <w:sz w:val="15"/>
          <w:szCs w:val="15"/>
          <w:color w:val="000000"/>
        </w:rPr>
        <w:t xml:space="preserve">  Proprietary content plus</w:t>
      </w:r>
      <w:r>
        <w:rPr>
          <w:rFonts w:ascii="Arial" w:cs="Arial" w:eastAsia="Arial" w:hAnsi="Arial"/>
          <w:sz w:val="15"/>
          <w:szCs w:val="15"/>
          <w:color w:val="D64000"/>
        </w:rPr>
        <w:t xml:space="preserve"> </w:t>
      </w:r>
      <w:r>
        <w:rPr>
          <w:rFonts w:ascii="Arial" w:cs="Arial" w:eastAsia="Arial" w:hAnsi="Arial"/>
          <w:sz w:val="15"/>
          <w:szCs w:val="15"/>
          <w:color w:val="000000"/>
        </w:rPr>
        <w:t>data and human expertise combined with AI and ML are key differentiators</w:t>
      </w:r>
    </w:p>
    <w:p>
      <w:pPr>
        <w:spacing w:after="0" w:line="44" w:lineRule="exact"/>
        <w:rPr>
          <w:sz w:val="20"/>
          <w:szCs w:val="20"/>
          <w:color w:val="auto"/>
        </w:rPr>
      </w:pPr>
    </w:p>
    <w:p>
      <w:pPr>
        <w:ind w:left="220" w:right="100" w:hanging="237"/>
        <w:spacing w:after="0" w:line="284" w:lineRule="auto"/>
        <w:rPr>
          <w:sz w:val="20"/>
          <w:szCs w:val="20"/>
          <w:color w:val="auto"/>
        </w:rPr>
      </w:pPr>
      <w:r>
        <w:rPr>
          <w:rFonts w:ascii="Arial" w:cs="Arial" w:eastAsia="Arial" w:hAnsi="Arial"/>
          <w:sz w:val="15"/>
          <w:szCs w:val="15"/>
          <w:color w:val="D64000"/>
        </w:rPr>
        <w:t>•</w:t>
      </w:r>
      <w:r>
        <w:rPr>
          <w:rFonts w:ascii="Arial" w:cs="Arial" w:eastAsia="Arial" w:hAnsi="Arial"/>
          <w:sz w:val="15"/>
          <w:szCs w:val="15"/>
          <w:color w:val="000000"/>
        </w:rPr>
        <w:t xml:space="preserve">  Products deeply</w:t>
      </w:r>
      <w:r>
        <w:rPr>
          <w:rFonts w:ascii="Arial" w:cs="Arial" w:eastAsia="Arial" w:hAnsi="Arial"/>
          <w:sz w:val="15"/>
          <w:szCs w:val="15"/>
          <w:color w:val="D64000"/>
        </w:rPr>
        <w:t xml:space="preserve"> </w:t>
      </w:r>
      <w:r>
        <w:rPr>
          <w:rFonts w:ascii="Arial" w:cs="Arial" w:eastAsia="Arial" w:hAnsi="Arial"/>
          <w:sz w:val="15"/>
          <w:szCs w:val="15"/>
          <w:color w:val="000000"/>
        </w:rPr>
        <w:t>embedded in customers’ daily workflows</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5"/>
          <w:szCs w:val="15"/>
          <w:color w:val="D64000"/>
        </w:rPr>
        <w:t>•</w:t>
      </w:r>
      <w:r>
        <w:rPr>
          <w:rFonts w:ascii="Arial" w:cs="Arial" w:eastAsia="Arial" w:hAnsi="Arial"/>
          <w:sz w:val="15"/>
          <w:szCs w:val="15"/>
          <w:color w:val="000000"/>
        </w:rPr>
        <w:t xml:space="preserve">   91% retention rate in 2024</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center"/>
        <w:ind w:left="20" w:right="380"/>
        <w:spacing w:after="0" w:line="281" w:lineRule="auto"/>
        <w:rPr>
          <w:sz w:val="20"/>
          <w:szCs w:val="20"/>
          <w:color w:val="auto"/>
        </w:rPr>
      </w:pPr>
      <w:r>
        <w:rPr>
          <w:rFonts w:ascii="Arial" w:cs="Arial" w:eastAsia="Arial" w:hAnsi="Arial"/>
          <w:sz w:val="24"/>
          <w:szCs w:val="24"/>
          <w:b w:val="1"/>
          <w:bCs w:val="1"/>
          <w:color w:val="D64000"/>
        </w:rPr>
        <w:t>Disciplined Financial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1098550</wp:posOffset>
            </wp:positionH>
            <wp:positionV relativeFrom="paragraph">
              <wp:posOffset>-600710</wp:posOffset>
            </wp:positionV>
            <wp:extent cx="8255" cy="26250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2625090"/>
                    </a:xfrm>
                    <a:prstGeom prst="rect">
                      <a:avLst/>
                    </a:prstGeom>
                    <a:noFill/>
                  </pic:spPr>
                </pic:pic>
              </a:graphicData>
            </a:graphic>
          </wp:anchor>
        </w:drawing>
      </w:r>
    </w:p>
    <w:p>
      <w:pPr>
        <w:ind w:right="120" w:hanging="237"/>
        <w:spacing w:after="0" w:line="275" w:lineRule="auto"/>
        <w:rPr>
          <w:sz w:val="20"/>
          <w:szCs w:val="20"/>
          <w:color w:val="auto"/>
        </w:rPr>
      </w:pPr>
      <w:r>
        <w:rPr>
          <w:rFonts w:ascii="Arial" w:cs="Arial" w:eastAsia="Arial" w:hAnsi="Arial"/>
          <w:sz w:val="15"/>
          <w:szCs w:val="15"/>
          <w:color w:val="D64000"/>
        </w:rPr>
        <w:t>•</w:t>
      </w:r>
      <w:r>
        <w:rPr>
          <w:rFonts w:ascii="Arial" w:cs="Arial" w:eastAsia="Arial" w:hAnsi="Arial"/>
          <w:sz w:val="15"/>
          <w:szCs w:val="15"/>
          <w:color w:val="000000"/>
        </w:rPr>
        <w:t xml:space="preserve">  Focused and</w:t>
      </w:r>
      <w:r>
        <w:rPr>
          <w:rFonts w:ascii="Arial" w:cs="Arial" w:eastAsia="Arial" w:hAnsi="Arial"/>
          <w:sz w:val="15"/>
          <w:szCs w:val="15"/>
          <w:color w:val="D64000"/>
        </w:rPr>
        <w:t xml:space="preserve"> </w:t>
      </w:r>
      <w:r>
        <w:rPr>
          <w:rFonts w:ascii="Arial" w:cs="Arial" w:eastAsia="Arial" w:hAnsi="Arial"/>
          <w:sz w:val="15"/>
          <w:szCs w:val="15"/>
          <w:color w:val="000000"/>
        </w:rPr>
        <w:t>incentivized on organic revenue growth and free cash flow growth</w:t>
      </w:r>
    </w:p>
    <w:p>
      <w:pPr>
        <w:spacing w:after="0" w:line="44" w:lineRule="exact"/>
        <w:rPr>
          <w:sz w:val="20"/>
          <w:szCs w:val="20"/>
          <w:color w:val="auto"/>
        </w:rPr>
      </w:pPr>
    </w:p>
    <w:p>
      <w:pPr>
        <w:ind w:right="140" w:hanging="237"/>
        <w:spacing w:after="0" w:line="284" w:lineRule="auto"/>
        <w:rPr>
          <w:sz w:val="20"/>
          <w:szCs w:val="20"/>
          <w:color w:val="auto"/>
        </w:rPr>
      </w:pPr>
      <w:r>
        <w:rPr>
          <w:rFonts w:ascii="Arial" w:cs="Arial" w:eastAsia="Arial" w:hAnsi="Arial"/>
          <w:sz w:val="15"/>
          <w:szCs w:val="15"/>
          <w:color w:val="D64000"/>
        </w:rPr>
        <w:t>•</w:t>
      </w:r>
      <w:r>
        <w:rPr>
          <w:rFonts w:ascii="Arial" w:cs="Arial" w:eastAsia="Arial" w:hAnsi="Arial"/>
          <w:sz w:val="15"/>
          <w:szCs w:val="15"/>
          <w:color w:val="000000"/>
        </w:rPr>
        <w:t xml:space="preserve">  Balance investing in</w:t>
      </w:r>
      <w:r>
        <w:rPr>
          <w:rFonts w:ascii="Arial" w:cs="Arial" w:eastAsia="Arial" w:hAnsi="Arial"/>
          <w:sz w:val="15"/>
          <w:szCs w:val="15"/>
          <w:color w:val="D64000"/>
        </w:rPr>
        <w:t xml:space="preserve"> </w:t>
      </w:r>
      <w:r>
        <w:rPr>
          <w:rFonts w:ascii="Arial" w:cs="Arial" w:eastAsia="Arial" w:hAnsi="Arial"/>
          <w:sz w:val="15"/>
          <w:szCs w:val="15"/>
          <w:color w:val="000000"/>
        </w:rPr>
        <w:t>business and returning capital to shareholders</w:t>
      </w:r>
    </w:p>
    <w:p>
      <w:pPr>
        <w:spacing w:after="0" w:line="37" w:lineRule="exact"/>
        <w:rPr>
          <w:sz w:val="20"/>
          <w:szCs w:val="20"/>
          <w:color w:val="auto"/>
        </w:rPr>
      </w:pPr>
    </w:p>
    <w:p>
      <w:pPr>
        <w:ind w:right="100" w:hanging="237"/>
        <w:spacing w:after="0" w:line="253" w:lineRule="auto"/>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Committed to</w:t>
      </w:r>
      <w:r>
        <w:rPr>
          <w:rFonts w:ascii="Arial" w:cs="Arial" w:eastAsia="Arial" w:hAnsi="Arial"/>
          <w:sz w:val="16"/>
          <w:szCs w:val="16"/>
          <w:color w:val="D64000"/>
        </w:rPr>
        <w:t xml:space="preserve"> </w:t>
      </w:r>
      <w:r>
        <w:rPr>
          <w:rFonts w:ascii="Arial" w:cs="Arial" w:eastAsia="Arial" w:hAnsi="Arial"/>
          <w:sz w:val="16"/>
          <w:szCs w:val="16"/>
          <w:color w:val="000000"/>
        </w:rPr>
        <w:t>maintaining investment grade rating with stable capital structure</w:t>
      </w:r>
    </w:p>
    <w:p>
      <w:pPr>
        <w:spacing w:after="0" w:line="59" w:lineRule="exact"/>
        <w:rPr>
          <w:sz w:val="20"/>
          <w:szCs w:val="20"/>
          <w:color w:val="auto"/>
        </w:rPr>
      </w:pPr>
    </w:p>
    <w:p>
      <w:pPr>
        <w:ind w:right="140" w:hanging="237"/>
        <w:spacing w:after="0" w:line="237" w:lineRule="auto"/>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w:t>
      </w:r>
      <w:r>
        <w:rPr>
          <w:rFonts w:ascii="Arial" w:cs="Arial" w:eastAsia="Arial" w:hAnsi="Arial"/>
          <w:sz w:val="16"/>
          <w:szCs w:val="16"/>
          <w:color w:val="D64000"/>
        </w:rPr>
        <w:t xml:space="preserve"> </w:t>
      </w:r>
      <w:r>
        <w:rPr>
          <w:rFonts w:ascii="Arial" w:cs="Arial" w:eastAsia="Arial" w:hAnsi="Arial"/>
          <w:sz w:val="19"/>
          <w:szCs w:val="19"/>
          <w:color w:val="000000"/>
          <w:vertAlign w:val="superscript"/>
        </w:rPr>
        <w:t>·</w:t>
      </w:r>
      <w:r>
        <w:rPr>
          <w:rFonts w:ascii="Arial" w:cs="Arial" w:eastAsia="Arial" w:hAnsi="Arial"/>
          <w:sz w:val="16"/>
          <w:szCs w:val="16"/>
          <w:color w:val="000000"/>
        </w:rPr>
        <w:t>Significant potential</w:t>
      </w:r>
      <w:r>
        <w:rPr>
          <w:rFonts w:ascii="Arial" w:cs="Arial" w:eastAsia="Arial" w:hAnsi="Arial"/>
          <w:sz w:val="16"/>
          <w:szCs w:val="16"/>
          <w:color w:val="D64000"/>
        </w:rPr>
        <w:t xml:space="preserve"> </w:t>
      </w:r>
      <w:r>
        <w:rPr>
          <w:rFonts w:ascii="Arial" w:cs="Arial" w:eastAsia="Arial" w:hAnsi="Arial"/>
          <w:sz w:val="16"/>
          <w:szCs w:val="16"/>
          <w:color w:val="000000"/>
        </w:rPr>
        <w:t>capital capacity affords optionality</w:t>
      </w:r>
    </w:p>
    <w:p>
      <w:pPr>
        <w:spacing w:after="0" w:line="364" w:lineRule="exact"/>
        <w:rPr>
          <w:sz w:val="20"/>
          <w:szCs w:val="20"/>
          <w:color w:val="auto"/>
        </w:rPr>
      </w:pPr>
    </w:p>
    <w:p>
      <w:pPr>
        <w:sectPr>
          <w:pgSz w:w="11900" w:h="16838" w:orient="portrait"/>
          <w:cols w:equalWidth="0" w:num="4">
            <w:col w:w="2140" w:space="220"/>
            <w:col w:w="4260" w:space="180"/>
            <w:col w:w="2060" w:space="440"/>
            <w:col w:w="1740"/>
          </w:cols>
          <w:pgMar w:left="320" w:top="477" w:right="539" w:bottom="1440" w:gutter="0" w:footer="0" w:header="0"/>
          <w:type w:val="continuous"/>
        </w:sectPr>
      </w:pPr>
    </w:p>
    <w:p>
      <w:pPr>
        <w:ind w:left="440" w:hanging="222"/>
        <w:spacing w:after="0"/>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The news agreement with the Data &amp; Analytics business of LSEG.</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Three-Year History</w:t>
      </w:r>
    </w:p>
    <w:p>
      <w:pPr>
        <w:spacing w:after="0" w:line="97" w:lineRule="exact"/>
        <w:rPr>
          <w:sz w:val="20"/>
          <w:szCs w:val="20"/>
          <w:color w:val="auto"/>
        </w:rPr>
      </w:pPr>
    </w:p>
    <w:p>
      <w:pPr>
        <w:ind w:left="540" w:right="20" w:hanging="322"/>
        <w:spacing w:after="0" w:line="233" w:lineRule="auto"/>
        <w:tabs>
          <w:tab w:leader="none" w:pos="540" w:val="left"/>
        </w:tabs>
        <w:numPr>
          <w:ilvl w:val="0"/>
          <w:numId w:val="21"/>
        </w:numPr>
        <w:rPr>
          <w:rFonts w:ascii="Arial" w:cs="Arial" w:eastAsia="Arial" w:hAnsi="Arial"/>
          <w:sz w:val="17"/>
          <w:szCs w:val="17"/>
          <w:color w:val="D64000"/>
        </w:rPr>
      </w:pPr>
      <w:r>
        <w:rPr>
          <w:rFonts w:ascii="Arial" w:cs="Arial" w:eastAsia="Arial" w:hAnsi="Arial"/>
          <w:sz w:val="17"/>
          <w:szCs w:val="17"/>
          <w:b w:val="1"/>
          <w:bCs w:val="1"/>
          <w:color w:val="auto"/>
        </w:rPr>
        <w:t xml:space="preserve">2022 </w:t>
      </w:r>
      <w:r>
        <w:rPr>
          <w:rFonts w:ascii="Arial" w:cs="Arial" w:eastAsia="Arial" w:hAnsi="Arial"/>
          <w:sz w:val="17"/>
          <w:szCs w:val="17"/>
          <w:color w:val="auto"/>
        </w:rPr>
        <w:t>– Our two-year Change Program (an initiative that focused on transforming our company from a holding company to an operating</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from a content provider into a content-driven technology company) was completed by the end of 2022. We achieved $540 million of annualized run-rate operating expense savings and made significant progress transforming Thomson Reuters into a more streamlined and scalable business that we believe has a strong foundation for sustainable future growth. In 2022, LSEG repurchased approximately 1.2 million ordinary shares from YPL under a buyback program announced by LSEG in August 2022. We received proceeds of $43 million, for approximately 0.5 million shares, related to our portion of the buyback. In 2022, we also launched Westlaw Precision, a new version of Westlaw designed to dramatically improve research speed and quality by enabling lawyers to target precisely what they are looking for.</w:t>
      </w:r>
    </w:p>
    <w:p>
      <w:pPr>
        <w:spacing w:after="0" w:line="85" w:lineRule="exact"/>
        <w:rPr>
          <w:rFonts w:ascii="Arial" w:cs="Arial" w:eastAsia="Arial" w:hAnsi="Arial"/>
          <w:sz w:val="17"/>
          <w:szCs w:val="17"/>
          <w:color w:val="D64000"/>
        </w:rPr>
      </w:pPr>
    </w:p>
    <w:p>
      <w:pPr>
        <w:ind w:left="540" w:right="20" w:hanging="322"/>
        <w:spacing w:after="0" w:line="233" w:lineRule="auto"/>
        <w:tabs>
          <w:tab w:leader="none" w:pos="540" w:val="left"/>
        </w:tabs>
        <w:numPr>
          <w:ilvl w:val="0"/>
          <w:numId w:val="21"/>
        </w:numPr>
        <w:rPr>
          <w:rFonts w:ascii="Arial" w:cs="Arial" w:eastAsia="Arial" w:hAnsi="Arial"/>
          <w:sz w:val="17"/>
          <w:szCs w:val="17"/>
          <w:color w:val="D64000"/>
        </w:rPr>
      </w:pPr>
      <w:r>
        <w:rPr>
          <w:rFonts w:ascii="Arial" w:cs="Arial" w:eastAsia="Arial" w:hAnsi="Arial"/>
          <w:sz w:val="17"/>
          <w:szCs w:val="17"/>
          <w:b w:val="1"/>
          <w:bCs w:val="1"/>
          <w:color w:val="auto"/>
        </w:rPr>
        <w:t xml:space="preserve">2023 </w:t>
      </w:r>
      <w:r>
        <w:rPr>
          <w:rFonts w:ascii="Arial" w:cs="Arial" w:eastAsia="Arial" w:hAnsi="Arial"/>
          <w:sz w:val="17"/>
          <w:szCs w:val="17"/>
          <w:color w:val="auto"/>
        </w:rPr>
        <w:t>– In 2023, we made significant investments in AI-based initiatives, including generative AI. In November 2023, we announced a series</w:t>
      </w:r>
      <w:r>
        <w:rPr>
          <w:rFonts w:ascii="Arial" w:cs="Arial" w:eastAsia="Arial" w:hAnsi="Arial"/>
          <w:sz w:val="17"/>
          <w:szCs w:val="17"/>
          <w:b w:val="1"/>
          <w:bCs w:val="1"/>
          <w:color w:val="auto"/>
        </w:rPr>
        <w:t xml:space="preserve"> </w:t>
      </w:r>
      <w:r>
        <w:rPr>
          <w:rFonts w:ascii="Arial" w:cs="Arial" w:eastAsia="Arial" w:hAnsi="Arial"/>
          <w:sz w:val="17"/>
          <w:szCs w:val="17"/>
          <w:color w:val="auto"/>
        </w:rPr>
        <w:t>of generative AI initiatives designed to assist in the transformation of the legal profession. Most notably, the commercial releases of AI-Assisted Research on Westlaw Precision and CoCounsel Core AI Assistant for lawyers. In 2023, we further deepened our focus on content-enabled technology with the acquisitions of SurePrep, LLC, Imagen Ltd., Casetext, Inc., and the remaining interest in Westlaw Japan. Additionally, in 2023, we received gross proceeds of $5.4 billion, which included the settlement of foreign exchange contracts, from the sale of approximately 56 million LSEG shares. During 2023, we returned $2.0 billion from the gross proceeds of our disposition of LSEG shares to shareholders through a return of capital transaction. We also repurchased approximately $1.1 billion of our common shares through our various normal course issuer bid buyback programs.</w:t>
      </w:r>
    </w:p>
    <w:p>
      <w:pPr>
        <w:spacing w:after="0" w:line="85" w:lineRule="exact"/>
        <w:rPr>
          <w:rFonts w:ascii="Arial" w:cs="Arial" w:eastAsia="Arial" w:hAnsi="Arial"/>
          <w:sz w:val="17"/>
          <w:szCs w:val="17"/>
          <w:color w:val="D64000"/>
        </w:rPr>
      </w:pPr>
    </w:p>
    <w:p>
      <w:pPr>
        <w:ind w:left="540" w:right="40" w:hanging="322"/>
        <w:spacing w:after="0" w:line="247" w:lineRule="auto"/>
        <w:tabs>
          <w:tab w:leader="none" w:pos="540" w:val="left"/>
        </w:tabs>
        <w:numPr>
          <w:ilvl w:val="0"/>
          <w:numId w:val="21"/>
        </w:numPr>
        <w:rPr>
          <w:rFonts w:ascii="Arial" w:cs="Arial" w:eastAsia="Arial" w:hAnsi="Arial"/>
          <w:sz w:val="16"/>
          <w:szCs w:val="16"/>
          <w:color w:val="D64000"/>
        </w:rPr>
      </w:pPr>
      <w:r>
        <w:rPr>
          <w:rFonts w:ascii="Arial" w:cs="Arial" w:eastAsia="Arial" w:hAnsi="Arial"/>
          <w:sz w:val="16"/>
          <w:szCs w:val="16"/>
          <w:b w:val="1"/>
          <w:bCs w:val="1"/>
          <w:color w:val="auto"/>
        </w:rPr>
        <w:t xml:space="preserve">2024 </w:t>
      </w:r>
      <w:r>
        <w:rPr>
          <w:rFonts w:ascii="Arial" w:cs="Arial" w:eastAsia="Arial" w:hAnsi="Arial"/>
          <w:sz w:val="16"/>
          <w:szCs w:val="16"/>
          <w:color w:val="auto"/>
        </w:rPr>
        <w:t>– In 2024, we continued to invest aggressively in innovation, both organically and through acquisitions. On an organic basis, we</w:t>
      </w:r>
      <w:r>
        <w:rPr>
          <w:rFonts w:ascii="Arial" w:cs="Arial" w:eastAsia="Arial" w:hAnsi="Arial"/>
          <w:sz w:val="16"/>
          <w:szCs w:val="16"/>
          <w:b w:val="1"/>
          <w:bCs w:val="1"/>
          <w:color w:val="auto"/>
        </w:rPr>
        <w:t xml:space="preserve"> </w:t>
      </w:r>
      <w:r>
        <w:rPr>
          <w:rFonts w:ascii="Arial" w:cs="Arial" w:eastAsia="Arial" w:hAnsi="Arial"/>
          <w:sz w:val="16"/>
          <w:szCs w:val="16"/>
          <w:color w:val="auto"/>
        </w:rPr>
        <w:t>invested more than $200 million in AI, which yielded a number of new product launches and dozens of enhancements throughout the portfolio. Notably, in April, we launched Checkpoint Edge with CoCounsel, marking our first generative AI solution for Tax &amp; Accounting Professionals, followed by the launch of CoCounsel Drafting in July. In August, we introduced CoCounsel 2.0, a major update for the franchise, offering faster results with improved connectivity to customers’ documents. We also rolled out AI-enabled tools to automate internal processes, including in the Reuters newsroom and our editorial and go-to-market operations. This was bolstered by the acquisitions of Pagero, World Business Media (The Insurer), Safe Sign and Materia, which deepened our focus on content-enabled technology. The December divestiture of FindLaw continued our portfolio optimization efforts. For additional information about our 2024 acquisitions, please see the “Additional Business Information – Acquisitions and Dispositions” section of this annual report. During 2024, we also completed the disposition of our LSEG stake and repurchased $0.6 billion of our shares through normal course issuer bid buyback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90805</wp:posOffset>
            </wp:positionV>
            <wp:extent cx="68656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3" w:lineRule="exact"/>
        <w:rPr>
          <w:sz w:val="20"/>
          <w:szCs w:val="20"/>
          <w:color w:val="auto"/>
        </w:rPr>
      </w:pPr>
    </w:p>
    <w:p>
      <w:pPr>
        <w:ind w:left="220"/>
        <w:spacing w:after="0"/>
        <w:tabs>
          <w:tab w:leader="none" w:pos="104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3</w:t>
      </w:r>
    </w:p>
    <w:p>
      <w:pPr>
        <w:sectPr>
          <w:pgSz w:w="11900" w:h="16838" w:orient="portrait"/>
          <w:cols w:equalWidth="0" w:num="1">
            <w:col w:w="11040"/>
          </w:cols>
          <w:pgMar w:left="320" w:top="477" w:right="5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2024 Financial Highlights and Accomplishments</w:t>
      </w:r>
    </w:p>
    <w:p>
      <w:pPr>
        <w:spacing w:after="0" w:line="84" w:lineRule="exact"/>
        <w:rPr>
          <w:sz w:val="20"/>
          <w:szCs w:val="20"/>
          <w:color w:val="auto"/>
        </w:rPr>
      </w:pPr>
    </w:p>
    <w:p>
      <w:pPr>
        <w:ind w:left="220" w:right="40"/>
        <w:spacing w:after="0" w:line="232" w:lineRule="auto"/>
        <w:rPr>
          <w:sz w:val="20"/>
          <w:szCs w:val="20"/>
          <w:color w:val="auto"/>
        </w:rPr>
      </w:pPr>
      <w:r>
        <w:rPr>
          <w:rFonts w:ascii="Arial" w:cs="Arial" w:eastAsia="Arial" w:hAnsi="Arial"/>
          <w:sz w:val="17"/>
          <w:szCs w:val="17"/>
          <w:color w:val="auto"/>
        </w:rPr>
        <w:t>2024 marked another year of good revenue momentum driven by strong growth in recurring and transactions revenues. Revenues increased 7% in total, in constant currency and on an organic basis, compared to the prior year. Revenues for our “Big 3” segments increased 8% in total and in constant currency, and 9% on an organic basis. Our revenue performance met the targets set out in our 2024 outlook, which was last updated in November 2024. Operating profit declined 10% due to lower gains from the sales of non-core businesses in 2024 compared to 2023, as well as higher computer software amortization expense. Adjusted EBITDA, which excludes the gains on sale of businesses, computer software amortization expense and other adjustments, increased 4% compared to the prior year. Adjusted EBITDA margin of 38.2% was in line with our updated 2024 outlook but below the prior year adjusted EBITDA margin of 39.3%. The adjusted EBITDA margin performance was due to a higher growth in expenses versus revenues reflecting costs associated with investments and higher incentive compensation based on strong business performance, as well as the impact of acquisitions and divestitures. The adjusted EBITDA margin of our “Big 3” segments was 42.1% in 2024 compared to 43.8% in 2023.</w:t>
      </w:r>
    </w:p>
    <w:p>
      <w:pPr>
        <w:spacing w:after="0" w:line="58" w:lineRule="exact"/>
        <w:rPr>
          <w:sz w:val="20"/>
          <w:szCs w:val="20"/>
          <w:color w:val="auto"/>
        </w:rPr>
      </w:pPr>
    </w:p>
    <w:p>
      <w:pPr>
        <w:ind w:left="220" w:right="300"/>
        <w:spacing w:after="0" w:line="235" w:lineRule="auto"/>
        <w:rPr>
          <w:sz w:val="20"/>
          <w:szCs w:val="20"/>
          <w:color w:val="auto"/>
        </w:rPr>
      </w:pPr>
      <w:r>
        <w:rPr>
          <w:rFonts w:ascii="Arial" w:cs="Arial" w:eastAsia="Arial" w:hAnsi="Arial"/>
          <w:sz w:val="17"/>
          <w:szCs w:val="17"/>
          <w:color w:val="auto"/>
        </w:rPr>
        <w:t>In 2024, we generated net cash from operating activities of $2.5 billion and achieved our 2024 outlook with $1.8 billion of free cash flow. As mentioned above, we acquired Pagero, which boosted our indirect tax workflow automation solutions for our Corporates customers, as well as Safe Sign Technologies and Materia both of which onboarded key talent and are expected to accelerate our generative AI roadmap. In the Reuters News segment, we acquired World Business Media (The Insurer), which adds subscription professional content focused on the (re)insurance industry. Additionally, we completed the sale of FindLaw and certain other non-core businesses. We also received $1.9 billion of gross proceeds from the sale of our remaining LSEG shares.</w:t>
      </w:r>
    </w:p>
    <w:p>
      <w:pPr>
        <w:spacing w:after="0" w:line="57" w:lineRule="exact"/>
        <w:rPr>
          <w:sz w:val="20"/>
          <w:szCs w:val="20"/>
          <w:color w:val="auto"/>
        </w:rPr>
      </w:pPr>
    </w:p>
    <w:p>
      <w:pPr>
        <w:ind w:left="220" w:right="260"/>
        <w:spacing w:after="0" w:line="228" w:lineRule="auto"/>
        <w:rPr>
          <w:sz w:val="20"/>
          <w:szCs w:val="20"/>
          <w:color w:val="auto"/>
        </w:rPr>
      </w:pPr>
      <w:r>
        <w:rPr>
          <w:rFonts w:ascii="Arial" w:cs="Arial" w:eastAsia="Arial" w:hAnsi="Arial"/>
          <w:sz w:val="17"/>
          <w:szCs w:val="17"/>
          <w:color w:val="auto"/>
        </w:rPr>
        <w:t>We returned $1.6 billion to shareholders in dividends and share repurchases in 2024. On February 6, 2025, we announced a 10% or $0.22 per share annualized increase in our dividend to $2.38 per common share, representing the 32</w:t>
      </w:r>
      <w:r>
        <w:rPr>
          <w:rFonts w:ascii="Arial" w:cs="Arial" w:eastAsia="Arial" w:hAnsi="Arial"/>
          <w:sz w:val="20"/>
          <w:szCs w:val="20"/>
          <w:color w:val="auto"/>
          <w:vertAlign w:val="superscript"/>
        </w:rPr>
        <w:t>nd</w:t>
      </w:r>
      <w:r>
        <w:rPr>
          <w:rFonts w:ascii="Arial" w:cs="Arial" w:eastAsia="Arial" w:hAnsi="Arial"/>
          <w:sz w:val="17"/>
          <w:szCs w:val="17"/>
          <w:color w:val="auto"/>
        </w:rPr>
        <w:t xml:space="preserve"> consecutive year of dividend increases, and the fourth consecutive 10% increase. Our capital capacity and liquidity remain a key asset to support further acquisitions and drive returns to shareholders.</w:t>
      </w:r>
    </w:p>
    <w:p>
      <w:pPr>
        <w:spacing w:after="0" w:line="46" w:lineRule="exact"/>
        <w:rPr>
          <w:sz w:val="20"/>
          <w:szCs w:val="20"/>
          <w:color w:val="auto"/>
        </w:rPr>
      </w:pPr>
    </w:p>
    <w:p>
      <w:pPr>
        <w:ind w:left="220" w:right="240"/>
        <w:spacing w:after="0" w:line="243" w:lineRule="auto"/>
        <w:rPr>
          <w:sz w:val="20"/>
          <w:szCs w:val="20"/>
          <w:color w:val="auto"/>
        </w:rPr>
      </w:pPr>
      <w:r>
        <w:rPr>
          <w:rFonts w:ascii="Arial" w:cs="Arial" w:eastAsia="Arial" w:hAnsi="Arial"/>
          <w:sz w:val="17"/>
          <w:szCs w:val="17"/>
          <w:color w:val="auto"/>
        </w:rPr>
        <w:t>Below are revenue highlights for our company and our business segments for the year ended December 31, 2024. For additional information about the results of operations for the company and its business segments, please see the “Management’s Discussion and Analysis” section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141605</wp:posOffset>
            </wp:positionV>
            <wp:extent cx="5948680" cy="31127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48680" cy="311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20" w:right="260"/>
        <w:spacing w:after="0" w:line="243" w:lineRule="auto"/>
        <w:rPr>
          <w:sz w:val="20"/>
          <w:szCs w:val="20"/>
          <w:color w:val="auto"/>
        </w:rPr>
      </w:pPr>
      <w:r>
        <w:rPr>
          <w:rFonts w:ascii="Arial" w:cs="Arial" w:eastAsia="Arial" w:hAnsi="Arial"/>
          <w:sz w:val="17"/>
          <w:szCs w:val="17"/>
          <w:color w:val="auto"/>
        </w:rPr>
        <w:t>Organic revenue growth, adjusted EBITDA margin, free cash flow as well as all financial measures for our “Big 3” segments are non-IFRS measures. Please see the “Management’s Discussion and Analysis” section of this annual report for additional information about our non-IFRS measures, including how they are defined and reconciled to the most directly comparable IFRS measure.</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NYSE listing transferred to Nasdaq</w:t>
      </w:r>
    </w:p>
    <w:p>
      <w:pPr>
        <w:spacing w:after="0" w:line="70" w:lineRule="exact"/>
        <w:rPr>
          <w:sz w:val="20"/>
          <w:szCs w:val="20"/>
          <w:color w:val="auto"/>
        </w:rPr>
      </w:pPr>
    </w:p>
    <w:p>
      <w:pPr>
        <w:ind w:left="220" w:right="700"/>
        <w:spacing w:after="0" w:line="243" w:lineRule="auto"/>
        <w:rPr>
          <w:sz w:val="20"/>
          <w:szCs w:val="20"/>
          <w:color w:val="auto"/>
        </w:rPr>
      </w:pPr>
      <w:r>
        <w:rPr>
          <w:rFonts w:ascii="Arial" w:cs="Arial" w:eastAsia="Arial" w:hAnsi="Arial"/>
          <w:sz w:val="17"/>
          <w:szCs w:val="17"/>
          <w:color w:val="auto"/>
        </w:rPr>
        <w:t>In February 2025, we announced that we voluntarily transferred our U.S. stock exchange listing to the Nasdaq from the New York Stock Exchange (“NYSE”) effective February 25, 2025. We continue to trade under the symbol “TRI”. We ceased trading on the NYSE effective February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99695</wp:posOffset>
            </wp:positionV>
            <wp:extent cx="68656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5"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4</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2025 Key Priorities</w:t>
      </w:r>
    </w:p>
    <w:p>
      <w:pPr>
        <w:spacing w:after="0" w:line="84" w:lineRule="exact"/>
        <w:rPr>
          <w:sz w:val="20"/>
          <w:szCs w:val="20"/>
          <w:color w:val="auto"/>
        </w:rPr>
      </w:pPr>
    </w:p>
    <w:p>
      <w:pPr>
        <w:ind w:left="220" w:right="400"/>
        <w:spacing w:after="0" w:line="238" w:lineRule="auto"/>
        <w:rPr>
          <w:sz w:val="20"/>
          <w:szCs w:val="20"/>
          <w:color w:val="auto"/>
        </w:rPr>
      </w:pPr>
      <w:r>
        <w:rPr>
          <w:rFonts w:ascii="Arial" w:cs="Arial" w:eastAsia="Arial" w:hAnsi="Arial"/>
          <w:sz w:val="17"/>
          <w:szCs w:val="17"/>
          <w:color w:val="auto"/>
        </w:rPr>
        <w:t>We strive to be a leading content-driven technology company that empowers professionals to navigate legal, tax, accounting, compliance, government, and media environments. In 2024, we accelerated our progress on delivering generative AI-powered solutions, including rapidly evolving our CoCounsel AI Assistant, acquiring Materia to target generative AI use cases in the Tax &amp; Accounting market, and working on proprietary legal AI models in TR Labs.</w:t>
      </w:r>
    </w:p>
    <w:p>
      <w:pPr>
        <w:spacing w:after="0" w:line="59" w:lineRule="exact"/>
        <w:rPr>
          <w:sz w:val="20"/>
          <w:szCs w:val="20"/>
          <w:color w:val="auto"/>
        </w:rPr>
      </w:pPr>
    </w:p>
    <w:p>
      <w:pPr>
        <w:ind w:left="220" w:right="20"/>
        <w:spacing w:after="0" w:line="243" w:lineRule="auto"/>
        <w:rPr>
          <w:sz w:val="20"/>
          <w:szCs w:val="20"/>
          <w:color w:val="auto"/>
        </w:rPr>
      </w:pPr>
      <w:r>
        <w:rPr>
          <w:rFonts w:ascii="Arial" w:cs="Arial" w:eastAsia="Arial" w:hAnsi="Arial"/>
          <w:sz w:val="17"/>
          <w:szCs w:val="17"/>
          <w:color w:val="auto"/>
        </w:rPr>
        <w:t>The rapid pace of innovation in AI has sparked a major wave of transformation across multiple industries, including the ones we serve. As a leading content-driven technology company, we are in a prime position to combine these new technologies with our existing strengths to serve our customers in new and innovative ways. This guides our key priorities for 2025, which include:</w:t>
      </w:r>
    </w:p>
    <w:p>
      <w:pPr>
        <w:spacing w:after="0" w:line="55" w:lineRule="exact"/>
        <w:rPr>
          <w:sz w:val="20"/>
          <w:szCs w:val="20"/>
          <w:color w:val="auto"/>
        </w:rPr>
      </w:pPr>
    </w:p>
    <w:p>
      <w:pPr>
        <w:ind w:left="540" w:hanging="322"/>
        <w:spacing w:after="0"/>
        <w:tabs>
          <w:tab w:leader="none" w:pos="540" w:val="left"/>
        </w:tabs>
        <w:numPr>
          <w:ilvl w:val="0"/>
          <w:numId w:val="22"/>
        </w:numPr>
        <w:rPr>
          <w:rFonts w:ascii="Arial" w:cs="Arial" w:eastAsia="Arial" w:hAnsi="Arial"/>
          <w:sz w:val="17"/>
          <w:szCs w:val="17"/>
          <w:color w:val="D64000"/>
        </w:rPr>
      </w:pPr>
      <w:r>
        <w:rPr>
          <w:rFonts w:ascii="Arial" w:cs="Arial" w:eastAsia="Arial" w:hAnsi="Arial"/>
          <w:sz w:val="17"/>
          <w:szCs w:val="17"/>
          <w:color w:val="auto"/>
        </w:rPr>
        <w:t>Continue evolving our transformative AI capabilities through ongoing product innovation and enhancements to our flagship products</w:t>
      </w:r>
    </w:p>
    <w:p>
      <w:pPr>
        <w:spacing w:after="0" w:line="19" w:lineRule="exact"/>
        <w:rPr>
          <w:rFonts w:ascii="Arial" w:cs="Arial" w:eastAsia="Arial" w:hAnsi="Arial"/>
          <w:sz w:val="17"/>
          <w:szCs w:val="17"/>
          <w:color w:val="D64000"/>
        </w:rPr>
      </w:pPr>
    </w:p>
    <w:p>
      <w:pPr>
        <w:ind w:left="540" w:hanging="322"/>
        <w:spacing w:after="0"/>
        <w:tabs>
          <w:tab w:leader="none" w:pos="540" w:val="left"/>
        </w:tabs>
        <w:numPr>
          <w:ilvl w:val="0"/>
          <w:numId w:val="22"/>
        </w:numPr>
        <w:rPr>
          <w:rFonts w:ascii="Arial" w:cs="Arial" w:eastAsia="Arial" w:hAnsi="Arial"/>
          <w:sz w:val="17"/>
          <w:szCs w:val="17"/>
          <w:color w:val="D64000"/>
        </w:rPr>
      </w:pPr>
      <w:r>
        <w:rPr>
          <w:rFonts w:ascii="Arial" w:cs="Arial" w:eastAsia="Arial" w:hAnsi="Arial"/>
          <w:sz w:val="17"/>
          <w:szCs w:val="17"/>
          <w:color w:val="auto"/>
        </w:rPr>
        <w:t>Continue to roll out our AI assistant, CoCounsel, across our customer base</w:t>
      </w:r>
    </w:p>
    <w:p>
      <w:pPr>
        <w:spacing w:after="0" w:line="3" w:lineRule="exact"/>
        <w:rPr>
          <w:rFonts w:ascii="Arial" w:cs="Arial" w:eastAsia="Arial" w:hAnsi="Arial"/>
          <w:sz w:val="17"/>
          <w:szCs w:val="17"/>
          <w:color w:val="D64000"/>
        </w:rPr>
      </w:pPr>
    </w:p>
    <w:p>
      <w:pPr>
        <w:ind w:left="540" w:hanging="322"/>
        <w:spacing w:after="0"/>
        <w:tabs>
          <w:tab w:leader="none" w:pos="540" w:val="left"/>
        </w:tabs>
        <w:numPr>
          <w:ilvl w:val="0"/>
          <w:numId w:val="22"/>
        </w:numPr>
        <w:rPr>
          <w:rFonts w:ascii="Arial" w:cs="Arial" w:eastAsia="Arial" w:hAnsi="Arial"/>
          <w:sz w:val="17"/>
          <w:szCs w:val="17"/>
          <w:color w:val="D64000"/>
        </w:rPr>
      </w:pPr>
      <w:r>
        <w:rPr>
          <w:rFonts w:ascii="Arial" w:cs="Arial" w:eastAsia="Arial" w:hAnsi="Arial"/>
          <w:sz w:val="17"/>
          <w:szCs w:val="17"/>
          <w:color w:val="auto"/>
        </w:rPr>
        <w:t>Maintain and build on our deep domain expertise and comprehensive collection of richly enhanced data and content</w:t>
      </w:r>
    </w:p>
    <w:p>
      <w:pPr>
        <w:spacing w:after="0" w:line="3" w:lineRule="exact"/>
        <w:rPr>
          <w:rFonts w:ascii="Arial" w:cs="Arial" w:eastAsia="Arial" w:hAnsi="Arial"/>
          <w:sz w:val="17"/>
          <w:szCs w:val="17"/>
          <w:color w:val="D64000"/>
        </w:rPr>
      </w:pPr>
    </w:p>
    <w:p>
      <w:pPr>
        <w:ind w:left="540" w:hanging="322"/>
        <w:spacing w:after="0"/>
        <w:tabs>
          <w:tab w:leader="none" w:pos="540" w:val="left"/>
        </w:tabs>
        <w:numPr>
          <w:ilvl w:val="0"/>
          <w:numId w:val="22"/>
        </w:numPr>
        <w:rPr>
          <w:rFonts w:ascii="Arial" w:cs="Arial" w:eastAsia="Arial" w:hAnsi="Arial"/>
          <w:sz w:val="17"/>
          <w:szCs w:val="17"/>
          <w:color w:val="D64000"/>
        </w:rPr>
      </w:pPr>
      <w:r>
        <w:rPr>
          <w:rFonts w:ascii="Arial" w:cs="Arial" w:eastAsia="Arial" w:hAnsi="Arial"/>
          <w:sz w:val="17"/>
          <w:szCs w:val="17"/>
          <w:color w:val="auto"/>
        </w:rPr>
        <w:t>Further enhance our go-to-market model, including a focus on customer success and retention</w:t>
      </w:r>
    </w:p>
    <w:p>
      <w:pPr>
        <w:spacing w:after="0" w:line="3" w:lineRule="exact"/>
        <w:rPr>
          <w:rFonts w:ascii="Arial" w:cs="Arial" w:eastAsia="Arial" w:hAnsi="Arial"/>
          <w:sz w:val="17"/>
          <w:szCs w:val="17"/>
          <w:color w:val="D64000"/>
        </w:rPr>
      </w:pPr>
    </w:p>
    <w:p>
      <w:pPr>
        <w:ind w:left="540" w:hanging="322"/>
        <w:spacing w:after="0"/>
        <w:tabs>
          <w:tab w:leader="none" w:pos="540" w:val="left"/>
        </w:tabs>
        <w:numPr>
          <w:ilvl w:val="0"/>
          <w:numId w:val="22"/>
        </w:numPr>
        <w:rPr>
          <w:rFonts w:ascii="Arial" w:cs="Arial" w:eastAsia="Arial" w:hAnsi="Arial"/>
          <w:sz w:val="17"/>
          <w:szCs w:val="17"/>
          <w:color w:val="D64000"/>
        </w:rPr>
      </w:pPr>
      <w:r>
        <w:rPr>
          <w:rFonts w:ascii="Arial" w:cs="Arial" w:eastAsia="Arial" w:hAnsi="Arial"/>
          <w:sz w:val="17"/>
          <w:szCs w:val="17"/>
          <w:color w:val="auto"/>
        </w:rPr>
        <w:t>Extend our channel partnerships to integrate our products and services into broader ecosystems</w:t>
      </w:r>
    </w:p>
    <w:p>
      <w:pPr>
        <w:spacing w:after="0" w:line="3" w:lineRule="exact"/>
        <w:rPr>
          <w:rFonts w:ascii="Arial" w:cs="Arial" w:eastAsia="Arial" w:hAnsi="Arial"/>
          <w:sz w:val="17"/>
          <w:szCs w:val="17"/>
          <w:color w:val="D64000"/>
        </w:rPr>
      </w:pPr>
    </w:p>
    <w:p>
      <w:pPr>
        <w:ind w:left="540" w:hanging="322"/>
        <w:spacing w:after="0"/>
        <w:tabs>
          <w:tab w:leader="none" w:pos="540" w:val="left"/>
        </w:tabs>
        <w:numPr>
          <w:ilvl w:val="0"/>
          <w:numId w:val="22"/>
        </w:numPr>
        <w:rPr>
          <w:rFonts w:ascii="Arial" w:cs="Arial" w:eastAsia="Arial" w:hAnsi="Arial"/>
          <w:sz w:val="17"/>
          <w:szCs w:val="17"/>
          <w:color w:val="D64000"/>
        </w:rPr>
      </w:pPr>
      <w:r>
        <w:rPr>
          <w:rFonts w:ascii="Arial" w:cs="Arial" w:eastAsia="Arial" w:hAnsi="Arial"/>
          <w:sz w:val="17"/>
          <w:szCs w:val="17"/>
          <w:color w:val="auto"/>
        </w:rPr>
        <w:t>Ongoing expansion of our international offerings</w:t>
      </w:r>
    </w:p>
    <w:p>
      <w:pPr>
        <w:spacing w:after="0" w:line="3" w:lineRule="exact"/>
        <w:rPr>
          <w:rFonts w:ascii="Arial" w:cs="Arial" w:eastAsia="Arial" w:hAnsi="Arial"/>
          <w:sz w:val="17"/>
          <w:szCs w:val="17"/>
          <w:color w:val="D64000"/>
        </w:rPr>
      </w:pPr>
    </w:p>
    <w:p>
      <w:pPr>
        <w:ind w:left="540" w:hanging="322"/>
        <w:spacing w:after="0"/>
        <w:tabs>
          <w:tab w:leader="none" w:pos="540" w:val="left"/>
        </w:tabs>
        <w:numPr>
          <w:ilvl w:val="0"/>
          <w:numId w:val="22"/>
        </w:numPr>
        <w:rPr>
          <w:rFonts w:ascii="Arial" w:cs="Arial" w:eastAsia="Arial" w:hAnsi="Arial"/>
          <w:sz w:val="17"/>
          <w:szCs w:val="17"/>
          <w:color w:val="D64000"/>
        </w:rPr>
      </w:pPr>
      <w:r>
        <w:rPr>
          <w:rFonts w:ascii="Arial" w:cs="Arial" w:eastAsia="Arial" w:hAnsi="Arial"/>
          <w:sz w:val="17"/>
          <w:szCs w:val="17"/>
          <w:color w:val="auto"/>
        </w:rPr>
        <w:t>Accelerate our pace of execution to move fast and win in a competitive market</w:t>
      </w:r>
    </w:p>
    <w:p>
      <w:pPr>
        <w:spacing w:after="0" w:line="3" w:lineRule="exact"/>
        <w:rPr>
          <w:rFonts w:ascii="Arial" w:cs="Arial" w:eastAsia="Arial" w:hAnsi="Arial"/>
          <w:sz w:val="17"/>
          <w:szCs w:val="17"/>
          <w:color w:val="D64000"/>
        </w:rPr>
      </w:pPr>
    </w:p>
    <w:p>
      <w:pPr>
        <w:ind w:left="540" w:right="400" w:hanging="322"/>
        <w:spacing w:after="0"/>
        <w:tabs>
          <w:tab w:leader="none" w:pos="540" w:val="left"/>
        </w:tabs>
        <w:numPr>
          <w:ilvl w:val="0"/>
          <w:numId w:val="22"/>
        </w:numPr>
        <w:rPr>
          <w:rFonts w:ascii="Arial" w:cs="Arial" w:eastAsia="Arial" w:hAnsi="Arial"/>
          <w:sz w:val="17"/>
          <w:szCs w:val="17"/>
          <w:color w:val="D64000"/>
        </w:rPr>
      </w:pPr>
      <w:r>
        <w:rPr>
          <w:rFonts w:ascii="Arial" w:cs="Arial" w:eastAsia="Arial" w:hAnsi="Arial"/>
          <w:sz w:val="17"/>
          <w:szCs w:val="17"/>
          <w:color w:val="auto"/>
        </w:rPr>
        <w:t>Leverage our significant capital capacity to fund organic investment and execute a balanced capital allocation approach including annual dividend growth, strategic acquisitions and shareholder returns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auto"/>
        </w:rPr>
        <w:t>Customer Segments</w:t>
      </w:r>
    </w:p>
    <w:p>
      <w:pPr>
        <w:spacing w:after="0" w:line="96" w:lineRule="exact"/>
        <w:rPr>
          <w:sz w:val="20"/>
          <w:szCs w:val="20"/>
          <w:color w:val="auto"/>
        </w:rPr>
      </w:pPr>
    </w:p>
    <w:p>
      <w:pPr>
        <w:ind w:left="220" w:right="420"/>
        <w:spacing w:after="0" w:line="238" w:lineRule="auto"/>
        <w:rPr>
          <w:sz w:val="20"/>
          <w:szCs w:val="20"/>
          <w:color w:val="auto"/>
        </w:rPr>
      </w:pPr>
      <w:r>
        <w:rPr>
          <w:rFonts w:ascii="Arial" w:cs="Arial" w:eastAsia="Arial" w:hAnsi="Arial"/>
          <w:sz w:val="17"/>
          <w:szCs w:val="17"/>
          <w:color w:val="auto"/>
        </w:rPr>
        <w:t>Our business is a customer-focused structure organized in five reportable customer segments: Legal Professionals, Corporates, Tax &amp; Accounting Professionals, Reuters News and Global Print. This structure allows us to focus on the customer and partner with them to solve challenges that they face in their businesses. For additional information about the financial results of our customer segments, please see the “Management’s Discussion and Analysis” section of this annual report.</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Legal Professionals</w:t>
      </w:r>
    </w:p>
    <w:p>
      <w:pPr>
        <w:spacing w:after="0" w:line="84" w:lineRule="exact"/>
        <w:rPr>
          <w:sz w:val="20"/>
          <w:szCs w:val="20"/>
          <w:color w:val="auto"/>
        </w:rPr>
      </w:pPr>
    </w:p>
    <w:p>
      <w:pPr>
        <w:ind w:left="220" w:right="80"/>
        <w:spacing w:after="0" w:line="243" w:lineRule="auto"/>
        <w:rPr>
          <w:sz w:val="20"/>
          <w:szCs w:val="20"/>
          <w:color w:val="auto"/>
        </w:rPr>
      </w:pPr>
      <w:r>
        <w:rPr>
          <w:rFonts w:ascii="Arial" w:cs="Arial" w:eastAsia="Arial" w:hAnsi="Arial"/>
          <w:sz w:val="17"/>
          <w:szCs w:val="17"/>
          <w:color w:val="auto"/>
        </w:rPr>
        <w:t>Our Legal Professionals segment serves law firms and governments with research and workflow products powered by emerging technologies, including generative AI, focusing on intuitive legal research and integrated legal workflow solutions that combine content, tools and analytics. The following provides a summary of Legal Professionals’ 2024 revenues by type of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141605</wp:posOffset>
            </wp:positionV>
            <wp:extent cx="2591435" cy="12534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91435" cy="1253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220" w:right="240"/>
        <w:spacing w:after="0" w:line="243" w:lineRule="auto"/>
        <w:rPr>
          <w:sz w:val="20"/>
          <w:szCs w:val="20"/>
          <w:color w:val="auto"/>
        </w:rPr>
      </w:pPr>
      <w:r>
        <w:rPr>
          <w:rFonts w:ascii="Arial" w:cs="Arial" w:eastAsia="Arial" w:hAnsi="Arial"/>
          <w:sz w:val="17"/>
          <w:szCs w:val="17"/>
          <w:color w:val="auto"/>
        </w:rPr>
        <w:t>Legal Professionals’ primary global competitors are LexisNexis (which is owned by RELX Group) and Wolters Kluwer. Legal Professionals also competes with other companies that provide legal and regulatory information, legal workflow and drafting software providers, and emerging AI and software companies that support legal professionals.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Corporates</w:t>
      </w:r>
    </w:p>
    <w:p>
      <w:pPr>
        <w:spacing w:after="0" w:line="84" w:lineRule="exact"/>
        <w:rPr>
          <w:sz w:val="20"/>
          <w:szCs w:val="20"/>
          <w:color w:val="auto"/>
        </w:rPr>
      </w:pPr>
    </w:p>
    <w:p>
      <w:pPr>
        <w:ind w:left="220" w:right="340"/>
        <w:spacing w:after="0" w:line="258" w:lineRule="auto"/>
        <w:rPr>
          <w:sz w:val="20"/>
          <w:szCs w:val="20"/>
          <w:color w:val="auto"/>
        </w:rPr>
      </w:pPr>
      <w:r>
        <w:rPr>
          <w:rFonts w:ascii="Arial" w:cs="Arial" w:eastAsia="Arial" w:hAnsi="Arial"/>
          <w:sz w:val="16"/>
          <w:szCs w:val="16"/>
          <w:color w:val="auto"/>
        </w:rPr>
        <w:t>Our Corporates segment helps corporations achieve their goals of generating new business, driving operational efficiency, achieving digital transformation, and improving customer loyalty. Our Corporates segment serves a range of customers, from small businesses to multinational organizations, including the seven largest global accounting firms, with our full suite of content-driven products, powered by leading-edge technologies, including generative AI, and integrated compliance workflow solutions to help them achieve their business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92075</wp:posOffset>
            </wp:positionV>
            <wp:extent cx="68656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43" w:lineRule="exact"/>
        <w:rPr>
          <w:sz w:val="20"/>
          <w:szCs w:val="20"/>
          <w:color w:val="auto"/>
        </w:rPr>
      </w:pPr>
    </w:p>
    <w:p>
      <w:pPr>
        <w:ind w:left="220"/>
        <w:spacing w:after="0"/>
        <w:tabs>
          <w:tab w:leader="none" w:pos="104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5</w:t>
      </w:r>
    </w:p>
    <w:p>
      <w:pPr>
        <w:sectPr>
          <w:pgSz w:w="11900" w:h="16838" w:orient="portrait"/>
          <w:cols w:equalWidth="0" w:num="1">
            <w:col w:w="11040"/>
          </w:cols>
          <w:pgMar w:left="320" w:top="477" w:right="5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provides a summary of Corporates’ 2024 revenues by type of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159385</wp:posOffset>
            </wp:positionV>
            <wp:extent cx="2692400" cy="13379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92400"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right="40"/>
        <w:spacing w:after="0" w:line="243" w:lineRule="auto"/>
        <w:rPr>
          <w:sz w:val="20"/>
          <w:szCs w:val="20"/>
          <w:color w:val="auto"/>
        </w:rPr>
      </w:pPr>
      <w:r>
        <w:rPr>
          <w:rFonts w:ascii="Arial" w:cs="Arial" w:eastAsia="Arial" w:hAnsi="Arial"/>
          <w:sz w:val="17"/>
          <w:szCs w:val="17"/>
          <w:color w:val="auto"/>
        </w:rPr>
        <w:t>Corporates’ primary global competitors include LexisNexis, Wolters Kluwer and Bloomberg. Corporates also competes with focused software providers such as Avalara, Mitratech, Vertex and Sovos and at times with large technology companies, and highly focused venture capital-backed startups. While the largest global accounting firms are significant customers of Thomson Reuters, they can also be competitors.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Tax &amp; Accounting Professionals</w:t>
      </w:r>
    </w:p>
    <w:p>
      <w:pPr>
        <w:spacing w:after="0" w:line="97" w:lineRule="exact"/>
        <w:rPr>
          <w:sz w:val="20"/>
          <w:szCs w:val="20"/>
          <w:color w:val="auto"/>
        </w:rPr>
      </w:pPr>
    </w:p>
    <w:p>
      <w:pPr>
        <w:ind w:left="220" w:right="80"/>
        <w:spacing w:after="0" w:line="243" w:lineRule="auto"/>
        <w:rPr>
          <w:sz w:val="20"/>
          <w:szCs w:val="20"/>
          <w:color w:val="auto"/>
        </w:rPr>
      </w:pPr>
      <w:r>
        <w:rPr>
          <w:rFonts w:ascii="Arial" w:cs="Arial" w:eastAsia="Arial" w:hAnsi="Arial"/>
          <w:sz w:val="17"/>
          <w:szCs w:val="17"/>
          <w:color w:val="auto"/>
        </w:rPr>
        <w:t>Our Tax &amp; Accounting Professionals segment serves customers from tax and accounting firms (other than the seven largest, which are served by the Corporates segment) with research and automated workflow products powered by leading-edge technologies, including generative AI. The following provides a summary of Tax &amp; Accounting Professionals’ 2024 revenues by type of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141605</wp:posOffset>
            </wp:positionV>
            <wp:extent cx="2751455" cy="12534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51455" cy="1253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20" w:right="200"/>
        <w:spacing w:after="0" w:line="291" w:lineRule="auto"/>
        <w:rPr>
          <w:sz w:val="20"/>
          <w:szCs w:val="20"/>
          <w:color w:val="auto"/>
        </w:rPr>
      </w:pPr>
      <w:r>
        <w:rPr>
          <w:rFonts w:ascii="Arial" w:cs="Arial" w:eastAsia="Arial" w:hAnsi="Arial"/>
          <w:sz w:val="16"/>
          <w:szCs w:val="16"/>
          <w:color w:val="auto"/>
        </w:rPr>
        <w:t>Tax &amp; Accounting Professionals’ competitors include the CCH business of Wolters Kluwer, Bloomberg Industry Group, Intuit, Drake Software, CaseWare and Sage. Tax &amp; Accounting Professionals also competes with software start-ups that serve tax, accounting and audit professionals.</w:t>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Reuters News</w:t>
      </w:r>
    </w:p>
    <w:p>
      <w:pPr>
        <w:spacing w:after="0" w:line="84" w:lineRule="exact"/>
        <w:rPr>
          <w:sz w:val="20"/>
          <w:szCs w:val="20"/>
          <w:color w:val="auto"/>
        </w:rPr>
      </w:pPr>
    </w:p>
    <w:p>
      <w:pPr>
        <w:ind w:left="220" w:right="120"/>
        <w:spacing w:after="0" w:line="235" w:lineRule="auto"/>
        <w:rPr>
          <w:sz w:val="20"/>
          <w:szCs w:val="20"/>
          <w:color w:val="auto"/>
        </w:rPr>
      </w:pPr>
      <w:r>
        <w:rPr>
          <w:rFonts w:ascii="Arial" w:cs="Arial" w:eastAsia="Arial" w:hAnsi="Arial"/>
          <w:sz w:val="17"/>
          <w:szCs w:val="17"/>
          <w:color w:val="auto"/>
        </w:rPr>
        <w:t>Reuters is a leading provider of trusted news, insight and analysis. Founded in 1851, it brings together world-class journalism, industry expertise and cutting-edge technology with unparalleled speed, reliability and accuracy to enable people to make better decisions. Reuters is committed to the Thomson Reuters Trust Principles, including that of independence, integrity and freedom from bias, and is an essential source of business, financial and world news delivered to financial firms exclusively via LSEG products, to the world’s media organizations, and to professionals via industry events and Reuters.com. In 2024, Reuters delivered approximately 4 million unique news stories, 1 million pictures and images and 136,000 video stories and numerous industry events.</w:t>
      </w:r>
    </w:p>
    <w:p>
      <w:pPr>
        <w:spacing w:after="0" w:line="57" w:lineRule="exact"/>
        <w:rPr>
          <w:sz w:val="20"/>
          <w:szCs w:val="20"/>
          <w:color w:val="auto"/>
        </w:rPr>
      </w:pPr>
    </w:p>
    <w:p>
      <w:pPr>
        <w:ind w:left="220" w:right="200"/>
        <w:spacing w:after="0" w:line="260" w:lineRule="auto"/>
        <w:rPr>
          <w:sz w:val="20"/>
          <w:szCs w:val="20"/>
          <w:color w:val="auto"/>
        </w:rPr>
      </w:pPr>
      <w:r>
        <w:rPr>
          <w:rFonts w:ascii="Arial" w:cs="Arial" w:eastAsia="Arial" w:hAnsi="Arial"/>
          <w:sz w:val="17"/>
          <w:szCs w:val="17"/>
          <w:color w:val="auto"/>
        </w:rPr>
        <w:t>For more information on the Thomson Reuters Trust Principles, please see the “Additional Information – Material Contracts – Thomson Reuters Trust Principles and Thomson Reuters Founders Share Company” section of this annual report.</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Reuters’ primary competitors include Bloomberg, the Associated Press, Agence France-Presse and Getty.</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Global Print</w:t>
      </w:r>
    </w:p>
    <w:p>
      <w:pPr>
        <w:spacing w:after="0" w:line="97" w:lineRule="exact"/>
        <w:rPr>
          <w:sz w:val="20"/>
          <w:szCs w:val="20"/>
          <w:color w:val="auto"/>
        </w:rPr>
      </w:pPr>
    </w:p>
    <w:p>
      <w:pPr>
        <w:ind w:left="220" w:right="20"/>
        <w:spacing w:after="0" w:line="236" w:lineRule="auto"/>
        <w:rPr>
          <w:sz w:val="20"/>
          <w:szCs w:val="20"/>
          <w:color w:val="auto"/>
        </w:rPr>
      </w:pPr>
      <w:r>
        <w:rPr>
          <w:rFonts w:ascii="Arial" w:cs="Arial" w:eastAsia="Arial" w:hAnsi="Arial"/>
          <w:sz w:val="17"/>
          <w:szCs w:val="17"/>
          <w:color w:val="auto"/>
        </w:rPr>
        <w:t>Global Print is a leading provider of information, primarily in print format, to legal and tax professionals, government (including federal, state and local government lawyers and judges), law schools and corporations. Global Print also leverages its capabilities through offering commercial printing services to a wide range of book publishers including those in trade, government, associations, faith-based organizations, universities and children’s books. The business serves customers primarily in the United States, Canada and the United Kingdom. Global Print’s primary global competitors are LexisNexis and Wolters Kluwer.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93345</wp:posOffset>
            </wp:positionV>
            <wp:extent cx="68656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8"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6</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Key Brands</w:t>
      </w:r>
    </w:p>
    <w:p>
      <w:pPr>
        <w:spacing w:after="0" w:line="84" w:lineRule="exact"/>
        <w:rPr>
          <w:sz w:val="20"/>
          <w:szCs w:val="20"/>
          <w:color w:val="auto"/>
        </w:rPr>
      </w:pPr>
    </w:p>
    <w:p>
      <w:pPr>
        <w:ind w:left="220" w:right="100"/>
        <w:spacing w:after="0" w:line="238" w:lineRule="auto"/>
        <w:rPr>
          <w:sz w:val="20"/>
          <w:szCs w:val="20"/>
          <w:color w:val="auto"/>
        </w:rPr>
      </w:pPr>
      <w:r>
        <w:rPr>
          <w:rFonts w:ascii="Arial" w:cs="Arial" w:eastAsia="Arial" w:hAnsi="Arial"/>
          <w:sz w:val="17"/>
          <w:szCs w:val="17"/>
          <w:color w:val="auto"/>
        </w:rPr>
        <w:t>Our customer-focused structure enables us to have broader conversations with our customers, with a more cohesive go-to-market approach. We believe that this focus will create opportunities to deepen relationships with customers on more of our products and services across their organizations, increase sales to existing customers, improve retention and attract new customers. The following table provides information about our key brands and the target customer for each brand.</w:t>
      </w:r>
    </w:p>
    <w:p>
      <w:pPr>
        <w:spacing w:after="0" w:line="227"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2360" w:type="dxa"/>
            <w:vAlign w:val="bottom"/>
            <w:shd w:val="clear" w:color="auto" w:fill="262626"/>
          </w:tcPr>
          <w:p>
            <w:pPr>
              <w:spacing w:after="0"/>
              <w:rPr>
                <w:sz w:val="20"/>
                <w:szCs w:val="20"/>
                <w:color w:val="auto"/>
              </w:rPr>
            </w:pPr>
          </w:p>
        </w:tc>
        <w:tc>
          <w:tcPr>
            <w:tcW w:w="4700" w:type="dxa"/>
            <w:vAlign w:val="bottom"/>
            <w:shd w:val="clear" w:color="auto" w:fill="262626"/>
          </w:tcPr>
          <w:p>
            <w:pPr>
              <w:spacing w:after="0"/>
              <w:rPr>
                <w:sz w:val="20"/>
                <w:szCs w:val="20"/>
                <w:color w:val="auto"/>
              </w:rPr>
            </w:pPr>
          </w:p>
        </w:tc>
        <w:tc>
          <w:tcPr>
            <w:tcW w:w="1320" w:type="dxa"/>
            <w:vAlign w:val="bottom"/>
            <w:shd w:val="clear" w:color="auto" w:fill="262626"/>
          </w:tcPr>
          <w:p>
            <w:pPr>
              <w:spacing w:after="0"/>
              <w:rPr>
                <w:sz w:val="20"/>
                <w:szCs w:val="20"/>
                <w:color w:val="auto"/>
              </w:rPr>
            </w:pPr>
          </w:p>
        </w:tc>
        <w:tc>
          <w:tcPr>
            <w:tcW w:w="1160" w:type="dxa"/>
            <w:vAlign w:val="bottom"/>
            <w:shd w:val="clear" w:color="auto" w:fill="262626"/>
          </w:tcPr>
          <w:p>
            <w:pPr>
              <w:spacing w:after="0"/>
              <w:rPr>
                <w:sz w:val="20"/>
                <w:szCs w:val="20"/>
                <w:color w:val="auto"/>
              </w:rPr>
            </w:pPr>
          </w:p>
        </w:tc>
        <w:tc>
          <w:tcPr>
            <w:tcW w:w="1260" w:type="dxa"/>
            <w:vAlign w:val="bottom"/>
            <w:shd w:val="clear" w:color="auto" w:fill="262626"/>
          </w:tcPr>
          <w:p>
            <w:pPr>
              <w:jc w:val="center"/>
              <w:ind w:left="99"/>
              <w:spacing w:after="0"/>
              <w:rPr>
                <w:sz w:val="20"/>
                <w:szCs w:val="20"/>
                <w:color w:val="auto"/>
              </w:rPr>
            </w:pPr>
            <w:r>
              <w:rPr>
                <w:rFonts w:ascii="Arial" w:cs="Arial" w:eastAsia="Arial" w:hAnsi="Arial"/>
                <w:sz w:val="16"/>
                <w:szCs w:val="16"/>
                <w:color w:val="FFFFFF"/>
                <w:w w:val="95"/>
              </w:rPr>
              <w:t>Tax &amp;</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360" w:type="dxa"/>
            <w:vAlign w:val="bottom"/>
            <w:shd w:val="clear" w:color="auto" w:fill="262626"/>
          </w:tcPr>
          <w:p>
            <w:pPr>
              <w:spacing w:after="0"/>
              <w:rPr>
                <w:sz w:val="16"/>
                <w:szCs w:val="16"/>
                <w:color w:val="auto"/>
              </w:rPr>
            </w:pPr>
          </w:p>
        </w:tc>
        <w:tc>
          <w:tcPr>
            <w:tcW w:w="4700" w:type="dxa"/>
            <w:vAlign w:val="bottom"/>
            <w:shd w:val="clear" w:color="auto" w:fill="262626"/>
          </w:tcPr>
          <w:p>
            <w:pPr>
              <w:spacing w:after="0"/>
              <w:rPr>
                <w:sz w:val="16"/>
                <w:szCs w:val="16"/>
                <w:color w:val="auto"/>
              </w:rPr>
            </w:pPr>
          </w:p>
        </w:tc>
        <w:tc>
          <w:tcPr>
            <w:tcW w:w="1320" w:type="dxa"/>
            <w:vAlign w:val="bottom"/>
            <w:shd w:val="clear" w:color="auto" w:fill="262626"/>
          </w:tcPr>
          <w:p>
            <w:pPr>
              <w:jc w:val="center"/>
              <w:spacing w:after="0"/>
              <w:rPr>
                <w:sz w:val="20"/>
                <w:szCs w:val="20"/>
                <w:color w:val="auto"/>
              </w:rPr>
            </w:pPr>
            <w:r>
              <w:rPr>
                <w:rFonts w:ascii="Arial" w:cs="Arial" w:eastAsia="Arial" w:hAnsi="Arial"/>
                <w:sz w:val="16"/>
                <w:szCs w:val="16"/>
                <w:color w:val="FFFFFF"/>
              </w:rPr>
              <w:t>Legal</w:t>
            </w:r>
          </w:p>
        </w:tc>
        <w:tc>
          <w:tcPr>
            <w:tcW w:w="1160" w:type="dxa"/>
            <w:vAlign w:val="bottom"/>
            <w:shd w:val="clear" w:color="auto" w:fill="262626"/>
          </w:tcPr>
          <w:p>
            <w:pPr>
              <w:spacing w:after="0"/>
              <w:rPr>
                <w:sz w:val="16"/>
                <w:szCs w:val="16"/>
                <w:color w:val="auto"/>
              </w:rPr>
            </w:pPr>
          </w:p>
        </w:tc>
        <w:tc>
          <w:tcPr>
            <w:tcW w:w="1260" w:type="dxa"/>
            <w:vAlign w:val="bottom"/>
            <w:shd w:val="clear" w:color="auto" w:fill="262626"/>
          </w:tcPr>
          <w:p>
            <w:pPr>
              <w:jc w:val="center"/>
              <w:ind w:left="99"/>
              <w:spacing w:after="0"/>
              <w:rPr>
                <w:sz w:val="20"/>
                <w:szCs w:val="20"/>
                <w:color w:val="auto"/>
              </w:rPr>
            </w:pPr>
            <w:r>
              <w:rPr>
                <w:rFonts w:ascii="Arial" w:cs="Arial" w:eastAsia="Arial" w:hAnsi="Arial"/>
                <w:sz w:val="16"/>
                <w:szCs w:val="16"/>
                <w:color w:val="FFFFFF"/>
              </w:rPr>
              <w:t>Accounting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360" w:type="dxa"/>
            <w:vAlign w:val="bottom"/>
            <w:tcBorders>
              <w:bottom w:val="single" w:sz="8" w:color="D64000"/>
            </w:tcBorders>
            <w:shd w:val="clear" w:color="auto" w:fill="262626"/>
          </w:tcPr>
          <w:p>
            <w:pPr>
              <w:spacing w:after="0"/>
              <w:rPr>
                <w:sz w:val="20"/>
                <w:szCs w:val="20"/>
                <w:color w:val="auto"/>
              </w:rPr>
            </w:pPr>
            <w:r>
              <w:rPr>
                <w:rFonts w:ascii="Arial" w:cs="Arial" w:eastAsia="Arial" w:hAnsi="Arial"/>
                <w:sz w:val="16"/>
                <w:szCs w:val="16"/>
                <w:color w:val="FFFFFF"/>
              </w:rPr>
              <w:t>Brand</w:t>
            </w:r>
          </w:p>
        </w:tc>
        <w:tc>
          <w:tcPr>
            <w:tcW w:w="4700" w:type="dxa"/>
            <w:vAlign w:val="bottom"/>
            <w:tcBorders>
              <w:bottom w:val="single" w:sz="8" w:color="D64000"/>
            </w:tcBorders>
            <w:shd w:val="clear" w:color="auto" w:fill="262626"/>
          </w:tcPr>
          <w:p>
            <w:pPr>
              <w:ind w:left="220"/>
              <w:spacing w:after="0"/>
              <w:rPr>
                <w:sz w:val="20"/>
                <w:szCs w:val="20"/>
                <w:color w:val="auto"/>
              </w:rPr>
            </w:pPr>
            <w:r>
              <w:rPr>
                <w:rFonts w:ascii="Arial" w:cs="Arial" w:eastAsia="Arial" w:hAnsi="Arial"/>
                <w:sz w:val="16"/>
                <w:szCs w:val="16"/>
                <w:color w:val="FFFFFF"/>
              </w:rPr>
              <w:t>Type of Product/Service</w:t>
            </w:r>
          </w:p>
        </w:tc>
        <w:tc>
          <w:tcPr>
            <w:tcW w:w="1320" w:type="dxa"/>
            <w:vAlign w:val="bottom"/>
            <w:tcBorders>
              <w:bottom w:val="single" w:sz="8" w:color="D64000"/>
            </w:tcBorders>
            <w:shd w:val="clear" w:color="auto" w:fill="262626"/>
          </w:tcPr>
          <w:p>
            <w:pPr>
              <w:jc w:val="center"/>
              <w:spacing w:after="0"/>
              <w:rPr>
                <w:sz w:val="20"/>
                <w:szCs w:val="20"/>
                <w:color w:val="auto"/>
              </w:rPr>
            </w:pPr>
            <w:r>
              <w:rPr>
                <w:rFonts w:ascii="Arial" w:cs="Arial" w:eastAsia="Arial" w:hAnsi="Arial"/>
                <w:sz w:val="16"/>
                <w:szCs w:val="16"/>
                <w:color w:val="FFFFFF"/>
                <w:w w:val="99"/>
              </w:rPr>
              <w:t>Professionals</w:t>
            </w:r>
          </w:p>
        </w:tc>
        <w:tc>
          <w:tcPr>
            <w:tcW w:w="1160" w:type="dxa"/>
            <w:vAlign w:val="bottom"/>
            <w:tcBorders>
              <w:bottom w:val="single" w:sz="8" w:color="D64000"/>
            </w:tcBorders>
            <w:shd w:val="clear" w:color="auto" w:fill="262626"/>
          </w:tcPr>
          <w:p>
            <w:pPr>
              <w:ind w:left="180"/>
              <w:spacing w:after="0"/>
              <w:rPr>
                <w:sz w:val="20"/>
                <w:szCs w:val="20"/>
                <w:color w:val="auto"/>
              </w:rPr>
            </w:pPr>
            <w:r>
              <w:rPr>
                <w:rFonts w:ascii="Arial" w:cs="Arial" w:eastAsia="Arial" w:hAnsi="Arial"/>
                <w:sz w:val="16"/>
                <w:szCs w:val="16"/>
                <w:color w:val="FFFFFF"/>
              </w:rPr>
              <w:t>Corporates</w:t>
            </w:r>
          </w:p>
        </w:tc>
        <w:tc>
          <w:tcPr>
            <w:tcW w:w="1260" w:type="dxa"/>
            <w:vAlign w:val="bottom"/>
            <w:tcBorders>
              <w:bottom w:val="single" w:sz="8" w:color="D64000"/>
            </w:tcBorders>
            <w:shd w:val="clear" w:color="auto" w:fill="262626"/>
          </w:tcPr>
          <w:p>
            <w:pPr>
              <w:jc w:val="center"/>
              <w:ind w:left="99"/>
              <w:spacing w:after="0"/>
              <w:rPr>
                <w:sz w:val="20"/>
                <w:szCs w:val="20"/>
                <w:color w:val="auto"/>
              </w:rPr>
            </w:pPr>
            <w:r>
              <w:rPr>
                <w:rFonts w:ascii="Arial" w:cs="Arial" w:eastAsia="Arial" w:hAnsi="Arial"/>
                <w:sz w:val="16"/>
                <w:szCs w:val="16"/>
                <w:color w:val="FFFFFF"/>
                <w:w w:val="99"/>
              </w:rPr>
              <w:t>Professionalss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360" w:type="dxa"/>
            <w:vAlign w:val="bottom"/>
          </w:tcPr>
          <w:p>
            <w:pPr>
              <w:ind w:left="80"/>
              <w:spacing w:after="0"/>
              <w:rPr>
                <w:sz w:val="20"/>
                <w:szCs w:val="20"/>
                <w:color w:val="auto"/>
              </w:rPr>
            </w:pPr>
            <w:r>
              <w:rPr>
                <w:rFonts w:ascii="Arial" w:cs="Arial" w:eastAsia="Arial" w:hAnsi="Arial"/>
                <w:sz w:val="16"/>
                <w:szCs w:val="16"/>
                <w:b w:val="1"/>
                <w:bCs w:val="1"/>
                <w:color w:val="auto"/>
              </w:rPr>
              <w:t>Westlaw</w:t>
            </w: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Legal, regulatory and compliance information-based</w:t>
            </w:r>
          </w:p>
        </w:tc>
        <w:tc>
          <w:tcPr>
            <w:tcW w:w="1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360" w:type="dxa"/>
            <w:vAlign w:val="bottom"/>
          </w:tcPr>
          <w:p>
            <w:pPr>
              <w:ind w:left="80"/>
              <w:spacing w:after="0"/>
              <w:rPr>
                <w:sz w:val="20"/>
                <w:szCs w:val="20"/>
                <w:color w:val="auto"/>
              </w:rPr>
            </w:pPr>
            <w:r>
              <w:rPr>
                <w:rFonts w:ascii="Arial" w:cs="Arial" w:eastAsia="Arial" w:hAnsi="Arial"/>
                <w:sz w:val="16"/>
                <w:szCs w:val="16"/>
                <w:b w:val="1"/>
                <w:bCs w:val="1"/>
                <w:color w:val="auto"/>
              </w:rPr>
              <w:t>Westlaw Edge (U.S., U.K. &amp;</w:t>
            </w: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products and services.</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60" w:type="dxa"/>
            <w:vAlign w:val="bottom"/>
          </w:tcPr>
          <w:p>
            <w:pPr>
              <w:ind w:left="260"/>
              <w:spacing w:after="0"/>
              <w:rPr>
                <w:sz w:val="20"/>
                <w:szCs w:val="20"/>
                <w:color w:val="auto"/>
              </w:rPr>
            </w:pPr>
            <w:r>
              <w:rPr>
                <w:rFonts w:ascii="Arial" w:cs="Arial" w:eastAsia="Arial" w:hAnsi="Arial"/>
                <w:sz w:val="16"/>
                <w:szCs w:val="16"/>
                <w:b w:val="1"/>
                <w:bCs w:val="1"/>
                <w:color w:val="auto"/>
              </w:rPr>
              <w:t>Canada)</w:t>
            </w:r>
          </w:p>
        </w:tc>
        <w:tc>
          <w:tcPr>
            <w:tcW w:w="470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Westlaw is our primary online legal research delivery</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36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Westlaw Precision (U.S.)</w:t>
            </w:r>
          </w:p>
        </w:tc>
        <w:tc>
          <w:tcPr>
            <w:tcW w:w="470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360" w:type="dxa"/>
            <w:vAlign w:val="bottom"/>
            <w:vMerge w:val="continue"/>
          </w:tcPr>
          <w:p>
            <w:pPr>
              <w:spacing w:after="0"/>
              <w:rPr>
                <w:sz w:val="10"/>
                <w:szCs w:val="10"/>
                <w:color w:val="auto"/>
              </w:rPr>
            </w:pPr>
          </w:p>
        </w:tc>
        <w:tc>
          <w:tcPr>
            <w:tcW w:w="470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platform. Westlaw offers authoritative content, powerful</w:t>
            </w:r>
          </w:p>
        </w:tc>
        <w:tc>
          <w:tcPr>
            <w:tcW w:w="1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360" w:type="dxa"/>
            <w:vAlign w:val="bottom"/>
          </w:tcPr>
          <w:p>
            <w:pPr>
              <w:spacing w:after="0"/>
              <w:rPr>
                <w:sz w:val="5"/>
                <w:szCs w:val="5"/>
                <w:color w:val="auto"/>
              </w:rPr>
            </w:pPr>
          </w:p>
        </w:tc>
        <w:tc>
          <w:tcPr>
            <w:tcW w:w="4700" w:type="dxa"/>
            <w:vAlign w:val="bottom"/>
            <w:vMerge w:val="continue"/>
          </w:tcPr>
          <w:p>
            <w:pPr>
              <w:spacing w:after="0"/>
              <w:rPr>
                <w:sz w:val="5"/>
                <w:szCs w:val="5"/>
                <w:color w:val="auto"/>
              </w:rPr>
            </w:pPr>
          </w:p>
        </w:tc>
        <w:tc>
          <w:tcPr>
            <w:tcW w:w="13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search functionality and research organization, team</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collaboration features and navigation tools to find and</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share specific points of law and search for analytical</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commentary. Westlaw employs proprietary, innovative</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360" w:type="dxa"/>
            <w:vAlign w:val="bottom"/>
          </w:tcPr>
          <w:p>
            <w:pPr>
              <w:spacing w:after="0"/>
              <w:rPr>
                <w:sz w:val="18"/>
                <w:szCs w:val="18"/>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technology including generative AI.</w:t>
            </w: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360" w:type="dxa"/>
            <w:vAlign w:val="bottom"/>
          </w:tcPr>
          <w:p>
            <w:pPr>
              <w:spacing w:after="0"/>
              <w:rPr>
                <w:sz w:val="21"/>
                <w:szCs w:val="21"/>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Localized country-specific online legal research</w:t>
            </w:r>
          </w:p>
        </w:tc>
        <w:tc>
          <w:tcPr>
            <w:tcW w:w="1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platforms are provided for Argentina, Australia, Brazil,</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Canada, Chile, Ireland, Japan, New Zealand, the United</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Kingdom, United States, Uruguay and other countries.</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Through Westlaw International and Westlaw Asia, we</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offer our region-based online legal research platforms to</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customers in markets where we do not offer a country-</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360" w:type="dxa"/>
            <w:vAlign w:val="bottom"/>
          </w:tcPr>
          <w:p>
            <w:pPr>
              <w:spacing w:after="0"/>
              <w:rPr>
                <w:sz w:val="18"/>
                <w:szCs w:val="18"/>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specific Westlaw service.</w:t>
            </w: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2360" w:type="dxa"/>
            <w:vAlign w:val="bottom"/>
            <w:tcBorders>
              <w:bottom w:val="single" w:sz="8" w:color="B2B2B2"/>
            </w:tcBorders>
          </w:tcPr>
          <w:p>
            <w:pPr>
              <w:spacing w:after="0"/>
              <w:rPr>
                <w:sz w:val="8"/>
                <w:szCs w:val="8"/>
                <w:color w:val="auto"/>
              </w:rPr>
            </w:pPr>
          </w:p>
        </w:tc>
        <w:tc>
          <w:tcPr>
            <w:tcW w:w="4700" w:type="dxa"/>
            <w:vAlign w:val="bottom"/>
            <w:tcBorders>
              <w:bottom w:val="single" w:sz="8" w:color="B2B2B2"/>
            </w:tcBorders>
          </w:tcPr>
          <w:p>
            <w:pPr>
              <w:spacing w:after="0"/>
              <w:rPr>
                <w:sz w:val="8"/>
                <w:szCs w:val="8"/>
                <w:color w:val="auto"/>
              </w:rPr>
            </w:pPr>
          </w:p>
        </w:tc>
        <w:tc>
          <w:tcPr>
            <w:tcW w:w="1320" w:type="dxa"/>
            <w:vAlign w:val="bottom"/>
            <w:tcBorders>
              <w:bottom w:val="single" w:sz="8" w:color="B2B2B2"/>
            </w:tcBorders>
          </w:tcPr>
          <w:p>
            <w:pPr>
              <w:spacing w:after="0"/>
              <w:rPr>
                <w:sz w:val="8"/>
                <w:szCs w:val="8"/>
                <w:color w:val="auto"/>
              </w:rPr>
            </w:pPr>
          </w:p>
        </w:tc>
        <w:tc>
          <w:tcPr>
            <w:tcW w:w="1160" w:type="dxa"/>
            <w:vAlign w:val="bottom"/>
            <w:tcBorders>
              <w:bottom w:val="single" w:sz="8" w:color="B2B2B2"/>
            </w:tcBorders>
          </w:tcPr>
          <w:p>
            <w:pPr>
              <w:spacing w:after="0"/>
              <w:rPr>
                <w:sz w:val="8"/>
                <w:szCs w:val="8"/>
                <w:color w:val="auto"/>
              </w:rPr>
            </w:pPr>
          </w:p>
        </w:tc>
        <w:tc>
          <w:tcPr>
            <w:tcW w:w="1260" w:type="dxa"/>
            <w:vAlign w:val="bottom"/>
            <w:tcBorders>
              <w:bottom w:val="single" w:sz="8" w:color="B2B2B2"/>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360" w:type="dxa"/>
            <w:vAlign w:val="bottom"/>
          </w:tcPr>
          <w:p>
            <w:pPr>
              <w:ind w:left="80"/>
              <w:spacing w:after="0"/>
              <w:rPr>
                <w:sz w:val="20"/>
                <w:szCs w:val="20"/>
                <w:color w:val="auto"/>
              </w:rPr>
            </w:pPr>
            <w:r>
              <w:rPr>
                <w:rFonts w:ascii="Arial" w:cs="Arial" w:eastAsia="Arial" w:hAnsi="Arial"/>
                <w:sz w:val="16"/>
                <w:szCs w:val="16"/>
                <w:color w:val="FFFFFF"/>
              </w:rPr>
              <w:t>Practical Law</w:t>
            </w: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Legal know-how, current awareness and workflow tools</w:t>
            </w: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360" w:type="dxa"/>
            <w:vAlign w:val="bottom"/>
          </w:tcPr>
          <w:p>
            <w:pPr>
              <w:ind w:left="80"/>
              <w:spacing w:after="0"/>
              <w:rPr>
                <w:sz w:val="20"/>
                <w:szCs w:val="20"/>
                <w:color w:val="auto"/>
              </w:rPr>
            </w:pPr>
            <w:r>
              <w:rPr>
                <w:rFonts w:ascii="Arial" w:cs="Arial" w:eastAsia="Arial" w:hAnsi="Arial"/>
                <w:sz w:val="16"/>
                <w:szCs w:val="16"/>
                <w:b w:val="1"/>
                <w:bCs w:val="1"/>
                <w:color w:val="auto"/>
              </w:rPr>
              <w:t>Practical Law</w:t>
            </w: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with embedded guidance from expert practitioners.</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60" w:type="dxa"/>
            <w:vAlign w:val="bottom"/>
          </w:tcPr>
          <w:p>
            <w:pPr>
              <w:ind w:left="80"/>
              <w:spacing w:after="0"/>
              <w:rPr>
                <w:sz w:val="20"/>
                <w:szCs w:val="20"/>
                <w:color w:val="auto"/>
              </w:rPr>
            </w:pPr>
            <w:r>
              <w:rPr>
                <w:rFonts w:ascii="Arial" w:cs="Arial" w:eastAsia="Arial" w:hAnsi="Arial"/>
                <w:sz w:val="16"/>
                <w:szCs w:val="16"/>
                <w:b w:val="1"/>
                <w:bCs w:val="1"/>
                <w:color w:val="auto"/>
              </w:rPr>
              <w:t>Practical Law Connect</w:t>
            </w: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Practice notes, standard documents, checklists and</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60" w:type="dxa"/>
            <w:vAlign w:val="bottom"/>
          </w:tcPr>
          <w:p>
            <w:pPr>
              <w:ind w:left="80"/>
              <w:spacing w:after="0"/>
              <w:rPr>
                <w:sz w:val="20"/>
                <w:szCs w:val="20"/>
                <w:color w:val="auto"/>
              </w:rPr>
            </w:pPr>
            <w:r>
              <w:rPr>
                <w:rFonts w:ascii="Arial" w:cs="Arial" w:eastAsia="Arial" w:hAnsi="Arial"/>
                <w:sz w:val="16"/>
                <w:szCs w:val="16"/>
                <w:b w:val="1"/>
                <w:bCs w:val="1"/>
                <w:color w:val="auto"/>
              </w:rPr>
              <w:t>Practical Law Dynamic</w:t>
            </w: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What’s Market tools cover a wide variety of practice</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60" w:type="dxa"/>
            <w:vAlign w:val="bottom"/>
          </w:tcPr>
          <w:p>
            <w:pPr>
              <w:ind w:left="80"/>
              <w:spacing w:after="0"/>
              <w:rPr>
                <w:sz w:val="20"/>
                <w:szCs w:val="20"/>
                <w:color w:val="auto"/>
              </w:rPr>
            </w:pPr>
            <w:r>
              <w:rPr>
                <w:rFonts w:ascii="Arial" w:cs="Arial" w:eastAsia="Arial" w:hAnsi="Arial"/>
                <w:sz w:val="16"/>
                <w:szCs w:val="16"/>
                <w:b w:val="1"/>
                <w:bCs w:val="1"/>
                <w:color w:val="auto"/>
              </w:rPr>
              <w:t>Tool Set</w:t>
            </w: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areas such as commercial, corporate, labor and</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employment, intellectual property, finance and litigation.</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Practical Law currently has localized product offerings</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in the United Kingdom, United States, Canada and</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Australia. Through Practical Law Global and our local</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Practical Law offerings, we offer our online products and</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services to customers in markets where we do not have</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360" w:type="dxa"/>
            <w:vAlign w:val="bottom"/>
          </w:tcPr>
          <w:p>
            <w:pPr>
              <w:spacing w:after="0"/>
              <w:rPr>
                <w:sz w:val="18"/>
                <w:szCs w:val="18"/>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a fully localized service.</w:t>
            </w: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360" w:type="dxa"/>
            <w:vAlign w:val="bottom"/>
            <w:tcBorders>
              <w:bottom w:val="single" w:sz="8" w:color="B2B2B2"/>
            </w:tcBorders>
          </w:tcPr>
          <w:p>
            <w:pPr>
              <w:spacing w:after="0"/>
              <w:rPr>
                <w:sz w:val="7"/>
                <w:szCs w:val="7"/>
                <w:color w:val="auto"/>
              </w:rPr>
            </w:pPr>
          </w:p>
        </w:tc>
        <w:tc>
          <w:tcPr>
            <w:tcW w:w="4700" w:type="dxa"/>
            <w:vAlign w:val="bottom"/>
            <w:tcBorders>
              <w:bottom w:val="single" w:sz="8" w:color="B2B2B2"/>
            </w:tcBorders>
          </w:tcPr>
          <w:p>
            <w:pPr>
              <w:spacing w:after="0"/>
              <w:rPr>
                <w:sz w:val="7"/>
                <w:szCs w:val="7"/>
                <w:color w:val="auto"/>
              </w:rPr>
            </w:pPr>
          </w:p>
        </w:tc>
        <w:tc>
          <w:tcPr>
            <w:tcW w:w="1320" w:type="dxa"/>
            <w:vAlign w:val="bottom"/>
            <w:tcBorders>
              <w:bottom w:val="single" w:sz="8" w:color="B2B2B2"/>
            </w:tcBorders>
          </w:tcPr>
          <w:p>
            <w:pPr>
              <w:spacing w:after="0"/>
              <w:rPr>
                <w:sz w:val="7"/>
                <w:szCs w:val="7"/>
                <w:color w:val="auto"/>
              </w:rPr>
            </w:pPr>
          </w:p>
        </w:tc>
        <w:tc>
          <w:tcPr>
            <w:tcW w:w="1160" w:type="dxa"/>
            <w:vAlign w:val="bottom"/>
            <w:tcBorders>
              <w:bottom w:val="single" w:sz="8" w:color="B2B2B2"/>
            </w:tcBorders>
          </w:tcPr>
          <w:p>
            <w:pPr>
              <w:spacing w:after="0"/>
              <w:rPr>
                <w:sz w:val="7"/>
                <w:szCs w:val="7"/>
                <w:color w:val="auto"/>
              </w:rPr>
            </w:pPr>
          </w:p>
        </w:tc>
        <w:tc>
          <w:tcPr>
            <w:tcW w:w="1260" w:type="dxa"/>
            <w:vAlign w:val="bottom"/>
            <w:tcBorders>
              <w:bottom w:val="single" w:sz="8" w:color="B2B2B2"/>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360" w:type="dxa"/>
            <w:vAlign w:val="bottom"/>
          </w:tcPr>
          <w:p>
            <w:pPr>
              <w:ind w:left="80"/>
              <w:spacing w:after="0"/>
              <w:rPr>
                <w:sz w:val="20"/>
                <w:szCs w:val="20"/>
                <w:color w:val="auto"/>
              </w:rPr>
            </w:pPr>
            <w:r>
              <w:rPr>
                <w:rFonts w:ascii="Arial" w:cs="Arial" w:eastAsia="Arial" w:hAnsi="Arial"/>
                <w:sz w:val="16"/>
                <w:szCs w:val="16"/>
                <w:b w:val="1"/>
                <w:bCs w:val="1"/>
                <w:color w:val="auto"/>
              </w:rPr>
              <w:t>CoCounsel</w:t>
            </w: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Our professional-grade generative AI assistant that is</w:t>
            </w: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360" w:type="dxa"/>
            <w:vAlign w:val="bottom"/>
          </w:tcPr>
          <w:p>
            <w:pPr>
              <w:ind w:left="80"/>
              <w:spacing w:after="0"/>
              <w:rPr>
                <w:sz w:val="20"/>
                <w:szCs w:val="20"/>
                <w:color w:val="auto"/>
              </w:rPr>
            </w:pPr>
            <w:r>
              <w:rPr>
                <w:rFonts w:ascii="Arial" w:cs="Arial" w:eastAsia="Arial" w:hAnsi="Arial"/>
                <w:sz w:val="16"/>
                <w:szCs w:val="16"/>
                <w:b w:val="1"/>
                <w:bCs w:val="1"/>
                <w:color w:val="auto"/>
              </w:rPr>
              <w:t>CoCounsel Drafting</w:t>
            </w: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trained by TR domain experts and leverages our TR</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proprietary content in generating answers to users</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across the legal, tax, risk &amp; fraud, and media domains.</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This AI assistant also integrates functionality from other</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software products across the TR estate, allowing users</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to navigate seamlessly from one application to another.</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It also has the capability to integrate customer content</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directly to help ground the responses in customer</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proprietary content in addition to TR’s world-class</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360" w:type="dxa"/>
            <w:vAlign w:val="bottom"/>
            <w:tcBorders>
              <w:bottom w:val="single" w:sz="8" w:color="B2B2B2"/>
            </w:tcBorders>
          </w:tcPr>
          <w:p>
            <w:pPr>
              <w:spacing w:after="0"/>
              <w:rPr>
                <w:sz w:val="17"/>
                <w:szCs w:val="17"/>
                <w:color w:val="auto"/>
              </w:rPr>
            </w:pPr>
          </w:p>
        </w:tc>
        <w:tc>
          <w:tcPr>
            <w:tcW w:w="4700" w:type="dxa"/>
            <w:vAlign w:val="bottom"/>
            <w:tcBorders>
              <w:bottom w:val="single" w:sz="8" w:color="B2B2B2"/>
            </w:tcBorders>
          </w:tcPr>
          <w:p>
            <w:pPr>
              <w:ind w:left="220"/>
              <w:spacing w:after="0"/>
              <w:rPr>
                <w:sz w:val="20"/>
                <w:szCs w:val="20"/>
                <w:color w:val="auto"/>
              </w:rPr>
            </w:pPr>
            <w:r>
              <w:rPr>
                <w:rFonts w:ascii="Arial" w:cs="Arial" w:eastAsia="Arial" w:hAnsi="Arial"/>
                <w:sz w:val="16"/>
                <w:szCs w:val="16"/>
                <w:b w:val="1"/>
                <w:bCs w:val="1"/>
                <w:color w:val="auto"/>
              </w:rPr>
              <w:t>content assets.</w:t>
            </w:r>
          </w:p>
        </w:tc>
        <w:tc>
          <w:tcPr>
            <w:tcW w:w="1320" w:type="dxa"/>
            <w:vAlign w:val="bottom"/>
            <w:tcBorders>
              <w:bottom w:val="single" w:sz="8" w:color="B2B2B2"/>
            </w:tcBorders>
          </w:tcPr>
          <w:p>
            <w:pPr>
              <w:spacing w:after="0"/>
              <w:rPr>
                <w:sz w:val="17"/>
                <w:szCs w:val="17"/>
                <w:color w:val="auto"/>
              </w:rPr>
            </w:pPr>
          </w:p>
        </w:tc>
        <w:tc>
          <w:tcPr>
            <w:tcW w:w="1160" w:type="dxa"/>
            <w:vAlign w:val="bottom"/>
            <w:tcBorders>
              <w:bottom w:val="single" w:sz="8" w:color="B2B2B2"/>
            </w:tcBorders>
          </w:tcPr>
          <w:p>
            <w:pPr>
              <w:spacing w:after="0"/>
              <w:rPr>
                <w:sz w:val="17"/>
                <w:szCs w:val="17"/>
                <w:color w:val="auto"/>
              </w:rPr>
            </w:pPr>
          </w:p>
        </w:tc>
        <w:tc>
          <w:tcPr>
            <w:tcW w:w="1260" w:type="dxa"/>
            <w:vAlign w:val="bottom"/>
            <w:tcBorders>
              <w:bottom w:val="single" w:sz="8" w:color="B2B2B2"/>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7060" w:type="dxa"/>
            <w:vAlign w:val="bottom"/>
            <w:tcBorders>
              <w:bottom w:val="single" w:sz="8" w:color="7F7F7F"/>
            </w:tcBorders>
            <w:gridSpan w:val="2"/>
          </w:tcPr>
          <w:p>
            <w:pPr>
              <w:spacing w:after="0"/>
              <w:rPr>
                <w:sz w:val="14"/>
                <w:szCs w:val="14"/>
                <w:color w:val="auto"/>
              </w:rPr>
            </w:pPr>
          </w:p>
        </w:tc>
        <w:tc>
          <w:tcPr>
            <w:tcW w:w="1320" w:type="dxa"/>
            <w:vAlign w:val="bottom"/>
            <w:tcBorders>
              <w:bottom w:val="single" w:sz="8" w:color="7F7F7F"/>
            </w:tcBorders>
          </w:tcPr>
          <w:p>
            <w:pPr>
              <w:spacing w:after="0"/>
              <w:rPr>
                <w:sz w:val="14"/>
                <w:szCs w:val="14"/>
                <w:color w:val="auto"/>
              </w:rPr>
            </w:pPr>
          </w:p>
        </w:tc>
        <w:tc>
          <w:tcPr>
            <w:tcW w:w="1160" w:type="dxa"/>
            <w:vAlign w:val="bottom"/>
            <w:tcBorders>
              <w:bottom w:val="single" w:sz="8" w:color="7F7F7F"/>
            </w:tcBorders>
          </w:tcPr>
          <w:p>
            <w:pPr>
              <w:spacing w:after="0"/>
              <w:rPr>
                <w:sz w:val="14"/>
                <w:szCs w:val="14"/>
                <w:color w:val="auto"/>
              </w:rPr>
            </w:pPr>
          </w:p>
        </w:tc>
        <w:tc>
          <w:tcPr>
            <w:tcW w:w="1260" w:type="dxa"/>
            <w:vAlign w:val="bottom"/>
            <w:tcBorders>
              <w:bottom w:val="single" w:sz="8" w:color="7F7F7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7060" w:type="dxa"/>
            <w:vAlign w:val="bottom"/>
            <w:gridSpan w:val="2"/>
          </w:tcPr>
          <w:p>
            <w:pPr>
              <w:spacing w:after="0"/>
              <w:rPr>
                <w:sz w:val="20"/>
                <w:szCs w:val="20"/>
                <w:color w:val="auto"/>
              </w:rPr>
            </w:pPr>
            <w:r>
              <w:rPr>
                <w:rFonts w:ascii="Arial" w:cs="Arial" w:eastAsia="Arial" w:hAnsi="Arial"/>
                <w:sz w:val="17"/>
                <w:szCs w:val="17"/>
                <w:b w:val="1"/>
                <w:bCs w:val="1"/>
                <w:color w:val="auto"/>
              </w:rPr>
              <w:t>Thomson Reuters Annual Report 2024</w:t>
            </w:r>
          </w:p>
        </w:tc>
        <w:tc>
          <w:tcPr>
            <w:tcW w:w="1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80" w:type="dxa"/>
            <w:vAlign w:val="bottom"/>
            <w:gridSpan w:val="2"/>
          </w:tcPr>
          <w:p>
            <w:pPr>
              <w:ind w:left="740"/>
              <w:spacing w:after="0"/>
              <w:rPr>
                <w:sz w:val="20"/>
                <w:szCs w:val="20"/>
                <w:color w:val="auto"/>
              </w:rPr>
            </w:pPr>
            <w:r>
              <w:rPr>
                <w:rFonts w:ascii="Arial" w:cs="Arial" w:eastAsia="Arial" w:hAnsi="Arial"/>
                <w:sz w:val="17"/>
                <w:szCs w:val="17"/>
                <w:color w:val="auto"/>
                <w:w w:val="96"/>
              </w:rPr>
              <w:t>Page 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4967605</wp:posOffset>
            </wp:positionH>
            <wp:positionV relativeFrom="paragraph">
              <wp:posOffset>-4338320</wp:posOffset>
            </wp:positionV>
            <wp:extent cx="151130" cy="142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1130" cy="14287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-4338320</wp:posOffset>
            </wp:positionV>
            <wp:extent cx="151765" cy="142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1765" cy="142875"/>
                    </a:xfrm>
                    <a:prstGeom prst="rect">
                      <a:avLst/>
                    </a:prstGeom>
                    <a:noFill/>
                  </pic:spPr>
                </pic:pic>
              </a:graphicData>
            </a:graphic>
          </wp:anchor>
        </w:drawing>
        <w:drawing>
          <wp:anchor simplePos="0" relativeHeight="251657728" behindDoc="1" locked="0" layoutInCell="0" allowOverlap="1">
            <wp:simplePos x="0" y="0"/>
            <wp:positionH relativeFrom="column">
              <wp:posOffset>4967605</wp:posOffset>
            </wp:positionH>
            <wp:positionV relativeFrom="paragraph">
              <wp:posOffset>-2461895</wp:posOffset>
            </wp:positionV>
            <wp:extent cx="151130" cy="142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1130" cy="14287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-2461895</wp:posOffset>
            </wp:positionV>
            <wp:extent cx="151765" cy="142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1765" cy="142875"/>
                    </a:xfrm>
                    <a:prstGeom prst="rect">
                      <a:avLst/>
                    </a:prstGeom>
                    <a:noFill/>
                  </pic:spPr>
                </pic:pic>
              </a:graphicData>
            </a:graphic>
          </wp:anchor>
        </w:drawing>
        <w:drawing>
          <wp:anchor simplePos="0" relativeHeight="251657728" behindDoc="1" locked="0" layoutInCell="0" allowOverlap="1">
            <wp:simplePos x="0" y="0"/>
            <wp:positionH relativeFrom="column">
              <wp:posOffset>4967605</wp:posOffset>
            </wp:positionH>
            <wp:positionV relativeFrom="paragraph">
              <wp:posOffset>-997585</wp:posOffset>
            </wp:positionV>
            <wp:extent cx="151130" cy="142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1130" cy="14287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-997585</wp:posOffset>
            </wp:positionV>
            <wp:extent cx="151765" cy="142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1765" cy="142875"/>
                    </a:xfrm>
                    <a:prstGeom prst="rect">
                      <a:avLst/>
                    </a:prstGeom>
                    <a:noFill/>
                  </pic:spPr>
                </pic:pic>
              </a:graphicData>
            </a:graphic>
          </wp:anchor>
        </w:drawing>
        <w:drawing>
          <wp:anchor simplePos="0" relativeHeight="251657728" behindDoc="1" locked="0" layoutInCell="0" allowOverlap="1">
            <wp:simplePos x="0" y="0"/>
            <wp:positionH relativeFrom="column">
              <wp:posOffset>6583045</wp:posOffset>
            </wp:positionH>
            <wp:positionV relativeFrom="paragraph">
              <wp:posOffset>-997585</wp:posOffset>
            </wp:positionV>
            <wp:extent cx="151130" cy="142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1130" cy="142875"/>
                    </a:xfrm>
                    <a:prstGeom prst="rect">
                      <a:avLst/>
                    </a:prstGeom>
                    <a:noFill/>
                  </pic:spPr>
                </pic:pic>
              </a:graphicData>
            </a:graphic>
          </wp:anchor>
        </w:drawing>
      </w:r>
    </w:p>
    <w:p>
      <w:pPr>
        <w:sectPr>
          <w:pgSz w:w="11900" w:h="16838" w:orient="portrait"/>
          <w:cols w:equalWidth="0" w:num="1">
            <w:col w:w="11040"/>
          </w:cols>
          <w:pgMar w:left="320" w:top="477" w:right="5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30"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2360" w:type="dxa"/>
            <w:vAlign w:val="bottom"/>
            <w:shd w:val="clear" w:color="auto" w:fill="262626"/>
          </w:tcPr>
          <w:p>
            <w:pPr>
              <w:spacing w:after="0"/>
              <w:rPr>
                <w:sz w:val="20"/>
                <w:szCs w:val="20"/>
                <w:color w:val="auto"/>
              </w:rPr>
            </w:pPr>
          </w:p>
        </w:tc>
        <w:tc>
          <w:tcPr>
            <w:tcW w:w="4700" w:type="dxa"/>
            <w:vAlign w:val="bottom"/>
            <w:shd w:val="clear" w:color="auto" w:fill="262626"/>
          </w:tcPr>
          <w:p>
            <w:pPr>
              <w:spacing w:after="0"/>
              <w:rPr>
                <w:sz w:val="20"/>
                <w:szCs w:val="20"/>
                <w:color w:val="auto"/>
              </w:rPr>
            </w:pPr>
          </w:p>
        </w:tc>
        <w:tc>
          <w:tcPr>
            <w:tcW w:w="1320" w:type="dxa"/>
            <w:vAlign w:val="bottom"/>
            <w:shd w:val="clear" w:color="auto" w:fill="262626"/>
          </w:tcPr>
          <w:p>
            <w:pPr>
              <w:spacing w:after="0"/>
              <w:rPr>
                <w:sz w:val="20"/>
                <w:szCs w:val="20"/>
                <w:color w:val="auto"/>
              </w:rPr>
            </w:pPr>
          </w:p>
        </w:tc>
        <w:tc>
          <w:tcPr>
            <w:tcW w:w="1160" w:type="dxa"/>
            <w:vAlign w:val="bottom"/>
            <w:shd w:val="clear" w:color="auto" w:fill="262626"/>
          </w:tcPr>
          <w:p>
            <w:pPr>
              <w:spacing w:after="0"/>
              <w:rPr>
                <w:sz w:val="20"/>
                <w:szCs w:val="20"/>
                <w:color w:val="auto"/>
              </w:rPr>
            </w:pPr>
          </w:p>
        </w:tc>
        <w:tc>
          <w:tcPr>
            <w:tcW w:w="1260" w:type="dxa"/>
            <w:vAlign w:val="bottom"/>
            <w:shd w:val="clear" w:color="auto" w:fill="262626"/>
          </w:tcPr>
          <w:p>
            <w:pPr>
              <w:jc w:val="center"/>
              <w:ind w:left="101"/>
              <w:spacing w:after="0"/>
              <w:rPr>
                <w:sz w:val="20"/>
                <w:szCs w:val="20"/>
                <w:color w:val="auto"/>
              </w:rPr>
            </w:pPr>
            <w:r>
              <w:rPr>
                <w:rFonts w:ascii="Arial" w:cs="Arial" w:eastAsia="Arial" w:hAnsi="Arial"/>
                <w:sz w:val="16"/>
                <w:szCs w:val="16"/>
                <w:color w:val="FFFFFF"/>
                <w:w w:val="95"/>
              </w:rPr>
              <w:t>Tax &amp;</w:t>
            </w:r>
          </w:p>
        </w:tc>
        <w:tc>
          <w:tcPr>
            <w:tcW w:w="20" w:type="dxa"/>
            <w:vAlign w:val="bottom"/>
          </w:tcPr>
          <w:p>
            <w:pPr>
              <w:spacing w:after="0"/>
              <w:rPr>
                <w:sz w:val="20"/>
                <w:szCs w:val="20"/>
                <w:color w:val="auto"/>
              </w:rPr>
            </w:pPr>
          </w:p>
        </w:tc>
      </w:tr>
      <w:tr>
        <w:trPr>
          <w:trHeight w:val="186"/>
        </w:trPr>
        <w:tc>
          <w:tcPr>
            <w:tcW w:w="2360" w:type="dxa"/>
            <w:vAlign w:val="bottom"/>
            <w:shd w:val="clear" w:color="auto" w:fill="262626"/>
          </w:tcPr>
          <w:p>
            <w:pPr>
              <w:spacing w:after="0"/>
              <w:rPr>
                <w:sz w:val="16"/>
                <w:szCs w:val="16"/>
                <w:color w:val="auto"/>
              </w:rPr>
            </w:pPr>
          </w:p>
        </w:tc>
        <w:tc>
          <w:tcPr>
            <w:tcW w:w="4700" w:type="dxa"/>
            <w:vAlign w:val="bottom"/>
            <w:shd w:val="clear" w:color="auto" w:fill="262626"/>
          </w:tcPr>
          <w:p>
            <w:pPr>
              <w:spacing w:after="0"/>
              <w:rPr>
                <w:sz w:val="16"/>
                <w:szCs w:val="16"/>
                <w:color w:val="auto"/>
              </w:rPr>
            </w:pPr>
          </w:p>
        </w:tc>
        <w:tc>
          <w:tcPr>
            <w:tcW w:w="1320" w:type="dxa"/>
            <w:vAlign w:val="bottom"/>
            <w:shd w:val="clear" w:color="auto" w:fill="262626"/>
          </w:tcPr>
          <w:p>
            <w:pPr>
              <w:jc w:val="center"/>
              <w:spacing w:after="0"/>
              <w:rPr>
                <w:sz w:val="20"/>
                <w:szCs w:val="20"/>
                <w:color w:val="auto"/>
              </w:rPr>
            </w:pPr>
            <w:r>
              <w:rPr>
                <w:rFonts w:ascii="Arial" w:cs="Arial" w:eastAsia="Arial" w:hAnsi="Arial"/>
                <w:sz w:val="16"/>
                <w:szCs w:val="16"/>
                <w:color w:val="FFFFFF"/>
              </w:rPr>
              <w:t>Legal</w:t>
            </w:r>
          </w:p>
        </w:tc>
        <w:tc>
          <w:tcPr>
            <w:tcW w:w="1160" w:type="dxa"/>
            <w:vAlign w:val="bottom"/>
            <w:shd w:val="clear" w:color="auto" w:fill="262626"/>
          </w:tcPr>
          <w:p>
            <w:pPr>
              <w:spacing w:after="0"/>
              <w:rPr>
                <w:sz w:val="16"/>
                <w:szCs w:val="16"/>
                <w:color w:val="auto"/>
              </w:rPr>
            </w:pPr>
          </w:p>
        </w:tc>
        <w:tc>
          <w:tcPr>
            <w:tcW w:w="1260" w:type="dxa"/>
            <w:vAlign w:val="bottom"/>
            <w:shd w:val="clear" w:color="auto" w:fill="262626"/>
          </w:tcPr>
          <w:p>
            <w:pPr>
              <w:jc w:val="center"/>
              <w:ind w:left="101"/>
              <w:spacing w:after="0"/>
              <w:rPr>
                <w:sz w:val="20"/>
                <w:szCs w:val="20"/>
                <w:color w:val="auto"/>
              </w:rPr>
            </w:pPr>
            <w:r>
              <w:rPr>
                <w:rFonts w:ascii="Arial" w:cs="Arial" w:eastAsia="Arial" w:hAnsi="Arial"/>
                <w:sz w:val="16"/>
                <w:szCs w:val="16"/>
                <w:color w:val="FFFFFF"/>
              </w:rPr>
              <w:t>Accounting</w:t>
            </w:r>
          </w:p>
        </w:tc>
        <w:tc>
          <w:tcPr>
            <w:tcW w:w="20" w:type="dxa"/>
            <w:vAlign w:val="bottom"/>
          </w:tcPr>
          <w:p>
            <w:pPr>
              <w:spacing w:after="0"/>
              <w:rPr>
                <w:sz w:val="16"/>
                <w:szCs w:val="16"/>
                <w:color w:val="auto"/>
              </w:rPr>
            </w:pPr>
          </w:p>
        </w:tc>
      </w:tr>
      <w:tr>
        <w:trPr>
          <w:trHeight w:val="206"/>
        </w:trPr>
        <w:tc>
          <w:tcPr>
            <w:tcW w:w="2360" w:type="dxa"/>
            <w:vAlign w:val="bottom"/>
            <w:tcBorders>
              <w:bottom w:val="single" w:sz="8" w:color="D64000"/>
            </w:tcBorders>
            <w:shd w:val="clear" w:color="auto" w:fill="262626"/>
          </w:tcPr>
          <w:p>
            <w:pPr>
              <w:spacing w:after="0"/>
              <w:rPr>
                <w:sz w:val="20"/>
                <w:szCs w:val="20"/>
                <w:color w:val="auto"/>
              </w:rPr>
            </w:pPr>
            <w:r>
              <w:rPr>
                <w:rFonts w:ascii="Arial" w:cs="Arial" w:eastAsia="Arial" w:hAnsi="Arial"/>
                <w:sz w:val="16"/>
                <w:szCs w:val="16"/>
                <w:color w:val="FFFFFF"/>
              </w:rPr>
              <w:t>Brand</w:t>
            </w:r>
          </w:p>
        </w:tc>
        <w:tc>
          <w:tcPr>
            <w:tcW w:w="4700" w:type="dxa"/>
            <w:vAlign w:val="bottom"/>
            <w:tcBorders>
              <w:bottom w:val="single" w:sz="8" w:color="D64000"/>
            </w:tcBorders>
            <w:shd w:val="clear" w:color="auto" w:fill="262626"/>
          </w:tcPr>
          <w:p>
            <w:pPr>
              <w:ind w:left="220"/>
              <w:spacing w:after="0"/>
              <w:rPr>
                <w:sz w:val="20"/>
                <w:szCs w:val="20"/>
                <w:color w:val="auto"/>
              </w:rPr>
            </w:pPr>
            <w:r>
              <w:rPr>
                <w:rFonts w:ascii="Arial" w:cs="Arial" w:eastAsia="Arial" w:hAnsi="Arial"/>
                <w:sz w:val="16"/>
                <w:szCs w:val="16"/>
                <w:color w:val="FFFFFF"/>
              </w:rPr>
              <w:t>Type of Product/Service</w:t>
            </w:r>
          </w:p>
        </w:tc>
        <w:tc>
          <w:tcPr>
            <w:tcW w:w="1320" w:type="dxa"/>
            <w:vAlign w:val="bottom"/>
            <w:tcBorders>
              <w:bottom w:val="single" w:sz="8" w:color="D64000"/>
            </w:tcBorders>
            <w:shd w:val="clear" w:color="auto" w:fill="262626"/>
          </w:tcPr>
          <w:p>
            <w:pPr>
              <w:jc w:val="center"/>
              <w:spacing w:after="0"/>
              <w:rPr>
                <w:sz w:val="20"/>
                <w:szCs w:val="20"/>
                <w:color w:val="auto"/>
              </w:rPr>
            </w:pPr>
            <w:r>
              <w:rPr>
                <w:rFonts w:ascii="Arial" w:cs="Arial" w:eastAsia="Arial" w:hAnsi="Arial"/>
                <w:sz w:val="16"/>
                <w:szCs w:val="16"/>
                <w:color w:val="FFFFFF"/>
                <w:w w:val="99"/>
              </w:rPr>
              <w:t>Professionals</w:t>
            </w:r>
          </w:p>
        </w:tc>
        <w:tc>
          <w:tcPr>
            <w:tcW w:w="1160" w:type="dxa"/>
            <w:vAlign w:val="bottom"/>
            <w:tcBorders>
              <w:bottom w:val="single" w:sz="8" w:color="D64000"/>
            </w:tcBorders>
            <w:shd w:val="clear" w:color="auto" w:fill="262626"/>
          </w:tcPr>
          <w:p>
            <w:pPr>
              <w:ind w:left="180"/>
              <w:spacing w:after="0"/>
              <w:rPr>
                <w:sz w:val="20"/>
                <w:szCs w:val="20"/>
                <w:color w:val="auto"/>
              </w:rPr>
            </w:pPr>
            <w:r>
              <w:rPr>
                <w:rFonts w:ascii="Arial" w:cs="Arial" w:eastAsia="Arial" w:hAnsi="Arial"/>
                <w:sz w:val="16"/>
                <w:szCs w:val="16"/>
                <w:color w:val="FFFFFF"/>
              </w:rPr>
              <w:t>Corporates</w:t>
            </w:r>
          </w:p>
        </w:tc>
        <w:tc>
          <w:tcPr>
            <w:tcW w:w="1260" w:type="dxa"/>
            <w:vAlign w:val="bottom"/>
            <w:tcBorders>
              <w:bottom w:val="single" w:sz="8" w:color="D64000"/>
            </w:tcBorders>
            <w:shd w:val="clear" w:color="auto" w:fill="262626"/>
          </w:tcPr>
          <w:p>
            <w:pPr>
              <w:jc w:val="center"/>
              <w:ind w:left="101"/>
              <w:spacing w:after="0"/>
              <w:rPr>
                <w:sz w:val="20"/>
                <w:szCs w:val="20"/>
                <w:color w:val="auto"/>
              </w:rPr>
            </w:pPr>
            <w:r>
              <w:rPr>
                <w:rFonts w:ascii="Arial" w:cs="Arial" w:eastAsia="Arial" w:hAnsi="Arial"/>
                <w:sz w:val="16"/>
                <w:szCs w:val="16"/>
                <w:color w:val="FFFFFF"/>
                <w:w w:val="99"/>
              </w:rPr>
              <w:t>Professionalss</w:t>
            </w:r>
          </w:p>
        </w:tc>
        <w:tc>
          <w:tcPr>
            <w:tcW w:w="20" w:type="dxa"/>
            <w:vAlign w:val="bottom"/>
          </w:tcPr>
          <w:p>
            <w:pPr>
              <w:spacing w:after="0"/>
              <w:rPr>
                <w:sz w:val="17"/>
                <w:szCs w:val="17"/>
                <w:color w:val="auto"/>
              </w:rPr>
            </w:pPr>
          </w:p>
        </w:tc>
      </w:tr>
      <w:tr>
        <w:trPr>
          <w:trHeight w:val="224"/>
        </w:trPr>
        <w:tc>
          <w:tcPr>
            <w:tcW w:w="2360" w:type="dxa"/>
            <w:vAlign w:val="bottom"/>
          </w:tcPr>
          <w:p>
            <w:pPr>
              <w:ind w:left="80"/>
              <w:spacing w:after="0"/>
              <w:rPr>
                <w:sz w:val="20"/>
                <w:szCs w:val="20"/>
                <w:color w:val="auto"/>
              </w:rPr>
            </w:pPr>
            <w:r>
              <w:rPr>
                <w:rFonts w:ascii="Arial" w:cs="Arial" w:eastAsia="Arial" w:hAnsi="Arial"/>
                <w:sz w:val="16"/>
                <w:szCs w:val="16"/>
                <w:b w:val="1"/>
                <w:bCs w:val="1"/>
                <w:color w:val="auto"/>
              </w:rPr>
              <w:t>CLEAR</w:t>
            </w: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Prevent fraud, detect risk and investigate crime with</w:t>
            </w:r>
          </w:p>
        </w:tc>
        <w:tc>
          <w:tcPr>
            <w:tcW w:w="1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6"/>
        </w:trPr>
        <w:tc>
          <w:tcPr>
            <w:tcW w:w="2360" w:type="dxa"/>
            <w:vAlign w:val="bottom"/>
          </w:tcPr>
          <w:p>
            <w:pPr>
              <w:ind w:left="80"/>
              <w:spacing w:after="0"/>
              <w:rPr>
                <w:sz w:val="20"/>
                <w:szCs w:val="20"/>
                <w:color w:val="auto"/>
              </w:rPr>
            </w:pPr>
            <w:r>
              <w:rPr>
                <w:rFonts w:ascii="Arial" w:cs="Arial" w:eastAsia="Arial" w:hAnsi="Arial"/>
                <w:sz w:val="16"/>
                <w:szCs w:val="16"/>
                <w:b w:val="1"/>
                <w:bCs w:val="1"/>
                <w:color w:val="auto"/>
              </w:rPr>
              <w:t>CLEAR Risk Inform</w:t>
            </w: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powerful online software.</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2360" w:type="dxa"/>
            <w:vAlign w:val="bottom"/>
          </w:tcPr>
          <w:p>
            <w:pPr>
              <w:ind w:left="80"/>
              <w:spacing w:after="0"/>
              <w:rPr>
                <w:sz w:val="20"/>
                <w:szCs w:val="20"/>
                <w:color w:val="auto"/>
              </w:rPr>
            </w:pPr>
            <w:r>
              <w:rPr>
                <w:rFonts w:ascii="Arial" w:cs="Arial" w:eastAsia="Arial" w:hAnsi="Arial"/>
                <w:sz w:val="16"/>
                <w:szCs w:val="16"/>
                <w:b w:val="1"/>
                <w:bCs w:val="1"/>
                <w:color w:val="auto"/>
              </w:rPr>
              <w:t>CLEAR ID Confirm</w:t>
            </w:r>
          </w:p>
        </w:tc>
        <w:tc>
          <w:tcPr>
            <w:tcW w:w="47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2360" w:type="dxa"/>
            <w:vAlign w:val="bottom"/>
          </w:tcPr>
          <w:p>
            <w:pPr>
              <w:ind w:left="80"/>
              <w:spacing w:after="0"/>
              <w:rPr>
                <w:sz w:val="20"/>
                <w:szCs w:val="20"/>
                <w:color w:val="auto"/>
              </w:rPr>
            </w:pPr>
            <w:r>
              <w:rPr>
                <w:rFonts w:ascii="Arial" w:cs="Arial" w:eastAsia="Arial" w:hAnsi="Arial"/>
                <w:sz w:val="16"/>
                <w:szCs w:val="16"/>
                <w:b w:val="1"/>
                <w:bCs w:val="1"/>
                <w:color w:val="auto"/>
              </w:rPr>
              <w:t>CLEAR Adverse Media</w:t>
            </w:r>
          </w:p>
        </w:tc>
        <w:tc>
          <w:tcPr>
            <w:tcW w:w="47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2360" w:type="dxa"/>
            <w:vAlign w:val="bottom"/>
          </w:tcPr>
          <w:p>
            <w:pPr>
              <w:ind w:left="260"/>
              <w:spacing w:after="0"/>
              <w:rPr>
                <w:sz w:val="20"/>
                <w:szCs w:val="20"/>
                <w:color w:val="auto"/>
              </w:rPr>
            </w:pPr>
            <w:r>
              <w:rPr>
                <w:rFonts w:ascii="Arial" w:cs="Arial" w:eastAsia="Arial" w:hAnsi="Arial"/>
                <w:sz w:val="16"/>
                <w:szCs w:val="16"/>
                <w:b w:val="1"/>
                <w:bCs w:val="1"/>
                <w:color w:val="auto"/>
              </w:rPr>
              <w:t>Sanctions</w:t>
            </w:r>
          </w:p>
        </w:tc>
        <w:tc>
          <w:tcPr>
            <w:tcW w:w="47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2360" w:type="dxa"/>
            <w:vAlign w:val="bottom"/>
            <w:tcBorders>
              <w:bottom w:val="single" w:sz="8" w:color="B2B2B2"/>
            </w:tcBorders>
          </w:tcPr>
          <w:p>
            <w:pPr>
              <w:ind w:left="80"/>
              <w:spacing w:after="0"/>
              <w:rPr>
                <w:sz w:val="20"/>
                <w:szCs w:val="20"/>
                <w:color w:val="auto"/>
              </w:rPr>
            </w:pPr>
            <w:r>
              <w:rPr>
                <w:rFonts w:ascii="Arial" w:cs="Arial" w:eastAsia="Arial" w:hAnsi="Arial"/>
                <w:sz w:val="16"/>
                <w:szCs w:val="16"/>
                <w:b w:val="1"/>
                <w:bCs w:val="1"/>
                <w:color w:val="auto"/>
              </w:rPr>
              <w:t>PeopleMap</w:t>
            </w:r>
          </w:p>
        </w:tc>
        <w:tc>
          <w:tcPr>
            <w:tcW w:w="4700" w:type="dxa"/>
            <w:vAlign w:val="bottom"/>
            <w:tcBorders>
              <w:bottom w:val="single" w:sz="8" w:color="B2B2B2"/>
            </w:tcBorders>
          </w:tcPr>
          <w:p>
            <w:pPr>
              <w:spacing w:after="0"/>
              <w:rPr>
                <w:sz w:val="18"/>
                <w:szCs w:val="18"/>
                <w:color w:val="auto"/>
              </w:rPr>
            </w:pPr>
          </w:p>
        </w:tc>
        <w:tc>
          <w:tcPr>
            <w:tcW w:w="1320" w:type="dxa"/>
            <w:vAlign w:val="bottom"/>
            <w:tcBorders>
              <w:bottom w:val="single" w:sz="8" w:color="B2B2B2"/>
            </w:tcBorders>
          </w:tcPr>
          <w:p>
            <w:pPr>
              <w:spacing w:after="0"/>
              <w:rPr>
                <w:sz w:val="18"/>
                <w:szCs w:val="18"/>
                <w:color w:val="auto"/>
              </w:rPr>
            </w:pPr>
          </w:p>
        </w:tc>
        <w:tc>
          <w:tcPr>
            <w:tcW w:w="1160" w:type="dxa"/>
            <w:vAlign w:val="bottom"/>
            <w:tcBorders>
              <w:bottom w:val="single" w:sz="8" w:color="B2B2B2"/>
            </w:tcBorders>
          </w:tcPr>
          <w:p>
            <w:pPr>
              <w:spacing w:after="0"/>
              <w:rPr>
                <w:sz w:val="18"/>
                <w:szCs w:val="18"/>
                <w:color w:val="auto"/>
              </w:rPr>
            </w:pPr>
          </w:p>
        </w:tc>
        <w:tc>
          <w:tcPr>
            <w:tcW w:w="1260" w:type="dxa"/>
            <w:vAlign w:val="bottom"/>
            <w:tcBorders>
              <w:bottom w:val="single" w:sz="8" w:color="B2B2B2"/>
            </w:tcBorders>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2360" w:type="dxa"/>
            <w:vAlign w:val="bottom"/>
          </w:tcPr>
          <w:p>
            <w:pPr>
              <w:ind w:left="80"/>
              <w:spacing w:after="0"/>
              <w:rPr>
                <w:sz w:val="20"/>
                <w:szCs w:val="20"/>
                <w:color w:val="auto"/>
              </w:rPr>
            </w:pPr>
            <w:r>
              <w:rPr>
                <w:rFonts w:ascii="Arial" w:cs="Arial" w:eastAsia="Arial" w:hAnsi="Arial"/>
                <w:sz w:val="16"/>
                <w:szCs w:val="16"/>
                <w:b w:val="1"/>
                <w:bCs w:val="1"/>
                <w:color w:val="auto"/>
              </w:rPr>
              <w:t>HighQ</w:t>
            </w: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Cloud-based collaboration and workflow platform for the</w:t>
            </w: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0"/>
        </w:trPr>
        <w:tc>
          <w:tcPr>
            <w:tcW w:w="2360" w:type="dxa"/>
            <w:vAlign w:val="bottom"/>
            <w:tcBorders>
              <w:bottom w:val="single" w:sz="8" w:color="B2B2B2"/>
            </w:tcBorders>
          </w:tcPr>
          <w:p>
            <w:pPr>
              <w:spacing w:after="0"/>
              <w:rPr>
                <w:sz w:val="17"/>
                <w:szCs w:val="17"/>
                <w:color w:val="auto"/>
              </w:rPr>
            </w:pPr>
          </w:p>
        </w:tc>
        <w:tc>
          <w:tcPr>
            <w:tcW w:w="4700" w:type="dxa"/>
            <w:vAlign w:val="bottom"/>
            <w:tcBorders>
              <w:bottom w:val="single" w:sz="8" w:color="B2B2B2"/>
            </w:tcBorders>
          </w:tcPr>
          <w:p>
            <w:pPr>
              <w:ind w:left="220"/>
              <w:spacing w:after="0"/>
              <w:rPr>
                <w:sz w:val="20"/>
                <w:szCs w:val="20"/>
                <w:color w:val="auto"/>
              </w:rPr>
            </w:pPr>
            <w:r>
              <w:rPr>
                <w:rFonts w:ascii="Arial" w:cs="Arial" w:eastAsia="Arial" w:hAnsi="Arial"/>
                <w:sz w:val="16"/>
                <w:szCs w:val="16"/>
                <w:b w:val="1"/>
                <w:bCs w:val="1"/>
                <w:color w:val="auto"/>
              </w:rPr>
              <w:t>legal and regulatory market segment.</w:t>
            </w:r>
          </w:p>
        </w:tc>
        <w:tc>
          <w:tcPr>
            <w:tcW w:w="1320" w:type="dxa"/>
            <w:vAlign w:val="bottom"/>
            <w:tcBorders>
              <w:bottom w:val="single" w:sz="8" w:color="B2B2B2"/>
            </w:tcBorders>
          </w:tcPr>
          <w:p>
            <w:pPr>
              <w:spacing w:after="0"/>
              <w:rPr>
                <w:sz w:val="17"/>
                <w:szCs w:val="17"/>
                <w:color w:val="auto"/>
              </w:rPr>
            </w:pPr>
          </w:p>
        </w:tc>
        <w:tc>
          <w:tcPr>
            <w:tcW w:w="1160" w:type="dxa"/>
            <w:vAlign w:val="bottom"/>
            <w:tcBorders>
              <w:bottom w:val="single" w:sz="8" w:color="B2B2B2"/>
            </w:tcBorders>
          </w:tcPr>
          <w:p>
            <w:pPr>
              <w:spacing w:after="0"/>
              <w:rPr>
                <w:sz w:val="17"/>
                <w:szCs w:val="17"/>
                <w:color w:val="auto"/>
              </w:rPr>
            </w:pPr>
          </w:p>
        </w:tc>
        <w:tc>
          <w:tcPr>
            <w:tcW w:w="1260" w:type="dxa"/>
            <w:vAlign w:val="bottom"/>
            <w:tcBorders>
              <w:bottom w:val="single" w:sz="8" w:color="B2B2B2"/>
            </w:tcBorders>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2360" w:type="dxa"/>
            <w:vAlign w:val="bottom"/>
          </w:tcPr>
          <w:p>
            <w:pPr>
              <w:ind w:left="80"/>
              <w:spacing w:after="0"/>
              <w:rPr>
                <w:sz w:val="20"/>
                <w:szCs w:val="20"/>
                <w:color w:val="auto"/>
              </w:rPr>
            </w:pPr>
            <w:r>
              <w:rPr>
                <w:rFonts w:ascii="Arial" w:cs="Arial" w:eastAsia="Arial" w:hAnsi="Arial"/>
                <w:sz w:val="16"/>
                <w:szCs w:val="16"/>
                <w:b w:val="1"/>
                <w:bCs w:val="1"/>
                <w:color w:val="auto"/>
              </w:rPr>
              <w:t>Case Center</w:t>
            </w: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Cloud-based evidence-sharing platform for sharing</w:t>
            </w: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6"/>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documents and multimedia between justice agencies for</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2360" w:type="dxa"/>
            <w:vAlign w:val="bottom"/>
            <w:tcBorders>
              <w:bottom w:val="single" w:sz="8" w:color="B2B2B2"/>
            </w:tcBorders>
          </w:tcPr>
          <w:p>
            <w:pPr>
              <w:spacing w:after="0"/>
              <w:rPr>
                <w:sz w:val="17"/>
                <w:szCs w:val="17"/>
                <w:color w:val="auto"/>
              </w:rPr>
            </w:pPr>
          </w:p>
        </w:tc>
        <w:tc>
          <w:tcPr>
            <w:tcW w:w="4700" w:type="dxa"/>
            <w:vAlign w:val="bottom"/>
            <w:tcBorders>
              <w:bottom w:val="single" w:sz="8" w:color="B2B2B2"/>
            </w:tcBorders>
          </w:tcPr>
          <w:p>
            <w:pPr>
              <w:ind w:left="220"/>
              <w:spacing w:after="0"/>
              <w:rPr>
                <w:sz w:val="20"/>
                <w:szCs w:val="20"/>
                <w:color w:val="auto"/>
              </w:rPr>
            </w:pPr>
            <w:r>
              <w:rPr>
                <w:rFonts w:ascii="Arial" w:cs="Arial" w:eastAsia="Arial" w:hAnsi="Arial"/>
                <w:sz w:val="16"/>
                <w:szCs w:val="16"/>
                <w:b w:val="1"/>
                <w:bCs w:val="1"/>
                <w:color w:val="auto"/>
              </w:rPr>
              <w:t>trial preparation and courtroom presentation.</w:t>
            </w:r>
          </w:p>
        </w:tc>
        <w:tc>
          <w:tcPr>
            <w:tcW w:w="1320" w:type="dxa"/>
            <w:vAlign w:val="bottom"/>
            <w:tcBorders>
              <w:bottom w:val="single" w:sz="8" w:color="B2B2B2"/>
            </w:tcBorders>
          </w:tcPr>
          <w:p>
            <w:pPr>
              <w:spacing w:after="0"/>
              <w:rPr>
                <w:sz w:val="17"/>
                <w:szCs w:val="17"/>
                <w:color w:val="auto"/>
              </w:rPr>
            </w:pPr>
          </w:p>
        </w:tc>
        <w:tc>
          <w:tcPr>
            <w:tcW w:w="1160" w:type="dxa"/>
            <w:vAlign w:val="bottom"/>
            <w:tcBorders>
              <w:bottom w:val="single" w:sz="8" w:color="B2B2B2"/>
            </w:tcBorders>
          </w:tcPr>
          <w:p>
            <w:pPr>
              <w:spacing w:after="0"/>
              <w:rPr>
                <w:sz w:val="17"/>
                <w:szCs w:val="17"/>
                <w:color w:val="auto"/>
              </w:rPr>
            </w:pPr>
          </w:p>
        </w:tc>
        <w:tc>
          <w:tcPr>
            <w:tcW w:w="1260" w:type="dxa"/>
            <w:vAlign w:val="bottom"/>
            <w:tcBorders>
              <w:bottom w:val="single" w:sz="8" w:color="B2B2B2"/>
            </w:tcBorders>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2360" w:type="dxa"/>
            <w:vAlign w:val="bottom"/>
          </w:tcPr>
          <w:p>
            <w:pPr>
              <w:ind w:left="80"/>
              <w:spacing w:after="0"/>
              <w:rPr>
                <w:sz w:val="20"/>
                <w:szCs w:val="20"/>
                <w:color w:val="auto"/>
              </w:rPr>
            </w:pPr>
            <w:r>
              <w:rPr>
                <w:rFonts w:ascii="Arial" w:cs="Arial" w:eastAsia="Arial" w:hAnsi="Arial"/>
                <w:sz w:val="16"/>
                <w:szCs w:val="16"/>
                <w:b w:val="1"/>
                <w:bCs w:val="1"/>
                <w:color w:val="auto"/>
              </w:rPr>
              <w:t>Fraud Analytics</w:t>
            </w: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A suite of data and analytics solutions to help auditors,</w:t>
            </w: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6"/>
        </w:trPr>
        <w:tc>
          <w:tcPr>
            <w:tcW w:w="2360" w:type="dxa"/>
            <w:vAlign w:val="bottom"/>
          </w:tcPr>
          <w:p>
            <w:pPr>
              <w:ind w:left="80"/>
              <w:spacing w:after="0"/>
              <w:rPr>
                <w:sz w:val="20"/>
                <w:szCs w:val="20"/>
                <w:color w:val="auto"/>
              </w:rPr>
            </w:pPr>
            <w:r>
              <w:rPr>
                <w:rFonts w:ascii="Arial" w:cs="Arial" w:eastAsia="Arial" w:hAnsi="Arial"/>
                <w:sz w:val="16"/>
                <w:szCs w:val="16"/>
                <w:b w:val="1"/>
                <w:bCs w:val="1"/>
                <w:color w:val="auto"/>
              </w:rPr>
              <w:t>Fraud Detect</w:t>
            </w: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investigators and managers detect fraud, waste and</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2360" w:type="dxa"/>
            <w:vAlign w:val="bottom"/>
          </w:tcPr>
          <w:p>
            <w:pPr>
              <w:ind w:left="80"/>
              <w:spacing w:after="0"/>
              <w:rPr>
                <w:sz w:val="20"/>
                <w:szCs w:val="20"/>
                <w:color w:val="auto"/>
              </w:rPr>
            </w:pPr>
            <w:r>
              <w:rPr>
                <w:rFonts w:ascii="Arial" w:cs="Arial" w:eastAsia="Arial" w:hAnsi="Arial"/>
                <w:sz w:val="16"/>
                <w:szCs w:val="16"/>
                <w:b w:val="1"/>
                <w:bCs w:val="1"/>
                <w:color w:val="auto"/>
              </w:rPr>
              <w:t>ID Risk Analytics</w:t>
            </w: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abuse in healthcare and large government subsidy</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2360" w:type="dxa"/>
            <w:vAlign w:val="bottom"/>
            <w:tcBorders>
              <w:bottom w:val="single" w:sz="8" w:color="B2B2B2"/>
            </w:tcBorders>
          </w:tcPr>
          <w:p>
            <w:pPr>
              <w:ind w:left="80"/>
              <w:spacing w:after="0"/>
              <w:rPr>
                <w:sz w:val="20"/>
                <w:szCs w:val="20"/>
                <w:color w:val="auto"/>
              </w:rPr>
            </w:pPr>
            <w:r>
              <w:rPr>
                <w:rFonts w:ascii="Arial" w:cs="Arial" w:eastAsia="Arial" w:hAnsi="Arial"/>
                <w:sz w:val="16"/>
                <w:szCs w:val="16"/>
                <w:b w:val="1"/>
                <w:bCs w:val="1"/>
                <w:color w:val="auto"/>
              </w:rPr>
              <w:t>Case Tracking</w:t>
            </w:r>
          </w:p>
        </w:tc>
        <w:tc>
          <w:tcPr>
            <w:tcW w:w="4700" w:type="dxa"/>
            <w:vAlign w:val="bottom"/>
            <w:tcBorders>
              <w:bottom w:val="single" w:sz="8" w:color="B2B2B2"/>
            </w:tcBorders>
          </w:tcPr>
          <w:p>
            <w:pPr>
              <w:ind w:left="220"/>
              <w:spacing w:after="0"/>
              <w:rPr>
                <w:sz w:val="20"/>
                <w:szCs w:val="20"/>
                <w:color w:val="auto"/>
              </w:rPr>
            </w:pPr>
            <w:r>
              <w:rPr>
                <w:rFonts w:ascii="Arial" w:cs="Arial" w:eastAsia="Arial" w:hAnsi="Arial"/>
                <w:sz w:val="16"/>
                <w:szCs w:val="16"/>
                <w:b w:val="1"/>
                <w:bCs w:val="1"/>
                <w:color w:val="auto"/>
              </w:rPr>
              <w:t>programs.</w:t>
            </w:r>
          </w:p>
        </w:tc>
        <w:tc>
          <w:tcPr>
            <w:tcW w:w="1320" w:type="dxa"/>
            <w:vAlign w:val="bottom"/>
            <w:tcBorders>
              <w:bottom w:val="single" w:sz="8" w:color="B2B2B2"/>
            </w:tcBorders>
          </w:tcPr>
          <w:p>
            <w:pPr>
              <w:spacing w:after="0"/>
              <w:rPr>
                <w:sz w:val="18"/>
                <w:szCs w:val="18"/>
                <w:color w:val="auto"/>
              </w:rPr>
            </w:pPr>
          </w:p>
        </w:tc>
        <w:tc>
          <w:tcPr>
            <w:tcW w:w="1160" w:type="dxa"/>
            <w:vAlign w:val="bottom"/>
            <w:tcBorders>
              <w:bottom w:val="single" w:sz="8" w:color="B2B2B2"/>
            </w:tcBorders>
          </w:tcPr>
          <w:p>
            <w:pPr>
              <w:spacing w:after="0"/>
              <w:rPr>
                <w:sz w:val="18"/>
                <w:szCs w:val="18"/>
                <w:color w:val="auto"/>
              </w:rPr>
            </w:pPr>
          </w:p>
        </w:tc>
        <w:tc>
          <w:tcPr>
            <w:tcW w:w="1260" w:type="dxa"/>
            <w:vAlign w:val="bottom"/>
            <w:tcBorders>
              <w:bottom w:val="single" w:sz="8" w:color="B2B2B2"/>
            </w:tcBorders>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2360" w:type="dxa"/>
            <w:vAlign w:val="bottom"/>
          </w:tcPr>
          <w:p>
            <w:pPr>
              <w:ind w:left="80"/>
              <w:spacing w:after="0"/>
              <w:rPr>
                <w:sz w:val="20"/>
                <w:szCs w:val="20"/>
                <w:color w:val="auto"/>
              </w:rPr>
            </w:pPr>
            <w:r>
              <w:rPr>
                <w:rFonts w:ascii="Arial" w:cs="Arial" w:eastAsia="Arial" w:hAnsi="Arial"/>
                <w:sz w:val="16"/>
                <w:szCs w:val="16"/>
                <w:b w:val="1"/>
                <w:bCs w:val="1"/>
                <w:color w:val="auto"/>
              </w:rPr>
              <w:t>Checkpoint</w:t>
            </w: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Integrated tax, audit and accounting research solution</w:t>
            </w: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5"/>
        </w:trPr>
        <w:tc>
          <w:tcPr>
            <w:tcW w:w="2360" w:type="dxa"/>
            <w:vAlign w:val="bottom"/>
          </w:tcPr>
          <w:p>
            <w:pPr>
              <w:ind w:left="80"/>
              <w:spacing w:after="0"/>
              <w:rPr>
                <w:sz w:val="20"/>
                <w:szCs w:val="20"/>
                <w:color w:val="auto"/>
              </w:rPr>
            </w:pPr>
            <w:r>
              <w:rPr>
                <w:rFonts w:ascii="Arial" w:cs="Arial" w:eastAsia="Arial" w:hAnsi="Arial"/>
                <w:sz w:val="16"/>
                <w:szCs w:val="16"/>
                <w:b w:val="1"/>
                <w:bCs w:val="1"/>
                <w:color w:val="auto"/>
              </w:rPr>
              <w:t>Checkpoint Edge</w:t>
            </w: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that delivers news, editorial insights, advisory tools,</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2360" w:type="dxa"/>
            <w:vAlign w:val="bottom"/>
          </w:tcPr>
          <w:p>
            <w:pPr>
              <w:ind w:left="80"/>
              <w:spacing w:after="0"/>
              <w:rPr>
                <w:sz w:val="20"/>
                <w:szCs w:val="20"/>
                <w:color w:val="auto"/>
              </w:rPr>
            </w:pPr>
            <w:r>
              <w:rPr>
                <w:rFonts w:ascii="Arial" w:cs="Arial" w:eastAsia="Arial" w:hAnsi="Arial"/>
                <w:sz w:val="16"/>
                <w:szCs w:val="16"/>
                <w:b w:val="1"/>
                <w:bCs w:val="1"/>
                <w:color w:val="auto"/>
              </w:rPr>
              <w:t>(U.S. &amp; Canada)</w:t>
            </w: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authoritative content and linked primary sources</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integrated throughout Thomson Reuters workflow</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2360" w:type="dxa"/>
            <w:vAlign w:val="bottom"/>
            <w:tcBorders>
              <w:bottom w:val="single" w:sz="8" w:color="B2B2B2"/>
            </w:tcBorders>
          </w:tcPr>
          <w:p>
            <w:pPr>
              <w:spacing w:after="0"/>
              <w:rPr>
                <w:sz w:val="17"/>
                <w:szCs w:val="17"/>
                <w:color w:val="auto"/>
              </w:rPr>
            </w:pPr>
          </w:p>
        </w:tc>
        <w:tc>
          <w:tcPr>
            <w:tcW w:w="4700" w:type="dxa"/>
            <w:vAlign w:val="bottom"/>
            <w:tcBorders>
              <w:bottom w:val="single" w:sz="8" w:color="B2B2B2"/>
            </w:tcBorders>
          </w:tcPr>
          <w:p>
            <w:pPr>
              <w:ind w:left="220"/>
              <w:spacing w:after="0"/>
              <w:rPr>
                <w:sz w:val="20"/>
                <w:szCs w:val="20"/>
                <w:color w:val="auto"/>
              </w:rPr>
            </w:pPr>
            <w:r>
              <w:rPr>
                <w:rFonts w:ascii="Arial" w:cs="Arial" w:eastAsia="Arial" w:hAnsi="Arial"/>
                <w:sz w:val="16"/>
                <w:szCs w:val="16"/>
                <w:b w:val="1"/>
                <w:bCs w:val="1"/>
                <w:color w:val="auto"/>
              </w:rPr>
              <w:t>productivity tools, applications and software.</w:t>
            </w:r>
          </w:p>
        </w:tc>
        <w:tc>
          <w:tcPr>
            <w:tcW w:w="1320" w:type="dxa"/>
            <w:vAlign w:val="bottom"/>
            <w:tcBorders>
              <w:bottom w:val="single" w:sz="8" w:color="B2B2B2"/>
            </w:tcBorders>
          </w:tcPr>
          <w:p>
            <w:pPr>
              <w:spacing w:after="0"/>
              <w:rPr>
                <w:sz w:val="17"/>
                <w:szCs w:val="17"/>
                <w:color w:val="auto"/>
              </w:rPr>
            </w:pPr>
          </w:p>
        </w:tc>
        <w:tc>
          <w:tcPr>
            <w:tcW w:w="1160" w:type="dxa"/>
            <w:vAlign w:val="bottom"/>
            <w:tcBorders>
              <w:bottom w:val="single" w:sz="8" w:color="B2B2B2"/>
            </w:tcBorders>
          </w:tcPr>
          <w:p>
            <w:pPr>
              <w:spacing w:after="0"/>
              <w:rPr>
                <w:sz w:val="17"/>
                <w:szCs w:val="17"/>
                <w:color w:val="auto"/>
              </w:rPr>
            </w:pPr>
          </w:p>
        </w:tc>
        <w:tc>
          <w:tcPr>
            <w:tcW w:w="1260" w:type="dxa"/>
            <w:vAlign w:val="bottom"/>
            <w:tcBorders>
              <w:bottom w:val="single" w:sz="8" w:color="B2B2B2"/>
            </w:tcBorders>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2360" w:type="dxa"/>
            <w:vAlign w:val="bottom"/>
          </w:tcPr>
          <w:p>
            <w:pPr>
              <w:ind w:left="80"/>
              <w:spacing w:after="0"/>
              <w:rPr>
                <w:sz w:val="20"/>
                <w:szCs w:val="20"/>
                <w:color w:val="auto"/>
              </w:rPr>
            </w:pPr>
            <w:r>
              <w:rPr>
                <w:rFonts w:ascii="Arial" w:cs="Arial" w:eastAsia="Arial" w:hAnsi="Arial"/>
                <w:sz w:val="16"/>
                <w:szCs w:val="16"/>
                <w:b w:val="1"/>
                <w:bCs w:val="1"/>
                <w:color w:val="auto"/>
              </w:rPr>
              <w:t>Legal Tracker</w:t>
            </w: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Online spend and matter management, e-billing, legal</w:t>
            </w: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5"/>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analytics services and document storage, search and</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8"/>
        </w:trPr>
        <w:tc>
          <w:tcPr>
            <w:tcW w:w="2360" w:type="dxa"/>
            <w:vAlign w:val="bottom"/>
          </w:tcPr>
          <w:p>
            <w:pPr>
              <w:spacing w:after="0"/>
              <w:rPr>
                <w:sz w:val="18"/>
                <w:szCs w:val="18"/>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retrieval.</w:t>
            </w: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88"/>
        </w:trPr>
        <w:tc>
          <w:tcPr>
            <w:tcW w:w="2360" w:type="dxa"/>
            <w:vAlign w:val="bottom"/>
            <w:tcBorders>
              <w:bottom w:val="single" w:sz="8" w:color="B2B2B2"/>
            </w:tcBorders>
          </w:tcPr>
          <w:p>
            <w:pPr>
              <w:spacing w:after="0"/>
              <w:rPr>
                <w:sz w:val="7"/>
                <w:szCs w:val="7"/>
                <w:color w:val="auto"/>
              </w:rPr>
            </w:pPr>
          </w:p>
        </w:tc>
        <w:tc>
          <w:tcPr>
            <w:tcW w:w="4700" w:type="dxa"/>
            <w:vAlign w:val="bottom"/>
            <w:tcBorders>
              <w:bottom w:val="single" w:sz="8" w:color="B2B2B2"/>
            </w:tcBorders>
          </w:tcPr>
          <w:p>
            <w:pPr>
              <w:spacing w:after="0"/>
              <w:rPr>
                <w:sz w:val="7"/>
                <w:szCs w:val="7"/>
                <w:color w:val="auto"/>
              </w:rPr>
            </w:pPr>
          </w:p>
        </w:tc>
        <w:tc>
          <w:tcPr>
            <w:tcW w:w="1320" w:type="dxa"/>
            <w:vAlign w:val="bottom"/>
            <w:tcBorders>
              <w:bottom w:val="single" w:sz="8" w:color="B2B2B2"/>
            </w:tcBorders>
          </w:tcPr>
          <w:p>
            <w:pPr>
              <w:spacing w:after="0"/>
              <w:rPr>
                <w:sz w:val="7"/>
                <w:szCs w:val="7"/>
                <w:color w:val="auto"/>
              </w:rPr>
            </w:pPr>
          </w:p>
        </w:tc>
        <w:tc>
          <w:tcPr>
            <w:tcW w:w="1160" w:type="dxa"/>
            <w:vAlign w:val="bottom"/>
            <w:tcBorders>
              <w:bottom w:val="single" w:sz="8" w:color="B2B2B2"/>
            </w:tcBorders>
          </w:tcPr>
          <w:p>
            <w:pPr>
              <w:spacing w:after="0"/>
              <w:rPr>
                <w:sz w:val="7"/>
                <w:szCs w:val="7"/>
                <w:color w:val="auto"/>
              </w:rPr>
            </w:pPr>
          </w:p>
        </w:tc>
        <w:tc>
          <w:tcPr>
            <w:tcW w:w="1260" w:type="dxa"/>
            <w:vAlign w:val="bottom"/>
            <w:tcBorders>
              <w:bottom w:val="single" w:sz="8" w:color="B2B2B2"/>
            </w:tcBorders>
          </w:tcPr>
          <w:p>
            <w:pPr>
              <w:spacing w:after="0"/>
              <w:rPr>
                <w:sz w:val="7"/>
                <w:szCs w:val="7"/>
                <w:color w:val="auto"/>
              </w:rPr>
            </w:pPr>
          </w:p>
        </w:tc>
        <w:tc>
          <w:tcPr>
            <w:tcW w:w="20" w:type="dxa"/>
            <w:vAlign w:val="bottom"/>
          </w:tcPr>
          <w:p>
            <w:pPr>
              <w:spacing w:after="0"/>
              <w:rPr>
                <w:sz w:val="7"/>
                <w:szCs w:val="7"/>
                <w:color w:val="auto"/>
              </w:rPr>
            </w:pPr>
          </w:p>
        </w:tc>
      </w:tr>
      <w:tr>
        <w:trPr>
          <w:trHeight w:val="218"/>
        </w:trPr>
        <w:tc>
          <w:tcPr>
            <w:tcW w:w="2360" w:type="dxa"/>
            <w:vAlign w:val="bottom"/>
          </w:tcPr>
          <w:p>
            <w:pPr>
              <w:ind w:left="80"/>
              <w:spacing w:after="0"/>
              <w:rPr>
                <w:sz w:val="20"/>
                <w:szCs w:val="20"/>
                <w:color w:val="auto"/>
              </w:rPr>
            </w:pPr>
            <w:r>
              <w:rPr>
                <w:rFonts w:ascii="Arial" w:cs="Arial" w:eastAsia="Arial" w:hAnsi="Arial"/>
                <w:sz w:val="16"/>
                <w:szCs w:val="16"/>
                <w:b w:val="1"/>
                <w:bCs w:val="1"/>
                <w:color w:val="auto"/>
              </w:rPr>
              <w:t>ONESOURCE</w:t>
            </w: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Global cloud-based tax and trade solutions that reduce</w:t>
            </w: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5"/>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risk and regulatory complexity, improving the accuracy</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of a company’s entire tax or trade lifecycle. Integrating</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openly with existing technology and ecosystem</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solutions to manage direct and indirect tax compliance,</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indirect tax determination, statutory reporting, trust</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taxation, tax information reporting, tax planning, trade</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compliance, trade operations, trade special programs,</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trade regulatory content and overall data and process</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8"/>
        </w:trPr>
        <w:tc>
          <w:tcPr>
            <w:tcW w:w="2360" w:type="dxa"/>
            <w:vAlign w:val="bottom"/>
          </w:tcPr>
          <w:p>
            <w:pPr>
              <w:spacing w:after="0"/>
              <w:rPr>
                <w:sz w:val="18"/>
                <w:szCs w:val="18"/>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management.</w:t>
            </w: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88"/>
        </w:trPr>
        <w:tc>
          <w:tcPr>
            <w:tcW w:w="2360" w:type="dxa"/>
            <w:vAlign w:val="bottom"/>
            <w:tcBorders>
              <w:bottom w:val="single" w:sz="8" w:color="B2B2B2"/>
            </w:tcBorders>
          </w:tcPr>
          <w:p>
            <w:pPr>
              <w:spacing w:after="0"/>
              <w:rPr>
                <w:sz w:val="7"/>
                <w:szCs w:val="7"/>
                <w:color w:val="auto"/>
              </w:rPr>
            </w:pPr>
          </w:p>
        </w:tc>
        <w:tc>
          <w:tcPr>
            <w:tcW w:w="4700" w:type="dxa"/>
            <w:vAlign w:val="bottom"/>
            <w:tcBorders>
              <w:bottom w:val="single" w:sz="8" w:color="B2B2B2"/>
            </w:tcBorders>
          </w:tcPr>
          <w:p>
            <w:pPr>
              <w:spacing w:after="0"/>
              <w:rPr>
                <w:sz w:val="7"/>
                <w:szCs w:val="7"/>
                <w:color w:val="auto"/>
              </w:rPr>
            </w:pPr>
          </w:p>
        </w:tc>
        <w:tc>
          <w:tcPr>
            <w:tcW w:w="1320" w:type="dxa"/>
            <w:vAlign w:val="bottom"/>
            <w:tcBorders>
              <w:bottom w:val="single" w:sz="8" w:color="B2B2B2"/>
            </w:tcBorders>
          </w:tcPr>
          <w:p>
            <w:pPr>
              <w:spacing w:after="0"/>
              <w:rPr>
                <w:sz w:val="7"/>
                <w:szCs w:val="7"/>
                <w:color w:val="auto"/>
              </w:rPr>
            </w:pPr>
          </w:p>
        </w:tc>
        <w:tc>
          <w:tcPr>
            <w:tcW w:w="1160" w:type="dxa"/>
            <w:vAlign w:val="bottom"/>
            <w:tcBorders>
              <w:bottom w:val="single" w:sz="8" w:color="B2B2B2"/>
            </w:tcBorders>
          </w:tcPr>
          <w:p>
            <w:pPr>
              <w:spacing w:after="0"/>
              <w:rPr>
                <w:sz w:val="7"/>
                <w:szCs w:val="7"/>
                <w:color w:val="auto"/>
              </w:rPr>
            </w:pPr>
          </w:p>
        </w:tc>
        <w:tc>
          <w:tcPr>
            <w:tcW w:w="1260" w:type="dxa"/>
            <w:vAlign w:val="bottom"/>
            <w:tcBorders>
              <w:bottom w:val="single" w:sz="8" w:color="B2B2B2"/>
            </w:tcBorders>
          </w:tcPr>
          <w:p>
            <w:pPr>
              <w:spacing w:after="0"/>
              <w:rPr>
                <w:sz w:val="7"/>
                <w:szCs w:val="7"/>
                <w:color w:val="auto"/>
              </w:rPr>
            </w:pPr>
          </w:p>
        </w:tc>
        <w:tc>
          <w:tcPr>
            <w:tcW w:w="20" w:type="dxa"/>
            <w:vAlign w:val="bottom"/>
          </w:tcPr>
          <w:p>
            <w:pPr>
              <w:spacing w:after="0"/>
              <w:rPr>
                <w:sz w:val="7"/>
                <w:szCs w:val="7"/>
                <w:color w:val="auto"/>
              </w:rPr>
            </w:pPr>
          </w:p>
        </w:tc>
      </w:tr>
      <w:tr>
        <w:trPr>
          <w:trHeight w:val="218"/>
        </w:trPr>
        <w:tc>
          <w:tcPr>
            <w:tcW w:w="2360" w:type="dxa"/>
            <w:vAlign w:val="bottom"/>
          </w:tcPr>
          <w:p>
            <w:pPr>
              <w:ind w:left="80"/>
              <w:spacing w:after="0"/>
              <w:rPr>
                <w:sz w:val="20"/>
                <w:szCs w:val="20"/>
                <w:color w:val="auto"/>
              </w:rPr>
            </w:pPr>
            <w:r>
              <w:rPr>
                <w:rFonts w:ascii="Arial" w:cs="Arial" w:eastAsia="Arial" w:hAnsi="Arial"/>
                <w:sz w:val="16"/>
                <w:szCs w:val="16"/>
                <w:b w:val="1"/>
                <w:bCs w:val="1"/>
                <w:color w:val="auto"/>
              </w:rPr>
              <w:t>Confirmation</w:t>
            </w: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Cloud-based platform to automate the workflow of the</w:t>
            </w: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5"/>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confirmations process of an audit. Used by a global</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network of audit firms, banks and law firms to increase</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2360" w:type="dxa"/>
            <w:vAlign w:val="bottom"/>
            <w:tcBorders>
              <w:bottom w:val="single" w:sz="8" w:color="B2B2B2"/>
            </w:tcBorders>
          </w:tcPr>
          <w:p>
            <w:pPr>
              <w:spacing w:after="0"/>
              <w:rPr>
                <w:sz w:val="17"/>
                <w:szCs w:val="17"/>
                <w:color w:val="auto"/>
              </w:rPr>
            </w:pPr>
          </w:p>
        </w:tc>
        <w:tc>
          <w:tcPr>
            <w:tcW w:w="4700" w:type="dxa"/>
            <w:vAlign w:val="bottom"/>
            <w:tcBorders>
              <w:bottom w:val="single" w:sz="8" w:color="B2B2B2"/>
            </w:tcBorders>
          </w:tcPr>
          <w:p>
            <w:pPr>
              <w:ind w:left="220"/>
              <w:spacing w:after="0"/>
              <w:rPr>
                <w:sz w:val="20"/>
                <w:szCs w:val="20"/>
                <w:color w:val="auto"/>
              </w:rPr>
            </w:pPr>
            <w:r>
              <w:rPr>
                <w:rFonts w:ascii="Arial" w:cs="Arial" w:eastAsia="Arial" w:hAnsi="Arial"/>
                <w:sz w:val="16"/>
                <w:szCs w:val="16"/>
                <w:b w:val="1"/>
                <w:bCs w:val="1"/>
                <w:color w:val="auto"/>
              </w:rPr>
              <w:t>efficiency and reduce risk.</w:t>
            </w:r>
          </w:p>
        </w:tc>
        <w:tc>
          <w:tcPr>
            <w:tcW w:w="1320" w:type="dxa"/>
            <w:vAlign w:val="bottom"/>
            <w:tcBorders>
              <w:bottom w:val="single" w:sz="8" w:color="B2B2B2"/>
            </w:tcBorders>
          </w:tcPr>
          <w:p>
            <w:pPr>
              <w:spacing w:after="0"/>
              <w:rPr>
                <w:sz w:val="17"/>
                <w:szCs w:val="17"/>
                <w:color w:val="auto"/>
              </w:rPr>
            </w:pPr>
          </w:p>
        </w:tc>
        <w:tc>
          <w:tcPr>
            <w:tcW w:w="1160" w:type="dxa"/>
            <w:vAlign w:val="bottom"/>
            <w:tcBorders>
              <w:bottom w:val="single" w:sz="8" w:color="B2B2B2"/>
            </w:tcBorders>
          </w:tcPr>
          <w:p>
            <w:pPr>
              <w:spacing w:after="0"/>
              <w:rPr>
                <w:sz w:val="17"/>
                <w:szCs w:val="17"/>
                <w:color w:val="auto"/>
              </w:rPr>
            </w:pPr>
          </w:p>
        </w:tc>
        <w:tc>
          <w:tcPr>
            <w:tcW w:w="1260" w:type="dxa"/>
            <w:vAlign w:val="bottom"/>
            <w:tcBorders>
              <w:bottom w:val="single" w:sz="8" w:color="B2B2B2"/>
            </w:tcBorders>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2360" w:type="dxa"/>
            <w:vAlign w:val="bottom"/>
          </w:tcPr>
          <w:p>
            <w:pPr>
              <w:ind w:left="80"/>
              <w:spacing w:after="0"/>
              <w:rPr>
                <w:sz w:val="20"/>
                <w:szCs w:val="20"/>
                <w:color w:val="auto"/>
              </w:rPr>
            </w:pPr>
            <w:r>
              <w:rPr>
                <w:rFonts w:ascii="Arial" w:cs="Arial" w:eastAsia="Arial" w:hAnsi="Arial"/>
                <w:sz w:val="16"/>
                <w:szCs w:val="16"/>
                <w:b w:val="1"/>
                <w:bCs w:val="1"/>
                <w:color w:val="auto"/>
              </w:rPr>
              <w:t>Pagero</w:t>
            </w: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A provider of e-invoicing and continuous transaction</w:t>
            </w: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5"/>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controls compliance solutions for the global market.</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Pagero provides a Smart Business Network that</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connects buyers and sellers for automated, compliant</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and secure exchange of orders, invoices, payment</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2360" w:type="dxa"/>
            <w:vAlign w:val="bottom"/>
            <w:tcBorders>
              <w:bottom w:val="single" w:sz="8" w:color="B2B2B2"/>
            </w:tcBorders>
          </w:tcPr>
          <w:p>
            <w:pPr>
              <w:spacing w:after="0"/>
              <w:rPr>
                <w:sz w:val="17"/>
                <w:szCs w:val="17"/>
                <w:color w:val="auto"/>
              </w:rPr>
            </w:pPr>
          </w:p>
        </w:tc>
        <w:tc>
          <w:tcPr>
            <w:tcW w:w="4700" w:type="dxa"/>
            <w:vAlign w:val="bottom"/>
            <w:tcBorders>
              <w:bottom w:val="single" w:sz="8" w:color="B2B2B2"/>
            </w:tcBorders>
          </w:tcPr>
          <w:p>
            <w:pPr>
              <w:ind w:left="220"/>
              <w:spacing w:after="0"/>
              <w:rPr>
                <w:sz w:val="20"/>
                <w:szCs w:val="20"/>
                <w:color w:val="auto"/>
              </w:rPr>
            </w:pPr>
            <w:r>
              <w:rPr>
                <w:rFonts w:ascii="Arial" w:cs="Arial" w:eastAsia="Arial" w:hAnsi="Arial"/>
                <w:sz w:val="16"/>
                <w:szCs w:val="16"/>
                <w:b w:val="1"/>
                <w:bCs w:val="1"/>
                <w:color w:val="auto"/>
              </w:rPr>
              <w:t>instructions and other business documents.</w:t>
            </w:r>
          </w:p>
        </w:tc>
        <w:tc>
          <w:tcPr>
            <w:tcW w:w="1320" w:type="dxa"/>
            <w:vAlign w:val="bottom"/>
            <w:tcBorders>
              <w:bottom w:val="single" w:sz="8" w:color="B2B2B2"/>
            </w:tcBorders>
          </w:tcPr>
          <w:p>
            <w:pPr>
              <w:spacing w:after="0"/>
              <w:rPr>
                <w:sz w:val="17"/>
                <w:szCs w:val="17"/>
                <w:color w:val="auto"/>
              </w:rPr>
            </w:pPr>
          </w:p>
        </w:tc>
        <w:tc>
          <w:tcPr>
            <w:tcW w:w="1160" w:type="dxa"/>
            <w:vAlign w:val="bottom"/>
            <w:tcBorders>
              <w:bottom w:val="single" w:sz="8" w:color="B2B2B2"/>
            </w:tcBorders>
          </w:tcPr>
          <w:p>
            <w:pPr>
              <w:spacing w:after="0"/>
              <w:rPr>
                <w:sz w:val="17"/>
                <w:szCs w:val="17"/>
                <w:color w:val="auto"/>
              </w:rPr>
            </w:pPr>
          </w:p>
        </w:tc>
        <w:tc>
          <w:tcPr>
            <w:tcW w:w="1260" w:type="dxa"/>
            <w:vAlign w:val="bottom"/>
            <w:tcBorders>
              <w:bottom w:val="single" w:sz="8" w:color="B2B2B2"/>
            </w:tcBorders>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2360" w:type="dxa"/>
            <w:vAlign w:val="bottom"/>
          </w:tcPr>
          <w:p>
            <w:pPr>
              <w:ind w:left="80"/>
              <w:spacing w:after="0"/>
              <w:rPr>
                <w:sz w:val="20"/>
                <w:szCs w:val="20"/>
                <w:color w:val="auto"/>
              </w:rPr>
            </w:pPr>
            <w:r>
              <w:rPr>
                <w:rFonts w:ascii="Arial" w:cs="Arial" w:eastAsia="Arial" w:hAnsi="Arial"/>
                <w:sz w:val="16"/>
                <w:szCs w:val="16"/>
                <w:b w:val="1"/>
                <w:bCs w:val="1"/>
                <w:color w:val="auto"/>
              </w:rPr>
              <w:t>Dominio</w:t>
            </w: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Accounting management and tax management software</w:t>
            </w: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5"/>
        </w:trPr>
        <w:tc>
          <w:tcPr>
            <w:tcW w:w="2360" w:type="dxa"/>
            <w:vAlign w:val="bottom"/>
          </w:tcPr>
          <w:p>
            <w:pPr>
              <w:spacing w:after="0"/>
              <w:rPr>
                <w:sz w:val="16"/>
                <w:szCs w:val="16"/>
                <w:color w:val="auto"/>
              </w:rPr>
            </w:pPr>
          </w:p>
        </w:tc>
        <w:tc>
          <w:tcPr>
            <w:tcW w:w="4700" w:type="dxa"/>
            <w:vAlign w:val="bottom"/>
          </w:tcPr>
          <w:p>
            <w:pPr>
              <w:ind w:left="220"/>
              <w:spacing w:after="0"/>
              <w:rPr>
                <w:sz w:val="20"/>
                <w:szCs w:val="20"/>
                <w:color w:val="auto"/>
              </w:rPr>
            </w:pPr>
            <w:r>
              <w:rPr>
                <w:rFonts w:ascii="Arial" w:cs="Arial" w:eastAsia="Arial" w:hAnsi="Arial"/>
                <w:sz w:val="16"/>
                <w:szCs w:val="16"/>
                <w:b w:val="1"/>
                <w:bCs w:val="1"/>
                <w:color w:val="auto"/>
              </w:rPr>
              <w:t>solutions for accounting firms and micro and small</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2360" w:type="dxa"/>
            <w:vAlign w:val="bottom"/>
            <w:tcBorders>
              <w:bottom w:val="single" w:sz="8" w:color="B2B2B2"/>
            </w:tcBorders>
          </w:tcPr>
          <w:p>
            <w:pPr>
              <w:spacing w:after="0"/>
              <w:rPr>
                <w:sz w:val="17"/>
                <w:szCs w:val="17"/>
                <w:color w:val="auto"/>
              </w:rPr>
            </w:pPr>
          </w:p>
        </w:tc>
        <w:tc>
          <w:tcPr>
            <w:tcW w:w="4700" w:type="dxa"/>
            <w:vAlign w:val="bottom"/>
            <w:tcBorders>
              <w:bottom w:val="single" w:sz="8" w:color="B2B2B2"/>
            </w:tcBorders>
          </w:tcPr>
          <w:p>
            <w:pPr>
              <w:ind w:left="220"/>
              <w:spacing w:after="0"/>
              <w:rPr>
                <w:sz w:val="20"/>
                <w:szCs w:val="20"/>
                <w:color w:val="auto"/>
              </w:rPr>
            </w:pPr>
            <w:r>
              <w:rPr>
                <w:rFonts w:ascii="Arial" w:cs="Arial" w:eastAsia="Arial" w:hAnsi="Arial"/>
                <w:sz w:val="16"/>
                <w:szCs w:val="16"/>
                <w:b w:val="1"/>
                <w:bCs w:val="1"/>
                <w:color w:val="auto"/>
              </w:rPr>
              <w:t>companies in Brazil.</w:t>
            </w:r>
          </w:p>
        </w:tc>
        <w:tc>
          <w:tcPr>
            <w:tcW w:w="1320" w:type="dxa"/>
            <w:vAlign w:val="bottom"/>
            <w:tcBorders>
              <w:bottom w:val="single" w:sz="8" w:color="B2B2B2"/>
            </w:tcBorders>
          </w:tcPr>
          <w:p>
            <w:pPr>
              <w:spacing w:after="0"/>
              <w:rPr>
                <w:sz w:val="17"/>
                <w:szCs w:val="17"/>
                <w:color w:val="auto"/>
              </w:rPr>
            </w:pPr>
          </w:p>
        </w:tc>
        <w:tc>
          <w:tcPr>
            <w:tcW w:w="1160" w:type="dxa"/>
            <w:vAlign w:val="bottom"/>
            <w:tcBorders>
              <w:bottom w:val="single" w:sz="8" w:color="B2B2B2"/>
            </w:tcBorders>
          </w:tcPr>
          <w:p>
            <w:pPr>
              <w:spacing w:after="0"/>
              <w:rPr>
                <w:sz w:val="17"/>
                <w:szCs w:val="17"/>
                <w:color w:val="auto"/>
              </w:rPr>
            </w:pPr>
          </w:p>
        </w:tc>
        <w:tc>
          <w:tcPr>
            <w:tcW w:w="1260" w:type="dxa"/>
            <w:vAlign w:val="bottom"/>
            <w:tcBorders>
              <w:bottom w:val="single" w:sz="8" w:color="B2B2B2"/>
            </w:tcBorders>
          </w:tcPr>
          <w:p>
            <w:pPr>
              <w:spacing w:after="0"/>
              <w:rPr>
                <w:sz w:val="17"/>
                <w:szCs w:val="17"/>
                <w:color w:val="auto"/>
              </w:rPr>
            </w:pPr>
          </w:p>
        </w:tc>
        <w:tc>
          <w:tcPr>
            <w:tcW w:w="20" w:type="dxa"/>
            <w:vAlign w:val="bottom"/>
          </w:tcPr>
          <w:p>
            <w:pPr>
              <w:spacing w:after="0"/>
              <w:rPr>
                <w:sz w:val="17"/>
                <w:szCs w:val="17"/>
                <w:color w:val="auto"/>
              </w:rPr>
            </w:pPr>
          </w:p>
        </w:tc>
      </w:tr>
      <w:tr>
        <w:trPr>
          <w:trHeight w:val="152"/>
        </w:trPr>
        <w:tc>
          <w:tcPr>
            <w:tcW w:w="2360" w:type="dxa"/>
            <w:vAlign w:val="bottom"/>
            <w:tcBorders>
              <w:bottom w:val="single" w:sz="8" w:color="7F7F7F"/>
            </w:tcBorders>
          </w:tcPr>
          <w:p>
            <w:pPr>
              <w:spacing w:after="0"/>
              <w:rPr>
                <w:sz w:val="13"/>
                <w:szCs w:val="13"/>
                <w:color w:val="auto"/>
              </w:rPr>
            </w:pPr>
          </w:p>
        </w:tc>
        <w:tc>
          <w:tcPr>
            <w:tcW w:w="4700" w:type="dxa"/>
            <w:vAlign w:val="bottom"/>
            <w:tcBorders>
              <w:bottom w:val="single" w:sz="8" w:color="7F7F7F"/>
            </w:tcBorders>
          </w:tcPr>
          <w:p>
            <w:pPr>
              <w:spacing w:after="0"/>
              <w:rPr>
                <w:sz w:val="13"/>
                <w:szCs w:val="13"/>
                <w:color w:val="auto"/>
              </w:rPr>
            </w:pPr>
          </w:p>
        </w:tc>
        <w:tc>
          <w:tcPr>
            <w:tcW w:w="3740" w:type="dxa"/>
            <w:vAlign w:val="bottom"/>
            <w:tcBorders>
              <w:bottom w:val="single" w:sz="8" w:color="7F7F7F"/>
            </w:tcBorders>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41"/>
        </w:trPr>
        <w:tc>
          <w:tcPr>
            <w:tcW w:w="2360" w:type="dxa"/>
            <w:vAlign w:val="bottom"/>
          </w:tcPr>
          <w:p>
            <w:pPr>
              <w:spacing w:after="0"/>
              <w:rPr>
                <w:sz w:val="20"/>
                <w:szCs w:val="20"/>
                <w:color w:val="auto"/>
              </w:rPr>
            </w:pPr>
            <w:r>
              <w:rPr>
                <w:rFonts w:ascii="Arial" w:cs="Arial" w:eastAsia="Arial" w:hAnsi="Arial"/>
                <w:sz w:val="17"/>
                <w:szCs w:val="17"/>
                <w:color w:val="auto"/>
              </w:rPr>
              <w:t>Page 8</w:t>
            </w:r>
          </w:p>
        </w:tc>
        <w:tc>
          <w:tcPr>
            <w:tcW w:w="4700" w:type="dxa"/>
            <w:vAlign w:val="bottom"/>
          </w:tcPr>
          <w:p>
            <w:pPr>
              <w:spacing w:after="0"/>
              <w:rPr>
                <w:sz w:val="20"/>
                <w:szCs w:val="20"/>
                <w:color w:val="auto"/>
              </w:rPr>
            </w:pPr>
          </w:p>
        </w:tc>
        <w:tc>
          <w:tcPr>
            <w:tcW w:w="3760" w:type="dxa"/>
            <w:vAlign w:val="bottom"/>
            <w:gridSpan w:val="4"/>
          </w:tcPr>
          <w:p>
            <w:pPr>
              <w:ind w:left="700"/>
              <w:spacing w:after="0"/>
              <w:rPr>
                <w:sz w:val="20"/>
                <w:szCs w:val="20"/>
                <w:color w:val="auto"/>
              </w:rPr>
            </w:pPr>
            <w:r>
              <w:rPr>
                <w:rFonts w:ascii="Arial" w:cs="Arial" w:eastAsia="Arial" w:hAnsi="Arial"/>
                <w:sz w:val="17"/>
                <w:szCs w:val="17"/>
                <w:b w:val="1"/>
                <w:bCs w:val="1"/>
                <w:color w:val="auto"/>
                <w:w w:val="98"/>
              </w:rPr>
              <w:t>Thomson Reuters Annual Report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4967605</wp:posOffset>
            </wp:positionH>
            <wp:positionV relativeFrom="paragraph">
              <wp:posOffset>-5936615</wp:posOffset>
            </wp:positionV>
            <wp:extent cx="151130" cy="142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1130" cy="14287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-5936615</wp:posOffset>
            </wp:positionV>
            <wp:extent cx="151765" cy="142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1765" cy="142875"/>
                    </a:xfrm>
                    <a:prstGeom prst="rect">
                      <a:avLst/>
                    </a:prstGeom>
                    <a:noFill/>
                  </pic:spPr>
                </pic:pic>
              </a:graphicData>
            </a:graphic>
          </wp:anchor>
        </w:drawing>
        <w:drawing>
          <wp:anchor simplePos="0" relativeHeight="251657728" behindDoc="1" locked="0" layoutInCell="0" allowOverlap="1">
            <wp:simplePos x="0" y="0"/>
            <wp:positionH relativeFrom="column">
              <wp:posOffset>4967605</wp:posOffset>
            </wp:positionH>
            <wp:positionV relativeFrom="paragraph">
              <wp:posOffset>-5423535</wp:posOffset>
            </wp:positionV>
            <wp:extent cx="151130" cy="142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1130" cy="14287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-5423535</wp:posOffset>
            </wp:positionV>
            <wp:extent cx="151765" cy="142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1765" cy="142875"/>
                    </a:xfrm>
                    <a:prstGeom prst="rect">
                      <a:avLst/>
                    </a:prstGeom>
                    <a:noFill/>
                  </pic:spPr>
                </pic:pic>
              </a:graphicData>
            </a:graphic>
          </wp:anchor>
        </w:drawing>
        <w:drawing>
          <wp:anchor simplePos="0" relativeHeight="251657728" behindDoc="1" locked="0" layoutInCell="0" allowOverlap="1">
            <wp:simplePos x="0" y="0"/>
            <wp:positionH relativeFrom="column">
              <wp:posOffset>4967605</wp:posOffset>
            </wp:positionH>
            <wp:positionV relativeFrom="paragraph">
              <wp:posOffset>-5086985</wp:posOffset>
            </wp:positionV>
            <wp:extent cx="151130" cy="142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1130" cy="142875"/>
                    </a:xfrm>
                    <a:prstGeom prst="rect">
                      <a:avLst/>
                    </a:prstGeom>
                    <a:noFill/>
                  </pic:spPr>
                </pic:pic>
              </a:graphicData>
            </a:graphic>
          </wp:anchor>
        </w:drawing>
        <w:drawing>
          <wp:anchor simplePos="0" relativeHeight="251657728" behindDoc="1" locked="0" layoutInCell="0" allowOverlap="1">
            <wp:simplePos x="0" y="0"/>
            <wp:positionH relativeFrom="column">
              <wp:posOffset>4967605</wp:posOffset>
            </wp:positionH>
            <wp:positionV relativeFrom="paragraph">
              <wp:posOffset>-4624070</wp:posOffset>
            </wp:positionV>
            <wp:extent cx="151130" cy="142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1130" cy="14287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-4624070</wp:posOffset>
            </wp:positionV>
            <wp:extent cx="151765" cy="142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1765" cy="142875"/>
                    </a:xfrm>
                    <a:prstGeom prst="rect">
                      <a:avLst/>
                    </a:prstGeom>
                    <a:noFill/>
                  </pic:spPr>
                </pic:pic>
              </a:graphicData>
            </a:graphic>
          </wp:anchor>
        </w:drawing>
        <w:drawing>
          <wp:anchor simplePos="0" relativeHeight="251657728" behindDoc="1" locked="0" layoutInCell="0" allowOverlap="1">
            <wp:simplePos x="0" y="0"/>
            <wp:positionH relativeFrom="column">
              <wp:posOffset>4967605</wp:posOffset>
            </wp:positionH>
            <wp:positionV relativeFrom="paragraph">
              <wp:posOffset>-4051935</wp:posOffset>
            </wp:positionV>
            <wp:extent cx="151130" cy="142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1130" cy="14287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-4051935</wp:posOffset>
            </wp:positionV>
            <wp:extent cx="151765" cy="142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1765" cy="142875"/>
                    </a:xfrm>
                    <a:prstGeom prst="rect">
                      <a:avLst/>
                    </a:prstGeom>
                    <a:noFill/>
                  </pic:spPr>
                </pic:pic>
              </a:graphicData>
            </a:graphic>
          </wp:anchor>
        </w:drawing>
        <w:drawing>
          <wp:anchor simplePos="0" relativeHeight="251657728" behindDoc="1" locked="0" layoutInCell="0" allowOverlap="1">
            <wp:simplePos x="0" y="0"/>
            <wp:positionH relativeFrom="column">
              <wp:posOffset>6583045</wp:posOffset>
            </wp:positionH>
            <wp:positionV relativeFrom="paragraph">
              <wp:posOffset>-4051935</wp:posOffset>
            </wp:positionV>
            <wp:extent cx="151130" cy="142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1130" cy="14287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-3538855</wp:posOffset>
            </wp:positionV>
            <wp:extent cx="151765" cy="142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1765" cy="14287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-2663825</wp:posOffset>
            </wp:positionV>
            <wp:extent cx="151765" cy="142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1765" cy="142875"/>
                    </a:xfrm>
                    <a:prstGeom prst="rect">
                      <a:avLst/>
                    </a:prstGeom>
                    <a:noFill/>
                  </pic:spPr>
                </pic:pic>
              </a:graphicData>
            </a:graphic>
          </wp:anchor>
        </w:drawing>
        <w:drawing>
          <wp:anchor simplePos="0" relativeHeight="251657728" behindDoc="1" locked="0" layoutInCell="0" allowOverlap="1">
            <wp:simplePos x="0" y="0"/>
            <wp:positionH relativeFrom="column">
              <wp:posOffset>6583045</wp:posOffset>
            </wp:positionH>
            <wp:positionV relativeFrom="paragraph">
              <wp:posOffset>-2663825</wp:posOffset>
            </wp:positionV>
            <wp:extent cx="151130" cy="142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1130" cy="14287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-1729740</wp:posOffset>
            </wp:positionV>
            <wp:extent cx="151765" cy="142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1765" cy="142875"/>
                    </a:xfrm>
                    <a:prstGeom prst="rect">
                      <a:avLst/>
                    </a:prstGeom>
                    <a:noFill/>
                  </pic:spPr>
                </pic:pic>
              </a:graphicData>
            </a:graphic>
          </wp:anchor>
        </w:drawing>
        <w:drawing>
          <wp:anchor simplePos="0" relativeHeight="251657728" behindDoc="1" locked="0" layoutInCell="0" allowOverlap="1">
            <wp:simplePos x="0" y="0"/>
            <wp:positionH relativeFrom="column">
              <wp:posOffset>6583045</wp:posOffset>
            </wp:positionH>
            <wp:positionV relativeFrom="paragraph">
              <wp:posOffset>-1729740</wp:posOffset>
            </wp:positionV>
            <wp:extent cx="151130" cy="142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1130" cy="14287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-1099185</wp:posOffset>
            </wp:positionV>
            <wp:extent cx="151765" cy="142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1765" cy="142875"/>
                    </a:xfrm>
                    <a:prstGeom prst="rect">
                      <a:avLst/>
                    </a:prstGeom>
                    <a:noFill/>
                  </pic:spPr>
                </pic:pic>
              </a:graphicData>
            </a:graphic>
          </wp:anchor>
        </w:drawing>
        <w:drawing>
          <wp:anchor simplePos="0" relativeHeight="251657728" behindDoc="1" locked="0" layoutInCell="0" allowOverlap="1">
            <wp:simplePos x="0" y="0"/>
            <wp:positionH relativeFrom="column">
              <wp:posOffset>6583045</wp:posOffset>
            </wp:positionH>
            <wp:positionV relativeFrom="paragraph">
              <wp:posOffset>-526415</wp:posOffset>
            </wp:positionV>
            <wp:extent cx="151130" cy="142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1130" cy="142875"/>
                    </a:xfrm>
                    <a:prstGeom prst="rect">
                      <a:avLst/>
                    </a:prstGeom>
                    <a:noFill/>
                  </pic:spPr>
                </pic:pic>
              </a:graphicData>
            </a:graphic>
          </wp:anchor>
        </w:drawing>
      </w:r>
    </w:p>
    <w:p>
      <w:pPr>
        <w:sectPr>
          <w:pgSz w:w="11900" w:h="16838" w:orient="portrait"/>
          <w:cols w:equalWidth="0" w:num="1">
            <w:col w:w="11040"/>
          </w:cols>
          <w:pgMar w:left="320" w:top="477" w:right="5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30"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2320" w:type="dxa"/>
            <w:vAlign w:val="bottom"/>
            <w:shd w:val="clear" w:color="auto" w:fill="262626"/>
          </w:tcPr>
          <w:p>
            <w:pPr>
              <w:spacing w:after="0"/>
              <w:rPr>
                <w:sz w:val="20"/>
                <w:szCs w:val="20"/>
                <w:color w:val="auto"/>
              </w:rPr>
            </w:pPr>
          </w:p>
        </w:tc>
        <w:tc>
          <w:tcPr>
            <w:tcW w:w="4800" w:type="dxa"/>
            <w:vAlign w:val="bottom"/>
            <w:shd w:val="clear" w:color="auto" w:fill="262626"/>
          </w:tcPr>
          <w:p>
            <w:pPr>
              <w:spacing w:after="0"/>
              <w:rPr>
                <w:sz w:val="20"/>
                <w:szCs w:val="20"/>
                <w:color w:val="auto"/>
              </w:rPr>
            </w:pPr>
          </w:p>
        </w:tc>
        <w:tc>
          <w:tcPr>
            <w:tcW w:w="1320" w:type="dxa"/>
            <w:vAlign w:val="bottom"/>
            <w:shd w:val="clear" w:color="auto" w:fill="262626"/>
          </w:tcPr>
          <w:p>
            <w:pPr>
              <w:spacing w:after="0"/>
              <w:rPr>
                <w:sz w:val="20"/>
                <w:szCs w:val="20"/>
                <w:color w:val="auto"/>
              </w:rPr>
            </w:pPr>
          </w:p>
        </w:tc>
        <w:tc>
          <w:tcPr>
            <w:tcW w:w="1140" w:type="dxa"/>
            <w:vAlign w:val="bottom"/>
            <w:shd w:val="clear" w:color="auto" w:fill="262626"/>
          </w:tcPr>
          <w:p>
            <w:pPr>
              <w:spacing w:after="0"/>
              <w:rPr>
                <w:sz w:val="20"/>
                <w:szCs w:val="20"/>
                <w:color w:val="auto"/>
              </w:rPr>
            </w:pPr>
          </w:p>
        </w:tc>
        <w:tc>
          <w:tcPr>
            <w:tcW w:w="1220" w:type="dxa"/>
            <w:vAlign w:val="bottom"/>
            <w:shd w:val="clear" w:color="auto" w:fill="262626"/>
          </w:tcPr>
          <w:p>
            <w:pPr>
              <w:jc w:val="center"/>
              <w:ind w:left="101"/>
              <w:spacing w:after="0"/>
              <w:rPr>
                <w:sz w:val="20"/>
                <w:szCs w:val="20"/>
                <w:color w:val="auto"/>
              </w:rPr>
            </w:pPr>
            <w:r>
              <w:rPr>
                <w:rFonts w:ascii="Arial" w:cs="Arial" w:eastAsia="Arial" w:hAnsi="Arial"/>
                <w:sz w:val="16"/>
                <w:szCs w:val="16"/>
                <w:color w:val="FFFFFF"/>
                <w:w w:val="95"/>
              </w:rPr>
              <w:t>Tax &amp;</w:t>
            </w:r>
          </w:p>
        </w:tc>
      </w:tr>
      <w:tr>
        <w:trPr>
          <w:trHeight w:val="186"/>
        </w:trPr>
        <w:tc>
          <w:tcPr>
            <w:tcW w:w="2320" w:type="dxa"/>
            <w:vAlign w:val="bottom"/>
            <w:shd w:val="clear" w:color="auto" w:fill="262626"/>
          </w:tcPr>
          <w:p>
            <w:pPr>
              <w:spacing w:after="0"/>
              <w:rPr>
                <w:sz w:val="16"/>
                <w:szCs w:val="16"/>
                <w:color w:val="auto"/>
              </w:rPr>
            </w:pPr>
          </w:p>
        </w:tc>
        <w:tc>
          <w:tcPr>
            <w:tcW w:w="4800" w:type="dxa"/>
            <w:vAlign w:val="bottom"/>
            <w:shd w:val="clear" w:color="auto" w:fill="262626"/>
          </w:tcPr>
          <w:p>
            <w:pPr>
              <w:spacing w:after="0"/>
              <w:rPr>
                <w:sz w:val="16"/>
                <w:szCs w:val="16"/>
                <w:color w:val="auto"/>
              </w:rPr>
            </w:pPr>
          </w:p>
        </w:tc>
        <w:tc>
          <w:tcPr>
            <w:tcW w:w="1320" w:type="dxa"/>
            <w:vAlign w:val="bottom"/>
            <w:shd w:val="clear" w:color="auto" w:fill="262626"/>
          </w:tcPr>
          <w:p>
            <w:pPr>
              <w:jc w:val="center"/>
              <w:spacing w:after="0"/>
              <w:rPr>
                <w:sz w:val="20"/>
                <w:szCs w:val="20"/>
                <w:color w:val="auto"/>
              </w:rPr>
            </w:pPr>
            <w:r>
              <w:rPr>
                <w:rFonts w:ascii="Arial" w:cs="Arial" w:eastAsia="Arial" w:hAnsi="Arial"/>
                <w:sz w:val="16"/>
                <w:szCs w:val="16"/>
                <w:color w:val="FFFFFF"/>
              </w:rPr>
              <w:t>Legal</w:t>
            </w:r>
          </w:p>
        </w:tc>
        <w:tc>
          <w:tcPr>
            <w:tcW w:w="1140" w:type="dxa"/>
            <w:vAlign w:val="bottom"/>
            <w:shd w:val="clear" w:color="auto" w:fill="262626"/>
          </w:tcPr>
          <w:p>
            <w:pPr>
              <w:spacing w:after="0"/>
              <w:rPr>
                <w:sz w:val="16"/>
                <w:szCs w:val="16"/>
                <w:color w:val="auto"/>
              </w:rPr>
            </w:pPr>
          </w:p>
        </w:tc>
        <w:tc>
          <w:tcPr>
            <w:tcW w:w="1220" w:type="dxa"/>
            <w:vAlign w:val="bottom"/>
            <w:shd w:val="clear" w:color="auto" w:fill="262626"/>
          </w:tcPr>
          <w:p>
            <w:pPr>
              <w:jc w:val="center"/>
              <w:ind w:left="121"/>
              <w:spacing w:after="0"/>
              <w:rPr>
                <w:sz w:val="20"/>
                <w:szCs w:val="20"/>
                <w:color w:val="auto"/>
              </w:rPr>
            </w:pPr>
            <w:r>
              <w:rPr>
                <w:rFonts w:ascii="Arial" w:cs="Arial" w:eastAsia="Arial" w:hAnsi="Arial"/>
                <w:sz w:val="16"/>
                <w:szCs w:val="16"/>
                <w:color w:val="FFFFFF"/>
                <w:w w:val="98"/>
              </w:rPr>
              <w:t>Accounting</w:t>
            </w:r>
          </w:p>
        </w:tc>
      </w:tr>
      <w:tr>
        <w:trPr>
          <w:trHeight w:val="206"/>
        </w:trPr>
        <w:tc>
          <w:tcPr>
            <w:tcW w:w="2320" w:type="dxa"/>
            <w:vAlign w:val="bottom"/>
            <w:tcBorders>
              <w:bottom w:val="single" w:sz="8" w:color="D64000"/>
            </w:tcBorders>
            <w:shd w:val="clear" w:color="auto" w:fill="262626"/>
          </w:tcPr>
          <w:p>
            <w:pPr>
              <w:spacing w:after="0"/>
              <w:rPr>
                <w:sz w:val="20"/>
                <w:szCs w:val="20"/>
                <w:color w:val="auto"/>
              </w:rPr>
            </w:pPr>
            <w:r>
              <w:rPr>
                <w:rFonts w:ascii="Arial" w:cs="Arial" w:eastAsia="Arial" w:hAnsi="Arial"/>
                <w:sz w:val="16"/>
                <w:szCs w:val="16"/>
                <w:color w:val="FFFFFF"/>
              </w:rPr>
              <w:t>Brand</w:t>
            </w:r>
          </w:p>
        </w:tc>
        <w:tc>
          <w:tcPr>
            <w:tcW w:w="4800" w:type="dxa"/>
            <w:vAlign w:val="bottom"/>
            <w:tcBorders>
              <w:bottom w:val="single" w:sz="8" w:color="D64000"/>
            </w:tcBorders>
            <w:shd w:val="clear" w:color="auto" w:fill="262626"/>
          </w:tcPr>
          <w:p>
            <w:pPr>
              <w:ind w:left="220"/>
              <w:spacing w:after="0"/>
              <w:rPr>
                <w:sz w:val="20"/>
                <w:szCs w:val="20"/>
                <w:color w:val="auto"/>
              </w:rPr>
            </w:pPr>
            <w:r>
              <w:rPr>
                <w:rFonts w:ascii="Arial" w:cs="Arial" w:eastAsia="Arial" w:hAnsi="Arial"/>
                <w:sz w:val="16"/>
                <w:szCs w:val="16"/>
                <w:color w:val="FFFFFF"/>
              </w:rPr>
              <w:t>Type of Product/Service</w:t>
            </w:r>
          </w:p>
        </w:tc>
        <w:tc>
          <w:tcPr>
            <w:tcW w:w="1320" w:type="dxa"/>
            <w:vAlign w:val="bottom"/>
            <w:tcBorders>
              <w:bottom w:val="single" w:sz="8" w:color="D64000"/>
            </w:tcBorders>
            <w:shd w:val="clear" w:color="auto" w:fill="262626"/>
          </w:tcPr>
          <w:p>
            <w:pPr>
              <w:jc w:val="center"/>
              <w:spacing w:after="0"/>
              <w:rPr>
                <w:sz w:val="20"/>
                <w:szCs w:val="20"/>
                <w:color w:val="auto"/>
              </w:rPr>
            </w:pPr>
            <w:r>
              <w:rPr>
                <w:rFonts w:ascii="Arial" w:cs="Arial" w:eastAsia="Arial" w:hAnsi="Arial"/>
                <w:sz w:val="16"/>
                <w:szCs w:val="16"/>
                <w:color w:val="FFFFFF"/>
                <w:w w:val="99"/>
              </w:rPr>
              <w:t>Professionals</w:t>
            </w:r>
          </w:p>
        </w:tc>
        <w:tc>
          <w:tcPr>
            <w:tcW w:w="1140" w:type="dxa"/>
            <w:vAlign w:val="bottom"/>
            <w:tcBorders>
              <w:bottom w:val="single" w:sz="8" w:color="D64000"/>
            </w:tcBorders>
            <w:shd w:val="clear" w:color="auto" w:fill="262626"/>
          </w:tcPr>
          <w:p>
            <w:pPr>
              <w:ind w:left="180"/>
              <w:spacing w:after="0"/>
              <w:rPr>
                <w:sz w:val="20"/>
                <w:szCs w:val="20"/>
                <w:color w:val="auto"/>
              </w:rPr>
            </w:pPr>
            <w:r>
              <w:rPr>
                <w:rFonts w:ascii="Arial" w:cs="Arial" w:eastAsia="Arial" w:hAnsi="Arial"/>
                <w:sz w:val="16"/>
                <w:szCs w:val="16"/>
                <w:color w:val="FFFFFF"/>
              </w:rPr>
              <w:t>Corporates</w:t>
            </w:r>
          </w:p>
        </w:tc>
        <w:tc>
          <w:tcPr>
            <w:tcW w:w="1220" w:type="dxa"/>
            <w:vAlign w:val="bottom"/>
            <w:tcBorders>
              <w:bottom w:val="single" w:sz="8" w:color="D64000"/>
            </w:tcBorders>
            <w:shd w:val="clear" w:color="auto" w:fill="262626"/>
          </w:tcPr>
          <w:p>
            <w:pPr>
              <w:jc w:val="center"/>
              <w:ind w:left="101"/>
              <w:spacing w:after="0"/>
              <w:rPr>
                <w:sz w:val="20"/>
                <w:szCs w:val="20"/>
                <w:color w:val="auto"/>
              </w:rPr>
            </w:pPr>
            <w:r>
              <w:rPr>
                <w:rFonts w:ascii="Arial" w:cs="Arial" w:eastAsia="Arial" w:hAnsi="Arial"/>
                <w:sz w:val="16"/>
                <w:szCs w:val="16"/>
                <w:color w:val="FFFFFF"/>
                <w:w w:val="99"/>
              </w:rPr>
              <w:t>Professionalss</w:t>
            </w:r>
          </w:p>
        </w:tc>
      </w:tr>
      <w:tr>
        <w:trPr>
          <w:trHeight w:val="224"/>
        </w:trPr>
        <w:tc>
          <w:tcPr>
            <w:tcW w:w="2320" w:type="dxa"/>
            <w:vAlign w:val="bottom"/>
          </w:tcPr>
          <w:p>
            <w:pPr>
              <w:ind w:left="80"/>
              <w:spacing w:after="0"/>
              <w:rPr>
                <w:sz w:val="20"/>
                <w:szCs w:val="20"/>
                <w:color w:val="auto"/>
              </w:rPr>
            </w:pPr>
            <w:r>
              <w:rPr>
                <w:rFonts w:ascii="Arial" w:cs="Arial" w:eastAsia="Arial" w:hAnsi="Arial"/>
                <w:sz w:val="16"/>
                <w:szCs w:val="16"/>
                <w:b w:val="1"/>
                <w:bCs w:val="1"/>
                <w:color w:val="auto"/>
              </w:rPr>
              <w:t>Cloud Audit Suite</w:t>
            </w:r>
          </w:p>
        </w:tc>
        <w:tc>
          <w:tcPr>
            <w:tcW w:w="4800" w:type="dxa"/>
            <w:vAlign w:val="bottom"/>
          </w:tcPr>
          <w:p>
            <w:pPr>
              <w:ind w:left="220"/>
              <w:spacing w:after="0"/>
              <w:rPr>
                <w:sz w:val="20"/>
                <w:szCs w:val="20"/>
                <w:color w:val="auto"/>
              </w:rPr>
            </w:pPr>
            <w:r>
              <w:rPr>
                <w:rFonts w:ascii="Arial" w:cs="Arial" w:eastAsia="Arial" w:hAnsi="Arial"/>
                <w:sz w:val="16"/>
                <w:szCs w:val="16"/>
                <w:b w:val="1"/>
                <w:bCs w:val="1"/>
                <w:color w:val="auto"/>
              </w:rPr>
              <w:t>End-to-end solution providing accuracy and efficiency</w:t>
            </w:r>
          </w:p>
        </w:tc>
        <w:tc>
          <w:tcPr>
            <w:tcW w:w="1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86"/>
        </w:trPr>
        <w:tc>
          <w:tcPr>
            <w:tcW w:w="2320" w:type="dxa"/>
            <w:vAlign w:val="bottom"/>
          </w:tcPr>
          <w:p>
            <w:pPr>
              <w:spacing w:after="0"/>
              <w:rPr>
                <w:sz w:val="16"/>
                <w:szCs w:val="16"/>
                <w:color w:val="auto"/>
              </w:rPr>
            </w:pPr>
          </w:p>
        </w:tc>
        <w:tc>
          <w:tcPr>
            <w:tcW w:w="4800" w:type="dxa"/>
            <w:vAlign w:val="bottom"/>
          </w:tcPr>
          <w:p>
            <w:pPr>
              <w:ind w:left="220"/>
              <w:spacing w:after="0"/>
              <w:rPr>
                <w:sz w:val="20"/>
                <w:szCs w:val="20"/>
                <w:color w:val="auto"/>
              </w:rPr>
            </w:pPr>
            <w:r>
              <w:rPr>
                <w:rFonts w:ascii="Arial" w:cs="Arial" w:eastAsia="Arial" w:hAnsi="Arial"/>
                <w:sz w:val="16"/>
                <w:szCs w:val="16"/>
                <w:b w:val="1"/>
                <w:bCs w:val="1"/>
                <w:color w:val="auto"/>
              </w:rPr>
              <w:t>throughout the audit process through a suite of tools</w:t>
            </w:r>
          </w:p>
        </w:tc>
        <w:tc>
          <w:tcPr>
            <w:tcW w:w="1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5"/>
        </w:trPr>
        <w:tc>
          <w:tcPr>
            <w:tcW w:w="2320" w:type="dxa"/>
            <w:vAlign w:val="bottom"/>
          </w:tcPr>
          <w:p>
            <w:pPr>
              <w:spacing w:after="0"/>
              <w:rPr>
                <w:sz w:val="16"/>
                <w:szCs w:val="16"/>
                <w:color w:val="auto"/>
              </w:rPr>
            </w:pPr>
          </w:p>
        </w:tc>
        <w:tc>
          <w:tcPr>
            <w:tcW w:w="4800" w:type="dxa"/>
            <w:vAlign w:val="bottom"/>
          </w:tcPr>
          <w:p>
            <w:pPr>
              <w:ind w:left="220"/>
              <w:spacing w:after="0"/>
              <w:rPr>
                <w:sz w:val="20"/>
                <w:szCs w:val="20"/>
                <w:color w:val="auto"/>
              </w:rPr>
            </w:pPr>
            <w:r>
              <w:rPr>
                <w:rFonts w:ascii="Arial" w:cs="Arial" w:eastAsia="Arial" w:hAnsi="Arial"/>
                <w:sz w:val="16"/>
                <w:szCs w:val="16"/>
                <w:b w:val="1"/>
                <w:bCs w:val="1"/>
                <w:color w:val="auto"/>
              </w:rPr>
              <w:t>including: engagement management and trial balance</w:t>
            </w:r>
          </w:p>
        </w:tc>
        <w:tc>
          <w:tcPr>
            <w:tcW w:w="1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6"/>
        </w:trPr>
        <w:tc>
          <w:tcPr>
            <w:tcW w:w="2320" w:type="dxa"/>
            <w:vAlign w:val="bottom"/>
          </w:tcPr>
          <w:p>
            <w:pPr>
              <w:spacing w:after="0"/>
              <w:rPr>
                <w:sz w:val="16"/>
                <w:szCs w:val="16"/>
                <w:color w:val="auto"/>
              </w:rPr>
            </w:pPr>
          </w:p>
        </w:tc>
        <w:tc>
          <w:tcPr>
            <w:tcW w:w="4800" w:type="dxa"/>
            <w:vAlign w:val="bottom"/>
          </w:tcPr>
          <w:p>
            <w:pPr>
              <w:ind w:left="220"/>
              <w:spacing w:after="0"/>
              <w:rPr>
                <w:sz w:val="20"/>
                <w:szCs w:val="20"/>
                <w:color w:val="auto"/>
              </w:rPr>
            </w:pPr>
            <w:r>
              <w:rPr>
                <w:rFonts w:ascii="Arial" w:cs="Arial" w:eastAsia="Arial" w:hAnsi="Arial"/>
                <w:sz w:val="16"/>
                <w:szCs w:val="16"/>
                <w:b w:val="1"/>
                <w:bCs w:val="1"/>
                <w:color w:val="auto"/>
              </w:rPr>
              <w:t>capabilities, guided assurance with assisted decision</w:t>
            </w:r>
          </w:p>
        </w:tc>
        <w:tc>
          <w:tcPr>
            <w:tcW w:w="1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6"/>
        </w:trPr>
        <w:tc>
          <w:tcPr>
            <w:tcW w:w="2320" w:type="dxa"/>
            <w:vAlign w:val="bottom"/>
          </w:tcPr>
          <w:p>
            <w:pPr>
              <w:spacing w:after="0"/>
              <w:rPr>
                <w:sz w:val="16"/>
                <w:szCs w:val="16"/>
                <w:color w:val="auto"/>
              </w:rPr>
            </w:pPr>
          </w:p>
        </w:tc>
        <w:tc>
          <w:tcPr>
            <w:tcW w:w="4800" w:type="dxa"/>
            <w:vAlign w:val="bottom"/>
          </w:tcPr>
          <w:p>
            <w:pPr>
              <w:ind w:left="220"/>
              <w:spacing w:after="0"/>
              <w:rPr>
                <w:sz w:val="20"/>
                <w:szCs w:val="20"/>
                <w:color w:val="auto"/>
              </w:rPr>
            </w:pPr>
            <w:r>
              <w:rPr>
                <w:rFonts w:ascii="Arial" w:cs="Arial" w:eastAsia="Arial" w:hAnsi="Arial"/>
                <w:sz w:val="16"/>
                <w:szCs w:val="16"/>
                <w:b w:val="1"/>
                <w:bCs w:val="1"/>
                <w:color w:val="auto"/>
              </w:rPr>
              <w:t>making, online confirmations and embedded disclosure</w:t>
            </w:r>
          </w:p>
        </w:tc>
        <w:tc>
          <w:tcPr>
            <w:tcW w:w="1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5"/>
        </w:trPr>
        <w:tc>
          <w:tcPr>
            <w:tcW w:w="2320" w:type="dxa"/>
            <w:vAlign w:val="bottom"/>
          </w:tcPr>
          <w:p>
            <w:pPr>
              <w:spacing w:after="0"/>
              <w:rPr>
                <w:sz w:val="16"/>
                <w:szCs w:val="16"/>
                <w:color w:val="auto"/>
              </w:rPr>
            </w:pPr>
          </w:p>
        </w:tc>
        <w:tc>
          <w:tcPr>
            <w:tcW w:w="4800" w:type="dxa"/>
            <w:vAlign w:val="bottom"/>
          </w:tcPr>
          <w:p>
            <w:pPr>
              <w:ind w:left="220"/>
              <w:spacing w:after="0"/>
              <w:rPr>
                <w:sz w:val="20"/>
                <w:szCs w:val="20"/>
                <w:color w:val="auto"/>
              </w:rPr>
            </w:pPr>
            <w:r>
              <w:rPr>
                <w:rFonts w:ascii="Arial" w:cs="Arial" w:eastAsia="Arial" w:hAnsi="Arial"/>
                <w:sz w:val="16"/>
                <w:szCs w:val="16"/>
                <w:b w:val="1"/>
                <w:bCs w:val="1"/>
                <w:color w:val="auto"/>
              </w:rPr>
              <w:t>examples. Its cloud-based technology offers the ability to</w:t>
            </w:r>
          </w:p>
        </w:tc>
        <w:tc>
          <w:tcPr>
            <w:tcW w:w="1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6"/>
        </w:trPr>
        <w:tc>
          <w:tcPr>
            <w:tcW w:w="2320" w:type="dxa"/>
            <w:vAlign w:val="bottom"/>
          </w:tcPr>
          <w:p>
            <w:pPr>
              <w:spacing w:after="0"/>
              <w:rPr>
                <w:sz w:val="16"/>
                <w:szCs w:val="16"/>
                <w:color w:val="auto"/>
              </w:rPr>
            </w:pPr>
          </w:p>
        </w:tc>
        <w:tc>
          <w:tcPr>
            <w:tcW w:w="4800" w:type="dxa"/>
            <w:vAlign w:val="bottom"/>
          </w:tcPr>
          <w:p>
            <w:pPr>
              <w:ind w:left="220"/>
              <w:spacing w:after="0"/>
              <w:rPr>
                <w:sz w:val="20"/>
                <w:szCs w:val="20"/>
                <w:color w:val="auto"/>
              </w:rPr>
            </w:pPr>
            <w:r>
              <w:rPr>
                <w:rFonts w:ascii="Arial" w:cs="Arial" w:eastAsia="Arial" w:hAnsi="Arial"/>
                <w:sz w:val="16"/>
                <w:szCs w:val="16"/>
                <w:b w:val="1"/>
                <w:bCs w:val="1"/>
                <w:color w:val="auto"/>
              </w:rPr>
              <w:t>work from anywhere, collaborate with colleagues in real</w:t>
            </w:r>
          </w:p>
        </w:tc>
        <w:tc>
          <w:tcPr>
            <w:tcW w:w="1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0"/>
        </w:trPr>
        <w:tc>
          <w:tcPr>
            <w:tcW w:w="2320" w:type="dxa"/>
            <w:vAlign w:val="bottom"/>
            <w:tcBorders>
              <w:bottom w:val="single" w:sz="8" w:color="B2B2B2"/>
            </w:tcBorders>
          </w:tcPr>
          <w:p>
            <w:pPr>
              <w:spacing w:after="0"/>
              <w:rPr>
                <w:sz w:val="17"/>
                <w:szCs w:val="17"/>
                <w:color w:val="auto"/>
              </w:rPr>
            </w:pPr>
          </w:p>
        </w:tc>
        <w:tc>
          <w:tcPr>
            <w:tcW w:w="4800" w:type="dxa"/>
            <w:vAlign w:val="bottom"/>
            <w:tcBorders>
              <w:bottom w:val="single" w:sz="8" w:color="B2B2B2"/>
            </w:tcBorders>
          </w:tcPr>
          <w:p>
            <w:pPr>
              <w:ind w:left="220"/>
              <w:spacing w:after="0"/>
              <w:rPr>
                <w:sz w:val="20"/>
                <w:szCs w:val="20"/>
                <w:color w:val="auto"/>
              </w:rPr>
            </w:pPr>
            <w:r>
              <w:rPr>
                <w:rFonts w:ascii="Arial" w:cs="Arial" w:eastAsia="Arial" w:hAnsi="Arial"/>
                <w:sz w:val="16"/>
                <w:szCs w:val="16"/>
                <w:b w:val="1"/>
                <w:bCs w:val="1"/>
                <w:color w:val="auto"/>
              </w:rPr>
              <w:t>time and securely access audit data.</w:t>
            </w:r>
          </w:p>
        </w:tc>
        <w:tc>
          <w:tcPr>
            <w:tcW w:w="1320" w:type="dxa"/>
            <w:vAlign w:val="bottom"/>
            <w:tcBorders>
              <w:bottom w:val="single" w:sz="8" w:color="B2B2B2"/>
            </w:tcBorders>
          </w:tcPr>
          <w:p>
            <w:pPr>
              <w:spacing w:after="0"/>
              <w:rPr>
                <w:sz w:val="17"/>
                <w:szCs w:val="17"/>
                <w:color w:val="auto"/>
              </w:rPr>
            </w:pPr>
          </w:p>
        </w:tc>
        <w:tc>
          <w:tcPr>
            <w:tcW w:w="1140" w:type="dxa"/>
            <w:vAlign w:val="bottom"/>
            <w:tcBorders>
              <w:bottom w:val="single" w:sz="8" w:color="B2B2B2"/>
            </w:tcBorders>
          </w:tcPr>
          <w:p>
            <w:pPr>
              <w:spacing w:after="0"/>
              <w:rPr>
                <w:sz w:val="17"/>
                <w:szCs w:val="17"/>
                <w:color w:val="auto"/>
              </w:rPr>
            </w:pPr>
          </w:p>
        </w:tc>
        <w:tc>
          <w:tcPr>
            <w:tcW w:w="1220" w:type="dxa"/>
            <w:vAlign w:val="bottom"/>
            <w:tcBorders>
              <w:bottom w:val="single" w:sz="8" w:color="B2B2B2"/>
            </w:tcBorders>
          </w:tcPr>
          <w:p>
            <w:pPr>
              <w:spacing w:after="0"/>
              <w:rPr>
                <w:sz w:val="17"/>
                <w:szCs w:val="17"/>
                <w:color w:val="auto"/>
              </w:rPr>
            </w:pPr>
          </w:p>
        </w:tc>
      </w:tr>
      <w:tr>
        <w:trPr>
          <w:trHeight w:val="218"/>
        </w:trPr>
        <w:tc>
          <w:tcPr>
            <w:tcW w:w="2320" w:type="dxa"/>
            <w:vAlign w:val="bottom"/>
          </w:tcPr>
          <w:p>
            <w:pPr>
              <w:ind w:left="80"/>
              <w:spacing w:after="0"/>
              <w:rPr>
                <w:sz w:val="20"/>
                <w:szCs w:val="20"/>
                <w:color w:val="auto"/>
              </w:rPr>
            </w:pPr>
            <w:r>
              <w:rPr>
                <w:rFonts w:ascii="Arial" w:cs="Arial" w:eastAsia="Arial" w:hAnsi="Arial"/>
                <w:sz w:val="16"/>
                <w:szCs w:val="16"/>
                <w:b w:val="1"/>
                <w:bCs w:val="1"/>
                <w:color w:val="auto"/>
              </w:rPr>
              <w:t>UltraTax &amp; CS Professional</w:t>
            </w:r>
          </w:p>
        </w:tc>
        <w:tc>
          <w:tcPr>
            <w:tcW w:w="4800" w:type="dxa"/>
            <w:vAlign w:val="bottom"/>
          </w:tcPr>
          <w:p>
            <w:pPr>
              <w:ind w:left="220"/>
              <w:spacing w:after="0"/>
              <w:rPr>
                <w:sz w:val="20"/>
                <w:szCs w:val="20"/>
                <w:color w:val="auto"/>
              </w:rPr>
            </w:pPr>
            <w:r>
              <w:rPr>
                <w:rFonts w:ascii="Arial" w:cs="Arial" w:eastAsia="Arial" w:hAnsi="Arial"/>
                <w:sz w:val="16"/>
                <w:szCs w:val="16"/>
                <w:b w:val="1"/>
                <w:bCs w:val="1"/>
                <w:color w:val="auto"/>
              </w:rPr>
              <w:t>Scalable, integrated suite of desktop and online software</w:t>
            </w: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86"/>
        </w:trPr>
        <w:tc>
          <w:tcPr>
            <w:tcW w:w="2320" w:type="dxa"/>
            <w:vAlign w:val="bottom"/>
          </w:tcPr>
          <w:p>
            <w:pPr>
              <w:ind w:left="260"/>
              <w:spacing w:after="0"/>
              <w:rPr>
                <w:sz w:val="20"/>
                <w:szCs w:val="20"/>
                <w:color w:val="auto"/>
              </w:rPr>
            </w:pPr>
            <w:r>
              <w:rPr>
                <w:rFonts w:ascii="Arial" w:cs="Arial" w:eastAsia="Arial" w:hAnsi="Arial"/>
                <w:sz w:val="16"/>
                <w:szCs w:val="16"/>
                <w:b w:val="1"/>
                <w:bCs w:val="1"/>
                <w:color w:val="auto"/>
              </w:rPr>
              <w:t>Suite</w:t>
            </w:r>
          </w:p>
        </w:tc>
        <w:tc>
          <w:tcPr>
            <w:tcW w:w="4800" w:type="dxa"/>
            <w:vAlign w:val="bottom"/>
          </w:tcPr>
          <w:p>
            <w:pPr>
              <w:ind w:left="220"/>
              <w:spacing w:after="0"/>
              <w:rPr>
                <w:sz w:val="20"/>
                <w:szCs w:val="20"/>
                <w:color w:val="auto"/>
              </w:rPr>
            </w:pPr>
            <w:r>
              <w:rPr>
                <w:rFonts w:ascii="Arial" w:cs="Arial" w:eastAsia="Arial" w:hAnsi="Arial"/>
                <w:sz w:val="16"/>
                <w:szCs w:val="16"/>
                <w:b w:val="1"/>
                <w:bCs w:val="1"/>
                <w:color w:val="auto"/>
              </w:rPr>
              <w:t>applications that encompass key aspects of a</w:t>
            </w:r>
          </w:p>
        </w:tc>
        <w:tc>
          <w:tcPr>
            <w:tcW w:w="1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5"/>
        </w:trPr>
        <w:tc>
          <w:tcPr>
            <w:tcW w:w="2320" w:type="dxa"/>
            <w:vAlign w:val="bottom"/>
          </w:tcPr>
          <w:p>
            <w:pPr>
              <w:spacing w:after="0"/>
              <w:rPr>
                <w:sz w:val="16"/>
                <w:szCs w:val="16"/>
                <w:color w:val="auto"/>
              </w:rPr>
            </w:pPr>
          </w:p>
        </w:tc>
        <w:tc>
          <w:tcPr>
            <w:tcW w:w="4800" w:type="dxa"/>
            <w:vAlign w:val="bottom"/>
          </w:tcPr>
          <w:p>
            <w:pPr>
              <w:ind w:left="220"/>
              <w:spacing w:after="0"/>
              <w:rPr>
                <w:sz w:val="20"/>
                <w:szCs w:val="20"/>
                <w:color w:val="auto"/>
              </w:rPr>
            </w:pPr>
            <w:r>
              <w:rPr>
                <w:rFonts w:ascii="Arial" w:cs="Arial" w:eastAsia="Arial" w:hAnsi="Arial"/>
                <w:sz w:val="16"/>
                <w:szCs w:val="16"/>
                <w:b w:val="1"/>
                <w:bCs w:val="1"/>
                <w:color w:val="auto"/>
              </w:rPr>
              <w:t>professional accounting firm’s operations, from collecting</w:t>
            </w:r>
          </w:p>
        </w:tc>
        <w:tc>
          <w:tcPr>
            <w:tcW w:w="1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6"/>
        </w:trPr>
        <w:tc>
          <w:tcPr>
            <w:tcW w:w="2320" w:type="dxa"/>
            <w:vAlign w:val="bottom"/>
          </w:tcPr>
          <w:p>
            <w:pPr>
              <w:spacing w:after="0"/>
              <w:rPr>
                <w:sz w:val="16"/>
                <w:szCs w:val="16"/>
                <w:color w:val="auto"/>
              </w:rPr>
            </w:pPr>
          </w:p>
        </w:tc>
        <w:tc>
          <w:tcPr>
            <w:tcW w:w="4800" w:type="dxa"/>
            <w:vAlign w:val="bottom"/>
          </w:tcPr>
          <w:p>
            <w:pPr>
              <w:ind w:left="220"/>
              <w:spacing w:after="0"/>
              <w:rPr>
                <w:sz w:val="20"/>
                <w:szCs w:val="20"/>
                <w:color w:val="auto"/>
              </w:rPr>
            </w:pPr>
            <w:r>
              <w:rPr>
                <w:rFonts w:ascii="Arial" w:cs="Arial" w:eastAsia="Arial" w:hAnsi="Arial"/>
                <w:sz w:val="16"/>
                <w:szCs w:val="16"/>
                <w:b w:val="1"/>
                <w:bCs w:val="1"/>
                <w:color w:val="auto"/>
              </w:rPr>
              <w:t>client data and preparing and filing tax returns to the</w:t>
            </w:r>
          </w:p>
        </w:tc>
        <w:tc>
          <w:tcPr>
            <w:tcW w:w="1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0"/>
        </w:trPr>
        <w:tc>
          <w:tcPr>
            <w:tcW w:w="2320" w:type="dxa"/>
            <w:vAlign w:val="bottom"/>
            <w:tcBorders>
              <w:bottom w:val="single" w:sz="8" w:color="B2B2B2"/>
            </w:tcBorders>
          </w:tcPr>
          <w:p>
            <w:pPr>
              <w:spacing w:after="0"/>
              <w:rPr>
                <w:sz w:val="17"/>
                <w:szCs w:val="17"/>
                <w:color w:val="auto"/>
              </w:rPr>
            </w:pPr>
          </w:p>
        </w:tc>
        <w:tc>
          <w:tcPr>
            <w:tcW w:w="4800" w:type="dxa"/>
            <w:vAlign w:val="bottom"/>
            <w:tcBorders>
              <w:bottom w:val="single" w:sz="8" w:color="B2B2B2"/>
            </w:tcBorders>
          </w:tcPr>
          <w:p>
            <w:pPr>
              <w:ind w:left="220"/>
              <w:spacing w:after="0"/>
              <w:rPr>
                <w:sz w:val="20"/>
                <w:szCs w:val="20"/>
                <w:color w:val="auto"/>
              </w:rPr>
            </w:pPr>
            <w:r>
              <w:rPr>
                <w:rFonts w:ascii="Arial" w:cs="Arial" w:eastAsia="Arial" w:hAnsi="Arial"/>
                <w:sz w:val="16"/>
                <w:szCs w:val="16"/>
                <w:b w:val="1"/>
                <w:bCs w:val="1"/>
                <w:color w:val="auto"/>
              </w:rPr>
              <w:t>overall management of the accounting practice.</w:t>
            </w:r>
          </w:p>
        </w:tc>
        <w:tc>
          <w:tcPr>
            <w:tcW w:w="1320" w:type="dxa"/>
            <w:vAlign w:val="bottom"/>
            <w:tcBorders>
              <w:bottom w:val="single" w:sz="8" w:color="B2B2B2"/>
            </w:tcBorders>
          </w:tcPr>
          <w:p>
            <w:pPr>
              <w:spacing w:after="0"/>
              <w:rPr>
                <w:sz w:val="17"/>
                <w:szCs w:val="17"/>
                <w:color w:val="auto"/>
              </w:rPr>
            </w:pPr>
          </w:p>
        </w:tc>
        <w:tc>
          <w:tcPr>
            <w:tcW w:w="1140" w:type="dxa"/>
            <w:vAlign w:val="bottom"/>
            <w:tcBorders>
              <w:bottom w:val="single" w:sz="8" w:color="B2B2B2"/>
            </w:tcBorders>
          </w:tcPr>
          <w:p>
            <w:pPr>
              <w:spacing w:after="0"/>
              <w:rPr>
                <w:sz w:val="17"/>
                <w:szCs w:val="17"/>
                <w:color w:val="auto"/>
              </w:rPr>
            </w:pPr>
          </w:p>
        </w:tc>
        <w:tc>
          <w:tcPr>
            <w:tcW w:w="1220" w:type="dxa"/>
            <w:vAlign w:val="bottom"/>
            <w:tcBorders>
              <w:bottom w:val="single" w:sz="8" w:color="B2B2B2"/>
            </w:tcBorders>
          </w:tcPr>
          <w:p>
            <w:pPr>
              <w:spacing w:after="0"/>
              <w:rPr>
                <w:sz w:val="17"/>
                <w:szCs w:val="17"/>
                <w:color w:val="auto"/>
              </w:rPr>
            </w:pPr>
          </w:p>
        </w:tc>
      </w:tr>
      <w:tr>
        <w:trPr>
          <w:trHeight w:val="218"/>
        </w:trPr>
        <w:tc>
          <w:tcPr>
            <w:tcW w:w="2320" w:type="dxa"/>
            <w:vAlign w:val="bottom"/>
          </w:tcPr>
          <w:p>
            <w:pPr>
              <w:ind w:left="80"/>
              <w:spacing w:after="0"/>
              <w:rPr>
                <w:sz w:val="20"/>
                <w:szCs w:val="20"/>
                <w:color w:val="auto"/>
              </w:rPr>
            </w:pPr>
            <w:r>
              <w:rPr>
                <w:rFonts w:ascii="Arial" w:cs="Arial" w:eastAsia="Arial" w:hAnsi="Arial"/>
                <w:sz w:val="16"/>
                <w:szCs w:val="16"/>
                <w:b w:val="1"/>
                <w:bCs w:val="1"/>
                <w:color w:val="auto"/>
              </w:rPr>
              <w:t>SafeSend</w:t>
            </w:r>
          </w:p>
        </w:tc>
        <w:tc>
          <w:tcPr>
            <w:tcW w:w="4800" w:type="dxa"/>
            <w:vAlign w:val="bottom"/>
          </w:tcPr>
          <w:p>
            <w:pPr>
              <w:ind w:left="220"/>
              <w:spacing w:after="0"/>
              <w:rPr>
                <w:sz w:val="20"/>
                <w:szCs w:val="20"/>
                <w:color w:val="auto"/>
              </w:rPr>
            </w:pPr>
            <w:r>
              <w:rPr>
                <w:rFonts w:ascii="Arial" w:cs="Arial" w:eastAsia="Arial" w:hAnsi="Arial"/>
                <w:sz w:val="16"/>
                <w:szCs w:val="16"/>
                <w:b w:val="1"/>
                <w:bCs w:val="1"/>
                <w:color w:val="auto"/>
              </w:rPr>
              <w:t>Cloud-based software that automates assembly, review,</w:t>
            </w: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85"/>
        </w:trPr>
        <w:tc>
          <w:tcPr>
            <w:tcW w:w="2320" w:type="dxa"/>
            <w:vAlign w:val="bottom"/>
          </w:tcPr>
          <w:p>
            <w:pPr>
              <w:spacing w:after="0"/>
              <w:rPr>
                <w:sz w:val="16"/>
                <w:szCs w:val="16"/>
                <w:color w:val="auto"/>
              </w:rPr>
            </w:pPr>
          </w:p>
        </w:tc>
        <w:tc>
          <w:tcPr>
            <w:tcW w:w="4800" w:type="dxa"/>
            <w:vAlign w:val="bottom"/>
          </w:tcPr>
          <w:p>
            <w:pPr>
              <w:ind w:left="220"/>
              <w:spacing w:after="0"/>
              <w:rPr>
                <w:sz w:val="20"/>
                <w:szCs w:val="20"/>
                <w:color w:val="auto"/>
              </w:rPr>
            </w:pPr>
            <w:r>
              <w:rPr>
                <w:rFonts w:ascii="Arial" w:cs="Arial" w:eastAsia="Arial" w:hAnsi="Arial"/>
                <w:sz w:val="16"/>
                <w:szCs w:val="16"/>
                <w:b w:val="1"/>
                <w:bCs w:val="1"/>
                <w:color w:val="auto"/>
              </w:rPr>
              <w:t>e-signature and secure delivery of tax returns for</w:t>
            </w:r>
          </w:p>
        </w:tc>
        <w:tc>
          <w:tcPr>
            <w:tcW w:w="1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0"/>
        </w:trPr>
        <w:tc>
          <w:tcPr>
            <w:tcW w:w="2320" w:type="dxa"/>
            <w:vAlign w:val="bottom"/>
            <w:tcBorders>
              <w:bottom w:val="single" w:sz="8" w:color="B2B2B2"/>
            </w:tcBorders>
          </w:tcPr>
          <w:p>
            <w:pPr>
              <w:spacing w:after="0"/>
              <w:rPr>
                <w:sz w:val="17"/>
                <w:szCs w:val="17"/>
                <w:color w:val="auto"/>
              </w:rPr>
            </w:pPr>
          </w:p>
        </w:tc>
        <w:tc>
          <w:tcPr>
            <w:tcW w:w="4800" w:type="dxa"/>
            <w:vAlign w:val="bottom"/>
            <w:tcBorders>
              <w:bottom w:val="single" w:sz="8" w:color="B2B2B2"/>
            </w:tcBorders>
          </w:tcPr>
          <w:p>
            <w:pPr>
              <w:ind w:left="220"/>
              <w:spacing w:after="0"/>
              <w:rPr>
                <w:sz w:val="20"/>
                <w:szCs w:val="20"/>
                <w:color w:val="auto"/>
              </w:rPr>
            </w:pPr>
            <w:r>
              <w:rPr>
                <w:rFonts w:ascii="Arial" w:cs="Arial" w:eastAsia="Arial" w:hAnsi="Arial"/>
                <w:sz w:val="16"/>
                <w:szCs w:val="16"/>
                <w:b w:val="1"/>
                <w:bCs w:val="1"/>
                <w:color w:val="auto"/>
              </w:rPr>
              <w:t>individuals and entities.</w:t>
            </w:r>
          </w:p>
        </w:tc>
        <w:tc>
          <w:tcPr>
            <w:tcW w:w="1320" w:type="dxa"/>
            <w:vAlign w:val="bottom"/>
            <w:tcBorders>
              <w:bottom w:val="single" w:sz="8" w:color="B2B2B2"/>
            </w:tcBorders>
          </w:tcPr>
          <w:p>
            <w:pPr>
              <w:spacing w:after="0"/>
              <w:rPr>
                <w:sz w:val="17"/>
                <w:szCs w:val="17"/>
                <w:color w:val="auto"/>
              </w:rPr>
            </w:pPr>
          </w:p>
        </w:tc>
        <w:tc>
          <w:tcPr>
            <w:tcW w:w="1140" w:type="dxa"/>
            <w:vAlign w:val="bottom"/>
            <w:tcBorders>
              <w:bottom w:val="single" w:sz="8" w:color="B2B2B2"/>
            </w:tcBorders>
          </w:tcPr>
          <w:p>
            <w:pPr>
              <w:spacing w:after="0"/>
              <w:rPr>
                <w:sz w:val="17"/>
                <w:szCs w:val="17"/>
                <w:color w:val="auto"/>
              </w:rPr>
            </w:pPr>
          </w:p>
        </w:tc>
        <w:tc>
          <w:tcPr>
            <w:tcW w:w="1220" w:type="dxa"/>
            <w:vAlign w:val="bottom"/>
            <w:tcBorders>
              <w:bottom w:val="single" w:sz="8" w:color="B2B2B2"/>
            </w:tcBorders>
          </w:tcPr>
          <w:p>
            <w:pPr>
              <w:spacing w:after="0"/>
              <w:rPr>
                <w:sz w:val="17"/>
                <w:szCs w:val="17"/>
                <w:color w:val="auto"/>
              </w:rPr>
            </w:pPr>
          </w:p>
        </w:tc>
      </w:tr>
      <w:tr>
        <w:trPr>
          <w:trHeight w:val="218"/>
        </w:trPr>
        <w:tc>
          <w:tcPr>
            <w:tcW w:w="2320" w:type="dxa"/>
            <w:vAlign w:val="bottom"/>
          </w:tcPr>
          <w:p>
            <w:pPr>
              <w:ind w:left="80"/>
              <w:spacing w:after="0"/>
              <w:rPr>
                <w:sz w:val="20"/>
                <w:szCs w:val="20"/>
                <w:color w:val="auto"/>
              </w:rPr>
            </w:pPr>
            <w:r>
              <w:rPr>
                <w:rFonts w:ascii="Arial" w:cs="Arial" w:eastAsia="Arial" w:hAnsi="Arial"/>
                <w:sz w:val="16"/>
                <w:szCs w:val="16"/>
                <w:b w:val="1"/>
                <w:bCs w:val="1"/>
                <w:color w:val="auto"/>
              </w:rPr>
              <w:t>SurePrep</w:t>
            </w:r>
          </w:p>
        </w:tc>
        <w:tc>
          <w:tcPr>
            <w:tcW w:w="4800" w:type="dxa"/>
            <w:vAlign w:val="bottom"/>
          </w:tcPr>
          <w:p>
            <w:pPr>
              <w:ind w:left="220"/>
              <w:spacing w:after="0"/>
              <w:rPr>
                <w:sz w:val="20"/>
                <w:szCs w:val="20"/>
                <w:color w:val="auto"/>
              </w:rPr>
            </w:pPr>
            <w:r>
              <w:rPr>
                <w:rFonts w:ascii="Arial" w:cs="Arial" w:eastAsia="Arial" w:hAnsi="Arial"/>
                <w:sz w:val="16"/>
                <w:szCs w:val="16"/>
                <w:b w:val="1"/>
                <w:bCs w:val="1"/>
                <w:color w:val="auto"/>
              </w:rPr>
              <w:t>Software and services that automate tax preparation,</w:t>
            </w: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85"/>
        </w:trPr>
        <w:tc>
          <w:tcPr>
            <w:tcW w:w="2320" w:type="dxa"/>
            <w:vAlign w:val="bottom"/>
          </w:tcPr>
          <w:p>
            <w:pPr>
              <w:spacing w:after="0"/>
              <w:rPr>
                <w:sz w:val="16"/>
                <w:szCs w:val="16"/>
                <w:color w:val="auto"/>
              </w:rPr>
            </w:pPr>
          </w:p>
        </w:tc>
        <w:tc>
          <w:tcPr>
            <w:tcW w:w="4800" w:type="dxa"/>
            <w:vAlign w:val="bottom"/>
          </w:tcPr>
          <w:p>
            <w:pPr>
              <w:ind w:left="220"/>
              <w:spacing w:after="0"/>
              <w:rPr>
                <w:sz w:val="20"/>
                <w:szCs w:val="20"/>
                <w:color w:val="auto"/>
              </w:rPr>
            </w:pPr>
            <w:r>
              <w:rPr>
                <w:rFonts w:ascii="Arial" w:cs="Arial" w:eastAsia="Arial" w:hAnsi="Arial"/>
                <w:sz w:val="16"/>
                <w:szCs w:val="16"/>
                <w:b w:val="1"/>
                <w:bCs w:val="1"/>
                <w:color w:val="auto"/>
              </w:rPr>
              <w:t>supporting a digital tax workflow for accounting firms and</w:t>
            </w:r>
          </w:p>
        </w:tc>
        <w:tc>
          <w:tcPr>
            <w:tcW w:w="1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6"/>
        </w:trPr>
        <w:tc>
          <w:tcPr>
            <w:tcW w:w="2320" w:type="dxa"/>
            <w:vAlign w:val="bottom"/>
          </w:tcPr>
          <w:p>
            <w:pPr>
              <w:spacing w:after="0"/>
              <w:rPr>
                <w:sz w:val="16"/>
                <w:szCs w:val="16"/>
                <w:color w:val="auto"/>
              </w:rPr>
            </w:pPr>
          </w:p>
        </w:tc>
        <w:tc>
          <w:tcPr>
            <w:tcW w:w="4800" w:type="dxa"/>
            <w:vAlign w:val="bottom"/>
          </w:tcPr>
          <w:p>
            <w:pPr>
              <w:ind w:left="220"/>
              <w:spacing w:after="0"/>
              <w:rPr>
                <w:sz w:val="20"/>
                <w:szCs w:val="20"/>
                <w:color w:val="auto"/>
              </w:rPr>
            </w:pPr>
            <w:r>
              <w:rPr>
                <w:rFonts w:ascii="Arial" w:cs="Arial" w:eastAsia="Arial" w:hAnsi="Arial"/>
                <w:sz w:val="16"/>
                <w:szCs w:val="16"/>
                <w:b w:val="1"/>
                <w:bCs w:val="1"/>
                <w:color w:val="auto"/>
              </w:rPr>
              <w:t>their clients. Solutions TaxCaddy, 1040SCAN and</w:t>
            </w:r>
          </w:p>
        </w:tc>
        <w:tc>
          <w:tcPr>
            <w:tcW w:w="1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5"/>
        </w:trPr>
        <w:tc>
          <w:tcPr>
            <w:tcW w:w="2320" w:type="dxa"/>
            <w:vAlign w:val="bottom"/>
          </w:tcPr>
          <w:p>
            <w:pPr>
              <w:spacing w:after="0"/>
              <w:rPr>
                <w:sz w:val="16"/>
                <w:szCs w:val="16"/>
                <w:color w:val="auto"/>
              </w:rPr>
            </w:pPr>
          </w:p>
        </w:tc>
        <w:tc>
          <w:tcPr>
            <w:tcW w:w="4800" w:type="dxa"/>
            <w:vAlign w:val="bottom"/>
          </w:tcPr>
          <w:p>
            <w:pPr>
              <w:ind w:left="220"/>
              <w:spacing w:after="0"/>
              <w:rPr>
                <w:sz w:val="20"/>
                <w:szCs w:val="20"/>
                <w:color w:val="auto"/>
              </w:rPr>
            </w:pPr>
            <w:r>
              <w:rPr>
                <w:rFonts w:ascii="Arial" w:cs="Arial" w:eastAsia="Arial" w:hAnsi="Arial"/>
                <w:sz w:val="16"/>
                <w:szCs w:val="16"/>
                <w:b w:val="1"/>
                <w:bCs w:val="1"/>
                <w:color w:val="auto"/>
              </w:rPr>
              <w:t>SPbinder streamline the entire 1040 tax process for tax</w:t>
            </w:r>
          </w:p>
        </w:tc>
        <w:tc>
          <w:tcPr>
            <w:tcW w:w="1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6"/>
        </w:trPr>
        <w:tc>
          <w:tcPr>
            <w:tcW w:w="2320" w:type="dxa"/>
            <w:vAlign w:val="bottom"/>
            <w:tcBorders>
              <w:bottom w:val="single" w:sz="8" w:color="D64000"/>
            </w:tcBorders>
          </w:tcPr>
          <w:p>
            <w:pPr>
              <w:spacing w:after="0"/>
              <w:rPr>
                <w:sz w:val="17"/>
                <w:szCs w:val="17"/>
                <w:color w:val="auto"/>
              </w:rPr>
            </w:pPr>
          </w:p>
        </w:tc>
        <w:tc>
          <w:tcPr>
            <w:tcW w:w="4800" w:type="dxa"/>
            <w:vAlign w:val="bottom"/>
            <w:tcBorders>
              <w:bottom w:val="single" w:sz="8" w:color="D64000"/>
            </w:tcBorders>
          </w:tcPr>
          <w:p>
            <w:pPr>
              <w:ind w:left="220"/>
              <w:spacing w:after="0"/>
              <w:rPr>
                <w:sz w:val="20"/>
                <w:szCs w:val="20"/>
                <w:color w:val="auto"/>
              </w:rPr>
            </w:pPr>
            <w:r>
              <w:rPr>
                <w:rFonts w:ascii="Arial" w:cs="Arial" w:eastAsia="Arial" w:hAnsi="Arial"/>
                <w:sz w:val="16"/>
                <w:szCs w:val="16"/>
                <w:b w:val="1"/>
                <w:bCs w:val="1"/>
                <w:color w:val="auto"/>
              </w:rPr>
              <w:t>professionals and taxpayers.</w:t>
            </w:r>
          </w:p>
        </w:tc>
        <w:tc>
          <w:tcPr>
            <w:tcW w:w="1320" w:type="dxa"/>
            <w:vAlign w:val="bottom"/>
            <w:tcBorders>
              <w:bottom w:val="single" w:sz="8" w:color="D64000"/>
            </w:tcBorders>
          </w:tcPr>
          <w:p>
            <w:pPr>
              <w:spacing w:after="0"/>
              <w:rPr>
                <w:sz w:val="17"/>
                <w:szCs w:val="17"/>
                <w:color w:val="auto"/>
              </w:rPr>
            </w:pPr>
          </w:p>
        </w:tc>
        <w:tc>
          <w:tcPr>
            <w:tcW w:w="1140" w:type="dxa"/>
            <w:vAlign w:val="bottom"/>
            <w:tcBorders>
              <w:bottom w:val="single" w:sz="8" w:color="D64000"/>
            </w:tcBorders>
          </w:tcPr>
          <w:p>
            <w:pPr>
              <w:spacing w:after="0"/>
              <w:rPr>
                <w:sz w:val="17"/>
                <w:szCs w:val="17"/>
                <w:color w:val="auto"/>
              </w:rPr>
            </w:pPr>
          </w:p>
        </w:tc>
        <w:tc>
          <w:tcPr>
            <w:tcW w:w="1220" w:type="dxa"/>
            <w:vAlign w:val="bottom"/>
            <w:tcBorders>
              <w:bottom w:val="single" w:sz="8" w:color="D6400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-2220595</wp:posOffset>
            </wp:positionV>
            <wp:extent cx="7016750" cy="4358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16750" cy="435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20"/>
        <w:spacing w:after="0"/>
        <w:tabs>
          <w:tab w:leader="none" w:pos="104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9</w:t>
      </w:r>
    </w:p>
    <w:p>
      <w:pPr>
        <w:sectPr>
          <w:pgSz w:w="11900" w:h="16838" w:orient="portrait"/>
          <w:cols w:equalWidth="0" w:num="1">
            <w:col w:w="11040"/>
          </w:cols>
          <w:pgMar w:left="320" w:top="477" w:right="5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Additional Business Information</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Corporate Center</w:t>
      </w:r>
    </w:p>
    <w:p>
      <w:pPr>
        <w:spacing w:after="0" w:line="97" w:lineRule="exact"/>
        <w:rPr>
          <w:sz w:val="20"/>
          <w:szCs w:val="20"/>
          <w:color w:val="auto"/>
        </w:rPr>
      </w:pPr>
    </w:p>
    <w:p>
      <w:pPr>
        <w:ind w:left="220" w:right="40"/>
        <w:spacing w:after="0" w:line="243" w:lineRule="auto"/>
        <w:rPr>
          <w:sz w:val="20"/>
          <w:szCs w:val="20"/>
          <w:color w:val="auto"/>
        </w:rPr>
      </w:pPr>
      <w:r>
        <w:rPr>
          <w:rFonts w:ascii="Arial" w:cs="Arial" w:eastAsia="Arial" w:hAnsi="Arial"/>
          <w:sz w:val="17"/>
          <w:szCs w:val="17"/>
          <w:color w:val="auto"/>
        </w:rPr>
        <w:t>Our corporate center seeks to foster a group-wide approach to management while allowing our business segments sufficient operational flexibility to serve their customers effectively. Our corporate center centrally manages our Operations &amp; Technology group, as described below, our commercial operations and certain functions such as finance, legal and human resources.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The Role of Thomson Reuters Enterprise Centre</w:t>
      </w:r>
    </w:p>
    <w:p>
      <w:pPr>
        <w:spacing w:after="0" w:line="97" w:lineRule="exact"/>
        <w:rPr>
          <w:sz w:val="20"/>
          <w:szCs w:val="20"/>
          <w:color w:val="auto"/>
        </w:rPr>
      </w:pPr>
    </w:p>
    <w:p>
      <w:pPr>
        <w:ind w:left="220" w:right="280"/>
        <w:spacing w:after="0" w:line="238" w:lineRule="auto"/>
        <w:rPr>
          <w:sz w:val="20"/>
          <w:szCs w:val="20"/>
          <w:color w:val="auto"/>
        </w:rPr>
      </w:pPr>
      <w:r>
        <w:rPr>
          <w:rFonts w:ascii="Arial" w:cs="Arial" w:eastAsia="Arial" w:hAnsi="Arial"/>
          <w:sz w:val="17"/>
          <w:szCs w:val="17"/>
          <w:color w:val="auto"/>
        </w:rPr>
        <w:t>The Thomson Reuters Enterprise Centre in Switzerland has a pivotal role in our business operations and strategic initiatives. Key decisions on companywide strategy and global commercial policies are led by a senior Executive Leadership team in Switzerland representing multiple functions across Strategy, Product, Operations &amp; Technology, Engineering, Labs, Legal Risk &amp; Compliance and Finance. This strengthens our speed of innovation, collaboration and direction setting across our global business.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Operations &amp; Technology</w:t>
      </w:r>
    </w:p>
    <w:p>
      <w:pPr>
        <w:spacing w:after="0" w:line="84" w:lineRule="exact"/>
        <w:rPr>
          <w:sz w:val="20"/>
          <w:szCs w:val="20"/>
          <w:color w:val="auto"/>
        </w:rPr>
      </w:pPr>
    </w:p>
    <w:p>
      <w:pPr>
        <w:ind w:left="220" w:right="120"/>
        <w:spacing w:after="0" w:line="236" w:lineRule="auto"/>
        <w:rPr>
          <w:sz w:val="20"/>
          <w:szCs w:val="20"/>
          <w:color w:val="auto"/>
        </w:rPr>
      </w:pPr>
      <w:r>
        <w:rPr>
          <w:rFonts w:ascii="Arial" w:cs="Arial" w:eastAsia="Arial" w:hAnsi="Arial"/>
          <w:sz w:val="17"/>
          <w:szCs w:val="17"/>
          <w:color w:val="auto"/>
        </w:rPr>
        <w:t>Our Operations &amp; Technology group consolidates essential corporate functions into a cohesive team, encompassing product engineering, technology delivery and service, data and analytics, AI innovation, digital transformation, customer service, procurement, real estate, collections, and content operations. This unified approach provides a strong foundation for accelerating our scale and growth strategies, allowing us to focus resources effectively on key priorities. One such priority for 2025 is to deliver advanced AI assistance, seamlessly integrated into the customer experience of our flagship products.</w:t>
      </w:r>
    </w:p>
    <w:p>
      <w:pPr>
        <w:spacing w:after="0" w:line="59" w:lineRule="exact"/>
        <w:rPr>
          <w:sz w:val="20"/>
          <w:szCs w:val="20"/>
          <w:color w:val="auto"/>
        </w:rPr>
      </w:pPr>
    </w:p>
    <w:p>
      <w:pPr>
        <w:ind w:left="220" w:right="60"/>
        <w:spacing w:after="0" w:line="238" w:lineRule="auto"/>
        <w:rPr>
          <w:sz w:val="20"/>
          <w:szCs w:val="20"/>
          <w:color w:val="auto"/>
        </w:rPr>
      </w:pPr>
      <w:r>
        <w:rPr>
          <w:rFonts w:ascii="Arial" w:cs="Arial" w:eastAsia="Arial" w:hAnsi="Arial"/>
          <w:sz w:val="17"/>
          <w:szCs w:val="17"/>
          <w:color w:val="auto"/>
        </w:rPr>
        <w:t>By harnessing technology smartly, we aim to deliver information that is more relevant and personalized, and to do so more swiftly. Through shared technology and cross-business collaboration, we are enhancing the accessibility and value of our data for customers, irrespective of their access method. We are also moving away from on-premise software installations towards cloud-based or software-as-a-service (SaaS) solutions. In 2024, we successfully completed the exit of our Eagan data center, transferring in-scope applications to the cloud.</w:t>
      </w:r>
    </w:p>
    <w:p>
      <w:pPr>
        <w:spacing w:after="0" w:line="46" w:lineRule="exact"/>
        <w:rPr>
          <w:sz w:val="20"/>
          <w:szCs w:val="20"/>
          <w:color w:val="auto"/>
        </w:rPr>
      </w:pPr>
    </w:p>
    <w:p>
      <w:pPr>
        <w:ind w:left="220" w:right="320"/>
        <w:spacing w:after="0" w:line="260" w:lineRule="auto"/>
        <w:rPr>
          <w:sz w:val="20"/>
          <w:szCs w:val="20"/>
          <w:color w:val="auto"/>
        </w:rPr>
      </w:pPr>
      <w:r>
        <w:rPr>
          <w:rFonts w:ascii="Arial" w:cs="Arial" w:eastAsia="Arial" w:hAnsi="Arial"/>
          <w:sz w:val="17"/>
          <w:szCs w:val="17"/>
          <w:color w:val="auto"/>
        </w:rPr>
        <w:t>Our commitment to transformation ensures our content, products, and services evolve to meet customer needs, while we continue to focus on securing customer data and global systems as part of our ongoing security program enhancements.</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Innovation, Research and Development</w:t>
      </w:r>
    </w:p>
    <w:p>
      <w:pPr>
        <w:spacing w:after="0" w:line="97" w:lineRule="exact"/>
        <w:rPr>
          <w:sz w:val="20"/>
          <w:szCs w:val="20"/>
          <w:color w:val="auto"/>
        </w:rPr>
      </w:pPr>
    </w:p>
    <w:p>
      <w:pPr>
        <w:ind w:left="220" w:right="80"/>
        <w:spacing w:after="0" w:line="236" w:lineRule="auto"/>
        <w:rPr>
          <w:sz w:val="20"/>
          <w:szCs w:val="20"/>
          <w:color w:val="auto"/>
        </w:rPr>
      </w:pPr>
      <w:r>
        <w:rPr>
          <w:rFonts w:ascii="Arial" w:cs="Arial" w:eastAsia="Arial" w:hAnsi="Arial"/>
          <w:sz w:val="17"/>
          <w:szCs w:val="17"/>
          <w:color w:val="auto"/>
        </w:rPr>
        <w:t>Innovation is essential to our success and is one of our primary bases of competition. We continue to operate Thomson Reuters Labs, the dedicated applied research division of Thomson Reuters, which we have grown meaningfully throughout 2024. This Labs arm of our product engineering discipline has played a pivotal role in AI development and delivery for our products and customers for over 30 years. The team has a rich history in applied research activities focused on exploring cutting-edge technologies applied to concrete business problems. We ensure Thomson Reuters and our customers stay ahead in an ever-changing world with tools, products and human expertise enhanced by AI.</w:t>
      </w:r>
    </w:p>
    <w:p>
      <w:pPr>
        <w:spacing w:after="0" w:line="59" w:lineRule="exact"/>
        <w:rPr>
          <w:sz w:val="20"/>
          <w:szCs w:val="20"/>
          <w:color w:val="auto"/>
        </w:rPr>
      </w:pPr>
    </w:p>
    <w:p>
      <w:pPr>
        <w:ind w:left="220" w:right="240"/>
        <w:spacing w:after="0" w:line="238" w:lineRule="auto"/>
        <w:rPr>
          <w:sz w:val="20"/>
          <w:szCs w:val="20"/>
          <w:color w:val="auto"/>
        </w:rPr>
      </w:pPr>
      <w:r>
        <w:rPr>
          <w:rFonts w:ascii="Arial" w:cs="Arial" w:eastAsia="Arial" w:hAnsi="Arial"/>
          <w:sz w:val="17"/>
          <w:szCs w:val="17"/>
          <w:color w:val="auto"/>
        </w:rPr>
        <w:t>We are driven by our customers’ need for trustworthy information and software solutions that enable them to serve their customers with trusted information and work products in an efficient manner. We innovate across many dimensions of technology, including but not limited to: AI, generative AI, language models, natural language processing (NLP), search and information retrieval systems, AI ethics and bias mitigation, AI operations (ML Ops) and systematic evaluation and implementation of Human-Centered AI (HCAI) solutions.</w:t>
      </w:r>
    </w:p>
    <w:p>
      <w:pPr>
        <w:spacing w:after="0" w:line="46" w:lineRule="exact"/>
        <w:rPr>
          <w:sz w:val="20"/>
          <w:szCs w:val="20"/>
          <w:color w:val="auto"/>
        </w:rPr>
      </w:pPr>
    </w:p>
    <w:p>
      <w:pPr>
        <w:ind w:left="220" w:right="60"/>
        <w:spacing w:after="0" w:line="236" w:lineRule="auto"/>
        <w:rPr>
          <w:sz w:val="20"/>
          <w:szCs w:val="20"/>
          <w:color w:val="auto"/>
        </w:rPr>
      </w:pPr>
      <w:r>
        <w:rPr>
          <w:rFonts w:ascii="Arial" w:cs="Arial" w:eastAsia="Arial" w:hAnsi="Arial"/>
          <w:sz w:val="17"/>
          <w:szCs w:val="17"/>
          <w:color w:val="auto"/>
        </w:rPr>
        <w:t>Our research ethos and focus on our customers keep us at the driving edge of how emerging technologies like deep learning, generative AI and language models can be applied to the distinct challenges of the industries and customers that we serve. We believe that we are uniquely positioned to combine these technologies with the intelligence and human expertise that our customers need to find trusted answers. The work of Thomson Reuters’ product engineering organization is at the heart of our ambition to become the world’s leading content-driven technology company.</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Go to Market</w:t>
      </w:r>
    </w:p>
    <w:p>
      <w:pPr>
        <w:spacing w:after="0" w:line="97" w:lineRule="exact"/>
        <w:rPr>
          <w:sz w:val="20"/>
          <w:szCs w:val="20"/>
          <w:color w:val="auto"/>
        </w:rPr>
      </w:pPr>
    </w:p>
    <w:p>
      <w:pPr>
        <w:ind w:left="220" w:right="420"/>
        <w:spacing w:after="0" w:line="243" w:lineRule="auto"/>
        <w:rPr>
          <w:sz w:val="20"/>
          <w:szCs w:val="20"/>
          <w:color w:val="auto"/>
        </w:rPr>
      </w:pPr>
      <w:r>
        <w:rPr>
          <w:rFonts w:ascii="Arial" w:cs="Arial" w:eastAsia="Arial" w:hAnsi="Arial"/>
          <w:sz w:val="17"/>
          <w:szCs w:val="17"/>
          <w:color w:val="auto"/>
        </w:rPr>
        <w:t>We primarily sell our products and services directly to our customers. In addition, we sell some of our products and services online directly to customers. Focusing more of our marketing and sales efforts on digital propositions has allowed us to broaden our range of customers and reduce sales and marketing costs.</w:t>
      </w:r>
    </w:p>
    <w:p>
      <w:pPr>
        <w:spacing w:after="0" w:line="55" w:lineRule="exact"/>
        <w:rPr>
          <w:sz w:val="20"/>
          <w:szCs w:val="20"/>
          <w:color w:val="auto"/>
        </w:rPr>
      </w:pPr>
    </w:p>
    <w:p>
      <w:pPr>
        <w:ind w:left="220" w:right="40"/>
        <w:spacing w:after="0" w:line="236" w:lineRule="auto"/>
        <w:rPr>
          <w:sz w:val="20"/>
          <w:szCs w:val="20"/>
          <w:color w:val="auto"/>
        </w:rPr>
      </w:pPr>
      <w:r>
        <w:rPr>
          <w:rFonts w:ascii="Arial" w:cs="Arial" w:eastAsia="Arial" w:hAnsi="Arial"/>
          <w:sz w:val="17"/>
          <w:szCs w:val="17"/>
          <w:color w:val="auto"/>
        </w:rPr>
        <w:t>As part of our customer experience transformation, we are creating a more holistic online experience, making it easier for our customers to find, try, buy, renew and manage our products by interacting digitally with Thomson Reuters. In 2024, we leveraged AI to improve our digital customer journey, made new products available online, grew digital share of sales and renewals across multiple segments and continued to enhance our online support tools. We continue to invest in online self-serve capabilities that allow customers to manage their accounts and get quick access to support and service in their channel of choice.</w:t>
      </w:r>
    </w:p>
    <w:p>
      <w:pPr>
        <w:spacing w:after="0" w:line="46" w:lineRule="exact"/>
        <w:rPr>
          <w:sz w:val="20"/>
          <w:szCs w:val="20"/>
          <w:color w:val="auto"/>
        </w:rPr>
      </w:pPr>
    </w:p>
    <w:p>
      <w:pPr>
        <w:ind w:left="220" w:right="60"/>
        <w:spacing w:after="0" w:line="243" w:lineRule="auto"/>
        <w:rPr>
          <w:sz w:val="20"/>
          <w:szCs w:val="20"/>
          <w:color w:val="auto"/>
        </w:rPr>
      </w:pPr>
      <w:r>
        <w:rPr>
          <w:rFonts w:ascii="Arial" w:cs="Arial" w:eastAsia="Arial" w:hAnsi="Arial"/>
          <w:sz w:val="17"/>
          <w:szCs w:val="17"/>
          <w:color w:val="auto"/>
        </w:rPr>
        <w:t>Some of our products and services are also sold in partnership with third-parties through various sales channels, including referrals and resellers. Centralizing our team to manage partnerships has accelerated the growth of our partner ecosystem, which has allowed for expansion into business segments and geographies providing expanded market opportunities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99695</wp:posOffset>
            </wp:positionV>
            <wp:extent cx="68656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5"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10</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140"/>
        <w:spacing w:after="0" w:line="238" w:lineRule="auto"/>
        <w:rPr>
          <w:sz w:val="20"/>
          <w:szCs w:val="20"/>
          <w:color w:val="auto"/>
        </w:rPr>
      </w:pPr>
      <w:r>
        <w:rPr>
          <w:rFonts w:ascii="Arial" w:cs="Arial" w:eastAsia="Arial" w:hAnsi="Arial"/>
          <w:sz w:val="17"/>
          <w:szCs w:val="17"/>
          <w:color w:val="auto"/>
        </w:rPr>
        <w:t>revenue streams. Our successful commercial partnership with cPaperless, LLC, SurePrep, LLC and Pagero Group AB (publ) provided us with confidence in the strategic and cultural fit of these businesses at Thomson Reuters and ultimately supported our acquisition thesis, as discussed in the “Acquisitions and Dispositions” section below. Partnerships continue to be a strategic lever to expand our global reach and our associated sales and revenue.</w:t>
      </w:r>
    </w:p>
    <w:p>
      <w:pPr>
        <w:spacing w:after="0" w:line="46" w:lineRule="exact"/>
        <w:rPr>
          <w:sz w:val="20"/>
          <w:szCs w:val="20"/>
          <w:color w:val="auto"/>
        </w:rPr>
      </w:pPr>
    </w:p>
    <w:p>
      <w:pPr>
        <w:ind w:left="220" w:right="140"/>
        <w:spacing w:after="0" w:line="236" w:lineRule="auto"/>
        <w:rPr>
          <w:sz w:val="20"/>
          <w:szCs w:val="20"/>
          <w:color w:val="auto"/>
        </w:rPr>
      </w:pPr>
      <w:r>
        <w:rPr>
          <w:rFonts w:ascii="Arial" w:cs="Arial" w:eastAsia="Arial" w:hAnsi="Arial"/>
          <w:sz w:val="17"/>
          <w:szCs w:val="17"/>
          <w:color w:val="auto"/>
        </w:rPr>
        <w:t>Application Program Interfaces (APIs) allow our software platforms to connect with those of other companies, providing customers with data and access to the services of both companies. This will open new channels, business models and product offerings and will help grow our partner ecosystem to support the customers’ end-to-end lifecycle. In 2025, we plan to continue expanding our API ecosystem to improve the experience of existing and new customers. As our capabilities related to APIs continue to grow, it will further enable our ability to provide more robust solutions in collaboration with our partners to solve our customers’ business challenges.</w:t>
      </w:r>
    </w:p>
    <w:p>
      <w:pPr>
        <w:spacing w:after="0" w:line="72" w:lineRule="exact"/>
        <w:rPr>
          <w:sz w:val="20"/>
          <w:szCs w:val="20"/>
          <w:color w:val="auto"/>
        </w:rPr>
      </w:pPr>
    </w:p>
    <w:p>
      <w:pPr>
        <w:ind w:left="220" w:right="60"/>
        <w:spacing w:after="0" w:line="236" w:lineRule="auto"/>
        <w:rPr>
          <w:sz w:val="20"/>
          <w:szCs w:val="20"/>
          <w:color w:val="auto"/>
        </w:rPr>
      </w:pPr>
      <w:r>
        <w:rPr>
          <w:rFonts w:ascii="Arial" w:cs="Arial" w:eastAsia="Arial" w:hAnsi="Arial"/>
          <w:sz w:val="17"/>
          <w:szCs w:val="17"/>
          <w:color w:val="auto"/>
        </w:rPr>
        <w:t>In 2024, we began building a more structured and data-driven customer success approach to help customers achieve measurable business outcomes with our solutions. By creating a new customer success function, we are laying the foundation for a more proactive model that guides customers through adoption, value realization, and renewal. We are also introducing scalable engagement models and leveraging data-driven insights to provide the right level of support at the right time. As we continue this work into 2025, our focus remains on driving long-term customer value, deeper insights, and stronger retention.</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Intellectual Property</w:t>
      </w:r>
    </w:p>
    <w:p>
      <w:pPr>
        <w:spacing w:after="0" w:line="97" w:lineRule="exact"/>
        <w:rPr>
          <w:sz w:val="20"/>
          <w:szCs w:val="20"/>
          <w:color w:val="auto"/>
        </w:rPr>
      </w:pPr>
    </w:p>
    <w:p>
      <w:pPr>
        <w:ind w:left="220" w:right="20"/>
        <w:spacing w:after="0" w:line="231" w:lineRule="auto"/>
        <w:rPr>
          <w:sz w:val="20"/>
          <w:szCs w:val="20"/>
          <w:color w:val="auto"/>
        </w:rPr>
      </w:pPr>
      <w:r>
        <w:rPr>
          <w:rFonts w:ascii="Arial" w:cs="Arial" w:eastAsia="Arial" w:hAnsi="Arial"/>
          <w:sz w:val="17"/>
          <w:szCs w:val="17"/>
          <w:color w:val="auto"/>
        </w:rPr>
        <w:t>Many of our products and services are comprised of information, including originally authored content, delivered through a variety of channels. Our principal intellectual property (IP) assets are intended to protect these products and services, as well as the underlying content. In particular, we rely on patents and trade secrets, which protect the innovative ways that help create and deliver our content, trademarks, which protect our valuable brands and copyrights, which protect our proprietary content, databases and source code underpinning our software. We believe that our IP is sufficient to permit us to carry on our business as presently conducted. We also incorporate technical and commercial preventative measures into our content delivery channels. We continue to grow our patent portfolio by applying for and receiving patents for our innovative technologies globally, as well as continuing to acquire patents through the acquisition of companies. We have registered a number of website domain names in connection with our online operations and protect our global trademarks and copyrights through continued registrations, where appropriate, and enforcement against third-parties who threaten to infringe our trademarks and copyrights. Additionally, we continue to expand our overall IP portfolio as we acquire companies that typically includes trademarks, copyrights (whether registered or though common law), patents and web domains. In all cases we continue to evaluate the intersection of AI regulations and concepts and IP to ensure that the valuable technology, source code and content we create can continue to be protected by our IP strategies. For more information on the risks related to our IP rights, see the “Risk Factors” section of this annual report.</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Acquisitions and Dispositions</w:t>
      </w:r>
    </w:p>
    <w:p>
      <w:pPr>
        <w:spacing w:after="0" w:line="97" w:lineRule="exact"/>
        <w:rPr>
          <w:sz w:val="20"/>
          <w:szCs w:val="20"/>
          <w:color w:val="auto"/>
        </w:rPr>
      </w:pPr>
    </w:p>
    <w:p>
      <w:pPr>
        <w:ind w:left="220" w:right="60"/>
        <w:spacing w:after="0" w:line="243" w:lineRule="auto"/>
        <w:rPr>
          <w:sz w:val="20"/>
          <w:szCs w:val="20"/>
          <w:color w:val="auto"/>
        </w:rPr>
      </w:pPr>
      <w:r>
        <w:rPr>
          <w:rFonts w:ascii="Arial" w:cs="Arial" w:eastAsia="Arial" w:hAnsi="Arial"/>
          <w:sz w:val="17"/>
          <w:szCs w:val="17"/>
          <w:b w:val="1"/>
          <w:bCs w:val="1"/>
          <w:i w:val="1"/>
          <w:iCs w:val="1"/>
          <w:color w:val="auto"/>
        </w:rPr>
        <w:t xml:space="preserve">Acquisitions </w:t>
      </w:r>
      <w:r>
        <w:rPr>
          <w:rFonts w:ascii="Arial" w:cs="Arial" w:eastAsia="Arial" w:hAnsi="Arial"/>
          <w:sz w:val="17"/>
          <w:szCs w:val="17"/>
          <w:color w:val="auto"/>
        </w:rPr>
        <w:t>– Acquired businesses can strengthen our offerings and enable us to extend our platform with new capabilities that we believe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opportunities to expand our positions, better serve our customers and supplement our organic revenue growth. Generally, the businesses that we acquire initially have lower margins than our existing businesses, largely reflecting the costs of integration.</w:t>
      </w:r>
    </w:p>
    <w:p>
      <w:pPr>
        <w:spacing w:after="0" w:line="42" w:lineRule="exact"/>
        <w:rPr>
          <w:sz w:val="20"/>
          <w:szCs w:val="20"/>
          <w:color w:val="auto"/>
        </w:rPr>
      </w:pPr>
    </w:p>
    <w:p>
      <w:pPr>
        <w:ind w:left="220" w:right="380"/>
        <w:spacing w:after="0" w:line="243" w:lineRule="auto"/>
        <w:rPr>
          <w:sz w:val="20"/>
          <w:szCs w:val="20"/>
          <w:color w:val="auto"/>
        </w:rPr>
      </w:pPr>
      <w:r>
        <w:rPr>
          <w:rFonts w:ascii="Arial" w:cs="Arial" w:eastAsia="Arial" w:hAnsi="Arial"/>
          <w:sz w:val="17"/>
          <w:szCs w:val="17"/>
          <w:color w:val="auto"/>
        </w:rPr>
        <w:t>In January 2024, we acquired Pagero Group AB (publ), a publicly traded Swedish company and a global leader in e-invoicing and indirect tax solutions. In addition, in January 2024, we acquired World Business Media Limited (The Insurer), a cross-platform and subscription-based provider of editorial coverage for the global P&amp;C and specialty (re)insurance industry.</w:t>
      </w:r>
    </w:p>
    <w:p>
      <w:pPr>
        <w:spacing w:after="0" w:line="55" w:lineRule="exact"/>
        <w:rPr>
          <w:sz w:val="20"/>
          <w:szCs w:val="20"/>
          <w:color w:val="auto"/>
        </w:rPr>
      </w:pPr>
    </w:p>
    <w:p>
      <w:pPr>
        <w:ind w:left="220" w:right="40"/>
        <w:spacing w:after="0" w:line="238" w:lineRule="auto"/>
        <w:rPr>
          <w:sz w:val="20"/>
          <w:szCs w:val="20"/>
          <w:color w:val="auto"/>
        </w:rPr>
      </w:pPr>
      <w:r>
        <w:rPr>
          <w:rFonts w:ascii="Arial" w:cs="Arial" w:eastAsia="Arial" w:hAnsi="Arial"/>
          <w:sz w:val="17"/>
          <w:szCs w:val="17"/>
          <w:color w:val="auto"/>
        </w:rPr>
        <w:t>In August 2024, we acquired Safe Sign Technologies, a U.K.-based startup developing legal-specific large language models. In October 2024, we acquired Credere Technologies, Inc., doing business as Materia, a U.S.-based startup that specializes in the development of an agentic AI assistant for the tax, audit and accounting profession. More recently, in January 2025, we acquired cPaperless, LLC, doing business as SafeSend, a U.S.-based cloud-native provider of technology for tax and accounting professionals.</w:t>
      </w:r>
    </w:p>
    <w:p>
      <w:pPr>
        <w:spacing w:after="0" w:line="46" w:lineRule="exact"/>
        <w:rPr>
          <w:sz w:val="20"/>
          <w:szCs w:val="20"/>
          <w:color w:val="auto"/>
        </w:rPr>
      </w:pPr>
    </w:p>
    <w:p>
      <w:pPr>
        <w:jc w:val="both"/>
        <w:ind w:left="220" w:right="240"/>
        <w:spacing w:after="0" w:line="243" w:lineRule="auto"/>
        <w:rPr>
          <w:sz w:val="20"/>
          <w:szCs w:val="20"/>
          <w:color w:val="auto"/>
        </w:rPr>
      </w:pPr>
      <w:r>
        <w:rPr>
          <w:rFonts w:ascii="Arial" w:cs="Arial" w:eastAsia="Arial" w:hAnsi="Arial"/>
          <w:sz w:val="17"/>
          <w:szCs w:val="17"/>
          <w:color w:val="auto"/>
        </w:rPr>
        <w:t>We expect that acquisitions will continue to play an important role in our strategy going forward and we expect to continue to make acquisitions from time to time that we believe will strengthen our positions in key growth segments. See the “Liquidity and Capital Resources” section of the management’s discussion and analysis for additional information about our capital strategy.</w:t>
      </w:r>
    </w:p>
    <w:p>
      <w:pPr>
        <w:spacing w:after="0" w:line="55" w:lineRule="exact"/>
        <w:rPr>
          <w:sz w:val="20"/>
          <w:szCs w:val="20"/>
          <w:color w:val="auto"/>
        </w:rPr>
      </w:pPr>
    </w:p>
    <w:p>
      <w:pPr>
        <w:ind w:left="220" w:right="60"/>
        <w:spacing w:after="0" w:line="243" w:lineRule="auto"/>
        <w:rPr>
          <w:sz w:val="20"/>
          <w:szCs w:val="20"/>
          <w:color w:val="auto"/>
        </w:rPr>
      </w:pPr>
      <w:r>
        <w:rPr>
          <w:rFonts w:ascii="Arial" w:cs="Arial" w:eastAsia="Arial" w:hAnsi="Arial"/>
          <w:sz w:val="17"/>
          <w:szCs w:val="17"/>
          <w:b w:val="1"/>
          <w:bCs w:val="1"/>
          <w:i w:val="1"/>
          <w:iCs w:val="1"/>
          <w:color w:val="auto"/>
        </w:rPr>
        <w:t xml:space="preserve">Dispositions </w:t>
      </w:r>
      <w:r>
        <w:rPr>
          <w:rFonts w:ascii="Arial" w:cs="Arial" w:eastAsia="Arial" w:hAnsi="Arial"/>
          <w:sz w:val="17"/>
          <w:szCs w:val="17"/>
          <w:color w:val="auto"/>
        </w:rPr>
        <w:t>– As part of our continuing strategy to optimize our portfolio of businesses and ensure that we are investing in parts of our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offer the greatest opportunities to achieve growth and returns, we have sold a number of non-core businesses and product lines during the last several years which are not compatible with our strategy. In December 2024, we sold our FindLaw business to Internet Brands.</w:t>
      </w:r>
    </w:p>
    <w:p>
      <w:pPr>
        <w:spacing w:after="0" w:line="55" w:lineRule="exact"/>
        <w:rPr>
          <w:sz w:val="20"/>
          <w:szCs w:val="20"/>
          <w:color w:val="auto"/>
        </w:rPr>
      </w:pPr>
    </w:p>
    <w:p>
      <w:pPr>
        <w:ind w:left="220" w:right="720"/>
        <w:spacing w:after="0" w:line="260" w:lineRule="auto"/>
        <w:rPr>
          <w:sz w:val="20"/>
          <w:szCs w:val="20"/>
          <w:color w:val="auto"/>
        </w:rPr>
      </w:pPr>
      <w:r>
        <w:rPr>
          <w:rFonts w:ascii="Arial" w:cs="Arial" w:eastAsia="Arial" w:hAnsi="Arial"/>
          <w:sz w:val="17"/>
          <w:szCs w:val="17"/>
          <w:color w:val="auto"/>
        </w:rPr>
        <w:t>For more information on acquisitions and dispositions that we made in the last two years, please see the “Management’s Discussion and Analysis” section of this annual report.</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Thomson Reuters Venture Fund</w:t>
      </w:r>
    </w:p>
    <w:p>
      <w:pPr>
        <w:spacing w:after="0" w:line="84" w:lineRule="exact"/>
        <w:rPr>
          <w:sz w:val="20"/>
          <w:szCs w:val="20"/>
          <w:color w:val="auto"/>
        </w:rPr>
      </w:pPr>
    </w:p>
    <w:p>
      <w:pPr>
        <w:jc w:val="both"/>
        <w:ind w:left="220" w:right="400"/>
        <w:spacing w:after="0" w:line="243" w:lineRule="auto"/>
        <w:rPr>
          <w:sz w:val="20"/>
          <w:szCs w:val="20"/>
          <w:color w:val="auto"/>
        </w:rPr>
      </w:pPr>
      <w:r>
        <w:rPr>
          <w:rFonts w:ascii="Arial" w:cs="Arial" w:eastAsia="Arial" w:hAnsi="Arial"/>
          <w:sz w:val="17"/>
          <w:szCs w:val="17"/>
          <w:color w:val="auto"/>
        </w:rPr>
        <w:t>During 2024, our Thomson Reuters Ventures Fund, which was launched in 2021 with the authority to invest up to $100 million, made several investments to support companies that are building innovations to allow professionals to operate more productively and with greater insights. Following the success of the initial Thomson Reuters Ventures fund, we have committed to a $150 million second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99695</wp:posOffset>
            </wp:positionV>
            <wp:extent cx="68656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5" w:lineRule="exact"/>
        <w:rPr>
          <w:sz w:val="20"/>
          <w:szCs w:val="20"/>
          <w:color w:val="auto"/>
        </w:rPr>
      </w:pPr>
    </w:p>
    <w:p>
      <w:pPr>
        <w:ind w:left="220"/>
        <w:spacing w:after="0"/>
        <w:tabs>
          <w:tab w:leader="none" w:pos="1040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6"/>
          <w:szCs w:val="16"/>
          <w:color w:val="auto"/>
        </w:rPr>
        <w:t>Page 11</w:t>
      </w:r>
    </w:p>
    <w:p>
      <w:pPr>
        <w:sectPr>
          <w:pgSz w:w="11900" w:h="16838" w:orient="portrait"/>
          <w:cols w:equalWidth="0" w:num="1">
            <w:col w:w="11040"/>
          </w:cols>
          <w:pgMar w:left="320" w:top="477" w:right="5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Human Capital Management</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25"/>
          <w:szCs w:val="25"/>
          <w:b w:val="1"/>
          <w:bCs w:val="1"/>
          <w:i w:val="1"/>
          <w:iCs w:val="1"/>
          <w:color w:val="D64000"/>
        </w:rPr>
        <w:t>Employees</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sets forth information about our employees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83185</wp:posOffset>
            </wp:positionV>
            <wp:extent cx="287718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77185" cy="17145"/>
                    </a:xfrm>
                    <a:prstGeom prst="rect">
                      <a:avLst/>
                    </a:prstGeom>
                    <a:noFill/>
                  </pic:spPr>
                </pic:pic>
              </a:graphicData>
            </a:graphic>
          </wp:anchor>
        </w:drawing>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By Region</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179"/>
        </w:trPr>
        <w:tc>
          <w:tcPr>
            <w:tcW w:w="3380" w:type="dxa"/>
            <w:vAlign w:val="bottom"/>
            <w:tcBorders>
              <w:top w:val="single" w:sz="8" w:color="B2B2B2"/>
              <w:bottom w:val="single" w:sz="8" w:color="B2B2B2"/>
            </w:tcBorders>
          </w:tcPr>
          <w:p>
            <w:pPr>
              <w:ind w:left="180"/>
              <w:spacing w:after="0" w:line="179" w:lineRule="exact"/>
              <w:rPr>
                <w:sz w:val="20"/>
                <w:szCs w:val="20"/>
                <w:color w:val="auto"/>
              </w:rPr>
            </w:pPr>
            <w:r>
              <w:rPr>
                <w:rFonts w:ascii="Arial" w:cs="Arial" w:eastAsia="Arial" w:hAnsi="Arial"/>
                <w:sz w:val="16"/>
                <w:szCs w:val="16"/>
                <w:color w:val="auto"/>
              </w:rPr>
              <w:t>Americas</w:t>
            </w:r>
          </w:p>
        </w:tc>
        <w:tc>
          <w:tcPr>
            <w:tcW w:w="1140" w:type="dxa"/>
            <w:vAlign w:val="bottom"/>
            <w:tcBorders>
              <w:top w:val="single" w:sz="8" w:color="B2B2B2"/>
              <w:bottom w:val="single" w:sz="8" w:color="B2B2B2"/>
            </w:tcBorders>
          </w:tcPr>
          <w:p>
            <w:pPr>
              <w:jc w:val="right"/>
              <w:ind w:right="181"/>
              <w:spacing w:after="0" w:line="179" w:lineRule="exact"/>
              <w:rPr>
                <w:sz w:val="20"/>
                <w:szCs w:val="20"/>
                <w:color w:val="auto"/>
              </w:rPr>
            </w:pPr>
            <w:r>
              <w:rPr>
                <w:rFonts w:ascii="Arial" w:cs="Arial" w:eastAsia="Arial" w:hAnsi="Arial"/>
                <w:sz w:val="16"/>
                <w:szCs w:val="16"/>
                <w:color w:val="auto"/>
              </w:rPr>
              <w:t>14,100</w:t>
            </w:r>
          </w:p>
        </w:tc>
      </w:tr>
      <w:tr>
        <w:trPr>
          <w:trHeight w:val="179"/>
        </w:trPr>
        <w:tc>
          <w:tcPr>
            <w:tcW w:w="3380" w:type="dxa"/>
            <w:vAlign w:val="bottom"/>
            <w:tcBorders>
              <w:bottom w:val="single" w:sz="8" w:color="B2B2B2"/>
            </w:tcBorders>
          </w:tcPr>
          <w:p>
            <w:pPr>
              <w:ind w:left="180"/>
              <w:spacing w:after="0" w:line="179" w:lineRule="exact"/>
              <w:rPr>
                <w:sz w:val="20"/>
                <w:szCs w:val="20"/>
                <w:color w:val="auto"/>
              </w:rPr>
            </w:pPr>
            <w:r>
              <w:rPr>
                <w:rFonts w:ascii="Arial" w:cs="Arial" w:eastAsia="Arial" w:hAnsi="Arial"/>
                <w:sz w:val="16"/>
                <w:szCs w:val="16"/>
                <w:color w:val="auto"/>
              </w:rPr>
              <w:t>Asia Pacific</w:t>
            </w:r>
          </w:p>
        </w:tc>
        <w:tc>
          <w:tcPr>
            <w:tcW w:w="1140" w:type="dxa"/>
            <w:vAlign w:val="bottom"/>
            <w:tcBorders>
              <w:bottom w:val="single" w:sz="8" w:color="B2B2B2"/>
            </w:tcBorders>
          </w:tcPr>
          <w:p>
            <w:pPr>
              <w:jc w:val="right"/>
              <w:ind w:right="181"/>
              <w:spacing w:after="0" w:line="179" w:lineRule="exact"/>
              <w:rPr>
                <w:sz w:val="20"/>
                <w:szCs w:val="20"/>
                <w:color w:val="auto"/>
              </w:rPr>
            </w:pPr>
            <w:r>
              <w:rPr>
                <w:rFonts w:ascii="Arial" w:cs="Arial" w:eastAsia="Arial" w:hAnsi="Arial"/>
                <w:sz w:val="16"/>
                <w:szCs w:val="16"/>
                <w:color w:val="auto"/>
              </w:rPr>
              <w:t>8,300</w:t>
            </w:r>
          </w:p>
        </w:tc>
      </w:tr>
      <w:tr>
        <w:trPr>
          <w:trHeight w:val="179"/>
        </w:trPr>
        <w:tc>
          <w:tcPr>
            <w:tcW w:w="3380" w:type="dxa"/>
            <w:vAlign w:val="bottom"/>
            <w:tcBorders>
              <w:bottom w:val="single" w:sz="8" w:color="B2B2B2"/>
            </w:tcBorders>
          </w:tcPr>
          <w:p>
            <w:pPr>
              <w:ind w:left="180"/>
              <w:spacing w:after="0" w:line="179" w:lineRule="exact"/>
              <w:rPr>
                <w:sz w:val="20"/>
                <w:szCs w:val="20"/>
                <w:color w:val="auto"/>
              </w:rPr>
            </w:pPr>
            <w:r>
              <w:rPr>
                <w:rFonts w:ascii="Arial" w:cs="Arial" w:eastAsia="Arial" w:hAnsi="Arial"/>
                <w:sz w:val="16"/>
                <w:szCs w:val="16"/>
                <w:color w:val="auto"/>
              </w:rPr>
              <w:t>Europe, Middle East and Africa (EMEA)</w:t>
            </w:r>
          </w:p>
        </w:tc>
        <w:tc>
          <w:tcPr>
            <w:tcW w:w="1140" w:type="dxa"/>
            <w:vAlign w:val="bottom"/>
            <w:tcBorders>
              <w:bottom w:val="single" w:sz="8" w:color="B2B2B2"/>
            </w:tcBorders>
          </w:tcPr>
          <w:p>
            <w:pPr>
              <w:jc w:val="right"/>
              <w:ind w:right="181"/>
              <w:spacing w:after="0" w:line="179" w:lineRule="exact"/>
              <w:rPr>
                <w:sz w:val="20"/>
                <w:szCs w:val="20"/>
                <w:color w:val="auto"/>
              </w:rPr>
            </w:pPr>
            <w:r>
              <w:rPr>
                <w:rFonts w:ascii="Arial" w:cs="Arial" w:eastAsia="Arial" w:hAnsi="Arial"/>
                <w:sz w:val="16"/>
                <w:szCs w:val="16"/>
                <w:color w:val="auto"/>
              </w:rPr>
              <w:t>4,000</w:t>
            </w:r>
          </w:p>
        </w:tc>
      </w:tr>
      <w:tr>
        <w:trPr>
          <w:trHeight w:val="179"/>
        </w:trPr>
        <w:tc>
          <w:tcPr>
            <w:tcW w:w="338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b w:val="1"/>
                <w:bCs w:val="1"/>
                <w:color w:val="auto"/>
              </w:rPr>
              <w:t>By Unit</w:t>
            </w:r>
          </w:p>
        </w:tc>
        <w:tc>
          <w:tcPr>
            <w:tcW w:w="1140" w:type="dxa"/>
            <w:vAlign w:val="bottom"/>
            <w:tcBorders>
              <w:bottom w:val="single" w:sz="8" w:color="B2B2B2"/>
            </w:tcBorders>
          </w:tcPr>
          <w:p>
            <w:pPr>
              <w:spacing w:after="0"/>
              <w:rPr>
                <w:sz w:val="15"/>
                <w:szCs w:val="15"/>
                <w:color w:val="auto"/>
              </w:rPr>
            </w:pPr>
          </w:p>
        </w:tc>
      </w:tr>
      <w:tr>
        <w:trPr>
          <w:trHeight w:val="179"/>
        </w:trPr>
        <w:tc>
          <w:tcPr>
            <w:tcW w:w="3380" w:type="dxa"/>
            <w:vAlign w:val="bottom"/>
            <w:tcBorders>
              <w:bottom w:val="single" w:sz="8" w:color="B2B2B2"/>
            </w:tcBorders>
          </w:tcPr>
          <w:p>
            <w:pPr>
              <w:ind w:left="180"/>
              <w:spacing w:after="0" w:line="179" w:lineRule="exact"/>
              <w:rPr>
                <w:sz w:val="20"/>
                <w:szCs w:val="20"/>
                <w:color w:val="auto"/>
              </w:rPr>
            </w:pPr>
            <w:r>
              <w:rPr>
                <w:rFonts w:ascii="Arial" w:cs="Arial" w:eastAsia="Arial" w:hAnsi="Arial"/>
                <w:sz w:val="16"/>
                <w:szCs w:val="16"/>
                <w:color w:val="auto"/>
              </w:rPr>
              <w:t>Legal Professionals</w:t>
            </w:r>
          </w:p>
        </w:tc>
        <w:tc>
          <w:tcPr>
            <w:tcW w:w="1140" w:type="dxa"/>
            <w:vAlign w:val="bottom"/>
            <w:tcBorders>
              <w:bottom w:val="single" w:sz="8" w:color="B2B2B2"/>
            </w:tcBorders>
          </w:tcPr>
          <w:p>
            <w:pPr>
              <w:jc w:val="right"/>
              <w:ind w:right="181"/>
              <w:spacing w:after="0" w:line="179" w:lineRule="exact"/>
              <w:rPr>
                <w:sz w:val="20"/>
                <w:szCs w:val="20"/>
                <w:color w:val="auto"/>
              </w:rPr>
            </w:pPr>
            <w:r>
              <w:rPr>
                <w:rFonts w:ascii="Arial" w:cs="Arial" w:eastAsia="Arial" w:hAnsi="Arial"/>
                <w:sz w:val="16"/>
                <w:szCs w:val="16"/>
                <w:color w:val="auto"/>
              </w:rPr>
              <w:t>700</w:t>
            </w:r>
          </w:p>
        </w:tc>
      </w:tr>
      <w:tr>
        <w:trPr>
          <w:trHeight w:val="179"/>
        </w:trPr>
        <w:tc>
          <w:tcPr>
            <w:tcW w:w="3380" w:type="dxa"/>
            <w:vAlign w:val="bottom"/>
            <w:tcBorders>
              <w:bottom w:val="single" w:sz="8" w:color="B2B2B2"/>
            </w:tcBorders>
          </w:tcPr>
          <w:p>
            <w:pPr>
              <w:ind w:left="180"/>
              <w:spacing w:after="0" w:line="179" w:lineRule="exact"/>
              <w:rPr>
                <w:sz w:val="20"/>
                <w:szCs w:val="20"/>
                <w:color w:val="auto"/>
              </w:rPr>
            </w:pPr>
            <w:r>
              <w:rPr>
                <w:rFonts w:ascii="Arial" w:cs="Arial" w:eastAsia="Arial" w:hAnsi="Arial"/>
                <w:sz w:val="16"/>
                <w:szCs w:val="16"/>
                <w:color w:val="auto"/>
              </w:rPr>
              <w:t>Corporates</w:t>
            </w:r>
          </w:p>
        </w:tc>
        <w:tc>
          <w:tcPr>
            <w:tcW w:w="1140" w:type="dxa"/>
            <w:vAlign w:val="bottom"/>
            <w:tcBorders>
              <w:bottom w:val="single" w:sz="8" w:color="B2B2B2"/>
            </w:tcBorders>
          </w:tcPr>
          <w:p>
            <w:pPr>
              <w:jc w:val="right"/>
              <w:ind w:right="181"/>
              <w:spacing w:after="0" w:line="179" w:lineRule="exact"/>
              <w:rPr>
                <w:sz w:val="20"/>
                <w:szCs w:val="20"/>
                <w:color w:val="auto"/>
              </w:rPr>
            </w:pPr>
            <w:r>
              <w:rPr>
                <w:rFonts w:ascii="Arial" w:cs="Arial" w:eastAsia="Arial" w:hAnsi="Arial"/>
                <w:sz w:val="16"/>
                <w:szCs w:val="16"/>
                <w:color w:val="auto"/>
              </w:rPr>
              <w:t>1,900</w:t>
            </w:r>
          </w:p>
        </w:tc>
      </w:tr>
      <w:tr>
        <w:trPr>
          <w:trHeight w:val="179"/>
        </w:trPr>
        <w:tc>
          <w:tcPr>
            <w:tcW w:w="3380" w:type="dxa"/>
            <w:vAlign w:val="bottom"/>
            <w:tcBorders>
              <w:bottom w:val="single" w:sz="8" w:color="B2B2B2"/>
            </w:tcBorders>
          </w:tcPr>
          <w:p>
            <w:pPr>
              <w:ind w:left="180"/>
              <w:spacing w:after="0" w:line="179" w:lineRule="exact"/>
              <w:rPr>
                <w:sz w:val="20"/>
                <w:szCs w:val="20"/>
                <w:color w:val="auto"/>
              </w:rPr>
            </w:pPr>
            <w:r>
              <w:rPr>
                <w:rFonts w:ascii="Arial" w:cs="Arial" w:eastAsia="Arial" w:hAnsi="Arial"/>
                <w:sz w:val="16"/>
                <w:szCs w:val="16"/>
                <w:color w:val="auto"/>
              </w:rPr>
              <w:t>Tax &amp; Accounting Professionals</w:t>
            </w:r>
          </w:p>
        </w:tc>
        <w:tc>
          <w:tcPr>
            <w:tcW w:w="1140" w:type="dxa"/>
            <w:vAlign w:val="bottom"/>
            <w:tcBorders>
              <w:bottom w:val="single" w:sz="8" w:color="B2B2B2"/>
            </w:tcBorders>
          </w:tcPr>
          <w:p>
            <w:pPr>
              <w:jc w:val="right"/>
              <w:ind w:right="181"/>
              <w:spacing w:after="0" w:line="179" w:lineRule="exact"/>
              <w:rPr>
                <w:sz w:val="20"/>
                <w:szCs w:val="20"/>
                <w:color w:val="auto"/>
              </w:rPr>
            </w:pPr>
            <w:r>
              <w:rPr>
                <w:rFonts w:ascii="Arial" w:cs="Arial" w:eastAsia="Arial" w:hAnsi="Arial"/>
                <w:sz w:val="16"/>
                <w:szCs w:val="16"/>
                <w:color w:val="auto"/>
              </w:rPr>
              <w:t>1,300</w:t>
            </w:r>
          </w:p>
        </w:tc>
      </w:tr>
      <w:tr>
        <w:trPr>
          <w:trHeight w:val="179"/>
        </w:trPr>
        <w:tc>
          <w:tcPr>
            <w:tcW w:w="3380" w:type="dxa"/>
            <w:vAlign w:val="bottom"/>
            <w:tcBorders>
              <w:bottom w:val="single" w:sz="8" w:color="B2B2B2"/>
            </w:tcBorders>
          </w:tcPr>
          <w:p>
            <w:pPr>
              <w:ind w:left="180"/>
              <w:spacing w:after="0" w:line="179" w:lineRule="exact"/>
              <w:rPr>
                <w:sz w:val="20"/>
                <w:szCs w:val="20"/>
                <w:color w:val="auto"/>
              </w:rPr>
            </w:pPr>
            <w:r>
              <w:rPr>
                <w:rFonts w:ascii="Arial" w:cs="Arial" w:eastAsia="Arial" w:hAnsi="Arial"/>
                <w:sz w:val="16"/>
                <w:szCs w:val="16"/>
                <w:color w:val="auto"/>
              </w:rPr>
              <w:t>Global Print</w:t>
            </w:r>
          </w:p>
        </w:tc>
        <w:tc>
          <w:tcPr>
            <w:tcW w:w="1140" w:type="dxa"/>
            <w:vAlign w:val="bottom"/>
            <w:tcBorders>
              <w:bottom w:val="single" w:sz="8" w:color="B2B2B2"/>
            </w:tcBorders>
          </w:tcPr>
          <w:p>
            <w:pPr>
              <w:jc w:val="right"/>
              <w:ind w:right="181"/>
              <w:spacing w:after="0" w:line="179" w:lineRule="exact"/>
              <w:rPr>
                <w:sz w:val="20"/>
                <w:szCs w:val="20"/>
                <w:color w:val="auto"/>
              </w:rPr>
            </w:pPr>
            <w:r>
              <w:rPr>
                <w:rFonts w:ascii="Arial" w:cs="Arial" w:eastAsia="Arial" w:hAnsi="Arial"/>
                <w:sz w:val="16"/>
                <w:szCs w:val="16"/>
                <w:color w:val="auto"/>
              </w:rPr>
              <w:t>800</w:t>
            </w:r>
          </w:p>
        </w:tc>
      </w:tr>
      <w:tr>
        <w:trPr>
          <w:trHeight w:val="179"/>
        </w:trPr>
        <w:tc>
          <w:tcPr>
            <w:tcW w:w="3380" w:type="dxa"/>
            <w:vAlign w:val="bottom"/>
            <w:tcBorders>
              <w:bottom w:val="single" w:sz="8" w:color="B2B2B2"/>
            </w:tcBorders>
          </w:tcPr>
          <w:p>
            <w:pPr>
              <w:ind w:left="180"/>
              <w:spacing w:after="0" w:line="179" w:lineRule="exact"/>
              <w:rPr>
                <w:sz w:val="20"/>
                <w:szCs w:val="20"/>
                <w:color w:val="auto"/>
              </w:rPr>
            </w:pPr>
            <w:r>
              <w:rPr>
                <w:rFonts w:ascii="Arial" w:cs="Arial" w:eastAsia="Arial" w:hAnsi="Arial"/>
                <w:sz w:val="16"/>
                <w:szCs w:val="16"/>
                <w:color w:val="auto"/>
              </w:rPr>
              <w:t>Government</w:t>
            </w:r>
          </w:p>
        </w:tc>
        <w:tc>
          <w:tcPr>
            <w:tcW w:w="1140" w:type="dxa"/>
            <w:vAlign w:val="bottom"/>
            <w:tcBorders>
              <w:bottom w:val="single" w:sz="8" w:color="B2B2B2"/>
            </w:tcBorders>
          </w:tcPr>
          <w:p>
            <w:pPr>
              <w:jc w:val="right"/>
              <w:ind w:right="181"/>
              <w:spacing w:after="0" w:line="179" w:lineRule="exact"/>
              <w:rPr>
                <w:sz w:val="20"/>
                <w:szCs w:val="20"/>
                <w:color w:val="auto"/>
              </w:rPr>
            </w:pPr>
            <w:r>
              <w:rPr>
                <w:rFonts w:ascii="Arial" w:cs="Arial" w:eastAsia="Arial" w:hAnsi="Arial"/>
                <w:sz w:val="16"/>
                <w:szCs w:val="16"/>
                <w:color w:val="auto"/>
              </w:rPr>
              <w:t>650</w:t>
            </w:r>
          </w:p>
        </w:tc>
      </w:tr>
      <w:tr>
        <w:trPr>
          <w:trHeight w:val="179"/>
        </w:trPr>
        <w:tc>
          <w:tcPr>
            <w:tcW w:w="3380" w:type="dxa"/>
            <w:vAlign w:val="bottom"/>
            <w:tcBorders>
              <w:bottom w:val="single" w:sz="8" w:color="B2B2B2"/>
            </w:tcBorders>
          </w:tcPr>
          <w:p>
            <w:pPr>
              <w:ind w:left="180"/>
              <w:spacing w:after="0" w:line="179" w:lineRule="exact"/>
              <w:rPr>
                <w:sz w:val="20"/>
                <w:szCs w:val="20"/>
                <w:color w:val="auto"/>
              </w:rPr>
            </w:pPr>
            <w:r>
              <w:rPr>
                <w:rFonts w:ascii="Arial" w:cs="Arial" w:eastAsia="Arial" w:hAnsi="Arial"/>
                <w:sz w:val="16"/>
                <w:szCs w:val="16"/>
                <w:color w:val="auto"/>
              </w:rPr>
              <w:t>Reuters News</w:t>
            </w:r>
          </w:p>
        </w:tc>
        <w:tc>
          <w:tcPr>
            <w:tcW w:w="1140" w:type="dxa"/>
            <w:vAlign w:val="bottom"/>
            <w:tcBorders>
              <w:bottom w:val="single" w:sz="8" w:color="B2B2B2"/>
            </w:tcBorders>
          </w:tcPr>
          <w:p>
            <w:pPr>
              <w:jc w:val="right"/>
              <w:ind w:right="181"/>
              <w:spacing w:after="0" w:line="179" w:lineRule="exact"/>
              <w:rPr>
                <w:sz w:val="20"/>
                <w:szCs w:val="20"/>
                <w:color w:val="auto"/>
              </w:rPr>
            </w:pPr>
            <w:r>
              <w:rPr>
                <w:rFonts w:ascii="Arial" w:cs="Arial" w:eastAsia="Arial" w:hAnsi="Arial"/>
                <w:sz w:val="16"/>
                <w:szCs w:val="16"/>
                <w:color w:val="auto"/>
              </w:rPr>
              <w:t>3,500</w:t>
            </w:r>
          </w:p>
        </w:tc>
      </w:tr>
      <w:tr>
        <w:trPr>
          <w:trHeight w:val="179"/>
        </w:trPr>
        <w:tc>
          <w:tcPr>
            <w:tcW w:w="3380" w:type="dxa"/>
            <w:vAlign w:val="bottom"/>
            <w:tcBorders>
              <w:bottom w:val="single" w:sz="8" w:color="B2B2B2"/>
            </w:tcBorders>
          </w:tcPr>
          <w:p>
            <w:pPr>
              <w:ind w:left="180"/>
              <w:spacing w:after="0" w:line="179" w:lineRule="exact"/>
              <w:rPr>
                <w:sz w:val="20"/>
                <w:szCs w:val="20"/>
                <w:color w:val="auto"/>
              </w:rPr>
            </w:pPr>
            <w:r>
              <w:rPr>
                <w:rFonts w:ascii="Arial" w:cs="Arial" w:eastAsia="Arial" w:hAnsi="Arial"/>
                <w:sz w:val="16"/>
                <w:szCs w:val="16"/>
                <w:color w:val="auto"/>
              </w:rPr>
              <w:t>Product &amp; Editorial</w:t>
            </w:r>
          </w:p>
        </w:tc>
        <w:tc>
          <w:tcPr>
            <w:tcW w:w="1140" w:type="dxa"/>
            <w:vAlign w:val="bottom"/>
            <w:tcBorders>
              <w:bottom w:val="single" w:sz="8" w:color="B2B2B2"/>
            </w:tcBorders>
          </w:tcPr>
          <w:p>
            <w:pPr>
              <w:jc w:val="right"/>
              <w:ind w:right="181"/>
              <w:spacing w:after="0" w:line="179" w:lineRule="exact"/>
              <w:rPr>
                <w:sz w:val="20"/>
                <w:szCs w:val="20"/>
                <w:color w:val="auto"/>
              </w:rPr>
            </w:pPr>
            <w:r>
              <w:rPr>
                <w:rFonts w:ascii="Arial" w:cs="Arial" w:eastAsia="Arial" w:hAnsi="Arial"/>
                <w:sz w:val="16"/>
                <w:szCs w:val="16"/>
                <w:color w:val="auto"/>
              </w:rPr>
              <w:t>3,300</w:t>
            </w:r>
          </w:p>
        </w:tc>
      </w:tr>
      <w:tr>
        <w:trPr>
          <w:trHeight w:val="179"/>
        </w:trPr>
        <w:tc>
          <w:tcPr>
            <w:tcW w:w="3380" w:type="dxa"/>
            <w:vAlign w:val="bottom"/>
            <w:tcBorders>
              <w:bottom w:val="single" w:sz="8" w:color="B2B2B2"/>
            </w:tcBorders>
          </w:tcPr>
          <w:p>
            <w:pPr>
              <w:ind w:left="180"/>
              <w:spacing w:after="0" w:line="179" w:lineRule="exact"/>
              <w:rPr>
                <w:sz w:val="20"/>
                <w:szCs w:val="20"/>
                <w:color w:val="auto"/>
              </w:rPr>
            </w:pPr>
            <w:r>
              <w:rPr>
                <w:rFonts w:ascii="Arial" w:cs="Arial" w:eastAsia="Arial" w:hAnsi="Arial"/>
                <w:sz w:val="16"/>
                <w:szCs w:val="16"/>
                <w:color w:val="auto"/>
              </w:rPr>
              <w:t>Operations &amp; Technology</w:t>
            </w:r>
          </w:p>
        </w:tc>
        <w:tc>
          <w:tcPr>
            <w:tcW w:w="1140" w:type="dxa"/>
            <w:vAlign w:val="bottom"/>
            <w:tcBorders>
              <w:bottom w:val="single" w:sz="8" w:color="B2B2B2"/>
            </w:tcBorders>
          </w:tcPr>
          <w:p>
            <w:pPr>
              <w:jc w:val="right"/>
              <w:ind w:right="181"/>
              <w:spacing w:after="0" w:line="179" w:lineRule="exact"/>
              <w:rPr>
                <w:sz w:val="20"/>
                <w:szCs w:val="20"/>
                <w:color w:val="auto"/>
              </w:rPr>
            </w:pPr>
            <w:r>
              <w:rPr>
                <w:rFonts w:ascii="Arial" w:cs="Arial" w:eastAsia="Arial" w:hAnsi="Arial"/>
                <w:sz w:val="16"/>
                <w:szCs w:val="16"/>
                <w:color w:val="auto"/>
              </w:rPr>
              <w:t>9,100</w:t>
            </w:r>
          </w:p>
        </w:tc>
      </w:tr>
      <w:tr>
        <w:trPr>
          <w:trHeight w:val="179"/>
        </w:trPr>
        <w:tc>
          <w:tcPr>
            <w:tcW w:w="3380" w:type="dxa"/>
            <w:vAlign w:val="bottom"/>
            <w:tcBorders>
              <w:bottom w:val="single" w:sz="8" w:color="B2B2B2"/>
            </w:tcBorders>
          </w:tcPr>
          <w:p>
            <w:pPr>
              <w:ind w:left="180"/>
              <w:spacing w:after="0" w:line="179" w:lineRule="exact"/>
              <w:rPr>
                <w:sz w:val="20"/>
                <w:szCs w:val="20"/>
                <w:color w:val="auto"/>
              </w:rPr>
            </w:pPr>
            <w:r>
              <w:rPr>
                <w:rFonts w:ascii="Arial" w:cs="Arial" w:eastAsia="Arial" w:hAnsi="Arial"/>
                <w:sz w:val="16"/>
                <w:szCs w:val="16"/>
                <w:color w:val="auto"/>
              </w:rPr>
              <w:t>Corporate Center (Enabling Functions)</w:t>
            </w:r>
          </w:p>
        </w:tc>
        <w:tc>
          <w:tcPr>
            <w:tcW w:w="1140" w:type="dxa"/>
            <w:vAlign w:val="bottom"/>
            <w:tcBorders>
              <w:bottom w:val="single" w:sz="8" w:color="B2B2B2"/>
            </w:tcBorders>
          </w:tcPr>
          <w:p>
            <w:pPr>
              <w:jc w:val="right"/>
              <w:ind w:right="181"/>
              <w:spacing w:after="0" w:line="179" w:lineRule="exact"/>
              <w:rPr>
                <w:sz w:val="20"/>
                <w:szCs w:val="20"/>
                <w:color w:val="auto"/>
              </w:rPr>
            </w:pPr>
            <w:r>
              <w:rPr>
                <w:rFonts w:ascii="Arial" w:cs="Arial" w:eastAsia="Arial" w:hAnsi="Arial"/>
                <w:sz w:val="16"/>
                <w:szCs w:val="16"/>
                <w:color w:val="auto"/>
              </w:rPr>
              <w:t>1,300</w:t>
            </w:r>
          </w:p>
        </w:tc>
      </w:tr>
      <w:tr>
        <w:trPr>
          <w:trHeight w:val="179"/>
        </w:trPr>
        <w:tc>
          <w:tcPr>
            <w:tcW w:w="3380" w:type="dxa"/>
            <w:vAlign w:val="bottom"/>
            <w:tcBorders>
              <w:bottom w:val="single" w:sz="8" w:color="B2B2B2"/>
            </w:tcBorders>
          </w:tcPr>
          <w:p>
            <w:pPr>
              <w:ind w:left="180"/>
              <w:spacing w:after="0" w:line="179" w:lineRule="exact"/>
              <w:rPr>
                <w:sz w:val="20"/>
                <w:szCs w:val="20"/>
                <w:color w:val="auto"/>
              </w:rPr>
            </w:pPr>
            <w:r>
              <w:rPr>
                <w:rFonts w:ascii="Arial" w:cs="Arial" w:eastAsia="Arial" w:hAnsi="Arial"/>
                <w:sz w:val="16"/>
                <w:szCs w:val="16"/>
                <w:color w:val="auto"/>
              </w:rPr>
              <w:t>Commercial Functions</w:t>
            </w:r>
            <w:r>
              <w:rPr>
                <w:rFonts w:ascii="Arial" w:cs="Arial" w:eastAsia="Arial" w:hAnsi="Arial"/>
                <w:sz w:val="19"/>
                <w:szCs w:val="19"/>
                <w:color w:val="auto"/>
                <w:vertAlign w:val="superscript"/>
              </w:rPr>
              <w:t>(1)</w:t>
            </w:r>
          </w:p>
        </w:tc>
        <w:tc>
          <w:tcPr>
            <w:tcW w:w="1140" w:type="dxa"/>
            <w:vAlign w:val="bottom"/>
            <w:tcBorders>
              <w:bottom w:val="single" w:sz="8" w:color="B2B2B2"/>
            </w:tcBorders>
          </w:tcPr>
          <w:p>
            <w:pPr>
              <w:jc w:val="right"/>
              <w:ind w:right="181"/>
              <w:spacing w:after="0" w:line="179" w:lineRule="exact"/>
              <w:rPr>
                <w:sz w:val="20"/>
                <w:szCs w:val="20"/>
                <w:color w:val="auto"/>
              </w:rPr>
            </w:pPr>
            <w:r>
              <w:rPr>
                <w:rFonts w:ascii="Arial" w:cs="Arial" w:eastAsia="Arial" w:hAnsi="Arial"/>
                <w:sz w:val="16"/>
                <w:szCs w:val="16"/>
                <w:color w:val="auto"/>
              </w:rPr>
              <w:t>1,200</w:t>
            </w:r>
          </w:p>
        </w:tc>
      </w:tr>
      <w:tr>
        <w:trPr>
          <w:trHeight w:val="179"/>
        </w:trPr>
        <w:tc>
          <w:tcPr>
            <w:tcW w:w="3380" w:type="dxa"/>
            <w:vAlign w:val="bottom"/>
            <w:tcBorders>
              <w:bottom w:val="single" w:sz="8" w:color="B2B2B2"/>
            </w:tcBorders>
          </w:tcPr>
          <w:p>
            <w:pPr>
              <w:ind w:left="180"/>
              <w:spacing w:after="0" w:line="179" w:lineRule="exact"/>
              <w:rPr>
                <w:sz w:val="20"/>
                <w:szCs w:val="20"/>
                <w:color w:val="auto"/>
              </w:rPr>
            </w:pPr>
            <w:r>
              <w:rPr>
                <w:rFonts w:ascii="Arial" w:cs="Arial" w:eastAsia="Arial" w:hAnsi="Arial"/>
                <w:sz w:val="16"/>
                <w:szCs w:val="16"/>
                <w:color w:val="auto"/>
              </w:rPr>
              <w:t>Other</w:t>
            </w:r>
            <w:r>
              <w:rPr>
                <w:rFonts w:ascii="Arial" w:cs="Arial" w:eastAsia="Arial" w:hAnsi="Arial"/>
                <w:sz w:val="19"/>
                <w:szCs w:val="19"/>
                <w:color w:val="auto"/>
                <w:vertAlign w:val="superscript"/>
              </w:rPr>
              <w:t>(2)</w:t>
            </w:r>
          </w:p>
        </w:tc>
        <w:tc>
          <w:tcPr>
            <w:tcW w:w="1140" w:type="dxa"/>
            <w:vAlign w:val="bottom"/>
            <w:tcBorders>
              <w:bottom w:val="single" w:sz="8" w:color="B2B2B2"/>
            </w:tcBorders>
          </w:tcPr>
          <w:p>
            <w:pPr>
              <w:jc w:val="right"/>
              <w:ind w:right="181"/>
              <w:spacing w:after="0" w:line="179" w:lineRule="exact"/>
              <w:rPr>
                <w:sz w:val="20"/>
                <w:szCs w:val="20"/>
                <w:color w:val="auto"/>
              </w:rPr>
            </w:pPr>
            <w:r>
              <w:rPr>
                <w:rFonts w:ascii="Arial" w:cs="Arial" w:eastAsia="Arial" w:hAnsi="Arial"/>
                <w:sz w:val="16"/>
                <w:szCs w:val="16"/>
                <w:color w:val="auto"/>
              </w:rPr>
              <w:t>2,650</w:t>
            </w:r>
          </w:p>
        </w:tc>
      </w:tr>
      <w:tr>
        <w:trPr>
          <w:trHeight w:val="185"/>
        </w:trPr>
        <w:tc>
          <w:tcPr>
            <w:tcW w:w="338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b w:val="1"/>
                <w:bCs w:val="1"/>
                <w:color w:val="auto"/>
              </w:rPr>
              <w:t>Thomson Reuters</w:t>
            </w:r>
          </w:p>
        </w:tc>
        <w:tc>
          <w:tcPr>
            <w:tcW w:w="1140" w:type="dxa"/>
            <w:vAlign w:val="bottom"/>
            <w:tcBorders>
              <w:bottom w:val="single" w:sz="8" w:color="D64000"/>
            </w:tcBorders>
          </w:tcPr>
          <w:p>
            <w:pPr>
              <w:jc w:val="right"/>
              <w:ind w:right="181"/>
              <w:spacing w:after="0" w:line="179" w:lineRule="exact"/>
              <w:rPr>
                <w:sz w:val="20"/>
                <w:szCs w:val="20"/>
                <w:color w:val="auto"/>
              </w:rPr>
            </w:pPr>
            <w:r>
              <w:rPr>
                <w:rFonts w:ascii="Arial" w:cs="Arial" w:eastAsia="Arial" w:hAnsi="Arial"/>
                <w:sz w:val="16"/>
                <w:szCs w:val="16"/>
                <w:b w:val="1"/>
                <w:bCs w:val="1"/>
                <w:color w:val="auto"/>
              </w:rPr>
              <w:t>26,400</w:t>
            </w:r>
          </w:p>
        </w:tc>
      </w:tr>
    </w:tbl>
    <w:p>
      <w:pPr>
        <w:spacing w:after="0" w:line="83" w:lineRule="exact"/>
        <w:rPr>
          <w:sz w:val="20"/>
          <w:szCs w:val="20"/>
          <w:color w:val="auto"/>
        </w:rPr>
      </w:pPr>
    </w:p>
    <w:p>
      <w:pPr>
        <w:ind w:left="960" w:hanging="318"/>
        <w:spacing w:after="0"/>
        <w:tabs>
          <w:tab w:leader="none" w:pos="9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Reflects employees in Marketing, Commercial Excellence and Strategy.</w:t>
      </w:r>
    </w:p>
    <w:p>
      <w:pPr>
        <w:spacing w:after="0" w:line="12" w:lineRule="exact"/>
        <w:rPr>
          <w:rFonts w:ascii="Arial" w:cs="Arial" w:eastAsia="Arial" w:hAnsi="Arial"/>
          <w:sz w:val="14"/>
          <w:szCs w:val="14"/>
          <w:color w:val="auto"/>
        </w:rPr>
      </w:pPr>
    </w:p>
    <w:p>
      <w:pPr>
        <w:ind w:left="960" w:hanging="318"/>
        <w:spacing w:after="0"/>
        <w:tabs>
          <w:tab w:leader="none" w:pos="9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Reflects employees in our Latin America, Asia and Emerging Markets businesses.</w:t>
      </w:r>
    </w:p>
    <w:p>
      <w:pPr>
        <w:spacing w:after="0" w:line="64" w:lineRule="exact"/>
        <w:rPr>
          <w:sz w:val="20"/>
          <w:szCs w:val="20"/>
          <w:color w:val="auto"/>
        </w:rPr>
      </w:pPr>
    </w:p>
    <w:p>
      <w:pPr>
        <w:ind w:left="220" w:right="40"/>
        <w:spacing w:after="0" w:line="243" w:lineRule="auto"/>
        <w:rPr>
          <w:sz w:val="20"/>
          <w:szCs w:val="20"/>
          <w:color w:val="auto"/>
        </w:rPr>
      </w:pPr>
      <w:r>
        <w:rPr>
          <w:rFonts w:ascii="Arial" w:cs="Arial" w:eastAsia="Arial" w:hAnsi="Arial"/>
          <w:sz w:val="17"/>
          <w:szCs w:val="17"/>
          <w:color w:val="auto"/>
        </w:rPr>
        <w:t>We believe that we generally have good relations with our employees, unions and works councils, although we have had disputes from time to time with the various unions that represent some of our employees. Our senior management team is committed to maintaining good relations with our employees, unions and works councils.</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25"/>
          <w:szCs w:val="25"/>
          <w:b w:val="1"/>
          <w:bCs w:val="1"/>
          <w:i w:val="1"/>
          <w:iCs w:val="1"/>
          <w:color w:val="D64000"/>
        </w:rPr>
        <w:t>Overview</w:t>
      </w:r>
    </w:p>
    <w:p>
      <w:pPr>
        <w:spacing w:after="0" w:line="82" w:lineRule="exact"/>
        <w:rPr>
          <w:sz w:val="20"/>
          <w:szCs w:val="20"/>
          <w:color w:val="auto"/>
        </w:rPr>
      </w:pPr>
    </w:p>
    <w:p>
      <w:pPr>
        <w:ind w:left="220" w:right="20"/>
        <w:spacing w:after="0" w:line="258" w:lineRule="auto"/>
        <w:rPr>
          <w:sz w:val="20"/>
          <w:szCs w:val="20"/>
          <w:color w:val="auto"/>
        </w:rPr>
      </w:pPr>
      <w:r>
        <w:rPr>
          <w:rFonts w:ascii="Arial" w:cs="Arial" w:eastAsia="Arial" w:hAnsi="Arial"/>
          <w:sz w:val="16"/>
          <w:szCs w:val="16"/>
          <w:color w:val="auto"/>
        </w:rPr>
        <w:t>Our human capital practices and initiatives are designed to attract, develop and retain talented employees across all of our businesses around the globe, and ensure they feel valued, are provided with opportunities to grow, and are driven to succeed. We focus on a variety of human capital topics, such as compensation and benefits, culture and employee engagement, talent acquisition, learning and development, and inclusion and belonging. Over the last few years, oversight of human capital management has also been a key focus area for our Board of Directors.</w:t>
      </w:r>
    </w:p>
    <w:p>
      <w:pPr>
        <w:spacing w:after="0" w:line="44" w:lineRule="exact"/>
        <w:rPr>
          <w:sz w:val="20"/>
          <w:szCs w:val="20"/>
          <w:color w:val="auto"/>
        </w:rPr>
      </w:pPr>
    </w:p>
    <w:p>
      <w:pPr>
        <w:ind w:left="220" w:right="80"/>
        <w:spacing w:after="0" w:line="233" w:lineRule="auto"/>
        <w:rPr>
          <w:sz w:val="20"/>
          <w:szCs w:val="20"/>
          <w:color w:val="auto"/>
        </w:rPr>
      </w:pPr>
      <w:r>
        <w:rPr>
          <w:rFonts w:ascii="Arial" w:cs="Arial" w:eastAsia="Arial" w:hAnsi="Arial"/>
          <w:sz w:val="17"/>
          <w:szCs w:val="17"/>
          <w:color w:val="auto"/>
        </w:rPr>
        <w:t>Our talent priorities continue to focus on addressing shifting organizational needs and business realities. In an AI-enabled world, jobs are changing rapidly and continuously. Our talent strategy in turn must also be agile, flexible and proactive. Our focus is on helping employees build skills necessary for an AI-enabled future and supporting their career growth. We continued our series of company-wide Learning Days this year, focusing events on integrating AI into day-to-day work, strengthening business acumen and building greater knowledge about our evolving product portfolio and customers. We also increased our commitment to career development with the launch of Grow My Way, an initiative to support career growth in our dynamic work environment. Its purpose is to support individuals’ skill development and enable leaders to deploy talent to meet rapidly changing business needs. Our journey with building AI capabilities for all employees continued at scale this year. In 2024, a substantial number of our colleagues regularly used AI tools, surpassing our initial expectations.</w:t>
      </w:r>
    </w:p>
    <w:p>
      <w:pPr>
        <w:spacing w:after="0" w:line="45" w:lineRule="exact"/>
        <w:rPr>
          <w:sz w:val="20"/>
          <w:szCs w:val="20"/>
          <w:color w:val="auto"/>
        </w:rPr>
      </w:pPr>
    </w:p>
    <w:p>
      <w:pPr>
        <w:ind w:left="220" w:right="60"/>
        <w:spacing w:after="0" w:line="238" w:lineRule="auto"/>
        <w:rPr>
          <w:sz w:val="20"/>
          <w:szCs w:val="20"/>
          <w:color w:val="auto"/>
        </w:rPr>
      </w:pPr>
      <w:r>
        <w:rPr>
          <w:rFonts w:ascii="Arial" w:cs="Arial" w:eastAsia="Arial" w:hAnsi="Arial"/>
          <w:sz w:val="17"/>
          <w:szCs w:val="17"/>
          <w:color w:val="auto"/>
        </w:rPr>
        <w:t>Supporting people leaders remains a priority. In 2024, we launched Managing at TR, an onboarding program to support new managers and equip them with essential tools and skills. More than 700 managers participated globally, with 93% finding it a valuable investment of their time. Another area of focus has been building cross-cultural understanding, driven by our organization’s global footprint and teams that span multiple locations and time zones.</w:t>
      </w:r>
    </w:p>
    <w:p>
      <w:pPr>
        <w:spacing w:after="0" w:line="59" w:lineRule="exact"/>
        <w:rPr>
          <w:sz w:val="20"/>
          <w:szCs w:val="20"/>
          <w:color w:val="auto"/>
        </w:rPr>
      </w:pPr>
    </w:p>
    <w:p>
      <w:pPr>
        <w:ind w:left="220" w:right="120"/>
        <w:spacing w:after="0" w:line="243" w:lineRule="auto"/>
        <w:rPr>
          <w:sz w:val="20"/>
          <w:szCs w:val="20"/>
          <w:color w:val="auto"/>
        </w:rPr>
      </w:pPr>
      <w:r>
        <w:rPr>
          <w:rFonts w:ascii="Arial" w:cs="Arial" w:eastAsia="Arial" w:hAnsi="Arial"/>
          <w:sz w:val="17"/>
          <w:szCs w:val="17"/>
          <w:color w:val="auto"/>
        </w:rPr>
        <w:t>Our investments in skill development and career growth are yielding positive results in terms of employee sentiment. In our most recent organizational health survey, the scores for questions about learning and innovation rose, with more than 70% of employees feeling that they are building skills for the future and growing professionally at Thomson Reuters.</w:t>
      </w:r>
    </w:p>
    <w:p>
      <w:pPr>
        <w:spacing w:after="0" w:line="55" w:lineRule="exact"/>
        <w:rPr>
          <w:sz w:val="20"/>
          <w:szCs w:val="20"/>
          <w:color w:val="auto"/>
        </w:rPr>
      </w:pPr>
    </w:p>
    <w:p>
      <w:pPr>
        <w:ind w:left="220" w:right="100"/>
        <w:spacing w:after="0" w:line="238" w:lineRule="auto"/>
        <w:rPr>
          <w:sz w:val="20"/>
          <w:szCs w:val="20"/>
          <w:color w:val="auto"/>
        </w:rPr>
      </w:pPr>
      <w:r>
        <w:rPr>
          <w:rFonts w:ascii="Arial" w:cs="Arial" w:eastAsia="Arial" w:hAnsi="Arial"/>
          <w:sz w:val="17"/>
          <w:szCs w:val="17"/>
          <w:color w:val="auto"/>
        </w:rPr>
        <w:t>While we voluntarily publish numerous human capital-related metrics and data in our securities filings and on our website (notably in our Social Impact &amp; ESG Report), some metrics and data are not publicly disclosed due to competitive considerations. We expect that human capital management will continue to be an important focus area in the future for management and the Board because it ensures solid stewardship of our organization, supports important societal objectives, and is key to ensuring strategic advantage in the marketplace.</w:t>
      </w:r>
    </w:p>
    <w:p>
      <w:pPr>
        <w:spacing w:after="0" w:line="46" w:lineRule="exact"/>
        <w:rPr>
          <w:sz w:val="20"/>
          <w:szCs w:val="20"/>
          <w:color w:val="auto"/>
        </w:rPr>
      </w:pPr>
    </w:p>
    <w:p>
      <w:pPr>
        <w:ind w:left="220" w:right="220"/>
        <w:spacing w:after="0" w:line="260" w:lineRule="auto"/>
        <w:rPr>
          <w:sz w:val="20"/>
          <w:szCs w:val="20"/>
          <w:color w:val="auto"/>
        </w:rPr>
      </w:pPr>
      <w:r>
        <w:rPr>
          <w:rFonts w:ascii="Arial" w:cs="Arial" w:eastAsia="Arial" w:hAnsi="Arial"/>
          <w:sz w:val="17"/>
          <w:szCs w:val="17"/>
          <w:color w:val="auto"/>
        </w:rPr>
        <w:t>For additional information regarding some of our human capital management practices, please see the “Environmental, Social and Governance (ESG)” section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90170</wp:posOffset>
            </wp:positionV>
            <wp:extent cx="68656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9"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12</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Environmental, Social and Governance (ESG)</w:t>
      </w:r>
    </w:p>
    <w:p>
      <w:pPr>
        <w:spacing w:after="0" w:line="84" w:lineRule="exact"/>
        <w:rPr>
          <w:sz w:val="20"/>
          <w:szCs w:val="20"/>
          <w:color w:val="auto"/>
        </w:rPr>
      </w:pPr>
    </w:p>
    <w:p>
      <w:pPr>
        <w:ind w:left="220" w:right="60"/>
        <w:spacing w:after="0" w:line="235" w:lineRule="auto"/>
        <w:rPr>
          <w:sz w:val="20"/>
          <w:szCs w:val="20"/>
          <w:color w:val="auto"/>
        </w:rPr>
      </w:pPr>
      <w:r>
        <w:rPr>
          <w:rFonts w:ascii="Arial" w:cs="Arial" w:eastAsia="Arial" w:hAnsi="Arial"/>
          <w:sz w:val="17"/>
          <w:szCs w:val="17"/>
          <w:color w:val="auto"/>
        </w:rPr>
        <w:t>Our company is dedicated to serving institutions and businesses that keep the wheels of commerce turning, uphold justice and taxation systems, fight fraud, support law enforcement and report on world events with impartiality, as an important source of unbiased news globally. We pursue ESG initiatives because they contribute to value creation for our customers, employees, shareholders and other stakeholders. The Board and its committees oversee different ESG-related areas that are of the greatest importance to the organization and our stakeholders to achieve our long-term strategic objectives. Ultimately, though, our ESG-related initiatives require employees who take on responsibility for them and are empowered to achieve them.</w:t>
      </w:r>
    </w:p>
    <w:p>
      <w:pPr>
        <w:spacing w:after="0" w:line="57" w:lineRule="exact"/>
        <w:rPr>
          <w:sz w:val="20"/>
          <w:szCs w:val="20"/>
          <w:color w:val="auto"/>
        </w:rPr>
      </w:pPr>
    </w:p>
    <w:p>
      <w:pPr>
        <w:jc w:val="both"/>
        <w:ind w:left="220" w:right="100"/>
        <w:spacing w:after="0" w:line="243" w:lineRule="auto"/>
        <w:rPr>
          <w:sz w:val="20"/>
          <w:szCs w:val="20"/>
          <w:color w:val="auto"/>
        </w:rPr>
      </w:pPr>
      <w:r>
        <w:rPr>
          <w:rFonts w:ascii="Arial" w:cs="Arial" w:eastAsia="Arial" w:hAnsi="Arial"/>
          <w:sz w:val="17"/>
          <w:szCs w:val="17"/>
          <w:color w:val="auto"/>
        </w:rPr>
        <w:t>Our ESG-related workstreams include sustainability, inclusion and belonging, community relations and volunteerism. ESG factors are considered in our Enterprise Risk Management (ERM) processes. Our financial support of the Thomson Reuters Foundation also contributes to our ongoing ESG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66040</wp:posOffset>
            </wp:positionV>
            <wp:extent cx="6873875" cy="563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73875" cy="563880"/>
                    </a:xfrm>
                    <a:prstGeom prst="rect">
                      <a:avLst/>
                    </a:prstGeom>
                    <a:noFill/>
                  </pic:spPr>
                </pic:pic>
              </a:graphicData>
            </a:graphic>
          </wp:anchor>
        </w:drawing>
      </w:r>
    </w:p>
    <w:p>
      <w:pPr>
        <w:spacing w:after="0" w:line="128" w:lineRule="exact"/>
        <w:rPr>
          <w:sz w:val="20"/>
          <w:szCs w:val="20"/>
          <w:color w:val="auto"/>
        </w:rPr>
      </w:pPr>
    </w:p>
    <w:p>
      <w:pPr>
        <w:ind w:left="540" w:right="160"/>
        <w:spacing w:after="0" w:line="241" w:lineRule="auto"/>
        <w:rPr>
          <w:sz w:val="20"/>
          <w:szCs w:val="20"/>
          <w:color w:val="auto"/>
        </w:rPr>
      </w:pPr>
      <w:r>
        <w:rPr>
          <w:rFonts w:ascii="Arial" w:cs="Arial" w:eastAsia="Arial" w:hAnsi="Arial"/>
          <w:sz w:val="17"/>
          <w:szCs w:val="17"/>
          <w:b w:val="1"/>
          <w:bCs w:val="1"/>
          <w:color w:val="auto"/>
        </w:rPr>
        <w:t>We post a Social Impact &amp; ESG Report annually on our website, www.tr.com/social-impact-report, which summarizes our strategy, includes stories of progress and tracks performance, tying our efforts to our business strategy and commercial expertise. We encourage you to review the Social Impact &amp; ESG Report to gain a better understanding of our accomplishments and practices in these areas.</w:t>
      </w:r>
    </w:p>
    <w:p>
      <w:pPr>
        <w:spacing w:after="0" w:line="142" w:lineRule="exact"/>
        <w:rPr>
          <w:sz w:val="20"/>
          <w:szCs w:val="20"/>
          <w:color w:val="auto"/>
        </w:rPr>
      </w:pPr>
    </w:p>
    <w:p>
      <w:pPr>
        <w:ind w:left="220" w:right="180"/>
        <w:spacing w:after="0" w:line="236" w:lineRule="auto"/>
        <w:rPr>
          <w:sz w:val="20"/>
          <w:szCs w:val="20"/>
          <w:color w:val="auto"/>
        </w:rPr>
      </w:pPr>
      <w:r>
        <w:rPr>
          <w:rFonts w:ascii="Arial" w:cs="Arial" w:eastAsia="Arial" w:hAnsi="Arial"/>
          <w:sz w:val="17"/>
          <w:szCs w:val="17"/>
          <w:color w:val="auto"/>
        </w:rPr>
        <w:t xml:space="preserve">We believe in the power of collaboration with the international business community, so we are signatories of the United Nations Global Compact (UNGC), a non-binding United Nations (U.N.) pact to encourage businesses and firms worldwide to adopt sustainable and socially responsible policies. We are actively partnering to advance the Sustainable Development Goals, particularly SDG 16 – </w:t>
      </w:r>
      <w:r>
        <w:rPr>
          <w:rFonts w:ascii="Arial" w:cs="Arial" w:eastAsia="Arial" w:hAnsi="Arial"/>
          <w:sz w:val="17"/>
          <w:szCs w:val="17"/>
          <w:i w:val="1"/>
          <w:iCs w:val="1"/>
          <w:color w:val="auto"/>
        </w:rPr>
        <w:t>Peace, Justice and Strong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Institutions. </w:t>
      </w:r>
      <w:r>
        <w:rPr>
          <w:rFonts w:ascii="Arial" w:cs="Arial" w:eastAsia="Arial" w:hAnsi="Arial"/>
          <w:sz w:val="17"/>
          <w:szCs w:val="17"/>
          <w:color w:val="auto"/>
        </w:rPr>
        <w:t>We are also aligned with the United Nations Guiding Principles on Business and Human Rights (UNGPs), which augment our</w:t>
      </w:r>
      <w:r>
        <w:rPr>
          <w:rFonts w:ascii="Arial" w:cs="Arial" w:eastAsia="Arial" w:hAnsi="Arial"/>
          <w:sz w:val="17"/>
          <w:szCs w:val="17"/>
          <w:i w:val="1"/>
          <w:iCs w:val="1"/>
          <w:color w:val="auto"/>
        </w:rPr>
        <w:t xml:space="preserve"> </w:t>
      </w:r>
      <w:r>
        <w:rPr>
          <w:rFonts w:ascii="Arial" w:cs="Arial" w:eastAsia="Arial" w:hAnsi="Arial"/>
          <w:sz w:val="17"/>
          <w:szCs w:val="17"/>
          <w:color w:val="auto"/>
        </w:rPr>
        <w:t>longstanding commitment to the UNGC, the U.N. Declaration on Human Rights, and other international standards.</w:t>
      </w:r>
    </w:p>
    <w:p>
      <w:pPr>
        <w:spacing w:after="0" w:line="59" w:lineRule="exact"/>
        <w:rPr>
          <w:sz w:val="20"/>
          <w:szCs w:val="20"/>
          <w:color w:val="auto"/>
        </w:rPr>
      </w:pPr>
    </w:p>
    <w:p>
      <w:pPr>
        <w:ind w:left="220" w:right="40"/>
        <w:spacing w:after="0" w:line="236" w:lineRule="auto"/>
        <w:rPr>
          <w:sz w:val="20"/>
          <w:szCs w:val="20"/>
          <w:color w:val="auto"/>
        </w:rPr>
      </w:pPr>
      <w:r>
        <w:rPr>
          <w:rFonts w:ascii="Arial" w:cs="Arial" w:eastAsia="Arial" w:hAnsi="Arial"/>
          <w:sz w:val="17"/>
          <w:szCs w:val="17"/>
          <w:color w:val="auto"/>
        </w:rPr>
        <w:t>In 2024, we continued work to update our ESG materiality assessment to comply with new global regulations. This assessment is helping us identify and prioritize the ESG issues that are most likely to impact our business and stakeholders in the short and long-term. We also completed our first 3-year human rights impact assessment (HRIA) and roadmap in 2024. Finally, in March 2023, we released our human rights policy, which informs our colleagues, customers, shareholders and those in the communities where we operate and do business, of our commitment and approach to human rights.</w:t>
      </w:r>
    </w:p>
    <w:p>
      <w:pPr>
        <w:spacing w:after="0" w:line="46" w:lineRule="exact"/>
        <w:rPr>
          <w:sz w:val="20"/>
          <w:szCs w:val="20"/>
          <w:color w:val="auto"/>
        </w:rPr>
      </w:pPr>
    </w:p>
    <w:p>
      <w:pPr>
        <w:ind w:left="220" w:right="300"/>
        <w:spacing w:after="0" w:line="260" w:lineRule="auto"/>
        <w:rPr>
          <w:sz w:val="20"/>
          <w:szCs w:val="20"/>
          <w:color w:val="auto"/>
        </w:rPr>
      </w:pPr>
      <w:r>
        <w:rPr>
          <w:rFonts w:ascii="Arial" w:cs="Arial" w:eastAsia="Arial" w:hAnsi="Arial"/>
          <w:sz w:val="17"/>
          <w:szCs w:val="17"/>
          <w:color w:val="auto"/>
        </w:rPr>
        <w:t>Our 2024 Social Impact &amp; ESG Report, which we anticipate publishing later in 2025, will contain more information about our ESG strategy and results and will be available on our website at tr.com.</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25"/>
          <w:szCs w:val="25"/>
          <w:b w:val="1"/>
          <w:bCs w:val="1"/>
          <w:i w:val="1"/>
          <w:iCs w:val="1"/>
          <w:color w:val="D64000"/>
        </w:rPr>
        <w:t>Environmental Practices</w:t>
      </w:r>
    </w:p>
    <w:p>
      <w:pPr>
        <w:spacing w:after="0" w:line="55" w:lineRule="exact"/>
        <w:rPr>
          <w:sz w:val="20"/>
          <w:szCs w:val="20"/>
          <w:color w:val="auto"/>
        </w:rPr>
      </w:pPr>
    </w:p>
    <w:p>
      <w:pPr>
        <w:ind w:left="220" w:right="80"/>
        <w:spacing w:after="0" w:line="258" w:lineRule="auto"/>
        <w:rPr>
          <w:sz w:val="20"/>
          <w:szCs w:val="20"/>
          <w:color w:val="auto"/>
        </w:rPr>
      </w:pPr>
      <w:r>
        <w:rPr>
          <w:rFonts w:ascii="Arial" w:cs="Arial" w:eastAsia="Arial" w:hAnsi="Arial"/>
          <w:sz w:val="16"/>
          <w:szCs w:val="16"/>
          <w:color w:val="auto"/>
        </w:rPr>
        <w:t>We aim to continue to reduce our environmental impact globally. We continue to source renewable energy for 100% of our operations. We have achieved this largely through the purchase of renewable power by matching our electricity usage with renewable energy credits acquired around the world. We are also working closely with our suppliers to drive lower emissions within our supply chain. We will continue to measure and manage our own emissions and environmental impacts and continue to identify ways to further assess, monitor and improve our carbon footprint.</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25"/>
          <w:szCs w:val="25"/>
          <w:b w:val="1"/>
          <w:bCs w:val="1"/>
          <w:i w:val="1"/>
          <w:iCs w:val="1"/>
          <w:color w:val="D64000"/>
        </w:rPr>
        <w:t>Social Practices</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9"/>
          <w:szCs w:val="19"/>
          <w:i w:val="1"/>
          <w:iCs w:val="1"/>
          <w:color w:val="auto"/>
        </w:rPr>
        <w:t>Our values and culture</w:t>
      </w:r>
    </w:p>
    <w:p>
      <w:pPr>
        <w:spacing w:after="0" w:line="76" w:lineRule="exact"/>
        <w:rPr>
          <w:sz w:val="20"/>
          <w:szCs w:val="20"/>
          <w:color w:val="auto"/>
        </w:rPr>
      </w:pPr>
    </w:p>
    <w:p>
      <w:pPr>
        <w:ind w:left="220" w:right="60"/>
        <w:spacing w:after="0" w:line="243" w:lineRule="auto"/>
        <w:rPr>
          <w:sz w:val="20"/>
          <w:szCs w:val="20"/>
          <w:color w:val="auto"/>
        </w:rPr>
      </w:pPr>
      <w:r>
        <w:rPr>
          <w:rFonts w:ascii="Arial" w:cs="Arial" w:eastAsia="Arial" w:hAnsi="Arial"/>
          <w:sz w:val="17"/>
          <w:szCs w:val="17"/>
          <w:color w:val="auto"/>
        </w:rPr>
        <w:t>At Thomson Reuters, our team is committed to solving big challenges for our customers and supporting skill-building for colleagues to thrive in an AI-enabled future. In 2025, we introduced new company values that are rooted in our purpose to Inform the Way Forward and the Thomson Reuters Trust Principles. These values elevate us to a higher standard of customer excellence, product innovation, teamwork and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83185</wp:posOffset>
            </wp:positionV>
            <wp:extent cx="6865620" cy="22885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6562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13</w:t>
      </w:r>
    </w:p>
    <w:p>
      <w:pPr>
        <w:sectPr>
          <w:pgSz w:w="11900" w:h="16838" w:orient="portrait"/>
          <w:cols w:equalWidth="0" w:num="1">
            <w:col w:w="11040"/>
          </w:cols>
          <w:pgMar w:left="320" w:top="477" w:right="5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19" w:lineRule="exact"/>
        <w:rPr>
          <w:sz w:val="20"/>
          <w:szCs w:val="20"/>
          <w:color w:val="auto"/>
        </w:rPr>
      </w:pPr>
    </w:p>
    <w:p>
      <w:pPr>
        <w:ind w:left="220"/>
        <w:spacing w:after="0"/>
        <w:rPr>
          <w:sz w:val="20"/>
          <w:szCs w:val="20"/>
          <w:color w:val="auto"/>
        </w:rPr>
      </w:pPr>
      <w:r>
        <w:rPr>
          <w:rFonts w:ascii="Arial" w:cs="Arial" w:eastAsia="Arial" w:hAnsi="Arial"/>
          <w:sz w:val="19"/>
          <w:szCs w:val="19"/>
          <w:i w:val="1"/>
          <w:iCs w:val="1"/>
          <w:color w:val="auto"/>
        </w:rPr>
        <w:t>Inclusion and Belonging</w:t>
      </w:r>
    </w:p>
    <w:p>
      <w:pPr>
        <w:spacing w:after="0" w:line="63" w:lineRule="exact"/>
        <w:rPr>
          <w:sz w:val="20"/>
          <w:szCs w:val="20"/>
          <w:color w:val="auto"/>
        </w:rPr>
      </w:pPr>
    </w:p>
    <w:p>
      <w:pPr>
        <w:ind w:left="220" w:right="20"/>
        <w:spacing w:after="0" w:line="243" w:lineRule="auto"/>
        <w:rPr>
          <w:sz w:val="20"/>
          <w:szCs w:val="20"/>
          <w:color w:val="auto"/>
        </w:rPr>
      </w:pPr>
      <w:r>
        <w:rPr>
          <w:rFonts w:ascii="Arial" w:cs="Arial" w:eastAsia="Arial" w:hAnsi="Arial"/>
          <w:sz w:val="17"/>
          <w:szCs w:val="17"/>
          <w:color w:val="auto"/>
        </w:rPr>
        <w:t>As a global company with employees located around the world, inclusion and belonging are core to our purpose and values, fostering an inclusive workplace where people with varied backgrounds, perspectives and experiences can grow and thrive. We believe this gives us access to the broadest talent pool, leads to better decision-making and fosters greater innovation.</w:t>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9"/>
          <w:szCs w:val="19"/>
          <w:i w:val="1"/>
          <w:iCs w:val="1"/>
          <w:color w:val="auto"/>
        </w:rPr>
        <w:t>Health and Wellbeing</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Our people remain our greatest asset, and we are steadfast in our commitment to fostering a supportive and empowering workplace environment.</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offer employee benefit plans, tools, resources, and workplace practices that promote mental, physical, financial, and social well-being.</w:t>
      </w:r>
    </w:p>
    <w:p>
      <w:pPr>
        <w:spacing w:after="0" w:line="54" w:lineRule="exact"/>
        <w:rPr>
          <w:sz w:val="20"/>
          <w:szCs w:val="20"/>
          <w:color w:val="auto"/>
        </w:rPr>
      </w:pPr>
    </w:p>
    <w:p>
      <w:pPr>
        <w:ind w:left="220" w:right="80"/>
        <w:spacing w:after="0" w:line="238" w:lineRule="auto"/>
        <w:rPr>
          <w:sz w:val="20"/>
          <w:szCs w:val="20"/>
          <w:color w:val="auto"/>
        </w:rPr>
      </w:pPr>
      <w:r>
        <w:rPr>
          <w:rFonts w:ascii="Arial" w:cs="Arial" w:eastAsia="Arial" w:hAnsi="Arial"/>
          <w:sz w:val="17"/>
          <w:szCs w:val="17"/>
          <w:color w:val="auto"/>
        </w:rPr>
        <w:t>Central to our employee experience is a strong focus on mental health and wellbeing. Our Mindful Leadership Training is a key component of our Managing at TR program, ensuring that all new managers are equipped to lead effectively. Additionally, we offer global resources such as employee assistance programs, meditation apps, and mindfulness discussions, highlighted during our May and October Mental Health campaigns.</w:t>
      </w:r>
    </w:p>
    <w:p>
      <w:pPr>
        <w:spacing w:after="0" w:line="59" w:lineRule="exact"/>
        <w:rPr>
          <w:sz w:val="20"/>
          <w:szCs w:val="20"/>
          <w:color w:val="auto"/>
        </w:rPr>
      </w:pPr>
    </w:p>
    <w:p>
      <w:pPr>
        <w:jc w:val="both"/>
        <w:ind w:left="220" w:right="200"/>
        <w:spacing w:after="0" w:line="236" w:lineRule="auto"/>
        <w:rPr>
          <w:sz w:val="20"/>
          <w:szCs w:val="20"/>
          <w:color w:val="auto"/>
        </w:rPr>
      </w:pPr>
      <w:r>
        <w:rPr>
          <w:rFonts w:ascii="Arial" w:cs="Arial" w:eastAsia="Arial" w:hAnsi="Arial"/>
          <w:sz w:val="17"/>
          <w:szCs w:val="17"/>
          <w:color w:val="auto"/>
        </w:rPr>
        <w:t>Thomson Reuters upholds its commitment to flexibility through our hybrid working policy and the “Flex My Way” initiative. These global flexible workplace policies enable employees to balance family and customer needs effectively. With offerings like Bereavement Leave, Caregiver Paid Time Off, Sabbatical Leave, Parental Leave, Work From Anywhere policy, and local paid and unpaid time off policies, we ensure our employees can take the time they need, when they need it. Together, these efforts underline our unwavering dedication to cultivating a physically, mentally, financially and socially healthy workplace for all.</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9"/>
          <w:szCs w:val="19"/>
          <w:i w:val="1"/>
          <w:iCs w:val="1"/>
          <w:color w:val="auto"/>
        </w:rPr>
        <w:t>Community and Social Impact</w:t>
      </w:r>
    </w:p>
    <w:p>
      <w:pPr>
        <w:spacing w:after="0" w:line="76" w:lineRule="exact"/>
        <w:rPr>
          <w:sz w:val="20"/>
          <w:szCs w:val="20"/>
          <w:color w:val="auto"/>
        </w:rPr>
      </w:pPr>
    </w:p>
    <w:p>
      <w:pPr>
        <w:ind w:left="220" w:right="20"/>
        <w:spacing w:after="0" w:line="235" w:lineRule="auto"/>
        <w:rPr>
          <w:sz w:val="20"/>
          <w:szCs w:val="20"/>
          <w:color w:val="auto"/>
        </w:rPr>
      </w:pPr>
      <w:r>
        <w:rPr>
          <w:rFonts w:ascii="Arial" w:cs="Arial" w:eastAsia="Arial" w:hAnsi="Arial"/>
          <w:sz w:val="17"/>
          <w:szCs w:val="17"/>
          <w:color w:val="auto"/>
        </w:rPr>
        <w:t>Thomson Reuters annually provides 16 hours of paid volunteer time off (VTO) to every employee and provides an additional 20 hours of paid VTO to a subset of employees with law degrees to provide legal pro bono aid to not-for-profit organizations. In 2024, our employees logged a total of over 51,000 volunteer hours and over 9,000 hours in total pro bono support to not-for-profit organizations around the world. In addition to VTO, Thomson Reuters offers a global Corporate Match program to match eligible employee donations as well as a Volunteer Rewards Program in which an employee earns corporate funding for reaching 20 hours of volunteering. In 2024, donations by our employees together with our corporate matching and rewards donations totaled approximately $2 million to over 1,900 not-for-profits in 26 countries.</w:t>
      </w:r>
    </w:p>
    <w:p>
      <w:pPr>
        <w:spacing w:after="0" w:line="57" w:lineRule="exact"/>
        <w:rPr>
          <w:sz w:val="20"/>
          <w:szCs w:val="20"/>
          <w:color w:val="auto"/>
        </w:rPr>
      </w:pPr>
    </w:p>
    <w:p>
      <w:pPr>
        <w:ind w:left="220" w:right="40"/>
        <w:spacing w:after="0" w:line="243" w:lineRule="auto"/>
        <w:rPr>
          <w:sz w:val="20"/>
          <w:szCs w:val="20"/>
          <w:color w:val="auto"/>
        </w:rPr>
      </w:pPr>
      <w:r>
        <w:rPr>
          <w:rFonts w:ascii="Arial" w:cs="Arial" w:eastAsia="Arial" w:hAnsi="Arial"/>
          <w:sz w:val="17"/>
          <w:szCs w:val="17"/>
          <w:color w:val="auto"/>
        </w:rPr>
        <w:t>Finally, we provide some of our products and services free of charge to various not-for-profit organizations to support their initiatives. For example, Thomson Reuters has provided access to our CLEAR product to the National Center for Missing and Exploited Children since 2010. We also provide our Westlaw, Practical Law and HighQ products to various not-for-profit organizations.</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9"/>
          <w:szCs w:val="19"/>
          <w:i w:val="1"/>
          <w:iCs w:val="1"/>
          <w:color w:val="auto"/>
        </w:rPr>
        <w:t>The Thomson Reuters Foundation</w:t>
      </w:r>
    </w:p>
    <w:p>
      <w:pPr>
        <w:spacing w:after="0" w:line="76" w:lineRule="exact"/>
        <w:rPr>
          <w:sz w:val="20"/>
          <w:szCs w:val="20"/>
          <w:color w:val="auto"/>
        </w:rPr>
      </w:pPr>
    </w:p>
    <w:p>
      <w:pPr>
        <w:ind w:left="220" w:right="100"/>
        <w:spacing w:after="0" w:line="258" w:lineRule="auto"/>
        <w:rPr>
          <w:sz w:val="20"/>
          <w:szCs w:val="20"/>
          <w:color w:val="auto"/>
        </w:rPr>
      </w:pPr>
      <w:r>
        <w:rPr>
          <w:rFonts w:ascii="Arial" w:cs="Arial" w:eastAsia="Arial" w:hAnsi="Arial"/>
          <w:sz w:val="16"/>
          <w:szCs w:val="16"/>
          <w:color w:val="auto"/>
        </w:rPr>
        <w:t>The Thomson Reuters Foundation works to bolster the resilience of independent media, strengthen access to the law and promote responsible business practices. It leverages its unique combination of media and legal expertise, together with data intelligence, to inform, connect, and empower professionals and civil society to strengthen free, fair and informed societies. It delivers its work through capacity-building programmes, legal support, research, news, data-driven products and events, including its flagship annual forum, the Trust Conference.</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xml:space="preserve">Additional information on the Foundation can be found at </w:t>
      </w:r>
      <w:r>
        <w:rPr>
          <w:rFonts w:ascii="Arial" w:cs="Arial" w:eastAsia="Arial" w:hAnsi="Arial"/>
          <w:sz w:val="17"/>
          <w:szCs w:val="17"/>
          <w:color w:val="D64000"/>
        </w:rPr>
        <w:t>www.trust.org</w:t>
      </w:r>
      <w:r>
        <w:rPr>
          <w:rFonts w:ascii="Arial" w:cs="Arial" w:eastAsia="Arial" w:hAnsi="Arial"/>
          <w:sz w:val="17"/>
          <w:szCs w:val="17"/>
          <w:color w:val="auto"/>
        </w:rPr>
        <w:t>.</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25"/>
          <w:szCs w:val="25"/>
          <w:b w:val="1"/>
          <w:bCs w:val="1"/>
          <w:i w:val="1"/>
          <w:iCs w:val="1"/>
          <w:color w:val="D64000"/>
        </w:rPr>
        <w:t>Governance Practices</w:t>
      </w:r>
    </w:p>
    <w:p>
      <w:pPr>
        <w:spacing w:after="0" w:line="82" w:lineRule="exact"/>
        <w:rPr>
          <w:sz w:val="20"/>
          <w:szCs w:val="20"/>
          <w:color w:val="auto"/>
        </w:rPr>
      </w:pPr>
    </w:p>
    <w:p>
      <w:pPr>
        <w:ind w:left="220" w:right="180"/>
        <w:spacing w:after="0" w:line="243" w:lineRule="auto"/>
        <w:rPr>
          <w:sz w:val="20"/>
          <w:szCs w:val="20"/>
          <w:color w:val="auto"/>
        </w:rPr>
      </w:pPr>
      <w:r>
        <w:rPr>
          <w:rFonts w:ascii="Arial" w:cs="Arial" w:eastAsia="Arial" w:hAnsi="Arial"/>
          <w:sz w:val="17"/>
          <w:szCs w:val="17"/>
          <w:color w:val="auto"/>
        </w:rPr>
        <w:t>Our Board and its committees oversee ESG initiatives. The Corporate Governance Committee of the Board evaluates our ESG strategy and progress and is updated regularly by our management. We remain committed to our values and ethics through our governance practices, which include our Code of Business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99695</wp:posOffset>
            </wp:positionV>
            <wp:extent cx="68656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5"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14</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209550</wp:posOffset>
            </wp:positionV>
            <wp:extent cx="7016750" cy="2801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16750" cy="280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Properties and Facilities</w:t>
      </w:r>
    </w:p>
    <w:p>
      <w:pPr>
        <w:spacing w:after="0" w:line="84" w:lineRule="exact"/>
        <w:rPr>
          <w:sz w:val="20"/>
          <w:szCs w:val="20"/>
          <w:color w:val="auto"/>
        </w:rPr>
      </w:pPr>
    </w:p>
    <w:p>
      <w:pPr>
        <w:ind w:left="220" w:right="20"/>
        <w:spacing w:after="0" w:line="243" w:lineRule="auto"/>
        <w:rPr>
          <w:sz w:val="20"/>
          <w:szCs w:val="20"/>
          <w:color w:val="auto"/>
        </w:rPr>
      </w:pPr>
      <w:r>
        <w:rPr>
          <w:rFonts w:ascii="Arial" w:cs="Arial" w:eastAsia="Arial" w:hAnsi="Arial"/>
          <w:sz w:val="17"/>
          <w:szCs w:val="17"/>
          <w:color w:val="auto"/>
        </w:rPr>
        <w:t>We own and lease office space and facilities around the world to support our businesses. We believe that our properties are in good condition and are adequate and suitable for our present purposes. The following table provides summary information about our principal properties as of December 31, 2024.</w:t>
      </w:r>
    </w:p>
    <w:p>
      <w:pPr>
        <w:spacing w:after="0" w:line="223" w:lineRule="exact"/>
        <w:rPr>
          <w:sz w:val="20"/>
          <w:szCs w:val="20"/>
          <w:color w:val="auto"/>
        </w:rPr>
      </w:pPr>
    </w:p>
    <w:tbl>
      <w:tblPr>
        <w:tblLayout w:type="fixed"/>
        <w:tblInd w:w="220" w:type="dxa"/>
        <w:tblCellMar>
          <w:top w:w="0" w:type="dxa"/>
          <w:left w:w="0" w:type="dxa"/>
          <w:bottom w:w="0" w:type="dxa"/>
          <w:right w:w="0" w:type="dxa"/>
        </w:tblCellMar>
      </w:tblPr>
      <w:tr>
        <w:trPr>
          <w:trHeight w:val="316"/>
        </w:trPr>
        <w:tc>
          <w:tcPr>
            <w:tcW w:w="2700" w:type="dxa"/>
            <w:vAlign w:val="bottom"/>
            <w:tcBorders>
              <w:bottom w:val="single" w:sz="8" w:color="262626"/>
            </w:tcBorders>
            <w:shd w:val="clear" w:color="auto" w:fill="262626"/>
          </w:tcPr>
          <w:p>
            <w:pPr>
              <w:ind w:left="80"/>
              <w:spacing w:after="0"/>
              <w:rPr>
                <w:sz w:val="20"/>
                <w:szCs w:val="20"/>
                <w:color w:val="auto"/>
              </w:rPr>
            </w:pPr>
            <w:r>
              <w:rPr>
                <w:rFonts w:ascii="Arial" w:cs="Arial" w:eastAsia="Arial" w:hAnsi="Arial"/>
                <w:sz w:val="16"/>
                <w:szCs w:val="16"/>
                <w:color w:val="FFFFFF"/>
              </w:rPr>
              <w:t>Facility</w:t>
            </w:r>
          </w:p>
        </w:tc>
        <w:tc>
          <w:tcPr>
            <w:tcW w:w="1520" w:type="dxa"/>
            <w:vAlign w:val="bottom"/>
            <w:tcBorders>
              <w:bottom w:val="single" w:sz="8" w:color="262626"/>
            </w:tcBorders>
            <w:shd w:val="clear" w:color="auto" w:fill="262626"/>
          </w:tcPr>
          <w:p>
            <w:pPr>
              <w:ind w:left="140"/>
              <w:spacing w:after="0"/>
              <w:rPr>
                <w:sz w:val="20"/>
                <w:szCs w:val="20"/>
                <w:color w:val="auto"/>
              </w:rPr>
            </w:pPr>
            <w:r>
              <w:rPr>
                <w:rFonts w:ascii="Arial" w:cs="Arial" w:eastAsia="Arial" w:hAnsi="Arial"/>
                <w:sz w:val="16"/>
                <w:szCs w:val="16"/>
                <w:color w:val="FFFFFF"/>
              </w:rPr>
              <w:t>Approx. Sq. Ft.</w:t>
            </w:r>
          </w:p>
        </w:tc>
        <w:tc>
          <w:tcPr>
            <w:tcW w:w="1640" w:type="dxa"/>
            <w:vAlign w:val="bottom"/>
            <w:tcBorders>
              <w:bottom w:val="single" w:sz="8" w:color="262626"/>
            </w:tcBorders>
            <w:shd w:val="clear" w:color="auto" w:fill="262626"/>
          </w:tcPr>
          <w:p>
            <w:pPr>
              <w:ind w:left="320"/>
              <w:spacing w:after="0"/>
              <w:rPr>
                <w:sz w:val="20"/>
                <w:szCs w:val="20"/>
                <w:color w:val="auto"/>
              </w:rPr>
            </w:pPr>
            <w:r>
              <w:rPr>
                <w:rFonts w:ascii="Arial" w:cs="Arial" w:eastAsia="Arial" w:hAnsi="Arial"/>
                <w:sz w:val="16"/>
                <w:szCs w:val="16"/>
                <w:color w:val="FFFFFF"/>
              </w:rPr>
              <w:t>Owned/Leased</w:t>
            </w:r>
          </w:p>
        </w:tc>
        <w:tc>
          <w:tcPr>
            <w:tcW w:w="4940" w:type="dxa"/>
            <w:vAlign w:val="bottom"/>
            <w:tcBorders>
              <w:bottom w:val="single" w:sz="8" w:color="262626"/>
            </w:tcBorders>
            <w:shd w:val="clear" w:color="auto" w:fill="262626"/>
          </w:tcPr>
          <w:p>
            <w:pPr>
              <w:ind w:left="200"/>
              <w:spacing w:after="0"/>
              <w:rPr>
                <w:sz w:val="20"/>
                <w:szCs w:val="20"/>
                <w:color w:val="auto"/>
              </w:rPr>
            </w:pPr>
            <w:r>
              <w:rPr>
                <w:rFonts w:ascii="Arial" w:cs="Arial" w:eastAsia="Arial" w:hAnsi="Arial"/>
                <w:sz w:val="16"/>
                <w:szCs w:val="16"/>
                <w:color w:val="FFFFFF"/>
              </w:rPr>
              <w:t>Principal Use</w:t>
            </w:r>
          </w:p>
        </w:tc>
      </w:tr>
      <w:tr>
        <w:trPr>
          <w:trHeight w:val="224"/>
        </w:trPr>
        <w:tc>
          <w:tcPr>
            <w:tcW w:w="2700" w:type="dxa"/>
            <w:vAlign w:val="bottom"/>
            <w:tcBorders>
              <w:top w:val="single" w:sz="8" w:color="D64000"/>
            </w:tcBorders>
          </w:tcPr>
          <w:p>
            <w:pPr>
              <w:ind w:left="80"/>
              <w:spacing w:after="0"/>
              <w:rPr>
                <w:sz w:val="20"/>
                <w:szCs w:val="20"/>
                <w:color w:val="auto"/>
              </w:rPr>
            </w:pPr>
            <w:r>
              <w:rPr>
                <w:rFonts w:ascii="Arial" w:cs="Arial" w:eastAsia="Arial" w:hAnsi="Arial"/>
                <w:sz w:val="16"/>
                <w:szCs w:val="16"/>
                <w:color w:val="auto"/>
              </w:rPr>
              <w:t>610 Opperman Drive,</w:t>
            </w:r>
          </w:p>
        </w:tc>
        <w:tc>
          <w:tcPr>
            <w:tcW w:w="1520" w:type="dxa"/>
            <w:vAlign w:val="bottom"/>
            <w:tcBorders>
              <w:top w:val="single" w:sz="8" w:color="D64000"/>
            </w:tcBorders>
          </w:tcPr>
          <w:p>
            <w:pPr>
              <w:ind w:left="140"/>
              <w:spacing w:after="0"/>
              <w:rPr>
                <w:sz w:val="20"/>
                <w:szCs w:val="20"/>
                <w:color w:val="auto"/>
              </w:rPr>
            </w:pPr>
            <w:r>
              <w:rPr>
                <w:rFonts w:ascii="Arial" w:cs="Arial" w:eastAsia="Arial" w:hAnsi="Arial"/>
                <w:sz w:val="16"/>
                <w:szCs w:val="16"/>
                <w:color w:val="auto"/>
              </w:rPr>
              <w:t>1,331,130</w:t>
            </w:r>
          </w:p>
        </w:tc>
        <w:tc>
          <w:tcPr>
            <w:tcW w:w="1640" w:type="dxa"/>
            <w:vAlign w:val="bottom"/>
            <w:tcBorders>
              <w:top w:val="single" w:sz="8" w:color="D64000"/>
            </w:tcBorders>
          </w:tcPr>
          <w:p>
            <w:pPr>
              <w:ind w:left="320"/>
              <w:spacing w:after="0"/>
              <w:rPr>
                <w:sz w:val="20"/>
                <w:szCs w:val="20"/>
                <w:color w:val="auto"/>
              </w:rPr>
            </w:pPr>
            <w:r>
              <w:rPr>
                <w:rFonts w:ascii="Arial" w:cs="Arial" w:eastAsia="Arial" w:hAnsi="Arial"/>
                <w:sz w:val="16"/>
                <w:szCs w:val="16"/>
                <w:color w:val="auto"/>
              </w:rPr>
              <w:t>Owned</w:t>
            </w:r>
          </w:p>
        </w:tc>
        <w:tc>
          <w:tcPr>
            <w:tcW w:w="4940" w:type="dxa"/>
            <w:vAlign w:val="bottom"/>
            <w:tcBorders>
              <w:top w:val="single" w:sz="8" w:color="D64000"/>
            </w:tcBorders>
          </w:tcPr>
          <w:p>
            <w:pPr>
              <w:ind w:left="200"/>
              <w:spacing w:after="0"/>
              <w:rPr>
                <w:sz w:val="20"/>
                <w:szCs w:val="20"/>
                <w:color w:val="auto"/>
              </w:rPr>
            </w:pPr>
            <w:r>
              <w:rPr>
                <w:rFonts w:ascii="Arial" w:cs="Arial" w:eastAsia="Arial" w:hAnsi="Arial"/>
                <w:sz w:val="16"/>
                <w:szCs w:val="16"/>
                <w:color w:val="auto"/>
              </w:rPr>
              <w:t>Global Print operating facility</w:t>
            </w:r>
          </w:p>
        </w:tc>
      </w:tr>
      <w:tr>
        <w:trPr>
          <w:trHeight w:val="185"/>
        </w:trPr>
        <w:tc>
          <w:tcPr>
            <w:tcW w:w="2700" w:type="dxa"/>
            <w:vAlign w:val="bottom"/>
          </w:tcPr>
          <w:p>
            <w:pPr>
              <w:ind w:left="80"/>
              <w:spacing w:after="0"/>
              <w:rPr>
                <w:sz w:val="20"/>
                <w:szCs w:val="20"/>
                <w:color w:val="auto"/>
              </w:rPr>
            </w:pPr>
            <w:r>
              <w:rPr>
                <w:rFonts w:ascii="Arial" w:cs="Arial" w:eastAsia="Arial" w:hAnsi="Arial"/>
                <w:sz w:val="16"/>
                <w:szCs w:val="16"/>
                <w:color w:val="auto"/>
              </w:rPr>
              <w:t>Eagan, Minnesota,</w:t>
            </w:r>
          </w:p>
        </w:tc>
        <w:tc>
          <w:tcPr>
            <w:tcW w:w="15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940" w:type="dxa"/>
            <w:vAlign w:val="bottom"/>
          </w:tcPr>
          <w:p>
            <w:pPr>
              <w:spacing w:after="0"/>
              <w:rPr>
                <w:sz w:val="16"/>
                <w:szCs w:val="16"/>
                <w:color w:val="auto"/>
              </w:rPr>
            </w:pPr>
          </w:p>
        </w:tc>
      </w:tr>
      <w:tr>
        <w:trPr>
          <w:trHeight w:val="210"/>
        </w:trPr>
        <w:tc>
          <w:tcPr>
            <w:tcW w:w="2700" w:type="dxa"/>
            <w:vAlign w:val="bottom"/>
          </w:tcPr>
          <w:p>
            <w:pPr>
              <w:ind w:left="80"/>
              <w:spacing w:after="0"/>
              <w:rPr>
                <w:sz w:val="20"/>
                <w:szCs w:val="20"/>
                <w:color w:val="auto"/>
              </w:rPr>
            </w:pPr>
            <w:r>
              <w:rPr>
                <w:rFonts w:ascii="Arial" w:cs="Arial" w:eastAsia="Arial" w:hAnsi="Arial"/>
                <w:sz w:val="16"/>
                <w:szCs w:val="16"/>
                <w:color w:val="auto"/>
              </w:rPr>
              <w:t>United States</w:t>
            </w:r>
          </w:p>
        </w:tc>
        <w:tc>
          <w:tcPr>
            <w:tcW w:w="1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109"/>
        </w:trPr>
        <w:tc>
          <w:tcPr>
            <w:tcW w:w="2700" w:type="dxa"/>
            <w:vAlign w:val="bottom"/>
            <w:tcBorders>
              <w:bottom w:val="single" w:sz="8" w:color="B2B2B2"/>
            </w:tcBorders>
          </w:tcPr>
          <w:p>
            <w:pPr>
              <w:spacing w:after="0"/>
              <w:rPr>
                <w:sz w:val="9"/>
                <w:szCs w:val="9"/>
                <w:color w:val="auto"/>
              </w:rPr>
            </w:pPr>
          </w:p>
        </w:tc>
        <w:tc>
          <w:tcPr>
            <w:tcW w:w="1520" w:type="dxa"/>
            <w:vAlign w:val="bottom"/>
            <w:tcBorders>
              <w:bottom w:val="single" w:sz="8" w:color="B2B2B2"/>
            </w:tcBorders>
          </w:tcPr>
          <w:p>
            <w:pPr>
              <w:spacing w:after="0"/>
              <w:rPr>
                <w:sz w:val="9"/>
                <w:szCs w:val="9"/>
                <w:color w:val="auto"/>
              </w:rPr>
            </w:pPr>
          </w:p>
        </w:tc>
        <w:tc>
          <w:tcPr>
            <w:tcW w:w="1640" w:type="dxa"/>
            <w:vAlign w:val="bottom"/>
            <w:tcBorders>
              <w:bottom w:val="single" w:sz="8" w:color="B2B2B2"/>
            </w:tcBorders>
          </w:tcPr>
          <w:p>
            <w:pPr>
              <w:spacing w:after="0"/>
              <w:rPr>
                <w:sz w:val="9"/>
                <w:szCs w:val="9"/>
                <w:color w:val="auto"/>
              </w:rPr>
            </w:pPr>
          </w:p>
        </w:tc>
        <w:tc>
          <w:tcPr>
            <w:tcW w:w="4940" w:type="dxa"/>
            <w:vAlign w:val="bottom"/>
            <w:tcBorders>
              <w:bottom w:val="single" w:sz="8" w:color="B2B2B2"/>
            </w:tcBorders>
          </w:tcPr>
          <w:p>
            <w:pPr>
              <w:spacing w:after="0"/>
              <w:rPr>
                <w:sz w:val="9"/>
                <w:szCs w:val="9"/>
                <w:color w:val="auto"/>
              </w:rPr>
            </w:pPr>
          </w:p>
        </w:tc>
      </w:tr>
      <w:tr>
        <w:trPr>
          <w:trHeight w:val="218"/>
        </w:trPr>
        <w:tc>
          <w:tcPr>
            <w:tcW w:w="2700" w:type="dxa"/>
            <w:vAlign w:val="bottom"/>
          </w:tcPr>
          <w:p>
            <w:pPr>
              <w:ind w:left="80"/>
              <w:spacing w:after="0"/>
              <w:rPr>
                <w:sz w:val="20"/>
                <w:szCs w:val="20"/>
                <w:color w:val="auto"/>
              </w:rPr>
            </w:pPr>
            <w:r>
              <w:rPr>
                <w:rFonts w:ascii="Arial" w:cs="Arial" w:eastAsia="Arial" w:hAnsi="Arial"/>
                <w:sz w:val="16"/>
                <w:szCs w:val="16"/>
                <w:color w:val="auto"/>
              </w:rPr>
              <w:t>2900 Ames Crossing Rd.</w:t>
            </w:r>
          </w:p>
        </w:tc>
        <w:tc>
          <w:tcPr>
            <w:tcW w:w="1520" w:type="dxa"/>
            <w:vAlign w:val="bottom"/>
          </w:tcPr>
          <w:p>
            <w:pPr>
              <w:ind w:left="140"/>
              <w:spacing w:after="0"/>
              <w:rPr>
                <w:sz w:val="20"/>
                <w:szCs w:val="20"/>
                <w:color w:val="auto"/>
              </w:rPr>
            </w:pPr>
            <w:r>
              <w:rPr>
                <w:rFonts w:ascii="Arial" w:cs="Arial" w:eastAsia="Arial" w:hAnsi="Arial"/>
                <w:sz w:val="16"/>
                <w:szCs w:val="16"/>
                <w:color w:val="auto"/>
              </w:rPr>
              <w:t>308,070</w:t>
            </w:r>
          </w:p>
        </w:tc>
        <w:tc>
          <w:tcPr>
            <w:tcW w:w="1640" w:type="dxa"/>
            <w:vAlign w:val="bottom"/>
          </w:tcPr>
          <w:p>
            <w:pPr>
              <w:ind w:left="320"/>
              <w:spacing w:after="0"/>
              <w:rPr>
                <w:sz w:val="20"/>
                <w:szCs w:val="20"/>
                <w:color w:val="auto"/>
              </w:rPr>
            </w:pPr>
            <w:r>
              <w:rPr>
                <w:rFonts w:ascii="Arial" w:cs="Arial" w:eastAsia="Arial" w:hAnsi="Arial"/>
                <w:sz w:val="16"/>
                <w:szCs w:val="16"/>
                <w:color w:val="auto"/>
              </w:rPr>
              <w:t>Subleased</w:t>
            </w:r>
          </w:p>
        </w:tc>
        <w:tc>
          <w:tcPr>
            <w:tcW w:w="4940" w:type="dxa"/>
            <w:vAlign w:val="bottom"/>
          </w:tcPr>
          <w:p>
            <w:pPr>
              <w:ind w:left="200"/>
              <w:spacing w:after="0"/>
              <w:rPr>
                <w:sz w:val="20"/>
                <w:szCs w:val="20"/>
                <w:color w:val="auto"/>
              </w:rPr>
            </w:pPr>
            <w:r>
              <w:rPr>
                <w:rFonts w:ascii="Arial" w:cs="Arial" w:eastAsia="Arial" w:hAnsi="Arial"/>
                <w:sz w:val="16"/>
                <w:szCs w:val="16"/>
                <w:color w:val="auto"/>
              </w:rPr>
              <w:t>Legal Professionals operating facility</w:t>
            </w:r>
          </w:p>
        </w:tc>
      </w:tr>
      <w:tr>
        <w:trPr>
          <w:trHeight w:val="185"/>
        </w:trPr>
        <w:tc>
          <w:tcPr>
            <w:tcW w:w="2700" w:type="dxa"/>
            <w:vAlign w:val="bottom"/>
          </w:tcPr>
          <w:p>
            <w:pPr>
              <w:ind w:left="80"/>
              <w:spacing w:after="0"/>
              <w:rPr>
                <w:sz w:val="20"/>
                <w:szCs w:val="20"/>
                <w:color w:val="auto"/>
              </w:rPr>
            </w:pPr>
            <w:r>
              <w:rPr>
                <w:rFonts w:ascii="Arial" w:cs="Arial" w:eastAsia="Arial" w:hAnsi="Arial"/>
                <w:sz w:val="16"/>
                <w:szCs w:val="16"/>
                <w:color w:val="auto"/>
              </w:rPr>
              <w:t>Eagan, Minnesota,</w:t>
            </w:r>
          </w:p>
        </w:tc>
        <w:tc>
          <w:tcPr>
            <w:tcW w:w="15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940" w:type="dxa"/>
            <w:vAlign w:val="bottom"/>
          </w:tcPr>
          <w:p>
            <w:pPr>
              <w:spacing w:after="0"/>
              <w:rPr>
                <w:sz w:val="16"/>
                <w:szCs w:val="16"/>
                <w:color w:val="auto"/>
              </w:rPr>
            </w:pPr>
          </w:p>
        </w:tc>
      </w:tr>
      <w:tr>
        <w:trPr>
          <w:trHeight w:val="210"/>
        </w:trPr>
        <w:tc>
          <w:tcPr>
            <w:tcW w:w="2700" w:type="dxa"/>
            <w:vAlign w:val="bottom"/>
          </w:tcPr>
          <w:p>
            <w:pPr>
              <w:ind w:left="80"/>
              <w:spacing w:after="0"/>
              <w:rPr>
                <w:sz w:val="20"/>
                <w:szCs w:val="20"/>
                <w:color w:val="auto"/>
              </w:rPr>
            </w:pPr>
            <w:r>
              <w:rPr>
                <w:rFonts w:ascii="Arial" w:cs="Arial" w:eastAsia="Arial" w:hAnsi="Arial"/>
                <w:sz w:val="16"/>
                <w:szCs w:val="16"/>
                <w:color w:val="auto"/>
              </w:rPr>
              <w:t>United States</w:t>
            </w:r>
          </w:p>
        </w:tc>
        <w:tc>
          <w:tcPr>
            <w:tcW w:w="1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109"/>
        </w:trPr>
        <w:tc>
          <w:tcPr>
            <w:tcW w:w="2700" w:type="dxa"/>
            <w:vAlign w:val="bottom"/>
            <w:tcBorders>
              <w:bottom w:val="single" w:sz="8" w:color="B2B2B2"/>
            </w:tcBorders>
          </w:tcPr>
          <w:p>
            <w:pPr>
              <w:spacing w:after="0"/>
              <w:rPr>
                <w:sz w:val="9"/>
                <w:szCs w:val="9"/>
                <w:color w:val="auto"/>
              </w:rPr>
            </w:pPr>
          </w:p>
        </w:tc>
        <w:tc>
          <w:tcPr>
            <w:tcW w:w="1520" w:type="dxa"/>
            <w:vAlign w:val="bottom"/>
            <w:tcBorders>
              <w:bottom w:val="single" w:sz="8" w:color="B2B2B2"/>
            </w:tcBorders>
          </w:tcPr>
          <w:p>
            <w:pPr>
              <w:spacing w:after="0"/>
              <w:rPr>
                <w:sz w:val="9"/>
                <w:szCs w:val="9"/>
                <w:color w:val="auto"/>
              </w:rPr>
            </w:pPr>
          </w:p>
        </w:tc>
        <w:tc>
          <w:tcPr>
            <w:tcW w:w="1640" w:type="dxa"/>
            <w:vAlign w:val="bottom"/>
            <w:tcBorders>
              <w:bottom w:val="single" w:sz="8" w:color="B2B2B2"/>
            </w:tcBorders>
          </w:tcPr>
          <w:p>
            <w:pPr>
              <w:spacing w:after="0"/>
              <w:rPr>
                <w:sz w:val="9"/>
                <w:szCs w:val="9"/>
                <w:color w:val="auto"/>
              </w:rPr>
            </w:pPr>
          </w:p>
        </w:tc>
        <w:tc>
          <w:tcPr>
            <w:tcW w:w="4940" w:type="dxa"/>
            <w:vAlign w:val="bottom"/>
            <w:tcBorders>
              <w:bottom w:val="single" w:sz="8" w:color="B2B2B2"/>
            </w:tcBorders>
          </w:tcPr>
          <w:p>
            <w:pPr>
              <w:spacing w:after="0"/>
              <w:rPr>
                <w:sz w:val="9"/>
                <w:szCs w:val="9"/>
                <w:color w:val="auto"/>
              </w:rPr>
            </w:pPr>
          </w:p>
        </w:tc>
      </w:tr>
      <w:tr>
        <w:trPr>
          <w:trHeight w:val="218"/>
        </w:trPr>
        <w:tc>
          <w:tcPr>
            <w:tcW w:w="2700" w:type="dxa"/>
            <w:vAlign w:val="bottom"/>
          </w:tcPr>
          <w:p>
            <w:pPr>
              <w:ind w:left="80"/>
              <w:spacing w:after="0"/>
              <w:rPr>
                <w:sz w:val="20"/>
                <w:szCs w:val="20"/>
                <w:color w:val="auto"/>
              </w:rPr>
            </w:pPr>
            <w:r>
              <w:rPr>
                <w:rFonts w:ascii="Arial" w:cs="Arial" w:eastAsia="Arial" w:hAnsi="Arial"/>
                <w:sz w:val="16"/>
                <w:szCs w:val="16"/>
                <w:color w:val="auto"/>
              </w:rPr>
              <w:t>6300 Interfirst Drive,</w:t>
            </w:r>
          </w:p>
        </w:tc>
        <w:tc>
          <w:tcPr>
            <w:tcW w:w="1520" w:type="dxa"/>
            <w:vAlign w:val="bottom"/>
          </w:tcPr>
          <w:p>
            <w:pPr>
              <w:ind w:left="140"/>
              <w:spacing w:after="0"/>
              <w:rPr>
                <w:sz w:val="20"/>
                <w:szCs w:val="20"/>
                <w:color w:val="auto"/>
              </w:rPr>
            </w:pPr>
            <w:r>
              <w:rPr>
                <w:rFonts w:ascii="Arial" w:cs="Arial" w:eastAsia="Arial" w:hAnsi="Arial"/>
                <w:sz w:val="16"/>
                <w:szCs w:val="16"/>
                <w:color w:val="auto"/>
              </w:rPr>
              <w:t>247,210</w:t>
            </w:r>
          </w:p>
        </w:tc>
        <w:tc>
          <w:tcPr>
            <w:tcW w:w="1640" w:type="dxa"/>
            <w:vAlign w:val="bottom"/>
          </w:tcPr>
          <w:p>
            <w:pPr>
              <w:ind w:left="320"/>
              <w:spacing w:after="0"/>
              <w:rPr>
                <w:sz w:val="20"/>
                <w:szCs w:val="20"/>
                <w:color w:val="auto"/>
              </w:rPr>
            </w:pPr>
            <w:r>
              <w:rPr>
                <w:rFonts w:ascii="Arial" w:cs="Arial" w:eastAsia="Arial" w:hAnsi="Arial"/>
                <w:sz w:val="16"/>
                <w:szCs w:val="16"/>
                <w:color w:val="auto"/>
              </w:rPr>
              <w:t>Owned</w:t>
            </w:r>
          </w:p>
        </w:tc>
        <w:tc>
          <w:tcPr>
            <w:tcW w:w="4940" w:type="dxa"/>
            <w:vAlign w:val="bottom"/>
          </w:tcPr>
          <w:p>
            <w:pPr>
              <w:ind w:left="200"/>
              <w:spacing w:after="0"/>
              <w:rPr>
                <w:sz w:val="20"/>
                <w:szCs w:val="20"/>
                <w:color w:val="auto"/>
              </w:rPr>
            </w:pPr>
            <w:r>
              <w:rPr>
                <w:rFonts w:ascii="Arial" w:cs="Arial" w:eastAsia="Arial" w:hAnsi="Arial"/>
                <w:sz w:val="16"/>
                <w:szCs w:val="16"/>
                <w:color w:val="auto"/>
              </w:rPr>
              <w:t>Tax &amp; Accounting Professionals operating facility</w:t>
            </w:r>
          </w:p>
        </w:tc>
      </w:tr>
      <w:tr>
        <w:trPr>
          <w:trHeight w:val="185"/>
        </w:trPr>
        <w:tc>
          <w:tcPr>
            <w:tcW w:w="2700" w:type="dxa"/>
            <w:vAlign w:val="bottom"/>
          </w:tcPr>
          <w:p>
            <w:pPr>
              <w:ind w:left="80"/>
              <w:spacing w:after="0"/>
              <w:rPr>
                <w:sz w:val="20"/>
                <w:szCs w:val="20"/>
                <w:color w:val="auto"/>
              </w:rPr>
            </w:pPr>
            <w:r>
              <w:rPr>
                <w:rFonts w:ascii="Arial" w:cs="Arial" w:eastAsia="Arial" w:hAnsi="Arial"/>
                <w:sz w:val="16"/>
                <w:szCs w:val="16"/>
                <w:color w:val="auto"/>
              </w:rPr>
              <w:t>Ann Arbor, Michigan,</w:t>
            </w:r>
          </w:p>
        </w:tc>
        <w:tc>
          <w:tcPr>
            <w:tcW w:w="15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940" w:type="dxa"/>
            <w:vAlign w:val="bottom"/>
          </w:tcPr>
          <w:p>
            <w:pPr>
              <w:spacing w:after="0"/>
              <w:rPr>
                <w:sz w:val="16"/>
                <w:szCs w:val="16"/>
                <w:color w:val="auto"/>
              </w:rPr>
            </w:pPr>
          </w:p>
        </w:tc>
      </w:tr>
      <w:tr>
        <w:trPr>
          <w:trHeight w:val="210"/>
        </w:trPr>
        <w:tc>
          <w:tcPr>
            <w:tcW w:w="2700" w:type="dxa"/>
            <w:vAlign w:val="bottom"/>
          </w:tcPr>
          <w:p>
            <w:pPr>
              <w:ind w:left="80"/>
              <w:spacing w:after="0"/>
              <w:rPr>
                <w:sz w:val="20"/>
                <w:szCs w:val="20"/>
                <w:color w:val="auto"/>
              </w:rPr>
            </w:pPr>
            <w:r>
              <w:rPr>
                <w:rFonts w:ascii="Arial" w:cs="Arial" w:eastAsia="Arial" w:hAnsi="Arial"/>
                <w:sz w:val="16"/>
                <w:szCs w:val="16"/>
                <w:color w:val="auto"/>
              </w:rPr>
              <w:t>United States</w:t>
            </w:r>
          </w:p>
        </w:tc>
        <w:tc>
          <w:tcPr>
            <w:tcW w:w="1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109"/>
        </w:trPr>
        <w:tc>
          <w:tcPr>
            <w:tcW w:w="2700" w:type="dxa"/>
            <w:vAlign w:val="bottom"/>
            <w:tcBorders>
              <w:bottom w:val="single" w:sz="8" w:color="B2B2B2"/>
            </w:tcBorders>
          </w:tcPr>
          <w:p>
            <w:pPr>
              <w:spacing w:after="0"/>
              <w:rPr>
                <w:sz w:val="9"/>
                <w:szCs w:val="9"/>
                <w:color w:val="auto"/>
              </w:rPr>
            </w:pPr>
          </w:p>
        </w:tc>
        <w:tc>
          <w:tcPr>
            <w:tcW w:w="1520" w:type="dxa"/>
            <w:vAlign w:val="bottom"/>
            <w:tcBorders>
              <w:bottom w:val="single" w:sz="8" w:color="B2B2B2"/>
            </w:tcBorders>
          </w:tcPr>
          <w:p>
            <w:pPr>
              <w:spacing w:after="0"/>
              <w:rPr>
                <w:sz w:val="9"/>
                <w:szCs w:val="9"/>
                <w:color w:val="auto"/>
              </w:rPr>
            </w:pPr>
          </w:p>
        </w:tc>
        <w:tc>
          <w:tcPr>
            <w:tcW w:w="1640" w:type="dxa"/>
            <w:vAlign w:val="bottom"/>
            <w:tcBorders>
              <w:bottom w:val="single" w:sz="8" w:color="B2B2B2"/>
            </w:tcBorders>
          </w:tcPr>
          <w:p>
            <w:pPr>
              <w:spacing w:after="0"/>
              <w:rPr>
                <w:sz w:val="9"/>
                <w:szCs w:val="9"/>
                <w:color w:val="auto"/>
              </w:rPr>
            </w:pPr>
          </w:p>
        </w:tc>
        <w:tc>
          <w:tcPr>
            <w:tcW w:w="4940" w:type="dxa"/>
            <w:vAlign w:val="bottom"/>
            <w:tcBorders>
              <w:bottom w:val="single" w:sz="8" w:color="B2B2B2"/>
            </w:tcBorders>
          </w:tcPr>
          <w:p>
            <w:pPr>
              <w:spacing w:after="0"/>
              <w:rPr>
                <w:sz w:val="9"/>
                <w:szCs w:val="9"/>
                <w:color w:val="auto"/>
              </w:rPr>
            </w:pPr>
          </w:p>
        </w:tc>
      </w:tr>
      <w:tr>
        <w:trPr>
          <w:trHeight w:val="218"/>
        </w:trPr>
        <w:tc>
          <w:tcPr>
            <w:tcW w:w="2700" w:type="dxa"/>
            <w:vAlign w:val="bottom"/>
          </w:tcPr>
          <w:p>
            <w:pPr>
              <w:ind w:left="80"/>
              <w:spacing w:after="0"/>
              <w:rPr>
                <w:sz w:val="20"/>
                <w:szCs w:val="20"/>
                <w:color w:val="auto"/>
              </w:rPr>
            </w:pPr>
            <w:r>
              <w:rPr>
                <w:rFonts w:ascii="Arial" w:cs="Arial" w:eastAsia="Arial" w:hAnsi="Arial"/>
                <w:sz w:val="16"/>
                <w:szCs w:val="16"/>
                <w:color w:val="auto"/>
              </w:rPr>
              <w:t>Knowledge Court,</w:t>
            </w:r>
          </w:p>
        </w:tc>
        <w:tc>
          <w:tcPr>
            <w:tcW w:w="1520" w:type="dxa"/>
            <w:vAlign w:val="bottom"/>
          </w:tcPr>
          <w:p>
            <w:pPr>
              <w:ind w:left="140"/>
              <w:spacing w:after="0"/>
              <w:rPr>
                <w:sz w:val="20"/>
                <w:szCs w:val="20"/>
                <w:color w:val="auto"/>
              </w:rPr>
            </w:pPr>
            <w:r>
              <w:rPr>
                <w:rFonts w:ascii="Arial" w:cs="Arial" w:eastAsia="Arial" w:hAnsi="Arial"/>
                <w:sz w:val="16"/>
                <w:szCs w:val="16"/>
                <w:color w:val="auto"/>
              </w:rPr>
              <w:t>150,760</w:t>
            </w:r>
          </w:p>
        </w:tc>
        <w:tc>
          <w:tcPr>
            <w:tcW w:w="1640" w:type="dxa"/>
            <w:vAlign w:val="bottom"/>
          </w:tcPr>
          <w:p>
            <w:pPr>
              <w:ind w:left="320"/>
              <w:spacing w:after="0"/>
              <w:rPr>
                <w:sz w:val="20"/>
                <w:szCs w:val="20"/>
                <w:color w:val="auto"/>
              </w:rPr>
            </w:pPr>
            <w:r>
              <w:rPr>
                <w:rFonts w:ascii="Arial" w:cs="Arial" w:eastAsia="Arial" w:hAnsi="Arial"/>
                <w:sz w:val="16"/>
                <w:szCs w:val="16"/>
                <w:color w:val="auto"/>
              </w:rPr>
              <w:t>Leased</w:t>
            </w:r>
          </w:p>
        </w:tc>
        <w:tc>
          <w:tcPr>
            <w:tcW w:w="4940" w:type="dxa"/>
            <w:vAlign w:val="bottom"/>
          </w:tcPr>
          <w:p>
            <w:pPr>
              <w:ind w:left="200"/>
              <w:spacing w:after="0"/>
              <w:rPr>
                <w:sz w:val="20"/>
                <w:szCs w:val="20"/>
                <w:color w:val="auto"/>
              </w:rPr>
            </w:pPr>
            <w:r>
              <w:rPr>
                <w:rFonts w:ascii="Arial" w:cs="Arial" w:eastAsia="Arial" w:hAnsi="Arial"/>
                <w:sz w:val="16"/>
                <w:szCs w:val="16"/>
                <w:color w:val="auto"/>
              </w:rPr>
              <w:t>Thomson Reuters shared services center</w:t>
            </w:r>
          </w:p>
        </w:tc>
      </w:tr>
      <w:tr>
        <w:trPr>
          <w:trHeight w:val="210"/>
        </w:trPr>
        <w:tc>
          <w:tcPr>
            <w:tcW w:w="2700" w:type="dxa"/>
            <w:vAlign w:val="bottom"/>
          </w:tcPr>
          <w:p>
            <w:pPr>
              <w:ind w:left="80"/>
              <w:spacing w:after="0"/>
              <w:rPr>
                <w:sz w:val="20"/>
                <w:szCs w:val="20"/>
                <w:color w:val="auto"/>
              </w:rPr>
            </w:pPr>
            <w:r>
              <w:rPr>
                <w:rFonts w:ascii="Arial" w:cs="Arial" w:eastAsia="Arial" w:hAnsi="Arial"/>
                <w:sz w:val="16"/>
                <w:szCs w:val="16"/>
                <w:color w:val="auto"/>
              </w:rPr>
              <w:t>Bangalore, India</w:t>
            </w:r>
          </w:p>
        </w:tc>
        <w:tc>
          <w:tcPr>
            <w:tcW w:w="1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109"/>
        </w:trPr>
        <w:tc>
          <w:tcPr>
            <w:tcW w:w="2700" w:type="dxa"/>
            <w:vAlign w:val="bottom"/>
            <w:tcBorders>
              <w:bottom w:val="single" w:sz="8" w:color="B2B2B2"/>
            </w:tcBorders>
          </w:tcPr>
          <w:p>
            <w:pPr>
              <w:spacing w:after="0"/>
              <w:rPr>
                <w:sz w:val="9"/>
                <w:szCs w:val="9"/>
                <w:color w:val="auto"/>
              </w:rPr>
            </w:pPr>
          </w:p>
        </w:tc>
        <w:tc>
          <w:tcPr>
            <w:tcW w:w="1520" w:type="dxa"/>
            <w:vAlign w:val="bottom"/>
            <w:tcBorders>
              <w:bottom w:val="single" w:sz="8" w:color="B2B2B2"/>
            </w:tcBorders>
          </w:tcPr>
          <w:p>
            <w:pPr>
              <w:spacing w:after="0"/>
              <w:rPr>
                <w:sz w:val="9"/>
                <w:szCs w:val="9"/>
                <w:color w:val="auto"/>
              </w:rPr>
            </w:pPr>
          </w:p>
        </w:tc>
        <w:tc>
          <w:tcPr>
            <w:tcW w:w="1640" w:type="dxa"/>
            <w:vAlign w:val="bottom"/>
            <w:tcBorders>
              <w:bottom w:val="single" w:sz="8" w:color="B2B2B2"/>
            </w:tcBorders>
          </w:tcPr>
          <w:p>
            <w:pPr>
              <w:spacing w:after="0"/>
              <w:rPr>
                <w:sz w:val="9"/>
                <w:szCs w:val="9"/>
                <w:color w:val="auto"/>
              </w:rPr>
            </w:pPr>
          </w:p>
        </w:tc>
        <w:tc>
          <w:tcPr>
            <w:tcW w:w="4940" w:type="dxa"/>
            <w:vAlign w:val="bottom"/>
            <w:tcBorders>
              <w:bottom w:val="single" w:sz="8" w:color="B2B2B2"/>
            </w:tcBorders>
          </w:tcPr>
          <w:p>
            <w:pPr>
              <w:spacing w:after="0"/>
              <w:rPr>
                <w:sz w:val="9"/>
                <w:szCs w:val="9"/>
                <w:color w:val="auto"/>
              </w:rPr>
            </w:pPr>
          </w:p>
        </w:tc>
      </w:tr>
      <w:tr>
        <w:trPr>
          <w:trHeight w:val="218"/>
        </w:trPr>
        <w:tc>
          <w:tcPr>
            <w:tcW w:w="2700" w:type="dxa"/>
            <w:vAlign w:val="bottom"/>
          </w:tcPr>
          <w:p>
            <w:pPr>
              <w:ind w:left="80"/>
              <w:spacing w:after="0"/>
              <w:rPr>
                <w:sz w:val="20"/>
                <w:szCs w:val="20"/>
                <w:color w:val="auto"/>
              </w:rPr>
            </w:pPr>
            <w:r>
              <w:rPr>
                <w:rFonts w:ascii="Arial" w:cs="Arial" w:eastAsia="Arial" w:hAnsi="Arial"/>
                <w:sz w:val="16"/>
                <w:szCs w:val="16"/>
                <w:color w:val="auto"/>
              </w:rPr>
              <w:t>5 Canada Square,</w:t>
            </w:r>
          </w:p>
        </w:tc>
        <w:tc>
          <w:tcPr>
            <w:tcW w:w="1520" w:type="dxa"/>
            <w:vAlign w:val="bottom"/>
          </w:tcPr>
          <w:p>
            <w:pPr>
              <w:ind w:left="140"/>
              <w:spacing w:after="0"/>
              <w:rPr>
                <w:sz w:val="20"/>
                <w:szCs w:val="20"/>
                <w:color w:val="auto"/>
              </w:rPr>
            </w:pPr>
            <w:r>
              <w:rPr>
                <w:rFonts w:ascii="Arial" w:cs="Arial" w:eastAsia="Arial" w:hAnsi="Arial"/>
                <w:sz w:val="16"/>
                <w:szCs w:val="16"/>
                <w:color w:val="auto"/>
              </w:rPr>
              <w:t>133,400</w:t>
            </w:r>
          </w:p>
        </w:tc>
        <w:tc>
          <w:tcPr>
            <w:tcW w:w="1640" w:type="dxa"/>
            <w:vAlign w:val="bottom"/>
          </w:tcPr>
          <w:p>
            <w:pPr>
              <w:ind w:left="320"/>
              <w:spacing w:after="0"/>
              <w:rPr>
                <w:sz w:val="20"/>
                <w:szCs w:val="20"/>
                <w:color w:val="auto"/>
              </w:rPr>
            </w:pPr>
            <w:r>
              <w:rPr>
                <w:rFonts w:ascii="Arial" w:cs="Arial" w:eastAsia="Arial" w:hAnsi="Arial"/>
                <w:sz w:val="16"/>
                <w:szCs w:val="16"/>
                <w:color w:val="auto"/>
              </w:rPr>
              <w:t>Subleased</w:t>
            </w:r>
          </w:p>
        </w:tc>
        <w:tc>
          <w:tcPr>
            <w:tcW w:w="4940" w:type="dxa"/>
            <w:vAlign w:val="bottom"/>
          </w:tcPr>
          <w:p>
            <w:pPr>
              <w:ind w:left="200"/>
              <w:spacing w:after="0"/>
              <w:rPr>
                <w:sz w:val="20"/>
                <w:szCs w:val="20"/>
                <w:color w:val="auto"/>
              </w:rPr>
            </w:pPr>
            <w:r>
              <w:rPr>
                <w:rFonts w:ascii="Arial" w:cs="Arial" w:eastAsia="Arial" w:hAnsi="Arial"/>
                <w:sz w:val="16"/>
                <w:szCs w:val="16"/>
                <w:color w:val="auto"/>
              </w:rPr>
              <w:t>Legal Professionals, Tax &amp; Accounting Professionals and Reuters</w:t>
            </w:r>
          </w:p>
        </w:tc>
      </w:tr>
      <w:tr>
        <w:trPr>
          <w:trHeight w:val="210"/>
        </w:trPr>
        <w:tc>
          <w:tcPr>
            <w:tcW w:w="2700" w:type="dxa"/>
            <w:vAlign w:val="bottom"/>
          </w:tcPr>
          <w:p>
            <w:pPr>
              <w:ind w:left="80"/>
              <w:spacing w:after="0"/>
              <w:rPr>
                <w:sz w:val="20"/>
                <w:szCs w:val="20"/>
                <w:color w:val="auto"/>
              </w:rPr>
            </w:pPr>
            <w:r>
              <w:rPr>
                <w:rFonts w:ascii="Arial" w:cs="Arial" w:eastAsia="Arial" w:hAnsi="Arial"/>
                <w:sz w:val="16"/>
                <w:szCs w:val="16"/>
                <w:color w:val="auto"/>
              </w:rPr>
              <w:t>London, United Kingdom</w:t>
            </w:r>
          </w:p>
        </w:tc>
        <w:tc>
          <w:tcPr>
            <w:tcW w:w="1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6"/>
                <w:szCs w:val="16"/>
                <w:color w:val="auto"/>
              </w:rPr>
              <w:t>News operating facility</w:t>
            </w:r>
          </w:p>
        </w:tc>
      </w:tr>
      <w:tr>
        <w:trPr>
          <w:trHeight w:val="109"/>
        </w:trPr>
        <w:tc>
          <w:tcPr>
            <w:tcW w:w="2700" w:type="dxa"/>
            <w:vAlign w:val="bottom"/>
            <w:tcBorders>
              <w:bottom w:val="single" w:sz="8" w:color="B2B2B2"/>
            </w:tcBorders>
          </w:tcPr>
          <w:p>
            <w:pPr>
              <w:spacing w:after="0"/>
              <w:rPr>
                <w:sz w:val="9"/>
                <w:szCs w:val="9"/>
                <w:color w:val="auto"/>
              </w:rPr>
            </w:pPr>
          </w:p>
        </w:tc>
        <w:tc>
          <w:tcPr>
            <w:tcW w:w="1520" w:type="dxa"/>
            <w:vAlign w:val="bottom"/>
            <w:tcBorders>
              <w:bottom w:val="single" w:sz="8" w:color="B2B2B2"/>
            </w:tcBorders>
          </w:tcPr>
          <w:p>
            <w:pPr>
              <w:spacing w:after="0"/>
              <w:rPr>
                <w:sz w:val="9"/>
                <w:szCs w:val="9"/>
                <w:color w:val="auto"/>
              </w:rPr>
            </w:pPr>
          </w:p>
        </w:tc>
        <w:tc>
          <w:tcPr>
            <w:tcW w:w="1640" w:type="dxa"/>
            <w:vAlign w:val="bottom"/>
            <w:tcBorders>
              <w:bottom w:val="single" w:sz="8" w:color="B2B2B2"/>
            </w:tcBorders>
          </w:tcPr>
          <w:p>
            <w:pPr>
              <w:spacing w:after="0"/>
              <w:rPr>
                <w:sz w:val="9"/>
                <w:szCs w:val="9"/>
                <w:color w:val="auto"/>
              </w:rPr>
            </w:pPr>
          </w:p>
        </w:tc>
        <w:tc>
          <w:tcPr>
            <w:tcW w:w="4940" w:type="dxa"/>
            <w:vAlign w:val="bottom"/>
            <w:tcBorders>
              <w:bottom w:val="single" w:sz="8" w:color="B2B2B2"/>
            </w:tcBorders>
          </w:tcPr>
          <w:p>
            <w:pPr>
              <w:spacing w:after="0"/>
              <w:rPr>
                <w:sz w:val="9"/>
                <w:szCs w:val="9"/>
                <w:color w:val="auto"/>
              </w:rPr>
            </w:pPr>
          </w:p>
        </w:tc>
      </w:tr>
      <w:tr>
        <w:trPr>
          <w:trHeight w:val="218"/>
        </w:trPr>
        <w:tc>
          <w:tcPr>
            <w:tcW w:w="2700" w:type="dxa"/>
            <w:vAlign w:val="bottom"/>
          </w:tcPr>
          <w:p>
            <w:pPr>
              <w:ind w:left="80"/>
              <w:spacing w:after="0"/>
              <w:rPr>
                <w:sz w:val="20"/>
                <w:szCs w:val="20"/>
                <w:color w:val="auto"/>
              </w:rPr>
            </w:pPr>
            <w:r>
              <w:rPr>
                <w:rFonts w:ascii="Arial" w:cs="Arial" w:eastAsia="Arial" w:hAnsi="Arial"/>
                <w:sz w:val="16"/>
                <w:szCs w:val="16"/>
                <w:color w:val="auto"/>
              </w:rPr>
              <w:t>Hyderabad, Bldg. 11</w:t>
            </w:r>
          </w:p>
        </w:tc>
        <w:tc>
          <w:tcPr>
            <w:tcW w:w="1520" w:type="dxa"/>
            <w:vAlign w:val="bottom"/>
          </w:tcPr>
          <w:p>
            <w:pPr>
              <w:ind w:left="140"/>
              <w:spacing w:after="0"/>
              <w:rPr>
                <w:sz w:val="20"/>
                <w:szCs w:val="20"/>
                <w:color w:val="auto"/>
              </w:rPr>
            </w:pPr>
            <w:r>
              <w:rPr>
                <w:rFonts w:ascii="Arial" w:cs="Arial" w:eastAsia="Arial" w:hAnsi="Arial"/>
                <w:sz w:val="16"/>
                <w:szCs w:val="16"/>
                <w:color w:val="auto"/>
              </w:rPr>
              <w:t>130,320</w:t>
            </w:r>
          </w:p>
        </w:tc>
        <w:tc>
          <w:tcPr>
            <w:tcW w:w="1640" w:type="dxa"/>
            <w:vAlign w:val="bottom"/>
          </w:tcPr>
          <w:p>
            <w:pPr>
              <w:ind w:left="320"/>
              <w:spacing w:after="0"/>
              <w:rPr>
                <w:sz w:val="20"/>
                <w:szCs w:val="20"/>
                <w:color w:val="auto"/>
              </w:rPr>
            </w:pPr>
            <w:r>
              <w:rPr>
                <w:rFonts w:ascii="Arial" w:cs="Arial" w:eastAsia="Arial" w:hAnsi="Arial"/>
                <w:sz w:val="16"/>
                <w:szCs w:val="16"/>
                <w:color w:val="auto"/>
              </w:rPr>
              <w:t>Leased</w:t>
            </w:r>
          </w:p>
        </w:tc>
        <w:tc>
          <w:tcPr>
            <w:tcW w:w="4940" w:type="dxa"/>
            <w:vAlign w:val="bottom"/>
          </w:tcPr>
          <w:p>
            <w:pPr>
              <w:ind w:left="200"/>
              <w:spacing w:after="0"/>
              <w:rPr>
                <w:sz w:val="20"/>
                <w:szCs w:val="20"/>
                <w:color w:val="auto"/>
              </w:rPr>
            </w:pPr>
            <w:r>
              <w:rPr>
                <w:rFonts w:ascii="Arial" w:cs="Arial" w:eastAsia="Arial" w:hAnsi="Arial"/>
                <w:sz w:val="16"/>
                <w:szCs w:val="16"/>
                <w:color w:val="auto"/>
              </w:rPr>
              <w:t>Global shared service center</w:t>
            </w:r>
          </w:p>
        </w:tc>
      </w:tr>
      <w:tr>
        <w:trPr>
          <w:trHeight w:val="210"/>
        </w:trPr>
        <w:tc>
          <w:tcPr>
            <w:tcW w:w="2700" w:type="dxa"/>
            <w:vAlign w:val="bottom"/>
          </w:tcPr>
          <w:p>
            <w:pPr>
              <w:ind w:left="80"/>
              <w:spacing w:after="0"/>
              <w:rPr>
                <w:sz w:val="20"/>
                <w:szCs w:val="20"/>
                <w:color w:val="auto"/>
              </w:rPr>
            </w:pPr>
            <w:r>
              <w:rPr>
                <w:rFonts w:ascii="Arial" w:cs="Arial" w:eastAsia="Arial" w:hAnsi="Arial"/>
                <w:sz w:val="16"/>
                <w:szCs w:val="16"/>
                <w:color w:val="auto"/>
              </w:rPr>
              <w:t>Madhapur, Hyderabad, India</w:t>
            </w:r>
          </w:p>
        </w:tc>
        <w:tc>
          <w:tcPr>
            <w:tcW w:w="1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109"/>
        </w:trPr>
        <w:tc>
          <w:tcPr>
            <w:tcW w:w="2700" w:type="dxa"/>
            <w:vAlign w:val="bottom"/>
            <w:tcBorders>
              <w:bottom w:val="single" w:sz="8" w:color="B2B2B2"/>
            </w:tcBorders>
          </w:tcPr>
          <w:p>
            <w:pPr>
              <w:spacing w:after="0"/>
              <w:rPr>
                <w:sz w:val="9"/>
                <w:szCs w:val="9"/>
                <w:color w:val="auto"/>
              </w:rPr>
            </w:pPr>
          </w:p>
        </w:tc>
        <w:tc>
          <w:tcPr>
            <w:tcW w:w="1520" w:type="dxa"/>
            <w:vAlign w:val="bottom"/>
            <w:tcBorders>
              <w:bottom w:val="single" w:sz="8" w:color="B2B2B2"/>
            </w:tcBorders>
          </w:tcPr>
          <w:p>
            <w:pPr>
              <w:spacing w:after="0"/>
              <w:rPr>
                <w:sz w:val="9"/>
                <w:szCs w:val="9"/>
                <w:color w:val="auto"/>
              </w:rPr>
            </w:pPr>
          </w:p>
        </w:tc>
        <w:tc>
          <w:tcPr>
            <w:tcW w:w="1640" w:type="dxa"/>
            <w:vAlign w:val="bottom"/>
            <w:tcBorders>
              <w:bottom w:val="single" w:sz="8" w:color="B2B2B2"/>
            </w:tcBorders>
          </w:tcPr>
          <w:p>
            <w:pPr>
              <w:spacing w:after="0"/>
              <w:rPr>
                <w:sz w:val="9"/>
                <w:szCs w:val="9"/>
                <w:color w:val="auto"/>
              </w:rPr>
            </w:pPr>
          </w:p>
        </w:tc>
        <w:tc>
          <w:tcPr>
            <w:tcW w:w="4940" w:type="dxa"/>
            <w:vAlign w:val="bottom"/>
            <w:tcBorders>
              <w:bottom w:val="single" w:sz="8" w:color="B2B2B2"/>
            </w:tcBorders>
          </w:tcPr>
          <w:p>
            <w:pPr>
              <w:spacing w:after="0"/>
              <w:rPr>
                <w:sz w:val="9"/>
                <w:szCs w:val="9"/>
                <w:color w:val="auto"/>
              </w:rPr>
            </w:pPr>
          </w:p>
        </w:tc>
      </w:tr>
      <w:tr>
        <w:trPr>
          <w:trHeight w:val="218"/>
        </w:trPr>
        <w:tc>
          <w:tcPr>
            <w:tcW w:w="2700" w:type="dxa"/>
            <w:vAlign w:val="bottom"/>
          </w:tcPr>
          <w:p>
            <w:pPr>
              <w:ind w:left="80"/>
              <w:spacing w:after="0"/>
              <w:rPr>
                <w:sz w:val="20"/>
                <w:szCs w:val="20"/>
                <w:color w:val="auto"/>
              </w:rPr>
            </w:pPr>
            <w:r>
              <w:rPr>
                <w:rFonts w:ascii="Arial" w:cs="Arial" w:eastAsia="Arial" w:hAnsi="Arial"/>
                <w:sz w:val="16"/>
                <w:szCs w:val="16"/>
                <w:color w:val="auto"/>
              </w:rPr>
              <w:t>19 Duncan Street</w:t>
            </w:r>
          </w:p>
        </w:tc>
        <w:tc>
          <w:tcPr>
            <w:tcW w:w="1520" w:type="dxa"/>
            <w:vAlign w:val="bottom"/>
          </w:tcPr>
          <w:p>
            <w:pPr>
              <w:ind w:left="140"/>
              <w:spacing w:after="0"/>
              <w:rPr>
                <w:sz w:val="20"/>
                <w:szCs w:val="20"/>
                <w:color w:val="auto"/>
              </w:rPr>
            </w:pPr>
            <w:r>
              <w:rPr>
                <w:rFonts w:ascii="Arial" w:cs="Arial" w:eastAsia="Arial" w:hAnsi="Arial"/>
                <w:sz w:val="16"/>
                <w:szCs w:val="16"/>
                <w:color w:val="auto"/>
              </w:rPr>
              <w:t>129,950</w:t>
            </w:r>
          </w:p>
        </w:tc>
        <w:tc>
          <w:tcPr>
            <w:tcW w:w="1640" w:type="dxa"/>
            <w:vAlign w:val="bottom"/>
          </w:tcPr>
          <w:p>
            <w:pPr>
              <w:ind w:left="320"/>
              <w:spacing w:after="0"/>
              <w:rPr>
                <w:sz w:val="20"/>
                <w:szCs w:val="20"/>
                <w:color w:val="auto"/>
              </w:rPr>
            </w:pPr>
            <w:r>
              <w:rPr>
                <w:rFonts w:ascii="Arial" w:cs="Arial" w:eastAsia="Arial" w:hAnsi="Arial"/>
                <w:sz w:val="16"/>
                <w:szCs w:val="16"/>
                <w:color w:val="auto"/>
              </w:rPr>
              <w:t>Leased</w:t>
            </w:r>
          </w:p>
        </w:tc>
        <w:tc>
          <w:tcPr>
            <w:tcW w:w="4940" w:type="dxa"/>
            <w:vAlign w:val="bottom"/>
          </w:tcPr>
          <w:p>
            <w:pPr>
              <w:ind w:left="200"/>
              <w:spacing w:after="0"/>
              <w:rPr>
                <w:sz w:val="20"/>
                <w:szCs w:val="20"/>
                <w:color w:val="auto"/>
              </w:rPr>
            </w:pPr>
            <w:r>
              <w:rPr>
                <w:rFonts w:ascii="Arial" w:cs="Arial" w:eastAsia="Arial" w:hAnsi="Arial"/>
                <w:sz w:val="16"/>
                <w:szCs w:val="16"/>
                <w:color w:val="auto"/>
              </w:rPr>
              <w:t>Thomson Reuters headquarters</w:t>
            </w:r>
          </w:p>
        </w:tc>
      </w:tr>
      <w:tr>
        <w:trPr>
          <w:trHeight w:val="210"/>
        </w:trPr>
        <w:tc>
          <w:tcPr>
            <w:tcW w:w="2700" w:type="dxa"/>
            <w:vAlign w:val="bottom"/>
          </w:tcPr>
          <w:p>
            <w:pPr>
              <w:ind w:left="80"/>
              <w:spacing w:after="0"/>
              <w:rPr>
                <w:sz w:val="20"/>
                <w:szCs w:val="20"/>
                <w:color w:val="auto"/>
              </w:rPr>
            </w:pPr>
            <w:r>
              <w:rPr>
                <w:rFonts w:ascii="Arial" w:cs="Arial" w:eastAsia="Arial" w:hAnsi="Arial"/>
                <w:sz w:val="16"/>
                <w:szCs w:val="16"/>
                <w:color w:val="auto"/>
              </w:rPr>
              <w:t>Toronto, Ontario, Canada</w:t>
            </w:r>
          </w:p>
        </w:tc>
        <w:tc>
          <w:tcPr>
            <w:tcW w:w="1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109"/>
        </w:trPr>
        <w:tc>
          <w:tcPr>
            <w:tcW w:w="2700" w:type="dxa"/>
            <w:vAlign w:val="bottom"/>
            <w:tcBorders>
              <w:bottom w:val="single" w:sz="8" w:color="B2B2B2"/>
            </w:tcBorders>
          </w:tcPr>
          <w:p>
            <w:pPr>
              <w:spacing w:after="0"/>
              <w:rPr>
                <w:sz w:val="9"/>
                <w:szCs w:val="9"/>
                <w:color w:val="auto"/>
              </w:rPr>
            </w:pPr>
          </w:p>
        </w:tc>
        <w:tc>
          <w:tcPr>
            <w:tcW w:w="1520" w:type="dxa"/>
            <w:vAlign w:val="bottom"/>
            <w:tcBorders>
              <w:bottom w:val="single" w:sz="8" w:color="B2B2B2"/>
            </w:tcBorders>
          </w:tcPr>
          <w:p>
            <w:pPr>
              <w:spacing w:after="0"/>
              <w:rPr>
                <w:sz w:val="9"/>
                <w:szCs w:val="9"/>
                <w:color w:val="auto"/>
              </w:rPr>
            </w:pPr>
          </w:p>
        </w:tc>
        <w:tc>
          <w:tcPr>
            <w:tcW w:w="1640" w:type="dxa"/>
            <w:vAlign w:val="bottom"/>
            <w:tcBorders>
              <w:bottom w:val="single" w:sz="8" w:color="B2B2B2"/>
            </w:tcBorders>
          </w:tcPr>
          <w:p>
            <w:pPr>
              <w:spacing w:after="0"/>
              <w:rPr>
                <w:sz w:val="9"/>
                <w:szCs w:val="9"/>
                <w:color w:val="auto"/>
              </w:rPr>
            </w:pPr>
          </w:p>
        </w:tc>
        <w:tc>
          <w:tcPr>
            <w:tcW w:w="4940" w:type="dxa"/>
            <w:vAlign w:val="bottom"/>
            <w:tcBorders>
              <w:bottom w:val="single" w:sz="8" w:color="B2B2B2"/>
            </w:tcBorders>
          </w:tcPr>
          <w:p>
            <w:pPr>
              <w:spacing w:after="0"/>
              <w:rPr>
                <w:sz w:val="9"/>
                <w:szCs w:val="9"/>
                <w:color w:val="auto"/>
              </w:rPr>
            </w:pPr>
          </w:p>
        </w:tc>
      </w:tr>
      <w:tr>
        <w:trPr>
          <w:trHeight w:val="218"/>
        </w:trPr>
        <w:tc>
          <w:tcPr>
            <w:tcW w:w="2700" w:type="dxa"/>
            <w:vAlign w:val="bottom"/>
          </w:tcPr>
          <w:p>
            <w:pPr>
              <w:ind w:left="80"/>
              <w:spacing w:after="0"/>
              <w:rPr>
                <w:sz w:val="20"/>
                <w:szCs w:val="20"/>
                <w:color w:val="auto"/>
              </w:rPr>
            </w:pPr>
            <w:r>
              <w:rPr>
                <w:rFonts w:ascii="Arial" w:cs="Arial" w:eastAsia="Arial" w:hAnsi="Arial"/>
                <w:sz w:val="16"/>
                <w:szCs w:val="16"/>
                <w:color w:val="auto"/>
              </w:rPr>
              <w:t>Reforma Cuarzo</w:t>
            </w:r>
          </w:p>
        </w:tc>
        <w:tc>
          <w:tcPr>
            <w:tcW w:w="1520" w:type="dxa"/>
            <w:vAlign w:val="bottom"/>
          </w:tcPr>
          <w:p>
            <w:pPr>
              <w:ind w:left="140"/>
              <w:spacing w:after="0"/>
              <w:rPr>
                <w:sz w:val="20"/>
                <w:szCs w:val="20"/>
                <w:color w:val="auto"/>
              </w:rPr>
            </w:pPr>
            <w:r>
              <w:rPr>
                <w:rFonts w:ascii="Arial" w:cs="Arial" w:eastAsia="Arial" w:hAnsi="Arial"/>
                <w:sz w:val="16"/>
                <w:szCs w:val="16"/>
                <w:color w:val="auto"/>
              </w:rPr>
              <w:t>118,200</w:t>
            </w:r>
          </w:p>
        </w:tc>
        <w:tc>
          <w:tcPr>
            <w:tcW w:w="1640" w:type="dxa"/>
            <w:vAlign w:val="bottom"/>
          </w:tcPr>
          <w:p>
            <w:pPr>
              <w:ind w:left="320"/>
              <w:spacing w:after="0"/>
              <w:rPr>
                <w:sz w:val="20"/>
                <w:szCs w:val="20"/>
                <w:color w:val="auto"/>
              </w:rPr>
            </w:pPr>
            <w:r>
              <w:rPr>
                <w:rFonts w:ascii="Arial" w:cs="Arial" w:eastAsia="Arial" w:hAnsi="Arial"/>
                <w:sz w:val="16"/>
                <w:szCs w:val="16"/>
                <w:color w:val="auto"/>
              </w:rPr>
              <w:t>Leased</w:t>
            </w:r>
          </w:p>
        </w:tc>
        <w:tc>
          <w:tcPr>
            <w:tcW w:w="4940" w:type="dxa"/>
            <w:vAlign w:val="bottom"/>
          </w:tcPr>
          <w:p>
            <w:pPr>
              <w:ind w:left="200"/>
              <w:spacing w:after="0"/>
              <w:rPr>
                <w:sz w:val="20"/>
                <w:szCs w:val="20"/>
                <w:color w:val="auto"/>
              </w:rPr>
            </w:pPr>
            <w:r>
              <w:rPr>
                <w:rFonts w:ascii="Arial" w:cs="Arial" w:eastAsia="Arial" w:hAnsi="Arial"/>
                <w:sz w:val="16"/>
                <w:szCs w:val="16"/>
                <w:color w:val="auto"/>
              </w:rPr>
              <w:t>Global shared service center</w:t>
            </w:r>
          </w:p>
        </w:tc>
      </w:tr>
      <w:tr>
        <w:trPr>
          <w:trHeight w:val="185"/>
        </w:trPr>
        <w:tc>
          <w:tcPr>
            <w:tcW w:w="2700" w:type="dxa"/>
            <w:vAlign w:val="bottom"/>
          </w:tcPr>
          <w:p>
            <w:pPr>
              <w:ind w:left="80"/>
              <w:spacing w:after="0"/>
              <w:rPr>
                <w:sz w:val="20"/>
                <w:szCs w:val="20"/>
                <w:color w:val="auto"/>
              </w:rPr>
            </w:pPr>
            <w:r>
              <w:rPr>
                <w:rFonts w:ascii="Arial" w:cs="Arial" w:eastAsia="Arial" w:hAnsi="Arial"/>
                <w:sz w:val="16"/>
                <w:szCs w:val="16"/>
                <w:color w:val="auto"/>
              </w:rPr>
              <w:t>26 Paseo de la Reforma,</w:t>
            </w:r>
          </w:p>
        </w:tc>
        <w:tc>
          <w:tcPr>
            <w:tcW w:w="15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940" w:type="dxa"/>
            <w:vAlign w:val="bottom"/>
          </w:tcPr>
          <w:p>
            <w:pPr>
              <w:spacing w:after="0"/>
              <w:rPr>
                <w:sz w:val="16"/>
                <w:szCs w:val="16"/>
                <w:color w:val="auto"/>
              </w:rPr>
            </w:pPr>
          </w:p>
        </w:tc>
      </w:tr>
      <w:tr>
        <w:trPr>
          <w:trHeight w:val="210"/>
        </w:trPr>
        <w:tc>
          <w:tcPr>
            <w:tcW w:w="2700" w:type="dxa"/>
            <w:vAlign w:val="bottom"/>
          </w:tcPr>
          <w:p>
            <w:pPr>
              <w:ind w:left="80"/>
              <w:spacing w:after="0"/>
              <w:rPr>
                <w:sz w:val="20"/>
                <w:szCs w:val="20"/>
                <w:color w:val="auto"/>
              </w:rPr>
            </w:pPr>
            <w:r>
              <w:rPr>
                <w:rFonts w:ascii="Arial" w:cs="Arial" w:eastAsia="Arial" w:hAnsi="Arial"/>
                <w:sz w:val="16"/>
                <w:szCs w:val="16"/>
                <w:color w:val="auto"/>
              </w:rPr>
              <w:t>Mexico City, Mexico</w:t>
            </w:r>
          </w:p>
        </w:tc>
        <w:tc>
          <w:tcPr>
            <w:tcW w:w="1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109"/>
        </w:trPr>
        <w:tc>
          <w:tcPr>
            <w:tcW w:w="2700" w:type="dxa"/>
            <w:vAlign w:val="bottom"/>
            <w:tcBorders>
              <w:bottom w:val="single" w:sz="8" w:color="B2B2B2"/>
            </w:tcBorders>
          </w:tcPr>
          <w:p>
            <w:pPr>
              <w:spacing w:after="0"/>
              <w:rPr>
                <w:sz w:val="9"/>
                <w:szCs w:val="9"/>
                <w:color w:val="auto"/>
              </w:rPr>
            </w:pPr>
          </w:p>
        </w:tc>
        <w:tc>
          <w:tcPr>
            <w:tcW w:w="1520" w:type="dxa"/>
            <w:vAlign w:val="bottom"/>
            <w:tcBorders>
              <w:bottom w:val="single" w:sz="8" w:color="B2B2B2"/>
            </w:tcBorders>
          </w:tcPr>
          <w:p>
            <w:pPr>
              <w:spacing w:after="0"/>
              <w:rPr>
                <w:sz w:val="9"/>
                <w:szCs w:val="9"/>
                <w:color w:val="auto"/>
              </w:rPr>
            </w:pPr>
          </w:p>
        </w:tc>
        <w:tc>
          <w:tcPr>
            <w:tcW w:w="1640" w:type="dxa"/>
            <w:vAlign w:val="bottom"/>
            <w:tcBorders>
              <w:bottom w:val="single" w:sz="8" w:color="B2B2B2"/>
            </w:tcBorders>
          </w:tcPr>
          <w:p>
            <w:pPr>
              <w:spacing w:after="0"/>
              <w:rPr>
                <w:sz w:val="9"/>
                <w:szCs w:val="9"/>
                <w:color w:val="auto"/>
              </w:rPr>
            </w:pPr>
          </w:p>
        </w:tc>
        <w:tc>
          <w:tcPr>
            <w:tcW w:w="4940" w:type="dxa"/>
            <w:vAlign w:val="bottom"/>
            <w:tcBorders>
              <w:bottom w:val="single" w:sz="8" w:color="B2B2B2"/>
            </w:tcBorders>
          </w:tcPr>
          <w:p>
            <w:pPr>
              <w:spacing w:after="0"/>
              <w:rPr>
                <w:sz w:val="9"/>
                <w:szCs w:val="9"/>
                <w:color w:val="auto"/>
              </w:rPr>
            </w:pPr>
          </w:p>
        </w:tc>
      </w:tr>
      <w:tr>
        <w:trPr>
          <w:trHeight w:val="218"/>
        </w:trPr>
        <w:tc>
          <w:tcPr>
            <w:tcW w:w="2700" w:type="dxa"/>
            <w:vAlign w:val="bottom"/>
          </w:tcPr>
          <w:p>
            <w:pPr>
              <w:ind w:left="80"/>
              <w:spacing w:after="0"/>
              <w:rPr>
                <w:sz w:val="20"/>
                <w:szCs w:val="20"/>
                <w:color w:val="auto"/>
              </w:rPr>
            </w:pPr>
            <w:r>
              <w:rPr>
                <w:rFonts w:ascii="Arial" w:cs="Arial" w:eastAsia="Arial" w:hAnsi="Arial"/>
                <w:sz w:val="16"/>
                <w:szCs w:val="16"/>
                <w:color w:val="auto"/>
              </w:rPr>
              <w:t>6160 Warren Parkway</w:t>
            </w:r>
          </w:p>
        </w:tc>
        <w:tc>
          <w:tcPr>
            <w:tcW w:w="1520" w:type="dxa"/>
            <w:vAlign w:val="bottom"/>
          </w:tcPr>
          <w:p>
            <w:pPr>
              <w:ind w:left="140"/>
              <w:spacing w:after="0"/>
              <w:rPr>
                <w:sz w:val="20"/>
                <w:szCs w:val="20"/>
                <w:color w:val="auto"/>
              </w:rPr>
            </w:pPr>
            <w:r>
              <w:rPr>
                <w:rFonts w:ascii="Arial" w:cs="Arial" w:eastAsia="Arial" w:hAnsi="Arial"/>
                <w:sz w:val="16"/>
                <w:szCs w:val="16"/>
                <w:color w:val="auto"/>
              </w:rPr>
              <w:t>56,700</w:t>
            </w:r>
          </w:p>
        </w:tc>
        <w:tc>
          <w:tcPr>
            <w:tcW w:w="1640" w:type="dxa"/>
            <w:vAlign w:val="bottom"/>
          </w:tcPr>
          <w:p>
            <w:pPr>
              <w:ind w:left="320"/>
              <w:spacing w:after="0"/>
              <w:rPr>
                <w:sz w:val="20"/>
                <w:szCs w:val="20"/>
                <w:color w:val="auto"/>
              </w:rPr>
            </w:pPr>
            <w:r>
              <w:rPr>
                <w:rFonts w:ascii="Arial" w:cs="Arial" w:eastAsia="Arial" w:hAnsi="Arial"/>
                <w:sz w:val="16"/>
                <w:szCs w:val="16"/>
                <w:color w:val="auto"/>
              </w:rPr>
              <w:t>Leased</w:t>
            </w:r>
            <w:r>
              <w:rPr>
                <w:rFonts w:ascii="Arial" w:cs="Arial" w:eastAsia="Arial" w:hAnsi="Arial"/>
                <w:sz w:val="19"/>
                <w:szCs w:val="19"/>
                <w:color w:val="auto"/>
                <w:vertAlign w:val="superscript"/>
              </w:rPr>
              <w:t>(1)</w:t>
            </w:r>
          </w:p>
        </w:tc>
        <w:tc>
          <w:tcPr>
            <w:tcW w:w="4940" w:type="dxa"/>
            <w:vAlign w:val="bottom"/>
          </w:tcPr>
          <w:p>
            <w:pPr>
              <w:ind w:left="200"/>
              <w:spacing w:after="0"/>
              <w:rPr>
                <w:sz w:val="20"/>
                <w:szCs w:val="20"/>
                <w:color w:val="auto"/>
              </w:rPr>
            </w:pPr>
            <w:r>
              <w:rPr>
                <w:rFonts w:ascii="Arial" w:cs="Arial" w:eastAsia="Arial" w:hAnsi="Arial"/>
                <w:sz w:val="16"/>
                <w:szCs w:val="16"/>
                <w:color w:val="auto"/>
              </w:rPr>
              <w:t>Tax &amp; Accounting Professionals and Corporates operating facility</w:t>
            </w:r>
          </w:p>
        </w:tc>
      </w:tr>
      <w:tr>
        <w:trPr>
          <w:trHeight w:val="210"/>
        </w:trPr>
        <w:tc>
          <w:tcPr>
            <w:tcW w:w="2700" w:type="dxa"/>
            <w:vAlign w:val="bottom"/>
          </w:tcPr>
          <w:p>
            <w:pPr>
              <w:ind w:left="80"/>
              <w:spacing w:after="0"/>
              <w:rPr>
                <w:sz w:val="20"/>
                <w:szCs w:val="20"/>
                <w:color w:val="auto"/>
              </w:rPr>
            </w:pPr>
            <w:r>
              <w:rPr>
                <w:rFonts w:ascii="Arial" w:cs="Arial" w:eastAsia="Arial" w:hAnsi="Arial"/>
                <w:sz w:val="16"/>
                <w:szCs w:val="16"/>
                <w:color w:val="auto"/>
              </w:rPr>
              <w:t>Frisco, TX, United States</w:t>
            </w:r>
          </w:p>
        </w:tc>
        <w:tc>
          <w:tcPr>
            <w:tcW w:w="1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109"/>
        </w:trPr>
        <w:tc>
          <w:tcPr>
            <w:tcW w:w="2700" w:type="dxa"/>
            <w:vAlign w:val="bottom"/>
            <w:tcBorders>
              <w:bottom w:val="single" w:sz="8" w:color="B2B2B2"/>
            </w:tcBorders>
          </w:tcPr>
          <w:p>
            <w:pPr>
              <w:spacing w:after="0"/>
              <w:rPr>
                <w:sz w:val="9"/>
                <w:szCs w:val="9"/>
                <w:color w:val="auto"/>
              </w:rPr>
            </w:pPr>
          </w:p>
        </w:tc>
        <w:tc>
          <w:tcPr>
            <w:tcW w:w="1520" w:type="dxa"/>
            <w:vAlign w:val="bottom"/>
            <w:tcBorders>
              <w:bottom w:val="single" w:sz="8" w:color="B2B2B2"/>
            </w:tcBorders>
          </w:tcPr>
          <w:p>
            <w:pPr>
              <w:spacing w:after="0"/>
              <w:rPr>
                <w:sz w:val="9"/>
                <w:szCs w:val="9"/>
                <w:color w:val="auto"/>
              </w:rPr>
            </w:pPr>
          </w:p>
        </w:tc>
        <w:tc>
          <w:tcPr>
            <w:tcW w:w="1640" w:type="dxa"/>
            <w:vAlign w:val="bottom"/>
            <w:tcBorders>
              <w:bottom w:val="single" w:sz="8" w:color="B2B2B2"/>
            </w:tcBorders>
          </w:tcPr>
          <w:p>
            <w:pPr>
              <w:spacing w:after="0"/>
              <w:rPr>
                <w:sz w:val="9"/>
                <w:szCs w:val="9"/>
                <w:color w:val="auto"/>
              </w:rPr>
            </w:pPr>
          </w:p>
        </w:tc>
        <w:tc>
          <w:tcPr>
            <w:tcW w:w="4940" w:type="dxa"/>
            <w:vAlign w:val="bottom"/>
            <w:tcBorders>
              <w:bottom w:val="single" w:sz="8" w:color="B2B2B2"/>
            </w:tcBorders>
          </w:tcPr>
          <w:p>
            <w:pPr>
              <w:spacing w:after="0"/>
              <w:rPr>
                <w:sz w:val="9"/>
                <w:szCs w:val="9"/>
                <w:color w:val="auto"/>
              </w:rPr>
            </w:pPr>
          </w:p>
        </w:tc>
      </w:tr>
      <w:tr>
        <w:trPr>
          <w:trHeight w:val="218"/>
        </w:trPr>
        <w:tc>
          <w:tcPr>
            <w:tcW w:w="2700" w:type="dxa"/>
            <w:vAlign w:val="bottom"/>
          </w:tcPr>
          <w:p>
            <w:pPr>
              <w:ind w:left="80"/>
              <w:spacing w:after="0"/>
              <w:rPr>
                <w:sz w:val="20"/>
                <w:szCs w:val="20"/>
                <w:color w:val="auto"/>
              </w:rPr>
            </w:pPr>
            <w:r>
              <w:rPr>
                <w:rFonts w:ascii="Arial" w:cs="Arial" w:eastAsia="Arial" w:hAnsi="Arial"/>
                <w:sz w:val="16"/>
                <w:szCs w:val="16"/>
                <w:color w:val="auto"/>
              </w:rPr>
              <w:t>3 Times Square,</w:t>
            </w:r>
          </w:p>
        </w:tc>
        <w:tc>
          <w:tcPr>
            <w:tcW w:w="1520" w:type="dxa"/>
            <w:vAlign w:val="bottom"/>
          </w:tcPr>
          <w:p>
            <w:pPr>
              <w:ind w:left="140"/>
              <w:spacing w:after="0"/>
              <w:rPr>
                <w:sz w:val="20"/>
                <w:szCs w:val="20"/>
                <w:color w:val="auto"/>
              </w:rPr>
            </w:pPr>
            <w:r>
              <w:rPr>
                <w:rFonts w:ascii="Arial" w:cs="Arial" w:eastAsia="Arial" w:hAnsi="Arial"/>
                <w:sz w:val="16"/>
                <w:szCs w:val="16"/>
                <w:color w:val="auto"/>
              </w:rPr>
              <w:t>46,100</w:t>
            </w:r>
          </w:p>
        </w:tc>
        <w:tc>
          <w:tcPr>
            <w:tcW w:w="1640" w:type="dxa"/>
            <w:vAlign w:val="bottom"/>
          </w:tcPr>
          <w:p>
            <w:pPr>
              <w:ind w:left="320"/>
              <w:spacing w:after="0"/>
              <w:rPr>
                <w:sz w:val="20"/>
                <w:szCs w:val="20"/>
                <w:color w:val="auto"/>
              </w:rPr>
            </w:pPr>
            <w:r>
              <w:rPr>
                <w:rFonts w:ascii="Arial" w:cs="Arial" w:eastAsia="Arial" w:hAnsi="Arial"/>
                <w:sz w:val="16"/>
                <w:szCs w:val="16"/>
                <w:color w:val="auto"/>
              </w:rPr>
              <w:t>Owned/leased</w:t>
            </w:r>
            <w:r>
              <w:rPr>
                <w:rFonts w:ascii="Arial" w:cs="Arial" w:eastAsia="Arial" w:hAnsi="Arial"/>
                <w:sz w:val="19"/>
                <w:szCs w:val="19"/>
                <w:color w:val="auto"/>
                <w:vertAlign w:val="superscript"/>
              </w:rPr>
              <w:t>(2)</w:t>
            </w:r>
          </w:p>
        </w:tc>
        <w:tc>
          <w:tcPr>
            <w:tcW w:w="4940" w:type="dxa"/>
            <w:vAlign w:val="bottom"/>
          </w:tcPr>
          <w:p>
            <w:pPr>
              <w:ind w:left="200"/>
              <w:spacing w:after="0"/>
              <w:rPr>
                <w:sz w:val="20"/>
                <w:szCs w:val="20"/>
                <w:color w:val="auto"/>
              </w:rPr>
            </w:pPr>
            <w:r>
              <w:rPr>
                <w:rFonts w:ascii="Arial" w:cs="Arial" w:eastAsia="Arial" w:hAnsi="Arial"/>
                <w:sz w:val="16"/>
                <w:szCs w:val="16"/>
                <w:color w:val="auto"/>
              </w:rPr>
              <w:t>Reuters News, Legal Professionals and</w:t>
            </w:r>
          </w:p>
        </w:tc>
      </w:tr>
      <w:tr>
        <w:trPr>
          <w:trHeight w:val="185"/>
        </w:trPr>
        <w:tc>
          <w:tcPr>
            <w:tcW w:w="2700" w:type="dxa"/>
            <w:vAlign w:val="bottom"/>
          </w:tcPr>
          <w:p>
            <w:pPr>
              <w:ind w:left="80"/>
              <w:spacing w:after="0"/>
              <w:rPr>
                <w:sz w:val="20"/>
                <w:szCs w:val="20"/>
                <w:color w:val="auto"/>
              </w:rPr>
            </w:pPr>
            <w:r>
              <w:rPr>
                <w:rFonts w:ascii="Arial" w:cs="Arial" w:eastAsia="Arial" w:hAnsi="Arial"/>
                <w:sz w:val="16"/>
                <w:szCs w:val="16"/>
                <w:color w:val="auto"/>
              </w:rPr>
              <w:t>New York, New York,</w:t>
            </w:r>
          </w:p>
        </w:tc>
        <w:tc>
          <w:tcPr>
            <w:tcW w:w="15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940" w:type="dxa"/>
            <w:vAlign w:val="bottom"/>
          </w:tcPr>
          <w:p>
            <w:pPr>
              <w:ind w:left="200"/>
              <w:spacing w:after="0"/>
              <w:rPr>
                <w:sz w:val="20"/>
                <w:szCs w:val="20"/>
                <w:color w:val="auto"/>
              </w:rPr>
            </w:pPr>
            <w:r>
              <w:rPr>
                <w:rFonts w:ascii="Arial" w:cs="Arial" w:eastAsia="Arial" w:hAnsi="Arial"/>
                <w:sz w:val="16"/>
                <w:szCs w:val="16"/>
                <w:color w:val="auto"/>
              </w:rPr>
              <w:t>Corporates operating facility</w:t>
            </w:r>
          </w:p>
        </w:tc>
      </w:tr>
      <w:tr>
        <w:trPr>
          <w:trHeight w:val="210"/>
        </w:trPr>
        <w:tc>
          <w:tcPr>
            <w:tcW w:w="2700" w:type="dxa"/>
            <w:vAlign w:val="bottom"/>
          </w:tcPr>
          <w:p>
            <w:pPr>
              <w:ind w:left="80"/>
              <w:spacing w:after="0"/>
              <w:rPr>
                <w:sz w:val="20"/>
                <w:szCs w:val="20"/>
                <w:color w:val="auto"/>
              </w:rPr>
            </w:pPr>
            <w:r>
              <w:rPr>
                <w:rFonts w:ascii="Arial" w:cs="Arial" w:eastAsia="Arial" w:hAnsi="Arial"/>
                <w:sz w:val="16"/>
                <w:szCs w:val="16"/>
                <w:color w:val="auto"/>
              </w:rPr>
              <w:t>United States</w:t>
            </w:r>
          </w:p>
        </w:tc>
        <w:tc>
          <w:tcPr>
            <w:tcW w:w="1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109"/>
        </w:trPr>
        <w:tc>
          <w:tcPr>
            <w:tcW w:w="2700" w:type="dxa"/>
            <w:vAlign w:val="bottom"/>
            <w:tcBorders>
              <w:bottom w:val="single" w:sz="8" w:color="B2B2B2"/>
            </w:tcBorders>
          </w:tcPr>
          <w:p>
            <w:pPr>
              <w:spacing w:after="0"/>
              <w:rPr>
                <w:sz w:val="9"/>
                <w:szCs w:val="9"/>
                <w:color w:val="auto"/>
              </w:rPr>
            </w:pPr>
          </w:p>
        </w:tc>
        <w:tc>
          <w:tcPr>
            <w:tcW w:w="1520" w:type="dxa"/>
            <w:vAlign w:val="bottom"/>
            <w:tcBorders>
              <w:bottom w:val="single" w:sz="8" w:color="B2B2B2"/>
            </w:tcBorders>
          </w:tcPr>
          <w:p>
            <w:pPr>
              <w:spacing w:after="0"/>
              <w:rPr>
                <w:sz w:val="9"/>
                <w:szCs w:val="9"/>
                <w:color w:val="auto"/>
              </w:rPr>
            </w:pPr>
          </w:p>
        </w:tc>
        <w:tc>
          <w:tcPr>
            <w:tcW w:w="1640" w:type="dxa"/>
            <w:vAlign w:val="bottom"/>
            <w:tcBorders>
              <w:bottom w:val="single" w:sz="8" w:color="B2B2B2"/>
            </w:tcBorders>
          </w:tcPr>
          <w:p>
            <w:pPr>
              <w:spacing w:after="0"/>
              <w:rPr>
                <w:sz w:val="9"/>
                <w:szCs w:val="9"/>
                <w:color w:val="auto"/>
              </w:rPr>
            </w:pPr>
          </w:p>
        </w:tc>
        <w:tc>
          <w:tcPr>
            <w:tcW w:w="4940" w:type="dxa"/>
            <w:vAlign w:val="bottom"/>
            <w:tcBorders>
              <w:bottom w:val="single" w:sz="8" w:color="B2B2B2"/>
            </w:tcBorders>
          </w:tcPr>
          <w:p>
            <w:pPr>
              <w:spacing w:after="0"/>
              <w:rPr>
                <w:sz w:val="9"/>
                <w:szCs w:val="9"/>
                <w:color w:val="auto"/>
              </w:rPr>
            </w:pPr>
          </w:p>
        </w:tc>
      </w:tr>
      <w:tr>
        <w:trPr>
          <w:trHeight w:val="218"/>
        </w:trPr>
        <w:tc>
          <w:tcPr>
            <w:tcW w:w="2700" w:type="dxa"/>
            <w:vAlign w:val="bottom"/>
          </w:tcPr>
          <w:p>
            <w:pPr>
              <w:ind w:left="80"/>
              <w:spacing w:after="0"/>
              <w:rPr>
                <w:sz w:val="20"/>
                <w:szCs w:val="20"/>
                <w:color w:val="auto"/>
              </w:rPr>
            </w:pPr>
            <w:r>
              <w:rPr>
                <w:rFonts w:ascii="Arial" w:cs="Arial" w:eastAsia="Arial" w:hAnsi="Arial"/>
                <w:sz w:val="16"/>
                <w:szCs w:val="16"/>
                <w:color w:val="auto"/>
              </w:rPr>
              <w:t>Landis &amp; Gyr 3,</w:t>
            </w:r>
          </w:p>
        </w:tc>
        <w:tc>
          <w:tcPr>
            <w:tcW w:w="1520" w:type="dxa"/>
            <w:vAlign w:val="bottom"/>
          </w:tcPr>
          <w:p>
            <w:pPr>
              <w:ind w:left="140"/>
              <w:spacing w:after="0"/>
              <w:rPr>
                <w:sz w:val="20"/>
                <w:szCs w:val="20"/>
                <w:color w:val="auto"/>
              </w:rPr>
            </w:pPr>
            <w:r>
              <w:rPr>
                <w:rFonts w:ascii="Arial" w:cs="Arial" w:eastAsia="Arial" w:hAnsi="Arial"/>
                <w:sz w:val="16"/>
                <w:szCs w:val="16"/>
                <w:color w:val="auto"/>
              </w:rPr>
              <w:t>31,870</w:t>
            </w:r>
          </w:p>
        </w:tc>
        <w:tc>
          <w:tcPr>
            <w:tcW w:w="1640" w:type="dxa"/>
            <w:vAlign w:val="bottom"/>
          </w:tcPr>
          <w:p>
            <w:pPr>
              <w:ind w:left="320"/>
              <w:spacing w:after="0"/>
              <w:rPr>
                <w:sz w:val="20"/>
                <w:szCs w:val="20"/>
                <w:color w:val="auto"/>
              </w:rPr>
            </w:pPr>
            <w:r>
              <w:rPr>
                <w:rFonts w:ascii="Arial" w:cs="Arial" w:eastAsia="Arial" w:hAnsi="Arial"/>
                <w:sz w:val="16"/>
                <w:szCs w:val="16"/>
                <w:color w:val="auto"/>
              </w:rPr>
              <w:t>Leased</w:t>
            </w:r>
          </w:p>
        </w:tc>
        <w:tc>
          <w:tcPr>
            <w:tcW w:w="4940" w:type="dxa"/>
            <w:vAlign w:val="bottom"/>
          </w:tcPr>
          <w:p>
            <w:pPr>
              <w:ind w:left="200"/>
              <w:spacing w:after="0"/>
              <w:rPr>
                <w:sz w:val="20"/>
                <w:szCs w:val="20"/>
                <w:color w:val="auto"/>
              </w:rPr>
            </w:pPr>
            <w:r>
              <w:rPr>
                <w:rFonts w:ascii="Arial" w:cs="Arial" w:eastAsia="Arial" w:hAnsi="Arial"/>
                <w:sz w:val="16"/>
                <w:szCs w:val="16"/>
                <w:color w:val="auto"/>
              </w:rPr>
              <w:t>Enterprise Centre</w:t>
            </w:r>
          </w:p>
        </w:tc>
      </w:tr>
      <w:tr>
        <w:trPr>
          <w:trHeight w:val="210"/>
        </w:trPr>
        <w:tc>
          <w:tcPr>
            <w:tcW w:w="2700" w:type="dxa"/>
            <w:vAlign w:val="bottom"/>
          </w:tcPr>
          <w:p>
            <w:pPr>
              <w:ind w:left="80"/>
              <w:spacing w:after="0"/>
              <w:rPr>
                <w:sz w:val="20"/>
                <w:szCs w:val="20"/>
                <w:color w:val="auto"/>
              </w:rPr>
            </w:pPr>
            <w:r>
              <w:rPr>
                <w:rFonts w:ascii="Arial" w:cs="Arial" w:eastAsia="Arial" w:hAnsi="Arial"/>
                <w:sz w:val="16"/>
                <w:szCs w:val="16"/>
                <w:color w:val="auto"/>
              </w:rPr>
              <w:t>Zug, Switzerland</w:t>
            </w:r>
          </w:p>
        </w:tc>
        <w:tc>
          <w:tcPr>
            <w:tcW w:w="1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9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69215</wp:posOffset>
            </wp:positionV>
            <wp:extent cx="686562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65620" cy="16510"/>
                    </a:xfrm>
                    <a:prstGeom prst="rect">
                      <a:avLst/>
                    </a:prstGeom>
                    <a:noFill/>
                  </pic:spPr>
                </pic:pic>
              </a:graphicData>
            </a:graphic>
          </wp:anchor>
        </w:drawing>
      </w:r>
    </w:p>
    <w:p>
      <w:pPr>
        <w:spacing w:after="0" w:line="172" w:lineRule="exact"/>
        <w:rPr>
          <w:sz w:val="20"/>
          <w:szCs w:val="20"/>
          <w:color w:val="auto"/>
        </w:rPr>
      </w:pPr>
    </w:p>
    <w:p>
      <w:pPr>
        <w:ind w:left="640" w:hanging="316"/>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New Tax &amp; Accounting Professionals operating facility lease which replaces former Thomson Reuters-owned Carrolton TX facility.</w:t>
      </w:r>
    </w:p>
    <w:p>
      <w:pPr>
        <w:spacing w:after="0" w:line="12" w:lineRule="exact"/>
        <w:rPr>
          <w:rFonts w:ascii="Arial" w:cs="Arial" w:eastAsia="Arial" w:hAnsi="Arial"/>
          <w:sz w:val="14"/>
          <w:szCs w:val="14"/>
          <w:color w:val="auto"/>
        </w:rPr>
      </w:pPr>
    </w:p>
    <w:p>
      <w:pPr>
        <w:ind w:left="640" w:right="240" w:hanging="316"/>
        <w:spacing w:after="0" w:line="253" w:lineRule="auto"/>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landlord (3XSQ Associates) is an entity owned by one of our subsidiaries and Rudin Times Square Associates LLC. 3XSQ Associates was formed to build and operate the 3 Times Square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92710</wp:posOffset>
            </wp:positionV>
            <wp:extent cx="68656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ectPr>
          <w:pgSz w:w="11900" w:h="16838" w:orient="portrait"/>
          <w:cols w:equalWidth="0" w:num="1">
            <w:col w:w="11040"/>
          </w:cols>
          <w:pgMar w:left="320" w:top="477" w:right="539" w:bottom="1440" w:gutter="0" w:footer="0" w:header="0"/>
        </w:sectPr>
      </w:pPr>
    </w:p>
    <w:p>
      <w:pPr>
        <w:spacing w:after="0" w:line="164"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15</w:t>
      </w:r>
    </w:p>
    <w:p>
      <w:pPr>
        <w:sectPr>
          <w:pgSz w:w="11900" w:h="16838" w:orient="portrait"/>
          <w:cols w:equalWidth="0" w:num="1">
            <w:col w:w="11040"/>
          </w:cols>
          <w:pgMar w:left="320" w:top="477" w:right="5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46"/>
          <w:szCs w:val="46"/>
          <w:color w:val="D64000"/>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217805</wp:posOffset>
            </wp:positionV>
            <wp:extent cx="68656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220" w:right="180"/>
        <w:spacing w:after="0" w:line="252" w:lineRule="auto"/>
        <w:rPr>
          <w:sz w:val="20"/>
          <w:szCs w:val="20"/>
          <w:color w:val="auto"/>
        </w:rPr>
      </w:pPr>
      <w:r>
        <w:rPr>
          <w:rFonts w:ascii="Arial" w:cs="Arial" w:eastAsia="Arial" w:hAnsi="Arial"/>
          <w:sz w:val="26"/>
          <w:szCs w:val="26"/>
          <w:color w:val="auto"/>
        </w:rPr>
        <w:t>The risks and uncertainties below represent the risks that our management believes could be material. If any of the events or developments discussed below actually occurs, our business, financial condition or results of operations could be adversely affected. Other factors not presently known to us or that we presently believe are not material could also affect our future business and operations. The risks below are organized by categories and are not necessarily listed in the order of priority to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184150</wp:posOffset>
            </wp:positionV>
            <wp:extent cx="68656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220" w:type="dxa"/>
        <w:tblCellMar>
          <w:top w:w="0" w:type="dxa"/>
          <w:left w:w="0" w:type="dxa"/>
          <w:bottom w:w="0" w:type="dxa"/>
          <w:right w:w="0" w:type="dxa"/>
        </w:tblCellMar>
      </w:tblPr>
      <w:tr>
        <w:trPr>
          <w:trHeight w:val="200"/>
        </w:trPr>
        <w:tc>
          <w:tcPr>
            <w:tcW w:w="10000" w:type="dxa"/>
            <w:vAlign w:val="bottom"/>
            <w:gridSpan w:val="6"/>
          </w:tcPr>
          <w:p>
            <w:pPr>
              <w:spacing w:after="0"/>
              <w:rPr>
                <w:sz w:val="20"/>
                <w:szCs w:val="20"/>
                <w:color w:val="auto"/>
              </w:rPr>
            </w:pPr>
            <w:r>
              <w:rPr>
                <w:rFonts w:ascii="Arial" w:cs="Arial" w:eastAsia="Arial" w:hAnsi="Arial"/>
                <w:sz w:val="16"/>
                <w:szCs w:val="16"/>
                <w:b w:val="1"/>
                <w:bCs w:val="1"/>
                <w:color w:val="auto"/>
              </w:rPr>
              <w:t>Risk Category</w:t>
            </w:r>
          </w:p>
        </w:tc>
        <w:tc>
          <w:tcPr>
            <w:tcW w:w="4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94"/>
              </w:rPr>
              <w:t>Page</w:t>
            </w:r>
          </w:p>
        </w:tc>
        <w:tc>
          <w:tcPr>
            <w:tcW w:w="0" w:type="dxa"/>
            <w:vAlign w:val="bottom"/>
          </w:tcPr>
          <w:p>
            <w:pPr>
              <w:spacing w:after="0"/>
              <w:rPr>
                <w:sz w:val="1"/>
                <w:szCs w:val="1"/>
                <w:color w:val="auto"/>
              </w:rPr>
            </w:pPr>
          </w:p>
        </w:tc>
      </w:tr>
      <w:tr>
        <w:trPr>
          <w:trHeight w:val="139"/>
        </w:trPr>
        <w:tc>
          <w:tcPr>
            <w:tcW w:w="1060" w:type="dxa"/>
            <w:vAlign w:val="bottom"/>
            <w:tcBorders>
              <w:bottom w:val="single" w:sz="8" w:color="0000EE"/>
            </w:tcBorders>
          </w:tcPr>
          <w:p>
            <w:pPr>
              <w:spacing w:after="0" w:line="119" w:lineRule="exact"/>
              <w:rPr>
                <w:sz w:val="20"/>
                <w:szCs w:val="20"/>
                <w:color w:val="auto"/>
              </w:rPr>
            </w:pPr>
            <w:r>
              <w:rPr>
                <w:rFonts w:ascii="Arial" w:cs="Arial" w:eastAsia="Arial" w:hAnsi="Arial"/>
                <w:sz w:val="12"/>
                <w:szCs w:val="12"/>
                <w:color w:val="0000EE"/>
              </w:rPr>
              <w:t>Strategic Risks</w:t>
            </w:r>
          </w:p>
        </w:tc>
        <w:tc>
          <w:tcPr>
            <w:tcW w:w="8940" w:type="dxa"/>
            <w:vAlign w:val="bottom"/>
            <w:gridSpan w:val="5"/>
          </w:tcPr>
          <w:p>
            <w:pPr>
              <w:spacing w:after="0"/>
              <w:rPr>
                <w:sz w:val="12"/>
                <w:szCs w:val="12"/>
                <w:color w:val="auto"/>
              </w:rPr>
            </w:pPr>
          </w:p>
        </w:tc>
        <w:tc>
          <w:tcPr>
            <w:tcW w:w="3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color w:val="auto"/>
              </w:rPr>
              <w:t>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0000" w:type="dxa"/>
            <w:vAlign w:val="bottom"/>
            <w:gridSpan w:val="6"/>
          </w:tcPr>
          <w:p>
            <w:pPr>
              <w:spacing w:after="0" w:line="179" w:lineRule="exact"/>
              <w:rPr>
                <w:sz w:val="20"/>
                <w:szCs w:val="20"/>
                <w:color w:val="auto"/>
              </w:rPr>
            </w:pPr>
            <w:r>
              <w:rPr>
                <w:rFonts w:ascii="Arial" w:cs="Arial" w:eastAsia="Arial" w:hAnsi="Arial"/>
                <w:sz w:val="16"/>
                <w:szCs w:val="16"/>
                <w:color w:val="0000EE"/>
              </w:rPr>
              <w:t>Technology and Data Risks</w:t>
            </w:r>
          </w:p>
        </w:tc>
        <w:tc>
          <w:tcPr>
            <w:tcW w:w="400" w:type="dxa"/>
            <w:vAlign w:val="bottom"/>
            <w:gridSpan w:val="2"/>
          </w:tcPr>
          <w:p>
            <w:pPr>
              <w:jc w:val="right"/>
              <w:ind w:right="20"/>
              <w:spacing w:after="0" w:line="179"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65"/>
        </w:trPr>
        <w:tc>
          <w:tcPr>
            <w:tcW w:w="1920" w:type="dxa"/>
            <w:vAlign w:val="bottom"/>
            <w:tcBorders>
              <w:top w:val="single" w:sz="8" w:color="0000EE"/>
            </w:tcBorders>
            <w:gridSpan w:val="4"/>
          </w:tcPr>
          <w:p>
            <w:pPr>
              <w:spacing w:after="0" w:line="165" w:lineRule="exact"/>
              <w:rPr>
                <w:sz w:val="20"/>
                <w:szCs w:val="20"/>
                <w:color w:val="auto"/>
              </w:rPr>
            </w:pPr>
            <w:r>
              <w:rPr>
                <w:rFonts w:ascii="Arial" w:cs="Arial" w:eastAsia="Arial" w:hAnsi="Arial"/>
                <w:sz w:val="16"/>
                <w:szCs w:val="16"/>
                <w:color w:val="0000EE"/>
              </w:rPr>
              <w:t>Operational Risks</w:t>
            </w:r>
          </w:p>
        </w:tc>
        <w:tc>
          <w:tcPr>
            <w:tcW w:w="15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400" w:type="dxa"/>
            <w:vAlign w:val="bottom"/>
            <w:gridSpan w:val="2"/>
          </w:tcPr>
          <w:p>
            <w:pPr>
              <w:jc w:val="right"/>
              <w:ind w:right="20"/>
              <w:spacing w:after="0" w:line="165"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66"/>
        </w:trPr>
        <w:tc>
          <w:tcPr>
            <w:tcW w:w="1260" w:type="dxa"/>
            <w:vAlign w:val="bottom"/>
            <w:tcBorders>
              <w:top w:val="single" w:sz="8" w:color="0000EE"/>
            </w:tcBorders>
            <w:gridSpan w:val="2"/>
          </w:tcPr>
          <w:p>
            <w:pPr>
              <w:spacing w:after="0" w:line="165" w:lineRule="exact"/>
              <w:rPr>
                <w:sz w:val="20"/>
                <w:szCs w:val="20"/>
                <w:color w:val="auto"/>
              </w:rPr>
            </w:pPr>
            <w:r>
              <w:rPr>
                <w:rFonts w:ascii="Arial" w:cs="Arial" w:eastAsia="Arial" w:hAnsi="Arial"/>
                <w:sz w:val="16"/>
                <w:szCs w:val="16"/>
                <w:color w:val="0000EE"/>
                <w:w w:val="98"/>
              </w:rPr>
              <w:t>Legal, Regulatory</w:t>
            </w:r>
          </w:p>
        </w:tc>
        <w:tc>
          <w:tcPr>
            <w:tcW w:w="8740" w:type="dxa"/>
            <w:vAlign w:val="bottom"/>
            <w:gridSpan w:val="4"/>
          </w:tcPr>
          <w:p>
            <w:pPr>
              <w:ind w:left="20"/>
              <w:spacing w:after="0" w:line="165" w:lineRule="exact"/>
              <w:rPr>
                <w:sz w:val="20"/>
                <w:szCs w:val="20"/>
                <w:color w:val="auto"/>
              </w:rPr>
            </w:pPr>
            <w:r>
              <w:rPr>
                <w:rFonts w:ascii="Arial" w:cs="Arial" w:eastAsia="Arial" w:hAnsi="Arial"/>
                <w:sz w:val="16"/>
                <w:szCs w:val="16"/>
                <w:color w:val="0000EE"/>
              </w:rPr>
              <w:t>and Intellectual Property Risks</w:t>
            </w:r>
          </w:p>
        </w:tc>
        <w:tc>
          <w:tcPr>
            <w:tcW w:w="400" w:type="dxa"/>
            <w:vAlign w:val="bottom"/>
            <w:gridSpan w:val="2"/>
          </w:tcPr>
          <w:p>
            <w:pPr>
              <w:jc w:val="right"/>
              <w:ind w:right="20"/>
              <w:spacing w:after="0" w:line="165" w:lineRule="exact"/>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66"/>
        </w:trPr>
        <w:tc>
          <w:tcPr>
            <w:tcW w:w="3440" w:type="dxa"/>
            <w:vAlign w:val="bottom"/>
            <w:tcBorders>
              <w:top w:val="single" w:sz="8" w:color="0000EE"/>
            </w:tcBorders>
            <w:gridSpan w:val="5"/>
          </w:tcPr>
          <w:p>
            <w:pPr>
              <w:spacing w:after="0" w:line="165" w:lineRule="exact"/>
              <w:rPr>
                <w:sz w:val="20"/>
                <w:szCs w:val="20"/>
                <w:color w:val="auto"/>
              </w:rPr>
            </w:pPr>
            <w:r>
              <w:rPr>
                <w:rFonts w:ascii="Arial" w:cs="Arial" w:eastAsia="Arial" w:hAnsi="Arial"/>
                <w:sz w:val="16"/>
                <w:szCs w:val="16"/>
                <w:color w:val="0000EE"/>
              </w:rPr>
              <w:t>Financial Risks</w:t>
            </w:r>
          </w:p>
        </w:tc>
        <w:tc>
          <w:tcPr>
            <w:tcW w:w="6560" w:type="dxa"/>
            <w:vAlign w:val="bottom"/>
          </w:tcPr>
          <w:p>
            <w:pPr>
              <w:spacing w:after="0"/>
              <w:rPr>
                <w:sz w:val="14"/>
                <w:szCs w:val="14"/>
                <w:color w:val="auto"/>
              </w:rPr>
            </w:pPr>
          </w:p>
        </w:tc>
        <w:tc>
          <w:tcPr>
            <w:tcW w:w="400" w:type="dxa"/>
            <w:vAlign w:val="bottom"/>
            <w:gridSpan w:val="2"/>
          </w:tcPr>
          <w:p>
            <w:pPr>
              <w:jc w:val="right"/>
              <w:ind w:right="20"/>
              <w:spacing w:after="0" w:line="165"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180" w:type="dxa"/>
            <w:vAlign w:val="bottom"/>
            <w:gridSpan w:val="3"/>
          </w:tcPr>
          <w:p>
            <w:pPr>
              <w:spacing w:after="0" w:line="20" w:lineRule="exact"/>
              <w:rPr>
                <w:sz w:val="1"/>
                <w:szCs w:val="1"/>
                <w:color w:val="auto"/>
              </w:rPr>
            </w:pPr>
          </w:p>
        </w:tc>
        <w:tc>
          <w:tcPr>
            <w:tcW w:w="4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line="20" w:lineRule="exact"/>
              <w:rPr>
                <w:sz w:val="1"/>
                <w:szCs w:val="1"/>
                <w:color w:val="auto"/>
              </w:rPr>
            </w:pPr>
          </w:p>
        </w:tc>
      </w:tr>
      <w:tr>
        <w:trPr>
          <w:trHeight w:val="165"/>
        </w:trPr>
        <w:tc>
          <w:tcPr>
            <w:tcW w:w="10000" w:type="dxa"/>
            <w:vAlign w:val="bottom"/>
            <w:gridSpan w:val="6"/>
          </w:tcPr>
          <w:p>
            <w:pPr>
              <w:spacing w:after="0" w:line="165" w:lineRule="exact"/>
              <w:rPr>
                <w:sz w:val="20"/>
                <w:szCs w:val="20"/>
                <w:color w:val="auto"/>
              </w:rPr>
            </w:pPr>
            <w:r>
              <w:rPr>
                <w:rFonts w:ascii="Arial" w:cs="Arial" w:eastAsia="Arial" w:hAnsi="Arial"/>
                <w:sz w:val="16"/>
                <w:szCs w:val="16"/>
                <w:color w:val="0000EE"/>
              </w:rPr>
              <w:t>Corporate Structure Risks</w:t>
            </w:r>
          </w:p>
        </w:tc>
        <w:tc>
          <w:tcPr>
            <w:tcW w:w="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5020"/>
        <w:spacing w:after="0"/>
        <w:rPr>
          <w:sz w:val="20"/>
          <w:szCs w:val="20"/>
          <w:color w:val="auto"/>
        </w:rPr>
      </w:pPr>
      <w:r>
        <w:rPr>
          <w:rFonts w:ascii="Arial" w:cs="Arial" w:eastAsia="Arial" w:hAnsi="Arial"/>
          <w:sz w:val="17"/>
          <w:szCs w:val="17"/>
          <w:b w:val="1"/>
          <w:bCs w:val="1"/>
          <w:u w:val="single" w:color="auto"/>
          <w:color w:val="auto"/>
        </w:rPr>
        <w:t>Strategic Risks</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We operate in highly competitive markets and may be adversely affected by this competition.</w:t>
      </w:r>
    </w:p>
    <w:p>
      <w:pPr>
        <w:spacing w:after="0" w:line="70" w:lineRule="exact"/>
        <w:rPr>
          <w:sz w:val="20"/>
          <w:szCs w:val="20"/>
          <w:color w:val="auto"/>
        </w:rPr>
      </w:pPr>
    </w:p>
    <w:p>
      <w:pPr>
        <w:jc w:val="both"/>
        <w:ind w:left="220" w:right="120"/>
        <w:spacing w:after="0" w:line="254" w:lineRule="auto"/>
        <w:rPr>
          <w:sz w:val="20"/>
          <w:szCs w:val="20"/>
          <w:color w:val="auto"/>
        </w:rPr>
      </w:pPr>
      <w:r>
        <w:rPr>
          <w:rFonts w:ascii="Arial" w:cs="Arial" w:eastAsia="Arial" w:hAnsi="Arial"/>
          <w:sz w:val="16"/>
          <w:szCs w:val="16"/>
          <w:color w:val="auto"/>
        </w:rPr>
        <w:t>The markets for our information, software, services and news are highly competitive and are subject to rapid technological changes and evolving customer demands and needs, including, as an example, the recent transformation brought on by the development and use of generative AI and the capabilities it offers across the spectrum of how businesses operate. Our customers increasingly look to us for solutions to help them adapt, improve efficiency and demonstrate value through leveraging technology to deliver a differentiated work product. If we fail to compete effectively and with speed to market, we may not retain key customers and our revenues, profitability and cash flows could be adversely affected.</w:t>
      </w:r>
    </w:p>
    <w:p>
      <w:pPr>
        <w:spacing w:after="0" w:line="47" w:lineRule="exact"/>
        <w:rPr>
          <w:sz w:val="20"/>
          <w:szCs w:val="20"/>
          <w:color w:val="auto"/>
        </w:rPr>
      </w:pPr>
    </w:p>
    <w:p>
      <w:pPr>
        <w:ind w:left="220" w:right="80"/>
        <w:spacing w:after="0" w:line="233" w:lineRule="auto"/>
        <w:rPr>
          <w:sz w:val="20"/>
          <w:szCs w:val="20"/>
          <w:color w:val="auto"/>
        </w:rPr>
      </w:pPr>
      <w:r>
        <w:rPr>
          <w:rFonts w:ascii="Arial" w:cs="Arial" w:eastAsia="Arial" w:hAnsi="Arial"/>
          <w:sz w:val="17"/>
          <w:szCs w:val="17"/>
          <w:color w:val="auto"/>
        </w:rPr>
        <w:t>We face more competition as generative AI continues to be integrated into the markets in which we compete. New and existing competitors may incorporate AI into their products and solutions sooner and more successfully than we do and achieve greater, faster and more effective adoption by customers, which could impair our ability to compete effectively and adversely affect our business and financial results. If we are not able to provide products, services and solutions that compete effectively, we could experience reduced sales and our business could be adversely affected. Our established, principal competitors have substantial resources, with recognized brands, technological expertise and market experience. With the acceleration of generative AI technologies there is a risk of our deep domain expertise and content-driven technology focus being undermined by competitors who evolve to provide comparable information and services to our customer base. Our business may be adversely impacted by risks such as the following:</w:t>
      </w:r>
    </w:p>
    <w:p>
      <w:pPr>
        <w:spacing w:after="0" w:line="59" w:lineRule="exact"/>
        <w:rPr>
          <w:sz w:val="20"/>
          <w:szCs w:val="20"/>
          <w:color w:val="auto"/>
        </w:rPr>
      </w:pPr>
    </w:p>
    <w:p>
      <w:pPr>
        <w:jc w:val="both"/>
        <w:ind w:left="540" w:right="300" w:hanging="322"/>
        <w:spacing w:after="0" w:line="254" w:lineRule="auto"/>
        <w:tabs>
          <w:tab w:leader="none" w:pos="540" w:val="left"/>
        </w:tabs>
        <w:numPr>
          <w:ilvl w:val="0"/>
          <w:numId w:val="25"/>
        </w:numPr>
        <w:rPr>
          <w:rFonts w:ascii="Arial" w:cs="Arial" w:eastAsia="Arial" w:hAnsi="Arial"/>
          <w:sz w:val="16"/>
          <w:szCs w:val="16"/>
          <w:color w:val="D64000"/>
        </w:rPr>
      </w:pPr>
      <w:r>
        <w:rPr>
          <w:rFonts w:ascii="Arial" w:cs="Arial" w:eastAsia="Arial" w:hAnsi="Arial"/>
          <w:sz w:val="16"/>
          <w:szCs w:val="16"/>
          <w:color w:val="auto"/>
        </w:rPr>
        <w:t>We have seen an increase in well-funded new competitors focused on leveraging technological advancements, particularly generative AI, which has reduced barriers to entry. Some of these new entrants also differentiate themselves by being specialized, with a narrower focus than our company, and therefore may be able to adopt and implement newer technology faster than we can or at lower price points.</w:t>
      </w:r>
    </w:p>
    <w:p>
      <w:pPr>
        <w:spacing w:after="0" w:line="1" w:lineRule="exact"/>
        <w:rPr>
          <w:rFonts w:ascii="Arial" w:cs="Arial" w:eastAsia="Arial" w:hAnsi="Arial"/>
          <w:sz w:val="16"/>
          <w:szCs w:val="16"/>
          <w:color w:val="D64000"/>
        </w:rPr>
      </w:pPr>
    </w:p>
    <w:p>
      <w:pPr>
        <w:ind w:left="540" w:right="420" w:hanging="322"/>
        <w:spacing w:after="0" w:line="235" w:lineRule="auto"/>
        <w:tabs>
          <w:tab w:leader="none" w:pos="540" w:val="left"/>
        </w:tabs>
        <w:numPr>
          <w:ilvl w:val="0"/>
          <w:numId w:val="25"/>
        </w:numPr>
        <w:rPr>
          <w:rFonts w:ascii="Arial" w:cs="Arial" w:eastAsia="Arial" w:hAnsi="Arial"/>
          <w:sz w:val="17"/>
          <w:szCs w:val="17"/>
          <w:color w:val="D64000"/>
        </w:rPr>
      </w:pPr>
      <w:r>
        <w:rPr>
          <w:rFonts w:ascii="Arial" w:cs="Arial" w:eastAsia="Arial" w:hAnsi="Arial"/>
          <w:sz w:val="17"/>
          <w:szCs w:val="17"/>
          <w:color w:val="auto"/>
        </w:rPr>
        <w:t>The application of generative AI technologies across public sources of free or relatively inexpensive information which is available online increases the competition risk and can diminish the perceived value of packaging this content for our target customers.</w:t>
      </w:r>
    </w:p>
    <w:p>
      <w:pPr>
        <w:spacing w:after="0" w:line="1" w:lineRule="exact"/>
        <w:rPr>
          <w:rFonts w:ascii="Arial" w:cs="Arial" w:eastAsia="Arial" w:hAnsi="Arial"/>
          <w:sz w:val="17"/>
          <w:szCs w:val="17"/>
          <w:color w:val="D64000"/>
        </w:rPr>
      </w:pPr>
    </w:p>
    <w:p>
      <w:pPr>
        <w:ind w:left="540" w:right="140" w:hanging="322"/>
        <w:spacing w:after="0" w:line="231" w:lineRule="auto"/>
        <w:tabs>
          <w:tab w:leader="none" w:pos="540" w:val="left"/>
        </w:tabs>
        <w:numPr>
          <w:ilvl w:val="0"/>
          <w:numId w:val="25"/>
        </w:numPr>
        <w:rPr>
          <w:rFonts w:ascii="Arial" w:cs="Arial" w:eastAsia="Arial" w:hAnsi="Arial"/>
          <w:sz w:val="17"/>
          <w:szCs w:val="17"/>
          <w:color w:val="D64000"/>
        </w:rPr>
      </w:pPr>
      <w:r>
        <w:rPr>
          <w:rFonts w:ascii="Arial" w:cs="Arial" w:eastAsia="Arial" w:hAnsi="Arial"/>
          <w:sz w:val="17"/>
          <w:szCs w:val="17"/>
          <w:color w:val="auto"/>
        </w:rPr>
        <w:t>Some of our customers may independently develop products and services that compete with ours, including through the formation of partnerships or consortia. In addition, the growing awareness and understanding of use cases of transformative AI technologies may see us facing displacement from our own customers as they explore internal development of products and services that compete with our offerings. If customers become internally self-sufficient, demand for our products may be reduced.</w:t>
      </w:r>
    </w:p>
    <w:p>
      <w:pPr>
        <w:spacing w:after="0" w:line="2" w:lineRule="exact"/>
        <w:rPr>
          <w:rFonts w:ascii="Arial" w:cs="Arial" w:eastAsia="Arial" w:hAnsi="Arial"/>
          <w:sz w:val="17"/>
          <w:szCs w:val="17"/>
          <w:color w:val="D64000"/>
        </w:rPr>
      </w:pPr>
    </w:p>
    <w:p>
      <w:pPr>
        <w:ind w:left="540" w:right="40" w:hanging="322"/>
        <w:spacing w:after="0" w:line="247" w:lineRule="auto"/>
        <w:tabs>
          <w:tab w:leader="none" w:pos="540" w:val="left"/>
        </w:tabs>
        <w:numPr>
          <w:ilvl w:val="0"/>
          <w:numId w:val="25"/>
        </w:numPr>
        <w:rPr>
          <w:rFonts w:ascii="Arial" w:cs="Arial" w:eastAsia="Arial" w:hAnsi="Arial"/>
          <w:sz w:val="16"/>
          <w:szCs w:val="16"/>
          <w:color w:val="D64000"/>
        </w:rPr>
      </w:pPr>
      <w:r>
        <w:rPr>
          <w:rFonts w:ascii="Arial" w:cs="Arial" w:eastAsia="Arial" w:hAnsi="Arial"/>
          <w:sz w:val="16"/>
          <w:szCs w:val="16"/>
          <w:color w:val="auto"/>
        </w:rPr>
        <w:t>Some of our competitors aggressively market their products as a lower cost alternative and offer price incentives to acquire new business. As some of our competitors offer products and services that may be viewed as more cost effective than ours or which may be seen as having greater functionality or performance than ours, the relative value of some of our products or services could be diminished. Competition may require us to reduce the price of some of our products and services (which may result in lower revenues) or make additional capital investments (which might result in lower profit margins). If we are unable or unwilling to reduce prices or make additional investments for some of our products and services in the future, we may lose customers and our financial results may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90170</wp:posOffset>
            </wp:positionV>
            <wp:extent cx="68656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3"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16</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540" w:right="20" w:hanging="322"/>
        <w:spacing w:after="0" w:line="238" w:lineRule="auto"/>
        <w:tabs>
          <w:tab w:leader="none" w:pos="540" w:val="left"/>
        </w:tabs>
        <w:numPr>
          <w:ilvl w:val="0"/>
          <w:numId w:val="26"/>
        </w:numPr>
        <w:rPr>
          <w:rFonts w:ascii="Arial" w:cs="Arial" w:eastAsia="Arial" w:hAnsi="Arial"/>
          <w:sz w:val="17"/>
          <w:szCs w:val="17"/>
          <w:color w:val="D64000"/>
        </w:rPr>
      </w:pPr>
      <w:r>
        <w:rPr>
          <w:rFonts w:ascii="Arial" w:cs="Arial" w:eastAsia="Arial" w:hAnsi="Arial"/>
          <w:sz w:val="17"/>
          <w:szCs w:val="17"/>
          <w:color w:val="auto"/>
        </w:rPr>
        <w:t>Some of our principal competitors are established companies and firms that have substantial financial resources, recognized brands in certain product segments, or have more established positions in certain geographic regions than we do. Some larger companies that compete with us, such as enterprise resource planning companies, have large installed customer bases and may change or expand the focus of their business strategies to target our customers.</w:t>
      </w:r>
    </w:p>
    <w:p>
      <w:pPr>
        <w:spacing w:after="0" w:line="46" w:lineRule="exact"/>
        <w:rPr>
          <w:sz w:val="20"/>
          <w:szCs w:val="20"/>
          <w:color w:val="auto"/>
        </w:rPr>
      </w:pPr>
    </w:p>
    <w:p>
      <w:pPr>
        <w:ind w:left="220" w:right="340"/>
        <w:spacing w:after="0" w:line="269" w:lineRule="auto"/>
        <w:rPr>
          <w:sz w:val="20"/>
          <w:szCs w:val="20"/>
          <w:color w:val="auto"/>
        </w:rPr>
      </w:pPr>
      <w:r>
        <w:rPr>
          <w:rFonts w:ascii="Arial" w:cs="Arial" w:eastAsia="Arial" w:hAnsi="Arial"/>
          <w:sz w:val="17"/>
          <w:szCs w:val="17"/>
          <w:b w:val="1"/>
          <w:bCs w:val="1"/>
          <w:color w:val="auto"/>
        </w:rPr>
        <w:t>We may be adversely affected by uncertainty, downturns and changes in the markets that we serve, particularly in the legal, tax and accounting industries.</w:t>
      </w:r>
    </w:p>
    <w:p>
      <w:pPr>
        <w:spacing w:after="0" w:line="26" w:lineRule="exact"/>
        <w:rPr>
          <w:sz w:val="20"/>
          <w:szCs w:val="20"/>
          <w:color w:val="auto"/>
        </w:rPr>
      </w:pPr>
    </w:p>
    <w:p>
      <w:pPr>
        <w:ind w:left="220" w:right="200"/>
        <w:spacing w:after="0" w:line="236" w:lineRule="auto"/>
        <w:rPr>
          <w:sz w:val="20"/>
          <w:szCs w:val="20"/>
          <w:color w:val="auto"/>
        </w:rPr>
      </w:pPr>
      <w:r>
        <w:rPr>
          <w:rFonts w:ascii="Arial" w:cs="Arial" w:eastAsia="Arial" w:hAnsi="Arial"/>
          <w:sz w:val="17"/>
          <w:szCs w:val="17"/>
          <w:color w:val="auto"/>
        </w:rPr>
        <w:t>We operate in a dynamic external environment that is rapidly shifting due to innovations in technology, evolving and increasing global regulation and information proliferation. Uncertainty, downturns and changes that impact our business can also arise as a result of conditions in global financial markets, changes in macroeconomic factors, changes in laws and regulations, political conditions and election outcomes, political and social unrest, wars and conflicts, terrorist acts, cyber-attacks, economic and regulatory sanctions, natural disasters and public health crises and other factors over which we have no control.</w:t>
      </w:r>
    </w:p>
    <w:p>
      <w:pPr>
        <w:spacing w:after="0" w:line="59" w:lineRule="exact"/>
        <w:rPr>
          <w:sz w:val="20"/>
          <w:szCs w:val="20"/>
          <w:color w:val="auto"/>
        </w:rPr>
      </w:pPr>
    </w:p>
    <w:p>
      <w:pPr>
        <w:ind w:left="220" w:right="120"/>
        <w:spacing w:after="0" w:line="231" w:lineRule="auto"/>
        <w:rPr>
          <w:sz w:val="20"/>
          <w:szCs w:val="20"/>
          <w:color w:val="auto"/>
        </w:rPr>
      </w:pPr>
      <w:r>
        <w:rPr>
          <w:rFonts w:ascii="Arial" w:cs="Arial" w:eastAsia="Arial" w:hAnsi="Arial"/>
          <w:sz w:val="17"/>
          <w:szCs w:val="17"/>
          <w:color w:val="auto"/>
        </w:rPr>
        <w:t>Our performance depends on the financial health and strength of our customers, which in turn is primarily dependent on the general economy in the United States (73% of our 2024 revenues) and secondarily on the general economies in the U.K., Canada, Brazil and other economies of Europe, Asia Pacific, and Latin America. The global economy continues to experience substantial disruption and uncertainty due to persisting geopolitical tensions, ongoing protectionism measures (including the imposition of new tariffs, as well as related retaliatory measures), weaker global demand, an evolving interest rate and inflationary backdrop, supply chain disruptions, labour shortages and other events. These factors may create unprecedented economic conditions, including the possibility of an economic recession that may last substantially longer than expected, and create stress on economic growth and market volatility. These conditions could lead to limited business opportunities for our customers, creating significant cost pressures for some of them, which could lead to lower demand for our products and services. We are unable to predict the extent of impact or duration of any such economic conditions, or their ultimate impact on demand for our products and services. In 2024, we derived 82% of our revenues from our Legal Professionals, Corporates and Tax &amp; Accounting Professionals businesses. Global uncertainty and changing economic conditions can impact these industries.</w:t>
      </w:r>
    </w:p>
    <w:p>
      <w:pPr>
        <w:spacing w:after="0" w:line="50" w:lineRule="exact"/>
        <w:rPr>
          <w:sz w:val="20"/>
          <w:szCs w:val="20"/>
          <w:color w:val="auto"/>
        </w:rPr>
      </w:pPr>
    </w:p>
    <w:p>
      <w:pPr>
        <w:ind w:left="220" w:right="20"/>
        <w:spacing w:after="0" w:line="234" w:lineRule="auto"/>
        <w:rPr>
          <w:sz w:val="20"/>
          <w:szCs w:val="20"/>
          <w:color w:val="auto"/>
        </w:rPr>
      </w:pPr>
      <w:r>
        <w:rPr>
          <w:rFonts w:ascii="Arial" w:cs="Arial" w:eastAsia="Arial" w:hAnsi="Arial"/>
          <w:sz w:val="17"/>
          <w:szCs w:val="17"/>
          <w:color w:val="auto"/>
        </w:rPr>
        <w:t>The profitability of our products and services relies on our customers’ demand for and usage of our products and services. While we endeavour to accurately predict these trends, with the impact of changing technology on our customers’ business models, it has become difficult to accurately predict our customers’ demand for our products and services. Cost-cutting, reduced spending or reduced activity by customers may decrease demand for, and usage of, some of our products and services. This could adversely affect our financial results by reducing our revenues, which could in turn reduce the profitability of some of our products and services. Some of our customers may also slow down decision-making or delay planned renewals or implementations because of economic conditions and rapidly changing technology such as generative AI, which may disrupt historical spending patterns.</w:t>
      </w:r>
    </w:p>
    <w:p>
      <w:pPr>
        <w:spacing w:after="0" w:line="57" w:lineRule="exact"/>
        <w:rPr>
          <w:sz w:val="20"/>
          <w:szCs w:val="20"/>
          <w:color w:val="auto"/>
        </w:rPr>
      </w:pPr>
    </w:p>
    <w:p>
      <w:pPr>
        <w:ind w:left="220" w:right="280"/>
        <w:spacing w:after="0" w:line="260" w:lineRule="auto"/>
        <w:rPr>
          <w:sz w:val="20"/>
          <w:szCs w:val="20"/>
          <w:color w:val="auto"/>
        </w:rPr>
      </w:pPr>
      <w:r>
        <w:rPr>
          <w:rFonts w:ascii="Arial" w:cs="Arial" w:eastAsia="Arial" w:hAnsi="Arial"/>
          <w:sz w:val="17"/>
          <w:szCs w:val="17"/>
          <w:color w:val="auto"/>
        </w:rPr>
        <w:t>Trends in the industries we serve may change the way our customers operate and thus may impact our business. We have noted the following trends:</w:t>
      </w:r>
    </w:p>
    <w:p>
      <w:pPr>
        <w:spacing w:after="0" w:line="40" w:lineRule="exact"/>
        <w:rPr>
          <w:sz w:val="20"/>
          <w:szCs w:val="20"/>
          <w:color w:val="auto"/>
        </w:rPr>
      </w:pPr>
    </w:p>
    <w:p>
      <w:pPr>
        <w:ind w:left="540" w:right="120" w:hanging="322"/>
        <w:spacing w:after="0" w:line="232" w:lineRule="auto"/>
        <w:tabs>
          <w:tab w:leader="none" w:pos="540" w:val="left"/>
        </w:tabs>
        <w:numPr>
          <w:ilvl w:val="0"/>
          <w:numId w:val="27"/>
        </w:numPr>
        <w:rPr>
          <w:rFonts w:ascii="Arial" w:cs="Arial" w:eastAsia="Arial" w:hAnsi="Arial"/>
          <w:sz w:val="17"/>
          <w:szCs w:val="17"/>
          <w:color w:val="D64000"/>
        </w:rPr>
      </w:pPr>
      <w:r>
        <w:rPr>
          <w:rFonts w:ascii="Arial" w:cs="Arial" w:eastAsia="Arial" w:hAnsi="Arial"/>
          <w:sz w:val="17"/>
          <w:szCs w:val="17"/>
          <w:color w:val="auto"/>
        </w:rPr>
        <w:t>Law firms continue to be challenged by corporate counsels, which are seeking to keep more work in-house to deliver greater business value and insights internally, limit increases in billing rates and hours, and insist on increased transparency and efficiency from law firms. The emergence of generative AI as a tool in the legal space could also have significant impacts on law firms, such as their headcount, service delivery, and pricing. While generative AI introduces productivity and efficiency improvement opportunities for law firms, it also adds uncertainties to how law firms and legal professionals need to evolve with technology in the future. These trends could impact the future ability to spend by a select set of our law firm customers on our products which in turn could adversely affect our revenues as well as our cash flows.</w:t>
      </w:r>
    </w:p>
    <w:p>
      <w:pPr>
        <w:spacing w:after="0" w:line="5" w:lineRule="exact"/>
        <w:rPr>
          <w:rFonts w:ascii="Arial" w:cs="Arial" w:eastAsia="Arial" w:hAnsi="Arial"/>
          <w:sz w:val="17"/>
          <w:szCs w:val="17"/>
          <w:color w:val="D64000"/>
        </w:rPr>
      </w:pPr>
    </w:p>
    <w:p>
      <w:pPr>
        <w:ind w:left="540" w:right="60" w:hanging="322"/>
        <w:spacing w:after="0" w:line="231" w:lineRule="auto"/>
        <w:tabs>
          <w:tab w:leader="none" w:pos="540" w:val="left"/>
        </w:tabs>
        <w:numPr>
          <w:ilvl w:val="0"/>
          <w:numId w:val="27"/>
        </w:numPr>
        <w:rPr>
          <w:rFonts w:ascii="Arial" w:cs="Arial" w:eastAsia="Arial" w:hAnsi="Arial"/>
          <w:sz w:val="17"/>
          <w:szCs w:val="17"/>
          <w:color w:val="D64000"/>
        </w:rPr>
      </w:pPr>
      <w:r>
        <w:rPr>
          <w:rFonts w:ascii="Arial" w:cs="Arial" w:eastAsia="Arial" w:hAnsi="Arial"/>
          <w:sz w:val="17"/>
          <w:szCs w:val="17"/>
          <w:color w:val="auto"/>
        </w:rPr>
        <w:t>Accounting firms are also adapting their business models related to service offerings, technology and pricing to address their clients’ evolving needs, priorities and expectations. Amid an ongoing talent shortage and increasing regulatory complexity, accounting firms continue to increase efficiency and automation while ongoing commoditization of tax and audit work is driving expansion into more profitable advisory services.</w:t>
      </w:r>
    </w:p>
    <w:p>
      <w:pPr>
        <w:spacing w:after="0" w:line="2" w:lineRule="exact"/>
        <w:rPr>
          <w:rFonts w:ascii="Arial" w:cs="Arial" w:eastAsia="Arial" w:hAnsi="Arial"/>
          <w:sz w:val="17"/>
          <w:szCs w:val="17"/>
          <w:color w:val="D64000"/>
        </w:rPr>
      </w:pPr>
    </w:p>
    <w:p>
      <w:pPr>
        <w:ind w:left="540" w:right="180" w:hanging="322"/>
        <w:spacing w:after="0" w:line="231" w:lineRule="auto"/>
        <w:tabs>
          <w:tab w:leader="none" w:pos="540" w:val="left"/>
        </w:tabs>
        <w:numPr>
          <w:ilvl w:val="0"/>
          <w:numId w:val="27"/>
        </w:numPr>
        <w:rPr>
          <w:rFonts w:ascii="Arial" w:cs="Arial" w:eastAsia="Arial" w:hAnsi="Arial"/>
          <w:sz w:val="17"/>
          <w:szCs w:val="17"/>
          <w:color w:val="D64000"/>
        </w:rPr>
      </w:pPr>
      <w:r>
        <w:rPr>
          <w:rFonts w:ascii="Arial" w:cs="Arial" w:eastAsia="Arial" w:hAnsi="Arial"/>
          <w:sz w:val="17"/>
          <w:szCs w:val="17"/>
          <w:color w:val="auto"/>
        </w:rPr>
        <w:t>Corporations continue to be under pressure to become more efficient and drive margins which may put pressure on their ability to spend on our products. Their behavior is also closely linked to economic cycles with spending pressures tied to periods of economic downturn. Their focus on data privacy and cybersecurity continues to increase, requiring additional security reviews of our products and lengthening sales cycles. Corporations are also focusing on consolidating vendors which adds an additional dimension of competition.</w:t>
      </w:r>
    </w:p>
    <w:p>
      <w:pPr>
        <w:spacing w:after="0" w:line="2" w:lineRule="exact"/>
        <w:rPr>
          <w:rFonts w:ascii="Arial" w:cs="Arial" w:eastAsia="Arial" w:hAnsi="Arial"/>
          <w:sz w:val="17"/>
          <w:szCs w:val="17"/>
          <w:color w:val="D64000"/>
        </w:rPr>
      </w:pPr>
    </w:p>
    <w:p>
      <w:pPr>
        <w:ind w:left="540" w:right="40" w:hanging="322"/>
        <w:spacing w:after="0" w:line="235" w:lineRule="auto"/>
        <w:tabs>
          <w:tab w:leader="none" w:pos="540" w:val="left"/>
        </w:tabs>
        <w:numPr>
          <w:ilvl w:val="0"/>
          <w:numId w:val="27"/>
        </w:numPr>
        <w:rPr>
          <w:rFonts w:ascii="Arial" w:cs="Arial" w:eastAsia="Arial" w:hAnsi="Arial"/>
          <w:sz w:val="17"/>
          <w:szCs w:val="17"/>
          <w:color w:val="D64000"/>
        </w:rPr>
      </w:pPr>
      <w:r>
        <w:rPr>
          <w:rFonts w:ascii="Arial" w:cs="Arial" w:eastAsia="Arial" w:hAnsi="Arial"/>
          <w:sz w:val="17"/>
          <w:szCs w:val="17"/>
          <w:color w:val="auto"/>
        </w:rPr>
        <w:t>Relative to our Reuters News business, the media sector continues to transform, with the traditional news agency market under pressure due to audiences’ shift to digital and streaming services.</w:t>
      </w:r>
    </w:p>
    <w:p>
      <w:pPr>
        <w:spacing w:after="0" w:line="1" w:lineRule="exact"/>
        <w:rPr>
          <w:rFonts w:ascii="Arial" w:cs="Arial" w:eastAsia="Arial" w:hAnsi="Arial"/>
          <w:sz w:val="17"/>
          <w:szCs w:val="17"/>
          <w:color w:val="D64000"/>
        </w:rPr>
      </w:pPr>
    </w:p>
    <w:p>
      <w:pPr>
        <w:ind w:left="540" w:right="220" w:hanging="322"/>
        <w:spacing w:after="0"/>
        <w:tabs>
          <w:tab w:leader="none" w:pos="540" w:val="left"/>
        </w:tabs>
        <w:numPr>
          <w:ilvl w:val="0"/>
          <w:numId w:val="27"/>
        </w:numPr>
        <w:rPr>
          <w:rFonts w:ascii="Arial" w:cs="Arial" w:eastAsia="Arial" w:hAnsi="Arial"/>
          <w:sz w:val="17"/>
          <w:szCs w:val="17"/>
          <w:color w:val="D64000"/>
        </w:rPr>
      </w:pPr>
      <w:r>
        <w:rPr>
          <w:rFonts w:ascii="Arial" w:cs="Arial" w:eastAsia="Arial" w:hAnsi="Arial"/>
          <w:sz w:val="17"/>
          <w:szCs w:val="17"/>
          <w:color w:val="auto"/>
        </w:rPr>
        <w:t>We continue to expect revenue declines in our Global Print business as customers migrate to online delivery, which has been compounded by the influence of the virtual and hybrid work environment.</w:t>
      </w:r>
    </w:p>
    <w:p>
      <w:pPr>
        <w:spacing w:after="0" w:line="44" w:lineRule="exact"/>
        <w:rPr>
          <w:sz w:val="20"/>
          <w:szCs w:val="20"/>
          <w:color w:val="auto"/>
        </w:rPr>
      </w:pPr>
    </w:p>
    <w:p>
      <w:pPr>
        <w:ind w:left="220" w:right="580"/>
        <w:spacing w:after="0" w:line="269" w:lineRule="auto"/>
        <w:rPr>
          <w:sz w:val="20"/>
          <w:szCs w:val="20"/>
          <w:color w:val="auto"/>
        </w:rPr>
      </w:pPr>
      <w:r>
        <w:rPr>
          <w:rFonts w:ascii="Arial" w:cs="Arial" w:eastAsia="Arial" w:hAnsi="Arial"/>
          <w:sz w:val="17"/>
          <w:szCs w:val="17"/>
          <w:b w:val="1"/>
          <w:bCs w:val="1"/>
          <w:color w:val="auto"/>
        </w:rPr>
        <w:t>We may not be successful in our AI initiatives, and AI may expose us to certain risks, which could adversely affect our business, reputation, or financial results.</w:t>
      </w:r>
    </w:p>
    <w:p>
      <w:pPr>
        <w:spacing w:after="0" w:line="26" w:lineRule="exact"/>
        <w:rPr>
          <w:sz w:val="20"/>
          <w:szCs w:val="20"/>
          <w:color w:val="auto"/>
        </w:rPr>
      </w:pPr>
    </w:p>
    <w:p>
      <w:pPr>
        <w:ind w:left="220" w:right="40"/>
        <w:spacing w:after="0" w:line="243" w:lineRule="auto"/>
        <w:rPr>
          <w:sz w:val="20"/>
          <w:szCs w:val="20"/>
          <w:color w:val="auto"/>
        </w:rPr>
      </w:pPr>
      <w:r>
        <w:rPr>
          <w:rFonts w:ascii="Arial" w:cs="Arial" w:eastAsia="Arial" w:hAnsi="Arial"/>
          <w:sz w:val="17"/>
          <w:szCs w:val="17"/>
          <w:color w:val="auto"/>
        </w:rPr>
        <w:t>We are making significant investments in AI-based initiatives, including generative AI. As with other investments, there are significant risks involved in the development and application of AI and there can be no assurance that the usage of AI will enhance our products or services, meet the needs and expectations of our customers, or be beneficial to our business, including our efficiency or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91440</wp:posOffset>
            </wp:positionV>
            <wp:extent cx="68656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5"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17</w:t>
      </w:r>
    </w:p>
    <w:p>
      <w:pPr>
        <w:sectPr>
          <w:pgSz w:w="11900" w:h="16838" w:orient="portrait"/>
          <w:cols w:equalWidth="0" w:num="1">
            <w:col w:w="11040"/>
          </w:cols>
          <w:pgMar w:left="320" w:top="477" w:right="5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100"/>
        <w:spacing w:after="0" w:line="235" w:lineRule="auto"/>
        <w:rPr>
          <w:sz w:val="20"/>
          <w:szCs w:val="20"/>
          <w:color w:val="auto"/>
        </w:rPr>
      </w:pPr>
      <w:r>
        <w:rPr>
          <w:rFonts w:ascii="Arial" w:cs="Arial" w:eastAsia="Arial" w:hAnsi="Arial"/>
          <w:sz w:val="17"/>
          <w:szCs w:val="17"/>
          <w:color w:val="auto"/>
        </w:rPr>
        <w:t>The development of generative AI technologies is complex and evolving and there are technical challenges associated with achieving desired levels of accuracy, efficiency, and reliability. AI algorithms, models, and data may have limitations, including inherent human biases, errors, or inability to handle certain data types or scenarios. Failure of our AI technologies to produce accurate results may have a negative impact on our reputation and adversely affect our business, and we may be subject to legal and regulatory scrutiny and increased litigation. Given that the development, adoption and use of generative AI technologies remains in the early stages, it is not possible to predict all of the risks related to the use of AI and the impact they may have on the company.</w:t>
      </w:r>
    </w:p>
    <w:p>
      <w:pPr>
        <w:spacing w:after="0" w:line="44" w:lineRule="exact"/>
        <w:rPr>
          <w:sz w:val="20"/>
          <w:szCs w:val="20"/>
          <w:color w:val="auto"/>
        </w:rPr>
      </w:pPr>
    </w:p>
    <w:p>
      <w:pPr>
        <w:ind w:left="220" w:right="20"/>
        <w:spacing w:after="0" w:line="241" w:lineRule="auto"/>
        <w:rPr>
          <w:sz w:val="20"/>
          <w:szCs w:val="20"/>
          <w:color w:val="auto"/>
        </w:rPr>
      </w:pPr>
      <w:r>
        <w:rPr>
          <w:rFonts w:ascii="Arial" w:cs="Arial" w:eastAsia="Arial" w:hAnsi="Arial"/>
          <w:sz w:val="17"/>
          <w:szCs w:val="17"/>
          <w:b w:val="1"/>
          <w:bCs w:val="1"/>
          <w:color w:val="auto"/>
        </w:rPr>
        <w:t>If we are unable to keep pace with rapid technological developments to provide new products, services, applications, and functionalities to meet our customers’ needs, attract new customers and retain existing ones, expand into new geographic markets and identify areas of higher growth, our ability to generate revenues or achieve higher levels of revenue growth in the future may be adversely affected.</w:t>
      </w:r>
    </w:p>
    <w:p>
      <w:pPr>
        <w:spacing w:after="0" w:line="50" w:lineRule="exact"/>
        <w:rPr>
          <w:sz w:val="20"/>
          <w:szCs w:val="20"/>
          <w:color w:val="auto"/>
        </w:rPr>
      </w:pPr>
    </w:p>
    <w:p>
      <w:pPr>
        <w:ind w:left="220" w:right="80"/>
        <w:spacing w:after="0" w:line="235" w:lineRule="auto"/>
        <w:rPr>
          <w:sz w:val="20"/>
          <w:szCs w:val="20"/>
          <w:color w:val="auto"/>
        </w:rPr>
      </w:pPr>
      <w:r>
        <w:rPr>
          <w:rFonts w:ascii="Arial" w:cs="Arial" w:eastAsia="Arial" w:hAnsi="Arial"/>
          <w:sz w:val="17"/>
          <w:szCs w:val="17"/>
          <w:color w:val="auto"/>
        </w:rPr>
        <w:t>Our growth strategy involves enhancing our current products, developing innovative new products, services, applications and functionalities in a timely and cost-effective manner to meet our customers’ needs. This includes anticipating and responding to industry trends and technological changes, expanding into new geographic markets and maintaining a strong position in the sectors that we serve. We substantially migrated most of our revenue to cloud solutions, increased the proportion of sales we make through our digital channels, and improved our customers’ experience in interacting with us. While the objective of the changes is to provide a better customer experience and increase revenue, there is no assurance that we will be successful in increasing our company’s overall revenue growth in the future.</w:t>
      </w:r>
    </w:p>
    <w:p>
      <w:pPr>
        <w:spacing w:after="0" w:line="57" w:lineRule="exact"/>
        <w:rPr>
          <w:sz w:val="20"/>
          <w:szCs w:val="20"/>
          <w:color w:val="auto"/>
        </w:rPr>
      </w:pPr>
    </w:p>
    <w:p>
      <w:pPr>
        <w:ind w:left="220" w:right="40"/>
        <w:spacing w:after="0" w:line="238" w:lineRule="auto"/>
        <w:rPr>
          <w:sz w:val="20"/>
          <w:szCs w:val="20"/>
          <w:color w:val="auto"/>
        </w:rPr>
      </w:pPr>
      <w:r>
        <w:rPr>
          <w:rFonts w:ascii="Arial" w:cs="Arial" w:eastAsia="Arial" w:hAnsi="Arial"/>
          <w:sz w:val="17"/>
          <w:szCs w:val="17"/>
          <w:color w:val="auto"/>
        </w:rPr>
        <w:t>Technologies such as AI, ML, data synthesis and user-generated capabilities have created the need to adapt rapidly to the shifting landscape and to generate insights from these technologies to increase the value that our solutions and services bring to our customers. While we are focused on these changes to the technological landscape, if we fail to adapt, or do not adapt quickly enough, our financial condition and results of operations could be adversely impacted.</w:t>
      </w:r>
    </w:p>
    <w:p>
      <w:pPr>
        <w:spacing w:after="0" w:line="46" w:lineRule="exact"/>
        <w:rPr>
          <w:sz w:val="20"/>
          <w:szCs w:val="20"/>
          <w:color w:val="auto"/>
        </w:rPr>
      </w:pPr>
    </w:p>
    <w:p>
      <w:pPr>
        <w:ind w:left="220" w:right="40"/>
        <w:spacing w:after="0" w:line="232" w:lineRule="auto"/>
        <w:rPr>
          <w:sz w:val="20"/>
          <w:szCs w:val="20"/>
          <w:color w:val="auto"/>
        </w:rPr>
      </w:pPr>
      <w:r>
        <w:rPr>
          <w:rFonts w:ascii="Arial" w:cs="Arial" w:eastAsia="Arial" w:hAnsi="Arial"/>
          <w:sz w:val="17"/>
          <w:szCs w:val="17"/>
          <w:color w:val="auto"/>
        </w:rPr>
        <w:t>We continue to focus on driving growth through more collaboration and stronger relationships with both established and emerging companies and incubators. We are also continuing to increase our focus on partnerships and APIs. Some of these initiatives combine another company’s technology, data or other capabilities with our products and services. These initiatives involve a number of risks, including the risk that the expected synergies will not be realized, that they may require substantial expenditures and take considerable time and that the expected results may ultimately not be achieved, that a new initiative may conflict or detract from our existing businesses, or that security measures may not be adequate or could adversely impact our brand and reputation. In addition, our ability to adopt new services and develop new technologies may be inhibited by industry-wide standards, new laws and regulations, resistance to change from our customers, or third parties’ intellectual property rights. While we believe these initiatives will be attractive to our customers, allow us to innovate more quickly and build sales channels in segments that we could not have reached as quickly on our own, we are unable to provide any assurances that these initiatives will increase our revenue growth.</w:t>
      </w:r>
    </w:p>
    <w:p>
      <w:pPr>
        <w:spacing w:after="0" w:line="58" w:lineRule="exact"/>
        <w:rPr>
          <w:sz w:val="20"/>
          <w:szCs w:val="20"/>
          <w:color w:val="auto"/>
        </w:rPr>
      </w:pPr>
    </w:p>
    <w:p>
      <w:pPr>
        <w:ind w:left="220" w:right="60"/>
        <w:spacing w:after="0" w:line="254" w:lineRule="auto"/>
        <w:rPr>
          <w:sz w:val="20"/>
          <w:szCs w:val="20"/>
          <w:color w:val="auto"/>
        </w:rPr>
      </w:pPr>
      <w:r>
        <w:rPr>
          <w:rFonts w:ascii="Arial" w:cs="Arial" w:eastAsia="Arial" w:hAnsi="Arial"/>
          <w:sz w:val="16"/>
          <w:szCs w:val="16"/>
          <w:color w:val="auto"/>
        </w:rPr>
        <w:t>Over the last few years, we have made significant investments designed to improve and enhance the functionality and performance of several of our key products, such as Westlaw Precision, HighQ, Legal Tracker, CLEAR, Westlaw Edge, Checkpoint Edge, Practical Law and ONESOURCE. We have also successfully migrated customers from legacy offerings to our current propositions and continued to enhance the reliability and resiliency of the technology infrastructure that we use to deliver products and services. However, if our customers’ adoption rates for existing and new products and services are lower than our expectations, our revenues may be lower and our results of operations may be adversely affected.</w:t>
      </w:r>
    </w:p>
    <w:p>
      <w:pPr>
        <w:spacing w:after="0" w:line="33" w:lineRule="exact"/>
        <w:rPr>
          <w:sz w:val="20"/>
          <w:szCs w:val="20"/>
          <w:color w:val="auto"/>
        </w:rPr>
      </w:pPr>
    </w:p>
    <w:p>
      <w:pPr>
        <w:ind w:left="220" w:right="580"/>
        <w:spacing w:after="0" w:line="269" w:lineRule="auto"/>
        <w:rPr>
          <w:sz w:val="20"/>
          <w:szCs w:val="20"/>
          <w:color w:val="auto"/>
        </w:rPr>
      </w:pPr>
      <w:r>
        <w:rPr>
          <w:rFonts w:ascii="Arial" w:cs="Arial" w:eastAsia="Arial" w:hAnsi="Arial"/>
          <w:sz w:val="17"/>
          <w:szCs w:val="17"/>
          <w:b w:val="1"/>
          <w:bCs w:val="1"/>
          <w:color w:val="auto"/>
        </w:rPr>
        <w:t>We may be unable to derive fully the anticipated benefits from our existing or future acquisitions, dispositions, or other strategic transactions, including joint ventures and investments.</w:t>
      </w:r>
    </w:p>
    <w:p>
      <w:pPr>
        <w:spacing w:after="0" w:line="26" w:lineRule="exact"/>
        <w:rPr>
          <w:sz w:val="20"/>
          <w:szCs w:val="20"/>
          <w:color w:val="auto"/>
        </w:rPr>
      </w:pPr>
    </w:p>
    <w:p>
      <w:pPr>
        <w:ind w:left="220" w:right="80"/>
        <w:spacing w:after="0" w:line="233" w:lineRule="auto"/>
        <w:rPr>
          <w:sz w:val="20"/>
          <w:szCs w:val="20"/>
          <w:color w:val="auto"/>
        </w:rPr>
      </w:pPr>
      <w:r>
        <w:rPr>
          <w:rFonts w:ascii="Arial" w:cs="Arial" w:eastAsia="Arial" w:hAnsi="Arial"/>
          <w:sz w:val="17"/>
          <w:szCs w:val="17"/>
          <w:color w:val="auto"/>
        </w:rPr>
        <w:t>While we are focused on growing our businesses organically, acquisitions and other strategic transactions remain an important part of our growth strategy to expand and enhance our products, services and customer base and to enter new geographic areas. In 2024, we acquired Pagero Group AB (publ), a publicly traded Swedish company and a global leader in e-invoicing and indirect tax solutions. We also acquired World Business Media Limited, a cross-platform and subscription-based provider of editorial coverage for the global P&amp;C and specialty (re)insurance industry, which is now part of our Reuters News segment, Safe Sign Technologies, a U.K.-based startup developing legal-specific large language models, and Credere Technologies, Inc., doing business as Materia, a U.S.-based startup that specializes in the development of an agentic AI assistant for the tax, audit and accounting profession. More recently, in January 2025, we acquired cPaperless, LLC, doing business as SafeSend, a US-based cloud-native provider of technology for tax and accounting professionals.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93345</wp:posOffset>
            </wp:positionV>
            <wp:extent cx="68656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8"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18</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80"/>
        <w:spacing w:after="0" w:line="230" w:lineRule="auto"/>
        <w:rPr>
          <w:sz w:val="20"/>
          <w:szCs w:val="20"/>
          <w:color w:val="auto"/>
        </w:rPr>
      </w:pPr>
      <w:r>
        <w:rPr>
          <w:rFonts w:ascii="Arial" w:cs="Arial" w:eastAsia="Arial" w:hAnsi="Arial"/>
          <w:sz w:val="17"/>
          <w:szCs w:val="17"/>
          <w:color w:val="auto"/>
        </w:rPr>
        <w:t>In the future, we may not be able to successfully identify attractive acquisition or other strategic transaction opportunities or make acquisitions or other strategic transactions on terms that are satisfactory to our company from a commercial perspective. In addition, competition for acquisitions in the industries in which we operate during recent years has escalated and may increase the price of acquisitions or other strategic transactions, which could cause us to refrain from making certain acquisitions. Our ability to execute on opportunities may also be affected by factors beyond our control, including without limitation, commercial or regulatory changes that may subject us to increased regulatory scrutiny from competition and antitrust authorities in connection with acquisitions and other strategic transactions. Achieving the expected returns and synergies from existing and future acquisitions or other strategic transactions will depend in part upon our ability to integrate the products and services, technology, administrative functions and personnel of these businesses into our segments in an efficient and effective manner. We cannot guarantee that we will be able to do so, or that our acquired businesses, joint ventures or investments will perform at anticipated levels or that we will be able to obtain these synergies. Management resources may also be diverted from operating our existing businesses to certain acquisition and other strategic transaction integration challenges. If we are unable to successfully integrate acquired businesses and other strategic transactions, as applicable, our anticipated revenues and profits may be lower. Our profit margins may also be lower, or diluted, following the acquisition of, or strategic transactions involving, companies whose profit margins are less than those of our existing businesses. Certain acquisitions may initially incur losses which would reduce our earnings per share in certain periods.</w:t>
      </w:r>
    </w:p>
    <w:p>
      <w:pPr>
        <w:spacing w:after="0" w:line="54" w:lineRule="exact"/>
        <w:rPr>
          <w:sz w:val="20"/>
          <w:szCs w:val="20"/>
          <w:color w:val="auto"/>
        </w:rPr>
      </w:pPr>
    </w:p>
    <w:p>
      <w:pPr>
        <w:ind w:left="220"/>
        <w:spacing w:after="0" w:line="232" w:lineRule="auto"/>
        <w:rPr>
          <w:sz w:val="20"/>
          <w:szCs w:val="20"/>
          <w:color w:val="auto"/>
        </w:rPr>
      </w:pPr>
      <w:r>
        <w:rPr>
          <w:rFonts w:ascii="Arial" w:cs="Arial" w:eastAsia="Arial" w:hAnsi="Arial"/>
          <w:sz w:val="17"/>
          <w:szCs w:val="17"/>
          <w:color w:val="auto"/>
        </w:rPr>
        <w:t>We have also historically decided from time to time to dispose of assets or businesses that are no longer aligned with strategic objectives or our current business portfolio. These transactions may involve challenges and risks. There can be no assurance that future divestitures will occur, or if a transaction does occur, there can be no assurance as to the potential value created by the transaction. The process of exploring strategic alternatives or selling a business could also negatively impact customer decision-making and cause uncertainty and negatively impact our ability to attract, retain and motivate key employees. Any failures or delays in completing divestitures, including separation activities, could have an adverse effect on our financial results, operations and on our ability to execute our strategy. Although we have established procedures and processes to mitigate these risks, there is no assurance that those procedures and processes will be effective or that these transactions will be successful. In addition, we expend costs and management resources to complete divestitures and manage post-closing arrangements. Completed divestitures may also result in continued financial involvement in the divested business, such as through guarantees, indemnifications, transition services arrangements or other financial arrangements, following the transaction.</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Our brands and reputation are important company assets and are key to our ability to remain a trusted source of information and news.</w:t>
      </w:r>
    </w:p>
    <w:p>
      <w:pPr>
        <w:spacing w:after="0" w:line="94" w:lineRule="exact"/>
        <w:rPr>
          <w:sz w:val="20"/>
          <w:szCs w:val="20"/>
          <w:color w:val="auto"/>
        </w:rPr>
      </w:pPr>
    </w:p>
    <w:p>
      <w:pPr>
        <w:ind w:left="220" w:right="80"/>
        <w:spacing w:after="0" w:line="243" w:lineRule="auto"/>
        <w:rPr>
          <w:sz w:val="20"/>
          <w:szCs w:val="20"/>
          <w:color w:val="auto"/>
        </w:rPr>
      </w:pPr>
      <w:r>
        <w:rPr>
          <w:rFonts w:ascii="Arial" w:cs="Arial" w:eastAsia="Arial" w:hAnsi="Arial"/>
          <w:sz w:val="17"/>
          <w:szCs w:val="17"/>
          <w:color w:val="auto"/>
        </w:rPr>
        <w:t>The integrity of our brands and reputation is key to our ability to remain a trusted source of information and news and to attract and retain customers. Negative publicity regarding our company or actual, alleged or perceived issues regarding one of our products or services could harm our relationship with customers.</w:t>
      </w:r>
    </w:p>
    <w:p>
      <w:pPr>
        <w:spacing w:after="0" w:line="42" w:lineRule="exact"/>
        <w:rPr>
          <w:sz w:val="20"/>
          <w:szCs w:val="20"/>
          <w:color w:val="auto"/>
        </w:rPr>
      </w:pPr>
    </w:p>
    <w:p>
      <w:pPr>
        <w:ind w:left="220" w:right="740"/>
        <w:spacing w:after="0" w:line="260" w:lineRule="auto"/>
        <w:rPr>
          <w:sz w:val="20"/>
          <w:szCs w:val="20"/>
          <w:color w:val="auto"/>
        </w:rPr>
      </w:pPr>
      <w:r>
        <w:rPr>
          <w:rFonts w:ascii="Arial" w:cs="Arial" w:eastAsia="Arial" w:hAnsi="Arial"/>
          <w:sz w:val="17"/>
          <w:szCs w:val="17"/>
          <w:color w:val="auto"/>
        </w:rPr>
        <w:t>Failure to protect our brands or a failure by our company to uphold the Thomson Reuters Trust Principles may also adversely impact our credibility as a trusted supplier of content and may have a negative impact on our information and news business.</w:t>
      </w:r>
    </w:p>
    <w:p>
      <w:pPr>
        <w:spacing w:after="0" w:line="40" w:lineRule="exact"/>
        <w:rPr>
          <w:sz w:val="20"/>
          <w:szCs w:val="20"/>
          <w:color w:val="auto"/>
        </w:rPr>
      </w:pPr>
    </w:p>
    <w:p>
      <w:pPr>
        <w:ind w:left="220" w:right="180"/>
        <w:spacing w:after="0" w:line="232" w:lineRule="auto"/>
        <w:rPr>
          <w:sz w:val="20"/>
          <w:szCs w:val="20"/>
          <w:color w:val="auto"/>
        </w:rPr>
      </w:pPr>
      <w:r>
        <w:rPr>
          <w:rFonts w:ascii="Arial" w:cs="Arial" w:eastAsia="Arial" w:hAnsi="Arial"/>
          <w:sz w:val="17"/>
          <w:szCs w:val="17"/>
          <w:color w:val="auto"/>
        </w:rPr>
        <w:t>There is an increasing focus from stakeholders concerning corporate responsibility, specifically relating to ESG initiatives and corporate sustainability reporting. We pursue ESG initiatives because they contribute to value creation for our customers, employees, shareholders and other stakeholders. In 2024, we continued work to update our ESG double materiality assessment to comply with new global regulations. We have set a number of targets related to these initiatives and identified and prioritized ESG issues, risks and opportunities. Standards for tracking and reporting ESG matters continue to evolve and we may not be able to implement new and changing standards in ways that meet the expectations of all of our stakeholders. If we fail to satisfy the expectations of investors, customers, vendors, employees, regulators and other stakeholders related to our ESG performance and in our corporate sustainability reporting or our ESG initiatives are not executed as planned, it could adversely affect our reputation, business, share price, financial condition or results of operations. Due to the shifting legal and policy landscape, our reputation also may be harmed by negative perceptions that our customers, employees and other stakeholders may have about our action or inaction on social, ethical, or political issues.</w:t>
      </w:r>
    </w:p>
    <w:p>
      <w:pPr>
        <w:spacing w:after="0" w:line="45" w:lineRule="exact"/>
        <w:rPr>
          <w:sz w:val="20"/>
          <w:szCs w:val="20"/>
          <w:color w:val="auto"/>
        </w:rPr>
      </w:pPr>
    </w:p>
    <w:p>
      <w:pPr>
        <w:ind w:left="220" w:right="800"/>
        <w:spacing w:after="0" w:line="269" w:lineRule="auto"/>
        <w:rPr>
          <w:sz w:val="20"/>
          <w:szCs w:val="20"/>
          <w:color w:val="auto"/>
        </w:rPr>
      </w:pPr>
      <w:r>
        <w:rPr>
          <w:rFonts w:ascii="Arial" w:cs="Arial" w:eastAsia="Arial" w:hAnsi="Arial"/>
          <w:sz w:val="17"/>
          <w:szCs w:val="17"/>
          <w:b w:val="1"/>
          <w:bCs w:val="1"/>
          <w:color w:val="auto"/>
        </w:rPr>
        <w:t>Social and ethical issues relating to the use of new and evolving technologies, such as AI, in our products and services could adversely affect our business, financial condition or results of operations.</w:t>
      </w:r>
    </w:p>
    <w:p>
      <w:pPr>
        <w:spacing w:after="0" w:line="26" w:lineRule="exact"/>
        <w:rPr>
          <w:sz w:val="20"/>
          <w:szCs w:val="20"/>
          <w:color w:val="auto"/>
        </w:rPr>
      </w:pPr>
    </w:p>
    <w:p>
      <w:pPr>
        <w:ind w:left="220" w:right="60"/>
        <w:spacing w:after="0" w:line="233" w:lineRule="auto"/>
        <w:rPr>
          <w:sz w:val="20"/>
          <w:szCs w:val="20"/>
          <w:color w:val="auto"/>
        </w:rPr>
      </w:pPr>
      <w:r>
        <w:rPr>
          <w:rFonts w:ascii="Arial" w:cs="Arial" w:eastAsia="Arial" w:hAnsi="Arial"/>
          <w:sz w:val="17"/>
          <w:szCs w:val="17"/>
          <w:color w:val="auto"/>
        </w:rPr>
        <w:t>Many of our products and services use new and evolving technologies, such as AI. These often present social and ethical risks and challenges that could affect their adoption, and therefore our business. For example, the use of AI in our products may give rise to risks related to harmful content, inaccuracy, misinformation, bias, discrimination, intellectual property infringement or misappropriation, defamation, data privacy, and cybersecurity, among others. We may not have insight into, or control over, the practices of third parties who utilize AI technologies. As such, we cannot guarantee that third parties will not use AI technologies for improper purposes. If we enable or offer AI solutions, or enter into partnerships with third parties or engage third party vendors in respect of AI technologies, that result in any of the foregoing or otherwise draw controversy due to their perceived or actual impact on society, we may experience brand or reputational harm, competitive harm or legal liability and regulatory scrutiny.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93345</wp:posOffset>
            </wp:positionV>
            <wp:extent cx="68656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8"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19</w:t>
      </w:r>
    </w:p>
    <w:p>
      <w:pPr>
        <w:sectPr>
          <w:pgSz w:w="11900" w:h="16838" w:orient="portrait"/>
          <w:cols w:equalWidth="0" w:num="1">
            <w:col w:w="11040"/>
          </w:cols>
          <w:pgMar w:left="320" w:top="477" w:right="5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140"/>
        <w:spacing w:after="0" w:line="234" w:lineRule="auto"/>
        <w:rPr>
          <w:sz w:val="20"/>
          <w:szCs w:val="20"/>
          <w:color w:val="auto"/>
        </w:rPr>
      </w:pPr>
      <w:r>
        <w:rPr>
          <w:rFonts w:ascii="Arial" w:cs="Arial" w:eastAsia="Arial" w:hAnsi="Arial"/>
          <w:sz w:val="17"/>
          <w:szCs w:val="17"/>
          <w:color w:val="auto"/>
        </w:rPr>
        <w:t>Potential government regulation related to AI use and ethics, or requirements from third-party groups, such as local bar associations or tax licensing boards, may also increase the burden and cost of research and development in this area, and failure to properly remediate AI usage or ethics issues may cause public confidence in AI to be undermined, which could slow adoption of AI in our products and services. The rapid evolution of AI will require the application of resources to develop, test and maintain our products and services to help ensure that AI is implemented ethically in order to minimize unintended, harmful impacts. If we do not maintain ethical and transparent policies and procedures related to AI, this could result in reputational harm and legal liability, which could adversely affect our business, financial condition or results of operations.</w:t>
      </w:r>
    </w:p>
    <w:p>
      <w:pPr>
        <w:spacing w:after="0" w:line="176"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u w:val="single" w:color="auto"/>
          <w:color w:val="auto"/>
        </w:rPr>
        <w:t>Technology and Data Risks</w:t>
      </w:r>
    </w:p>
    <w:p>
      <w:pPr>
        <w:spacing w:after="0" w:line="70" w:lineRule="exact"/>
        <w:rPr>
          <w:sz w:val="20"/>
          <w:szCs w:val="20"/>
          <w:color w:val="auto"/>
        </w:rPr>
      </w:pPr>
    </w:p>
    <w:p>
      <w:pPr>
        <w:ind w:left="220" w:right="340"/>
        <w:spacing w:after="0" w:line="269" w:lineRule="auto"/>
        <w:rPr>
          <w:sz w:val="20"/>
          <w:szCs w:val="20"/>
          <w:color w:val="auto"/>
        </w:rPr>
      </w:pPr>
      <w:r>
        <w:rPr>
          <w:rFonts w:ascii="Arial" w:cs="Arial" w:eastAsia="Arial" w:hAnsi="Arial"/>
          <w:sz w:val="17"/>
          <w:szCs w:val="17"/>
          <w:b w:val="1"/>
          <w:bCs w:val="1"/>
          <w:color w:val="auto"/>
        </w:rPr>
        <w:t>We and our third-party providers face risks related to cybersecurity threats and incidents that could adversely affect our reputation, business, results of operations, and financial condition.</w:t>
      </w:r>
    </w:p>
    <w:p>
      <w:pPr>
        <w:spacing w:after="0" w:line="26" w:lineRule="exact"/>
        <w:rPr>
          <w:sz w:val="20"/>
          <w:szCs w:val="20"/>
          <w:color w:val="auto"/>
        </w:rPr>
      </w:pPr>
    </w:p>
    <w:p>
      <w:pPr>
        <w:ind w:left="220" w:right="80"/>
        <w:spacing w:after="0" w:line="232" w:lineRule="auto"/>
        <w:rPr>
          <w:sz w:val="20"/>
          <w:szCs w:val="20"/>
          <w:color w:val="auto"/>
        </w:rPr>
      </w:pPr>
      <w:r>
        <w:rPr>
          <w:rFonts w:ascii="Arial" w:cs="Arial" w:eastAsia="Arial" w:hAnsi="Arial"/>
          <w:sz w:val="17"/>
          <w:szCs w:val="17"/>
          <w:color w:val="auto"/>
        </w:rPr>
        <w:t>In connection with our business, we rely extensively on our own and third-party information technology systems and infrastructure to provide our products and services and operate our business. Further, we rely on our own and third-party content and other data and information published as part of our products and services. Our company has been subject to, and is increasingly likely to continue to be the target of, cyber-attacks and incidents that could negatively impact our systems, information, and data. Cyber-threats and cyber-attacks vary in technique and sources, are persistent, frequently change and are increasingly becoming more sophisticated and targeted. Especially with the use of emerging technologies, such as advanced forms of AI, cyber-attacks and incidents have become increasingly more difficult to detect and prevent. The occurrence of these attacks and incidents may also increase due to the increased reliance on information technology, growing number of integrations and network connections with third-party service providers, remote access from hybrid and remote workers, heightened geopolitical tensions, and the prominence of our Reuters News business.</w:t>
      </w:r>
    </w:p>
    <w:p>
      <w:pPr>
        <w:spacing w:after="0" w:line="62" w:lineRule="exact"/>
        <w:rPr>
          <w:sz w:val="20"/>
          <w:szCs w:val="20"/>
          <w:color w:val="auto"/>
        </w:rPr>
      </w:pPr>
    </w:p>
    <w:p>
      <w:pPr>
        <w:ind w:left="220" w:right="20"/>
        <w:spacing w:after="0" w:line="243" w:lineRule="auto"/>
        <w:rPr>
          <w:sz w:val="20"/>
          <w:szCs w:val="20"/>
          <w:color w:val="auto"/>
        </w:rPr>
      </w:pPr>
      <w:r>
        <w:rPr>
          <w:rFonts w:ascii="Arial" w:cs="Arial" w:eastAsia="Arial" w:hAnsi="Arial"/>
          <w:sz w:val="17"/>
          <w:szCs w:val="17"/>
          <w:color w:val="auto"/>
        </w:rPr>
        <w:t>While we and third-party information services that we use have an information security program and security measures in place designed to protect our information technology systems and infrastructure, this program and these measures may not prevent all material breaches caused by cyber-attacks and incidents, including without limitation:</w:t>
      </w:r>
    </w:p>
    <w:p>
      <w:pPr>
        <w:spacing w:after="0" w:line="55" w:lineRule="exact"/>
        <w:rPr>
          <w:sz w:val="20"/>
          <w:szCs w:val="20"/>
          <w:color w:val="auto"/>
        </w:rPr>
      </w:pPr>
    </w:p>
    <w:p>
      <w:pPr>
        <w:ind w:left="540" w:right="100" w:hanging="322"/>
        <w:spacing w:after="0" w:line="232" w:lineRule="auto"/>
        <w:tabs>
          <w:tab w:leader="none" w:pos="540" w:val="left"/>
        </w:tabs>
        <w:numPr>
          <w:ilvl w:val="0"/>
          <w:numId w:val="28"/>
        </w:numPr>
        <w:rPr>
          <w:rFonts w:ascii="Arial" w:cs="Arial" w:eastAsia="Arial" w:hAnsi="Arial"/>
          <w:sz w:val="17"/>
          <w:szCs w:val="17"/>
          <w:color w:val="D64000"/>
        </w:rPr>
      </w:pPr>
      <w:r>
        <w:rPr>
          <w:rFonts w:ascii="Arial" w:cs="Arial" w:eastAsia="Arial" w:hAnsi="Arial"/>
          <w:sz w:val="17"/>
          <w:szCs w:val="17"/>
          <w:color w:val="auto"/>
        </w:rPr>
        <w:t>Cyber-attacks on our own and third-party information technology systems and infrastructure that we rely upon, including without limitation attacks using and incidents arising from computer viruses or other malware, distributed denial of service attacks, ransomware, data theft, phishing, social engineering, destructive attacks against information systems, and other attacks or incidents. This also includes those cyber-attacks and incidents that have in the past resulted in, and could in the future result in, the unauthorized access to, loss, manipulation, destruction of, or disclosure of personal and business information and/or the temporary or sustained unavailability of personal and business information, content, or information technology systems and infrastructure. As technologies like AI develop rapidly, malicious third parties are using these technologies to create new sophisticated attack methods that are increasingly automated, widespread and coordinated making these cyber-attacks more difficult to defend against;</w:t>
      </w:r>
    </w:p>
    <w:p>
      <w:pPr>
        <w:spacing w:after="0" w:line="1" w:lineRule="exact"/>
        <w:rPr>
          <w:rFonts w:ascii="Arial" w:cs="Arial" w:eastAsia="Arial" w:hAnsi="Arial"/>
          <w:sz w:val="17"/>
          <w:szCs w:val="17"/>
          <w:color w:val="D64000"/>
        </w:rPr>
      </w:pPr>
    </w:p>
    <w:p>
      <w:pPr>
        <w:ind w:left="540" w:right="100" w:hanging="322"/>
        <w:spacing w:after="0" w:line="231" w:lineRule="auto"/>
        <w:tabs>
          <w:tab w:leader="none" w:pos="540" w:val="left"/>
        </w:tabs>
        <w:numPr>
          <w:ilvl w:val="0"/>
          <w:numId w:val="28"/>
        </w:numPr>
        <w:rPr>
          <w:rFonts w:ascii="Arial" w:cs="Arial" w:eastAsia="Arial" w:hAnsi="Arial"/>
          <w:sz w:val="17"/>
          <w:szCs w:val="17"/>
          <w:color w:val="D64000"/>
        </w:rPr>
      </w:pPr>
      <w:r>
        <w:rPr>
          <w:rFonts w:ascii="Arial" w:cs="Arial" w:eastAsia="Arial" w:hAnsi="Arial"/>
          <w:sz w:val="17"/>
          <w:szCs w:val="17"/>
          <w:color w:val="auto"/>
        </w:rPr>
        <w:t>The introduction or exploitation of vulnerabilities existing in our own and third-party information technology systems and infrastructure, including without limitation the products and services of our key brands and generative AI products and services, some of which may be undetected and only discovered after an extended period of time (including after exploitation) and after installation or integration by our company or our customers. This also includes vulnerabilities in purchased or licensed third-party software, adopted open source software, or in newly integrated technologies resulting from an acquisition or partnership;</w:t>
      </w:r>
    </w:p>
    <w:p>
      <w:pPr>
        <w:ind w:left="540" w:right="500" w:hanging="322"/>
        <w:spacing w:after="0" w:line="235" w:lineRule="auto"/>
        <w:tabs>
          <w:tab w:leader="none" w:pos="540" w:val="left"/>
        </w:tabs>
        <w:numPr>
          <w:ilvl w:val="0"/>
          <w:numId w:val="28"/>
        </w:numPr>
        <w:rPr>
          <w:rFonts w:ascii="Arial" w:cs="Arial" w:eastAsia="Arial" w:hAnsi="Arial"/>
          <w:sz w:val="17"/>
          <w:szCs w:val="17"/>
          <w:color w:val="D64000"/>
        </w:rPr>
      </w:pPr>
      <w:r>
        <w:rPr>
          <w:rFonts w:ascii="Arial" w:cs="Arial" w:eastAsia="Arial" w:hAnsi="Arial"/>
          <w:sz w:val="17"/>
          <w:szCs w:val="17"/>
          <w:color w:val="auto"/>
        </w:rPr>
        <w:t>Unauthorized access or attacks obtaining access to sensitive data, including compromise or manipulation of AI, ML and large language model (LLM) solutions embedded in product offerings;</w:t>
      </w:r>
    </w:p>
    <w:p>
      <w:pPr>
        <w:spacing w:after="0" w:line="1" w:lineRule="exact"/>
        <w:rPr>
          <w:rFonts w:ascii="Arial" w:cs="Arial" w:eastAsia="Arial" w:hAnsi="Arial"/>
          <w:sz w:val="17"/>
          <w:szCs w:val="17"/>
          <w:color w:val="D64000"/>
        </w:rPr>
      </w:pPr>
    </w:p>
    <w:p>
      <w:pPr>
        <w:ind w:left="540" w:right="320" w:hanging="322"/>
        <w:spacing w:after="0" w:line="235" w:lineRule="auto"/>
        <w:tabs>
          <w:tab w:leader="none" w:pos="540" w:val="left"/>
        </w:tabs>
        <w:numPr>
          <w:ilvl w:val="0"/>
          <w:numId w:val="28"/>
        </w:numPr>
        <w:rPr>
          <w:rFonts w:ascii="Arial" w:cs="Arial" w:eastAsia="Arial" w:hAnsi="Arial"/>
          <w:sz w:val="17"/>
          <w:szCs w:val="17"/>
          <w:color w:val="D64000"/>
        </w:rPr>
      </w:pPr>
      <w:r>
        <w:rPr>
          <w:rFonts w:ascii="Arial" w:cs="Arial" w:eastAsia="Arial" w:hAnsi="Arial"/>
          <w:sz w:val="17"/>
          <w:szCs w:val="17"/>
          <w:color w:val="auto"/>
        </w:rPr>
        <w:t>Actions taken by individuals, groups of hackers, or sophisticated organizations, including without limitation nation-states, state-sponsored, state-aligned, or criminal organizations;</w:t>
      </w:r>
    </w:p>
    <w:p>
      <w:pPr>
        <w:spacing w:after="0" w:line="1" w:lineRule="exact"/>
        <w:rPr>
          <w:rFonts w:ascii="Arial" w:cs="Arial" w:eastAsia="Arial" w:hAnsi="Arial"/>
          <w:sz w:val="17"/>
          <w:szCs w:val="17"/>
          <w:color w:val="D64000"/>
        </w:rPr>
      </w:pPr>
    </w:p>
    <w:p>
      <w:pPr>
        <w:ind w:left="540" w:right="240" w:hanging="322"/>
        <w:spacing w:after="0" w:line="233" w:lineRule="auto"/>
        <w:tabs>
          <w:tab w:leader="none" w:pos="540" w:val="left"/>
        </w:tabs>
        <w:numPr>
          <w:ilvl w:val="0"/>
          <w:numId w:val="28"/>
        </w:numPr>
        <w:rPr>
          <w:rFonts w:ascii="Arial" w:cs="Arial" w:eastAsia="Arial" w:hAnsi="Arial"/>
          <w:sz w:val="17"/>
          <w:szCs w:val="17"/>
          <w:color w:val="D64000"/>
        </w:rPr>
      </w:pPr>
      <w:r>
        <w:rPr>
          <w:rFonts w:ascii="Arial" w:cs="Arial" w:eastAsia="Arial" w:hAnsi="Arial"/>
          <w:sz w:val="17"/>
          <w:szCs w:val="17"/>
          <w:color w:val="auto"/>
        </w:rPr>
        <w:t>Attacks on, incidents affecting, or vulnerabilities in underlying cloud service provider environments, communication networks, services, and other technologies or infrastructure that support the Internet, power and water supply, and other utilities, most of which are not under our direct control or the control of our suppliers, partners or customers but can adversely affect our company and our business;</w:t>
      </w:r>
    </w:p>
    <w:p>
      <w:pPr>
        <w:ind w:left="540" w:right="820" w:hanging="322"/>
        <w:spacing w:after="0" w:line="235" w:lineRule="auto"/>
        <w:tabs>
          <w:tab w:leader="none" w:pos="540" w:val="left"/>
        </w:tabs>
        <w:numPr>
          <w:ilvl w:val="0"/>
          <w:numId w:val="28"/>
        </w:numPr>
        <w:rPr>
          <w:rFonts w:ascii="Arial" w:cs="Arial" w:eastAsia="Arial" w:hAnsi="Arial"/>
          <w:sz w:val="17"/>
          <w:szCs w:val="17"/>
          <w:color w:val="D64000"/>
        </w:rPr>
      </w:pPr>
      <w:r>
        <w:rPr>
          <w:rFonts w:ascii="Arial" w:cs="Arial" w:eastAsia="Arial" w:hAnsi="Arial"/>
          <w:sz w:val="17"/>
          <w:szCs w:val="17"/>
          <w:color w:val="auto"/>
        </w:rPr>
        <w:t>Insider threats that compromise our security measures, including without limitation malicious acts and human errors by employees, contractors, third-party providers, or others with access to our information technology systems and infrastructure;</w:t>
      </w:r>
    </w:p>
    <w:p>
      <w:pPr>
        <w:spacing w:after="0" w:line="1" w:lineRule="exact"/>
        <w:rPr>
          <w:rFonts w:ascii="Arial" w:cs="Arial" w:eastAsia="Arial" w:hAnsi="Arial"/>
          <w:sz w:val="17"/>
          <w:szCs w:val="17"/>
          <w:color w:val="D64000"/>
        </w:rPr>
      </w:pPr>
    </w:p>
    <w:p>
      <w:pPr>
        <w:ind w:left="540" w:right="20" w:hanging="322"/>
        <w:spacing w:after="0" w:line="233" w:lineRule="auto"/>
        <w:tabs>
          <w:tab w:leader="none" w:pos="540" w:val="left"/>
        </w:tabs>
        <w:numPr>
          <w:ilvl w:val="0"/>
          <w:numId w:val="28"/>
        </w:numPr>
        <w:rPr>
          <w:rFonts w:ascii="Arial" w:cs="Arial" w:eastAsia="Arial" w:hAnsi="Arial"/>
          <w:sz w:val="17"/>
          <w:szCs w:val="17"/>
          <w:color w:val="D64000"/>
        </w:rPr>
      </w:pPr>
      <w:r>
        <w:rPr>
          <w:rFonts w:ascii="Arial" w:cs="Arial" w:eastAsia="Arial" w:hAnsi="Arial"/>
          <w:sz w:val="17"/>
          <w:szCs w:val="17"/>
          <w:color w:val="auto"/>
        </w:rPr>
        <w:t>Unauthorized persons could gain access to customer accounts if customers do not maintain effective security or access controls of their systems and software. Inadvertent exposure of data or access to our systems may also be caused by members of our workforce, including by their error or use of AI; and</w:t>
      </w:r>
    </w:p>
    <w:p>
      <w:pPr>
        <w:ind w:left="540" w:right="380" w:hanging="322"/>
        <w:spacing w:after="0" w:line="236" w:lineRule="auto"/>
        <w:tabs>
          <w:tab w:leader="none" w:pos="540" w:val="left"/>
        </w:tabs>
        <w:numPr>
          <w:ilvl w:val="0"/>
          <w:numId w:val="28"/>
        </w:numPr>
        <w:rPr>
          <w:rFonts w:ascii="Arial" w:cs="Arial" w:eastAsia="Arial" w:hAnsi="Arial"/>
          <w:sz w:val="17"/>
          <w:szCs w:val="17"/>
          <w:color w:val="D64000"/>
        </w:rPr>
      </w:pPr>
      <w:r>
        <w:rPr>
          <w:rFonts w:ascii="Arial" w:cs="Arial" w:eastAsia="Arial" w:hAnsi="Arial"/>
          <w:sz w:val="17"/>
          <w:szCs w:val="17"/>
          <w:color w:val="auto"/>
        </w:rPr>
        <w:t>Attacks against or incidents involving employee or contractor work from home or hybrid working environments (e.g., home networks, residential internet service providers) that allow an unauthorized party to gain remote or physical access to an employee’s or contractor’s devices or information used to access our information technology systems and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92075</wp:posOffset>
            </wp:positionV>
            <wp:extent cx="68656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43"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20</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40"/>
        <w:spacing w:after="0" w:line="232" w:lineRule="auto"/>
        <w:rPr>
          <w:sz w:val="20"/>
          <w:szCs w:val="20"/>
          <w:color w:val="auto"/>
        </w:rPr>
      </w:pPr>
      <w:r>
        <w:rPr>
          <w:rFonts w:ascii="Arial" w:cs="Arial" w:eastAsia="Arial" w:hAnsi="Arial"/>
          <w:sz w:val="17"/>
          <w:szCs w:val="17"/>
          <w:color w:val="auto"/>
        </w:rPr>
        <w:t>As a third-party supplier, we are sometimes provided with a trusted connection to a customer’s information technology systems and infrastructure. If malicious parties compromise our information technology systems and infrastructure, including without limitation embedding malicious hardware, components or software, they could gain access to our or our customers’ systems and information. In addition, if a customer experiences a cybersecurity incident or cyber-attack it could result in a compromise or breach of our own information technology systems and infrastructure, which could adversely affect our company’s reputation, business, results of operations, and financial condition even if we were not responsible for the breach. In addition to cyber-attacks on and incidents related to our third-party providers’ information technology systems and infrastructure, our outsourcing of certain functions requires us to sometimes grant network access to third parties. If our third-party providers do not maintain adequate security measures, do not require their sub-contractors to maintain adequate security measures or do not perform as anticipated and in accordance with contractual requirements, it could adversely affect our company’s reputation, business, results of operations, and financial condition even if we were not responsible for the incident.</w:t>
      </w:r>
    </w:p>
    <w:p>
      <w:pPr>
        <w:spacing w:after="0" w:line="45" w:lineRule="exact"/>
        <w:rPr>
          <w:sz w:val="20"/>
          <w:szCs w:val="20"/>
          <w:color w:val="auto"/>
        </w:rPr>
      </w:pPr>
    </w:p>
    <w:p>
      <w:pPr>
        <w:ind w:left="220" w:right="20"/>
        <w:spacing w:after="0" w:line="245" w:lineRule="auto"/>
        <w:rPr>
          <w:sz w:val="20"/>
          <w:szCs w:val="20"/>
          <w:color w:val="auto"/>
        </w:rPr>
      </w:pPr>
      <w:r>
        <w:rPr>
          <w:rFonts w:ascii="Arial" w:cs="Arial" w:eastAsia="Arial" w:hAnsi="Arial"/>
          <w:sz w:val="16"/>
          <w:szCs w:val="16"/>
          <w:color w:val="auto"/>
        </w:rPr>
        <w:t>We collect, store, use, transmit, and otherwise process information and data, including without limitation public records, intellectual property, proprietary business information, product content, and personal data pertaining to our company, our employees and contractors, our customers and their clients, our providers, and other individuals. A number of our customers, their clients and providers, our providers and third-party business partners and our employees and contractors also entrust us with storing and securing their own data and information. Our businesses also include certain subscription-based screening products which we sell to institutional customers and governments to enable them to satisfy various regulatory obligations. Any cyber-attacks on or incidents involving our own and third-party information technology systems and infrastructure that process this information and data have in the past resulted in, and could in the future result in, the unauthorized access to, loss, manipulation, destruction of, or disclosure of personal and business information. None of these attacks and incidents that have impacted our company to-date have resulted in a material adverse impact for our business. We seek to mitigate these risks through our ability to detect, escalate and respond to known and potential risks through our Enterprise Security Incident Management processes; however, any cyber-attacks on or incidents involving our own and third-party information technology systems and infrastructure could potentially result in additional costs to our company to enhance security or to respond to occurrences, loss of trust and harm to our brand, loss of sales and an inability to gain new ones, violations of contracts leading to contract terminations and litigation, violations of privacy or other laws leading to penalties, fines, regulatory action or litigation, harm to our brand and reputation, and otherwise adversely impact our business, financial condition, and results of operations. While we maintain what we believe is sufficient insurance coverage that may (subject to certain policy terms and conditions including self-insured deductibles) cover certain aspects of third-party security and cyber-risks and business interruption, our insurance coverage may not always cover all costs or losses and it does not extend to any reputational damage or costs incurred to improve systems as a result of these types of incidents.</w:t>
      </w:r>
    </w:p>
    <w:p>
      <w:pPr>
        <w:spacing w:after="0" w:line="53" w:lineRule="exact"/>
        <w:rPr>
          <w:sz w:val="20"/>
          <w:szCs w:val="20"/>
          <w:color w:val="auto"/>
        </w:rPr>
      </w:pPr>
    </w:p>
    <w:p>
      <w:pPr>
        <w:ind w:left="220" w:right="60"/>
        <w:spacing w:after="0" w:line="248" w:lineRule="auto"/>
        <w:rPr>
          <w:sz w:val="20"/>
          <w:szCs w:val="20"/>
          <w:color w:val="auto"/>
        </w:rPr>
      </w:pPr>
      <w:r>
        <w:rPr>
          <w:rFonts w:ascii="Arial" w:cs="Arial" w:eastAsia="Arial" w:hAnsi="Arial"/>
          <w:sz w:val="17"/>
          <w:szCs w:val="17"/>
          <w:b w:val="1"/>
          <w:bCs w:val="1"/>
          <w:color w:val="auto"/>
        </w:rPr>
        <w:t>We rely heavily on our cloud providers and local data center providers as well as key software-as-a-service (SaaS) providers to provide services from sales to billing; any impacts from these providers could adversely affect our ability to serve our customers and could negatively impact our revenues, ability to retain customers and reputation.</w:t>
      </w:r>
    </w:p>
    <w:p>
      <w:pPr>
        <w:spacing w:after="0" w:line="43" w:lineRule="exact"/>
        <w:rPr>
          <w:sz w:val="20"/>
          <w:szCs w:val="20"/>
          <w:color w:val="auto"/>
        </w:rPr>
      </w:pPr>
    </w:p>
    <w:p>
      <w:pPr>
        <w:ind w:left="220" w:right="140"/>
        <w:spacing w:after="0" w:line="234" w:lineRule="auto"/>
        <w:rPr>
          <w:sz w:val="20"/>
          <w:szCs w:val="20"/>
          <w:color w:val="auto"/>
        </w:rPr>
      </w:pPr>
      <w:r>
        <w:rPr>
          <w:rFonts w:ascii="Arial" w:cs="Arial" w:eastAsia="Arial" w:hAnsi="Arial"/>
          <w:sz w:val="17"/>
          <w:szCs w:val="17"/>
          <w:color w:val="auto"/>
        </w:rPr>
        <w:t>Most of our products and services are delivered electronically and our customers depend on our ability to receive, store, process, transmit and otherwise rapidly handle very substantial quantities of data and transactions on computer-based networks. Our customers also depend on the continued capacity, reliability and security of our cloud and third-party infrastructure, data centres, networks, telecommunications and other electronic delivery systems, including online access. Our employees also depend on these systems for our internal use. Rapidly evolving technology may require us to further rely on third party partners and vendors to provide and support our services, which can add costs and risks, and impact margins. If we fail to anticipate or misjudge customers’ rapidly changing needs and expectations or adapt to emerging technological trends, our market share and results of operations could suffer.</w:t>
      </w:r>
    </w:p>
    <w:p>
      <w:pPr>
        <w:spacing w:after="0" w:line="44" w:lineRule="exact"/>
        <w:rPr>
          <w:sz w:val="20"/>
          <w:szCs w:val="20"/>
          <w:color w:val="auto"/>
        </w:rPr>
      </w:pPr>
    </w:p>
    <w:p>
      <w:pPr>
        <w:ind w:left="220" w:right="120"/>
        <w:spacing w:after="0" w:line="238" w:lineRule="auto"/>
        <w:rPr>
          <w:sz w:val="20"/>
          <w:szCs w:val="20"/>
          <w:color w:val="auto"/>
        </w:rPr>
      </w:pPr>
      <w:r>
        <w:rPr>
          <w:rFonts w:ascii="Arial" w:cs="Arial" w:eastAsia="Arial" w:hAnsi="Arial"/>
          <w:sz w:val="17"/>
          <w:szCs w:val="17"/>
          <w:color w:val="auto"/>
        </w:rPr>
        <w:t>Substantially all of our offerings are SaaS or cloud-based that provide customers with online access. We are dependent on third-party service providers (notably Amazon Web Services (AWS) and Microsoft Azure) to maintain the cloud infrastructure that we use to operate our business. If these third-party service providers fail, consolidate, stop providing certain services or implement cost-cutting efforts, our business could be adversely affected.</w:t>
      </w:r>
    </w:p>
    <w:p>
      <w:pPr>
        <w:spacing w:after="0" w:line="59" w:lineRule="exact"/>
        <w:rPr>
          <w:sz w:val="20"/>
          <w:szCs w:val="20"/>
          <w:color w:val="auto"/>
        </w:rPr>
      </w:pPr>
    </w:p>
    <w:p>
      <w:pPr>
        <w:ind w:left="220" w:right="20"/>
        <w:spacing w:after="0" w:line="231" w:lineRule="auto"/>
        <w:rPr>
          <w:sz w:val="20"/>
          <w:szCs w:val="20"/>
          <w:color w:val="auto"/>
        </w:rPr>
      </w:pPr>
      <w:r>
        <w:rPr>
          <w:rFonts w:ascii="Arial" w:cs="Arial" w:eastAsia="Arial" w:hAnsi="Arial"/>
          <w:sz w:val="17"/>
          <w:szCs w:val="17"/>
          <w:color w:val="auto"/>
        </w:rPr>
        <w:t>Any significant failure, compromise, cybersecurity incident, data privacy breach, disruptive cyber-attack, or interruption of our systems or a third-party service provider’s, including operational services, sabotage, break-ins, war, terrorist activities, human error, use of AI, natural disaster, power or coding loss and computer viruses, could cause our or a third-party service provider’s systems to operate slowly or could interrupt service for periods of time. The frequency and intensity of weather events related to climate change are also increasing, which could increase the likelihood and severity of such disasters as well as related damage and business interruptions if any of our or our key third-party service providers’ facilities or systems are affected. While we and our key third-party service providers have disaster recovery and business continuity plans that utilize industry standards and best practices, including back-up facilities for primary data centers, a testing program and staff training, the systems are not always fully redundant and disaster recovery and business continuity plans may not always be sufficient or effective. To the extent that our telecommunications, information technology systems, cloud-based service providers or other networks are managed or hosted by third parties, we would need to coordinate with these third parties to resolve any issues. In the past when we have experienced slow operation of our systems or service interruptions, some of our products, services, websites, information or data have been unavailable for a limited period of time, but none of these occurrences have been material to our business. Disruptions and outages to our products could have a negative effect on our revenues, ability to retain customers and 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93345</wp:posOffset>
            </wp:positionV>
            <wp:extent cx="68656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8"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21</w:t>
      </w:r>
    </w:p>
    <w:p>
      <w:pPr>
        <w:sectPr>
          <w:pgSz w:w="11900" w:h="16838" w:orient="portrait"/>
          <w:cols w:equalWidth="0" w:num="1">
            <w:col w:w="11040"/>
          </w:cols>
          <w:pgMar w:left="320" w:top="477" w:right="5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460"/>
        <w:spacing w:after="0" w:line="238" w:lineRule="auto"/>
        <w:rPr>
          <w:sz w:val="20"/>
          <w:szCs w:val="20"/>
          <w:color w:val="auto"/>
        </w:rPr>
      </w:pPr>
      <w:r>
        <w:rPr>
          <w:rFonts w:ascii="Arial" w:cs="Arial" w:eastAsia="Arial" w:hAnsi="Arial"/>
          <w:sz w:val="17"/>
          <w:szCs w:val="17"/>
          <w:color w:val="auto"/>
        </w:rPr>
        <w:t>Our ability to effectively use the Internet may also be impaired due to infrastructure failures, service outages at third-party internet service providers or increased government regulation. In addition, we are facing significant increases in our use of power and data storage. We may experience shortage of capacity and increased costs associated with such usage. These events may affect our ability to store, process and transmit data and services to our customers.</w:t>
      </w:r>
    </w:p>
    <w:p>
      <w:pPr>
        <w:spacing w:after="0" w:line="46" w:lineRule="exact"/>
        <w:rPr>
          <w:sz w:val="20"/>
          <w:szCs w:val="20"/>
          <w:color w:val="auto"/>
        </w:rPr>
      </w:pPr>
    </w:p>
    <w:p>
      <w:pPr>
        <w:ind w:left="220" w:right="260"/>
        <w:spacing w:after="0" w:line="238" w:lineRule="auto"/>
        <w:rPr>
          <w:sz w:val="20"/>
          <w:szCs w:val="20"/>
          <w:color w:val="auto"/>
        </w:rPr>
      </w:pPr>
      <w:r>
        <w:rPr>
          <w:rFonts w:ascii="Arial" w:cs="Arial" w:eastAsia="Arial" w:hAnsi="Arial"/>
          <w:sz w:val="17"/>
          <w:szCs w:val="17"/>
          <w:color w:val="auto"/>
        </w:rPr>
        <w:t>Further, our ability to continue to develop and effectively deploy AI technologies is dependent on access to specific third-party equipment and other infrastructure, such as processing hardware and network capacity, which we cannot control the availability of, especially in a highly competitive environment. This reliance on third parties creates additional risks such as data loss, product outages, price fluctuations, and other challenges inherent with working with third parties.</w:t>
      </w:r>
    </w:p>
    <w:p>
      <w:pPr>
        <w:spacing w:after="0" w:line="179"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u w:val="single" w:color="auto"/>
          <w:color w:val="auto"/>
        </w:rPr>
        <w:t>Operational Risks</w:t>
      </w:r>
    </w:p>
    <w:p>
      <w:pPr>
        <w:spacing w:after="0" w:line="83" w:lineRule="exact"/>
        <w:rPr>
          <w:sz w:val="20"/>
          <w:szCs w:val="20"/>
          <w:color w:val="auto"/>
        </w:rPr>
      </w:pPr>
    </w:p>
    <w:p>
      <w:pPr>
        <w:ind w:left="220" w:right="120"/>
        <w:spacing w:after="0" w:line="269" w:lineRule="auto"/>
        <w:rPr>
          <w:sz w:val="20"/>
          <w:szCs w:val="20"/>
          <w:color w:val="auto"/>
        </w:rPr>
      </w:pPr>
      <w:r>
        <w:rPr>
          <w:rFonts w:ascii="Arial" w:cs="Arial" w:eastAsia="Arial" w:hAnsi="Arial"/>
          <w:sz w:val="17"/>
          <w:szCs w:val="17"/>
          <w:b w:val="1"/>
          <w:bCs w:val="1"/>
          <w:color w:val="auto"/>
        </w:rPr>
        <w:t>If we do not continue to attract, engage and retain the right management, key employees, and skills to the organization, we may not be able to execute our global strategies and businesses.</w:t>
      </w:r>
    </w:p>
    <w:p>
      <w:pPr>
        <w:spacing w:after="0" w:line="26" w:lineRule="exact"/>
        <w:rPr>
          <w:sz w:val="20"/>
          <w:szCs w:val="20"/>
          <w:color w:val="auto"/>
        </w:rPr>
      </w:pPr>
    </w:p>
    <w:p>
      <w:pPr>
        <w:ind w:left="220" w:right="60"/>
        <w:spacing w:after="0" w:line="232" w:lineRule="auto"/>
        <w:rPr>
          <w:sz w:val="20"/>
          <w:szCs w:val="20"/>
          <w:color w:val="auto"/>
        </w:rPr>
      </w:pPr>
      <w:r>
        <w:rPr>
          <w:rFonts w:ascii="Arial" w:cs="Arial" w:eastAsia="Arial" w:hAnsi="Arial"/>
          <w:sz w:val="17"/>
          <w:szCs w:val="17"/>
          <w:color w:val="auto"/>
        </w:rPr>
        <w:t>The completion and execution of our strategies depends on our ability to continue to attract and retain high quality and talented management and employee base across all of our businesses and global locations, and to foster employee engagement at all levels in the company. We compete with many businesses that are seeking skilled individuals, particularly those with experience in technology, cybersecurity, data science, AI and ML, and product management. More recently, with the rapid increase and the use of and investment in AI by a number of companies, the market for skilled personnel in AI in particular is very competitive. Some of the companies we compete with in this space for experienced personnel have greater resources than we have and may offer more lucrative compensation packages than we offer or provide such other incentives that we may not be able to offer. We have experienced and we expect to experience significant competition in hiring and retaining such employees. Our ability to execute on our generative AI strategy will be adversely affected if we are unable to retain, hire and engage highly skilled employees in this space. Competition for sales professionals in our Legal Professionals, Corporates and Tax &amp; Accounting Professionals segments can also be intense as other companies seek to enhance their positions in our market segments.</w:t>
      </w:r>
    </w:p>
    <w:p>
      <w:pPr>
        <w:spacing w:after="0" w:line="45" w:lineRule="exact"/>
        <w:rPr>
          <w:sz w:val="20"/>
          <w:szCs w:val="20"/>
          <w:color w:val="auto"/>
        </w:rPr>
      </w:pPr>
    </w:p>
    <w:p>
      <w:pPr>
        <w:ind w:left="220" w:right="80"/>
        <w:spacing w:after="0" w:line="238" w:lineRule="auto"/>
        <w:rPr>
          <w:sz w:val="20"/>
          <w:szCs w:val="20"/>
          <w:color w:val="auto"/>
        </w:rPr>
      </w:pPr>
      <w:r>
        <w:rPr>
          <w:rFonts w:ascii="Arial" w:cs="Arial" w:eastAsia="Arial" w:hAnsi="Arial"/>
          <w:sz w:val="17"/>
          <w:szCs w:val="17"/>
          <w:color w:val="auto"/>
        </w:rPr>
        <w:t>Our future work model continues to evolve and may not meet the needs or expectations of our existing and prospective employees and they may prefer work models offered by other companies. If we are unable to continue to identify or be successful in attracting, motivating and retaining the appropriate qualified personnel for our businesses, and to continue to enhance our inclusive and engaging culture, it could adversely affect our ability to execute our strategies.</w:t>
      </w:r>
    </w:p>
    <w:p>
      <w:pPr>
        <w:spacing w:after="0" w:line="59" w:lineRule="exact"/>
        <w:rPr>
          <w:sz w:val="20"/>
          <w:szCs w:val="20"/>
          <w:color w:val="auto"/>
        </w:rPr>
      </w:pPr>
    </w:p>
    <w:p>
      <w:pPr>
        <w:ind w:left="220" w:right="40"/>
        <w:spacing w:after="0" w:line="269" w:lineRule="auto"/>
        <w:rPr>
          <w:sz w:val="20"/>
          <w:szCs w:val="20"/>
          <w:color w:val="auto"/>
        </w:rPr>
      </w:pPr>
      <w:r>
        <w:rPr>
          <w:rFonts w:ascii="Arial" w:cs="Arial" w:eastAsia="Arial" w:hAnsi="Arial"/>
          <w:sz w:val="17"/>
          <w:szCs w:val="17"/>
          <w:b w:val="1"/>
          <w:bCs w:val="1"/>
          <w:color w:val="auto"/>
        </w:rPr>
        <w:t>If we are unable to successfully adapt to organizational changes and other strategic initiatives, our reputation and results of operations could be impacted.</w:t>
      </w:r>
    </w:p>
    <w:p>
      <w:pPr>
        <w:spacing w:after="0" w:line="12" w:lineRule="exact"/>
        <w:rPr>
          <w:sz w:val="20"/>
          <w:szCs w:val="20"/>
          <w:color w:val="auto"/>
        </w:rPr>
      </w:pPr>
    </w:p>
    <w:p>
      <w:pPr>
        <w:ind w:left="220" w:right="80"/>
        <w:spacing w:after="0" w:line="260" w:lineRule="auto"/>
        <w:rPr>
          <w:sz w:val="20"/>
          <w:szCs w:val="20"/>
          <w:color w:val="auto"/>
        </w:rPr>
      </w:pPr>
      <w:r>
        <w:rPr>
          <w:rFonts w:ascii="Arial" w:cs="Arial" w:eastAsia="Arial" w:hAnsi="Arial"/>
          <w:sz w:val="17"/>
          <w:szCs w:val="17"/>
          <w:color w:val="auto"/>
        </w:rPr>
        <w:t>Our ability to successfully manage organizational changes is important for our future business success. In particular, our reputation and results of operations could be harmed if employee morale, engagement or productivity decline as a result of organizational changes.</w:t>
      </w:r>
    </w:p>
    <w:p>
      <w:pPr>
        <w:spacing w:after="0" w:line="40" w:lineRule="exact"/>
        <w:rPr>
          <w:sz w:val="20"/>
          <w:szCs w:val="20"/>
          <w:color w:val="auto"/>
        </w:rPr>
      </w:pPr>
    </w:p>
    <w:p>
      <w:pPr>
        <w:ind w:left="220" w:right="20"/>
        <w:spacing w:after="0" w:line="236" w:lineRule="auto"/>
        <w:rPr>
          <w:sz w:val="20"/>
          <w:szCs w:val="20"/>
          <w:color w:val="auto"/>
        </w:rPr>
      </w:pPr>
      <w:r>
        <w:rPr>
          <w:rFonts w:ascii="Arial" w:cs="Arial" w:eastAsia="Arial" w:hAnsi="Arial"/>
          <w:sz w:val="17"/>
          <w:szCs w:val="17"/>
          <w:color w:val="auto"/>
        </w:rPr>
        <w:t>Furthermore, we may not realize all of the cost savings, incremental revenue and synergies that we expect to achieve from our strategic initiatives due to a variety of factors, including, but not limited to, unexpected operational or technological challenges, higher than expected costs or expenses, delays in the anticipated timing of activities and other unexpected costs associated with operating our business. If we are unable to achieve the cost savings, incremental revenue or synergies that we expect to achieve from our strategic initiatives, it could adversely affect our profitability and related margins.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Our ability to realize our go to market strategies and any change to those strategies relies on our people, and underlying processes and systems.</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regularly monitor our team capacity, and supporting systems and processes, to drive effectiveness and align with customer preferences.</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Operating globally involves challenges that we may not be able to meet and that may adversely affect our ability to grow.</w:t>
      </w:r>
    </w:p>
    <w:p>
      <w:pPr>
        <w:spacing w:after="0" w:line="83" w:lineRule="exact"/>
        <w:rPr>
          <w:sz w:val="20"/>
          <w:szCs w:val="20"/>
          <w:color w:val="auto"/>
        </w:rPr>
      </w:pPr>
    </w:p>
    <w:p>
      <w:pPr>
        <w:ind w:left="220" w:right="140"/>
        <w:spacing w:after="0" w:line="243" w:lineRule="auto"/>
        <w:rPr>
          <w:sz w:val="20"/>
          <w:szCs w:val="20"/>
          <w:color w:val="auto"/>
        </w:rPr>
      </w:pPr>
      <w:r>
        <w:rPr>
          <w:rFonts w:ascii="Arial" w:cs="Arial" w:eastAsia="Arial" w:hAnsi="Arial"/>
          <w:sz w:val="17"/>
          <w:szCs w:val="17"/>
          <w:color w:val="auto"/>
        </w:rPr>
        <w:t>As part of our globalization efforts, we operate regional teams and shared resource operational centers, particularly in emerging markets, that work across our segments to combine local expertise with global capabilities to address specific customer needs. We sometimes modify existing products and services for local markets, but we also develop products and services specifically for local markets.</w:t>
      </w:r>
    </w:p>
    <w:p>
      <w:pPr>
        <w:spacing w:after="0" w:line="55" w:lineRule="exact"/>
        <w:rPr>
          <w:sz w:val="20"/>
          <w:szCs w:val="20"/>
          <w:color w:val="auto"/>
        </w:rPr>
      </w:pPr>
    </w:p>
    <w:p>
      <w:pPr>
        <w:ind w:left="220" w:right="20"/>
        <w:spacing w:after="0" w:line="243" w:lineRule="auto"/>
        <w:rPr>
          <w:sz w:val="20"/>
          <w:szCs w:val="20"/>
          <w:color w:val="auto"/>
        </w:rPr>
      </w:pPr>
      <w:r>
        <w:rPr>
          <w:rFonts w:ascii="Arial" w:cs="Arial" w:eastAsia="Arial" w:hAnsi="Arial"/>
          <w:sz w:val="17"/>
          <w:szCs w:val="17"/>
          <w:color w:val="auto"/>
        </w:rPr>
        <w:t>We believe that there are advantages to operating globally, including a proportionately reduced exposure to the market developments of a single country or region. However, there are certain risks inherent in doing business globally which may adversely affect our business and ability to grow. These risks include:</w:t>
      </w:r>
    </w:p>
    <w:p>
      <w:pPr>
        <w:spacing w:after="0" w:line="55" w:lineRule="exact"/>
        <w:rPr>
          <w:sz w:val="20"/>
          <w:szCs w:val="20"/>
          <w:color w:val="auto"/>
        </w:rPr>
      </w:pPr>
    </w:p>
    <w:p>
      <w:pPr>
        <w:ind w:left="640" w:right="120" w:hanging="422"/>
        <w:spacing w:after="0" w:line="245" w:lineRule="auto"/>
        <w:tabs>
          <w:tab w:leader="none" w:pos="640" w:val="left"/>
        </w:tabs>
        <w:numPr>
          <w:ilvl w:val="0"/>
          <w:numId w:val="29"/>
        </w:numPr>
        <w:rPr>
          <w:rFonts w:ascii="Arial" w:cs="Arial" w:eastAsia="Arial" w:hAnsi="Arial"/>
          <w:sz w:val="17"/>
          <w:szCs w:val="17"/>
          <w:color w:val="D64000"/>
        </w:rPr>
      </w:pPr>
      <w:r>
        <w:rPr>
          <w:rFonts w:ascii="Arial" w:cs="Arial" w:eastAsia="Arial" w:hAnsi="Arial"/>
          <w:sz w:val="17"/>
          <w:szCs w:val="17"/>
          <w:color w:val="auto"/>
        </w:rPr>
        <w:t>Difficulties in penetrating new markets due to established and entrenched competitors or unavailability of local companies for acquisition or joint venture partners or restrictions on foreign ownership;</w:t>
      </w:r>
    </w:p>
    <w:p>
      <w:pPr>
        <w:spacing w:after="0" w:line="1" w:lineRule="exact"/>
        <w:rPr>
          <w:rFonts w:ascii="Arial" w:cs="Arial" w:eastAsia="Arial" w:hAnsi="Arial"/>
          <w:sz w:val="17"/>
          <w:szCs w:val="17"/>
          <w:color w:val="D64000"/>
        </w:rPr>
      </w:pPr>
    </w:p>
    <w:p>
      <w:pPr>
        <w:ind w:left="640" w:hanging="422"/>
        <w:spacing w:after="0"/>
        <w:tabs>
          <w:tab w:leader="none" w:pos="640" w:val="left"/>
        </w:tabs>
        <w:numPr>
          <w:ilvl w:val="0"/>
          <w:numId w:val="29"/>
        </w:numPr>
        <w:rPr>
          <w:rFonts w:ascii="Arial" w:cs="Arial" w:eastAsia="Arial" w:hAnsi="Arial"/>
          <w:sz w:val="17"/>
          <w:szCs w:val="17"/>
          <w:color w:val="D64000"/>
        </w:rPr>
      </w:pPr>
      <w:r>
        <w:rPr>
          <w:rFonts w:ascii="Arial" w:cs="Arial" w:eastAsia="Arial" w:hAnsi="Arial"/>
          <w:sz w:val="17"/>
          <w:szCs w:val="17"/>
          <w:color w:val="auto"/>
        </w:rPr>
        <w:t>Difficulties in developing products and services that are tailored to the needs of local customers;</w:t>
      </w:r>
    </w:p>
    <w:p>
      <w:pPr>
        <w:spacing w:after="0" w:line="3" w:lineRule="exact"/>
        <w:rPr>
          <w:rFonts w:ascii="Arial" w:cs="Arial" w:eastAsia="Arial" w:hAnsi="Arial"/>
          <w:sz w:val="17"/>
          <w:szCs w:val="17"/>
          <w:color w:val="D64000"/>
        </w:rPr>
      </w:pPr>
    </w:p>
    <w:p>
      <w:pPr>
        <w:ind w:left="640" w:hanging="422"/>
        <w:spacing w:after="0"/>
        <w:tabs>
          <w:tab w:leader="none" w:pos="640" w:val="left"/>
        </w:tabs>
        <w:numPr>
          <w:ilvl w:val="0"/>
          <w:numId w:val="29"/>
        </w:numPr>
        <w:rPr>
          <w:rFonts w:ascii="Arial" w:cs="Arial" w:eastAsia="Arial" w:hAnsi="Arial"/>
          <w:sz w:val="17"/>
          <w:szCs w:val="17"/>
          <w:color w:val="D64000"/>
        </w:rPr>
      </w:pPr>
      <w:r>
        <w:rPr>
          <w:rFonts w:ascii="Arial" w:cs="Arial" w:eastAsia="Arial" w:hAnsi="Arial"/>
          <w:sz w:val="17"/>
          <w:szCs w:val="17"/>
          <w:color w:val="auto"/>
        </w:rPr>
        <w:t>Local lack of recognition of our brands or acceptance or knowledge of our products and services;</w:t>
      </w:r>
    </w:p>
    <w:p>
      <w:pPr>
        <w:spacing w:after="0" w:line="3" w:lineRule="exact"/>
        <w:rPr>
          <w:rFonts w:ascii="Arial" w:cs="Arial" w:eastAsia="Arial" w:hAnsi="Arial"/>
          <w:sz w:val="17"/>
          <w:szCs w:val="17"/>
          <w:color w:val="D64000"/>
        </w:rPr>
      </w:pPr>
    </w:p>
    <w:p>
      <w:pPr>
        <w:ind w:left="640" w:right="340" w:hanging="422"/>
        <w:spacing w:after="0" w:line="231" w:lineRule="auto"/>
        <w:tabs>
          <w:tab w:leader="none" w:pos="640" w:val="left"/>
        </w:tabs>
        <w:numPr>
          <w:ilvl w:val="0"/>
          <w:numId w:val="29"/>
        </w:numPr>
        <w:rPr>
          <w:rFonts w:ascii="Arial" w:cs="Arial" w:eastAsia="Arial" w:hAnsi="Arial"/>
          <w:sz w:val="17"/>
          <w:szCs w:val="17"/>
          <w:color w:val="D64000"/>
        </w:rPr>
      </w:pPr>
      <w:r>
        <w:rPr>
          <w:rFonts w:ascii="Arial" w:cs="Arial" w:eastAsia="Arial" w:hAnsi="Arial"/>
          <w:sz w:val="17"/>
          <w:szCs w:val="17"/>
          <w:color w:val="auto"/>
        </w:rPr>
        <w:t>The impact of geopolitical tensions in local markets, including the impact of the Russian invasion of Ukraine and related government sanctions and the ongoing Israel-Hamas conflict, potential new tariffs and ongoing protectionism measures due to a decline in global alignment (including retaliatory measures related to the imposition of tariffs), changes in monetary policy, weaker global demand, supply chain disruptions, labour shortages and other events;</w:t>
      </w:r>
    </w:p>
    <w:p>
      <w:pPr>
        <w:spacing w:after="0" w:line="2" w:lineRule="exact"/>
        <w:rPr>
          <w:rFonts w:ascii="Arial" w:cs="Arial" w:eastAsia="Arial" w:hAnsi="Arial"/>
          <w:sz w:val="17"/>
          <w:szCs w:val="17"/>
          <w:color w:val="D64000"/>
        </w:rPr>
      </w:pPr>
    </w:p>
    <w:p>
      <w:pPr>
        <w:ind w:left="640" w:hanging="422"/>
        <w:spacing w:after="0"/>
        <w:tabs>
          <w:tab w:leader="none" w:pos="640" w:val="left"/>
        </w:tabs>
        <w:numPr>
          <w:ilvl w:val="0"/>
          <w:numId w:val="29"/>
        </w:numPr>
        <w:rPr>
          <w:rFonts w:ascii="Arial" w:cs="Arial" w:eastAsia="Arial" w:hAnsi="Arial"/>
          <w:sz w:val="17"/>
          <w:szCs w:val="17"/>
          <w:color w:val="D64000"/>
        </w:rPr>
      </w:pPr>
      <w:r>
        <w:rPr>
          <w:rFonts w:ascii="Arial" w:cs="Arial" w:eastAsia="Arial" w:hAnsi="Arial"/>
          <w:sz w:val="17"/>
          <w:szCs w:val="17"/>
          <w:color w:val="auto"/>
        </w:rPr>
        <w:t>Challenges protecting the safety, security and wellbeing of staff in all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98425</wp:posOffset>
            </wp:positionV>
            <wp:extent cx="68656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66"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22</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640" w:hanging="422"/>
        <w:spacing w:after="0"/>
        <w:tabs>
          <w:tab w:leader="none" w:pos="640" w:val="left"/>
        </w:tabs>
        <w:numPr>
          <w:ilvl w:val="0"/>
          <w:numId w:val="30"/>
        </w:numPr>
        <w:rPr>
          <w:rFonts w:ascii="Arial" w:cs="Arial" w:eastAsia="Arial" w:hAnsi="Arial"/>
          <w:sz w:val="17"/>
          <w:szCs w:val="17"/>
          <w:color w:val="D64000"/>
        </w:rPr>
      </w:pPr>
      <w:r>
        <w:rPr>
          <w:rFonts w:ascii="Arial" w:cs="Arial" w:eastAsia="Arial" w:hAnsi="Arial"/>
          <w:sz w:val="17"/>
          <w:szCs w:val="17"/>
          <w:color w:val="auto"/>
        </w:rPr>
        <w:t>Economic, political or social instability in local markets;</w:t>
      </w:r>
    </w:p>
    <w:p>
      <w:pPr>
        <w:spacing w:after="0" w:line="19" w:lineRule="exact"/>
        <w:rPr>
          <w:rFonts w:ascii="Arial" w:cs="Arial" w:eastAsia="Arial" w:hAnsi="Arial"/>
          <w:sz w:val="17"/>
          <w:szCs w:val="17"/>
          <w:color w:val="D64000"/>
        </w:rPr>
      </w:pPr>
    </w:p>
    <w:p>
      <w:pPr>
        <w:ind w:left="640" w:hanging="422"/>
        <w:spacing w:after="0"/>
        <w:tabs>
          <w:tab w:leader="none" w:pos="640" w:val="left"/>
        </w:tabs>
        <w:numPr>
          <w:ilvl w:val="0"/>
          <w:numId w:val="30"/>
        </w:numPr>
        <w:rPr>
          <w:rFonts w:ascii="Arial" w:cs="Arial" w:eastAsia="Arial" w:hAnsi="Arial"/>
          <w:sz w:val="17"/>
          <w:szCs w:val="17"/>
          <w:color w:val="D64000"/>
        </w:rPr>
      </w:pPr>
      <w:r>
        <w:rPr>
          <w:rFonts w:ascii="Arial" w:cs="Arial" w:eastAsia="Arial" w:hAnsi="Arial"/>
          <w:sz w:val="17"/>
          <w:szCs w:val="17"/>
          <w:color w:val="auto"/>
        </w:rPr>
        <w:t>Exposure to possibly adverse governmental or regulatory actions in countries where we operate or conduct business;</w:t>
      </w:r>
    </w:p>
    <w:p>
      <w:pPr>
        <w:spacing w:after="0" w:line="3" w:lineRule="exact"/>
        <w:rPr>
          <w:rFonts w:ascii="Arial" w:cs="Arial" w:eastAsia="Arial" w:hAnsi="Arial"/>
          <w:sz w:val="17"/>
          <w:szCs w:val="17"/>
          <w:color w:val="D64000"/>
        </w:rPr>
      </w:pPr>
    </w:p>
    <w:p>
      <w:pPr>
        <w:ind w:left="640" w:hanging="422"/>
        <w:spacing w:after="0"/>
        <w:tabs>
          <w:tab w:leader="none" w:pos="640" w:val="left"/>
        </w:tabs>
        <w:numPr>
          <w:ilvl w:val="0"/>
          <w:numId w:val="30"/>
        </w:numPr>
        <w:rPr>
          <w:rFonts w:ascii="Arial" w:cs="Arial" w:eastAsia="Arial" w:hAnsi="Arial"/>
          <w:sz w:val="17"/>
          <w:szCs w:val="17"/>
          <w:color w:val="D64000"/>
        </w:rPr>
      </w:pPr>
      <w:r>
        <w:rPr>
          <w:rFonts w:ascii="Arial" w:cs="Arial" w:eastAsia="Arial" w:hAnsi="Arial"/>
          <w:sz w:val="17"/>
          <w:szCs w:val="17"/>
          <w:color w:val="auto"/>
        </w:rPr>
        <w:t>Higher inflation rates and increased credit risk;</w:t>
      </w:r>
    </w:p>
    <w:p>
      <w:pPr>
        <w:spacing w:after="0" w:line="3" w:lineRule="exact"/>
        <w:rPr>
          <w:rFonts w:ascii="Arial" w:cs="Arial" w:eastAsia="Arial" w:hAnsi="Arial"/>
          <w:sz w:val="17"/>
          <w:szCs w:val="17"/>
          <w:color w:val="D64000"/>
        </w:rPr>
      </w:pPr>
    </w:p>
    <w:p>
      <w:pPr>
        <w:ind w:left="640" w:right="60" w:hanging="422"/>
        <w:spacing w:after="0" w:line="235" w:lineRule="auto"/>
        <w:tabs>
          <w:tab w:leader="none" w:pos="640" w:val="left"/>
        </w:tabs>
        <w:numPr>
          <w:ilvl w:val="0"/>
          <w:numId w:val="30"/>
        </w:numPr>
        <w:rPr>
          <w:rFonts w:ascii="Arial" w:cs="Arial" w:eastAsia="Arial" w:hAnsi="Arial"/>
          <w:sz w:val="17"/>
          <w:szCs w:val="17"/>
          <w:color w:val="D64000"/>
        </w:rPr>
      </w:pPr>
      <w:r>
        <w:rPr>
          <w:rFonts w:ascii="Arial" w:cs="Arial" w:eastAsia="Arial" w:hAnsi="Arial"/>
          <w:sz w:val="17"/>
          <w:szCs w:val="17"/>
          <w:color w:val="auto"/>
        </w:rPr>
        <w:t>The impact of foreign currency fluctuations on prices charged to local customers, notably when there is strengthening of the U.S. dollar, and other controls, regulations and orders that might restrict our ability to repatriate cash or limit our ability to move or invest cash freely;</w:t>
      </w:r>
    </w:p>
    <w:p>
      <w:pPr>
        <w:spacing w:after="0" w:line="1" w:lineRule="exact"/>
        <w:rPr>
          <w:rFonts w:ascii="Arial" w:cs="Arial" w:eastAsia="Arial" w:hAnsi="Arial"/>
          <w:sz w:val="17"/>
          <w:szCs w:val="17"/>
          <w:color w:val="D64000"/>
        </w:rPr>
      </w:pPr>
    </w:p>
    <w:p>
      <w:pPr>
        <w:ind w:left="640" w:right="700" w:hanging="422"/>
        <w:spacing w:after="0" w:line="235" w:lineRule="auto"/>
        <w:tabs>
          <w:tab w:leader="none" w:pos="640" w:val="left"/>
        </w:tabs>
        <w:numPr>
          <w:ilvl w:val="0"/>
          <w:numId w:val="30"/>
        </w:numPr>
        <w:rPr>
          <w:rFonts w:ascii="Arial" w:cs="Arial" w:eastAsia="Arial" w:hAnsi="Arial"/>
          <w:sz w:val="17"/>
          <w:szCs w:val="17"/>
          <w:color w:val="D64000"/>
        </w:rPr>
      </w:pPr>
      <w:r>
        <w:rPr>
          <w:rFonts w:ascii="Arial" w:cs="Arial" w:eastAsia="Arial" w:hAnsi="Arial"/>
          <w:sz w:val="17"/>
          <w:szCs w:val="17"/>
          <w:color w:val="auto"/>
        </w:rPr>
        <w:t>Difficulties hiring and retaining staff for foreign operations and protecting their safety, differing employee/employer relationships and workplace cultures, and other challenges caused by distance, language and cultural differences;</w:t>
      </w:r>
    </w:p>
    <w:p>
      <w:pPr>
        <w:spacing w:after="0" w:line="1" w:lineRule="exact"/>
        <w:rPr>
          <w:rFonts w:ascii="Arial" w:cs="Arial" w:eastAsia="Arial" w:hAnsi="Arial"/>
          <w:sz w:val="17"/>
          <w:szCs w:val="17"/>
          <w:color w:val="D64000"/>
        </w:rPr>
      </w:pPr>
    </w:p>
    <w:p>
      <w:pPr>
        <w:ind w:left="640" w:hanging="422"/>
        <w:spacing w:after="0"/>
        <w:tabs>
          <w:tab w:leader="none" w:pos="640" w:val="left"/>
        </w:tabs>
        <w:numPr>
          <w:ilvl w:val="0"/>
          <w:numId w:val="30"/>
        </w:numPr>
        <w:rPr>
          <w:rFonts w:ascii="Arial" w:cs="Arial" w:eastAsia="Arial" w:hAnsi="Arial"/>
          <w:sz w:val="17"/>
          <w:szCs w:val="17"/>
          <w:color w:val="D64000"/>
        </w:rPr>
      </w:pPr>
      <w:r>
        <w:rPr>
          <w:rFonts w:ascii="Arial" w:cs="Arial" w:eastAsia="Arial" w:hAnsi="Arial"/>
          <w:sz w:val="17"/>
          <w:szCs w:val="17"/>
          <w:color w:val="auto"/>
        </w:rPr>
        <w:t>Reduced protection for intellectual property rights;</w:t>
      </w:r>
    </w:p>
    <w:p>
      <w:pPr>
        <w:spacing w:after="0" w:line="3" w:lineRule="exact"/>
        <w:rPr>
          <w:rFonts w:ascii="Arial" w:cs="Arial" w:eastAsia="Arial" w:hAnsi="Arial"/>
          <w:sz w:val="17"/>
          <w:szCs w:val="17"/>
          <w:color w:val="D64000"/>
        </w:rPr>
      </w:pPr>
    </w:p>
    <w:p>
      <w:pPr>
        <w:ind w:left="640" w:hanging="422"/>
        <w:spacing w:after="0"/>
        <w:tabs>
          <w:tab w:leader="none" w:pos="640" w:val="left"/>
        </w:tabs>
        <w:numPr>
          <w:ilvl w:val="0"/>
          <w:numId w:val="30"/>
        </w:numPr>
        <w:rPr>
          <w:rFonts w:ascii="Arial" w:cs="Arial" w:eastAsia="Arial" w:hAnsi="Arial"/>
          <w:sz w:val="17"/>
          <w:szCs w:val="17"/>
          <w:color w:val="D64000"/>
        </w:rPr>
      </w:pPr>
      <w:r>
        <w:rPr>
          <w:rFonts w:ascii="Arial" w:cs="Arial" w:eastAsia="Arial" w:hAnsi="Arial"/>
          <w:sz w:val="17"/>
          <w:szCs w:val="17"/>
          <w:color w:val="auto"/>
        </w:rPr>
        <w:t>Changes in laws and policies affecting trade and investment in other jurisdictions; and</w:t>
      </w:r>
    </w:p>
    <w:p>
      <w:pPr>
        <w:spacing w:after="0" w:line="3" w:lineRule="exact"/>
        <w:rPr>
          <w:rFonts w:ascii="Arial" w:cs="Arial" w:eastAsia="Arial" w:hAnsi="Arial"/>
          <w:sz w:val="17"/>
          <w:szCs w:val="17"/>
          <w:color w:val="D64000"/>
        </w:rPr>
      </w:pPr>
    </w:p>
    <w:p>
      <w:pPr>
        <w:ind w:left="640" w:right="620" w:hanging="422"/>
        <w:spacing w:after="0"/>
        <w:tabs>
          <w:tab w:leader="none" w:pos="640" w:val="left"/>
        </w:tabs>
        <w:numPr>
          <w:ilvl w:val="0"/>
          <w:numId w:val="30"/>
        </w:numPr>
        <w:rPr>
          <w:rFonts w:ascii="Arial" w:cs="Arial" w:eastAsia="Arial" w:hAnsi="Arial"/>
          <w:sz w:val="17"/>
          <w:szCs w:val="17"/>
          <w:color w:val="D64000"/>
        </w:rPr>
      </w:pPr>
      <w:r>
        <w:rPr>
          <w:rFonts w:ascii="Arial" w:cs="Arial" w:eastAsia="Arial" w:hAnsi="Arial"/>
          <w:sz w:val="17"/>
          <w:szCs w:val="17"/>
          <w:color w:val="auto"/>
        </w:rPr>
        <w:t>Managing compliance with local laws and regulations (notably related to data privacy, data use and data protection) and varying and sometimes conflicting laws and regulations across the countries in which we do business.</w:t>
      </w:r>
    </w:p>
    <w:p>
      <w:pPr>
        <w:spacing w:after="0" w:line="44" w:lineRule="exact"/>
        <w:rPr>
          <w:sz w:val="20"/>
          <w:szCs w:val="20"/>
          <w:color w:val="auto"/>
        </w:rPr>
      </w:pPr>
    </w:p>
    <w:p>
      <w:pPr>
        <w:ind w:left="220" w:right="100"/>
        <w:spacing w:after="0" w:line="238" w:lineRule="auto"/>
        <w:rPr>
          <w:sz w:val="20"/>
          <w:szCs w:val="20"/>
          <w:color w:val="auto"/>
        </w:rPr>
      </w:pPr>
      <w:r>
        <w:rPr>
          <w:rFonts w:ascii="Arial" w:cs="Arial" w:eastAsia="Arial" w:hAnsi="Arial"/>
          <w:sz w:val="17"/>
          <w:szCs w:val="17"/>
          <w:color w:val="auto"/>
        </w:rPr>
        <w:t>Adverse developments in any of these areas could cause our actual results to differ materially from expected results. Challenges associated with operating globally may increase for our company as we continue to expand into geographic areas that we believe present the highest growth opportunities. We may also be required or may decide to cease or modify operations in a particular country as a result of a risk described above, which could adversely affect our business and results.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We are dependent on third parties for data, information and other services.</w:t>
      </w:r>
    </w:p>
    <w:p>
      <w:pPr>
        <w:spacing w:after="0" w:line="83" w:lineRule="exact"/>
        <w:rPr>
          <w:sz w:val="20"/>
          <w:szCs w:val="20"/>
          <w:color w:val="auto"/>
        </w:rPr>
      </w:pPr>
    </w:p>
    <w:p>
      <w:pPr>
        <w:ind w:left="220" w:right="20"/>
        <w:spacing w:after="0" w:line="243" w:lineRule="auto"/>
        <w:rPr>
          <w:sz w:val="20"/>
          <w:szCs w:val="20"/>
          <w:color w:val="auto"/>
        </w:rPr>
      </w:pPr>
      <w:r>
        <w:rPr>
          <w:rFonts w:ascii="Arial" w:cs="Arial" w:eastAsia="Arial" w:hAnsi="Arial"/>
          <w:sz w:val="17"/>
          <w:szCs w:val="17"/>
          <w:color w:val="auto"/>
        </w:rPr>
        <w:t>We obtain significant data and information through licensing arrangements with content providers, some of which may be viewed as competitors. Some providers may seek to increase fees for providing their proprietary content or services and others may not offer our company an opportunity to renew existing agreements. We also depend on public sources for certain data and information.</w:t>
      </w:r>
    </w:p>
    <w:p>
      <w:pPr>
        <w:spacing w:after="0" w:line="42" w:lineRule="exact"/>
        <w:rPr>
          <w:sz w:val="20"/>
          <w:szCs w:val="20"/>
          <w:color w:val="auto"/>
        </w:rPr>
      </w:pPr>
    </w:p>
    <w:p>
      <w:pPr>
        <w:ind w:left="220" w:right="80"/>
        <w:spacing w:after="0" w:line="236" w:lineRule="auto"/>
        <w:rPr>
          <w:sz w:val="20"/>
          <w:szCs w:val="20"/>
          <w:color w:val="auto"/>
        </w:rPr>
      </w:pPr>
      <w:r>
        <w:rPr>
          <w:rFonts w:ascii="Arial" w:cs="Arial" w:eastAsia="Arial" w:hAnsi="Arial"/>
          <w:sz w:val="17"/>
          <w:szCs w:val="17"/>
          <w:color w:val="auto"/>
        </w:rPr>
        <w:t>In addition, we rely on third-party service providers for telecommunications and other services that we have outsourced, such as certain human resources administrative functions, facilities management, IT services and accounts payable and receivable. Any failure by the third-party service providers we work with to comply with applicable laws, regulations, or agreements, could result in formal investigations or enforcement actions, fines, litigation, claims or negative publicity and could result in significant liability, and otherwise have an adverse effect on our reputation and business.</w:t>
      </w:r>
    </w:p>
    <w:p>
      <w:pPr>
        <w:spacing w:after="0" w:line="59" w:lineRule="exact"/>
        <w:rPr>
          <w:sz w:val="20"/>
          <w:szCs w:val="20"/>
          <w:color w:val="auto"/>
        </w:rPr>
      </w:pPr>
    </w:p>
    <w:p>
      <w:pPr>
        <w:ind w:left="220" w:right="20"/>
        <w:spacing w:after="0" w:line="238" w:lineRule="auto"/>
        <w:rPr>
          <w:sz w:val="20"/>
          <w:szCs w:val="20"/>
          <w:color w:val="auto"/>
        </w:rPr>
      </w:pPr>
      <w:r>
        <w:rPr>
          <w:rFonts w:ascii="Arial" w:cs="Arial" w:eastAsia="Arial" w:hAnsi="Arial"/>
          <w:sz w:val="17"/>
          <w:szCs w:val="17"/>
          <w:color w:val="auto"/>
        </w:rPr>
        <w:t>If we are unable to maintain or renegotiate commercially acceptable arrangements with these content or service providers or find substitutes or alternative sources of equivalent content or service, our business could be adversely affected. Our revenues and margins could also be reduced if some of our competitors obtained exclusive rights to provide or distribute certain types of data or information that was viewed as critical by our customers.</w:t>
      </w:r>
    </w:p>
    <w:p>
      <w:pPr>
        <w:spacing w:after="0" w:line="179"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u w:val="single" w:color="auto"/>
          <w:color w:val="auto"/>
        </w:rPr>
        <w:t>Legal, Regulatory and Intellectual Property Risks</w:t>
      </w:r>
    </w:p>
    <w:p>
      <w:pPr>
        <w:spacing w:after="0" w:line="70" w:lineRule="exact"/>
        <w:rPr>
          <w:sz w:val="20"/>
          <w:szCs w:val="20"/>
          <w:color w:val="auto"/>
        </w:rPr>
      </w:pPr>
    </w:p>
    <w:p>
      <w:pPr>
        <w:ind w:left="220" w:right="100"/>
        <w:spacing w:after="0" w:line="248" w:lineRule="auto"/>
        <w:rPr>
          <w:sz w:val="20"/>
          <w:szCs w:val="20"/>
          <w:color w:val="auto"/>
        </w:rPr>
      </w:pPr>
      <w:r>
        <w:rPr>
          <w:rFonts w:ascii="Arial" w:cs="Arial" w:eastAsia="Arial" w:hAnsi="Arial"/>
          <w:sz w:val="17"/>
          <w:szCs w:val="17"/>
          <w:b w:val="1"/>
          <w:bCs w:val="1"/>
          <w:color w:val="auto"/>
        </w:rPr>
        <w:t>We are subject to a significant number of laws and may incur fines, penalties, litigation, and other losses for violating these laws. We may be adversely affected by changes in legislation and regulation, which may also impact how we provide products and services and how we collect and use information and data.</w:t>
      </w:r>
    </w:p>
    <w:p>
      <w:pPr>
        <w:spacing w:after="0" w:line="43" w:lineRule="exact"/>
        <w:rPr>
          <w:sz w:val="20"/>
          <w:szCs w:val="20"/>
          <w:color w:val="auto"/>
        </w:rPr>
      </w:pPr>
    </w:p>
    <w:p>
      <w:pPr>
        <w:ind w:left="220" w:right="240"/>
        <w:spacing w:after="0" w:line="234" w:lineRule="auto"/>
        <w:rPr>
          <w:sz w:val="20"/>
          <w:szCs w:val="20"/>
          <w:color w:val="auto"/>
        </w:rPr>
      </w:pPr>
      <w:r>
        <w:rPr>
          <w:rFonts w:ascii="Arial" w:cs="Arial" w:eastAsia="Arial" w:hAnsi="Arial"/>
          <w:sz w:val="17"/>
          <w:szCs w:val="17"/>
          <w:color w:val="auto"/>
        </w:rPr>
        <w:t>We are subject to a significant number of laws, including without limitation relating to privacy, data security, data protection, AI, anti-money laundering, sanctions and other trade controls, electronic and mobile communications, competition, e-commerce, direct marketing, digital advertising, digital accessibility and security requirements, the use of public records and other areas which have become more prevalent and developed in recent years. Legislative and regulatory changes that impact our company, and legislative and regulatory changes that impact our customers’ industries also impact how we provide products and services to our customers. The evolving regulatory landscape is also enabling new types of services, which can benefit our Legal Professionals, Corporates and Tax &amp; Accounting Professionals segments. However, some types of legal or regulatory changes could also result in reduced demand for certain products or services.</w:t>
      </w:r>
    </w:p>
    <w:p>
      <w:pPr>
        <w:spacing w:after="0" w:line="57" w:lineRule="exact"/>
        <w:rPr>
          <w:sz w:val="20"/>
          <w:szCs w:val="20"/>
          <w:color w:val="auto"/>
        </w:rPr>
      </w:pPr>
    </w:p>
    <w:p>
      <w:pPr>
        <w:ind w:left="220" w:right="40"/>
        <w:spacing w:after="0" w:line="231" w:lineRule="auto"/>
        <w:rPr>
          <w:sz w:val="20"/>
          <w:szCs w:val="20"/>
          <w:color w:val="auto"/>
        </w:rPr>
      </w:pPr>
      <w:r>
        <w:rPr>
          <w:rFonts w:ascii="Arial" w:cs="Arial" w:eastAsia="Arial" w:hAnsi="Arial"/>
          <w:sz w:val="17"/>
          <w:szCs w:val="17"/>
          <w:color w:val="auto"/>
        </w:rPr>
        <w:t>In 2024, there has been a rapid increase in the use of and the investment in AI by a number of companies which has resulted in a significant focus by regulators on the use of AI. Although several jurisdictions around the globe have already proposed or enacted laws governing AI, there is still uncertainty in the legal regulatory regime relating to AI. Uncertainty in the legal regulatory regime relating to AI may require significant resources to modify and maintain business practices or products to comply with applicable laws, the nature of which cannot be determined at this time. Future legislation may make it harder for us to conduct our business using AI, lead to regulatory fines or penalties, require us to change our product offerings or business practices, prevent or limit our use of AI or impact our ability to provide insights from data and use certain data to develop our products. If we cannot use AI, or that use is restricted, our business may be less efficient, or we may be at a competitive disadvantage. Any of these factors could adversely affect our business, financial condition, and results of operations. In addition, the evolving AI regulatory environment could affect our customers’ desire to use products with generative AI due to the unknown nature of the risks associated with such use, may increase our liability related to the use of generative AI products by our customers that are beyond our control and result in an increase in our research and development costs to tailor our products and solutions to comply with legal requirements across different jurisdictions related to customer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94615</wp:posOffset>
            </wp:positionV>
            <wp:extent cx="68656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60"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23</w:t>
      </w:r>
    </w:p>
    <w:p>
      <w:pPr>
        <w:sectPr>
          <w:pgSz w:w="11900" w:h="16838" w:orient="portrait"/>
          <w:cols w:equalWidth="0" w:num="1">
            <w:col w:w="11040"/>
          </w:cols>
          <w:pgMar w:left="320" w:top="477" w:right="5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200"/>
        <w:spacing w:after="0" w:line="235" w:lineRule="auto"/>
        <w:rPr>
          <w:sz w:val="20"/>
          <w:szCs w:val="20"/>
          <w:color w:val="auto"/>
        </w:rPr>
      </w:pPr>
      <w:r>
        <w:rPr>
          <w:rFonts w:ascii="Arial" w:cs="Arial" w:eastAsia="Arial" w:hAnsi="Arial"/>
          <w:sz w:val="17"/>
          <w:szCs w:val="17"/>
          <w:color w:val="auto"/>
        </w:rPr>
        <w:t>Additionally, in the ordinary course of business, we collect, store, use and transmit certain types of information and data that are subject to an increasing number of different laws and regulations. In particular, the data security, data protection and privacy laws and regulations that we are subject to often vary by jurisdiction and include, as two examples and without limitation, the General Data Protection Regulation (GDPR) in the E.U. and various U.S. state and federal laws and regulations. Proposed and existing legislation in other countries and regions around the world related to privacy, data security, data protection and other related areas may also impact how we provide products and services and how we collect and use information.</w:t>
      </w:r>
    </w:p>
    <w:p>
      <w:pPr>
        <w:spacing w:after="0" w:line="44" w:lineRule="exact"/>
        <w:rPr>
          <w:sz w:val="20"/>
          <w:szCs w:val="20"/>
          <w:color w:val="auto"/>
        </w:rPr>
      </w:pPr>
    </w:p>
    <w:p>
      <w:pPr>
        <w:ind w:left="220" w:right="20"/>
        <w:spacing w:after="0" w:line="254" w:lineRule="auto"/>
        <w:rPr>
          <w:sz w:val="20"/>
          <w:szCs w:val="20"/>
          <w:color w:val="auto"/>
        </w:rPr>
      </w:pPr>
      <w:r>
        <w:rPr>
          <w:rFonts w:ascii="Arial" w:cs="Arial" w:eastAsia="Arial" w:hAnsi="Arial"/>
          <w:sz w:val="16"/>
          <w:szCs w:val="16"/>
          <w:color w:val="auto"/>
        </w:rPr>
        <w:t>Some of these laws and regulations require us to collect affirmative opt-in consent and/or include a right for individuals to opt out or object to having their data shared with third parties and/or a right to be informed about what data about them is being shared, among other things. The viability and perceived value of some of our risk and fraud and screening products could be adversely impacted through the requirements of these laws and regulations and the exercise of these rights. Some of these laws and regulations, along with industry changes (such as the industry elimination of third-party cookies), could adversely impact our collection and use of certain information and our digital advertising revenue.</w:t>
      </w:r>
    </w:p>
    <w:p>
      <w:pPr>
        <w:spacing w:after="0" w:line="47" w:lineRule="exact"/>
        <w:rPr>
          <w:sz w:val="20"/>
          <w:szCs w:val="20"/>
          <w:color w:val="auto"/>
        </w:rPr>
      </w:pPr>
    </w:p>
    <w:p>
      <w:pPr>
        <w:ind w:left="220" w:right="120"/>
        <w:spacing w:after="0" w:line="236" w:lineRule="auto"/>
        <w:rPr>
          <w:sz w:val="20"/>
          <w:szCs w:val="20"/>
          <w:color w:val="auto"/>
        </w:rPr>
      </w:pPr>
      <w:r>
        <w:rPr>
          <w:rFonts w:ascii="Arial" w:cs="Arial" w:eastAsia="Arial" w:hAnsi="Arial"/>
          <w:sz w:val="17"/>
          <w:szCs w:val="17"/>
          <w:color w:val="auto"/>
        </w:rPr>
        <w:t>We are also subject to data localization laws in certain countries, which require us to store and process certain types of data within a particular country. We are also subject to various data transfer restrictions that either limit our ability to transfer, or require us to guarantee a certain level of protection when transferring, data from one country to another. The regulatory landscape in various countries where we operate continues to evolve and sometimes includes strict local rules regarding the use (or restrictions on use) of encryption technologies as well as broad governmental rights related to Internet monitoring and regulation of Internet transmissions.</w:t>
      </w:r>
    </w:p>
    <w:p>
      <w:pPr>
        <w:spacing w:after="0" w:line="59" w:lineRule="exact"/>
        <w:rPr>
          <w:sz w:val="20"/>
          <w:szCs w:val="20"/>
          <w:color w:val="auto"/>
        </w:rPr>
      </w:pPr>
    </w:p>
    <w:p>
      <w:pPr>
        <w:ind w:left="220" w:right="380"/>
        <w:spacing w:after="0" w:line="243" w:lineRule="auto"/>
        <w:rPr>
          <w:sz w:val="20"/>
          <w:szCs w:val="20"/>
          <w:color w:val="auto"/>
        </w:rPr>
      </w:pPr>
      <w:r>
        <w:rPr>
          <w:rFonts w:ascii="Arial" w:cs="Arial" w:eastAsia="Arial" w:hAnsi="Arial"/>
          <w:sz w:val="17"/>
          <w:szCs w:val="17"/>
          <w:color w:val="auto"/>
        </w:rPr>
        <w:t>These laws and regulations are continuously evolving and complying with applicable laws and regulations involves significant costs and time. Existing, new and proposed legislation, regulations, and regulatory guidance, including changes in the manner in which such legislation and regulations are interpreted by courts, may also:</w:t>
      </w:r>
    </w:p>
    <w:p>
      <w:pPr>
        <w:spacing w:after="0" w:line="55" w:lineRule="exact"/>
        <w:rPr>
          <w:sz w:val="20"/>
          <w:szCs w:val="20"/>
          <w:color w:val="auto"/>
        </w:rPr>
      </w:pPr>
    </w:p>
    <w:p>
      <w:pPr>
        <w:ind w:left="640" w:right="360" w:hanging="422"/>
        <w:spacing w:after="0" w:line="245" w:lineRule="auto"/>
        <w:tabs>
          <w:tab w:leader="none" w:pos="640" w:val="left"/>
        </w:tabs>
        <w:numPr>
          <w:ilvl w:val="0"/>
          <w:numId w:val="31"/>
        </w:numPr>
        <w:rPr>
          <w:rFonts w:ascii="Arial" w:cs="Arial" w:eastAsia="Arial" w:hAnsi="Arial"/>
          <w:sz w:val="17"/>
          <w:szCs w:val="17"/>
          <w:color w:val="D64000"/>
        </w:rPr>
      </w:pPr>
      <w:r>
        <w:rPr>
          <w:rFonts w:ascii="Arial" w:cs="Arial" w:eastAsia="Arial" w:hAnsi="Arial"/>
          <w:sz w:val="17"/>
          <w:szCs w:val="17"/>
          <w:color w:val="auto"/>
        </w:rPr>
        <w:t>Impose limits on our collection, retention and use of certain kinds of information or data and our ability to communicate such information effectively to our customers;</w:t>
      </w:r>
    </w:p>
    <w:p>
      <w:pPr>
        <w:spacing w:after="0" w:line="1" w:lineRule="exact"/>
        <w:rPr>
          <w:rFonts w:ascii="Arial" w:cs="Arial" w:eastAsia="Arial" w:hAnsi="Arial"/>
          <w:sz w:val="17"/>
          <w:szCs w:val="17"/>
          <w:color w:val="D64000"/>
        </w:rPr>
      </w:pPr>
    </w:p>
    <w:p>
      <w:pPr>
        <w:ind w:left="640" w:hanging="422"/>
        <w:spacing w:after="0"/>
        <w:tabs>
          <w:tab w:leader="none" w:pos="640" w:val="left"/>
        </w:tabs>
        <w:numPr>
          <w:ilvl w:val="0"/>
          <w:numId w:val="31"/>
        </w:numPr>
        <w:rPr>
          <w:rFonts w:ascii="Arial" w:cs="Arial" w:eastAsia="Arial" w:hAnsi="Arial"/>
          <w:sz w:val="17"/>
          <w:szCs w:val="17"/>
          <w:color w:val="D64000"/>
        </w:rPr>
      </w:pPr>
      <w:r>
        <w:rPr>
          <w:rFonts w:ascii="Arial" w:cs="Arial" w:eastAsia="Arial" w:hAnsi="Arial"/>
          <w:sz w:val="17"/>
          <w:szCs w:val="17"/>
          <w:color w:val="auto"/>
        </w:rPr>
        <w:t>Impose limits on our ability to develop and offer our products, services, and content in certain countries;</w:t>
      </w:r>
    </w:p>
    <w:p>
      <w:pPr>
        <w:spacing w:after="0" w:line="3" w:lineRule="exact"/>
        <w:rPr>
          <w:rFonts w:ascii="Arial" w:cs="Arial" w:eastAsia="Arial" w:hAnsi="Arial"/>
          <w:sz w:val="17"/>
          <w:szCs w:val="17"/>
          <w:color w:val="D64000"/>
        </w:rPr>
      </w:pPr>
    </w:p>
    <w:p>
      <w:pPr>
        <w:ind w:left="640" w:right="220" w:hanging="422"/>
        <w:spacing w:after="0" w:line="235" w:lineRule="auto"/>
        <w:tabs>
          <w:tab w:leader="none" w:pos="640" w:val="left"/>
        </w:tabs>
        <w:numPr>
          <w:ilvl w:val="0"/>
          <w:numId w:val="31"/>
        </w:numPr>
        <w:rPr>
          <w:rFonts w:ascii="Arial" w:cs="Arial" w:eastAsia="Arial" w:hAnsi="Arial"/>
          <w:sz w:val="17"/>
          <w:szCs w:val="17"/>
          <w:color w:val="D64000"/>
        </w:rPr>
      </w:pPr>
      <w:r>
        <w:rPr>
          <w:rFonts w:ascii="Arial" w:cs="Arial" w:eastAsia="Arial" w:hAnsi="Arial"/>
          <w:sz w:val="17"/>
          <w:szCs w:val="17"/>
          <w:color w:val="auto"/>
        </w:rPr>
        <w:t>Frustrate or disrupt our ability to do business with certain customers and other third parties or collect or pay third parties, including without limitation as a result of newly issued sanctions and export/import restrictions;</w:t>
      </w:r>
    </w:p>
    <w:p>
      <w:pPr>
        <w:spacing w:after="0" w:line="1" w:lineRule="exact"/>
        <w:rPr>
          <w:rFonts w:ascii="Arial" w:cs="Arial" w:eastAsia="Arial" w:hAnsi="Arial"/>
          <w:sz w:val="17"/>
          <w:szCs w:val="17"/>
          <w:color w:val="D64000"/>
        </w:rPr>
      </w:pPr>
    </w:p>
    <w:p>
      <w:pPr>
        <w:ind w:left="640" w:hanging="422"/>
        <w:spacing w:after="0"/>
        <w:tabs>
          <w:tab w:leader="none" w:pos="640" w:val="left"/>
        </w:tabs>
        <w:numPr>
          <w:ilvl w:val="0"/>
          <w:numId w:val="31"/>
        </w:numPr>
        <w:rPr>
          <w:rFonts w:ascii="Arial" w:cs="Arial" w:eastAsia="Arial" w:hAnsi="Arial"/>
          <w:sz w:val="17"/>
          <w:szCs w:val="17"/>
          <w:color w:val="D64000"/>
        </w:rPr>
      </w:pPr>
      <w:r>
        <w:rPr>
          <w:rFonts w:ascii="Arial" w:cs="Arial" w:eastAsia="Arial" w:hAnsi="Arial"/>
          <w:sz w:val="17"/>
          <w:szCs w:val="17"/>
          <w:color w:val="auto"/>
        </w:rPr>
        <w:t>Increase compliance complexity and add more compliance related costs;</w:t>
      </w:r>
    </w:p>
    <w:p>
      <w:pPr>
        <w:spacing w:after="0" w:line="3" w:lineRule="exact"/>
        <w:rPr>
          <w:rFonts w:ascii="Arial" w:cs="Arial" w:eastAsia="Arial" w:hAnsi="Arial"/>
          <w:sz w:val="17"/>
          <w:szCs w:val="17"/>
          <w:color w:val="D64000"/>
        </w:rPr>
      </w:pPr>
    </w:p>
    <w:p>
      <w:pPr>
        <w:ind w:left="640" w:hanging="422"/>
        <w:spacing w:after="0"/>
        <w:tabs>
          <w:tab w:leader="none" w:pos="640" w:val="left"/>
        </w:tabs>
        <w:numPr>
          <w:ilvl w:val="0"/>
          <w:numId w:val="31"/>
        </w:numPr>
        <w:rPr>
          <w:rFonts w:ascii="Arial" w:cs="Arial" w:eastAsia="Arial" w:hAnsi="Arial"/>
          <w:sz w:val="17"/>
          <w:szCs w:val="17"/>
          <w:color w:val="D64000"/>
        </w:rPr>
      </w:pPr>
      <w:r>
        <w:rPr>
          <w:rFonts w:ascii="Arial" w:cs="Arial" w:eastAsia="Arial" w:hAnsi="Arial"/>
          <w:sz w:val="17"/>
          <w:szCs w:val="17"/>
          <w:color w:val="auto"/>
        </w:rPr>
        <w:t>Increase our cost of doing business or require us to change some of our existing products, services or business practices; and</w:t>
      </w:r>
    </w:p>
    <w:p>
      <w:pPr>
        <w:spacing w:after="0" w:line="3" w:lineRule="exact"/>
        <w:rPr>
          <w:rFonts w:ascii="Arial" w:cs="Arial" w:eastAsia="Arial" w:hAnsi="Arial"/>
          <w:sz w:val="17"/>
          <w:szCs w:val="17"/>
          <w:color w:val="D64000"/>
        </w:rPr>
      </w:pPr>
    </w:p>
    <w:p>
      <w:pPr>
        <w:ind w:left="640" w:hanging="422"/>
        <w:spacing w:after="0"/>
        <w:tabs>
          <w:tab w:leader="none" w:pos="640" w:val="left"/>
        </w:tabs>
        <w:numPr>
          <w:ilvl w:val="0"/>
          <w:numId w:val="31"/>
        </w:numPr>
        <w:rPr>
          <w:rFonts w:ascii="Arial" w:cs="Arial" w:eastAsia="Arial" w:hAnsi="Arial"/>
          <w:sz w:val="17"/>
          <w:szCs w:val="17"/>
          <w:color w:val="D64000"/>
        </w:rPr>
      </w:pPr>
      <w:r>
        <w:rPr>
          <w:rFonts w:ascii="Arial" w:cs="Arial" w:eastAsia="Arial" w:hAnsi="Arial"/>
          <w:sz w:val="17"/>
          <w:szCs w:val="17"/>
          <w:color w:val="auto"/>
        </w:rPr>
        <w:t>Conflict or increase complexity on a global basis (such as the U.S. Foreign Corrupt Practices Act, the U.K. Bribery Act and similar laws).</w:t>
      </w:r>
    </w:p>
    <w:p>
      <w:pPr>
        <w:spacing w:after="0" w:line="54" w:lineRule="exact"/>
        <w:rPr>
          <w:sz w:val="20"/>
          <w:szCs w:val="20"/>
          <w:color w:val="auto"/>
        </w:rPr>
      </w:pPr>
    </w:p>
    <w:p>
      <w:pPr>
        <w:ind w:left="220" w:right="140"/>
        <w:spacing w:after="0" w:line="238" w:lineRule="auto"/>
        <w:rPr>
          <w:sz w:val="20"/>
          <w:szCs w:val="20"/>
          <w:color w:val="auto"/>
        </w:rPr>
      </w:pPr>
      <w:r>
        <w:rPr>
          <w:rFonts w:ascii="Arial" w:cs="Arial" w:eastAsia="Arial" w:hAnsi="Arial"/>
          <w:sz w:val="17"/>
          <w:szCs w:val="17"/>
          <w:color w:val="auto"/>
        </w:rPr>
        <w:t>Governmental action (including laws or economic or political policies that restrict the use of specific companies, equipment or services, including those deemed to be sensitive to national interests) can also create some legal uncertainties. It is difficult to predict in what form laws and regulations will be adopted, changed or repealed, how they will be construed by the relevant courts, or the extent to which any changes might adversely affect us.</w:t>
      </w:r>
    </w:p>
    <w:p>
      <w:pPr>
        <w:spacing w:after="0" w:line="59" w:lineRule="exact"/>
        <w:rPr>
          <w:sz w:val="20"/>
          <w:szCs w:val="20"/>
          <w:color w:val="auto"/>
        </w:rPr>
      </w:pPr>
    </w:p>
    <w:p>
      <w:pPr>
        <w:ind w:left="220" w:right="40"/>
        <w:spacing w:after="0" w:line="236" w:lineRule="auto"/>
        <w:rPr>
          <w:sz w:val="20"/>
          <w:szCs w:val="20"/>
          <w:color w:val="auto"/>
        </w:rPr>
      </w:pPr>
      <w:r>
        <w:rPr>
          <w:rFonts w:ascii="Arial" w:cs="Arial" w:eastAsia="Arial" w:hAnsi="Arial"/>
          <w:sz w:val="17"/>
          <w:szCs w:val="17"/>
          <w:color w:val="auto"/>
        </w:rPr>
        <w:t>Although we have implemented policies and procedures that are designed to ensure compliance with applicable laws, rules and regulations, we could be subject to civil or criminal fines and penalties, and other enforcement actions, litigation or other claims, reputational damage, and loss in revenue from terminated contracts for non-compliance – which, either individually or in the aggregate, could have a material adverse effect on our business, operations, and financial condition. See “Contingencies – Lawsuits and Legal Claims” in the “Management’s Discussion and Analysis” section of this annual report.</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Our intellectual property rights are valuable and may not be adequately protected, which may adversely affect our financial results.</w:t>
      </w:r>
    </w:p>
    <w:p>
      <w:pPr>
        <w:spacing w:after="0" w:line="83" w:lineRule="exact"/>
        <w:rPr>
          <w:sz w:val="20"/>
          <w:szCs w:val="20"/>
          <w:color w:val="auto"/>
        </w:rPr>
      </w:pPr>
    </w:p>
    <w:p>
      <w:pPr>
        <w:ind w:left="220" w:right="80"/>
        <w:spacing w:after="0" w:line="232" w:lineRule="auto"/>
        <w:rPr>
          <w:sz w:val="20"/>
          <w:szCs w:val="20"/>
          <w:color w:val="auto"/>
        </w:rPr>
      </w:pPr>
      <w:r>
        <w:rPr>
          <w:rFonts w:ascii="Arial" w:cs="Arial" w:eastAsia="Arial" w:hAnsi="Arial"/>
          <w:sz w:val="17"/>
          <w:szCs w:val="17"/>
          <w:color w:val="auto"/>
        </w:rPr>
        <w:t>Many of our products and services are based on information delivered through a variety of media, including online, software-based applications, smartphones, tablets, books, journals and dedicated transmission lines. We rely, in part, on agreements with our customers, employees, consultants, advisors, suppliers and other third parties to protect our confidential and proprietary content, know-how and technology. We also rely on patent, trademark, copyright and other intellectual property to protect our proprietary rights in our content, our products and services and our valuable brand, as well as and technical and commercial preventative measures incorporated into our content delivery channels. Despite these efforts, third parties may nonetheless copy, infringe or otherwise profit from our proprietary rights. We also conduct business in some countries where the extent of legal protection for intellectual property rights is uncertain or may be ineffective. Although we have taken appropriate measures to protect our intellectual property, we cannot guarantee that our intellectual property rights will not be infringed. If we are not able to protect our intellectual property rights, our financial results may be adversely affected.</w:t>
      </w:r>
    </w:p>
    <w:p>
      <w:pPr>
        <w:spacing w:after="0" w:line="62" w:lineRule="exact"/>
        <w:rPr>
          <w:sz w:val="20"/>
          <w:szCs w:val="20"/>
          <w:color w:val="auto"/>
        </w:rPr>
      </w:pPr>
    </w:p>
    <w:p>
      <w:pPr>
        <w:ind w:left="220" w:right="180"/>
        <w:spacing w:after="0" w:line="236" w:lineRule="auto"/>
        <w:rPr>
          <w:sz w:val="20"/>
          <w:szCs w:val="20"/>
          <w:color w:val="auto"/>
        </w:rPr>
      </w:pPr>
      <w:r>
        <w:rPr>
          <w:rFonts w:ascii="Arial" w:cs="Arial" w:eastAsia="Arial" w:hAnsi="Arial"/>
          <w:sz w:val="17"/>
          <w:szCs w:val="17"/>
          <w:color w:val="auto"/>
        </w:rPr>
        <w:t>The intellectual property of an acquired business may also be an important component of the value that we agree to pay for such a business. However, such acquisitions are subject to the risks that the acquired business may not own the scope of intellectual property that we believe we are acquiring, that the intellectual property is dependent upon licenses from third parties or that the acquired business infringes upon the intellectual property rights of others. If we are not able to successfully integrate acquired businesses’ intellectual property rights, our financial results may be adversely affected.</w:t>
      </w:r>
    </w:p>
    <w:p>
      <w:pPr>
        <w:spacing w:after="0" w:line="46" w:lineRule="exact"/>
        <w:rPr>
          <w:sz w:val="20"/>
          <w:szCs w:val="20"/>
          <w:color w:val="auto"/>
        </w:rPr>
      </w:pPr>
    </w:p>
    <w:p>
      <w:pPr>
        <w:ind w:left="220" w:right="160"/>
        <w:spacing w:after="0" w:line="260" w:lineRule="auto"/>
        <w:rPr>
          <w:sz w:val="20"/>
          <w:szCs w:val="20"/>
          <w:color w:val="auto"/>
        </w:rPr>
      </w:pPr>
      <w:r>
        <w:rPr>
          <w:rFonts w:ascii="Arial" w:cs="Arial" w:eastAsia="Arial" w:hAnsi="Arial"/>
          <w:sz w:val="17"/>
          <w:szCs w:val="17"/>
          <w:color w:val="auto"/>
        </w:rPr>
        <w:t>Some of our competitors may also be able to develop new products or services that are similar to ours without infringing our intellectual property rights, which could adversely affect our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90170</wp:posOffset>
            </wp:positionV>
            <wp:extent cx="68656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9"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24</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80"/>
        <w:spacing w:after="0" w:line="233" w:lineRule="auto"/>
        <w:rPr>
          <w:sz w:val="20"/>
          <w:szCs w:val="20"/>
          <w:color w:val="auto"/>
        </w:rPr>
      </w:pPr>
      <w:r>
        <w:rPr>
          <w:rFonts w:ascii="Arial" w:cs="Arial" w:eastAsia="Arial" w:hAnsi="Arial"/>
          <w:sz w:val="17"/>
          <w:szCs w:val="17"/>
          <w:color w:val="auto"/>
        </w:rPr>
        <w:t>Uncertainty exists in the scope of intellectual property protection offered under copyright as intellectual property authorities and courts in crucial jurisdictions begin to grapple with the application of copyright law to generative AI, which could result in an inability to rely on traditional copyright to adequately protect our content and source code. Additionally, if unauthorized disclosure of our source code occurs through security breach, cyber-attack or otherwise, we would lose future trade secret protection for that source code. Such loss could make it easier for third parties to compete with our products by utilizing our content or copying functionality, which could cause us to lose customers and could adversely affect our revenue and operating margins. If we cannot protect our intellectual property against unauthorized copying, use, or other misappropriation, our business could be harmed. In addition, other companies may have (or in the future may obtain) patents or other proprietary rights that would prevent, limit, or interfere with our ability to make, use, or sell our own AI products.</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Tax matters, including changes to tax laws, regulations and treaties, could impact our effective tax rate and our results of operations.</w:t>
      </w:r>
    </w:p>
    <w:p>
      <w:pPr>
        <w:spacing w:after="0" w:line="83" w:lineRule="exact"/>
        <w:rPr>
          <w:sz w:val="20"/>
          <w:szCs w:val="20"/>
          <w:color w:val="auto"/>
        </w:rPr>
      </w:pPr>
    </w:p>
    <w:p>
      <w:pPr>
        <w:ind w:left="220" w:right="20"/>
        <w:spacing w:after="0" w:line="233" w:lineRule="auto"/>
        <w:rPr>
          <w:sz w:val="20"/>
          <w:szCs w:val="20"/>
          <w:color w:val="auto"/>
        </w:rPr>
      </w:pPr>
      <w:r>
        <w:rPr>
          <w:rFonts w:ascii="Arial" w:cs="Arial" w:eastAsia="Arial" w:hAnsi="Arial"/>
          <w:sz w:val="17"/>
          <w:szCs w:val="17"/>
          <w:color w:val="auto"/>
        </w:rPr>
        <w:t>We operate in many countries worldwide and our earnings are subject to taxation in many different jurisdictions and at different rates. We seek to organize our affairs in a tax efficient manner, taking account of the jurisdictions in which we operate. In 2024, our effective tax rate was lower than the Canadian corporate income tax rate due largely to lower tax rates and differing tax rules applicable to certain of our operating and financing subsidiaries outside Canada. Our effective tax rate has fluctuated in the past and is likely to fluctuate in the future, reflecting the mix of taxing jurisdictions in which pre-tax profits and losses are recognized. Our effective tax rate and our cash tax cost in the future will depend on the laws of numerous countries and the provisions of multiple income tax treaties between various countries in which we operate. Our effective tax rate and our tax cost could also be adversely affected by changes, possibly with retroactive effect, in tax laws and regulations, international treaties and tax accounting standards and/or uncertainty over their application and interpretation.</w:t>
      </w:r>
    </w:p>
    <w:p>
      <w:pPr>
        <w:spacing w:after="0" w:line="59" w:lineRule="exact"/>
        <w:rPr>
          <w:sz w:val="20"/>
          <w:szCs w:val="20"/>
          <w:color w:val="auto"/>
        </w:rPr>
      </w:pPr>
    </w:p>
    <w:p>
      <w:pPr>
        <w:ind w:left="220" w:right="140"/>
        <w:spacing w:after="0" w:line="234" w:lineRule="auto"/>
        <w:rPr>
          <w:sz w:val="20"/>
          <w:szCs w:val="20"/>
          <w:color w:val="auto"/>
        </w:rPr>
      </w:pPr>
      <w:r>
        <w:rPr>
          <w:rFonts w:ascii="Arial" w:cs="Arial" w:eastAsia="Arial" w:hAnsi="Arial"/>
          <w:sz w:val="17"/>
          <w:szCs w:val="17"/>
          <w:color w:val="auto"/>
        </w:rPr>
        <w:t>One recent change in tax law is the enactment of new a global minimum tax regime (“Pillar Two” of the ongoing international tax reform initiative sponsored by the Organization for Economic Co-operation and Development (“OECD”)) in a number of jurisdictions, including Canada, the U.K., the E.U. and Switzerland, beginning in 2024. Pillar Two generally imposes an alternative minimum tax of 15% on adjusted book income. The OECD and national tax administrations continue to develop further guidance on how Pillar Two’s provisions will be applied or otherwise administered, which may be different from our interpretation. Furthermore, certain aspects of Pillar Two could be modified in the future. Due to potential volatility in differences between book and taxable income, the impact of Pillar Two is difficult to predict and may adversely affect our financial results.</w:t>
      </w:r>
    </w:p>
    <w:p>
      <w:pPr>
        <w:spacing w:after="0" w:line="44" w:lineRule="exact"/>
        <w:rPr>
          <w:sz w:val="20"/>
          <w:szCs w:val="20"/>
          <w:color w:val="auto"/>
        </w:rPr>
      </w:pPr>
    </w:p>
    <w:p>
      <w:pPr>
        <w:ind w:left="220" w:right="20"/>
        <w:spacing w:after="0" w:line="234" w:lineRule="auto"/>
        <w:rPr>
          <w:sz w:val="20"/>
          <w:szCs w:val="20"/>
          <w:color w:val="auto"/>
        </w:rPr>
      </w:pPr>
      <w:r>
        <w:rPr>
          <w:rFonts w:ascii="Arial" w:cs="Arial" w:eastAsia="Arial" w:hAnsi="Arial"/>
          <w:sz w:val="17"/>
          <w:szCs w:val="17"/>
          <w:color w:val="auto"/>
        </w:rPr>
        <w:t>Various tax-related legislative initiatives have been proposed or are being discussed that if enacted, could adversely affect our tax positions and/or our tax liabilities. For instance, many countries have enacted or are considering digital service taxes, which could subject Thomson Reuters to tax in additional jurisdictions or to increased taxes in jurisdictions in which it already has a taxable presence. The U.S. government has indicated that it considers some tax laws, notably digital services tax regimes and aspects of Pillar Two, of several foreign countries to be extraterritorial and / or discriminatory against U.S. multinational companies. It has proposed retaliatory taxes and other measures against companies based in countries having such laws, including Canada, if its concerns are not addressed. If the U.S. government were to impose such retaliatory measures against Thomson Reuters, they may adversely affect our financial results.</w:t>
      </w:r>
    </w:p>
    <w:p>
      <w:pPr>
        <w:spacing w:after="0" w:line="57" w:lineRule="exact"/>
        <w:rPr>
          <w:sz w:val="20"/>
          <w:szCs w:val="20"/>
          <w:color w:val="auto"/>
        </w:rPr>
      </w:pPr>
    </w:p>
    <w:p>
      <w:pPr>
        <w:ind w:left="220" w:right="60"/>
        <w:spacing w:after="0" w:line="232" w:lineRule="auto"/>
        <w:rPr>
          <w:sz w:val="20"/>
          <w:szCs w:val="20"/>
          <w:color w:val="auto"/>
        </w:rPr>
      </w:pPr>
      <w:r>
        <w:rPr>
          <w:rFonts w:ascii="Arial" w:cs="Arial" w:eastAsia="Arial" w:hAnsi="Arial"/>
          <w:sz w:val="17"/>
          <w:szCs w:val="17"/>
          <w:color w:val="auto"/>
        </w:rPr>
        <w:t>We are subject to regular audits, examinations and reviews by tax authorities in Canada, the U.K., the U.S. and other jurisdictions during the ordinary course of business. While we believe the positions that we take on our tax filings are sustainable and supported by the weight of law, certain positions taken may be challenged by the applicable tax authorities. We may be required in some instances to pay additional taxes to a tax authority while contesting a matter through available administrative or judicial remedies. We regularly assess the likely outcomes of these audits to determine the adequacy of our tax provision. However, our judgments may not be sustained, and the amounts ultimately paid could be different from the amounts previously recorded. If any such challenge results in an adverse outcome, including unforeseen tax-related liabilities, this could negatively affect our financial results and operations for the period at issue and on an ongoing basis. Many governments in jurisdictions where we operate are facing budget deficits and challenges and, as a result, may look to increase their tax revenues through increased audit activity and tax reform.</w:t>
      </w:r>
    </w:p>
    <w:p>
      <w:pPr>
        <w:spacing w:after="0" w:line="4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We operate in a litigious environment which may adversely affect our financial results.</w:t>
      </w:r>
    </w:p>
    <w:p>
      <w:pPr>
        <w:spacing w:after="0" w:line="83" w:lineRule="exact"/>
        <w:rPr>
          <w:sz w:val="20"/>
          <w:szCs w:val="20"/>
          <w:color w:val="auto"/>
        </w:rPr>
      </w:pPr>
    </w:p>
    <w:p>
      <w:pPr>
        <w:ind w:left="220" w:right="80"/>
        <w:spacing w:after="0" w:line="234" w:lineRule="auto"/>
        <w:rPr>
          <w:sz w:val="20"/>
          <w:szCs w:val="20"/>
          <w:color w:val="auto"/>
        </w:rPr>
      </w:pPr>
      <w:r>
        <w:rPr>
          <w:rFonts w:ascii="Arial" w:cs="Arial" w:eastAsia="Arial" w:hAnsi="Arial"/>
          <w:sz w:val="17"/>
          <w:szCs w:val="17"/>
          <w:color w:val="auto"/>
        </w:rPr>
        <w:t>We are from time to time involved in and may in the future become involved in legal actions and claims arising in the ordinary course of business, including employment matters, customer and commercial matters, privacy and data protection matters, defamation matters, unfair business practices matters and intellectual property infringement matters. The outcome of all of the matters against our company is subject to future resolution, including uncertainties of litigation. Litigation outcomes are difficult to predict with certainty due to various factors, including but not limited to: the preliminary nature of some claims; uncertain damage theories and demands; an incomplete factual record; uncertainty concerning legal theories and procedures and their resolution by the courts, at both trial and appellate levels; and the unpredictable nature of opposing parties.</w:t>
      </w:r>
    </w:p>
    <w:p>
      <w:pPr>
        <w:spacing w:after="0" w:line="57" w:lineRule="exact"/>
        <w:rPr>
          <w:sz w:val="20"/>
          <w:szCs w:val="20"/>
          <w:color w:val="auto"/>
        </w:rPr>
      </w:pPr>
    </w:p>
    <w:p>
      <w:pPr>
        <w:ind w:left="220" w:right="240"/>
        <w:spacing w:after="0" w:line="236" w:lineRule="auto"/>
        <w:rPr>
          <w:sz w:val="20"/>
          <w:szCs w:val="20"/>
          <w:color w:val="auto"/>
        </w:rPr>
      </w:pPr>
      <w:r>
        <w:rPr>
          <w:rFonts w:ascii="Arial" w:cs="Arial" w:eastAsia="Arial" w:hAnsi="Arial"/>
          <w:sz w:val="17"/>
          <w:szCs w:val="17"/>
          <w:color w:val="auto"/>
        </w:rPr>
        <w:t>Regardless of the merit of legal actions and claims, such matters can be expensive, time consuming, or harmful to our reputation and in recognition of these considerations, we may seek to settle such matters. While we maintain insurance for certain potential liabilities, such insurance does not cover all types and amounts of potential liabilities and is subject to various exclusions as well as caps on amounts recoverable. Due to the inherent uncertainty in the litigation process, the resolution of any particular legal proceeding could result in changes to our products and business practices and could have a material adverse effect on our financial position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93345</wp:posOffset>
            </wp:positionV>
            <wp:extent cx="68656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8"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25</w:t>
      </w:r>
    </w:p>
    <w:p>
      <w:pPr>
        <w:sectPr>
          <w:pgSz w:w="11900" w:h="16838" w:orient="portrait"/>
          <w:cols w:equalWidth="0" w:num="1">
            <w:col w:w="11040"/>
          </w:cols>
          <w:pgMar w:left="320" w:top="477" w:right="5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100"/>
        <w:spacing w:after="0" w:line="235" w:lineRule="auto"/>
        <w:rPr>
          <w:sz w:val="20"/>
          <w:szCs w:val="20"/>
          <w:color w:val="auto"/>
        </w:rPr>
      </w:pPr>
      <w:r>
        <w:rPr>
          <w:rFonts w:ascii="Arial" w:cs="Arial" w:eastAsia="Arial" w:hAnsi="Arial"/>
          <w:sz w:val="17"/>
          <w:szCs w:val="17"/>
          <w:color w:val="auto"/>
        </w:rPr>
        <w:t>We are significantly dependent on technology and the rights related to it. From time to time, we have been sued by other companies for allegedly violating their patents or other forms of intellectual property. Our company and other companies have experienced alleged claims from third parties whose sole or primary business is to monetize intellectual property. If an infringement suit against our company is successful, we may be required to compensate the third-party bringing the suit either by paying a lump sum or ongoing license fees to be able to continue selling a particular product or service. This type of compensation could be significant, in addition to legal fees and other costs that we would incur defending such a claim.</w:t>
      </w:r>
    </w:p>
    <w:p>
      <w:pPr>
        <w:spacing w:after="0" w:line="44" w:lineRule="exact"/>
        <w:rPr>
          <w:sz w:val="20"/>
          <w:szCs w:val="20"/>
          <w:color w:val="auto"/>
        </w:rPr>
      </w:pPr>
    </w:p>
    <w:p>
      <w:pPr>
        <w:ind w:left="220" w:right="20"/>
        <w:spacing w:after="0" w:line="236" w:lineRule="auto"/>
        <w:rPr>
          <w:sz w:val="20"/>
          <w:szCs w:val="20"/>
          <w:color w:val="auto"/>
        </w:rPr>
      </w:pPr>
      <w:r>
        <w:rPr>
          <w:rFonts w:ascii="Arial" w:cs="Arial" w:eastAsia="Arial" w:hAnsi="Arial"/>
          <w:sz w:val="17"/>
          <w:szCs w:val="17"/>
          <w:color w:val="auto"/>
        </w:rPr>
        <w:t>We might also be prevented or enjoined by a court from continuing to provide the affected product or service and may be caused to alter our business practices. We may also be required to defend or indemnify any customers who have been sued for allegedly infringing a third party’s patent in connection with using one of our products or services. Responding to intellectual property claims, regardless of the validity, can be costly and time consuming and may have a material adverse effect on our business and reputation as well as our financial performance, financial condition and cash flows.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Antitrust/competition-related claims or investigations could result in changes to how we do business and could be costly.</w:t>
      </w:r>
    </w:p>
    <w:p>
      <w:pPr>
        <w:spacing w:after="0" w:line="83" w:lineRule="exact"/>
        <w:rPr>
          <w:sz w:val="20"/>
          <w:szCs w:val="20"/>
          <w:color w:val="auto"/>
        </w:rPr>
      </w:pPr>
    </w:p>
    <w:p>
      <w:pPr>
        <w:ind w:left="220" w:right="80"/>
        <w:spacing w:after="0" w:line="235" w:lineRule="auto"/>
        <w:rPr>
          <w:sz w:val="20"/>
          <w:szCs w:val="20"/>
          <w:color w:val="auto"/>
        </w:rPr>
      </w:pPr>
      <w:r>
        <w:rPr>
          <w:rFonts w:ascii="Arial" w:cs="Arial" w:eastAsia="Arial" w:hAnsi="Arial"/>
          <w:sz w:val="17"/>
          <w:szCs w:val="17"/>
          <w:color w:val="auto"/>
        </w:rPr>
        <w:t>We are subject to applicable antitrust and competition laws and regulations in the countries where we have operations. These laws and regulations seek to prevent and prohibit anti-competitive activity. From time to time, we may be subject to antitrust/competition-related claims and investigations. Following such a claim or investigation, we may be required to change the way that we offer a particular product or service and if we are found to have violated antitrust or competition laws or regulations, we may be subject to fines or penalties. Any antitrust or competition-related claim or investigation could be costly for our company in terms of time and expense and could have an adverse effect on our financial condition and results of operations.</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u w:val="single" w:color="auto"/>
          <w:color w:val="auto"/>
        </w:rPr>
        <w:t>Financial Risks</w:t>
      </w:r>
    </w:p>
    <w:p>
      <w:pPr>
        <w:spacing w:after="0" w:line="70" w:lineRule="exact"/>
        <w:rPr>
          <w:sz w:val="20"/>
          <w:szCs w:val="20"/>
          <w:color w:val="auto"/>
        </w:rPr>
      </w:pPr>
    </w:p>
    <w:p>
      <w:pPr>
        <w:ind w:left="220" w:right="380"/>
        <w:spacing w:after="0" w:line="269" w:lineRule="auto"/>
        <w:rPr>
          <w:sz w:val="20"/>
          <w:szCs w:val="20"/>
          <w:color w:val="auto"/>
        </w:rPr>
      </w:pPr>
      <w:r>
        <w:rPr>
          <w:rFonts w:ascii="Arial" w:cs="Arial" w:eastAsia="Arial" w:hAnsi="Arial"/>
          <w:sz w:val="17"/>
          <w:szCs w:val="17"/>
          <w:b w:val="1"/>
          <w:bCs w:val="1"/>
          <w:color w:val="auto"/>
        </w:rPr>
        <w:t>We generate a significant percentage of our revenues from recurring, subscription-based arrangements, and our ability to maintain existing revenues and generate higher revenues is dependent in part on maintaining a high renewal rate.</w:t>
      </w:r>
    </w:p>
    <w:p>
      <w:pPr>
        <w:spacing w:after="0" w:line="26" w:lineRule="exact"/>
        <w:rPr>
          <w:sz w:val="20"/>
          <w:szCs w:val="20"/>
          <w:color w:val="auto"/>
        </w:rPr>
      </w:pPr>
    </w:p>
    <w:p>
      <w:pPr>
        <w:ind w:left="220" w:right="120"/>
        <w:spacing w:after="0" w:line="247" w:lineRule="auto"/>
        <w:rPr>
          <w:sz w:val="20"/>
          <w:szCs w:val="20"/>
          <w:color w:val="auto"/>
        </w:rPr>
      </w:pPr>
      <w:r>
        <w:rPr>
          <w:rFonts w:ascii="Arial" w:cs="Arial" w:eastAsia="Arial" w:hAnsi="Arial"/>
          <w:sz w:val="16"/>
          <w:szCs w:val="16"/>
          <w:color w:val="auto"/>
        </w:rPr>
        <w:t>In 2024, 81% of our revenues were derived from subscriptions or similar contractual arrangements, which result in recurring revenues. In the short to medium term, our revenues are supported by a relatively fixed cost base that is generally not impacted by fluctuations in revenues. Because a high proportion of our revenues is recurring, we believe that our revenue patterns are generally more stable compared to other business models that primarily involve the sale of products in discrete or one-off arrangements. However, there is often a lag in realizing the impact of current sales or cancellations in our reported revenues, as we recognize revenues over the term of the arrangement. Because of this lag effect, our revenues are typically slower to decline when economic conditions deteriorate but are also often slower to return to growth when economic activity improves, as compared to other businesses that are not subscription-based. Our transactions revenues (12% of our 2024 revenues), which include volume-based fees related to online searches and tax filings, and transactions in our Confirmation, Reuters Events and SurePrep businesses, fees from software licenses with no future obligations, professional fees from service and consulting arrangements and advertising and sponsorship revenues in our Reuters Professional business fluctuate based on the condition of the economic environment.</w:t>
      </w:r>
    </w:p>
    <w:p>
      <w:pPr>
        <w:spacing w:after="0" w:line="41" w:lineRule="exact"/>
        <w:rPr>
          <w:sz w:val="20"/>
          <w:szCs w:val="20"/>
          <w:color w:val="auto"/>
        </w:rPr>
      </w:pPr>
    </w:p>
    <w:p>
      <w:pPr>
        <w:ind w:left="220" w:right="160"/>
        <w:spacing w:after="0" w:line="235" w:lineRule="auto"/>
        <w:rPr>
          <w:sz w:val="20"/>
          <w:szCs w:val="20"/>
          <w:color w:val="auto"/>
        </w:rPr>
      </w:pPr>
      <w:r>
        <w:rPr>
          <w:rFonts w:ascii="Arial" w:cs="Arial" w:eastAsia="Arial" w:hAnsi="Arial"/>
          <w:sz w:val="17"/>
          <w:szCs w:val="17"/>
          <w:color w:val="auto"/>
        </w:rPr>
        <w:t>Our subscription and similar contractual arrangements typically have terms ranging from one to five years, which most customers renew at the end of each term. Renewal dates are spread over the course of the year. Many of our customer agreements have automatic renewal provisions, but customers are often able to terminate these types of agreements prior to automatic renewal of a new term by providing appropriate notice to us within a specified time period. In order to maintain existing revenues and to generate higher revenues, we are dependent on a significant number of our customers to renew their arrangements with us. Our revenues could also be lower if a significant number of our customers renewed their arrangements with us, but reduced the amount of their spending.</w:t>
      </w:r>
    </w:p>
    <w:p>
      <w:pPr>
        <w:spacing w:after="0" w:line="57" w:lineRule="exact"/>
        <w:rPr>
          <w:sz w:val="20"/>
          <w:szCs w:val="20"/>
          <w:color w:val="auto"/>
        </w:rPr>
      </w:pPr>
    </w:p>
    <w:p>
      <w:pPr>
        <w:ind w:left="220" w:right="40"/>
        <w:spacing w:after="0" w:line="238" w:lineRule="auto"/>
        <w:rPr>
          <w:sz w:val="20"/>
          <w:szCs w:val="20"/>
          <w:color w:val="auto"/>
        </w:rPr>
      </w:pPr>
      <w:r>
        <w:rPr>
          <w:rFonts w:ascii="Arial" w:cs="Arial" w:eastAsia="Arial" w:hAnsi="Arial"/>
          <w:sz w:val="17"/>
          <w:szCs w:val="17"/>
          <w:color w:val="auto"/>
        </w:rPr>
        <w:t>Our government business contractual arrangements are typically cancellable at will by the customer, which presents the risk that government contracts may be terminated without notice or cause. In addition, government contracts may be subject to government audits and reviews that could adversely affect the demand for our products and services by government customers. These risks of the government business could impact our revenues and reputation.</w:t>
      </w:r>
    </w:p>
    <w:p>
      <w:pPr>
        <w:spacing w:after="0" w:line="59" w:lineRule="exact"/>
        <w:rPr>
          <w:sz w:val="20"/>
          <w:szCs w:val="20"/>
          <w:color w:val="auto"/>
        </w:rPr>
      </w:pPr>
    </w:p>
    <w:p>
      <w:pPr>
        <w:ind w:left="220" w:right="400"/>
        <w:spacing w:after="0" w:line="269" w:lineRule="auto"/>
        <w:rPr>
          <w:sz w:val="20"/>
          <w:szCs w:val="20"/>
          <w:color w:val="auto"/>
        </w:rPr>
      </w:pPr>
      <w:r>
        <w:rPr>
          <w:rFonts w:ascii="Arial" w:cs="Arial" w:eastAsia="Arial" w:hAnsi="Arial"/>
          <w:sz w:val="17"/>
          <w:szCs w:val="17"/>
          <w:b w:val="1"/>
          <w:bCs w:val="1"/>
          <w:color w:val="auto"/>
        </w:rPr>
        <w:t>Currency and interest rate fluctuations and volatility in global markets may have a significant impact on our reported revenues and earnings.</w:t>
      </w:r>
    </w:p>
    <w:p>
      <w:pPr>
        <w:spacing w:after="0" w:line="12" w:lineRule="exact"/>
        <w:rPr>
          <w:sz w:val="20"/>
          <w:szCs w:val="20"/>
          <w:color w:val="auto"/>
        </w:rPr>
      </w:pPr>
    </w:p>
    <w:p>
      <w:pPr>
        <w:ind w:left="220" w:right="180"/>
        <w:spacing w:after="0" w:line="238" w:lineRule="auto"/>
        <w:rPr>
          <w:sz w:val="20"/>
          <w:szCs w:val="20"/>
          <w:color w:val="auto"/>
        </w:rPr>
      </w:pPr>
      <w:r>
        <w:rPr>
          <w:rFonts w:ascii="Arial" w:cs="Arial" w:eastAsia="Arial" w:hAnsi="Arial"/>
          <w:sz w:val="17"/>
          <w:szCs w:val="17"/>
          <w:color w:val="auto"/>
        </w:rPr>
        <w:t>Our financial statements are expressed in U.S. dollars and are, therefore, subject to movements in exchange rates on the translation of the financial information of businesses whose functional currencies are not U.S. dollars. We recognize revenues and incur expenses in many currencies and are thereby exposed to the impact of fluctuations in various foreign currency exchange rates. We monitor the financial stability of the foreign countries in which we operate. Volatility and uncertainty in global markets in the future could adversely affect our results.</w:t>
      </w:r>
    </w:p>
    <w:p>
      <w:pPr>
        <w:spacing w:after="0" w:line="59" w:lineRule="exact"/>
        <w:rPr>
          <w:sz w:val="20"/>
          <w:szCs w:val="20"/>
          <w:color w:val="auto"/>
        </w:rPr>
      </w:pPr>
    </w:p>
    <w:p>
      <w:pPr>
        <w:jc w:val="both"/>
        <w:ind w:left="220" w:right="220"/>
        <w:spacing w:after="0" w:line="236" w:lineRule="auto"/>
        <w:rPr>
          <w:sz w:val="20"/>
          <w:szCs w:val="20"/>
          <w:color w:val="auto"/>
        </w:rPr>
      </w:pPr>
      <w:r>
        <w:rPr>
          <w:rFonts w:ascii="Arial" w:cs="Arial" w:eastAsia="Arial" w:hAnsi="Arial"/>
          <w:sz w:val="17"/>
          <w:szCs w:val="17"/>
          <w:color w:val="auto"/>
        </w:rPr>
        <w:t>Exchange rate movements in our foreign currency exposures may cause fluctuations in our consolidated financial statements. If our operations outside of the U.S. expand, we would expect this exposure to grow. We monitor foreign currency exposures on a regular basis and some of our largest foreign currency exposures are currently to the British pound sterling, the Euro, the Canadian dollar, the Brazilian real, the Indian rupee and the Australian dollar. We have historically, and may in the future, hedge some of our foreign currency exposure if we believe that it may be material to our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93345</wp:posOffset>
            </wp:positionV>
            <wp:extent cx="68656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8"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26</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600"/>
        <w:spacing w:after="0" w:line="260" w:lineRule="auto"/>
        <w:rPr>
          <w:sz w:val="20"/>
          <w:szCs w:val="20"/>
          <w:color w:val="auto"/>
        </w:rPr>
      </w:pPr>
      <w:r>
        <w:rPr>
          <w:rFonts w:ascii="Arial" w:cs="Arial" w:eastAsia="Arial" w:hAnsi="Arial"/>
          <w:sz w:val="17"/>
          <w:szCs w:val="17"/>
          <w:color w:val="auto"/>
        </w:rPr>
        <w:t>We may issue non-U.S. dollar-denominated debt in the future and would expect to hedge any such debt into U.S. dollars, as has been our practice. In addition, an increase in interest rates from current levels could adversely affect our results in future periods.</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Our credit ratings may be downgraded, which may impede our access to the debt markets or raise our borrowing rates.</w:t>
      </w:r>
    </w:p>
    <w:p>
      <w:pPr>
        <w:spacing w:after="0" w:line="83" w:lineRule="exact"/>
        <w:rPr>
          <w:sz w:val="20"/>
          <w:szCs w:val="20"/>
          <w:color w:val="auto"/>
        </w:rPr>
      </w:pPr>
    </w:p>
    <w:p>
      <w:pPr>
        <w:ind w:left="220" w:right="20"/>
        <w:spacing w:after="0" w:line="236" w:lineRule="auto"/>
        <w:rPr>
          <w:sz w:val="20"/>
          <w:szCs w:val="20"/>
          <w:color w:val="auto"/>
        </w:rPr>
      </w:pPr>
      <w:r>
        <w:rPr>
          <w:rFonts w:ascii="Arial" w:cs="Arial" w:eastAsia="Arial" w:hAnsi="Arial"/>
          <w:sz w:val="17"/>
          <w:szCs w:val="17"/>
          <w:color w:val="auto"/>
        </w:rPr>
        <w:t>Our access to financing depends on, among other things, suitable market conditions and the maintenance of suitable long-term credit ratings. Our credit ratings may be adversely affected by various factors, including increased debt levels, decreased earnings, declines in customer demands, increased competition, a further deterioration in general economic and business conditions and adverse publicity. Any downgrades in our credit ratings may impede our access to the debt markets or raise our borrowing rates. For additional information on our current credit ratings, please see the “Additional Information – Ratings of Debt Securities” section of this annual report.</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We have significant funding obligations for pension arrangements that are affected by factors outside of our control.</w:t>
      </w:r>
    </w:p>
    <w:p>
      <w:pPr>
        <w:spacing w:after="0" w:line="70" w:lineRule="exact"/>
        <w:rPr>
          <w:sz w:val="20"/>
          <w:szCs w:val="20"/>
          <w:color w:val="auto"/>
        </w:rPr>
      </w:pPr>
    </w:p>
    <w:p>
      <w:pPr>
        <w:ind w:left="220" w:right="260"/>
        <w:spacing w:after="0" w:line="266" w:lineRule="auto"/>
        <w:rPr>
          <w:sz w:val="20"/>
          <w:szCs w:val="20"/>
          <w:color w:val="auto"/>
        </w:rPr>
      </w:pPr>
      <w:r>
        <w:rPr>
          <w:rFonts w:ascii="Arial" w:cs="Arial" w:eastAsia="Arial" w:hAnsi="Arial"/>
          <w:sz w:val="16"/>
          <w:szCs w:val="16"/>
          <w:color w:val="auto"/>
        </w:rPr>
        <w:t>We have significant funding obligations for various pension arrangements that are affected by factors outside of our control, including market factors and changes in legislation. In the past, we have contributed to our pension plans to pre-fund certain obligations. We may be required or we may opt to make additional contributions to some pension plans in the future and the amounts of any such contributions may be material.</w:t>
      </w:r>
    </w:p>
    <w:p>
      <w:pPr>
        <w:spacing w:after="0" w:line="37" w:lineRule="exact"/>
        <w:rPr>
          <w:sz w:val="20"/>
          <w:szCs w:val="20"/>
          <w:color w:val="auto"/>
        </w:rPr>
      </w:pPr>
    </w:p>
    <w:p>
      <w:pPr>
        <w:ind w:left="220" w:right="40"/>
        <w:spacing w:after="0" w:line="235" w:lineRule="auto"/>
        <w:rPr>
          <w:sz w:val="20"/>
          <w:szCs w:val="20"/>
          <w:color w:val="auto"/>
        </w:rPr>
      </w:pPr>
      <w:r>
        <w:rPr>
          <w:rFonts w:ascii="Arial" w:cs="Arial" w:eastAsia="Arial" w:hAnsi="Arial"/>
          <w:sz w:val="17"/>
          <w:szCs w:val="17"/>
          <w:color w:val="auto"/>
        </w:rPr>
        <w:t>Valuations of obligations for material plans are determined by independent actuaries and require assumptions in respect of expected mortality, inflation, and medical cost trends, along with the discount rates used to measure obligations. These assumptions are reviewed annually. While we believe that these assumptions are appropriate given current economic conditions, significant differences in actual experience or significant changes in assumptions may materially affect our valuations of pension obligations and related future expenses. In addition, the performance of equity and fixed income markets, which may be influenced by general economic conditions, including interest rates, inflation and currency exchange rates, may impact the funding level of our funded plans and required contributions.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We may be required to take future impairment charges that would reduce our reported assets and earnings.</w:t>
      </w:r>
    </w:p>
    <w:p>
      <w:pPr>
        <w:spacing w:after="0" w:line="83" w:lineRule="exact"/>
        <w:rPr>
          <w:sz w:val="20"/>
          <w:szCs w:val="20"/>
          <w:color w:val="auto"/>
        </w:rPr>
      </w:pPr>
    </w:p>
    <w:p>
      <w:pPr>
        <w:ind w:left="220" w:right="40"/>
        <w:spacing w:after="0" w:line="233" w:lineRule="auto"/>
        <w:rPr>
          <w:sz w:val="20"/>
          <w:szCs w:val="20"/>
          <w:color w:val="auto"/>
        </w:rPr>
      </w:pPr>
      <w:r>
        <w:rPr>
          <w:rFonts w:ascii="Arial" w:cs="Arial" w:eastAsia="Arial" w:hAnsi="Arial"/>
          <w:sz w:val="17"/>
          <w:szCs w:val="17"/>
          <w:color w:val="auto"/>
        </w:rPr>
        <w:t>Goodwill and other identifiable intangible assets comprise a substantial portion of our total assets. We are required under IFRS to test our goodwill and identifiable intangible assets with indefinite lives for impairment on an annual basis. We also are required by IFRS to perform an interim or periodic review of our goodwill and all identifiable intangible assets if events or changes in circumstances indicate that impairment may have occurred. Impairment testing requires our company to make significant estimates about our future performance and cash flows, as well as other assumptions. Economic, legal, regulatory, competitive, contractual and other factors as well as changes in our company’s share price and market capitalization may affect these assumptions. If our testing indicates that impairment has occurred relative to current fair values, we may be required to record an impairment charge in the period the determination is made. Recognition of an impairment would reduce our reported assets and earnings.</w:t>
      </w:r>
    </w:p>
    <w:p>
      <w:pPr>
        <w:spacing w:after="0" w:line="178" w:lineRule="exact"/>
        <w:rPr>
          <w:sz w:val="20"/>
          <w:szCs w:val="20"/>
          <w:color w:val="auto"/>
        </w:rPr>
      </w:pPr>
    </w:p>
    <w:p>
      <w:pPr>
        <w:ind w:left="4580"/>
        <w:spacing w:after="0"/>
        <w:rPr>
          <w:sz w:val="20"/>
          <w:szCs w:val="20"/>
          <w:color w:val="auto"/>
        </w:rPr>
      </w:pPr>
      <w:r>
        <w:rPr>
          <w:rFonts w:ascii="Arial" w:cs="Arial" w:eastAsia="Arial" w:hAnsi="Arial"/>
          <w:sz w:val="17"/>
          <w:szCs w:val="17"/>
          <w:b w:val="1"/>
          <w:bCs w:val="1"/>
          <w:u w:val="single" w:color="auto"/>
          <w:color w:val="auto"/>
        </w:rPr>
        <w:t>Corporate Structure Risks</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Woodbridge controls our company and is in a position to affect our governance and operations.</w:t>
      </w:r>
    </w:p>
    <w:p>
      <w:pPr>
        <w:spacing w:after="0" w:line="70" w:lineRule="exact"/>
        <w:rPr>
          <w:sz w:val="20"/>
          <w:szCs w:val="20"/>
          <w:color w:val="auto"/>
        </w:rPr>
      </w:pPr>
    </w:p>
    <w:p>
      <w:pPr>
        <w:ind w:left="220" w:right="20"/>
        <w:spacing w:after="0" w:line="233" w:lineRule="auto"/>
        <w:rPr>
          <w:sz w:val="20"/>
          <w:szCs w:val="20"/>
          <w:color w:val="auto"/>
        </w:rPr>
      </w:pPr>
      <w:r>
        <w:rPr>
          <w:rFonts w:ascii="Arial" w:cs="Arial" w:eastAsia="Arial" w:hAnsi="Arial"/>
          <w:sz w:val="17"/>
          <w:szCs w:val="17"/>
          <w:color w:val="auto"/>
        </w:rPr>
        <w:t>Woodbridge and its affiliates beneficially owned approximately 70% of our common shares as of March 3, 2025. For so long as Woodbridge maintains its controlling interest in our company, it will generally be able to approve matters submitted to a majority vote of our shareholders without the consent of other shareholders, including, among other things, the election of our Board. In addition, Woodbridge may be able to exercise a controlling influence over our business and affairs, the selection of our senior management, the acquisition or disposition of our assets, our access to capital markets, the payment of dividends and any change of control of our company, such as a merger or take-over. The effect of this control may be to limit the price that investors are willing to pay for our shares. In addition, a sale of shares by Woodbridge or the perception of the market that a sale may occur may adversely affect the market price of our shares. For additional information, please see the “Governance – Woodbridge” section of this annual report.</w:t>
      </w:r>
    </w:p>
    <w:p>
      <w:pPr>
        <w:spacing w:after="0" w:line="59" w:lineRule="exact"/>
        <w:rPr>
          <w:sz w:val="20"/>
          <w:szCs w:val="20"/>
          <w:color w:val="auto"/>
        </w:rPr>
      </w:pPr>
    </w:p>
    <w:p>
      <w:pPr>
        <w:ind w:left="220" w:right="340"/>
        <w:spacing w:after="0" w:line="269" w:lineRule="auto"/>
        <w:rPr>
          <w:sz w:val="20"/>
          <w:szCs w:val="20"/>
          <w:color w:val="auto"/>
        </w:rPr>
      </w:pPr>
      <w:r>
        <w:rPr>
          <w:rFonts w:ascii="Arial" w:cs="Arial" w:eastAsia="Arial" w:hAnsi="Arial"/>
          <w:sz w:val="17"/>
          <w:szCs w:val="17"/>
          <w:b w:val="1"/>
          <w:bCs w:val="1"/>
          <w:color w:val="auto"/>
        </w:rPr>
        <w:t>Thomson Reuters Founders Share Company holds a Thomson Reuters Founders Share in our company and may be in a position to affect our governance and management.</w:t>
      </w:r>
    </w:p>
    <w:p>
      <w:pPr>
        <w:spacing w:after="0" w:line="26" w:lineRule="exact"/>
        <w:rPr>
          <w:sz w:val="20"/>
          <w:szCs w:val="20"/>
          <w:color w:val="auto"/>
        </w:rPr>
      </w:pPr>
    </w:p>
    <w:p>
      <w:pPr>
        <w:ind w:left="220" w:right="40"/>
        <w:spacing w:after="0" w:line="231" w:lineRule="auto"/>
        <w:rPr>
          <w:sz w:val="20"/>
          <w:szCs w:val="20"/>
          <w:color w:val="auto"/>
        </w:rPr>
      </w:pPr>
      <w:r>
        <w:rPr>
          <w:rFonts w:ascii="Arial" w:cs="Arial" w:eastAsia="Arial" w:hAnsi="Arial"/>
          <w:sz w:val="17"/>
          <w:szCs w:val="17"/>
          <w:color w:val="auto"/>
        </w:rPr>
        <w:t>Thomson Reuters Founders Share Company was established to safeguard the Thomson Reuters Trust Principles, including that of integrity, independence and freedom from bias in the gathering and dissemination of information and news. The Thomson Reuters Founders Share Company holds a Thomson Reuters Founders Share in our company. The interest of the Thomson Reuters Founders Share Company in safeguarding the Trust Principles may conflict with our other business objectives, impose additional costs or burdens on us or otherwise affect our management and governance. In addition, the Founders Share enables the Thomson Reuters Founders Share Company to exercise extraordinary voting power to safeguard the Trust Principles and to thwart those whose holdings of voting shares of Thomson Reuters threaten the Trust Principles. As a result, the Thomson Reuters Founders Share Company may prevent a change of control (including by way of a take-over bid or similar transaction) of our company in the future. We have agreed not to effect a sale (or similar transactions) of Reuters News to an unrelated third-party or to effect or permit material acquisitions by, or material dispositions from, Reuters News unless we have received Thomson Reuters Founders Share Company’s prior written consent. The effect of the rights of the Thomson Reuters Founders Share Company may be to limit the price that investors are willing to pay for our shares. For additional information, please see the “Additional Information – Material Contracts” section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94615</wp:posOffset>
            </wp:positionV>
            <wp:extent cx="68656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60"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27</w:t>
      </w:r>
    </w:p>
    <w:p>
      <w:pPr>
        <w:sectPr>
          <w:pgSz w:w="11900" w:h="16838" w:orient="portrait"/>
          <w:cols w:equalWidth="0" w:num="1">
            <w:col w:w="11040"/>
          </w:cols>
          <w:pgMar w:left="320" w:top="477" w:right="5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277" w:lineRule="exact"/>
        <w:rPr>
          <w:sz w:val="20"/>
          <w:szCs w:val="20"/>
          <w:color w:val="auto"/>
        </w:rPr>
      </w:pPr>
    </w:p>
    <w:p>
      <w:pPr>
        <w:ind w:left="220"/>
        <w:spacing w:after="0"/>
        <w:rPr>
          <w:sz w:val="20"/>
          <w:szCs w:val="20"/>
          <w:color w:val="auto"/>
        </w:rPr>
      </w:pPr>
      <w:r>
        <w:rPr>
          <w:rFonts w:ascii="Arial" w:cs="Arial" w:eastAsia="Arial" w:hAnsi="Arial"/>
          <w:sz w:val="46"/>
          <w:szCs w:val="46"/>
          <w:b w:val="1"/>
          <w:bCs w:val="1"/>
          <w:color w:val="1F473D"/>
        </w:rPr>
        <w:t>Management’s Discussion and Analysis</w:t>
      </w:r>
    </w:p>
    <w:p>
      <w:pPr>
        <w:spacing w:after="0" w:line="233" w:lineRule="exact"/>
        <w:rPr>
          <w:sz w:val="20"/>
          <w:szCs w:val="20"/>
          <w:color w:val="auto"/>
        </w:rPr>
      </w:pPr>
    </w:p>
    <w:p>
      <w:pPr>
        <w:ind w:left="220" w:right="20"/>
        <w:spacing w:after="0" w:line="231" w:lineRule="auto"/>
        <w:rPr>
          <w:sz w:val="20"/>
          <w:szCs w:val="20"/>
          <w:color w:val="auto"/>
        </w:rPr>
      </w:pPr>
      <w:r>
        <w:rPr>
          <w:rFonts w:ascii="Arial" w:cs="Arial" w:eastAsia="Arial" w:hAnsi="Arial"/>
          <w:sz w:val="17"/>
          <w:szCs w:val="17"/>
          <w:i w:val="1"/>
          <w:iCs w:val="1"/>
          <w:color w:val="auto"/>
        </w:rPr>
        <w:t>This management’s discussion and analysis is designed to provide you with a narrative explanation through the eyes of our management of how we performed in the last two years, as well as information about our financial condition and future prospects. As this management’s discussion and analysis is intended to supplement and complement our financial statements, we recommend that you read this in conjunction with our 2024 and 2023 annual consolidated financial statements. This management’s discussion and analysis contains forward-looking statements, which are subject to risks and uncertainties that could cause our actual results to differ materially from the forward-looking statements. Forward-looking statements include, but are not limited to, our 2025 outlook, our 2026 financial framework, and our expectations related to general economic conditions and market trends and their anticipated effects on our business segments. For additional information related to forward-looking statements, material assumptions and material risks associated with them, please see the “Outlook” and “Additional Information - Cautionary Note Concerning Factors That May Affect Future Results” sections of this management’s discussion and analysis. This management’s discussion and analysis is dated as of March 5, 2025, unless otherwise indicated.</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We have organized our management’s discussion and analysis in the following key sections:</w:t>
      </w:r>
    </w:p>
    <w:p>
      <w:pPr>
        <w:spacing w:after="0" w:line="159"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8340" w:type="dxa"/>
            <w:vAlign w:val="bottom"/>
            <w:gridSpan w:val="13"/>
          </w:tcPr>
          <w:p>
            <w:pPr>
              <w:spacing w:after="0"/>
              <w:rPr>
                <w:sz w:val="20"/>
                <w:szCs w:val="20"/>
                <w:color w:val="auto"/>
              </w:rPr>
            </w:pPr>
            <w:r>
              <w:rPr>
                <w:rFonts w:ascii="Arial" w:cs="Arial" w:eastAsia="Arial" w:hAnsi="Arial"/>
                <w:sz w:val="16"/>
                <w:szCs w:val="16"/>
                <w:b w:val="1"/>
                <w:bCs w:val="1"/>
                <w:color w:val="0000EE"/>
              </w:rPr>
              <w:t xml:space="preserve">Executive Summary </w:t>
            </w:r>
            <w:r>
              <w:rPr>
                <w:rFonts w:ascii="Arial" w:cs="Arial" w:eastAsia="Arial" w:hAnsi="Arial"/>
                <w:sz w:val="16"/>
                <w:szCs w:val="16"/>
                <w:color w:val="0000EE"/>
              </w:rPr>
              <w:t>– an overview of our business and key financial highlights</w:t>
            </w:r>
          </w:p>
        </w:tc>
        <w:tc>
          <w:tcPr>
            <w:tcW w:w="248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45"/>
        </w:trPr>
        <w:tc>
          <w:tcPr>
            <w:tcW w:w="532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6"/>
                <w:szCs w:val="16"/>
                <w:b w:val="1"/>
                <w:bCs w:val="1"/>
                <w:color w:val="0000EE"/>
                <w:w w:val="99"/>
              </w:rPr>
              <w:t xml:space="preserve">Results of Operations </w:t>
            </w:r>
            <w:r>
              <w:rPr>
                <w:rFonts w:ascii="Arial" w:cs="Arial" w:eastAsia="Arial" w:hAnsi="Arial"/>
                <w:sz w:val="16"/>
                <w:szCs w:val="16"/>
                <w:color w:val="0000EE"/>
                <w:w w:val="99"/>
              </w:rPr>
              <w:t>– a comparison of our current and prior-year results</w:t>
            </w:r>
          </w:p>
        </w:tc>
        <w:tc>
          <w:tcPr>
            <w:tcW w:w="280" w:type="dxa"/>
            <w:vAlign w:val="bottom"/>
            <w:tcBorders>
              <w:top w:val="single" w:sz="8" w:color="0000EE"/>
            </w:tcBorders>
          </w:tcPr>
          <w:p>
            <w:pPr>
              <w:spacing w:after="0"/>
              <w:rPr>
                <w:sz w:val="21"/>
                <w:szCs w:val="21"/>
                <w:color w:val="auto"/>
              </w:rPr>
            </w:pPr>
          </w:p>
        </w:tc>
        <w:tc>
          <w:tcPr>
            <w:tcW w:w="2740" w:type="dxa"/>
            <w:vAlign w:val="bottom"/>
            <w:gridSpan w:val="5"/>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45"/>
        </w:trPr>
        <w:tc>
          <w:tcPr>
            <w:tcW w:w="530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b w:val="1"/>
                <w:bCs w:val="1"/>
                <w:color w:val="0000EE"/>
                <w:w w:val="99"/>
              </w:rPr>
              <w:t xml:space="preserve">Liquidity and Capital Resources </w:t>
            </w:r>
            <w:r>
              <w:rPr>
                <w:rFonts w:ascii="Arial" w:cs="Arial" w:eastAsia="Arial" w:hAnsi="Arial"/>
                <w:sz w:val="16"/>
                <w:szCs w:val="16"/>
                <w:color w:val="0000EE"/>
                <w:w w:val="99"/>
              </w:rPr>
              <w:t>– a discussion of our cash flow and debt</w:t>
            </w:r>
          </w:p>
        </w:tc>
        <w:tc>
          <w:tcPr>
            <w:tcW w:w="3040" w:type="dxa"/>
            <w:vAlign w:val="bottom"/>
            <w:gridSpan w:val="7"/>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45"/>
        </w:trPr>
        <w:tc>
          <w:tcPr>
            <w:tcW w:w="8340" w:type="dxa"/>
            <w:vAlign w:val="bottom"/>
            <w:gridSpan w:val="13"/>
          </w:tcPr>
          <w:p>
            <w:pPr>
              <w:spacing w:after="0"/>
              <w:rPr>
                <w:sz w:val="20"/>
                <w:szCs w:val="20"/>
                <w:color w:val="auto"/>
              </w:rPr>
            </w:pPr>
            <w:r>
              <w:rPr>
                <w:rFonts w:ascii="Arial" w:cs="Arial" w:eastAsia="Arial" w:hAnsi="Arial"/>
                <w:sz w:val="16"/>
                <w:szCs w:val="16"/>
                <w:b w:val="1"/>
                <w:bCs w:val="1"/>
                <w:color w:val="0000EE"/>
              </w:rPr>
              <w:t xml:space="preserve">Outlook </w:t>
            </w:r>
            <w:r>
              <w:rPr>
                <w:rFonts w:ascii="Arial" w:cs="Arial" w:eastAsia="Arial" w:hAnsi="Arial"/>
                <w:sz w:val="16"/>
                <w:szCs w:val="16"/>
                <w:color w:val="0000EE"/>
              </w:rPr>
              <w:t>– trends, priorities and our financial outlook, including material assumptions and material risks</w:t>
            </w:r>
          </w:p>
        </w:tc>
        <w:tc>
          <w:tcPr>
            <w:tcW w:w="248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
        </w:trPr>
        <w:tc>
          <w:tcPr>
            <w:tcW w:w="17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20" w:type="dxa"/>
            <w:vAlign w:val="bottom"/>
            <w:gridSpan w:val="4"/>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34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b w:val="1"/>
                <w:bCs w:val="1"/>
                <w:color w:val="0000EE"/>
                <w:w w:val="98"/>
              </w:rPr>
              <w:t xml:space="preserve">Related Party Transactions </w:t>
            </w:r>
            <w:r>
              <w:rPr>
                <w:rFonts w:ascii="Arial" w:cs="Arial" w:eastAsia="Arial" w:hAnsi="Arial"/>
                <w:sz w:val="16"/>
                <w:szCs w:val="16"/>
                <w:color w:val="0000EE"/>
                <w:w w:val="98"/>
              </w:rPr>
              <w:t>– a discussion of transactions with our principal and controlling shareholder, Woodbridge,</w:t>
            </w:r>
          </w:p>
        </w:tc>
        <w:tc>
          <w:tcPr>
            <w:tcW w:w="2480" w:type="dxa"/>
            <w:vAlign w:val="bottom"/>
            <w:vMerge w:val="restart"/>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66"/>
        </w:trPr>
        <w:tc>
          <w:tcPr>
            <w:tcW w:w="8340" w:type="dxa"/>
            <w:vAlign w:val="bottom"/>
            <w:gridSpan w:val="13"/>
          </w:tcPr>
          <w:p>
            <w:pPr>
              <w:spacing w:after="0" w:line="165" w:lineRule="exact"/>
              <w:rPr>
                <w:sz w:val="20"/>
                <w:szCs w:val="20"/>
                <w:color w:val="auto"/>
              </w:rPr>
            </w:pPr>
            <w:r>
              <w:rPr>
                <w:rFonts w:ascii="Arial" w:cs="Arial" w:eastAsia="Arial" w:hAnsi="Arial"/>
                <w:sz w:val="16"/>
                <w:szCs w:val="16"/>
                <w:color w:val="0000EE"/>
              </w:rPr>
              <w:t>and other related parties</w:t>
            </w:r>
          </w:p>
        </w:tc>
        <w:tc>
          <w:tcPr>
            <w:tcW w:w="2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340" w:type="dxa"/>
            <w:vAlign w:val="bottom"/>
            <w:gridSpan w:val="13"/>
          </w:tcPr>
          <w:p>
            <w:pPr>
              <w:spacing w:after="0"/>
              <w:rPr>
                <w:sz w:val="20"/>
                <w:szCs w:val="20"/>
                <w:color w:val="auto"/>
              </w:rPr>
            </w:pPr>
            <w:r>
              <w:rPr>
                <w:rFonts w:ascii="Arial" w:cs="Arial" w:eastAsia="Arial" w:hAnsi="Arial"/>
                <w:sz w:val="16"/>
                <w:szCs w:val="16"/>
                <w:b w:val="1"/>
                <w:bCs w:val="1"/>
                <w:color w:val="0000EE"/>
                <w:w w:val="99"/>
              </w:rPr>
              <w:t xml:space="preserve">Subsequent Events </w:t>
            </w:r>
            <w:r>
              <w:rPr>
                <w:rFonts w:ascii="Arial" w:cs="Arial" w:eastAsia="Arial" w:hAnsi="Arial"/>
                <w:sz w:val="16"/>
                <w:szCs w:val="16"/>
                <w:color w:val="0000EE"/>
                <w:w w:val="99"/>
              </w:rPr>
              <w:t>– a discussion of material events occurring after December 31, 2024 and through the date of this</w:t>
            </w:r>
          </w:p>
        </w:tc>
        <w:tc>
          <w:tcPr>
            <w:tcW w:w="2480" w:type="dxa"/>
            <w:vAlign w:val="bottom"/>
            <w:vMerge w:val="restart"/>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65"/>
        </w:trPr>
        <w:tc>
          <w:tcPr>
            <w:tcW w:w="2760" w:type="dxa"/>
            <w:vAlign w:val="bottom"/>
            <w:tcBorders>
              <w:top w:val="single" w:sz="8" w:color="0000EE"/>
              <w:bottom w:val="single" w:sz="8" w:color="0000EE"/>
            </w:tcBorders>
            <w:gridSpan w:val="3"/>
          </w:tcPr>
          <w:p>
            <w:pPr>
              <w:spacing w:after="0" w:line="165" w:lineRule="exact"/>
              <w:rPr>
                <w:sz w:val="20"/>
                <w:szCs w:val="20"/>
                <w:color w:val="auto"/>
              </w:rPr>
            </w:pPr>
            <w:r>
              <w:rPr>
                <w:rFonts w:ascii="Arial" w:cs="Arial" w:eastAsia="Arial" w:hAnsi="Arial"/>
                <w:sz w:val="16"/>
                <w:szCs w:val="16"/>
                <w:color w:val="0000EE"/>
                <w:w w:val="98"/>
              </w:rPr>
              <w:t>management’s discussion and analysis</w:t>
            </w:r>
          </w:p>
        </w:tc>
        <w:tc>
          <w:tcPr>
            <w:tcW w:w="5540" w:type="dxa"/>
            <w:vAlign w:val="bottom"/>
            <w:tcBorders>
              <w:top w:val="single" w:sz="8" w:color="0000EE"/>
            </w:tcBorders>
            <w:gridSpan w:val="9"/>
          </w:tcPr>
          <w:p>
            <w:pPr>
              <w:spacing w:after="0"/>
              <w:rPr>
                <w:sz w:val="14"/>
                <w:szCs w:val="14"/>
                <w:color w:val="auto"/>
              </w:rPr>
            </w:pPr>
          </w:p>
        </w:tc>
        <w:tc>
          <w:tcPr>
            <w:tcW w:w="40" w:type="dxa"/>
            <w:vAlign w:val="bottom"/>
          </w:tcPr>
          <w:p>
            <w:pPr>
              <w:spacing w:after="0"/>
              <w:rPr>
                <w:sz w:val="14"/>
                <w:szCs w:val="14"/>
                <w:color w:val="auto"/>
              </w:rPr>
            </w:pPr>
          </w:p>
        </w:tc>
        <w:tc>
          <w:tcPr>
            <w:tcW w:w="2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8340" w:type="dxa"/>
            <w:vAlign w:val="bottom"/>
            <w:gridSpan w:val="13"/>
          </w:tcPr>
          <w:p>
            <w:pPr>
              <w:spacing w:after="0"/>
              <w:rPr>
                <w:sz w:val="20"/>
                <w:szCs w:val="20"/>
                <w:color w:val="auto"/>
              </w:rPr>
            </w:pPr>
            <w:r>
              <w:rPr>
                <w:rFonts w:ascii="Arial" w:cs="Arial" w:eastAsia="Arial" w:hAnsi="Arial"/>
                <w:sz w:val="16"/>
                <w:szCs w:val="16"/>
                <w:b w:val="1"/>
                <w:bCs w:val="1"/>
                <w:color w:val="0000EE"/>
              </w:rPr>
              <w:t xml:space="preserve">Changes in Accounting Policies </w:t>
            </w:r>
            <w:r>
              <w:rPr>
                <w:rFonts w:ascii="Arial" w:cs="Arial" w:eastAsia="Arial" w:hAnsi="Arial"/>
                <w:sz w:val="16"/>
                <w:szCs w:val="16"/>
                <w:color w:val="0000EE"/>
              </w:rPr>
              <w:t>– a discussion of changes in our accounting policies</w:t>
            </w:r>
          </w:p>
        </w:tc>
        <w:tc>
          <w:tcPr>
            <w:tcW w:w="248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
        </w:trPr>
        <w:tc>
          <w:tcPr>
            <w:tcW w:w="26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20" w:type="dxa"/>
            <w:vAlign w:val="bottom"/>
            <w:gridSpan w:val="4"/>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340" w:type="dxa"/>
            <w:vAlign w:val="bottom"/>
            <w:gridSpan w:val="13"/>
          </w:tcPr>
          <w:p>
            <w:pPr>
              <w:spacing w:after="0"/>
              <w:rPr>
                <w:sz w:val="20"/>
                <w:szCs w:val="20"/>
                <w:color w:val="auto"/>
              </w:rPr>
            </w:pPr>
            <w:r>
              <w:rPr>
                <w:rFonts w:ascii="Arial" w:cs="Arial" w:eastAsia="Arial" w:hAnsi="Arial"/>
                <w:sz w:val="16"/>
                <w:szCs w:val="16"/>
                <w:b w:val="1"/>
                <w:bCs w:val="1"/>
                <w:color w:val="0000EE"/>
              </w:rPr>
              <w:t xml:space="preserve">Critical Accounting Estimates and Judgments </w:t>
            </w:r>
            <w:r>
              <w:rPr>
                <w:rFonts w:ascii="Arial" w:cs="Arial" w:eastAsia="Arial" w:hAnsi="Arial"/>
                <w:sz w:val="16"/>
                <w:szCs w:val="16"/>
                <w:color w:val="0000EE"/>
              </w:rPr>
              <w:t>– a discussion of critical estimates and judgments made by our</w:t>
            </w:r>
          </w:p>
        </w:tc>
        <w:tc>
          <w:tcPr>
            <w:tcW w:w="2480" w:type="dxa"/>
            <w:vAlign w:val="bottom"/>
            <w:vMerge w:val="restart"/>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65"/>
        </w:trPr>
        <w:tc>
          <w:tcPr>
            <w:tcW w:w="3120" w:type="dxa"/>
            <w:vAlign w:val="bottom"/>
            <w:tcBorders>
              <w:top w:val="single" w:sz="8" w:color="0000EE"/>
              <w:bottom w:val="single" w:sz="8" w:color="0000EE"/>
            </w:tcBorders>
            <w:gridSpan w:val="4"/>
          </w:tcPr>
          <w:p>
            <w:pPr>
              <w:spacing w:after="0" w:line="165" w:lineRule="exact"/>
              <w:rPr>
                <w:sz w:val="20"/>
                <w:szCs w:val="20"/>
                <w:color w:val="auto"/>
              </w:rPr>
            </w:pPr>
            <w:r>
              <w:rPr>
                <w:rFonts w:ascii="Arial" w:cs="Arial" w:eastAsia="Arial" w:hAnsi="Arial"/>
                <w:sz w:val="16"/>
                <w:szCs w:val="16"/>
                <w:color w:val="0000EE"/>
                <w:w w:val="98"/>
              </w:rPr>
              <w:t>management in applying accounting policies</w:t>
            </w:r>
          </w:p>
        </w:tc>
        <w:tc>
          <w:tcPr>
            <w:tcW w:w="4820" w:type="dxa"/>
            <w:vAlign w:val="bottom"/>
            <w:tcBorders>
              <w:top w:val="single" w:sz="8" w:color="0000EE"/>
            </w:tcBorders>
            <w:gridSpan w:val="7"/>
          </w:tcPr>
          <w:p>
            <w:pPr>
              <w:spacing w:after="0"/>
              <w:rPr>
                <w:sz w:val="14"/>
                <w:szCs w:val="14"/>
                <w:color w:val="auto"/>
              </w:rPr>
            </w:pPr>
          </w:p>
        </w:tc>
        <w:tc>
          <w:tcPr>
            <w:tcW w:w="400" w:type="dxa"/>
            <w:vAlign w:val="bottom"/>
            <w:gridSpan w:val="2"/>
          </w:tcPr>
          <w:p>
            <w:pPr>
              <w:spacing w:after="0"/>
              <w:rPr>
                <w:sz w:val="14"/>
                <w:szCs w:val="14"/>
                <w:color w:val="auto"/>
              </w:rPr>
            </w:pPr>
          </w:p>
        </w:tc>
        <w:tc>
          <w:tcPr>
            <w:tcW w:w="2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70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b w:val="1"/>
                <w:bCs w:val="1"/>
                <w:color w:val="0000EE"/>
                <w:w w:val="98"/>
              </w:rPr>
              <w:t xml:space="preserve">Additional Information </w:t>
            </w:r>
            <w:r>
              <w:rPr>
                <w:rFonts w:ascii="Arial" w:cs="Arial" w:eastAsia="Arial" w:hAnsi="Arial"/>
                <w:sz w:val="16"/>
                <w:szCs w:val="16"/>
                <w:color w:val="0000EE"/>
                <w:w w:val="98"/>
              </w:rPr>
              <w:t>– other required disclosures</w:t>
            </w:r>
          </w:p>
        </w:tc>
        <w:tc>
          <w:tcPr>
            <w:tcW w:w="4640" w:type="dxa"/>
            <w:vAlign w:val="bottom"/>
            <w:gridSpan w:val="8"/>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45"/>
        </w:trPr>
        <w:tc>
          <w:tcPr>
            <w:tcW w:w="268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b w:val="1"/>
                <w:bCs w:val="1"/>
                <w:color w:val="0000EE"/>
                <w:w w:val="98"/>
              </w:rPr>
              <w:t xml:space="preserve">Appendix </w:t>
            </w:r>
            <w:r>
              <w:rPr>
                <w:rFonts w:ascii="Arial" w:cs="Arial" w:eastAsia="Arial" w:hAnsi="Arial"/>
                <w:sz w:val="16"/>
                <w:szCs w:val="16"/>
                <w:color w:val="0000EE"/>
                <w:w w:val="98"/>
              </w:rPr>
              <w:t>– supplemental information</w:t>
            </w:r>
          </w:p>
        </w:tc>
        <w:tc>
          <w:tcPr>
            <w:tcW w:w="5660" w:type="dxa"/>
            <w:vAlign w:val="bottom"/>
            <w:gridSpan w:val="11"/>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20" w:right="740"/>
        <w:spacing w:after="0" w:line="259" w:lineRule="auto"/>
        <w:rPr>
          <w:sz w:val="20"/>
          <w:szCs w:val="20"/>
          <w:color w:val="auto"/>
        </w:rPr>
      </w:pPr>
      <w:r>
        <w:rPr>
          <w:rFonts w:ascii="Arial" w:cs="Arial" w:eastAsia="Arial" w:hAnsi="Arial"/>
          <w:sz w:val="18"/>
          <w:szCs w:val="18"/>
          <w:color w:val="auto"/>
        </w:rPr>
        <w:t>Unless otherwise indicated or the context otherwise requires, references in this discussion to “we,” “our,” “us”, the “Company” and “Thomson Reuters” are to Thomson Reuters Corporation and our subsidiaries.</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Basis of Presentation</w:t>
      </w:r>
    </w:p>
    <w:p>
      <w:pPr>
        <w:spacing w:after="0" w:line="97" w:lineRule="exact"/>
        <w:rPr>
          <w:sz w:val="20"/>
          <w:szCs w:val="20"/>
          <w:color w:val="auto"/>
        </w:rPr>
      </w:pPr>
    </w:p>
    <w:p>
      <w:pPr>
        <w:ind w:left="220" w:right="200"/>
        <w:spacing w:after="0" w:line="260" w:lineRule="auto"/>
        <w:rPr>
          <w:sz w:val="20"/>
          <w:szCs w:val="20"/>
          <w:color w:val="auto"/>
        </w:rPr>
      </w:pPr>
      <w:r>
        <w:rPr>
          <w:rFonts w:ascii="Arial" w:cs="Arial" w:eastAsia="Arial" w:hAnsi="Arial"/>
          <w:sz w:val="17"/>
          <w:szCs w:val="17"/>
          <w:color w:val="auto"/>
        </w:rPr>
        <w:t>We prepare our consolidated financial statements in U.S. dollars and in accordance with International Financial Reporting Standards (IFRS), as issued by the International Accounting Standards Board (IASB).</w:t>
      </w:r>
    </w:p>
    <w:p>
      <w:pPr>
        <w:spacing w:after="0" w:line="27" w:lineRule="exact"/>
        <w:rPr>
          <w:sz w:val="20"/>
          <w:szCs w:val="20"/>
          <w:color w:val="auto"/>
        </w:rPr>
      </w:pPr>
    </w:p>
    <w:p>
      <w:pPr>
        <w:ind w:left="220" w:right="140"/>
        <w:spacing w:after="0" w:line="243" w:lineRule="auto"/>
        <w:rPr>
          <w:sz w:val="20"/>
          <w:szCs w:val="20"/>
          <w:color w:val="auto"/>
        </w:rPr>
      </w:pPr>
      <w:r>
        <w:rPr>
          <w:rFonts w:ascii="Arial" w:cs="Arial" w:eastAsia="Arial" w:hAnsi="Arial"/>
          <w:sz w:val="17"/>
          <w:szCs w:val="17"/>
          <w:color w:val="auto"/>
        </w:rPr>
        <w:t>Other than EPS, we report our results in millions of U.S. dollars, but we compute percentage changes and margins using whole dollars to be more precise. As a result, percentages and margins calculated from reported amounts may differ from those presented, and growth components may not total due to rounding.</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Use of Non-IFRS Financial Measures</w:t>
      </w:r>
    </w:p>
    <w:p>
      <w:pPr>
        <w:spacing w:after="0" w:line="97" w:lineRule="exact"/>
        <w:rPr>
          <w:sz w:val="20"/>
          <w:szCs w:val="20"/>
          <w:color w:val="auto"/>
        </w:rPr>
      </w:pPr>
    </w:p>
    <w:p>
      <w:pPr>
        <w:ind w:left="220" w:right="60"/>
        <w:spacing w:after="0" w:line="235" w:lineRule="auto"/>
        <w:rPr>
          <w:sz w:val="20"/>
          <w:szCs w:val="20"/>
          <w:color w:val="auto"/>
        </w:rPr>
      </w:pPr>
      <w:r>
        <w:rPr>
          <w:rFonts w:ascii="Arial" w:cs="Arial" w:eastAsia="Arial" w:hAnsi="Arial"/>
          <w:sz w:val="17"/>
          <w:szCs w:val="17"/>
          <w:color w:val="auto"/>
        </w:rPr>
        <w:t>In this management’s discussion and analysis, we discuss our results on an IFRS and non-IFRS basis. We use non-IFRS financial measures, which include ratios that incorporate one or more non-IFRS financial measures, as supplemental indicators of our operating performance and financial position as well as for internal planning purposes, our management incentive programs and our business outlook. We believe non-IFRS financial measures provide more insight into our performance. Non-IFRS measures do not have standardized meanings prescribed by IFRS and therefore are unlikely to be comparable to the calculation of similar measures used by other companies, and should not be viewed as alternatives to measures of financial performance calculated in accordance with IFRS.</w:t>
      </w:r>
    </w:p>
    <w:p>
      <w:pPr>
        <w:spacing w:after="0" w:line="44" w:lineRule="exact"/>
        <w:rPr>
          <w:sz w:val="20"/>
          <w:szCs w:val="20"/>
          <w:color w:val="auto"/>
        </w:rPr>
      </w:pPr>
    </w:p>
    <w:p>
      <w:pPr>
        <w:ind w:left="220" w:right="180"/>
        <w:spacing w:after="0" w:line="243" w:lineRule="auto"/>
        <w:rPr>
          <w:sz w:val="20"/>
          <w:szCs w:val="20"/>
          <w:color w:val="auto"/>
        </w:rPr>
      </w:pPr>
      <w:r>
        <w:rPr>
          <w:rFonts w:ascii="Arial" w:cs="Arial" w:eastAsia="Arial" w:hAnsi="Arial"/>
          <w:sz w:val="17"/>
          <w:szCs w:val="17"/>
          <w:color w:val="auto"/>
        </w:rPr>
        <w:t>See Appendix A of this management’s discussion and analysis for a description of our non-IFRS financial measures, including an explanation of why we believe they are useful measures of our performance. Refer to Appendices B and C for reconciliations of our non-IFRS financial measures to the most directly comparable IFRS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99695</wp:posOffset>
            </wp:positionV>
            <wp:extent cx="68656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5"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28</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Executive Summary</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Our Company</w:t>
      </w:r>
    </w:p>
    <w:p>
      <w:pPr>
        <w:spacing w:after="0" w:line="84" w:lineRule="exact"/>
        <w:rPr>
          <w:sz w:val="20"/>
          <w:szCs w:val="20"/>
          <w:color w:val="auto"/>
        </w:rPr>
      </w:pPr>
    </w:p>
    <w:p>
      <w:pPr>
        <w:ind w:left="220" w:right="80"/>
        <w:spacing w:after="0" w:line="238" w:lineRule="auto"/>
        <w:rPr>
          <w:sz w:val="20"/>
          <w:szCs w:val="20"/>
          <w:color w:val="auto"/>
        </w:rPr>
      </w:pPr>
      <w:r>
        <w:rPr>
          <w:rFonts w:ascii="Arial" w:cs="Arial" w:eastAsia="Arial" w:hAnsi="Arial"/>
          <w:sz w:val="17"/>
          <w:szCs w:val="17"/>
          <w:color w:val="auto"/>
        </w:rPr>
        <w:t xml:space="preserve">Thomson Reuters (Nasdaq / TSX: TRI) informs the way forward by bringing together the trusted content and technology that people and organizations need to make the right decisions. We serve professionals across legal, tax, accounting, compliance, government, and media. Our products combine highly specialized software and insights to empower professionals with the data, intelligence, and solutions needed to make informed decisions, and to help institutions in their pursuit of justice, truth and transparency. Reuters, part of Thomson Reuters, is a world leading provider of trusted journalism and news. For more information, visit </w:t>
      </w:r>
      <w:r>
        <w:rPr>
          <w:rFonts w:ascii="Arial" w:cs="Arial" w:eastAsia="Arial" w:hAnsi="Arial"/>
          <w:sz w:val="17"/>
          <w:szCs w:val="17"/>
          <w:b w:val="1"/>
          <w:bCs w:val="1"/>
          <w:color w:val="auto"/>
        </w:rPr>
        <w:t>tr.com.</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are organized as five reportable segments reflecting how we manage our businesses.</w:t>
      </w:r>
    </w:p>
    <w:p>
      <w:pPr>
        <w:spacing w:after="0" w:line="82" w:lineRule="exact"/>
        <w:rPr>
          <w:sz w:val="20"/>
          <w:szCs w:val="20"/>
          <w:color w:val="auto"/>
        </w:rPr>
      </w:pPr>
    </w:p>
    <w:p>
      <w:pPr>
        <w:ind w:left="1420"/>
        <w:spacing w:after="0"/>
        <w:tabs>
          <w:tab w:leader="none" w:pos="7320" w:val="left"/>
        </w:tabs>
        <w:rPr>
          <w:sz w:val="20"/>
          <w:szCs w:val="20"/>
          <w:color w:val="auto"/>
        </w:rPr>
      </w:pPr>
      <w:r>
        <w:rPr>
          <w:rFonts w:ascii="Arial" w:cs="Arial" w:eastAsia="Arial" w:hAnsi="Arial"/>
          <w:sz w:val="25"/>
          <w:szCs w:val="25"/>
          <w:b w:val="1"/>
          <w:bCs w:val="1"/>
          <w:color w:val="D64000"/>
        </w:rPr>
        <w:t>Legal Professionals</w:t>
      </w:r>
      <w:r>
        <w:rPr>
          <w:sz w:val="20"/>
          <w:szCs w:val="20"/>
          <w:color w:val="auto"/>
        </w:rPr>
        <w:tab/>
      </w:r>
      <w:r>
        <w:rPr>
          <w:rFonts w:ascii="Arial" w:cs="Arial" w:eastAsia="Arial" w:hAnsi="Arial"/>
          <w:sz w:val="25"/>
          <w:szCs w:val="25"/>
          <w:b w:val="1"/>
          <w:bCs w:val="1"/>
          <w:color w:val="D64000"/>
        </w:rPr>
        <w:t xml:space="preserve">      </w:t>
      </w:r>
      <w:r>
        <w:rPr>
          <w:rFonts w:ascii="Arial" w:cs="Arial" w:eastAsia="Arial" w:hAnsi="Arial"/>
          <w:sz w:val="25"/>
          <w:szCs w:val="25"/>
          <w:b w:val="1"/>
          <w:bCs w:val="1"/>
          <w:u w:val="single" w:color="auto"/>
          <w:color w:val="D64000"/>
        </w:rPr>
        <w:t>2024 Revenues</w:t>
      </w:r>
      <w:r>
        <w:rPr>
          <w:rFonts w:ascii="Arial" w:cs="Arial" w:eastAsia="Arial" w:hAnsi="Arial"/>
          <w:sz w:val="25"/>
          <w:szCs w:val="25"/>
          <w:b w:val="1"/>
          <w:bCs w:val="1"/>
          <w:color w:val="D64000"/>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8255</wp:posOffset>
            </wp:positionV>
            <wp:extent cx="471170" cy="5384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71170" cy="538480"/>
                    </a:xfrm>
                    <a:prstGeom prst="rect">
                      <a:avLst/>
                    </a:prstGeom>
                    <a:noFill/>
                  </pic:spPr>
                </pic:pic>
              </a:graphicData>
            </a:graphic>
          </wp:anchor>
        </w:drawing>
      </w:r>
    </w:p>
    <w:p>
      <w:pPr>
        <w:spacing w:after="0" w:line="104" w:lineRule="exact"/>
        <w:rPr>
          <w:sz w:val="20"/>
          <w:szCs w:val="20"/>
          <w:color w:val="auto"/>
        </w:rPr>
      </w:pPr>
    </w:p>
    <w:p>
      <w:pPr>
        <w:ind w:left="1420" w:right="4000"/>
        <w:spacing w:after="0" w:line="238" w:lineRule="auto"/>
        <w:rPr>
          <w:sz w:val="20"/>
          <w:szCs w:val="20"/>
          <w:color w:val="auto"/>
        </w:rPr>
      </w:pPr>
      <w:r>
        <w:rPr>
          <w:rFonts w:ascii="Arial" w:cs="Arial" w:eastAsia="Arial" w:hAnsi="Arial"/>
          <w:sz w:val="17"/>
          <w:szCs w:val="17"/>
          <w:color w:val="auto"/>
        </w:rPr>
        <w:t>Serves law firms and governments with research and workflow products powered by leading-edge technologies, including generative AI, focusing on intuitive legal research and integrated legal workflow solutions that combine content, tools and analytics.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-393700</wp:posOffset>
            </wp:positionV>
            <wp:extent cx="1993900" cy="21120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993900" cy="2112010"/>
                    </a:xfrm>
                    <a:prstGeom prst="rect">
                      <a:avLst/>
                    </a:prstGeom>
                    <a:noFill/>
                  </pic:spPr>
                </pic:pic>
              </a:graphicData>
            </a:graphic>
          </wp:anchor>
        </w:drawing>
      </w:r>
    </w:p>
    <w:p>
      <w:pPr>
        <w:spacing w:after="0" w:line="198" w:lineRule="exact"/>
        <w:rPr>
          <w:sz w:val="20"/>
          <w:szCs w:val="20"/>
          <w:color w:val="auto"/>
        </w:rPr>
      </w:pPr>
    </w:p>
    <w:p>
      <w:pPr>
        <w:ind w:left="1420"/>
        <w:spacing w:after="0"/>
        <w:rPr>
          <w:sz w:val="20"/>
          <w:szCs w:val="20"/>
          <w:color w:val="auto"/>
        </w:rPr>
      </w:pPr>
      <w:r>
        <w:rPr>
          <w:rFonts w:ascii="Arial" w:cs="Arial" w:eastAsia="Arial" w:hAnsi="Arial"/>
          <w:sz w:val="25"/>
          <w:szCs w:val="25"/>
          <w:b w:val="1"/>
          <w:bCs w:val="1"/>
          <w:color w:val="D64000"/>
        </w:rPr>
        <w:t>Corporates</w:t>
      </w:r>
    </w:p>
    <w:p>
      <w:pPr>
        <w:spacing w:after="0" w:line="124" w:lineRule="exact"/>
        <w:rPr>
          <w:sz w:val="20"/>
          <w:szCs w:val="20"/>
          <w:color w:val="auto"/>
        </w:rPr>
      </w:pPr>
    </w:p>
    <w:p>
      <w:pPr>
        <w:ind w:left="1420" w:right="3840"/>
        <w:spacing w:after="0" w:line="236" w:lineRule="auto"/>
        <w:rPr>
          <w:sz w:val="20"/>
          <w:szCs w:val="20"/>
          <w:color w:val="auto"/>
        </w:rPr>
      </w:pPr>
      <w:r>
        <w:rPr>
          <w:rFonts w:ascii="Arial" w:cs="Arial" w:eastAsia="Arial" w:hAnsi="Arial"/>
          <w:sz w:val="17"/>
          <w:szCs w:val="17"/>
          <w:color w:val="auto"/>
        </w:rPr>
        <w:t>Serves corporations, ranging from small businesses to multinational organizations, including the seven largest global accounting firms, with our full suite of content-driven products, powered by leading-edge technologies, including generative AI, and integrated compliance workflow solutions to help them achieve their business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-486410</wp:posOffset>
            </wp:positionV>
            <wp:extent cx="530225" cy="5556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30225" cy="555625"/>
                    </a:xfrm>
                    <a:prstGeom prst="rect">
                      <a:avLst/>
                    </a:prstGeom>
                    <a:noFill/>
                  </pic:spPr>
                </pic:pic>
              </a:graphicData>
            </a:graphic>
          </wp:anchor>
        </w:drawing>
      </w:r>
    </w:p>
    <w:p>
      <w:pPr>
        <w:spacing w:after="0" w:line="198" w:lineRule="exact"/>
        <w:rPr>
          <w:sz w:val="20"/>
          <w:szCs w:val="20"/>
          <w:color w:val="auto"/>
        </w:rPr>
      </w:pPr>
    </w:p>
    <w:p>
      <w:pPr>
        <w:ind w:left="1420"/>
        <w:spacing w:after="0"/>
        <w:rPr>
          <w:sz w:val="20"/>
          <w:szCs w:val="20"/>
          <w:color w:val="auto"/>
        </w:rPr>
      </w:pPr>
      <w:r>
        <w:rPr>
          <w:rFonts w:ascii="Arial" w:cs="Arial" w:eastAsia="Arial" w:hAnsi="Arial"/>
          <w:sz w:val="25"/>
          <w:szCs w:val="25"/>
          <w:b w:val="1"/>
          <w:bCs w:val="1"/>
          <w:color w:val="D64000"/>
        </w:rPr>
        <w:t>Tax &amp; Accounting Professionals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-41275</wp:posOffset>
            </wp:positionV>
            <wp:extent cx="437515" cy="3956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7515" cy="395605"/>
                    </a:xfrm>
                    <a:prstGeom prst="rect">
                      <a:avLst/>
                    </a:prstGeom>
                    <a:noFill/>
                  </pic:spPr>
                </pic:pic>
              </a:graphicData>
            </a:graphic>
          </wp:anchor>
        </w:drawing>
      </w:r>
    </w:p>
    <w:p>
      <w:pPr>
        <w:spacing w:after="0" w:line="104" w:lineRule="exact"/>
        <w:rPr>
          <w:sz w:val="20"/>
          <w:szCs w:val="20"/>
          <w:color w:val="auto"/>
        </w:rPr>
      </w:pPr>
    </w:p>
    <w:p>
      <w:pPr>
        <w:ind w:left="1420" w:right="3940"/>
        <w:spacing w:after="0" w:line="243" w:lineRule="auto"/>
        <w:rPr>
          <w:sz w:val="20"/>
          <w:szCs w:val="20"/>
          <w:color w:val="auto"/>
        </w:rPr>
      </w:pPr>
      <w:r>
        <w:rPr>
          <w:rFonts w:ascii="Arial" w:cs="Arial" w:eastAsia="Arial" w:hAnsi="Arial"/>
          <w:sz w:val="17"/>
          <w:szCs w:val="17"/>
          <w:color w:val="auto"/>
        </w:rPr>
        <w:t>Serves tax, audit and accounting firms (other than the seven largest, which are served by our Corporates segment) with research and workflow products powered by leading-edge technologies, including generative AI.</w:t>
      </w:r>
    </w:p>
    <w:p>
      <w:pPr>
        <w:spacing w:after="0" w:line="214" w:lineRule="exact"/>
        <w:rPr>
          <w:sz w:val="20"/>
          <w:szCs w:val="20"/>
          <w:color w:val="auto"/>
        </w:rPr>
      </w:pPr>
    </w:p>
    <w:p>
      <w:pPr>
        <w:ind w:left="1420"/>
        <w:spacing w:after="0"/>
        <w:rPr>
          <w:sz w:val="20"/>
          <w:szCs w:val="20"/>
          <w:color w:val="auto"/>
        </w:rPr>
      </w:pPr>
      <w:r>
        <w:rPr>
          <w:rFonts w:ascii="Arial" w:cs="Arial" w:eastAsia="Arial" w:hAnsi="Arial"/>
          <w:sz w:val="25"/>
          <w:szCs w:val="25"/>
          <w:b w:val="1"/>
          <w:bCs w:val="1"/>
          <w:color w:val="D64000"/>
        </w:rPr>
        <w:t>Reuters 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25400</wp:posOffset>
            </wp:positionV>
            <wp:extent cx="521970" cy="4121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1970" cy="412115"/>
                    </a:xfrm>
                    <a:prstGeom prst="rect">
                      <a:avLst/>
                    </a:prstGeom>
                    <a:noFill/>
                  </pic:spPr>
                </pic:pic>
              </a:graphicData>
            </a:graphic>
          </wp:anchor>
        </w:drawing>
      </w:r>
    </w:p>
    <w:p>
      <w:pPr>
        <w:spacing w:after="0" w:line="104" w:lineRule="exact"/>
        <w:rPr>
          <w:sz w:val="20"/>
          <w:szCs w:val="20"/>
          <w:color w:val="auto"/>
        </w:rPr>
      </w:pPr>
    </w:p>
    <w:p>
      <w:pPr>
        <w:ind w:left="1420" w:right="4160"/>
        <w:spacing w:after="0" w:line="238" w:lineRule="auto"/>
        <w:rPr>
          <w:sz w:val="20"/>
          <w:szCs w:val="20"/>
          <w:color w:val="auto"/>
        </w:rPr>
      </w:pPr>
      <w:r>
        <w:rPr>
          <w:rFonts w:ascii="Arial" w:cs="Arial" w:eastAsia="Arial" w:hAnsi="Arial"/>
          <w:sz w:val="17"/>
          <w:szCs w:val="17"/>
          <w:color w:val="auto"/>
        </w:rPr>
        <w:t>Supplies business, financial and global news to the world’s media organizations, professionals and news consumers through Reuters News Agency, Reuters.com, Reuters Events, Thomson Reuters products and to financial firms exclusively via LSEG products.</w:t>
      </w:r>
    </w:p>
    <w:p>
      <w:pPr>
        <w:spacing w:after="0" w:line="218" w:lineRule="exact"/>
        <w:rPr>
          <w:sz w:val="20"/>
          <w:szCs w:val="20"/>
          <w:color w:val="auto"/>
        </w:rPr>
      </w:pPr>
    </w:p>
    <w:p>
      <w:pPr>
        <w:ind w:left="1420"/>
        <w:spacing w:after="0"/>
        <w:rPr>
          <w:sz w:val="20"/>
          <w:szCs w:val="20"/>
          <w:color w:val="auto"/>
        </w:rPr>
      </w:pPr>
      <w:r>
        <w:rPr>
          <w:rFonts w:ascii="Arial" w:cs="Arial" w:eastAsia="Arial" w:hAnsi="Arial"/>
          <w:sz w:val="25"/>
          <w:szCs w:val="25"/>
          <w:b w:val="1"/>
          <w:bCs w:val="1"/>
          <w:color w:val="D64000"/>
        </w:rPr>
        <w:t>Global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-33020</wp:posOffset>
            </wp:positionV>
            <wp:extent cx="429260" cy="3530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29260" cy="353060"/>
                    </a:xfrm>
                    <a:prstGeom prst="rect">
                      <a:avLst/>
                    </a:prstGeom>
                    <a:noFill/>
                  </pic:spPr>
                </pic:pic>
              </a:graphicData>
            </a:graphic>
          </wp:anchor>
        </w:drawing>
      </w:r>
    </w:p>
    <w:p>
      <w:pPr>
        <w:spacing w:after="0" w:line="104" w:lineRule="exact"/>
        <w:rPr>
          <w:sz w:val="20"/>
          <w:szCs w:val="20"/>
          <w:color w:val="auto"/>
        </w:rPr>
      </w:pPr>
    </w:p>
    <w:p>
      <w:pPr>
        <w:ind w:left="1420" w:right="3820"/>
        <w:spacing w:after="0" w:line="243" w:lineRule="auto"/>
        <w:rPr>
          <w:sz w:val="20"/>
          <w:szCs w:val="20"/>
          <w:color w:val="auto"/>
        </w:rPr>
      </w:pPr>
      <w:r>
        <w:rPr>
          <w:rFonts w:ascii="Arial" w:cs="Arial" w:eastAsia="Arial" w:hAnsi="Arial"/>
          <w:sz w:val="17"/>
          <w:szCs w:val="17"/>
          <w:color w:val="auto"/>
        </w:rPr>
        <w:t>Provides legal and tax information primarily in print format to customers around the world and provides commercial printing services to a wide range of book publishers.</w:t>
      </w:r>
    </w:p>
    <w:p>
      <w:pPr>
        <w:spacing w:after="0" w:line="6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We refer to our Legal Professionals, Corporates and Tax &amp; Accounting Professionals segments, on a combined basis, as our “Big 3” segments.</w:t>
      </w:r>
    </w:p>
    <w:p>
      <w:pPr>
        <w:spacing w:after="0" w:line="70" w:lineRule="exact"/>
        <w:rPr>
          <w:sz w:val="20"/>
          <w:szCs w:val="20"/>
          <w:color w:val="auto"/>
        </w:rPr>
      </w:pPr>
    </w:p>
    <w:p>
      <w:pPr>
        <w:ind w:left="220" w:right="160"/>
        <w:spacing w:after="0" w:line="238" w:lineRule="auto"/>
        <w:rPr>
          <w:sz w:val="20"/>
          <w:szCs w:val="20"/>
          <w:color w:val="auto"/>
        </w:rPr>
      </w:pPr>
      <w:r>
        <w:rPr>
          <w:rFonts w:ascii="Arial" w:cs="Arial" w:eastAsia="Arial" w:hAnsi="Arial"/>
          <w:sz w:val="17"/>
          <w:szCs w:val="17"/>
          <w:color w:val="auto"/>
        </w:rPr>
        <w:t>Our businesses are supported by a corporate center that manages our commercial and technology operations, including those around our sales capabilities, digital customer experience, and product and content development, as well as our global facilities. Costs relating to these activities are allocated to our business segments. We also report “Corporate costs”, which includes expenses for centrally managed functions such as finance, legal and human resources.</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Our Business Model and Key Operating Characteristics</w:t>
      </w:r>
    </w:p>
    <w:p>
      <w:pPr>
        <w:spacing w:after="0" w:line="97" w:lineRule="exact"/>
        <w:rPr>
          <w:sz w:val="20"/>
          <w:szCs w:val="20"/>
          <w:color w:val="auto"/>
        </w:rPr>
      </w:pPr>
    </w:p>
    <w:p>
      <w:pPr>
        <w:ind w:left="220" w:right="180"/>
        <w:spacing w:after="0" w:line="234" w:lineRule="auto"/>
        <w:rPr>
          <w:sz w:val="20"/>
          <w:szCs w:val="20"/>
          <w:color w:val="auto"/>
        </w:rPr>
      </w:pPr>
      <w:r>
        <w:rPr>
          <w:rFonts w:ascii="Arial" w:cs="Arial" w:eastAsia="Arial" w:hAnsi="Arial"/>
          <w:sz w:val="17"/>
          <w:szCs w:val="17"/>
          <w:color w:val="auto"/>
        </w:rPr>
        <w:t>We derive most of our revenues from selling information and software solutions, predominantly on a recurring subscription basis. Our solutions blend deep domain knowledge with software and automation tools. We believe our workflow solutions make our customers more productive by streamlining how they operate, enabling them to focus on higher value activities. Many of our customers use our solutions as part of their workflows, which has led to strong customer retention. We believe that our customers trust us because of our history and dependability and our deep understanding of their businesses and industries, and they rely on our services for navigating a rapidly changing and increasingly complex digital world. Over the years, our business model has proven to be capital efficient and cash flow generative, and it has enabled us to maintain leading and scalable positions in our chosen market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92075</wp:posOffset>
            </wp:positionV>
            <wp:extent cx="68656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6"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29</w:t>
      </w:r>
    </w:p>
    <w:p>
      <w:pPr>
        <w:sectPr>
          <w:pgSz w:w="11900" w:h="16838" w:orient="portrait"/>
          <w:cols w:equalWidth="0" w:num="1">
            <w:col w:w="11040"/>
          </w:cols>
          <w:pgMar w:left="320" w:top="477" w:right="5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Some of our key business and operating characteristics are:</w:t>
      </w:r>
    </w:p>
    <w:p>
      <w:pPr>
        <w:sectPr>
          <w:pgSz w:w="11900" w:h="16838" w:orient="portrait"/>
          <w:cols w:equalWidth="0" w:num="1">
            <w:col w:w="11040"/>
          </w:cols>
          <w:pgMar w:left="320" w:top="477" w:right="539" w:bottom="1440" w:gutter="0" w:footer="0" w:header="0"/>
        </w:sectPr>
      </w:pP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287"/>
        </w:trPr>
        <w:tc>
          <w:tcPr>
            <w:tcW w:w="1840" w:type="dxa"/>
            <w:vAlign w:val="bottom"/>
            <w:tcBorders>
              <w:right w:val="single" w:sz="8" w:color="D64000"/>
            </w:tcBorders>
          </w:tcPr>
          <w:p>
            <w:pPr>
              <w:ind w:left="300"/>
              <w:spacing w:after="0"/>
              <w:rPr>
                <w:sz w:val="20"/>
                <w:szCs w:val="20"/>
                <w:color w:val="auto"/>
              </w:rPr>
            </w:pPr>
            <w:r>
              <w:rPr>
                <w:rFonts w:ascii="Arial" w:cs="Arial" w:eastAsia="Arial" w:hAnsi="Arial"/>
                <w:sz w:val="25"/>
                <w:szCs w:val="25"/>
                <w:b w:val="1"/>
                <w:bCs w:val="1"/>
                <w:color w:val="D64000"/>
              </w:rPr>
              <w:t>Attractive</w:t>
            </w:r>
          </w:p>
        </w:tc>
        <w:tc>
          <w:tcPr>
            <w:tcW w:w="2020" w:type="dxa"/>
            <w:vAlign w:val="bottom"/>
          </w:tcPr>
          <w:p>
            <w:pPr>
              <w:jc w:val="center"/>
              <w:ind w:left="90"/>
              <w:spacing w:after="0"/>
              <w:rPr>
                <w:sz w:val="20"/>
                <w:szCs w:val="20"/>
                <w:color w:val="auto"/>
              </w:rPr>
            </w:pPr>
            <w:r>
              <w:rPr>
                <w:rFonts w:ascii="Arial" w:cs="Arial" w:eastAsia="Arial" w:hAnsi="Arial"/>
                <w:sz w:val="25"/>
                <w:szCs w:val="25"/>
                <w:b w:val="1"/>
                <w:bCs w:val="1"/>
                <w:color w:val="D64000"/>
                <w:w w:val="98"/>
              </w:rPr>
              <w:t>Balanced and</w:t>
            </w:r>
          </w:p>
        </w:tc>
        <w:tc>
          <w:tcPr>
            <w:tcW w:w="0" w:type="dxa"/>
            <w:vAlign w:val="bottom"/>
          </w:tcPr>
          <w:p>
            <w:pPr>
              <w:spacing w:after="0"/>
              <w:rPr>
                <w:sz w:val="1"/>
                <w:szCs w:val="1"/>
                <w:color w:val="auto"/>
              </w:rPr>
            </w:pPr>
          </w:p>
        </w:tc>
      </w:tr>
      <w:tr>
        <w:trPr>
          <w:trHeight w:val="291"/>
        </w:trPr>
        <w:tc>
          <w:tcPr>
            <w:tcW w:w="1840" w:type="dxa"/>
            <w:vAlign w:val="bottom"/>
            <w:tcBorders>
              <w:right w:val="single" w:sz="8" w:color="D64000"/>
            </w:tcBorders>
          </w:tcPr>
          <w:p>
            <w:pPr>
              <w:ind w:left="380"/>
              <w:spacing w:after="0"/>
              <w:rPr>
                <w:sz w:val="20"/>
                <w:szCs w:val="20"/>
                <w:color w:val="auto"/>
              </w:rPr>
            </w:pPr>
            <w:r>
              <w:rPr>
                <w:rFonts w:ascii="Arial" w:cs="Arial" w:eastAsia="Arial" w:hAnsi="Arial"/>
                <w:sz w:val="25"/>
                <w:szCs w:val="25"/>
                <w:b w:val="1"/>
                <w:bCs w:val="1"/>
                <w:color w:val="D64000"/>
              </w:rPr>
              <w:t>Industry</w:t>
            </w:r>
          </w:p>
        </w:tc>
        <w:tc>
          <w:tcPr>
            <w:tcW w:w="2020" w:type="dxa"/>
            <w:vAlign w:val="bottom"/>
          </w:tcPr>
          <w:p>
            <w:pPr>
              <w:jc w:val="center"/>
              <w:ind w:left="110"/>
              <w:spacing w:after="0"/>
              <w:rPr>
                <w:sz w:val="20"/>
                <w:szCs w:val="20"/>
                <w:color w:val="auto"/>
              </w:rPr>
            </w:pPr>
            <w:r>
              <w:rPr>
                <w:rFonts w:ascii="Arial" w:cs="Arial" w:eastAsia="Arial" w:hAnsi="Arial"/>
                <w:sz w:val="25"/>
                <w:szCs w:val="25"/>
                <w:b w:val="1"/>
                <w:bCs w:val="1"/>
                <w:color w:val="D64000"/>
                <w:w w:val="98"/>
              </w:rPr>
              <w:t>Diversified</w:t>
            </w:r>
          </w:p>
        </w:tc>
        <w:tc>
          <w:tcPr>
            <w:tcW w:w="0" w:type="dxa"/>
            <w:vAlign w:val="bottom"/>
          </w:tcPr>
          <w:p>
            <w:pPr>
              <w:spacing w:after="0"/>
              <w:rPr>
                <w:sz w:val="1"/>
                <w:szCs w:val="1"/>
                <w:color w:val="auto"/>
              </w:rPr>
            </w:pPr>
          </w:p>
        </w:tc>
      </w:tr>
      <w:tr>
        <w:trPr>
          <w:trHeight w:val="340"/>
        </w:trPr>
        <w:tc>
          <w:tcPr>
            <w:tcW w:w="1840" w:type="dxa"/>
            <w:vAlign w:val="bottom"/>
            <w:tcBorders>
              <w:right w:val="single" w:sz="8" w:color="D64000"/>
            </w:tcBorders>
          </w:tcPr>
          <w:p>
            <w:pPr>
              <w:spacing w:after="0"/>
              <w:rPr>
                <w:sz w:val="24"/>
                <w:szCs w:val="24"/>
                <w:color w:val="auto"/>
              </w:rPr>
            </w:pPr>
          </w:p>
        </w:tc>
        <w:tc>
          <w:tcPr>
            <w:tcW w:w="2020" w:type="dxa"/>
            <w:vAlign w:val="bottom"/>
          </w:tcPr>
          <w:p>
            <w:pPr>
              <w:jc w:val="center"/>
              <w:ind w:left="90"/>
              <w:spacing w:after="0"/>
              <w:rPr>
                <w:sz w:val="20"/>
                <w:szCs w:val="20"/>
                <w:color w:val="auto"/>
              </w:rPr>
            </w:pPr>
            <w:r>
              <w:rPr>
                <w:rFonts w:ascii="Arial" w:cs="Arial" w:eastAsia="Arial" w:hAnsi="Arial"/>
                <w:sz w:val="25"/>
                <w:szCs w:val="25"/>
                <w:b w:val="1"/>
                <w:bCs w:val="1"/>
                <w:color w:val="D64000"/>
                <w:w w:val="98"/>
              </w:rPr>
              <w:t>Leadership</w:t>
            </w:r>
          </w:p>
        </w:tc>
        <w:tc>
          <w:tcPr>
            <w:tcW w:w="0" w:type="dxa"/>
            <w:vAlign w:val="bottom"/>
          </w:tcPr>
          <w:p>
            <w:pPr>
              <w:spacing w:after="0"/>
              <w:rPr>
                <w:sz w:val="1"/>
                <w:szCs w:val="1"/>
                <w:color w:val="auto"/>
              </w:rPr>
            </w:pPr>
          </w:p>
        </w:tc>
      </w:tr>
      <w:tr>
        <w:trPr>
          <w:trHeight w:val="257"/>
        </w:trPr>
        <w:tc>
          <w:tcPr>
            <w:tcW w:w="1840" w:type="dxa"/>
            <w:vAlign w:val="bottom"/>
            <w:tcBorders>
              <w:right w:val="single" w:sz="8" w:color="D64000"/>
            </w:tcBorders>
          </w:tcPr>
          <w:p>
            <w:pPr>
              <w:spacing w:after="0"/>
              <w:rPr>
                <w:sz w:val="20"/>
                <w:szCs w:val="20"/>
                <w:color w:val="auto"/>
              </w:rPr>
            </w:pPr>
            <w:r>
              <w:rPr>
                <w:rFonts w:ascii="Arial" w:cs="Arial" w:eastAsia="Arial" w:hAnsi="Arial"/>
                <w:sz w:val="17"/>
                <w:szCs w:val="17"/>
                <w:color w:val="D64000"/>
              </w:rPr>
              <w:t>•</w:t>
            </w:r>
            <w:r>
              <w:rPr>
                <w:rFonts w:ascii="Arial" w:cs="Arial" w:eastAsia="Arial" w:hAnsi="Arial"/>
                <w:sz w:val="17"/>
                <w:szCs w:val="17"/>
                <w:color w:val="000000"/>
              </w:rPr>
              <w:t xml:space="preserve">   Currently our “Big 3”</w:t>
            </w:r>
          </w:p>
        </w:tc>
        <w:tc>
          <w:tcPr>
            <w:tcW w:w="2020" w:type="dxa"/>
            <w:vAlign w:val="bottom"/>
          </w:tcPr>
          <w:p>
            <w:pPr>
              <w:ind w:left="160"/>
              <w:spacing w:after="0"/>
              <w:rPr>
                <w:sz w:val="20"/>
                <w:szCs w:val="20"/>
                <w:color w:val="auto"/>
              </w:rPr>
            </w:pPr>
            <w:r>
              <w:rPr>
                <w:rFonts w:ascii="Arial" w:cs="Arial" w:eastAsia="Arial" w:hAnsi="Arial"/>
                <w:sz w:val="17"/>
                <w:szCs w:val="17"/>
                <w:color w:val="D64000"/>
              </w:rPr>
              <w:t>•</w:t>
            </w:r>
            <w:r>
              <w:rPr>
                <w:rFonts w:ascii="Arial" w:cs="Arial" w:eastAsia="Arial" w:hAnsi="Arial"/>
                <w:sz w:val="17"/>
                <w:szCs w:val="17"/>
                <w:color w:val="000000"/>
              </w:rPr>
              <w:t xml:space="preserve">   A leader in key Legal</w:t>
            </w:r>
          </w:p>
        </w:tc>
        <w:tc>
          <w:tcPr>
            <w:tcW w:w="0" w:type="dxa"/>
            <w:vAlign w:val="bottom"/>
          </w:tcPr>
          <w:p>
            <w:pPr>
              <w:spacing w:after="0"/>
              <w:rPr>
                <w:sz w:val="1"/>
                <w:szCs w:val="1"/>
                <w:color w:val="auto"/>
              </w:rPr>
            </w:pPr>
          </w:p>
        </w:tc>
      </w:tr>
      <w:tr>
        <w:trPr>
          <w:trHeight w:val="186"/>
        </w:trPr>
        <w:tc>
          <w:tcPr>
            <w:tcW w:w="1840" w:type="dxa"/>
            <w:vAlign w:val="bottom"/>
            <w:tcBorders>
              <w:right w:val="single" w:sz="8" w:color="D64000"/>
            </w:tcBorders>
          </w:tcPr>
          <w:p>
            <w:pPr>
              <w:ind w:left="180"/>
              <w:spacing w:after="0" w:line="185" w:lineRule="exact"/>
              <w:rPr>
                <w:sz w:val="20"/>
                <w:szCs w:val="20"/>
                <w:color w:val="auto"/>
              </w:rPr>
            </w:pPr>
            <w:r>
              <w:rPr>
                <w:rFonts w:ascii="Arial" w:cs="Arial" w:eastAsia="Arial" w:hAnsi="Arial"/>
                <w:sz w:val="17"/>
                <w:szCs w:val="17"/>
                <w:color w:val="auto"/>
              </w:rPr>
              <w:t>segments operate in</w:t>
            </w:r>
          </w:p>
        </w:tc>
        <w:tc>
          <w:tcPr>
            <w:tcW w:w="2020" w:type="dxa"/>
            <w:vAlign w:val="bottom"/>
          </w:tcPr>
          <w:p>
            <w:pPr>
              <w:ind w:left="340"/>
              <w:spacing w:after="0" w:line="185" w:lineRule="exact"/>
              <w:rPr>
                <w:sz w:val="20"/>
                <w:szCs w:val="20"/>
                <w:color w:val="auto"/>
              </w:rPr>
            </w:pPr>
            <w:r>
              <w:rPr>
                <w:rFonts w:ascii="Arial" w:cs="Arial" w:eastAsia="Arial" w:hAnsi="Arial"/>
                <w:sz w:val="17"/>
                <w:szCs w:val="17"/>
                <w:color w:val="auto"/>
              </w:rPr>
              <w:t>Professionals,</w:t>
            </w:r>
          </w:p>
        </w:tc>
        <w:tc>
          <w:tcPr>
            <w:tcW w:w="0" w:type="dxa"/>
            <w:vAlign w:val="bottom"/>
          </w:tcPr>
          <w:p>
            <w:pPr>
              <w:spacing w:after="0"/>
              <w:rPr>
                <w:sz w:val="1"/>
                <w:szCs w:val="1"/>
                <w:color w:val="auto"/>
              </w:rPr>
            </w:pPr>
          </w:p>
        </w:tc>
      </w:tr>
      <w:tr>
        <w:trPr>
          <w:trHeight w:val="185"/>
        </w:trPr>
        <w:tc>
          <w:tcPr>
            <w:tcW w:w="1840" w:type="dxa"/>
            <w:vAlign w:val="bottom"/>
            <w:tcBorders>
              <w:right w:val="single" w:sz="8" w:color="D64000"/>
            </w:tcBorders>
          </w:tcPr>
          <w:p>
            <w:pPr>
              <w:ind w:left="180"/>
              <w:spacing w:after="0" w:line="185" w:lineRule="exact"/>
              <w:rPr>
                <w:sz w:val="20"/>
                <w:szCs w:val="20"/>
                <w:color w:val="auto"/>
              </w:rPr>
            </w:pPr>
            <w:r>
              <w:rPr>
                <w:rFonts w:ascii="Arial" w:cs="Arial" w:eastAsia="Arial" w:hAnsi="Arial"/>
                <w:sz w:val="17"/>
                <w:szCs w:val="17"/>
                <w:color w:val="auto"/>
              </w:rPr>
              <w:t>an estimated</w:t>
            </w:r>
          </w:p>
        </w:tc>
        <w:tc>
          <w:tcPr>
            <w:tcW w:w="2020" w:type="dxa"/>
            <w:vAlign w:val="bottom"/>
          </w:tcPr>
          <w:p>
            <w:pPr>
              <w:ind w:left="340"/>
              <w:spacing w:after="0" w:line="185" w:lineRule="exact"/>
              <w:rPr>
                <w:sz w:val="20"/>
                <w:szCs w:val="20"/>
                <w:color w:val="auto"/>
              </w:rPr>
            </w:pPr>
            <w:r>
              <w:rPr>
                <w:rFonts w:ascii="Arial" w:cs="Arial" w:eastAsia="Arial" w:hAnsi="Arial"/>
                <w:sz w:val="17"/>
                <w:szCs w:val="17"/>
                <w:color w:val="auto"/>
              </w:rPr>
              <w:t>Corporates, Tax &amp;</w:t>
            </w:r>
          </w:p>
        </w:tc>
        <w:tc>
          <w:tcPr>
            <w:tcW w:w="0" w:type="dxa"/>
            <w:vAlign w:val="bottom"/>
          </w:tcPr>
          <w:p>
            <w:pPr>
              <w:spacing w:after="0"/>
              <w:rPr>
                <w:sz w:val="1"/>
                <w:szCs w:val="1"/>
                <w:color w:val="auto"/>
              </w:rPr>
            </w:pPr>
          </w:p>
        </w:tc>
      </w:tr>
      <w:tr>
        <w:trPr>
          <w:trHeight w:val="186"/>
        </w:trPr>
        <w:tc>
          <w:tcPr>
            <w:tcW w:w="1840" w:type="dxa"/>
            <w:vAlign w:val="bottom"/>
            <w:tcBorders>
              <w:right w:val="single" w:sz="8" w:color="D64000"/>
            </w:tcBorders>
          </w:tcPr>
          <w:p>
            <w:pPr>
              <w:ind w:left="180"/>
              <w:spacing w:after="0" w:line="185" w:lineRule="exact"/>
              <w:rPr>
                <w:sz w:val="20"/>
                <w:szCs w:val="20"/>
                <w:color w:val="auto"/>
              </w:rPr>
            </w:pPr>
            <w:r>
              <w:rPr>
                <w:rFonts w:ascii="Arial" w:cs="Arial" w:eastAsia="Arial" w:hAnsi="Arial"/>
                <w:sz w:val="17"/>
                <w:szCs w:val="17"/>
                <w:color w:val="auto"/>
              </w:rPr>
              <w:t>$28 billion market</w:t>
            </w:r>
          </w:p>
        </w:tc>
        <w:tc>
          <w:tcPr>
            <w:tcW w:w="2020" w:type="dxa"/>
            <w:vAlign w:val="bottom"/>
          </w:tcPr>
          <w:p>
            <w:pPr>
              <w:ind w:left="340"/>
              <w:spacing w:after="0" w:line="185" w:lineRule="exact"/>
              <w:rPr>
                <w:sz w:val="20"/>
                <w:szCs w:val="20"/>
                <w:color w:val="auto"/>
              </w:rPr>
            </w:pPr>
            <w:r>
              <w:rPr>
                <w:rFonts w:ascii="Arial" w:cs="Arial" w:eastAsia="Arial" w:hAnsi="Arial"/>
                <w:sz w:val="17"/>
                <w:szCs w:val="17"/>
                <w:color w:val="auto"/>
              </w:rPr>
              <w:t>Accounting</w:t>
            </w:r>
          </w:p>
        </w:tc>
        <w:tc>
          <w:tcPr>
            <w:tcW w:w="0" w:type="dxa"/>
            <w:vAlign w:val="bottom"/>
          </w:tcPr>
          <w:p>
            <w:pPr>
              <w:spacing w:after="0"/>
              <w:rPr>
                <w:sz w:val="1"/>
                <w:szCs w:val="1"/>
                <w:color w:val="auto"/>
              </w:rPr>
            </w:pPr>
          </w:p>
        </w:tc>
      </w:tr>
      <w:tr>
        <w:trPr>
          <w:trHeight w:val="186"/>
        </w:trPr>
        <w:tc>
          <w:tcPr>
            <w:tcW w:w="1840" w:type="dxa"/>
            <w:vAlign w:val="bottom"/>
            <w:tcBorders>
              <w:right w:val="single" w:sz="8" w:color="D64000"/>
            </w:tcBorders>
          </w:tcPr>
          <w:p>
            <w:pPr>
              <w:ind w:left="180"/>
              <w:spacing w:after="0" w:line="185" w:lineRule="exact"/>
              <w:rPr>
                <w:sz w:val="20"/>
                <w:szCs w:val="20"/>
                <w:color w:val="auto"/>
              </w:rPr>
            </w:pPr>
            <w:r>
              <w:rPr>
                <w:rFonts w:ascii="Arial" w:cs="Arial" w:eastAsia="Arial" w:hAnsi="Arial"/>
                <w:sz w:val="17"/>
                <w:szCs w:val="17"/>
                <w:color w:val="auto"/>
              </w:rPr>
              <w:t>expected to grow</w:t>
            </w:r>
          </w:p>
        </w:tc>
        <w:tc>
          <w:tcPr>
            <w:tcW w:w="2020" w:type="dxa"/>
            <w:vAlign w:val="bottom"/>
          </w:tcPr>
          <w:p>
            <w:pPr>
              <w:ind w:left="340"/>
              <w:spacing w:after="0" w:line="185" w:lineRule="exact"/>
              <w:rPr>
                <w:sz w:val="20"/>
                <w:szCs w:val="20"/>
                <w:color w:val="auto"/>
              </w:rPr>
            </w:pPr>
            <w:r>
              <w:rPr>
                <w:rFonts w:ascii="Arial" w:cs="Arial" w:eastAsia="Arial" w:hAnsi="Arial"/>
                <w:sz w:val="17"/>
                <w:szCs w:val="17"/>
                <w:color w:val="auto"/>
              </w:rPr>
              <w:t>Professionals and</w:t>
            </w:r>
          </w:p>
        </w:tc>
        <w:tc>
          <w:tcPr>
            <w:tcW w:w="0" w:type="dxa"/>
            <w:vAlign w:val="bottom"/>
          </w:tcPr>
          <w:p>
            <w:pPr>
              <w:spacing w:after="0"/>
              <w:rPr>
                <w:sz w:val="1"/>
                <w:szCs w:val="1"/>
                <w:color w:val="auto"/>
              </w:rPr>
            </w:pPr>
          </w:p>
        </w:tc>
      </w:tr>
      <w:tr>
        <w:trPr>
          <w:trHeight w:val="185"/>
        </w:trPr>
        <w:tc>
          <w:tcPr>
            <w:tcW w:w="1840" w:type="dxa"/>
            <w:vAlign w:val="bottom"/>
            <w:tcBorders>
              <w:right w:val="single" w:sz="8" w:color="D64000"/>
            </w:tcBorders>
          </w:tcPr>
          <w:p>
            <w:pPr>
              <w:ind w:left="180"/>
              <w:spacing w:after="0" w:line="185" w:lineRule="exact"/>
              <w:rPr>
                <w:sz w:val="20"/>
                <w:szCs w:val="20"/>
                <w:color w:val="auto"/>
              </w:rPr>
            </w:pPr>
            <w:r>
              <w:rPr>
                <w:rFonts w:ascii="Arial" w:cs="Arial" w:eastAsia="Arial" w:hAnsi="Arial"/>
                <w:sz w:val="17"/>
                <w:szCs w:val="17"/>
                <w:color w:val="auto"/>
                <w:w w:val="97"/>
              </w:rPr>
              <w:t>between 8% and 11%</w:t>
            </w:r>
          </w:p>
        </w:tc>
        <w:tc>
          <w:tcPr>
            <w:tcW w:w="2020" w:type="dxa"/>
            <w:vAlign w:val="bottom"/>
          </w:tcPr>
          <w:p>
            <w:pPr>
              <w:ind w:left="340"/>
              <w:spacing w:after="0" w:line="185" w:lineRule="exact"/>
              <w:rPr>
                <w:sz w:val="20"/>
                <w:szCs w:val="20"/>
                <w:color w:val="auto"/>
              </w:rPr>
            </w:pPr>
            <w:r>
              <w:rPr>
                <w:rFonts w:ascii="Arial" w:cs="Arial" w:eastAsia="Arial" w:hAnsi="Arial"/>
                <w:sz w:val="17"/>
                <w:szCs w:val="17"/>
                <w:color w:val="auto"/>
              </w:rPr>
              <w:t>News segments</w:t>
            </w:r>
          </w:p>
        </w:tc>
        <w:tc>
          <w:tcPr>
            <w:tcW w:w="0" w:type="dxa"/>
            <w:vAlign w:val="bottom"/>
          </w:tcPr>
          <w:p>
            <w:pPr>
              <w:spacing w:after="0"/>
              <w:rPr>
                <w:sz w:val="1"/>
                <w:szCs w:val="1"/>
                <w:color w:val="auto"/>
              </w:rPr>
            </w:pPr>
          </w:p>
        </w:tc>
      </w:tr>
      <w:tr>
        <w:trPr>
          <w:trHeight w:val="222"/>
        </w:trPr>
        <w:tc>
          <w:tcPr>
            <w:tcW w:w="1840" w:type="dxa"/>
            <w:vAlign w:val="bottom"/>
            <w:tcBorders>
              <w:right w:val="single" w:sz="8" w:color="D64000"/>
            </w:tcBorders>
          </w:tcPr>
          <w:p>
            <w:pPr>
              <w:ind w:left="180"/>
              <w:spacing w:after="0"/>
              <w:rPr>
                <w:sz w:val="20"/>
                <w:szCs w:val="20"/>
                <w:color w:val="auto"/>
              </w:rPr>
            </w:pPr>
            <w:r>
              <w:rPr>
                <w:rFonts w:ascii="Arial" w:cs="Arial" w:eastAsia="Arial" w:hAnsi="Arial"/>
                <w:sz w:val="17"/>
                <w:szCs w:val="17"/>
                <w:color w:val="auto"/>
              </w:rPr>
              <w:t>over the next 5 years</w:t>
            </w:r>
          </w:p>
        </w:tc>
        <w:tc>
          <w:tcPr>
            <w:tcW w:w="2020" w:type="dxa"/>
            <w:vAlign w:val="bottom"/>
            <w:vMerge w:val="restart"/>
          </w:tcPr>
          <w:p>
            <w:pPr>
              <w:ind w:left="160"/>
              <w:spacing w:after="0"/>
              <w:rPr>
                <w:sz w:val="20"/>
                <w:szCs w:val="20"/>
                <w:color w:val="auto"/>
              </w:rPr>
            </w:pPr>
            <w:r>
              <w:rPr>
                <w:rFonts w:ascii="Arial" w:cs="Arial" w:eastAsia="Arial" w:hAnsi="Arial"/>
                <w:sz w:val="17"/>
                <w:szCs w:val="17"/>
                <w:color w:val="D64000"/>
              </w:rPr>
              <w:t>•</w:t>
            </w:r>
            <w:r>
              <w:rPr>
                <w:rFonts w:ascii="Arial" w:cs="Arial" w:eastAsia="Arial" w:hAnsi="Arial"/>
                <w:sz w:val="17"/>
                <w:szCs w:val="17"/>
                <w:color w:val="000000"/>
              </w:rPr>
              <w:t xml:space="preserve">   Resilient businesses,</w:t>
            </w:r>
          </w:p>
        </w:tc>
        <w:tc>
          <w:tcPr>
            <w:tcW w:w="0" w:type="dxa"/>
            <w:vAlign w:val="bottom"/>
          </w:tcPr>
          <w:p>
            <w:pPr>
              <w:spacing w:after="0"/>
              <w:rPr>
                <w:sz w:val="1"/>
                <w:szCs w:val="1"/>
                <w:color w:val="auto"/>
              </w:rPr>
            </w:pPr>
          </w:p>
        </w:tc>
      </w:tr>
      <w:tr>
        <w:trPr>
          <w:trHeight w:val="43"/>
        </w:trPr>
        <w:tc>
          <w:tcPr>
            <w:tcW w:w="1840" w:type="dxa"/>
            <w:vAlign w:val="bottom"/>
            <w:tcBorders>
              <w:right w:val="single" w:sz="8" w:color="D64000"/>
            </w:tcBorders>
          </w:tcPr>
          <w:p>
            <w:pPr>
              <w:spacing w:after="0"/>
              <w:rPr>
                <w:sz w:val="3"/>
                <w:szCs w:val="3"/>
                <w:color w:val="auto"/>
              </w:rPr>
            </w:pPr>
          </w:p>
        </w:tc>
        <w:tc>
          <w:tcPr>
            <w:tcW w:w="2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840" w:type="dxa"/>
            <w:vAlign w:val="bottom"/>
            <w:tcBorders>
              <w:right w:val="single" w:sz="8" w:color="D64000"/>
            </w:tcBorders>
          </w:tcPr>
          <w:p>
            <w:pPr>
              <w:spacing w:after="0" w:line="185" w:lineRule="exact"/>
              <w:rPr>
                <w:sz w:val="20"/>
                <w:szCs w:val="20"/>
                <w:color w:val="auto"/>
              </w:rPr>
            </w:pPr>
            <w:r>
              <w:rPr>
                <w:rFonts w:ascii="Arial" w:cs="Arial" w:eastAsia="Arial" w:hAnsi="Arial"/>
                <w:sz w:val="17"/>
                <w:szCs w:val="17"/>
                <w:color w:val="D64000"/>
              </w:rPr>
              <w:t>•</w:t>
            </w:r>
            <w:r>
              <w:rPr>
                <w:rFonts w:ascii="Arial" w:cs="Arial" w:eastAsia="Arial" w:hAnsi="Arial"/>
                <w:sz w:val="17"/>
                <w:szCs w:val="17"/>
                <w:color w:val="000000"/>
              </w:rPr>
              <w:t xml:space="preserve">   Legal, Tax &amp; Risk</w:t>
            </w:r>
          </w:p>
        </w:tc>
        <w:tc>
          <w:tcPr>
            <w:tcW w:w="2020" w:type="dxa"/>
            <w:vAlign w:val="bottom"/>
          </w:tcPr>
          <w:p>
            <w:pPr>
              <w:ind w:left="340"/>
              <w:spacing w:after="0" w:line="185" w:lineRule="exact"/>
              <w:rPr>
                <w:sz w:val="20"/>
                <w:szCs w:val="20"/>
                <w:color w:val="auto"/>
              </w:rPr>
            </w:pPr>
            <w:r>
              <w:rPr>
                <w:rFonts w:ascii="Arial" w:cs="Arial" w:eastAsia="Arial" w:hAnsi="Arial"/>
                <w:sz w:val="17"/>
                <w:szCs w:val="17"/>
                <w:color w:val="auto"/>
              </w:rPr>
              <w:t>historically stable,</w:t>
            </w:r>
          </w:p>
        </w:tc>
        <w:tc>
          <w:tcPr>
            <w:tcW w:w="0" w:type="dxa"/>
            <w:vAlign w:val="bottom"/>
          </w:tcPr>
          <w:p>
            <w:pPr>
              <w:spacing w:after="0"/>
              <w:rPr>
                <w:sz w:val="1"/>
                <w:szCs w:val="1"/>
                <w:color w:val="auto"/>
              </w:rPr>
            </w:pPr>
          </w:p>
        </w:tc>
      </w:tr>
      <w:tr>
        <w:trPr>
          <w:trHeight w:val="185"/>
        </w:trPr>
        <w:tc>
          <w:tcPr>
            <w:tcW w:w="1840" w:type="dxa"/>
            <w:vAlign w:val="bottom"/>
            <w:tcBorders>
              <w:right w:val="single" w:sz="8" w:color="D64000"/>
            </w:tcBorders>
          </w:tcPr>
          <w:p>
            <w:pPr>
              <w:ind w:left="180"/>
              <w:spacing w:after="0" w:line="185" w:lineRule="exact"/>
              <w:rPr>
                <w:sz w:val="20"/>
                <w:szCs w:val="20"/>
                <w:color w:val="auto"/>
              </w:rPr>
            </w:pPr>
            <w:r>
              <w:rPr>
                <w:rFonts w:ascii="Arial" w:cs="Arial" w:eastAsia="Arial" w:hAnsi="Arial"/>
                <w:sz w:val="17"/>
                <w:szCs w:val="17"/>
                <w:color w:val="auto"/>
              </w:rPr>
              <w:t>markets are prime for</w:t>
            </w:r>
          </w:p>
        </w:tc>
        <w:tc>
          <w:tcPr>
            <w:tcW w:w="2020" w:type="dxa"/>
            <w:vAlign w:val="bottom"/>
          </w:tcPr>
          <w:p>
            <w:pPr>
              <w:ind w:left="340"/>
              <w:spacing w:after="0" w:line="185" w:lineRule="exact"/>
              <w:rPr>
                <w:sz w:val="20"/>
                <w:szCs w:val="20"/>
                <w:color w:val="auto"/>
              </w:rPr>
            </w:pPr>
            <w:r>
              <w:rPr>
                <w:rFonts w:ascii="Arial" w:cs="Arial" w:eastAsia="Arial" w:hAnsi="Arial"/>
                <w:sz w:val="17"/>
                <w:szCs w:val="17"/>
                <w:color w:val="auto"/>
              </w:rPr>
              <w:t>through periods of</w:t>
            </w:r>
          </w:p>
        </w:tc>
        <w:tc>
          <w:tcPr>
            <w:tcW w:w="0" w:type="dxa"/>
            <w:vAlign w:val="bottom"/>
          </w:tcPr>
          <w:p>
            <w:pPr>
              <w:spacing w:after="0"/>
              <w:rPr>
                <w:sz w:val="1"/>
                <w:szCs w:val="1"/>
                <w:color w:val="auto"/>
              </w:rPr>
            </w:pPr>
          </w:p>
        </w:tc>
      </w:tr>
      <w:tr>
        <w:trPr>
          <w:trHeight w:val="186"/>
        </w:trPr>
        <w:tc>
          <w:tcPr>
            <w:tcW w:w="1840" w:type="dxa"/>
            <w:vAlign w:val="bottom"/>
            <w:tcBorders>
              <w:right w:val="single" w:sz="8" w:color="D64000"/>
            </w:tcBorders>
          </w:tcPr>
          <w:p>
            <w:pPr>
              <w:ind w:left="180"/>
              <w:spacing w:after="0" w:line="185" w:lineRule="exact"/>
              <w:rPr>
                <w:sz w:val="20"/>
                <w:szCs w:val="20"/>
                <w:color w:val="auto"/>
              </w:rPr>
            </w:pPr>
            <w:r>
              <w:rPr>
                <w:rFonts w:ascii="Arial" w:cs="Arial" w:eastAsia="Arial" w:hAnsi="Arial"/>
                <w:sz w:val="17"/>
                <w:szCs w:val="17"/>
                <w:color w:val="auto"/>
              </w:rPr>
              <w:t>content-driven</w:t>
            </w:r>
          </w:p>
        </w:tc>
        <w:tc>
          <w:tcPr>
            <w:tcW w:w="2020" w:type="dxa"/>
            <w:vAlign w:val="bottom"/>
          </w:tcPr>
          <w:p>
            <w:pPr>
              <w:ind w:left="340"/>
              <w:spacing w:after="0" w:line="185" w:lineRule="exact"/>
              <w:rPr>
                <w:sz w:val="20"/>
                <w:szCs w:val="20"/>
                <w:color w:val="auto"/>
              </w:rPr>
            </w:pPr>
            <w:r>
              <w:rPr>
                <w:rFonts w:ascii="Arial" w:cs="Arial" w:eastAsia="Arial" w:hAnsi="Arial"/>
                <w:sz w:val="17"/>
                <w:szCs w:val="17"/>
                <w:color w:val="auto"/>
              </w:rPr>
              <w:t>macroeconomic</w:t>
            </w:r>
          </w:p>
        </w:tc>
        <w:tc>
          <w:tcPr>
            <w:tcW w:w="0" w:type="dxa"/>
            <w:vAlign w:val="bottom"/>
          </w:tcPr>
          <w:p>
            <w:pPr>
              <w:spacing w:after="0"/>
              <w:rPr>
                <w:sz w:val="1"/>
                <w:szCs w:val="1"/>
                <w:color w:val="auto"/>
              </w:rPr>
            </w:pPr>
          </w:p>
        </w:tc>
      </w:tr>
      <w:tr>
        <w:trPr>
          <w:trHeight w:val="222"/>
        </w:trPr>
        <w:tc>
          <w:tcPr>
            <w:tcW w:w="1840" w:type="dxa"/>
            <w:vAlign w:val="bottom"/>
            <w:tcBorders>
              <w:right w:val="single" w:sz="8" w:color="D64000"/>
            </w:tcBorders>
          </w:tcPr>
          <w:p>
            <w:pPr>
              <w:ind w:left="180"/>
              <w:spacing w:after="0"/>
              <w:rPr>
                <w:sz w:val="20"/>
                <w:szCs w:val="20"/>
                <w:color w:val="auto"/>
              </w:rPr>
            </w:pPr>
            <w:r>
              <w:rPr>
                <w:rFonts w:ascii="Arial" w:cs="Arial" w:eastAsia="Arial" w:hAnsi="Arial"/>
                <w:sz w:val="17"/>
                <w:szCs w:val="17"/>
                <w:color w:val="auto"/>
              </w:rPr>
              <w:t>innovation</w:t>
            </w:r>
          </w:p>
        </w:tc>
        <w:tc>
          <w:tcPr>
            <w:tcW w:w="2020" w:type="dxa"/>
            <w:vAlign w:val="bottom"/>
          </w:tcPr>
          <w:p>
            <w:pPr>
              <w:ind w:left="340"/>
              <w:spacing w:after="0"/>
              <w:rPr>
                <w:sz w:val="20"/>
                <w:szCs w:val="20"/>
                <w:color w:val="auto"/>
              </w:rPr>
            </w:pPr>
            <w:r>
              <w:rPr>
                <w:rFonts w:ascii="Arial" w:cs="Arial" w:eastAsia="Arial" w:hAnsi="Arial"/>
                <w:sz w:val="17"/>
                <w:szCs w:val="17"/>
                <w:color w:val="auto"/>
              </w:rPr>
              <w:t>uncertainty</w:t>
            </w:r>
          </w:p>
        </w:tc>
        <w:tc>
          <w:tcPr>
            <w:tcW w:w="0" w:type="dxa"/>
            <w:vAlign w:val="bottom"/>
          </w:tcPr>
          <w:p>
            <w:pPr>
              <w:spacing w:after="0"/>
              <w:rPr>
                <w:sz w:val="1"/>
                <w:szCs w:val="1"/>
                <w:color w:val="auto"/>
              </w:rPr>
            </w:pPr>
          </w:p>
        </w:tc>
      </w:tr>
      <w:tr>
        <w:trPr>
          <w:trHeight w:val="229"/>
        </w:trPr>
        <w:tc>
          <w:tcPr>
            <w:tcW w:w="1840" w:type="dxa"/>
            <w:vAlign w:val="bottom"/>
            <w:tcBorders>
              <w:right w:val="single" w:sz="8" w:color="D64000"/>
            </w:tcBorders>
          </w:tcPr>
          <w:p>
            <w:pPr>
              <w:spacing w:after="0"/>
              <w:rPr>
                <w:sz w:val="19"/>
                <w:szCs w:val="19"/>
                <w:color w:val="auto"/>
              </w:rPr>
            </w:pPr>
          </w:p>
        </w:tc>
        <w:tc>
          <w:tcPr>
            <w:tcW w:w="2020" w:type="dxa"/>
            <w:vAlign w:val="bottom"/>
          </w:tcPr>
          <w:p>
            <w:pPr>
              <w:jc w:val="center"/>
              <w:ind w:left="70"/>
              <w:spacing w:after="0"/>
              <w:rPr>
                <w:sz w:val="20"/>
                <w:szCs w:val="20"/>
                <w:color w:val="auto"/>
              </w:rPr>
            </w:pPr>
            <w:r>
              <w:rPr>
                <w:rFonts w:ascii="Arial" w:cs="Arial" w:eastAsia="Arial" w:hAnsi="Arial"/>
                <w:sz w:val="17"/>
                <w:szCs w:val="17"/>
                <w:color w:val="D64000"/>
                <w:w w:val="97"/>
              </w:rPr>
              <w:t>•</w:t>
            </w:r>
            <w:r>
              <w:rPr>
                <w:rFonts w:ascii="Arial" w:cs="Arial" w:eastAsia="Arial" w:hAnsi="Arial"/>
                <w:sz w:val="17"/>
                <w:szCs w:val="17"/>
                <w:color w:val="000000"/>
                <w:w w:val="97"/>
              </w:rPr>
              <w:t xml:space="preserve">   Approximately 450,000</w:t>
            </w:r>
          </w:p>
        </w:tc>
        <w:tc>
          <w:tcPr>
            <w:tcW w:w="0" w:type="dxa"/>
            <w:vAlign w:val="bottom"/>
          </w:tcPr>
          <w:p>
            <w:pPr>
              <w:spacing w:after="0"/>
              <w:rPr>
                <w:sz w:val="1"/>
                <w:szCs w:val="1"/>
                <w:color w:val="auto"/>
              </w:rPr>
            </w:pPr>
          </w:p>
        </w:tc>
      </w:tr>
      <w:tr>
        <w:trPr>
          <w:trHeight w:val="186"/>
        </w:trPr>
        <w:tc>
          <w:tcPr>
            <w:tcW w:w="1840" w:type="dxa"/>
            <w:vAlign w:val="bottom"/>
            <w:tcBorders>
              <w:right w:val="single" w:sz="8" w:color="D64000"/>
            </w:tcBorders>
          </w:tcPr>
          <w:p>
            <w:pPr>
              <w:spacing w:after="0"/>
              <w:rPr>
                <w:sz w:val="16"/>
                <w:szCs w:val="16"/>
                <w:color w:val="auto"/>
              </w:rPr>
            </w:pPr>
          </w:p>
        </w:tc>
        <w:tc>
          <w:tcPr>
            <w:tcW w:w="2020" w:type="dxa"/>
            <w:vAlign w:val="bottom"/>
          </w:tcPr>
          <w:p>
            <w:pPr>
              <w:ind w:left="340"/>
              <w:spacing w:after="0" w:line="185" w:lineRule="exact"/>
              <w:rPr>
                <w:sz w:val="20"/>
                <w:szCs w:val="20"/>
                <w:color w:val="auto"/>
              </w:rPr>
            </w:pPr>
            <w:r>
              <w:rPr>
                <w:rFonts w:ascii="Arial" w:cs="Arial" w:eastAsia="Arial" w:hAnsi="Arial"/>
                <w:sz w:val="17"/>
                <w:szCs w:val="17"/>
                <w:color w:val="auto"/>
              </w:rPr>
              <w:t>customers; largest</w:t>
            </w:r>
          </w:p>
        </w:tc>
        <w:tc>
          <w:tcPr>
            <w:tcW w:w="0" w:type="dxa"/>
            <w:vAlign w:val="bottom"/>
          </w:tcPr>
          <w:p>
            <w:pPr>
              <w:spacing w:after="0"/>
              <w:rPr>
                <w:sz w:val="1"/>
                <w:szCs w:val="1"/>
                <w:color w:val="auto"/>
              </w:rPr>
            </w:pPr>
          </w:p>
        </w:tc>
      </w:tr>
      <w:tr>
        <w:trPr>
          <w:trHeight w:val="186"/>
        </w:trPr>
        <w:tc>
          <w:tcPr>
            <w:tcW w:w="1840" w:type="dxa"/>
            <w:vAlign w:val="bottom"/>
            <w:tcBorders>
              <w:right w:val="single" w:sz="8" w:color="D64000"/>
            </w:tcBorders>
          </w:tcPr>
          <w:p>
            <w:pPr>
              <w:spacing w:after="0"/>
              <w:rPr>
                <w:sz w:val="16"/>
                <w:szCs w:val="16"/>
                <w:color w:val="auto"/>
              </w:rPr>
            </w:pPr>
          </w:p>
        </w:tc>
        <w:tc>
          <w:tcPr>
            <w:tcW w:w="2020" w:type="dxa"/>
            <w:vAlign w:val="bottom"/>
          </w:tcPr>
          <w:p>
            <w:pPr>
              <w:ind w:left="340"/>
              <w:spacing w:after="0" w:line="185" w:lineRule="exact"/>
              <w:rPr>
                <w:sz w:val="20"/>
                <w:szCs w:val="20"/>
                <w:color w:val="auto"/>
              </w:rPr>
            </w:pPr>
            <w:r>
              <w:rPr>
                <w:rFonts w:ascii="Arial" w:cs="Arial" w:eastAsia="Arial" w:hAnsi="Arial"/>
                <w:sz w:val="17"/>
                <w:szCs w:val="17"/>
                <w:color w:val="auto"/>
              </w:rPr>
              <w:t>customer is</w:t>
            </w:r>
          </w:p>
        </w:tc>
        <w:tc>
          <w:tcPr>
            <w:tcW w:w="0" w:type="dxa"/>
            <w:vAlign w:val="bottom"/>
          </w:tcPr>
          <w:p>
            <w:pPr>
              <w:spacing w:after="0"/>
              <w:rPr>
                <w:sz w:val="1"/>
                <w:szCs w:val="1"/>
                <w:color w:val="auto"/>
              </w:rPr>
            </w:pPr>
          </w:p>
        </w:tc>
      </w:tr>
      <w:tr>
        <w:trPr>
          <w:trHeight w:val="185"/>
        </w:trPr>
        <w:tc>
          <w:tcPr>
            <w:tcW w:w="1840" w:type="dxa"/>
            <w:vAlign w:val="bottom"/>
            <w:tcBorders>
              <w:right w:val="single" w:sz="8" w:color="D64000"/>
            </w:tcBorders>
          </w:tcPr>
          <w:p>
            <w:pPr>
              <w:spacing w:after="0"/>
              <w:rPr>
                <w:sz w:val="16"/>
                <w:szCs w:val="16"/>
                <w:color w:val="auto"/>
              </w:rPr>
            </w:pPr>
          </w:p>
        </w:tc>
        <w:tc>
          <w:tcPr>
            <w:tcW w:w="2020" w:type="dxa"/>
            <w:vAlign w:val="bottom"/>
          </w:tcPr>
          <w:p>
            <w:pPr>
              <w:ind w:left="340"/>
              <w:spacing w:after="0" w:line="185" w:lineRule="exact"/>
              <w:rPr>
                <w:sz w:val="20"/>
                <w:szCs w:val="20"/>
                <w:color w:val="auto"/>
              </w:rPr>
            </w:pPr>
            <w:r>
              <w:rPr>
                <w:rFonts w:ascii="Arial" w:cs="Arial" w:eastAsia="Arial" w:hAnsi="Arial"/>
                <w:sz w:val="17"/>
                <w:szCs w:val="17"/>
                <w:color w:val="auto"/>
              </w:rPr>
              <w:t>approximately 5% of</w:t>
            </w:r>
          </w:p>
        </w:tc>
        <w:tc>
          <w:tcPr>
            <w:tcW w:w="0" w:type="dxa"/>
            <w:vAlign w:val="bottom"/>
          </w:tcPr>
          <w:p>
            <w:pPr>
              <w:spacing w:after="0"/>
              <w:rPr>
                <w:sz w:val="1"/>
                <w:szCs w:val="1"/>
                <w:color w:val="auto"/>
              </w:rPr>
            </w:pPr>
          </w:p>
        </w:tc>
      </w:tr>
      <w:tr>
        <w:trPr>
          <w:trHeight w:val="221"/>
        </w:trPr>
        <w:tc>
          <w:tcPr>
            <w:tcW w:w="1840" w:type="dxa"/>
            <w:vAlign w:val="bottom"/>
            <w:tcBorders>
              <w:right w:val="single" w:sz="8" w:color="D64000"/>
            </w:tcBorders>
          </w:tcPr>
          <w:p>
            <w:pPr>
              <w:spacing w:after="0"/>
              <w:rPr>
                <w:sz w:val="19"/>
                <w:szCs w:val="19"/>
                <w:color w:val="auto"/>
              </w:rPr>
            </w:pPr>
          </w:p>
        </w:tc>
        <w:tc>
          <w:tcPr>
            <w:tcW w:w="2020" w:type="dxa"/>
            <w:vAlign w:val="bottom"/>
          </w:tcPr>
          <w:p>
            <w:pPr>
              <w:ind w:left="340"/>
              <w:spacing w:after="0"/>
              <w:rPr>
                <w:sz w:val="20"/>
                <w:szCs w:val="20"/>
                <w:color w:val="auto"/>
              </w:rPr>
            </w:pPr>
            <w:r>
              <w:rPr>
                <w:rFonts w:ascii="Arial" w:cs="Arial" w:eastAsia="Arial" w:hAnsi="Arial"/>
                <w:sz w:val="17"/>
                <w:szCs w:val="17"/>
                <w:color w:val="auto"/>
              </w:rPr>
              <w:t>revenues*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-2624455</wp:posOffset>
            </wp:positionV>
            <wp:extent cx="8255" cy="26250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2625090"/>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-2624455</wp:posOffset>
            </wp:positionV>
            <wp:extent cx="8255" cy="26250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2625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D64000"/>
        </w:rPr>
        <w:t>Attractive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D64000"/>
        </w:rPr>
        <w:t>Business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D64000"/>
        </w:rPr>
        <w:t>Model</w:t>
      </w:r>
    </w:p>
    <w:p>
      <w:pPr>
        <w:spacing w:after="0" w:line="100" w:lineRule="exact"/>
        <w:rPr>
          <w:sz w:val="20"/>
          <w:szCs w:val="20"/>
          <w:color w:val="auto"/>
        </w:rPr>
      </w:pPr>
    </w:p>
    <w:p>
      <w:pPr>
        <w:ind w:left="20" w:hanging="175"/>
        <w:spacing w:after="0" w:line="291" w:lineRule="auto"/>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 81% of revenues were</w:t>
      </w:r>
      <w:r>
        <w:rPr>
          <w:rFonts w:ascii="Arial" w:cs="Arial" w:eastAsia="Arial" w:hAnsi="Arial"/>
          <w:sz w:val="16"/>
          <w:szCs w:val="16"/>
          <w:color w:val="D64000"/>
        </w:rPr>
        <w:t xml:space="preserve"> </w:t>
      </w:r>
      <w:r>
        <w:rPr>
          <w:rFonts w:ascii="Arial" w:cs="Arial" w:eastAsia="Arial" w:hAnsi="Arial"/>
          <w:sz w:val="16"/>
          <w:szCs w:val="16"/>
          <w:color w:val="000000"/>
        </w:rPr>
        <w:t>recurring in 2024</w:t>
      </w:r>
    </w:p>
    <w:p>
      <w:pPr>
        <w:spacing w:after="0" w:line="4" w:lineRule="exact"/>
        <w:rPr>
          <w:sz w:val="20"/>
          <w:szCs w:val="20"/>
          <w:color w:val="auto"/>
        </w:rPr>
      </w:pPr>
    </w:p>
    <w:p>
      <w:pPr>
        <w:ind w:left="20" w:right="100" w:hanging="175"/>
        <w:spacing w:after="0" w:line="266" w:lineRule="auto"/>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 Fixed cost model</w:t>
      </w:r>
      <w:r>
        <w:rPr>
          <w:rFonts w:ascii="Arial" w:cs="Arial" w:eastAsia="Arial" w:hAnsi="Arial"/>
          <w:sz w:val="16"/>
          <w:szCs w:val="16"/>
          <w:color w:val="D64000"/>
        </w:rPr>
        <w:t xml:space="preserve"> </w:t>
      </w:r>
      <w:r>
        <w:rPr>
          <w:rFonts w:ascii="Arial" w:cs="Arial" w:eastAsia="Arial" w:hAnsi="Arial"/>
          <w:sz w:val="16"/>
          <w:szCs w:val="16"/>
          <w:color w:val="000000"/>
        </w:rPr>
        <w:t>supports operating leverage as we grow</w:t>
      </w:r>
    </w:p>
    <w:p>
      <w:pPr>
        <w:spacing w:after="0" w:line="24" w:lineRule="exact"/>
        <w:rPr>
          <w:sz w:val="20"/>
          <w:szCs w:val="20"/>
          <w:color w:val="auto"/>
        </w:rPr>
      </w:pPr>
    </w:p>
    <w:p>
      <w:pPr>
        <w:ind w:left="20" w:right="40" w:hanging="175"/>
        <w:spacing w:after="0" w:line="266" w:lineRule="auto"/>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 Strong and consistent</w:t>
      </w:r>
      <w:r>
        <w:rPr>
          <w:rFonts w:ascii="Arial" w:cs="Arial" w:eastAsia="Arial" w:hAnsi="Arial"/>
          <w:sz w:val="16"/>
          <w:szCs w:val="16"/>
          <w:color w:val="D64000"/>
        </w:rPr>
        <w:t xml:space="preserve"> </w:t>
      </w:r>
      <w:r>
        <w:rPr>
          <w:rFonts w:ascii="Arial" w:cs="Arial" w:eastAsia="Arial" w:hAnsi="Arial"/>
          <w:sz w:val="16"/>
          <w:szCs w:val="16"/>
          <w:color w:val="000000"/>
        </w:rPr>
        <w:t>cash generation capabilities</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center"/>
        <w:ind w:left="60" w:right="220"/>
        <w:spacing w:after="0" w:line="281" w:lineRule="auto"/>
        <w:rPr>
          <w:sz w:val="20"/>
          <w:szCs w:val="20"/>
          <w:color w:val="auto"/>
        </w:rPr>
      </w:pPr>
      <w:r>
        <w:rPr>
          <w:rFonts w:ascii="Arial" w:cs="Arial" w:eastAsia="Arial" w:hAnsi="Arial"/>
          <w:sz w:val="24"/>
          <w:szCs w:val="24"/>
          <w:b w:val="1"/>
          <w:bCs w:val="1"/>
          <w:color w:val="D64000"/>
        </w:rPr>
        <w:t>Strong Competitive Positioning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1141095</wp:posOffset>
            </wp:positionH>
            <wp:positionV relativeFrom="paragraph">
              <wp:posOffset>-600710</wp:posOffset>
            </wp:positionV>
            <wp:extent cx="8255" cy="26250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2625090"/>
                    </a:xfrm>
                    <a:prstGeom prst="rect">
                      <a:avLst/>
                    </a:prstGeom>
                    <a:noFill/>
                  </pic:spPr>
                </pic:pic>
              </a:graphicData>
            </a:graphic>
          </wp:anchor>
        </w:drawing>
        <w:drawing>
          <wp:anchor simplePos="0" relativeHeight="251657728" behindDoc="1" locked="0" layoutInCell="0" allowOverlap="1">
            <wp:simplePos x="0" y="0"/>
            <wp:positionH relativeFrom="column">
              <wp:posOffset>-229870</wp:posOffset>
            </wp:positionH>
            <wp:positionV relativeFrom="paragraph">
              <wp:posOffset>-600710</wp:posOffset>
            </wp:positionV>
            <wp:extent cx="8255" cy="26250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2625090"/>
                    </a:xfrm>
                    <a:prstGeom prst="rect">
                      <a:avLst/>
                    </a:prstGeom>
                    <a:noFill/>
                  </pic:spPr>
                </pic:pic>
              </a:graphicData>
            </a:graphic>
          </wp:anchor>
        </w:drawing>
      </w:r>
    </w:p>
    <w:p>
      <w:pPr>
        <w:spacing w:after="0" w:line="5" w:lineRule="exact"/>
        <w:rPr>
          <w:sz w:val="20"/>
          <w:szCs w:val="20"/>
          <w:color w:val="auto"/>
        </w:rPr>
      </w:pPr>
    </w:p>
    <w:p>
      <w:pPr>
        <w:ind w:hanging="175"/>
        <w:spacing w:after="0" w:line="236" w:lineRule="auto"/>
        <w:rPr>
          <w:sz w:val="20"/>
          <w:szCs w:val="20"/>
          <w:color w:val="auto"/>
        </w:rPr>
      </w:pPr>
      <w:r>
        <w:rPr>
          <w:rFonts w:ascii="Arial" w:cs="Arial" w:eastAsia="Arial" w:hAnsi="Arial"/>
          <w:sz w:val="17"/>
          <w:szCs w:val="17"/>
          <w:color w:val="D64000"/>
        </w:rPr>
        <w:t>•</w:t>
      </w:r>
      <w:r>
        <w:rPr>
          <w:rFonts w:ascii="Arial" w:cs="Arial" w:eastAsia="Arial" w:hAnsi="Arial"/>
          <w:sz w:val="17"/>
          <w:szCs w:val="17"/>
          <w:color w:val="000000"/>
        </w:rPr>
        <w:t xml:space="preserve">   Proprietary content plus</w:t>
      </w:r>
      <w:r>
        <w:rPr>
          <w:rFonts w:ascii="Arial" w:cs="Arial" w:eastAsia="Arial" w:hAnsi="Arial"/>
          <w:sz w:val="17"/>
          <w:szCs w:val="17"/>
          <w:color w:val="D64000"/>
        </w:rPr>
        <w:t xml:space="preserve"> </w:t>
      </w:r>
      <w:r>
        <w:rPr>
          <w:rFonts w:ascii="Arial" w:cs="Arial" w:eastAsia="Arial" w:hAnsi="Arial"/>
          <w:sz w:val="17"/>
          <w:szCs w:val="17"/>
          <w:color w:val="000000"/>
        </w:rPr>
        <w:t>data and human expertise combined with AI and ML are key differentiators</w:t>
      </w:r>
    </w:p>
    <w:p>
      <w:pPr>
        <w:spacing w:after="0" w:line="46" w:lineRule="exact"/>
        <w:rPr>
          <w:sz w:val="20"/>
          <w:szCs w:val="20"/>
          <w:color w:val="auto"/>
        </w:rPr>
      </w:pPr>
    </w:p>
    <w:p>
      <w:pPr>
        <w:ind w:right="540" w:hanging="175"/>
        <w:spacing w:after="0" w:line="238" w:lineRule="auto"/>
        <w:rPr>
          <w:sz w:val="20"/>
          <w:szCs w:val="20"/>
          <w:color w:val="auto"/>
        </w:rPr>
      </w:pPr>
      <w:r>
        <w:rPr>
          <w:rFonts w:ascii="Arial" w:cs="Arial" w:eastAsia="Arial" w:hAnsi="Arial"/>
          <w:sz w:val="17"/>
          <w:szCs w:val="17"/>
          <w:color w:val="D64000"/>
        </w:rPr>
        <w:t>•</w:t>
      </w:r>
      <w:r>
        <w:rPr>
          <w:rFonts w:ascii="Arial" w:cs="Arial" w:eastAsia="Arial" w:hAnsi="Arial"/>
          <w:sz w:val="17"/>
          <w:szCs w:val="17"/>
          <w:color w:val="000000"/>
        </w:rPr>
        <w:t xml:space="preserve">   Products deeply</w:t>
      </w:r>
      <w:r>
        <w:rPr>
          <w:rFonts w:ascii="Arial" w:cs="Arial" w:eastAsia="Arial" w:hAnsi="Arial"/>
          <w:sz w:val="17"/>
          <w:szCs w:val="17"/>
          <w:color w:val="D64000"/>
        </w:rPr>
        <w:t xml:space="preserve"> </w:t>
      </w:r>
      <w:r>
        <w:rPr>
          <w:rFonts w:ascii="Arial" w:cs="Arial" w:eastAsia="Arial" w:hAnsi="Arial"/>
          <w:sz w:val="17"/>
          <w:szCs w:val="17"/>
          <w:color w:val="000000"/>
        </w:rPr>
        <w:t>embedded in customers’ daily workflows</w:t>
      </w:r>
    </w:p>
    <w:p>
      <w:pPr>
        <w:spacing w:after="0" w:line="46" w:lineRule="exact"/>
        <w:rPr>
          <w:sz w:val="20"/>
          <w:szCs w:val="20"/>
          <w:color w:val="auto"/>
        </w:rPr>
      </w:pPr>
    </w:p>
    <w:p>
      <w:pPr>
        <w:ind w:right="220" w:hanging="175"/>
        <w:spacing w:after="0" w:line="260" w:lineRule="auto"/>
        <w:rPr>
          <w:sz w:val="20"/>
          <w:szCs w:val="20"/>
          <w:color w:val="auto"/>
        </w:rPr>
      </w:pPr>
      <w:r>
        <w:rPr>
          <w:rFonts w:ascii="Arial" w:cs="Arial" w:eastAsia="Arial" w:hAnsi="Arial"/>
          <w:sz w:val="17"/>
          <w:szCs w:val="17"/>
          <w:color w:val="D64000"/>
        </w:rPr>
        <w:t>•</w:t>
      </w:r>
      <w:r>
        <w:rPr>
          <w:rFonts w:ascii="Arial" w:cs="Arial" w:eastAsia="Arial" w:hAnsi="Arial"/>
          <w:sz w:val="17"/>
          <w:szCs w:val="17"/>
          <w:color w:val="000000"/>
        </w:rPr>
        <w:t xml:space="preserve">   91% retention rate in</w:t>
      </w:r>
      <w:r>
        <w:rPr>
          <w:rFonts w:ascii="Arial" w:cs="Arial" w:eastAsia="Arial" w:hAnsi="Arial"/>
          <w:sz w:val="17"/>
          <w:szCs w:val="17"/>
          <w:color w:val="D64000"/>
        </w:rPr>
        <w:t xml:space="preserve"> </w:t>
      </w:r>
      <w:r>
        <w:rPr>
          <w:rFonts w:ascii="Arial" w:cs="Arial" w:eastAsia="Arial" w:hAnsi="Arial"/>
          <w:sz w:val="17"/>
          <w:szCs w:val="17"/>
          <w:color w:val="000000"/>
        </w:rPr>
        <w:t>2024</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jc w:val="center"/>
        <w:ind w:left="80" w:right="320"/>
        <w:spacing w:after="0" w:line="281" w:lineRule="auto"/>
        <w:rPr>
          <w:sz w:val="20"/>
          <w:szCs w:val="20"/>
          <w:color w:val="auto"/>
        </w:rPr>
      </w:pPr>
      <w:r>
        <w:rPr>
          <w:rFonts w:ascii="Arial" w:cs="Arial" w:eastAsia="Arial" w:hAnsi="Arial"/>
          <w:sz w:val="24"/>
          <w:szCs w:val="24"/>
          <w:b w:val="1"/>
          <w:bCs w:val="1"/>
          <w:color w:val="D64000"/>
        </w:rPr>
        <w:t>Disciplined Financial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-600710</wp:posOffset>
            </wp:positionV>
            <wp:extent cx="8255" cy="26250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2625090"/>
                    </a:xfrm>
                    <a:prstGeom prst="rect">
                      <a:avLst/>
                    </a:prstGeom>
                    <a:noFill/>
                  </pic:spPr>
                </pic:pic>
              </a:graphicData>
            </a:graphic>
          </wp:anchor>
        </w:drawing>
      </w:r>
    </w:p>
    <w:p>
      <w:pPr>
        <w:spacing w:after="0" w:line="296" w:lineRule="exact"/>
        <w:rPr>
          <w:sz w:val="20"/>
          <w:szCs w:val="20"/>
          <w:color w:val="auto"/>
        </w:rPr>
      </w:pPr>
    </w:p>
    <w:p>
      <w:pPr>
        <w:ind w:right="100" w:hanging="175"/>
        <w:spacing w:after="0" w:line="258" w:lineRule="auto"/>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 Focused and</w:t>
      </w:r>
      <w:r>
        <w:rPr>
          <w:rFonts w:ascii="Arial" w:cs="Arial" w:eastAsia="Arial" w:hAnsi="Arial"/>
          <w:sz w:val="16"/>
          <w:szCs w:val="16"/>
          <w:color w:val="D64000"/>
        </w:rPr>
        <w:t xml:space="preserve"> </w:t>
      </w:r>
      <w:r>
        <w:rPr>
          <w:rFonts w:ascii="Arial" w:cs="Arial" w:eastAsia="Arial" w:hAnsi="Arial"/>
          <w:sz w:val="16"/>
          <w:szCs w:val="16"/>
          <w:color w:val="000000"/>
        </w:rPr>
        <w:t>incentivized on organic revenue growth and free cash flow growth</w:t>
      </w:r>
    </w:p>
    <w:p>
      <w:pPr>
        <w:spacing w:after="0" w:line="30" w:lineRule="exact"/>
        <w:rPr>
          <w:sz w:val="20"/>
          <w:szCs w:val="20"/>
          <w:color w:val="auto"/>
        </w:rPr>
      </w:pPr>
    </w:p>
    <w:p>
      <w:pPr>
        <w:ind w:right="100" w:hanging="175"/>
        <w:spacing w:after="0" w:line="266" w:lineRule="auto"/>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 Balance investing in</w:t>
      </w:r>
      <w:r>
        <w:rPr>
          <w:rFonts w:ascii="Arial" w:cs="Arial" w:eastAsia="Arial" w:hAnsi="Arial"/>
          <w:sz w:val="16"/>
          <w:szCs w:val="16"/>
          <w:color w:val="D64000"/>
        </w:rPr>
        <w:t xml:space="preserve"> </w:t>
      </w:r>
      <w:r>
        <w:rPr>
          <w:rFonts w:ascii="Arial" w:cs="Arial" w:eastAsia="Arial" w:hAnsi="Arial"/>
          <w:sz w:val="16"/>
          <w:szCs w:val="16"/>
          <w:color w:val="000000"/>
        </w:rPr>
        <w:t>business and returning capital to shareholders</w:t>
      </w:r>
    </w:p>
    <w:p>
      <w:pPr>
        <w:spacing w:after="0" w:line="24" w:lineRule="exact"/>
        <w:rPr>
          <w:sz w:val="20"/>
          <w:szCs w:val="20"/>
          <w:color w:val="auto"/>
        </w:rPr>
      </w:pPr>
    </w:p>
    <w:p>
      <w:pPr>
        <w:ind w:right="60" w:hanging="175"/>
        <w:spacing w:after="0" w:line="238" w:lineRule="auto"/>
        <w:rPr>
          <w:sz w:val="20"/>
          <w:szCs w:val="20"/>
          <w:color w:val="auto"/>
        </w:rPr>
      </w:pPr>
      <w:r>
        <w:rPr>
          <w:rFonts w:ascii="Arial" w:cs="Arial" w:eastAsia="Arial" w:hAnsi="Arial"/>
          <w:sz w:val="17"/>
          <w:szCs w:val="17"/>
          <w:color w:val="D64000"/>
        </w:rPr>
        <w:t>•</w:t>
      </w:r>
      <w:r>
        <w:rPr>
          <w:rFonts w:ascii="Arial" w:cs="Arial" w:eastAsia="Arial" w:hAnsi="Arial"/>
          <w:sz w:val="17"/>
          <w:szCs w:val="17"/>
          <w:color w:val="000000"/>
        </w:rPr>
        <w:t xml:space="preserve">   Committed to</w:t>
      </w:r>
      <w:r>
        <w:rPr>
          <w:rFonts w:ascii="Arial" w:cs="Arial" w:eastAsia="Arial" w:hAnsi="Arial"/>
          <w:sz w:val="17"/>
          <w:szCs w:val="17"/>
          <w:color w:val="D64000"/>
        </w:rPr>
        <w:t xml:space="preserve"> </w:t>
      </w:r>
      <w:r>
        <w:rPr>
          <w:rFonts w:ascii="Arial" w:cs="Arial" w:eastAsia="Arial" w:hAnsi="Arial"/>
          <w:sz w:val="17"/>
          <w:szCs w:val="17"/>
          <w:color w:val="000000"/>
        </w:rPr>
        <w:t>maintaining investment grade rating with stable capital structure</w:t>
      </w:r>
    </w:p>
    <w:p>
      <w:pPr>
        <w:spacing w:after="0" w:line="46" w:lineRule="exact"/>
        <w:rPr>
          <w:sz w:val="20"/>
          <w:szCs w:val="20"/>
          <w:color w:val="auto"/>
        </w:rPr>
      </w:pPr>
    </w:p>
    <w:p>
      <w:pPr>
        <w:ind w:right="100" w:hanging="175"/>
        <w:spacing w:after="0" w:line="243" w:lineRule="auto"/>
        <w:rPr>
          <w:sz w:val="20"/>
          <w:szCs w:val="20"/>
          <w:color w:val="auto"/>
        </w:rPr>
      </w:pPr>
      <w:r>
        <w:rPr>
          <w:rFonts w:ascii="Arial" w:cs="Arial" w:eastAsia="Arial" w:hAnsi="Arial"/>
          <w:sz w:val="17"/>
          <w:szCs w:val="17"/>
          <w:color w:val="D64000"/>
        </w:rPr>
        <w:t>•</w:t>
      </w:r>
      <w:r>
        <w:rPr>
          <w:rFonts w:ascii="Arial" w:cs="Arial" w:eastAsia="Arial" w:hAnsi="Arial"/>
          <w:sz w:val="17"/>
          <w:szCs w:val="17"/>
          <w:color w:val="000000"/>
        </w:rPr>
        <w:t xml:space="preserve">   Significant potential</w:t>
      </w:r>
      <w:r>
        <w:rPr>
          <w:rFonts w:ascii="Arial" w:cs="Arial" w:eastAsia="Arial" w:hAnsi="Arial"/>
          <w:sz w:val="17"/>
          <w:szCs w:val="17"/>
          <w:color w:val="D64000"/>
        </w:rPr>
        <w:t xml:space="preserve"> </w:t>
      </w:r>
      <w:r>
        <w:rPr>
          <w:rFonts w:ascii="Arial" w:cs="Arial" w:eastAsia="Arial" w:hAnsi="Arial"/>
          <w:sz w:val="17"/>
          <w:szCs w:val="17"/>
          <w:color w:val="000000"/>
        </w:rPr>
        <w:t>capital capacity affords optionality</w:t>
      </w:r>
    </w:p>
    <w:p>
      <w:pPr>
        <w:spacing w:after="0" w:line="57" w:lineRule="exact"/>
        <w:rPr>
          <w:sz w:val="20"/>
          <w:szCs w:val="20"/>
          <w:color w:val="auto"/>
        </w:rPr>
      </w:pPr>
    </w:p>
    <w:p>
      <w:pPr>
        <w:sectPr>
          <w:pgSz w:w="11900" w:h="16838" w:orient="portrait"/>
          <w:cols w:equalWidth="0" w:num="4">
            <w:col w:w="4320" w:space="460"/>
            <w:col w:w="1660" w:space="620"/>
            <w:col w:w="1760" w:space="420"/>
            <w:col w:w="1800"/>
          </w:cols>
          <w:pgMar w:left="320" w:top="477" w:right="539" w:bottom="1440" w:gutter="0" w:footer="0" w:header="0"/>
          <w:type w:val="continuous"/>
        </w:sectPr>
      </w:pPr>
    </w:p>
    <w:p>
      <w:pPr>
        <w:ind w:left="220"/>
        <w:spacing w:after="0"/>
        <w:rPr>
          <w:sz w:val="20"/>
          <w:szCs w:val="20"/>
          <w:color w:val="auto"/>
        </w:rPr>
      </w:pPr>
      <w:r>
        <w:rPr>
          <w:rFonts w:ascii="Arial" w:cs="Arial" w:eastAsia="Arial" w:hAnsi="Arial"/>
          <w:sz w:val="17"/>
          <w:szCs w:val="17"/>
          <w:i w:val="1"/>
          <w:iCs w:val="1"/>
          <w:color w:val="auto"/>
        </w:rPr>
        <w:t>* The news agreement with LSEG’s Data &amp; Analytics business.</w:t>
      </w:r>
    </w:p>
    <w:p>
      <w:pPr>
        <w:spacing w:after="0" w:line="226" w:lineRule="exact"/>
        <w:rPr>
          <w:sz w:val="20"/>
          <w:szCs w:val="20"/>
          <w:color w:val="auto"/>
        </w:rPr>
      </w:pPr>
    </w:p>
    <w:p>
      <w:pPr>
        <w:ind w:left="2920"/>
        <w:spacing w:after="0"/>
        <w:rPr>
          <w:sz w:val="20"/>
          <w:szCs w:val="20"/>
          <w:color w:val="auto"/>
        </w:rPr>
      </w:pPr>
      <w:r>
        <w:rPr>
          <w:rFonts w:ascii="Arial" w:cs="Arial" w:eastAsia="Arial" w:hAnsi="Arial"/>
          <w:sz w:val="25"/>
          <w:szCs w:val="25"/>
          <w:b w:val="1"/>
          <w:bCs w:val="1"/>
          <w:color w:val="D64000"/>
        </w:rPr>
        <w:t>Revenues by type</w:t>
      </w:r>
    </w:p>
    <w:p>
      <w:pPr>
        <w:spacing w:after="0" w:line="97" w:lineRule="exact"/>
        <w:rPr>
          <w:sz w:val="20"/>
          <w:szCs w:val="20"/>
          <w:color w:val="auto"/>
        </w:rPr>
      </w:pPr>
    </w:p>
    <w:p>
      <w:pPr>
        <w:ind w:left="2920" w:right="120"/>
        <w:spacing w:after="0" w:line="232" w:lineRule="auto"/>
        <w:rPr>
          <w:sz w:val="20"/>
          <w:szCs w:val="20"/>
          <w:color w:val="auto"/>
        </w:rPr>
      </w:pPr>
      <w:r>
        <w:rPr>
          <w:rFonts w:ascii="Arial" w:cs="Arial" w:eastAsia="Arial" w:hAnsi="Arial"/>
          <w:sz w:val="17"/>
          <w:szCs w:val="17"/>
          <w:b w:val="1"/>
          <w:bCs w:val="1"/>
          <w:color w:val="auto"/>
        </w:rPr>
        <w:t xml:space="preserve">Recurring revenues </w:t>
      </w:r>
      <w:r>
        <w:rPr>
          <w:rFonts w:ascii="Arial" w:cs="Arial" w:eastAsia="Arial" w:hAnsi="Arial"/>
          <w:sz w:val="17"/>
          <w:szCs w:val="17"/>
          <w:color w:val="auto"/>
        </w:rPr>
        <w:t>primarily consist of fees to access products or services over time, such as Westlaw,</w:t>
      </w:r>
      <w:r>
        <w:rPr>
          <w:rFonts w:ascii="Arial" w:cs="Arial" w:eastAsia="Arial" w:hAnsi="Arial"/>
          <w:sz w:val="17"/>
          <w:szCs w:val="17"/>
          <w:b w:val="1"/>
          <w:bCs w:val="1"/>
          <w:color w:val="auto"/>
        </w:rPr>
        <w:t xml:space="preserve"> </w:t>
      </w:r>
      <w:r>
        <w:rPr>
          <w:rFonts w:ascii="Arial" w:cs="Arial" w:eastAsia="Arial" w:hAnsi="Arial"/>
          <w:sz w:val="17"/>
          <w:szCs w:val="17"/>
          <w:color w:val="auto"/>
        </w:rPr>
        <w:t>Practical Law and many of our tax compliance products. Our products are generally provided under subscription arrangements that have terms ranging from one to five years, which most customers renew at the end of each term. Because most of our revenues are recurring, we believe that our revenue patterns are generally more stable compared to other businesses that primarily sell products in discrete or one-off arrangements. However, as we generally recognize recurring revenues ratably over the contract term, there is a lag in realizing the impact of current sales or cancellations in our reported revenues. As a result, our revenues are typically slower to decline when economic conditions worsen, but slower to return to growth when economic activity improves, compared to other businesses that are not subscription-based.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-998220</wp:posOffset>
            </wp:positionV>
            <wp:extent cx="1001395" cy="13881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01395" cy="1388110"/>
                    </a:xfrm>
                    <a:prstGeom prst="rect">
                      <a:avLst/>
                    </a:prstGeom>
                    <a:noFill/>
                  </pic:spPr>
                </pic:pic>
              </a:graphicData>
            </a:graphic>
          </wp:anchor>
        </w:drawing>
      </w:r>
    </w:p>
    <w:p>
      <w:pPr>
        <w:spacing w:after="0" w:line="42" w:lineRule="exact"/>
        <w:rPr>
          <w:sz w:val="20"/>
          <w:szCs w:val="20"/>
          <w:color w:val="auto"/>
        </w:rPr>
      </w:pPr>
    </w:p>
    <w:p>
      <w:pPr>
        <w:ind w:left="2920" w:right="120"/>
        <w:spacing w:after="0" w:line="236" w:lineRule="auto"/>
        <w:rPr>
          <w:sz w:val="20"/>
          <w:szCs w:val="20"/>
          <w:color w:val="auto"/>
        </w:rPr>
      </w:pPr>
      <w:r>
        <w:rPr>
          <w:rFonts w:ascii="Arial" w:cs="Arial" w:eastAsia="Arial" w:hAnsi="Arial"/>
          <w:sz w:val="17"/>
          <w:szCs w:val="17"/>
          <w:b w:val="1"/>
          <w:bCs w:val="1"/>
          <w:color w:val="auto"/>
        </w:rPr>
        <w:t xml:space="preserve">Transactions revenues </w:t>
      </w:r>
      <w:r>
        <w:rPr>
          <w:rFonts w:ascii="Arial" w:cs="Arial" w:eastAsia="Arial" w:hAnsi="Arial"/>
          <w:sz w:val="17"/>
          <w:szCs w:val="17"/>
          <w:color w:val="auto"/>
        </w:rPr>
        <w:t>include volume-based fees, such as certain fees related to online searches and tax</w:t>
      </w:r>
      <w:r>
        <w:rPr>
          <w:rFonts w:ascii="Arial" w:cs="Arial" w:eastAsia="Arial" w:hAnsi="Arial"/>
          <w:sz w:val="17"/>
          <w:szCs w:val="17"/>
          <w:b w:val="1"/>
          <w:bCs w:val="1"/>
          <w:color w:val="auto"/>
        </w:rPr>
        <w:t xml:space="preserve"> </w:t>
      </w:r>
      <w:r>
        <w:rPr>
          <w:rFonts w:ascii="Arial" w:cs="Arial" w:eastAsia="Arial" w:hAnsi="Arial"/>
          <w:sz w:val="17"/>
          <w:szCs w:val="17"/>
          <w:color w:val="auto"/>
        </w:rPr>
        <w:t>filings, as well as transactions in our Confirmation, Reuters Events and SurePrep businesses. We also charge fees for software licenses and professional fees for service and consulting arrangements. Transactions revenues are recognized primarily at a point in time and, based on their type, can fluctuate significantly from period to period.</w:t>
      </w:r>
    </w:p>
    <w:p>
      <w:pPr>
        <w:spacing w:after="0" w:line="59" w:lineRule="exact"/>
        <w:rPr>
          <w:sz w:val="20"/>
          <w:szCs w:val="20"/>
          <w:color w:val="auto"/>
        </w:rPr>
      </w:pPr>
    </w:p>
    <w:p>
      <w:pPr>
        <w:ind w:left="2920" w:right="240"/>
        <w:spacing w:after="0" w:line="236" w:lineRule="auto"/>
        <w:rPr>
          <w:sz w:val="20"/>
          <w:szCs w:val="20"/>
          <w:color w:val="auto"/>
        </w:rPr>
      </w:pPr>
      <w:r>
        <w:rPr>
          <w:rFonts w:ascii="Arial" w:cs="Arial" w:eastAsia="Arial" w:hAnsi="Arial"/>
          <w:sz w:val="17"/>
          <w:szCs w:val="17"/>
          <w:b w:val="1"/>
          <w:bCs w:val="1"/>
          <w:color w:val="auto"/>
        </w:rPr>
        <w:t xml:space="preserve">Global Print revenues </w:t>
      </w:r>
      <w:r>
        <w:rPr>
          <w:rFonts w:ascii="Arial" w:cs="Arial" w:eastAsia="Arial" w:hAnsi="Arial"/>
          <w:sz w:val="17"/>
          <w:szCs w:val="17"/>
          <w:color w:val="auto"/>
        </w:rPr>
        <w:t>largely consist of fees for content that is delivered primarily in traditional paper</w:t>
      </w:r>
      <w:r>
        <w:rPr>
          <w:rFonts w:ascii="Arial" w:cs="Arial" w:eastAsia="Arial" w:hAnsi="Arial"/>
          <w:sz w:val="17"/>
          <w:szCs w:val="17"/>
          <w:b w:val="1"/>
          <w:bCs w:val="1"/>
          <w:color w:val="auto"/>
        </w:rPr>
        <w:t xml:space="preserve"> </w:t>
      </w:r>
      <w:r>
        <w:rPr>
          <w:rFonts w:ascii="Arial" w:cs="Arial" w:eastAsia="Arial" w:hAnsi="Arial"/>
          <w:sz w:val="17"/>
          <w:szCs w:val="17"/>
          <w:color w:val="auto"/>
        </w:rPr>
        <w:t>format. We also earn fees from printing materials for third-party publishers. We expect that Global Print revenues will continue to decline each year, as customers continue to migrate to online products. Print revenues are recognized at the point of shipment or, if sold under a subscription arrangement, ratably over the contract term.</w:t>
      </w:r>
    </w:p>
    <w:p>
      <w:pPr>
        <w:spacing w:after="0" w:line="218" w:lineRule="exact"/>
        <w:rPr>
          <w:sz w:val="20"/>
          <w:szCs w:val="20"/>
          <w:color w:val="auto"/>
        </w:rPr>
      </w:pPr>
    </w:p>
    <w:p>
      <w:pPr>
        <w:ind w:left="2920"/>
        <w:spacing w:after="0"/>
        <w:rPr>
          <w:sz w:val="20"/>
          <w:szCs w:val="20"/>
          <w:color w:val="auto"/>
        </w:rPr>
      </w:pPr>
      <w:r>
        <w:rPr>
          <w:rFonts w:ascii="Arial" w:cs="Arial" w:eastAsia="Arial" w:hAnsi="Arial"/>
          <w:sz w:val="25"/>
          <w:szCs w:val="25"/>
          <w:b w:val="1"/>
          <w:bCs w:val="1"/>
          <w:color w:val="D64000"/>
        </w:rPr>
        <w:t>Revenues by geography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-15875</wp:posOffset>
            </wp:positionV>
            <wp:extent cx="1001395" cy="17329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01395" cy="1732915"/>
                    </a:xfrm>
                    <a:prstGeom prst="rect">
                      <a:avLst/>
                    </a:prstGeom>
                    <a:noFill/>
                  </pic:spPr>
                </pic:pic>
              </a:graphicData>
            </a:graphic>
          </wp:anchor>
        </w:drawing>
      </w:r>
    </w:p>
    <w:p>
      <w:pPr>
        <w:spacing w:after="0" w:line="77" w:lineRule="exact"/>
        <w:rPr>
          <w:sz w:val="20"/>
          <w:szCs w:val="20"/>
          <w:color w:val="auto"/>
        </w:rPr>
      </w:pPr>
    </w:p>
    <w:p>
      <w:pPr>
        <w:ind w:left="2920" w:right="80"/>
        <w:spacing w:after="0" w:line="235" w:lineRule="auto"/>
        <w:rPr>
          <w:sz w:val="20"/>
          <w:szCs w:val="20"/>
          <w:color w:val="auto"/>
        </w:rPr>
      </w:pPr>
      <w:r>
        <w:rPr>
          <w:rFonts w:ascii="Arial" w:cs="Arial" w:eastAsia="Arial" w:hAnsi="Arial"/>
          <w:sz w:val="17"/>
          <w:szCs w:val="17"/>
          <w:color w:val="auto"/>
        </w:rPr>
        <w:t>In 2024, 73% of our revenues were U.S.-based. We also operate regional teams outside of the U.S., including in emerging markets, where we serve regional customers by either modifying existing products and services for their needs or developing specific products for the local market. Changes in foreign currency exchange rates relative to our business outside the U.S. may cause variation in our revenue performance from period to period. In 2024, however, changes in foreign exchange rates had a less than 1% negative impact on our revenue growth compared to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1043305</wp:posOffset>
            </wp:positionV>
            <wp:extent cx="68656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ectPr>
          <w:pgSz w:w="11900" w:h="16838" w:orient="portrait"/>
          <w:cols w:equalWidth="0" w:num="1">
            <w:col w:w="11040"/>
          </w:cols>
          <w:pgMar w:left="320" w:top="477"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30</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200" w:lineRule="exact"/>
        <w:rPr>
          <w:sz w:val="20"/>
          <w:szCs w:val="20"/>
          <w:color w:val="auto"/>
        </w:rPr>
      </w:pPr>
    </w:p>
    <w:p>
      <w:pPr>
        <w:spacing w:after="0" w:line="346" w:lineRule="exact"/>
        <w:rPr>
          <w:sz w:val="20"/>
          <w:szCs w:val="20"/>
          <w:color w:val="auto"/>
        </w:rPr>
      </w:pPr>
    </w:p>
    <w:p>
      <w:pPr>
        <w:ind w:left="2920"/>
        <w:spacing w:after="0"/>
        <w:rPr>
          <w:sz w:val="20"/>
          <w:szCs w:val="20"/>
          <w:color w:val="auto"/>
        </w:rPr>
      </w:pPr>
      <w:r>
        <w:rPr>
          <w:rFonts w:ascii="Arial" w:cs="Arial" w:eastAsia="Arial" w:hAnsi="Arial"/>
          <w:sz w:val="25"/>
          <w:szCs w:val="25"/>
          <w:b w:val="1"/>
          <w:bCs w:val="1"/>
          <w:color w:val="D64000"/>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-15875</wp:posOffset>
            </wp:positionV>
            <wp:extent cx="967740" cy="12534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67740" cy="1253490"/>
                    </a:xfrm>
                    <a:prstGeom prst="rect">
                      <a:avLst/>
                    </a:prstGeom>
                    <a:noFill/>
                  </pic:spPr>
                </pic:pic>
              </a:graphicData>
            </a:graphic>
          </wp:anchor>
        </w:drawing>
      </w:r>
    </w:p>
    <w:p>
      <w:pPr>
        <w:spacing w:after="0" w:line="77" w:lineRule="exact"/>
        <w:rPr>
          <w:sz w:val="20"/>
          <w:szCs w:val="20"/>
          <w:color w:val="auto"/>
        </w:rPr>
      </w:pPr>
    </w:p>
    <w:p>
      <w:pPr>
        <w:ind w:left="2920" w:right="60"/>
        <w:spacing w:after="0" w:line="232" w:lineRule="auto"/>
        <w:rPr>
          <w:sz w:val="20"/>
          <w:szCs w:val="20"/>
          <w:color w:val="auto"/>
        </w:rPr>
      </w:pPr>
      <w:r>
        <w:rPr>
          <w:rFonts w:ascii="Arial" w:cs="Arial" w:eastAsia="Arial" w:hAnsi="Arial"/>
          <w:sz w:val="17"/>
          <w:szCs w:val="17"/>
          <w:color w:val="auto"/>
        </w:rPr>
        <w:t>Most of our expenses are fixed in the short-to-medium term. As a result, when our revenues increase, we become more profitable and our adjusted EBITDA margin increases reflecting higher operating leverage. Likewise, when our revenues decline, we become less profitable and our adjusted EBITDA margin decreases. However, the full impact of incremental revenues is not always reflected in our profitability as we reinvest in our business. In 2024, staff costs, which are largely comprised of salaries, performance bonuses, commissions, benefits and share-based compensation, comprised 59% of our total expenses. Approximately 65% of our 2024 expenses were denominated in U.S. dollars with the balance denominated in currencies other than the U.S. dollar. In 2024, changes in foreign exchange rates decreased our expenses by 1% compared to the prior year.</w:t>
      </w:r>
    </w:p>
    <w:p>
      <w:pPr>
        <w:spacing w:after="0" w:line="353"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Financial Highlights and Accomplishments</w:t>
      </w:r>
    </w:p>
    <w:p>
      <w:pPr>
        <w:spacing w:after="0" w:line="84" w:lineRule="exact"/>
        <w:rPr>
          <w:sz w:val="20"/>
          <w:szCs w:val="20"/>
          <w:color w:val="auto"/>
        </w:rPr>
      </w:pPr>
    </w:p>
    <w:p>
      <w:pPr>
        <w:ind w:left="220" w:right="40"/>
        <w:spacing w:after="0" w:line="232" w:lineRule="auto"/>
        <w:rPr>
          <w:sz w:val="20"/>
          <w:szCs w:val="20"/>
          <w:color w:val="auto"/>
        </w:rPr>
      </w:pPr>
      <w:r>
        <w:rPr>
          <w:rFonts w:ascii="Arial" w:cs="Arial" w:eastAsia="Arial" w:hAnsi="Arial"/>
          <w:sz w:val="17"/>
          <w:szCs w:val="17"/>
          <w:color w:val="auto"/>
        </w:rPr>
        <w:t>2024 marked another year of good revenue momentum driven by strong growth in recurring and transactions revenues. Revenues increased 7% in total, in constant currency and on an organic basis, compared to the prior year. Revenues for our “Big 3” segments increased 8% in total and in constant currency, and 9% on an organic basis. Our revenue performance met the targets set out in our 2024 outlook, which was last updated in November 2024. Operating profit declined 10% due to lower gains from the sales of non-core businesses in 2024 compared to 2023, as well as higher computer software amortization expense. Adjusted EBITDA, which excludes the gains on sale of businesses, computer software amortization expense and other adjustments, increased 4% compared to the prior year. Adjusted EBITDA margin of 38.2% was in line with our updated 2024 outlook but below the prior year adjusted EBITDA margin of 39.3%. The adjusted EBITDA margin performance was due to a higher growth in expenses versus revenues reflecting costs associated with investments and higher incentive compensation based on strong business performance, as well as the impact of acquisitions and divestitures. The adjusted EBITDA margin of our “Big 3” segments was 42.1% in 2024 compared to 43.8% in 2023.</w:t>
      </w:r>
    </w:p>
    <w:p>
      <w:pPr>
        <w:spacing w:after="0" w:line="58" w:lineRule="exact"/>
        <w:rPr>
          <w:sz w:val="20"/>
          <w:szCs w:val="20"/>
          <w:color w:val="auto"/>
        </w:rPr>
      </w:pPr>
    </w:p>
    <w:p>
      <w:pPr>
        <w:ind w:left="220" w:right="140"/>
        <w:spacing w:after="0" w:line="235" w:lineRule="auto"/>
        <w:rPr>
          <w:sz w:val="20"/>
          <w:szCs w:val="20"/>
          <w:color w:val="auto"/>
        </w:rPr>
      </w:pPr>
      <w:r>
        <w:rPr>
          <w:rFonts w:ascii="Arial" w:cs="Arial" w:eastAsia="Arial" w:hAnsi="Arial"/>
          <w:sz w:val="17"/>
          <w:szCs w:val="17"/>
          <w:color w:val="auto"/>
        </w:rPr>
        <w:t>In 2024, we generated net cash from operating activities of $2.5 billion and achieved our 2024 outlook with $1.8 billion of free cash flow. We acquired Pagero, which boosted our indirect tax workflow automation solutions for our Corporates customers, as well as Safe Sign Technologies and Materia both of which onboarded key talent and are expected to accelerate our generative AI roadmap. In the Reuters News segment, we acquired World Business Media (The Insurer), which adds subscription professional content focused on the insurance industry. Additionally, we completed the sale of FindLaw and certain other non-core businesses. We also received $1.9 billion of gross proceeds from the sale of our remaining LSEG shares.</w:t>
      </w:r>
    </w:p>
    <w:p>
      <w:pPr>
        <w:spacing w:after="0" w:line="57" w:lineRule="exact"/>
        <w:rPr>
          <w:sz w:val="20"/>
          <w:szCs w:val="20"/>
          <w:color w:val="auto"/>
        </w:rPr>
      </w:pPr>
    </w:p>
    <w:p>
      <w:pPr>
        <w:ind w:left="220" w:right="80"/>
        <w:spacing w:after="0" w:line="266" w:lineRule="auto"/>
        <w:rPr>
          <w:sz w:val="20"/>
          <w:szCs w:val="20"/>
          <w:color w:val="auto"/>
        </w:rPr>
      </w:pPr>
      <w:r>
        <w:rPr>
          <w:rFonts w:ascii="Arial" w:cs="Arial" w:eastAsia="Arial" w:hAnsi="Arial"/>
          <w:sz w:val="16"/>
          <w:szCs w:val="16"/>
          <w:color w:val="auto"/>
        </w:rPr>
        <w:t>In January 2025, we acquired cPaperless, LLC, doing business as SafeSend, for $600 million in cash. SafeSend is a U.S. based cloud-native provider of technology for tax and accounting professionals. SafeSend automates the “last-mile” of the tax return, including assembly, review, taxpayer e-signature, and delivery. See the “Subsequent Events” section of this management’s discussion and analysis for additional information.</w:t>
      </w:r>
    </w:p>
    <w:p>
      <w:pPr>
        <w:spacing w:after="0" w:line="24" w:lineRule="exact"/>
        <w:rPr>
          <w:sz w:val="20"/>
          <w:szCs w:val="20"/>
          <w:color w:val="auto"/>
        </w:rPr>
      </w:pPr>
    </w:p>
    <w:p>
      <w:pPr>
        <w:ind w:left="220" w:right="260"/>
        <w:spacing w:after="0" w:line="228" w:lineRule="auto"/>
        <w:rPr>
          <w:sz w:val="20"/>
          <w:szCs w:val="20"/>
          <w:color w:val="auto"/>
        </w:rPr>
      </w:pPr>
      <w:r>
        <w:rPr>
          <w:rFonts w:ascii="Arial" w:cs="Arial" w:eastAsia="Arial" w:hAnsi="Arial"/>
          <w:sz w:val="17"/>
          <w:szCs w:val="17"/>
          <w:color w:val="auto"/>
        </w:rPr>
        <w:t>We returned $1.6 billion to shareholders in dividends and share repurchases in 2024. On February 6, 2025, we announced a 10% or $0.22 per share annualized increase in our dividend to $2.38 per common share, representing the 32</w:t>
      </w:r>
      <w:r>
        <w:rPr>
          <w:rFonts w:ascii="Arial" w:cs="Arial" w:eastAsia="Arial" w:hAnsi="Arial"/>
          <w:sz w:val="20"/>
          <w:szCs w:val="20"/>
          <w:color w:val="auto"/>
          <w:vertAlign w:val="superscript"/>
        </w:rPr>
        <w:t>nd</w:t>
      </w:r>
      <w:r>
        <w:rPr>
          <w:rFonts w:ascii="Arial" w:cs="Arial" w:eastAsia="Arial" w:hAnsi="Arial"/>
          <w:sz w:val="17"/>
          <w:szCs w:val="17"/>
          <w:color w:val="auto"/>
        </w:rPr>
        <w:t xml:space="preserve"> consecutive year of dividend increases, and the fourth consecutive 10% increase. Our capital capacity and liquidity remain a key asset to support further acquisitions and drive returns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93345</wp:posOffset>
            </wp:positionV>
            <wp:extent cx="68656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8"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31</w:t>
      </w:r>
    </w:p>
    <w:p>
      <w:pPr>
        <w:sectPr>
          <w:pgSz w:w="11900" w:h="16838" w:orient="portrait"/>
          <w:cols w:equalWidth="0" w:num="1">
            <w:col w:w="11040"/>
          </w:cols>
          <w:pgMar w:left="320" w:top="477" w:right="5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b w:val="1"/>
          <w:bCs w:val="1"/>
          <w:u w:val="single" w:color="auto"/>
          <w:color w:val="auto"/>
        </w:rPr>
        <w:t>2024 Actual Performance vs. 2024 Updated Outlook</w:t>
      </w:r>
    </w:p>
    <w:p>
      <w:pPr>
        <w:spacing w:after="0" w:line="75" w:lineRule="exact"/>
        <w:rPr>
          <w:sz w:val="20"/>
          <w:szCs w:val="20"/>
          <w:color w:val="auto"/>
        </w:rPr>
      </w:pPr>
    </w:p>
    <w:p>
      <w:pPr>
        <w:ind w:left="220" w:right="60"/>
        <w:spacing w:after="0" w:line="238" w:lineRule="auto"/>
        <w:rPr>
          <w:sz w:val="20"/>
          <w:szCs w:val="20"/>
          <w:color w:val="auto"/>
        </w:rPr>
      </w:pPr>
      <w:r>
        <w:rPr>
          <w:rFonts w:ascii="Arial" w:cs="Arial" w:eastAsia="Arial" w:hAnsi="Arial"/>
          <w:sz w:val="18"/>
          <w:szCs w:val="18"/>
          <w:color w:val="auto"/>
        </w:rPr>
        <w:t>The table below compares our actual performance (before currency) to our updated 2024 outlook, which we confirmed in November 2024. Our total company met all the metrics within our updated 2024 outlook. Our “Big 3” segments met our updated outlook for total and organic revenue growth, but came in lower by approximately 100bp for adjusted EBITDA margin reflecting higher investments and incentive compensation. Our updated full -year 2024 outlook included non-IFRS financial measures, assumed constant currency rates relative to 2023, and included the impact of closed acquisitions and dispositions.</w:t>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5660" w:type="dxa"/>
            <w:vAlign w:val="bottom"/>
            <w:shd w:val="clear" w:color="auto" w:fill="1F473D"/>
          </w:tcPr>
          <w:p>
            <w:pPr>
              <w:spacing w:after="0"/>
              <w:rPr>
                <w:sz w:val="16"/>
                <w:szCs w:val="16"/>
                <w:color w:val="auto"/>
              </w:rPr>
            </w:pPr>
          </w:p>
        </w:tc>
        <w:tc>
          <w:tcPr>
            <w:tcW w:w="2580" w:type="dxa"/>
            <w:vAlign w:val="bottom"/>
            <w:shd w:val="clear" w:color="auto" w:fill="1F473D"/>
          </w:tcPr>
          <w:p>
            <w:pPr>
              <w:jc w:val="center"/>
              <w:ind w:left="782"/>
              <w:spacing w:after="0"/>
              <w:rPr>
                <w:sz w:val="20"/>
                <w:szCs w:val="20"/>
                <w:color w:val="auto"/>
              </w:rPr>
            </w:pPr>
            <w:r>
              <w:rPr>
                <w:rFonts w:ascii="Arial" w:cs="Arial" w:eastAsia="Arial" w:hAnsi="Arial"/>
                <w:sz w:val="16"/>
                <w:szCs w:val="16"/>
                <w:b w:val="1"/>
                <w:bCs w:val="1"/>
                <w:color w:val="FFFFFF"/>
              </w:rPr>
              <w:t>2024</w:t>
            </w:r>
          </w:p>
        </w:tc>
        <w:tc>
          <w:tcPr>
            <w:tcW w:w="2280" w:type="dxa"/>
            <w:vAlign w:val="bottom"/>
            <w:shd w:val="clear" w:color="auto" w:fill="1F473D"/>
          </w:tcPr>
          <w:p>
            <w:pPr>
              <w:jc w:val="center"/>
              <w:ind w:left="2"/>
              <w:spacing w:after="0"/>
              <w:rPr>
                <w:sz w:val="20"/>
                <w:szCs w:val="20"/>
                <w:color w:val="auto"/>
              </w:rPr>
            </w:pPr>
            <w:r>
              <w:rPr>
                <w:rFonts w:ascii="Arial" w:cs="Arial" w:eastAsia="Arial" w:hAnsi="Arial"/>
                <w:sz w:val="16"/>
                <w:szCs w:val="16"/>
                <w:b w:val="1"/>
                <w:bCs w:val="1"/>
                <w:color w:val="FFFFFF"/>
                <w:w w:val="98"/>
              </w:rPr>
              <w:t>2024 Actual Performance</w:t>
            </w:r>
          </w:p>
        </w:tc>
        <w:tc>
          <w:tcPr>
            <w:tcW w:w="280" w:type="dxa"/>
            <w:vAlign w:val="bottom"/>
            <w:shd w:val="clear" w:color="auto" w:fill="1F473D"/>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566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b w:val="1"/>
                <w:bCs w:val="1"/>
                <w:color w:val="FFFFFF"/>
              </w:rPr>
              <w:t>  Total Thomson Reuters</w:t>
            </w:r>
          </w:p>
        </w:tc>
        <w:tc>
          <w:tcPr>
            <w:tcW w:w="2580" w:type="dxa"/>
            <w:vAlign w:val="bottom"/>
            <w:tcBorders>
              <w:bottom w:val="single" w:sz="8" w:color="D64000"/>
            </w:tcBorders>
            <w:shd w:val="clear" w:color="auto" w:fill="1F473D"/>
          </w:tcPr>
          <w:p>
            <w:pPr>
              <w:jc w:val="center"/>
              <w:ind w:left="782"/>
              <w:spacing w:after="0"/>
              <w:rPr>
                <w:sz w:val="20"/>
                <w:szCs w:val="20"/>
                <w:color w:val="auto"/>
              </w:rPr>
            </w:pPr>
            <w:r>
              <w:rPr>
                <w:rFonts w:ascii="Arial" w:cs="Arial" w:eastAsia="Arial" w:hAnsi="Arial"/>
                <w:sz w:val="16"/>
                <w:szCs w:val="16"/>
                <w:b w:val="1"/>
                <w:bCs w:val="1"/>
                <w:color w:val="FFFFFF"/>
                <w:w w:val="99"/>
              </w:rPr>
              <w:t>Updated Outlook</w:t>
            </w:r>
          </w:p>
        </w:tc>
        <w:tc>
          <w:tcPr>
            <w:tcW w:w="2280" w:type="dxa"/>
            <w:vAlign w:val="bottom"/>
            <w:tcBorders>
              <w:bottom w:val="single" w:sz="8" w:color="D64000"/>
            </w:tcBorders>
            <w:shd w:val="clear" w:color="auto" w:fill="1F473D"/>
          </w:tcPr>
          <w:p>
            <w:pPr>
              <w:jc w:val="center"/>
              <w:ind w:left="2"/>
              <w:spacing w:after="0" w:line="213" w:lineRule="exact"/>
              <w:rPr>
                <w:sz w:val="20"/>
                <w:szCs w:val="20"/>
                <w:color w:val="auto"/>
              </w:rPr>
            </w:pPr>
            <w:r>
              <w:rPr>
                <w:rFonts w:ascii="Arial" w:cs="Arial" w:eastAsia="Arial" w:hAnsi="Arial"/>
                <w:sz w:val="16"/>
                <w:szCs w:val="16"/>
                <w:b w:val="1"/>
                <w:bCs w:val="1"/>
                <w:color w:val="FFFFFF"/>
                <w:w w:val="96"/>
              </w:rPr>
              <w:t>(Before currency)</w:t>
            </w:r>
            <w:r>
              <w:rPr>
                <w:rFonts w:ascii="Arial" w:cs="Arial" w:eastAsia="Arial" w:hAnsi="Arial"/>
                <w:sz w:val="19"/>
                <w:szCs w:val="19"/>
                <w:b w:val="1"/>
                <w:bCs w:val="1"/>
                <w:color w:val="FFFFFF"/>
                <w:w w:val="96"/>
                <w:vertAlign w:val="superscript"/>
              </w:rPr>
              <w:t>(1)</w:t>
            </w:r>
          </w:p>
        </w:tc>
        <w:tc>
          <w:tcPr>
            <w:tcW w:w="280" w:type="dxa"/>
            <w:vAlign w:val="bottom"/>
            <w:tcBorders>
              <w:bottom w:val="single" w:sz="8" w:color="D64000"/>
            </w:tcBorders>
            <w:shd w:val="clear" w:color="auto" w:fill="1F473D"/>
          </w:tcPr>
          <w:p>
            <w:pPr>
              <w:spacing w:after="0"/>
              <w:rPr>
                <w:sz w:val="19"/>
                <w:szCs w:val="19"/>
                <w:color w:val="auto"/>
              </w:rPr>
            </w:pPr>
          </w:p>
        </w:tc>
        <w:tc>
          <w:tcPr>
            <w:tcW w:w="20" w:type="dxa"/>
            <w:vAlign w:val="bottom"/>
          </w:tcPr>
          <w:p>
            <w:pPr>
              <w:spacing w:after="0"/>
              <w:rPr>
                <w:sz w:val="19"/>
                <w:szCs w:val="19"/>
                <w:color w:val="auto"/>
              </w:rPr>
            </w:pPr>
          </w:p>
        </w:tc>
      </w:tr>
      <w:tr>
        <w:trPr>
          <w:trHeight w:val="159"/>
        </w:trPr>
        <w:tc>
          <w:tcPr>
            <w:tcW w:w="5660" w:type="dxa"/>
            <w:vAlign w:val="bottom"/>
          </w:tcPr>
          <w:p>
            <w:pPr>
              <w:spacing w:after="0" w:line="159" w:lineRule="exact"/>
              <w:rPr>
                <w:sz w:val="20"/>
                <w:szCs w:val="20"/>
                <w:color w:val="auto"/>
              </w:rPr>
            </w:pPr>
            <w:r>
              <w:rPr>
                <w:rFonts w:ascii="Arial" w:cs="Arial" w:eastAsia="Arial" w:hAnsi="Arial"/>
                <w:sz w:val="16"/>
                <w:szCs w:val="16"/>
                <w:b w:val="1"/>
                <w:bCs w:val="1"/>
                <w:color w:val="auto"/>
              </w:rPr>
              <w:t>  Revenue growth</w:t>
            </w:r>
          </w:p>
        </w:tc>
        <w:tc>
          <w:tcPr>
            <w:tcW w:w="2580" w:type="dxa"/>
            <w:vAlign w:val="bottom"/>
          </w:tcPr>
          <w:p>
            <w:pPr>
              <w:jc w:val="center"/>
              <w:ind w:left="802"/>
              <w:spacing w:after="0" w:line="159" w:lineRule="exact"/>
              <w:rPr>
                <w:sz w:val="20"/>
                <w:szCs w:val="20"/>
                <w:color w:val="auto"/>
              </w:rPr>
            </w:pPr>
            <w:r>
              <w:rPr>
                <w:rFonts w:ascii="Arial" w:cs="Arial" w:eastAsia="Arial" w:hAnsi="Arial"/>
                <w:sz w:val="16"/>
                <w:szCs w:val="16"/>
                <w:color w:val="auto"/>
              </w:rPr>
              <w:t>~7.0%</w:t>
            </w:r>
          </w:p>
        </w:tc>
        <w:tc>
          <w:tcPr>
            <w:tcW w:w="2280" w:type="dxa"/>
            <w:vAlign w:val="bottom"/>
          </w:tcPr>
          <w:p>
            <w:pPr>
              <w:jc w:val="center"/>
              <w:ind w:left="2"/>
              <w:spacing w:after="0" w:line="159" w:lineRule="exact"/>
              <w:rPr>
                <w:sz w:val="20"/>
                <w:szCs w:val="20"/>
                <w:color w:val="auto"/>
              </w:rPr>
            </w:pPr>
            <w:r>
              <w:rPr>
                <w:rFonts w:ascii="Arial" w:cs="Arial" w:eastAsia="Arial" w:hAnsi="Arial"/>
                <w:sz w:val="16"/>
                <w:szCs w:val="16"/>
                <w:b w:val="1"/>
                <w:bCs w:val="1"/>
                <w:color w:val="auto"/>
                <w:w w:val="98"/>
              </w:rPr>
              <w:t>7.1%</w:t>
            </w:r>
          </w:p>
        </w:tc>
        <w:tc>
          <w:tcPr>
            <w:tcW w:w="2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71"/>
              </w:rPr>
              <w:t>✓</w:t>
            </w:r>
          </w:p>
        </w:tc>
        <w:tc>
          <w:tcPr>
            <w:tcW w:w="20" w:type="dxa"/>
            <w:vAlign w:val="bottom"/>
          </w:tcPr>
          <w:p>
            <w:pPr>
              <w:spacing w:after="0"/>
              <w:rPr>
                <w:sz w:val="13"/>
                <w:szCs w:val="13"/>
                <w:color w:val="auto"/>
              </w:rPr>
            </w:pPr>
          </w:p>
        </w:tc>
      </w:tr>
      <w:tr>
        <w:trPr>
          <w:trHeight w:val="212"/>
        </w:trPr>
        <w:tc>
          <w:tcPr>
            <w:tcW w:w="5660" w:type="dxa"/>
            <w:vAlign w:val="bottom"/>
          </w:tcPr>
          <w:p>
            <w:pPr>
              <w:ind w:left="180"/>
              <w:spacing w:after="0"/>
              <w:rPr>
                <w:sz w:val="20"/>
                <w:szCs w:val="20"/>
                <w:color w:val="auto"/>
              </w:rPr>
            </w:pPr>
            <w:r>
              <w:rPr>
                <w:rFonts w:ascii="Arial" w:cs="Arial" w:eastAsia="Arial" w:hAnsi="Arial"/>
                <w:sz w:val="14"/>
                <w:szCs w:val="14"/>
                <w:b w:val="1"/>
                <w:bCs w:val="1"/>
                <w:color w:val="auto"/>
              </w:rPr>
              <w:t>  </w:t>
            </w:r>
            <w:r>
              <w:rPr>
                <w:rFonts w:ascii="Arial" w:cs="Arial" w:eastAsia="Arial" w:hAnsi="Arial"/>
                <w:sz w:val="14"/>
                <w:szCs w:val="14"/>
                <w:b w:val="1"/>
                <w:bCs w:val="1"/>
                <w:i w:val="1"/>
                <w:iCs w:val="1"/>
                <w:color w:val="auto"/>
              </w:rPr>
              <w:t>Organic revenue growth</w:t>
            </w:r>
            <w:r>
              <w:rPr>
                <w:rFonts w:ascii="Arial" w:cs="Arial" w:eastAsia="Arial" w:hAnsi="Arial"/>
                <w:sz w:val="14"/>
                <w:szCs w:val="14"/>
                <w:b w:val="1"/>
                <w:bCs w:val="1"/>
                <w:color w:val="auto"/>
              </w:rPr>
              <w:t xml:space="preserve"> </w:t>
            </w:r>
            <w:r>
              <w:rPr>
                <w:rFonts w:ascii="Arial" w:cs="Arial" w:eastAsia="Arial" w:hAnsi="Arial"/>
                <w:sz w:val="17"/>
                <w:szCs w:val="17"/>
                <w:b w:val="1"/>
                <w:bCs w:val="1"/>
                <w:i w:val="1"/>
                <w:iCs w:val="1"/>
                <w:color w:val="auto"/>
                <w:vertAlign w:val="superscript"/>
              </w:rPr>
              <w:t>(</w:t>
            </w:r>
            <w:r>
              <w:rPr>
                <w:rFonts w:ascii="Arial" w:cs="Arial" w:eastAsia="Arial" w:hAnsi="Arial"/>
                <w:sz w:val="17"/>
                <w:szCs w:val="17"/>
                <w:b w:val="1"/>
                <w:bCs w:val="1"/>
                <w:color w:val="auto"/>
                <w:vertAlign w:val="superscript"/>
              </w:rPr>
              <w:t>2)</w:t>
            </w:r>
          </w:p>
        </w:tc>
        <w:tc>
          <w:tcPr>
            <w:tcW w:w="2580" w:type="dxa"/>
            <w:vAlign w:val="bottom"/>
          </w:tcPr>
          <w:p>
            <w:pPr>
              <w:jc w:val="center"/>
              <w:ind w:left="782"/>
              <w:spacing w:after="0"/>
              <w:rPr>
                <w:sz w:val="20"/>
                <w:szCs w:val="20"/>
                <w:color w:val="auto"/>
              </w:rPr>
            </w:pPr>
            <w:r>
              <w:rPr>
                <w:rFonts w:ascii="Arial" w:cs="Arial" w:eastAsia="Arial" w:hAnsi="Arial"/>
                <w:sz w:val="14"/>
                <w:szCs w:val="14"/>
                <w:i w:val="1"/>
                <w:iCs w:val="1"/>
                <w:color w:val="auto"/>
                <w:w w:val="99"/>
              </w:rPr>
              <w:t>~7.0%</w:t>
            </w:r>
          </w:p>
        </w:tc>
        <w:tc>
          <w:tcPr>
            <w:tcW w:w="2280" w:type="dxa"/>
            <w:vAlign w:val="bottom"/>
          </w:tcPr>
          <w:p>
            <w:pPr>
              <w:jc w:val="center"/>
              <w:ind w:left="2"/>
              <w:spacing w:after="0"/>
              <w:rPr>
                <w:sz w:val="20"/>
                <w:szCs w:val="20"/>
                <w:color w:val="auto"/>
              </w:rPr>
            </w:pPr>
            <w:r>
              <w:rPr>
                <w:rFonts w:ascii="Arial" w:cs="Arial" w:eastAsia="Arial" w:hAnsi="Arial"/>
                <w:sz w:val="14"/>
                <w:szCs w:val="14"/>
                <w:b w:val="1"/>
                <w:bCs w:val="1"/>
                <w:i w:val="1"/>
                <w:iCs w:val="1"/>
                <w:color w:val="auto"/>
              </w:rPr>
              <w:t>7.1%</w:t>
            </w:r>
          </w:p>
        </w:tc>
        <w:tc>
          <w:tcPr>
            <w:tcW w:w="300" w:type="dxa"/>
            <w:vAlign w:val="bottom"/>
            <w:gridSpan w:val="2"/>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92"/>
        </w:trPr>
        <w:tc>
          <w:tcPr>
            <w:tcW w:w="5660" w:type="dxa"/>
            <w:vAlign w:val="bottom"/>
            <w:tcBorders>
              <w:top w:val="single" w:sz="8" w:color="B2B2B2"/>
              <w:bottom w:val="single" w:sz="8" w:color="B2B2B2"/>
            </w:tcBorders>
          </w:tcPr>
          <w:p>
            <w:pPr>
              <w:spacing w:after="0" w:line="192" w:lineRule="exact"/>
              <w:rPr>
                <w:sz w:val="20"/>
                <w:szCs w:val="20"/>
                <w:color w:val="auto"/>
              </w:rPr>
            </w:pPr>
            <w:r>
              <w:rPr>
                <w:rFonts w:ascii="Arial" w:cs="Arial" w:eastAsia="Arial" w:hAnsi="Arial"/>
                <w:sz w:val="16"/>
                <w:szCs w:val="16"/>
                <w:b w:val="1"/>
                <w:bCs w:val="1"/>
                <w:color w:val="auto"/>
              </w:rPr>
              <w:t>  Adjusted EBITDA margin</w:t>
            </w:r>
            <w:r>
              <w:rPr>
                <w:rFonts w:ascii="Arial" w:cs="Arial" w:eastAsia="Arial" w:hAnsi="Arial"/>
                <w:sz w:val="19"/>
                <w:szCs w:val="19"/>
                <w:b w:val="1"/>
                <w:bCs w:val="1"/>
                <w:color w:val="auto"/>
                <w:vertAlign w:val="superscript"/>
              </w:rPr>
              <w:t>(2)</w:t>
            </w:r>
          </w:p>
        </w:tc>
        <w:tc>
          <w:tcPr>
            <w:tcW w:w="2580" w:type="dxa"/>
            <w:vAlign w:val="bottom"/>
            <w:tcBorders>
              <w:top w:val="single" w:sz="8" w:color="B2B2B2"/>
              <w:bottom w:val="single" w:sz="8" w:color="B2B2B2"/>
            </w:tcBorders>
          </w:tcPr>
          <w:p>
            <w:pPr>
              <w:jc w:val="center"/>
              <w:ind w:left="802"/>
              <w:spacing w:after="0"/>
              <w:rPr>
                <w:sz w:val="20"/>
                <w:szCs w:val="20"/>
                <w:color w:val="auto"/>
              </w:rPr>
            </w:pPr>
            <w:r>
              <w:rPr>
                <w:rFonts w:ascii="Arial" w:cs="Arial" w:eastAsia="Arial" w:hAnsi="Arial"/>
                <w:sz w:val="16"/>
                <w:szCs w:val="16"/>
                <w:color w:val="auto"/>
              </w:rPr>
              <w:t>~38%</w:t>
            </w:r>
          </w:p>
        </w:tc>
        <w:tc>
          <w:tcPr>
            <w:tcW w:w="2280" w:type="dxa"/>
            <w:vAlign w:val="bottom"/>
            <w:tcBorders>
              <w:top w:val="single" w:sz="8" w:color="B2B2B2"/>
              <w:bottom w:val="single" w:sz="8" w:color="B2B2B2"/>
            </w:tcBorders>
          </w:tcPr>
          <w:p>
            <w:pPr>
              <w:jc w:val="center"/>
              <w:ind w:left="2"/>
              <w:spacing w:after="0"/>
              <w:rPr>
                <w:sz w:val="20"/>
                <w:szCs w:val="20"/>
                <w:color w:val="auto"/>
              </w:rPr>
            </w:pPr>
            <w:r>
              <w:rPr>
                <w:rFonts w:ascii="Arial" w:cs="Arial" w:eastAsia="Arial" w:hAnsi="Arial"/>
                <w:sz w:val="16"/>
                <w:szCs w:val="16"/>
                <w:b w:val="1"/>
                <w:bCs w:val="1"/>
                <w:color w:val="auto"/>
                <w:w w:val="96"/>
              </w:rPr>
              <w:t>38.1%</w:t>
            </w:r>
          </w:p>
        </w:tc>
        <w:tc>
          <w:tcPr>
            <w:tcW w:w="280" w:type="dxa"/>
            <w:vAlign w:val="bottom"/>
            <w:tcBorders>
              <w:top w:val="single" w:sz="8" w:color="B2B2B2"/>
              <w:bottom w:val="single" w:sz="8" w:color="B2B2B2"/>
            </w:tcBorders>
          </w:tcPr>
          <w:p>
            <w:pPr>
              <w:ind w:left="160"/>
              <w:spacing w:after="0" w:line="141" w:lineRule="exact"/>
              <w:rPr>
                <w:sz w:val="20"/>
                <w:szCs w:val="20"/>
                <w:color w:val="auto"/>
              </w:rPr>
            </w:pPr>
            <w:r>
              <w:rPr>
                <w:rFonts w:ascii="MS PGothic" w:cs="MS PGothic" w:eastAsia="MS PGothic" w:hAnsi="MS PGothic"/>
                <w:sz w:val="14"/>
                <w:szCs w:val="14"/>
                <w:color w:val="auto"/>
                <w:w w:val="71"/>
              </w:rPr>
              <w:t>✓</w:t>
            </w:r>
          </w:p>
        </w:tc>
        <w:tc>
          <w:tcPr>
            <w:tcW w:w="20" w:type="dxa"/>
            <w:vAlign w:val="bottom"/>
            <w:tcBorders>
              <w:bottom w:val="single" w:sz="8" w:color="B2B2B2"/>
            </w:tcBorders>
          </w:tcPr>
          <w:p>
            <w:pPr>
              <w:spacing w:after="0"/>
              <w:rPr>
                <w:sz w:val="16"/>
                <w:szCs w:val="16"/>
                <w:color w:val="auto"/>
              </w:rPr>
            </w:pPr>
          </w:p>
        </w:tc>
      </w:tr>
      <w:tr>
        <w:trPr>
          <w:trHeight w:val="192"/>
        </w:trPr>
        <w:tc>
          <w:tcPr>
            <w:tcW w:w="5660" w:type="dxa"/>
            <w:vAlign w:val="bottom"/>
            <w:tcBorders>
              <w:bottom w:val="single" w:sz="8" w:color="B2B2B2"/>
            </w:tcBorders>
          </w:tcPr>
          <w:p>
            <w:pPr>
              <w:spacing w:after="0"/>
              <w:rPr>
                <w:sz w:val="20"/>
                <w:szCs w:val="20"/>
                <w:color w:val="auto"/>
              </w:rPr>
            </w:pPr>
            <w:r>
              <w:rPr>
                <w:rFonts w:ascii="Arial" w:cs="Arial" w:eastAsia="Arial" w:hAnsi="Arial"/>
                <w:sz w:val="16"/>
                <w:szCs w:val="16"/>
                <w:b w:val="1"/>
                <w:bCs w:val="1"/>
                <w:color w:val="auto"/>
              </w:rPr>
              <w:t>  Corporate costs</w:t>
            </w:r>
          </w:p>
        </w:tc>
        <w:tc>
          <w:tcPr>
            <w:tcW w:w="2580" w:type="dxa"/>
            <w:vAlign w:val="bottom"/>
            <w:tcBorders>
              <w:bottom w:val="single" w:sz="8" w:color="B2B2B2"/>
            </w:tcBorders>
          </w:tcPr>
          <w:p>
            <w:pPr>
              <w:jc w:val="center"/>
              <w:ind w:left="802"/>
              <w:spacing w:after="0"/>
              <w:rPr>
                <w:sz w:val="20"/>
                <w:szCs w:val="20"/>
                <w:color w:val="auto"/>
              </w:rPr>
            </w:pPr>
            <w:r>
              <w:rPr>
                <w:rFonts w:ascii="Arial" w:cs="Arial" w:eastAsia="Arial" w:hAnsi="Arial"/>
                <w:sz w:val="16"/>
                <w:szCs w:val="16"/>
                <w:color w:val="auto"/>
                <w:w w:val="99"/>
              </w:rPr>
              <w:t>$120-$130 million</w:t>
            </w:r>
          </w:p>
        </w:tc>
        <w:tc>
          <w:tcPr>
            <w:tcW w:w="2280" w:type="dxa"/>
            <w:vAlign w:val="bottom"/>
            <w:tcBorders>
              <w:bottom w:val="single" w:sz="8" w:color="B2B2B2"/>
            </w:tcBorders>
          </w:tcPr>
          <w:p>
            <w:pPr>
              <w:jc w:val="center"/>
              <w:ind w:left="2"/>
              <w:spacing w:after="0"/>
              <w:rPr>
                <w:sz w:val="20"/>
                <w:szCs w:val="20"/>
                <w:color w:val="auto"/>
              </w:rPr>
            </w:pPr>
            <w:r>
              <w:rPr>
                <w:rFonts w:ascii="Arial" w:cs="Arial" w:eastAsia="Arial" w:hAnsi="Arial"/>
                <w:sz w:val="16"/>
                <w:szCs w:val="16"/>
                <w:b w:val="1"/>
                <w:bCs w:val="1"/>
                <w:color w:val="auto"/>
              </w:rPr>
              <w:t>$108 million</w:t>
            </w:r>
          </w:p>
        </w:tc>
        <w:tc>
          <w:tcPr>
            <w:tcW w:w="300" w:type="dxa"/>
            <w:vAlign w:val="bottom"/>
            <w:tcBorders>
              <w:bottom w:val="single" w:sz="8" w:color="B2B2B2"/>
            </w:tcBorders>
            <w:gridSpan w:val="2"/>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92"/>
        </w:trPr>
        <w:tc>
          <w:tcPr>
            <w:tcW w:w="5660" w:type="dxa"/>
            <w:vAlign w:val="bottom"/>
            <w:tcBorders>
              <w:bottom w:val="single" w:sz="8" w:color="B2B2B2"/>
            </w:tcBorders>
          </w:tcPr>
          <w:p>
            <w:pPr>
              <w:spacing w:after="0" w:line="192" w:lineRule="exact"/>
              <w:rPr>
                <w:sz w:val="20"/>
                <w:szCs w:val="20"/>
                <w:color w:val="auto"/>
              </w:rPr>
            </w:pPr>
            <w:r>
              <w:rPr>
                <w:rFonts w:ascii="Arial" w:cs="Arial" w:eastAsia="Arial" w:hAnsi="Arial"/>
                <w:sz w:val="16"/>
                <w:szCs w:val="16"/>
                <w:b w:val="1"/>
                <w:bCs w:val="1"/>
                <w:color w:val="auto"/>
              </w:rPr>
              <w:t>  Free cash flow</w:t>
            </w:r>
            <w:r>
              <w:rPr>
                <w:rFonts w:ascii="Arial" w:cs="Arial" w:eastAsia="Arial" w:hAnsi="Arial"/>
                <w:sz w:val="19"/>
                <w:szCs w:val="19"/>
                <w:b w:val="1"/>
                <w:bCs w:val="1"/>
                <w:color w:val="auto"/>
                <w:vertAlign w:val="superscript"/>
              </w:rPr>
              <w:t>(2)</w:t>
            </w:r>
          </w:p>
        </w:tc>
        <w:tc>
          <w:tcPr>
            <w:tcW w:w="2580" w:type="dxa"/>
            <w:vAlign w:val="bottom"/>
            <w:tcBorders>
              <w:bottom w:val="single" w:sz="8" w:color="B2B2B2"/>
            </w:tcBorders>
          </w:tcPr>
          <w:p>
            <w:pPr>
              <w:jc w:val="center"/>
              <w:ind w:left="802"/>
              <w:spacing w:after="0"/>
              <w:rPr>
                <w:sz w:val="20"/>
                <w:szCs w:val="20"/>
                <w:color w:val="auto"/>
              </w:rPr>
            </w:pPr>
            <w:r>
              <w:rPr>
                <w:rFonts w:ascii="Arial" w:cs="Arial" w:eastAsia="Arial" w:hAnsi="Arial"/>
                <w:sz w:val="16"/>
                <w:szCs w:val="16"/>
                <w:color w:val="auto"/>
              </w:rPr>
              <w:t>~$1.8 billion</w:t>
            </w:r>
          </w:p>
        </w:tc>
        <w:tc>
          <w:tcPr>
            <w:tcW w:w="2280" w:type="dxa"/>
            <w:vAlign w:val="bottom"/>
            <w:tcBorders>
              <w:bottom w:val="single" w:sz="8" w:color="B2B2B2"/>
            </w:tcBorders>
          </w:tcPr>
          <w:p>
            <w:pPr>
              <w:jc w:val="center"/>
              <w:spacing w:after="0"/>
              <w:rPr>
                <w:sz w:val="20"/>
                <w:szCs w:val="20"/>
                <w:color w:val="auto"/>
              </w:rPr>
            </w:pPr>
            <w:r>
              <w:rPr>
                <w:rFonts w:ascii="Arial" w:cs="Arial" w:eastAsia="Arial" w:hAnsi="Arial"/>
                <w:sz w:val="16"/>
                <w:szCs w:val="16"/>
                <w:b w:val="1"/>
                <w:bCs w:val="1"/>
                <w:color w:val="auto"/>
                <w:w w:val="99"/>
              </w:rPr>
              <w:t>$1.8 billion</w:t>
            </w:r>
          </w:p>
        </w:tc>
        <w:tc>
          <w:tcPr>
            <w:tcW w:w="300" w:type="dxa"/>
            <w:vAlign w:val="bottom"/>
            <w:tcBorders>
              <w:bottom w:val="single" w:sz="8" w:color="B2B2B2"/>
            </w:tcBorders>
            <w:gridSpan w:val="2"/>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92"/>
        </w:trPr>
        <w:tc>
          <w:tcPr>
            <w:tcW w:w="5660" w:type="dxa"/>
            <w:vAlign w:val="bottom"/>
            <w:tcBorders>
              <w:bottom w:val="single" w:sz="8" w:color="B2B2B2"/>
            </w:tcBorders>
          </w:tcPr>
          <w:p>
            <w:pPr>
              <w:spacing w:after="0" w:line="192" w:lineRule="exact"/>
              <w:rPr>
                <w:sz w:val="20"/>
                <w:szCs w:val="20"/>
                <w:color w:val="auto"/>
              </w:rPr>
            </w:pPr>
            <w:r>
              <w:rPr>
                <w:rFonts w:ascii="Arial" w:cs="Arial" w:eastAsia="Arial" w:hAnsi="Arial"/>
                <w:sz w:val="16"/>
                <w:szCs w:val="16"/>
                <w:b w:val="1"/>
                <w:bCs w:val="1"/>
                <w:color w:val="auto"/>
              </w:rPr>
              <w:t>  Accrued capital expenditures as a percentage of revenues</w:t>
            </w:r>
            <w:r>
              <w:rPr>
                <w:rFonts w:ascii="Arial" w:cs="Arial" w:eastAsia="Arial" w:hAnsi="Arial"/>
                <w:sz w:val="19"/>
                <w:szCs w:val="19"/>
                <w:b w:val="1"/>
                <w:bCs w:val="1"/>
                <w:color w:val="auto"/>
                <w:vertAlign w:val="superscript"/>
              </w:rPr>
              <w:t>(2)</w:t>
            </w:r>
          </w:p>
        </w:tc>
        <w:tc>
          <w:tcPr>
            <w:tcW w:w="2580" w:type="dxa"/>
            <w:vAlign w:val="bottom"/>
            <w:tcBorders>
              <w:bottom w:val="single" w:sz="8" w:color="B2B2B2"/>
            </w:tcBorders>
          </w:tcPr>
          <w:p>
            <w:pPr>
              <w:jc w:val="center"/>
              <w:ind w:left="802"/>
              <w:spacing w:after="0"/>
              <w:rPr>
                <w:sz w:val="20"/>
                <w:szCs w:val="20"/>
                <w:color w:val="auto"/>
              </w:rPr>
            </w:pPr>
            <w:r>
              <w:rPr>
                <w:rFonts w:ascii="Arial" w:cs="Arial" w:eastAsia="Arial" w:hAnsi="Arial"/>
                <w:sz w:val="16"/>
                <w:szCs w:val="16"/>
                <w:color w:val="auto"/>
              </w:rPr>
              <w:t>~8.5%</w:t>
            </w:r>
          </w:p>
        </w:tc>
        <w:tc>
          <w:tcPr>
            <w:tcW w:w="2280" w:type="dxa"/>
            <w:vAlign w:val="bottom"/>
            <w:tcBorders>
              <w:bottom w:val="single" w:sz="8" w:color="B2B2B2"/>
            </w:tcBorders>
          </w:tcPr>
          <w:p>
            <w:pPr>
              <w:jc w:val="center"/>
              <w:ind w:left="2"/>
              <w:spacing w:after="0"/>
              <w:rPr>
                <w:sz w:val="20"/>
                <w:szCs w:val="20"/>
                <w:color w:val="auto"/>
              </w:rPr>
            </w:pPr>
            <w:r>
              <w:rPr>
                <w:rFonts w:ascii="Arial" w:cs="Arial" w:eastAsia="Arial" w:hAnsi="Arial"/>
                <w:sz w:val="16"/>
                <w:szCs w:val="16"/>
                <w:b w:val="1"/>
                <w:bCs w:val="1"/>
                <w:color w:val="auto"/>
                <w:w w:val="98"/>
              </w:rPr>
              <w:t>8.4%</w:t>
            </w:r>
          </w:p>
        </w:tc>
        <w:tc>
          <w:tcPr>
            <w:tcW w:w="300" w:type="dxa"/>
            <w:vAlign w:val="bottom"/>
            <w:tcBorders>
              <w:bottom w:val="single" w:sz="8" w:color="B2B2B2"/>
            </w:tcBorders>
            <w:gridSpan w:val="2"/>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52"/>
        </w:trPr>
        <w:tc>
          <w:tcPr>
            <w:tcW w:w="5660" w:type="dxa"/>
            <w:vAlign w:val="bottom"/>
          </w:tcPr>
          <w:p>
            <w:pPr>
              <w:spacing w:after="0" w:line="152" w:lineRule="exact"/>
              <w:rPr>
                <w:sz w:val="20"/>
                <w:szCs w:val="20"/>
                <w:color w:val="auto"/>
              </w:rPr>
            </w:pPr>
            <w:r>
              <w:rPr>
                <w:rFonts w:ascii="Arial" w:cs="Arial" w:eastAsia="Arial" w:hAnsi="Arial"/>
                <w:sz w:val="16"/>
                <w:szCs w:val="16"/>
                <w:b w:val="1"/>
                <w:bCs w:val="1"/>
                <w:color w:val="auto"/>
              </w:rPr>
              <w:t>  Depreciation and amortization of computer software</w:t>
            </w:r>
          </w:p>
        </w:tc>
        <w:tc>
          <w:tcPr>
            <w:tcW w:w="2580" w:type="dxa"/>
            <w:vAlign w:val="bottom"/>
          </w:tcPr>
          <w:p>
            <w:pPr>
              <w:jc w:val="center"/>
              <w:ind w:left="762"/>
              <w:spacing w:after="0" w:line="152" w:lineRule="exact"/>
              <w:rPr>
                <w:sz w:val="20"/>
                <w:szCs w:val="20"/>
                <w:color w:val="auto"/>
              </w:rPr>
            </w:pPr>
            <w:r>
              <w:rPr>
                <w:rFonts w:ascii="Arial" w:cs="Arial" w:eastAsia="Arial" w:hAnsi="Arial"/>
                <w:sz w:val="16"/>
                <w:szCs w:val="16"/>
                <w:color w:val="auto"/>
                <w:w w:val="96"/>
              </w:rPr>
              <w:t>$730-$750 million </w:t>
            </w:r>
          </w:p>
        </w:tc>
        <w:tc>
          <w:tcPr>
            <w:tcW w:w="2280" w:type="dxa"/>
            <w:vAlign w:val="bottom"/>
          </w:tcPr>
          <w:p>
            <w:pPr>
              <w:jc w:val="center"/>
              <w:ind w:left="2"/>
              <w:spacing w:after="0" w:line="152" w:lineRule="exact"/>
              <w:rPr>
                <w:sz w:val="20"/>
                <w:szCs w:val="20"/>
                <w:color w:val="auto"/>
              </w:rPr>
            </w:pPr>
            <w:r>
              <w:rPr>
                <w:rFonts w:ascii="Arial" w:cs="Arial" w:eastAsia="Arial" w:hAnsi="Arial"/>
                <w:sz w:val="16"/>
                <w:szCs w:val="16"/>
                <w:b w:val="1"/>
                <w:bCs w:val="1"/>
                <w:color w:val="auto"/>
              </w:rPr>
              <w:t>$732 million</w:t>
            </w:r>
          </w:p>
        </w:tc>
        <w:tc>
          <w:tcPr>
            <w:tcW w:w="300" w:type="dxa"/>
            <w:vAlign w:val="bottom"/>
            <w:gridSpan w:val="2"/>
          </w:tcPr>
          <w:p>
            <w:pPr>
              <w:ind w:left="160"/>
              <w:spacing w:after="0" w:line="152" w:lineRule="exact"/>
              <w:rPr>
                <w:sz w:val="20"/>
                <w:szCs w:val="20"/>
                <w:color w:val="auto"/>
              </w:rPr>
            </w:pPr>
            <w:r>
              <w:rPr>
                <w:rFonts w:ascii="MS PGothic" w:cs="MS PGothic" w:eastAsia="MS PGothic" w:hAnsi="MS PGothic"/>
                <w:sz w:val="16"/>
                <w:szCs w:val="16"/>
                <w:color w:val="auto"/>
                <w:w w:val="74"/>
              </w:rPr>
              <w:t>✓</w:t>
            </w:r>
          </w:p>
        </w:tc>
      </w:tr>
      <w:tr>
        <w:trPr>
          <w:trHeight w:val="186"/>
        </w:trPr>
        <w:tc>
          <w:tcPr>
            <w:tcW w:w="5660" w:type="dxa"/>
            <w:vAlign w:val="bottom"/>
          </w:tcPr>
          <w:p>
            <w:pPr>
              <w:ind w:left="180"/>
              <w:spacing w:after="0"/>
              <w:rPr>
                <w:sz w:val="20"/>
                <w:szCs w:val="20"/>
                <w:color w:val="auto"/>
              </w:rPr>
            </w:pPr>
            <w:r>
              <w:rPr>
                <w:rFonts w:ascii="Arial" w:cs="Arial" w:eastAsia="Arial" w:hAnsi="Arial"/>
                <w:sz w:val="14"/>
                <w:szCs w:val="14"/>
                <w:b w:val="1"/>
                <w:bCs w:val="1"/>
                <w:color w:val="auto"/>
              </w:rPr>
              <w:t>  Depreciation and amortization of internally developed software</w:t>
            </w:r>
          </w:p>
        </w:tc>
        <w:tc>
          <w:tcPr>
            <w:tcW w:w="2580" w:type="dxa"/>
            <w:vAlign w:val="bottom"/>
          </w:tcPr>
          <w:p>
            <w:pPr>
              <w:jc w:val="center"/>
              <w:ind w:left="782"/>
              <w:spacing w:after="0"/>
              <w:rPr>
                <w:sz w:val="20"/>
                <w:szCs w:val="20"/>
                <w:color w:val="auto"/>
              </w:rPr>
            </w:pPr>
            <w:r>
              <w:rPr>
                <w:rFonts w:ascii="Arial" w:cs="Arial" w:eastAsia="Arial" w:hAnsi="Arial"/>
                <w:sz w:val="14"/>
                <w:szCs w:val="14"/>
                <w:color w:val="auto"/>
              </w:rPr>
              <w:t>$580-$600 million</w:t>
            </w:r>
          </w:p>
        </w:tc>
        <w:tc>
          <w:tcPr>
            <w:tcW w:w="2280" w:type="dxa"/>
            <w:vAlign w:val="bottom"/>
          </w:tcPr>
          <w:p>
            <w:pPr>
              <w:jc w:val="center"/>
              <w:ind w:left="2"/>
              <w:spacing w:after="0"/>
              <w:rPr>
                <w:sz w:val="20"/>
                <w:szCs w:val="20"/>
                <w:color w:val="auto"/>
              </w:rPr>
            </w:pPr>
            <w:r>
              <w:rPr>
                <w:rFonts w:ascii="Arial" w:cs="Arial" w:eastAsia="Arial" w:hAnsi="Arial"/>
                <w:sz w:val="14"/>
                <w:szCs w:val="14"/>
                <w:b w:val="1"/>
                <w:bCs w:val="1"/>
                <w:color w:val="auto"/>
                <w:w w:val="99"/>
              </w:rPr>
              <w:t>$585 million</w:t>
            </w:r>
          </w:p>
        </w:tc>
        <w:tc>
          <w:tcPr>
            <w:tcW w:w="300" w:type="dxa"/>
            <w:vAlign w:val="bottom"/>
            <w:gridSpan w:val="2"/>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99"/>
        </w:trPr>
        <w:tc>
          <w:tcPr>
            <w:tcW w:w="5660" w:type="dxa"/>
            <w:vAlign w:val="bottom"/>
          </w:tcPr>
          <w:p>
            <w:pPr>
              <w:ind w:left="180"/>
              <w:spacing w:after="0"/>
              <w:rPr>
                <w:sz w:val="20"/>
                <w:szCs w:val="20"/>
                <w:color w:val="auto"/>
              </w:rPr>
            </w:pPr>
            <w:r>
              <w:rPr>
                <w:rFonts w:ascii="Arial" w:cs="Arial" w:eastAsia="Arial" w:hAnsi="Arial"/>
                <w:sz w:val="14"/>
                <w:szCs w:val="14"/>
                <w:b w:val="1"/>
                <w:bCs w:val="1"/>
                <w:color w:val="auto"/>
              </w:rPr>
              <w:t>  Amortization of acquired software</w:t>
            </w:r>
          </w:p>
        </w:tc>
        <w:tc>
          <w:tcPr>
            <w:tcW w:w="2580" w:type="dxa"/>
            <w:vAlign w:val="bottom"/>
          </w:tcPr>
          <w:p>
            <w:pPr>
              <w:jc w:val="center"/>
              <w:ind w:left="782"/>
              <w:spacing w:after="0"/>
              <w:rPr>
                <w:sz w:val="20"/>
                <w:szCs w:val="20"/>
                <w:color w:val="auto"/>
              </w:rPr>
            </w:pPr>
            <w:r>
              <w:rPr>
                <w:rFonts w:ascii="Arial" w:cs="Arial" w:eastAsia="Arial" w:hAnsi="Arial"/>
                <w:sz w:val="14"/>
                <w:szCs w:val="14"/>
                <w:color w:val="auto"/>
              </w:rPr>
              <w:t>~$150 million</w:t>
            </w:r>
          </w:p>
        </w:tc>
        <w:tc>
          <w:tcPr>
            <w:tcW w:w="2280" w:type="dxa"/>
            <w:vAlign w:val="bottom"/>
          </w:tcPr>
          <w:p>
            <w:pPr>
              <w:jc w:val="center"/>
              <w:ind w:left="2"/>
              <w:spacing w:after="0"/>
              <w:rPr>
                <w:sz w:val="20"/>
                <w:szCs w:val="20"/>
                <w:color w:val="auto"/>
              </w:rPr>
            </w:pPr>
            <w:r>
              <w:rPr>
                <w:rFonts w:ascii="Arial" w:cs="Arial" w:eastAsia="Arial" w:hAnsi="Arial"/>
                <w:sz w:val="14"/>
                <w:szCs w:val="14"/>
                <w:b w:val="1"/>
                <w:bCs w:val="1"/>
                <w:color w:val="auto"/>
                <w:w w:val="99"/>
              </w:rPr>
              <w:t>$147 million</w:t>
            </w:r>
          </w:p>
        </w:tc>
        <w:tc>
          <w:tcPr>
            <w:tcW w:w="300" w:type="dxa"/>
            <w:vAlign w:val="bottom"/>
            <w:gridSpan w:val="2"/>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92"/>
        </w:trPr>
        <w:tc>
          <w:tcPr>
            <w:tcW w:w="5660" w:type="dxa"/>
            <w:vAlign w:val="bottom"/>
            <w:tcBorders>
              <w:top w:val="single" w:sz="8" w:color="B2B2B2"/>
              <w:bottom w:val="single" w:sz="8" w:color="B2B2B2"/>
            </w:tcBorders>
          </w:tcPr>
          <w:p>
            <w:pPr>
              <w:spacing w:after="0"/>
              <w:rPr>
                <w:sz w:val="20"/>
                <w:szCs w:val="20"/>
                <w:color w:val="auto"/>
              </w:rPr>
            </w:pPr>
            <w:r>
              <w:rPr>
                <w:rFonts w:ascii="Arial" w:cs="Arial" w:eastAsia="Arial" w:hAnsi="Arial"/>
                <w:sz w:val="16"/>
                <w:szCs w:val="16"/>
                <w:b w:val="1"/>
                <w:bCs w:val="1"/>
                <w:color w:val="auto"/>
              </w:rPr>
              <w:t>  Interest expense</w:t>
            </w:r>
          </w:p>
        </w:tc>
        <w:tc>
          <w:tcPr>
            <w:tcW w:w="2580" w:type="dxa"/>
            <w:vAlign w:val="bottom"/>
            <w:tcBorders>
              <w:top w:val="single" w:sz="8" w:color="B2B2B2"/>
              <w:bottom w:val="single" w:sz="8" w:color="B2B2B2"/>
            </w:tcBorders>
          </w:tcPr>
          <w:p>
            <w:pPr>
              <w:jc w:val="center"/>
              <w:ind w:left="762"/>
              <w:spacing w:after="0"/>
              <w:rPr>
                <w:sz w:val="20"/>
                <w:szCs w:val="20"/>
                <w:color w:val="auto"/>
              </w:rPr>
            </w:pPr>
            <w:r>
              <w:rPr>
                <w:rFonts w:ascii="Arial" w:cs="Arial" w:eastAsia="Arial" w:hAnsi="Arial"/>
                <w:sz w:val="16"/>
                <w:szCs w:val="16"/>
                <w:color w:val="auto"/>
                <w:w w:val="96"/>
              </w:rPr>
              <w:t>$125-$145 million </w:t>
            </w:r>
          </w:p>
        </w:tc>
        <w:tc>
          <w:tcPr>
            <w:tcW w:w="2280" w:type="dxa"/>
            <w:vAlign w:val="bottom"/>
            <w:tcBorders>
              <w:top w:val="single" w:sz="8" w:color="B2B2B2"/>
              <w:bottom w:val="single" w:sz="8" w:color="B2B2B2"/>
            </w:tcBorders>
          </w:tcPr>
          <w:p>
            <w:pPr>
              <w:jc w:val="center"/>
              <w:ind w:left="2"/>
              <w:spacing w:after="0"/>
              <w:rPr>
                <w:sz w:val="20"/>
                <w:szCs w:val="20"/>
                <w:color w:val="auto"/>
              </w:rPr>
            </w:pPr>
            <w:r>
              <w:rPr>
                <w:rFonts w:ascii="Arial" w:cs="Arial" w:eastAsia="Arial" w:hAnsi="Arial"/>
                <w:sz w:val="16"/>
                <w:szCs w:val="16"/>
                <w:b w:val="1"/>
                <w:bCs w:val="1"/>
                <w:color w:val="auto"/>
              </w:rPr>
              <w:t>$125 million</w:t>
            </w:r>
          </w:p>
        </w:tc>
        <w:tc>
          <w:tcPr>
            <w:tcW w:w="280" w:type="dxa"/>
            <w:vAlign w:val="bottom"/>
            <w:tcBorders>
              <w:top w:val="single" w:sz="8" w:color="B2B2B2"/>
              <w:bottom w:val="single" w:sz="8" w:color="B2B2B2"/>
            </w:tcBorders>
          </w:tcPr>
          <w:p>
            <w:pPr>
              <w:ind w:left="160"/>
              <w:spacing w:after="0" w:line="141" w:lineRule="exact"/>
              <w:rPr>
                <w:sz w:val="20"/>
                <w:szCs w:val="20"/>
                <w:color w:val="auto"/>
              </w:rPr>
            </w:pPr>
            <w:r>
              <w:rPr>
                <w:rFonts w:ascii="MS PGothic" w:cs="MS PGothic" w:eastAsia="MS PGothic" w:hAnsi="MS PGothic"/>
                <w:sz w:val="14"/>
                <w:szCs w:val="14"/>
                <w:color w:val="auto"/>
                <w:w w:val="71"/>
              </w:rPr>
              <w:t>✓</w:t>
            </w:r>
          </w:p>
        </w:tc>
        <w:tc>
          <w:tcPr>
            <w:tcW w:w="20" w:type="dxa"/>
            <w:vAlign w:val="bottom"/>
            <w:tcBorders>
              <w:bottom w:val="single" w:sz="8" w:color="B2B2B2"/>
            </w:tcBorders>
          </w:tcPr>
          <w:p>
            <w:pPr>
              <w:spacing w:after="0"/>
              <w:rPr>
                <w:sz w:val="16"/>
                <w:szCs w:val="16"/>
                <w:color w:val="auto"/>
              </w:rPr>
            </w:pPr>
          </w:p>
        </w:tc>
      </w:tr>
      <w:tr>
        <w:trPr>
          <w:trHeight w:val="271"/>
        </w:trPr>
        <w:tc>
          <w:tcPr>
            <w:tcW w:w="5660" w:type="dxa"/>
            <w:vAlign w:val="bottom"/>
          </w:tcPr>
          <w:p>
            <w:pPr>
              <w:spacing w:after="0"/>
              <w:rPr>
                <w:sz w:val="20"/>
                <w:szCs w:val="20"/>
                <w:color w:val="auto"/>
              </w:rPr>
            </w:pPr>
            <w:r>
              <w:rPr>
                <w:rFonts w:ascii="Arial" w:cs="Arial" w:eastAsia="Arial" w:hAnsi="Arial"/>
                <w:sz w:val="16"/>
                <w:szCs w:val="16"/>
                <w:b w:val="1"/>
                <w:bCs w:val="1"/>
                <w:color w:val="auto"/>
              </w:rPr>
              <w:t>  Effective tax rate on adjusted earnings</w:t>
            </w:r>
            <w:r>
              <w:rPr>
                <w:rFonts w:ascii="Arial" w:cs="Arial" w:eastAsia="Arial" w:hAnsi="Arial"/>
                <w:sz w:val="19"/>
                <w:szCs w:val="19"/>
                <w:b w:val="1"/>
                <w:bCs w:val="1"/>
                <w:color w:val="auto"/>
                <w:vertAlign w:val="superscript"/>
              </w:rPr>
              <w:t>(2)(3)</w:t>
            </w:r>
          </w:p>
        </w:tc>
        <w:tc>
          <w:tcPr>
            <w:tcW w:w="2580" w:type="dxa"/>
            <w:vAlign w:val="bottom"/>
          </w:tcPr>
          <w:p>
            <w:pPr>
              <w:jc w:val="center"/>
              <w:ind w:left="802"/>
              <w:spacing w:after="0"/>
              <w:rPr>
                <w:sz w:val="20"/>
                <w:szCs w:val="20"/>
                <w:color w:val="auto"/>
              </w:rPr>
            </w:pPr>
            <w:r>
              <w:rPr>
                <w:rFonts w:ascii="Arial" w:cs="Arial" w:eastAsia="Arial" w:hAnsi="Arial"/>
                <w:sz w:val="16"/>
                <w:szCs w:val="16"/>
                <w:color w:val="auto"/>
              </w:rPr>
              <w:t>~18%</w:t>
            </w:r>
          </w:p>
        </w:tc>
        <w:tc>
          <w:tcPr>
            <w:tcW w:w="2280" w:type="dxa"/>
            <w:vAlign w:val="bottom"/>
          </w:tcPr>
          <w:p>
            <w:pPr>
              <w:jc w:val="center"/>
              <w:ind w:left="2"/>
              <w:spacing w:after="0"/>
              <w:rPr>
                <w:sz w:val="20"/>
                <w:szCs w:val="20"/>
                <w:color w:val="auto"/>
              </w:rPr>
            </w:pPr>
            <w:r>
              <w:rPr>
                <w:rFonts w:ascii="Arial" w:cs="Arial" w:eastAsia="Arial" w:hAnsi="Arial"/>
                <w:sz w:val="16"/>
                <w:szCs w:val="16"/>
                <w:b w:val="1"/>
                <w:bCs w:val="1"/>
                <w:color w:val="auto"/>
                <w:w w:val="96"/>
              </w:rPr>
              <w:t>17.9%</w:t>
            </w:r>
          </w:p>
        </w:tc>
        <w:tc>
          <w:tcPr>
            <w:tcW w:w="300" w:type="dxa"/>
            <w:vAlign w:val="bottom"/>
            <w:gridSpan w:val="2"/>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72"/>
        </w:trPr>
        <w:tc>
          <w:tcPr>
            <w:tcW w:w="5660" w:type="dxa"/>
            <w:vAlign w:val="bottom"/>
            <w:shd w:val="clear" w:color="auto" w:fill="1F473D"/>
          </w:tcPr>
          <w:p>
            <w:pPr>
              <w:spacing w:after="0"/>
              <w:rPr>
                <w:sz w:val="14"/>
                <w:szCs w:val="14"/>
                <w:color w:val="auto"/>
              </w:rPr>
            </w:pPr>
          </w:p>
        </w:tc>
        <w:tc>
          <w:tcPr>
            <w:tcW w:w="2580" w:type="dxa"/>
            <w:vAlign w:val="bottom"/>
            <w:shd w:val="clear" w:color="auto" w:fill="1F473D"/>
          </w:tcPr>
          <w:p>
            <w:pPr>
              <w:jc w:val="center"/>
              <w:ind w:left="782"/>
              <w:spacing w:after="0" w:line="172" w:lineRule="exact"/>
              <w:rPr>
                <w:sz w:val="20"/>
                <w:szCs w:val="20"/>
                <w:color w:val="auto"/>
              </w:rPr>
            </w:pPr>
            <w:r>
              <w:rPr>
                <w:rFonts w:ascii="Arial" w:cs="Arial" w:eastAsia="Arial" w:hAnsi="Arial"/>
                <w:sz w:val="16"/>
                <w:szCs w:val="16"/>
                <w:b w:val="1"/>
                <w:bCs w:val="1"/>
                <w:color w:val="FFFFFF"/>
              </w:rPr>
              <w:t>2024</w:t>
            </w:r>
          </w:p>
        </w:tc>
        <w:tc>
          <w:tcPr>
            <w:tcW w:w="2280" w:type="dxa"/>
            <w:vAlign w:val="bottom"/>
            <w:shd w:val="clear" w:color="auto" w:fill="1F473D"/>
          </w:tcPr>
          <w:p>
            <w:pPr>
              <w:jc w:val="center"/>
              <w:spacing w:after="0" w:line="172" w:lineRule="exact"/>
              <w:rPr>
                <w:sz w:val="20"/>
                <w:szCs w:val="20"/>
                <w:color w:val="auto"/>
              </w:rPr>
            </w:pPr>
            <w:r>
              <w:rPr>
                <w:rFonts w:ascii="Arial" w:cs="Arial" w:eastAsia="Arial" w:hAnsi="Arial"/>
                <w:sz w:val="16"/>
                <w:szCs w:val="16"/>
                <w:b w:val="1"/>
                <w:bCs w:val="1"/>
                <w:color w:val="FFFFFF"/>
                <w:w w:val="99"/>
              </w:rPr>
              <w:t>2024 Actual Performance</w:t>
            </w:r>
          </w:p>
        </w:tc>
        <w:tc>
          <w:tcPr>
            <w:tcW w:w="280" w:type="dxa"/>
            <w:vAlign w:val="bottom"/>
            <w:shd w:val="clear" w:color="auto" w:fill="1F473D"/>
          </w:tcPr>
          <w:p>
            <w:pPr>
              <w:spacing w:after="0"/>
              <w:rPr>
                <w:sz w:val="14"/>
                <w:szCs w:val="14"/>
                <w:color w:val="auto"/>
              </w:rPr>
            </w:pPr>
          </w:p>
        </w:tc>
        <w:tc>
          <w:tcPr>
            <w:tcW w:w="20" w:type="dxa"/>
            <w:vAlign w:val="bottom"/>
          </w:tcPr>
          <w:p>
            <w:pPr>
              <w:spacing w:after="0"/>
              <w:rPr>
                <w:sz w:val="14"/>
                <w:szCs w:val="14"/>
                <w:color w:val="auto"/>
              </w:rPr>
            </w:pPr>
          </w:p>
        </w:tc>
      </w:tr>
      <w:tr>
        <w:trPr>
          <w:trHeight w:val="213"/>
        </w:trPr>
        <w:tc>
          <w:tcPr>
            <w:tcW w:w="5660" w:type="dxa"/>
            <w:vAlign w:val="bottom"/>
            <w:shd w:val="clear" w:color="auto" w:fill="1F473D"/>
          </w:tcPr>
          <w:p>
            <w:pPr>
              <w:spacing w:after="0" w:line="213" w:lineRule="exact"/>
              <w:rPr>
                <w:sz w:val="20"/>
                <w:szCs w:val="20"/>
                <w:color w:val="auto"/>
              </w:rPr>
            </w:pPr>
            <w:r>
              <w:rPr>
                <w:rFonts w:ascii="Arial" w:cs="Arial" w:eastAsia="Arial" w:hAnsi="Arial"/>
                <w:sz w:val="16"/>
                <w:szCs w:val="16"/>
                <w:b w:val="1"/>
                <w:bCs w:val="1"/>
                <w:color w:val="FFFFFF"/>
              </w:rPr>
              <w:t>  “Big 3” Segments</w:t>
            </w:r>
            <w:r>
              <w:rPr>
                <w:rFonts w:ascii="Arial" w:cs="Arial" w:eastAsia="Arial" w:hAnsi="Arial"/>
                <w:sz w:val="19"/>
                <w:szCs w:val="19"/>
                <w:b w:val="1"/>
                <w:bCs w:val="1"/>
                <w:color w:val="FFFFFF"/>
                <w:vertAlign w:val="superscript"/>
              </w:rPr>
              <w:t>(2)</w:t>
            </w:r>
          </w:p>
        </w:tc>
        <w:tc>
          <w:tcPr>
            <w:tcW w:w="2580" w:type="dxa"/>
            <w:vAlign w:val="bottom"/>
            <w:shd w:val="clear" w:color="auto" w:fill="1F473D"/>
          </w:tcPr>
          <w:p>
            <w:pPr>
              <w:jc w:val="center"/>
              <w:ind w:left="782"/>
              <w:spacing w:after="0"/>
              <w:rPr>
                <w:sz w:val="20"/>
                <w:szCs w:val="20"/>
                <w:color w:val="auto"/>
              </w:rPr>
            </w:pPr>
            <w:r>
              <w:rPr>
                <w:rFonts w:ascii="Arial" w:cs="Arial" w:eastAsia="Arial" w:hAnsi="Arial"/>
                <w:sz w:val="16"/>
                <w:szCs w:val="16"/>
                <w:b w:val="1"/>
                <w:bCs w:val="1"/>
                <w:color w:val="FFFFFF"/>
                <w:w w:val="99"/>
              </w:rPr>
              <w:t>Updated Outlook</w:t>
            </w:r>
          </w:p>
        </w:tc>
        <w:tc>
          <w:tcPr>
            <w:tcW w:w="2280" w:type="dxa"/>
            <w:vAlign w:val="bottom"/>
            <w:shd w:val="clear" w:color="auto" w:fill="1F473D"/>
          </w:tcPr>
          <w:p>
            <w:pPr>
              <w:jc w:val="center"/>
              <w:ind w:left="2"/>
              <w:spacing w:after="0" w:line="213" w:lineRule="exact"/>
              <w:rPr>
                <w:sz w:val="20"/>
                <w:szCs w:val="20"/>
                <w:color w:val="auto"/>
              </w:rPr>
            </w:pPr>
            <w:r>
              <w:rPr>
                <w:rFonts w:ascii="Arial" w:cs="Arial" w:eastAsia="Arial" w:hAnsi="Arial"/>
                <w:sz w:val="16"/>
                <w:szCs w:val="16"/>
                <w:b w:val="1"/>
                <w:bCs w:val="1"/>
                <w:color w:val="FFFFFF"/>
                <w:w w:val="96"/>
              </w:rPr>
              <w:t xml:space="preserve">(Before currency) </w:t>
            </w:r>
            <w:r>
              <w:rPr>
                <w:rFonts w:ascii="Arial" w:cs="Arial" w:eastAsia="Arial" w:hAnsi="Arial"/>
                <w:sz w:val="19"/>
                <w:szCs w:val="19"/>
                <w:b w:val="1"/>
                <w:bCs w:val="1"/>
                <w:color w:val="FFFFFF"/>
                <w:w w:val="96"/>
                <w:vertAlign w:val="superscript"/>
              </w:rPr>
              <w:t>(1)</w:t>
            </w:r>
          </w:p>
        </w:tc>
        <w:tc>
          <w:tcPr>
            <w:tcW w:w="280" w:type="dxa"/>
            <w:vAlign w:val="bottom"/>
            <w:shd w:val="clear" w:color="auto" w:fill="1F473D"/>
          </w:tcPr>
          <w:p>
            <w:pPr>
              <w:spacing w:after="0"/>
              <w:rPr>
                <w:sz w:val="18"/>
                <w:szCs w:val="18"/>
                <w:color w:val="auto"/>
              </w:rPr>
            </w:pPr>
          </w:p>
        </w:tc>
        <w:tc>
          <w:tcPr>
            <w:tcW w:w="20" w:type="dxa"/>
            <w:vAlign w:val="bottom"/>
          </w:tcPr>
          <w:p>
            <w:pPr>
              <w:spacing w:after="0"/>
              <w:rPr>
                <w:sz w:val="18"/>
                <w:szCs w:val="18"/>
                <w:color w:val="auto"/>
              </w:rPr>
            </w:pPr>
          </w:p>
        </w:tc>
      </w:tr>
      <w:tr>
        <w:trPr>
          <w:trHeight w:val="159"/>
        </w:trPr>
        <w:tc>
          <w:tcPr>
            <w:tcW w:w="5660" w:type="dxa"/>
            <w:vAlign w:val="bottom"/>
          </w:tcPr>
          <w:p>
            <w:pPr>
              <w:spacing w:after="0" w:line="159" w:lineRule="exact"/>
              <w:rPr>
                <w:sz w:val="20"/>
                <w:szCs w:val="20"/>
                <w:color w:val="auto"/>
              </w:rPr>
            </w:pPr>
            <w:r>
              <w:rPr>
                <w:rFonts w:ascii="Arial" w:cs="Arial" w:eastAsia="Arial" w:hAnsi="Arial"/>
                <w:sz w:val="16"/>
                <w:szCs w:val="16"/>
                <w:b w:val="1"/>
                <w:bCs w:val="1"/>
                <w:color w:val="auto"/>
              </w:rPr>
              <w:t>  Revenue growth</w:t>
            </w:r>
          </w:p>
        </w:tc>
        <w:tc>
          <w:tcPr>
            <w:tcW w:w="2580" w:type="dxa"/>
            <w:vAlign w:val="bottom"/>
          </w:tcPr>
          <w:p>
            <w:pPr>
              <w:jc w:val="center"/>
              <w:ind w:left="802"/>
              <w:spacing w:after="0" w:line="159" w:lineRule="exact"/>
              <w:rPr>
                <w:sz w:val="20"/>
                <w:szCs w:val="20"/>
                <w:color w:val="auto"/>
              </w:rPr>
            </w:pPr>
            <w:r>
              <w:rPr>
                <w:rFonts w:ascii="Arial" w:cs="Arial" w:eastAsia="Arial" w:hAnsi="Arial"/>
                <w:sz w:val="16"/>
                <w:szCs w:val="16"/>
                <w:color w:val="auto"/>
              </w:rPr>
              <w:t>~8.5%</w:t>
            </w:r>
          </w:p>
        </w:tc>
        <w:tc>
          <w:tcPr>
            <w:tcW w:w="2280" w:type="dxa"/>
            <w:vAlign w:val="bottom"/>
          </w:tcPr>
          <w:p>
            <w:pPr>
              <w:jc w:val="center"/>
              <w:ind w:left="2"/>
              <w:spacing w:after="0" w:line="159" w:lineRule="exact"/>
              <w:rPr>
                <w:sz w:val="20"/>
                <w:szCs w:val="20"/>
                <w:color w:val="auto"/>
              </w:rPr>
            </w:pPr>
            <w:r>
              <w:rPr>
                <w:rFonts w:ascii="Arial" w:cs="Arial" w:eastAsia="Arial" w:hAnsi="Arial"/>
                <w:sz w:val="16"/>
                <w:szCs w:val="16"/>
                <w:b w:val="1"/>
                <w:bCs w:val="1"/>
                <w:color w:val="auto"/>
                <w:w w:val="98"/>
              </w:rPr>
              <w:t>8.4%</w:t>
            </w:r>
          </w:p>
        </w:tc>
        <w:tc>
          <w:tcPr>
            <w:tcW w:w="2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71"/>
              </w:rPr>
              <w:t>✓</w:t>
            </w:r>
          </w:p>
        </w:tc>
        <w:tc>
          <w:tcPr>
            <w:tcW w:w="20" w:type="dxa"/>
            <w:vAlign w:val="bottom"/>
          </w:tcPr>
          <w:p>
            <w:pPr>
              <w:spacing w:after="0"/>
              <w:rPr>
                <w:sz w:val="13"/>
                <w:szCs w:val="13"/>
                <w:color w:val="auto"/>
              </w:rPr>
            </w:pPr>
          </w:p>
        </w:tc>
      </w:tr>
      <w:tr>
        <w:trPr>
          <w:trHeight w:val="239"/>
        </w:trPr>
        <w:tc>
          <w:tcPr>
            <w:tcW w:w="5660" w:type="dxa"/>
            <w:vAlign w:val="bottom"/>
          </w:tcPr>
          <w:p>
            <w:pPr>
              <w:ind w:left="180"/>
              <w:spacing w:after="0"/>
              <w:rPr>
                <w:sz w:val="20"/>
                <w:szCs w:val="20"/>
                <w:color w:val="auto"/>
              </w:rPr>
            </w:pPr>
            <w:r>
              <w:rPr>
                <w:rFonts w:ascii="Arial" w:cs="Arial" w:eastAsia="Arial" w:hAnsi="Arial"/>
                <w:sz w:val="14"/>
                <w:szCs w:val="14"/>
                <w:b w:val="1"/>
                <w:bCs w:val="1"/>
                <w:color w:val="auto"/>
              </w:rPr>
              <w:t>   </w:t>
            </w:r>
            <w:r>
              <w:rPr>
                <w:rFonts w:ascii="Arial" w:cs="Arial" w:eastAsia="Arial" w:hAnsi="Arial"/>
                <w:sz w:val="14"/>
                <w:szCs w:val="14"/>
                <w:b w:val="1"/>
                <w:bCs w:val="1"/>
                <w:i w:val="1"/>
                <w:iCs w:val="1"/>
                <w:color w:val="auto"/>
              </w:rPr>
              <w:t>Organic revenue growth</w:t>
            </w:r>
          </w:p>
        </w:tc>
        <w:tc>
          <w:tcPr>
            <w:tcW w:w="2580" w:type="dxa"/>
            <w:vAlign w:val="bottom"/>
          </w:tcPr>
          <w:p>
            <w:pPr>
              <w:jc w:val="center"/>
              <w:ind w:left="782"/>
              <w:spacing w:after="0"/>
              <w:rPr>
                <w:sz w:val="20"/>
                <w:szCs w:val="20"/>
                <w:color w:val="auto"/>
              </w:rPr>
            </w:pPr>
            <w:r>
              <w:rPr>
                <w:rFonts w:ascii="Arial" w:cs="Arial" w:eastAsia="Arial" w:hAnsi="Arial"/>
                <w:sz w:val="14"/>
                <w:szCs w:val="14"/>
                <w:i w:val="1"/>
                <w:iCs w:val="1"/>
                <w:color w:val="auto"/>
                <w:w w:val="99"/>
              </w:rPr>
              <w:t>~8.5%</w:t>
            </w:r>
          </w:p>
        </w:tc>
        <w:tc>
          <w:tcPr>
            <w:tcW w:w="2280" w:type="dxa"/>
            <w:vAlign w:val="bottom"/>
          </w:tcPr>
          <w:p>
            <w:pPr>
              <w:jc w:val="center"/>
              <w:ind w:left="2"/>
              <w:spacing w:after="0"/>
              <w:rPr>
                <w:sz w:val="20"/>
                <w:szCs w:val="20"/>
                <w:color w:val="auto"/>
              </w:rPr>
            </w:pPr>
            <w:r>
              <w:rPr>
                <w:rFonts w:ascii="Arial" w:cs="Arial" w:eastAsia="Arial" w:hAnsi="Arial"/>
                <w:sz w:val="14"/>
                <w:szCs w:val="14"/>
                <w:b w:val="1"/>
                <w:bCs w:val="1"/>
                <w:i w:val="1"/>
                <w:iCs w:val="1"/>
                <w:color w:val="auto"/>
              </w:rPr>
              <w:t>8.7%</w:t>
            </w:r>
          </w:p>
        </w:tc>
        <w:tc>
          <w:tcPr>
            <w:tcW w:w="300" w:type="dxa"/>
            <w:vAlign w:val="bottom"/>
            <w:gridSpan w:val="2"/>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1"/>
        </w:trPr>
        <w:tc>
          <w:tcPr>
            <w:tcW w:w="5660" w:type="dxa"/>
            <w:vAlign w:val="bottom"/>
            <w:tcBorders>
              <w:top w:val="single" w:sz="8" w:color="B2B2B2"/>
            </w:tcBorders>
          </w:tcPr>
          <w:p>
            <w:pPr>
              <w:spacing w:after="0"/>
              <w:rPr>
                <w:sz w:val="20"/>
                <w:szCs w:val="20"/>
                <w:color w:val="auto"/>
              </w:rPr>
            </w:pPr>
            <w:r>
              <w:rPr>
                <w:rFonts w:ascii="Arial" w:cs="Arial" w:eastAsia="Arial" w:hAnsi="Arial"/>
                <w:sz w:val="16"/>
                <w:szCs w:val="16"/>
                <w:b w:val="1"/>
                <w:bCs w:val="1"/>
                <w:color w:val="auto"/>
              </w:rPr>
              <w:t>  Adjusted EBITDA margin</w:t>
            </w:r>
          </w:p>
        </w:tc>
        <w:tc>
          <w:tcPr>
            <w:tcW w:w="2580" w:type="dxa"/>
            <w:vAlign w:val="bottom"/>
            <w:tcBorders>
              <w:top w:val="single" w:sz="8" w:color="B2B2B2"/>
            </w:tcBorders>
          </w:tcPr>
          <w:p>
            <w:pPr>
              <w:jc w:val="center"/>
              <w:ind w:left="802"/>
              <w:spacing w:after="0"/>
              <w:rPr>
                <w:sz w:val="20"/>
                <w:szCs w:val="20"/>
                <w:color w:val="auto"/>
              </w:rPr>
            </w:pPr>
            <w:r>
              <w:rPr>
                <w:rFonts w:ascii="Arial" w:cs="Arial" w:eastAsia="Arial" w:hAnsi="Arial"/>
                <w:sz w:val="16"/>
                <w:szCs w:val="16"/>
                <w:color w:val="auto"/>
              </w:rPr>
              <w:t>~43%</w:t>
            </w:r>
          </w:p>
        </w:tc>
        <w:tc>
          <w:tcPr>
            <w:tcW w:w="2280" w:type="dxa"/>
            <w:vAlign w:val="bottom"/>
            <w:tcBorders>
              <w:top w:val="single" w:sz="8" w:color="B2B2B2"/>
            </w:tcBorders>
          </w:tcPr>
          <w:p>
            <w:pPr>
              <w:jc w:val="center"/>
              <w:ind w:left="2"/>
              <w:spacing w:after="0"/>
              <w:rPr>
                <w:sz w:val="20"/>
                <w:szCs w:val="20"/>
                <w:color w:val="auto"/>
              </w:rPr>
            </w:pPr>
            <w:r>
              <w:rPr>
                <w:rFonts w:ascii="Arial" w:cs="Arial" w:eastAsia="Arial" w:hAnsi="Arial"/>
                <w:sz w:val="16"/>
                <w:szCs w:val="16"/>
                <w:b w:val="1"/>
                <w:bCs w:val="1"/>
                <w:color w:val="auto"/>
                <w:w w:val="96"/>
              </w:rPr>
              <w:t>42.0%</w:t>
            </w:r>
          </w:p>
        </w:tc>
        <w:tc>
          <w:tcPr>
            <w:tcW w:w="280" w:type="dxa"/>
            <w:vAlign w:val="bottom"/>
            <w:tcBorders>
              <w:top w:val="single" w:sz="8" w:color="B2B2B2"/>
            </w:tcBorders>
          </w:tcPr>
          <w:p>
            <w:pPr>
              <w:ind w:left="180"/>
              <w:spacing w:after="0"/>
              <w:rPr>
                <w:sz w:val="20"/>
                <w:szCs w:val="20"/>
                <w:color w:val="auto"/>
              </w:rPr>
            </w:pPr>
            <w:r>
              <w:rPr>
                <w:rFonts w:ascii="Arial" w:cs="Arial" w:eastAsia="Arial" w:hAnsi="Arial"/>
                <w:sz w:val="16"/>
                <w:szCs w:val="16"/>
                <w:b w:val="1"/>
                <w:bCs w:val="1"/>
                <w:color w:val="FF4338"/>
                <w:w w:val="85"/>
              </w:rPr>
              <w:t>×</w:t>
            </w:r>
          </w:p>
        </w:tc>
        <w:tc>
          <w:tcPr>
            <w:tcW w:w="20" w:type="dxa"/>
            <w:vAlign w:val="bottom"/>
          </w:tcPr>
          <w:p>
            <w:pPr>
              <w:spacing w:after="0"/>
              <w:rPr>
                <w:sz w:val="18"/>
                <w:szCs w:val="18"/>
                <w:color w:val="auto"/>
              </w:rPr>
            </w:pPr>
          </w:p>
        </w:tc>
      </w:tr>
    </w:tbl>
    <w:p>
      <w:pPr>
        <w:spacing w:after="0" w:line="3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FFFFF"/>
        </w:rPr>
        <w:t>  Legend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-107315</wp:posOffset>
            </wp:positionV>
            <wp:extent cx="6865620" cy="1181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65620" cy="118110"/>
                    </a:xfrm>
                    <a:prstGeom prst="rect">
                      <a:avLst/>
                    </a:prstGeom>
                    <a:noFill/>
                  </pic:spPr>
                </pic:pic>
              </a:graphicData>
            </a:graphic>
          </wp:anchor>
        </w:drawing>
      </w:r>
    </w:p>
    <w:p>
      <w:pPr>
        <w:ind w:left="220"/>
        <w:spacing w:after="0" w:line="178" w:lineRule="exact"/>
        <w:rPr>
          <w:sz w:val="20"/>
          <w:szCs w:val="20"/>
          <w:color w:val="auto"/>
        </w:rPr>
      </w:pPr>
      <w:r>
        <w:rPr>
          <w:rFonts w:ascii="Arial" w:cs="Arial" w:eastAsia="Arial" w:hAnsi="Arial"/>
          <w:sz w:val="16"/>
          <w:szCs w:val="16"/>
          <w:b w:val="1"/>
          <w:bCs w:val="1"/>
          <w:color w:val="auto"/>
        </w:rPr>
        <w:t>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 Achieved or exceeded updated outlook.</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w:t>
      </w:r>
      <w:r>
        <w:rPr>
          <w:rFonts w:ascii="Arial" w:cs="Arial" w:eastAsia="Arial" w:hAnsi="Arial"/>
          <w:sz w:val="16"/>
          <w:szCs w:val="16"/>
          <w:b w:val="1"/>
          <w:bCs w:val="1"/>
          <w:color w:val="FF4338"/>
        </w:rPr>
        <w:t>×</w:t>
      </w:r>
      <w:r>
        <w:rPr>
          <w:rFonts w:ascii="Arial" w:cs="Arial" w:eastAsia="Arial" w:hAnsi="Arial"/>
          <w:sz w:val="16"/>
          <w:szCs w:val="16"/>
          <w:b w:val="1"/>
          <w:bCs w:val="1"/>
          <w:color w:val="auto"/>
        </w:rPr>
        <w:t xml:space="preserve"> - Did not meet updated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50165</wp:posOffset>
            </wp:positionV>
            <wp:extent cx="6865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65620" cy="17145"/>
                    </a:xfrm>
                    <a:prstGeom prst="rect">
                      <a:avLst/>
                    </a:prstGeom>
                    <a:noFill/>
                  </pic:spPr>
                </pic:pic>
              </a:graphicData>
            </a:graphic>
          </wp:anchor>
        </w:drawing>
      </w:r>
    </w:p>
    <w:p>
      <w:pPr>
        <w:spacing w:after="0" w:line="129" w:lineRule="exact"/>
        <w:rPr>
          <w:sz w:val="20"/>
          <w:szCs w:val="20"/>
          <w:color w:val="auto"/>
        </w:rPr>
      </w:pPr>
    </w:p>
    <w:p>
      <w:pPr>
        <w:ind w:left="420" w:hanging="202"/>
        <w:spacing w:after="0"/>
        <w:tabs>
          <w:tab w:leader="none" w:pos="4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2024 performance (before currency) was measured in constant currency rates relative to 2023, except for free cash flow which was reflected at actual rates.</w:t>
      </w:r>
    </w:p>
    <w:p>
      <w:pPr>
        <w:spacing w:after="0" w:line="12" w:lineRule="exact"/>
        <w:rPr>
          <w:rFonts w:ascii="Arial" w:cs="Arial" w:eastAsia="Arial" w:hAnsi="Arial"/>
          <w:sz w:val="14"/>
          <w:szCs w:val="14"/>
          <w:color w:val="auto"/>
        </w:rPr>
      </w:pPr>
    </w:p>
    <w:p>
      <w:pPr>
        <w:ind w:left="220" w:right="120" w:hanging="2"/>
        <w:spacing w:after="0" w:line="237" w:lineRule="auto"/>
        <w:tabs>
          <w:tab w:leader="none" w:pos="432" w:val="left"/>
        </w:tabs>
        <w:numPr>
          <w:ilvl w:val="0"/>
          <w:numId w:val="32"/>
        </w:numPr>
        <w:rPr>
          <w:rFonts w:ascii="Arial" w:cs="Arial" w:eastAsia="Arial" w:hAnsi="Arial"/>
          <w:sz w:val="14"/>
          <w:szCs w:val="14"/>
          <w:color w:val="auto"/>
        </w:rPr>
      </w:pPr>
      <w:r>
        <w:rPr>
          <w:rFonts w:ascii="Arial" w:cs="Arial" w:eastAsia="Arial" w:hAnsi="Arial"/>
          <w:sz w:val="14"/>
          <w:szCs w:val="14"/>
          <w:color w:val="auto"/>
        </w:rPr>
        <w:t>Non-IFRS financial measures. Refer to Appendices A and B of this management’s discussion and analysis for additional information and reconciliations of our non-IFRS financial measures to the most directly comparable IFRS financial measures.</w:t>
      </w:r>
    </w:p>
    <w:p>
      <w:pPr>
        <w:ind w:left="420" w:hanging="202"/>
        <w:spacing w:after="0"/>
        <w:tabs>
          <w:tab w:leader="none" w:pos="4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Refer to the “Tax (benefit) expense” section within the “Results of Operations” section of this management’s discussion and analysis for additional information.</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7"/>
          <w:szCs w:val="17"/>
          <w:b w:val="1"/>
          <w:bCs w:val="1"/>
          <w:u w:val="single" w:color="auto"/>
          <w:color w:val="auto"/>
        </w:rPr>
        <w:t>2025 Outlook and 2026 Financial Framework</w:t>
      </w:r>
    </w:p>
    <w:p>
      <w:pPr>
        <w:spacing w:after="0" w:line="70" w:lineRule="exact"/>
        <w:rPr>
          <w:sz w:val="20"/>
          <w:szCs w:val="20"/>
          <w:color w:val="auto"/>
        </w:rPr>
      </w:pPr>
    </w:p>
    <w:p>
      <w:pPr>
        <w:ind w:left="220" w:right="220"/>
        <w:spacing w:after="0" w:line="238" w:lineRule="auto"/>
        <w:rPr>
          <w:sz w:val="20"/>
          <w:szCs w:val="20"/>
          <w:color w:val="auto"/>
        </w:rPr>
      </w:pPr>
      <w:r>
        <w:rPr>
          <w:rFonts w:ascii="Arial" w:cs="Arial" w:eastAsia="Arial" w:hAnsi="Arial"/>
          <w:sz w:val="17"/>
          <w:szCs w:val="17"/>
          <w:color w:val="auto"/>
        </w:rPr>
        <w:t>On February 6, 2025, we announced our 2025 outlook, which targets total revenue growth between 3.0% and 3.5%, organic revenue growth between 7.0% and 7.5%, and adjusted EBITDA margin of approximately 39%. We also updated our 2026 financial framework, which targets an organic revenue growth range of 7.5% to 8.0% and adjusted EBITDA margin expansion by at least 50 basis points, compared to 2025. Refer to the “Outlook” section of this management’s discussion and analysis for additional information.</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Acquisitions and Dispositions</w:t>
      </w:r>
    </w:p>
    <w:p>
      <w:pPr>
        <w:spacing w:after="0" w:line="110" w:lineRule="exact"/>
        <w:rPr>
          <w:sz w:val="20"/>
          <w:szCs w:val="20"/>
          <w:color w:val="auto"/>
        </w:rPr>
      </w:pPr>
    </w:p>
    <w:p>
      <w:pPr>
        <w:ind w:left="220" w:right="60"/>
        <w:spacing w:after="0" w:line="248" w:lineRule="auto"/>
        <w:rPr>
          <w:sz w:val="20"/>
          <w:szCs w:val="20"/>
          <w:color w:val="auto"/>
        </w:rPr>
      </w:pPr>
      <w:r>
        <w:rPr>
          <w:rFonts w:ascii="Arial" w:cs="Arial" w:eastAsia="Arial" w:hAnsi="Arial"/>
          <w:sz w:val="16"/>
          <w:szCs w:val="16"/>
          <w:b w:val="1"/>
          <w:bCs w:val="1"/>
          <w:color w:val="auto"/>
        </w:rPr>
        <w:t xml:space="preserve">Acquisitions. </w:t>
      </w:r>
      <w:r>
        <w:rPr>
          <w:rFonts w:ascii="Arial" w:cs="Arial" w:eastAsia="Arial" w:hAnsi="Arial"/>
          <w:sz w:val="16"/>
          <w:szCs w:val="16"/>
          <w:color w:val="auto"/>
        </w:rPr>
        <w:t>Acquired businesses can strengthen our offerings and enable us to extend our platform with new capabilities that we believe will</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opportunities to expand our positions, better serve our customers and supplement our organic revenue growth. Generally, the businesses that we acquire initially have lower margins than our existing businesses, largely reflecting the costs of integration. In 2024, we spent</w:t>
      </w:r>
    </w:p>
    <w:p>
      <w:pPr>
        <w:ind w:left="220"/>
        <w:spacing w:after="0" w:line="230" w:lineRule="auto"/>
        <w:rPr>
          <w:sz w:val="20"/>
          <w:szCs w:val="20"/>
          <w:color w:val="auto"/>
        </w:rPr>
      </w:pPr>
      <w:r>
        <w:rPr>
          <w:rFonts w:ascii="Arial" w:cs="Arial" w:eastAsia="Arial" w:hAnsi="Arial"/>
          <w:sz w:val="17"/>
          <w:szCs w:val="17"/>
          <w:color w:val="auto"/>
        </w:rPr>
        <w:t>$1,006 million on acquisitions in aggregate, including $384 million to acquire the remaining portion of Pagero from minority shareholders.</w:t>
      </w:r>
    </w:p>
    <w:p>
      <w:pPr>
        <w:ind w:left="220"/>
        <w:spacing w:after="0"/>
        <w:rPr>
          <w:sz w:val="20"/>
          <w:szCs w:val="20"/>
          <w:color w:val="auto"/>
        </w:rPr>
      </w:pPr>
      <w:r>
        <w:rPr>
          <w:rFonts w:ascii="Arial" w:cs="Arial" w:eastAsia="Arial" w:hAnsi="Arial"/>
          <w:sz w:val="17"/>
          <w:szCs w:val="17"/>
          <w:color w:val="auto"/>
        </w:rPr>
        <w:t>Acquisitions during the year included:</w:t>
      </w:r>
    </w:p>
    <w:p>
      <w:pPr>
        <w:spacing w:after="0" w:line="67" w:lineRule="exact"/>
        <w:rPr>
          <w:sz w:val="20"/>
          <w:szCs w:val="20"/>
          <w:color w:val="auto"/>
        </w:rPr>
      </w:pPr>
    </w:p>
    <w:p>
      <w:pPr>
        <w:ind w:left="640" w:hanging="422"/>
        <w:spacing w:after="0"/>
        <w:tabs>
          <w:tab w:leader="none" w:pos="640" w:val="left"/>
        </w:tabs>
        <w:numPr>
          <w:ilvl w:val="0"/>
          <w:numId w:val="33"/>
        </w:numPr>
        <w:rPr>
          <w:rFonts w:ascii="Arial" w:cs="Arial" w:eastAsia="Arial" w:hAnsi="Arial"/>
          <w:sz w:val="17"/>
          <w:szCs w:val="17"/>
          <w:color w:val="D64000"/>
        </w:rPr>
      </w:pPr>
      <w:r>
        <w:rPr>
          <w:rFonts w:ascii="Arial" w:cs="Arial" w:eastAsia="Arial" w:hAnsi="Arial"/>
          <w:sz w:val="17"/>
          <w:szCs w:val="17"/>
          <w:color w:val="auto"/>
        </w:rPr>
        <w:t>January 2024: Pagero, a global leader in e-invoicing and indirect tax solutions;</w:t>
      </w:r>
    </w:p>
    <w:p>
      <w:pPr>
        <w:spacing w:after="0" w:line="6" w:lineRule="exact"/>
        <w:rPr>
          <w:rFonts w:ascii="Arial" w:cs="Arial" w:eastAsia="Arial" w:hAnsi="Arial"/>
          <w:sz w:val="17"/>
          <w:szCs w:val="17"/>
          <w:color w:val="D64000"/>
        </w:rPr>
      </w:pPr>
    </w:p>
    <w:p>
      <w:pPr>
        <w:ind w:left="640" w:right="220" w:hanging="422"/>
        <w:spacing w:after="0" w:line="227" w:lineRule="auto"/>
        <w:tabs>
          <w:tab w:leader="none" w:pos="640" w:val="left"/>
        </w:tabs>
        <w:numPr>
          <w:ilvl w:val="0"/>
          <w:numId w:val="33"/>
        </w:numPr>
        <w:rPr>
          <w:rFonts w:ascii="Arial" w:cs="Arial" w:eastAsia="Arial" w:hAnsi="Arial"/>
          <w:sz w:val="17"/>
          <w:szCs w:val="17"/>
          <w:color w:val="D64000"/>
        </w:rPr>
      </w:pPr>
      <w:r>
        <w:rPr>
          <w:rFonts w:ascii="Arial" w:cs="Arial" w:eastAsia="Arial" w:hAnsi="Arial"/>
          <w:sz w:val="17"/>
          <w:szCs w:val="17"/>
          <w:color w:val="auto"/>
        </w:rPr>
        <w:t>January 2024: World Business Media Limited (The Insurer), a cross-platform and subscription-based provider of editorial coverage for the global P&amp;C and specialty (re)insurance industry;</w:t>
      </w:r>
    </w:p>
    <w:p>
      <w:pPr>
        <w:spacing w:after="0" w:line="1" w:lineRule="exact"/>
        <w:rPr>
          <w:rFonts w:ascii="Arial" w:cs="Arial" w:eastAsia="Arial" w:hAnsi="Arial"/>
          <w:sz w:val="17"/>
          <w:szCs w:val="17"/>
          <w:color w:val="D64000"/>
        </w:rPr>
      </w:pPr>
    </w:p>
    <w:p>
      <w:pPr>
        <w:ind w:left="640" w:hanging="422"/>
        <w:spacing w:after="0" w:line="227" w:lineRule="auto"/>
        <w:tabs>
          <w:tab w:leader="none" w:pos="640" w:val="left"/>
        </w:tabs>
        <w:numPr>
          <w:ilvl w:val="0"/>
          <w:numId w:val="33"/>
        </w:numPr>
        <w:rPr>
          <w:rFonts w:ascii="Arial" w:cs="Arial" w:eastAsia="Arial" w:hAnsi="Arial"/>
          <w:sz w:val="17"/>
          <w:szCs w:val="17"/>
          <w:color w:val="D64000"/>
        </w:rPr>
      </w:pPr>
      <w:r>
        <w:rPr>
          <w:rFonts w:ascii="Arial" w:cs="Arial" w:eastAsia="Arial" w:hAnsi="Arial"/>
          <w:sz w:val="17"/>
          <w:szCs w:val="17"/>
          <w:color w:val="auto"/>
        </w:rPr>
        <w:t>August 2024: Safe Sign Technologies, a U.K.-based startup that is developing legal-specific large language models; and</w:t>
      </w:r>
    </w:p>
    <w:p>
      <w:pPr>
        <w:ind w:left="640" w:right="540" w:hanging="422"/>
        <w:spacing w:after="0"/>
        <w:tabs>
          <w:tab w:leader="none" w:pos="640" w:val="left"/>
        </w:tabs>
        <w:numPr>
          <w:ilvl w:val="0"/>
          <w:numId w:val="33"/>
        </w:numPr>
        <w:rPr>
          <w:rFonts w:ascii="Arial" w:cs="Arial" w:eastAsia="Arial" w:hAnsi="Arial"/>
          <w:sz w:val="17"/>
          <w:szCs w:val="17"/>
          <w:color w:val="D64000"/>
        </w:rPr>
      </w:pPr>
      <w:r>
        <w:rPr>
          <w:rFonts w:ascii="Arial" w:cs="Arial" w:eastAsia="Arial" w:hAnsi="Arial"/>
          <w:sz w:val="17"/>
          <w:szCs w:val="17"/>
          <w:color w:val="auto"/>
        </w:rPr>
        <w:t>October 2024: Credere Technologies, Inc., doing business as Materia, a U.S.-based startup that specializes in the development of an agentic AI assistant for the tax, audit and accounting profession.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100330</wp:posOffset>
            </wp:positionV>
            <wp:extent cx="68656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6"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32</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 2023, we spent $1,216 million on acquisitions in aggregate. Acquisitions during the year included:</w:t>
      </w:r>
    </w:p>
    <w:p>
      <w:pPr>
        <w:spacing w:after="0" w:line="83" w:lineRule="exact"/>
        <w:rPr>
          <w:sz w:val="20"/>
          <w:szCs w:val="20"/>
          <w:color w:val="auto"/>
        </w:rPr>
      </w:pPr>
    </w:p>
    <w:p>
      <w:pPr>
        <w:ind w:left="640" w:hanging="422"/>
        <w:spacing w:after="0"/>
        <w:tabs>
          <w:tab w:leader="none" w:pos="640" w:val="left"/>
        </w:tabs>
        <w:numPr>
          <w:ilvl w:val="0"/>
          <w:numId w:val="34"/>
        </w:numPr>
        <w:rPr>
          <w:rFonts w:ascii="Arial" w:cs="Arial" w:eastAsia="Arial" w:hAnsi="Arial"/>
          <w:sz w:val="17"/>
          <w:szCs w:val="17"/>
          <w:color w:val="D64000"/>
        </w:rPr>
      </w:pPr>
      <w:r>
        <w:rPr>
          <w:rFonts w:ascii="Arial" w:cs="Arial" w:eastAsia="Arial" w:hAnsi="Arial"/>
          <w:sz w:val="17"/>
          <w:szCs w:val="17"/>
          <w:color w:val="auto"/>
        </w:rPr>
        <w:t>January 2023: SurePrep LLC, a provider of tax automation software and services;</w:t>
      </w:r>
    </w:p>
    <w:p>
      <w:pPr>
        <w:spacing w:after="0" w:line="6" w:lineRule="exact"/>
        <w:rPr>
          <w:rFonts w:ascii="Arial" w:cs="Arial" w:eastAsia="Arial" w:hAnsi="Arial"/>
          <w:sz w:val="17"/>
          <w:szCs w:val="17"/>
          <w:color w:val="D64000"/>
        </w:rPr>
      </w:pPr>
    </w:p>
    <w:p>
      <w:pPr>
        <w:ind w:left="640" w:hanging="422"/>
        <w:spacing w:after="0" w:line="227" w:lineRule="auto"/>
        <w:tabs>
          <w:tab w:leader="none" w:pos="640" w:val="left"/>
        </w:tabs>
        <w:numPr>
          <w:ilvl w:val="0"/>
          <w:numId w:val="34"/>
        </w:numPr>
        <w:rPr>
          <w:rFonts w:ascii="Arial" w:cs="Arial" w:eastAsia="Arial" w:hAnsi="Arial"/>
          <w:sz w:val="17"/>
          <w:szCs w:val="17"/>
          <w:color w:val="D64000"/>
        </w:rPr>
      </w:pPr>
      <w:r>
        <w:rPr>
          <w:rFonts w:ascii="Arial" w:cs="Arial" w:eastAsia="Arial" w:hAnsi="Arial"/>
          <w:sz w:val="17"/>
          <w:szCs w:val="17"/>
          <w:color w:val="auto"/>
        </w:rPr>
        <w:t>July 2023: Imagen Ltd, a media asset management company now part of our Reuters News segment; and</w:t>
      </w:r>
    </w:p>
    <w:p>
      <w:pPr>
        <w:ind w:left="640" w:hanging="422"/>
        <w:spacing w:after="0"/>
        <w:tabs>
          <w:tab w:leader="none" w:pos="640" w:val="left"/>
        </w:tabs>
        <w:numPr>
          <w:ilvl w:val="0"/>
          <w:numId w:val="34"/>
        </w:numPr>
        <w:rPr>
          <w:rFonts w:ascii="Arial" w:cs="Arial" w:eastAsia="Arial" w:hAnsi="Arial"/>
          <w:sz w:val="17"/>
          <w:szCs w:val="17"/>
          <w:color w:val="D64000"/>
        </w:rPr>
      </w:pPr>
      <w:r>
        <w:rPr>
          <w:rFonts w:ascii="Arial" w:cs="Arial" w:eastAsia="Arial" w:hAnsi="Arial"/>
          <w:sz w:val="17"/>
          <w:szCs w:val="17"/>
          <w:color w:val="auto"/>
        </w:rPr>
        <w:t>August 2023: Casetext, a business that uses AI and ML to enable legal professionals to work more efficiently.</w:t>
      </w:r>
    </w:p>
    <w:p>
      <w:pPr>
        <w:spacing w:after="0" w:line="54" w:lineRule="exact"/>
        <w:rPr>
          <w:sz w:val="20"/>
          <w:szCs w:val="20"/>
          <w:color w:val="auto"/>
        </w:rPr>
      </w:pPr>
    </w:p>
    <w:p>
      <w:pPr>
        <w:jc w:val="both"/>
        <w:ind w:left="220" w:right="120"/>
        <w:spacing w:after="0" w:line="243" w:lineRule="auto"/>
        <w:rPr>
          <w:sz w:val="20"/>
          <w:szCs w:val="20"/>
          <w:color w:val="auto"/>
        </w:rPr>
      </w:pPr>
      <w:r>
        <w:rPr>
          <w:rFonts w:ascii="Arial" w:cs="Arial" w:eastAsia="Arial" w:hAnsi="Arial"/>
          <w:sz w:val="17"/>
          <w:szCs w:val="17"/>
          <w:color w:val="auto"/>
        </w:rPr>
        <w:t>In addition, Thomson Reuters Ventures, which was launched in 2021 with the authority to invest up to $100 million to support companies that are building innovations to allow professionals to operate more productively and with greater insights, has invested $66 million since its inception. In February 2025, we announced that we committed to a $150 million second fund.</w:t>
      </w:r>
    </w:p>
    <w:p>
      <w:pPr>
        <w:spacing w:after="0" w:line="55" w:lineRule="exact"/>
        <w:rPr>
          <w:sz w:val="20"/>
          <w:szCs w:val="20"/>
          <w:color w:val="auto"/>
        </w:rPr>
      </w:pPr>
    </w:p>
    <w:p>
      <w:pPr>
        <w:ind w:left="220" w:right="60"/>
        <w:spacing w:after="0" w:line="260" w:lineRule="auto"/>
        <w:rPr>
          <w:sz w:val="20"/>
          <w:szCs w:val="20"/>
          <w:color w:val="auto"/>
        </w:rPr>
      </w:pPr>
      <w:r>
        <w:rPr>
          <w:rFonts w:ascii="Arial" w:cs="Arial" w:eastAsia="Arial" w:hAnsi="Arial"/>
          <w:sz w:val="17"/>
          <w:szCs w:val="17"/>
          <w:color w:val="auto"/>
        </w:rPr>
        <w:t>We expect that acquisitions and our Thomson Reuters Ventures Fund activities will continue to play an important role in our strategy, and we may make tactical acquisitions from time to time that we believe will strengthen our positions in key growth segments.</w:t>
      </w:r>
    </w:p>
    <w:p>
      <w:pPr>
        <w:spacing w:after="0" w:line="40" w:lineRule="exact"/>
        <w:rPr>
          <w:sz w:val="20"/>
          <w:szCs w:val="20"/>
          <w:color w:val="auto"/>
        </w:rPr>
      </w:pPr>
    </w:p>
    <w:p>
      <w:pPr>
        <w:ind w:left="220" w:right="80"/>
        <w:spacing w:after="0" w:line="236" w:lineRule="auto"/>
        <w:rPr>
          <w:sz w:val="20"/>
          <w:szCs w:val="20"/>
          <w:color w:val="auto"/>
        </w:rPr>
      </w:pPr>
      <w:r>
        <w:rPr>
          <w:rFonts w:ascii="Arial" w:cs="Arial" w:eastAsia="Arial" w:hAnsi="Arial"/>
          <w:sz w:val="17"/>
          <w:szCs w:val="17"/>
          <w:b w:val="1"/>
          <w:bCs w:val="1"/>
          <w:color w:val="auto"/>
        </w:rPr>
        <w:t xml:space="preserve">Dispositions. </w:t>
      </w:r>
      <w:r>
        <w:rPr>
          <w:rFonts w:ascii="Arial" w:cs="Arial" w:eastAsia="Arial" w:hAnsi="Arial"/>
          <w:sz w:val="17"/>
          <w:szCs w:val="17"/>
          <w:color w:val="auto"/>
        </w:rPr>
        <w:t>To ensure we are investing in parts of our business that offer the greatest opportunities to achieve growth and returns, we may sell</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businesses or investments from time to time. In 2024, we sold our FindLaw business, an online legal directory and provider of website creation and hosting services, law firm marketing solutions, and peer rating services. We also sold certain other non-core businesses and investments. In 2023, we sold a majority interest in our Elite business, a provider of financial and practice management solutions to law firms, to TPG, a global alternative asset management firm. We retained a 19.9% minority interest in the business.</w:t>
      </w:r>
    </w:p>
    <w:p>
      <w:pPr>
        <w:spacing w:after="0" w:line="46" w:lineRule="exact"/>
        <w:rPr>
          <w:sz w:val="20"/>
          <w:szCs w:val="20"/>
          <w:color w:val="auto"/>
        </w:rPr>
      </w:pPr>
    </w:p>
    <w:p>
      <w:pPr>
        <w:ind w:left="220" w:right="140"/>
        <w:spacing w:after="0" w:line="238" w:lineRule="auto"/>
        <w:rPr>
          <w:sz w:val="20"/>
          <w:szCs w:val="20"/>
          <w:color w:val="auto"/>
        </w:rPr>
      </w:pPr>
      <w:r>
        <w:rPr>
          <w:rFonts w:ascii="Arial" w:cs="Arial" w:eastAsia="Arial" w:hAnsi="Arial"/>
          <w:sz w:val="17"/>
          <w:szCs w:val="17"/>
          <w:color w:val="auto"/>
        </w:rPr>
        <w:t>In 2024, we sold all of our remaining 16.0 million shares of LSEG that we indirectly owned through our direct investment in YPL for $1.9 billion of gross proceeds, which included $24 million received from the settlement of foreign exchange contracts and $58 million from shares sold in 2023 that settled in 2024. In 2023, we sold 56.0 million shares of LSEG for gross proceeds of $5.4 billion, which included $151 million from the settlement of foreign exchange contracts.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Results of Operations</w:t>
      </w:r>
    </w:p>
    <w:p>
      <w:pPr>
        <w:spacing w:after="0" w:line="102" w:lineRule="exact"/>
        <w:rPr>
          <w:sz w:val="20"/>
          <w:szCs w:val="20"/>
          <w:color w:val="auto"/>
        </w:rPr>
      </w:pPr>
    </w:p>
    <w:p>
      <w:pPr>
        <w:ind w:left="220" w:right="220"/>
        <w:spacing w:after="0" w:line="244" w:lineRule="auto"/>
        <w:rPr>
          <w:sz w:val="20"/>
          <w:szCs w:val="20"/>
          <w:color w:val="auto"/>
        </w:rPr>
      </w:pPr>
      <w:r>
        <w:rPr>
          <w:rFonts w:ascii="Arial" w:cs="Arial" w:eastAsia="Arial" w:hAnsi="Arial"/>
          <w:sz w:val="18"/>
          <w:szCs w:val="18"/>
          <w:color w:val="auto"/>
        </w:rPr>
        <w:t>The section below contains non-IFRS measures where indicated. Refer to Appendices A and B of this management’s discussion and analysis for additional information and reconciliations of our non-IFRS financial measures to the most directly comparable IFRS financial measures.</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100330</wp:posOffset>
            </wp:positionV>
            <wp:extent cx="68656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8" w:lineRule="exact"/>
        <w:rPr>
          <w:sz w:val="20"/>
          <w:szCs w:val="20"/>
          <w:color w:val="auto"/>
        </w:rPr>
      </w:pPr>
    </w:p>
    <w:tbl>
      <w:tblPr>
        <w:tblLayout w:type="fixed"/>
        <w:tblInd w:w="220" w:type="dxa"/>
        <w:tblCellMar>
          <w:top w:w="0" w:type="dxa"/>
          <w:left w:w="0" w:type="dxa"/>
          <w:bottom w:w="0" w:type="dxa"/>
          <w:right w:w="0" w:type="dxa"/>
        </w:tblCellMar>
      </w:tblPr>
      <w:tr>
        <w:trPr>
          <w:trHeight w:val="239"/>
        </w:trPr>
        <w:tc>
          <w:tcPr>
            <w:tcW w:w="7600" w:type="dxa"/>
            <w:vAlign w:val="bottom"/>
          </w:tcPr>
          <w:p>
            <w:pPr>
              <w:spacing w:after="0"/>
              <w:rPr>
                <w:sz w:val="20"/>
                <w:szCs w:val="20"/>
                <w:color w:val="auto"/>
              </w:rPr>
            </w:pPr>
          </w:p>
        </w:tc>
        <w:tc>
          <w:tcPr>
            <w:tcW w:w="180" w:type="dxa"/>
            <w:vAlign w:val="bottom"/>
            <w:shd w:val="clear" w:color="auto" w:fill="E3F3EE"/>
          </w:tcPr>
          <w:p>
            <w:pPr>
              <w:ind w:left="100"/>
              <w:spacing w:after="0"/>
              <w:rPr>
                <w:sz w:val="20"/>
                <w:szCs w:val="20"/>
                <w:color w:val="auto"/>
              </w:rPr>
            </w:pPr>
            <w:r>
              <w:rPr>
                <w:rFonts w:ascii="Arial" w:cs="Arial" w:eastAsia="Arial" w:hAnsi="Arial"/>
                <w:sz w:val="8"/>
                <w:szCs w:val="8"/>
                <w:b w:val="1"/>
                <w:bCs w:val="1"/>
                <w:color w:val="auto"/>
                <w:w w:val="74"/>
              </w:rPr>
              <w:t> </w:t>
            </w:r>
          </w:p>
        </w:tc>
        <w:tc>
          <w:tcPr>
            <w:tcW w:w="3020" w:type="dxa"/>
            <w:vAlign w:val="bottom"/>
            <w:gridSpan w:val="4"/>
            <w:shd w:val="clear" w:color="auto" w:fill="E3F3EE"/>
          </w:tcPr>
          <w:p>
            <w:pPr>
              <w:jc w:val="right"/>
              <w:ind w:right="242"/>
              <w:spacing w:after="0"/>
              <w:rPr>
                <w:sz w:val="20"/>
                <w:szCs w:val="20"/>
                <w:color w:val="auto"/>
              </w:rPr>
            </w:pPr>
            <w:r>
              <w:rPr>
                <w:rFonts w:ascii="Arial" w:cs="Arial" w:eastAsia="Arial" w:hAnsi="Arial"/>
                <w:sz w:val="16"/>
                <w:szCs w:val="16"/>
                <w:b w:val="1"/>
                <w:bCs w:val="1"/>
                <w:color w:val="auto"/>
              </w:rPr>
              <w:t xml:space="preserve">    Year ended December 31,       </w:t>
            </w:r>
          </w:p>
        </w:tc>
        <w:tc>
          <w:tcPr>
            <w:tcW w:w="20" w:type="dxa"/>
            <w:vAlign w:val="bottom"/>
          </w:tcPr>
          <w:p>
            <w:pPr>
              <w:spacing w:after="0"/>
              <w:rPr>
                <w:sz w:val="20"/>
                <w:szCs w:val="20"/>
                <w:color w:val="auto"/>
              </w:rPr>
            </w:pPr>
          </w:p>
        </w:tc>
      </w:tr>
      <w:tr>
        <w:trPr>
          <w:trHeight w:val="192"/>
        </w:trPr>
        <w:tc>
          <w:tcPr>
            <w:tcW w:w="7600" w:type="dxa"/>
            <w:vAlign w:val="bottom"/>
            <w:tcBorders>
              <w:bottom w:val="single" w:sz="8" w:color="1F473D"/>
            </w:tcBorders>
            <w:shd w:val="clear" w:color="auto" w:fill="1F473D"/>
          </w:tcPr>
          <w:p>
            <w:pPr>
              <w:spacing w:after="0"/>
              <w:rPr>
                <w:sz w:val="16"/>
                <w:szCs w:val="16"/>
                <w:color w:val="auto"/>
              </w:rPr>
            </w:pPr>
          </w:p>
        </w:tc>
        <w:tc>
          <w:tcPr>
            <w:tcW w:w="180" w:type="dxa"/>
            <w:vAlign w:val="bottom"/>
            <w:tcBorders>
              <w:bottom w:val="single" w:sz="8" w:color="1F473D"/>
            </w:tcBorders>
            <w:shd w:val="clear" w:color="auto" w:fill="1F473D"/>
          </w:tcPr>
          <w:p>
            <w:pPr>
              <w:spacing w:after="0"/>
              <w:rPr>
                <w:sz w:val="16"/>
                <w:szCs w:val="16"/>
                <w:color w:val="auto"/>
              </w:rPr>
            </w:pPr>
          </w:p>
        </w:tc>
        <w:tc>
          <w:tcPr>
            <w:tcW w:w="600" w:type="dxa"/>
            <w:vAlign w:val="bottom"/>
            <w:tcBorders>
              <w:bottom w:val="single" w:sz="8" w:color="1F473D"/>
            </w:tcBorders>
            <w:shd w:val="clear" w:color="auto" w:fill="1F473D"/>
          </w:tcPr>
          <w:p>
            <w:pPr>
              <w:spacing w:after="0"/>
              <w:rPr>
                <w:sz w:val="16"/>
                <w:szCs w:val="16"/>
                <w:color w:val="auto"/>
              </w:rPr>
            </w:pPr>
          </w:p>
        </w:tc>
        <w:tc>
          <w:tcPr>
            <w:tcW w:w="660" w:type="dxa"/>
            <w:vAlign w:val="bottom"/>
            <w:tcBorders>
              <w:bottom w:val="single" w:sz="8" w:color="1F473D"/>
            </w:tcBorders>
            <w:shd w:val="clear" w:color="auto" w:fill="1F473D"/>
          </w:tcPr>
          <w:p>
            <w:pPr>
              <w:spacing w:after="0"/>
              <w:rPr>
                <w:sz w:val="16"/>
                <w:szCs w:val="16"/>
                <w:color w:val="auto"/>
              </w:rPr>
            </w:pPr>
          </w:p>
        </w:tc>
        <w:tc>
          <w:tcPr>
            <w:tcW w:w="1760" w:type="dxa"/>
            <w:vAlign w:val="bottom"/>
            <w:tcBorders>
              <w:bottom w:val="single" w:sz="8" w:color="D64000"/>
            </w:tcBorders>
            <w:gridSpan w:val="2"/>
            <w:shd w:val="clear" w:color="auto" w:fill="1F473D"/>
          </w:tcPr>
          <w:p>
            <w:pPr>
              <w:jc w:val="right"/>
              <w:ind w:right="522"/>
              <w:spacing w:after="0"/>
              <w:rPr>
                <w:sz w:val="20"/>
                <w:szCs w:val="20"/>
                <w:color w:val="auto"/>
              </w:rPr>
            </w:pPr>
            <w:r>
              <w:rPr>
                <w:rFonts w:ascii="Arial" w:cs="Arial" w:eastAsia="Arial" w:hAnsi="Arial"/>
                <w:sz w:val="16"/>
                <w:szCs w:val="16"/>
                <w:color w:val="FFFFFF"/>
              </w:rPr>
              <w:t>Change</w:t>
            </w:r>
          </w:p>
        </w:tc>
        <w:tc>
          <w:tcPr>
            <w:tcW w:w="20" w:type="dxa"/>
            <w:vAlign w:val="bottom"/>
          </w:tcPr>
          <w:p>
            <w:pPr>
              <w:spacing w:after="0"/>
              <w:rPr>
                <w:sz w:val="16"/>
                <w:szCs w:val="16"/>
                <w:color w:val="auto"/>
              </w:rPr>
            </w:pPr>
          </w:p>
        </w:tc>
      </w:tr>
      <w:tr>
        <w:trPr>
          <w:trHeight w:val="171"/>
        </w:trPr>
        <w:tc>
          <w:tcPr>
            <w:tcW w:w="7600" w:type="dxa"/>
            <w:vAlign w:val="bottom"/>
            <w:shd w:val="clear" w:color="auto" w:fill="1F473D"/>
          </w:tcPr>
          <w:p>
            <w:pPr>
              <w:spacing w:after="0"/>
              <w:rPr>
                <w:sz w:val="14"/>
                <w:szCs w:val="14"/>
                <w:color w:val="auto"/>
              </w:rPr>
            </w:pPr>
          </w:p>
        </w:tc>
        <w:tc>
          <w:tcPr>
            <w:tcW w:w="180" w:type="dxa"/>
            <w:vAlign w:val="bottom"/>
            <w:shd w:val="clear" w:color="auto" w:fill="1F473D"/>
          </w:tcPr>
          <w:p>
            <w:pPr>
              <w:spacing w:after="0"/>
              <w:rPr>
                <w:sz w:val="14"/>
                <w:szCs w:val="14"/>
                <w:color w:val="auto"/>
              </w:rPr>
            </w:pPr>
          </w:p>
        </w:tc>
        <w:tc>
          <w:tcPr>
            <w:tcW w:w="600" w:type="dxa"/>
            <w:vAlign w:val="bottom"/>
            <w:shd w:val="clear" w:color="auto" w:fill="1F473D"/>
          </w:tcPr>
          <w:p>
            <w:pPr>
              <w:spacing w:after="0"/>
              <w:rPr>
                <w:sz w:val="14"/>
                <w:szCs w:val="14"/>
                <w:color w:val="auto"/>
              </w:rPr>
            </w:pPr>
          </w:p>
        </w:tc>
        <w:tc>
          <w:tcPr>
            <w:tcW w:w="660" w:type="dxa"/>
            <w:vAlign w:val="bottom"/>
            <w:shd w:val="clear" w:color="auto" w:fill="1F473D"/>
          </w:tcPr>
          <w:p>
            <w:pPr>
              <w:spacing w:after="0"/>
              <w:rPr>
                <w:sz w:val="14"/>
                <w:szCs w:val="14"/>
                <w:color w:val="auto"/>
              </w:rPr>
            </w:pPr>
          </w:p>
        </w:tc>
        <w:tc>
          <w:tcPr>
            <w:tcW w:w="880" w:type="dxa"/>
            <w:vAlign w:val="bottom"/>
            <w:shd w:val="clear" w:color="auto" w:fill="1F473D"/>
          </w:tcPr>
          <w:p>
            <w:pPr>
              <w:spacing w:after="0"/>
              <w:rPr>
                <w:sz w:val="14"/>
                <w:szCs w:val="14"/>
                <w:color w:val="auto"/>
              </w:rPr>
            </w:pPr>
          </w:p>
        </w:tc>
        <w:tc>
          <w:tcPr>
            <w:tcW w:w="880" w:type="dxa"/>
            <w:vAlign w:val="bottom"/>
            <w:shd w:val="clear" w:color="auto" w:fill="1F473D"/>
          </w:tcPr>
          <w:p>
            <w:pPr>
              <w:jc w:val="right"/>
              <w:ind w:right="22"/>
              <w:spacing w:after="0" w:line="171" w:lineRule="exact"/>
              <w:rPr>
                <w:sz w:val="20"/>
                <w:szCs w:val="20"/>
                <w:color w:val="auto"/>
              </w:rPr>
            </w:pPr>
            <w:r>
              <w:rPr>
                <w:rFonts w:ascii="Arial" w:cs="Arial" w:eastAsia="Arial" w:hAnsi="Arial"/>
                <w:sz w:val="16"/>
                <w:szCs w:val="16"/>
                <w:color w:val="FFFFFF"/>
              </w:rPr>
              <w:t>Constant</w:t>
            </w:r>
          </w:p>
        </w:tc>
        <w:tc>
          <w:tcPr>
            <w:tcW w:w="20" w:type="dxa"/>
            <w:vAlign w:val="bottom"/>
          </w:tcPr>
          <w:p>
            <w:pPr>
              <w:spacing w:after="0"/>
              <w:rPr>
                <w:sz w:val="14"/>
                <w:szCs w:val="14"/>
                <w:color w:val="auto"/>
              </w:rPr>
            </w:pPr>
          </w:p>
        </w:tc>
      </w:tr>
      <w:tr>
        <w:trPr>
          <w:trHeight w:val="206"/>
        </w:trPr>
        <w:tc>
          <w:tcPr>
            <w:tcW w:w="760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color w:val="FFFFFF"/>
              </w:rPr>
              <w:t>  (millions of U.S. dollars, except per share amounts and margins)</w:t>
            </w:r>
          </w:p>
        </w:tc>
        <w:tc>
          <w:tcPr>
            <w:tcW w:w="180" w:type="dxa"/>
            <w:vAlign w:val="bottom"/>
            <w:tcBorders>
              <w:bottom w:val="single" w:sz="8" w:color="D64000"/>
            </w:tcBorders>
            <w:shd w:val="clear" w:color="auto" w:fill="1F473D"/>
          </w:tcPr>
          <w:p>
            <w:pPr>
              <w:spacing w:after="0"/>
              <w:rPr>
                <w:sz w:val="17"/>
                <w:szCs w:val="17"/>
                <w:color w:val="auto"/>
              </w:rPr>
            </w:pPr>
          </w:p>
        </w:tc>
        <w:tc>
          <w:tcPr>
            <w:tcW w:w="600" w:type="dxa"/>
            <w:vAlign w:val="bottom"/>
            <w:tcBorders>
              <w:bottom w:val="single" w:sz="8" w:color="D64000"/>
            </w:tcBorders>
            <w:shd w:val="clear" w:color="auto" w:fill="1F473D"/>
          </w:tcPr>
          <w:p>
            <w:pPr>
              <w:jc w:val="right"/>
              <w:ind w:right="41"/>
              <w:spacing w:after="0"/>
              <w:rPr>
                <w:sz w:val="20"/>
                <w:szCs w:val="20"/>
                <w:color w:val="auto"/>
              </w:rPr>
            </w:pPr>
            <w:r>
              <w:rPr>
                <w:rFonts w:ascii="Arial" w:cs="Arial" w:eastAsia="Arial" w:hAnsi="Arial"/>
                <w:sz w:val="16"/>
                <w:szCs w:val="16"/>
                <w:b w:val="1"/>
                <w:bCs w:val="1"/>
                <w:color w:val="FFFFFF"/>
              </w:rPr>
              <w:t>2024</w:t>
            </w:r>
          </w:p>
        </w:tc>
        <w:tc>
          <w:tcPr>
            <w:tcW w:w="660" w:type="dxa"/>
            <w:vAlign w:val="bottom"/>
            <w:tcBorders>
              <w:bottom w:val="single" w:sz="8" w:color="D64000"/>
            </w:tcBorders>
            <w:shd w:val="clear" w:color="auto" w:fill="1F473D"/>
          </w:tcPr>
          <w:p>
            <w:pPr>
              <w:jc w:val="right"/>
              <w:ind w:right="21"/>
              <w:spacing w:after="0"/>
              <w:rPr>
                <w:sz w:val="20"/>
                <w:szCs w:val="20"/>
                <w:color w:val="auto"/>
              </w:rPr>
            </w:pPr>
            <w:r>
              <w:rPr>
                <w:rFonts w:ascii="Arial" w:cs="Arial" w:eastAsia="Arial" w:hAnsi="Arial"/>
                <w:sz w:val="16"/>
                <w:szCs w:val="16"/>
                <w:color w:val="FFFFFF"/>
              </w:rPr>
              <w:t>2023</w:t>
            </w:r>
          </w:p>
        </w:tc>
        <w:tc>
          <w:tcPr>
            <w:tcW w:w="880" w:type="dxa"/>
            <w:vAlign w:val="bottom"/>
            <w:tcBorders>
              <w:bottom w:val="single" w:sz="8" w:color="D64000"/>
            </w:tcBorders>
            <w:shd w:val="clear" w:color="auto" w:fill="1F473D"/>
          </w:tcPr>
          <w:p>
            <w:pPr>
              <w:jc w:val="right"/>
              <w:ind w:right="61"/>
              <w:spacing w:after="0"/>
              <w:rPr>
                <w:sz w:val="20"/>
                <w:szCs w:val="20"/>
                <w:color w:val="auto"/>
              </w:rPr>
            </w:pPr>
            <w:r>
              <w:rPr>
                <w:rFonts w:ascii="Arial" w:cs="Arial" w:eastAsia="Arial" w:hAnsi="Arial"/>
                <w:sz w:val="16"/>
                <w:szCs w:val="16"/>
                <w:color w:val="FFFFFF"/>
              </w:rPr>
              <w:t>Total</w:t>
            </w:r>
          </w:p>
        </w:tc>
        <w:tc>
          <w:tcPr>
            <w:tcW w:w="880" w:type="dxa"/>
            <w:vAlign w:val="bottom"/>
            <w:tcBorders>
              <w:bottom w:val="single" w:sz="8" w:color="D64000"/>
            </w:tcBorders>
            <w:shd w:val="clear" w:color="auto" w:fill="1F473D"/>
          </w:tcPr>
          <w:p>
            <w:pPr>
              <w:jc w:val="right"/>
              <w:ind w:right="22"/>
              <w:spacing w:after="0"/>
              <w:rPr>
                <w:sz w:val="20"/>
                <w:szCs w:val="20"/>
                <w:color w:val="auto"/>
              </w:rPr>
            </w:pPr>
            <w:r>
              <w:rPr>
                <w:rFonts w:ascii="Arial" w:cs="Arial" w:eastAsia="Arial" w:hAnsi="Arial"/>
                <w:sz w:val="16"/>
                <w:szCs w:val="16"/>
                <w:color w:val="FFFFFF"/>
              </w:rPr>
              <w:t>Currency</w:t>
            </w:r>
          </w:p>
        </w:tc>
        <w:tc>
          <w:tcPr>
            <w:tcW w:w="20" w:type="dxa"/>
            <w:vAlign w:val="bottom"/>
          </w:tcPr>
          <w:p>
            <w:pPr>
              <w:spacing w:after="0"/>
              <w:rPr>
                <w:sz w:val="17"/>
                <w:szCs w:val="17"/>
                <w:color w:val="auto"/>
              </w:rPr>
            </w:pPr>
          </w:p>
        </w:tc>
      </w:tr>
      <w:tr>
        <w:trPr>
          <w:trHeight w:val="210"/>
        </w:trPr>
        <w:tc>
          <w:tcPr>
            <w:tcW w:w="7780" w:type="dxa"/>
            <w:vAlign w:val="bottom"/>
            <w:gridSpan w:val="2"/>
          </w:tcPr>
          <w:p>
            <w:pPr>
              <w:spacing w:after="0"/>
              <w:rPr>
                <w:sz w:val="20"/>
                <w:szCs w:val="20"/>
                <w:color w:val="auto"/>
              </w:rPr>
            </w:pPr>
            <w:r>
              <w:rPr>
                <w:rFonts w:ascii="Arial" w:cs="Arial" w:eastAsia="Arial" w:hAnsi="Arial"/>
                <w:sz w:val="16"/>
                <w:szCs w:val="16"/>
                <w:color w:val="auto"/>
              </w:rPr>
              <w:t>  IFRS Financial Measures</w:t>
            </w: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7780" w:type="dxa"/>
            <w:vAlign w:val="bottom"/>
            <w:gridSpan w:val="2"/>
          </w:tcPr>
          <w:p>
            <w:pPr>
              <w:spacing w:after="0"/>
              <w:rPr>
                <w:sz w:val="20"/>
                <w:szCs w:val="20"/>
                <w:color w:val="auto"/>
              </w:rPr>
            </w:pPr>
            <w:r>
              <w:rPr>
                <w:rFonts w:ascii="Arial" w:cs="Arial" w:eastAsia="Arial" w:hAnsi="Arial"/>
                <w:sz w:val="16"/>
                <w:szCs w:val="16"/>
                <w:color w:val="auto"/>
              </w:rPr>
              <w:t>    Revenues</w:t>
            </w: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auto"/>
              </w:rPr>
              <w:t>7,258</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6,794</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7%</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7780" w:type="dxa"/>
            <w:vAlign w:val="bottom"/>
            <w:gridSpan w:val="2"/>
          </w:tcPr>
          <w:p>
            <w:pPr>
              <w:spacing w:after="0"/>
              <w:rPr>
                <w:sz w:val="20"/>
                <w:szCs w:val="20"/>
                <w:color w:val="auto"/>
              </w:rPr>
            </w:pPr>
            <w:r>
              <w:rPr>
                <w:rFonts w:ascii="Arial" w:cs="Arial" w:eastAsia="Arial" w:hAnsi="Arial"/>
                <w:sz w:val="16"/>
                <w:szCs w:val="16"/>
                <w:color w:val="auto"/>
              </w:rPr>
              <w:t>    Operating profit</w:t>
            </w: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auto"/>
              </w:rPr>
              <w:t>2,109</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2,332</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(10%)</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0"/>
        </w:trPr>
        <w:tc>
          <w:tcPr>
            <w:tcW w:w="778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color w:val="auto"/>
              </w:rPr>
              <w:t>    Diluted EPS</w:t>
            </w:r>
          </w:p>
        </w:tc>
        <w:tc>
          <w:tcPr>
            <w:tcW w:w="60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b w:val="1"/>
                <w:bCs w:val="1"/>
                <w:color w:val="auto"/>
              </w:rPr>
              <w:t>$4.89</w:t>
            </w:r>
          </w:p>
        </w:tc>
        <w:tc>
          <w:tcPr>
            <w:tcW w:w="6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$5.80</w:t>
            </w:r>
          </w:p>
        </w:tc>
        <w:tc>
          <w:tcPr>
            <w:tcW w:w="880" w:type="dxa"/>
            <w:vAlign w:val="bottom"/>
            <w:tcBorders>
              <w:bottom w:val="single" w:sz="8" w:color="B2B2B2"/>
            </w:tcBorders>
          </w:tcPr>
          <w:p>
            <w:pPr>
              <w:jc w:val="right"/>
              <w:ind w:right="61"/>
              <w:spacing w:after="0"/>
              <w:rPr>
                <w:sz w:val="20"/>
                <w:szCs w:val="20"/>
                <w:color w:val="auto"/>
              </w:rPr>
            </w:pPr>
            <w:r>
              <w:rPr>
                <w:rFonts w:ascii="Arial" w:cs="Arial" w:eastAsia="Arial" w:hAnsi="Arial"/>
                <w:sz w:val="16"/>
                <w:szCs w:val="16"/>
                <w:color w:val="auto"/>
              </w:rPr>
              <w:t>(16%)</w:t>
            </w:r>
          </w:p>
        </w:tc>
        <w:tc>
          <w:tcPr>
            <w:tcW w:w="880" w:type="dxa"/>
            <w:vAlign w:val="bottom"/>
            <w:tcBorders>
              <w:bottom w:val="single" w:sz="8" w:color="B2B2B2"/>
            </w:tcBorders>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780" w:type="dxa"/>
            <w:vAlign w:val="bottom"/>
            <w:gridSpan w:val="2"/>
          </w:tcPr>
          <w:p>
            <w:pPr>
              <w:spacing w:after="0"/>
              <w:rPr>
                <w:sz w:val="20"/>
                <w:szCs w:val="20"/>
                <w:color w:val="auto"/>
              </w:rPr>
            </w:pPr>
            <w:r>
              <w:rPr>
                <w:rFonts w:ascii="Arial" w:cs="Arial" w:eastAsia="Arial" w:hAnsi="Arial"/>
                <w:sz w:val="16"/>
                <w:szCs w:val="16"/>
                <w:color w:val="auto"/>
              </w:rPr>
              <w:t>  Non-IFRS Financial Measures</w:t>
            </w: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7780" w:type="dxa"/>
            <w:vAlign w:val="bottom"/>
            <w:gridSpan w:val="2"/>
          </w:tcPr>
          <w:p>
            <w:pPr>
              <w:spacing w:after="0"/>
              <w:rPr>
                <w:sz w:val="20"/>
                <w:szCs w:val="20"/>
                <w:color w:val="auto"/>
              </w:rPr>
            </w:pPr>
            <w:r>
              <w:rPr>
                <w:rFonts w:ascii="Arial" w:cs="Arial" w:eastAsia="Arial" w:hAnsi="Arial"/>
                <w:sz w:val="16"/>
                <w:szCs w:val="16"/>
                <w:color w:val="auto"/>
              </w:rPr>
              <w:t>    Revenues</w:t>
            </w: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auto"/>
              </w:rPr>
              <w:t>7,258</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6,794</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7%</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9"/>
                <w:szCs w:val="19"/>
                <w:color w:val="auto"/>
              </w:rPr>
            </w:pPr>
          </w:p>
        </w:tc>
      </w:tr>
      <w:tr>
        <w:trPr>
          <w:trHeight w:val="180"/>
        </w:trPr>
        <w:tc>
          <w:tcPr>
            <w:tcW w:w="7780" w:type="dxa"/>
            <w:vAlign w:val="bottom"/>
            <w:gridSpan w:val="2"/>
          </w:tcPr>
          <w:p>
            <w:pPr>
              <w:ind w:left="140"/>
              <w:spacing w:after="0"/>
              <w:rPr>
                <w:sz w:val="20"/>
                <w:szCs w:val="20"/>
                <w:color w:val="auto"/>
              </w:rPr>
            </w:pPr>
            <w:r>
              <w:rPr>
                <w:rFonts w:ascii="Arial" w:cs="Arial" w:eastAsia="Arial" w:hAnsi="Arial"/>
                <w:sz w:val="14"/>
                <w:szCs w:val="14"/>
                <w:i w:val="1"/>
                <w:iCs w:val="1"/>
                <w:color w:val="auto"/>
              </w:rPr>
              <w:t>    Organic revenue growth</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i w:val="1"/>
                <w:iCs w:val="1"/>
                <w:color w:val="auto"/>
              </w:rPr>
              <w:t>7%</w:t>
            </w:r>
          </w:p>
        </w:tc>
        <w:tc>
          <w:tcPr>
            <w:tcW w:w="20" w:type="dxa"/>
            <w:vAlign w:val="bottom"/>
          </w:tcPr>
          <w:p>
            <w:pPr>
              <w:spacing w:after="0"/>
              <w:rPr>
                <w:sz w:val="15"/>
                <w:szCs w:val="15"/>
                <w:color w:val="auto"/>
              </w:rPr>
            </w:pPr>
          </w:p>
        </w:tc>
      </w:tr>
      <w:tr>
        <w:trPr>
          <w:trHeight w:val="212"/>
        </w:trPr>
        <w:tc>
          <w:tcPr>
            <w:tcW w:w="7780" w:type="dxa"/>
            <w:vAlign w:val="bottom"/>
            <w:gridSpan w:val="2"/>
          </w:tcPr>
          <w:p>
            <w:pPr>
              <w:spacing w:after="0"/>
              <w:rPr>
                <w:sz w:val="20"/>
                <w:szCs w:val="20"/>
                <w:color w:val="auto"/>
              </w:rPr>
            </w:pPr>
            <w:r>
              <w:rPr>
                <w:rFonts w:ascii="Arial" w:cs="Arial" w:eastAsia="Arial" w:hAnsi="Arial"/>
                <w:sz w:val="16"/>
                <w:szCs w:val="16"/>
                <w:color w:val="auto"/>
              </w:rPr>
              <w:t>    Adjusted EBITDA</w:t>
            </w: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auto"/>
              </w:rPr>
              <w:t>2,779</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2,678</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4%</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8"/>
                <w:szCs w:val="18"/>
                <w:color w:val="auto"/>
              </w:rPr>
            </w:pPr>
          </w:p>
        </w:tc>
      </w:tr>
      <w:tr>
        <w:trPr>
          <w:trHeight w:val="212"/>
        </w:trPr>
        <w:tc>
          <w:tcPr>
            <w:tcW w:w="7780" w:type="dxa"/>
            <w:vAlign w:val="bottom"/>
            <w:gridSpan w:val="2"/>
          </w:tcPr>
          <w:p>
            <w:pPr>
              <w:spacing w:after="0"/>
              <w:rPr>
                <w:sz w:val="20"/>
                <w:szCs w:val="20"/>
                <w:color w:val="auto"/>
              </w:rPr>
            </w:pPr>
            <w:r>
              <w:rPr>
                <w:rFonts w:ascii="Arial" w:cs="Arial" w:eastAsia="Arial" w:hAnsi="Arial"/>
                <w:sz w:val="16"/>
                <w:szCs w:val="16"/>
                <w:color w:val="auto"/>
              </w:rPr>
              <w:t>    Adjusted EBITDA margin</w:t>
            </w: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auto"/>
              </w:rPr>
              <w:t>38.2%</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39.3%</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(110)bp</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(130)bp</w:t>
            </w:r>
          </w:p>
        </w:tc>
      </w:tr>
      <w:tr>
        <w:trPr>
          <w:trHeight w:val="212"/>
        </w:trPr>
        <w:tc>
          <w:tcPr>
            <w:tcW w:w="7780" w:type="dxa"/>
            <w:vAlign w:val="bottom"/>
            <w:gridSpan w:val="2"/>
          </w:tcPr>
          <w:p>
            <w:pPr>
              <w:spacing w:after="0"/>
              <w:rPr>
                <w:sz w:val="20"/>
                <w:szCs w:val="20"/>
                <w:color w:val="auto"/>
              </w:rPr>
            </w:pPr>
            <w:r>
              <w:rPr>
                <w:rFonts w:ascii="Arial" w:cs="Arial" w:eastAsia="Arial" w:hAnsi="Arial"/>
                <w:sz w:val="16"/>
                <w:szCs w:val="16"/>
                <w:color w:val="auto"/>
              </w:rPr>
              <w:t>    Adjusted EBITDA less accrued capital expenditures</w:t>
            </w: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auto"/>
              </w:rPr>
              <w:t>2,170</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2,146</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7780" w:type="dxa"/>
            <w:vAlign w:val="bottom"/>
            <w:gridSpan w:val="2"/>
          </w:tcPr>
          <w:p>
            <w:pPr>
              <w:spacing w:after="0"/>
              <w:rPr>
                <w:sz w:val="20"/>
                <w:szCs w:val="20"/>
                <w:color w:val="auto"/>
              </w:rPr>
            </w:pPr>
            <w:r>
              <w:rPr>
                <w:rFonts w:ascii="Arial" w:cs="Arial" w:eastAsia="Arial" w:hAnsi="Arial"/>
                <w:sz w:val="16"/>
                <w:szCs w:val="16"/>
                <w:color w:val="auto"/>
              </w:rPr>
              <w:t>    Adjusted EBITDA less accrued capital expenditures margin</w:t>
            </w: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auto"/>
              </w:rPr>
              <w:t>29.9%</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31.5%</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(160)bp</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7780" w:type="dxa"/>
            <w:vAlign w:val="bottom"/>
            <w:gridSpan w:val="2"/>
          </w:tcPr>
          <w:p>
            <w:pPr>
              <w:spacing w:after="0"/>
              <w:rPr>
                <w:sz w:val="20"/>
                <w:szCs w:val="20"/>
                <w:color w:val="auto"/>
              </w:rPr>
            </w:pPr>
            <w:r>
              <w:rPr>
                <w:rFonts w:ascii="Arial" w:cs="Arial" w:eastAsia="Arial" w:hAnsi="Arial"/>
                <w:sz w:val="16"/>
                <w:szCs w:val="16"/>
                <w:color w:val="auto"/>
              </w:rPr>
              <w:t>    Adjusted EPS</w:t>
            </w: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auto"/>
              </w:rPr>
              <w:t>$3.77</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$3.51</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7%</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8"/>
                <w:szCs w:val="18"/>
                <w:color w:val="auto"/>
              </w:rPr>
            </w:pPr>
          </w:p>
        </w:tc>
      </w:tr>
      <w:tr>
        <w:trPr>
          <w:trHeight w:val="210"/>
        </w:trPr>
        <w:tc>
          <w:tcPr>
            <w:tcW w:w="7780" w:type="dxa"/>
            <w:vAlign w:val="bottom"/>
            <w:gridSpan w:val="2"/>
          </w:tcPr>
          <w:p>
            <w:pPr>
              <w:spacing w:after="0"/>
              <w:rPr>
                <w:sz w:val="20"/>
                <w:szCs w:val="20"/>
                <w:color w:val="auto"/>
              </w:rPr>
            </w:pPr>
            <w:r>
              <w:rPr>
                <w:rFonts w:ascii="Arial" w:cs="Arial" w:eastAsia="Arial" w:hAnsi="Arial"/>
                <w:sz w:val="16"/>
                <w:szCs w:val="16"/>
                <w:color w:val="auto"/>
              </w:rPr>
              <w:t>  “Big 3” Segments</w:t>
            </w: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7780" w:type="dxa"/>
            <w:vAlign w:val="bottom"/>
            <w:gridSpan w:val="2"/>
          </w:tcPr>
          <w:p>
            <w:pPr>
              <w:spacing w:after="0"/>
              <w:rPr>
                <w:sz w:val="20"/>
                <w:szCs w:val="20"/>
                <w:color w:val="auto"/>
              </w:rPr>
            </w:pPr>
            <w:r>
              <w:rPr>
                <w:rFonts w:ascii="Arial" w:cs="Arial" w:eastAsia="Arial" w:hAnsi="Arial"/>
                <w:sz w:val="16"/>
                <w:szCs w:val="16"/>
                <w:color w:val="auto"/>
              </w:rPr>
              <w:t>    Revenues</w:t>
            </w: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auto"/>
              </w:rPr>
              <w:t>5,931</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5,485</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8%</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9"/>
                <w:szCs w:val="19"/>
                <w:color w:val="auto"/>
              </w:rPr>
            </w:pPr>
          </w:p>
        </w:tc>
      </w:tr>
      <w:tr>
        <w:trPr>
          <w:trHeight w:val="181"/>
        </w:trPr>
        <w:tc>
          <w:tcPr>
            <w:tcW w:w="7780" w:type="dxa"/>
            <w:vAlign w:val="bottom"/>
            <w:gridSpan w:val="2"/>
          </w:tcPr>
          <w:p>
            <w:pPr>
              <w:ind w:left="1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Organic revenue growth</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i w:val="1"/>
                <w:iCs w:val="1"/>
                <w:color w:val="auto"/>
              </w:rPr>
              <w:t>9%</w:t>
            </w:r>
          </w:p>
        </w:tc>
        <w:tc>
          <w:tcPr>
            <w:tcW w:w="20" w:type="dxa"/>
            <w:vAlign w:val="bottom"/>
          </w:tcPr>
          <w:p>
            <w:pPr>
              <w:spacing w:after="0"/>
              <w:rPr>
                <w:sz w:val="15"/>
                <w:szCs w:val="15"/>
                <w:color w:val="auto"/>
              </w:rPr>
            </w:pPr>
          </w:p>
        </w:tc>
      </w:tr>
      <w:tr>
        <w:trPr>
          <w:trHeight w:val="212"/>
        </w:trPr>
        <w:tc>
          <w:tcPr>
            <w:tcW w:w="7780" w:type="dxa"/>
            <w:vAlign w:val="bottom"/>
            <w:gridSpan w:val="2"/>
          </w:tcPr>
          <w:p>
            <w:pPr>
              <w:spacing w:after="0"/>
              <w:rPr>
                <w:sz w:val="20"/>
                <w:szCs w:val="20"/>
                <w:color w:val="auto"/>
              </w:rPr>
            </w:pPr>
            <w:r>
              <w:rPr>
                <w:rFonts w:ascii="Arial" w:cs="Arial" w:eastAsia="Arial" w:hAnsi="Arial"/>
                <w:sz w:val="16"/>
                <w:szCs w:val="16"/>
                <w:color w:val="auto"/>
              </w:rPr>
              <w:t>    Adjusted EBITDA</w:t>
            </w: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auto"/>
              </w:rPr>
              <w:t>2,500</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2,408</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4%</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8"/>
                <w:szCs w:val="18"/>
                <w:color w:val="auto"/>
              </w:rPr>
            </w:pPr>
          </w:p>
        </w:tc>
      </w:tr>
      <w:tr>
        <w:trPr>
          <w:trHeight w:val="206"/>
        </w:trPr>
        <w:tc>
          <w:tcPr>
            <w:tcW w:w="7780" w:type="dxa"/>
            <w:vAlign w:val="bottom"/>
            <w:tcBorders>
              <w:bottom w:val="single" w:sz="8" w:color="D64000"/>
            </w:tcBorders>
            <w:gridSpan w:val="2"/>
          </w:tcPr>
          <w:p>
            <w:pPr>
              <w:spacing w:after="0"/>
              <w:rPr>
                <w:sz w:val="20"/>
                <w:szCs w:val="20"/>
                <w:color w:val="auto"/>
              </w:rPr>
            </w:pPr>
            <w:r>
              <w:rPr>
                <w:rFonts w:ascii="Arial" w:cs="Arial" w:eastAsia="Arial" w:hAnsi="Arial"/>
                <w:sz w:val="16"/>
                <w:szCs w:val="16"/>
                <w:color w:val="auto"/>
              </w:rPr>
              <w:t>    Adjusted EBITDA margin</w:t>
            </w:r>
          </w:p>
        </w:tc>
        <w:tc>
          <w:tcPr>
            <w:tcW w:w="600" w:type="dxa"/>
            <w:vAlign w:val="bottom"/>
            <w:tcBorders>
              <w:bottom w:val="single" w:sz="8" w:color="D64000"/>
            </w:tcBorders>
          </w:tcPr>
          <w:p>
            <w:pPr>
              <w:jc w:val="right"/>
              <w:ind w:right="41"/>
              <w:spacing w:after="0"/>
              <w:rPr>
                <w:sz w:val="20"/>
                <w:szCs w:val="20"/>
                <w:color w:val="auto"/>
              </w:rPr>
            </w:pPr>
            <w:r>
              <w:rPr>
                <w:rFonts w:ascii="Arial" w:cs="Arial" w:eastAsia="Arial" w:hAnsi="Arial"/>
                <w:sz w:val="16"/>
                <w:szCs w:val="16"/>
                <w:b w:val="1"/>
                <w:bCs w:val="1"/>
                <w:color w:val="auto"/>
              </w:rPr>
              <w:t>42.1%</w:t>
            </w:r>
          </w:p>
        </w:tc>
        <w:tc>
          <w:tcPr>
            <w:tcW w:w="660" w:type="dxa"/>
            <w:vAlign w:val="bottom"/>
            <w:tcBorders>
              <w:bottom w:val="single" w:sz="8" w:color="D64000"/>
            </w:tcBorders>
          </w:tcPr>
          <w:p>
            <w:pPr>
              <w:jc w:val="right"/>
              <w:ind w:right="21"/>
              <w:spacing w:after="0"/>
              <w:rPr>
                <w:sz w:val="20"/>
                <w:szCs w:val="20"/>
                <w:color w:val="auto"/>
              </w:rPr>
            </w:pPr>
            <w:r>
              <w:rPr>
                <w:rFonts w:ascii="Arial" w:cs="Arial" w:eastAsia="Arial" w:hAnsi="Arial"/>
                <w:sz w:val="16"/>
                <w:szCs w:val="16"/>
                <w:color w:val="auto"/>
              </w:rPr>
              <w:t>43.8%</w:t>
            </w:r>
          </w:p>
        </w:tc>
        <w:tc>
          <w:tcPr>
            <w:tcW w:w="880" w:type="dxa"/>
            <w:vAlign w:val="bottom"/>
            <w:tcBorders>
              <w:bottom w:val="single" w:sz="8" w:color="D64000"/>
            </w:tcBorders>
          </w:tcPr>
          <w:p>
            <w:pPr>
              <w:jc w:val="right"/>
              <w:ind w:right="61"/>
              <w:spacing w:after="0"/>
              <w:rPr>
                <w:sz w:val="20"/>
                <w:szCs w:val="20"/>
                <w:color w:val="auto"/>
              </w:rPr>
            </w:pPr>
            <w:r>
              <w:rPr>
                <w:rFonts w:ascii="Arial" w:cs="Arial" w:eastAsia="Arial" w:hAnsi="Arial"/>
                <w:sz w:val="16"/>
                <w:szCs w:val="16"/>
                <w:color w:val="auto"/>
              </w:rPr>
              <w:t>(170)bp</w:t>
            </w:r>
          </w:p>
        </w:tc>
        <w:tc>
          <w:tcPr>
            <w:tcW w:w="880" w:type="dxa"/>
            <w:vAlign w:val="bottom"/>
            <w:tcBorders>
              <w:bottom w:val="single" w:sz="8" w:color="D64000"/>
            </w:tcBorders>
          </w:tcPr>
          <w:p>
            <w:pPr>
              <w:jc w:val="right"/>
              <w:ind w:right="22"/>
              <w:spacing w:after="0"/>
              <w:rPr>
                <w:sz w:val="20"/>
                <w:szCs w:val="20"/>
                <w:color w:val="auto"/>
              </w:rPr>
            </w:pPr>
            <w:r>
              <w:rPr>
                <w:rFonts w:ascii="Arial" w:cs="Arial" w:eastAsia="Arial" w:hAnsi="Arial"/>
                <w:sz w:val="16"/>
                <w:szCs w:val="16"/>
                <w:color w:val="auto"/>
              </w:rPr>
              <w:t>(180)bp</w:t>
            </w:r>
          </w:p>
        </w:tc>
        <w:tc>
          <w:tcPr>
            <w:tcW w:w="20" w:type="dxa"/>
            <w:vAlign w:val="bottom"/>
          </w:tcPr>
          <w:p>
            <w:pPr>
              <w:spacing w:after="0"/>
              <w:rPr>
                <w:sz w:val="17"/>
                <w:szCs w:val="17"/>
                <w:color w:val="auto"/>
              </w:rPr>
            </w:pPr>
          </w:p>
        </w:tc>
      </w:tr>
      <w:tr>
        <w:trPr>
          <w:trHeight w:val="159"/>
        </w:trPr>
        <w:tc>
          <w:tcPr>
            <w:tcW w:w="7780" w:type="dxa"/>
            <w:vAlign w:val="bottom"/>
            <w:tcBorders>
              <w:bottom w:val="single" w:sz="8" w:color="7F7F7F"/>
            </w:tcBorders>
            <w:gridSpan w:val="2"/>
          </w:tcPr>
          <w:p>
            <w:pPr>
              <w:spacing w:after="0"/>
              <w:rPr>
                <w:sz w:val="13"/>
                <w:szCs w:val="13"/>
                <w:color w:val="auto"/>
              </w:rPr>
            </w:pPr>
          </w:p>
        </w:tc>
        <w:tc>
          <w:tcPr>
            <w:tcW w:w="600" w:type="dxa"/>
            <w:vAlign w:val="bottom"/>
            <w:tcBorders>
              <w:bottom w:val="single" w:sz="8" w:color="7F7F7F"/>
            </w:tcBorders>
          </w:tcPr>
          <w:p>
            <w:pPr>
              <w:spacing w:after="0"/>
              <w:rPr>
                <w:sz w:val="13"/>
                <w:szCs w:val="13"/>
                <w:color w:val="auto"/>
              </w:rPr>
            </w:pPr>
          </w:p>
        </w:tc>
        <w:tc>
          <w:tcPr>
            <w:tcW w:w="660" w:type="dxa"/>
            <w:vAlign w:val="bottom"/>
            <w:tcBorders>
              <w:bottom w:val="single" w:sz="8" w:color="7F7F7F"/>
            </w:tcBorders>
          </w:tcPr>
          <w:p>
            <w:pPr>
              <w:spacing w:after="0"/>
              <w:rPr>
                <w:sz w:val="13"/>
                <w:szCs w:val="13"/>
                <w:color w:val="auto"/>
              </w:rPr>
            </w:pPr>
          </w:p>
        </w:tc>
        <w:tc>
          <w:tcPr>
            <w:tcW w:w="880" w:type="dxa"/>
            <w:vAlign w:val="bottom"/>
            <w:tcBorders>
              <w:bottom w:val="single" w:sz="8" w:color="7F7F7F"/>
            </w:tcBorders>
          </w:tcPr>
          <w:p>
            <w:pPr>
              <w:spacing w:after="0"/>
              <w:rPr>
                <w:sz w:val="13"/>
                <w:szCs w:val="13"/>
                <w:color w:val="auto"/>
              </w:rPr>
            </w:pPr>
          </w:p>
        </w:tc>
        <w:tc>
          <w:tcPr>
            <w:tcW w:w="880" w:type="dxa"/>
            <w:vAlign w:val="bottom"/>
            <w:tcBorders>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r>
      <w:tr>
        <w:trPr>
          <w:trHeight w:val="241"/>
        </w:trPr>
        <w:tc>
          <w:tcPr>
            <w:tcW w:w="7780" w:type="dxa"/>
            <w:vAlign w:val="bottom"/>
            <w:gridSpan w:val="2"/>
          </w:tcPr>
          <w:p>
            <w:pPr>
              <w:spacing w:after="0"/>
              <w:rPr>
                <w:sz w:val="20"/>
                <w:szCs w:val="20"/>
                <w:color w:val="auto"/>
              </w:rPr>
            </w:pPr>
            <w:r>
              <w:rPr>
                <w:rFonts w:ascii="Arial" w:cs="Arial" w:eastAsia="Arial" w:hAnsi="Arial"/>
                <w:sz w:val="17"/>
                <w:szCs w:val="17"/>
                <w:b w:val="1"/>
                <w:bCs w:val="1"/>
                <w:color w:val="auto"/>
              </w:rPr>
              <w:t>Thomson Reuters Annual Report 2024</w:t>
            </w: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gridSpan w:val="2"/>
          </w:tcPr>
          <w:p>
            <w:pPr>
              <w:ind w:left="260"/>
              <w:spacing w:after="0"/>
              <w:rPr>
                <w:sz w:val="20"/>
                <w:szCs w:val="20"/>
                <w:color w:val="auto"/>
              </w:rPr>
            </w:pPr>
            <w:r>
              <w:rPr>
                <w:rFonts w:ascii="Arial" w:cs="Arial" w:eastAsia="Arial" w:hAnsi="Arial"/>
                <w:sz w:val="17"/>
                <w:szCs w:val="17"/>
                <w:color w:val="auto"/>
                <w:w w:val="97"/>
              </w:rPr>
              <w:t>Page 33</w:t>
            </w:r>
          </w:p>
        </w:tc>
      </w:tr>
    </w:tbl>
    <w:p>
      <w:pPr>
        <w:sectPr>
          <w:pgSz w:w="11900" w:h="16838" w:orient="portrait"/>
          <w:cols w:equalWidth="0" w:num="1">
            <w:col w:w="11040"/>
          </w:cols>
          <w:pgMar w:left="320" w:top="477" w:right="5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100330</wp:posOffset>
            </wp:positionV>
            <wp:extent cx="68656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8" w:lineRule="exact"/>
        <w:rPr>
          <w:sz w:val="20"/>
          <w:szCs w:val="20"/>
          <w:color w:val="auto"/>
        </w:rPr>
      </w:pPr>
    </w:p>
    <w:tbl>
      <w:tblPr>
        <w:tblLayout w:type="fixed"/>
        <w:tblInd w:w="220" w:type="dxa"/>
        <w:tblCellMar>
          <w:top w:w="0" w:type="dxa"/>
          <w:left w:w="0" w:type="dxa"/>
          <w:bottom w:w="0" w:type="dxa"/>
          <w:right w:w="0" w:type="dxa"/>
        </w:tblCellMar>
      </w:tblPr>
      <w:tr>
        <w:trPr>
          <w:trHeight w:val="239"/>
        </w:trPr>
        <w:tc>
          <w:tcPr>
            <w:tcW w:w="10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260" w:type="dxa"/>
            <w:vAlign w:val="bottom"/>
            <w:shd w:val="clear" w:color="auto" w:fill="E3F3EE"/>
          </w:tcPr>
          <w:p>
            <w:pPr>
              <w:jc w:val="right"/>
              <w:spacing w:after="0"/>
              <w:rPr>
                <w:sz w:val="20"/>
                <w:szCs w:val="20"/>
                <w:color w:val="auto"/>
              </w:rPr>
            </w:pPr>
            <w:r>
              <w:rPr>
                <w:rFonts w:ascii="Arial" w:cs="Arial" w:eastAsia="Arial" w:hAnsi="Arial"/>
                <w:sz w:val="16"/>
                <w:szCs w:val="16"/>
                <w:b w:val="1"/>
                <w:bCs w:val="1"/>
                <w:color w:val="auto"/>
              </w:rPr>
              <w:t> </w:t>
            </w:r>
          </w:p>
        </w:tc>
        <w:tc>
          <w:tcPr>
            <w:tcW w:w="2280" w:type="dxa"/>
            <w:vAlign w:val="bottom"/>
            <w:gridSpan w:val="4"/>
            <w:shd w:val="clear" w:color="auto" w:fill="E3F3EE"/>
          </w:tcPr>
          <w:p>
            <w:pPr>
              <w:jc w:val="right"/>
              <w:spacing w:after="0"/>
              <w:rPr>
                <w:sz w:val="20"/>
                <w:szCs w:val="20"/>
                <w:color w:val="auto"/>
              </w:rPr>
            </w:pPr>
            <w:r>
              <w:rPr>
                <w:rFonts w:ascii="Arial" w:cs="Arial" w:eastAsia="Arial" w:hAnsi="Arial"/>
                <w:sz w:val="16"/>
                <w:szCs w:val="16"/>
                <w:b w:val="1"/>
                <w:bCs w:val="1"/>
                <w:color w:val="auto"/>
                <w:w w:val="95"/>
              </w:rPr>
              <w:t>  Year ended December 31, </w:t>
            </w:r>
          </w:p>
        </w:tc>
        <w:tc>
          <w:tcPr>
            <w:tcW w:w="840" w:type="dxa"/>
            <w:vAlign w:val="bottom"/>
            <w:shd w:val="clear" w:color="auto" w:fill="E3F3EE"/>
          </w:tcPr>
          <w:p>
            <w:pPr>
              <w:jc w:val="right"/>
              <w:ind w:right="664"/>
              <w:spacing w:after="0"/>
              <w:rPr>
                <w:sz w:val="20"/>
                <w:szCs w:val="20"/>
                <w:color w:val="auto"/>
              </w:rPr>
            </w:pPr>
            <w:r>
              <w:rPr>
                <w:rFonts w:ascii="Arial" w:cs="Arial" w:eastAsia="Arial" w:hAnsi="Arial"/>
                <w:sz w:val="11"/>
                <w:szCs w:val="11"/>
                <w:b w:val="1"/>
                <w:bCs w:val="1"/>
                <w:color w:val="auto"/>
                <w:w w:val="72"/>
              </w:rPr>
              <w:t> </w:t>
            </w:r>
          </w:p>
        </w:tc>
        <w:tc>
          <w:tcPr>
            <w:tcW w:w="20" w:type="dxa"/>
            <w:vAlign w:val="bottom"/>
          </w:tcPr>
          <w:p>
            <w:pPr>
              <w:spacing w:after="0"/>
              <w:rPr>
                <w:sz w:val="20"/>
                <w:szCs w:val="20"/>
                <w:color w:val="auto"/>
              </w:rPr>
            </w:pPr>
          </w:p>
        </w:tc>
      </w:tr>
      <w:tr>
        <w:trPr>
          <w:trHeight w:val="192"/>
        </w:trPr>
        <w:tc>
          <w:tcPr>
            <w:tcW w:w="100" w:type="dxa"/>
            <w:vAlign w:val="bottom"/>
            <w:tcBorders>
              <w:bottom w:val="single" w:sz="8" w:color="1F473D"/>
            </w:tcBorders>
            <w:shd w:val="clear" w:color="auto" w:fill="1F473D"/>
          </w:tcPr>
          <w:p>
            <w:pPr>
              <w:spacing w:after="0"/>
              <w:rPr>
                <w:sz w:val="16"/>
                <w:szCs w:val="16"/>
                <w:color w:val="auto"/>
              </w:rPr>
            </w:pPr>
          </w:p>
        </w:tc>
        <w:tc>
          <w:tcPr>
            <w:tcW w:w="6320" w:type="dxa"/>
            <w:vAlign w:val="bottom"/>
            <w:tcBorders>
              <w:bottom w:val="single" w:sz="8" w:color="1F473D"/>
            </w:tcBorders>
            <w:shd w:val="clear" w:color="auto" w:fill="1F473D"/>
          </w:tcPr>
          <w:p>
            <w:pPr>
              <w:spacing w:after="0"/>
              <w:rPr>
                <w:sz w:val="16"/>
                <w:szCs w:val="16"/>
                <w:color w:val="auto"/>
              </w:rPr>
            </w:pPr>
          </w:p>
        </w:tc>
        <w:tc>
          <w:tcPr>
            <w:tcW w:w="1260" w:type="dxa"/>
            <w:vAlign w:val="bottom"/>
            <w:tcBorders>
              <w:bottom w:val="single" w:sz="8" w:color="1F473D"/>
            </w:tcBorders>
            <w:shd w:val="clear" w:color="auto" w:fill="1F473D"/>
          </w:tcPr>
          <w:p>
            <w:pPr>
              <w:spacing w:after="0"/>
              <w:rPr>
                <w:sz w:val="16"/>
                <w:szCs w:val="16"/>
                <w:color w:val="auto"/>
              </w:rPr>
            </w:pPr>
          </w:p>
        </w:tc>
        <w:tc>
          <w:tcPr>
            <w:tcW w:w="420" w:type="dxa"/>
            <w:vAlign w:val="bottom"/>
            <w:tcBorders>
              <w:bottom w:val="single" w:sz="8" w:color="1F473D"/>
            </w:tcBorders>
            <w:shd w:val="clear" w:color="auto" w:fill="1F473D"/>
          </w:tcPr>
          <w:p>
            <w:pPr>
              <w:spacing w:after="0"/>
              <w:rPr>
                <w:sz w:val="16"/>
                <w:szCs w:val="16"/>
                <w:color w:val="auto"/>
              </w:rPr>
            </w:pPr>
          </w:p>
        </w:tc>
        <w:tc>
          <w:tcPr>
            <w:tcW w:w="200" w:type="dxa"/>
            <w:vAlign w:val="bottom"/>
            <w:tcBorders>
              <w:bottom w:val="single" w:sz="8" w:color="D64000"/>
            </w:tcBorders>
            <w:shd w:val="clear" w:color="auto" w:fill="1F473D"/>
          </w:tcPr>
          <w:p>
            <w:pPr>
              <w:spacing w:after="0"/>
              <w:rPr>
                <w:sz w:val="16"/>
                <w:szCs w:val="16"/>
                <w:color w:val="auto"/>
              </w:rPr>
            </w:pPr>
          </w:p>
        </w:tc>
        <w:tc>
          <w:tcPr>
            <w:tcW w:w="720" w:type="dxa"/>
            <w:vAlign w:val="bottom"/>
            <w:tcBorders>
              <w:bottom w:val="single" w:sz="8" w:color="D64000"/>
            </w:tcBorders>
            <w:shd w:val="clear" w:color="auto" w:fill="1F473D"/>
          </w:tcPr>
          <w:p>
            <w:pPr>
              <w:spacing w:after="0"/>
              <w:rPr>
                <w:sz w:val="16"/>
                <w:szCs w:val="16"/>
                <w:color w:val="auto"/>
              </w:rPr>
            </w:pPr>
          </w:p>
        </w:tc>
        <w:tc>
          <w:tcPr>
            <w:tcW w:w="94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Change</w:t>
            </w:r>
          </w:p>
        </w:tc>
        <w:tc>
          <w:tcPr>
            <w:tcW w:w="840" w:type="dxa"/>
            <w:vAlign w:val="bottom"/>
            <w:tcBorders>
              <w:bottom w:val="single" w:sz="8" w:color="D64000"/>
            </w:tcBorders>
            <w:shd w:val="clear" w:color="auto" w:fill="1F473D"/>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100" w:type="dxa"/>
            <w:vAlign w:val="bottom"/>
            <w:shd w:val="clear" w:color="auto" w:fill="1F473D"/>
          </w:tcPr>
          <w:p>
            <w:pPr>
              <w:spacing w:after="0"/>
              <w:rPr>
                <w:sz w:val="14"/>
                <w:szCs w:val="14"/>
                <w:color w:val="auto"/>
              </w:rPr>
            </w:pPr>
          </w:p>
        </w:tc>
        <w:tc>
          <w:tcPr>
            <w:tcW w:w="6320" w:type="dxa"/>
            <w:vAlign w:val="bottom"/>
            <w:shd w:val="clear" w:color="auto" w:fill="1F473D"/>
          </w:tcPr>
          <w:p>
            <w:pPr>
              <w:spacing w:after="0"/>
              <w:rPr>
                <w:sz w:val="14"/>
                <w:szCs w:val="14"/>
                <w:color w:val="auto"/>
              </w:rPr>
            </w:pPr>
          </w:p>
        </w:tc>
        <w:tc>
          <w:tcPr>
            <w:tcW w:w="1260" w:type="dxa"/>
            <w:vAlign w:val="bottom"/>
            <w:shd w:val="clear" w:color="auto" w:fill="1F473D"/>
          </w:tcPr>
          <w:p>
            <w:pPr>
              <w:spacing w:after="0"/>
              <w:rPr>
                <w:sz w:val="14"/>
                <w:szCs w:val="14"/>
                <w:color w:val="auto"/>
              </w:rPr>
            </w:pPr>
          </w:p>
        </w:tc>
        <w:tc>
          <w:tcPr>
            <w:tcW w:w="420" w:type="dxa"/>
            <w:vAlign w:val="bottom"/>
            <w:shd w:val="clear" w:color="auto" w:fill="1F473D"/>
          </w:tcPr>
          <w:p>
            <w:pPr>
              <w:spacing w:after="0"/>
              <w:rPr>
                <w:sz w:val="14"/>
                <w:szCs w:val="14"/>
                <w:color w:val="auto"/>
              </w:rPr>
            </w:pPr>
          </w:p>
        </w:tc>
        <w:tc>
          <w:tcPr>
            <w:tcW w:w="200" w:type="dxa"/>
            <w:vAlign w:val="bottom"/>
            <w:shd w:val="clear" w:color="auto" w:fill="1F473D"/>
          </w:tcPr>
          <w:p>
            <w:pPr>
              <w:spacing w:after="0"/>
              <w:rPr>
                <w:sz w:val="14"/>
                <w:szCs w:val="14"/>
                <w:color w:val="auto"/>
              </w:rPr>
            </w:pPr>
          </w:p>
        </w:tc>
        <w:tc>
          <w:tcPr>
            <w:tcW w:w="720" w:type="dxa"/>
            <w:vAlign w:val="bottom"/>
            <w:shd w:val="clear" w:color="auto" w:fill="1F473D"/>
          </w:tcPr>
          <w:p>
            <w:pPr>
              <w:spacing w:after="0"/>
              <w:rPr>
                <w:sz w:val="14"/>
                <w:szCs w:val="14"/>
                <w:color w:val="auto"/>
              </w:rPr>
            </w:pPr>
          </w:p>
        </w:tc>
        <w:tc>
          <w:tcPr>
            <w:tcW w:w="940" w:type="dxa"/>
            <w:vAlign w:val="bottom"/>
            <w:shd w:val="clear" w:color="auto" w:fill="1F473D"/>
          </w:tcPr>
          <w:p>
            <w:pPr>
              <w:jc w:val="right"/>
              <w:ind w:right="21"/>
              <w:spacing w:after="0" w:line="171" w:lineRule="exact"/>
              <w:rPr>
                <w:sz w:val="20"/>
                <w:szCs w:val="20"/>
                <w:color w:val="auto"/>
              </w:rPr>
            </w:pPr>
            <w:r>
              <w:rPr>
                <w:rFonts w:ascii="Arial" w:cs="Arial" w:eastAsia="Arial" w:hAnsi="Arial"/>
                <w:sz w:val="16"/>
                <w:szCs w:val="16"/>
                <w:color w:val="FFFFFF"/>
              </w:rPr>
              <w:t>Constant</w:t>
            </w:r>
          </w:p>
        </w:tc>
        <w:tc>
          <w:tcPr>
            <w:tcW w:w="840" w:type="dxa"/>
            <w:vAlign w:val="bottom"/>
            <w:shd w:val="clear" w:color="auto" w:fill="1F473D"/>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6420" w:type="dxa"/>
            <w:vAlign w:val="bottom"/>
            <w:tcBorders>
              <w:bottom w:val="single" w:sz="8" w:color="D64000"/>
            </w:tcBorders>
            <w:gridSpan w:val="2"/>
            <w:shd w:val="clear" w:color="auto" w:fill="1F473D"/>
          </w:tcPr>
          <w:p>
            <w:pPr>
              <w:spacing w:after="0"/>
              <w:rPr>
                <w:sz w:val="20"/>
                <w:szCs w:val="20"/>
                <w:color w:val="auto"/>
              </w:rPr>
            </w:pPr>
            <w:r>
              <w:rPr>
                <w:rFonts w:ascii="Arial" w:cs="Arial" w:eastAsia="Arial" w:hAnsi="Arial"/>
                <w:sz w:val="16"/>
                <w:szCs w:val="16"/>
                <w:color w:val="FFFFFF"/>
              </w:rPr>
              <w:t>  (millions of U.S. dollars)</w:t>
            </w:r>
          </w:p>
        </w:tc>
        <w:tc>
          <w:tcPr>
            <w:tcW w:w="1260" w:type="dxa"/>
            <w:vAlign w:val="bottom"/>
            <w:tcBorders>
              <w:bottom w:val="single" w:sz="8" w:color="D64000"/>
            </w:tcBorders>
            <w:shd w:val="clear" w:color="auto" w:fill="1F473D"/>
          </w:tcPr>
          <w:p>
            <w:pPr>
              <w:jc w:val="right"/>
              <w:ind w:right="201"/>
              <w:spacing w:after="0"/>
              <w:rPr>
                <w:sz w:val="20"/>
                <w:szCs w:val="20"/>
                <w:color w:val="auto"/>
              </w:rPr>
            </w:pPr>
            <w:r>
              <w:rPr>
                <w:rFonts w:ascii="Arial" w:cs="Arial" w:eastAsia="Arial" w:hAnsi="Arial"/>
                <w:sz w:val="16"/>
                <w:szCs w:val="16"/>
                <w:b w:val="1"/>
                <w:bCs w:val="1"/>
                <w:color w:val="FFFFFF"/>
              </w:rPr>
              <w:t>2024</w:t>
            </w:r>
          </w:p>
        </w:tc>
        <w:tc>
          <w:tcPr>
            <w:tcW w:w="620" w:type="dxa"/>
            <w:vAlign w:val="bottom"/>
            <w:tcBorders>
              <w:bottom w:val="single" w:sz="8" w:color="D64000"/>
            </w:tcBorders>
            <w:gridSpan w:val="2"/>
            <w:shd w:val="clear" w:color="auto" w:fill="1F473D"/>
          </w:tcPr>
          <w:p>
            <w:pPr>
              <w:jc w:val="right"/>
              <w:ind w:right="200"/>
              <w:spacing w:after="0"/>
              <w:rPr>
                <w:sz w:val="20"/>
                <w:szCs w:val="20"/>
                <w:color w:val="auto"/>
              </w:rPr>
            </w:pPr>
            <w:r>
              <w:rPr>
                <w:rFonts w:ascii="Arial" w:cs="Arial" w:eastAsia="Arial" w:hAnsi="Arial"/>
                <w:sz w:val="16"/>
                <w:szCs w:val="16"/>
                <w:color w:val="FFFFFF"/>
              </w:rPr>
              <w:t>2023</w:t>
            </w:r>
          </w:p>
        </w:tc>
        <w:tc>
          <w:tcPr>
            <w:tcW w:w="720" w:type="dxa"/>
            <w:vAlign w:val="bottom"/>
            <w:tcBorders>
              <w:bottom w:val="single" w:sz="8" w:color="D64000"/>
            </w:tcBorders>
            <w:shd w:val="clear" w:color="auto" w:fill="1F473D"/>
          </w:tcPr>
          <w:p>
            <w:pPr>
              <w:jc w:val="right"/>
              <w:ind w:right="121"/>
              <w:spacing w:after="0"/>
              <w:rPr>
                <w:sz w:val="20"/>
                <w:szCs w:val="20"/>
                <w:color w:val="auto"/>
              </w:rPr>
            </w:pPr>
            <w:r>
              <w:rPr>
                <w:rFonts w:ascii="Arial" w:cs="Arial" w:eastAsia="Arial" w:hAnsi="Arial"/>
                <w:sz w:val="16"/>
                <w:szCs w:val="16"/>
                <w:color w:val="FFFFFF"/>
              </w:rPr>
              <w:t>Total</w:t>
            </w:r>
          </w:p>
        </w:tc>
        <w:tc>
          <w:tcPr>
            <w:tcW w:w="940" w:type="dxa"/>
            <w:vAlign w:val="bottom"/>
            <w:tcBorders>
              <w:bottom w:val="single" w:sz="8" w:color="D64000"/>
            </w:tcBorders>
            <w:shd w:val="clear" w:color="auto" w:fill="1F473D"/>
          </w:tcPr>
          <w:p>
            <w:pPr>
              <w:jc w:val="right"/>
              <w:ind w:right="21"/>
              <w:spacing w:after="0"/>
              <w:rPr>
                <w:sz w:val="20"/>
                <w:szCs w:val="20"/>
                <w:color w:val="auto"/>
              </w:rPr>
            </w:pPr>
            <w:r>
              <w:rPr>
                <w:rFonts w:ascii="Arial" w:cs="Arial" w:eastAsia="Arial" w:hAnsi="Arial"/>
                <w:sz w:val="16"/>
                <w:szCs w:val="16"/>
                <w:color w:val="FFFFFF"/>
              </w:rPr>
              <w:t>Currency</w:t>
            </w:r>
          </w:p>
        </w:tc>
        <w:tc>
          <w:tcPr>
            <w:tcW w:w="84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Organic</w:t>
            </w:r>
          </w:p>
        </w:tc>
        <w:tc>
          <w:tcPr>
            <w:tcW w:w="20" w:type="dxa"/>
            <w:vAlign w:val="bottom"/>
          </w:tcPr>
          <w:p>
            <w:pPr>
              <w:spacing w:after="0"/>
              <w:rPr>
                <w:sz w:val="17"/>
                <w:szCs w:val="17"/>
                <w:color w:val="auto"/>
              </w:rPr>
            </w:pPr>
          </w:p>
        </w:tc>
      </w:tr>
      <w:tr>
        <w:trPr>
          <w:trHeight w:val="211"/>
        </w:trPr>
        <w:tc>
          <w:tcPr>
            <w:tcW w:w="100" w:type="dxa"/>
            <w:vAlign w:val="bottom"/>
          </w:tcPr>
          <w:p>
            <w:pPr>
              <w:spacing w:after="0"/>
              <w:rPr>
                <w:sz w:val="20"/>
                <w:szCs w:val="20"/>
                <w:color w:val="auto"/>
              </w:rPr>
            </w:pPr>
            <w:r>
              <w:rPr>
                <w:rFonts w:ascii="Arial" w:cs="Arial" w:eastAsia="Arial" w:hAnsi="Arial"/>
                <w:sz w:val="11"/>
                <w:szCs w:val="11"/>
                <w:b w:val="1"/>
                <w:bCs w:val="1"/>
                <w:color w:val="auto"/>
                <w:w w:val="72"/>
              </w:rPr>
              <w:t> </w:t>
            </w:r>
          </w:p>
        </w:tc>
        <w:tc>
          <w:tcPr>
            <w:tcW w:w="6320" w:type="dxa"/>
            <w:vAlign w:val="bottom"/>
          </w:tcPr>
          <w:p>
            <w:pPr>
              <w:ind w:left="60"/>
              <w:spacing w:after="0"/>
              <w:rPr>
                <w:sz w:val="20"/>
                <w:szCs w:val="20"/>
                <w:color w:val="auto"/>
              </w:rPr>
            </w:pPr>
            <w:r>
              <w:rPr>
                <w:rFonts w:ascii="Arial" w:cs="Arial" w:eastAsia="Arial" w:hAnsi="Arial"/>
                <w:sz w:val="16"/>
                <w:szCs w:val="16"/>
                <w:b w:val="1"/>
                <w:bCs w:val="1"/>
                <w:color w:val="auto"/>
              </w:rPr>
              <w:t>Recurring revenues</w:t>
            </w:r>
          </w:p>
        </w:tc>
        <w:tc>
          <w:tcPr>
            <w:tcW w:w="1260" w:type="dxa"/>
            <w:vAlign w:val="bottom"/>
          </w:tcPr>
          <w:p>
            <w:pPr>
              <w:jc w:val="right"/>
              <w:ind w:right="201"/>
              <w:spacing w:after="0"/>
              <w:rPr>
                <w:sz w:val="20"/>
                <w:szCs w:val="20"/>
                <w:color w:val="auto"/>
              </w:rPr>
            </w:pPr>
            <w:r>
              <w:rPr>
                <w:rFonts w:ascii="Arial" w:cs="Arial" w:eastAsia="Arial" w:hAnsi="Arial"/>
                <w:sz w:val="16"/>
                <w:szCs w:val="16"/>
                <w:b w:val="1"/>
                <w:bCs w:val="1"/>
                <w:color w:val="auto"/>
              </w:rPr>
              <w:t>5,882</w:t>
            </w: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5,458</w:t>
            </w:r>
          </w:p>
        </w:tc>
        <w:tc>
          <w:tcPr>
            <w:tcW w:w="720" w:type="dxa"/>
            <w:vAlign w:val="bottom"/>
          </w:tcPr>
          <w:p>
            <w:pPr>
              <w:jc w:val="right"/>
              <w:ind w:right="121"/>
              <w:spacing w:after="0"/>
              <w:rPr>
                <w:sz w:val="20"/>
                <w:szCs w:val="20"/>
                <w:color w:val="auto"/>
              </w:rPr>
            </w:pPr>
            <w:r>
              <w:rPr>
                <w:rFonts w:ascii="Arial" w:cs="Arial" w:eastAsia="Arial" w:hAnsi="Arial"/>
                <w:sz w:val="16"/>
                <w:szCs w:val="16"/>
                <w:color w:val="auto"/>
              </w:rPr>
              <w:t>8%</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8%</w:t>
            </w: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8"/>
                <w:szCs w:val="18"/>
                <w:color w:val="auto"/>
              </w:rPr>
            </w:pPr>
          </w:p>
        </w:tc>
      </w:tr>
      <w:tr>
        <w:trPr>
          <w:trHeight w:val="212"/>
        </w:trPr>
        <w:tc>
          <w:tcPr>
            <w:tcW w:w="100" w:type="dxa"/>
            <w:vAlign w:val="bottom"/>
          </w:tcPr>
          <w:p>
            <w:pPr>
              <w:spacing w:after="0"/>
              <w:rPr>
                <w:sz w:val="20"/>
                <w:szCs w:val="20"/>
                <w:color w:val="auto"/>
              </w:rPr>
            </w:pPr>
            <w:r>
              <w:rPr>
                <w:rFonts w:ascii="Arial" w:cs="Arial" w:eastAsia="Arial" w:hAnsi="Arial"/>
                <w:sz w:val="11"/>
                <w:szCs w:val="11"/>
                <w:b w:val="1"/>
                <w:bCs w:val="1"/>
                <w:color w:val="auto"/>
                <w:w w:val="72"/>
              </w:rPr>
              <w:t> </w:t>
            </w:r>
          </w:p>
        </w:tc>
        <w:tc>
          <w:tcPr>
            <w:tcW w:w="6320" w:type="dxa"/>
            <w:vAlign w:val="bottom"/>
          </w:tcPr>
          <w:p>
            <w:pPr>
              <w:ind w:left="60"/>
              <w:spacing w:after="0"/>
              <w:rPr>
                <w:sz w:val="20"/>
                <w:szCs w:val="20"/>
                <w:color w:val="auto"/>
              </w:rPr>
            </w:pPr>
            <w:r>
              <w:rPr>
                <w:rFonts w:ascii="Arial" w:cs="Arial" w:eastAsia="Arial" w:hAnsi="Arial"/>
                <w:sz w:val="16"/>
                <w:szCs w:val="16"/>
                <w:b w:val="1"/>
                <w:bCs w:val="1"/>
                <w:color w:val="auto"/>
              </w:rPr>
              <w:t>Transactions revenues</w:t>
            </w:r>
          </w:p>
        </w:tc>
        <w:tc>
          <w:tcPr>
            <w:tcW w:w="1260" w:type="dxa"/>
            <w:vAlign w:val="bottom"/>
          </w:tcPr>
          <w:p>
            <w:pPr>
              <w:jc w:val="right"/>
              <w:ind w:right="201"/>
              <w:spacing w:after="0"/>
              <w:rPr>
                <w:sz w:val="20"/>
                <w:szCs w:val="20"/>
                <w:color w:val="auto"/>
              </w:rPr>
            </w:pPr>
            <w:r>
              <w:rPr>
                <w:rFonts w:ascii="Arial" w:cs="Arial" w:eastAsia="Arial" w:hAnsi="Arial"/>
                <w:sz w:val="16"/>
                <w:szCs w:val="16"/>
                <w:b w:val="1"/>
                <w:bCs w:val="1"/>
                <w:color w:val="auto"/>
              </w:rPr>
              <w:t>857</w:t>
            </w: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774</w:t>
            </w:r>
          </w:p>
        </w:tc>
        <w:tc>
          <w:tcPr>
            <w:tcW w:w="720" w:type="dxa"/>
            <w:vAlign w:val="bottom"/>
          </w:tcPr>
          <w:p>
            <w:pPr>
              <w:jc w:val="right"/>
              <w:ind w:right="121"/>
              <w:spacing w:after="0"/>
              <w:rPr>
                <w:sz w:val="20"/>
                <w:szCs w:val="20"/>
                <w:color w:val="auto"/>
              </w:rPr>
            </w:pPr>
            <w:r>
              <w:rPr>
                <w:rFonts w:ascii="Arial" w:cs="Arial" w:eastAsia="Arial" w:hAnsi="Arial"/>
                <w:sz w:val="16"/>
                <w:szCs w:val="16"/>
                <w:color w:val="auto"/>
              </w:rPr>
              <w:t>11%</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11%</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200"/>
        </w:trPr>
        <w:tc>
          <w:tcPr>
            <w:tcW w:w="100" w:type="dxa"/>
            <w:vAlign w:val="bottom"/>
            <w:tcBorders>
              <w:bottom w:val="single" w:sz="8" w:color="B2B2B2"/>
            </w:tcBorders>
          </w:tcPr>
          <w:p>
            <w:pPr>
              <w:spacing w:after="0"/>
              <w:rPr>
                <w:sz w:val="20"/>
                <w:szCs w:val="20"/>
                <w:color w:val="auto"/>
              </w:rPr>
            </w:pPr>
            <w:r>
              <w:rPr>
                <w:rFonts w:ascii="Arial" w:cs="Arial" w:eastAsia="Arial" w:hAnsi="Arial"/>
                <w:sz w:val="11"/>
                <w:szCs w:val="11"/>
                <w:b w:val="1"/>
                <w:bCs w:val="1"/>
                <w:color w:val="auto"/>
                <w:w w:val="72"/>
              </w:rPr>
              <w:t> </w:t>
            </w:r>
          </w:p>
        </w:tc>
        <w:tc>
          <w:tcPr>
            <w:tcW w:w="6320" w:type="dxa"/>
            <w:vAlign w:val="bottom"/>
            <w:tcBorders>
              <w:bottom w:val="single" w:sz="8" w:color="B2B2B2"/>
            </w:tcBorders>
          </w:tcPr>
          <w:p>
            <w:pPr>
              <w:ind w:left="60"/>
              <w:spacing w:after="0"/>
              <w:rPr>
                <w:sz w:val="20"/>
                <w:szCs w:val="20"/>
                <w:color w:val="auto"/>
              </w:rPr>
            </w:pPr>
            <w:r>
              <w:rPr>
                <w:rFonts w:ascii="Arial" w:cs="Arial" w:eastAsia="Arial" w:hAnsi="Arial"/>
                <w:sz w:val="16"/>
                <w:szCs w:val="16"/>
                <w:b w:val="1"/>
                <w:bCs w:val="1"/>
                <w:color w:val="auto"/>
              </w:rPr>
              <w:t>Global Print revenues</w:t>
            </w:r>
          </w:p>
        </w:tc>
        <w:tc>
          <w:tcPr>
            <w:tcW w:w="1260" w:type="dxa"/>
            <w:vAlign w:val="bottom"/>
            <w:tcBorders>
              <w:bottom w:val="single" w:sz="8" w:color="B2B2B2"/>
            </w:tcBorders>
          </w:tcPr>
          <w:p>
            <w:pPr>
              <w:jc w:val="right"/>
              <w:ind w:right="201"/>
              <w:spacing w:after="0"/>
              <w:rPr>
                <w:sz w:val="20"/>
                <w:szCs w:val="20"/>
                <w:color w:val="auto"/>
              </w:rPr>
            </w:pPr>
            <w:r>
              <w:rPr>
                <w:rFonts w:ascii="Arial" w:cs="Arial" w:eastAsia="Arial" w:hAnsi="Arial"/>
                <w:sz w:val="16"/>
                <w:szCs w:val="16"/>
                <w:b w:val="1"/>
                <w:bCs w:val="1"/>
                <w:color w:val="auto"/>
              </w:rPr>
              <w:t>519</w:t>
            </w:r>
          </w:p>
        </w:tc>
        <w:tc>
          <w:tcPr>
            <w:tcW w:w="620" w:type="dxa"/>
            <w:vAlign w:val="bottom"/>
            <w:tcBorders>
              <w:bottom w:val="single" w:sz="8" w:color="B2B2B2"/>
            </w:tcBorders>
            <w:gridSpan w:val="2"/>
          </w:tcPr>
          <w:p>
            <w:pPr>
              <w:jc w:val="right"/>
              <w:ind w:right="200"/>
              <w:spacing w:after="0"/>
              <w:rPr>
                <w:sz w:val="20"/>
                <w:szCs w:val="20"/>
                <w:color w:val="auto"/>
              </w:rPr>
            </w:pPr>
            <w:r>
              <w:rPr>
                <w:rFonts w:ascii="Arial" w:cs="Arial" w:eastAsia="Arial" w:hAnsi="Arial"/>
                <w:sz w:val="16"/>
                <w:szCs w:val="16"/>
                <w:color w:val="auto"/>
              </w:rPr>
              <w:t>562</w:t>
            </w:r>
          </w:p>
        </w:tc>
        <w:tc>
          <w:tcPr>
            <w:tcW w:w="720" w:type="dxa"/>
            <w:vAlign w:val="bottom"/>
            <w:tcBorders>
              <w:bottom w:val="single" w:sz="8" w:color="B2B2B2"/>
            </w:tcBorders>
          </w:tcPr>
          <w:p>
            <w:pPr>
              <w:jc w:val="right"/>
              <w:ind w:right="121"/>
              <w:spacing w:after="0"/>
              <w:rPr>
                <w:sz w:val="20"/>
                <w:szCs w:val="20"/>
                <w:color w:val="auto"/>
              </w:rPr>
            </w:pPr>
            <w:r>
              <w:rPr>
                <w:rFonts w:ascii="Arial" w:cs="Arial" w:eastAsia="Arial" w:hAnsi="Arial"/>
                <w:sz w:val="16"/>
                <w:szCs w:val="16"/>
                <w:color w:val="auto"/>
              </w:rPr>
              <w:t>(8%)</w:t>
            </w:r>
          </w:p>
        </w:tc>
        <w:tc>
          <w:tcPr>
            <w:tcW w:w="94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(7%)</w:t>
            </w:r>
          </w:p>
        </w:tc>
        <w:tc>
          <w:tcPr>
            <w:tcW w:w="860" w:type="dxa"/>
            <w:vAlign w:val="bottom"/>
            <w:tcBorders>
              <w:bottom w:val="single" w:sz="8" w:color="B2B2B2"/>
            </w:tcBorders>
            <w:gridSpan w:val="2"/>
          </w:tcPr>
          <w:p>
            <w:pPr>
              <w:jc w:val="right"/>
              <w:spacing w:after="0"/>
              <w:rPr>
                <w:sz w:val="20"/>
                <w:szCs w:val="20"/>
                <w:color w:val="auto"/>
              </w:rPr>
            </w:pPr>
            <w:r>
              <w:rPr>
                <w:rFonts w:ascii="Arial" w:cs="Arial" w:eastAsia="Arial" w:hAnsi="Arial"/>
                <w:sz w:val="16"/>
                <w:szCs w:val="16"/>
                <w:color w:val="auto"/>
              </w:rPr>
              <w:t>(7%)</w:t>
            </w:r>
          </w:p>
        </w:tc>
      </w:tr>
      <w:tr>
        <w:trPr>
          <w:trHeight w:val="198"/>
        </w:trPr>
        <w:tc>
          <w:tcPr>
            <w:tcW w:w="6420" w:type="dxa"/>
            <w:vAlign w:val="bottom"/>
            <w:tcBorders>
              <w:bottom w:val="single" w:sz="8" w:color="D64000"/>
            </w:tcBorders>
            <w:gridSpan w:val="2"/>
          </w:tcPr>
          <w:p>
            <w:pPr>
              <w:spacing w:after="0"/>
              <w:rPr>
                <w:sz w:val="20"/>
                <w:szCs w:val="20"/>
                <w:color w:val="auto"/>
              </w:rPr>
            </w:pPr>
            <w:r>
              <w:rPr>
                <w:rFonts w:ascii="Arial" w:cs="Arial" w:eastAsia="Arial" w:hAnsi="Arial"/>
                <w:sz w:val="16"/>
                <w:szCs w:val="16"/>
                <w:b w:val="1"/>
                <w:bCs w:val="1"/>
                <w:color w:val="auto"/>
              </w:rPr>
              <w:t>  Revenues</w:t>
            </w:r>
          </w:p>
        </w:tc>
        <w:tc>
          <w:tcPr>
            <w:tcW w:w="1260" w:type="dxa"/>
            <w:vAlign w:val="bottom"/>
            <w:tcBorders>
              <w:bottom w:val="single" w:sz="8" w:color="D64000"/>
            </w:tcBorders>
          </w:tcPr>
          <w:p>
            <w:pPr>
              <w:jc w:val="right"/>
              <w:ind w:right="201"/>
              <w:spacing w:after="0"/>
              <w:rPr>
                <w:sz w:val="20"/>
                <w:szCs w:val="20"/>
                <w:color w:val="auto"/>
              </w:rPr>
            </w:pPr>
            <w:r>
              <w:rPr>
                <w:rFonts w:ascii="Arial" w:cs="Arial" w:eastAsia="Arial" w:hAnsi="Arial"/>
                <w:sz w:val="16"/>
                <w:szCs w:val="16"/>
                <w:b w:val="1"/>
                <w:bCs w:val="1"/>
                <w:color w:val="auto"/>
              </w:rPr>
              <w:t>7,258</w:t>
            </w:r>
          </w:p>
        </w:tc>
        <w:tc>
          <w:tcPr>
            <w:tcW w:w="620" w:type="dxa"/>
            <w:vAlign w:val="bottom"/>
            <w:tcBorders>
              <w:bottom w:val="single" w:sz="8" w:color="D64000"/>
            </w:tcBorders>
            <w:gridSpan w:val="2"/>
          </w:tcPr>
          <w:p>
            <w:pPr>
              <w:jc w:val="right"/>
              <w:ind w:right="200"/>
              <w:spacing w:after="0"/>
              <w:rPr>
                <w:sz w:val="20"/>
                <w:szCs w:val="20"/>
                <w:color w:val="auto"/>
              </w:rPr>
            </w:pPr>
            <w:r>
              <w:rPr>
                <w:rFonts w:ascii="Arial" w:cs="Arial" w:eastAsia="Arial" w:hAnsi="Arial"/>
                <w:sz w:val="16"/>
                <w:szCs w:val="16"/>
                <w:color w:val="auto"/>
                <w:w w:val="99"/>
              </w:rPr>
              <w:t>6,794</w:t>
            </w:r>
          </w:p>
        </w:tc>
        <w:tc>
          <w:tcPr>
            <w:tcW w:w="720" w:type="dxa"/>
            <w:vAlign w:val="bottom"/>
            <w:tcBorders>
              <w:bottom w:val="single" w:sz="8" w:color="D64000"/>
            </w:tcBorders>
          </w:tcPr>
          <w:p>
            <w:pPr>
              <w:jc w:val="right"/>
              <w:ind w:right="121"/>
              <w:spacing w:after="0"/>
              <w:rPr>
                <w:sz w:val="20"/>
                <w:szCs w:val="20"/>
                <w:color w:val="auto"/>
              </w:rPr>
            </w:pPr>
            <w:r>
              <w:rPr>
                <w:rFonts w:ascii="Arial" w:cs="Arial" w:eastAsia="Arial" w:hAnsi="Arial"/>
                <w:sz w:val="16"/>
                <w:szCs w:val="16"/>
                <w:color w:val="auto"/>
              </w:rPr>
              <w:t>7%</w:t>
            </w:r>
          </w:p>
        </w:tc>
        <w:tc>
          <w:tcPr>
            <w:tcW w:w="940" w:type="dxa"/>
            <w:vAlign w:val="bottom"/>
            <w:tcBorders>
              <w:bottom w:val="single" w:sz="8" w:color="D64000"/>
            </w:tcBorders>
          </w:tcPr>
          <w:p>
            <w:pPr>
              <w:jc w:val="right"/>
              <w:ind w:right="21"/>
              <w:spacing w:after="0"/>
              <w:rPr>
                <w:sz w:val="20"/>
                <w:szCs w:val="20"/>
                <w:color w:val="auto"/>
              </w:rPr>
            </w:pPr>
            <w:r>
              <w:rPr>
                <w:rFonts w:ascii="Arial" w:cs="Arial" w:eastAsia="Arial" w:hAnsi="Arial"/>
                <w:sz w:val="16"/>
                <w:szCs w:val="16"/>
                <w:color w:val="auto"/>
              </w:rPr>
              <w:t>7%</w:t>
            </w:r>
          </w:p>
        </w:tc>
        <w:tc>
          <w:tcPr>
            <w:tcW w:w="860" w:type="dxa"/>
            <w:vAlign w:val="bottom"/>
            <w:tcBorders>
              <w:bottom w:val="single" w:sz="8" w:color="D64000"/>
            </w:tcBorders>
            <w:gridSpan w:val="2"/>
          </w:tcPr>
          <w:p>
            <w:pPr>
              <w:jc w:val="right"/>
              <w:spacing w:after="0"/>
              <w:rPr>
                <w:sz w:val="20"/>
                <w:szCs w:val="20"/>
                <w:color w:val="auto"/>
              </w:rPr>
            </w:pPr>
            <w:r>
              <w:rPr>
                <w:rFonts w:ascii="Arial" w:cs="Arial" w:eastAsia="Arial" w:hAnsi="Arial"/>
                <w:sz w:val="16"/>
                <w:szCs w:val="16"/>
                <w:color w:val="auto"/>
              </w:rPr>
              <w:t>7%</w:t>
            </w:r>
          </w:p>
        </w:tc>
      </w:tr>
    </w:tbl>
    <w:p>
      <w:pPr>
        <w:spacing w:after="0" w:line="57" w:lineRule="exact"/>
        <w:rPr>
          <w:sz w:val="20"/>
          <w:szCs w:val="20"/>
          <w:color w:val="auto"/>
        </w:rPr>
      </w:pPr>
    </w:p>
    <w:p>
      <w:pPr>
        <w:jc w:val="both"/>
        <w:ind w:left="220" w:right="140"/>
        <w:spacing w:after="0" w:line="238" w:lineRule="auto"/>
        <w:rPr>
          <w:sz w:val="20"/>
          <w:szCs w:val="20"/>
          <w:color w:val="auto"/>
        </w:rPr>
      </w:pPr>
      <w:r>
        <w:rPr>
          <w:rFonts w:ascii="Arial" w:cs="Arial" w:eastAsia="Arial" w:hAnsi="Arial"/>
          <w:sz w:val="17"/>
          <w:szCs w:val="17"/>
          <w:color w:val="auto"/>
        </w:rPr>
        <w:t>Revenues increased 7% in total and in constant currency reflecting 8% growth in recurring revenues and 11% growth in transactions revenues. The net impact of acquisitions and divestitures as well as foreign currency on total company reported revenue growth was not significant. On an organic basis, total revenues also increased 7%, driven by 8% growth in recurring revenues (81% of total revenues) and, to a lesser extent, 10% growth in transactions revenues. Global Print revenues declined 7% on an organic basis.</w:t>
      </w:r>
    </w:p>
    <w:p>
      <w:pPr>
        <w:spacing w:after="0" w:line="59" w:lineRule="exact"/>
        <w:rPr>
          <w:sz w:val="20"/>
          <w:szCs w:val="20"/>
          <w:color w:val="auto"/>
        </w:rPr>
      </w:pPr>
    </w:p>
    <w:p>
      <w:pPr>
        <w:ind w:left="220" w:right="480"/>
        <w:spacing w:after="0" w:line="260" w:lineRule="auto"/>
        <w:rPr>
          <w:sz w:val="20"/>
          <w:szCs w:val="20"/>
          <w:color w:val="auto"/>
        </w:rPr>
      </w:pPr>
      <w:r>
        <w:rPr>
          <w:rFonts w:ascii="Arial" w:cs="Arial" w:eastAsia="Arial" w:hAnsi="Arial"/>
          <w:sz w:val="17"/>
          <w:szCs w:val="17"/>
          <w:color w:val="auto"/>
        </w:rPr>
        <w:t>Revenues from the “Big 3” segments (82% of total revenues) increased 8% in total and in constant currency. On an organic basis, revenues increased 9%, driven by 9% growth in recurring revenues and 10% growth in transactions revenues.</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Operating profit, adjusted EBITDA and adjusted EBITDA less accrued capital expenditures</w:t>
      </w:r>
    </w:p>
    <w:p>
      <w:pPr>
        <w:spacing w:after="0" w:line="83" w:lineRule="exact"/>
        <w:rPr>
          <w:sz w:val="20"/>
          <w:szCs w:val="20"/>
          <w:color w:val="auto"/>
        </w:rPr>
      </w:pPr>
    </w:p>
    <w:p>
      <w:pPr>
        <w:ind w:left="220" w:right="80"/>
        <w:spacing w:after="0" w:line="238" w:lineRule="auto"/>
        <w:rPr>
          <w:sz w:val="20"/>
          <w:szCs w:val="20"/>
          <w:color w:val="auto"/>
        </w:rPr>
      </w:pPr>
      <w:r>
        <w:rPr>
          <w:rFonts w:ascii="Arial" w:cs="Arial" w:eastAsia="Arial" w:hAnsi="Arial"/>
          <w:sz w:val="17"/>
          <w:szCs w:val="17"/>
          <w:color w:val="auto"/>
        </w:rPr>
        <w:t>Operating profit decreased 10%, primarily due to lower gains from the sales of non-core businesses compared to the prior year. In 2024, we sold FindLaw and certain other non-core businesses resulting in gains of $196 million. This compares to $342 million in 2023 which related to the sale of a majority stake in the company’s Elite business. Higher computer software amortization expense also contributed to the decline in operating profit.</w:t>
      </w:r>
    </w:p>
    <w:p>
      <w:pPr>
        <w:spacing w:after="0" w:line="46" w:lineRule="exact"/>
        <w:rPr>
          <w:sz w:val="20"/>
          <w:szCs w:val="20"/>
          <w:color w:val="auto"/>
        </w:rPr>
      </w:pPr>
    </w:p>
    <w:p>
      <w:pPr>
        <w:ind w:left="220" w:right="300"/>
        <w:spacing w:after="0" w:line="236" w:lineRule="auto"/>
        <w:rPr>
          <w:sz w:val="20"/>
          <w:szCs w:val="20"/>
          <w:color w:val="auto"/>
        </w:rPr>
      </w:pPr>
      <w:r>
        <w:rPr>
          <w:rFonts w:ascii="Arial" w:cs="Arial" w:eastAsia="Arial" w:hAnsi="Arial"/>
          <w:sz w:val="17"/>
          <w:szCs w:val="17"/>
          <w:color w:val="auto"/>
        </w:rPr>
        <w:t>Adjusted EBITDA, which excludes gains on the sale of businesses, as well as other items, increased 4%, which reflected a 4% increase in the “Big 3” segments and a 14% increase in Reuters News, partly offset by a 12% decline in Global Print. The related margin decreased to 38.2% from 39.3% in the prior year due to higher expected costs associated with investments and higher incentive compensation based on strong business performance, as well as the impact of acquisitions and divestiture activity. Foreign currency contributed 20bp to the year-over-year change in adjusted EBITDA margin.</w:t>
      </w:r>
    </w:p>
    <w:p>
      <w:pPr>
        <w:spacing w:after="0" w:line="59" w:lineRule="exact"/>
        <w:rPr>
          <w:sz w:val="20"/>
          <w:szCs w:val="20"/>
          <w:color w:val="auto"/>
        </w:rPr>
      </w:pPr>
    </w:p>
    <w:p>
      <w:pPr>
        <w:ind w:left="220" w:right="240"/>
        <w:spacing w:after="0" w:line="260" w:lineRule="auto"/>
        <w:rPr>
          <w:sz w:val="20"/>
          <w:szCs w:val="20"/>
          <w:color w:val="auto"/>
        </w:rPr>
      </w:pPr>
      <w:r>
        <w:rPr>
          <w:rFonts w:ascii="Arial" w:cs="Arial" w:eastAsia="Arial" w:hAnsi="Arial"/>
          <w:sz w:val="17"/>
          <w:szCs w:val="17"/>
          <w:color w:val="auto"/>
        </w:rPr>
        <w:t>Adjusted EBITDA less accrued capital expenditures increased, and the related margin decreased, as higher adjusted EBITDA more than offset higher accrued capital expenditures.</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100330</wp:posOffset>
            </wp:positionV>
            <wp:extent cx="68656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8"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160" w:type="dxa"/>
            <w:vAlign w:val="bottom"/>
            <w:shd w:val="clear" w:color="auto" w:fill="E3F3EE"/>
          </w:tcPr>
          <w:p>
            <w:pPr>
              <w:ind w:left="100"/>
              <w:spacing w:after="0"/>
              <w:rPr>
                <w:sz w:val="20"/>
                <w:szCs w:val="20"/>
                <w:color w:val="auto"/>
              </w:rPr>
            </w:pPr>
            <w:r>
              <w:rPr>
                <w:rFonts w:ascii="Arial" w:cs="Arial" w:eastAsia="Arial" w:hAnsi="Arial"/>
                <w:sz w:val="5"/>
                <w:szCs w:val="5"/>
                <w:b w:val="1"/>
                <w:bCs w:val="1"/>
                <w:color w:val="auto"/>
                <w:w w:val="79"/>
              </w:rPr>
              <w:t> </w:t>
            </w:r>
          </w:p>
        </w:tc>
        <w:tc>
          <w:tcPr>
            <w:tcW w:w="2780" w:type="dxa"/>
            <w:vAlign w:val="bottom"/>
            <w:gridSpan w:val="4"/>
            <w:shd w:val="clear" w:color="auto" w:fill="E3F3EE"/>
          </w:tcPr>
          <w:p>
            <w:pPr>
              <w:jc w:val="right"/>
              <w:ind w:right="321"/>
              <w:spacing w:after="0"/>
              <w:rPr>
                <w:sz w:val="20"/>
                <w:szCs w:val="20"/>
                <w:color w:val="auto"/>
              </w:rPr>
            </w:pPr>
            <w:r>
              <w:rPr>
                <w:rFonts w:ascii="Arial" w:cs="Arial" w:eastAsia="Arial" w:hAnsi="Arial"/>
                <w:sz w:val="16"/>
                <w:szCs w:val="16"/>
                <w:b w:val="1"/>
                <w:bCs w:val="1"/>
                <w:color w:val="auto"/>
              </w:rPr>
              <w:t xml:space="preserve">  Year ended December 31,    </w:t>
            </w:r>
          </w:p>
        </w:tc>
      </w:tr>
      <w:tr>
        <w:trPr>
          <w:trHeight w:val="192"/>
        </w:trPr>
        <w:tc>
          <w:tcPr>
            <w:tcW w:w="7860" w:type="dxa"/>
            <w:vAlign w:val="bottom"/>
            <w:tcBorders>
              <w:bottom w:val="single" w:sz="8" w:color="1F473D"/>
            </w:tcBorders>
            <w:shd w:val="clear" w:color="auto" w:fill="1F473D"/>
          </w:tcPr>
          <w:p>
            <w:pPr>
              <w:spacing w:after="0"/>
              <w:rPr>
                <w:sz w:val="16"/>
                <w:szCs w:val="16"/>
                <w:color w:val="auto"/>
              </w:rPr>
            </w:pPr>
          </w:p>
        </w:tc>
        <w:tc>
          <w:tcPr>
            <w:tcW w:w="160" w:type="dxa"/>
            <w:vAlign w:val="bottom"/>
            <w:tcBorders>
              <w:bottom w:val="single" w:sz="8" w:color="1F473D"/>
            </w:tcBorders>
            <w:shd w:val="clear" w:color="auto" w:fill="1F473D"/>
          </w:tcPr>
          <w:p>
            <w:pPr>
              <w:spacing w:after="0"/>
              <w:rPr>
                <w:sz w:val="16"/>
                <w:szCs w:val="16"/>
                <w:color w:val="auto"/>
              </w:rPr>
            </w:pPr>
          </w:p>
        </w:tc>
        <w:tc>
          <w:tcPr>
            <w:tcW w:w="560" w:type="dxa"/>
            <w:vAlign w:val="bottom"/>
            <w:tcBorders>
              <w:bottom w:val="single" w:sz="8" w:color="1F473D"/>
            </w:tcBorders>
            <w:shd w:val="clear" w:color="auto" w:fill="1F473D"/>
          </w:tcPr>
          <w:p>
            <w:pPr>
              <w:spacing w:after="0"/>
              <w:rPr>
                <w:sz w:val="16"/>
                <w:szCs w:val="16"/>
                <w:color w:val="auto"/>
              </w:rPr>
            </w:pPr>
          </w:p>
        </w:tc>
        <w:tc>
          <w:tcPr>
            <w:tcW w:w="660" w:type="dxa"/>
            <w:vAlign w:val="bottom"/>
            <w:tcBorders>
              <w:bottom w:val="single" w:sz="8" w:color="1F473D"/>
            </w:tcBorders>
            <w:shd w:val="clear" w:color="auto" w:fill="1F473D"/>
          </w:tcPr>
          <w:p>
            <w:pPr>
              <w:spacing w:after="0"/>
              <w:rPr>
                <w:sz w:val="16"/>
                <w:szCs w:val="16"/>
                <w:color w:val="auto"/>
              </w:rPr>
            </w:pPr>
          </w:p>
        </w:tc>
        <w:tc>
          <w:tcPr>
            <w:tcW w:w="540" w:type="dxa"/>
            <w:vAlign w:val="bottom"/>
            <w:tcBorders>
              <w:bottom w:val="single" w:sz="8" w:color="D64000"/>
            </w:tcBorders>
            <w:shd w:val="clear" w:color="auto" w:fill="1F473D"/>
          </w:tcPr>
          <w:p>
            <w:pPr>
              <w:spacing w:after="0"/>
              <w:rPr>
                <w:sz w:val="16"/>
                <w:szCs w:val="16"/>
                <w:color w:val="auto"/>
              </w:rPr>
            </w:pPr>
          </w:p>
        </w:tc>
        <w:tc>
          <w:tcPr>
            <w:tcW w:w="1020" w:type="dxa"/>
            <w:vAlign w:val="bottom"/>
            <w:tcBorders>
              <w:bottom w:val="single" w:sz="8" w:color="D64000"/>
            </w:tcBorders>
            <w:shd w:val="clear" w:color="auto" w:fill="1F473D"/>
          </w:tcPr>
          <w:p>
            <w:pPr>
              <w:jc w:val="right"/>
              <w:ind w:right="381"/>
              <w:spacing w:after="0"/>
              <w:rPr>
                <w:sz w:val="20"/>
                <w:szCs w:val="20"/>
                <w:color w:val="auto"/>
              </w:rPr>
            </w:pPr>
            <w:r>
              <w:rPr>
                <w:rFonts w:ascii="Arial" w:cs="Arial" w:eastAsia="Arial" w:hAnsi="Arial"/>
                <w:sz w:val="16"/>
                <w:szCs w:val="16"/>
                <w:color w:val="FFFFFF"/>
                <w:w w:val="96"/>
              </w:rPr>
              <w:t>Change</w:t>
            </w:r>
          </w:p>
        </w:tc>
      </w:tr>
      <w:tr>
        <w:trPr>
          <w:trHeight w:val="171"/>
        </w:trPr>
        <w:tc>
          <w:tcPr>
            <w:tcW w:w="7860" w:type="dxa"/>
            <w:vAlign w:val="bottom"/>
            <w:shd w:val="clear" w:color="auto" w:fill="1F473D"/>
          </w:tcPr>
          <w:p>
            <w:pPr>
              <w:spacing w:after="0"/>
              <w:rPr>
                <w:sz w:val="14"/>
                <w:szCs w:val="14"/>
                <w:color w:val="auto"/>
              </w:rPr>
            </w:pPr>
          </w:p>
        </w:tc>
        <w:tc>
          <w:tcPr>
            <w:tcW w:w="160" w:type="dxa"/>
            <w:vAlign w:val="bottom"/>
            <w:shd w:val="clear" w:color="auto" w:fill="1F473D"/>
          </w:tcPr>
          <w:p>
            <w:pPr>
              <w:spacing w:after="0"/>
              <w:rPr>
                <w:sz w:val="14"/>
                <w:szCs w:val="14"/>
                <w:color w:val="auto"/>
              </w:rPr>
            </w:pPr>
          </w:p>
        </w:tc>
        <w:tc>
          <w:tcPr>
            <w:tcW w:w="560" w:type="dxa"/>
            <w:vAlign w:val="bottom"/>
            <w:shd w:val="clear" w:color="auto" w:fill="1F473D"/>
          </w:tcPr>
          <w:p>
            <w:pPr>
              <w:spacing w:after="0"/>
              <w:rPr>
                <w:sz w:val="14"/>
                <w:szCs w:val="14"/>
                <w:color w:val="auto"/>
              </w:rPr>
            </w:pPr>
          </w:p>
        </w:tc>
        <w:tc>
          <w:tcPr>
            <w:tcW w:w="660" w:type="dxa"/>
            <w:vAlign w:val="bottom"/>
            <w:shd w:val="clear" w:color="auto" w:fill="1F473D"/>
          </w:tcPr>
          <w:p>
            <w:pPr>
              <w:spacing w:after="0"/>
              <w:rPr>
                <w:sz w:val="14"/>
                <w:szCs w:val="14"/>
                <w:color w:val="auto"/>
              </w:rPr>
            </w:pPr>
          </w:p>
        </w:tc>
        <w:tc>
          <w:tcPr>
            <w:tcW w:w="540" w:type="dxa"/>
            <w:vAlign w:val="bottom"/>
            <w:shd w:val="clear" w:color="auto" w:fill="1F473D"/>
          </w:tcPr>
          <w:p>
            <w:pPr>
              <w:spacing w:after="0"/>
              <w:rPr>
                <w:sz w:val="14"/>
                <w:szCs w:val="14"/>
                <w:color w:val="auto"/>
              </w:rPr>
            </w:pPr>
          </w:p>
        </w:tc>
        <w:tc>
          <w:tcPr>
            <w:tcW w:w="1020" w:type="dxa"/>
            <w:vAlign w:val="bottom"/>
            <w:shd w:val="clear" w:color="auto" w:fill="1F473D"/>
          </w:tcPr>
          <w:p>
            <w:pPr>
              <w:jc w:val="right"/>
              <w:ind w:right="21"/>
              <w:spacing w:after="0" w:line="171" w:lineRule="exact"/>
              <w:rPr>
                <w:sz w:val="20"/>
                <w:szCs w:val="20"/>
                <w:color w:val="auto"/>
              </w:rPr>
            </w:pPr>
            <w:r>
              <w:rPr>
                <w:rFonts w:ascii="Arial" w:cs="Arial" w:eastAsia="Arial" w:hAnsi="Arial"/>
                <w:sz w:val="16"/>
                <w:szCs w:val="16"/>
                <w:color w:val="FFFFFF"/>
              </w:rPr>
              <w:t>Constant</w:t>
            </w:r>
          </w:p>
        </w:tc>
      </w:tr>
      <w:tr>
        <w:trPr>
          <w:trHeight w:val="206"/>
        </w:trPr>
        <w:tc>
          <w:tcPr>
            <w:tcW w:w="786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color w:val="FFFFFF"/>
              </w:rPr>
              <w:t>  (millions of U.S. dollars)</w:t>
            </w:r>
          </w:p>
        </w:tc>
        <w:tc>
          <w:tcPr>
            <w:tcW w:w="160" w:type="dxa"/>
            <w:vAlign w:val="bottom"/>
            <w:tcBorders>
              <w:bottom w:val="single" w:sz="8" w:color="D64000"/>
            </w:tcBorders>
            <w:shd w:val="clear" w:color="auto" w:fill="1F473D"/>
          </w:tcPr>
          <w:p>
            <w:pPr>
              <w:spacing w:after="0"/>
              <w:rPr>
                <w:sz w:val="17"/>
                <w:szCs w:val="17"/>
                <w:color w:val="auto"/>
              </w:rPr>
            </w:pPr>
          </w:p>
        </w:tc>
        <w:tc>
          <w:tcPr>
            <w:tcW w:w="560" w:type="dxa"/>
            <w:vAlign w:val="bottom"/>
            <w:tcBorders>
              <w:bottom w:val="single" w:sz="8" w:color="D64000"/>
            </w:tcBorders>
            <w:shd w:val="clear" w:color="auto" w:fill="1F473D"/>
          </w:tcPr>
          <w:p>
            <w:pPr>
              <w:jc w:val="right"/>
              <w:ind w:right="81"/>
              <w:spacing w:after="0"/>
              <w:rPr>
                <w:sz w:val="20"/>
                <w:szCs w:val="20"/>
                <w:color w:val="auto"/>
              </w:rPr>
            </w:pPr>
            <w:r>
              <w:rPr>
                <w:rFonts w:ascii="Arial" w:cs="Arial" w:eastAsia="Arial" w:hAnsi="Arial"/>
                <w:sz w:val="16"/>
                <w:szCs w:val="16"/>
                <w:b w:val="1"/>
                <w:bCs w:val="1"/>
                <w:color w:val="FFFFFF"/>
              </w:rPr>
              <w:t>2024</w:t>
            </w:r>
          </w:p>
        </w:tc>
        <w:tc>
          <w:tcPr>
            <w:tcW w:w="660" w:type="dxa"/>
            <w:vAlign w:val="bottom"/>
            <w:tcBorders>
              <w:bottom w:val="single" w:sz="8" w:color="D64000"/>
            </w:tcBorders>
            <w:shd w:val="clear" w:color="auto" w:fill="1F473D"/>
          </w:tcPr>
          <w:p>
            <w:pPr>
              <w:jc w:val="right"/>
              <w:ind w:right="41"/>
              <w:spacing w:after="0"/>
              <w:rPr>
                <w:sz w:val="20"/>
                <w:szCs w:val="20"/>
                <w:color w:val="auto"/>
              </w:rPr>
            </w:pPr>
            <w:r>
              <w:rPr>
                <w:rFonts w:ascii="Arial" w:cs="Arial" w:eastAsia="Arial" w:hAnsi="Arial"/>
                <w:sz w:val="16"/>
                <w:szCs w:val="16"/>
                <w:color w:val="FFFFFF"/>
              </w:rPr>
              <w:t>2023</w:t>
            </w:r>
          </w:p>
        </w:tc>
        <w:tc>
          <w:tcPr>
            <w:tcW w:w="54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Total</w:t>
            </w:r>
          </w:p>
        </w:tc>
        <w:tc>
          <w:tcPr>
            <w:tcW w:w="1020" w:type="dxa"/>
            <w:vAlign w:val="bottom"/>
            <w:tcBorders>
              <w:bottom w:val="single" w:sz="8" w:color="D64000"/>
            </w:tcBorders>
            <w:shd w:val="clear" w:color="auto" w:fill="1F473D"/>
          </w:tcPr>
          <w:p>
            <w:pPr>
              <w:jc w:val="right"/>
              <w:ind w:right="21"/>
              <w:spacing w:after="0"/>
              <w:rPr>
                <w:sz w:val="20"/>
                <w:szCs w:val="20"/>
                <w:color w:val="auto"/>
              </w:rPr>
            </w:pPr>
            <w:r>
              <w:rPr>
                <w:rFonts w:ascii="Arial" w:cs="Arial" w:eastAsia="Arial" w:hAnsi="Arial"/>
                <w:sz w:val="16"/>
                <w:szCs w:val="16"/>
                <w:color w:val="FFFFFF"/>
              </w:rPr>
              <w:t>Currency</w:t>
            </w:r>
          </w:p>
        </w:tc>
      </w:tr>
      <w:tr>
        <w:trPr>
          <w:trHeight w:val="198"/>
        </w:trPr>
        <w:tc>
          <w:tcPr>
            <w:tcW w:w="7860" w:type="dxa"/>
            <w:vAlign w:val="bottom"/>
          </w:tcPr>
          <w:p>
            <w:pPr>
              <w:spacing w:after="0"/>
              <w:rPr>
                <w:sz w:val="20"/>
                <w:szCs w:val="20"/>
                <w:color w:val="auto"/>
              </w:rPr>
            </w:pPr>
            <w:r>
              <w:rPr>
                <w:rFonts w:ascii="Arial" w:cs="Arial" w:eastAsia="Arial" w:hAnsi="Arial"/>
                <w:sz w:val="16"/>
                <w:szCs w:val="16"/>
                <w:b w:val="1"/>
                <w:bCs w:val="1"/>
                <w:color w:val="auto"/>
              </w:rPr>
              <w:t>  Operating expenses</w:t>
            </w:r>
          </w:p>
        </w:tc>
        <w:tc>
          <w:tcPr>
            <w:tcW w:w="160" w:type="dxa"/>
            <w:vAlign w:val="bottom"/>
          </w:tcPr>
          <w:p>
            <w:pPr>
              <w:spacing w:after="0"/>
              <w:rPr>
                <w:sz w:val="17"/>
                <w:szCs w:val="17"/>
                <w:color w:val="auto"/>
              </w:rPr>
            </w:pPr>
          </w:p>
        </w:tc>
        <w:tc>
          <w:tcPr>
            <w:tcW w:w="560" w:type="dxa"/>
            <w:vAlign w:val="bottom"/>
          </w:tcPr>
          <w:p>
            <w:pPr>
              <w:jc w:val="right"/>
              <w:ind w:right="81"/>
              <w:spacing w:after="0"/>
              <w:rPr>
                <w:sz w:val="20"/>
                <w:szCs w:val="20"/>
                <w:color w:val="auto"/>
              </w:rPr>
            </w:pPr>
            <w:r>
              <w:rPr>
                <w:rFonts w:ascii="Arial" w:cs="Arial" w:eastAsia="Arial" w:hAnsi="Arial"/>
                <w:sz w:val="16"/>
                <w:szCs w:val="16"/>
                <w:b w:val="1"/>
                <w:bCs w:val="1"/>
                <w:color w:val="auto"/>
                <w:w w:val="94"/>
              </w:rPr>
              <w:t>4,471</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4,134</w:t>
            </w:r>
          </w:p>
        </w:tc>
        <w:tc>
          <w:tcPr>
            <w:tcW w:w="540" w:type="dxa"/>
            <w:vAlign w:val="bottom"/>
          </w:tcPr>
          <w:p>
            <w:pPr>
              <w:jc w:val="right"/>
              <w:spacing w:after="0"/>
              <w:rPr>
                <w:sz w:val="20"/>
                <w:szCs w:val="20"/>
                <w:color w:val="auto"/>
              </w:rPr>
            </w:pPr>
            <w:r>
              <w:rPr>
                <w:rFonts w:ascii="Arial" w:cs="Arial" w:eastAsia="Arial" w:hAnsi="Arial"/>
                <w:sz w:val="16"/>
                <w:szCs w:val="16"/>
                <w:color w:val="auto"/>
              </w:rPr>
              <w:t>8%</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9%</w:t>
            </w:r>
          </w:p>
        </w:tc>
      </w:tr>
      <w:tr>
        <w:trPr>
          <w:trHeight w:val="200"/>
        </w:trPr>
        <w:tc>
          <w:tcPr>
            <w:tcW w:w="8020" w:type="dxa"/>
            <w:vAlign w:val="bottom"/>
            <w:tcBorders>
              <w:bottom w:val="single" w:sz="8" w:color="B2B2B2"/>
            </w:tcBorders>
            <w:gridSpan w:val="2"/>
          </w:tcPr>
          <w:p>
            <w:pPr>
              <w:spacing w:after="0" w:line="200" w:lineRule="exact"/>
              <w:rPr>
                <w:sz w:val="20"/>
                <w:szCs w:val="20"/>
                <w:color w:val="auto"/>
              </w:rPr>
            </w:pPr>
            <w:r>
              <w:rPr>
                <w:rFonts w:ascii="Arial" w:cs="Arial" w:eastAsia="Arial" w:hAnsi="Arial"/>
                <w:sz w:val="16"/>
                <w:szCs w:val="16"/>
                <w:b w:val="1"/>
                <w:bCs w:val="1"/>
                <w:color w:val="auto"/>
              </w:rPr>
              <w:t>  Remove fair value adjustments</w:t>
            </w:r>
            <w:r>
              <w:rPr>
                <w:rFonts w:ascii="Arial" w:cs="Arial" w:eastAsia="Arial" w:hAnsi="Arial"/>
                <w:sz w:val="19"/>
                <w:szCs w:val="19"/>
                <w:b w:val="1"/>
                <w:bCs w:val="1"/>
                <w:color w:val="auto"/>
                <w:vertAlign w:val="superscript"/>
              </w:rPr>
              <w:t>(1)</w:t>
            </w:r>
          </w:p>
        </w:tc>
        <w:tc>
          <w:tcPr>
            <w:tcW w:w="560" w:type="dxa"/>
            <w:vAlign w:val="bottom"/>
            <w:tcBorders>
              <w:bottom w:val="single" w:sz="8" w:color="B2B2B2"/>
            </w:tcBorders>
          </w:tcPr>
          <w:p>
            <w:pPr>
              <w:jc w:val="right"/>
              <w:ind w:right="81"/>
              <w:spacing w:after="0"/>
              <w:rPr>
                <w:sz w:val="20"/>
                <w:szCs w:val="20"/>
                <w:color w:val="auto"/>
              </w:rPr>
            </w:pPr>
            <w:r>
              <w:rPr>
                <w:rFonts w:ascii="Arial" w:cs="Arial" w:eastAsia="Arial" w:hAnsi="Arial"/>
                <w:sz w:val="16"/>
                <w:szCs w:val="16"/>
                <w:b w:val="1"/>
                <w:bCs w:val="1"/>
                <w:color w:val="auto"/>
              </w:rPr>
              <w:t>17</w:t>
            </w:r>
          </w:p>
        </w:tc>
        <w:tc>
          <w:tcPr>
            <w:tcW w:w="66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(2)</w:t>
            </w:r>
          </w:p>
        </w:tc>
        <w:tc>
          <w:tcPr>
            <w:tcW w:w="540" w:type="dxa"/>
            <w:vAlign w:val="bottom"/>
            <w:tcBorders>
              <w:bottom w:val="single" w:sz="8" w:color="B2B2B2"/>
            </w:tcBorders>
          </w:tcPr>
          <w:p>
            <w:pPr>
              <w:spacing w:after="0"/>
              <w:rPr>
                <w:sz w:val="17"/>
                <w:szCs w:val="17"/>
                <w:color w:val="auto"/>
              </w:rPr>
            </w:pPr>
          </w:p>
        </w:tc>
        <w:tc>
          <w:tcPr>
            <w:tcW w:w="1020" w:type="dxa"/>
            <w:vAlign w:val="bottom"/>
            <w:tcBorders>
              <w:bottom w:val="single" w:sz="8" w:color="B2B2B2"/>
            </w:tcBorders>
          </w:tcPr>
          <w:p>
            <w:pPr>
              <w:spacing w:after="0"/>
              <w:rPr>
                <w:sz w:val="17"/>
                <w:szCs w:val="17"/>
                <w:color w:val="auto"/>
              </w:rPr>
            </w:pPr>
          </w:p>
        </w:tc>
      </w:tr>
      <w:tr>
        <w:trPr>
          <w:trHeight w:val="198"/>
        </w:trPr>
        <w:tc>
          <w:tcPr>
            <w:tcW w:w="8020" w:type="dxa"/>
            <w:vAlign w:val="bottom"/>
            <w:tcBorders>
              <w:bottom w:val="single" w:sz="8" w:color="D64000"/>
            </w:tcBorders>
            <w:gridSpan w:val="2"/>
          </w:tcPr>
          <w:p>
            <w:pPr>
              <w:spacing w:after="0"/>
              <w:rPr>
                <w:sz w:val="20"/>
                <w:szCs w:val="20"/>
                <w:color w:val="auto"/>
              </w:rPr>
            </w:pPr>
            <w:r>
              <w:rPr>
                <w:rFonts w:ascii="Arial" w:cs="Arial" w:eastAsia="Arial" w:hAnsi="Arial"/>
                <w:sz w:val="16"/>
                <w:szCs w:val="16"/>
                <w:b w:val="1"/>
                <w:bCs w:val="1"/>
                <w:color w:val="auto"/>
              </w:rPr>
              <w:t>  Operating expenses excluding fair value adjustments</w:t>
            </w:r>
          </w:p>
        </w:tc>
        <w:tc>
          <w:tcPr>
            <w:tcW w:w="560" w:type="dxa"/>
            <w:vAlign w:val="bottom"/>
            <w:tcBorders>
              <w:bottom w:val="single" w:sz="8" w:color="D64000"/>
            </w:tcBorders>
          </w:tcPr>
          <w:p>
            <w:pPr>
              <w:jc w:val="right"/>
              <w:ind w:right="81"/>
              <w:spacing w:after="0"/>
              <w:rPr>
                <w:sz w:val="20"/>
                <w:szCs w:val="20"/>
                <w:color w:val="auto"/>
              </w:rPr>
            </w:pPr>
            <w:r>
              <w:rPr>
                <w:rFonts w:ascii="Arial" w:cs="Arial" w:eastAsia="Arial" w:hAnsi="Arial"/>
                <w:sz w:val="16"/>
                <w:szCs w:val="16"/>
                <w:b w:val="1"/>
                <w:bCs w:val="1"/>
                <w:color w:val="auto"/>
                <w:w w:val="94"/>
              </w:rPr>
              <w:t>4,488</w:t>
            </w:r>
          </w:p>
        </w:tc>
        <w:tc>
          <w:tcPr>
            <w:tcW w:w="660" w:type="dxa"/>
            <w:vAlign w:val="bottom"/>
            <w:tcBorders>
              <w:bottom w:val="single" w:sz="8" w:color="D64000"/>
            </w:tcBorders>
          </w:tcPr>
          <w:p>
            <w:pPr>
              <w:jc w:val="right"/>
              <w:ind w:right="41"/>
              <w:spacing w:after="0"/>
              <w:rPr>
                <w:sz w:val="20"/>
                <w:szCs w:val="20"/>
                <w:color w:val="auto"/>
              </w:rPr>
            </w:pPr>
            <w:r>
              <w:rPr>
                <w:rFonts w:ascii="Arial" w:cs="Arial" w:eastAsia="Arial" w:hAnsi="Arial"/>
                <w:sz w:val="16"/>
                <w:szCs w:val="16"/>
                <w:color w:val="auto"/>
              </w:rPr>
              <w:t>4,132</w:t>
            </w:r>
          </w:p>
        </w:tc>
        <w:tc>
          <w:tcPr>
            <w:tcW w:w="540" w:type="dxa"/>
            <w:vAlign w:val="bottom"/>
            <w:tcBorders>
              <w:bottom w:val="single" w:sz="8" w:color="D64000"/>
            </w:tcBorders>
          </w:tcPr>
          <w:p>
            <w:pPr>
              <w:jc w:val="right"/>
              <w:spacing w:after="0"/>
              <w:rPr>
                <w:sz w:val="20"/>
                <w:szCs w:val="20"/>
                <w:color w:val="auto"/>
              </w:rPr>
            </w:pPr>
            <w:r>
              <w:rPr>
                <w:rFonts w:ascii="Arial" w:cs="Arial" w:eastAsia="Arial" w:hAnsi="Arial"/>
                <w:sz w:val="16"/>
                <w:szCs w:val="16"/>
                <w:color w:val="auto"/>
              </w:rPr>
              <w:t>9%</w:t>
            </w:r>
          </w:p>
        </w:tc>
        <w:tc>
          <w:tcPr>
            <w:tcW w:w="1020" w:type="dxa"/>
            <w:vAlign w:val="bottom"/>
            <w:tcBorders>
              <w:bottom w:val="single" w:sz="8" w:color="D64000"/>
            </w:tcBorders>
          </w:tcPr>
          <w:p>
            <w:pPr>
              <w:jc w:val="right"/>
              <w:ind w:right="21"/>
              <w:spacing w:after="0"/>
              <w:rPr>
                <w:sz w:val="20"/>
                <w:szCs w:val="20"/>
                <w:color w:val="auto"/>
              </w:rPr>
            </w:pPr>
            <w:r>
              <w:rPr>
                <w:rFonts w:ascii="Arial" w:cs="Arial" w:eastAsia="Arial" w:hAnsi="Arial"/>
                <w:sz w:val="16"/>
                <w:szCs w:val="16"/>
                <w:color w:val="auto"/>
              </w:rPr>
              <w:t>9%</w:t>
            </w:r>
          </w:p>
        </w:tc>
      </w:tr>
    </w:tbl>
    <w:p>
      <w:pPr>
        <w:spacing w:after="0" w:line="57" w:lineRule="exact"/>
        <w:rPr>
          <w:sz w:val="20"/>
          <w:szCs w:val="20"/>
          <w:color w:val="auto"/>
        </w:rPr>
      </w:pPr>
    </w:p>
    <w:p>
      <w:pPr>
        <w:ind w:left="640" w:right="340" w:hanging="422"/>
        <w:spacing w:after="0" w:line="274" w:lineRule="auto"/>
        <w:tabs>
          <w:tab w:leader="none" w:pos="6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Fair value adjustments primarily represent gains or losses due to changes in foreign currency exchange rates on intercompany balances that arise in the ordinary course of business.</w:t>
      </w:r>
    </w:p>
    <w:p>
      <w:pPr>
        <w:spacing w:after="0" w:line="17" w:lineRule="exact"/>
        <w:rPr>
          <w:sz w:val="20"/>
          <w:szCs w:val="20"/>
          <w:color w:val="auto"/>
        </w:rPr>
      </w:pPr>
    </w:p>
    <w:p>
      <w:pPr>
        <w:ind w:left="220" w:right="220"/>
        <w:spacing w:after="0" w:line="243" w:lineRule="auto"/>
        <w:rPr>
          <w:sz w:val="20"/>
          <w:szCs w:val="20"/>
          <w:color w:val="auto"/>
        </w:rPr>
      </w:pPr>
      <w:r>
        <w:rPr>
          <w:rFonts w:ascii="Arial" w:cs="Arial" w:eastAsia="Arial" w:hAnsi="Arial"/>
          <w:sz w:val="17"/>
          <w:szCs w:val="17"/>
          <w:color w:val="auto"/>
        </w:rPr>
        <w:t>Operating expenses, excluding fair value adjustments, increased in total and on a constant currency basis, primarily due to higher costs from acquisitions, investments, as well as higher incentive compensation expenses associated with stronger performance. The increase in operating expenses was offset, in part, by lower costs due to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99695</wp:posOffset>
            </wp:positionV>
            <wp:extent cx="68656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5"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34</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100330</wp:posOffset>
            </wp:positionV>
            <wp:extent cx="68656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8"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400" w:type="dxa"/>
            <w:vAlign w:val="bottom"/>
            <w:shd w:val="clear" w:color="auto" w:fill="E3F3EE"/>
          </w:tcPr>
          <w:p>
            <w:pPr>
              <w:jc w:val="right"/>
              <w:spacing w:after="0"/>
              <w:rPr>
                <w:sz w:val="20"/>
                <w:szCs w:val="20"/>
                <w:color w:val="auto"/>
              </w:rPr>
            </w:pPr>
            <w:r>
              <w:rPr>
                <w:rFonts w:ascii="Arial" w:cs="Arial" w:eastAsia="Arial" w:hAnsi="Arial"/>
                <w:sz w:val="16"/>
                <w:szCs w:val="16"/>
                <w:b w:val="1"/>
                <w:bCs w:val="1"/>
                <w:color w:val="auto"/>
              </w:rPr>
              <w:t xml:space="preserve">    </w:t>
            </w:r>
          </w:p>
        </w:tc>
        <w:tc>
          <w:tcPr>
            <w:tcW w:w="2080" w:type="dxa"/>
            <w:vAlign w:val="bottom"/>
            <w:shd w:val="clear" w:color="auto" w:fill="E3F3EE"/>
          </w:tcPr>
          <w:p>
            <w:pPr>
              <w:jc w:val="right"/>
              <w:spacing w:after="0"/>
              <w:rPr>
                <w:sz w:val="20"/>
                <w:szCs w:val="20"/>
                <w:color w:val="auto"/>
              </w:rPr>
            </w:pPr>
            <w:r>
              <w:rPr>
                <w:rFonts w:ascii="Arial" w:cs="Arial" w:eastAsia="Arial" w:hAnsi="Arial"/>
                <w:sz w:val="16"/>
                <w:szCs w:val="16"/>
                <w:b w:val="1"/>
                <w:bCs w:val="1"/>
                <w:color w:val="auto"/>
                <w:w w:val="94"/>
              </w:rPr>
              <w:t>Year ended December 31, </w:t>
            </w:r>
          </w:p>
        </w:tc>
        <w:tc>
          <w:tcPr>
            <w:tcW w:w="640" w:type="dxa"/>
            <w:vAlign w:val="bottom"/>
            <w:shd w:val="clear" w:color="auto" w:fill="E3F3EE"/>
          </w:tcPr>
          <w:p>
            <w:pPr>
              <w:jc w:val="right"/>
              <w:ind w:right="464"/>
              <w:spacing w:after="0"/>
              <w:rPr>
                <w:sz w:val="20"/>
                <w:szCs w:val="20"/>
                <w:color w:val="auto"/>
              </w:rPr>
            </w:pPr>
            <w:r>
              <w:rPr>
                <w:rFonts w:ascii="Arial" w:cs="Arial" w:eastAsia="Arial" w:hAnsi="Arial"/>
                <w:sz w:val="11"/>
                <w:szCs w:val="11"/>
                <w:b w:val="1"/>
                <w:bCs w:val="1"/>
                <w:color w:val="auto"/>
                <w:w w:val="72"/>
              </w:rPr>
              <w:t> </w:t>
            </w:r>
          </w:p>
        </w:tc>
        <w:tc>
          <w:tcPr>
            <w:tcW w:w="20" w:type="dxa"/>
            <w:vAlign w:val="bottom"/>
          </w:tcPr>
          <w:p>
            <w:pPr>
              <w:spacing w:after="0"/>
              <w:rPr>
                <w:sz w:val="20"/>
                <w:szCs w:val="20"/>
                <w:color w:val="auto"/>
              </w:rPr>
            </w:pPr>
          </w:p>
        </w:tc>
      </w:tr>
      <w:tr>
        <w:trPr>
          <w:trHeight w:val="192"/>
        </w:trPr>
        <w:tc>
          <w:tcPr>
            <w:tcW w:w="6680" w:type="dxa"/>
            <w:vAlign w:val="bottom"/>
            <w:tcBorders>
              <w:bottom w:val="single" w:sz="8" w:color="D64000"/>
            </w:tcBorders>
            <w:gridSpan w:val="2"/>
            <w:shd w:val="clear" w:color="auto" w:fill="1F473D"/>
          </w:tcPr>
          <w:p>
            <w:pPr>
              <w:spacing w:after="0"/>
              <w:rPr>
                <w:sz w:val="20"/>
                <w:szCs w:val="20"/>
                <w:color w:val="auto"/>
              </w:rPr>
            </w:pPr>
            <w:r>
              <w:rPr>
                <w:rFonts w:ascii="Arial" w:cs="Arial" w:eastAsia="Arial" w:hAnsi="Arial"/>
                <w:sz w:val="16"/>
                <w:szCs w:val="16"/>
                <w:color w:val="FFFFFF"/>
              </w:rPr>
              <w:t>  (millions of U.S. dollars)</w:t>
            </w:r>
          </w:p>
        </w:tc>
        <w:tc>
          <w:tcPr>
            <w:tcW w:w="1400" w:type="dxa"/>
            <w:vAlign w:val="bottom"/>
            <w:tcBorders>
              <w:bottom w:val="single" w:sz="8" w:color="D64000"/>
            </w:tcBorders>
            <w:shd w:val="clear" w:color="auto" w:fill="1F473D"/>
          </w:tcPr>
          <w:p>
            <w:pPr>
              <w:jc w:val="right"/>
              <w:ind w:right="1"/>
              <w:spacing w:after="0"/>
              <w:rPr>
                <w:sz w:val="20"/>
                <w:szCs w:val="20"/>
                <w:color w:val="auto"/>
              </w:rPr>
            </w:pPr>
            <w:r>
              <w:rPr>
                <w:rFonts w:ascii="Arial" w:cs="Arial" w:eastAsia="Arial" w:hAnsi="Arial"/>
                <w:sz w:val="16"/>
                <w:szCs w:val="16"/>
                <w:b w:val="1"/>
                <w:bCs w:val="1"/>
                <w:color w:val="FFFFFF"/>
              </w:rPr>
              <w:t>2024</w:t>
            </w:r>
          </w:p>
        </w:tc>
        <w:tc>
          <w:tcPr>
            <w:tcW w:w="2080" w:type="dxa"/>
            <w:vAlign w:val="bottom"/>
            <w:tcBorders>
              <w:bottom w:val="single" w:sz="8" w:color="D64000"/>
            </w:tcBorders>
            <w:shd w:val="clear" w:color="auto" w:fill="1F473D"/>
          </w:tcPr>
          <w:p>
            <w:pPr>
              <w:jc w:val="right"/>
              <w:ind w:right="741"/>
              <w:spacing w:after="0"/>
              <w:rPr>
                <w:sz w:val="20"/>
                <w:szCs w:val="20"/>
                <w:color w:val="auto"/>
              </w:rPr>
            </w:pPr>
            <w:r>
              <w:rPr>
                <w:rFonts w:ascii="Arial" w:cs="Arial" w:eastAsia="Arial" w:hAnsi="Arial"/>
                <w:sz w:val="16"/>
                <w:szCs w:val="16"/>
                <w:color w:val="FFFFFF"/>
              </w:rPr>
              <w:t>2023</w:t>
            </w:r>
          </w:p>
        </w:tc>
        <w:tc>
          <w:tcPr>
            <w:tcW w:w="64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Change</w:t>
            </w:r>
          </w:p>
        </w:tc>
        <w:tc>
          <w:tcPr>
            <w:tcW w:w="20" w:type="dxa"/>
            <w:vAlign w:val="bottom"/>
          </w:tcPr>
          <w:p>
            <w:pPr>
              <w:spacing w:after="0"/>
              <w:rPr>
                <w:sz w:val="16"/>
                <w:szCs w:val="16"/>
                <w:color w:val="auto"/>
              </w:rPr>
            </w:pPr>
          </w:p>
        </w:tc>
      </w:tr>
      <w:tr>
        <w:trPr>
          <w:trHeight w:val="211"/>
        </w:trPr>
        <w:tc>
          <w:tcPr>
            <w:tcW w:w="6680" w:type="dxa"/>
            <w:vAlign w:val="bottom"/>
            <w:gridSpan w:val="2"/>
          </w:tcPr>
          <w:p>
            <w:pPr>
              <w:spacing w:after="0"/>
              <w:rPr>
                <w:sz w:val="20"/>
                <w:szCs w:val="20"/>
                <w:color w:val="auto"/>
              </w:rPr>
            </w:pPr>
            <w:r>
              <w:rPr>
                <w:rFonts w:ascii="Arial" w:cs="Arial" w:eastAsia="Arial" w:hAnsi="Arial"/>
                <w:sz w:val="16"/>
                <w:szCs w:val="16"/>
                <w:b w:val="1"/>
                <w:bCs w:val="1"/>
                <w:color w:val="auto"/>
              </w:rPr>
              <w:t>  Depreciation</w:t>
            </w:r>
          </w:p>
        </w:tc>
        <w:tc>
          <w:tcPr>
            <w:tcW w:w="1400" w:type="dxa"/>
            <w:vAlign w:val="bottom"/>
          </w:tcPr>
          <w:p>
            <w:pPr>
              <w:jc w:val="right"/>
              <w:ind w:right="1"/>
              <w:spacing w:after="0"/>
              <w:rPr>
                <w:sz w:val="20"/>
                <w:szCs w:val="20"/>
                <w:color w:val="auto"/>
              </w:rPr>
            </w:pPr>
            <w:r>
              <w:rPr>
                <w:rFonts w:ascii="Arial" w:cs="Arial" w:eastAsia="Arial" w:hAnsi="Arial"/>
                <w:sz w:val="16"/>
                <w:szCs w:val="16"/>
                <w:b w:val="1"/>
                <w:bCs w:val="1"/>
                <w:color w:val="auto"/>
              </w:rPr>
              <w:t>113</w:t>
            </w:r>
          </w:p>
        </w:tc>
        <w:tc>
          <w:tcPr>
            <w:tcW w:w="2080" w:type="dxa"/>
            <w:vAlign w:val="bottom"/>
          </w:tcPr>
          <w:p>
            <w:pPr>
              <w:jc w:val="right"/>
              <w:ind w:right="741"/>
              <w:spacing w:after="0"/>
              <w:rPr>
                <w:sz w:val="20"/>
                <w:szCs w:val="20"/>
                <w:color w:val="auto"/>
              </w:rPr>
            </w:pPr>
            <w:r>
              <w:rPr>
                <w:rFonts w:ascii="Arial" w:cs="Arial" w:eastAsia="Arial" w:hAnsi="Arial"/>
                <w:sz w:val="16"/>
                <w:szCs w:val="16"/>
                <w:color w:val="auto"/>
              </w:rPr>
              <w:t>116</w:t>
            </w: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r>
      <w:tr>
        <w:trPr>
          <w:trHeight w:val="212"/>
        </w:trPr>
        <w:tc>
          <w:tcPr>
            <w:tcW w:w="6680" w:type="dxa"/>
            <w:vAlign w:val="bottom"/>
            <w:gridSpan w:val="2"/>
          </w:tcPr>
          <w:p>
            <w:pPr>
              <w:spacing w:after="0"/>
              <w:rPr>
                <w:sz w:val="20"/>
                <w:szCs w:val="20"/>
                <w:color w:val="auto"/>
              </w:rPr>
            </w:pPr>
            <w:r>
              <w:rPr>
                <w:rFonts w:ascii="Arial" w:cs="Arial" w:eastAsia="Arial" w:hAnsi="Arial"/>
                <w:sz w:val="16"/>
                <w:szCs w:val="16"/>
                <w:b w:val="1"/>
                <w:bCs w:val="1"/>
                <w:color w:val="auto"/>
              </w:rPr>
              <w:t>  Amortization of computer software</w:t>
            </w:r>
          </w:p>
        </w:tc>
        <w:tc>
          <w:tcPr>
            <w:tcW w:w="1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100" w:type="dxa"/>
            <w:vAlign w:val="bottom"/>
          </w:tcPr>
          <w:p>
            <w:pPr>
              <w:spacing w:after="0"/>
              <w:rPr>
                <w:sz w:val="20"/>
                <w:szCs w:val="20"/>
                <w:color w:val="auto"/>
              </w:rPr>
            </w:pPr>
            <w:r>
              <w:rPr>
                <w:rFonts w:ascii="Arial" w:cs="Arial" w:eastAsia="Arial" w:hAnsi="Arial"/>
                <w:sz w:val="11"/>
                <w:szCs w:val="11"/>
                <w:b w:val="1"/>
                <w:bCs w:val="1"/>
                <w:color w:val="auto"/>
                <w:w w:val="72"/>
              </w:rPr>
              <w:t> </w:t>
            </w:r>
          </w:p>
        </w:tc>
        <w:tc>
          <w:tcPr>
            <w:tcW w:w="6580" w:type="dxa"/>
            <w:vAlign w:val="bottom"/>
          </w:tcPr>
          <w:p>
            <w:pPr>
              <w:ind w:left="60"/>
              <w:spacing w:after="0"/>
              <w:rPr>
                <w:sz w:val="20"/>
                <w:szCs w:val="20"/>
                <w:color w:val="auto"/>
              </w:rPr>
            </w:pPr>
            <w:r>
              <w:rPr>
                <w:rFonts w:ascii="Arial" w:cs="Arial" w:eastAsia="Arial" w:hAnsi="Arial"/>
                <w:sz w:val="16"/>
                <w:szCs w:val="16"/>
                <w:b w:val="1"/>
                <w:bCs w:val="1"/>
                <w:color w:val="auto"/>
              </w:rPr>
              <w:t>Internally developed</w:t>
            </w:r>
          </w:p>
        </w:tc>
        <w:tc>
          <w:tcPr>
            <w:tcW w:w="1400" w:type="dxa"/>
            <w:vAlign w:val="bottom"/>
          </w:tcPr>
          <w:p>
            <w:pPr>
              <w:jc w:val="right"/>
              <w:ind w:right="1"/>
              <w:spacing w:after="0"/>
              <w:rPr>
                <w:sz w:val="20"/>
                <w:szCs w:val="20"/>
                <w:color w:val="auto"/>
              </w:rPr>
            </w:pPr>
            <w:r>
              <w:rPr>
                <w:rFonts w:ascii="Arial" w:cs="Arial" w:eastAsia="Arial" w:hAnsi="Arial"/>
                <w:sz w:val="16"/>
                <w:szCs w:val="16"/>
                <w:b w:val="1"/>
                <w:bCs w:val="1"/>
                <w:color w:val="auto"/>
              </w:rPr>
              <w:t>471</w:t>
            </w:r>
          </w:p>
        </w:tc>
        <w:tc>
          <w:tcPr>
            <w:tcW w:w="2080" w:type="dxa"/>
            <w:vAlign w:val="bottom"/>
          </w:tcPr>
          <w:p>
            <w:pPr>
              <w:jc w:val="right"/>
              <w:ind w:right="741"/>
              <w:spacing w:after="0"/>
              <w:rPr>
                <w:sz w:val="20"/>
                <w:szCs w:val="20"/>
                <w:color w:val="auto"/>
              </w:rPr>
            </w:pPr>
            <w:r>
              <w:rPr>
                <w:rFonts w:ascii="Arial" w:cs="Arial" w:eastAsia="Arial" w:hAnsi="Arial"/>
                <w:sz w:val="16"/>
                <w:szCs w:val="16"/>
                <w:color w:val="auto"/>
              </w:rPr>
              <w:t>440</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200"/>
        </w:trPr>
        <w:tc>
          <w:tcPr>
            <w:tcW w:w="100" w:type="dxa"/>
            <w:vAlign w:val="bottom"/>
            <w:tcBorders>
              <w:bottom w:val="single" w:sz="8" w:color="B2B2B2"/>
            </w:tcBorders>
          </w:tcPr>
          <w:p>
            <w:pPr>
              <w:spacing w:after="0"/>
              <w:rPr>
                <w:sz w:val="20"/>
                <w:szCs w:val="20"/>
                <w:color w:val="auto"/>
              </w:rPr>
            </w:pPr>
            <w:r>
              <w:rPr>
                <w:rFonts w:ascii="Arial" w:cs="Arial" w:eastAsia="Arial" w:hAnsi="Arial"/>
                <w:sz w:val="11"/>
                <w:szCs w:val="11"/>
                <w:b w:val="1"/>
                <w:bCs w:val="1"/>
                <w:color w:val="auto"/>
                <w:w w:val="72"/>
              </w:rPr>
              <w:t> </w:t>
            </w:r>
          </w:p>
        </w:tc>
        <w:tc>
          <w:tcPr>
            <w:tcW w:w="6580" w:type="dxa"/>
            <w:vAlign w:val="bottom"/>
            <w:tcBorders>
              <w:bottom w:val="single" w:sz="8" w:color="B2B2B2"/>
            </w:tcBorders>
          </w:tcPr>
          <w:p>
            <w:pPr>
              <w:ind w:left="60"/>
              <w:spacing w:after="0"/>
              <w:rPr>
                <w:sz w:val="20"/>
                <w:szCs w:val="20"/>
                <w:color w:val="auto"/>
              </w:rPr>
            </w:pPr>
            <w:r>
              <w:rPr>
                <w:rFonts w:ascii="Arial" w:cs="Arial" w:eastAsia="Arial" w:hAnsi="Arial"/>
                <w:sz w:val="16"/>
                <w:szCs w:val="16"/>
                <w:b w:val="1"/>
                <w:bCs w:val="1"/>
                <w:color w:val="auto"/>
              </w:rPr>
              <w:t>Acquisition related</w:t>
            </w:r>
          </w:p>
        </w:tc>
        <w:tc>
          <w:tcPr>
            <w:tcW w:w="140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147</w:t>
            </w:r>
          </w:p>
        </w:tc>
        <w:tc>
          <w:tcPr>
            <w:tcW w:w="2080" w:type="dxa"/>
            <w:vAlign w:val="bottom"/>
            <w:tcBorders>
              <w:bottom w:val="single" w:sz="8" w:color="B2B2B2"/>
            </w:tcBorders>
          </w:tcPr>
          <w:p>
            <w:pPr>
              <w:jc w:val="right"/>
              <w:ind w:right="741"/>
              <w:spacing w:after="0"/>
              <w:rPr>
                <w:sz w:val="20"/>
                <w:szCs w:val="20"/>
                <w:color w:val="auto"/>
              </w:rPr>
            </w:pPr>
            <w:r>
              <w:rPr>
                <w:rFonts w:ascii="Arial" w:cs="Arial" w:eastAsia="Arial" w:hAnsi="Arial"/>
                <w:sz w:val="16"/>
                <w:szCs w:val="16"/>
                <w:color w:val="auto"/>
              </w:rPr>
              <w:t>72</w:t>
            </w:r>
          </w:p>
        </w:tc>
        <w:tc>
          <w:tcPr>
            <w:tcW w:w="660" w:type="dxa"/>
            <w:vAlign w:val="bottom"/>
            <w:tcBorders>
              <w:bottom w:val="single" w:sz="8" w:color="B2B2B2"/>
            </w:tcBorders>
            <w:gridSpan w:val="2"/>
          </w:tcPr>
          <w:p>
            <w:pPr>
              <w:jc w:val="right"/>
              <w:spacing w:after="0"/>
              <w:rPr>
                <w:sz w:val="20"/>
                <w:szCs w:val="20"/>
                <w:color w:val="auto"/>
              </w:rPr>
            </w:pPr>
            <w:r>
              <w:rPr>
                <w:rFonts w:ascii="Arial" w:cs="Arial" w:eastAsia="Arial" w:hAnsi="Arial"/>
                <w:sz w:val="16"/>
                <w:szCs w:val="16"/>
                <w:color w:val="auto"/>
              </w:rPr>
              <w:t>104%</w:t>
            </w:r>
          </w:p>
        </w:tc>
      </w:tr>
      <w:tr>
        <w:trPr>
          <w:trHeight w:val="192"/>
        </w:trPr>
        <w:tc>
          <w:tcPr>
            <w:tcW w:w="668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b w:val="1"/>
                <w:bCs w:val="1"/>
                <w:color w:val="auto"/>
              </w:rPr>
              <w:t>  Total amortization of computer software</w:t>
            </w:r>
          </w:p>
        </w:tc>
        <w:tc>
          <w:tcPr>
            <w:tcW w:w="140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618</w:t>
            </w:r>
          </w:p>
        </w:tc>
        <w:tc>
          <w:tcPr>
            <w:tcW w:w="2080" w:type="dxa"/>
            <w:vAlign w:val="bottom"/>
            <w:tcBorders>
              <w:bottom w:val="single" w:sz="8" w:color="B2B2B2"/>
            </w:tcBorders>
          </w:tcPr>
          <w:p>
            <w:pPr>
              <w:jc w:val="right"/>
              <w:ind w:right="741"/>
              <w:spacing w:after="0"/>
              <w:rPr>
                <w:sz w:val="20"/>
                <w:szCs w:val="20"/>
                <w:color w:val="auto"/>
              </w:rPr>
            </w:pPr>
            <w:r>
              <w:rPr>
                <w:rFonts w:ascii="Arial" w:cs="Arial" w:eastAsia="Arial" w:hAnsi="Arial"/>
                <w:sz w:val="16"/>
                <w:szCs w:val="16"/>
                <w:color w:val="auto"/>
              </w:rPr>
              <w:t>512</w:t>
            </w:r>
          </w:p>
        </w:tc>
        <w:tc>
          <w:tcPr>
            <w:tcW w:w="660" w:type="dxa"/>
            <w:vAlign w:val="bottom"/>
            <w:tcBorders>
              <w:bottom w:val="single" w:sz="8" w:color="B2B2B2"/>
            </w:tcBorders>
            <w:gridSpan w:val="2"/>
          </w:tcPr>
          <w:p>
            <w:pPr>
              <w:jc w:val="right"/>
              <w:spacing w:after="0"/>
              <w:rPr>
                <w:sz w:val="20"/>
                <w:szCs w:val="20"/>
                <w:color w:val="auto"/>
              </w:rPr>
            </w:pPr>
            <w:r>
              <w:rPr>
                <w:rFonts w:ascii="Arial" w:cs="Arial" w:eastAsia="Arial" w:hAnsi="Arial"/>
                <w:sz w:val="16"/>
                <w:szCs w:val="16"/>
                <w:color w:val="auto"/>
              </w:rPr>
              <w:t>21%</w:t>
            </w:r>
          </w:p>
        </w:tc>
      </w:tr>
      <w:tr>
        <w:trPr>
          <w:trHeight w:val="198"/>
        </w:trPr>
        <w:tc>
          <w:tcPr>
            <w:tcW w:w="6680" w:type="dxa"/>
            <w:vAlign w:val="bottom"/>
            <w:tcBorders>
              <w:bottom w:val="single" w:sz="8" w:color="D64000"/>
            </w:tcBorders>
            <w:gridSpan w:val="2"/>
          </w:tcPr>
          <w:p>
            <w:pPr>
              <w:spacing w:after="0"/>
              <w:rPr>
                <w:sz w:val="20"/>
                <w:szCs w:val="20"/>
                <w:color w:val="auto"/>
              </w:rPr>
            </w:pPr>
            <w:r>
              <w:rPr>
                <w:rFonts w:ascii="Arial" w:cs="Arial" w:eastAsia="Arial" w:hAnsi="Arial"/>
                <w:sz w:val="16"/>
                <w:szCs w:val="16"/>
                <w:b w:val="1"/>
                <w:bCs w:val="1"/>
                <w:color w:val="auto"/>
              </w:rPr>
              <w:t>  Amortization of other identifiable intangible assets</w:t>
            </w:r>
          </w:p>
        </w:tc>
        <w:tc>
          <w:tcPr>
            <w:tcW w:w="1400" w:type="dxa"/>
            <w:vAlign w:val="bottom"/>
            <w:tcBorders>
              <w:bottom w:val="single" w:sz="8" w:color="D64000"/>
            </w:tcBorders>
          </w:tcPr>
          <w:p>
            <w:pPr>
              <w:jc w:val="right"/>
              <w:ind w:right="1"/>
              <w:spacing w:after="0"/>
              <w:rPr>
                <w:sz w:val="20"/>
                <w:szCs w:val="20"/>
                <w:color w:val="auto"/>
              </w:rPr>
            </w:pPr>
            <w:r>
              <w:rPr>
                <w:rFonts w:ascii="Arial" w:cs="Arial" w:eastAsia="Arial" w:hAnsi="Arial"/>
                <w:sz w:val="16"/>
                <w:szCs w:val="16"/>
                <w:b w:val="1"/>
                <w:bCs w:val="1"/>
                <w:color w:val="auto"/>
              </w:rPr>
              <w:t>91</w:t>
            </w:r>
          </w:p>
        </w:tc>
        <w:tc>
          <w:tcPr>
            <w:tcW w:w="2080" w:type="dxa"/>
            <w:vAlign w:val="bottom"/>
            <w:tcBorders>
              <w:bottom w:val="single" w:sz="8" w:color="D64000"/>
            </w:tcBorders>
          </w:tcPr>
          <w:p>
            <w:pPr>
              <w:jc w:val="right"/>
              <w:ind w:right="741"/>
              <w:spacing w:after="0"/>
              <w:rPr>
                <w:sz w:val="20"/>
                <w:szCs w:val="20"/>
                <w:color w:val="auto"/>
              </w:rPr>
            </w:pPr>
            <w:r>
              <w:rPr>
                <w:rFonts w:ascii="Arial" w:cs="Arial" w:eastAsia="Arial" w:hAnsi="Arial"/>
                <w:sz w:val="16"/>
                <w:szCs w:val="16"/>
                <w:color w:val="auto"/>
              </w:rPr>
              <w:t>97</w:t>
            </w:r>
          </w:p>
        </w:tc>
        <w:tc>
          <w:tcPr>
            <w:tcW w:w="660" w:type="dxa"/>
            <w:vAlign w:val="bottom"/>
            <w:tcBorders>
              <w:bottom w:val="single" w:sz="8" w:color="D64000"/>
            </w:tcBorders>
            <w:gridSpan w:val="2"/>
          </w:tcPr>
          <w:p>
            <w:pPr>
              <w:jc w:val="right"/>
              <w:spacing w:after="0"/>
              <w:rPr>
                <w:sz w:val="20"/>
                <w:szCs w:val="20"/>
                <w:color w:val="auto"/>
              </w:rPr>
            </w:pPr>
            <w:r>
              <w:rPr>
                <w:rFonts w:ascii="Arial" w:cs="Arial" w:eastAsia="Arial" w:hAnsi="Arial"/>
                <w:sz w:val="16"/>
                <w:szCs w:val="16"/>
                <w:color w:val="auto"/>
              </w:rPr>
              <w:t>(6%)</w:t>
            </w:r>
          </w:p>
        </w:tc>
      </w:tr>
    </w:tbl>
    <w:p>
      <w:pPr>
        <w:spacing w:after="0" w:line="97" w:lineRule="exact"/>
        <w:rPr>
          <w:sz w:val="20"/>
          <w:szCs w:val="20"/>
          <w:color w:val="auto"/>
        </w:rPr>
      </w:pPr>
    </w:p>
    <w:p>
      <w:pPr>
        <w:ind w:left="640" w:hanging="422"/>
        <w:spacing w:after="0"/>
        <w:tabs>
          <w:tab w:leader="none" w:pos="640" w:val="left"/>
        </w:tabs>
        <w:numPr>
          <w:ilvl w:val="0"/>
          <w:numId w:val="36"/>
        </w:numPr>
        <w:rPr>
          <w:rFonts w:ascii="Arial" w:cs="Arial" w:eastAsia="Arial" w:hAnsi="Arial"/>
          <w:sz w:val="17"/>
          <w:szCs w:val="17"/>
          <w:color w:val="D64000"/>
        </w:rPr>
      </w:pPr>
      <w:r>
        <w:rPr>
          <w:rFonts w:ascii="Arial" w:cs="Arial" w:eastAsia="Arial" w:hAnsi="Arial"/>
          <w:sz w:val="17"/>
          <w:szCs w:val="17"/>
          <w:color w:val="auto"/>
        </w:rPr>
        <w:t>Depreciation decreased primarily due to assets acquired in previous years becoming fully depreciated.</w:t>
      </w:r>
    </w:p>
    <w:p>
      <w:pPr>
        <w:spacing w:after="0" w:line="19" w:lineRule="exact"/>
        <w:rPr>
          <w:rFonts w:ascii="Arial" w:cs="Arial" w:eastAsia="Arial" w:hAnsi="Arial"/>
          <w:sz w:val="17"/>
          <w:szCs w:val="17"/>
          <w:color w:val="D64000"/>
        </w:rPr>
      </w:pPr>
    </w:p>
    <w:p>
      <w:pPr>
        <w:ind w:left="640" w:hanging="422"/>
        <w:spacing w:after="0"/>
        <w:tabs>
          <w:tab w:leader="none" w:pos="640" w:val="left"/>
        </w:tabs>
        <w:numPr>
          <w:ilvl w:val="0"/>
          <w:numId w:val="36"/>
        </w:numPr>
        <w:rPr>
          <w:rFonts w:ascii="Arial" w:cs="Arial" w:eastAsia="Arial" w:hAnsi="Arial"/>
          <w:sz w:val="17"/>
          <w:szCs w:val="17"/>
          <w:color w:val="D64000"/>
        </w:rPr>
      </w:pPr>
      <w:r>
        <w:rPr>
          <w:rFonts w:ascii="Arial" w:cs="Arial" w:eastAsia="Arial" w:hAnsi="Arial"/>
          <w:sz w:val="17"/>
          <w:szCs w:val="17"/>
          <w:color w:val="auto"/>
        </w:rPr>
        <w:t>Total amortization of computer software increased primarily due to acquisitions, and to a lesser extent, internal product development.</w:t>
      </w:r>
    </w:p>
    <w:p>
      <w:pPr>
        <w:spacing w:after="0" w:line="3" w:lineRule="exact"/>
        <w:rPr>
          <w:rFonts w:ascii="Arial" w:cs="Arial" w:eastAsia="Arial" w:hAnsi="Arial"/>
          <w:sz w:val="17"/>
          <w:szCs w:val="17"/>
          <w:color w:val="D64000"/>
        </w:rPr>
      </w:pPr>
    </w:p>
    <w:p>
      <w:pPr>
        <w:ind w:left="640" w:right="220" w:hanging="422"/>
        <w:spacing w:after="0"/>
        <w:tabs>
          <w:tab w:leader="none" w:pos="640" w:val="left"/>
        </w:tabs>
        <w:numPr>
          <w:ilvl w:val="0"/>
          <w:numId w:val="36"/>
        </w:numPr>
        <w:rPr>
          <w:rFonts w:ascii="Arial" w:cs="Arial" w:eastAsia="Arial" w:hAnsi="Arial"/>
          <w:sz w:val="17"/>
          <w:szCs w:val="17"/>
          <w:color w:val="D64000"/>
        </w:rPr>
      </w:pPr>
      <w:r>
        <w:rPr>
          <w:rFonts w:ascii="Arial" w:cs="Arial" w:eastAsia="Arial" w:hAnsi="Arial"/>
          <w:sz w:val="17"/>
          <w:szCs w:val="17"/>
          <w:color w:val="auto"/>
        </w:rPr>
        <w:t>Amortization of other identifiable intangible assets decreased as the completion of amortization of assets acquired in previous years more than offset expenses associated with recent acquisitions.</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Other operating gains,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100330</wp:posOffset>
            </wp:positionV>
            <wp:extent cx="68656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8" w:lineRule="exact"/>
        <w:rPr>
          <w:sz w:val="20"/>
          <w:szCs w:val="20"/>
          <w:color w:val="auto"/>
        </w:rPr>
      </w:pPr>
    </w:p>
    <w:tbl>
      <w:tblPr>
        <w:tblLayout w:type="fixed"/>
        <w:tblInd w:w="220" w:type="dxa"/>
        <w:tblCellMar>
          <w:top w:w="0" w:type="dxa"/>
          <w:left w:w="0" w:type="dxa"/>
          <w:bottom w:w="0" w:type="dxa"/>
          <w:right w:w="0" w:type="dxa"/>
        </w:tblCellMar>
      </w:tblPr>
      <w:tr>
        <w:trPr>
          <w:trHeight w:val="239"/>
        </w:trPr>
        <w:tc>
          <w:tcPr>
            <w:tcW w:w="8660" w:type="dxa"/>
            <w:vAlign w:val="bottom"/>
          </w:tcPr>
          <w:p>
            <w:pPr>
              <w:spacing w:after="0"/>
              <w:rPr>
                <w:sz w:val="20"/>
                <w:szCs w:val="20"/>
                <w:color w:val="auto"/>
              </w:rPr>
            </w:pPr>
          </w:p>
        </w:tc>
        <w:tc>
          <w:tcPr>
            <w:tcW w:w="2140" w:type="dxa"/>
            <w:vAlign w:val="bottom"/>
            <w:gridSpan w:val="2"/>
            <w:shd w:val="clear" w:color="auto" w:fill="E3F3EE"/>
          </w:tcPr>
          <w:p>
            <w:pPr>
              <w:jc w:val="right"/>
              <w:ind w:right="21"/>
              <w:spacing w:after="0"/>
              <w:rPr>
                <w:sz w:val="20"/>
                <w:szCs w:val="20"/>
                <w:color w:val="auto"/>
              </w:rPr>
            </w:pPr>
            <w:r>
              <w:rPr>
                <w:rFonts w:ascii="Arial" w:cs="Arial" w:eastAsia="Arial" w:hAnsi="Arial"/>
                <w:sz w:val="16"/>
                <w:szCs w:val="16"/>
                <w:b w:val="1"/>
                <w:bCs w:val="1"/>
                <w:color w:val="auto"/>
                <w:shd w:val="clear" w:color="auto" w:fill="E3F3EE"/>
              </w:rPr>
              <w:t>Year ended December 31,</w:t>
            </w:r>
          </w:p>
        </w:tc>
      </w:tr>
      <w:tr>
        <w:trPr>
          <w:trHeight w:val="218"/>
        </w:trPr>
        <w:tc>
          <w:tcPr>
            <w:tcW w:w="866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color w:val="FFFFFF"/>
              </w:rPr>
              <w:t>  (millions of U.S. dollars)</w:t>
            </w:r>
          </w:p>
        </w:tc>
        <w:tc>
          <w:tcPr>
            <w:tcW w:w="1220" w:type="dxa"/>
            <w:vAlign w:val="bottom"/>
            <w:tcBorders>
              <w:bottom w:val="single" w:sz="8" w:color="D64000"/>
            </w:tcBorders>
            <w:shd w:val="clear" w:color="auto" w:fill="1F473D"/>
          </w:tcPr>
          <w:p>
            <w:pPr>
              <w:jc w:val="right"/>
              <w:ind w:right="61"/>
              <w:spacing w:after="0"/>
              <w:rPr>
                <w:sz w:val="20"/>
                <w:szCs w:val="20"/>
                <w:color w:val="auto"/>
              </w:rPr>
            </w:pPr>
            <w:r>
              <w:rPr>
                <w:rFonts w:ascii="Arial" w:cs="Arial" w:eastAsia="Arial" w:hAnsi="Arial"/>
                <w:sz w:val="16"/>
                <w:szCs w:val="16"/>
                <w:b w:val="1"/>
                <w:bCs w:val="1"/>
                <w:color w:val="FFFFFF"/>
              </w:rPr>
              <w:t>         2024</w:t>
            </w:r>
          </w:p>
        </w:tc>
        <w:tc>
          <w:tcPr>
            <w:tcW w:w="920" w:type="dxa"/>
            <w:vAlign w:val="bottom"/>
            <w:tcBorders>
              <w:bottom w:val="single" w:sz="8" w:color="D64000"/>
            </w:tcBorders>
            <w:shd w:val="clear" w:color="auto" w:fill="1F473D"/>
          </w:tcPr>
          <w:p>
            <w:pPr>
              <w:jc w:val="right"/>
              <w:ind w:right="21"/>
              <w:spacing w:after="0"/>
              <w:rPr>
                <w:sz w:val="20"/>
                <w:szCs w:val="20"/>
                <w:color w:val="auto"/>
              </w:rPr>
            </w:pPr>
            <w:r>
              <w:rPr>
                <w:rFonts w:ascii="Arial" w:cs="Arial" w:eastAsia="Arial" w:hAnsi="Arial"/>
                <w:sz w:val="16"/>
                <w:szCs w:val="16"/>
                <w:b w:val="1"/>
                <w:bCs w:val="1"/>
                <w:color w:val="FFFFFF"/>
              </w:rPr>
              <w:t xml:space="preserve">      </w:t>
            </w:r>
            <w:r>
              <w:rPr>
                <w:rFonts w:ascii="Arial" w:cs="Arial" w:eastAsia="Arial" w:hAnsi="Arial"/>
                <w:sz w:val="16"/>
                <w:szCs w:val="16"/>
                <w:color w:val="FFFFFF"/>
              </w:rPr>
              <w:t>2023</w:t>
            </w:r>
          </w:p>
        </w:tc>
      </w:tr>
      <w:tr>
        <w:trPr>
          <w:trHeight w:val="192"/>
        </w:trPr>
        <w:tc>
          <w:tcPr>
            <w:tcW w:w="8660" w:type="dxa"/>
            <w:vAlign w:val="bottom"/>
            <w:tcBorders>
              <w:bottom w:val="single" w:sz="8" w:color="D64000"/>
            </w:tcBorders>
          </w:tcPr>
          <w:p>
            <w:pPr>
              <w:spacing w:after="0"/>
              <w:rPr>
                <w:sz w:val="20"/>
                <w:szCs w:val="20"/>
                <w:color w:val="auto"/>
              </w:rPr>
            </w:pPr>
            <w:r>
              <w:rPr>
                <w:rFonts w:ascii="Arial" w:cs="Arial" w:eastAsia="Arial" w:hAnsi="Arial"/>
                <w:sz w:val="16"/>
                <w:szCs w:val="16"/>
                <w:b w:val="1"/>
                <w:bCs w:val="1"/>
                <w:color w:val="auto"/>
              </w:rPr>
              <w:t>  Other operating gains, net</w:t>
            </w:r>
          </w:p>
        </w:tc>
        <w:tc>
          <w:tcPr>
            <w:tcW w:w="1220" w:type="dxa"/>
            <w:vAlign w:val="bottom"/>
            <w:tcBorders>
              <w:bottom w:val="single" w:sz="8" w:color="D64000"/>
            </w:tcBorders>
          </w:tcPr>
          <w:p>
            <w:pPr>
              <w:jc w:val="right"/>
              <w:ind w:right="61"/>
              <w:spacing w:after="0"/>
              <w:rPr>
                <w:sz w:val="20"/>
                <w:szCs w:val="20"/>
                <w:color w:val="auto"/>
              </w:rPr>
            </w:pPr>
            <w:r>
              <w:rPr>
                <w:rFonts w:ascii="Arial" w:cs="Arial" w:eastAsia="Arial" w:hAnsi="Arial"/>
                <w:sz w:val="16"/>
                <w:szCs w:val="16"/>
                <w:b w:val="1"/>
                <w:bCs w:val="1"/>
                <w:color w:val="auto"/>
              </w:rPr>
              <w:t>144</w:t>
            </w:r>
          </w:p>
        </w:tc>
        <w:tc>
          <w:tcPr>
            <w:tcW w:w="920" w:type="dxa"/>
            <w:vAlign w:val="bottom"/>
            <w:tcBorders>
              <w:bottom w:val="single" w:sz="8" w:color="D64000"/>
            </w:tcBorders>
          </w:tcPr>
          <w:p>
            <w:pPr>
              <w:jc w:val="right"/>
              <w:ind w:right="21"/>
              <w:spacing w:after="0"/>
              <w:rPr>
                <w:sz w:val="20"/>
                <w:szCs w:val="20"/>
                <w:color w:val="auto"/>
              </w:rPr>
            </w:pPr>
            <w:r>
              <w:rPr>
                <w:rFonts w:ascii="Arial" w:cs="Arial" w:eastAsia="Arial" w:hAnsi="Arial"/>
                <w:sz w:val="16"/>
                <w:szCs w:val="16"/>
                <w:color w:val="auto"/>
              </w:rPr>
              <w:t>397</w:t>
            </w:r>
          </w:p>
        </w:tc>
      </w:tr>
    </w:tbl>
    <w:p>
      <w:pPr>
        <w:spacing w:after="0" w:line="71" w:lineRule="exact"/>
        <w:rPr>
          <w:sz w:val="20"/>
          <w:szCs w:val="20"/>
          <w:color w:val="auto"/>
        </w:rPr>
      </w:pPr>
    </w:p>
    <w:p>
      <w:pPr>
        <w:ind w:left="220" w:right="180"/>
        <w:spacing w:after="0" w:line="243" w:lineRule="auto"/>
        <w:rPr>
          <w:sz w:val="20"/>
          <w:szCs w:val="20"/>
          <w:color w:val="auto"/>
        </w:rPr>
      </w:pPr>
      <w:r>
        <w:rPr>
          <w:rFonts w:ascii="Arial" w:cs="Arial" w:eastAsia="Arial" w:hAnsi="Arial"/>
          <w:sz w:val="17"/>
          <w:szCs w:val="17"/>
          <w:color w:val="auto"/>
        </w:rPr>
        <w:t>In 2024, other operating gains, net, included $196 million of gains from the sales of FindLaw and certain other non-core businesses, which were partly offset by an impairment of an equity method investment due to a decline in the value of its commercial real estate holding, acquisition-related deal costs, costs related to a legal provision, and other items.</w:t>
      </w:r>
    </w:p>
    <w:p>
      <w:pPr>
        <w:spacing w:after="0" w:line="55" w:lineRule="exact"/>
        <w:rPr>
          <w:sz w:val="20"/>
          <w:szCs w:val="20"/>
          <w:color w:val="auto"/>
        </w:rPr>
      </w:pPr>
    </w:p>
    <w:p>
      <w:pPr>
        <w:ind w:left="220" w:right="100"/>
        <w:spacing w:after="0" w:line="243" w:lineRule="auto"/>
        <w:rPr>
          <w:sz w:val="20"/>
          <w:szCs w:val="20"/>
          <w:color w:val="auto"/>
        </w:rPr>
      </w:pPr>
      <w:r>
        <w:rPr>
          <w:rFonts w:ascii="Arial" w:cs="Arial" w:eastAsia="Arial" w:hAnsi="Arial"/>
          <w:sz w:val="17"/>
          <w:szCs w:val="17"/>
          <w:color w:val="auto"/>
        </w:rPr>
        <w:t>In 2023, other operating gains, net, included a $342 million gain on the sale of a majority interest in our Elite business, $42 million of gains on the sale of two wholly-owned Canadian subsidiaries to a company affiliated with Woodbridge, our principal shareholder (see the “Related Party Transactions” section of this management’s discussion and analysis for additional information), and a gain on the sale of real estate.</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Net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100330</wp:posOffset>
            </wp:positionV>
            <wp:extent cx="68656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8" w:lineRule="exact"/>
        <w:rPr>
          <w:sz w:val="20"/>
          <w:szCs w:val="20"/>
          <w:color w:val="auto"/>
        </w:rPr>
      </w:pPr>
    </w:p>
    <w:tbl>
      <w:tblPr>
        <w:tblLayout w:type="fixed"/>
        <w:tblInd w:w="220" w:type="dxa"/>
        <w:tblCellMar>
          <w:top w:w="0" w:type="dxa"/>
          <w:left w:w="0" w:type="dxa"/>
          <w:bottom w:w="0" w:type="dxa"/>
          <w:right w:w="0" w:type="dxa"/>
        </w:tblCellMar>
      </w:tblPr>
      <w:tr>
        <w:trPr>
          <w:trHeight w:val="239"/>
        </w:trPr>
        <w:tc>
          <w:tcPr>
            <w:tcW w:w="7140" w:type="dxa"/>
            <w:vAlign w:val="bottom"/>
          </w:tcPr>
          <w:p>
            <w:pPr>
              <w:spacing w:after="0"/>
              <w:rPr>
                <w:sz w:val="20"/>
                <w:szCs w:val="20"/>
                <w:color w:val="auto"/>
              </w:rPr>
            </w:pPr>
          </w:p>
        </w:tc>
        <w:tc>
          <w:tcPr>
            <w:tcW w:w="1200" w:type="dxa"/>
            <w:vAlign w:val="bottom"/>
            <w:shd w:val="clear" w:color="auto" w:fill="E3F3EE"/>
          </w:tcPr>
          <w:p>
            <w:pPr>
              <w:jc w:val="right"/>
              <w:ind w:right="41"/>
              <w:spacing w:after="0"/>
              <w:rPr>
                <w:sz w:val="20"/>
                <w:szCs w:val="20"/>
                <w:color w:val="auto"/>
              </w:rPr>
            </w:pPr>
            <w:r>
              <w:rPr>
                <w:rFonts w:ascii="Arial" w:cs="Arial" w:eastAsia="Arial" w:hAnsi="Arial"/>
                <w:sz w:val="16"/>
                <w:szCs w:val="16"/>
                <w:b w:val="1"/>
                <w:bCs w:val="1"/>
                <w:color w:val="auto"/>
              </w:rPr>
              <w:t> </w:t>
            </w:r>
          </w:p>
        </w:tc>
        <w:tc>
          <w:tcPr>
            <w:tcW w:w="2460" w:type="dxa"/>
            <w:vAlign w:val="bottom"/>
            <w:gridSpan w:val="2"/>
            <w:shd w:val="clear" w:color="auto" w:fill="E3F3EE"/>
          </w:tcPr>
          <w:p>
            <w:pPr>
              <w:jc w:val="right"/>
              <w:ind w:right="301"/>
              <w:spacing w:after="0"/>
              <w:rPr>
                <w:sz w:val="20"/>
                <w:szCs w:val="20"/>
                <w:color w:val="auto"/>
              </w:rPr>
            </w:pPr>
            <w:r>
              <w:rPr>
                <w:rFonts w:ascii="Arial" w:cs="Arial" w:eastAsia="Arial" w:hAnsi="Arial"/>
                <w:sz w:val="16"/>
                <w:szCs w:val="16"/>
                <w:b w:val="1"/>
                <w:bCs w:val="1"/>
                <w:color w:val="auto"/>
                <w:w w:val="95"/>
              </w:rPr>
              <w:t>  Year ended December 31,</w:t>
            </w:r>
          </w:p>
        </w:tc>
        <w:tc>
          <w:tcPr>
            <w:tcW w:w="20" w:type="dxa"/>
            <w:vAlign w:val="bottom"/>
          </w:tcPr>
          <w:p>
            <w:pPr>
              <w:spacing w:after="0"/>
              <w:rPr>
                <w:sz w:val="20"/>
                <w:szCs w:val="20"/>
                <w:color w:val="auto"/>
              </w:rPr>
            </w:pPr>
          </w:p>
        </w:tc>
      </w:tr>
      <w:tr>
        <w:trPr>
          <w:trHeight w:val="245"/>
        </w:trPr>
        <w:tc>
          <w:tcPr>
            <w:tcW w:w="714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color w:val="FFFFFF"/>
              </w:rPr>
              <w:t>  (millions of U.S. dollars)</w:t>
            </w:r>
          </w:p>
        </w:tc>
        <w:tc>
          <w:tcPr>
            <w:tcW w:w="120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b w:val="1"/>
                <w:bCs w:val="1"/>
                <w:color w:val="FFFFFF"/>
              </w:rPr>
              <w:t>2024</w:t>
            </w:r>
          </w:p>
        </w:tc>
        <w:tc>
          <w:tcPr>
            <w:tcW w:w="1540" w:type="dxa"/>
            <w:vAlign w:val="bottom"/>
            <w:tcBorders>
              <w:bottom w:val="single" w:sz="8" w:color="D64000"/>
            </w:tcBorders>
            <w:shd w:val="clear" w:color="auto" w:fill="1F473D"/>
          </w:tcPr>
          <w:p>
            <w:pPr>
              <w:jc w:val="right"/>
              <w:ind w:right="281"/>
              <w:spacing w:after="0"/>
              <w:rPr>
                <w:sz w:val="20"/>
                <w:szCs w:val="20"/>
                <w:color w:val="auto"/>
              </w:rPr>
            </w:pPr>
            <w:r>
              <w:rPr>
                <w:rFonts w:ascii="Arial" w:cs="Arial" w:eastAsia="Arial" w:hAnsi="Arial"/>
                <w:sz w:val="16"/>
                <w:szCs w:val="16"/>
                <w:color w:val="FFFFFF"/>
              </w:rPr>
              <w:t>2023</w:t>
            </w:r>
          </w:p>
        </w:tc>
        <w:tc>
          <w:tcPr>
            <w:tcW w:w="92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Change</w:t>
            </w:r>
          </w:p>
        </w:tc>
        <w:tc>
          <w:tcPr>
            <w:tcW w:w="20" w:type="dxa"/>
            <w:vAlign w:val="bottom"/>
          </w:tcPr>
          <w:p>
            <w:pPr>
              <w:spacing w:after="0"/>
              <w:rPr>
                <w:sz w:val="21"/>
                <w:szCs w:val="21"/>
                <w:color w:val="auto"/>
              </w:rPr>
            </w:pPr>
          </w:p>
        </w:tc>
      </w:tr>
      <w:tr>
        <w:trPr>
          <w:trHeight w:val="205"/>
        </w:trPr>
        <w:tc>
          <w:tcPr>
            <w:tcW w:w="7140" w:type="dxa"/>
            <w:vAlign w:val="bottom"/>
            <w:tcBorders>
              <w:bottom w:val="single" w:sz="8" w:color="D64000"/>
            </w:tcBorders>
          </w:tcPr>
          <w:p>
            <w:pPr>
              <w:spacing w:after="0"/>
              <w:rPr>
                <w:sz w:val="20"/>
                <w:szCs w:val="20"/>
                <w:color w:val="auto"/>
              </w:rPr>
            </w:pPr>
            <w:r>
              <w:rPr>
                <w:rFonts w:ascii="Arial" w:cs="Arial" w:eastAsia="Arial" w:hAnsi="Arial"/>
                <w:sz w:val="16"/>
                <w:szCs w:val="16"/>
                <w:b w:val="1"/>
                <w:bCs w:val="1"/>
                <w:color w:val="auto"/>
              </w:rPr>
              <w:t>  Net interest expense</w:t>
            </w:r>
          </w:p>
        </w:tc>
        <w:tc>
          <w:tcPr>
            <w:tcW w:w="1200" w:type="dxa"/>
            <w:vAlign w:val="bottom"/>
            <w:tcBorders>
              <w:bottom w:val="single" w:sz="8" w:color="D64000"/>
            </w:tcBorders>
          </w:tcPr>
          <w:p>
            <w:pPr>
              <w:jc w:val="right"/>
              <w:spacing w:after="0"/>
              <w:rPr>
                <w:sz w:val="20"/>
                <w:szCs w:val="20"/>
                <w:color w:val="auto"/>
              </w:rPr>
            </w:pPr>
            <w:r>
              <w:rPr>
                <w:rFonts w:ascii="Arial" w:cs="Arial" w:eastAsia="Arial" w:hAnsi="Arial"/>
                <w:sz w:val="16"/>
                <w:szCs w:val="16"/>
                <w:b w:val="1"/>
                <w:bCs w:val="1"/>
                <w:color w:val="auto"/>
              </w:rPr>
              <w:t>125</w:t>
            </w:r>
          </w:p>
        </w:tc>
        <w:tc>
          <w:tcPr>
            <w:tcW w:w="1540" w:type="dxa"/>
            <w:vAlign w:val="bottom"/>
            <w:tcBorders>
              <w:bottom w:val="single" w:sz="8" w:color="D64000"/>
            </w:tcBorders>
          </w:tcPr>
          <w:p>
            <w:pPr>
              <w:jc w:val="right"/>
              <w:ind w:right="281"/>
              <w:spacing w:after="0"/>
              <w:rPr>
                <w:sz w:val="20"/>
                <w:szCs w:val="20"/>
                <w:color w:val="auto"/>
              </w:rPr>
            </w:pPr>
            <w:r>
              <w:rPr>
                <w:rFonts w:ascii="Arial" w:cs="Arial" w:eastAsia="Arial" w:hAnsi="Arial"/>
                <w:sz w:val="16"/>
                <w:szCs w:val="16"/>
                <w:color w:val="auto"/>
              </w:rPr>
              <w:t>152</w:t>
            </w:r>
          </w:p>
        </w:tc>
        <w:tc>
          <w:tcPr>
            <w:tcW w:w="920" w:type="dxa"/>
            <w:vAlign w:val="bottom"/>
            <w:tcBorders>
              <w:bottom w:val="single" w:sz="8" w:color="D64000"/>
            </w:tcBorders>
          </w:tcPr>
          <w:p>
            <w:pPr>
              <w:jc w:val="right"/>
              <w:spacing w:after="0"/>
              <w:rPr>
                <w:sz w:val="20"/>
                <w:szCs w:val="20"/>
                <w:color w:val="auto"/>
              </w:rPr>
            </w:pPr>
            <w:r>
              <w:rPr>
                <w:rFonts w:ascii="Arial" w:cs="Arial" w:eastAsia="Arial" w:hAnsi="Arial"/>
                <w:sz w:val="16"/>
                <w:szCs w:val="16"/>
                <w:color w:val="auto"/>
              </w:rPr>
              <w:t>(18%)</w:t>
            </w:r>
          </w:p>
        </w:tc>
        <w:tc>
          <w:tcPr>
            <w:tcW w:w="20" w:type="dxa"/>
            <w:vAlign w:val="bottom"/>
            <w:tcBorders>
              <w:bottom w:val="single" w:sz="8" w:color="D64000"/>
            </w:tcBorders>
          </w:tcPr>
          <w:p>
            <w:pPr>
              <w:spacing w:after="0"/>
              <w:rPr>
                <w:sz w:val="17"/>
                <w:szCs w:val="17"/>
                <w:color w:val="auto"/>
              </w:rPr>
            </w:pPr>
          </w:p>
        </w:tc>
      </w:tr>
    </w:tbl>
    <w:p>
      <w:pPr>
        <w:spacing w:after="0" w:line="57" w:lineRule="exact"/>
        <w:rPr>
          <w:sz w:val="20"/>
          <w:szCs w:val="20"/>
          <w:color w:val="auto"/>
        </w:rPr>
      </w:pPr>
    </w:p>
    <w:p>
      <w:pPr>
        <w:ind w:left="220" w:right="120"/>
        <w:spacing w:after="0" w:line="243" w:lineRule="auto"/>
        <w:rPr>
          <w:sz w:val="20"/>
          <w:szCs w:val="20"/>
          <w:color w:val="auto"/>
        </w:rPr>
      </w:pPr>
      <w:r>
        <w:rPr>
          <w:rFonts w:ascii="Arial" w:cs="Arial" w:eastAsia="Arial" w:hAnsi="Arial"/>
          <w:sz w:val="17"/>
          <w:szCs w:val="17"/>
          <w:color w:val="auto"/>
        </w:rPr>
        <w:t>Net interest expense decreased due to lower commercial paper borrowings and the repayment of our $600 million, 4.30% notes upon maturity in November 2023 that more than offset a prior year $12 million interest benefit associated with the release of tax reserves and lower interest income.</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Other finance income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100330</wp:posOffset>
            </wp:positionV>
            <wp:extent cx="68656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8" w:lineRule="exact"/>
        <w:rPr>
          <w:sz w:val="20"/>
          <w:szCs w:val="20"/>
          <w:color w:val="auto"/>
        </w:rPr>
      </w:pPr>
    </w:p>
    <w:tbl>
      <w:tblPr>
        <w:tblLayout w:type="fixed"/>
        <w:tblInd w:w="220" w:type="dxa"/>
        <w:tblCellMar>
          <w:top w:w="0" w:type="dxa"/>
          <w:left w:w="0" w:type="dxa"/>
          <w:bottom w:w="0" w:type="dxa"/>
          <w:right w:w="0" w:type="dxa"/>
        </w:tblCellMar>
      </w:tblPr>
      <w:tr>
        <w:trPr>
          <w:trHeight w:val="239"/>
        </w:trPr>
        <w:tc>
          <w:tcPr>
            <w:tcW w:w="8660" w:type="dxa"/>
            <w:vAlign w:val="bottom"/>
          </w:tcPr>
          <w:p>
            <w:pPr>
              <w:spacing w:after="0"/>
              <w:rPr>
                <w:sz w:val="20"/>
                <w:szCs w:val="20"/>
                <w:color w:val="auto"/>
              </w:rPr>
            </w:pPr>
          </w:p>
        </w:tc>
        <w:tc>
          <w:tcPr>
            <w:tcW w:w="2140" w:type="dxa"/>
            <w:vAlign w:val="bottom"/>
            <w:gridSpan w:val="2"/>
            <w:shd w:val="clear" w:color="auto" w:fill="E3F3EE"/>
          </w:tcPr>
          <w:p>
            <w:pPr>
              <w:jc w:val="right"/>
              <w:ind w:right="21"/>
              <w:spacing w:after="0"/>
              <w:rPr>
                <w:sz w:val="20"/>
                <w:szCs w:val="20"/>
                <w:color w:val="auto"/>
              </w:rPr>
            </w:pPr>
            <w:r>
              <w:rPr>
                <w:rFonts w:ascii="Arial" w:cs="Arial" w:eastAsia="Arial" w:hAnsi="Arial"/>
                <w:sz w:val="16"/>
                <w:szCs w:val="16"/>
                <w:b w:val="1"/>
                <w:bCs w:val="1"/>
                <w:color w:val="auto"/>
                <w:shd w:val="clear" w:color="auto" w:fill="E3F3EE"/>
              </w:rPr>
              <w:t>Year ended December 31,</w:t>
            </w:r>
          </w:p>
        </w:tc>
      </w:tr>
      <w:tr>
        <w:trPr>
          <w:trHeight w:val="245"/>
        </w:trPr>
        <w:tc>
          <w:tcPr>
            <w:tcW w:w="866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color w:val="FFFFFF"/>
              </w:rPr>
              <w:t>  (millions of U.S. dollars)</w:t>
            </w:r>
          </w:p>
        </w:tc>
        <w:tc>
          <w:tcPr>
            <w:tcW w:w="1280" w:type="dxa"/>
            <w:vAlign w:val="bottom"/>
            <w:tcBorders>
              <w:bottom w:val="single" w:sz="8" w:color="D64000"/>
            </w:tcBorders>
            <w:shd w:val="clear" w:color="auto" w:fill="1F473D"/>
          </w:tcPr>
          <w:p>
            <w:pPr>
              <w:jc w:val="right"/>
              <w:ind w:right="321"/>
              <w:spacing w:after="0"/>
              <w:rPr>
                <w:sz w:val="20"/>
                <w:szCs w:val="20"/>
                <w:color w:val="auto"/>
              </w:rPr>
            </w:pPr>
            <w:r>
              <w:rPr>
                <w:rFonts w:ascii="Arial" w:cs="Arial" w:eastAsia="Arial" w:hAnsi="Arial"/>
                <w:sz w:val="16"/>
                <w:szCs w:val="16"/>
                <w:b w:val="1"/>
                <w:bCs w:val="1"/>
                <w:color w:val="FFFFFF"/>
              </w:rPr>
              <w:t>2024</w:t>
            </w:r>
          </w:p>
        </w:tc>
        <w:tc>
          <w:tcPr>
            <w:tcW w:w="860" w:type="dxa"/>
            <w:vAlign w:val="bottom"/>
            <w:tcBorders>
              <w:bottom w:val="single" w:sz="8" w:color="D64000"/>
            </w:tcBorders>
            <w:shd w:val="clear" w:color="auto" w:fill="1F473D"/>
          </w:tcPr>
          <w:p>
            <w:pPr>
              <w:jc w:val="right"/>
              <w:ind w:right="21"/>
              <w:spacing w:after="0"/>
              <w:rPr>
                <w:sz w:val="20"/>
                <w:szCs w:val="20"/>
                <w:color w:val="auto"/>
              </w:rPr>
            </w:pPr>
            <w:r>
              <w:rPr>
                <w:rFonts w:ascii="Arial" w:cs="Arial" w:eastAsia="Arial" w:hAnsi="Arial"/>
                <w:sz w:val="16"/>
                <w:szCs w:val="16"/>
                <w:color w:val="FFFFFF"/>
              </w:rPr>
              <w:t>2023</w:t>
            </w:r>
          </w:p>
        </w:tc>
      </w:tr>
      <w:tr>
        <w:trPr>
          <w:trHeight w:val="192"/>
        </w:trPr>
        <w:tc>
          <w:tcPr>
            <w:tcW w:w="8660" w:type="dxa"/>
            <w:vAlign w:val="bottom"/>
            <w:tcBorders>
              <w:bottom w:val="single" w:sz="8" w:color="D64000"/>
            </w:tcBorders>
          </w:tcPr>
          <w:p>
            <w:pPr>
              <w:spacing w:after="0"/>
              <w:rPr>
                <w:sz w:val="20"/>
                <w:szCs w:val="20"/>
                <w:color w:val="auto"/>
              </w:rPr>
            </w:pPr>
            <w:r>
              <w:rPr>
                <w:rFonts w:ascii="Arial" w:cs="Arial" w:eastAsia="Arial" w:hAnsi="Arial"/>
                <w:sz w:val="16"/>
                <w:szCs w:val="16"/>
                <w:b w:val="1"/>
                <w:bCs w:val="1"/>
                <w:color w:val="auto"/>
              </w:rPr>
              <w:t>  Other finance income (costs)</w:t>
            </w:r>
          </w:p>
        </w:tc>
        <w:tc>
          <w:tcPr>
            <w:tcW w:w="1280" w:type="dxa"/>
            <w:vAlign w:val="bottom"/>
            <w:tcBorders>
              <w:bottom w:val="single" w:sz="8" w:color="D64000"/>
            </w:tcBorders>
          </w:tcPr>
          <w:p>
            <w:pPr>
              <w:jc w:val="right"/>
              <w:ind w:right="321"/>
              <w:spacing w:after="0"/>
              <w:rPr>
                <w:sz w:val="20"/>
                <w:szCs w:val="20"/>
                <w:color w:val="auto"/>
              </w:rPr>
            </w:pPr>
            <w:r>
              <w:rPr>
                <w:rFonts w:ascii="Arial" w:cs="Arial" w:eastAsia="Arial" w:hAnsi="Arial"/>
                <w:sz w:val="16"/>
                <w:szCs w:val="16"/>
                <w:b w:val="1"/>
                <w:bCs w:val="1"/>
                <w:color w:val="auto"/>
              </w:rPr>
              <w:t>45</w:t>
            </w:r>
          </w:p>
        </w:tc>
        <w:tc>
          <w:tcPr>
            <w:tcW w:w="860" w:type="dxa"/>
            <w:vAlign w:val="bottom"/>
            <w:tcBorders>
              <w:bottom w:val="single" w:sz="8" w:color="D64000"/>
            </w:tcBorders>
          </w:tcPr>
          <w:p>
            <w:pPr>
              <w:jc w:val="right"/>
              <w:spacing w:after="0"/>
              <w:rPr>
                <w:sz w:val="20"/>
                <w:szCs w:val="20"/>
                <w:color w:val="auto"/>
              </w:rPr>
            </w:pPr>
            <w:r>
              <w:rPr>
                <w:rFonts w:ascii="Arial" w:cs="Arial" w:eastAsia="Arial" w:hAnsi="Arial"/>
                <w:sz w:val="16"/>
                <w:szCs w:val="16"/>
                <w:color w:val="auto"/>
              </w:rPr>
              <w:t>(192)</w:t>
            </w:r>
          </w:p>
        </w:tc>
      </w:tr>
    </w:tbl>
    <w:p>
      <w:pPr>
        <w:spacing w:after="0" w:line="57" w:lineRule="exact"/>
        <w:rPr>
          <w:sz w:val="20"/>
          <w:szCs w:val="20"/>
          <w:color w:val="auto"/>
        </w:rPr>
      </w:pPr>
    </w:p>
    <w:p>
      <w:pPr>
        <w:ind w:left="220" w:right="20"/>
        <w:spacing w:after="0" w:line="235" w:lineRule="auto"/>
        <w:rPr>
          <w:sz w:val="20"/>
          <w:szCs w:val="20"/>
          <w:color w:val="auto"/>
        </w:rPr>
      </w:pPr>
      <w:r>
        <w:rPr>
          <w:rFonts w:ascii="Arial" w:cs="Arial" w:eastAsia="Arial" w:hAnsi="Arial"/>
          <w:sz w:val="17"/>
          <w:szCs w:val="17"/>
          <w:color w:val="auto"/>
        </w:rPr>
        <w:t>In 2024, other finance income primarily included net foreign exchange gains on intercompany funding arrangements denominated in British pound sterling, Canadian dollars and Euros, which resulted from the strengthening of the U.S. dollar. In 2023, other finance costs included $132 million of losses from foreign exchange contracts that were intended to reduce foreign currency risk on a portion of our former indirect investment in LSEG, which was denominated in British pounds sterling, as well as net foreign exchange losses on intercompany funding arrangements. Refer to the “Risk Management” section of this management’s discussion and analysis for a discussion on how we manage and mitigate our foreign currency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100965</wp:posOffset>
            </wp:positionV>
            <wp:extent cx="68656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7"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35</w:t>
      </w:r>
    </w:p>
    <w:p>
      <w:pPr>
        <w:sectPr>
          <w:pgSz w:w="11900" w:h="16838" w:orient="portrait"/>
          <w:cols w:equalWidth="0" w:num="1">
            <w:col w:w="11040"/>
          </w:cols>
          <w:pgMar w:left="320" w:top="477" w:right="5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Share of post-tax (losses) earnings in 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100330</wp:posOffset>
            </wp:positionV>
            <wp:extent cx="68656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8"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8500" w:type="dxa"/>
            <w:vAlign w:val="bottom"/>
          </w:tcPr>
          <w:p>
            <w:pPr>
              <w:spacing w:after="0"/>
              <w:rPr>
                <w:sz w:val="20"/>
                <w:szCs w:val="20"/>
                <w:color w:val="auto"/>
              </w:rPr>
            </w:pPr>
          </w:p>
        </w:tc>
        <w:tc>
          <w:tcPr>
            <w:tcW w:w="2300" w:type="dxa"/>
            <w:vAlign w:val="bottom"/>
            <w:gridSpan w:val="2"/>
            <w:shd w:val="clear" w:color="auto" w:fill="E3F3EE"/>
          </w:tcPr>
          <w:p>
            <w:pPr>
              <w:jc w:val="right"/>
              <w:ind w:right="21"/>
              <w:spacing w:after="0"/>
              <w:rPr>
                <w:sz w:val="20"/>
                <w:szCs w:val="20"/>
                <w:color w:val="auto"/>
              </w:rPr>
            </w:pPr>
            <w:r>
              <w:rPr>
                <w:rFonts w:ascii="Arial" w:cs="Arial" w:eastAsia="Arial" w:hAnsi="Arial"/>
                <w:sz w:val="16"/>
                <w:szCs w:val="16"/>
                <w:b w:val="1"/>
                <w:bCs w:val="1"/>
                <w:color w:val="auto"/>
                <w:shd w:val="clear" w:color="auto" w:fill="E3F3EE"/>
              </w:rPr>
              <w:t>  Year ended December 31,</w:t>
            </w:r>
          </w:p>
        </w:tc>
      </w:tr>
      <w:tr>
        <w:trPr>
          <w:trHeight w:val="245"/>
        </w:trPr>
        <w:tc>
          <w:tcPr>
            <w:tcW w:w="850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color w:val="FFFFFF"/>
              </w:rPr>
              <w:t>  (millions of U.S. dollars)</w:t>
            </w:r>
          </w:p>
        </w:tc>
        <w:tc>
          <w:tcPr>
            <w:tcW w:w="1260" w:type="dxa"/>
            <w:vAlign w:val="bottom"/>
            <w:tcBorders>
              <w:bottom w:val="single" w:sz="8" w:color="D64000"/>
            </w:tcBorders>
            <w:shd w:val="clear" w:color="auto" w:fill="1F473D"/>
          </w:tcPr>
          <w:p>
            <w:pPr>
              <w:jc w:val="right"/>
              <w:ind w:right="21"/>
              <w:spacing w:after="0"/>
              <w:rPr>
                <w:sz w:val="20"/>
                <w:szCs w:val="20"/>
                <w:color w:val="auto"/>
              </w:rPr>
            </w:pPr>
            <w:r>
              <w:rPr>
                <w:rFonts w:ascii="Arial" w:cs="Arial" w:eastAsia="Arial" w:hAnsi="Arial"/>
                <w:sz w:val="16"/>
                <w:szCs w:val="16"/>
                <w:b w:val="1"/>
                <w:bCs w:val="1"/>
                <w:color w:val="FFFFFF"/>
              </w:rPr>
              <w:t>            2024</w:t>
            </w:r>
          </w:p>
        </w:tc>
        <w:tc>
          <w:tcPr>
            <w:tcW w:w="1040" w:type="dxa"/>
            <w:vAlign w:val="bottom"/>
            <w:tcBorders>
              <w:bottom w:val="single" w:sz="8" w:color="D64000"/>
            </w:tcBorders>
            <w:shd w:val="clear" w:color="auto" w:fill="1F473D"/>
          </w:tcPr>
          <w:p>
            <w:pPr>
              <w:jc w:val="right"/>
              <w:ind w:right="21"/>
              <w:spacing w:after="0"/>
              <w:rPr>
                <w:sz w:val="20"/>
                <w:szCs w:val="20"/>
                <w:color w:val="auto"/>
              </w:rPr>
            </w:pPr>
            <w:r>
              <w:rPr>
                <w:rFonts w:ascii="Arial" w:cs="Arial" w:eastAsia="Arial" w:hAnsi="Arial"/>
                <w:sz w:val="16"/>
                <w:szCs w:val="16"/>
                <w:b w:val="1"/>
                <w:bCs w:val="1"/>
                <w:color w:val="FFFFFF"/>
              </w:rPr>
              <w:t xml:space="preserve">         </w:t>
            </w:r>
            <w:r>
              <w:rPr>
                <w:rFonts w:ascii="Arial" w:cs="Arial" w:eastAsia="Arial" w:hAnsi="Arial"/>
                <w:sz w:val="16"/>
                <w:szCs w:val="16"/>
                <w:color w:val="FFFFFF"/>
              </w:rPr>
              <w:t>2023</w:t>
            </w:r>
          </w:p>
        </w:tc>
      </w:tr>
      <w:tr>
        <w:trPr>
          <w:trHeight w:val="211"/>
        </w:trPr>
        <w:tc>
          <w:tcPr>
            <w:tcW w:w="8500" w:type="dxa"/>
            <w:vAlign w:val="bottom"/>
          </w:tcPr>
          <w:p>
            <w:pPr>
              <w:spacing w:after="0"/>
              <w:rPr>
                <w:sz w:val="20"/>
                <w:szCs w:val="20"/>
                <w:color w:val="auto"/>
              </w:rPr>
            </w:pPr>
            <w:r>
              <w:rPr>
                <w:rFonts w:ascii="Arial" w:cs="Arial" w:eastAsia="Arial" w:hAnsi="Arial"/>
                <w:sz w:val="16"/>
                <w:szCs w:val="16"/>
                <w:b w:val="1"/>
                <w:bCs w:val="1"/>
                <w:color w:val="auto"/>
              </w:rPr>
              <w:t>  YPL</w:t>
            </w:r>
          </w:p>
        </w:tc>
        <w:tc>
          <w:tcPr>
            <w:tcW w:w="1260" w:type="dxa"/>
            <w:vAlign w:val="bottom"/>
          </w:tcPr>
          <w:p>
            <w:pPr>
              <w:jc w:val="right"/>
              <w:ind w:right="21"/>
              <w:spacing w:after="0"/>
              <w:rPr>
                <w:sz w:val="20"/>
                <w:szCs w:val="20"/>
                <w:color w:val="auto"/>
              </w:rPr>
            </w:pPr>
            <w:r>
              <w:rPr>
                <w:rFonts w:ascii="Arial" w:cs="Arial" w:eastAsia="Arial" w:hAnsi="Arial"/>
                <w:sz w:val="16"/>
                <w:szCs w:val="16"/>
                <w:b w:val="1"/>
                <w:bCs w:val="1"/>
                <w:color w:val="auto"/>
              </w:rPr>
              <w:t>68</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1,099</w:t>
            </w:r>
          </w:p>
        </w:tc>
      </w:tr>
      <w:tr>
        <w:trPr>
          <w:trHeight w:val="200"/>
        </w:trPr>
        <w:tc>
          <w:tcPr>
            <w:tcW w:w="8500" w:type="dxa"/>
            <w:vAlign w:val="bottom"/>
            <w:tcBorders>
              <w:bottom w:val="single" w:sz="8" w:color="B2B2B2"/>
            </w:tcBorders>
          </w:tcPr>
          <w:p>
            <w:pPr>
              <w:spacing w:after="0"/>
              <w:rPr>
                <w:sz w:val="20"/>
                <w:szCs w:val="20"/>
                <w:color w:val="auto"/>
              </w:rPr>
            </w:pPr>
            <w:r>
              <w:rPr>
                <w:rFonts w:ascii="Arial" w:cs="Arial" w:eastAsia="Arial" w:hAnsi="Arial"/>
                <w:sz w:val="16"/>
                <w:szCs w:val="16"/>
                <w:b w:val="1"/>
                <w:bCs w:val="1"/>
                <w:color w:val="auto"/>
              </w:rPr>
              <w:t>  Other equity method investments</w:t>
            </w:r>
          </w:p>
        </w:tc>
        <w:tc>
          <w:tcPr>
            <w:tcW w:w="12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b w:val="1"/>
                <w:bCs w:val="1"/>
                <w:color w:val="auto"/>
              </w:rPr>
              <w:t>(28)</w:t>
            </w:r>
          </w:p>
        </w:tc>
        <w:tc>
          <w:tcPr>
            <w:tcW w:w="104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(24)</w:t>
            </w:r>
          </w:p>
        </w:tc>
      </w:tr>
      <w:tr>
        <w:trPr>
          <w:trHeight w:val="185"/>
        </w:trPr>
        <w:tc>
          <w:tcPr>
            <w:tcW w:w="850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b w:val="1"/>
                <w:bCs w:val="1"/>
                <w:color w:val="auto"/>
              </w:rPr>
              <w:t>  Share of post-tax earnings in equity method investments</w:t>
            </w:r>
          </w:p>
        </w:tc>
        <w:tc>
          <w:tcPr>
            <w:tcW w:w="1260" w:type="dxa"/>
            <w:vAlign w:val="bottom"/>
            <w:tcBorders>
              <w:bottom w:val="single" w:sz="8" w:color="D64000"/>
            </w:tcBorders>
          </w:tcPr>
          <w:p>
            <w:pPr>
              <w:jc w:val="right"/>
              <w:ind w:right="21"/>
              <w:spacing w:after="0" w:line="179" w:lineRule="exact"/>
              <w:rPr>
                <w:sz w:val="20"/>
                <w:szCs w:val="20"/>
                <w:color w:val="auto"/>
              </w:rPr>
            </w:pPr>
            <w:r>
              <w:rPr>
                <w:rFonts w:ascii="Arial" w:cs="Arial" w:eastAsia="Arial" w:hAnsi="Arial"/>
                <w:sz w:val="16"/>
                <w:szCs w:val="16"/>
                <w:b w:val="1"/>
                <w:bCs w:val="1"/>
                <w:color w:val="auto"/>
              </w:rPr>
              <w:t>40</w:t>
            </w:r>
          </w:p>
        </w:tc>
        <w:tc>
          <w:tcPr>
            <w:tcW w:w="1040" w:type="dxa"/>
            <w:vAlign w:val="bottom"/>
            <w:tcBorders>
              <w:bottom w:val="single" w:sz="8" w:color="D64000"/>
            </w:tcBorders>
          </w:tcPr>
          <w:p>
            <w:pPr>
              <w:jc w:val="right"/>
              <w:ind w:right="21"/>
              <w:spacing w:after="0" w:line="179" w:lineRule="exact"/>
              <w:rPr>
                <w:sz w:val="20"/>
                <w:szCs w:val="20"/>
                <w:color w:val="auto"/>
              </w:rPr>
            </w:pPr>
            <w:r>
              <w:rPr>
                <w:rFonts w:ascii="Arial" w:cs="Arial" w:eastAsia="Arial" w:hAnsi="Arial"/>
                <w:sz w:val="16"/>
                <w:szCs w:val="16"/>
                <w:color w:val="auto"/>
              </w:rPr>
              <w:t>1,075</w:t>
            </w:r>
          </w:p>
        </w:tc>
      </w:tr>
    </w:tbl>
    <w:p>
      <w:pPr>
        <w:spacing w:after="0" w:line="57" w:lineRule="exact"/>
        <w:rPr>
          <w:sz w:val="20"/>
          <w:szCs w:val="20"/>
          <w:color w:val="auto"/>
        </w:rPr>
      </w:pPr>
    </w:p>
    <w:p>
      <w:pPr>
        <w:jc w:val="both"/>
        <w:ind w:left="220" w:right="120"/>
        <w:spacing w:after="0" w:line="243" w:lineRule="auto"/>
        <w:rPr>
          <w:sz w:val="20"/>
          <w:szCs w:val="20"/>
          <w:color w:val="auto"/>
        </w:rPr>
      </w:pPr>
      <w:r>
        <w:rPr>
          <w:rFonts w:ascii="Arial" w:cs="Arial" w:eastAsia="Arial" w:hAnsi="Arial"/>
          <w:sz w:val="17"/>
          <w:szCs w:val="17"/>
          <w:color w:val="auto"/>
        </w:rPr>
        <w:t>In May 2024, we sold our remaining LSEG shares that we had indirectly owned through YPL. We accounted for the investment in LSEG shares held by YPL at fair value, based on the share price of LSEG. As the investment in LSEG was denominated in British pounds sterling, we entered into a series of foreign exchange contracts to mitigate currency risk on our investment.</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Our share of post-tax earnings (losses) in our YPL investment was comprised of the following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66675</wp:posOffset>
            </wp:positionV>
            <wp:extent cx="68656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85" w:lineRule="exact"/>
        <w:rPr>
          <w:sz w:val="20"/>
          <w:szCs w:val="20"/>
          <w:color w:val="auto"/>
        </w:rPr>
      </w:pPr>
    </w:p>
    <w:tbl>
      <w:tblPr>
        <w:tblLayout w:type="fixed"/>
        <w:tblInd w:w="220" w:type="dxa"/>
        <w:tblCellMar>
          <w:top w:w="0" w:type="dxa"/>
          <w:left w:w="0" w:type="dxa"/>
          <w:bottom w:w="0" w:type="dxa"/>
          <w:right w:w="0" w:type="dxa"/>
        </w:tblCellMar>
      </w:tblPr>
      <w:tr>
        <w:trPr>
          <w:trHeight w:val="239"/>
        </w:trPr>
        <w:tc>
          <w:tcPr>
            <w:tcW w:w="8660" w:type="dxa"/>
            <w:vAlign w:val="bottom"/>
          </w:tcPr>
          <w:p>
            <w:pPr>
              <w:spacing w:after="0"/>
              <w:rPr>
                <w:sz w:val="20"/>
                <w:szCs w:val="20"/>
                <w:color w:val="auto"/>
              </w:rPr>
            </w:pPr>
          </w:p>
        </w:tc>
        <w:tc>
          <w:tcPr>
            <w:tcW w:w="2140" w:type="dxa"/>
            <w:vAlign w:val="bottom"/>
            <w:gridSpan w:val="2"/>
            <w:shd w:val="clear" w:color="auto" w:fill="E3F3EE"/>
          </w:tcPr>
          <w:p>
            <w:pPr>
              <w:jc w:val="right"/>
              <w:ind w:right="21"/>
              <w:spacing w:after="0"/>
              <w:rPr>
                <w:sz w:val="20"/>
                <w:szCs w:val="20"/>
                <w:color w:val="auto"/>
              </w:rPr>
            </w:pPr>
            <w:r>
              <w:rPr>
                <w:rFonts w:ascii="Arial" w:cs="Arial" w:eastAsia="Arial" w:hAnsi="Arial"/>
                <w:sz w:val="16"/>
                <w:szCs w:val="16"/>
                <w:b w:val="1"/>
                <w:bCs w:val="1"/>
                <w:color w:val="auto"/>
                <w:shd w:val="clear" w:color="auto" w:fill="E3F3EE"/>
              </w:rPr>
              <w:t>Year ended December 31,</w:t>
            </w:r>
          </w:p>
        </w:tc>
      </w:tr>
      <w:tr>
        <w:trPr>
          <w:trHeight w:val="245"/>
        </w:trPr>
        <w:tc>
          <w:tcPr>
            <w:tcW w:w="866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color w:val="FFFFFF"/>
              </w:rPr>
              <w:t>  (millions of U.S. dollars)</w:t>
            </w:r>
          </w:p>
        </w:tc>
        <w:tc>
          <w:tcPr>
            <w:tcW w:w="1300" w:type="dxa"/>
            <w:vAlign w:val="bottom"/>
            <w:tcBorders>
              <w:bottom w:val="single" w:sz="8" w:color="D64000"/>
            </w:tcBorders>
            <w:shd w:val="clear" w:color="auto" w:fill="1F473D"/>
          </w:tcPr>
          <w:p>
            <w:pPr>
              <w:jc w:val="right"/>
              <w:ind w:right="281"/>
              <w:spacing w:after="0"/>
              <w:rPr>
                <w:sz w:val="20"/>
                <w:szCs w:val="20"/>
                <w:color w:val="auto"/>
              </w:rPr>
            </w:pPr>
            <w:r>
              <w:rPr>
                <w:rFonts w:ascii="Arial" w:cs="Arial" w:eastAsia="Arial" w:hAnsi="Arial"/>
                <w:sz w:val="16"/>
                <w:szCs w:val="16"/>
                <w:b w:val="1"/>
                <w:bCs w:val="1"/>
                <w:color w:val="FFFFFF"/>
              </w:rPr>
              <w:t>2024</w:t>
            </w:r>
            <w:r>
              <w:rPr>
                <w:rFonts w:ascii="Arial" w:cs="Arial" w:eastAsia="Arial" w:hAnsi="Arial"/>
                <w:sz w:val="19"/>
                <w:szCs w:val="19"/>
                <w:b w:val="1"/>
                <w:bCs w:val="1"/>
                <w:color w:val="FFFFFF"/>
                <w:vertAlign w:val="superscript"/>
              </w:rPr>
              <w:t>(1)</w:t>
            </w:r>
          </w:p>
        </w:tc>
        <w:tc>
          <w:tcPr>
            <w:tcW w:w="840" w:type="dxa"/>
            <w:vAlign w:val="bottom"/>
            <w:tcBorders>
              <w:bottom w:val="single" w:sz="8" w:color="D64000"/>
            </w:tcBorders>
            <w:shd w:val="clear" w:color="auto" w:fill="1F473D"/>
          </w:tcPr>
          <w:p>
            <w:pPr>
              <w:jc w:val="right"/>
              <w:ind w:right="21"/>
              <w:spacing w:after="0"/>
              <w:rPr>
                <w:sz w:val="20"/>
                <w:szCs w:val="20"/>
                <w:color w:val="auto"/>
              </w:rPr>
            </w:pPr>
            <w:r>
              <w:rPr>
                <w:rFonts w:ascii="Arial" w:cs="Arial" w:eastAsia="Arial" w:hAnsi="Arial"/>
                <w:sz w:val="16"/>
                <w:szCs w:val="16"/>
                <w:color w:val="FFFFFF"/>
              </w:rPr>
              <w:t>2023</w:t>
            </w:r>
          </w:p>
        </w:tc>
      </w:tr>
      <w:tr>
        <w:trPr>
          <w:trHeight w:val="211"/>
        </w:trPr>
        <w:tc>
          <w:tcPr>
            <w:tcW w:w="8660" w:type="dxa"/>
            <w:vAlign w:val="bottom"/>
          </w:tcPr>
          <w:p>
            <w:pPr>
              <w:spacing w:after="0"/>
              <w:rPr>
                <w:sz w:val="20"/>
                <w:szCs w:val="20"/>
                <w:color w:val="auto"/>
              </w:rPr>
            </w:pPr>
            <w:r>
              <w:rPr>
                <w:rFonts w:ascii="Arial" w:cs="Arial" w:eastAsia="Arial" w:hAnsi="Arial"/>
                <w:sz w:val="16"/>
                <w:szCs w:val="16"/>
                <w:b w:val="1"/>
                <w:bCs w:val="1"/>
                <w:color w:val="auto"/>
              </w:rPr>
              <w:t>  (Decrease) increase in LSEG share price</w:t>
            </w:r>
          </w:p>
        </w:tc>
        <w:tc>
          <w:tcPr>
            <w:tcW w:w="1300" w:type="dxa"/>
            <w:vAlign w:val="bottom"/>
          </w:tcPr>
          <w:p>
            <w:pPr>
              <w:jc w:val="right"/>
              <w:ind w:right="281"/>
              <w:spacing w:after="0"/>
              <w:rPr>
                <w:sz w:val="20"/>
                <w:szCs w:val="20"/>
                <w:color w:val="auto"/>
              </w:rPr>
            </w:pPr>
            <w:r>
              <w:rPr>
                <w:rFonts w:ascii="Arial" w:cs="Arial" w:eastAsia="Arial" w:hAnsi="Arial"/>
                <w:sz w:val="16"/>
                <w:szCs w:val="16"/>
                <w:b w:val="1"/>
                <w:bCs w:val="1"/>
                <w:color w:val="auto"/>
              </w:rPr>
              <w:t>(86)</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785</w:t>
            </w:r>
          </w:p>
        </w:tc>
      </w:tr>
      <w:tr>
        <w:trPr>
          <w:trHeight w:val="212"/>
        </w:trPr>
        <w:tc>
          <w:tcPr>
            <w:tcW w:w="8660" w:type="dxa"/>
            <w:vAlign w:val="bottom"/>
          </w:tcPr>
          <w:p>
            <w:pPr>
              <w:spacing w:after="0"/>
              <w:rPr>
                <w:sz w:val="20"/>
                <w:szCs w:val="20"/>
                <w:color w:val="auto"/>
              </w:rPr>
            </w:pPr>
            <w:r>
              <w:rPr>
                <w:rFonts w:ascii="Arial" w:cs="Arial" w:eastAsia="Arial" w:hAnsi="Arial"/>
                <w:sz w:val="16"/>
                <w:szCs w:val="16"/>
                <w:b w:val="1"/>
                <w:bCs w:val="1"/>
                <w:color w:val="auto"/>
              </w:rPr>
              <w:t>  Foreign exchange (losses) gains on LSEG shares</w:t>
            </w:r>
          </w:p>
        </w:tc>
        <w:tc>
          <w:tcPr>
            <w:tcW w:w="1300" w:type="dxa"/>
            <w:vAlign w:val="bottom"/>
          </w:tcPr>
          <w:p>
            <w:pPr>
              <w:jc w:val="right"/>
              <w:ind w:right="281"/>
              <w:spacing w:after="0"/>
              <w:rPr>
                <w:sz w:val="20"/>
                <w:szCs w:val="20"/>
                <w:color w:val="auto"/>
              </w:rPr>
            </w:pPr>
            <w:r>
              <w:rPr>
                <w:rFonts w:ascii="Arial" w:cs="Arial" w:eastAsia="Arial" w:hAnsi="Arial"/>
                <w:sz w:val="16"/>
                <w:szCs w:val="16"/>
                <w:b w:val="1"/>
                <w:bCs w:val="1"/>
                <w:color w:val="auto"/>
              </w:rPr>
              <w:t>(3)</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251</w:t>
            </w:r>
          </w:p>
        </w:tc>
      </w:tr>
      <w:tr>
        <w:trPr>
          <w:trHeight w:val="212"/>
        </w:trPr>
        <w:tc>
          <w:tcPr>
            <w:tcW w:w="8660" w:type="dxa"/>
            <w:vAlign w:val="bottom"/>
          </w:tcPr>
          <w:p>
            <w:pPr>
              <w:spacing w:after="0"/>
              <w:rPr>
                <w:sz w:val="20"/>
                <w:szCs w:val="20"/>
                <w:color w:val="auto"/>
              </w:rPr>
            </w:pPr>
            <w:r>
              <w:rPr>
                <w:rFonts w:ascii="Arial" w:cs="Arial" w:eastAsia="Arial" w:hAnsi="Arial"/>
                <w:sz w:val="16"/>
                <w:szCs w:val="16"/>
                <w:b w:val="1"/>
                <w:bCs w:val="1"/>
                <w:color w:val="auto"/>
              </w:rPr>
              <w:t>  Dividend income</w:t>
            </w:r>
          </w:p>
        </w:tc>
        <w:tc>
          <w:tcPr>
            <w:tcW w:w="1300" w:type="dxa"/>
            <w:vAlign w:val="bottom"/>
          </w:tcPr>
          <w:p>
            <w:pPr>
              <w:jc w:val="right"/>
              <w:ind w:right="281"/>
              <w:spacing w:after="0"/>
              <w:rPr>
                <w:sz w:val="20"/>
                <w:szCs w:val="20"/>
                <w:color w:val="auto"/>
              </w:rPr>
            </w:pPr>
            <w:r>
              <w:rPr>
                <w:rFonts w:ascii="Arial" w:cs="Arial" w:eastAsia="Arial" w:hAnsi="Arial"/>
                <w:sz w:val="16"/>
                <w:szCs w:val="16"/>
                <w:b w:val="1"/>
                <w:bCs w:val="1"/>
                <w:color w:val="auto"/>
              </w:rPr>
              <w:t>6</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58</w:t>
            </w:r>
          </w:p>
        </w:tc>
      </w:tr>
      <w:tr>
        <w:trPr>
          <w:trHeight w:val="212"/>
        </w:trPr>
        <w:tc>
          <w:tcPr>
            <w:tcW w:w="8660" w:type="dxa"/>
            <w:vAlign w:val="bottom"/>
          </w:tcPr>
          <w:p>
            <w:pPr>
              <w:spacing w:after="0"/>
              <w:rPr>
                <w:sz w:val="20"/>
                <w:szCs w:val="20"/>
                <w:color w:val="auto"/>
              </w:rPr>
            </w:pPr>
            <w:r>
              <w:rPr>
                <w:rFonts w:ascii="Arial" w:cs="Arial" w:eastAsia="Arial" w:hAnsi="Arial"/>
                <w:sz w:val="16"/>
                <w:szCs w:val="16"/>
                <w:b w:val="1"/>
                <w:bCs w:val="1"/>
                <w:color w:val="auto"/>
              </w:rPr>
              <w:t>  Loss from forward contract</w:t>
            </w:r>
          </w:p>
        </w:tc>
        <w:tc>
          <w:tcPr>
            <w:tcW w:w="1300" w:type="dxa"/>
            <w:vAlign w:val="bottom"/>
          </w:tcPr>
          <w:p>
            <w:pPr>
              <w:jc w:val="right"/>
              <w:ind w:right="281"/>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(77)</w:t>
            </w:r>
          </w:p>
        </w:tc>
      </w:tr>
      <w:tr>
        <w:trPr>
          <w:trHeight w:val="212"/>
        </w:trPr>
        <w:tc>
          <w:tcPr>
            <w:tcW w:w="8660" w:type="dxa"/>
            <w:vAlign w:val="bottom"/>
          </w:tcPr>
          <w:p>
            <w:pPr>
              <w:spacing w:after="0"/>
              <w:rPr>
                <w:sz w:val="20"/>
                <w:szCs w:val="20"/>
                <w:color w:val="auto"/>
              </w:rPr>
            </w:pPr>
            <w:r>
              <w:rPr>
                <w:rFonts w:ascii="Arial" w:cs="Arial" w:eastAsia="Arial" w:hAnsi="Arial"/>
                <w:sz w:val="16"/>
                <w:szCs w:val="16"/>
                <w:b w:val="1"/>
                <w:bCs w:val="1"/>
                <w:color w:val="auto"/>
              </w:rPr>
              <w:t>  Gain (loss) from call options</w:t>
            </w:r>
          </w:p>
        </w:tc>
        <w:tc>
          <w:tcPr>
            <w:tcW w:w="1300" w:type="dxa"/>
            <w:vAlign w:val="bottom"/>
          </w:tcPr>
          <w:p>
            <w:pPr>
              <w:jc w:val="right"/>
              <w:ind w:right="281"/>
              <w:spacing w:after="0"/>
              <w:rPr>
                <w:sz w:val="20"/>
                <w:szCs w:val="20"/>
                <w:color w:val="auto"/>
              </w:rPr>
            </w:pPr>
            <w:r>
              <w:rPr>
                <w:rFonts w:ascii="Arial" w:cs="Arial" w:eastAsia="Arial" w:hAnsi="Arial"/>
                <w:sz w:val="16"/>
                <w:szCs w:val="16"/>
                <w:b w:val="1"/>
                <w:bCs w:val="1"/>
                <w:color w:val="auto"/>
              </w:rPr>
              <w:t>22</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(15)</w:t>
            </w:r>
          </w:p>
        </w:tc>
      </w:tr>
      <w:tr>
        <w:trPr>
          <w:trHeight w:val="200"/>
        </w:trPr>
        <w:tc>
          <w:tcPr>
            <w:tcW w:w="8660" w:type="dxa"/>
            <w:vAlign w:val="bottom"/>
            <w:tcBorders>
              <w:bottom w:val="single" w:sz="8" w:color="B2B2B2"/>
            </w:tcBorders>
          </w:tcPr>
          <w:p>
            <w:pPr>
              <w:spacing w:after="0" w:line="200" w:lineRule="exact"/>
              <w:rPr>
                <w:sz w:val="20"/>
                <w:szCs w:val="20"/>
                <w:color w:val="auto"/>
              </w:rPr>
            </w:pPr>
            <w:r>
              <w:rPr>
                <w:rFonts w:ascii="Arial" w:cs="Arial" w:eastAsia="Arial" w:hAnsi="Arial"/>
                <w:sz w:val="16"/>
                <w:szCs w:val="16"/>
                <w:b w:val="1"/>
                <w:bCs w:val="1"/>
                <w:color w:val="auto"/>
              </w:rPr>
              <w:t>  Historical excluded equity adjustment</w:t>
            </w:r>
            <w:r>
              <w:rPr>
                <w:rFonts w:ascii="Arial" w:cs="Arial" w:eastAsia="Arial" w:hAnsi="Arial"/>
                <w:sz w:val="19"/>
                <w:szCs w:val="19"/>
                <w:b w:val="1"/>
                <w:bCs w:val="1"/>
                <w:color w:val="auto"/>
                <w:vertAlign w:val="superscript"/>
              </w:rPr>
              <w:t>(2)</w:t>
            </w:r>
          </w:p>
        </w:tc>
        <w:tc>
          <w:tcPr>
            <w:tcW w:w="1300" w:type="dxa"/>
            <w:vAlign w:val="bottom"/>
            <w:tcBorders>
              <w:bottom w:val="single" w:sz="8" w:color="B2B2B2"/>
            </w:tcBorders>
          </w:tcPr>
          <w:p>
            <w:pPr>
              <w:jc w:val="right"/>
              <w:ind w:right="281"/>
              <w:spacing w:after="0"/>
              <w:rPr>
                <w:sz w:val="20"/>
                <w:szCs w:val="20"/>
                <w:color w:val="auto"/>
              </w:rPr>
            </w:pPr>
            <w:r>
              <w:rPr>
                <w:rFonts w:ascii="Arial" w:cs="Arial" w:eastAsia="Arial" w:hAnsi="Arial"/>
                <w:sz w:val="16"/>
                <w:szCs w:val="16"/>
                <w:b w:val="1"/>
                <w:bCs w:val="1"/>
                <w:color w:val="auto"/>
              </w:rPr>
              <w:t>129</w:t>
            </w:r>
          </w:p>
        </w:tc>
        <w:tc>
          <w:tcPr>
            <w:tcW w:w="84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97</w:t>
            </w:r>
          </w:p>
        </w:tc>
      </w:tr>
      <w:tr>
        <w:trPr>
          <w:trHeight w:val="185"/>
        </w:trPr>
        <w:tc>
          <w:tcPr>
            <w:tcW w:w="866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b w:val="1"/>
                <w:bCs w:val="1"/>
                <w:color w:val="auto"/>
              </w:rPr>
              <w:t>  YPL – Share of post-tax earnings in equity method investments</w:t>
            </w:r>
          </w:p>
        </w:tc>
        <w:tc>
          <w:tcPr>
            <w:tcW w:w="1300" w:type="dxa"/>
            <w:vAlign w:val="bottom"/>
            <w:tcBorders>
              <w:bottom w:val="single" w:sz="8" w:color="D64000"/>
            </w:tcBorders>
          </w:tcPr>
          <w:p>
            <w:pPr>
              <w:jc w:val="right"/>
              <w:ind w:right="281"/>
              <w:spacing w:after="0" w:line="179" w:lineRule="exact"/>
              <w:rPr>
                <w:sz w:val="20"/>
                <w:szCs w:val="20"/>
                <w:color w:val="auto"/>
              </w:rPr>
            </w:pPr>
            <w:r>
              <w:rPr>
                <w:rFonts w:ascii="Arial" w:cs="Arial" w:eastAsia="Arial" w:hAnsi="Arial"/>
                <w:sz w:val="16"/>
                <w:szCs w:val="16"/>
                <w:b w:val="1"/>
                <w:bCs w:val="1"/>
                <w:color w:val="auto"/>
              </w:rPr>
              <w:t>68</w:t>
            </w:r>
          </w:p>
        </w:tc>
        <w:tc>
          <w:tcPr>
            <w:tcW w:w="840" w:type="dxa"/>
            <w:vAlign w:val="bottom"/>
            <w:tcBorders>
              <w:bottom w:val="single" w:sz="8" w:color="D64000"/>
            </w:tcBorders>
          </w:tcPr>
          <w:p>
            <w:pPr>
              <w:jc w:val="right"/>
              <w:ind w:right="21"/>
              <w:spacing w:after="0" w:line="179" w:lineRule="exact"/>
              <w:rPr>
                <w:sz w:val="20"/>
                <w:szCs w:val="20"/>
                <w:color w:val="auto"/>
              </w:rPr>
            </w:pPr>
            <w:r>
              <w:rPr>
                <w:rFonts w:ascii="Arial" w:cs="Arial" w:eastAsia="Arial" w:hAnsi="Arial"/>
                <w:sz w:val="16"/>
                <w:szCs w:val="16"/>
                <w:color w:val="auto"/>
              </w:rPr>
              <w:t>1,099</w:t>
            </w:r>
          </w:p>
        </w:tc>
      </w:tr>
    </w:tbl>
    <w:p>
      <w:pPr>
        <w:spacing w:after="0" w:line="57" w:lineRule="exact"/>
        <w:rPr>
          <w:sz w:val="20"/>
          <w:szCs w:val="20"/>
          <w:color w:val="auto"/>
        </w:rPr>
      </w:pPr>
    </w:p>
    <w:p>
      <w:pPr>
        <w:ind w:left="640" w:hanging="422"/>
        <w:spacing w:after="0"/>
        <w:tabs>
          <w:tab w:leader="none" w:pos="6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Activity through May 2024, when the investment was fully divested.</w:t>
      </w:r>
    </w:p>
    <w:p>
      <w:pPr>
        <w:spacing w:after="0" w:line="12" w:lineRule="exact"/>
        <w:rPr>
          <w:rFonts w:ascii="Arial" w:cs="Arial" w:eastAsia="Arial" w:hAnsi="Arial"/>
          <w:sz w:val="14"/>
          <w:szCs w:val="14"/>
          <w:color w:val="auto"/>
        </w:rPr>
      </w:pPr>
    </w:p>
    <w:p>
      <w:pPr>
        <w:ind w:left="640" w:hanging="422"/>
        <w:spacing w:after="0"/>
        <w:tabs>
          <w:tab w:leader="none" w:pos="6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income from the recognition of the remaining cumulative impact of equity transactions that were excluded from our investment in YPL.</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Tax (benefit)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100330</wp:posOffset>
            </wp:positionV>
            <wp:extent cx="68656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8"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8660" w:type="dxa"/>
            <w:vAlign w:val="bottom"/>
          </w:tcPr>
          <w:p>
            <w:pPr>
              <w:spacing w:after="0"/>
              <w:rPr>
                <w:sz w:val="20"/>
                <w:szCs w:val="20"/>
                <w:color w:val="auto"/>
              </w:rPr>
            </w:pPr>
          </w:p>
        </w:tc>
        <w:tc>
          <w:tcPr>
            <w:tcW w:w="2140" w:type="dxa"/>
            <w:vAlign w:val="bottom"/>
            <w:gridSpan w:val="2"/>
            <w:shd w:val="clear" w:color="auto" w:fill="E3F3EE"/>
          </w:tcPr>
          <w:p>
            <w:pPr>
              <w:jc w:val="right"/>
              <w:ind w:right="21"/>
              <w:spacing w:after="0"/>
              <w:rPr>
                <w:sz w:val="20"/>
                <w:szCs w:val="20"/>
                <w:color w:val="auto"/>
              </w:rPr>
            </w:pPr>
            <w:r>
              <w:rPr>
                <w:rFonts w:ascii="Arial" w:cs="Arial" w:eastAsia="Arial" w:hAnsi="Arial"/>
                <w:sz w:val="16"/>
                <w:szCs w:val="16"/>
                <w:b w:val="1"/>
                <w:bCs w:val="1"/>
                <w:color w:val="auto"/>
                <w:shd w:val="clear" w:color="auto" w:fill="E3F3EE"/>
              </w:rPr>
              <w:t>Year ended December 31,</w:t>
            </w:r>
          </w:p>
        </w:tc>
      </w:tr>
      <w:tr>
        <w:trPr>
          <w:trHeight w:val="245"/>
        </w:trPr>
        <w:tc>
          <w:tcPr>
            <w:tcW w:w="866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color w:val="FFFFFF"/>
              </w:rPr>
              <w:t>  (millions of U.S. dollars)</w:t>
            </w:r>
          </w:p>
        </w:tc>
        <w:tc>
          <w:tcPr>
            <w:tcW w:w="1340" w:type="dxa"/>
            <w:vAlign w:val="bottom"/>
            <w:tcBorders>
              <w:bottom w:val="single" w:sz="8" w:color="D64000"/>
            </w:tcBorders>
            <w:shd w:val="clear" w:color="auto" w:fill="1F473D"/>
          </w:tcPr>
          <w:p>
            <w:pPr>
              <w:jc w:val="right"/>
              <w:ind w:right="341"/>
              <w:spacing w:after="0"/>
              <w:rPr>
                <w:sz w:val="20"/>
                <w:szCs w:val="20"/>
                <w:color w:val="auto"/>
              </w:rPr>
            </w:pPr>
            <w:r>
              <w:rPr>
                <w:rFonts w:ascii="Arial" w:cs="Arial" w:eastAsia="Arial" w:hAnsi="Arial"/>
                <w:sz w:val="16"/>
                <w:szCs w:val="16"/>
                <w:b w:val="1"/>
                <w:bCs w:val="1"/>
                <w:color w:val="FFFFFF"/>
              </w:rPr>
              <w:t>2024</w:t>
            </w:r>
          </w:p>
        </w:tc>
        <w:tc>
          <w:tcPr>
            <w:tcW w:w="800" w:type="dxa"/>
            <w:vAlign w:val="bottom"/>
            <w:tcBorders>
              <w:bottom w:val="single" w:sz="8" w:color="D64000"/>
            </w:tcBorders>
            <w:shd w:val="clear" w:color="auto" w:fill="1F473D"/>
          </w:tcPr>
          <w:p>
            <w:pPr>
              <w:jc w:val="right"/>
              <w:ind w:right="21"/>
              <w:spacing w:after="0"/>
              <w:rPr>
                <w:sz w:val="20"/>
                <w:szCs w:val="20"/>
                <w:color w:val="auto"/>
              </w:rPr>
            </w:pPr>
            <w:r>
              <w:rPr>
                <w:rFonts w:ascii="Arial" w:cs="Arial" w:eastAsia="Arial" w:hAnsi="Arial"/>
                <w:sz w:val="16"/>
                <w:szCs w:val="16"/>
                <w:color w:val="FFFFFF"/>
              </w:rPr>
              <w:t>2023</w:t>
            </w:r>
          </w:p>
        </w:tc>
      </w:tr>
      <w:tr>
        <w:trPr>
          <w:trHeight w:val="192"/>
        </w:trPr>
        <w:tc>
          <w:tcPr>
            <w:tcW w:w="8660" w:type="dxa"/>
            <w:vAlign w:val="bottom"/>
            <w:tcBorders>
              <w:bottom w:val="single" w:sz="8" w:color="D64000"/>
            </w:tcBorders>
          </w:tcPr>
          <w:p>
            <w:pPr>
              <w:spacing w:after="0"/>
              <w:rPr>
                <w:sz w:val="20"/>
                <w:szCs w:val="20"/>
                <w:color w:val="auto"/>
              </w:rPr>
            </w:pPr>
            <w:r>
              <w:rPr>
                <w:rFonts w:ascii="Arial" w:cs="Arial" w:eastAsia="Arial" w:hAnsi="Arial"/>
                <w:sz w:val="16"/>
                <w:szCs w:val="16"/>
                <w:b w:val="1"/>
                <w:bCs w:val="1"/>
                <w:color w:val="auto"/>
              </w:rPr>
              <w:t>  Tax (benefit) expense</w:t>
            </w:r>
          </w:p>
        </w:tc>
        <w:tc>
          <w:tcPr>
            <w:tcW w:w="1340" w:type="dxa"/>
            <w:vAlign w:val="bottom"/>
            <w:tcBorders>
              <w:bottom w:val="single" w:sz="8" w:color="D64000"/>
            </w:tcBorders>
          </w:tcPr>
          <w:p>
            <w:pPr>
              <w:jc w:val="right"/>
              <w:ind w:right="281"/>
              <w:spacing w:after="0"/>
              <w:rPr>
                <w:sz w:val="20"/>
                <w:szCs w:val="20"/>
                <w:color w:val="auto"/>
              </w:rPr>
            </w:pPr>
            <w:r>
              <w:rPr>
                <w:rFonts w:ascii="Arial" w:cs="Arial" w:eastAsia="Arial" w:hAnsi="Arial"/>
                <w:sz w:val="16"/>
                <w:szCs w:val="16"/>
                <w:b w:val="1"/>
                <w:bCs w:val="1"/>
                <w:color w:val="auto"/>
              </w:rPr>
              <w:t>(123)</w:t>
            </w:r>
          </w:p>
        </w:tc>
        <w:tc>
          <w:tcPr>
            <w:tcW w:w="800" w:type="dxa"/>
            <w:vAlign w:val="bottom"/>
            <w:tcBorders>
              <w:bottom w:val="single" w:sz="8" w:color="D64000"/>
            </w:tcBorders>
          </w:tcPr>
          <w:p>
            <w:pPr>
              <w:jc w:val="right"/>
              <w:ind w:right="21"/>
              <w:spacing w:after="0"/>
              <w:rPr>
                <w:sz w:val="20"/>
                <w:szCs w:val="20"/>
                <w:color w:val="auto"/>
              </w:rPr>
            </w:pPr>
            <w:r>
              <w:rPr>
                <w:rFonts w:ascii="Arial" w:cs="Arial" w:eastAsia="Arial" w:hAnsi="Arial"/>
                <w:sz w:val="16"/>
                <w:szCs w:val="16"/>
                <w:color w:val="auto"/>
              </w:rPr>
              <w:t>417</w:t>
            </w:r>
          </w:p>
        </w:tc>
      </w:tr>
    </w:tbl>
    <w:p>
      <w:pPr>
        <w:spacing w:after="0" w:line="57" w:lineRule="exact"/>
        <w:rPr>
          <w:sz w:val="20"/>
          <w:szCs w:val="20"/>
          <w:color w:val="auto"/>
        </w:rPr>
      </w:pPr>
    </w:p>
    <w:p>
      <w:pPr>
        <w:ind w:left="220" w:right="20"/>
        <w:spacing w:after="0" w:line="236" w:lineRule="auto"/>
        <w:rPr>
          <w:sz w:val="20"/>
          <w:szCs w:val="20"/>
          <w:color w:val="auto"/>
        </w:rPr>
      </w:pPr>
      <w:r>
        <w:rPr>
          <w:rFonts w:ascii="Arial" w:cs="Arial" w:eastAsia="Arial" w:hAnsi="Arial"/>
          <w:sz w:val="17"/>
          <w:szCs w:val="17"/>
          <w:color w:val="auto"/>
        </w:rPr>
        <w:t>In 2024, the net tax benefit of $123 million was due to a $468 million benefit from the recognition of a deferred tax asset relating to new tax legislation enacted in Canada in June 2024. The new legislation reduced our ability to deduct interest expense against our Canadian taxable income, thereby increasing Canadian taxable profits such that we now expect to utilize tax loss carryforwards and other tax attributes, which we had not previously recognized as a deferred tax asset. The tax benefit was partly offset by $54 million of tax expense related to the gain on sale of FindLaw.</w:t>
      </w:r>
    </w:p>
    <w:p>
      <w:pPr>
        <w:spacing w:after="0" w:line="59" w:lineRule="exact"/>
        <w:rPr>
          <w:sz w:val="20"/>
          <w:szCs w:val="20"/>
          <w:color w:val="auto"/>
        </w:rPr>
      </w:pPr>
    </w:p>
    <w:p>
      <w:pPr>
        <w:ind w:left="220" w:right="140"/>
        <w:spacing w:after="0" w:line="235" w:lineRule="auto"/>
        <w:rPr>
          <w:sz w:val="20"/>
          <w:szCs w:val="20"/>
          <w:color w:val="auto"/>
        </w:rPr>
      </w:pPr>
      <w:r>
        <w:rPr>
          <w:rFonts w:ascii="Arial" w:cs="Arial" w:eastAsia="Arial" w:hAnsi="Arial"/>
          <w:sz w:val="17"/>
          <w:szCs w:val="17"/>
          <w:color w:val="auto"/>
        </w:rPr>
        <w:t>Additionally, in January 2024, we began recording tax expense associated with the “Pillar Two model rules” as published by the Organization for Economic Cooperation and Development and enacted by key jurisdictions in which we operate. These rules are designed to ensure large multinational enterprises within the scope of the rules pay a minimum level of tax in each jurisdiction where they operate. In general, the “Pillar Two model rules” apply a system of top-up taxes to bring the enterprise’s effective tax rate in each jurisdiction to a minimum of 15%. In 2024, we recorded $4 million of current top-up tax expense which was attributable to our earnings in Switzerland. We have applied the exception to recognizing and disclosing information about deferred tax assets and liabilities related to Pillar Two income taxes.</w:t>
      </w:r>
    </w:p>
    <w:p>
      <w:pPr>
        <w:spacing w:after="0" w:line="44" w:lineRule="exact"/>
        <w:rPr>
          <w:sz w:val="20"/>
          <w:szCs w:val="20"/>
          <w:color w:val="auto"/>
        </w:rPr>
      </w:pPr>
    </w:p>
    <w:p>
      <w:pPr>
        <w:ind w:left="220" w:right="20"/>
        <w:spacing w:after="0" w:line="235" w:lineRule="auto"/>
        <w:rPr>
          <w:sz w:val="20"/>
          <w:szCs w:val="20"/>
          <w:color w:val="auto"/>
        </w:rPr>
      </w:pPr>
      <w:r>
        <w:rPr>
          <w:rFonts w:ascii="Arial" w:cs="Arial" w:eastAsia="Arial" w:hAnsi="Arial"/>
          <w:sz w:val="17"/>
          <w:szCs w:val="17"/>
          <w:color w:val="auto"/>
        </w:rPr>
        <w:t>In 2023, our effective income tax rate on earnings from continuing operations was 13.6%. Tax expense of $417 million included $253 million of tax expense related to our earnings in equity method investments and $31 million of tax benefits related to other finance costs, primarily from losses on foreign exchange contracts related to our investment in LSEG. Tax expense also included $77 million of expense related to the sale of a majority stake in Elite. Our tax expense in 2023 was partly offset by tax benefits of $100 million from the remeasurement of deferred tax balances due to changes in applicable statutory tax rates (primarily outside of the U.S.) and $82 million of tax benefits from the release of reserves due to the settlement of a tax audit and the lapse in statutes of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100965</wp:posOffset>
            </wp:positionV>
            <wp:extent cx="68656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7"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36</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220"/>
        <w:spacing w:after="0" w:line="243" w:lineRule="auto"/>
        <w:rPr>
          <w:sz w:val="20"/>
          <w:szCs w:val="20"/>
          <w:color w:val="auto"/>
        </w:rPr>
      </w:pPr>
      <w:r>
        <w:rPr>
          <w:rFonts w:ascii="Arial" w:cs="Arial" w:eastAsia="Arial" w:hAnsi="Arial"/>
          <w:sz w:val="17"/>
          <w:szCs w:val="17"/>
          <w:color w:val="auto"/>
        </w:rPr>
        <w:t>Additionally, the tax benefit or expense in each year reflected the mix of taxing jurisdictions in which pre-tax profits and losses were recognized. The comparability of our tax expense was impacted by various transactions and accounting adjustments during each year. The following table sets forth certain components within income tax (benefit) expense that impacted comparability from year to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83185</wp:posOffset>
            </wp:positionV>
            <wp:extent cx="68656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1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8500" w:type="dxa"/>
            <w:vAlign w:val="bottom"/>
          </w:tcPr>
          <w:p>
            <w:pPr>
              <w:spacing w:after="0"/>
              <w:rPr>
                <w:sz w:val="20"/>
                <w:szCs w:val="20"/>
                <w:color w:val="auto"/>
              </w:rPr>
            </w:pPr>
          </w:p>
        </w:tc>
        <w:tc>
          <w:tcPr>
            <w:tcW w:w="2300" w:type="dxa"/>
            <w:vAlign w:val="bottom"/>
            <w:gridSpan w:val="2"/>
            <w:shd w:val="clear" w:color="auto" w:fill="E3F3EE"/>
          </w:tcPr>
          <w:p>
            <w:pPr>
              <w:jc w:val="right"/>
              <w:ind w:right="21"/>
              <w:spacing w:after="0"/>
              <w:rPr>
                <w:sz w:val="20"/>
                <w:szCs w:val="20"/>
                <w:color w:val="auto"/>
              </w:rPr>
            </w:pPr>
            <w:r>
              <w:rPr>
                <w:rFonts w:ascii="Arial" w:cs="Arial" w:eastAsia="Arial" w:hAnsi="Arial"/>
                <w:sz w:val="16"/>
                <w:szCs w:val="16"/>
                <w:b w:val="1"/>
                <w:bCs w:val="1"/>
                <w:color w:val="auto"/>
                <w:shd w:val="clear" w:color="auto" w:fill="E3F3EE"/>
              </w:rPr>
              <w:t>  Year ended December 31,</w:t>
            </w:r>
          </w:p>
        </w:tc>
      </w:tr>
      <w:tr>
        <w:trPr>
          <w:trHeight w:val="245"/>
        </w:trPr>
        <w:tc>
          <w:tcPr>
            <w:tcW w:w="850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color w:val="FFFFFF"/>
              </w:rPr>
              <w:t>  (millions of U.S. dollars)</w:t>
            </w:r>
          </w:p>
        </w:tc>
        <w:tc>
          <w:tcPr>
            <w:tcW w:w="1260" w:type="dxa"/>
            <w:vAlign w:val="bottom"/>
            <w:tcBorders>
              <w:bottom w:val="single" w:sz="8" w:color="D64000"/>
            </w:tcBorders>
            <w:shd w:val="clear" w:color="auto" w:fill="1F473D"/>
          </w:tcPr>
          <w:p>
            <w:pPr>
              <w:jc w:val="right"/>
              <w:ind w:right="21"/>
              <w:spacing w:after="0"/>
              <w:rPr>
                <w:sz w:val="20"/>
                <w:szCs w:val="20"/>
                <w:color w:val="auto"/>
              </w:rPr>
            </w:pPr>
            <w:r>
              <w:rPr>
                <w:rFonts w:ascii="Arial" w:cs="Arial" w:eastAsia="Arial" w:hAnsi="Arial"/>
                <w:sz w:val="16"/>
                <w:szCs w:val="16"/>
                <w:b w:val="1"/>
                <w:bCs w:val="1"/>
                <w:color w:val="FFFFFF"/>
              </w:rPr>
              <w:t>            2024</w:t>
            </w:r>
          </w:p>
        </w:tc>
        <w:tc>
          <w:tcPr>
            <w:tcW w:w="1040" w:type="dxa"/>
            <w:vAlign w:val="bottom"/>
            <w:tcBorders>
              <w:bottom w:val="single" w:sz="8" w:color="D64000"/>
            </w:tcBorders>
            <w:shd w:val="clear" w:color="auto" w:fill="1F473D"/>
          </w:tcPr>
          <w:p>
            <w:pPr>
              <w:jc w:val="right"/>
              <w:ind w:right="21"/>
              <w:spacing w:after="0"/>
              <w:rPr>
                <w:sz w:val="20"/>
                <w:szCs w:val="20"/>
                <w:color w:val="auto"/>
              </w:rPr>
            </w:pPr>
            <w:r>
              <w:rPr>
                <w:rFonts w:ascii="Arial" w:cs="Arial" w:eastAsia="Arial" w:hAnsi="Arial"/>
                <w:sz w:val="16"/>
                <w:szCs w:val="16"/>
                <w:b w:val="1"/>
                <w:bCs w:val="1"/>
                <w:color w:val="FFFFFF"/>
              </w:rPr>
              <w:t xml:space="preserve">         </w:t>
            </w:r>
            <w:r>
              <w:rPr>
                <w:rFonts w:ascii="Arial" w:cs="Arial" w:eastAsia="Arial" w:hAnsi="Arial"/>
                <w:sz w:val="16"/>
                <w:szCs w:val="16"/>
                <w:color w:val="FFFFFF"/>
              </w:rPr>
              <w:t>2023</w:t>
            </w:r>
          </w:p>
        </w:tc>
      </w:tr>
      <w:tr>
        <w:trPr>
          <w:trHeight w:val="171"/>
        </w:trPr>
        <w:tc>
          <w:tcPr>
            <w:tcW w:w="8500" w:type="dxa"/>
            <w:vAlign w:val="bottom"/>
          </w:tcPr>
          <w:p>
            <w:pPr>
              <w:spacing w:after="0" w:line="171" w:lineRule="exact"/>
              <w:rPr>
                <w:sz w:val="20"/>
                <w:szCs w:val="20"/>
                <w:color w:val="auto"/>
              </w:rPr>
            </w:pPr>
            <w:r>
              <w:rPr>
                <w:rFonts w:ascii="Arial" w:cs="Arial" w:eastAsia="Arial" w:hAnsi="Arial"/>
                <w:sz w:val="16"/>
                <w:szCs w:val="16"/>
                <w:b w:val="1"/>
                <w:bCs w:val="1"/>
                <w:color w:val="auto"/>
              </w:rPr>
              <w:t>  (Benefit) expense</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6"/>
        </w:trPr>
        <w:tc>
          <w:tcPr>
            <w:tcW w:w="8500" w:type="dxa"/>
            <w:vAlign w:val="bottom"/>
          </w:tcPr>
          <w:p>
            <w:pPr>
              <w:spacing w:after="0"/>
              <w:rPr>
                <w:sz w:val="20"/>
                <w:szCs w:val="20"/>
                <w:color w:val="auto"/>
              </w:rPr>
            </w:pPr>
            <w:r>
              <w:rPr>
                <w:rFonts w:ascii="Arial" w:cs="Arial" w:eastAsia="Arial" w:hAnsi="Arial"/>
                <w:sz w:val="16"/>
                <w:szCs w:val="16"/>
                <w:b w:val="1"/>
                <w:bCs w:val="1"/>
                <w:color w:val="auto"/>
              </w:rPr>
              <w:t>  Tax items impacting comparability:</w:t>
            </w: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6"/>
        </w:trPr>
        <w:tc>
          <w:tcPr>
            <w:tcW w:w="8500" w:type="dxa"/>
            <w:vAlign w:val="bottom"/>
          </w:tcPr>
          <w:p>
            <w:pPr>
              <w:spacing w:after="0" w:line="185" w:lineRule="exact"/>
              <w:rPr>
                <w:sz w:val="20"/>
                <w:szCs w:val="20"/>
                <w:color w:val="auto"/>
              </w:rPr>
            </w:pPr>
            <w:r>
              <w:rPr>
                <w:rFonts w:ascii="Arial" w:cs="Arial" w:eastAsia="Arial" w:hAnsi="Arial"/>
                <w:sz w:val="16"/>
                <w:szCs w:val="16"/>
                <w:color w:val="auto"/>
              </w:rPr>
              <w:t>    Recognition of deferred tax asset</w:t>
            </w:r>
            <w:r>
              <w:rPr>
                <w:rFonts w:ascii="Arial" w:cs="Arial" w:eastAsia="Arial" w:hAnsi="Arial"/>
                <w:sz w:val="19"/>
                <w:szCs w:val="19"/>
                <w:color w:val="auto"/>
                <w:vertAlign w:val="superscript"/>
              </w:rPr>
              <w:t>(1)</w:t>
            </w:r>
          </w:p>
        </w:tc>
        <w:tc>
          <w:tcPr>
            <w:tcW w:w="1260" w:type="dxa"/>
            <w:vAlign w:val="bottom"/>
          </w:tcPr>
          <w:p>
            <w:pPr>
              <w:jc w:val="right"/>
              <w:ind w:right="21"/>
              <w:spacing w:after="0"/>
              <w:rPr>
                <w:sz w:val="20"/>
                <w:szCs w:val="20"/>
                <w:color w:val="auto"/>
              </w:rPr>
            </w:pPr>
            <w:r>
              <w:rPr>
                <w:rFonts w:ascii="Arial" w:cs="Arial" w:eastAsia="Arial" w:hAnsi="Arial"/>
                <w:sz w:val="16"/>
                <w:szCs w:val="16"/>
                <w:b w:val="1"/>
                <w:bCs w:val="1"/>
                <w:color w:val="auto"/>
              </w:rPr>
              <w:t>(468)</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185"/>
        </w:trPr>
        <w:tc>
          <w:tcPr>
            <w:tcW w:w="8500" w:type="dxa"/>
            <w:vAlign w:val="bottom"/>
          </w:tcPr>
          <w:p>
            <w:pPr>
              <w:spacing w:after="0" w:line="185" w:lineRule="exact"/>
              <w:rPr>
                <w:sz w:val="20"/>
                <w:szCs w:val="20"/>
                <w:color w:val="auto"/>
              </w:rPr>
            </w:pPr>
            <w:r>
              <w:rPr>
                <w:rFonts w:ascii="Arial" w:cs="Arial" w:eastAsia="Arial" w:hAnsi="Arial"/>
                <w:sz w:val="16"/>
                <w:szCs w:val="16"/>
                <w:color w:val="auto"/>
              </w:rPr>
              <w:t>    Discrete changes to uncertain tax positions</w:t>
            </w:r>
            <w:r>
              <w:rPr>
                <w:rFonts w:ascii="Arial" w:cs="Arial" w:eastAsia="Arial" w:hAnsi="Arial"/>
                <w:sz w:val="19"/>
                <w:szCs w:val="19"/>
                <w:color w:val="auto"/>
                <w:vertAlign w:val="superscript"/>
              </w:rPr>
              <w:t>(2)</w:t>
            </w:r>
          </w:p>
        </w:tc>
        <w:tc>
          <w:tcPr>
            <w:tcW w:w="1260" w:type="dxa"/>
            <w:vAlign w:val="bottom"/>
          </w:tcPr>
          <w:p>
            <w:pPr>
              <w:jc w:val="right"/>
              <w:ind w:right="21"/>
              <w:spacing w:after="0"/>
              <w:rPr>
                <w:sz w:val="20"/>
                <w:szCs w:val="20"/>
                <w:color w:val="auto"/>
              </w:rPr>
            </w:pPr>
            <w:r>
              <w:rPr>
                <w:rFonts w:ascii="Arial" w:cs="Arial" w:eastAsia="Arial" w:hAnsi="Arial"/>
                <w:sz w:val="16"/>
                <w:szCs w:val="16"/>
                <w:b w:val="1"/>
                <w:bCs w:val="1"/>
                <w:color w:val="auto"/>
              </w:rPr>
              <w:t>(15)</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(61)</w:t>
            </w:r>
          </w:p>
        </w:tc>
      </w:tr>
      <w:tr>
        <w:trPr>
          <w:trHeight w:val="212"/>
        </w:trPr>
        <w:tc>
          <w:tcPr>
            <w:tcW w:w="8500" w:type="dxa"/>
            <w:vAlign w:val="bottom"/>
          </w:tcPr>
          <w:p>
            <w:pPr>
              <w:spacing w:after="0" w:line="212" w:lineRule="exact"/>
              <w:rPr>
                <w:sz w:val="20"/>
                <w:szCs w:val="20"/>
                <w:color w:val="auto"/>
              </w:rPr>
            </w:pPr>
            <w:r>
              <w:rPr>
                <w:rFonts w:ascii="Arial" w:cs="Arial" w:eastAsia="Arial" w:hAnsi="Arial"/>
                <w:sz w:val="16"/>
                <w:szCs w:val="16"/>
                <w:color w:val="auto"/>
              </w:rPr>
              <w:t>    Corporate tax laws and rates</w:t>
            </w:r>
            <w:r>
              <w:rPr>
                <w:rFonts w:ascii="Arial" w:cs="Arial" w:eastAsia="Arial" w:hAnsi="Arial"/>
                <w:sz w:val="19"/>
                <w:szCs w:val="19"/>
                <w:color w:val="auto"/>
                <w:vertAlign w:val="superscript"/>
              </w:rPr>
              <w:t>(3)</w:t>
            </w:r>
          </w:p>
        </w:tc>
        <w:tc>
          <w:tcPr>
            <w:tcW w:w="1260" w:type="dxa"/>
            <w:vAlign w:val="bottom"/>
          </w:tcPr>
          <w:p>
            <w:pPr>
              <w:jc w:val="right"/>
              <w:ind w:right="21"/>
              <w:spacing w:after="0"/>
              <w:rPr>
                <w:sz w:val="20"/>
                <w:szCs w:val="20"/>
                <w:color w:val="auto"/>
              </w:rPr>
            </w:pPr>
            <w:r>
              <w:rPr>
                <w:rFonts w:ascii="Arial" w:cs="Arial" w:eastAsia="Arial" w:hAnsi="Arial"/>
                <w:sz w:val="16"/>
                <w:szCs w:val="16"/>
                <w:b w:val="1"/>
                <w:bCs w:val="1"/>
                <w:color w:val="auto"/>
              </w:rPr>
              <w:t>7</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(100)</w:t>
            </w:r>
          </w:p>
        </w:tc>
      </w:tr>
      <w:tr>
        <w:trPr>
          <w:trHeight w:val="200"/>
        </w:trPr>
        <w:tc>
          <w:tcPr>
            <w:tcW w:w="8500" w:type="dxa"/>
            <w:vAlign w:val="bottom"/>
            <w:tcBorders>
              <w:bottom w:val="single" w:sz="8" w:color="B2B2B2"/>
            </w:tcBorders>
          </w:tcPr>
          <w:p>
            <w:pPr>
              <w:spacing w:after="0" w:line="200" w:lineRule="exact"/>
              <w:rPr>
                <w:sz w:val="20"/>
                <w:szCs w:val="20"/>
                <w:color w:val="auto"/>
              </w:rPr>
            </w:pPr>
            <w:r>
              <w:rPr>
                <w:rFonts w:ascii="Arial" w:cs="Arial" w:eastAsia="Arial" w:hAnsi="Arial"/>
                <w:sz w:val="16"/>
                <w:szCs w:val="16"/>
                <w:color w:val="auto"/>
              </w:rPr>
              <w:t>    Deferred tax adjustments</w:t>
            </w:r>
            <w:r>
              <w:rPr>
                <w:rFonts w:ascii="Arial" w:cs="Arial" w:eastAsia="Arial" w:hAnsi="Arial"/>
                <w:sz w:val="19"/>
                <w:szCs w:val="19"/>
                <w:color w:val="auto"/>
                <w:vertAlign w:val="superscript"/>
              </w:rPr>
              <w:t>(4)</w:t>
            </w:r>
          </w:p>
        </w:tc>
        <w:tc>
          <w:tcPr>
            <w:tcW w:w="12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b w:val="1"/>
                <w:bCs w:val="1"/>
                <w:color w:val="auto"/>
              </w:rPr>
              <w:t>(2)</w:t>
            </w:r>
          </w:p>
        </w:tc>
        <w:tc>
          <w:tcPr>
            <w:tcW w:w="104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(11)</w:t>
            </w:r>
          </w:p>
        </w:tc>
      </w:tr>
      <w:tr>
        <w:trPr>
          <w:trHeight w:val="192"/>
        </w:trPr>
        <w:tc>
          <w:tcPr>
            <w:tcW w:w="85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Subtotal</w:t>
            </w:r>
          </w:p>
        </w:tc>
        <w:tc>
          <w:tcPr>
            <w:tcW w:w="12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b w:val="1"/>
                <w:bCs w:val="1"/>
                <w:color w:val="auto"/>
              </w:rPr>
              <w:t>(478)</w:t>
            </w:r>
          </w:p>
        </w:tc>
        <w:tc>
          <w:tcPr>
            <w:tcW w:w="104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(172)</w:t>
            </w:r>
          </w:p>
        </w:tc>
      </w:tr>
      <w:tr>
        <w:trPr>
          <w:trHeight w:val="165"/>
        </w:trPr>
        <w:tc>
          <w:tcPr>
            <w:tcW w:w="8500" w:type="dxa"/>
            <w:vAlign w:val="bottom"/>
          </w:tcPr>
          <w:p>
            <w:pPr>
              <w:spacing w:after="0" w:line="165" w:lineRule="exact"/>
              <w:rPr>
                <w:sz w:val="20"/>
                <w:szCs w:val="20"/>
                <w:color w:val="auto"/>
              </w:rPr>
            </w:pPr>
            <w:r>
              <w:rPr>
                <w:rFonts w:ascii="Arial" w:cs="Arial" w:eastAsia="Arial" w:hAnsi="Arial"/>
                <w:sz w:val="16"/>
                <w:szCs w:val="16"/>
                <w:b w:val="1"/>
                <w:bCs w:val="1"/>
                <w:color w:val="auto"/>
              </w:rPr>
              <w:t>  Tax related to:</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5"/>
        </w:trPr>
        <w:tc>
          <w:tcPr>
            <w:tcW w:w="8500" w:type="dxa"/>
            <w:vAlign w:val="bottom"/>
          </w:tcPr>
          <w:p>
            <w:pPr>
              <w:spacing w:after="0"/>
              <w:rPr>
                <w:sz w:val="20"/>
                <w:szCs w:val="20"/>
                <w:color w:val="auto"/>
              </w:rPr>
            </w:pPr>
            <w:r>
              <w:rPr>
                <w:rFonts w:ascii="Arial" w:cs="Arial" w:eastAsia="Arial" w:hAnsi="Arial"/>
                <w:sz w:val="16"/>
                <w:szCs w:val="16"/>
                <w:color w:val="auto"/>
              </w:rPr>
              <w:t>    Amortization of acquired computer software</w:t>
            </w:r>
          </w:p>
        </w:tc>
        <w:tc>
          <w:tcPr>
            <w:tcW w:w="1260" w:type="dxa"/>
            <w:vAlign w:val="bottom"/>
          </w:tcPr>
          <w:p>
            <w:pPr>
              <w:jc w:val="right"/>
              <w:ind w:right="21"/>
              <w:spacing w:after="0"/>
              <w:rPr>
                <w:sz w:val="20"/>
                <w:szCs w:val="20"/>
                <w:color w:val="auto"/>
              </w:rPr>
            </w:pPr>
            <w:r>
              <w:rPr>
                <w:rFonts w:ascii="Arial" w:cs="Arial" w:eastAsia="Arial" w:hAnsi="Arial"/>
                <w:sz w:val="16"/>
                <w:szCs w:val="16"/>
                <w:b w:val="1"/>
                <w:bCs w:val="1"/>
                <w:color w:val="auto"/>
              </w:rPr>
              <w:t>(33)</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(17)</w:t>
            </w:r>
          </w:p>
        </w:tc>
      </w:tr>
      <w:tr>
        <w:trPr>
          <w:trHeight w:val="186"/>
        </w:trPr>
        <w:tc>
          <w:tcPr>
            <w:tcW w:w="8500" w:type="dxa"/>
            <w:vAlign w:val="bottom"/>
          </w:tcPr>
          <w:p>
            <w:pPr>
              <w:spacing w:after="0"/>
              <w:rPr>
                <w:sz w:val="20"/>
                <w:szCs w:val="20"/>
                <w:color w:val="auto"/>
              </w:rPr>
            </w:pPr>
            <w:r>
              <w:rPr>
                <w:rFonts w:ascii="Arial" w:cs="Arial" w:eastAsia="Arial" w:hAnsi="Arial"/>
                <w:sz w:val="16"/>
                <w:szCs w:val="16"/>
                <w:color w:val="auto"/>
              </w:rPr>
              <w:t>    Amortization of other identifiable intangible assets</w:t>
            </w:r>
          </w:p>
        </w:tc>
        <w:tc>
          <w:tcPr>
            <w:tcW w:w="1260" w:type="dxa"/>
            <w:vAlign w:val="bottom"/>
          </w:tcPr>
          <w:p>
            <w:pPr>
              <w:jc w:val="right"/>
              <w:ind w:right="21"/>
              <w:spacing w:after="0"/>
              <w:rPr>
                <w:sz w:val="20"/>
                <w:szCs w:val="20"/>
                <w:color w:val="auto"/>
              </w:rPr>
            </w:pPr>
            <w:r>
              <w:rPr>
                <w:rFonts w:ascii="Arial" w:cs="Arial" w:eastAsia="Arial" w:hAnsi="Arial"/>
                <w:sz w:val="16"/>
                <w:szCs w:val="16"/>
                <w:b w:val="1"/>
                <w:bCs w:val="1"/>
                <w:color w:val="auto"/>
              </w:rPr>
              <w:t>(22)</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(22)</w:t>
            </w:r>
          </w:p>
        </w:tc>
      </w:tr>
      <w:tr>
        <w:trPr>
          <w:trHeight w:val="185"/>
        </w:trPr>
        <w:tc>
          <w:tcPr>
            <w:tcW w:w="8500" w:type="dxa"/>
            <w:vAlign w:val="bottom"/>
          </w:tcPr>
          <w:p>
            <w:pPr>
              <w:spacing w:after="0"/>
              <w:rPr>
                <w:sz w:val="20"/>
                <w:szCs w:val="20"/>
                <w:color w:val="auto"/>
              </w:rPr>
            </w:pPr>
            <w:r>
              <w:rPr>
                <w:rFonts w:ascii="Arial" w:cs="Arial" w:eastAsia="Arial" w:hAnsi="Arial"/>
                <w:sz w:val="16"/>
                <w:szCs w:val="16"/>
                <w:color w:val="auto"/>
              </w:rPr>
              <w:t>    Other operating gains, net</w:t>
            </w:r>
          </w:p>
        </w:tc>
        <w:tc>
          <w:tcPr>
            <w:tcW w:w="1260" w:type="dxa"/>
            <w:vAlign w:val="bottom"/>
          </w:tcPr>
          <w:p>
            <w:pPr>
              <w:jc w:val="right"/>
              <w:ind w:right="21"/>
              <w:spacing w:after="0"/>
              <w:rPr>
                <w:sz w:val="20"/>
                <w:szCs w:val="20"/>
                <w:color w:val="auto"/>
              </w:rPr>
            </w:pPr>
            <w:r>
              <w:rPr>
                <w:rFonts w:ascii="Arial" w:cs="Arial" w:eastAsia="Arial" w:hAnsi="Arial"/>
                <w:sz w:val="16"/>
                <w:szCs w:val="16"/>
                <w:b w:val="1"/>
                <w:bCs w:val="1"/>
                <w:color w:val="auto"/>
              </w:rPr>
              <w:t>56</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81</w:t>
            </w:r>
          </w:p>
        </w:tc>
      </w:tr>
      <w:tr>
        <w:trPr>
          <w:trHeight w:val="186"/>
        </w:trPr>
        <w:tc>
          <w:tcPr>
            <w:tcW w:w="8500" w:type="dxa"/>
            <w:vAlign w:val="bottom"/>
          </w:tcPr>
          <w:p>
            <w:pPr>
              <w:spacing w:after="0"/>
              <w:rPr>
                <w:sz w:val="20"/>
                <w:szCs w:val="20"/>
                <w:color w:val="auto"/>
              </w:rPr>
            </w:pPr>
            <w:r>
              <w:rPr>
                <w:rFonts w:ascii="Arial" w:cs="Arial" w:eastAsia="Arial" w:hAnsi="Arial"/>
                <w:sz w:val="16"/>
                <w:szCs w:val="16"/>
                <w:color w:val="auto"/>
              </w:rPr>
              <w:t>    Other finance income (costs)</w:t>
            </w:r>
          </w:p>
        </w:tc>
        <w:tc>
          <w:tcPr>
            <w:tcW w:w="1260" w:type="dxa"/>
            <w:vAlign w:val="bottom"/>
          </w:tcPr>
          <w:p>
            <w:pPr>
              <w:jc w:val="right"/>
              <w:ind w:right="21"/>
              <w:spacing w:after="0"/>
              <w:rPr>
                <w:sz w:val="20"/>
                <w:szCs w:val="20"/>
                <w:color w:val="auto"/>
              </w:rPr>
            </w:pPr>
            <w:r>
              <w:rPr>
                <w:rFonts w:ascii="Arial" w:cs="Arial" w:eastAsia="Arial" w:hAnsi="Arial"/>
                <w:sz w:val="16"/>
                <w:szCs w:val="16"/>
                <w:b w:val="1"/>
                <w:bCs w:val="1"/>
                <w:color w:val="auto"/>
              </w:rPr>
              <w:t>(19)</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(31)</w:t>
            </w:r>
          </w:p>
        </w:tc>
      </w:tr>
      <w:tr>
        <w:trPr>
          <w:trHeight w:val="212"/>
        </w:trPr>
        <w:tc>
          <w:tcPr>
            <w:tcW w:w="8500" w:type="dxa"/>
            <w:vAlign w:val="bottom"/>
          </w:tcPr>
          <w:p>
            <w:pPr>
              <w:spacing w:after="0"/>
              <w:rPr>
                <w:sz w:val="20"/>
                <w:szCs w:val="20"/>
                <w:color w:val="auto"/>
              </w:rPr>
            </w:pPr>
            <w:r>
              <w:rPr>
                <w:rFonts w:ascii="Arial" w:cs="Arial" w:eastAsia="Arial" w:hAnsi="Arial"/>
                <w:sz w:val="16"/>
                <w:szCs w:val="16"/>
                <w:color w:val="auto"/>
              </w:rPr>
              <w:t>    Share of post-tax earnings in equity method investments</w:t>
            </w:r>
          </w:p>
        </w:tc>
        <w:tc>
          <w:tcPr>
            <w:tcW w:w="1260" w:type="dxa"/>
            <w:vAlign w:val="bottom"/>
          </w:tcPr>
          <w:p>
            <w:pPr>
              <w:jc w:val="right"/>
              <w:ind w:right="21"/>
              <w:spacing w:after="0"/>
              <w:rPr>
                <w:sz w:val="20"/>
                <w:szCs w:val="20"/>
                <w:color w:val="auto"/>
              </w:rPr>
            </w:pPr>
            <w:r>
              <w:rPr>
                <w:rFonts w:ascii="Arial" w:cs="Arial" w:eastAsia="Arial" w:hAnsi="Arial"/>
                <w:sz w:val="16"/>
                <w:szCs w:val="16"/>
                <w:b w:val="1"/>
                <w:bCs w:val="1"/>
                <w:color w:val="auto"/>
              </w:rPr>
              <w:t>7</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253</w:t>
            </w:r>
          </w:p>
        </w:tc>
      </w:tr>
      <w:tr>
        <w:trPr>
          <w:trHeight w:val="200"/>
        </w:trPr>
        <w:tc>
          <w:tcPr>
            <w:tcW w:w="85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Other items</w:t>
            </w:r>
          </w:p>
        </w:tc>
        <w:tc>
          <w:tcPr>
            <w:tcW w:w="12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b w:val="1"/>
                <w:bCs w:val="1"/>
                <w:color w:val="auto"/>
              </w:rPr>
              <w:t>2</w:t>
            </w:r>
          </w:p>
        </w:tc>
        <w:tc>
          <w:tcPr>
            <w:tcW w:w="104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1</w:t>
            </w:r>
          </w:p>
        </w:tc>
      </w:tr>
      <w:tr>
        <w:trPr>
          <w:trHeight w:val="192"/>
        </w:trPr>
        <w:tc>
          <w:tcPr>
            <w:tcW w:w="85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Subtotal</w:t>
            </w:r>
          </w:p>
        </w:tc>
        <w:tc>
          <w:tcPr>
            <w:tcW w:w="12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b w:val="1"/>
                <w:bCs w:val="1"/>
                <w:color w:val="auto"/>
              </w:rPr>
              <w:t>(9)</w:t>
            </w:r>
          </w:p>
        </w:tc>
        <w:tc>
          <w:tcPr>
            <w:tcW w:w="104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265</w:t>
            </w:r>
          </w:p>
        </w:tc>
      </w:tr>
      <w:tr>
        <w:trPr>
          <w:trHeight w:val="185"/>
        </w:trPr>
        <w:tc>
          <w:tcPr>
            <w:tcW w:w="850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b w:val="1"/>
                <w:bCs w:val="1"/>
                <w:color w:val="auto"/>
              </w:rPr>
              <w:t>  Total</w:t>
            </w:r>
          </w:p>
        </w:tc>
        <w:tc>
          <w:tcPr>
            <w:tcW w:w="1260" w:type="dxa"/>
            <w:vAlign w:val="bottom"/>
            <w:tcBorders>
              <w:bottom w:val="single" w:sz="8" w:color="D64000"/>
            </w:tcBorders>
          </w:tcPr>
          <w:p>
            <w:pPr>
              <w:jc w:val="right"/>
              <w:ind w:right="21"/>
              <w:spacing w:after="0" w:line="179" w:lineRule="exact"/>
              <w:rPr>
                <w:sz w:val="20"/>
                <w:szCs w:val="20"/>
                <w:color w:val="auto"/>
              </w:rPr>
            </w:pPr>
            <w:r>
              <w:rPr>
                <w:rFonts w:ascii="Arial" w:cs="Arial" w:eastAsia="Arial" w:hAnsi="Arial"/>
                <w:sz w:val="16"/>
                <w:szCs w:val="16"/>
                <w:b w:val="1"/>
                <w:bCs w:val="1"/>
                <w:color w:val="auto"/>
              </w:rPr>
              <w:t>(487)</w:t>
            </w:r>
          </w:p>
        </w:tc>
        <w:tc>
          <w:tcPr>
            <w:tcW w:w="1040" w:type="dxa"/>
            <w:vAlign w:val="bottom"/>
            <w:tcBorders>
              <w:bottom w:val="single" w:sz="8" w:color="D64000"/>
            </w:tcBorders>
          </w:tcPr>
          <w:p>
            <w:pPr>
              <w:jc w:val="right"/>
              <w:ind w:right="21"/>
              <w:spacing w:after="0" w:line="179" w:lineRule="exact"/>
              <w:rPr>
                <w:sz w:val="20"/>
                <w:szCs w:val="20"/>
                <w:color w:val="auto"/>
              </w:rPr>
            </w:pPr>
            <w:r>
              <w:rPr>
                <w:rFonts w:ascii="Arial" w:cs="Arial" w:eastAsia="Arial" w:hAnsi="Arial"/>
                <w:sz w:val="16"/>
                <w:szCs w:val="16"/>
                <w:color w:val="auto"/>
              </w:rPr>
              <w:t>93</w:t>
            </w:r>
          </w:p>
        </w:tc>
      </w:tr>
    </w:tbl>
    <w:p>
      <w:pPr>
        <w:spacing w:after="0" w:line="83" w:lineRule="exact"/>
        <w:rPr>
          <w:sz w:val="20"/>
          <w:szCs w:val="20"/>
          <w:color w:val="auto"/>
        </w:rPr>
      </w:pPr>
    </w:p>
    <w:p>
      <w:pPr>
        <w:ind w:left="640" w:hanging="422"/>
        <w:spacing w:after="0"/>
        <w:tabs>
          <w:tab w:leader="none" w:pos="6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Relates to new tax legislation enacted in Canada.</w:t>
      </w:r>
    </w:p>
    <w:p>
      <w:pPr>
        <w:spacing w:after="0" w:line="12" w:lineRule="exact"/>
        <w:rPr>
          <w:rFonts w:ascii="Arial" w:cs="Arial" w:eastAsia="Arial" w:hAnsi="Arial"/>
          <w:sz w:val="14"/>
          <w:szCs w:val="14"/>
          <w:color w:val="auto"/>
        </w:rPr>
      </w:pPr>
    </w:p>
    <w:p>
      <w:pPr>
        <w:ind w:left="640" w:right="20" w:hanging="422"/>
        <w:spacing w:after="0" w:line="237" w:lineRule="auto"/>
        <w:tabs>
          <w:tab w:leader="none" w:pos="6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 2024, relates to the release of tax reserves that are no longer required due to the settlement of a tax dispute. In 2023, relates to tax reserves no longer required due to the expiration of statutes of limitation.</w:t>
      </w:r>
    </w:p>
    <w:p>
      <w:pPr>
        <w:ind w:left="640" w:right="280" w:hanging="422"/>
        <w:spacing w:after="0" w:line="237" w:lineRule="auto"/>
        <w:tabs>
          <w:tab w:leader="none" w:pos="6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Relates primarily to adjustments to deferred tax balances due to changes in the applicable statutory tax rate in a jurisdiction outside of the U.S. and adjustments to deferred tax balances due to changes in effective state tax rates.</w:t>
      </w:r>
    </w:p>
    <w:p>
      <w:pPr>
        <w:ind w:left="640" w:hanging="422"/>
        <w:spacing w:after="0"/>
        <w:tabs>
          <w:tab w:leader="none" w:pos="6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Relates primarily to adjustments to deferred tax assets attributable to a non-U.S. subsidiary.</w:t>
      </w:r>
    </w:p>
    <w:p>
      <w:pPr>
        <w:spacing w:after="0" w:line="51" w:lineRule="exact"/>
        <w:rPr>
          <w:sz w:val="20"/>
          <w:szCs w:val="20"/>
          <w:color w:val="auto"/>
        </w:rPr>
      </w:pPr>
    </w:p>
    <w:p>
      <w:pPr>
        <w:ind w:left="220" w:right="40"/>
        <w:spacing w:after="0" w:line="260" w:lineRule="auto"/>
        <w:rPr>
          <w:sz w:val="20"/>
          <w:szCs w:val="20"/>
          <w:color w:val="auto"/>
        </w:rPr>
      </w:pPr>
      <w:r>
        <w:rPr>
          <w:rFonts w:ascii="Arial" w:cs="Arial" w:eastAsia="Arial" w:hAnsi="Arial"/>
          <w:sz w:val="17"/>
          <w:szCs w:val="17"/>
          <w:color w:val="auto"/>
        </w:rPr>
        <w:t>The items described above impact the comparability of our tax expense for each year, therefore, we remove them from our calculation of adjusted earnings, along with the pre-tax items to which they relate. The computation of our adjusted tax expense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39370</wp:posOffset>
            </wp:positionV>
            <wp:extent cx="68656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42"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8500" w:type="dxa"/>
            <w:vAlign w:val="bottom"/>
          </w:tcPr>
          <w:p>
            <w:pPr>
              <w:spacing w:after="0"/>
              <w:rPr>
                <w:sz w:val="17"/>
                <w:szCs w:val="17"/>
                <w:color w:val="auto"/>
              </w:rPr>
            </w:pPr>
          </w:p>
        </w:tc>
        <w:tc>
          <w:tcPr>
            <w:tcW w:w="2300" w:type="dxa"/>
            <w:vAlign w:val="bottom"/>
            <w:gridSpan w:val="2"/>
            <w:shd w:val="clear" w:color="auto" w:fill="E3F3EE"/>
          </w:tcPr>
          <w:p>
            <w:pPr>
              <w:jc w:val="right"/>
              <w:ind w:right="21"/>
              <w:spacing w:after="0"/>
              <w:rPr>
                <w:sz w:val="20"/>
                <w:szCs w:val="20"/>
                <w:color w:val="auto"/>
              </w:rPr>
            </w:pPr>
            <w:r>
              <w:rPr>
                <w:rFonts w:ascii="Arial" w:cs="Arial" w:eastAsia="Arial" w:hAnsi="Arial"/>
                <w:sz w:val="16"/>
                <w:szCs w:val="16"/>
                <w:b w:val="1"/>
                <w:bCs w:val="1"/>
                <w:color w:val="auto"/>
                <w:shd w:val="clear" w:color="auto" w:fill="E3F3EE"/>
              </w:rPr>
              <w:t>  Year ended December 31,</w:t>
            </w:r>
          </w:p>
        </w:tc>
      </w:tr>
      <w:tr>
        <w:trPr>
          <w:trHeight w:val="245"/>
        </w:trPr>
        <w:tc>
          <w:tcPr>
            <w:tcW w:w="850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color w:val="FFFFFF"/>
              </w:rPr>
              <w:t>  (millions of U.S. dollars)</w:t>
            </w:r>
          </w:p>
        </w:tc>
        <w:tc>
          <w:tcPr>
            <w:tcW w:w="1260" w:type="dxa"/>
            <w:vAlign w:val="bottom"/>
            <w:tcBorders>
              <w:bottom w:val="single" w:sz="8" w:color="D64000"/>
            </w:tcBorders>
            <w:shd w:val="clear" w:color="auto" w:fill="1F473D"/>
          </w:tcPr>
          <w:p>
            <w:pPr>
              <w:jc w:val="right"/>
              <w:ind w:right="21"/>
              <w:spacing w:after="0"/>
              <w:rPr>
                <w:sz w:val="20"/>
                <w:szCs w:val="20"/>
                <w:color w:val="auto"/>
              </w:rPr>
            </w:pPr>
            <w:r>
              <w:rPr>
                <w:rFonts w:ascii="Arial" w:cs="Arial" w:eastAsia="Arial" w:hAnsi="Arial"/>
                <w:sz w:val="16"/>
                <w:szCs w:val="16"/>
                <w:b w:val="1"/>
                <w:bCs w:val="1"/>
                <w:color w:val="FFFFFF"/>
              </w:rPr>
              <w:t>            2024</w:t>
            </w:r>
          </w:p>
        </w:tc>
        <w:tc>
          <w:tcPr>
            <w:tcW w:w="1040" w:type="dxa"/>
            <w:vAlign w:val="bottom"/>
            <w:tcBorders>
              <w:bottom w:val="single" w:sz="8" w:color="D64000"/>
            </w:tcBorders>
            <w:shd w:val="clear" w:color="auto" w:fill="1F473D"/>
          </w:tcPr>
          <w:p>
            <w:pPr>
              <w:jc w:val="right"/>
              <w:ind w:right="21"/>
              <w:spacing w:after="0"/>
              <w:rPr>
                <w:sz w:val="20"/>
                <w:szCs w:val="20"/>
                <w:color w:val="auto"/>
              </w:rPr>
            </w:pPr>
            <w:r>
              <w:rPr>
                <w:rFonts w:ascii="Arial" w:cs="Arial" w:eastAsia="Arial" w:hAnsi="Arial"/>
                <w:sz w:val="16"/>
                <w:szCs w:val="16"/>
                <w:b w:val="1"/>
                <w:bCs w:val="1"/>
                <w:color w:val="FFFFFF"/>
              </w:rPr>
              <w:t xml:space="preserve">         </w:t>
            </w:r>
            <w:r>
              <w:rPr>
                <w:rFonts w:ascii="Arial" w:cs="Arial" w:eastAsia="Arial" w:hAnsi="Arial"/>
                <w:sz w:val="16"/>
                <w:szCs w:val="16"/>
                <w:color w:val="FFFFFF"/>
              </w:rPr>
              <w:t>2023</w:t>
            </w:r>
          </w:p>
        </w:tc>
      </w:tr>
      <w:tr>
        <w:trPr>
          <w:trHeight w:val="211"/>
        </w:trPr>
        <w:tc>
          <w:tcPr>
            <w:tcW w:w="8500" w:type="dxa"/>
            <w:vAlign w:val="bottom"/>
          </w:tcPr>
          <w:p>
            <w:pPr>
              <w:spacing w:after="0"/>
              <w:rPr>
                <w:sz w:val="20"/>
                <w:szCs w:val="20"/>
                <w:color w:val="auto"/>
              </w:rPr>
            </w:pPr>
            <w:r>
              <w:rPr>
                <w:rFonts w:ascii="Arial" w:cs="Arial" w:eastAsia="Arial" w:hAnsi="Arial"/>
                <w:sz w:val="16"/>
                <w:szCs w:val="16"/>
                <w:b w:val="1"/>
                <w:bCs w:val="1"/>
                <w:color w:val="auto"/>
              </w:rPr>
              <w:t>  Tax (benefit) expense</w:t>
            </w:r>
          </w:p>
        </w:tc>
        <w:tc>
          <w:tcPr>
            <w:tcW w:w="1260" w:type="dxa"/>
            <w:vAlign w:val="bottom"/>
          </w:tcPr>
          <w:p>
            <w:pPr>
              <w:jc w:val="right"/>
              <w:ind w:right="21"/>
              <w:spacing w:after="0"/>
              <w:rPr>
                <w:sz w:val="20"/>
                <w:szCs w:val="20"/>
                <w:color w:val="auto"/>
              </w:rPr>
            </w:pPr>
            <w:r>
              <w:rPr>
                <w:rFonts w:ascii="Arial" w:cs="Arial" w:eastAsia="Arial" w:hAnsi="Arial"/>
                <w:sz w:val="16"/>
                <w:szCs w:val="16"/>
                <w:b w:val="1"/>
                <w:bCs w:val="1"/>
                <w:color w:val="auto"/>
              </w:rPr>
              <w:t>(123)</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417</w:t>
            </w:r>
          </w:p>
        </w:tc>
      </w:tr>
      <w:tr>
        <w:trPr>
          <w:trHeight w:val="200"/>
        </w:trPr>
        <w:tc>
          <w:tcPr>
            <w:tcW w:w="85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Remove: Items from above impacting comparability</w:t>
            </w:r>
          </w:p>
        </w:tc>
        <w:tc>
          <w:tcPr>
            <w:tcW w:w="12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b w:val="1"/>
                <w:bCs w:val="1"/>
                <w:color w:val="auto"/>
              </w:rPr>
              <w:t>487</w:t>
            </w:r>
          </w:p>
        </w:tc>
        <w:tc>
          <w:tcPr>
            <w:tcW w:w="104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(93)</w:t>
            </w:r>
          </w:p>
        </w:tc>
      </w:tr>
      <w:tr>
        <w:trPr>
          <w:trHeight w:val="185"/>
        </w:trPr>
        <w:tc>
          <w:tcPr>
            <w:tcW w:w="850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b w:val="1"/>
                <w:bCs w:val="1"/>
                <w:color w:val="auto"/>
              </w:rPr>
              <w:t>  Total tax expense on adjusted earnings</w:t>
            </w:r>
          </w:p>
        </w:tc>
        <w:tc>
          <w:tcPr>
            <w:tcW w:w="1260" w:type="dxa"/>
            <w:vAlign w:val="bottom"/>
            <w:tcBorders>
              <w:bottom w:val="single" w:sz="8" w:color="D64000"/>
            </w:tcBorders>
          </w:tcPr>
          <w:p>
            <w:pPr>
              <w:jc w:val="right"/>
              <w:ind w:right="21"/>
              <w:spacing w:after="0" w:line="179" w:lineRule="exact"/>
              <w:rPr>
                <w:sz w:val="20"/>
                <w:szCs w:val="20"/>
                <w:color w:val="auto"/>
              </w:rPr>
            </w:pPr>
            <w:r>
              <w:rPr>
                <w:rFonts w:ascii="Arial" w:cs="Arial" w:eastAsia="Arial" w:hAnsi="Arial"/>
                <w:sz w:val="16"/>
                <w:szCs w:val="16"/>
                <w:b w:val="1"/>
                <w:bCs w:val="1"/>
                <w:color w:val="auto"/>
              </w:rPr>
              <w:t>364</w:t>
            </w:r>
          </w:p>
        </w:tc>
        <w:tc>
          <w:tcPr>
            <w:tcW w:w="1040" w:type="dxa"/>
            <w:vAlign w:val="bottom"/>
            <w:tcBorders>
              <w:bottom w:val="single" w:sz="8" w:color="D64000"/>
            </w:tcBorders>
          </w:tcPr>
          <w:p>
            <w:pPr>
              <w:jc w:val="right"/>
              <w:ind w:right="21"/>
              <w:spacing w:after="0" w:line="179" w:lineRule="exact"/>
              <w:rPr>
                <w:sz w:val="20"/>
                <w:szCs w:val="20"/>
                <w:color w:val="auto"/>
              </w:rPr>
            </w:pPr>
            <w:r>
              <w:rPr>
                <w:rFonts w:ascii="Arial" w:cs="Arial" w:eastAsia="Arial" w:hAnsi="Arial"/>
                <w:sz w:val="16"/>
                <w:szCs w:val="16"/>
                <w:color w:val="auto"/>
              </w:rPr>
              <w:t>324</w:t>
            </w:r>
          </w:p>
        </w:tc>
      </w:tr>
    </w:tbl>
    <w:p>
      <w:pPr>
        <w:spacing w:after="0" w:line="71" w:lineRule="exact"/>
        <w:rPr>
          <w:sz w:val="20"/>
          <w:szCs w:val="20"/>
          <w:color w:val="auto"/>
        </w:rPr>
      </w:pPr>
    </w:p>
    <w:p>
      <w:pPr>
        <w:ind w:left="220" w:right="80"/>
        <w:spacing w:after="0" w:line="258" w:lineRule="auto"/>
        <w:rPr>
          <w:sz w:val="20"/>
          <w:szCs w:val="20"/>
          <w:color w:val="auto"/>
        </w:rPr>
      </w:pPr>
      <w:r>
        <w:rPr>
          <w:rFonts w:ascii="Arial" w:cs="Arial" w:eastAsia="Arial" w:hAnsi="Arial"/>
          <w:sz w:val="16"/>
          <w:szCs w:val="16"/>
          <w:color w:val="auto"/>
        </w:rPr>
        <w:t>Our 2024 effective tax rate on adjusted earnings was 17.6% (2023 – 16.5%). On an adjusted earnings basis, our effective income tax rates in both years were lower than the Canadian corporate income tax rate of 26.5%. The difference is primarily attributable to lower tax rates and differing tax rules applicable to certain of our operating and financing subsidiaries outside of Canada. As a global company, our income taxes depend on the laws of numerous countries and the provisions of multiple income tax conventions between various countries in which we operate.</w:t>
      </w:r>
    </w:p>
    <w:p>
      <w:pPr>
        <w:spacing w:after="0" w:line="57" w:lineRule="exact"/>
        <w:rPr>
          <w:sz w:val="20"/>
          <w:szCs w:val="20"/>
          <w:color w:val="auto"/>
        </w:rPr>
      </w:pPr>
    </w:p>
    <w:p>
      <w:pPr>
        <w:ind w:left="220" w:right="240"/>
        <w:spacing w:after="0" w:line="260" w:lineRule="auto"/>
        <w:rPr>
          <w:sz w:val="20"/>
          <w:szCs w:val="20"/>
          <w:color w:val="auto"/>
        </w:rPr>
      </w:pPr>
      <w:r>
        <w:rPr>
          <w:rFonts w:ascii="Arial" w:cs="Arial" w:eastAsia="Arial" w:hAnsi="Arial"/>
          <w:sz w:val="17"/>
          <w:szCs w:val="17"/>
          <w:color w:val="auto"/>
        </w:rPr>
        <w:t>Because of the requirements of income tax accounting under IFRS, income tax expense can differ significantly from taxes paid in any reporting period. We paid income taxes from net earnings on our worldwide business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73025</wp:posOffset>
            </wp:positionV>
            <wp:extent cx="68656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95"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8500" w:type="dxa"/>
            <w:vAlign w:val="bottom"/>
          </w:tcPr>
          <w:p>
            <w:pPr>
              <w:spacing w:after="0"/>
              <w:rPr>
                <w:sz w:val="20"/>
                <w:szCs w:val="20"/>
                <w:color w:val="auto"/>
              </w:rPr>
            </w:pPr>
          </w:p>
        </w:tc>
        <w:tc>
          <w:tcPr>
            <w:tcW w:w="2300" w:type="dxa"/>
            <w:vAlign w:val="bottom"/>
            <w:gridSpan w:val="2"/>
            <w:shd w:val="clear" w:color="auto" w:fill="E3F3EE"/>
          </w:tcPr>
          <w:p>
            <w:pPr>
              <w:jc w:val="right"/>
              <w:ind w:right="20"/>
              <w:spacing w:after="0"/>
              <w:rPr>
                <w:sz w:val="20"/>
                <w:szCs w:val="20"/>
                <w:color w:val="auto"/>
              </w:rPr>
            </w:pPr>
            <w:r>
              <w:rPr>
                <w:rFonts w:ascii="Arial" w:cs="Arial" w:eastAsia="Arial" w:hAnsi="Arial"/>
                <w:sz w:val="16"/>
                <w:szCs w:val="16"/>
                <w:b w:val="1"/>
                <w:bCs w:val="1"/>
                <w:color w:val="auto"/>
                <w:shd w:val="clear" w:color="auto" w:fill="E3F3EE"/>
              </w:rPr>
              <w:t>  Year ended December 31,</w:t>
            </w:r>
          </w:p>
        </w:tc>
        <w:tc>
          <w:tcPr>
            <w:tcW w:w="20" w:type="dxa"/>
            <w:vAlign w:val="bottom"/>
          </w:tcPr>
          <w:p>
            <w:pPr>
              <w:spacing w:after="0"/>
              <w:rPr>
                <w:sz w:val="20"/>
                <w:szCs w:val="20"/>
                <w:color w:val="auto"/>
              </w:rPr>
            </w:pPr>
          </w:p>
        </w:tc>
      </w:tr>
      <w:tr>
        <w:trPr>
          <w:trHeight w:val="245"/>
        </w:trPr>
        <w:tc>
          <w:tcPr>
            <w:tcW w:w="850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color w:val="FFFFFF"/>
              </w:rPr>
              <w:t>  Income taxes paid (millions of U.S. dollars)</w:t>
            </w:r>
          </w:p>
        </w:tc>
        <w:tc>
          <w:tcPr>
            <w:tcW w:w="1260" w:type="dxa"/>
            <w:vAlign w:val="bottom"/>
            <w:tcBorders>
              <w:bottom w:val="single" w:sz="8" w:color="D64000"/>
            </w:tcBorders>
            <w:shd w:val="clear" w:color="auto" w:fill="1F473D"/>
          </w:tcPr>
          <w:p>
            <w:pPr>
              <w:jc w:val="right"/>
              <w:ind w:right="21"/>
              <w:spacing w:after="0"/>
              <w:rPr>
                <w:sz w:val="20"/>
                <w:szCs w:val="20"/>
                <w:color w:val="auto"/>
              </w:rPr>
            </w:pPr>
            <w:r>
              <w:rPr>
                <w:rFonts w:ascii="Arial" w:cs="Arial" w:eastAsia="Arial" w:hAnsi="Arial"/>
                <w:sz w:val="16"/>
                <w:szCs w:val="16"/>
                <w:b w:val="1"/>
                <w:bCs w:val="1"/>
                <w:color w:val="FFFFFF"/>
              </w:rPr>
              <w:t>            2024</w:t>
            </w:r>
          </w:p>
        </w:tc>
        <w:tc>
          <w:tcPr>
            <w:tcW w:w="1040" w:type="dxa"/>
            <w:vAlign w:val="bottom"/>
            <w:tcBorders>
              <w:bottom w:val="single" w:sz="8" w:color="D64000"/>
            </w:tcBorders>
            <w:shd w:val="clear" w:color="auto" w:fill="1F473D"/>
          </w:tcPr>
          <w:p>
            <w:pPr>
              <w:jc w:val="right"/>
              <w:ind w:right="20"/>
              <w:spacing w:after="0"/>
              <w:rPr>
                <w:sz w:val="20"/>
                <w:szCs w:val="20"/>
                <w:color w:val="auto"/>
              </w:rPr>
            </w:pPr>
            <w:r>
              <w:rPr>
                <w:rFonts w:ascii="Arial" w:cs="Arial" w:eastAsia="Arial" w:hAnsi="Arial"/>
                <w:sz w:val="16"/>
                <w:szCs w:val="16"/>
                <w:b w:val="1"/>
                <w:bCs w:val="1"/>
                <w:color w:val="FFFFFF"/>
              </w:rPr>
              <w:t xml:space="preserve">         </w:t>
            </w:r>
            <w:r>
              <w:rPr>
                <w:rFonts w:ascii="Arial" w:cs="Arial" w:eastAsia="Arial" w:hAnsi="Arial"/>
                <w:sz w:val="16"/>
                <w:szCs w:val="16"/>
                <w:color w:val="FFFFFF"/>
              </w:rPr>
              <w:t>2023</w:t>
            </w:r>
          </w:p>
        </w:tc>
        <w:tc>
          <w:tcPr>
            <w:tcW w:w="20" w:type="dxa"/>
            <w:vAlign w:val="bottom"/>
          </w:tcPr>
          <w:p>
            <w:pPr>
              <w:spacing w:after="0"/>
              <w:rPr>
                <w:sz w:val="21"/>
                <w:szCs w:val="21"/>
                <w:color w:val="auto"/>
              </w:rPr>
            </w:pPr>
          </w:p>
        </w:tc>
      </w:tr>
      <w:tr>
        <w:trPr>
          <w:trHeight w:val="211"/>
        </w:trPr>
        <w:tc>
          <w:tcPr>
            <w:tcW w:w="8500" w:type="dxa"/>
            <w:vAlign w:val="bottom"/>
          </w:tcPr>
          <w:p>
            <w:pPr>
              <w:spacing w:after="0"/>
              <w:rPr>
                <w:sz w:val="20"/>
                <w:szCs w:val="20"/>
                <w:color w:val="auto"/>
              </w:rPr>
            </w:pPr>
            <w:r>
              <w:rPr>
                <w:rFonts w:ascii="Arial" w:cs="Arial" w:eastAsia="Arial" w:hAnsi="Arial"/>
                <w:sz w:val="16"/>
                <w:szCs w:val="16"/>
                <w:b w:val="1"/>
                <w:bCs w:val="1"/>
                <w:color w:val="auto"/>
              </w:rPr>
              <w:t>  Operating activities – continuing operations</w:t>
            </w:r>
          </w:p>
        </w:tc>
        <w:tc>
          <w:tcPr>
            <w:tcW w:w="1260" w:type="dxa"/>
            <w:vAlign w:val="bottom"/>
          </w:tcPr>
          <w:p>
            <w:pPr>
              <w:jc w:val="right"/>
              <w:ind w:right="21"/>
              <w:spacing w:after="0"/>
              <w:rPr>
                <w:sz w:val="20"/>
                <w:szCs w:val="20"/>
                <w:color w:val="auto"/>
              </w:rPr>
            </w:pPr>
            <w:r>
              <w:rPr>
                <w:rFonts w:ascii="Arial" w:cs="Arial" w:eastAsia="Arial" w:hAnsi="Arial"/>
                <w:sz w:val="16"/>
                <w:szCs w:val="16"/>
                <w:b w:val="1"/>
                <w:bCs w:val="1"/>
                <w:color w:val="auto"/>
              </w:rPr>
              <w:t>234</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163</w:t>
            </w:r>
          </w:p>
        </w:tc>
        <w:tc>
          <w:tcPr>
            <w:tcW w:w="20" w:type="dxa"/>
            <w:vAlign w:val="bottom"/>
          </w:tcPr>
          <w:p>
            <w:pPr>
              <w:spacing w:after="0"/>
              <w:rPr>
                <w:sz w:val="18"/>
                <w:szCs w:val="18"/>
                <w:color w:val="auto"/>
              </w:rPr>
            </w:pPr>
          </w:p>
        </w:tc>
      </w:tr>
      <w:tr>
        <w:trPr>
          <w:trHeight w:val="212"/>
        </w:trPr>
        <w:tc>
          <w:tcPr>
            <w:tcW w:w="8500" w:type="dxa"/>
            <w:vAlign w:val="bottom"/>
          </w:tcPr>
          <w:p>
            <w:pPr>
              <w:spacing w:after="0"/>
              <w:rPr>
                <w:sz w:val="20"/>
                <w:szCs w:val="20"/>
                <w:color w:val="auto"/>
              </w:rPr>
            </w:pPr>
            <w:r>
              <w:rPr>
                <w:rFonts w:ascii="Arial" w:cs="Arial" w:eastAsia="Arial" w:hAnsi="Arial"/>
                <w:sz w:val="16"/>
                <w:szCs w:val="16"/>
                <w:b w:val="1"/>
                <w:bCs w:val="1"/>
                <w:color w:val="auto"/>
              </w:rPr>
              <w:t>  Investing activities – continuing operations</w:t>
            </w:r>
          </w:p>
        </w:tc>
        <w:tc>
          <w:tcPr>
            <w:tcW w:w="1260" w:type="dxa"/>
            <w:vAlign w:val="bottom"/>
          </w:tcPr>
          <w:p>
            <w:pPr>
              <w:jc w:val="right"/>
              <w:ind w:right="21"/>
              <w:spacing w:after="0"/>
              <w:rPr>
                <w:sz w:val="20"/>
                <w:szCs w:val="20"/>
                <w:color w:val="auto"/>
              </w:rPr>
            </w:pPr>
            <w:r>
              <w:rPr>
                <w:rFonts w:ascii="Arial" w:cs="Arial" w:eastAsia="Arial" w:hAnsi="Arial"/>
                <w:sz w:val="16"/>
                <w:szCs w:val="16"/>
                <w:b w:val="1"/>
                <w:bCs w:val="1"/>
                <w:color w:val="auto"/>
              </w:rPr>
              <w:t>317</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705</w:t>
            </w:r>
          </w:p>
        </w:tc>
        <w:tc>
          <w:tcPr>
            <w:tcW w:w="20" w:type="dxa"/>
            <w:vAlign w:val="bottom"/>
          </w:tcPr>
          <w:p>
            <w:pPr>
              <w:spacing w:after="0"/>
              <w:rPr>
                <w:sz w:val="18"/>
                <w:szCs w:val="18"/>
                <w:color w:val="auto"/>
              </w:rPr>
            </w:pPr>
          </w:p>
        </w:tc>
      </w:tr>
      <w:tr>
        <w:trPr>
          <w:trHeight w:val="200"/>
        </w:trPr>
        <w:tc>
          <w:tcPr>
            <w:tcW w:w="8500" w:type="dxa"/>
            <w:vAlign w:val="bottom"/>
            <w:tcBorders>
              <w:bottom w:val="single" w:sz="8" w:color="B2B2B2"/>
            </w:tcBorders>
          </w:tcPr>
          <w:p>
            <w:pPr>
              <w:spacing w:after="0"/>
              <w:rPr>
                <w:sz w:val="20"/>
                <w:szCs w:val="20"/>
                <w:color w:val="auto"/>
              </w:rPr>
            </w:pPr>
            <w:r>
              <w:rPr>
                <w:rFonts w:ascii="Arial" w:cs="Arial" w:eastAsia="Arial" w:hAnsi="Arial"/>
                <w:sz w:val="16"/>
                <w:szCs w:val="16"/>
                <w:b w:val="1"/>
                <w:bCs w:val="1"/>
                <w:color w:val="auto"/>
              </w:rPr>
              <w:t>  Investing activities – discontinued operations</w:t>
            </w:r>
          </w:p>
        </w:tc>
        <w:tc>
          <w:tcPr>
            <w:tcW w:w="12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B2B2B2"/>
            </w:tcBorders>
          </w:tcPr>
          <w:p>
            <w:pPr>
              <w:jc w:val="right"/>
              <w:ind w:right="20"/>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r>
      <w:tr>
        <w:trPr>
          <w:trHeight w:val="185"/>
        </w:trPr>
        <w:tc>
          <w:tcPr>
            <w:tcW w:w="850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b w:val="1"/>
                <w:bCs w:val="1"/>
                <w:color w:val="auto"/>
              </w:rPr>
              <w:t>  Total income taxes paid</w:t>
            </w:r>
          </w:p>
        </w:tc>
        <w:tc>
          <w:tcPr>
            <w:tcW w:w="1260" w:type="dxa"/>
            <w:vAlign w:val="bottom"/>
            <w:tcBorders>
              <w:bottom w:val="single" w:sz="8" w:color="D64000"/>
            </w:tcBorders>
          </w:tcPr>
          <w:p>
            <w:pPr>
              <w:jc w:val="right"/>
              <w:ind w:right="21"/>
              <w:spacing w:after="0" w:line="179" w:lineRule="exact"/>
              <w:rPr>
                <w:sz w:val="20"/>
                <w:szCs w:val="20"/>
                <w:color w:val="auto"/>
              </w:rPr>
            </w:pPr>
            <w:r>
              <w:rPr>
                <w:rFonts w:ascii="Arial" w:cs="Arial" w:eastAsia="Arial" w:hAnsi="Arial"/>
                <w:sz w:val="16"/>
                <w:szCs w:val="16"/>
                <w:b w:val="1"/>
                <w:bCs w:val="1"/>
                <w:color w:val="auto"/>
              </w:rPr>
              <w:t>551</w:t>
            </w:r>
          </w:p>
        </w:tc>
        <w:tc>
          <w:tcPr>
            <w:tcW w:w="1040" w:type="dxa"/>
            <w:vAlign w:val="bottom"/>
            <w:tcBorders>
              <w:bottom w:val="single" w:sz="8" w:color="D64000"/>
            </w:tcBorders>
          </w:tcPr>
          <w:p>
            <w:pPr>
              <w:jc w:val="right"/>
              <w:ind w:right="20"/>
              <w:spacing w:after="0" w:line="179" w:lineRule="exact"/>
              <w:rPr>
                <w:sz w:val="20"/>
                <w:szCs w:val="20"/>
                <w:color w:val="auto"/>
              </w:rPr>
            </w:pPr>
            <w:r>
              <w:rPr>
                <w:rFonts w:ascii="Arial" w:cs="Arial" w:eastAsia="Arial" w:hAnsi="Arial"/>
                <w:sz w:val="16"/>
                <w:szCs w:val="16"/>
                <w:color w:val="auto"/>
              </w:rPr>
              <w:t>869</w:t>
            </w:r>
          </w:p>
        </w:tc>
        <w:tc>
          <w:tcPr>
            <w:tcW w:w="20" w:type="dxa"/>
            <w:vAlign w:val="bottom"/>
          </w:tcPr>
          <w:p>
            <w:pPr>
              <w:spacing w:after="0"/>
              <w:rPr>
                <w:sz w:val="16"/>
                <w:szCs w:val="16"/>
                <w:color w:val="auto"/>
              </w:rPr>
            </w:pPr>
          </w:p>
        </w:tc>
      </w:tr>
      <w:tr>
        <w:trPr>
          <w:trHeight w:val="159"/>
        </w:trPr>
        <w:tc>
          <w:tcPr>
            <w:tcW w:w="8500" w:type="dxa"/>
            <w:vAlign w:val="bottom"/>
            <w:tcBorders>
              <w:bottom w:val="single" w:sz="8" w:color="7F7F7F"/>
            </w:tcBorders>
          </w:tcPr>
          <w:p>
            <w:pPr>
              <w:spacing w:after="0"/>
              <w:rPr>
                <w:sz w:val="13"/>
                <w:szCs w:val="13"/>
                <w:color w:val="auto"/>
              </w:rPr>
            </w:pPr>
          </w:p>
        </w:tc>
        <w:tc>
          <w:tcPr>
            <w:tcW w:w="1260" w:type="dxa"/>
            <w:vAlign w:val="bottom"/>
            <w:tcBorders>
              <w:bottom w:val="single" w:sz="8" w:color="7F7F7F"/>
            </w:tcBorders>
          </w:tcPr>
          <w:p>
            <w:pPr>
              <w:spacing w:after="0"/>
              <w:rPr>
                <w:sz w:val="13"/>
                <w:szCs w:val="13"/>
                <w:color w:val="auto"/>
              </w:rPr>
            </w:pPr>
          </w:p>
        </w:tc>
        <w:tc>
          <w:tcPr>
            <w:tcW w:w="1040" w:type="dxa"/>
            <w:vAlign w:val="bottom"/>
            <w:tcBorders>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r>
      <w:tr>
        <w:trPr>
          <w:trHeight w:val="241"/>
        </w:trPr>
        <w:tc>
          <w:tcPr>
            <w:tcW w:w="8500" w:type="dxa"/>
            <w:vAlign w:val="bottom"/>
          </w:tcPr>
          <w:p>
            <w:pPr>
              <w:spacing w:after="0"/>
              <w:rPr>
                <w:sz w:val="20"/>
                <w:szCs w:val="20"/>
                <w:color w:val="auto"/>
              </w:rPr>
            </w:pPr>
            <w:r>
              <w:rPr>
                <w:rFonts w:ascii="Arial" w:cs="Arial" w:eastAsia="Arial" w:hAnsi="Arial"/>
                <w:sz w:val="17"/>
                <w:szCs w:val="17"/>
                <w:b w:val="1"/>
                <w:bCs w:val="1"/>
                <w:color w:val="auto"/>
              </w:rPr>
              <w:t>Thomson Reuters Annual Report 2024</w:t>
            </w:r>
          </w:p>
        </w:tc>
        <w:tc>
          <w:tcPr>
            <w:tcW w:w="1260" w:type="dxa"/>
            <w:vAlign w:val="bottom"/>
          </w:tcPr>
          <w:p>
            <w:pPr>
              <w:spacing w:after="0"/>
              <w:rPr>
                <w:sz w:val="20"/>
                <w:szCs w:val="20"/>
                <w:color w:val="auto"/>
              </w:rPr>
            </w:pPr>
          </w:p>
        </w:tc>
        <w:tc>
          <w:tcPr>
            <w:tcW w:w="1060" w:type="dxa"/>
            <w:vAlign w:val="bottom"/>
            <w:gridSpan w:val="2"/>
          </w:tcPr>
          <w:p>
            <w:pPr>
              <w:ind w:left="420"/>
              <w:spacing w:after="0"/>
              <w:rPr>
                <w:sz w:val="20"/>
                <w:szCs w:val="20"/>
                <w:color w:val="auto"/>
              </w:rPr>
            </w:pPr>
            <w:r>
              <w:rPr>
                <w:rFonts w:ascii="Arial" w:cs="Arial" w:eastAsia="Arial" w:hAnsi="Arial"/>
                <w:sz w:val="17"/>
                <w:szCs w:val="17"/>
                <w:color w:val="auto"/>
                <w:w w:val="97"/>
              </w:rPr>
              <w:t>Page 37</w:t>
            </w:r>
          </w:p>
        </w:tc>
      </w:tr>
    </w:tbl>
    <w:p>
      <w:pPr>
        <w:sectPr>
          <w:pgSz w:w="11900" w:h="16838" w:orient="portrait"/>
          <w:cols w:equalWidth="0" w:num="1">
            <w:col w:w="11040"/>
          </w:cols>
          <w:pgMar w:left="320" w:top="477" w:right="5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140"/>
        <w:spacing w:after="0" w:line="238" w:lineRule="auto"/>
        <w:rPr>
          <w:sz w:val="20"/>
          <w:szCs w:val="20"/>
          <w:color w:val="auto"/>
        </w:rPr>
      </w:pPr>
      <w:r>
        <w:rPr>
          <w:rFonts w:ascii="Arial" w:cs="Arial" w:eastAsia="Arial" w:hAnsi="Arial"/>
          <w:sz w:val="17"/>
          <w:szCs w:val="17"/>
          <w:color w:val="auto"/>
        </w:rPr>
        <w:t>Our effective tax rate and our cash tax cost in the future will depend on the laws of numerous countries and the provisions of multiple income tax conventions between various countries in which we operate. Our effective tax rate will be dependent upon tax laws and conventions remaining unchanged or favorable to our company, as well as the geographic mix of our profits. See the “Liquidity and Capital Resources – Contingencies” section of this management’s discussion and analysis for further discussion of income tax liabilities.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Results of Discontinued Operations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Earnings from discontinued operations, net of tax, included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100330</wp:posOffset>
            </wp:positionV>
            <wp:extent cx="68656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8"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8500" w:type="dxa"/>
            <w:vAlign w:val="bottom"/>
          </w:tcPr>
          <w:p>
            <w:pPr>
              <w:spacing w:after="0"/>
              <w:rPr>
                <w:sz w:val="20"/>
                <w:szCs w:val="20"/>
                <w:color w:val="auto"/>
              </w:rPr>
            </w:pPr>
          </w:p>
        </w:tc>
        <w:tc>
          <w:tcPr>
            <w:tcW w:w="2300" w:type="dxa"/>
            <w:vAlign w:val="bottom"/>
            <w:gridSpan w:val="2"/>
            <w:shd w:val="clear" w:color="auto" w:fill="E3F3EE"/>
          </w:tcPr>
          <w:p>
            <w:pPr>
              <w:jc w:val="right"/>
              <w:ind w:right="21"/>
              <w:spacing w:after="0"/>
              <w:rPr>
                <w:sz w:val="20"/>
                <w:szCs w:val="20"/>
                <w:color w:val="auto"/>
              </w:rPr>
            </w:pPr>
            <w:r>
              <w:rPr>
                <w:rFonts w:ascii="Arial" w:cs="Arial" w:eastAsia="Arial" w:hAnsi="Arial"/>
                <w:sz w:val="16"/>
                <w:szCs w:val="16"/>
                <w:b w:val="1"/>
                <w:bCs w:val="1"/>
                <w:color w:val="auto"/>
                <w:shd w:val="clear" w:color="auto" w:fill="E3F3EE"/>
              </w:rPr>
              <w:t>  Year ended December 31,</w:t>
            </w:r>
          </w:p>
        </w:tc>
      </w:tr>
      <w:tr>
        <w:trPr>
          <w:trHeight w:val="245"/>
        </w:trPr>
        <w:tc>
          <w:tcPr>
            <w:tcW w:w="850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color w:val="FFFFFF"/>
              </w:rPr>
              <w:t>  (millions of U.S. dollars)</w:t>
            </w:r>
          </w:p>
        </w:tc>
        <w:tc>
          <w:tcPr>
            <w:tcW w:w="1260" w:type="dxa"/>
            <w:vAlign w:val="bottom"/>
            <w:tcBorders>
              <w:bottom w:val="single" w:sz="8" w:color="D64000"/>
            </w:tcBorders>
            <w:shd w:val="clear" w:color="auto" w:fill="1F473D"/>
          </w:tcPr>
          <w:p>
            <w:pPr>
              <w:jc w:val="right"/>
              <w:ind w:right="41"/>
              <w:spacing w:after="0"/>
              <w:rPr>
                <w:sz w:val="20"/>
                <w:szCs w:val="20"/>
                <w:color w:val="auto"/>
              </w:rPr>
            </w:pPr>
            <w:r>
              <w:rPr>
                <w:rFonts w:ascii="Arial" w:cs="Arial" w:eastAsia="Arial" w:hAnsi="Arial"/>
                <w:sz w:val="16"/>
                <w:szCs w:val="16"/>
                <w:b w:val="1"/>
                <w:bCs w:val="1"/>
                <w:color w:val="FFFFFF"/>
              </w:rPr>
              <w:t>            2024</w:t>
            </w:r>
          </w:p>
        </w:tc>
        <w:tc>
          <w:tcPr>
            <w:tcW w:w="1040" w:type="dxa"/>
            <w:vAlign w:val="bottom"/>
            <w:tcBorders>
              <w:bottom w:val="single" w:sz="8" w:color="D64000"/>
            </w:tcBorders>
            <w:shd w:val="clear" w:color="auto" w:fill="1F473D"/>
          </w:tcPr>
          <w:p>
            <w:pPr>
              <w:jc w:val="right"/>
              <w:ind w:right="21"/>
              <w:spacing w:after="0"/>
              <w:rPr>
                <w:sz w:val="20"/>
                <w:szCs w:val="20"/>
                <w:color w:val="auto"/>
              </w:rPr>
            </w:pPr>
            <w:r>
              <w:rPr>
                <w:rFonts w:ascii="Arial" w:cs="Arial" w:eastAsia="Arial" w:hAnsi="Arial"/>
                <w:sz w:val="16"/>
                <w:szCs w:val="16"/>
                <w:b w:val="1"/>
                <w:bCs w:val="1"/>
                <w:color w:val="FFFFFF"/>
              </w:rPr>
              <w:t xml:space="preserve">         </w:t>
            </w:r>
            <w:r>
              <w:rPr>
                <w:rFonts w:ascii="Arial" w:cs="Arial" w:eastAsia="Arial" w:hAnsi="Arial"/>
                <w:sz w:val="16"/>
                <w:szCs w:val="16"/>
                <w:color w:val="FFFFFF"/>
              </w:rPr>
              <w:t>2023</w:t>
            </w:r>
          </w:p>
        </w:tc>
      </w:tr>
      <w:tr>
        <w:trPr>
          <w:trHeight w:val="192"/>
        </w:trPr>
        <w:tc>
          <w:tcPr>
            <w:tcW w:w="8500" w:type="dxa"/>
            <w:vAlign w:val="bottom"/>
            <w:tcBorders>
              <w:bottom w:val="single" w:sz="8" w:color="D64000"/>
            </w:tcBorders>
          </w:tcPr>
          <w:p>
            <w:pPr>
              <w:spacing w:after="0"/>
              <w:rPr>
                <w:sz w:val="20"/>
                <w:szCs w:val="20"/>
                <w:color w:val="auto"/>
              </w:rPr>
            </w:pPr>
            <w:r>
              <w:rPr>
                <w:rFonts w:ascii="Arial" w:cs="Arial" w:eastAsia="Arial" w:hAnsi="Arial"/>
                <w:sz w:val="16"/>
                <w:szCs w:val="16"/>
                <w:b w:val="1"/>
                <w:bCs w:val="1"/>
                <w:color w:val="auto"/>
              </w:rPr>
              <w:t>  Earnings from discontinued operations, net of tax</w:t>
            </w:r>
          </w:p>
        </w:tc>
        <w:tc>
          <w:tcPr>
            <w:tcW w:w="1260" w:type="dxa"/>
            <w:vAlign w:val="bottom"/>
            <w:tcBorders>
              <w:bottom w:val="single" w:sz="8" w:color="D64000"/>
            </w:tcBorders>
          </w:tcPr>
          <w:p>
            <w:pPr>
              <w:jc w:val="right"/>
              <w:ind w:right="41"/>
              <w:spacing w:after="0"/>
              <w:rPr>
                <w:sz w:val="20"/>
                <w:szCs w:val="20"/>
                <w:color w:val="auto"/>
              </w:rPr>
            </w:pPr>
            <w:r>
              <w:rPr>
                <w:rFonts w:ascii="Arial" w:cs="Arial" w:eastAsia="Arial" w:hAnsi="Arial"/>
                <w:sz w:val="16"/>
                <w:szCs w:val="16"/>
                <w:b w:val="1"/>
                <w:bCs w:val="1"/>
                <w:color w:val="auto"/>
              </w:rPr>
              <w:t>15</w:t>
            </w:r>
          </w:p>
        </w:tc>
        <w:tc>
          <w:tcPr>
            <w:tcW w:w="1040" w:type="dxa"/>
            <w:vAlign w:val="bottom"/>
            <w:tcBorders>
              <w:bottom w:val="single" w:sz="8" w:color="D64000"/>
            </w:tcBorders>
          </w:tcPr>
          <w:p>
            <w:pPr>
              <w:jc w:val="right"/>
              <w:ind w:right="21"/>
              <w:spacing w:after="0"/>
              <w:rPr>
                <w:sz w:val="20"/>
                <w:szCs w:val="20"/>
                <w:color w:val="auto"/>
              </w:rPr>
            </w:pPr>
            <w:r>
              <w:rPr>
                <w:rFonts w:ascii="Arial" w:cs="Arial" w:eastAsia="Arial" w:hAnsi="Arial"/>
                <w:sz w:val="16"/>
                <w:szCs w:val="16"/>
                <w:color w:val="auto"/>
              </w:rPr>
              <w:t>49</w:t>
            </w:r>
          </w:p>
        </w:tc>
      </w:tr>
    </w:tbl>
    <w:p>
      <w:pPr>
        <w:spacing w:after="0" w:line="71" w:lineRule="exact"/>
        <w:rPr>
          <w:sz w:val="20"/>
          <w:szCs w:val="20"/>
          <w:color w:val="auto"/>
        </w:rPr>
      </w:pPr>
    </w:p>
    <w:p>
      <w:pPr>
        <w:jc w:val="both"/>
        <w:ind w:left="220" w:right="220"/>
        <w:spacing w:after="0" w:line="243" w:lineRule="auto"/>
        <w:rPr>
          <w:sz w:val="20"/>
          <w:szCs w:val="20"/>
          <w:color w:val="auto"/>
        </w:rPr>
      </w:pPr>
      <w:r>
        <w:rPr>
          <w:rFonts w:ascii="Arial" w:cs="Arial" w:eastAsia="Arial" w:hAnsi="Arial"/>
          <w:sz w:val="17"/>
          <w:szCs w:val="17"/>
          <w:color w:val="auto"/>
        </w:rPr>
        <w:t>In both years, earnings from discontinued operations, net of tax, were primarily comprised of earnings or losses arising on a receivable balance from LSEG relating to a tax indemnity. The earnings or losses included impacts from changes in foreign exchange and interest rates. The 2024 period also included benefits from the release of reserves that are no longer required due to settlements of tax disputes.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Net earnings and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100330</wp:posOffset>
            </wp:positionV>
            <wp:extent cx="68656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8"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160" w:type="dxa"/>
            <w:vAlign w:val="bottom"/>
            <w:shd w:val="clear" w:color="auto" w:fill="E3F3EE"/>
          </w:tcPr>
          <w:p>
            <w:pPr>
              <w:ind w:left="100"/>
              <w:spacing w:after="0"/>
              <w:rPr>
                <w:sz w:val="20"/>
                <w:szCs w:val="20"/>
                <w:color w:val="auto"/>
              </w:rPr>
            </w:pPr>
            <w:r>
              <w:rPr>
                <w:rFonts w:ascii="Arial" w:cs="Arial" w:eastAsia="Arial" w:hAnsi="Arial"/>
                <w:sz w:val="5"/>
                <w:szCs w:val="5"/>
                <w:b w:val="1"/>
                <w:bCs w:val="1"/>
                <w:color w:val="auto"/>
                <w:w w:val="79"/>
              </w:rPr>
              <w:t> </w:t>
            </w:r>
          </w:p>
        </w:tc>
        <w:tc>
          <w:tcPr>
            <w:tcW w:w="160" w:type="dxa"/>
            <w:vAlign w:val="bottom"/>
            <w:shd w:val="clear" w:color="auto" w:fill="E3F3EE"/>
          </w:tcPr>
          <w:p>
            <w:pPr>
              <w:ind w:left="100"/>
              <w:spacing w:after="0"/>
              <w:rPr>
                <w:sz w:val="20"/>
                <w:szCs w:val="20"/>
                <w:color w:val="auto"/>
              </w:rPr>
            </w:pPr>
            <w:r>
              <w:rPr>
                <w:rFonts w:ascii="Arial" w:cs="Arial" w:eastAsia="Arial" w:hAnsi="Arial"/>
                <w:sz w:val="5"/>
                <w:szCs w:val="5"/>
                <w:b w:val="1"/>
                <w:bCs w:val="1"/>
                <w:color w:val="auto"/>
                <w:w w:val="79"/>
              </w:rPr>
              <w:t> </w:t>
            </w:r>
          </w:p>
        </w:tc>
        <w:tc>
          <w:tcPr>
            <w:tcW w:w="2880" w:type="dxa"/>
            <w:vAlign w:val="bottom"/>
            <w:gridSpan w:val="4"/>
            <w:shd w:val="clear" w:color="auto" w:fill="E3F3EE"/>
          </w:tcPr>
          <w:p>
            <w:pPr>
              <w:jc w:val="right"/>
              <w:ind w:right="241"/>
              <w:spacing w:after="0"/>
              <w:rPr>
                <w:sz w:val="20"/>
                <w:szCs w:val="20"/>
                <w:color w:val="auto"/>
              </w:rPr>
            </w:pPr>
            <w:r>
              <w:rPr>
                <w:rFonts w:ascii="Arial" w:cs="Arial" w:eastAsia="Arial" w:hAnsi="Arial"/>
                <w:sz w:val="16"/>
                <w:szCs w:val="16"/>
                <w:b w:val="1"/>
                <w:bCs w:val="1"/>
                <w:color w:val="auto"/>
              </w:rPr>
              <w:t xml:space="preserve">  Year ended December 31,       </w:t>
            </w:r>
          </w:p>
        </w:tc>
      </w:tr>
      <w:tr>
        <w:trPr>
          <w:trHeight w:val="218"/>
        </w:trPr>
        <w:tc>
          <w:tcPr>
            <w:tcW w:w="7600" w:type="dxa"/>
            <w:vAlign w:val="bottom"/>
            <w:tcBorders>
              <w:bottom w:val="single" w:sz="8" w:color="1F473D"/>
            </w:tcBorders>
            <w:shd w:val="clear" w:color="auto" w:fill="1F473D"/>
          </w:tcPr>
          <w:p>
            <w:pPr>
              <w:spacing w:after="0"/>
              <w:rPr>
                <w:sz w:val="19"/>
                <w:szCs w:val="19"/>
                <w:color w:val="auto"/>
              </w:rPr>
            </w:pPr>
          </w:p>
        </w:tc>
        <w:tc>
          <w:tcPr>
            <w:tcW w:w="160" w:type="dxa"/>
            <w:vAlign w:val="bottom"/>
            <w:tcBorders>
              <w:bottom w:val="single" w:sz="8" w:color="1F473D"/>
            </w:tcBorders>
            <w:shd w:val="clear" w:color="auto" w:fill="1F473D"/>
          </w:tcPr>
          <w:p>
            <w:pPr>
              <w:spacing w:after="0"/>
              <w:rPr>
                <w:sz w:val="19"/>
                <w:szCs w:val="19"/>
                <w:color w:val="auto"/>
              </w:rPr>
            </w:pPr>
          </w:p>
        </w:tc>
        <w:tc>
          <w:tcPr>
            <w:tcW w:w="160" w:type="dxa"/>
            <w:vAlign w:val="bottom"/>
            <w:tcBorders>
              <w:bottom w:val="single" w:sz="8" w:color="1F473D"/>
            </w:tcBorders>
            <w:shd w:val="clear" w:color="auto" w:fill="1F473D"/>
          </w:tcPr>
          <w:p>
            <w:pPr>
              <w:spacing w:after="0"/>
              <w:rPr>
                <w:sz w:val="19"/>
                <w:szCs w:val="19"/>
                <w:color w:val="auto"/>
              </w:rPr>
            </w:pPr>
          </w:p>
        </w:tc>
        <w:tc>
          <w:tcPr>
            <w:tcW w:w="440" w:type="dxa"/>
            <w:vAlign w:val="bottom"/>
            <w:tcBorders>
              <w:bottom w:val="single" w:sz="8" w:color="1F473D"/>
            </w:tcBorders>
            <w:shd w:val="clear" w:color="auto" w:fill="1F473D"/>
          </w:tcPr>
          <w:p>
            <w:pPr>
              <w:spacing w:after="0"/>
              <w:rPr>
                <w:sz w:val="19"/>
                <w:szCs w:val="19"/>
                <w:color w:val="auto"/>
              </w:rPr>
            </w:pPr>
          </w:p>
        </w:tc>
        <w:tc>
          <w:tcPr>
            <w:tcW w:w="720" w:type="dxa"/>
            <w:vAlign w:val="bottom"/>
            <w:tcBorders>
              <w:bottom w:val="single" w:sz="8" w:color="1F473D"/>
            </w:tcBorders>
            <w:shd w:val="clear" w:color="auto" w:fill="1F473D"/>
          </w:tcPr>
          <w:p>
            <w:pPr>
              <w:spacing w:after="0"/>
              <w:rPr>
                <w:sz w:val="19"/>
                <w:szCs w:val="19"/>
                <w:color w:val="auto"/>
              </w:rPr>
            </w:pPr>
          </w:p>
        </w:tc>
        <w:tc>
          <w:tcPr>
            <w:tcW w:w="1720" w:type="dxa"/>
            <w:vAlign w:val="bottom"/>
            <w:tcBorders>
              <w:bottom w:val="single" w:sz="8" w:color="D64000"/>
            </w:tcBorders>
            <w:gridSpan w:val="2"/>
            <w:shd w:val="clear" w:color="auto" w:fill="1F473D"/>
          </w:tcPr>
          <w:p>
            <w:pPr>
              <w:jc w:val="right"/>
              <w:ind w:right="501"/>
              <w:spacing w:after="0"/>
              <w:rPr>
                <w:sz w:val="20"/>
                <w:szCs w:val="20"/>
                <w:color w:val="auto"/>
              </w:rPr>
            </w:pPr>
            <w:r>
              <w:rPr>
                <w:rFonts w:ascii="Arial" w:cs="Arial" w:eastAsia="Arial" w:hAnsi="Arial"/>
                <w:sz w:val="16"/>
                <w:szCs w:val="16"/>
                <w:color w:val="FFFFFF"/>
              </w:rPr>
              <w:t>Change</w:t>
            </w:r>
          </w:p>
        </w:tc>
      </w:tr>
      <w:tr>
        <w:trPr>
          <w:trHeight w:val="171"/>
        </w:trPr>
        <w:tc>
          <w:tcPr>
            <w:tcW w:w="7600" w:type="dxa"/>
            <w:vAlign w:val="bottom"/>
            <w:shd w:val="clear" w:color="auto" w:fill="1F473D"/>
          </w:tcPr>
          <w:p>
            <w:pPr>
              <w:spacing w:after="0"/>
              <w:rPr>
                <w:sz w:val="14"/>
                <w:szCs w:val="14"/>
                <w:color w:val="auto"/>
              </w:rPr>
            </w:pPr>
          </w:p>
        </w:tc>
        <w:tc>
          <w:tcPr>
            <w:tcW w:w="160" w:type="dxa"/>
            <w:vAlign w:val="bottom"/>
            <w:shd w:val="clear" w:color="auto" w:fill="1F473D"/>
          </w:tcPr>
          <w:p>
            <w:pPr>
              <w:spacing w:after="0"/>
              <w:rPr>
                <w:sz w:val="14"/>
                <w:szCs w:val="14"/>
                <w:color w:val="auto"/>
              </w:rPr>
            </w:pPr>
          </w:p>
        </w:tc>
        <w:tc>
          <w:tcPr>
            <w:tcW w:w="160" w:type="dxa"/>
            <w:vAlign w:val="bottom"/>
            <w:shd w:val="clear" w:color="auto" w:fill="1F473D"/>
          </w:tcPr>
          <w:p>
            <w:pPr>
              <w:spacing w:after="0"/>
              <w:rPr>
                <w:sz w:val="14"/>
                <w:szCs w:val="14"/>
                <w:color w:val="auto"/>
              </w:rPr>
            </w:pPr>
          </w:p>
        </w:tc>
        <w:tc>
          <w:tcPr>
            <w:tcW w:w="440" w:type="dxa"/>
            <w:vAlign w:val="bottom"/>
            <w:shd w:val="clear" w:color="auto" w:fill="1F473D"/>
          </w:tcPr>
          <w:p>
            <w:pPr>
              <w:spacing w:after="0"/>
              <w:rPr>
                <w:sz w:val="14"/>
                <w:szCs w:val="14"/>
                <w:color w:val="auto"/>
              </w:rPr>
            </w:pPr>
          </w:p>
        </w:tc>
        <w:tc>
          <w:tcPr>
            <w:tcW w:w="720" w:type="dxa"/>
            <w:vAlign w:val="bottom"/>
            <w:shd w:val="clear" w:color="auto" w:fill="1F473D"/>
          </w:tcPr>
          <w:p>
            <w:pPr>
              <w:spacing w:after="0"/>
              <w:rPr>
                <w:sz w:val="14"/>
                <w:szCs w:val="14"/>
                <w:color w:val="auto"/>
              </w:rPr>
            </w:pPr>
          </w:p>
        </w:tc>
        <w:tc>
          <w:tcPr>
            <w:tcW w:w="820" w:type="dxa"/>
            <w:vAlign w:val="bottom"/>
            <w:shd w:val="clear" w:color="auto" w:fill="1F473D"/>
          </w:tcPr>
          <w:p>
            <w:pPr>
              <w:spacing w:after="0"/>
              <w:rPr>
                <w:sz w:val="14"/>
                <w:szCs w:val="14"/>
                <w:color w:val="auto"/>
              </w:rPr>
            </w:pPr>
          </w:p>
        </w:tc>
        <w:tc>
          <w:tcPr>
            <w:tcW w:w="900" w:type="dxa"/>
            <w:vAlign w:val="bottom"/>
            <w:shd w:val="clear" w:color="auto" w:fill="1F473D"/>
          </w:tcPr>
          <w:p>
            <w:pPr>
              <w:jc w:val="right"/>
              <w:ind w:right="21"/>
              <w:spacing w:after="0" w:line="171" w:lineRule="exact"/>
              <w:rPr>
                <w:sz w:val="20"/>
                <w:szCs w:val="20"/>
                <w:color w:val="auto"/>
              </w:rPr>
            </w:pPr>
            <w:r>
              <w:rPr>
                <w:rFonts w:ascii="Arial" w:cs="Arial" w:eastAsia="Arial" w:hAnsi="Arial"/>
                <w:sz w:val="16"/>
                <w:szCs w:val="16"/>
                <w:color w:val="FFFFFF"/>
              </w:rPr>
              <w:t>Constant</w:t>
            </w:r>
          </w:p>
        </w:tc>
      </w:tr>
      <w:tr>
        <w:trPr>
          <w:trHeight w:val="206"/>
        </w:trPr>
        <w:tc>
          <w:tcPr>
            <w:tcW w:w="760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color w:val="FFFFFF"/>
              </w:rPr>
              <w:t>  (millions of U.S. dollars, except per share amounts)</w:t>
            </w:r>
          </w:p>
        </w:tc>
        <w:tc>
          <w:tcPr>
            <w:tcW w:w="160" w:type="dxa"/>
            <w:vAlign w:val="bottom"/>
            <w:tcBorders>
              <w:bottom w:val="single" w:sz="8" w:color="D64000"/>
            </w:tcBorders>
            <w:shd w:val="clear" w:color="auto" w:fill="1F473D"/>
          </w:tcPr>
          <w:p>
            <w:pPr>
              <w:spacing w:after="0"/>
              <w:rPr>
                <w:sz w:val="17"/>
                <w:szCs w:val="17"/>
                <w:color w:val="auto"/>
              </w:rPr>
            </w:pPr>
          </w:p>
        </w:tc>
        <w:tc>
          <w:tcPr>
            <w:tcW w:w="16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b w:val="1"/>
                <w:bCs w:val="1"/>
                <w:color w:val="FFFFFF"/>
                <w:w w:val="87"/>
              </w:rPr>
              <w:t> </w:t>
            </w:r>
          </w:p>
        </w:tc>
        <w:tc>
          <w:tcPr>
            <w:tcW w:w="440" w:type="dxa"/>
            <w:vAlign w:val="bottom"/>
            <w:tcBorders>
              <w:bottom w:val="single" w:sz="8" w:color="D64000"/>
            </w:tcBorders>
            <w:shd w:val="clear" w:color="auto" w:fill="1F473D"/>
          </w:tcPr>
          <w:p>
            <w:pPr>
              <w:jc w:val="right"/>
              <w:ind w:right="21"/>
              <w:spacing w:after="0"/>
              <w:rPr>
                <w:sz w:val="20"/>
                <w:szCs w:val="20"/>
                <w:color w:val="auto"/>
              </w:rPr>
            </w:pPr>
            <w:r>
              <w:rPr>
                <w:rFonts w:ascii="Arial" w:cs="Arial" w:eastAsia="Arial" w:hAnsi="Arial"/>
                <w:sz w:val="16"/>
                <w:szCs w:val="16"/>
                <w:b w:val="1"/>
                <w:bCs w:val="1"/>
                <w:color w:val="FFFFFF"/>
                <w:w w:val="89"/>
              </w:rPr>
              <w:t>2024</w:t>
            </w:r>
          </w:p>
        </w:tc>
        <w:tc>
          <w:tcPr>
            <w:tcW w:w="720" w:type="dxa"/>
            <w:vAlign w:val="bottom"/>
            <w:tcBorders>
              <w:bottom w:val="single" w:sz="8" w:color="D64000"/>
            </w:tcBorders>
            <w:shd w:val="clear" w:color="auto" w:fill="1F473D"/>
          </w:tcPr>
          <w:p>
            <w:pPr>
              <w:jc w:val="right"/>
              <w:ind w:right="21"/>
              <w:spacing w:after="0"/>
              <w:rPr>
                <w:sz w:val="20"/>
                <w:szCs w:val="20"/>
                <w:color w:val="auto"/>
              </w:rPr>
            </w:pPr>
            <w:r>
              <w:rPr>
                <w:rFonts w:ascii="Arial" w:cs="Arial" w:eastAsia="Arial" w:hAnsi="Arial"/>
                <w:sz w:val="16"/>
                <w:szCs w:val="16"/>
                <w:color w:val="FFFFFF"/>
                <w:w w:val="99"/>
              </w:rPr>
              <w:t>   2023</w:t>
            </w:r>
          </w:p>
        </w:tc>
        <w:tc>
          <w:tcPr>
            <w:tcW w:w="820" w:type="dxa"/>
            <w:vAlign w:val="bottom"/>
            <w:tcBorders>
              <w:bottom w:val="single" w:sz="8" w:color="D64000"/>
            </w:tcBorders>
            <w:shd w:val="clear" w:color="auto" w:fill="1F473D"/>
          </w:tcPr>
          <w:p>
            <w:pPr>
              <w:jc w:val="right"/>
              <w:ind w:right="81"/>
              <w:spacing w:after="0"/>
              <w:rPr>
                <w:sz w:val="20"/>
                <w:szCs w:val="20"/>
                <w:color w:val="auto"/>
              </w:rPr>
            </w:pPr>
            <w:r>
              <w:rPr>
                <w:rFonts w:ascii="Arial" w:cs="Arial" w:eastAsia="Arial" w:hAnsi="Arial"/>
                <w:sz w:val="16"/>
                <w:szCs w:val="16"/>
                <w:color w:val="FFFFFF"/>
              </w:rPr>
              <w:t>   Total</w:t>
            </w:r>
          </w:p>
        </w:tc>
        <w:tc>
          <w:tcPr>
            <w:tcW w:w="900" w:type="dxa"/>
            <w:vAlign w:val="bottom"/>
            <w:tcBorders>
              <w:bottom w:val="single" w:sz="8" w:color="D64000"/>
            </w:tcBorders>
            <w:shd w:val="clear" w:color="auto" w:fill="1F473D"/>
          </w:tcPr>
          <w:p>
            <w:pPr>
              <w:jc w:val="right"/>
              <w:ind w:right="21"/>
              <w:spacing w:after="0"/>
              <w:rPr>
                <w:sz w:val="20"/>
                <w:szCs w:val="20"/>
                <w:color w:val="auto"/>
              </w:rPr>
            </w:pPr>
            <w:r>
              <w:rPr>
                <w:rFonts w:ascii="Arial" w:cs="Arial" w:eastAsia="Arial" w:hAnsi="Arial"/>
                <w:sz w:val="16"/>
                <w:szCs w:val="16"/>
                <w:color w:val="FFFFFF"/>
              </w:rPr>
              <w:t>Currency</w:t>
            </w:r>
          </w:p>
        </w:tc>
      </w:tr>
      <w:tr>
        <w:trPr>
          <w:trHeight w:val="211"/>
        </w:trPr>
        <w:tc>
          <w:tcPr>
            <w:tcW w:w="7760" w:type="dxa"/>
            <w:vAlign w:val="bottom"/>
            <w:gridSpan w:val="2"/>
          </w:tcPr>
          <w:p>
            <w:pPr>
              <w:spacing w:after="0"/>
              <w:rPr>
                <w:sz w:val="20"/>
                <w:szCs w:val="20"/>
                <w:color w:val="auto"/>
              </w:rPr>
            </w:pPr>
            <w:r>
              <w:rPr>
                <w:rFonts w:ascii="Arial" w:cs="Arial" w:eastAsia="Arial" w:hAnsi="Arial"/>
                <w:sz w:val="16"/>
                <w:szCs w:val="16"/>
                <w:b w:val="1"/>
                <w:bCs w:val="1"/>
                <w:color w:val="auto"/>
              </w:rPr>
              <w:t>  IFRS Financial Measures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2"/>
        </w:trPr>
        <w:tc>
          <w:tcPr>
            <w:tcW w:w="7760" w:type="dxa"/>
            <w:vAlign w:val="bottom"/>
            <w:gridSpan w:val="2"/>
          </w:tcPr>
          <w:p>
            <w:pPr>
              <w:spacing w:after="0"/>
              <w:rPr>
                <w:sz w:val="20"/>
                <w:szCs w:val="20"/>
                <w:color w:val="auto"/>
              </w:rPr>
            </w:pPr>
            <w:r>
              <w:rPr>
                <w:rFonts w:ascii="Arial" w:cs="Arial" w:eastAsia="Arial" w:hAnsi="Arial"/>
                <w:sz w:val="16"/>
                <w:szCs w:val="16"/>
                <w:color w:val="auto"/>
              </w:rPr>
              <w:t>  Net earnings</w:t>
            </w:r>
          </w:p>
        </w:tc>
        <w:tc>
          <w:tcPr>
            <w:tcW w:w="60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rPr>
              <w:t>2,207</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2,695</w:t>
            </w:r>
          </w:p>
        </w:tc>
        <w:tc>
          <w:tcPr>
            <w:tcW w:w="820" w:type="dxa"/>
            <w:vAlign w:val="bottom"/>
          </w:tcPr>
          <w:p>
            <w:pPr>
              <w:jc w:val="right"/>
              <w:ind w:right="81"/>
              <w:spacing w:after="0"/>
              <w:rPr>
                <w:sz w:val="20"/>
                <w:szCs w:val="20"/>
                <w:color w:val="auto"/>
              </w:rPr>
            </w:pPr>
            <w:r>
              <w:rPr>
                <w:rFonts w:ascii="Arial" w:cs="Arial" w:eastAsia="Arial" w:hAnsi="Arial"/>
                <w:sz w:val="16"/>
                <w:szCs w:val="16"/>
                <w:color w:val="auto"/>
              </w:rPr>
              <w:t>(18%)</w:t>
            </w:r>
          </w:p>
        </w:tc>
        <w:tc>
          <w:tcPr>
            <w:tcW w:w="900" w:type="dxa"/>
            <w:vAlign w:val="bottom"/>
          </w:tcPr>
          <w:p>
            <w:pPr>
              <w:spacing w:after="0"/>
              <w:rPr>
                <w:sz w:val="18"/>
                <w:szCs w:val="18"/>
                <w:color w:val="auto"/>
              </w:rPr>
            </w:pPr>
          </w:p>
        </w:tc>
      </w:tr>
      <w:tr>
        <w:trPr>
          <w:trHeight w:val="200"/>
        </w:trPr>
        <w:tc>
          <w:tcPr>
            <w:tcW w:w="776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color w:val="auto"/>
              </w:rPr>
              <w:t>  Diluted EPS</w:t>
            </w:r>
          </w:p>
        </w:tc>
        <w:tc>
          <w:tcPr>
            <w:tcW w:w="600" w:type="dxa"/>
            <w:vAlign w:val="bottom"/>
            <w:tcBorders>
              <w:bottom w:val="single" w:sz="8" w:color="B2B2B2"/>
            </w:tcBorders>
            <w:gridSpan w:val="2"/>
          </w:tcPr>
          <w:p>
            <w:pPr>
              <w:jc w:val="right"/>
              <w:ind w:right="21"/>
              <w:spacing w:after="0"/>
              <w:rPr>
                <w:sz w:val="20"/>
                <w:szCs w:val="20"/>
                <w:color w:val="auto"/>
              </w:rPr>
            </w:pPr>
            <w:r>
              <w:rPr>
                <w:rFonts w:ascii="Arial" w:cs="Arial" w:eastAsia="Arial" w:hAnsi="Arial"/>
                <w:sz w:val="16"/>
                <w:szCs w:val="16"/>
                <w:b w:val="1"/>
                <w:bCs w:val="1"/>
                <w:color w:val="auto"/>
              </w:rPr>
              <w:t>$4.89</w:t>
            </w:r>
          </w:p>
        </w:tc>
        <w:tc>
          <w:tcPr>
            <w:tcW w:w="72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$5.80</w:t>
            </w:r>
          </w:p>
        </w:tc>
        <w:tc>
          <w:tcPr>
            <w:tcW w:w="820" w:type="dxa"/>
            <w:vAlign w:val="bottom"/>
            <w:tcBorders>
              <w:bottom w:val="single" w:sz="8" w:color="B2B2B2"/>
            </w:tcBorders>
          </w:tcPr>
          <w:p>
            <w:pPr>
              <w:jc w:val="right"/>
              <w:ind w:right="81"/>
              <w:spacing w:after="0"/>
              <w:rPr>
                <w:sz w:val="20"/>
                <w:szCs w:val="20"/>
                <w:color w:val="auto"/>
              </w:rPr>
            </w:pPr>
            <w:r>
              <w:rPr>
                <w:rFonts w:ascii="Arial" w:cs="Arial" w:eastAsia="Arial" w:hAnsi="Arial"/>
                <w:sz w:val="16"/>
                <w:szCs w:val="16"/>
                <w:color w:val="auto"/>
              </w:rPr>
              <w:t>(16%)</w:t>
            </w:r>
          </w:p>
        </w:tc>
        <w:tc>
          <w:tcPr>
            <w:tcW w:w="900" w:type="dxa"/>
            <w:vAlign w:val="bottom"/>
            <w:tcBorders>
              <w:bottom w:val="single" w:sz="8" w:color="B2B2B2"/>
            </w:tcBorders>
          </w:tcPr>
          <w:p>
            <w:pPr>
              <w:spacing w:after="0"/>
              <w:rPr>
                <w:sz w:val="17"/>
                <w:szCs w:val="17"/>
                <w:color w:val="auto"/>
              </w:rPr>
            </w:pPr>
          </w:p>
        </w:tc>
      </w:tr>
      <w:tr>
        <w:trPr>
          <w:trHeight w:val="204"/>
        </w:trPr>
        <w:tc>
          <w:tcPr>
            <w:tcW w:w="7760" w:type="dxa"/>
            <w:vAlign w:val="bottom"/>
            <w:gridSpan w:val="2"/>
          </w:tcPr>
          <w:p>
            <w:pPr>
              <w:spacing w:after="0"/>
              <w:rPr>
                <w:sz w:val="20"/>
                <w:szCs w:val="20"/>
                <w:color w:val="auto"/>
              </w:rPr>
            </w:pPr>
            <w:r>
              <w:rPr>
                <w:rFonts w:ascii="Arial" w:cs="Arial" w:eastAsia="Arial" w:hAnsi="Arial"/>
                <w:sz w:val="16"/>
                <w:szCs w:val="16"/>
                <w:b w:val="1"/>
                <w:bCs w:val="1"/>
                <w:color w:val="auto"/>
              </w:rPr>
              <w:t>  Non- IFRS Financial Measures</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2"/>
        </w:trPr>
        <w:tc>
          <w:tcPr>
            <w:tcW w:w="7760" w:type="dxa"/>
            <w:vAlign w:val="bottom"/>
            <w:gridSpan w:val="2"/>
          </w:tcPr>
          <w:p>
            <w:pPr>
              <w:spacing w:after="0"/>
              <w:rPr>
                <w:sz w:val="20"/>
                <w:szCs w:val="20"/>
                <w:color w:val="auto"/>
              </w:rPr>
            </w:pPr>
            <w:r>
              <w:rPr>
                <w:rFonts w:ascii="Arial" w:cs="Arial" w:eastAsia="Arial" w:hAnsi="Arial"/>
                <w:sz w:val="16"/>
                <w:szCs w:val="16"/>
                <w:color w:val="auto"/>
              </w:rPr>
              <w:t>  Adjusted earnings</w:t>
            </w:r>
          </w:p>
        </w:tc>
        <w:tc>
          <w:tcPr>
            <w:tcW w:w="60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rPr>
              <w:t>1,701</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1,629</w:t>
            </w:r>
          </w:p>
        </w:tc>
        <w:tc>
          <w:tcPr>
            <w:tcW w:w="820" w:type="dxa"/>
            <w:vAlign w:val="bottom"/>
          </w:tcPr>
          <w:p>
            <w:pPr>
              <w:jc w:val="right"/>
              <w:ind w:right="81"/>
              <w:spacing w:after="0"/>
              <w:rPr>
                <w:sz w:val="20"/>
                <w:szCs w:val="20"/>
                <w:color w:val="auto"/>
              </w:rPr>
            </w:pPr>
            <w:r>
              <w:rPr>
                <w:rFonts w:ascii="Arial" w:cs="Arial" w:eastAsia="Arial" w:hAnsi="Arial"/>
                <w:sz w:val="16"/>
                <w:szCs w:val="16"/>
                <w:color w:val="auto"/>
              </w:rPr>
              <w:t>4%</w:t>
            </w:r>
          </w:p>
        </w:tc>
        <w:tc>
          <w:tcPr>
            <w:tcW w:w="900" w:type="dxa"/>
            <w:vAlign w:val="bottom"/>
          </w:tcPr>
          <w:p>
            <w:pPr>
              <w:spacing w:after="0"/>
              <w:rPr>
                <w:sz w:val="18"/>
                <w:szCs w:val="18"/>
                <w:color w:val="auto"/>
              </w:rPr>
            </w:pPr>
          </w:p>
        </w:tc>
      </w:tr>
      <w:tr>
        <w:trPr>
          <w:trHeight w:val="206"/>
        </w:trPr>
        <w:tc>
          <w:tcPr>
            <w:tcW w:w="7760" w:type="dxa"/>
            <w:vAlign w:val="bottom"/>
            <w:tcBorders>
              <w:bottom w:val="single" w:sz="8" w:color="D64000"/>
            </w:tcBorders>
            <w:gridSpan w:val="2"/>
          </w:tcPr>
          <w:p>
            <w:pPr>
              <w:spacing w:after="0"/>
              <w:rPr>
                <w:sz w:val="20"/>
                <w:szCs w:val="20"/>
                <w:color w:val="auto"/>
              </w:rPr>
            </w:pPr>
            <w:r>
              <w:rPr>
                <w:rFonts w:ascii="Arial" w:cs="Arial" w:eastAsia="Arial" w:hAnsi="Arial"/>
                <w:sz w:val="16"/>
                <w:szCs w:val="16"/>
                <w:color w:val="auto"/>
              </w:rPr>
              <w:t>  Adjusted EPS</w:t>
            </w:r>
          </w:p>
        </w:tc>
        <w:tc>
          <w:tcPr>
            <w:tcW w:w="600" w:type="dxa"/>
            <w:vAlign w:val="bottom"/>
            <w:tcBorders>
              <w:bottom w:val="single" w:sz="8" w:color="D64000"/>
            </w:tcBorders>
            <w:gridSpan w:val="2"/>
          </w:tcPr>
          <w:p>
            <w:pPr>
              <w:jc w:val="right"/>
              <w:ind w:right="21"/>
              <w:spacing w:after="0"/>
              <w:rPr>
                <w:sz w:val="20"/>
                <w:szCs w:val="20"/>
                <w:color w:val="auto"/>
              </w:rPr>
            </w:pPr>
            <w:r>
              <w:rPr>
                <w:rFonts w:ascii="Arial" w:cs="Arial" w:eastAsia="Arial" w:hAnsi="Arial"/>
                <w:sz w:val="16"/>
                <w:szCs w:val="16"/>
                <w:b w:val="1"/>
                <w:bCs w:val="1"/>
                <w:color w:val="auto"/>
              </w:rPr>
              <w:t>$3.77</w:t>
            </w:r>
          </w:p>
        </w:tc>
        <w:tc>
          <w:tcPr>
            <w:tcW w:w="720" w:type="dxa"/>
            <w:vAlign w:val="bottom"/>
            <w:tcBorders>
              <w:bottom w:val="single" w:sz="8" w:color="D64000"/>
            </w:tcBorders>
          </w:tcPr>
          <w:p>
            <w:pPr>
              <w:jc w:val="right"/>
              <w:ind w:right="21"/>
              <w:spacing w:after="0"/>
              <w:rPr>
                <w:sz w:val="20"/>
                <w:szCs w:val="20"/>
                <w:color w:val="auto"/>
              </w:rPr>
            </w:pPr>
            <w:r>
              <w:rPr>
                <w:rFonts w:ascii="Arial" w:cs="Arial" w:eastAsia="Arial" w:hAnsi="Arial"/>
                <w:sz w:val="16"/>
                <w:szCs w:val="16"/>
                <w:color w:val="auto"/>
              </w:rPr>
              <w:t>$3.51</w:t>
            </w:r>
          </w:p>
        </w:tc>
        <w:tc>
          <w:tcPr>
            <w:tcW w:w="820" w:type="dxa"/>
            <w:vAlign w:val="bottom"/>
            <w:tcBorders>
              <w:bottom w:val="single" w:sz="8" w:color="D64000"/>
            </w:tcBorders>
          </w:tcPr>
          <w:p>
            <w:pPr>
              <w:jc w:val="right"/>
              <w:ind w:right="81"/>
              <w:spacing w:after="0"/>
              <w:rPr>
                <w:sz w:val="20"/>
                <w:szCs w:val="20"/>
                <w:color w:val="auto"/>
              </w:rPr>
            </w:pPr>
            <w:r>
              <w:rPr>
                <w:rFonts w:ascii="Arial" w:cs="Arial" w:eastAsia="Arial" w:hAnsi="Arial"/>
                <w:sz w:val="16"/>
                <w:szCs w:val="16"/>
                <w:color w:val="auto"/>
              </w:rPr>
              <w:t>7%</w:t>
            </w:r>
          </w:p>
        </w:tc>
        <w:tc>
          <w:tcPr>
            <w:tcW w:w="900" w:type="dxa"/>
            <w:vAlign w:val="bottom"/>
            <w:tcBorders>
              <w:bottom w:val="single" w:sz="8" w:color="D64000"/>
            </w:tcBorders>
          </w:tcPr>
          <w:p>
            <w:pPr>
              <w:jc w:val="right"/>
              <w:ind w:right="21"/>
              <w:spacing w:after="0"/>
              <w:rPr>
                <w:sz w:val="20"/>
                <w:szCs w:val="20"/>
                <w:color w:val="auto"/>
              </w:rPr>
            </w:pPr>
            <w:r>
              <w:rPr>
                <w:rFonts w:ascii="Arial" w:cs="Arial" w:eastAsia="Arial" w:hAnsi="Arial"/>
                <w:sz w:val="16"/>
                <w:szCs w:val="16"/>
                <w:color w:val="auto"/>
              </w:rPr>
              <w:t>7%</w:t>
            </w:r>
          </w:p>
        </w:tc>
      </w:tr>
    </w:tbl>
    <w:p>
      <w:pPr>
        <w:spacing w:after="0" w:line="71" w:lineRule="exact"/>
        <w:rPr>
          <w:sz w:val="20"/>
          <w:szCs w:val="20"/>
          <w:color w:val="auto"/>
        </w:rPr>
      </w:pPr>
    </w:p>
    <w:p>
      <w:pPr>
        <w:ind w:left="220" w:right="60"/>
        <w:spacing w:after="0" w:line="243" w:lineRule="auto"/>
        <w:rPr>
          <w:sz w:val="20"/>
          <w:szCs w:val="20"/>
          <w:color w:val="auto"/>
        </w:rPr>
      </w:pPr>
      <w:r>
        <w:rPr>
          <w:rFonts w:ascii="Arial" w:cs="Arial" w:eastAsia="Arial" w:hAnsi="Arial"/>
          <w:sz w:val="17"/>
          <w:szCs w:val="17"/>
          <w:color w:val="auto"/>
        </w:rPr>
        <w:t>Net earnings and diluted EPS decreased, compared to the prior year, as lower income tax expense, which reflected a current year $468 million non-cash tax benefit related to tax legislation enacted in Canada, and currency benefits included in other finance income or costs were more than offset by a significant prior-year period increase in the value of our former investment in LSEG, as well as lower operating income.</w:t>
      </w:r>
    </w:p>
    <w:p>
      <w:pPr>
        <w:spacing w:after="0" w:line="42" w:lineRule="exact"/>
        <w:rPr>
          <w:sz w:val="20"/>
          <w:szCs w:val="20"/>
          <w:color w:val="auto"/>
        </w:rPr>
      </w:pPr>
    </w:p>
    <w:p>
      <w:pPr>
        <w:ind w:left="220" w:right="380"/>
        <w:spacing w:after="0" w:line="260" w:lineRule="auto"/>
        <w:rPr>
          <w:sz w:val="20"/>
          <w:szCs w:val="20"/>
          <w:color w:val="auto"/>
        </w:rPr>
      </w:pPr>
      <w:r>
        <w:rPr>
          <w:rFonts w:ascii="Arial" w:cs="Arial" w:eastAsia="Arial" w:hAnsi="Arial"/>
          <w:sz w:val="17"/>
          <w:szCs w:val="17"/>
          <w:color w:val="auto"/>
        </w:rPr>
        <w:t>Adjusted earnings and adjusted EPS, which excludes the non-cash tax benefit, other finance income or costs, changes in value of our former LSEG investment, gains on sales of businesses, as well as other adjustments, increased due to higher adjusted EBITDA.</w:t>
      </w:r>
    </w:p>
    <w:p>
      <w:pPr>
        <w:spacing w:after="0" w:line="40" w:lineRule="exact"/>
        <w:rPr>
          <w:sz w:val="20"/>
          <w:szCs w:val="20"/>
          <w:color w:val="auto"/>
        </w:rPr>
      </w:pPr>
    </w:p>
    <w:p>
      <w:pPr>
        <w:ind w:left="220" w:right="220"/>
        <w:spacing w:after="0" w:line="260" w:lineRule="auto"/>
        <w:rPr>
          <w:sz w:val="20"/>
          <w:szCs w:val="20"/>
          <w:color w:val="auto"/>
        </w:rPr>
      </w:pPr>
      <w:r>
        <w:rPr>
          <w:rFonts w:ascii="Arial" w:cs="Arial" w:eastAsia="Arial" w:hAnsi="Arial"/>
          <w:sz w:val="17"/>
          <w:szCs w:val="17"/>
          <w:color w:val="auto"/>
        </w:rPr>
        <w:t>Both diluted and adjusted EPS also benefited from a reduction in weighted-average common shares outstanding due to share repurchases and our June 2023 return of capital transaction.</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Segment Results</w:t>
      </w:r>
    </w:p>
    <w:p>
      <w:pPr>
        <w:spacing w:after="0" w:line="84" w:lineRule="exact"/>
        <w:rPr>
          <w:sz w:val="20"/>
          <w:szCs w:val="20"/>
          <w:color w:val="auto"/>
        </w:rPr>
      </w:pPr>
    </w:p>
    <w:p>
      <w:pPr>
        <w:ind w:left="220" w:right="200"/>
        <w:spacing w:after="0" w:line="260" w:lineRule="auto"/>
        <w:rPr>
          <w:sz w:val="20"/>
          <w:szCs w:val="20"/>
          <w:color w:val="auto"/>
        </w:rPr>
      </w:pPr>
      <w:r>
        <w:rPr>
          <w:rFonts w:ascii="Arial" w:cs="Arial" w:eastAsia="Arial" w:hAnsi="Arial"/>
          <w:sz w:val="17"/>
          <w:szCs w:val="17"/>
          <w:color w:val="auto"/>
        </w:rPr>
        <w:t>The following is a discussion of our five reportable segments and our Corporate costs. We assess revenue growth for each segment, as well as the businesses within each segment, in constant currency and on an organic basis.</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Legal Professionals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100330</wp:posOffset>
            </wp:positionV>
            <wp:extent cx="68656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8" w:lineRule="exact"/>
        <w:rPr>
          <w:sz w:val="20"/>
          <w:szCs w:val="20"/>
          <w:color w:val="auto"/>
        </w:rPr>
      </w:pPr>
    </w:p>
    <w:tbl>
      <w:tblPr>
        <w:tblLayout w:type="fixed"/>
        <w:tblInd w:w="220" w:type="dxa"/>
        <w:tblCellMar>
          <w:top w:w="0" w:type="dxa"/>
          <w:left w:w="0" w:type="dxa"/>
          <w:bottom w:w="0" w:type="dxa"/>
          <w:right w:w="0" w:type="dxa"/>
        </w:tblCellMar>
      </w:tblPr>
      <w:tr>
        <w:trPr>
          <w:trHeight w:val="239"/>
        </w:trPr>
        <w:tc>
          <w:tcPr>
            <w:tcW w:w="1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220" w:type="dxa"/>
            <w:vAlign w:val="bottom"/>
            <w:shd w:val="clear" w:color="auto" w:fill="E3F3EE"/>
          </w:tcPr>
          <w:p>
            <w:pPr>
              <w:spacing w:after="0"/>
              <w:rPr>
                <w:sz w:val="20"/>
                <w:szCs w:val="20"/>
                <w:color w:val="auto"/>
              </w:rPr>
            </w:pPr>
          </w:p>
        </w:tc>
        <w:tc>
          <w:tcPr>
            <w:tcW w:w="3140" w:type="dxa"/>
            <w:vAlign w:val="bottom"/>
            <w:gridSpan w:val="4"/>
            <w:shd w:val="clear" w:color="auto" w:fill="E3F3EE"/>
          </w:tcPr>
          <w:p>
            <w:pPr>
              <w:jc w:val="right"/>
              <w:ind w:right="281"/>
              <w:spacing w:after="0"/>
              <w:rPr>
                <w:sz w:val="20"/>
                <w:szCs w:val="20"/>
                <w:color w:val="auto"/>
              </w:rPr>
            </w:pPr>
            <w:r>
              <w:rPr>
                <w:rFonts w:ascii="Arial" w:cs="Arial" w:eastAsia="Arial" w:hAnsi="Arial"/>
                <w:sz w:val="16"/>
                <w:szCs w:val="16"/>
                <w:b w:val="1"/>
                <w:bCs w:val="1"/>
                <w:color w:val="auto"/>
              </w:rPr>
              <w:t xml:space="preserve">     Year ended December 31,    </w:t>
            </w:r>
          </w:p>
        </w:tc>
        <w:tc>
          <w:tcPr>
            <w:tcW w:w="820" w:type="dxa"/>
            <w:vAlign w:val="bottom"/>
            <w:shd w:val="clear" w:color="auto" w:fill="E3F3EE"/>
          </w:tcPr>
          <w:p>
            <w:pPr>
              <w:spacing w:after="0"/>
              <w:rPr>
                <w:sz w:val="20"/>
                <w:szCs w:val="20"/>
                <w:color w:val="auto"/>
              </w:rPr>
            </w:pPr>
          </w:p>
        </w:tc>
        <w:tc>
          <w:tcPr>
            <w:tcW w:w="20" w:type="dxa"/>
            <w:vAlign w:val="bottom"/>
          </w:tcPr>
          <w:p>
            <w:pPr>
              <w:spacing w:after="0"/>
              <w:rPr>
                <w:sz w:val="20"/>
                <w:szCs w:val="20"/>
                <w:color w:val="auto"/>
              </w:rPr>
            </w:pPr>
          </w:p>
        </w:tc>
      </w:tr>
      <w:tr>
        <w:trPr>
          <w:trHeight w:val="192"/>
        </w:trPr>
        <w:tc>
          <w:tcPr>
            <w:tcW w:w="160" w:type="dxa"/>
            <w:vAlign w:val="bottom"/>
            <w:tcBorders>
              <w:bottom w:val="single" w:sz="8" w:color="1F473D"/>
            </w:tcBorders>
            <w:shd w:val="clear" w:color="auto" w:fill="1F473D"/>
          </w:tcPr>
          <w:p>
            <w:pPr>
              <w:spacing w:after="0"/>
              <w:rPr>
                <w:sz w:val="16"/>
                <w:szCs w:val="16"/>
                <w:color w:val="auto"/>
              </w:rPr>
            </w:pPr>
          </w:p>
        </w:tc>
        <w:tc>
          <w:tcPr>
            <w:tcW w:w="5460" w:type="dxa"/>
            <w:vAlign w:val="bottom"/>
            <w:tcBorders>
              <w:bottom w:val="single" w:sz="8" w:color="1F473D"/>
            </w:tcBorders>
            <w:shd w:val="clear" w:color="auto" w:fill="1F473D"/>
          </w:tcPr>
          <w:p>
            <w:pPr>
              <w:spacing w:after="0"/>
              <w:rPr>
                <w:sz w:val="16"/>
                <w:szCs w:val="16"/>
                <w:color w:val="auto"/>
              </w:rPr>
            </w:pPr>
          </w:p>
        </w:tc>
        <w:tc>
          <w:tcPr>
            <w:tcW w:w="1220" w:type="dxa"/>
            <w:vAlign w:val="bottom"/>
            <w:tcBorders>
              <w:bottom w:val="single" w:sz="8" w:color="1F473D"/>
            </w:tcBorders>
            <w:shd w:val="clear" w:color="auto" w:fill="1F473D"/>
          </w:tcPr>
          <w:p>
            <w:pPr>
              <w:spacing w:after="0"/>
              <w:rPr>
                <w:sz w:val="16"/>
                <w:szCs w:val="16"/>
                <w:color w:val="auto"/>
              </w:rPr>
            </w:pPr>
          </w:p>
        </w:tc>
        <w:tc>
          <w:tcPr>
            <w:tcW w:w="700" w:type="dxa"/>
            <w:vAlign w:val="bottom"/>
            <w:tcBorders>
              <w:bottom w:val="single" w:sz="8" w:color="1F473D"/>
            </w:tcBorders>
            <w:shd w:val="clear" w:color="auto" w:fill="1F473D"/>
          </w:tcPr>
          <w:p>
            <w:pPr>
              <w:spacing w:after="0"/>
              <w:rPr>
                <w:sz w:val="16"/>
                <w:szCs w:val="16"/>
                <w:color w:val="auto"/>
              </w:rPr>
            </w:pPr>
          </w:p>
        </w:tc>
        <w:tc>
          <w:tcPr>
            <w:tcW w:w="120" w:type="dxa"/>
            <w:vAlign w:val="bottom"/>
            <w:tcBorders>
              <w:bottom w:val="single" w:sz="8" w:color="D64000"/>
            </w:tcBorders>
            <w:shd w:val="clear" w:color="auto" w:fill="1F473D"/>
          </w:tcPr>
          <w:p>
            <w:pPr>
              <w:spacing w:after="0"/>
              <w:rPr>
                <w:sz w:val="16"/>
                <w:szCs w:val="16"/>
                <w:color w:val="auto"/>
              </w:rPr>
            </w:pPr>
          </w:p>
        </w:tc>
        <w:tc>
          <w:tcPr>
            <w:tcW w:w="1180" w:type="dxa"/>
            <w:vAlign w:val="bottom"/>
            <w:tcBorders>
              <w:bottom w:val="single" w:sz="8" w:color="D64000"/>
            </w:tcBorders>
            <w:shd w:val="clear" w:color="auto" w:fill="1F473D"/>
          </w:tcPr>
          <w:p>
            <w:pPr>
              <w:spacing w:after="0"/>
              <w:rPr>
                <w:sz w:val="16"/>
                <w:szCs w:val="16"/>
                <w:color w:val="auto"/>
              </w:rPr>
            </w:pPr>
          </w:p>
        </w:tc>
        <w:tc>
          <w:tcPr>
            <w:tcW w:w="1140" w:type="dxa"/>
            <w:vAlign w:val="bottom"/>
            <w:tcBorders>
              <w:bottom w:val="single" w:sz="8" w:color="D64000"/>
            </w:tcBorders>
            <w:shd w:val="clear" w:color="auto" w:fill="1F473D"/>
          </w:tcPr>
          <w:p>
            <w:pPr>
              <w:jc w:val="right"/>
              <w:ind w:right="201"/>
              <w:spacing w:after="0"/>
              <w:rPr>
                <w:sz w:val="20"/>
                <w:szCs w:val="20"/>
                <w:color w:val="auto"/>
              </w:rPr>
            </w:pPr>
            <w:r>
              <w:rPr>
                <w:rFonts w:ascii="Arial" w:cs="Arial" w:eastAsia="Arial" w:hAnsi="Arial"/>
                <w:sz w:val="16"/>
                <w:szCs w:val="16"/>
                <w:color w:val="FFFFFF"/>
              </w:rPr>
              <w:t>Change</w:t>
            </w:r>
          </w:p>
        </w:tc>
        <w:tc>
          <w:tcPr>
            <w:tcW w:w="820" w:type="dxa"/>
            <w:vAlign w:val="bottom"/>
            <w:tcBorders>
              <w:bottom w:val="single" w:sz="8" w:color="D64000"/>
            </w:tcBorders>
            <w:shd w:val="clear" w:color="auto" w:fill="1F473D"/>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160" w:type="dxa"/>
            <w:vAlign w:val="bottom"/>
            <w:shd w:val="clear" w:color="auto" w:fill="1F473D"/>
          </w:tcPr>
          <w:p>
            <w:pPr>
              <w:spacing w:after="0"/>
              <w:rPr>
                <w:sz w:val="14"/>
                <w:szCs w:val="14"/>
                <w:color w:val="auto"/>
              </w:rPr>
            </w:pPr>
          </w:p>
        </w:tc>
        <w:tc>
          <w:tcPr>
            <w:tcW w:w="5460" w:type="dxa"/>
            <w:vAlign w:val="bottom"/>
            <w:shd w:val="clear" w:color="auto" w:fill="1F473D"/>
          </w:tcPr>
          <w:p>
            <w:pPr>
              <w:spacing w:after="0"/>
              <w:rPr>
                <w:sz w:val="14"/>
                <w:szCs w:val="14"/>
                <w:color w:val="auto"/>
              </w:rPr>
            </w:pPr>
          </w:p>
        </w:tc>
        <w:tc>
          <w:tcPr>
            <w:tcW w:w="1220" w:type="dxa"/>
            <w:vAlign w:val="bottom"/>
            <w:shd w:val="clear" w:color="auto" w:fill="1F473D"/>
          </w:tcPr>
          <w:p>
            <w:pPr>
              <w:spacing w:after="0"/>
              <w:rPr>
                <w:sz w:val="14"/>
                <w:szCs w:val="14"/>
                <w:color w:val="auto"/>
              </w:rPr>
            </w:pPr>
          </w:p>
        </w:tc>
        <w:tc>
          <w:tcPr>
            <w:tcW w:w="700" w:type="dxa"/>
            <w:vAlign w:val="bottom"/>
            <w:shd w:val="clear" w:color="auto" w:fill="1F473D"/>
          </w:tcPr>
          <w:p>
            <w:pPr>
              <w:spacing w:after="0"/>
              <w:rPr>
                <w:sz w:val="14"/>
                <w:szCs w:val="14"/>
                <w:color w:val="auto"/>
              </w:rPr>
            </w:pPr>
          </w:p>
        </w:tc>
        <w:tc>
          <w:tcPr>
            <w:tcW w:w="120" w:type="dxa"/>
            <w:vAlign w:val="bottom"/>
            <w:shd w:val="clear" w:color="auto" w:fill="1F473D"/>
          </w:tcPr>
          <w:p>
            <w:pPr>
              <w:spacing w:after="0"/>
              <w:rPr>
                <w:sz w:val="14"/>
                <w:szCs w:val="14"/>
                <w:color w:val="auto"/>
              </w:rPr>
            </w:pPr>
          </w:p>
        </w:tc>
        <w:tc>
          <w:tcPr>
            <w:tcW w:w="1180" w:type="dxa"/>
            <w:vAlign w:val="bottom"/>
            <w:shd w:val="clear" w:color="auto" w:fill="1F473D"/>
          </w:tcPr>
          <w:p>
            <w:pPr>
              <w:spacing w:after="0"/>
              <w:rPr>
                <w:sz w:val="14"/>
                <w:szCs w:val="14"/>
                <w:color w:val="auto"/>
              </w:rPr>
            </w:pPr>
          </w:p>
        </w:tc>
        <w:tc>
          <w:tcPr>
            <w:tcW w:w="1140" w:type="dxa"/>
            <w:vAlign w:val="bottom"/>
            <w:shd w:val="clear" w:color="auto" w:fill="1F473D"/>
          </w:tcPr>
          <w:p>
            <w:pPr>
              <w:jc w:val="right"/>
              <w:ind w:right="181"/>
              <w:spacing w:after="0" w:line="171" w:lineRule="exact"/>
              <w:rPr>
                <w:sz w:val="20"/>
                <w:szCs w:val="20"/>
                <w:color w:val="auto"/>
              </w:rPr>
            </w:pPr>
            <w:r>
              <w:rPr>
                <w:rFonts w:ascii="Arial" w:cs="Arial" w:eastAsia="Arial" w:hAnsi="Arial"/>
                <w:sz w:val="16"/>
                <w:szCs w:val="16"/>
                <w:color w:val="FFFFFF"/>
              </w:rPr>
              <w:t>Constant</w:t>
            </w:r>
          </w:p>
        </w:tc>
        <w:tc>
          <w:tcPr>
            <w:tcW w:w="820" w:type="dxa"/>
            <w:vAlign w:val="bottom"/>
            <w:shd w:val="clear" w:color="auto" w:fill="1F473D"/>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5620" w:type="dxa"/>
            <w:vAlign w:val="bottom"/>
            <w:tcBorders>
              <w:bottom w:val="single" w:sz="8" w:color="D64000"/>
            </w:tcBorders>
            <w:gridSpan w:val="2"/>
            <w:shd w:val="clear" w:color="auto" w:fill="1F473D"/>
          </w:tcPr>
          <w:p>
            <w:pPr>
              <w:spacing w:after="0"/>
              <w:rPr>
                <w:sz w:val="20"/>
                <w:szCs w:val="20"/>
                <w:color w:val="auto"/>
              </w:rPr>
            </w:pPr>
            <w:r>
              <w:rPr>
                <w:rFonts w:ascii="Arial" w:cs="Arial" w:eastAsia="Arial" w:hAnsi="Arial"/>
                <w:sz w:val="16"/>
                <w:szCs w:val="16"/>
                <w:color w:val="FFFFFF"/>
              </w:rPr>
              <w:t>  (millions of U.S. dollars, except margins)</w:t>
            </w:r>
          </w:p>
        </w:tc>
        <w:tc>
          <w:tcPr>
            <w:tcW w:w="1220" w:type="dxa"/>
            <w:vAlign w:val="bottom"/>
            <w:tcBorders>
              <w:bottom w:val="single" w:sz="8" w:color="D64000"/>
            </w:tcBorders>
            <w:shd w:val="clear" w:color="auto" w:fill="1F473D"/>
          </w:tcPr>
          <w:p>
            <w:pPr>
              <w:jc w:val="right"/>
              <w:ind w:right="181"/>
              <w:spacing w:after="0"/>
              <w:rPr>
                <w:sz w:val="20"/>
                <w:szCs w:val="20"/>
                <w:color w:val="auto"/>
              </w:rPr>
            </w:pPr>
            <w:r>
              <w:rPr>
                <w:rFonts w:ascii="Arial" w:cs="Arial" w:eastAsia="Arial" w:hAnsi="Arial"/>
                <w:sz w:val="16"/>
                <w:szCs w:val="16"/>
                <w:b w:val="1"/>
                <w:bCs w:val="1"/>
                <w:color w:val="FFFFFF"/>
              </w:rPr>
              <w:t>2024</w:t>
            </w:r>
          </w:p>
        </w:tc>
        <w:tc>
          <w:tcPr>
            <w:tcW w:w="70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2023</w:t>
            </w:r>
          </w:p>
        </w:tc>
        <w:tc>
          <w:tcPr>
            <w:tcW w:w="120" w:type="dxa"/>
            <w:vAlign w:val="bottom"/>
            <w:tcBorders>
              <w:bottom w:val="single" w:sz="8" w:color="D64000"/>
            </w:tcBorders>
            <w:shd w:val="clear" w:color="auto" w:fill="1F473D"/>
          </w:tcPr>
          <w:p>
            <w:pPr>
              <w:spacing w:after="0"/>
              <w:rPr>
                <w:sz w:val="17"/>
                <w:szCs w:val="17"/>
                <w:color w:val="auto"/>
              </w:rPr>
            </w:pPr>
          </w:p>
        </w:tc>
        <w:tc>
          <w:tcPr>
            <w:tcW w:w="1180" w:type="dxa"/>
            <w:vAlign w:val="bottom"/>
            <w:tcBorders>
              <w:bottom w:val="single" w:sz="8" w:color="D64000"/>
            </w:tcBorders>
            <w:shd w:val="clear" w:color="auto" w:fill="1F473D"/>
          </w:tcPr>
          <w:p>
            <w:pPr>
              <w:jc w:val="right"/>
              <w:ind w:right="180"/>
              <w:spacing w:after="0"/>
              <w:rPr>
                <w:sz w:val="20"/>
                <w:szCs w:val="20"/>
                <w:color w:val="auto"/>
              </w:rPr>
            </w:pPr>
            <w:r>
              <w:rPr>
                <w:rFonts w:ascii="Arial" w:cs="Arial" w:eastAsia="Arial" w:hAnsi="Arial"/>
                <w:sz w:val="16"/>
                <w:szCs w:val="16"/>
                <w:color w:val="FFFFFF"/>
              </w:rPr>
              <w:t>Total</w:t>
            </w:r>
          </w:p>
        </w:tc>
        <w:tc>
          <w:tcPr>
            <w:tcW w:w="1140" w:type="dxa"/>
            <w:vAlign w:val="bottom"/>
            <w:tcBorders>
              <w:bottom w:val="single" w:sz="8" w:color="D64000"/>
            </w:tcBorders>
            <w:shd w:val="clear" w:color="auto" w:fill="1F473D"/>
          </w:tcPr>
          <w:p>
            <w:pPr>
              <w:jc w:val="right"/>
              <w:ind w:right="181"/>
              <w:spacing w:after="0"/>
              <w:rPr>
                <w:sz w:val="20"/>
                <w:szCs w:val="20"/>
                <w:color w:val="auto"/>
              </w:rPr>
            </w:pPr>
            <w:r>
              <w:rPr>
                <w:rFonts w:ascii="Arial" w:cs="Arial" w:eastAsia="Arial" w:hAnsi="Arial"/>
                <w:sz w:val="16"/>
                <w:szCs w:val="16"/>
                <w:color w:val="FFFFFF"/>
              </w:rPr>
              <w:t>Currency</w:t>
            </w:r>
          </w:p>
        </w:tc>
        <w:tc>
          <w:tcPr>
            <w:tcW w:w="82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Organic</w:t>
            </w:r>
          </w:p>
        </w:tc>
        <w:tc>
          <w:tcPr>
            <w:tcW w:w="20" w:type="dxa"/>
            <w:vAlign w:val="bottom"/>
          </w:tcPr>
          <w:p>
            <w:pPr>
              <w:spacing w:after="0"/>
              <w:rPr>
                <w:sz w:val="17"/>
                <w:szCs w:val="17"/>
                <w:color w:val="auto"/>
              </w:rPr>
            </w:pPr>
          </w:p>
        </w:tc>
      </w:tr>
      <w:tr>
        <w:trPr>
          <w:trHeight w:val="211"/>
        </w:trPr>
        <w:tc>
          <w:tcPr>
            <w:tcW w:w="160" w:type="dxa"/>
            <w:vAlign w:val="bottom"/>
          </w:tcPr>
          <w:p>
            <w:pPr>
              <w:spacing w:after="0"/>
              <w:rPr>
                <w:sz w:val="20"/>
                <w:szCs w:val="20"/>
                <w:color w:val="auto"/>
              </w:rPr>
            </w:pPr>
            <w:r>
              <w:rPr>
                <w:rFonts w:ascii="Arial" w:cs="Arial" w:eastAsia="Arial" w:hAnsi="Arial"/>
                <w:sz w:val="14"/>
                <w:szCs w:val="14"/>
                <w:b w:val="1"/>
                <w:bCs w:val="1"/>
                <w:color w:val="auto"/>
                <w:w w:val="71"/>
              </w:rPr>
              <w:t>   </w:t>
            </w:r>
          </w:p>
        </w:tc>
        <w:tc>
          <w:tcPr>
            <w:tcW w:w="5460" w:type="dxa"/>
            <w:vAlign w:val="bottom"/>
          </w:tcPr>
          <w:p>
            <w:pPr>
              <w:ind w:left="60"/>
              <w:spacing w:after="0"/>
              <w:rPr>
                <w:sz w:val="20"/>
                <w:szCs w:val="20"/>
                <w:color w:val="auto"/>
              </w:rPr>
            </w:pPr>
            <w:r>
              <w:rPr>
                <w:rFonts w:ascii="Arial" w:cs="Arial" w:eastAsia="Arial" w:hAnsi="Arial"/>
                <w:sz w:val="16"/>
                <w:szCs w:val="16"/>
                <w:b w:val="1"/>
                <w:bCs w:val="1"/>
                <w:color w:val="auto"/>
              </w:rPr>
              <w:t>Recurring revenues</w:t>
            </w:r>
          </w:p>
        </w:tc>
        <w:tc>
          <w:tcPr>
            <w:tcW w:w="1220" w:type="dxa"/>
            <w:vAlign w:val="bottom"/>
          </w:tcPr>
          <w:p>
            <w:pPr>
              <w:jc w:val="right"/>
              <w:ind w:right="181"/>
              <w:spacing w:after="0"/>
              <w:rPr>
                <w:sz w:val="20"/>
                <w:szCs w:val="20"/>
                <w:color w:val="auto"/>
              </w:rPr>
            </w:pPr>
            <w:r>
              <w:rPr>
                <w:rFonts w:ascii="Arial" w:cs="Arial" w:eastAsia="Arial" w:hAnsi="Arial"/>
                <w:sz w:val="16"/>
                <w:szCs w:val="16"/>
                <w:b w:val="1"/>
                <w:bCs w:val="1"/>
                <w:color w:val="auto"/>
              </w:rPr>
              <w:t>2,828</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2,674</w:t>
            </w:r>
          </w:p>
        </w:tc>
        <w:tc>
          <w:tcPr>
            <w:tcW w:w="1180" w:type="dxa"/>
            <w:vAlign w:val="bottom"/>
          </w:tcPr>
          <w:p>
            <w:pPr>
              <w:jc w:val="right"/>
              <w:ind w:right="180"/>
              <w:spacing w:after="0"/>
              <w:rPr>
                <w:sz w:val="20"/>
                <w:szCs w:val="20"/>
                <w:color w:val="auto"/>
              </w:rPr>
            </w:pPr>
            <w:r>
              <w:rPr>
                <w:rFonts w:ascii="Arial" w:cs="Arial" w:eastAsia="Arial" w:hAnsi="Arial"/>
                <w:sz w:val="16"/>
                <w:szCs w:val="16"/>
                <w:color w:val="auto"/>
              </w:rPr>
              <w:t>6%</w:t>
            </w:r>
          </w:p>
        </w:tc>
        <w:tc>
          <w:tcPr>
            <w:tcW w:w="1140" w:type="dxa"/>
            <w:vAlign w:val="bottom"/>
          </w:tcPr>
          <w:p>
            <w:pPr>
              <w:jc w:val="right"/>
              <w:ind w:right="181"/>
              <w:spacing w:after="0"/>
              <w:rPr>
                <w:sz w:val="20"/>
                <w:szCs w:val="20"/>
                <w:color w:val="auto"/>
              </w:rPr>
            </w:pPr>
            <w:r>
              <w:rPr>
                <w:rFonts w:ascii="Arial" w:cs="Arial" w:eastAsia="Arial" w:hAnsi="Arial"/>
                <w:sz w:val="16"/>
                <w:szCs w:val="16"/>
                <w:color w:val="auto"/>
              </w:rPr>
              <w:t>6%</w:t>
            </w:r>
          </w:p>
        </w:tc>
        <w:tc>
          <w:tcPr>
            <w:tcW w:w="820" w:type="dxa"/>
            <w:vAlign w:val="bottom"/>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8"/>
                <w:szCs w:val="18"/>
                <w:color w:val="auto"/>
              </w:rPr>
            </w:pPr>
          </w:p>
        </w:tc>
      </w:tr>
      <w:tr>
        <w:trPr>
          <w:trHeight w:val="200"/>
        </w:trPr>
        <w:tc>
          <w:tcPr>
            <w:tcW w:w="160" w:type="dxa"/>
            <w:vAlign w:val="bottom"/>
            <w:tcBorders>
              <w:bottom w:val="single" w:sz="8" w:color="B2B2B2"/>
            </w:tcBorders>
          </w:tcPr>
          <w:p>
            <w:pPr>
              <w:spacing w:after="0"/>
              <w:rPr>
                <w:sz w:val="20"/>
                <w:szCs w:val="20"/>
                <w:color w:val="auto"/>
              </w:rPr>
            </w:pPr>
            <w:r>
              <w:rPr>
                <w:rFonts w:ascii="Arial" w:cs="Arial" w:eastAsia="Arial" w:hAnsi="Arial"/>
                <w:sz w:val="14"/>
                <w:szCs w:val="14"/>
                <w:b w:val="1"/>
                <w:bCs w:val="1"/>
                <w:color w:val="auto"/>
                <w:w w:val="71"/>
              </w:rPr>
              <w:t>   </w:t>
            </w:r>
          </w:p>
        </w:tc>
        <w:tc>
          <w:tcPr>
            <w:tcW w:w="5460" w:type="dxa"/>
            <w:vAlign w:val="bottom"/>
            <w:tcBorders>
              <w:bottom w:val="single" w:sz="8" w:color="B2B2B2"/>
            </w:tcBorders>
          </w:tcPr>
          <w:p>
            <w:pPr>
              <w:ind w:left="60"/>
              <w:spacing w:after="0"/>
              <w:rPr>
                <w:sz w:val="20"/>
                <w:szCs w:val="20"/>
                <w:color w:val="auto"/>
              </w:rPr>
            </w:pPr>
            <w:r>
              <w:rPr>
                <w:rFonts w:ascii="Arial" w:cs="Arial" w:eastAsia="Arial" w:hAnsi="Arial"/>
                <w:sz w:val="16"/>
                <w:szCs w:val="16"/>
                <w:b w:val="1"/>
                <w:bCs w:val="1"/>
                <w:color w:val="auto"/>
              </w:rPr>
              <w:t>Transactions revenues</w:t>
            </w:r>
          </w:p>
        </w:tc>
        <w:tc>
          <w:tcPr>
            <w:tcW w:w="122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b w:val="1"/>
                <w:bCs w:val="1"/>
                <w:color w:val="auto"/>
              </w:rPr>
              <w:t>94</w:t>
            </w:r>
          </w:p>
        </w:tc>
        <w:tc>
          <w:tcPr>
            <w:tcW w:w="7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B2B2B2"/>
            </w:tcBorders>
          </w:tcPr>
          <w:p>
            <w:pPr>
              <w:spacing w:after="0"/>
              <w:rPr>
                <w:sz w:val="17"/>
                <w:szCs w:val="17"/>
                <w:color w:val="auto"/>
              </w:rPr>
            </w:pPr>
          </w:p>
        </w:tc>
        <w:tc>
          <w:tcPr>
            <w:tcW w:w="1180" w:type="dxa"/>
            <w:vAlign w:val="bottom"/>
            <w:tcBorders>
              <w:bottom w:val="single" w:sz="8" w:color="B2B2B2"/>
            </w:tcBorders>
          </w:tcPr>
          <w:p>
            <w:pPr>
              <w:jc w:val="right"/>
              <w:ind w:right="180"/>
              <w:spacing w:after="0"/>
              <w:rPr>
                <w:sz w:val="20"/>
                <w:szCs w:val="20"/>
                <w:color w:val="auto"/>
              </w:rPr>
            </w:pPr>
            <w:r>
              <w:rPr>
                <w:rFonts w:ascii="Arial" w:cs="Arial" w:eastAsia="Arial" w:hAnsi="Arial"/>
                <w:sz w:val="16"/>
                <w:szCs w:val="16"/>
                <w:color w:val="auto"/>
              </w:rPr>
              <w:t>(29%)</w:t>
            </w:r>
          </w:p>
        </w:tc>
        <w:tc>
          <w:tcPr>
            <w:tcW w:w="114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color w:val="auto"/>
              </w:rPr>
              <w:t>(28%)</w:t>
            </w: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r>
      <w:tr>
        <w:trPr>
          <w:trHeight w:val="192"/>
        </w:trPr>
        <w:tc>
          <w:tcPr>
            <w:tcW w:w="562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b w:val="1"/>
                <w:bCs w:val="1"/>
                <w:color w:val="auto"/>
              </w:rPr>
              <w:t>  Revenues</w:t>
            </w:r>
          </w:p>
        </w:tc>
        <w:tc>
          <w:tcPr>
            <w:tcW w:w="122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b w:val="1"/>
                <w:bCs w:val="1"/>
                <w:color w:val="auto"/>
              </w:rPr>
              <w:t>2,922</w:t>
            </w:r>
          </w:p>
        </w:tc>
        <w:tc>
          <w:tcPr>
            <w:tcW w:w="820" w:type="dxa"/>
            <w:vAlign w:val="bottom"/>
            <w:tcBorders>
              <w:bottom w:val="single" w:sz="8" w:color="B2B2B2"/>
            </w:tcBorders>
            <w:gridSpan w:val="2"/>
          </w:tcPr>
          <w:p>
            <w:pPr>
              <w:jc w:val="right"/>
              <w:ind w:right="120"/>
              <w:spacing w:after="0"/>
              <w:rPr>
                <w:sz w:val="20"/>
                <w:szCs w:val="20"/>
                <w:color w:val="auto"/>
              </w:rPr>
            </w:pPr>
            <w:r>
              <w:rPr>
                <w:rFonts w:ascii="Arial" w:cs="Arial" w:eastAsia="Arial" w:hAnsi="Arial"/>
                <w:sz w:val="16"/>
                <w:szCs w:val="16"/>
                <w:color w:val="auto"/>
              </w:rPr>
              <w:t>2,807</w:t>
            </w:r>
          </w:p>
        </w:tc>
        <w:tc>
          <w:tcPr>
            <w:tcW w:w="1180" w:type="dxa"/>
            <w:vAlign w:val="bottom"/>
            <w:tcBorders>
              <w:bottom w:val="single" w:sz="8" w:color="B2B2B2"/>
            </w:tcBorders>
          </w:tcPr>
          <w:p>
            <w:pPr>
              <w:jc w:val="right"/>
              <w:ind w:right="180"/>
              <w:spacing w:after="0"/>
              <w:rPr>
                <w:sz w:val="20"/>
                <w:szCs w:val="20"/>
                <w:color w:val="auto"/>
              </w:rPr>
            </w:pPr>
            <w:r>
              <w:rPr>
                <w:rFonts w:ascii="Arial" w:cs="Arial" w:eastAsia="Arial" w:hAnsi="Arial"/>
                <w:sz w:val="16"/>
                <w:szCs w:val="16"/>
                <w:color w:val="auto"/>
              </w:rPr>
              <w:t>4%</w:t>
            </w:r>
          </w:p>
        </w:tc>
        <w:tc>
          <w:tcPr>
            <w:tcW w:w="114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color w:val="auto"/>
              </w:rPr>
              <w:t>4%</w:t>
            </w: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6"/>
                <w:szCs w:val="16"/>
                <w:color w:val="auto"/>
              </w:rPr>
            </w:pPr>
          </w:p>
        </w:tc>
      </w:tr>
      <w:tr>
        <w:trPr>
          <w:trHeight w:val="204"/>
        </w:trPr>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  Segment adjusted EBITDA</w:t>
            </w:r>
          </w:p>
        </w:tc>
        <w:tc>
          <w:tcPr>
            <w:tcW w:w="1220" w:type="dxa"/>
            <w:vAlign w:val="bottom"/>
          </w:tcPr>
          <w:p>
            <w:pPr>
              <w:jc w:val="right"/>
              <w:ind w:right="181"/>
              <w:spacing w:after="0"/>
              <w:rPr>
                <w:sz w:val="20"/>
                <w:szCs w:val="20"/>
                <w:color w:val="auto"/>
              </w:rPr>
            </w:pPr>
            <w:r>
              <w:rPr>
                <w:rFonts w:ascii="Arial" w:cs="Arial" w:eastAsia="Arial" w:hAnsi="Arial"/>
                <w:sz w:val="16"/>
                <w:szCs w:val="16"/>
                <w:b w:val="1"/>
                <w:bCs w:val="1"/>
                <w:color w:val="auto"/>
              </w:rPr>
              <w:t>1,302</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1,299</w:t>
            </w:r>
          </w:p>
        </w:tc>
        <w:tc>
          <w:tcPr>
            <w:tcW w:w="11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5620" w:type="dxa"/>
            <w:vAlign w:val="bottom"/>
            <w:tcBorders>
              <w:bottom w:val="single" w:sz="8" w:color="D64000"/>
            </w:tcBorders>
            <w:gridSpan w:val="2"/>
          </w:tcPr>
          <w:p>
            <w:pPr>
              <w:spacing w:after="0"/>
              <w:rPr>
                <w:sz w:val="20"/>
                <w:szCs w:val="20"/>
                <w:color w:val="auto"/>
              </w:rPr>
            </w:pPr>
            <w:r>
              <w:rPr>
                <w:rFonts w:ascii="Arial" w:cs="Arial" w:eastAsia="Arial" w:hAnsi="Arial"/>
                <w:sz w:val="16"/>
                <w:szCs w:val="16"/>
                <w:b w:val="1"/>
                <w:bCs w:val="1"/>
                <w:color w:val="auto"/>
              </w:rPr>
              <w:t>  Segment adjusted EBITDA margin</w:t>
            </w:r>
          </w:p>
        </w:tc>
        <w:tc>
          <w:tcPr>
            <w:tcW w:w="1220" w:type="dxa"/>
            <w:vAlign w:val="bottom"/>
            <w:tcBorders>
              <w:bottom w:val="single" w:sz="8" w:color="D64000"/>
            </w:tcBorders>
          </w:tcPr>
          <w:p>
            <w:pPr>
              <w:jc w:val="right"/>
              <w:ind w:right="181"/>
              <w:spacing w:after="0"/>
              <w:rPr>
                <w:sz w:val="20"/>
                <w:szCs w:val="20"/>
                <w:color w:val="auto"/>
              </w:rPr>
            </w:pPr>
            <w:r>
              <w:rPr>
                <w:rFonts w:ascii="Arial" w:cs="Arial" w:eastAsia="Arial" w:hAnsi="Arial"/>
                <w:sz w:val="16"/>
                <w:szCs w:val="16"/>
                <w:b w:val="1"/>
                <w:bCs w:val="1"/>
                <w:color w:val="auto"/>
              </w:rPr>
              <w:t>44.6%</w:t>
            </w:r>
          </w:p>
        </w:tc>
        <w:tc>
          <w:tcPr>
            <w:tcW w:w="820" w:type="dxa"/>
            <w:vAlign w:val="bottom"/>
            <w:tcBorders>
              <w:bottom w:val="single" w:sz="8" w:color="D64000"/>
            </w:tcBorders>
            <w:gridSpan w:val="2"/>
          </w:tcPr>
          <w:p>
            <w:pPr>
              <w:jc w:val="right"/>
              <w:ind w:right="120"/>
              <w:spacing w:after="0"/>
              <w:rPr>
                <w:sz w:val="20"/>
                <w:szCs w:val="20"/>
                <w:color w:val="auto"/>
              </w:rPr>
            </w:pPr>
            <w:r>
              <w:rPr>
                <w:rFonts w:ascii="Arial" w:cs="Arial" w:eastAsia="Arial" w:hAnsi="Arial"/>
                <w:sz w:val="16"/>
                <w:szCs w:val="16"/>
                <w:color w:val="auto"/>
              </w:rPr>
              <w:t>46.2%</w:t>
            </w:r>
          </w:p>
        </w:tc>
        <w:tc>
          <w:tcPr>
            <w:tcW w:w="1180" w:type="dxa"/>
            <w:vAlign w:val="bottom"/>
            <w:tcBorders>
              <w:bottom w:val="single" w:sz="8" w:color="D64000"/>
            </w:tcBorders>
          </w:tcPr>
          <w:p>
            <w:pPr>
              <w:jc w:val="right"/>
              <w:ind w:right="180"/>
              <w:spacing w:after="0"/>
              <w:rPr>
                <w:sz w:val="20"/>
                <w:szCs w:val="20"/>
                <w:color w:val="auto"/>
              </w:rPr>
            </w:pPr>
            <w:r>
              <w:rPr>
                <w:rFonts w:ascii="Arial" w:cs="Arial" w:eastAsia="Arial" w:hAnsi="Arial"/>
                <w:sz w:val="16"/>
                <w:szCs w:val="16"/>
                <w:color w:val="auto"/>
              </w:rPr>
              <w:t>(160)bp</w:t>
            </w:r>
          </w:p>
        </w:tc>
        <w:tc>
          <w:tcPr>
            <w:tcW w:w="1140" w:type="dxa"/>
            <w:vAlign w:val="bottom"/>
            <w:tcBorders>
              <w:bottom w:val="single" w:sz="8" w:color="D64000"/>
            </w:tcBorders>
          </w:tcPr>
          <w:p>
            <w:pPr>
              <w:jc w:val="right"/>
              <w:ind w:right="181"/>
              <w:spacing w:after="0"/>
              <w:rPr>
                <w:sz w:val="20"/>
                <w:szCs w:val="20"/>
                <w:color w:val="auto"/>
              </w:rPr>
            </w:pPr>
            <w:r>
              <w:rPr>
                <w:rFonts w:ascii="Arial" w:cs="Arial" w:eastAsia="Arial" w:hAnsi="Arial"/>
                <w:sz w:val="16"/>
                <w:szCs w:val="16"/>
                <w:color w:val="auto"/>
              </w:rPr>
              <w:t>(180)bp</w:t>
            </w:r>
          </w:p>
        </w:tc>
        <w:tc>
          <w:tcPr>
            <w:tcW w:w="820" w:type="dxa"/>
            <w:vAlign w:val="bottom"/>
            <w:tcBorders>
              <w:bottom w:val="single" w:sz="8" w:color="D64000"/>
            </w:tcBorders>
          </w:tcPr>
          <w:p>
            <w:pPr>
              <w:spacing w:after="0"/>
              <w:rPr>
                <w:sz w:val="17"/>
                <w:szCs w:val="17"/>
                <w:color w:val="auto"/>
              </w:rPr>
            </w:pPr>
          </w:p>
        </w:tc>
        <w:tc>
          <w:tcPr>
            <w:tcW w:w="20" w:type="dxa"/>
            <w:vAlign w:val="bottom"/>
          </w:tcPr>
          <w:p>
            <w:pPr>
              <w:spacing w:after="0"/>
              <w:rPr>
                <w:sz w:val="17"/>
                <w:szCs w:val="17"/>
                <w:color w:val="auto"/>
              </w:rPr>
            </w:pPr>
          </w:p>
        </w:tc>
      </w:tr>
      <w:tr>
        <w:trPr>
          <w:trHeight w:val="172"/>
        </w:trPr>
        <w:tc>
          <w:tcPr>
            <w:tcW w:w="5620" w:type="dxa"/>
            <w:vAlign w:val="bottom"/>
            <w:tcBorders>
              <w:bottom w:val="single" w:sz="8" w:color="7F7F7F"/>
            </w:tcBorders>
            <w:gridSpan w:val="2"/>
          </w:tcPr>
          <w:p>
            <w:pPr>
              <w:spacing w:after="0"/>
              <w:rPr>
                <w:sz w:val="14"/>
                <w:szCs w:val="14"/>
                <w:color w:val="auto"/>
              </w:rPr>
            </w:pPr>
          </w:p>
        </w:tc>
        <w:tc>
          <w:tcPr>
            <w:tcW w:w="1220" w:type="dxa"/>
            <w:vAlign w:val="bottom"/>
            <w:tcBorders>
              <w:bottom w:val="single" w:sz="8" w:color="7F7F7F"/>
            </w:tcBorders>
          </w:tcPr>
          <w:p>
            <w:pPr>
              <w:spacing w:after="0"/>
              <w:rPr>
                <w:sz w:val="14"/>
                <w:szCs w:val="14"/>
                <w:color w:val="auto"/>
              </w:rPr>
            </w:pPr>
          </w:p>
        </w:tc>
        <w:tc>
          <w:tcPr>
            <w:tcW w:w="700" w:type="dxa"/>
            <w:vAlign w:val="bottom"/>
            <w:tcBorders>
              <w:bottom w:val="single" w:sz="8" w:color="7F7F7F"/>
            </w:tcBorders>
          </w:tcPr>
          <w:p>
            <w:pPr>
              <w:spacing w:after="0"/>
              <w:rPr>
                <w:sz w:val="14"/>
                <w:szCs w:val="14"/>
                <w:color w:val="auto"/>
              </w:rPr>
            </w:pPr>
          </w:p>
        </w:tc>
        <w:tc>
          <w:tcPr>
            <w:tcW w:w="120" w:type="dxa"/>
            <w:vAlign w:val="bottom"/>
            <w:tcBorders>
              <w:bottom w:val="single" w:sz="8" w:color="7F7F7F"/>
            </w:tcBorders>
          </w:tcPr>
          <w:p>
            <w:pPr>
              <w:spacing w:after="0"/>
              <w:rPr>
                <w:sz w:val="14"/>
                <w:szCs w:val="14"/>
                <w:color w:val="auto"/>
              </w:rPr>
            </w:pPr>
          </w:p>
        </w:tc>
        <w:tc>
          <w:tcPr>
            <w:tcW w:w="3140" w:type="dxa"/>
            <w:vAlign w:val="bottom"/>
            <w:tcBorders>
              <w:bottom w:val="single" w:sz="8" w:color="7F7F7F"/>
            </w:tcBorders>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28"/>
        </w:trPr>
        <w:tc>
          <w:tcPr>
            <w:tcW w:w="5620" w:type="dxa"/>
            <w:vAlign w:val="bottom"/>
            <w:gridSpan w:val="2"/>
          </w:tcPr>
          <w:p>
            <w:pPr>
              <w:spacing w:after="0"/>
              <w:rPr>
                <w:sz w:val="20"/>
                <w:szCs w:val="20"/>
                <w:color w:val="auto"/>
              </w:rPr>
            </w:pPr>
            <w:r>
              <w:rPr>
                <w:rFonts w:ascii="Arial" w:cs="Arial" w:eastAsia="Arial" w:hAnsi="Arial"/>
                <w:sz w:val="17"/>
                <w:szCs w:val="17"/>
                <w:color w:val="auto"/>
              </w:rPr>
              <w:t>Page 38</w:t>
            </w:r>
          </w:p>
        </w:tc>
        <w:tc>
          <w:tcPr>
            <w:tcW w:w="1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60" w:type="dxa"/>
            <w:vAlign w:val="bottom"/>
            <w:gridSpan w:val="4"/>
          </w:tcPr>
          <w:p>
            <w:pPr>
              <w:ind w:left="100"/>
              <w:spacing w:after="0"/>
              <w:rPr>
                <w:sz w:val="20"/>
                <w:szCs w:val="20"/>
                <w:color w:val="auto"/>
              </w:rPr>
            </w:pPr>
            <w:r>
              <w:rPr>
                <w:rFonts w:ascii="Arial" w:cs="Arial" w:eastAsia="Arial" w:hAnsi="Arial"/>
                <w:sz w:val="17"/>
                <w:szCs w:val="17"/>
                <w:b w:val="1"/>
                <w:bCs w:val="1"/>
                <w:color w:val="auto"/>
                <w:w w:val="98"/>
              </w:rPr>
              <w:t>Thomson Reuters Annual Report 2024</w:t>
            </w:r>
          </w:p>
        </w:tc>
      </w:tr>
    </w:tbl>
    <w:p>
      <w:pPr>
        <w:sectPr>
          <w:pgSz w:w="11900" w:h="16838" w:orient="portrait"/>
          <w:cols w:equalWidth="0" w:num="1">
            <w:col w:w="11040"/>
          </w:cols>
          <w:pgMar w:left="320" w:top="477" w:right="5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120"/>
        <w:spacing w:after="0" w:line="260" w:lineRule="auto"/>
        <w:rPr>
          <w:sz w:val="20"/>
          <w:szCs w:val="20"/>
          <w:color w:val="auto"/>
        </w:rPr>
      </w:pPr>
      <w:r>
        <w:rPr>
          <w:rFonts w:ascii="Arial" w:cs="Arial" w:eastAsia="Arial" w:hAnsi="Arial"/>
          <w:sz w:val="17"/>
          <w:szCs w:val="17"/>
          <w:color w:val="auto"/>
        </w:rPr>
        <w:t>Revenues increased in total and in constant currency driven by organic revenue growth. Acquisitions added to growth, but were more than offset by the loss of revenues from the divestitures of the Elite business in June of 2023 and FindLaw in December 2024.</w:t>
      </w:r>
    </w:p>
    <w:p>
      <w:pPr>
        <w:spacing w:after="0" w:line="27" w:lineRule="exact"/>
        <w:rPr>
          <w:sz w:val="20"/>
          <w:szCs w:val="20"/>
          <w:color w:val="auto"/>
        </w:rPr>
      </w:pPr>
    </w:p>
    <w:p>
      <w:pPr>
        <w:ind w:left="220" w:right="220"/>
        <w:spacing w:after="0" w:line="238" w:lineRule="auto"/>
        <w:rPr>
          <w:sz w:val="20"/>
          <w:szCs w:val="20"/>
          <w:color w:val="auto"/>
        </w:rPr>
      </w:pPr>
      <w:r>
        <w:rPr>
          <w:rFonts w:ascii="Arial" w:cs="Arial" w:eastAsia="Arial" w:hAnsi="Arial"/>
          <w:sz w:val="17"/>
          <w:szCs w:val="17"/>
          <w:color w:val="auto"/>
        </w:rPr>
        <w:t>On an organic basis, revenues grew 7% due to growth in recurring revenues led by Westlaw, CoCounsel, Practical Law, and the segment’s international businesses. The migration of customers from a Global Print product to Westlaw benefited the segment’s year-over-year revenue growth by $19 million. Recurring revenues represented 97% of the Legal Professionals segment revenues. Transactions revenues declined 2% organically.</w:t>
      </w:r>
    </w:p>
    <w:p>
      <w:pPr>
        <w:spacing w:after="0" w:line="59" w:lineRule="exact"/>
        <w:rPr>
          <w:sz w:val="20"/>
          <w:szCs w:val="20"/>
          <w:color w:val="auto"/>
        </w:rPr>
      </w:pPr>
    </w:p>
    <w:p>
      <w:pPr>
        <w:ind w:left="220" w:right="640"/>
        <w:spacing w:after="0" w:line="291" w:lineRule="auto"/>
        <w:rPr>
          <w:sz w:val="20"/>
          <w:szCs w:val="20"/>
          <w:color w:val="auto"/>
        </w:rPr>
      </w:pPr>
      <w:r>
        <w:rPr>
          <w:rFonts w:ascii="Arial" w:cs="Arial" w:eastAsia="Arial" w:hAnsi="Arial"/>
          <w:sz w:val="16"/>
          <w:szCs w:val="16"/>
          <w:color w:val="auto"/>
        </w:rPr>
        <w:t>Segment adjusted EBITDA was essentially unchanged and the related margin declined 160bp to 44.6% reflecting higher investments and incentive compensation expense. Foreign currency benefited the year-over-year change in segment adjusted EBITDA margin by 20bp.</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Corporates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100330</wp:posOffset>
            </wp:positionV>
            <wp:extent cx="68656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8"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220" w:type="dxa"/>
            <w:vAlign w:val="bottom"/>
            <w:shd w:val="clear" w:color="auto" w:fill="E3F3EE"/>
          </w:tcPr>
          <w:p>
            <w:pPr>
              <w:spacing w:after="0"/>
              <w:rPr>
                <w:sz w:val="20"/>
                <w:szCs w:val="20"/>
                <w:color w:val="auto"/>
              </w:rPr>
            </w:pPr>
          </w:p>
        </w:tc>
        <w:tc>
          <w:tcPr>
            <w:tcW w:w="3140" w:type="dxa"/>
            <w:vAlign w:val="bottom"/>
            <w:gridSpan w:val="4"/>
            <w:shd w:val="clear" w:color="auto" w:fill="E3F3EE"/>
          </w:tcPr>
          <w:p>
            <w:pPr>
              <w:jc w:val="right"/>
              <w:ind w:right="281"/>
              <w:spacing w:after="0"/>
              <w:rPr>
                <w:sz w:val="20"/>
                <w:szCs w:val="20"/>
                <w:color w:val="auto"/>
              </w:rPr>
            </w:pPr>
            <w:r>
              <w:rPr>
                <w:rFonts w:ascii="Arial" w:cs="Arial" w:eastAsia="Arial" w:hAnsi="Arial"/>
                <w:sz w:val="16"/>
                <w:szCs w:val="16"/>
                <w:b w:val="1"/>
                <w:bCs w:val="1"/>
                <w:color w:val="auto"/>
              </w:rPr>
              <w:t xml:space="preserve">     Year ended December 31,    </w:t>
            </w:r>
          </w:p>
        </w:tc>
        <w:tc>
          <w:tcPr>
            <w:tcW w:w="820" w:type="dxa"/>
            <w:vAlign w:val="bottom"/>
            <w:shd w:val="clear" w:color="auto" w:fill="E3F3EE"/>
          </w:tcPr>
          <w:p>
            <w:pPr>
              <w:spacing w:after="0"/>
              <w:rPr>
                <w:sz w:val="20"/>
                <w:szCs w:val="20"/>
                <w:color w:val="auto"/>
              </w:rPr>
            </w:pPr>
          </w:p>
        </w:tc>
      </w:tr>
      <w:tr>
        <w:trPr>
          <w:trHeight w:val="192"/>
        </w:trPr>
        <w:tc>
          <w:tcPr>
            <w:tcW w:w="100" w:type="dxa"/>
            <w:vAlign w:val="bottom"/>
            <w:tcBorders>
              <w:bottom w:val="single" w:sz="8" w:color="1F473D"/>
            </w:tcBorders>
            <w:shd w:val="clear" w:color="auto" w:fill="1F473D"/>
          </w:tcPr>
          <w:p>
            <w:pPr>
              <w:spacing w:after="0"/>
              <w:rPr>
                <w:sz w:val="16"/>
                <w:szCs w:val="16"/>
                <w:color w:val="auto"/>
              </w:rPr>
            </w:pPr>
          </w:p>
        </w:tc>
        <w:tc>
          <w:tcPr>
            <w:tcW w:w="5520" w:type="dxa"/>
            <w:vAlign w:val="bottom"/>
            <w:tcBorders>
              <w:bottom w:val="single" w:sz="8" w:color="1F473D"/>
            </w:tcBorders>
            <w:shd w:val="clear" w:color="auto" w:fill="1F473D"/>
          </w:tcPr>
          <w:p>
            <w:pPr>
              <w:spacing w:after="0"/>
              <w:rPr>
                <w:sz w:val="16"/>
                <w:szCs w:val="16"/>
                <w:color w:val="auto"/>
              </w:rPr>
            </w:pPr>
          </w:p>
        </w:tc>
        <w:tc>
          <w:tcPr>
            <w:tcW w:w="1220" w:type="dxa"/>
            <w:vAlign w:val="bottom"/>
            <w:tcBorders>
              <w:bottom w:val="single" w:sz="8" w:color="1F473D"/>
            </w:tcBorders>
            <w:shd w:val="clear" w:color="auto" w:fill="1F473D"/>
          </w:tcPr>
          <w:p>
            <w:pPr>
              <w:spacing w:after="0"/>
              <w:rPr>
                <w:sz w:val="16"/>
                <w:szCs w:val="16"/>
                <w:color w:val="auto"/>
              </w:rPr>
            </w:pPr>
          </w:p>
        </w:tc>
        <w:tc>
          <w:tcPr>
            <w:tcW w:w="700" w:type="dxa"/>
            <w:vAlign w:val="bottom"/>
            <w:tcBorders>
              <w:bottom w:val="single" w:sz="8" w:color="1F473D"/>
            </w:tcBorders>
            <w:shd w:val="clear" w:color="auto" w:fill="1F473D"/>
          </w:tcPr>
          <w:p>
            <w:pPr>
              <w:spacing w:after="0"/>
              <w:rPr>
                <w:sz w:val="16"/>
                <w:szCs w:val="16"/>
                <w:color w:val="auto"/>
              </w:rPr>
            </w:pPr>
          </w:p>
        </w:tc>
        <w:tc>
          <w:tcPr>
            <w:tcW w:w="240" w:type="dxa"/>
            <w:vAlign w:val="bottom"/>
            <w:tcBorders>
              <w:bottom w:val="single" w:sz="8" w:color="D64000"/>
            </w:tcBorders>
            <w:shd w:val="clear" w:color="auto" w:fill="1F473D"/>
          </w:tcPr>
          <w:p>
            <w:pPr>
              <w:spacing w:after="0"/>
              <w:rPr>
                <w:sz w:val="16"/>
                <w:szCs w:val="16"/>
                <w:color w:val="auto"/>
              </w:rPr>
            </w:pPr>
          </w:p>
        </w:tc>
        <w:tc>
          <w:tcPr>
            <w:tcW w:w="1060" w:type="dxa"/>
            <w:vAlign w:val="bottom"/>
            <w:tcBorders>
              <w:bottom w:val="single" w:sz="8" w:color="D64000"/>
            </w:tcBorders>
            <w:shd w:val="clear" w:color="auto" w:fill="1F473D"/>
          </w:tcPr>
          <w:p>
            <w:pPr>
              <w:spacing w:after="0"/>
              <w:rPr>
                <w:sz w:val="16"/>
                <w:szCs w:val="16"/>
                <w:color w:val="auto"/>
              </w:rPr>
            </w:pPr>
          </w:p>
        </w:tc>
        <w:tc>
          <w:tcPr>
            <w:tcW w:w="1140" w:type="dxa"/>
            <w:vAlign w:val="bottom"/>
            <w:tcBorders>
              <w:bottom w:val="single" w:sz="8" w:color="D64000"/>
            </w:tcBorders>
            <w:shd w:val="clear" w:color="auto" w:fill="1F473D"/>
          </w:tcPr>
          <w:p>
            <w:pPr>
              <w:jc w:val="right"/>
              <w:ind w:right="201"/>
              <w:spacing w:after="0"/>
              <w:rPr>
                <w:sz w:val="20"/>
                <w:szCs w:val="20"/>
                <w:color w:val="auto"/>
              </w:rPr>
            </w:pPr>
            <w:r>
              <w:rPr>
                <w:rFonts w:ascii="Arial" w:cs="Arial" w:eastAsia="Arial" w:hAnsi="Arial"/>
                <w:sz w:val="16"/>
                <w:szCs w:val="16"/>
                <w:color w:val="FFFFFF"/>
              </w:rPr>
              <w:t>Change</w:t>
            </w:r>
          </w:p>
        </w:tc>
        <w:tc>
          <w:tcPr>
            <w:tcW w:w="820" w:type="dxa"/>
            <w:vAlign w:val="bottom"/>
            <w:tcBorders>
              <w:bottom w:val="single" w:sz="8" w:color="D64000"/>
            </w:tcBorders>
            <w:shd w:val="clear" w:color="auto" w:fill="1F473D"/>
          </w:tcPr>
          <w:p>
            <w:pPr>
              <w:spacing w:after="0"/>
              <w:rPr>
                <w:sz w:val="16"/>
                <w:szCs w:val="16"/>
                <w:color w:val="auto"/>
              </w:rPr>
            </w:pPr>
          </w:p>
        </w:tc>
      </w:tr>
      <w:tr>
        <w:trPr>
          <w:trHeight w:val="171"/>
        </w:trPr>
        <w:tc>
          <w:tcPr>
            <w:tcW w:w="100" w:type="dxa"/>
            <w:vAlign w:val="bottom"/>
            <w:shd w:val="clear" w:color="auto" w:fill="1F473D"/>
          </w:tcPr>
          <w:p>
            <w:pPr>
              <w:spacing w:after="0"/>
              <w:rPr>
                <w:sz w:val="14"/>
                <w:szCs w:val="14"/>
                <w:color w:val="auto"/>
              </w:rPr>
            </w:pPr>
          </w:p>
        </w:tc>
        <w:tc>
          <w:tcPr>
            <w:tcW w:w="5520" w:type="dxa"/>
            <w:vAlign w:val="bottom"/>
            <w:shd w:val="clear" w:color="auto" w:fill="1F473D"/>
          </w:tcPr>
          <w:p>
            <w:pPr>
              <w:spacing w:after="0"/>
              <w:rPr>
                <w:sz w:val="14"/>
                <w:szCs w:val="14"/>
                <w:color w:val="auto"/>
              </w:rPr>
            </w:pPr>
          </w:p>
        </w:tc>
        <w:tc>
          <w:tcPr>
            <w:tcW w:w="1220" w:type="dxa"/>
            <w:vAlign w:val="bottom"/>
            <w:shd w:val="clear" w:color="auto" w:fill="1F473D"/>
          </w:tcPr>
          <w:p>
            <w:pPr>
              <w:spacing w:after="0"/>
              <w:rPr>
                <w:sz w:val="14"/>
                <w:szCs w:val="14"/>
                <w:color w:val="auto"/>
              </w:rPr>
            </w:pPr>
          </w:p>
        </w:tc>
        <w:tc>
          <w:tcPr>
            <w:tcW w:w="700" w:type="dxa"/>
            <w:vAlign w:val="bottom"/>
            <w:shd w:val="clear" w:color="auto" w:fill="1F473D"/>
          </w:tcPr>
          <w:p>
            <w:pPr>
              <w:spacing w:after="0"/>
              <w:rPr>
                <w:sz w:val="14"/>
                <w:szCs w:val="14"/>
                <w:color w:val="auto"/>
              </w:rPr>
            </w:pPr>
          </w:p>
        </w:tc>
        <w:tc>
          <w:tcPr>
            <w:tcW w:w="240" w:type="dxa"/>
            <w:vAlign w:val="bottom"/>
            <w:shd w:val="clear" w:color="auto" w:fill="1F473D"/>
          </w:tcPr>
          <w:p>
            <w:pPr>
              <w:spacing w:after="0"/>
              <w:rPr>
                <w:sz w:val="14"/>
                <w:szCs w:val="14"/>
                <w:color w:val="auto"/>
              </w:rPr>
            </w:pPr>
          </w:p>
        </w:tc>
        <w:tc>
          <w:tcPr>
            <w:tcW w:w="1060" w:type="dxa"/>
            <w:vAlign w:val="bottom"/>
            <w:shd w:val="clear" w:color="auto" w:fill="1F473D"/>
          </w:tcPr>
          <w:p>
            <w:pPr>
              <w:spacing w:after="0"/>
              <w:rPr>
                <w:sz w:val="14"/>
                <w:szCs w:val="14"/>
                <w:color w:val="auto"/>
              </w:rPr>
            </w:pPr>
          </w:p>
        </w:tc>
        <w:tc>
          <w:tcPr>
            <w:tcW w:w="1140" w:type="dxa"/>
            <w:vAlign w:val="bottom"/>
            <w:shd w:val="clear" w:color="auto" w:fill="1F473D"/>
          </w:tcPr>
          <w:p>
            <w:pPr>
              <w:jc w:val="right"/>
              <w:ind w:right="181"/>
              <w:spacing w:after="0" w:line="171" w:lineRule="exact"/>
              <w:rPr>
                <w:sz w:val="20"/>
                <w:szCs w:val="20"/>
                <w:color w:val="auto"/>
              </w:rPr>
            </w:pPr>
            <w:r>
              <w:rPr>
                <w:rFonts w:ascii="Arial" w:cs="Arial" w:eastAsia="Arial" w:hAnsi="Arial"/>
                <w:sz w:val="16"/>
                <w:szCs w:val="16"/>
                <w:color w:val="FFFFFF"/>
              </w:rPr>
              <w:t>Constant</w:t>
            </w:r>
          </w:p>
        </w:tc>
        <w:tc>
          <w:tcPr>
            <w:tcW w:w="820" w:type="dxa"/>
            <w:vAlign w:val="bottom"/>
            <w:shd w:val="clear" w:color="auto" w:fill="1F473D"/>
          </w:tcPr>
          <w:p>
            <w:pPr>
              <w:spacing w:after="0"/>
              <w:rPr>
                <w:sz w:val="14"/>
                <w:szCs w:val="14"/>
                <w:color w:val="auto"/>
              </w:rPr>
            </w:pPr>
          </w:p>
        </w:tc>
      </w:tr>
      <w:tr>
        <w:trPr>
          <w:trHeight w:val="206"/>
        </w:trPr>
        <w:tc>
          <w:tcPr>
            <w:tcW w:w="5620" w:type="dxa"/>
            <w:vAlign w:val="bottom"/>
            <w:tcBorders>
              <w:bottom w:val="single" w:sz="8" w:color="D64000"/>
            </w:tcBorders>
            <w:gridSpan w:val="2"/>
            <w:shd w:val="clear" w:color="auto" w:fill="1F473D"/>
          </w:tcPr>
          <w:p>
            <w:pPr>
              <w:spacing w:after="0"/>
              <w:rPr>
                <w:sz w:val="20"/>
                <w:szCs w:val="20"/>
                <w:color w:val="auto"/>
              </w:rPr>
            </w:pPr>
            <w:r>
              <w:rPr>
                <w:rFonts w:ascii="Arial" w:cs="Arial" w:eastAsia="Arial" w:hAnsi="Arial"/>
                <w:sz w:val="16"/>
                <w:szCs w:val="16"/>
                <w:color w:val="FFFFFF"/>
              </w:rPr>
              <w:t>  (millions of U.S. dollars, except margins)</w:t>
            </w:r>
          </w:p>
        </w:tc>
        <w:tc>
          <w:tcPr>
            <w:tcW w:w="1220" w:type="dxa"/>
            <w:vAlign w:val="bottom"/>
            <w:tcBorders>
              <w:bottom w:val="single" w:sz="8" w:color="D64000"/>
            </w:tcBorders>
            <w:shd w:val="clear" w:color="auto" w:fill="1F473D"/>
          </w:tcPr>
          <w:p>
            <w:pPr>
              <w:jc w:val="right"/>
              <w:ind w:right="181"/>
              <w:spacing w:after="0"/>
              <w:rPr>
                <w:sz w:val="20"/>
                <w:szCs w:val="20"/>
                <w:color w:val="auto"/>
              </w:rPr>
            </w:pPr>
            <w:r>
              <w:rPr>
                <w:rFonts w:ascii="Arial" w:cs="Arial" w:eastAsia="Arial" w:hAnsi="Arial"/>
                <w:sz w:val="16"/>
                <w:szCs w:val="16"/>
                <w:b w:val="1"/>
                <w:bCs w:val="1"/>
                <w:color w:val="FFFFFF"/>
              </w:rPr>
              <w:t>2024</w:t>
            </w:r>
          </w:p>
        </w:tc>
        <w:tc>
          <w:tcPr>
            <w:tcW w:w="70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2023</w:t>
            </w:r>
          </w:p>
        </w:tc>
        <w:tc>
          <w:tcPr>
            <w:tcW w:w="240" w:type="dxa"/>
            <w:vAlign w:val="bottom"/>
            <w:tcBorders>
              <w:bottom w:val="single" w:sz="8" w:color="D64000"/>
            </w:tcBorders>
            <w:shd w:val="clear" w:color="auto" w:fill="1F473D"/>
          </w:tcPr>
          <w:p>
            <w:pPr>
              <w:spacing w:after="0"/>
              <w:rPr>
                <w:sz w:val="17"/>
                <w:szCs w:val="17"/>
                <w:color w:val="auto"/>
              </w:rPr>
            </w:pPr>
          </w:p>
        </w:tc>
        <w:tc>
          <w:tcPr>
            <w:tcW w:w="1060" w:type="dxa"/>
            <w:vAlign w:val="bottom"/>
            <w:tcBorders>
              <w:bottom w:val="single" w:sz="8" w:color="D64000"/>
            </w:tcBorders>
            <w:shd w:val="clear" w:color="auto" w:fill="1F473D"/>
          </w:tcPr>
          <w:p>
            <w:pPr>
              <w:jc w:val="right"/>
              <w:ind w:right="181"/>
              <w:spacing w:after="0"/>
              <w:rPr>
                <w:sz w:val="20"/>
                <w:szCs w:val="20"/>
                <w:color w:val="auto"/>
              </w:rPr>
            </w:pPr>
            <w:r>
              <w:rPr>
                <w:rFonts w:ascii="Arial" w:cs="Arial" w:eastAsia="Arial" w:hAnsi="Arial"/>
                <w:sz w:val="16"/>
                <w:szCs w:val="16"/>
                <w:color w:val="FFFFFF"/>
              </w:rPr>
              <w:t>Total</w:t>
            </w:r>
          </w:p>
        </w:tc>
        <w:tc>
          <w:tcPr>
            <w:tcW w:w="1140" w:type="dxa"/>
            <w:vAlign w:val="bottom"/>
            <w:tcBorders>
              <w:bottom w:val="single" w:sz="8" w:color="D64000"/>
            </w:tcBorders>
            <w:shd w:val="clear" w:color="auto" w:fill="1F473D"/>
          </w:tcPr>
          <w:p>
            <w:pPr>
              <w:jc w:val="right"/>
              <w:ind w:right="181"/>
              <w:spacing w:after="0"/>
              <w:rPr>
                <w:sz w:val="20"/>
                <w:szCs w:val="20"/>
                <w:color w:val="auto"/>
              </w:rPr>
            </w:pPr>
            <w:r>
              <w:rPr>
                <w:rFonts w:ascii="Arial" w:cs="Arial" w:eastAsia="Arial" w:hAnsi="Arial"/>
                <w:sz w:val="16"/>
                <w:szCs w:val="16"/>
                <w:color w:val="FFFFFF"/>
              </w:rPr>
              <w:t>Currency</w:t>
            </w:r>
          </w:p>
        </w:tc>
        <w:tc>
          <w:tcPr>
            <w:tcW w:w="82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Organic</w:t>
            </w:r>
          </w:p>
        </w:tc>
      </w:tr>
      <w:tr>
        <w:trPr>
          <w:trHeight w:val="211"/>
        </w:trPr>
        <w:tc>
          <w:tcPr>
            <w:tcW w:w="100" w:type="dxa"/>
            <w:vAlign w:val="bottom"/>
          </w:tcPr>
          <w:p>
            <w:pPr>
              <w:spacing w:after="0"/>
              <w:rPr>
                <w:sz w:val="20"/>
                <w:szCs w:val="20"/>
                <w:color w:val="auto"/>
              </w:rPr>
            </w:pPr>
            <w:r>
              <w:rPr>
                <w:rFonts w:ascii="Arial" w:cs="Arial" w:eastAsia="Arial" w:hAnsi="Arial"/>
                <w:sz w:val="11"/>
                <w:szCs w:val="11"/>
                <w:b w:val="1"/>
                <w:bCs w:val="1"/>
                <w:color w:val="auto"/>
                <w:w w:val="72"/>
              </w:rPr>
              <w:t> </w:t>
            </w:r>
          </w:p>
        </w:tc>
        <w:tc>
          <w:tcPr>
            <w:tcW w:w="5520" w:type="dxa"/>
            <w:vAlign w:val="bottom"/>
          </w:tcPr>
          <w:p>
            <w:pPr>
              <w:ind w:left="60"/>
              <w:spacing w:after="0"/>
              <w:rPr>
                <w:sz w:val="20"/>
                <w:szCs w:val="20"/>
                <w:color w:val="auto"/>
              </w:rPr>
            </w:pPr>
            <w:r>
              <w:rPr>
                <w:rFonts w:ascii="Arial" w:cs="Arial" w:eastAsia="Arial" w:hAnsi="Arial"/>
                <w:sz w:val="16"/>
                <w:szCs w:val="16"/>
                <w:b w:val="1"/>
                <w:bCs w:val="1"/>
                <w:color w:val="auto"/>
              </w:rPr>
              <w:t>  Recurring revenues</w:t>
            </w:r>
          </w:p>
        </w:tc>
        <w:tc>
          <w:tcPr>
            <w:tcW w:w="1220" w:type="dxa"/>
            <w:vAlign w:val="bottom"/>
          </w:tcPr>
          <w:p>
            <w:pPr>
              <w:jc w:val="right"/>
              <w:ind w:right="181"/>
              <w:spacing w:after="0"/>
              <w:rPr>
                <w:sz w:val="20"/>
                <w:szCs w:val="20"/>
                <w:color w:val="auto"/>
              </w:rPr>
            </w:pPr>
            <w:r>
              <w:rPr>
                <w:rFonts w:ascii="Arial" w:cs="Arial" w:eastAsia="Arial" w:hAnsi="Arial"/>
                <w:sz w:val="16"/>
                <w:szCs w:val="16"/>
                <w:b w:val="1"/>
                <w:bCs w:val="1"/>
                <w:color w:val="auto"/>
              </w:rPr>
              <w:t>1,543</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1,373</w:t>
            </w:r>
          </w:p>
        </w:tc>
        <w:tc>
          <w:tcPr>
            <w:tcW w:w="1060" w:type="dxa"/>
            <w:vAlign w:val="bottom"/>
          </w:tcPr>
          <w:p>
            <w:pPr>
              <w:jc w:val="right"/>
              <w:ind w:right="181"/>
              <w:spacing w:after="0"/>
              <w:rPr>
                <w:sz w:val="20"/>
                <w:szCs w:val="20"/>
                <w:color w:val="auto"/>
              </w:rPr>
            </w:pPr>
            <w:r>
              <w:rPr>
                <w:rFonts w:ascii="Arial" w:cs="Arial" w:eastAsia="Arial" w:hAnsi="Arial"/>
                <w:sz w:val="16"/>
                <w:szCs w:val="16"/>
                <w:color w:val="auto"/>
              </w:rPr>
              <w:t>12%</w:t>
            </w:r>
          </w:p>
        </w:tc>
        <w:tc>
          <w:tcPr>
            <w:tcW w:w="1140" w:type="dxa"/>
            <w:vAlign w:val="bottom"/>
          </w:tcPr>
          <w:p>
            <w:pPr>
              <w:jc w:val="right"/>
              <w:ind w:right="181"/>
              <w:spacing w:after="0"/>
              <w:rPr>
                <w:sz w:val="20"/>
                <w:szCs w:val="20"/>
                <w:color w:val="auto"/>
              </w:rPr>
            </w:pPr>
            <w:r>
              <w:rPr>
                <w:rFonts w:ascii="Arial" w:cs="Arial" w:eastAsia="Arial" w:hAnsi="Arial"/>
                <w:sz w:val="16"/>
                <w:szCs w:val="16"/>
                <w:color w:val="auto"/>
              </w:rPr>
              <w:t>13%</w:t>
            </w: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00"/>
        </w:trPr>
        <w:tc>
          <w:tcPr>
            <w:tcW w:w="100" w:type="dxa"/>
            <w:vAlign w:val="bottom"/>
            <w:tcBorders>
              <w:bottom w:val="single" w:sz="8" w:color="B2B2B2"/>
            </w:tcBorders>
          </w:tcPr>
          <w:p>
            <w:pPr>
              <w:spacing w:after="0"/>
              <w:rPr>
                <w:sz w:val="20"/>
                <w:szCs w:val="20"/>
                <w:color w:val="auto"/>
              </w:rPr>
            </w:pPr>
            <w:r>
              <w:rPr>
                <w:rFonts w:ascii="Arial" w:cs="Arial" w:eastAsia="Arial" w:hAnsi="Arial"/>
                <w:sz w:val="11"/>
                <w:szCs w:val="11"/>
                <w:b w:val="1"/>
                <w:bCs w:val="1"/>
                <w:color w:val="auto"/>
                <w:w w:val="72"/>
              </w:rPr>
              <w:t> </w:t>
            </w:r>
          </w:p>
        </w:tc>
        <w:tc>
          <w:tcPr>
            <w:tcW w:w="5520" w:type="dxa"/>
            <w:vAlign w:val="bottom"/>
            <w:tcBorders>
              <w:bottom w:val="single" w:sz="8" w:color="B2B2B2"/>
            </w:tcBorders>
          </w:tcPr>
          <w:p>
            <w:pPr>
              <w:ind w:left="60"/>
              <w:spacing w:after="0"/>
              <w:rPr>
                <w:sz w:val="20"/>
                <w:szCs w:val="20"/>
                <w:color w:val="auto"/>
              </w:rPr>
            </w:pPr>
            <w:r>
              <w:rPr>
                <w:rFonts w:ascii="Arial" w:cs="Arial" w:eastAsia="Arial" w:hAnsi="Arial"/>
                <w:sz w:val="16"/>
                <w:szCs w:val="16"/>
                <w:b w:val="1"/>
                <w:bCs w:val="1"/>
                <w:color w:val="auto"/>
              </w:rPr>
              <w:t>  Transactions revenues</w:t>
            </w:r>
          </w:p>
        </w:tc>
        <w:tc>
          <w:tcPr>
            <w:tcW w:w="122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b w:val="1"/>
                <w:bCs w:val="1"/>
                <w:color w:val="auto"/>
              </w:rPr>
              <w:t>301</w:t>
            </w:r>
          </w:p>
        </w:tc>
        <w:tc>
          <w:tcPr>
            <w:tcW w:w="7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247</w:t>
            </w:r>
          </w:p>
        </w:tc>
        <w:tc>
          <w:tcPr>
            <w:tcW w:w="240" w:type="dxa"/>
            <w:vAlign w:val="bottom"/>
            <w:tcBorders>
              <w:bottom w:val="single" w:sz="8" w:color="B2B2B2"/>
            </w:tcBorders>
          </w:tcPr>
          <w:p>
            <w:pPr>
              <w:spacing w:after="0"/>
              <w:rPr>
                <w:sz w:val="17"/>
                <w:szCs w:val="17"/>
                <w:color w:val="auto"/>
              </w:rPr>
            </w:pPr>
          </w:p>
        </w:tc>
        <w:tc>
          <w:tcPr>
            <w:tcW w:w="106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color w:val="auto"/>
              </w:rPr>
              <w:t>22%</w:t>
            </w:r>
          </w:p>
        </w:tc>
        <w:tc>
          <w:tcPr>
            <w:tcW w:w="114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color w:val="auto"/>
              </w:rPr>
              <w:t>22%</w:t>
            </w: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w:t>
            </w:r>
          </w:p>
        </w:tc>
      </w:tr>
      <w:tr>
        <w:trPr>
          <w:trHeight w:val="192"/>
        </w:trPr>
        <w:tc>
          <w:tcPr>
            <w:tcW w:w="562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b w:val="1"/>
                <w:bCs w:val="1"/>
                <w:color w:val="auto"/>
              </w:rPr>
              <w:t>  Revenues</w:t>
            </w:r>
          </w:p>
        </w:tc>
        <w:tc>
          <w:tcPr>
            <w:tcW w:w="122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b w:val="1"/>
                <w:bCs w:val="1"/>
                <w:color w:val="auto"/>
              </w:rPr>
              <w:t>1,844</w:t>
            </w:r>
          </w:p>
        </w:tc>
        <w:tc>
          <w:tcPr>
            <w:tcW w:w="940" w:type="dxa"/>
            <w:vAlign w:val="bottom"/>
            <w:tcBorders>
              <w:bottom w:val="single" w:sz="8" w:color="B2B2B2"/>
            </w:tcBorders>
            <w:gridSpan w:val="2"/>
          </w:tcPr>
          <w:p>
            <w:pPr>
              <w:jc w:val="right"/>
              <w:ind w:right="240"/>
              <w:spacing w:after="0"/>
              <w:rPr>
                <w:sz w:val="20"/>
                <w:szCs w:val="20"/>
                <w:color w:val="auto"/>
              </w:rPr>
            </w:pPr>
            <w:r>
              <w:rPr>
                <w:rFonts w:ascii="Arial" w:cs="Arial" w:eastAsia="Arial" w:hAnsi="Arial"/>
                <w:sz w:val="16"/>
                <w:szCs w:val="16"/>
                <w:color w:val="auto"/>
              </w:rPr>
              <w:t>1,620</w:t>
            </w:r>
          </w:p>
        </w:tc>
        <w:tc>
          <w:tcPr>
            <w:tcW w:w="106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color w:val="auto"/>
              </w:rPr>
              <w:t>14%</w:t>
            </w:r>
          </w:p>
        </w:tc>
        <w:tc>
          <w:tcPr>
            <w:tcW w:w="114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color w:val="auto"/>
              </w:rPr>
              <w:t>14%</w:t>
            </w: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w:t>
            </w:r>
          </w:p>
        </w:tc>
      </w:tr>
      <w:tr>
        <w:trPr>
          <w:trHeight w:val="204"/>
        </w:trPr>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  Segment adjusted EBITDA</w:t>
            </w:r>
          </w:p>
        </w:tc>
        <w:tc>
          <w:tcPr>
            <w:tcW w:w="1220" w:type="dxa"/>
            <w:vAlign w:val="bottom"/>
          </w:tcPr>
          <w:p>
            <w:pPr>
              <w:jc w:val="right"/>
              <w:ind w:right="181"/>
              <w:spacing w:after="0"/>
              <w:rPr>
                <w:sz w:val="20"/>
                <w:szCs w:val="20"/>
                <w:color w:val="auto"/>
              </w:rPr>
            </w:pPr>
            <w:r>
              <w:rPr>
                <w:rFonts w:ascii="Arial" w:cs="Arial" w:eastAsia="Arial" w:hAnsi="Arial"/>
                <w:sz w:val="16"/>
                <w:szCs w:val="16"/>
                <w:b w:val="1"/>
                <w:bCs w:val="1"/>
                <w:color w:val="auto"/>
              </w:rPr>
              <w:t>671</w:t>
            </w:r>
          </w:p>
        </w:tc>
        <w:tc>
          <w:tcPr>
            <w:tcW w:w="700" w:type="dxa"/>
            <w:vAlign w:val="bottom"/>
          </w:tcPr>
          <w:p>
            <w:pPr>
              <w:jc w:val="right"/>
              <w:spacing w:after="0"/>
              <w:rPr>
                <w:sz w:val="20"/>
                <w:szCs w:val="20"/>
                <w:color w:val="auto"/>
              </w:rPr>
            </w:pPr>
            <w:r>
              <w:rPr>
                <w:rFonts w:ascii="Arial" w:cs="Arial" w:eastAsia="Arial" w:hAnsi="Arial"/>
                <w:sz w:val="16"/>
                <w:szCs w:val="16"/>
                <w:color w:val="auto"/>
              </w:rPr>
              <w:t>619</w:t>
            </w:r>
          </w:p>
        </w:tc>
        <w:tc>
          <w:tcPr>
            <w:tcW w:w="240" w:type="dxa"/>
            <w:vAlign w:val="bottom"/>
          </w:tcPr>
          <w:p>
            <w:pPr>
              <w:spacing w:after="0"/>
              <w:rPr>
                <w:sz w:val="17"/>
                <w:szCs w:val="17"/>
                <w:color w:val="auto"/>
              </w:rPr>
            </w:pPr>
          </w:p>
        </w:tc>
        <w:tc>
          <w:tcPr>
            <w:tcW w:w="1060" w:type="dxa"/>
            <w:vAlign w:val="bottom"/>
          </w:tcPr>
          <w:p>
            <w:pPr>
              <w:jc w:val="right"/>
              <w:ind w:right="181"/>
              <w:spacing w:after="0"/>
              <w:rPr>
                <w:sz w:val="20"/>
                <w:szCs w:val="20"/>
                <w:color w:val="auto"/>
              </w:rPr>
            </w:pPr>
            <w:r>
              <w:rPr>
                <w:rFonts w:ascii="Arial" w:cs="Arial" w:eastAsia="Arial" w:hAnsi="Arial"/>
                <w:sz w:val="16"/>
                <w:szCs w:val="16"/>
                <w:color w:val="auto"/>
              </w:rPr>
              <w:t>8%</w:t>
            </w:r>
          </w:p>
        </w:tc>
        <w:tc>
          <w:tcPr>
            <w:tcW w:w="1140" w:type="dxa"/>
            <w:vAlign w:val="bottom"/>
          </w:tcPr>
          <w:p>
            <w:pPr>
              <w:jc w:val="right"/>
              <w:ind w:right="181"/>
              <w:spacing w:after="0"/>
              <w:rPr>
                <w:sz w:val="20"/>
                <w:szCs w:val="20"/>
                <w:color w:val="auto"/>
              </w:rPr>
            </w:pPr>
            <w:r>
              <w:rPr>
                <w:rFonts w:ascii="Arial" w:cs="Arial" w:eastAsia="Arial" w:hAnsi="Arial"/>
                <w:sz w:val="16"/>
                <w:szCs w:val="16"/>
                <w:color w:val="auto"/>
              </w:rPr>
              <w:t>8%</w:t>
            </w:r>
          </w:p>
        </w:tc>
        <w:tc>
          <w:tcPr>
            <w:tcW w:w="820" w:type="dxa"/>
            <w:vAlign w:val="bottom"/>
          </w:tcPr>
          <w:p>
            <w:pPr>
              <w:spacing w:after="0"/>
              <w:rPr>
                <w:sz w:val="17"/>
                <w:szCs w:val="17"/>
                <w:color w:val="auto"/>
              </w:rPr>
            </w:pPr>
          </w:p>
        </w:tc>
      </w:tr>
      <w:tr>
        <w:trPr>
          <w:trHeight w:val="206"/>
        </w:trPr>
        <w:tc>
          <w:tcPr>
            <w:tcW w:w="5620" w:type="dxa"/>
            <w:vAlign w:val="bottom"/>
            <w:tcBorders>
              <w:bottom w:val="single" w:sz="8" w:color="D64000"/>
            </w:tcBorders>
            <w:gridSpan w:val="2"/>
          </w:tcPr>
          <w:p>
            <w:pPr>
              <w:spacing w:after="0"/>
              <w:rPr>
                <w:sz w:val="20"/>
                <w:szCs w:val="20"/>
                <w:color w:val="auto"/>
              </w:rPr>
            </w:pPr>
            <w:r>
              <w:rPr>
                <w:rFonts w:ascii="Arial" w:cs="Arial" w:eastAsia="Arial" w:hAnsi="Arial"/>
                <w:sz w:val="16"/>
                <w:szCs w:val="16"/>
                <w:b w:val="1"/>
                <w:bCs w:val="1"/>
                <w:color w:val="auto"/>
              </w:rPr>
              <w:t>  Segment adjusted EBITDA margin</w:t>
            </w:r>
          </w:p>
        </w:tc>
        <w:tc>
          <w:tcPr>
            <w:tcW w:w="1220" w:type="dxa"/>
            <w:vAlign w:val="bottom"/>
            <w:tcBorders>
              <w:bottom w:val="single" w:sz="8" w:color="D64000"/>
            </w:tcBorders>
          </w:tcPr>
          <w:p>
            <w:pPr>
              <w:jc w:val="right"/>
              <w:ind w:right="181"/>
              <w:spacing w:after="0"/>
              <w:rPr>
                <w:sz w:val="20"/>
                <w:szCs w:val="20"/>
                <w:color w:val="auto"/>
              </w:rPr>
            </w:pPr>
            <w:r>
              <w:rPr>
                <w:rFonts w:ascii="Arial" w:cs="Arial" w:eastAsia="Arial" w:hAnsi="Arial"/>
                <w:sz w:val="16"/>
                <w:szCs w:val="16"/>
                <w:b w:val="1"/>
                <w:bCs w:val="1"/>
                <w:color w:val="auto"/>
              </w:rPr>
              <w:t>36.3%</w:t>
            </w:r>
          </w:p>
        </w:tc>
        <w:tc>
          <w:tcPr>
            <w:tcW w:w="940" w:type="dxa"/>
            <w:vAlign w:val="bottom"/>
            <w:tcBorders>
              <w:bottom w:val="single" w:sz="8" w:color="D64000"/>
            </w:tcBorders>
            <w:gridSpan w:val="2"/>
          </w:tcPr>
          <w:p>
            <w:pPr>
              <w:jc w:val="right"/>
              <w:ind w:right="240"/>
              <w:spacing w:after="0"/>
              <w:rPr>
                <w:sz w:val="20"/>
                <w:szCs w:val="20"/>
                <w:color w:val="auto"/>
              </w:rPr>
            </w:pPr>
            <w:r>
              <w:rPr>
                <w:rFonts w:ascii="Arial" w:cs="Arial" w:eastAsia="Arial" w:hAnsi="Arial"/>
                <w:sz w:val="16"/>
                <w:szCs w:val="16"/>
                <w:color w:val="auto"/>
              </w:rPr>
              <w:t>38.1%</w:t>
            </w:r>
          </w:p>
        </w:tc>
        <w:tc>
          <w:tcPr>
            <w:tcW w:w="1060" w:type="dxa"/>
            <w:vAlign w:val="bottom"/>
            <w:tcBorders>
              <w:bottom w:val="single" w:sz="8" w:color="D64000"/>
            </w:tcBorders>
          </w:tcPr>
          <w:p>
            <w:pPr>
              <w:jc w:val="right"/>
              <w:ind w:right="181"/>
              <w:spacing w:after="0"/>
              <w:rPr>
                <w:sz w:val="20"/>
                <w:szCs w:val="20"/>
                <w:color w:val="auto"/>
              </w:rPr>
            </w:pPr>
            <w:r>
              <w:rPr>
                <w:rFonts w:ascii="Arial" w:cs="Arial" w:eastAsia="Arial" w:hAnsi="Arial"/>
                <w:sz w:val="16"/>
                <w:szCs w:val="16"/>
                <w:color w:val="auto"/>
              </w:rPr>
              <w:t>(180)bp</w:t>
            </w:r>
          </w:p>
        </w:tc>
        <w:tc>
          <w:tcPr>
            <w:tcW w:w="1140" w:type="dxa"/>
            <w:vAlign w:val="bottom"/>
            <w:tcBorders>
              <w:bottom w:val="single" w:sz="8" w:color="D64000"/>
            </w:tcBorders>
          </w:tcPr>
          <w:p>
            <w:pPr>
              <w:jc w:val="right"/>
              <w:ind w:right="181"/>
              <w:spacing w:after="0"/>
              <w:rPr>
                <w:sz w:val="20"/>
                <w:szCs w:val="20"/>
                <w:color w:val="auto"/>
              </w:rPr>
            </w:pPr>
            <w:r>
              <w:rPr>
                <w:rFonts w:ascii="Arial" w:cs="Arial" w:eastAsia="Arial" w:hAnsi="Arial"/>
                <w:sz w:val="16"/>
                <w:szCs w:val="16"/>
                <w:color w:val="auto"/>
              </w:rPr>
              <w:t>(220)bp</w:t>
            </w:r>
          </w:p>
        </w:tc>
        <w:tc>
          <w:tcPr>
            <w:tcW w:w="820" w:type="dxa"/>
            <w:vAlign w:val="bottom"/>
            <w:tcBorders>
              <w:bottom w:val="single" w:sz="8" w:color="D64000"/>
            </w:tcBorders>
          </w:tcPr>
          <w:p>
            <w:pPr>
              <w:spacing w:after="0"/>
              <w:rPr>
                <w:sz w:val="17"/>
                <w:szCs w:val="17"/>
                <w:color w:val="auto"/>
              </w:rPr>
            </w:pPr>
          </w:p>
        </w:tc>
      </w:tr>
    </w:tbl>
    <w:p>
      <w:pPr>
        <w:spacing w:after="0" w:line="71" w:lineRule="exact"/>
        <w:rPr>
          <w:sz w:val="20"/>
          <w:szCs w:val="20"/>
          <w:color w:val="auto"/>
        </w:rPr>
      </w:pPr>
    </w:p>
    <w:p>
      <w:pPr>
        <w:ind w:left="220" w:right="140"/>
        <w:spacing w:after="0" w:line="258" w:lineRule="auto"/>
        <w:rPr>
          <w:sz w:val="20"/>
          <w:szCs w:val="20"/>
          <w:color w:val="auto"/>
        </w:rPr>
      </w:pPr>
      <w:r>
        <w:rPr>
          <w:rFonts w:ascii="Arial" w:cs="Arial" w:eastAsia="Arial" w:hAnsi="Arial"/>
          <w:sz w:val="16"/>
          <w:szCs w:val="16"/>
          <w:color w:val="auto"/>
        </w:rPr>
        <w:t>Revenues increased in total and in constant currency and included a contribution from our acquisition of Pagero. On an organic basis, revenues grew 10% due to growth in recurring and transactions revenues. Recurring organic revenue growth was driven by Practical Law, Indirect Tax, Clear and the segment’s international businesses. Recurring revenues represented 84% of Corporates segment revenues. Transactions organic revenue growth was driven by growth from Trust, Direct Tax, Confirmation, Pagero and the segment’s international businesses.</w:t>
      </w:r>
    </w:p>
    <w:p>
      <w:pPr>
        <w:spacing w:after="0" w:line="30" w:lineRule="exact"/>
        <w:rPr>
          <w:sz w:val="20"/>
          <w:szCs w:val="20"/>
          <w:color w:val="auto"/>
        </w:rPr>
      </w:pPr>
    </w:p>
    <w:p>
      <w:pPr>
        <w:ind w:left="220" w:right="40"/>
        <w:spacing w:after="0" w:line="243" w:lineRule="auto"/>
        <w:rPr>
          <w:sz w:val="20"/>
          <w:szCs w:val="20"/>
          <w:color w:val="auto"/>
        </w:rPr>
      </w:pPr>
      <w:r>
        <w:rPr>
          <w:rFonts w:ascii="Arial" w:cs="Arial" w:eastAsia="Arial" w:hAnsi="Arial"/>
          <w:sz w:val="17"/>
          <w:szCs w:val="17"/>
          <w:color w:val="auto"/>
        </w:rPr>
        <w:t>Segment adjusted EBITDA increased 8% and the related margin declined by 180bp to 36.3%. The decline in margin reflected the impact of the Pagero acquisition, as well as higher investments and higher incentive compensation. Foreign currency benefited from the year-over-year change in segment adjusted EBITDA margin by 40bp.</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Tax &amp; Accounting Professionals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100330</wp:posOffset>
            </wp:positionV>
            <wp:extent cx="68656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8" w:lineRule="exact"/>
        <w:rPr>
          <w:sz w:val="20"/>
          <w:szCs w:val="20"/>
          <w:color w:val="auto"/>
        </w:rPr>
      </w:pPr>
    </w:p>
    <w:tbl>
      <w:tblPr>
        <w:tblLayout w:type="fixed"/>
        <w:tblInd w:w="220" w:type="dxa"/>
        <w:tblCellMar>
          <w:top w:w="0" w:type="dxa"/>
          <w:left w:w="0" w:type="dxa"/>
          <w:bottom w:w="0" w:type="dxa"/>
          <w:right w:w="0" w:type="dxa"/>
        </w:tblCellMar>
      </w:tblPr>
      <w:tr>
        <w:trPr>
          <w:trHeight w:val="212"/>
        </w:trPr>
        <w:tc>
          <w:tcPr>
            <w:tcW w:w="10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0" w:type="dxa"/>
            <w:vAlign w:val="bottom"/>
            <w:shd w:val="clear" w:color="auto" w:fill="E3F3EE"/>
          </w:tcPr>
          <w:p>
            <w:pPr>
              <w:spacing w:after="0"/>
              <w:rPr>
                <w:sz w:val="18"/>
                <w:szCs w:val="18"/>
                <w:color w:val="auto"/>
              </w:rPr>
            </w:pPr>
          </w:p>
        </w:tc>
        <w:tc>
          <w:tcPr>
            <w:tcW w:w="3060" w:type="dxa"/>
            <w:vAlign w:val="bottom"/>
            <w:gridSpan w:val="4"/>
            <w:shd w:val="clear" w:color="auto" w:fill="E3F3EE"/>
          </w:tcPr>
          <w:p>
            <w:pPr>
              <w:jc w:val="right"/>
              <w:ind w:right="221"/>
              <w:spacing w:after="0"/>
              <w:rPr>
                <w:sz w:val="20"/>
                <w:szCs w:val="20"/>
                <w:color w:val="auto"/>
              </w:rPr>
            </w:pPr>
            <w:r>
              <w:rPr>
                <w:rFonts w:ascii="Arial" w:cs="Arial" w:eastAsia="Arial" w:hAnsi="Arial"/>
                <w:sz w:val="16"/>
                <w:szCs w:val="16"/>
                <w:b w:val="1"/>
                <w:bCs w:val="1"/>
                <w:color w:val="auto"/>
              </w:rPr>
              <w:t xml:space="preserve">     Year ended December 31,    </w:t>
            </w:r>
          </w:p>
        </w:tc>
        <w:tc>
          <w:tcPr>
            <w:tcW w:w="820" w:type="dxa"/>
            <w:vAlign w:val="bottom"/>
            <w:shd w:val="clear" w:color="auto" w:fill="E3F3EE"/>
          </w:tcPr>
          <w:p>
            <w:pPr>
              <w:spacing w:after="0"/>
              <w:rPr>
                <w:sz w:val="18"/>
                <w:szCs w:val="18"/>
                <w:color w:val="auto"/>
              </w:rPr>
            </w:pPr>
          </w:p>
        </w:tc>
        <w:tc>
          <w:tcPr>
            <w:tcW w:w="20" w:type="dxa"/>
            <w:vAlign w:val="bottom"/>
          </w:tcPr>
          <w:p>
            <w:pPr>
              <w:spacing w:after="0"/>
              <w:rPr>
                <w:sz w:val="18"/>
                <w:szCs w:val="18"/>
                <w:color w:val="auto"/>
              </w:rPr>
            </w:pPr>
          </w:p>
        </w:tc>
      </w:tr>
      <w:tr>
        <w:trPr>
          <w:trHeight w:val="192"/>
        </w:trPr>
        <w:tc>
          <w:tcPr>
            <w:tcW w:w="100" w:type="dxa"/>
            <w:vAlign w:val="bottom"/>
            <w:tcBorders>
              <w:bottom w:val="single" w:sz="8" w:color="1F473D"/>
            </w:tcBorders>
            <w:shd w:val="clear" w:color="auto" w:fill="1F473D"/>
          </w:tcPr>
          <w:p>
            <w:pPr>
              <w:spacing w:after="0"/>
              <w:rPr>
                <w:sz w:val="16"/>
                <w:szCs w:val="16"/>
                <w:color w:val="auto"/>
              </w:rPr>
            </w:pPr>
          </w:p>
        </w:tc>
        <w:tc>
          <w:tcPr>
            <w:tcW w:w="5620" w:type="dxa"/>
            <w:vAlign w:val="bottom"/>
            <w:tcBorders>
              <w:bottom w:val="single" w:sz="8" w:color="1F473D"/>
            </w:tcBorders>
            <w:shd w:val="clear" w:color="auto" w:fill="1F473D"/>
          </w:tcPr>
          <w:p>
            <w:pPr>
              <w:spacing w:after="0"/>
              <w:rPr>
                <w:sz w:val="16"/>
                <w:szCs w:val="16"/>
                <w:color w:val="auto"/>
              </w:rPr>
            </w:pPr>
          </w:p>
        </w:tc>
        <w:tc>
          <w:tcPr>
            <w:tcW w:w="1200" w:type="dxa"/>
            <w:vAlign w:val="bottom"/>
            <w:tcBorders>
              <w:bottom w:val="single" w:sz="8" w:color="1F473D"/>
            </w:tcBorders>
            <w:shd w:val="clear" w:color="auto" w:fill="1F473D"/>
          </w:tcPr>
          <w:p>
            <w:pPr>
              <w:spacing w:after="0"/>
              <w:rPr>
                <w:sz w:val="16"/>
                <w:szCs w:val="16"/>
                <w:color w:val="auto"/>
              </w:rPr>
            </w:pPr>
          </w:p>
        </w:tc>
        <w:tc>
          <w:tcPr>
            <w:tcW w:w="700" w:type="dxa"/>
            <w:vAlign w:val="bottom"/>
            <w:tcBorders>
              <w:bottom w:val="single" w:sz="8" w:color="1F473D"/>
            </w:tcBorders>
            <w:shd w:val="clear" w:color="auto" w:fill="1F473D"/>
          </w:tcPr>
          <w:p>
            <w:pPr>
              <w:spacing w:after="0"/>
              <w:rPr>
                <w:sz w:val="16"/>
                <w:szCs w:val="16"/>
                <w:color w:val="auto"/>
              </w:rPr>
            </w:pPr>
          </w:p>
        </w:tc>
        <w:tc>
          <w:tcPr>
            <w:tcW w:w="260" w:type="dxa"/>
            <w:vAlign w:val="bottom"/>
            <w:tcBorders>
              <w:bottom w:val="single" w:sz="8" w:color="D64000"/>
            </w:tcBorders>
            <w:shd w:val="clear" w:color="auto" w:fill="1F473D"/>
          </w:tcPr>
          <w:p>
            <w:pPr>
              <w:spacing w:after="0"/>
              <w:rPr>
                <w:sz w:val="16"/>
                <w:szCs w:val="16"/>
                <w:color w:val="auto"/>
              </w:rPr>
            </w:pPr>
          </w:p>
        </w:tc>
        <w:tc>
          <w:tcPr>
            <w:tcW w:w="960" w:type="dxa"/>
            <w:vAlign w:val="bottom"/>
            <w:tcBorders>
              <w:bottom w:val="single" w:sz="8" w:color="D64000"/>
            </w:tcBorders>
            <w:shd w:val="clear" w:color="auto" w:fill="1F473D"/>
          </w:tcPr>
          <w:p>
            <w:pPr>
              <w:spacing w:after="0"/>
              <w:rPr>
                <w:sz w:val="16"/>
                <w:szCs w:val="16"/>
                <w:color w:val="auto"/>
              </w:rPr>
            </w:pPr>
          </w:p>
        </w:tc>
        <w:tc>
          <w:tcPr>
            <w:tcW w:w="1140" w:type="dxa"/>
            <w:vAlign w:val="bottom"/>
            <w:tcBorders>
              <w:bottom w:val="single" w:sz="8" w:color="D64000"/>
            </w:tcBorders>
            <w:shd w:val="clear" w:color="auto" w:fill="1F473D"/>
          </w:tcPr>
          <w:p>
            <w:pPr>
              <w:jc w:val="right"/>
              <w:ind w:right="161"/>
              <w:spacing w:after="0"/>
              <w:rPr>
                <w:sz w:val="20"/>
                <w:szCs w:val="20"/>
                <w:color w:val="auto"/>
              </w:rPr>
            </w:pPr>
            <w:r>
              <w:rPr>
                <w:rFonts w:ascii="Arial" w:cs="Arial" w:eastAsia="Arial" w:hAnsi="Arial"/>
                <w:sz w:val="16"/>
                <w:szCs w:val="16"/>
                <w:color w:val="FFFFFF"/>
              </w:rPr>
              <w:t>Change</w:t>
            </w:r>
          </w:p>
        </w:tc>
        <w:tc>
          <w:tcPr>
            <w:tcW w:w="820" w:type="dxa"/>
            <w:vAlign w:val="bottom"/>
            <w:tcBorders>
              <w:bottom w:val="single" w:sz="8" w:color="D64000"/>
            </w:tcBorders>
            <w:shd w:val="clear" w:color="auto" w:fill="1F473D"/>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100" w:type="dxa"/>
            <w:vAlign w:val="bottom"/>
            <w:shd w:val="clear" w:color="auto" w:fill="1F473D"/>
          </w:tcPr>
          <w:p>
            <w:pPr>
              <w:spacing w:after="0"/>
              <w:rPr>
                <w:sz w:val="14"/>
                <w:szCs w:val="14"/>
                <w:color w:val="auto"/>
              </w:rPr>
            </w:pPr>
          </w:p>
        </w:tc>
        <w:tc>
          <w:tcPr>
            <w:tcW w:w="5620" w:type="dxa"/>
            <w:vAlign w:val="bottom"/>
            <w:shd w:val="clear" w:color="auto" w:fill="1F473D"/>
          </w:tcPr>
          <w:p>
            <w:pPr>
              <w:spacing w:after="0"/>
              <w:rPr>
                <w:sz w:val="14"/>
                <w:szCs w:val="14"/>
                <w:color w:val="auto"/>
              </w:rPr>
            </w:pPr>
          </w:p>
        </w:tc>
        <w:tc>
          <w:tcPr>
            <w:tcW w:w="1200" w:type="dxa"/>
            <w:vAlign w:val="bottom"/>
            <w:shd w:val="clear" w:color="auto" w:fill="1F473D"/>
          </w:tcPr>
          <w:p>
            <w:pPr>
              <w:spacing w:after="0"/>
              <w:rPr>
                <w:sz w:val="14"/>
                <w:szCs w:val="14"/>
                <w:color w:val="auto"/>
              </w:rPr>
            </w:pPr>
          </w:p>
        </w:tc>
        <w:tc>
          <w:tcPr>
            <w:tcW w:w="700" w:type="dxa"/>
            <w:vAlign w:val="bottom"/>
            <w:shd w:val="clear" w:color="auto" w:fill="1F473D"/>
          </w:tcPr>
          <w:p>
            <w:pPr>
              <w:spacing w:after="0"/>
              <w:rPr>
                <w:sz w:val="14"/>
                <w:szCs w:val="14"/>
                <w:color w:val="auto"/>
              </w:rPr>
            </w:pPr>
          </w:p>
        </w:tc>
        <w:tc>
          <w:tcPr>
            <w:tcW w:w="260" w:type="dxa"/>
            <w:vAlign w:val="bottom"/>
            <w:shd w:val="clear" w:color="auto" w:fill="1F473D"/>
          </w:tcPr>
          <w:p>
            <w:pPr>
              <w:spacing w:after="0"/>
              <w:rPr>
                <w:sz w:val="14"/>
                <w:szCs w:val="14"/>
                <w:color w:val="auto"/>
              </w:rPr>
            </w:pPr>
          </w:p>
        </w:tc>
        <w:tc>
          <w:tcPr>
            <w:tcW w:w="960" w:type="dxa"/>
            <w:vAlign w:val="bottom"/>
            <w:shd w:val="clear" w:color="auto" w:fill="1F473D"/>
          </w:tcPr>
          <w:p>
            <w:pPr>
              <w:spacing w:after="0"/>
              <w:rPr>
                <w:sz w:val="14"/>
                <w:szCs w:val="14"/>
                <w:color w:val="auto"/>
              </w:rPr>
            </w:pPr>
          </w:p>
        </w:tc>
        <w:tc>
          <w:tcPr>
            <w:tcW w:w="1140" w:type="dxa"/>
            <w:vAlign w:val="bottom"/>
            <w:shd w:val="clear" w:color="auto" w:fill="1F473D"/>
          </w:tcPr>
          <w:p>
            <w:pPr>
              <w:jc w:val="right"/>
              <w:ind w:right="181"/>
              <w:spacing w:after="0" w:line="171" w:lineRule="exact"/>
              <w:rPr>
                <w:sz w:val="20"/>
                <w:szCs w:val="20"/>
                <w:color w:val="auto"/>
              </w:rPr>
            </w:pPr>
            <w:r>
              <w:rPr>
                <w:rFonts w:ascii="Arial" w:cs="Arial" w:eastAsia="Arial" w:hAnsi="Arial"/>
                <w:sz w:val="16"/>
                <w:szCs w:val="16"/>
                <w:color w:val="FFFFFF"/>
              </w:rPr>
              <w:t>Constant</w:t>
            </w:r>
          </w:p>
        </w:tc>
        <w:tc>
          <w:tcPr>
            <w:tcW w:w="820" w:type="dxa"/>
            <w:vAlign w:val="bottom"/>
            <w:shd w:val="clear" w:color="auto" w:fill="1F473D"/>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5720" w:type="dxa"/>
            <w:vAlign w:val="bottom"/>
            <w:tcBorders>
              <w:bottom w:val="single" w:sz="8" w:color="D64000"/>
            </w:tcBorders>
            <w:gridSpan w:val="2"/>
            <w:shd w:val="clear" w:color="auto" w:fill="1F473D"/>
          </w:tcPr>
          <w:p>
            <w:pPr>
              <w:spacing w:after="0"/>
              <w:rPr>
                <w:sz w:val="20"/>
                <w:szCs w:val="20"/>
                <w:color w:val="auto"/>
              </w:rPr>
            </w:pPr>
            <w:r>
              <w:rPr>
                <w:rFonts w:ascii="Arial" w:cs="Arial" w:eastAsia="Arial" w:hAnsi="Arial"/>
                <w:sz w:val="16"/>
                <w:szCs w:val="16"/>
                <w:color w:val="FFFFFF"/>
              </w:rPr>
              <w:t>  (millions of U.S. dollars, except margins)</w:t>
            </w:r>
          </w:p>
        </w:tc>
        <w:tc>
          <w:tcPr>
            <w:tcW w:w="1200" w:type="dxa"/>
            <w:vAlign w:val="bottom"/>
            <w:tcBorders>
              <w:bottom w:val="single" w:sz="8" w:color="D64000"/>
            </w:tcBorders>
            <w:shd w:val="clear" w:color="auto" w:fill="1F473D"/>
          </w:tcPr>
          <w:p>
            <w:pPr>
              <w:jc w:val="right"/>
              <w:ind w:right="161"/>
              <w:spacing w:after="0"/>
              <w:rPr>
                <w:sz w:val="20"/>
                <w:szCs w:val="20"/>
                <w:color w:val="auto"/>
              </w:rPr>
            </w:pPr>
            <w:r>
              <w:rPr>
                <w:rFonts w:ascii="Arial" w:cs="Arial" w:eastAsia="Arial" w:hAnsi="Arial"/>
                <w:sz w:val="16"/>
                <w:szCs w:val="16"/>
                <w:b w:val="1"/>
                <w:bCs w:val="1"/>
                <w:color w:val="FFFFFF"/>
              </w:rPr>
              <w:t>2024</w:t>
            </w:r>
          </w:p>
        </w:tc>
        <w:tc>
          <w:tcPr>
            <w:tcW w:w="960" w:type="dxa"/>
            <w:vAlign w:val="bottom"/>
            <w:tcBorders>
              <w:bottom w:val="single" w:sz="8" w:color="D64000"/>
            </w:tcBorders>
            <w:gridSpan w:val="2"/>
            <w:shd w:val="clear" w:color="auto" w:fill="1F473D"/>
          </w:tcPr>
          <w:p>
            <w:pPr>
              <w:jc w:val="right"/>
              <w:ind w:right="240"/>
              <w:spacing w:after="0"/>
              <w:rPr>
                <w:sz w:val="20"/>
                <w:szCs w:val="20"/>
                <w:color w:val="auto"/>
              </w:rPr>
            </w:pPr>
            <w:r>
              <w:rPr>
                <w:rFonts w:ascii="Arial" w:cs="Arial" w:eastAsia="Arial" w:hAnsi="Arial"/>
                <w:sz w:val="16"/>
                <w:szCs w:val="16"/>
                <w:color w:val="FFFFFF"/>
              </w:rPr>
              <w:t>2023</w:t>
            </w:r>
          </w:p>
        </w:tc>
        <w:tc>
          <w:tcPr>
            <w:tcW w:w="960" w:type="dxa"/>
            <w:vAlign w:val="bottom"/>
            <w:tcBorders>
              <w:bottom w:val="single" w:sz="8" w:color="D64000"/>
            </w:tcBorders>
            <w:shd w:val="clear" w:color="auto" w:fill="1F473D"/>
          </w:tcPr>
          <w:p>
            <w:pPr>
              <w:jc w:val="right"/>
              <w:ind w:right="181"/>
              <w:spacing w:after="0"/>
              <w:rPr>
                <w:sz w:val="20"/>
                <w:szCs w:val="20"/>
                <w:color w:val="auto"/>
              </w:rPr>
            </w:pPr>
            <w:r>
              <w:rPr>
                <w:rFonts w:ascii="Arial" w:cs="Arial" w:eastAsia="Arial" w:hAnsi="Arial"/>
                <w:sz w:val="16"/>
                <w:szCs w:val="16"/>
                <w:color w:val="FFFFFF"/>
              </w:rPr>
              <w:t>Total</w:t>
            </w:r>
          </w:p>
        </w:tc>
        <w:tc>
          <w:tcPr>
            <w:tcW w:w="1140" w:type="dxa"/>
            <w:vAlign w:val="bottom"/>
            <w:tcBorders>
              <w:bottom w:val="single" w:sz="8" w:color="D64000"/>
            </w:tcBorders>
            <w:shd w:val="clear" w:color="auto" w:fill="1F473D"/>
          </w:tcPr>
          <w:p>
            <w:pPr>
              <w:jc w:val="right"/>
              <w:ind w:right="181"/>
              <w:spacing w:after="0"/>
              <w:rPr>
                <w:sz w:val="20"/>
                <w:szCs w:val="20"/>
                <w:color w:val="auto"/>
              </w:rPr>
            </w:pPr>
            <w:r>
              <w:rPr>
                <w:rFonts w:ascii="Arial" w:cs="Arial" w:eastAsia="Arial" w:hAnsi="Arial"/>
                <w:sz w:val="16"/>
                <w:szCs w:val="16"/>
                <w:color w:val="FFFFFF"/>
              </w:rPr>
              <w:t>Currency</w:t>
            </w:r>
          </w:p>
        </w:tc>
        <w:tc>
          <w:tcPr>
            <w:tcW w:w="82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Organic</w:t>
            </w:r>
          </w:p>
        </w:tc>
        <w:tc>
          <w:tcPr>
            <w:tcW w:w="20" w:type="dxa"/>
            <w:vAlign w:val="bottom"/>
          </w:tcPr>
          <w:p>
            <w:pPr>
              <w:spacing w:after="0"/>
              <w:rPr>
                <w:sz w:val="17"/>
                <w:szCs w:val="17"/>
                <w:color w:val="auto"/>
              </w:rPr>
            </w:pPr>
          </w:p>
        </w:tc>
      </w:tr>
      <w:tr>
        <w:trPr>
          <w:trHeight w:val="211"/>
        </w:trPr>
        <w:tc>
          <w:tcPr>
            <w:tcW w:w="100" w:type="dxa"/>
            <w:vAlign w:val="bottom"/>
          </w:tcPr>
          <w:p>
            <w:pPr>
              <w:spacing w:after="0"/>
              <w:rPr>
                <w:sz w:val="20"/>
                <w:szCs w:val="20"/>
                <w:color w:val="auto"/>
              </w:rPr>
            </w:pPr>
            <w:r>
              <w:rPr>
                <w:rFonts w:ascii="Arial" w:cs="Arial" w:eastAsia="Arial" w:hAnsi="Arial"/>
                <w:sz w:val="11"/>
                <w:szCs w:val="11"/>
                <w:b w:val="1"/>
                <w:bCs w:val="1"/>
                <w:color w:val="auto"/>
                <w:w w:val="72"/>
              </w:rPr>
              <w:t> </w:t>
            </w:r>
          </w:p>
        </w:tc>
        <w:tc>
          <w:tcPr>
            <w:tcW w:w="5620" w:type="dxa"/>
            <w:vAlign w:val="bottom"/>
          </w:tcPr>
          <w:p>
            <w:pPr>
              <w:ind w:left="60"/>
              <w:spacing w:after="0"/>
              <w:rPr>
                <w:sz w:val="20"/>
                <w:szCs w:val="20"/>
                <w:color w:val="auto"/>
              </w:rPr>
            </w:pPr>
            <w:r>
              <w:rPr>
                <w:rFonts w:ascii="Arial" w:cs="Arial" w:eastAsia="Arial" w:hAnsi="Arial"/>
                <w:sz w:val="16"/>
                <w:szCs w:val="16"/>
                <w:b w:val="1"/>
                <w:bCs w:val="1"/>
                <w:color w:val="auto"/>
              </w:rPr>
              <w:t>  Recurring revenues</w:t>
            </w:r>
          </w:p>
        </w:tc>
        <w:tc>
          <w:tcPr>
            <w:tcW w:w="1200" w:type="dxa"/>
            <w:vAlign w:val="bottom"/>
          </w:tcPr>
          <w:p>
            <w:pPr>
              <w:jc w:val="right"/>
              <w:ind w:right="161"/>
              <w:spacing w:after="0"/>
              <w:rPr>
                <w:sz w:val="20"/>
                <w:szCs w:val="20"/>
                <w:color w:val="auto"/>
              </w:rPr>
            </w:pPr>
            <w:r>
              <w:rPr>
                <w:rFonts w:ascii="Arial" w:cs="Arial" w:eastAsia="Arial" w:hAnsi="Arial"/>
                <w:sz w:val="16"/>
                <w:szCs w:val="16"/>
                <w:b w:val="1"/>
                <w:bCs w:val="1"/>
                <w:color w:val="auto"/>
              </w:rPr>
              <w:t>867</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808</w:t>
            </w:r>
          </w:p>
        </w:tc>
        <w:tc>
          <w:tcPr>
            <w:tcW w:w="960" w:type="dxa"/>
            <w:vAlign w:val="bottom"/>
          </w:tcPr>
          <w:p>
            <w:pPr>
              <w:jc w:val="right"/>
              <w:ind w:right="181"/>
              <w:spacing w:after="0"/>
              <w:rPr>
                <w:sz w:val="20"/>
                <w:szCs w:val="20"/>
                <w:color w:val="auto"/>
              </w:rPr>
            </w:pPr>
            <w:r>
              <w:rPr>
                <w:rFonts w:ascii="Arial" w:cs="Arial" w:eastAsia="Arial" w:hAnsi="Arial"/>
                <w:sz w:val="16"/>
                <w:szCs w:val="16"/>
                <w:color w:val="auto"/>
              </w:rPr>
              <w:t>7%</w:t>
            </w:r>
          </w:p>
        </w:tc>
        <w:tc>
          <w:tcPr>
            <w:tcW w:w="1140" w:type="dxa"/>
            <w:vAlign w:val="bottom"/>
          </w:tcPr>
          <w:p>
            <w:pPr>
              <w:jc w:val="right"/>
              <w:ind w:right="181"/>
              <w:spacing w:after="0"/>
              <w:rPr>
                <w:sz w:val="20"/>
                <w:szCs w:val="20"/>
                <w:color w:val="auto"/>
              </w:rPr>
            </w:pPr>
            <w:r>
              <w:rPr>
                <w:rFonts w:ascii="Arial" w:cs="Arial" w:eastAsia="Arial" w:hAnsi="Arial"/>
                <w:sz w:val="16"/>
                <w:szCs w:val="16"/>
                <w:color w:val="auto"/>
              </w:rPr>
              <w:t>9%</w:t>
            </w:r>
          </w:p>
        </w:tc>
        <w:tc>
          <w:tcPr>
            <w:tcW w:w="820" w:type="dxa"/>
            <w:vAlign w:val="bottom"/>
          </w:tcPr>
          <w:p>
            <w:pPr>
              <w:jc w:val="right"/>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8"/>
                <w:szCs w:val="18"/>
                <w:color w:val="auto"/>
              </w:rPr>
            </w:pPr>
          </w:p>
        </w:tc>
      </w:tr>
      <w:tr>
        <w:trPr>
          <w:trHeight w:val="200"/>
        </w:trPr>
        <w:tc>
          <w:tcPr>
            <w:tcW w:w="100" w:type="dxa"/>
            <w:vAlign w:val="bottom"/>
            <w:tcBorders>
              <w:bottom w:val="single" w:sz="8" w:color="B2B2B2"/>
            </w:tcBorders>
          </w:tcPr>
          <w:p>
            <w:pPr>
              <w:spacing w:after="0"/>
              <w:rPr>
                <w:sz w:val="20"/>
                <w:szCs w:val="20"/>
                <w:color w:val="auto"/>
              </w:rPr>
            </w:pPr>
            <w:r>
              <w:rPr>
                <w:rFonts w:ascii="Arial" w:cs="Arial" w:eastAsia="Arial" w:hAnsi="Arial"/>
                <w:sz w:val="11"/>
                <w:szCs w:val="11"/>
                <w:b w:val="1"/>
                <w:bCs w:val="1"/>
                <w:color w:val="auto"/>
                <w:w w:val="72"/>
              </w:rPr>
              <w:t> </w:t>
            </w:r>
          </w:p>
        </w:tc>
        <w:tc>
          <w:tcPr>
            <w:tcW w:w="5620" w:type="dxa"/>
            <w:vAlign w:val="bottom"/>
            <w:tcBorders>
              <w:bottom w:val="single" w:sz="8" w:color="B2B2B2"/>
            </w:tcBorders>
          </w:tcPr>
          <w:p>
            <w:pPr>
              <w:ind w:left="60"/>
              <w:spacing w:after="0"/>
              <w:rPr>
                <w:sz w:val="20"/>
                <w:szCs w:val="20"/>
                <w:color w:val="auto"/>
              </w:rPr>
            </w:pPr>
            <w:r>
              <w:rPr>
                <w:rFonts w:ascii="Arial" w:cs="Arial" w:eastAsia="Arial" w:hAnsi="Arial"/>
                <w:sz w:val="16"/>
                <w:szCs w:val="16"/>
                <w:b w:val="1"/>
                <w:bCs w:val="1"/>
                <w:color w:val="auto"/>
              </w:rPr>
              <w:t>  Transactions revenues</w:t>
            </w:r>
          </w:p>
        </w:tc>
        <w:tc>
          <w:tcPr>
            <w:tcW w:w="1200" w:type="dxa"/>
            <w:vAlign w:val="bottom"/>
            <w:tcBorders>
              <w:bottom w:val="single" w:sz="8" w:color="B2B2B2"/>
            </w:tcBorders>
          </w:tcPr>
          <w:p>
            <w:pPr>
              <w:jc w:val="right"/>
              <w:ind w:right="161"/>
              <w:spacing w:after="0"/>
              <w:rPr>
                <w:sz w:val="20"/>
                <w:szCs w:val="20"/>
                <w:color w:val="auto"/>
              </w:rPr>
            </w:pPr>
            <w:r>
              <w:rPr>
                <w:rFonts w:ascii="Arial" w:cs="Arial" w:eastAsia="Arial" w:hAnsi="Arial"/>
                <w:sz w:val="16"/>
                <w:szCs w:val="16"/>
                <w:b w:val="1"/>
                <w:bCs w:val="1"/>
                <w:color w:val="auto"/>
              </w:rPr>
              <w:t>298</w:t>
            </w:r>
          </w:p>
        </w:tc>
        <w:tc>
          <w:tcPr>
            <w:tcW w:w="960" w:type="dxa"/>
            <w:vAlign w:val="bottom"/>
            <w:tcBorders>
              <w:bottom w:val="single" w:sz="8" w:color="B2B2B2"/>
            </w:tcBorders>
            <w:gridSpan w:val="2"/>
          </w:tcPr>
          <w:p>
            <w:pPr>
              <w:jc w:val="right"/>
              <w:ind w:right="240"/>
              <w:spacing w:after="0"/>
              <w:rPr>
                <w:sz w:val="20"/>
                <w:szCs w:val="20"/>
                <w:color w:val="auto"/>
              </w:rPr>
            </w:pPr>
            <w:r>
              <w:rPr>
                <w:rFonts w:ascii="Arial" w:cs="Arial" w:eastAsia="Arial" w:hAnsi="Arial"/>
                <w:sz w:val="16"/>
                <w:szCs w:val="16"/>
                <w:color w:val="auto"/>
              </w:rPr>
              <w:t>250</w:t>
            </w:r>
          </w:p>
        </w:tc>
        <w:tc>
          <w:tcPr>
            <w:tcW w:w="96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color w:val="auto"/>
              </w:rPr>
              <w:t>19%</w:t>
            </w:r>
          </w:p>
        </w:tc>
        <w:tc>
          <w:tcPr>
            <w:tcW w:w="114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color w:val="auto"/>
              </w:rPr>
              <w:t>19%</w:t>
            </w:r>
          </w:p>
        </w:tc>
        <w:tc>
          <w:tcPr>
            <w:tcW w:w="840" w:type="dxa"/>
            <w:vAlign w:val="bottom"/>
            <w:tcBorders>
              <w:bottom w:val="single" w:sz="8" w:color="B2B2B2"/>
            </w:tcBorders>
            <w:gridSpan w:val="2"/>
          </w:tcPr>
          <w:p>
            <w:pPr>
              <w:jc w:val="right"/>
              <w:spacing w:after="0"/>
              <w:rPr>
                <w:sz w:val="20"/>
                <w:szCs w:val="20"/>
                <w:color w:val="auto"/>
              </w:rPr>
            </w:pPr>
            <w:r>
              <w:rPr>
                <w:rFonts w:ascii="Arial" w:cs="Arial" w:eastAsia="Arial" w:hAnsi="Arial"/>
                <w:sz w:val="16"/>
                <w:szCs w:val="16"/>
                <w:color w:val="auto"/>
              </w:rPr>
              <w:t>14%</w:t>
            </w:r>
          </w:p>
        </w:tc>
      </w:tr>
      <w:tr>
        <w:trPr>
          <w:trHeight w:val="192"/>
        </w:trPr>
        <w:tc>
          <w:tcPr>
            <w:tcW w:w="5720" w:type="dxa"/>
            <w:vAlign w:val="bottom"/>
            <w:gridSpan w:val="2"/>
          </w:tcPr>
          <w:p>
            <w:pPr>
              <w:spacing w:after="0"/>
              <w:rPr>
                <w:sz w:val="20"/>
                <w:szCs w:val="20"/>
                <w:color w:val="auto"/>
              </w:rPr>
            </w:pPr>
            <w:r>
              <w:rPr>
                <w:rFonts w:ascii="Arial" w:cs="Arial" w:eastAsia="Arial" w:hAnsi="Arial"/>
                <w:sz w:val="16"/>
                <w:szCs w:val="16"/>
                <w:b w:val="1"/>
                <w:bCs w:val="1"/>
                <w:color w:val="auto"/>
              </w:rPr>
              <w:t>  Revenues</w:t>
            </w:r>
          </w:p>
        </w:tc>
        <w:tc>
          <w:tcPr>
            <w:tcW w:w="1200" w:type="dxa"/>
            <w:vAlign w:val="bottom"/>
          </w:tcPr>
          <w:p>
            <w:pPr>
              <w:jc w:val="right"/>
              <w:ind w:right="161"/>
              <w:spacing w:after="0"/>
              <w:rPr>
                <w:sz w:val="20"/>
                <w:szCs w:val="20"/>
                <w:color w:val="auto"/>
              </w:rPr>
            </w:pPr>
            <w:r>
              <w:rPr>
                <w:rFonts w:ascii="Arial" w:cs="Arial" w:eastAsia="Arial" w:hAnsi="Arial"/>
                <w:sz w:val="16"/>
                <w:szCs w:val="16"/>
                <w:b w:val="1"/>
                <w:bCs w:val="1"/>
                <w:color w:val="auto"/>
              </w:rPr>
              <w:t>1,165</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1,058</w:t>
            </w:r>
          </w:p>
        </w:tc>
        <w:tc>
          <w:tcPr>
            <w:tcW w:w="960" w:type="dxa"/>
            <w:vAlign w:val="bottom"/>
          </w:tcPr>
          <w:p>
            <w:pPr>
              <w:jc w:val="right"/>
              <w:ind w:right="181"/>
              <w:spacing w:after="0"/>
              <w:rPr>
                <w:sz w:val="20"/>
                <w:szCs w:val="20"/>
                <w:color w:val="auto"/>
              </w:rPr>
            </w:pPr>
            <w:r>
              <w:rPr>
                <w:rFonts w:ascii="Arial" w:cs="Arial" w:eastAsia="Arial" w:hAnsi="Arial"/>
                <w:sz w:val="16"/>
                <w:szCs w:val="16"/>
                <w:color w:val="auto"/>
              </w:rPr>
              <w:t>10%</w:t>
            </w:r>
          </w:p>
        </w:tc>
        <w:tc>
          <w:tcPr>
            <w:tcW w:w="1140" w:type="dxa"/>
            <w:vAlign w:val="bottom"/>
          </w:tcPr>
          <w:p>
            <w:pPr>
              <w:jc w:val="right"/>
              <w:ind w:right="181"/>
              <w:spacing w:after="0"/>
              <w:rPr>
                <w:sz w:val="20"/>
                <w:szCs w:val="20"/>
                <w:color w:val="auto"/>
              </w:rPr>
            </w:pPr>
            <w:r>
              <w:rPr>
                <w:rFonts w:ascii="Arial" w:cs="Arial" w:eastAsia="Arial" w:hAnsi="Arial"/>
                <w:sz w:val="16"/>
                <w:szCs w:val="16"/>
                <w:color w:val="auto"/>
              </w:rPr>
              <w:t>11%</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204"/>
        </w:trPr>
        <w:tc>
          <w:tcPr>
            <w:tcW w:w="5720" w:type="dxa"/>
            <w:vAlign w:val="bottom"/>
            <w:tcBorders>
              <w:top w:val="single" w:sz="8" w:color="B2B2B2"/>
            </w:tcBorders>
            <w:gridSpan w:val="2"/>
          </w:tcPr>
          <w:p>
            <w:pPr>
              <w:spacing w:after="0"/>
              <w:rPr>
                <w:sz w:val="20"/>
                <w:szCs w:val="20"/>
                <w:color w:val="auto"/>
              </w:rPr>
            </w:pPr>
            <w:r>
              <w:rPr>
                <w:rFonts w:ascii="Arial" w:cs="Arial" w:eastAsia="Arial" w:hAnsi="Arial"/>
                <w:sz w:val="16"/>
                <w:szCs w:val="16"/>
                <w:b w:val="1"/>
                <w:bCs w:val="1"/>
                <w:color w:val="auto"/>
              </w:rPr>
              <w:t>  Segment adjusted EBITDA</w:t>
            </w:r>
          </w:p>
        </w:tc>
        <w:tc>
          <w:tcPr>
            <w:tcW w:w="1200" w:type="dxa"/>
            <w:vAlign w:val="bottom"/>
            <w:tcBorders>
              <w:top w:val="single" w:sz="8" w:color="B2B2B2"/>
            </w:tcBorders>
          </w:tcPr>
          <w:p>
            <w:pPr>
              <w:jc w:val="right"/>
              <w:ind w:right="161"/>
              <w:spacing w:after="0"/>
              <w:rPr>
                <w:sz w:val="20"/>
                <w:szCs w:val="20"/>
                <w:color w:val="auto"/>
              </w:rPr>
            </w:pPr>
            <w:r>
              <w:rPr>
                <w:rFonts w:ascii="Arial" w:cs="Arial" w:eastAsia="Arial" w:hAnsi="Arial"/>
                <w:sz w:val="16"/>
                <w:szCs w:val="16"/>
                <w:b w:val="1"/>
                <w:bCs w:val="1"/>
                <w:color w:val="auto"/>
              </w:rPr>
              <w:t>527</w:t>
            </w:r>
          </w:p>
        </w:tc>
        <w:tc>
          <w:tcPr>
            <w:tcW w:w="960" w:type="dxa"/>
            <w:vAlign w:val="bottom"/>
            <w:tcBorders>
              <w:top w:val="single" w:sz="8" w:color="B2B2B2"/>
            </w:tcBorders>
            <w:gridSpan w:val="2"/>
          </w:tcPr>
          <w:p>
            <w:pPr>
              <w:jc w:val="right"/>
              <w:ind w:right="240"/>
              <w:spacing w:after="0"/>
              <w:rPr>
                <w:sz w:val="20"/>
                <w:szCs w:val="20"/>
                <w:color w:val="auto"/>
              </w:rPr>
            </w:pPr>
            <w:r>
              <w:rPr>
                <w:rFonts w:ascii="Arial" w:cs="Arial" w:eastAsia="Arial" w:hAnsi="Arial"/>
                <w:sz w:val="16"/>
                <w:szCs w:val="16"/>
                <w:color w:val="auto"/>
              </w:rPr>
              <w:t>490</w:t>
            </w:r>
          </w:p>
        </w:tc>
        <w:tc>
          <w:tcPr>
            <w:tcW w:w="960" w:type="dxa"/>
            <w:vAlign w:val="bottom"/>
            <w:tcBorders>
              <w:top w:val="single" w:sz="8" w:color="B2B2B2"/>
            </w:tcBorders>
          </w:tcPr>
          <w:p>
            <w:pPr>
              <w:jc w:val="right"/>
              <w:ind w:right="181"/>
              <w:spacing w:after="0"/>
              <w:rPr>
                <w:sz w:val="20"/>
                <w:szCs w:val="20"/>
                <w:color w:val="auto"/>
              </w:rPr>
            </w:pPr>
            <w:r>
              <w:rPr>
                <w:rFonts w:ascii="Arial" w:cs="Arial" w:eastAsia="Arial" w:hAnsi="Arial"/>
                <w:sz w:val="16"/>
                <w:szCs w:val="16"/>
                <w:color w:val="auto"/>
              </w:rPr>
              <w:t>8%</w:t>
            </w:r>
          </w:p>
        </w:tc>
        <w:tc>
          <w:tcPr>
            <w:tcW w:w="1140" w:type="dxa"/>
            <w:vAlign w:val="bottom"/>
            <w:tcBorders>
              <w:top w:val="single" w:sz="8" w:color="B2B2B2"/>
            </w:tcBorders>
          </w:tcPr>
          <w:p>
            <w:pPr>
              <w:jc w:val="right"/>
              <w:ind w:right="181"/>
              <w:spacing w:after="0"/>
              <w:rPr>
                <w:sz w:val="20"/>
                <w:szCs w:val="20"/>
                <w:color w:val="auto"/>
              </w:rPr>
            </w:pPr>
            <w:r>
              <w:rPr>
                <w:rFonts w:ascii="Arial" w:cs="Arial" w:eastAsia="Arial" w:hAnsi="Arial"/>
                <w:sz w:val="16"/>
                <w:szCs w:val="16"/>
                <w:color w:val="auto"/>
              </w:rPr>
              <w:t>9%</w:t>
            </w:r>
          </w:p>
        </w:tc>
        <w:tc>
          <w:tcPr>
            <w:tcW w:w="820" w:type="dxa"/>
            <w:vAlign w:val="bottom"/>
            <w:tcBorders>
              <w:top w:val="single" w:sz="8" w:color="B2B2B2"/>
            </w:tcBorders>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5720" w:type="dxa"/>
            <w:vAlign w:val="bottom"/>
            <w:tcBorders>
              <w:bottom w:val="single" w:sz="8" w:color="D64000"/>
            </w:tcBorders>
            <w:gridSpan w:val="2"/>
          </w:tcPr>
          <w:p>
            <w:pPr>
              <w:spacing w:after="0"/>
              <w:rPr>
                <w:sz w:val="20"/>
                <w:szCs w:val="20"/>
                <w:color w:val="auto"/>
              </w:rPr>
            </w:pPr>
            <w:r>
              <w:rPr>
                <w:rFonts w:ascii="Arial" w:cs="Arial" w:eastAsia="Arial" w:hAnsi="Arial"/>
                <w:sz w:val="16"/>
                <w:szCs w:val="16"/>
                <w:b w:val="1"/>
                <w:bCs w:val="1"/>
                <w:color w:val="auto"/>
              </w:rPr>
              <w:t>  Segment adjusted EBITDA margin</w:t>
            </w:r>
          </w:p>
        </w:tc>
        <w:tc>
          <w:tcPr>
            <w:tcW w:w="1200" w:type="dxa"/>
            <w:vAlign w:val="bottom"/>
            <w:tcBorders>
              <w:bottom w:val="single" w:sz="8" w:color="D64000"/>
            </w:tcBorders>
          </w:tcPr>
          <w:p>
            <w:pPr>
              <w:jc w:val="right"/>
              <w:ind w:right="161"/>
              <w:spacing w:after="0"/>
              <w:rPr>
                <w:sz w:val="20"/>
                <w:szCs w:val="20"/>
                <w:color w:val="auto"/>
              </w:rPr>
            </w:pPr>
            <w:r>
              <w:rPr>
                <w:rFonts w:ascii="Arial" w:cs="Arial" w:eastAsia="Arial" w:hAnsi="Arial"/>
                <w:sz w:val="16"/>
                <w:szCs w:val="16"/>
                <w:b w:val="1"/>
                <w:bCs w:val="1"/>
                <w:color w:val="auto"/>
              </w:rPr>
              <w:t>45.2%</w:t>
            </w:r>
          </w:p>
        </w:tc>
        <w:tc>
          <w:tcPr>
            <w:tcW w:w="960" w:type="dxa"/>
            <w:vAlign w:val="bottom"/>
            <w:tcBorders>
              <w:bottom w:val="single" w:sz="8" w:color="D64000"/>
            </w:tcBorders>
            <w:gridSpan w:val="2"/>
          </w:tcPr>
          <w:p>
            <w:pPr>
              <w:jc w:val="right"/>
              <w:ind w:right="240"/>
              <w:spacing w:after="0"/>
              <w:rPr>
                <w:sz w:val="20"/>
                <w:szCs w:val="20"/>
                <w:color w:val="auto"/>
              </w:rPr>
            </w:pPr>
            <w:r>
              <w:rPr>
                <w:rFonts w:ascii="Arial" w:cs="Arial" w:eastAsia="Arial" w:hAnsi="Arial"/>
                <w:sz w:val="16"/>
                <w:szCs w:val="16"/>
                <w:color w:val="auto"/>
              </w:rPr>
              <w:t>45.8%</w:t>
            </w:r>
          </w:p>
        </w:tc>
        <w:tc>
          <w:tcPr>
            <w:tcW w:w="960" w:type="dxa"/>
            <w:vAlign w:val="bottom"/>
            <w:tcBorders>
              <w:bottom w:val="single" w:sz="8" w:color="D64000"/>
            </w:tcBorders>
          </w:tcPr>
          <w:p>
            <w:pPr>
              <w:jc w:val="right"/>
              <w:ind w:right="181"/>
              <w:spacing w:after="0"/>
              <w:rPr>
                <w:sz w:val="20"/>
                <w:szCs w:val="20"/>
                <w:color w:val="auto"/>
              </w:rPr>
            </w:pPr>
            <w:r>
              <w:rPr>
                <w:rFonts w:ascii="Arial" w:cs="Arial" w:eastAsia="Arial" w:hAnsi="Arial"/>
                <w:sz w:val="16"/>
                <w:szCs w:val="16"/>
                <w:color w:val="auto"/>
              </w:rPr>
              <w:t>(60)bp</w:t>
            </w:r>
          </w:p>
        </w:tc>
        <w:tc>
          <w:tcPr>
            <w:tcW w:w="1140" w:type="dxa"/>
            <w:vAlign w:val="bottom"/>
            <w:tcBorders>
              <w:bottom w:val="single" w:sz="8" w:color="D64000"/>
            </w:tcBorders>
          </w:tcPr>
          <w:p>
            <w:pPr>
              <w:jc w:val="right"/>
              <w:ind w:right="181"/>
              <w:spacing w:after="0"/>
              <w:rPr>
                <w:sz w:val="20"/>
                <w:szCs w:val="20"/>
                <w:color w:val="auto"/>
              </w:rPr>
            </w:pPr>
            <w:r>
              <w:rPr>
                <w:rFonts w:ascii="Arial" w:cs="Arial" w:eastAsia="Arial" w:hAnsi="Arial"/>
                <w:sz w:val="16"/>
                <w:szCs w:val="16"/>
                <w:color w:val="auto"/>
              </w:rPr>
              <w:t>(50)bp</w:t>
            </w:r>
          </w:p>
        </w:tc>
        <w:tc>
          <w:tcPr>
            <w:tcW w:w="820" w:type="dxa"/>
            <w:vAlign w:val="bottom"/>
            <w:tcBorders>
              <w:bottom w:val="single" w:sz="8" w:color="D64000"/>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57" w:lineRule="exact"/>
        <w:rPr>
          <w:sz w:val="20"/>
          <w:szCs w:val="20"/>
          <w:color w:val="auto"/>
        </w:rPr>
      </w:pPr>
    </w:p>
    <w:p>
      <w:pPr>
        <w:ind w:left="220" w:right="100"/>
        <w:spacing w:after="0" w:line="236" w:lineRule="auto"/>
        <w:rPr>
          <w:sz w:val="20"/>
          <w:szCs w:val="20"/>
          <w:color w:val="auto"/>
        </w:rPr>
      </w:pPr>
      <w:r>
        <w:rPr>
          <w:rFonts w:ascii="Arial" w:cs="Arial" w:eastAsia="Arial" w:hAnsi="Arial"/>
          <w:sz w:val="17"/>
          <w:szCs w:val="17"/>
          <w:color w:val="auto"/>
        </w:rPr>
        <w:t>Revenues increased in total and in constant currency, which included a contribution from the acquisition of SurePrep in the prior year. On an organic basis, revenues increased 10% due to growth in both recurring and transactions revenues. Recurring organic revenue growth was led by the Latin America business, and the segment’s UltraTax and audit products. Recurring revenues represented 74% of Tax &amp; Accounting Professionals segment revenues. Transactions organic revenue growth was driven by UltraTax, Confirmation, SurePrep, and the segment’s international businesses.</w:t>
      </w:r>
    </w:p>
    <w:p>
      <w:pPr>
        <w:spacing w:after="0" w:line="59" w:lineRule="exact"/>
        <w:rPr>
          <w:sz w:val="20"/>
          <w:szCs w:val="20"/>
          <w:color w:val="auto"/>
        </w:rPr>
      </w:pPr>
    </w:p>
    <w:p>
      <w:pPr>
        <w:ind w:left="220" w:right="240"/>
        <w:spacing w:after="0" w:line="243" w:lineRule="auto"/>
        <w:rPr>
          <w:sz w:val="20"/>
          <w:szCs w:val="20"/>
          <w:color w:val="auto"/>
        </w:rPr>
      </w:pPr>
      <w:r>
        <w:rPr>
          <w:rFonts w:ascii="Arial" w:cs="Arial" w:eastAsia="Arial" w:hAnsi="Arial"/>
          <w:sz w:val="17"/>
          <w:szCs w:val="17"/>
          <w:color w:val="auto"/>
        </w:rPr>
        <w:t>Segment adjusted EBITDA increased 8% and the related margin declined 60bp to 45.2%. The decline in margin was driven by a similar growth rate in expenses versus revenues reflecting costs associated with investments and higher incentive compensation based on strong business performance. Foreign currency had a 10bp negative impact on the year-over-year change in segment adjusted EBITDA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91440</wp:posOffset>
            </wp:positionV>
            <wp:extent cx="68656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5"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39</w:t>
      </w:r>
    </w:p>
    <w:p>
      <w:pPr>
        <w:sectPr>
          <w:pgSz w:w="11900" w:h="16838" w:orient="portrait"/>
          <w:cols w:equalWidth="0" w:num="1">
            <w:col w:w="11040"/>
          </w:cols>
          <w:pgMar w:left="320" w:top="477" w:right="5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13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w w:val="96"/>
              </w:rPr>
              <w:t>Table of Contents</w:t>
            </w:r>
          </w:p>
        </w:tc>
        <w:tc>
          <w:tcPr>
            <w:tcW w:w="4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532"/>
        </w:trPr>
        <w:tc>
          <w:tcPr>
            <w:tcW w:w="220" w:type="dxa"/>
            <w:vAlign w:val="bottom"/>
          </w:tcPr>
          <w:p>
            <w:pPr>
              <w:spacing w:after="0"/>
              <w:rPr>
                <w:sz w:val="24"/>
                <w:szCs w:val="24"/>
                <w:color w:val="auto"/>
              </w:rPr>
            </w:pPr>
          </w:p>
        </w:tc>
        <w:tc>
          <w:tcPr>
            <w:tcW w:w="5740" w:type="dxa"/>
            <w:vAlign w:val="bottom"/>
            <w:gridSpan w:val="3"/>
          </w:tcPr>
          <w:p>
            <w:pPr>
              <w:spacing w:after="0"/>
              <w:rPr>
                <w:sz w:val="20"/>
                <w:szCs w:val="20"/>
                <w:color w:val="auto"/>
              </w:rPr>
            </w:pPr>
            <w:r>
              <w:rPr>
                <w:rFonts w:ascii="Arial" w:cs="Arial" w:eastAsia="Arial" w:hAnsi="Arial"/>
                <w:sz w:val="17"/>
                <w:szCs w:val="17"/>
                <w:b w:val="1"/>
                <w:bCs w:val="1"/>
                <w:color w:val="auto"/>
              </w:rPr>
              <w:t>Reuters News</w:t>
            </w: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24"/>
        </w:trPr>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340" w:type="dxa"/>
            <w:vAlign w:val="bottom"/>
            <w:gridSpan w:val="3"/>
          </w:tcPr>
          <w:p>
            <w:pPr>
              <w:spacing w:after="0"/>
              <w:rPr>
                <w:sz w:val="10"/>
                <w:szCs w:val="10"/>
                <w:color w:val="auto"/>
              </w:rPr>
            </w:pPr>
          </w:p>
        </w:tc>
        <w:tc>
          <w:tcPr>
            <w:tcW w:w="820" w:type="dxa"/>
            <w:vAlign w:val="bottom"/>
          </w:tcPr>
          <w:p>
            <w:pPr>
              <w:spacing w:after="0"/>
              <w:rPr>
                <w:sz w:val="10"/>
                <w:szCs w:val="10"/>
                <w:color w:val="auto"/>
              </w:rPr>
            </w:pPr>
          </w:p>
        </w:tc>
      </w:tr>
      <w:tr>
        <w:trPr>
          <w:trHeight w:val="212"/>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00" w:type="dxa"/>
            <w:vAlign w:val="bottom"/>
            <w:shd w:val="clear" w:color="auto" w:fill="E3F3EE"/>
          </w:tcPr>
          <w:p>
            <w:pPr>
              <w:spacing w:after="0"/>
              <w:rPr>
                <w:sz w:val="18"/>
                <w:szCs w:val="18"/>
                <w:color w:val="auto"/>
              </w:rPr>
            </w:pPr>
          </w:p>
        </w:tc>
        <w:tc>
          <w:tcPr>
            <w:tcW w:w="3040" w:type="dxa"/>
            <w:vAlign w:val="bottom"/>
            <w:gridSpan w:val="4"/>
            <w:shd w:val="clear" w:color="auto" w:fill="E3F3EE"/>
          </w:tcPr>
          <w:p>
            <w:pPr>
              <w:jc w:val="right"/>
              <w:ind w:right="221"/>
              <w:spacing w:after="0"/>
              <w:rPr>
                <w:sz w:val="20"/>
                <w:szCs w:val="20"/>
                <w:color w:val="auto"/>
              </w:rPr>
            </w:pPr>
            <w:r>
              <w:rPr>
                <w:rFonts w:ascii="Arial" w:cs="Arial" w:eastAsia="Arial" w:hAnsi="Arial"/>
                <w:sz w:val="16"/>
                <w:szCs w:val="16"/>
                <w:b w:val="1"/>
                <w:bCs w:val="1"/>
                <w:color w:val="auto"/>
              </w:rPr>
              <w:t xml:space="preserve">     Year ended December 31,    </w:t>
            </w:r>
          </w:p>
        </w:tc>
        <w:tc>
          <w:tcPr>
            <w:tcW w:w="820" w:type="dxa"/>
            <w:vAlign w:val="bottom"/>
            <w:shd w:val="clear" w:color="auto" w:fill="E3F3EE"/>
          </w:tcPr>
          <w:p>
            <w:pPr>
              <w:spacing w:after="0"/>
              <w:rPr>
                <w:sz w:val="18"/>
                <w:szCs w:val="18"/>
                <w:color w:val="auto"/>
              </w:rPr>
            </w:pPr>
          </w:p>
        </w:tc>
      </w:tr>
      <w:tr>
        <w:trPr>
          <w:trHeight w:val="192"/>
        </w:trPr>
        <w:tc>
          <w:tcPr>
            <w:tcW w:w="220" w:type="dxa"/>
            <w:vAlign w:val="bottom"/>
          </w:tcPr>
          <w:p>
            <w:pPr>
              <w:spacing w:after="0"/>
              <w:rPr>
                <w:sz w:val="16"/>
                <w:szCs w:val="16"/>
                <w:color w:val="auto"/>
              </w:rPr>
            </w:pPr>
          </w:p>
        </w:tc>
        <w:tc>
          <w:tcPr>
            <w:tcW w:w="100" w:type="dxa"/>
            <w:vAlign w:val="bottom"/>
            <w:tcBorders>
              <w:bottom w:val="single" w:sz="8" w:color="1F473D"/>
            </w:tcBorders>
            <w:shd w:val="clear" w:color="auto" w:fill="1F473D"/>
          </w:tcPr>
          <w:p>
            <w:pPr>
              <w:spacing w:after="0"/>
              <w:rPr>
                <w:sz w:val="16"/>
                <w:szCs w:val="16"/>
                <w:color w:val="auto"/>
              </w:rPr>
            </w:pPr>
          </w:p>
        </w:tc>
        <w:tc>
          <w:tcPr>
            <w:tcW w:w="1020" w:type="dxa"/>
            <w:vAlign w:val="bottom"/>
            <w:tcBorders>
              <w:bottom w:val="single" w:sz="8" w:color="1F473D"/>
            </w:tcBorders>
            <w:shd w:val="clear" w:color="auto" w:fill="1F473D"/>
          </w:tcPr>
          <w:p>
            <w:pPr>
              <w:spacing w:after="0"/>
              <w:rPr>
                <w:sz w:val="16"/>
                <w:szCs w:val="16"/>
                <w:color w:val="auto"/>
              </w:rPr>
            </w:pPr>
          </w:p>
        </w:tc>
        <w:tc>
          <w:tcPr>
            <w:tcW w:w="4620" w:type="dxa"/>
            <w:vAlign w:val="bottom"/>
            <w:tcBorders>
              <w:bottom w:val="single" w:sz="8" w:color="1F473D"/>
            </w:tcBorders>
            <w:shd w:val="clear" w:color="auto" w:fill="1F473D"/>
          </w:tcPr>
          <w:p>
            <w:pPr>
              <w:spacing w:after="0"/>
              <w:rPr>
                <w:sz w:val="16"/>
                <w:szCs w:val="16"/>
                <w:color w:val="auto"/>
              </w:rPr>
            </w:pPr>
          </w:p>
        </w:tc>
        <w:tc>
          <w:tcPr>
            <w:tcW w:w="1200" w:type="dxa"/>
            <w:vAlign w:val="bottom"/>
            <w:tcBorders>
              <w:bottom w:val="single" w:sz="8" w:color="1F473D"/>
            </w:tcBorders>
            <w:shd w:val="clear" w:color="auto" w:fill="1F473D"/>
          </w:tcPr>
          <w:p>
            <w:pPr>
              <w:spacing w:after="0"/>
              <w:rPr>
                <w:sz w:val="16"/>
                <w:szCs w:val="16"/>
                <w:color w:val="auto"/>
              </w:rPr>
            </w:pPr>
          </w:p>
        </w:tc>
        <w:tc>
          <w:tcPr>
            <w:tcW w:w="700" w:type="dxa"/>
            <w:vAlign w:val="bottom"/>
            <w:tcBorders>
              <w:bottom w:val="single" w:sz="8" w:color="1F473D"/>
            </w:tcBorders>
            <w:shd w:val="clear" w:color="auto" w:fill="1F473D"/>
          </w:tcPr>
          <w:p>
            <w:pPr>
              <w:spacing w:after="0"/>
              <w:rPr>
                <w:sz w:val="16"/>
                <w:szCs w:val="16"/>
                <w:color w:val="auto"/>
              </w:rPr>
            </w:pPr>
          </w:p>
        </w:tc>
        <w:tc>
          <w:tcPr>
            <w:tcW w:w="260" w:type="dxa"/>
            <w:vAlign w:val="bottom"/>
            <w:tcBorders>
              <w:bottom w:val="single" w:sz="8" w:color="D64000"/>
            </w:tcBorders>
            <w:shd w:val="clear" w:color="auto" w:fill="1F473D"/>
          </w:tcPr>
          <w:p>
            <w:pPr>
              <w:spacing w:after="0"/>
              <w:rPr>
                <w:sz w:val="16"/>
                <w:szCs w:val="16"/>
                <w:color w:val="auto"/>
              </w:rPr>
            </w:pPr>
          </w:p>
        </w:tc>
        <w:tc>
          <w:tcPr>
            <w:tcW w:w="940" w:type="dxa"/>
            <w:vAlign w:val="bottom"/>
            <w:tcBorders>
              <w:bottom w:val="single" w:sz="8" w:color="D64000"/>
            </w:tcBorders>
            <w:shd w:val="clear" w:color="auto" w:fill="1F473D"/>
          </w:tcPr>
          <w:p>
            <w:pPr>
              <w:spacing w:after="0"/>
              <w:rPr>
                <w:sz w:val="16"/>
                <w:szCs w:val="16"/>
                <w:color w:val="auto"/>
              </w:rPr>
            </w:pPr>
          </w:p>
        </w:tc>
        <w:tc>
          <w:tcPr>
            <w:tcW w:w="1140" w:type="dxa"/>
            <w:vAlign w:val="bottom"/>
            <w:tcBorders>
              <w:bottom w:val="single" w:sz="8" w:color="D64000"/>
            </w:tcBorders>
            <w:shd w:val="clear" w:color="auto" w:fill="1F473D"/>
          </w:tcPr>
          <w:p>
            <w:pPr>
              <w:jc w:val="right"/>
              <w:ind w:right="141"/>
              <w:spacing w:after="0"/>
              <w:rPr>
                <w:sz w:val="20"/>
                <w:szCs w:val="20"/>
                <w:color w:val="auto"/>
              </w:rPr>
            </w:pPr>
            <w:r>
              <w:rPr>
                <w:rFonts w:ascii="Arial" w:cs="Arial" w:eastAsia="Arial" w:hAnsi="Arial"/>
                <w:sz w:val="16"/>
                <w:szCs w:val="16"/>
                <w:color w:val="FFFFFF"/>
              </w:rPr>
              <w:t>Change</w:t>
            </w:r>
          </w:p>
        </w:tc>
        <w:tc>
          <w:tcPr>
            <w:tcW w:w="820" w:type="dxa"/>
            <w:vAlign w:val="bottom"/>
            <w:tcBorders>
              <w:bottom w:val="single" w:sz="8" w:color="D64000"/>
            </w:tcBorders>
            <w:shd w:val="clear" w:color="auto" w:fill="1F473D"/>
          </w:tcPr>
          <w:p>
            <w:pPr>
              <w:spacing w:after="0"/>
              <w:rPr>
                <w:sz w:val="16"/>
                <w:szCs w:val="16"/>
                <w:color w:val="auto"/>
              </w:rPr>
            </w:pPr>
          </w:p>
        </w:tc>
      </w:tr>
      <w:tr>
        <w:trPr>
          <w:trHeight w:val="171"/>
        </w:trPr>
        <w:tc>
          <w:tcPr>
            <w:tcW w:w="220" w:type="dxa"/>
            <w:vAlign w:val="bottom"/>
          </w:tcPr>
          <w:p>
            <w:pPr>
              <w:spacing w:after="0"/>
              <w:rPr>
                <w:sz w:val="14"/>
                <w:szCs w:val="14"/>
                <w:color w:val="auto"/>
              </w:rPr>
            </w:pPr>
          </w:p>
        </w:tc>
        <w:tc>
          <w:tcPr>
            <w:tcW w:w="100" w:type="dxa"/>
            <w:vAlign w:val="bottom"/>
            <w:shd w:val="clear" w:color="auto" w:fill="1F473D"/>
          </w:tcPr>
          <w:p>
            <w:pPr>
              <w:spacing w:after="0"/>
              <w:rPr>
                <w:sz w:val="14"/>
                <w:szCs w:val="14"/>
                <w:color w:val="auto"/>
              </w:rPr>
            </w:pPr>
          </w:p>
        </w:tc>
        <w:tc>
          <w:tcPr>
            <w:tcW w:w="1020" w:type="dxa"/>
            <w:vAlign w:val="bottom"/>
            <w:shd w:val="clear" w:color="auto" w:fill="1F473D"/>
          </w:tcPr>
          <w:p>
            <w:pPr>
              <w:spacing w:after="0"/>
              <w:rPr>
                <w:sz w:val="14"/>
                <w:szCs w:val="14"/>
                <w:color w:val="auto"/>
              </w:rPr>
            </w:pPr>
          </w:p>
        </w:tc>
        <w:tc>
          <w:tcPr>
            <w:tcW w:w="4620" w:type="dxa"/>
            <w:vAlign w:val="bottom"/>
            <w:shd w:val="clear" w:color="auto" w:fill="1F473D"/>
          </w:tcPr>
          <w:p>
            <w:pPr>
              <w:spacing w:after="0"/>
              <w:rPr>
                <w:sz w:val="14"/>
                <w:szCs w:val="14"/>
                <w:color w:val="auto"/>
              </w:rPr>
            </w:pPr>
          </w:p>
        </w:tc>
        <w:tc>
          <w:tcPr>
            <w:tcW w:w="1200" w:type="dxa"/>
            <w:vAlign w:val="bottom"/>
            <w:shd w:val="clear" w:color="auto" w:fill="1F473D"/>
          </w:tcPr>
          <w:p>
            <w:pPr>
              <w:spacing w:after="0"/>
              <w:rPr>
                <w:sz w:val="14"/>
                <w:szCs w:val="14"/>
                <w:color w:val="auto"/>
              </w:rPr>
            </w:pPr>
          </w:p>
        </w:tc>
        <w:tc>
          <w:tcPr>
            <w:tcW w:w="700" w:type="dxa"/>
            <w:vAlign w:val="bottom"/>
            <w:shd w:val="clear" w:color="auto" w:fill="1F473D"/>
          </w:tcPr>
          <w:p>
            <w:pPr>
              <w:spacing w:after="0"/>
              <w:rPr>
                <w:sz w:val="14"/>
                <w:szCs w:val="14"/>
                <w:color w:val="auto"/>
              </w:rPr>
            </w:pPr>
          </w:p>
        </w:tc>
        <w:tc>
          <w:tcPr>
            <w:tcW w:w="260" w:type="dxa"/>
            <w:vAlign w:val="bottom"/>
            <w:shd w:val="clear" w:color="auto" w:fill="1F473D"/>
          </w:tcPr>
          <w:p>
            <w:pPr>
              <w:spacing w:after="0"/>
              <w:rPr>
                <w:sz w:val="14"/>
                <w:szCs w:val="14"/>
                <w:color w:val="auto"/>
              </w:rPr>
            </w:pPr>
          </w:p>
        </w:tc>
        <w:tc>
          <w:tcPr>
            <w:tcW w:w="940" w:type="dxa"/>
            <w:vAlign w:val="bottom"/>
            <w:shd w:val="clear" w:color="auto" w:fill="1F473D"/>
          </w:tcPr>
          <w:p>
            <w:pPr>
              <w:spacing w:after="0"/>
              <w:rPr>
                <w:sz w:val="14"/>
                <w:szCs w:val="14"/>
                <w:color w:val="auto"/>
              </w:rPr>
            </w:pPr>
          </w:p>
        </w:tc>
        <w:tc>
          <w:tcPr>
            <w:tcW w:w="1140" w:type="dxa"/>
            <w:vAlign w:val="bottom"/>
            <w:shd w:val="clear" w:color="auto" w:fill="1F473D"/>
          </w:tcPr>
          <w:p>
            <w:pPr>
              <w:jc w:val="right"/>
              <w:ind w:right="181"/>
              <w:spacing w:after="0" w:line="171" w:lineRule="exact"/>
              <w:rPr>
                <w:sz w:val="20"/>
                <w:szCs w:val="20"/>
                <w:color w:val="auto"/>
              </w:rPr>
            </w:pPr>
            <w:r>
              <w:rPr>
                <w:rFonts w:ascii="Arial" w:cs="Arial" w:eastAsia="Arial" w:hAnsi="Arial"/>
                <w:sz w:val="16"/>
                <w:szCs w:val="16"/>
                <w:color w:val="FFFFFF"/>
              </w:rPr>
              <w:t>Constant</w:t>
            </w:r>
          </w:p>
        </w:tc>
        <w:tc>
          <w:tcPr>
            <w:tcW w:w="820" w:type="dxa"/>
            <w:vAlign w:val="bottom"/>
            <w:shd w:val="clear" w:color="auto" w:fill="1F473D"/>
          </w:tcPr>
          <w:p>
            <w:pPr>
              <w:spacing w:after="0"/>
              <w:rPr>
                <w:sz w:val="14"/>
                <w:szCs w:val="14"/>
                <w:color w:val="auto"/>
              </w:rPr>
            </w:pPr>
          </w:p>
        </w:tc>
      </w:tr>
      <w:tr>
        <w:trPr>
          <w:trHeight w:val="206"/>
        </w:trPr>
        <w:tc>
          <w:tcPr>
            <w:tcW w:w="220" w:type="dxa"/>
            <w:vAlign w:val="bottom"/>
          </w:tcPr>
          <w:p>
            <w:pPr>
              <w:spacing w:after="0"/>
              <w:rPr>
                <w:sz w:val="17"/>
                <w:szCs w:val="17"/>
                <w:color w:val="auto"/>
              </w:rPr>
            </w:pPr>
          </w:p>
        </w:tc>
        <w:tc>
          <w:tcPr>
            <w:tcW w:w="5740" w:type="dxa"/>
            <w:vAlign w:val="bottom"/>
            <w:tcBorders>
              <w:bottom w:val="single" w:sz="8" w:color="D64000"/>
            </w:tcBorders>
            <w:gridSpan w:val="3"/>
            <w:shd w:val="clear" w:color="auto" w:fill="1F473D"/>
          </w:tcPr>
          <w:p>
            <w:pPr>
              <w:spacing w:after="0"/>
              <w:rPr>
                <w:sz w:val="20"/>
                <w:szCs w:val="20"/>
                <w:color w:val="auto"/>
              </w:rPr>
            </w:pPr>
            <w:r>
              <w:rPr>
                <w:rFonts w:ascii="Arial" w:cs="Arial" w:eastAsia="Arial" w:hAnsi="Arial"/>
                <w:sz w:val="16"/>
                <w:szCs w:val="16"/>
                <w:color w:val="FFFFFF"/>
              </w:rPr>
              <w:t>  (millions of U.S. dollars, except margins)</w:t>
            </w:r>
          </w:p>
        </w:tc>
        <w:tc>
          <w:tcPr>
            <w:tcW w:w="1200" w:type="dxa"/>
            <w:vAlign w:val="bottom"/>
            <w:tcBorders>
              <w:bottom w:val="single" w:sz="8" w:color="D64000"/>
            </w:tcBorders>
            <w:shd w:val="clear" w:color="auto" w:fill="1F473D"/>
          </w:tcPr>
          <w:p>
            <w:pPr>
              <w:jc w:val="right"/>
              <w:ind w:right="181"/>
              <w:spacing w:after="0"/>
              <w:rPr>
                <w:sz w:val="20"/>
                <w:szCs w:val="20"/>
                <w:color w:val="auto"/>
              </w:rPr>
            </w:pPr>
            <w:r>
              <w:rPr>
                <w:rFonts w:ascii="Arial" w:cs="Arial" w:eastAsia="Arial" w:hAnsi="Arial"/>
                <w:sz w:val="16"/>
                <w:szCs w:val="16"/>
                <w:b w:val="1"/>
                <w:bCs w:val="1"/>
                <w:color w:val="FFFFFF"/>
              </w:rPr>
              <w:t>2024</w:t>
            </w:r>
          </w:p>
        </w:tc>
        <w:tc>
          <w:tcPr>
            <w:tcW w:w="70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2023</w:t>
            </w:r>
          </w:p>
        </w:tc>
        <w:tc>
          <w:tcPr>
            <w:tcW w:w="260" w:type="dxa"/>
            <w:vAlign w:val="bottom"/>
            <w:tcBorders>
              <w:bottom w:val="single" w:sz="8" w:color="D64000"/>
            </w:tcBorders>
            <w:shd w:val="clear" w:color="auto" w:fill="1F473D"/>
          </w:tcPr>
          <w:p>
            <w:pPr>
              <w:spacing w:after="0"/>
              <w:rPr>
                <w:sz w:val="17"/>
                <w:szCs w:val="17"/>
                <w:color w:val="auto"/>
              </w:rPr>
            </w:pPr>
          </w:p>
        </w:tc>
        <w:tc>
          <w:tcPr>
            <w:tcW w:w="940" w:type="dxa"/>
            <w:vAlign w:val="bottom"/>
            <w:tcBorders>
              <w:bottom w:val="single" w:sz="8" w:color="D64000"/>
            </w:tcBorders>
            <w:shd w:val="clear" w:color="auto" w:fill="1F473D"/>
          </w:tcPr>
          <w:p>
            <w:pPr>
              <w:jc w:val="right"/>
              <w:ind w:right="181"/>
              <w:spacing w:after="0"/>
              <w:rPr>
                <w:sz w:val="20"/>
                <w:szCs w:val="20"/>
                <w:color w:val="auto"/>
              </w:rPr>
            </w:pPr>
            <w:r>
              <w:rPr>
                <w:rFonts w:ascii="Arial" w:cs="Arial" w:eastAsia="Arial" w:hAnsi="Arial"/>
                <w:sz w:val="16"/>
                <w:szCs w:val="16"/>
                <w:color w:val="FFFFFF"/>
              </w:rPr>
              <w:t>Total</w:t>
            </w:r>
          </w:p>
        </w:tc>
        <w:tc>
          <w:tcPr>
            <w:tcW w:w="1140" w:type="dxa"/>
            <w:vAlign w:val="bottom"/>
            <w:tcBorders>
              <w:bottom w:val="single" w:sz="8" w:color="D64000"/>
            </w:tcBorders>
            <w:shd w:val="clear" w:color="auto" w:fill="1F473D"/>
          </w:tcPr>
          <w:p>
            <w:pPr>
              <w:jc w:val="right"/>
              <w:ind w:right="181"/>
              <w:spacing w:after="0"/>
              <w:rPr>
                <w:sz w:val="20"/>
                <w:szCs w:val="20"/>
                <w:color w:val="auto"/>
              </w:rPr>
            </w:pPr>
            <w:r>
              <w:rPr>
                <w:rFonts w:ascii="Arial" w:cs="Arial" w:eastAsia="Arial" w:hAnsi="Arial"/>
                <w:sz w:val="16"/>
                <w:szCs w:val="16"/>
                <w:color w:val="FFFFFF"/>
              </w:rPr>
              <w:t>Currency</w:t>
            </w:r>
          </w:p>
        </w:tc>
        <w:tc>
          <w:tcPr>
            <w:tcW w:w="82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Organic</w:t>
            </w:r>
          </w:p>
        </w:tc>
      </w:tr>
      <w:tr>
        <w:trPr>
          <w:trHeight w:val="211"/>
        </w:trPr>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1"/>
                <w:szCs w:val="11"/>
                <w:b w:val="1"/>
                <w:bCs w:val="1"/>
                <w:color w:val="auto"/>
                <w:w w:val="72"/>
              </w:rPr>
              <w:t> </w:t>
            </w:r>
          </w:p>
        </w:tc>
        <w:tc>
          <w:tcPr>
            <w:tcW w:w="5640" w:type="dxa"/>
            <w:vAlign w:val="bottom"/>
            <w:gridSpan w:val="2"/>
          </w:tcPr>
          <w:p>
            <w:pPr>
              <w:ind w:left="60"/>
              <w:spacing w:after="0"/>
              <w:rPr>
                <w:sz w:val="20"/>
                <w:szCs w:val="20"/>
                <w:color w:val="auto"/>
              </w:rPr>
            </w:pPr>
            <w:r>
              <w:rPr>
                <w:rFonts w:ascii="Arial" w:cs="Arial" w:eastAsia="Arial" w:hAnsi="Arial"/>
                <w:sz w:val="16"/>
                <w:szCs w:val="16"/>
                <w:b w:val="1"/>
                <w:bCs w:val="1"/>
                <w:color w:val="auto"/>
              </w:rPr>
              <w:t>  Recurring revenues</w:t>
            </w:r>
          </w:p>
        </w:tc>
        <w:tc>
          <w:tcPr>
            <w:tcW w:w="1200" w:type="dxa"/>
            <w:vAlign w:val="bottom"/>
          </w:tcPr>
          <w:p>
            <w:pPr>
              <w:jc w:val="right"/>
              <w:ind w:right="181"/>
              <w:spacing w:after="0"/>
              <w:rPr>
                <w:sz w:val="20"/>
                <w:szCs w:val="20"/>
                <w:color w:val="auto"/>
              </w:rPr>
            </w:pPr>
            <w:r>
              <w:rPr>
                <w:rFonts w:ascii="Arial" w:cs="Arial" w:eastAsia="Arial" w:hAnsi="Arial"/>
                <w:sz w:val="16"/>
                <w:szCs w:val="16"/>
                <w:b w:val="1"/>
                <w:bCs w:val="1"/>
                <w:color w:val="auto"/>
              </w:rPr>
              <w:t>668</w:t>
            </w:r>
          </w:p>
        </w:tc>
        <w:tc>
          <w:tcPr>
            <w:tcW w:w="700" w:type="dxa"/>
            <w:vAlign w:val="bottom"/>
          </w:tcPr>
          <w:p>
            <w:pPr>
              <w:jc w:val="right"/>
              <w:spacing w:after="0"/>
              <w:rPr>
                <w:sz w:val="20"/>
                <w:szCs w:val="20"/>
                <w:color w:val="auto"/>
              </w:rPr>
            </w:pPr>
            <w:r>
              <w:rPr>
                <w:rFonts w:ascii="Arial" w:cs="Arial" w:eastAsia="Arial" w:hAnsi="Arial"/>
                <w:sz w:val="16"/>
                <w:szCs w:val="16"/>
                <w:color w:val="auto"/>
              </w:rPr>
              <w:t>625</w:t>
            </w:r>
          </w:p>
        </w:tc>
        <w:tc>
          <w:tcPr>
            <w:tcW w:w="260" w:type="dxa"/>
            <w:vAlign w:val="bottom"/>
          </w:tcPr>
          <w:p>
            <w:pPr>
              <w:spacing w:after="0"/>
              <w:rPr>
                <w:sz w:val="18"/>
                <w:szCs w:val="18"/>
                <w:color w:val="auto"/>
              </w:rPr>
            </w:pPr>
          </w:p>
        </w:tc>
        <w:tc>
          <w:tcPr>
            <w:tcW w:w="940" w:type="dxa"/>
            <w:vAlign w:val="bottom"/>
          </w:tcPr>
          <w:p>
            <w:pPr>
              <w:jc w:val="right"/>
              <w:ind w:right="181"/>
              <w:spacing w:after="0"/>
              <w:rPr>
                <w:sz w:val="20"/>
                <w:szCs w:val="20"/>
                <w:color w:val="auto"/>
              </w:rPr>
            </w:pPr>
            <w:r>
              <w:rPr>
                <w:rFonts w:ascii="Arial" w:cs="Arial" w:eastAsia="Arial" w:hAnsi="Arial"/>
                <w:sz w:val="16"/>
                <w:szCs w:val="16"/>
                <w:color w:val="auto"/>
              </w:rPr>
              <w:t>7%</w:t>
            </w:r>
          </w:p>
        </w:tc>
        <w:tc>
          <w:tcPr>
            <w:tcW w:w="1140" w:type="dxa"/>
            <w:vAlign w:val="bottom"/>
          </w:tcPr>
          <w:p>
            <w:pPr>
              <w:jc w:val="right"/>
              <w:ind w:right="181"/>
              <w:spacing w:after="0"/>
              <w:rPr>
                <w:sz w:val="20"/>
                <w:szCs w:val="20"/>
                <w:color w:val="auto"/>
              </w:rPr>
            </w:pPr>
            <w:r>
              <w:rPr>
                <w:rFonts w:ascii="Arial" w:cs="Arial" w:eastAsia="Arial" w:hAnsi="Arial"/>
                <w:sz w:val="16"/>
                <w:szCs w:val="16"/>
                <w:color w:val="auto"/>
              </w:rPr>
              <w:t>7%</w:t>
            </w: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0"/>
        </w:trPr>
        <w:tc>
          <w:tcPr>
            <w:tcW w:w="220" w:type="dxa"/>
            <w:vAlign w:val="bottom"/>
          </w:tcPr>
          <w:p>
            <w:pPr>
              <w:spacing w:after="0"/>
              <w:rPr>
                <w:sz w:val="17"/>
                <w:szCs w:val="17"/>
                <w:color w:val="auto"/>
              </w:rPr>
            </w:pPr>
          </w:p>
        </w:tc>
        <w:tc>
          <w:tcPr>
            <w:tcW w:w="100" w:type="dxa"/>
            <w:vAlign w:val="bottom"/>
            <w:tcBorders>
              <w:bottom w:val="single" w:sz="8" w:color="B2B2B2"/>
            </w:tcBorders>
          </w:tcPr>
          <w:p>
            <w:pPr>
              <w:spacing w:after="0"/>
              <w:rPr>
                <w:sz w:val="20"/>
                <w:szCs w:val="20"/>
                <w:color w:val="auto"/>
              </w:rPr>
            </w:pPr>
            <w:r>
              <w:rPr>
                <w:rFonts w:ascii="Arial" w:cs="Arial" w:eastAsia="Arial" w:hAnsi="Arial"/>
                <w:sz w:val="11"/>
                <w:szCs w:val="11"/>
                <w:b w:val="1"/>
                <w:bCs w:val="1"/>
                <w:color w:val="auto"/>
                <w:w w:val="72"/>
              </w:rPr>
              <w:t> </w:t>
            </w:r>
          </w:p>
        </w:tc>
        <w:tc>
          <w:tcPr>
            <w:tcW w:w="5640" w:type="dxa"/>
            <w:vAlign w:val="bottom"/>
            <w:tcBorders>
              <w:bottom w:val="single" w:sz="8" w:color="B2B2B2"/>
            </w:tcBorders>
            <w:gridSpan w:val="2"/>
          </w:tcPr>
          <w:p>
            <w:pPr>
              <w:ind w:left="60"/>
              <w:spacing w:after="0"/>
              <w:rPr>
                <w:sz w:val="20"/>
                <w:szCs w:val="20"/>
                <w:color w:val="auto"/>
              </w:rPr>
            </w:pPr>
            <w:r>
              <w:rPr>
                <w:rFonts w:ascii="Arial" w:cs="Arial" w:eastAsia="Arial" w:hAnsi="Arial"/>
                <w:sz w:val="16"/>
                <w:szCs w:val="16"/>
                <w:b w:val="1"/>
                <w:bCs w:val="1"/>
                <w:color w:val="auto"/>
              </w:rPr>
              <w:t>  Transactions revenues</w:t>
            </w:r>
          </w:p>
        </w:tc>
        <w:tc>
          <w:tcPr>
            <w:tcW w:w="120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b w:val="1"/>
                <w:bCs w:val="1"/>
                <w:color w:val="auto"/>
              </w:rPr>
              <w:t>164</w:t>
            </w:r>
          </w:p>
        </w:tc>
        <w:tc>
          <w:tcPr>
            <w:tcW w:w="7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144</w:t>
            </w:r>
          </w:p>
        </w:tc>
        <w:tc>
          <w:tcPr>
            <w:tcW w:w="260" w:type="dxa"/>
            <w:vAlign w:val="bottom"/>
            <w:tcBorders>
              <w:bottom w:val="single" w:sz="8" w:color="B2B2B2"/>
            </w:tcBorders>
          </w:tcPr>
          <w:p>
            <w:pPr>
              <w:spacing w:after="0"/>
              <w:rPr>
                <w:sz w:val="17"/>
                <w:szCs w:val="17"/>
                <w:color w:val="auto"/>
              </w:rPr>
            </w:pPr>
          </w:p>
        </w:tc>
        <w:tc>
          <w:tcPr>
            <w:tcW w:w="94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color w:val="auto"/>
              </w:rPr>
              <w:t>14%</w:t>
            </w:r>
          </w:p>
        </w:tc>
        <w:tc>
          <w:tcPr>
            <w:tcW w:w="114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color w:val="auto"/>
              </w:rPr>
              <w:t>13%</w:t>
            </w: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w:t>
            </w:r>
          </w:p>
        </w:tc>
      </w:tr>
      <w:tr>
        <w:trPr>
          <w:trHeight w:val="192"/>
        </w:trPr>
        <w:tc>
          <w:tcPr>
            <w:tcW w:w="220" w:type="dxa"/>
            <w:vAlign w:val="bottom"/>
          </w:tcPr>
          <w:p>
            <w:pPr>
              <w:spacing w:after="0"/>
              <w:rPr>
                <w:sz w:val="16"/>
                <w:szCs w:val="16"/>
                <w:color w:val="auto"/>
              </w:rPr>
            </w:pPr>
          </w:p>
        </w:tc>
        <w:tc>
          <w:tcPr>
            <w:tcW w:w="5740" w:type="dxa"/>
            <w:vAlign w:val="bottom"/>
            <w:tcBorders>
              <w:bottom w:val="single" w:sz="8" w:color="B2B2B2"/>
            </w:tcBorders>
            <w:gridSpan w:val="3"/>
          </w:tcPr>
          <w:p>
            <w:pPr>
              <w:spacing w:after="0"/>
              <w:rPr>
                <w:sz w:val="20"/>
                <w:szCs w:val="20"/>
                <w:color w:val="auto"/>
              </w:rPr>
            </w:pPr>
            <w:r>
              <w:rPr>
                <w:rFonts w:ascii="Arial" w:cs="Arial" w:eastAsia="Arial" w:hAnsi="Arial"/>
                <w:sz w:val="16"/>
                <w:szCs w:val="16"/>
                <w:b w:val="1"/>
                <w:bCs w:val="1"/>
                <w:color w:val="auto"/>
              </w:rPr>
              <w:t>  Revenues</w:t>
            </w:r>
          </w:p>
        </w:tc>
        <w:tc>
          <w:tcPr>
            <w:tcW w:w="120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b w:val="1"/>
                <w:bCs w:val="1"/>
                <w:color w:val="auto"/>
              </w:rPr>
              <w:t>832</w:t>
            </w:r>
          </w:p>
        </w:tc>
        <w:tc>
          <w:tcPr>
            <w:tcW w:w="7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769</w:t>
            </w:r>
          </w:p>
        </w:tc>
        <w:tc>
          <w:tcPr>
            <w:tcW w:w="260" w:type="dxa"/>
            <w:vAlign w:val="bottom"/>
            <w:tcBorders>
              <w:bottom w:val="single" w:sz="8" w:color="B2B2B2"/>
            </w:tcBorders>
          </w:tcPr>
          <w:p>
            <w:pPr>
              <w:spacing w:after="0"/>
              <w:rPr>
                <w:sz w:val="16"/>
                <w:szCs w:val="16"/>
                <w:color w:val="auto"/>
              </w:rPr>
            </w:pPr>
          </w:p>
        </w:tc>
        <w:tc>
          <w:tcPr>
            <w:tcW w:w="94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color w:val="auto"/>
              </w:rPr>
              <w:t>8%</w:t>
            </w:r>
          </w:p>
        </w:tc>
        <w:tc>
          <w:tcPr>
            <w:tcW w:w="114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color w:val="auto"/>
              </w:rPr>
              <w:t>8%</w:t>
            </w: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w:t>
            </w:r>
          </w:p>
        </w:tc>
      </w:tr>
      <w:tr>
        <w:trPr>
          <w:trHeight w:val="204"/>
        </w:trPr>
        <w:tc>
          <w:tcPr>
            <w:tcW w:w="220" w:type="dxa"/>
            <w:vAlign w:val="bottom"/>
          </w:tcPr>
          <w:p>
            <w:pPr>
              <w:spacing w:after="0"/>
              <w:rPr>
                <w:sz w:val="17"/>
                <w:szCs w:val="17"/>
                <w:color w:val="auto"/>
              </w:rPr>
            </w:pPr>
          </w:p>
        </w:tc>
        <w:tc>
          <w:tcPr>
            <w:tcW w:w="5740" w:type="dxa"/>
            <w:vAlign w:val="bottom"/>
            <w:gridSpan w:val="3"/>
          </w:tcPr>
          <w:p>
            <w:pPr>
              <w:spacing w:after="0"/>
              <w:rPr>
                <w:sz w:val="20"/>
                <w:szCs w:val="20"/>
                <w:color w:val="auto"/>
              </w:rPr>
            </w:pPr>
            <w:r>
              <w:rPr>
                <w:rFonts w:ascii="Arial" w:cs="Arial" w:eastAsia="Arial" w:hAnsi="Arial"/>
                <w:sz w:val="16"/>
                <w:szCs w:val="16"/>
                <w:b w:val="1"/>
                <w:bCs w:val="1"/>
                <w:color w:val="auto"/>
              </w:rPr>
              <w:t>  Segment adjusted EBITDA</w:t>
            </w:r>
          </w:p>
        </w:tc>
        <w:tc>
          <w:tcPr>
            <w:tcW w:w="1200" w:type="dxa"/>
            <w:vAlign w:val="bottom"/>
          </w:tcPr>
          <w:p>
            <w:pPr>
              <w:jc w:val="right"/>
              <w:ind w:right="181"/>
              <w:spacing w:after="0"/>
              <w:rPr>
                <w:sz w:val="20"/>
                <w:szCs w:val="20"/>
                <w:color w:val="auto"/>
              </w:rPr>
            </w:pPr>
            <w:r>
              <w:rPr>
                <w:rFonts w:ascii="Arial" w:cs="Arial" w:eastAsia="Arial" w:hAnsi="Arial"/>
                <w:sz w:val="16"/>
                <w:szCs w:val="16"/>
                <w:b w:val="1"/>
                <w:bCs w:val="1"/>
                <w:color w:val="auto"/>
              </w:rPr>
              <w:t>196</w:t>
            </w:r>
          </w:p>
        </w:tc>
        <w:tc>
          <w:tcPr>
            <w:tcW w:w="700" w:type="dxa"/>
            <w:vAlign w:val="bottom"/>
          </w:tcPr>
          <w:p>
            <w:pPr>
              <w:jc w:val="right"/>
              <w:spacing w:after="0"/>
              <w:rPr>
                <w:sz w:val="20"/>
                <w:szCs w:val="20"/>
                <w:color w:val="auto"/>
              </w:rPr>
            </w:pPr>
            <w:r>
              <w:rPr>
                <w:rFonts w:ascii="Arial" w:cs="Arial" w:eastAsia="Arial" w:hAnsi="Arial"/>
                <w:sz w:val="16"/>
                <w:szCs w:val="16"/>
                <w:color w:val="auto"/>
              </w:rPr>
              <w:t>172</w:t>
            </w:r>
          </w:p>
        </w:tc>
        <w:tc>
          <w:tcPr>
            <w:tcW w:w="260" w:type="dxa"/>
            <w:vAlign w:val="bottom"/>
          </w:tcPr>
          <w:p>
            <w:pPr>
              <w:spacing w:after="0"/>
              <w:rPr>
                <w:sz w:val="17"/>
                <w:szCs w:val="17"/>
                <w:color w:val="auto"/>
              </w:rPr>
            </w:pPr>
          </w:p>
        </w:tc>
        <w:tc>
          <w:tcPr>
            <w:tcW w:w="940" w:type="dxa"/>
            <w:vAlign w:val="bottom"/>
          </w:tcPr>
          <w:p>
            <w:pPr>
              <w:jc w:val="right"/>
              <w:ind w:right="181"/>
              <w:spacing w:after="0"/>
              <w:rPr>
                <w:sz w:val="20"/>
                <w:szCs w:val="20"/>
                <w:color w:val="auto"/>
              </w:rPr>
            </w:pPr>
            <w:r>
              <w:rPr>
                <w:rFonts w:ascii="Arial" w:cs="Arial" w:eastAsia="Arial" w:hAnsi="Arial"/>
                <w:sz w:val="16"/>
                <w:szCs w:val="16"/>
                <w:color w:val="auto"/>
              </w:rPr>
              <w:t>14%</w:t>
            </w:r>
          </w:p>
        </w:tc>
        <w:tc>
          <w:tcPr>
            <w:tcW w:w="1140" w:type="dxa"/>
            <w:vAlign w:val="bottom"/>
          </w:tcPr>
          <w:p>
            <w:pPr>
              <w:jc w:val="right"/>
              <w:ind w:right="181"/>
              <w:spacing w:after="0"/>
              <w:rPr>
                <w:sz w:val="20"/>
                <w:szCs w:val="20"/>
                <w:color w:val="auto"/>
              </w:rPr>
            </w:pPr>
            <w:r>
              <w:rPr>
                <w:rFonts w:ascii="Arial" w:cs="Arial" w:eastAsia="Arial" w:hAnsi="Arial"/>
                <w:sz w:val="16"/>
                <w:szCs w:val="16"/>
                <w:color w:val="auto"/>
              </w:rPr>
              <w:t>16%</w:t>
            </w:r>
          </w:p>
        </w:tc>
        <w:tc>
          <w:tcPr>
            <w:tcW w:w="820" w:type="dxa"/>
            <w:vAlign w:val="bottom"/>
          </w:tcPr>
          <w:p>
            <w:pPr>
              <w:spacing w:after="0"/>
              <w:rPr>
                <w:sz w:val="17"/>
                <w:szCs w:val="17"/>
                <w:color w:val="auto"/>
              </w:rPr>
            </w:pPr>
          </w:p>
        </w:tc>
      </w:tr>
      <w:tr>
        <w:trPr>
          <w:trHeight w:val="206"/>
        </w:trPr>
        <w:tc>
          <w:tcPr>
            <w:tcW w:w="220" w:type="dxa"/>
            <w:vAlign w:val="bottom"/>
          </w:tcPr>
          <w:p>
            <w:pPr>
              <w:spacing w:after="0"/>
              <w:rPr>
                <w:sz w:val="17"/>
                <w:szCs w:val="17"/>
                <w:color w:val="auto"/>
              </w:rPr>
            </w:pPr>
          </w:p>
        </w:tc>
        <w:tc>
          <w:tcPr>
            <w:tcW w:w="5740" w:type="dxa"/>
            <w:vAlign w:val="bottom"/>
            <w:tcBorders>
              <w:bottom w:val="single" w:sz="8" w:color="D64000"/>
            </w:tcBorders>
            <w:gridSpan w:val="3"/>
          </w:tcPr>
          <w:p>
            <w:pPr>
              <w:spacing w:after="0"/>
              <w:rPr>
                <w:sz w:val="20"/>
                <w:szCs w:val="20"/>
                <w:color w:val="auto"/>
              </w:rPr>
            </w:pPr>
            <w:r>
              <w:rPr>
                <w:rFonts w:ascii="Arial" w:cs="Arial" w:eastAsia="Arial" w:hAnsi="Arial"/>
                <w:sz w:val="16"/>
                <w:szCs w:val="16"/>
                <w:b w:val="1"/>
                <w:bCs w:val="1"/>
                <w:color w:val="auto"/>
              </w:rPr>
              <w:t>  Segment adjusted EBITDA margin</w:t>
            </w:r>
          </w:p>
        </w:tc>
        <w:tc>
          <w:tcPr>
            <w:tcW w:w="1200" w:type="dxa"/>
            <w:vAlign w:val="bottom"/>
            <w:tcBorders>
              <w:bottom w:val="single" w:sz="8" w:color="D64000"/>
            </w:tcBorders>
          </w:tcPr>
          <w:p>
            <w:pPr>
              <w:jc w:val="right"/>
              <w:ind w:right="181"/>
              <w:spacing w:after="0"/>
              <w:rPr>
                <w:sz w:val="20"/>
                <w:szCs w:val="20"/>
                <w:color w:val="auto"/>
              </w:rPr>
            </w:pPr>
            <w:r>
              <w:rPr>
                <w:rFonts w:ascii="Arial" w:cs="Arial" w:eastAsia="Arial" w:hAnsi="Arial"/>
                <w:sz w:val="16"/>
                <w:szCs w:val="16"/>
                <w:b w:val="1"/>
                <w:bCs w:val="1"/>
                <w:color w:val="auto"/>
              </w:rPr>
              <w:t>23.6%</w:t>
            </w:r>
          </w:p>
        </w:tc>
        <w:tc>
          <w:tcPr>
            <w:tcW w:w="960" w:type="dxa"/>
            <w:vAlign w:val="bottom"/>
            <w:tcBorders>
              <w:bottom w:val="single" w:sz="8" w:color="D64000"/>
            </w:tcBorders>
            <w:gridSpan w:val="2"/>
          </w:tcPr>
          <w:p>
            <w:pPr>
              <w:jc w:val="right"/>
              <w:ind w:right="260"/>
              <w:spacing w:after="0"/>
              <w:rPr>
                <w:sz w:val="20"/>
                <w:szCs w:val="20"/>
                <w:color w:val="auto"/>
              </w:rPr>
            </w:pPr>
            <w:r>
              <w:rPr>
                <w:rFonts w:ascii="Arial" w:cs="Arial" w:eastAsia="Arial" w:hAnsi="Arial"/>
                <w:sz w:val="16"/>
                <w:szCs w:val="16"/>
                <w:color w:val="auto"/>
              </w:rPr>
              <w:t>22.4%</w:t>
            </w:r>
          </w:p>
        </w:tc>
        <w:tc>
          <w:tcPr>
            <w:tcW w:w="940" w:type="dxa"/>
            <w:vAlign w:val="bottom"/>
            <w:tcBorders>
              <w:bottom w:val="single" w:sz="8" w:color="D64000"/>
            </w:tcBorders>
          </w:tcPr>
          <w:p>
            <w:pPr>
              <w:jc w:val="right"/>
              <w:ind w:right="181"/>
              <w:spacing w:after="0"/>
              <w:rPr>
                <w:sz w:val="20"/>
                <w:szCs w:val="20"/>
                <w:color w:val="auto"/>
              </w:rPr>
            </w:pPr>
            <w:r>
              <w:rPr>
                <w:rFonts w:ascii="Arial" w:cs="Arial" w:eastAsia="Arial" w:hAnsi="Arial"/>
                <w:sz w:val="16"/>
                <w:szCs w:val="16"/>
                <w:color w:val="auto"/>
              </w:rPr>
              <w:t>120bp</w:t>
            </w:r>
          </w:p>
        </w:tc>
        <w:tc>
          <w:tcPr>
            <w:tcW w:w="1140" w:type="dxa"/>
            <w:vAlign w:val="bottom"/>
            <w:tcBorders>
              <w:bottom w:val="single" w:sz="8" w:color="D64000"/>
            </w:tcBorders>
          </w:tcPr>
          <w:p>
            <w:pPr>
              <w:jc w:val="right"/>
              <w:ind w:right="181"/>
              <w:spacing w:after="0"/>
              <w:rPr>
                <w:sz w:val="20"/>
                <w:szCs w:val="20"/>
                <w:color w:val="auto"/>
              </w:rPr>
            </w:pPr>
            <w:r>
              <w:rPr>
                <w:rFonts w:ascii="Arial" w:cs="Arial" w:eastAsia="Arial" w:hAnsi="Arial"/>
                <w:sz w:val="16"/>
                <w:szCs w:val="16"/>
                <w:color w:val="auto"/>
              </w:rPr>
              <w:t>150bp</w:t>
            </w:r>
          </w:p>
        </w:tc>
        <w:tc>
          <w:tcPr>
            <w:tcW w:w="820" w:type="dxa"/>
            <w:vAlign w:val="bottom"/>
            <w:tcBorders>
              <w:bottom w:val="single" w:sz="8" w:color="D6400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6770" cy="54610"/>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-1202690</wp:posOffset>
            </wp:positionV>
            <wp:extent cx="68656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37" w:lineRule="exact"/>
        <w:rPr>
          <w:sz w:val="20"/>
          <w:szCs w:val="20"/>
          <w:color w:val="auto"/>
        </w:rPr>
      </w:pPr>
    </w:p>
    <w:p>
      <w:pPr>
        <w:ind w:left="220" w:right="100"/>
        <w:spacing w:after="0" w:line="238" w:lineRule="auto"/>
        <w:rPr>
          <w:sz w:val="20"/>
          <w:szCs w:val="20"/>
          <w:color w:val="auto"/>
        </w:rPr>
      </w:pPr>
      <w:r>
        <w:rPr>
          <w:rFonts w:ascii="Arial" w:cs="Arial" w:eastAsia="Arial" w:hAnsi="Arial"/>
          <w:sz w:val="17"/>
          <w:szCs w:val="17"/>
          <w:color w:val="auto"/>
        </w:rPr>
        <w:t>Revenues increased in total, in constant currency and on an organic basis. which included a positive impact from acquisitions. On an organic basis, revenue growth of 6% was led by higher generative AI related content licensing revenue, including certain amounts that were largely transactional. Additionally, revenues increased due to a contractual price increase from the segment’s news agreement with the Data &amp; Analytics business of LSEG.</w:t>
      </w:r>
    </w:p>
    <w:p>
      <w:pPr>
        <w:spacing w:after="0" w:line="59" w:lineRule="exact"/>
        <w:rPr>
          <w:sz w:val="20"/>
          <w:szCs w:val="20"/>
          <w:color w:val="auto"/>
        </w:rPr>
      </w:pPr>
    </w:p>
    <w:p>
      <w:pPr>
        <w:ind w:left="220" w:right="20"/>
        <w:spacing w:after="0" w:line="238" w:lineRule="auto"/>
        <w:rPr>
          <w:sz w:val="20"/>
          <w:szCs w:val="20"/>
          <w:color w:val="auto"/>
        </w:rPr>
      </w:pPr>
      <w:r>
        <w:rPr>
          <w:rFonts w:ascii="Arial" w:cs="Arial" w:eastAsia="Arial" w:hAnsi="Arial"/>
          <w:sz w:val="17"/>
          <w:szCs w:val="17"/>
          <w:color w:val="auto"/>
        </w:rPr>
        <w:t>Reuters News and LSEG’s Data &amp; Analytics business have an agreement pursuant to which Reuters News supplies news and information services to LSEG through October 1, 2048. In 2024, Reuters News recorded revenues of $384 million under this agreement, which represents the current minimum annual value. However, these revenues may increase in the future as the contract requires adjustments related to changes in the consumer price index and foreign exchange rates. In 2023, Reuters News recorded $368 million under this agreement.</w:t>
      </w:r>
    </w:p>
    <w:p>
      <w:pPr>
        <w:spacing w:after="0" w:line="59" w:lineRule="exact"/>
        <w:rPr>
          <w:sz w:val="20"/>
          <w:szCs w:val="20"/>
          <w:color w:val="auto"/>
        </w:rPr>
      </w:pPr>
    </w:p>
    <w:p>
      <w:pPr>
        <w:jc w:val="both"/>
        <w:ind w:left="220" w:right="400"/>
        <w:spacing w:after="0" w:line="243" w:lineRule="auto"/>
        <w:rPr>
          <w:sz w:val="20"/>
          <w:szCs w:val="20"/>
          <w:color w:val="auto"/>
        </w:rPr>
      </w:pPr>
      <w:r>
        <w:rPr>
          <w:rFonts w:ascii="Arial" w:cs="Arial" w:eastAsia="Arial" w:hAnsi="Arial"/>
          <w:sz w:val="17"/>
          <w:szCs w:val="17"/>
          <w:color w:val="auto"/>
        </w:rPr>
        <w:t>Segment adjusted EBITDA increased 14% and the related margin increased 120bp to 23.6% due to higher revenues, which more than offset higher costs including editorial coverage of key global events. Foreign currency had a 30bp negative impact on the year-over-year change in segment adjusted EBITDA margin.</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Global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100330</wp:posOffset>
            </wp:positionV>
            <wp:extent cx="68656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8" w:lineRule="exact"/>
        <w:rPr>
          <w:sz w:val="20"/>
          <w:szCs w:val="20"/>
          <w:color w:val="auto"/>
        </w:rPr>
      </w:pPr>
    </w:p>
    <w:tbl>
      <w:tblPr>
        <w:tblLayout w:type="fixed"/>
        <w:tblInd w:w="220" w:type="dxa"/>
        <w:tblCellMar>
          <w:top w:w="0" w:type="dxa"/>
          <w:left w:w="0" w:type="dxa"/>
          <w:bottom w:w="0" w:type="dxa"/>
          <w:right w:w="0" w:type="dxa"/>
        </w:tblCellMar>
      </w:tblPr>
      <w:tr>
        <w:trPr>
          <w:trHeight w:val="212"/>
        </w:trPr>
        <w:tc>
          <w:tcPr>
            <w:tcW w:w="5620" w:type="dxa"/>
            <w:vAlign w:val="bottom"/>
          </w:tcPr>
          <w:p>
            <w:pPr>
              <w:spacing w:after="0"/>
              <w:rPr>
                <w:sz w:val="18"/>
                <w:szCs w:val="18"/>
                <w:color w:val="auto"/>
              </w:rPr>
            </w:pPr>
          </w:p>
        </w:tc>
        <w:tc>
          <w:tcPr>
            <w:tcW w:w="1220" w:type="dxa"/>
            <w:vAlign w:val="bottom"/>
            <w:shd w:val="clear" w:color="auto" w:fill="E3F3EE"/>
          </w:tcPr>
          <w:p>
            <w:pPr>
              <w:spacing w:after="0"/>
              <w:rPr>
                <w:sz w:val="18"/>
                <w:szCs w:val="18"/>
                <w:color w:val="auto"/>
              </w:rPr>
            </w:pPr>
          </w:p>
        </w:tc>
        <w:tc>
          <w:tcPr>
            <w:tcW w:w="3140" w:type="dxa"/>
            <w:vAlign w:val="bottom"/>
            <w:gridSpan w:val="4"/>
            <w:shd w:val="clear" w:color="auto" w:fill="E3F3EE"/>
          </w:tcPr>
          <w:p>
            <w:pPr>
              <w:jc w:val="right"/>
              <w:ind w:right="281"/>
              <w:spacing w:after="0"/>
              <w:rPr>
                <w:sz w:val="20"/>
                <w:szCs w:val="20"/>
                <w:color w:val="auto"/>
              </w:rPr>
            </w:pPr>
            <w:r>
              <w:rPr>
                <w:rFonts w:ascii="Arial" w:cs="Arial" w:eastAsia="Arial" w:hAnsi="Arial"/>
                <w:sz w:val="16"/>
                <w:szCs w:val="16"/>
                <w:b w:val="1"/>
                <w:bCs w:val="1"/>
                <w:color w:val="auto"/>
              </w:rPr>
              <w:t xml:space="preserve">     Year ended December 31,    </w:t>
            </w:r>
          </w:p>
        </w:tc>
        <w:tc>
          <w:tcPr>
            <w:tcW w:w="820" w:type="dxa"/>
            <w:vAlign w:val="bottom"/>
            <w:shd w:val="clear" w:color="auto" w:fill="E3F3EE"/>
          </w:tcPr>
          <w:p>
            <w:pPr>
              <w:spacing w:after="0"/>
              <w:rPr>
                <w:sz w:val="18"/>
                <w:szCs w:val="18"/>
                <w:color w:val="auto"/>
              </w:rPr>
            </w:pPr>
          </w:p>
        </w:tc>
      </w:tr>
      <w:tr>
        <w:trPr>
          <w:trHeight w:val="192"/>
        </w:trPr>
        <w:tc>
          <w:tcPr>
            <w:tcW w:w="5620" w:type="dxa"/>
            <w:vAlign w:val="bottom"/>
            <w:tcBorders>
              <w:bottom w:val="single" w:sz="8" w:color="1F473D"/>
            </w:tcBorders>
            <w:shd w:val="clear" w:color="auto" w:fill="1F473D"/>
          </w:tcPr>
          <w:p>
            <w:pPr>
              <w:spacing w:after="0"/>
              <w:rPr>
                <w:sz w:val="16"/>
                <w:szCs w:val="16"/>
                <w:color w:val="auto"/>
              </w:rPr>
            </w:pPr>
          </w:p>
        </w:tc>
        <w:tc>
          <w:tcPr>
            <w:tcW w:w="1220" w:type="dxa"/>
            <w:vAlign w:val="bottom"/>
            <w:tcBorders>
              <w:bottom w:val="single" w:sz="8" w:color="1F473D"/>
            </w:tcBorders>
            <w:shd w:val="clear" w:color="auto" w:fill="1F473D"/>
          </w:tcPr>
          <w:p>
            <w:pPr>
              <w:spacing w:after="0"/>
              <w:rPr>
                <w:sz w:val="16"/>
                <w:szCs w:val="16"/>
                <w:color w:val="auto"/>
              </w:rPr>
            </w:pPr>
          </w:p>
        </w:tc>
        <w:tc>
          <w:tcPr>
            <w:tcW w:w="700" w:type="dxa"/>
            <w:vAlign w:val="bottom"/>
            <w:tcBorders>
              <w:bottom w:val="single" w:sz="8" w:color="1F473D"/>
            </w:tcBorders>
            <w:shd w:val="clear" w:color="auto" w:fill="1F473D"/>
          </w:tcPr>
          <w:p>
            <w:pPr>
              <w:spacing w:after="0"/>
              <w:rPr>
                <w:sz w:val="16"/>
                <w:szCs w:val="16"/>
                <w:color w:val="auto"/>
              </w:rPr>
            </w:pPr>
          </w:p>
        </w:tc>
        <w:tc>
          <w:tcPr>
            <w:tcW w:w="240" w:type="dxa"/>
            <w:vAlign w:val="bottom"/>
            <w:tcBorders>
              <w:bottom w:val="single" w:sz="8" w:color="D64000"/>
            </w:tcBorders>
            <w:shd w:val="clear" w:color="auto" w:fill="1F473D"/>
          </w:tcPr>
          <w:p>
            <w:pPr>
              <w:spacing w:after="0"/>
              <w:rPr>
                <w:sz w:val="16"/>
                <w:szCs w:val="16"/>
                <w:color w:val="auto"/>
              </w:rPr>
            </w:pPr>
          </w:p>
        </w:tc>
        <w:tc>
          <w:tcPr>
            <w:tcW w:w="1060" w:type="dxa"/>
            <w:vAlign w:val="bottom"/>
            <w:tcBorders>
              <w:bottom w:val="single" w:sz="8" w:color="D64000"/>
            </w:tcBorders>
            <w:shd w:val="clear" w:color="auto" w:fill="1F473D"/>
          </w:tcPr>
          <w:p>
            <w:pPr>
              <w:spacing w:after="0"/>
              <w:rPr>
                <w:sz w:val="16"/>
                <w:szCs w:val="16"/>
                <w:color w:val="auto"/>
              </w:rPr>
            </w:pPr>
          </w:p>
        </w:tc>
        <w:tc>
          <w:tcPr>
            <w:tcW w:w="1140" w:type="dxa"/>
            <w:vAlign w:val="bottom"/>
            <w:tcBorders>
              <w:bottom w:val="single" w:sz="8" w:color="D64000"/>
            </w:tcBorders>
            <w:shd w:val="clear" w:color="auto" w:fill="1F473D"/>
          </w:tcPr>
          <w:p>
            <w:pPr>
              <w:jc w:val="right"/>
              <w:ind w:right="201"/>
              <w:spacing w:after="0"/>
              <w:rPr>
                <w:sz w:val="20"/>
                <w:szCs w:val="20"/>
                <w:color w:val="auto"/>
              </w:rPr>
            </w:pPr>
            <w:r>
              <w:rPr>
                <w:rFonts w:ascii="Arial" w:cs="Arial" w:eastAsia="Arial" w:hAnsi="Arial"/>
                <w:sz w:val="16"/>
                <w:szCs w:val="16"/>
                <w:color w:val="FFFFFF"/>
              </w:rPr>
              <w:t>Change</w:t>
            </w:r>
          </w:p>
        </w:tc>
        <w:tc>
          <w:tcPr>
            <w:tcW w:w="820" w:type="dxa"/>
            <w:vAlign w:val="bottom"/>
            <w:tcBorders>
              <w:bottom w:val="single" w:sz="8" w:color="D64000"/>
            </w:tcBorders>
            <w:shd w:val="clear" w:color="auto" w:fill="1F473D"/>
          </w:tcPr>
          <w:p>
            <w:pPr>
              <w:spacing w:after="0"/>
              <w:rPr>
                <w:sz w:val="16"/>
                <w:szCs w:val="16"/>
                <w:color w:val="auto"/>
              </w:rPr>
            </w:pPr>
          </w:p>
        </w:tc>
      </w:tr>
      <w:tr>
        <w:trPr>
          <w:trHeight w:val="171"/>
        </w:trPr>
        <w:tc>
          <w:tcPr>
            <w:tcW w:w="5620" w:type="dxa"/>
            <w:vAlign w:val="bottom"/>
            <w:shd w:val="clear" w:color="auto" w:fill="1F473D"/>
          </w:tcPr>
          <w:p>
            <w:pPr>
              <w:spacing w:after="0"/>
              <w:rPr>
                <w:sz w:val="14"/>
                <w:szCs w:val="14"/>
                <w:color w:val="auto"/>
              </w:rPr>
            </w:pPr>
          </w:p>
        </w:tc>
        <w:tc>
          <w:tcPr>
            <w:tcW w:w="1220" w:type="dxa"/>
            <w:vAlign w:val="bottom"/>
            <w:shd w:val="clear" w:color="auto" w:fill="1F473D"/>
          </w:tcPr>
          <w:p>
            <w:pPr>
              <w:spacing w:after="0"/>
              <w:rPr>
                <w:sz w:val="14"/>
                <w:szCs w:val="14"/>
                <w:color w:val="auto"/>
              </w:rPr>
            </w:pPr>
          </w:p>
        </w:tc>
        <w:tc>
          <w:tcPr>
            <w:tcW w:w="700" w:type="dxa"/>
            <w:vAlign w:val="bottom"/>
            <w:shd w:val="clear" w:color="auto" w:fill="1F473D"/>
          </w:tcPr>
          <w:p>
            <w:pPr>
              <w:spacing w:after="0"/>
              <w:rPr>
                <w:sz w:val="14"/>
                <w:szCs w:val="14"/>
                <w:color w:val="auto"/>
              </w:rPr>
            </w:pPr>
          </w:p>
        </w:tc>
        <w:tc>
          <w:tcPr>
            <w:tcW w:w="240" w:type="dxa"/>
            <w:vAlign w:val="bottom"/>
            <w:shd w:val="clear" w:color="auto" w:fill="1F473D"/>
          </w:tcPr>
          <w:p>
            <w:pPr>
              <w:spacing w:after="0"/>
              <w:rPr>
                <w:sz w:val="14"/>
                <w:szCs w:val="14"/>
                <w:color w:val="auto"/>
              </w:rPr>
            </w:pPr>
          </w:p>
        </w:tc>
        <w:tc>
          <w:tcPr>
            <w:tcW w:w="1060" w:type="dxa"/>
            <w:vAlign w:val="bottom"/>
            <w:shd w:val="clear" w:color="auto" w:fill="1F473D"/>
          </w:tcPr>
          <w:p>
            <w:pPr>
              <w:spacing w:after="0"/>
              <w:rPr>
                <w:sz w:val="14"/>
                <w:szCs w:val="14"/>
                <w:color w:val="auto"/>
              </w:rPr>
            </w:pPr>
          </w:p>
        </w:tc>
        <w:tc>
          <w:tcPr>
            <w:tcW w:w="1140" w:type="dxa"/>
            <w:vAlign w:val="bottom"/>
            <w:shd w:val="clear" w:color="auto" w:fill="1F473D"/>
          </w:tcPr>
          <w:p>
            <w:pPr>
              <w:jc w:val="right"/>
              <w:ind w:right="181"/>
              <w:spacing w:after="0" w:line="171" w:lineRule="exact"/>
              <w:rPr>
                <w:sz w:val="20"/>
                <w:szCs w:val="20"/>
                <w:color w:val="auto"/>
              </w:rPr>
            </w:pPr>
            <w:r>
              <w:rPr>
                <w:rFonts w:ascii="Arial" w:cs="Arial" w:eastAsia="Arial" w:hAnsi="Arial"/>
                <w:sz w:val="16"/>
                <w:szCs w:val="16"/>
                <w:color w:val="FFFFFF"/>
              </w:rPr>
              <w:t>Constant</w:t>
            </w:r>
          </w:p>
        </w:tc>
        <w:tc>
          <w:tcPr>
            <w:tcW w:w="820" w:type="dxa"/>
            <w:vAlign w:val="bottom"/>
            <w:shd w:val="clear" w:color="auto" w:fill="1F473D"/>
          </w:tcPr>
          <w:p>
            <w:pPr>
              <w:spacing w:after="0"/>
              <w:rPr>
                <w:sz w:val="14"/>
                <w:szCs w:val="14"/>
                <w:color w:val="auto"/>
              </w:rPr>
            </w:pPr>
          </w:p>
        </w:tc>
      </w:tr>
      <w:tr>
        <w:trPr>
          <w:trHeight w:val="206"/>
        </w:trPr>
        <w:tc>
          <w:tcPr>
            <w:tcW w:w="562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color w:val="FFFFFF"/>
              </w:rPr>
              <w:t>  (millions of U.S. dollars, except margins)</w:t>
            </w:r>
          </w:p>
        </w:tc>
        <w:tc>
          <w:tcPr>
            <w:tcW w:w="1220" w:type="dxa"/>
            <w:vAlign w:val="bottom"/>
            <w:tcBorders>
              <w:bottom w:val="single" w:sz="8" w:color="D64000"/>
            </w:tcBorders>
            <w:shd w:val="clear" w:color="auto" w:fill="1F473D"/>
          </w:tcPr>
          <w:p>
            <w:pPr>
              <w:jc w:val="right"/>
              <w:ind w:right="181"/>
              <w:spacing w:after="0"/>
              <w:rPr>
                <w:sz w:val="20"/>
                <w:szCs w:val="20"/>
                <w:color w:val="auto"/>
              </w:rPr>
            </w:pPr>
            <w:r>
              <w:rPr>
                <w:rFonts w:ascii="Arial" w:cs="Arial" w:eastAsia="Arial" w:hAnsi="Arial"/>
                <w:sz w:val="16"/>
                <w:szCs w:val="16"/>
                <w:b w:val="1"/>
                <w:bCs w:val="1"/>
                <w:color w:val="FFFFFF"/>
              </w:rPr>
              <w:t>2024</w:t>
            </w:r>
          </w:p>
        </w:tc>
        <w:tc>
          <w:tcPr>
            <w:tcW w:w="70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2023</w:t>
            </w:r>
          </w:p>
        </w:tc>
        <w:tc>
          <w:tcPr>
            <w:tcW w:w="240" w:type="dxa"/>
            <w:vAlign w:val="bottom"/>
            <w:tcBorders>
              <w:bottom w:val="single" w:sz="8" w:color="D64000"/>
            </w:tcBorders>
            <w:shd w:val="clear" w:color="auto" w:fill="1F473D"/>
          </w:tcPr>
          <w:p>
            <w:pPr>
              <w:spacing w:after="0"/>
              <w:rPr>
                <w:sz w:val="17"/>
                <w:szCs w:val="17"/>
                <w:color w:val="auto"/>
              </w:rPr>
            </w:pPr>
          </w:p>
        </w:tc>
        <w:tc>
          <w:tcPr>
            <w:tcW w:w="1060" w:type="dxa"/>
            <w:vAlign w:val="bottom"/>
            <w:tcBorders>
              <w:bottom w:val="single" w:sz="8" w:color="D64000"/>
            </w:tcBorders>
            <w:shd w:val="clear" w:color="auto" w:fill="1F473D"/>
          </w:tcPr>
          <w:p>
            <w:pPr>
              <w:jc w:val="right"/>
              <w:ind w:right="181"/>
              <w:spacing w:after="0"/>
              <w:rPr>
                <w:sz w:val="20"/>
                <w:szCs w:val="20"/>
                <w:color w:val="auto"/>
              </w:rPr>
            </w:pPr>
            <w:r>
              <w:rPr>
                <w:rFonts w:ascii="Arial" w:cs="Arial" w:eastAsia="Arial" w:hAnsi="Arial"/>
                <w:sz w:val="16"/>
                <w:szCs w:val="16"/>
                <w:color w:val="FFFFFF"/>
              </w:rPr>
              <w:t>Total</w:t>
            </w:r>
          </w:p>
        </w:tc>
        <w:tc>
          <w:tcPr>
            <w:tcW w:w="1140" w:type="dxa"/>
            <w:vAlign w:val="bottom"/>
            <w:tcBorders>
              <w:bottom w:val="single" w:sz="8" w:color="D64000"/>
            </w:tcBorders>
            <w:shd w:val="clear" w:color="auto" w:fill="1F473D"/>
          </w:tcPr>
          <w:p>
            <w:pPr>
              <w:jc w:val="right"/>
              <w:ind w:right="181"/>
              <w:spacing w:after="0"/>
              <w:rPr>
                <w:sz w:val="20"/>
                <w:szCs w:val="20"/>
                <w:color w:val="auto"/>
              </w:rPr>
            </w:pPr>
            <w:r>
              <w:rPr>
                <w:rFonts w:ascii="Arial" w:cs="Arial" w:eastAsia="Arial" w:hAnsi="Arial"/>
                <w:sz w:val="16"/>
                <w:szCs w:val="16"/>
                <w:color w:val="FFFFFF"/>
              </w:rPr>
              <w:t>Currency</w:t>
            </w:r>
          </w:p>
        </w:tc>
        <w:tc>
          <w:tcPr>
            <w:tcW w:w="82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Organic</w:t>
            </w:r>
          </w:p>
        </w:tc>
      </w:tr>
      <w:tr>
        <w:trPr>
          <w:trHeight w:val="199"/>
        </w:trPr>
        <w:tc>
          <w:tcPr>
            <w:tcW w:w="5620" w:type="dxa"/>
            <w:vAlign w:val="bottom"/>
            <w:tcBorders>
              <w:bottom w:val="single" w:sz="8" w:color="B2B2B2"/>
            </w:tcBorders>
          </w:tcPr>
          <w:p>
            <w:pPr>
              <w:spacing w:after="0"/>
              <w:rPr>
                <w:sz w:val="20"/>
                <w:szCs w:val="20"/>
                <w:color w:val="auto"/>
              </w:rPr>
            </w:pPr>
            <w:r>
              <w:rPr>
                <w:rFonts w:ascii="Arial" w:cs="Arial" w:eastAsia="Arial" w:hAnsi="Arial"/>
                <w:sz w:val="16"/>
                <w:szCs w:val="16"/>
                <w:b w:val="1"/>
                <w:bCs w:val="1"/>
                <w:color w:val="auto"/>
              </w:rPr>
              <w:t>  Revenues</w:t>
            </w:r>
          </w:p>
        </w:tc>
        <w:tc>
          <w:tcPr>
            <w:tcW w:w="122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b w:val="1"/>
                <w:bCs w:val="1"/>
                <w:color w:val="auto"/>
              </w:rPr>
              <w:t>519</w:t>
            </w:r>
          </w:p>
        </w:tc>
        <w:tc>
          <w:tcPr>
            <w:tcW w:w="7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562</w:t>
            </w:r>
          </w:p>
        </w:tc>
        <w:tc>
          <w:tcPr>
            <w:tcW w:w="240" w:type="dxa"/>
            <w:vAlign w:val="bottom"/>
            <w:tcBorders>
              <w:bottom w:val="single" w:sz="8" w:color="B2B2B2"/>
            </w:tcBorders>
          </w:tcPr>
          <w:p>
            <w:pPr>
              <w:spacing w:after="0"/>
              <w:rPr>
                <w:sz w:val="17"/>
                <w:szCs w:val="17"/>
                <w:color w:val="auto"/>
              </w:rPr>
            </w:pPr>
          </w:p>
        </w:tc>
        <w:tc>
          <w:tcPr>
            <w:tcW w:w="106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color w:val="auto"/>
              </w:rPr>
              <w:t>(8%)</w:t>
            </w:r>
          </w:p>
        </w:tc>
        <w:tc>
          <w:tcPr>
            <w:tcW w:w="114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color w:val="auto"/>
              </w:rPr>
              <w:t>(7%)</w:t>
            </w: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w:t>
            </w:r>
          </w:p>
        </w:tc>
      </w:tr>
      <w:tr>
        <w:trPr>
          <w:trHeight w:val="204"/>
        </w:trPr>
        <w:tc>
          <w:tcPr>
            <w:tcW w:w="5620" w:type="dxa"/>
            <w:vAlign w:val="bottom"/>
          </w:tcPr>
          <w:p>
            <w:pPr>
              <w:spacing w:after="0"/>
              <w:rPr>
                <w:sz w:val="20"/>
                <w:szCs w:val="20"/>
                <w:color w:val="auto"/>
              </w:rPr>
            </w:pPr>
            <w:r>
              <w:rPr>
                <w:rFonts w:ascii="Arial" w:cs="Arial" w:eastAsia="Arial" w:hAnsi="Arial"/>
                <w:sz w:val="16"/>
                <w:szCs w:val="16"/>
                <w:b w:val="1"/>
                <w:bCs w:val="1"/>
                <w:color w:val="auto"/>
              </w:rPr>
              <w:t>  Segment adjusted EBITDA</w:t>
            </w:r>
          </w:p>
        </w:tc>
        <w:tc>
          <w:tcPr>
            <w:tcW w:w="1220" w:type="dxa"/>
            <w:vAlign w:val="bottom"/>
          </w:tcPr>
          <w:p>
            <w:pPr>
              <w:jc w:val="right"/>
              <w:ind w:right="181"/>
              <w:spacing w:after="0"/>
              <w:rPr>
                <w:sz w:val="20"/>
                <w:szCs w:val="20"/>
                <w:color w:val="auto"/>
              </w:rPr>
            </w:pPr>
            <w:r>
              <w:rPr>
                <w:rFonts w:ascii="Arial" w:cs="Arial" w:eastAsia="Arial" w:hAnsi="Arial"/>
                <w:sz w:val="16"/>
                <w:szCs w:val="16"/>
                <w:b w:val="1"/>
                <w:bCs w:val="1"/>
                <w:color w:val="auto"/>
              </w:rPr>
              <w:t>188</w:t>
            </w:r>
          </w:p>
        </w:tc>
        <w:tc>
          <w:tcPr>
            <w:tcW w:w="700" w:type="dxa"/>
            <w:vAlign w:val="bottom"/>
          </w:tcPr>
          <w:p>
            <w:pPr>
              <w:jc w:val="right"/>
              <w:spacing w:after="0"/>
              <w:rPr>
                <w:sz w:val="20"/>
                <w:szCs w:val="20"/>
                <w:color w:val="auto"/>
              </w:rPr>
            </w:pPr>
            <w:r>
              <w:rPr>
                <w:rFonts w:ascii="Arial" w:cs="Arial" w:eastAsia="Arial" w:hAnsi="Arial"/>
                <w:sz w:val="16"/>
                <w:szCs w:val="16"/>
                <w:color w:val="auto"/>
              </w:rPr>
              <w:t>213</w:t>
            </w:r>
          </w:p>
        </w:tc>
        <w:tc>
          <w:tcPr>
            <w:tcW w:w="240" w:type="dxa"/>
            <w:vAlign w:val="bottom"/>
          </w:tcPr>
          <w:p>
            <w:pPr>
              <w:spacing w:after="0"/>
              <w:rPr>
                <w:sz w:val="17"/>
                <w:szCs w:val="17"/>
                <w:color w:val="auto"/>
              </w:rPr>
            </w:pPr>
          </w:p>
        </w:tc>
        <w:tc>
          <w:tcPr>
            <w:tcW w:w="1060" w:type="dxa"/>
            <w:vAlign w:val="bottom"/>
          </w:tcPr>
          <w:p>
            <w:pPr>
              <w:jc w:val="right"/>
              <w:ind w:right="181"/>
              <w:spacing w:after="0"/>
              <w:rPr>
                <w:sz w:val="20"/>
                <w:szCs w:val="20"/>
                <w:color w:val="auto"/>
              </w:rPr>
            </w:pPr>
            <w:r>
              <w:rPr>
                <w:rFonts w:ascii="Arial" w:cs="Arial" w:eastAsia="Arial" w:hAnsi="Arial"/>
                <w:sz w:val="16"/>
                <w:szCs w:val="16"/>
                <w:color w:val="auto"/>
              </w:rPr>
              <w:t>(12%)</w:t>
            </w:r>
          </w:p>
        </w:tc>
        <w:tc>
          <w:tcPr>
            <w:tcW w:w="1140" w:type="dxa"/>
            <w:vAlign w:val="bottom"/>
          </w:tcPr>
          <w:p>
            <w:pPr>
              <w:jc w:val="right"/>
              <w:ind w:right="181"/>
              <w:spacing w:after="0"/>
              <w:rPr>
                <w:sz w:val="20"/>
                <w:szCs w:val="20"/>
                <w:color w:val="auto"/>
              </w:rPr>
            </w:pPr>
            <w:r>
              <w:rPr>
                <w:rFonts w:ascii="Arial" w:cs="Arial" w:eastAsia="Arial" w:hAnsi="Arial"/>
                <w:sz w:val="16"/>
                <w:szCs w:val="16"/>
                <w:color w:val="auto"/>
              </w:rPr>
              <w:t>(12%)</w:t>
            </w:r>
          </w:p>
        </w:tc>
        <w:tc>
          <w:tcPr>
            <w:tcW w:w="820" w:type="dxa"/>
            <w:vAlign w:val="bottom"/>
          </w:tcPr>
          <w:p>
            <w:pPr>
              <w:spacing w:after="0"/>
              <w:rPr>
                <w:sz w:val="17"/>
                <w:szCs w:val="17"/>
                <w:color w:val="auto"/>
              </w:rPr>
            </w:pPr>
          </w:p>
        </w:tc>
      </w:tr>
      <w:tr>
        <w:trPr>
          <w:trHeight w:val="206"/>
        </w:trPr>
        <w:tc>
          <w:tcPr>
            <w:tcW w:w="5620" w:type="dxa"/>
            <w:vAlign w:val="bottom"/>
            <w:tcBorders>
              <w:bottom w:val="single" w:sz="8" w:color="D64000"/>
            </w:tcBorders>
          </w:tcPr>
          <w:p>
            <w:pPr>
              <w:spacing w:after="0"/>
              <w:rPr>
                <w:sz w:val="20"/>
                <w:szCs w:val="20"/>
                <w:color w:val="auto"/>
              </w:rPr>
            </w:pPr>
            <w:r>
              <w:rPr>
                <w:rFonts w:ascii="Arial" w:cs="Arial" w:eastAsia="Arial" w:hAnsi="Arial"/>
                <w:sz w:val="16"/>
                <w:szCs w:val="16"/>
                <w:b w:val="1"/>
                <w:bCs w:val="1"/>
                <w:color w:val="auto"/>
              </w:rPr>
              <w:t>  Segment adjusted EBITDA margin</w:t>
            </w:r>
          </w:p>
        </w:tc>
        <w:tc>
          <w:tcPr>
            <w:tcW w:w="1220" w:type="dxa"/>
            <w:vAlign w:val="bottom"/>
            <w:tcBorders>
              <w:bottom w:val="single" w:sz="8" w:color="D64000"/>
            </w:tcBorders>
          </w:tcPr>
          <w:p>
            <w:pPr>
              <w:jc w:val="right"/>
              <w:ind w:right="181"/>
              <w:spacing w:after="0"/>
              <w:rPr>
                <w:sz w:val="20"/>
                <w:szCs w:val="20"/>
                <w:color w:val="auto"/>
              </w:rPr>
            </w:pPr>
            <w:r>
              <w:rPr>
                <w:rFonts w:ascii="Arial" w:cs="Arial" w:eastAsia="Arial" w:hAnsi="Arial"/>
                <w:sz w:val="16"/>
                <w:szCs w:val="16"/>
                <w:b w:val="1"/>
                <w:bCs w:val="1"/>
                <w:color w:val="auto"/>
              </w:rPr>
              <w:t>36.2%</w:t>
            </w:r>
          </w:p>
        </w:tc>
        <w:tc>
          <w:tcPr>
            <w:tcW w:w="940" w:type="dxa"/>
            <w:vAlign w:val="bottom"/>
            <w:tcBorders>
              <w:bottom w:val="single" w:sz="8" w:color="D64000"/>
            </w:tcBorders>
            <w:gridSpan w:val="2"/>
          </w:tcPr>
          <w:p>
            <w:pPr>
              <w:jc w:val="right"/>
              <w:ind w:right="240"/>
              <w:spacing w:after="0"/>
              <w:rPr>
                <w:sz w:val="20"/>
                <w:szCs w:val="20"/>
                <w:color w:val="auto"/>
              </w:rPr>
            </w:pPr>
            <w:r>
              <w:rPr>
                <w:rFonts w:ascii="Arial" w:cs="Arial" w:eastAsia="Arial" w:hAnsi="Arial"/>
                <w:sz w:val="16"/>
                <w:szCs w:val="16"/>
                <w:color w:val="auto"/>
              </w:rPr>
              <w:t>38.0%</w:t>
            </w:r>
          </w:p>
        </w:tc>
        <w:tc>
          <w:tcPr>
            <w:tcW w:w="1060" w:type="dxa"/>
            <w:vAlign w:val="bottom"/>
            <w:tcBorders>
              <w:bottom w:val="single" w:sz="8" w:color="D64000"/>
            </w:tcBorders>
          </w:tcPr>
          <w:p>
            <w:pPr>
              <w:jc w:val="right"/>
              <w:ind w:right="181"/>
              <w:spacing w:after="0"/>
              <w:rPr>
                <w:sz w:val="20"/>
                <w:szCs w:val="20"/>
                <w:color w:val="auto"/>
              </w:rPr>
            </w:pPr>
            <w:r>
              <w:rPr>
                <w:rFonts w:ascii="Arial" w:cs="Arial" w:eastAsia="Arial" w:hAnsi="Arial"/>
                <w:sz w:val="16"/>
                <w:szCs w:val="16"/>
                <w:color w:val="auto"/>
              </w:rPr>
              <w:t>(180)bp</w:t>
            </w:r>
          </w:p>
        </w:tc>
        <w:tc>
          <w:tcPr>
            <w:tcW w:w="1140" w:type="dxa"/>
            <w:vAlign w:val="bottom"/>
            <w:tcBorders>
              <w:bottom w:val="single" w:sz="8" w:color="D64000"/>
            </w:tcBorders>
          </w:tcPr>
          <w:p>
            <w:pPr>
              <w:jc w:val="right"/>
              <w:ind w:right="181"/>
              <w:spacing w:after="0"/>
              <w:rPr>
                <w:sz w:val="20"/>
                <w:szCs w:val="20"/>
                <w:color w:val="auto"/>
              </w:rPr>
            </w:pPr>
            <w:r>
              <w:rPr>
                <w:rFonts w:ascii="Arial" w:cs="Arial" w:eastAsia="Arial" w:hAnsi="Arial"/>
                <w:sz w:val="16"/>
                <w:szCs w:val="16"/>
                <w:color w:val="auto"/>
              </w:rPr>
              <w:t>(180)bp</w:t>
            </w:r>
          </w:p>
        </w:tc>
        <w:tc>
          <w:tcPr>
            <w:tcW w:w="820" w:type="dxa"/>
            <w:vAlign w:val="bottom"/>
            <w:tcBorders>
              <w:bottom w:val="single" w:sz="8" w:color="D64000"/>
            </w:tcBorders>
          </w:tcPr>
          <w:p>
            <w:pPr>
              <w:spacing w:after="0"/>
              <w:rPr>
                <w:sz w:val="17"/>
                <w:szCs w:val="17"/>
                <w:color w:val="auto"/>
              </w:rPr>
            </w:pPr>
          </w:p>
        </w:tc>
      </w:tr>
    </w:tbl>
    <w:p>
      <w:pPr>
        <w:spacing w:after="0" w:line="57" w:lineRule="exact"/>
        <w:rPr>
          <w:sz w:val="20"/>
          <w:szCs w:val="20"/>
          <w:color w:val="auto"/>
        </w:rPr>
      </w:pPr>
    </w:p>
    <w:p>
      <w:pPr>
        <w:jc w:val="both"/>
        <w:ind w:left="220" w:right="60"/>
        <w:spacing w:after="0" w:line="291" w:lineRule="auto"/>
        <w:rPr>
          <w:sz w:val="20"/>
          <w:szCs w:val="20"/>
          <w:color w:val="auto"/>
        </w:rPr>
      </w:pPr>
      <w:r>
        <w:rPr>
          <w:rFonts w:ascii="Arial" w:cs="Arial" w:eastAsia="Arial" w:hAnsi="Arial"/>
          <w:sz w:val="16"/>
          <w:szCs w:val="16"/>
          <w:color w:val="auto"/>
        </w:rPr>
        <w:t>Revenues decreased in total, in constant currency, and on an organic basis. The revenue decline included the impact of the migration of customers from a Global Print product to Westlaw. Excluding the impact of this migration, Global Print revenues declined 5% on an organic basis.</w:t>
      </w:r>
    </w:p>
    <w:p>
      <w:pPr>
        <w:spacing w:after="0" w:line="18" w:lineRule="exact"/>
        <w:rPr>
          <w:sz w:val="20"/>
          <w:szCs w:val="20"/>
          <w:color w:val="auto"/>
        </w:rPr>
      </w:pPr>
    </w:p>
    <w:p>
      <w:pPr>
        <w:ind w:left="220" w:right="100"/>
        <w:spacing w:after="0" w:line="260" w:lineRule="auto"/>
        <w:rPr>
          <w:sz w:val="20"/>
          <w:szCs w:val="20"/>
          <w:color w:val="auto"/>
        </w:rPr>
      </w:pPr>
      <w:r>
        <w:rPr>
          <w:rFonts w:ascii="Arial" w:cs="Arial" w:eastAsia="Arial" w:hAnsi="Arial"/>
          <w:sz w:val="17"/>
          <w:szCs w:val="17"/>
          <w:color w:val="auto"/>
        </w:rPr>
        <w:t>Segment adjusted EBITDA declined 12% and the related margin declined 180bp to 36.2% primarily due to the impact of lower revenues. Foreign currency had no net impact on the year-over-year change in segment adjusted EBITDA margin.</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Corporate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100330</wp:posOffset>
            </wp:positionV>
            <wp:extent cx="68656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8" w:lineRule="exact"/>
        <w:rPr>
          <w:sz w:val="20"/>
          <w:szCs w:val="20"/>
          <w:color w:val="auto"/>
        </w:rPr>
      </w:pPr>
    </w:p>
    <w:tbl>
      <w:tblPr>
        <w:tblLayout w:type="fixed"/>
        <w:tblInd w:w="220" w:type="dxa"/>
        <w:tblCellMar>
          <w:top w:w="0" w:type="dxa"/>
          <w:left w:w="0" w:type="dxa"/>
          <w:bottom w:w="0" w:type="dxa"/>
          <w:right w:w="0" w:type="dxa"/>
        </w:tblCellMar>
      </w:tblPr>
      <w:tr>
        <w:trPr>
          <w:trHeight w:val="212"/>
        </w:trPr>
        <w:tc>
          <w:tcPr>
            <w:tcW w:w="47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300" w:type="dxa"/>
            <w:vAlign w:val="bottom"/>
            <w:gridSpan w:val="2"/>
            <w:shd w:val="clear" w:color="auto" w:fill="E3F3EE"/>
          </w:tcPr>
          <w:p>
            <w:pPr>
              <w:jc w:val="right"/>
              <w:ind w:right="21"/>
              <w:spacing w:after="0"/>
              <w:rPr>
                <w:sz w:val="20"/>
                <w:szCs w:val="20"/>
                <w:color w:val="auto"/>
              </w:rPr>
            </w:pPr>
            <w:r>
              <w:rPr>
                <w:rFonts w:ascii="Arial" w:cs="Arial" w:eastAsia="Arial" w:hAnsi="Arial"/>
                <w:sz w:val="16"/>
                <w:szCs w:val="16"/>
                <w:b w:val="1"/>
                <w:bCs w:val="1"/>
                <w:color w:val="auto"/>
                <w:shd w:val="clear" w:color="auto" w:fill="E3F3EE"/>
              </w:rPr>
              <w:t>  Year ended December 31,</w:t>
            </w:r>
          </w:p>
        </w:tc>
        <w:tc>
          <w:tcPr>
            <w:tcW w:w="20" w:type="dxa"/>
            <w:vAlign w:val="bottom"/>
          </w:tcPr>
          <w:p>
            <w:pPr>
              <w:spacing w:after="0"/>
              <w:rPr>
                <w:sz w:val="18"/>
                <w:szCs w:val="18"/>
                <w:color w:val="auto"/>
              </w:rPr>
            </w:pPr>
          </w:p>
        </w:tc>
      </w:tr>
      <w:tr>
        <w:trPr>
          <w:trHeight w:val="192"/>
        </w:trPr>
        <w:tc>
          <w:tcPr>
            <w:tcW w:w="476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color w:val="FFFFFF"/>
              </w:rPr>
              <w:t>  (millions of U.S. dollars)</w:t>
            </w:r>
          </w:p>
        </w:tc>
        <w:tc>
          <w:tcPr>
            <w:tcW w:w="3740" w:type="dxa"/>
            <w:vAlign w:val="bottom"/>
            <w:tcBorders>
              <w:bottom w:val="single" w:sz="8" w:color="D64000"/>
            </w:tcBorders>
            <w:shd w:val="clear" w:color="auto" w:fill="1F473D"/>
          </w:tcPr>
          <w:p>
            <w:pPr>
              <w:spacing w:after="0"/>
              <w:rPr>
                <w:sz w:val="16"/>
                <w:szCs w:val="16"/>
                <w:color w:val="auto"/>
              </w:rPr>
            </w:pPr>
          </w:p>
        </w:tc>
        <w:tc>
          <w:tcPr>
            <w:tcW w:w="1420" w:type="dxa"/>
            <w:vAlign w:val="bottom"/>
            <w:tcBorders>
              <w:bottom w:val="single" w:sz="8" w:color="D64000"/>
            </w:tcBorders>
            <w:shd w:val="clear" w:color="auto" w:fill="1F473D"/>
          </w:tcPr>
          <w:p>
            <w:pPr>
              <w:jc w:val="right"/>
              <w:ind w:right="361"/>
              <w:spacing w:after="0"/>
              <w:rPr>
                <w:sz w:val="20"/>
                <w:szCs w:val="20"/>
                <w:color w:val="auto"/>
              </w:rPr>
            </w:pPr>
            <w:r>
              <w:rPr>
                <w:rFonts w:ascii="Arial" w:cs="Arial" w:eastAsia="Arial" w:hAnsi="Arial"/>
                <w:sz w:val="16"/>
                <w:szCs w:val="16"/>
                <w:b w:val="1"/>
                <w:bCs w:val="1"/>
                <w:color w:val="FFFFFF"/>
              </w:rPr>
              <w:t>2024</w:t>
            </w:r>
          </w:p>
        </w:tc>
        <w:tc>
          <w:tcPr>
            <w:tcW w:w="880" w:type="dxa"/>
            <w:vAlign w:val="bottom"/>
            <w:tcBorders>
              <w:bottom w:val="single" w:sz="8" w:color="D64000"/>
            </w:tcBorders>
            <w:shd w:val="clear" w:color="auto" w:fill="1F473D"/>
          </w:tcPr>
          <w:p>
            <w:pPr>
              <w:jc w:val="right"/>
              <w:ind w:right="21"/>
              <w:spacing w:after="0"/>
              <w:rPr>
                <w:sz w:val="20"/>
                <w:szCs w:val="20"/>
                <w:color w:val="auto"/>
              </w:rPr>
            </w:pPr>
            <w:r>
              <w:rPr>
                <w:rFonts w:ascii="Arial" w:cs="Arial" w:eastAsia="Arial" w:hAnsi="Arial"/>
                <w:sz w:val="16"/>
                <w:szCs w:val="16"/>
                <w:color w:val="FFFFFF"/>
              </w:rPr>
              <w:t>2023</w:t>
            </w:r>
          </w:p>
        </w:tc>
        <w:tc>
          <w:tcPr>
            <w:tcW w:w="20" w:type="dxa"/>
            <w:vAlign w:val="bottom"/>
          </w:tcPr>
          <w:p>
            <w:pPr>
              <w:spacing w:after="0"/>
              <w:rPr>
                <w:sz w:val="16"/>
                <w:szCs w:val="16"/>
                <w:color w:val="auto"/>
              </w:rPr>
            </w:pPr>
          </w:p>
        </w:tc>
      </w:tr>
      <w:tr>
        <w:trPr>
          <w:trHeight w:val="192"/>
        </w:trPr>
        <w:tc>
          <w:tcPr>
            <w:tcW w:w="4760" w:type="dxa"/>
            <w:vAlign w:val="bottom"/>
            <w:tcBorders>
              <w:bottom w:val="single" w:sz="8" w:color="D64000"/>
            </w:tcBorders>
          </w:tcPr>
          <w:p>
            <w:pPr>
              <w:spacing w:after="0"/>
              <w:rPr>
                <w:sz w:val="20"/>
                <w:szCs w:val="20"/>
                <w:color w:val="auto"/>
              </w:rPr>
            </w:pPr>
            <w:r>
              <w:rPr>
                <w:rFonts w:ascii="Arial" w:cs="Arial" w:eastAsia="Arial" w:hAnsi="Arial"/>
                <w:sz w:val="16"/>
                <w:szCs w:val="16"/>
                <w:b w:val="1"/>
                <w:bCs w:val="1"/>
                <w:color w:val="auto"/>
              </w:rPr>
              <w:t>  Corporate costs</w:t>
            </w:r>
          </w:p>
        </w:tc>
        <w:tc>
          <w:tcPr>
            <w:tcW w:w="5160" w:type="dxa"/>
            <w:vAlign w:val="bottom"/>
            <w:tcBorders>
              <w:bottom w:val="single" w:sz="8" w:color="D64000"/>
            </w:tcBorders>
            <w:gridSpan w:val="2"/>
          </w:tcPr>
          <w:p>
            <w:pPr>
              <w:jc w:val="right"/>
              <w:ind w:right="361"/>
              <w:spacing w:after="0"/>
              <w:rPr>
                <w:sz w:val="20"/>
                <w:szCs w:val="20"/>
                <w:color w:val="auto"/>
              </w:rPr>
            </w:pPr>
            <w:r>
              <w:rPr>
                <w:rFonts w:ascii="Arial" w:cs="Arial" w:eastAsia="Arial" w:hAnsi="Arial"/>
                <w:sz w:val="16"/>
                <w:szCs w:val="16"/>
                <w:b w:val="1"/>
                <w:bCs w:val="1"/>
                <w:color w:val="auto"/>
              </w:rPr>
              <w:t>105</w:t>
            </w:r>
          </w:p>
        </w:tc>
        <w:tc>
          <w:tcPr>
            <w:tcW w:w="880" w:type="dxa"/>
            <w:vAlign w:val="bottom"/>
            <w:tcBorders>
              <w:bottom w:val="single" w:sz="8" w:color="D64000"/>
            </w:tcBorders>
          </w:tcPr>
          <w:p>
            <w:pPr>
              <w:jc w:val="right"/>
              <w:ind w:right="21"/>
              <w:spacing w:after="0"/>
              <w:rPr>
                <w:sz w:val="20"/>
                <w:szCs w:val="20"/>
                <w:color w:val="auto"/>
              </w:rPr>
            </w:pPr>
            <w:r>
              <w:rPr>
                <w:rFonts w:ascii="Arial" w:cs="Arial" w:eastAsia="Arial" w:hAnsi="Arial"/>
                <w:sz w:val="16"/>
                <w:szCs w:val="16"/>
                <w:color w:val="auto"/>
              </w:rPr>
              <w:t>115</w:t>
            </w:r>
          </w:p>
        </w:tc>
        <w:tc>
          <w:tcPr>
            <w:tcW w:w="20" w:type="dxa"/>
            <w:vAlign w:val="bottom"/>
          </w:tcPr>
          <w:p>
            <w:pPr>
              <w:spacing w:after="0"/>
              <w:rPr>
                <w:sz w:val="16"/>
                <w:szCs w:val="16"/>
                <w:color w:val="auto"/>
              </w:rPr>
            </w:pPr>
          </w:p>
        </w:tc>
      </w:tr>
      <w:tr>
        <w:trPr>
          <w:trHeight w:val="279"/>
        </w:trPr>
        <w:tc>
          <w:tcPr>
            <w:tcW w:w="9920" w:type="dxa"/>
            <w:vAlign w:val="bottom"/>
            <w:gridSpan w:val="3"/>
          </w:tcPr>
          <w:p>
            <w:pPr>
              <w:spacing w:after="0"/>
              <w:rPr>
                <w:sz w:val="20"/>
                <w:szCs w:val="20"/>
                <w:color w:val="auto"/>
              </w:rPr>
            </w:pPr>
            <w:r>
              <w:rPr>
                <w:rFonts w:ascii="Arial" w:cs="Arial" w:eastAsia="Arial" w:hAnsi="Arial"/>
                <w:sz w:val="17"/>
                <w:szCs w:val="17"/>
                <w:color w:val="auto"/>
              </w:rPr>
              <w:t>Corporate costs decreased due to lower costs in certain functional areas and a benefit from foreign currency.</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8"/>
        </w:trPr>
        <w:tc>
          <w:tcPr>
            <w:tcW w:w="4760" w:type="dxa"/>
            <w:vAlign w:val="bottom"/>
            <w:tcBorders>
              <w:bottom w:val="single" w:sz="8" w:color="7F7F7F"/>
            </w:tcBorders>
          </w:tcPr>
          <w:p>
            <w:pPr>
              <w:spacing w:after="0"/>
              <w:rPr>
                <w:sz w:val="13"/>
                <w:szCs w:val="13"/>
                <w:color w:val="auto"/>
              </w:rPr>
            </w:pPr>
          </w:p>
        </w:tc>
        <w:tc>
          <w:tcPr>
            <w:tcW w:w="6040" w:type="dxa"/>
            <w:vAlign w:val="bottom"/>
            <w:tcBorders>
              <w:bottom w:val="single" w:sz="8" w:color="7F7F7F"/>
            </w:tcBorders>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28"/>
        </w:trPr>
        <w:tc>
          <w:tcPr>
            <w:tcW w:w="4760" w:type="dxa"/>
            <w:vAlign w:val="bottom"/>
          </w:tcPr>
          <w:p>
            <w:pPr>
              <w:spacing w:after="0"/>
              <w:rPr>
                <w:sz w:val="20"/>
                <w:szCs w:val="20"/>
                <w:color w:val="auto"/>
              </w:rPr>
            </w:pPr>
            <w:r>
              <w:rPr>
                <w:rFonts w:ascii="Arial" w:cs="Arial" w:eastAsia="Arial" w:hAnsi="Arial"/>
                <w:sz w:val="17"/>
                <w:szCs w:val="17"/>
                <w:color w:val="auto"/>
              </w:rPr>
              <w:t>Page 40</w:t>
            </w:r>
          </w:p>
        </w:tc>
        <w:tc>
          <w:tcPr>
            <w:tcW w:w="6060" w:type="dxa"/>
            <w:vAlign w:val="bottom"/>
            <w:gridSpan w:val="4"/>
          </w:tcPr>
          <w:p>
            <w:pPr>
              <w:ind w:left="3000"/>
              <w:spacing w:after="0"/>
              <w:rPr>
                <w:sz w:val="20"/>
                <w:szCs w:val="20"/>
                <w:color w:val="auto"/>
              </w:rPr>
            </w:pPr>
            <w:r>
              <w:rPr>
                <w:rFonts w:ascii="Arial" w:cs="Arial" w:eastAsia="Arial" w:hAnsi="Arial"/>
                <w:sz w:val="17"/>
                <w:szCs w:val="17"/>
                <w:b w:val="1"/>
                <w:bCs w:val="1"/>
                <w:color w:val="auto"/>
                <w:w w:val="98"/>
              </w:rPr>
              <w:t>Thomson Reuters Annual Report 2024</w:t>
            </w:r>
          </w:p>
        </w:tc>
      </w:tr>
    </w:tbl>
    <w:p>
      <w:pPr>
        <w:sectPr>
          <w:pgSz w:w="11900" w:h="16838" w:orient="portrait"/>
          <w:cols w:equalWidth="0" w:num="1">
            <w:col w:w="11040"/>
          </w:cols>
          <w:pgMar w:left="320" w:top="463" w:right="5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Review of Fourth Quarter Results</w:t>
      </w:r>
    </w:p>
    <w:p>
      <w:pPr>
        <w:spacing w:after="0" w:line="112" w:lineRule="exact"/>
        <w:rPr>
          <w:sz w:val="20"/>
          <w:szCs w:val="20"/>
          <w:color w:val="auto"/>
        </w:rPr>
      </w:pPr>
    </w:p>
    <w:p>
      <w:pPr>
        <w:ind w:left="220" w:right="140"/>
        <w:spacing w:after="0" w:line="238" w:lineRule="auto"/>
        <w:rPr>
          <w:sz w:val="20"/>
          <w:szCs w:val="20"/>
          <w:color w:val="auto"/>
        </w:rPr>
      </w:pPr>
      <w:r>
        <w:rPr>
          <w:rFonts w:ascii="Arial" w:cs="Arial" w:eastAsia="Arial" w:hAnsi="Arial"/>
          <w:sz w:val="17"/>
          <w:szCs w:val="17"/>
          <w:i w:val="1"/>
          <w:iCs w:val="1"/>
          <w:color w:val="auto"/>
        </w:rPr>
        <w:t>Our revenues and operating profit on a consolidated basis do not tend to be significantly impacted by seasonality as we record a large portion of our revenues ratably over the contract term and our costs are generally incurred evenly throughout the year. However, at the segment level, revenues on a consecutive quarter basis can be impacted by seasonality, most notably in our Tax &amp; Accounting Professionals business, where revenues tend to be concentrated in the first and fourth quarters.</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168275</wp:posOffset>
            </wp:positionV>
            <wp:extent cx="6865620" cy="1517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65620" cy="151765"/>
                    </a:xfrm>
                    <a:prstGeom prst="rect">
                      <a:avLst/>
                    </a:prstGeom>
                    <a:noFill/>
                  </pic:spPr>
                </pic:pic>
              </a:graphicData>
            </a:graphic>
          </wp:anchor>
        </w:drawing>
      </w:r>
    </w:p>
    <w:p>
      <w:pPr>
        <w:spacing w:after="0" w:line="284" w:lineRule="exact"/>
        <w:rPr>
          <w:sz w:val="20"/>
          <w:szCs w:val="20"/>
          <w:color w:val="auto"/>
        </w:rPr>
      </w:pPr>
    </w:p>
    <w:p>
      <w:pPr>
        <w:ind w:left="7900"/>
        <w:spacing w:after="0"/>
        <w:rPr>
          <w:sz w:val="20"/>
          <w:szCs w:val="20"/>
          <w:color w:val="auto"/>
        </w:rPr>
      </w:pPr>
      <w:r>
        <w:rPr>
          <w:rFonts w:ascii="Arial" w:cs="Arial" w:eastAsia="Arial" w:hAnsi="Arial"/>
          <w:sz w:val="16"/>
          <w:szCs w:val="16"/>
          <w:b w:val="1"/>
          <w:bCs w:val="1"/>
          <w:color w:val="auto"/>
        </w:rPr>
        <w:t>Three months ended December 31,</w:t>
      </w:r>
    </w:p>
    <w:p>
      <w:pPr>
        <w:spacing w:after="0" w:line="17"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6680" w:type="dxa"/>
            <w:vAlign w:val="bottom"/>
            <w:tcBorders>
              <w:bottom w:val="single" w:sz="8" w:color="1F473D"/>
            </w:tcBorders>
            <w:shd w:val="clear" w:color="auto" w:fill="1F473D"/>
          </w:tcPr>
          <w:p>
            <w:pPr>
              <w:spacing w:after="0"/>
              <w:rPr>
                <w:sz w:val="16"/>
                <w:szCs w:val="16"/>
                <w:color w:val="auto"/>
              </w:rPr>
            </w:pPr>
          </w:p>
        </w:tc>
        <w:tc>
          <w:tcPr>
            <w:tcW w:w="1260" w:type="dxa"/>
            <w:vAlign w:val="bottom"/>
            <w:tcBorders>
              <w:bottom w:val="single" w:sz="8" w:color="1F473D"/>
            </w:tcBorders>
            <w:shd w:val="clear" w:color="auto" w:fill="1F473D"/>
          </w:tcPr>
          <w:p>
            <w:pPr>
              <w:spacing w:after="0"/>
              <w:rPr>
                <w:sz w:val="16"/>
                <w:szCs w:val="16"/>
                <w:color w:val="auto"/>
              </w:rPr>
            </w:pPr>
          </w:p>
        </w:tc>
        <w:tc>
          <w:tcPr>
            <w:tcW w:w="780" w:type="dxa"/>
            <w:vAlign w:val="bottom"/>
            <w:tcBorders>
              <w:bottom w:val="single" w:sz="8" w:color="1F473D"/>
            </w:tcBorders>
            <w:shd w:val="clear" w:color="auto" w:fill="1F473D"/>
          </w:tcPr>
          <w:p>
            <w:pPr>
              <w:spacing w:after="0"/>
              <w:rPr>
                <w:sz w:val="16"/>
                <w:szCs w:val="16"/>
                <w:color w:val="auto"/>
              </w:rPr>
            </w:pPr>
          </w:p>
        </w:tc>
        <w:tc>
          <w:tcPr>
            <w:tcW w:w="260" w:type="dxa"/>
            <w:vAlign w:val="bottom"/>
            <w:tcBorders>
              <w:bottom w:val="single" w:sz="8" w:color="D64000"/>
            </w:tcBorders>
            <w:shd w:val="clear" w:color="auto" w:fill="1F473D"/>
          </w:tcPr>
          <w:p>
            <w:pPr>
              <w:spacing w:after="0"/>
              <w:rPr>
                <w:sz w:val="16"/>
                <w:szCs w:val="16"/>
                <w:color w:val="auto"/>
              </w:rPr>
            </w:pPr>
          </w:p>
        </w:tc>
        <w:tc>
          <w:tcPr>
            <w:tcW w:w="1820" w:type="dxa"/>
            <w:vAlign w:val="bottom"/>
            <w:tcBorders>
              <w:bottom w:val="single" w:sz="8" w:color="D64000"/>
            </w:tcBorders>
            <w:gridSpan w:val="2"/>
            <w:shd w:val="clear" w:color="auto" w:fill="1F473D"/>
          </w:tcPr>
          <w:p>
            <w:pPr>
              <w:ind w:left="760"/>
              <w:spacing w:after="0"/>
              <w:rPr>
                <w:sz w:val="20"/>
                <w:szCs w:val="20"/>
                <w:color w:val="auto"/>
              </w:rPr>
            </w:pPr>
            <w:r>
              <w:rPr>
                <w:rFonts w:ascii="Arial" w:cs="Arial" w:eastAsia="Arial" w:hAnsi="Arial"/>
                <w:sz w:val="16"/>
                <w:szCs w:val="16"/>
                <w:color w:val="FFFFFF"/>
              </w:rPr>
              <w:t>Change</w:t>
            </w:r>
          </w:p>
        </w:tc>
        <w:tc>
          <w:tcPr>
            <w:tcW w:w="20" w:type="dxa"/>
            <w:vAlign w:val="bottom"/>
          </w:tcPr>
          <w:p>
            <w:pPr>
              <w:spacing w:after="0"/>
              <w:rPr>
                <w:sz w:val="16"/>
                <w:szCs w:val="16"/>
                <w:color w:val="auto"/>
              </w:rPr>
            </w:pPr>
          </w:p>
        </w:tc>
      </w:tr>
      <w:tr>
        <w:trPr>
          <w:trHeight w:val="171"/>
        </w:trPr>
        <w:tc>
          <w:tcPr>
            <w:tcW w:w="6680" w:type="dxa"/>
            <w:vAlign w:val="bottom"/>
            <w:shd w:val="clear" w:color="auto" w:fill="1F473D"/>
          </w:tcPr>
          <w:p>
            <w:pPr>
              <w:spacing w:after="0"/>
              <w:rPr>
                <w:sz w:val="14"/>
                <w:szCs w:val="14"/>
                <w:color w:val="auto"/>
              </w:rPr>
            </w:pPr>
          </w:p>
        </w:tc>
        <w:tc>
          <w:tcPr>
            <w:tcW w:w="1260" w:type="dxa"/>
            <w:vAlign w:val="bottom"/>
            <w:shd w:val="clear" w:color="auto" w:fill="1F473D"/>
          </w:tcPr>
          <w:p>
            <w:pPr>
              <w:spacing w:after="0"/>
              <w:rPr>
                <w:sz w:val="14"/>
                <w:szCs w:val="14"/>
                <w:color w:val="auto"/>
              </w:rPr>
            </w:pPr>
          </w:p>
        </w:tc>
        <w:tc>
          <w:tcPr>
            <w:tcW w:w="780" w:type="dxa"/>
            <w:vAlign w:val="bottom"/>
            <w:shd w:val="clear" w:color="auto" w:fill="1F473D"/>
          </w:tcPr>
          <w:p>
            <w:pPr>
              <w:spacing w:after="0"/>
              <w:rPr>
                <w:sz w:val="14"/>
                <w:szCs w:val="14"/>
                <w:color w:val="auto"/>
              </w:rPr>
            </w:pPr>
          </w:p>
        </w:tc>
        <w:tc>
          <w:tcPr>
            <w:tcW w:w="260" w:type="dxa"/>
            <w:vAlign w:val="bottom"/>
            <w:shd w:val="clear" w:color="auto" w:fill="1F473D"/>
          </w:tcPr>
          <w:p>
            <w:pPr>
              <w:spacing w:after="0"/>
              <w:rPr>
                <w:sz w:val="14"/>
                <w:szCs w:val="14"/>
                <w:color w:val="auto"/>
              </w:rPr>
            </w:pPr>
          </w:p>
        </w:tc>
        <w:tc>
          <w:tcPr>
            <w:tcW w:w="1000" w:type="dxa"/>
            <w:vAlign w:val="bottom"/>
            <w:shd w:val="clear" w:color="auto" w:fill="1F473D"/>
          </w:tcPr>
          <w:p>
            <w:pPr>
              <w:spacing w:after="0"/>
              <w:rPr>
                <w:sz w:val="14"/>
                <w:szCs w:val="14"/>
                <w:color w:val="auto"/>
              </w:rPr>
            </w:pPr>
          </w:p>
        </w:tc>
        <w:tc>
          <w:tcPr>
            <w:tcW w:w="820" w:type="dxa"/>
            <w:vAlign w:val="bottom"/>
            <w:shd w:val="clear" w:color="auto" w:fill="1F473D"/>
          </w:tcPr>
          <w:p>
            <w:pPr>
              <w:ind w:left="180"/>
              <w:spacing w:after="0" w:line="171" w:lineRule="exact"/>
              <w:rPr>
                <w:sz w:val="20"/>
                <w:szCs w:val="20"/>
                <w:color w:val="auto"/>
              </w:rPr>
            </w:pPr>
            <w:r>
              <w:rPr>
                <w:rFonts w:ascii="Arial" w:cs="Arial" w:eastAsia="Arial" w:hAnsi="Arial"/>
                <w:sz w:val="16"/>
                <w:szCs w:val="16"/>
                <w:color w:val="FFFFFF"/>
                <w:w w:val="96"/>
              </w:rPr>
              <w:t>Constant</w:t>
            </w:r>
          </w:p>
        </w:tc>
        <w:tc>
          <w:tcPr>
            <w:tcW w:w="20" w:type="dxa"/>
            <w:vAlign w:val="bottom"/>
          </w:tcPr>
          <w:p>
            <w:pPr>
              <w:spacing w:after="0"/>
              <w:rPr>
                <w:sz w:val="14"/>
                <w:szCs w:val="14"/>
                <w:color w:val="auto"/>
              </w:rPr>
            </w:pPr>
          </w:p>
        </w:tc>
      </w:tr>
      <w:tr>
        <w:trPr>
          <w:trHeight w:val="206"/>
        </w:trPr>
        <w:tc>
          <w:tcPr>
            <w:tcW w:w="668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color w:val="FFFFFF"/>
              </w:rPr>
              <w:t> (millions of U.S. dollars, except per share amounts and margins)</w:t>
            </w:r>
          </w:p>
        </w:tc>
        <w:tc>
          <w:tcPr>
            <w:tcW w:w="1260" w:type="dxa"/>
            <w:vAlign w:val="bottom"/>
            <w:tcBorders>
              <w:bottom w:val="single" w:sz="8" w:color="D64000"/>
            </w:tcBorders>
            <w:shd w:val="clear" w:color="auto" w:fill="1F473D"/>
          </w:tcPr>
          <w:p>
            <w:pPr>
              <w:jc w:val="right"/>
              <w:ind w:right="241"/>
              <w:spacing w:after="0"/>
              <w:rPr>
                <w:sz w:val="20"/>
                <w:szCs w:val="20"/>
                <w:color w:val="auto"/>
              </w:rPr>
            </w:pPr>
            <w:r>
              <w:rPr>
                <w:rFonts w:ascii="Arial" w:cs="Arial" w:eastAsia="Arial" w:hAnsi="Arial"/>
                <w:sz w:val="16"/>
                <w:szCs w:val="16"/>
                <w:b w:val="1"/>
                <w:bCs w:val="1"/>
                <w:color w:val="FFFFFF"/>
              </w:rPr>
              <w:t>2024</w:t>
            </w:r>
          </w:p>
        </w:tc>
        <w:tc>
          <w:tcPr>
            <w:tcW w:w="780" w:type="dxa"/>
            <w:vAlign w:val="bottom"/>
            <w:tcBorders>
              <w:bottom w:val="single" w:sz="8" w:color="D64000"/>
            </w:tcBorders>
            <w:shd w:val="clear" w:color="auto" w:fill="1F473D"/>
          </w:tcPr>
          <w:p>
            <w:pPr>
              <w:jc w:val="right"/>
              <w:ind w:right="1"/>
              <w:spacing w:after="0"/>
              <w:rPr>
                <w:sz w:val="20"/>
                <w:szCs w:val="20"/>
                <w:color w:val="auto"/>
              </w:rPr>
            </w:pPr>
            <w:r>
              <w:rPr>
                <w:rFonts w:ascii="Arial" w:cs="Arial" w:eastAsia="Arial" w:hAnsi="Arial"/>
                <w:sz w:val="16"/>
                <w:szCs w:val="16"/>
                <w:color w:val="FFFFFF"/>
              </w:rPr>
              <w:t>2023</w:t>
            </w:r>
          </w:p>
        </w:tc>
        <w:tc>
          <w:tcPr>
            <w:tcW w:w="260" w:type="dxa"/>
            <w:vAlign w:val="bottom"/>
            <w:tcBorders>
              <w:bottom w:val="single" w:sz="8" w:color="D64000"/>
            </w:tcBorders>
            <w:shd w:val="clear" w:color="auto" w:fill="1F473D"/>
          </w:tcPr>
          <w:p>
            <w:pPr>
              <w:spacing w:after="0"/>
              <w:rPr>
                <w:sz w:val="17"/>
                <w:szCs w:val="17"/>
                <w:color w:val="auto"/>
              </w:rPr>
            </w:pPr>
          </w:p>
        </w:tc>
        <w:tc>
          <w:tcPr>
            <w:tcW w:w="1000" w:type="dxa"/>
            <w:vAlign w:val="bottom"/>
            <w:tcBorders>
              <w:bottom w:val="single" w:sz="8" w:color="D64000"/>
            </w:tcBorders>
            <w:shd w:val="clear" w:color="auto" w:fill="1F473D"/>
          </w:tcPr>
          <w:p>
            <w:pPr>
              <w:jc w:val="right"/>
              <w:ind w:right="201"/>
              <w:spacing w:after="0"/>
              <w:rPr>
                <w:sz w:val="20"/>
                <w:szCs w:val="20"/>
                <w:color w:val="auto"/>
              </w:rPr>
            </w:pPr>
            <w:r>
              <w:rPr>
                <w:rFonts w:ascii="Arial" w:cs="Arial" w:eastAsia="Arial" w:hAnsi="Arial"/>
                <w:sz w:val="16"/>
                <w:szCs w:val="16"/>
                <w:color w:val="FFFFFF"/>
              </w:rPr>
              <w:t>Total</w:t>
            </w:r>
          </w:p>
        </w:tc>
        <w:tc>
          <w:tcPr>
            <w:tcW w:w="820" w:type="dxa"/>
            <w:vAlign w:val="bottom"/>
            <w:tcBorders>
              <w:bottom w:val="single" w:sz="8" w:color="D64000"/>
            </w:tcBorders>
            <w:shd w:val="clear" w:color="auto" w:fill="1F473D"/>
          </w:tcPr>
          <w:p>
            <w:pPr>
              <w:ind w:left="180"/>
              <w:spacing w:after="0"/>
              <w:rPr>
                <w:sz w:val="20"/>
                <w:szCs w:val="20"/>
                <w:color w:val="auto"/>
              </w:rPr>
            </w:pPr>
            <w:r>
              <w:rPr>
                <w:rFonts w:ascii="Arial" w:cs="Arial" w:eastAsia="Arial" w:hAnsi="Arial"/>
                <w:sz w:val="16"/>
                <w:szCs w:val="16"/>
                <w:color w:val="FFFFFF"/>
                <w:w w:val="95"/>
              </w:rPr>
              <w:t>Currency</w:t>
            </w:r>
          </w:p>
        </w:tc>
        <w:tc>
          <w:tcPr>
            <w:tcW w:w="20" w:type="dxa"/>
            <w:vAlign w:val="bottom"/>
          </w:tcPr>
          <w:p>
            <w:pPr>
              <w:spacing w:after="0"/>
              <w:rPr>
                <w:sz w:val="17"/>
                <w:szCs w:val="17"/>
                <w:color w:val="auto"/>
              </w:rPr>
            </w:pPr>
          </w:p>
        </w:tc>
      </w:tr>
      <w:tr>
        <w:trPr>
          <w:trHeight w:val="244"/>
        </w:trPr>
        <w:tc>
          <w:tcPr>
            <w:tcW w:w="6680" w:type="dxa"/>
            <w:vAlign w:val="bottom"/>
          </w:tcPr>
          <w:p>
            <w:pPr>
              <w:spacing w:after="0"/>
              <w:rPr>
                <w:sz w:val="20"/>
                <w:szCs w:val="20"/>
                <w:color w:val="auto"/>
              </w:rPr>
            </w:pPr>
            <w:r>
              <w:rPr>
                <w:rFonts w:ascii="Arial" w:cs="Arial" w:eastAsia="Arial" w:hAnsi="Arial"/>
                <w:sz w:val="16"/>
                <w:szCs w:val="16"/>
                <w:b w:val="1"/>
                <w:bCs w:val="1"/>
                <w:color w:val="auto"/>
              </w:rPr>
              <w:t> IFRS Financial Measures</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8"/>
        </w:trPr>
        <w:tc>
          <w:tcPr>
            <w:tcW w:w="6680" w:type="dxa"/>
            <w:vAlign w:val="bottom"/>
          </w:tcPr>
          <w:p>
            <w:pPr>
              <w:spacing w:after="0"/>
              <w:rPr>
                <w:sz w:val="20"/>
                <w:szCs w:val="20"/>
                <w:color w:val="auto"/>
              </w:rPr>
            </w:pPr>
            <w:r>
              <w:rPr>
                <w:rFonts w:ascii="Arial" w:cs="Arial" w:eastAsia="Arial" w:hAnsi="Arial"/>
                <w:sz w:val="16"/>
                <w:szCs w:val="16"/>
                <w:color w:val="auto"/>
              </w:rPr>
              <w:t>Revenues</w:t>
            </w:r>
          </w:p>
        </w:tc>
        <w:tc>
          <w:tcPr>
            <w:tcW w:w="1260" w:type="dxa"/>
            <w:vAlign w:val="bottom"/>
          </w:tcPr>
          <w:p>
            <w:pPr>
              <w:jc w:val="right"/>
              <w:ind w:right="201"/>
              <w:spacing w:after="0"/>
              <w:rPr>
                <w:sz w:val="20"/>
                <w:szCs w:val="20"/>
                <w:color w:val="auto"/>
              </w:rPr>
            </w:pPr>
            <w:r>
              <w:rPr>
                <w:rFonts w:ascii="Arial" w:cs="Arial" w:eastAsia="Arial" w:hAnsi="Arial"/>
                <w:sz w:val="16"/>
                <w:szCs w:val="16"/>
                <w:b w:val="1"/>
                <w:bCs w:val="1"/>
                <w:color w:val="auto"/>
              </w:rPr>
              <w:t>1,909</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1,815</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5%</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6680" w:type="dxa"/>
            <w:vAlign w:val="bottom"/>
          </w:tcPr>
          <w:p>
            <w:pPr>
              <w:spacing w:after="0"/>
              <w:rPr>
                <w:sz w:val="20"/>
                <w:szCs w:val="20"/>
                <w:color w:val="auto"/>
              </w:rPr>
            </w:pPr>
            <w:r>
              <w:rPr>
                <w:rFonts w:ascii="Arial" w:cs="Arial" w:eastAsia="Arial" w:hAnsi="Arial"/>
                <w:sz w:val="16"/>
                <w:szCs w:val="16"/>
                <w:color w:val="auto"/>
              </w:rPr>
              <w:t>Operating profit</w:t>
            </w:r>
          </w:p>
        </w:tc>
        <w:tc>
          <w:tcPr>
            <w:tcW w:w="1260" w:type="dxa"/>
            <w:vAlign w:val="bottom"/>
          </w:tcPr>
          <w:p>
            <w:pPr>
              <w:jc w:val="right"/>
              <w:ind w:right="201"/>
              <w:spacing w:after="0"/>
              <w:rPr>
                <w:sz w:val="20"/>
                <w:szCs w:val="20"/>
                <w:color w:val="auto"/>
              </w:rPr>
            </w:pPr>
            <w:r>
              <w:rPr>
                <w:rFonts w:ascii="Arial" w:cs="Arial" w:eastAsia="Arial" w:hAnsi="Arial"/>
                <w:sz w:val="16"/>
                <w:szCs w:val="16"/>
                <w:b w:val="1"/>
                <w:bCs w:val="1"/>
                <w:color w:val="auto"/>
              </w:rPr>
              <w:t>722</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558</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29%</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6680" w:type="dxa"/>
            <w:vAlign w:val="bottom"/>
          </w:tcPr>
          <w:p>
            <w:pPr>
              <w:spacing w:after="0"/>
              <w:rPr>
                <w:sz w:val="20"/>
                <w:szCs w:val="20"/>
                <w:color w:val="auto"/>
              </w:rPr>
            </w:pPr>
            <w:r>
              <w:rPr>
                <w:rFonts w:ascii="Arial" w:cs="Arial" w:eastAsia="Arial" w:hAnsi="Arial"/>
                <w:sz w:val="16"/>
                <w:szCs w:val="16"/>
                <w:color w:val="auto"/>
              </w:rPr>
              <w:t>Net earnings</w:t>
            </w:r>
          </w:p>
        </w:tc>
        <w:tc>
          <w:tcPr>
            <w:tcW w:w="1260" w:type="dxa"/>
            <w:vAlign w:val="bottom"/>
          </w:tcPr>
          <w:p>
            <w:pPr>
              <w:jc w:val="right"/>
              <w:ind w:right="201"/>
              <w:spacing w:after="0"/>
              <w:rPr>
                <w:sz w:val="20"/>
                <w:szCs w:val="20"/>
                <w:color w:val="auto"/>
              </w:rPr>
            </w:pPr>
            <w:r>
              <w:rPr>
                <w:rFonts w:ascii="Arial" w:cs="Arial" w:eastAsia="Arial" w:hAnsi="Arial"/>
                <w:sz w:val="16"/>
                <w:szCs w:val="16"/>
                <w:b w:val="1"/>
                <w:bCs w:val="1"/>
                <w:color w:val="auto"/>
              </w:rPr>
              <w:t>587</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678</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(14%)</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6680" w:type="dxa"/>
            <w:vAlign w:val="bottom"/>
          </w:tcPr>
          <w:p>
            <w:pPr>
              <w:spacing w:after="0"/>
              <w:rPr>
                <w:sz w:val="20"/>
                <w:szCs w:val="20"/>
                <w:color w:val="auto"/>
              </w:rPr>
            </w:pPr>
            <w:r>
              <w:rPr>
                <w:rFonts w:ascii="Arial" w:cs="Arial" w:eastAsia="Arial" w:hAnsi="Arial"/>
                <w:sz w:val="16"/>
                <w:szCs w:val="16"/>
                <w:color w:val="auto"/>
              </w:rPr>
              <w:t>Diluted EPS</w:t>
            </w:r>
          </w:p>
        </w:tc>
        <w:tc>
          <w:tcPr>
            <w:tcW w:w="1260" w:type="dxa"/>
            <w:vAlign w:val="bottom"/>
          </w:tcPr>
          <w:p>
            <w:pPr>
              <w:jc w:val="right"/>
              <w:ind w:right="201"/>
              <w:spacing w:after="0"/>
              <w:rPr>
                <w:sz w:val="20"/>
                <w:szCs w:val="20"/>
                <w:color w:val="auto"/>
              </w:rPr>
            </w:pPr>
            <w:r>
              <w:rPr>
                <w:rFonts w:ascii="Arial" w:cs="Arial" w:eastAsia="Arial" w:hAnsi="Arial"/>
                <w:sz w:val="16"/>
                <w:szCs w:val="16"/>
                <w:b w:val="1"/>
                <w:bCs w:val="1"/>
                <w:color w:val="auto"/>
              </w:rPr>
              <w:t>$1.30</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$1.49</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(13%)</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6680" w:type="dxa"/>
            <w:vAlign w:val="bottom"/>
          </w:tcPr>
          <w:p>
            <w:pPr>
              <w:spacing w:after="0"/>
              <w:rPr>
                <w:sz w:val="20"/>
                <w:szCs w:val="20"/>
                <w:color w:val="auto"/>
              </w:rPr>
            </w:pPr>
            <w:r>
              <w:rPr>
                <w:rFonts w:ascii="Arial" w:cs="Arial" w:eastAsia="Arial" w:hAnsi="Arial"/>
                <w:sz w:val="16"/>
                <w:szCs w:val="16"/>
                <w:color w:val="auto"/>
              </w:rPr>
              <w:t>Net cash provided by operating activities</w:t>
            </w:r>
          </w:p>
        </w:tc>
        <w:tc>
          <w:tcPr>
            <w:tcW w:w="1260" w:type="dxa"/>
            <w:vAlign w:val="bottom"/>
          </w:tcPr>
          <w:p>
            <w:pPr>
              <w:jc w:val="right"/>
              <w:ind w:right="201"/>
              <w:spacing w:after="0"/>
              <w:rPr>
                <w:sz w:val="20"/>
                <w:szCs w:val="20"/>
                <w:color w:val="auto"/>
              </w:rPr>
            </w:pPr>
            <w:r>
              <w:rPr>
                <w:rFonts w:ascii="Arial" w:cs="Arial" w:eastAsia="Arial" w:hAnsi="Arial"/>
                <w:sz w:val="16"/>
                <w:szCs w:val="16"/>
                <w:b w:val="1"/>
                <w:bCs w:val="1"/>
                <w:color w:val="auto"/>
              </w:rPr>
              <w:t>564</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705</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(20%)</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668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1260" w:type="dxa"/>
            <w:vAlign w:val="bottom"/>
          </w:tcPr>
          <w:p>
            <w:pPr>
              <w:jc w:val="right"/>
              <w:ind w:right="201"/>
              <w:spacing w:after="0"/>
              <w:rPr>
                <w:sz w:val="20"/>
                <w:szCs w:val="20"/>
                <w:color w:val="auto"/>
              </w:rPr>
            </w:pPr>
            <w:r>
              <w:rPr>
                <w:rFonts w:ascii="Arial" w:cs="Arial" w:eastAsia="Arial" w:hAnsi="Arial"/>
                <w:sz w:val="16"/>
                <w:szCs w:val="16"/>
                <w:b w:val="1"/>
                <w:bCs w:val="1"/>
                <w:color w:val="auto"/>
              </w:rPr>
              <w:t>(69)</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(223)</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(71%)</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668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Net cash used in financing activities</w:t>
            </w:r>
          </w:p>
        </w:tc>
        <w:tc>
          <w:tcPr>
            <w:tcW w:w="1260" w:type="dxa"/>
            <w:vAlign w:val="bottom"/>
            <w:tcBorders>
              <w:bottom w:val="single" w:sz="8" w:color="B2B2B2"/>
            </w:tcBorders>
          </w:tcPr>
          <w:p>
            <w:pPr>
              <w:jc w:val="right"/>
              <w:ind w:right="201"/>
              <w:spacing w:after="0"/>
              <w:rPr>
                <w:sz w:val="20"/>
                <w:szCs w:val="20"/>
                <w:color w:val="auto"/>
              </w:rPr>
            </w:pPr>
            <w:r>
              <w:rPr>
                <w:rFonts w:ascii="Arial" w:cs="Arial" w:eastAsia="Arial" w:hAnsi="Arial"/>
                <w:sz w:val="16"/>
                <w:szCs w:val="16"/>
                <w:b w:val="1"/>
                <w:bCs w:val="1"/>
                <w:color w:val="auto"/>
              </w:rPr>
              <w:t>(252)</w:t>
            </w:r>
          </w:p>
        </w:tc>
        <w:tc>
          <w:tcPr>
            <w:tcW w:w="1040" w:type="dxa"/>
            <w:vAlign w:val="bottom"/>
            <w:tcBorders>
              <w:bottom w:val="single" w:sz="8" w:color="B2B2B2"/>
            </w:tcBorders>
            <w:gridSpan w:val="2"/>
          </w:tcPr>
          <w:p>
            <w:pPr>
              <w:jc w:val="right"/>
              <w:ind w:right="260"/>
              <w:spacing w:after="0"/>
              <w:rPr>
                <w:sz w:val="20"/>
                <w:szCs w:val="20"/>
                <w:color w:val="auto"/>
              </w:rPr>
            </w:pPr>
            <w:r>
              <w:rPr>
                <w:rFonts w:ascii="Arial" w:cs="Arial" w:eastAsia="Arial" w:hAnsi="Arial"/>
                <w:sz w:val="16"/>
                <w:szCs w:val="16"/>
                <w:color w:val="auto"/>
              </w:rPr>
              <w:t>(1,702)</w:t>
            </w:r>
          </w:p>
        </w:tc>
        <w:tc>
          <w:tcPr>
            <w:tcW w:w="1000" w:type="dxa"/>
            <w:vAlign w:val="bottom"/>
            <w:tcBorders>
              <w:bottom w:val="single" w:sz="8" w:color="B2B2B2"/>
            </w:tcBorders>
          </w:tcPr>
          <w:p>
            <w:pPr>
              <w:jc w:val="right"/>
              <w:ind w:right="101"/>
              <w:spacing w:after="0"/>
              <w:rPr>
                <w:sz w:val="20"/>
                <w:szCs w:val="20"/>
                <w:color w:val="auto"/>
              </w:rPr>
            </w:pPr>
            <w:r>
              <w:rPr>
                <w:rFonts w:ascii="Arial" w:cs="Arial" w:eastAsia="Arial" w:hAnsi="Arial"/>
                <w:sz w:val="16"/>
                <w:szCs w:val="16"/>
                <w:color w:val="auto"/>
              </w:rPr>
              <w:t>(85%)</w:t>
            </w:r>
          </w:p>
        </w:tc>
        <w:tc>
          <w:tcPr>
            <w:tcW w:w="820" w:type="dxa"/>
            <w:vAlign w:val="bottom"/>
            <w:tcBorders>
              <w:bottom w:val="single" w:sz="8" w:color="B2B2B2"/>
            </w:tcBorders>
          </w:tcPr>
          <w:p>
            <w:pPr>
              <w:spacing w:after="0"/>
              <w:rPr>
                <w:sz w:val="19"/>
                <w:szCs w:val="19"/>
                <w:color w:val="auto"/>
              </w:rPr>
            </w:pPr>
          </w:p>
        </w:tc>
        <w:tc>
          <w:tcPr>
            <w:tcW w:w="20" w:type="dxa"/>
            <w:vAlign w:val="bottom"/>
          </w:tcPr>
          <w:p>
            <w:pPr>
              <w:spacing w:after="0"/>
              <w:rPr>
                <w:sz w:val="19"/>
                <w:szCs w:val="19"/>
                <w:color w:val="auto"/>
              </w:rPr>
            </w:pPr>
          </w:p>
        </w:tc>
      </w:tr>
      <w:tr>
        <w:trPr>
          <w:trHeight w:val="257"/>
        </w:trPr>
        <w:tc>
          <w:tcPr>
            <w:tcW w:w="6680" w:type="dxa"/>
            <w:vAlign w:val="bottom"/>
          </w:tcPr>
          <w:p>
            <w:pPr>
              <w:spacing w:after="0"/>
              <w:rPr>
                <w:sz w:val="20"/>
                <w:szCs w:val="20"/>
                <w:color w:val="auto"/>
              </w:rPr>
            </w:pPr>
            <w:r>
              <w:rPr>
                <w:rFonts w:ascii="Arial" w:cs="Arial" w:eastAsia="Arial" w:hAnsi="Arial"/>
                <w:sz w:val="16"/>
                <w:szCs w:val="16"/>
                <w:b w:val="1"/>
                <w:bCs w:val="1"/>
                <w:color w:val="auto"/>
              </w:rPr>
              <w:t> Non-IFRS Financial Measures</w:t>
            </w:r>
            <w:r>
              <w:rPr>
                <w:rFonts w:ascii="Arial" w:cs="Arial" w:eastAsia="Arial" w:hAnsi="Arial"/>
                <w:sz w:val="19"/>
                <w:szCs w:val="19"/>
                <w:b w:val="1"/>
                <w:bCs w:val="1"/>
                <w:color w:val="auto"/>
                <w:vertAlign w:val="superscript"/>
              </w:rPr>
              <w:t>(1)</w:t>
            </w: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8"/>
        </w:trPr>
        <w:tc>
          <w:tcPr>
            <w:tcW w:w="6680" w:type="dxa"/>
            <w:vAlign w:val="bottom"/>
          </w:tcPr>
          <w:p>
            <w:pPr>
              <w:spacing w:after="0"/>
              <w:rPr>
                <w:sz w:val="20"/>
                <w:szCs w:val="20"/>
                <w:color w:val="auto"/>
              </w:rPr>
            </w:pPr>
            <w:r>
              <w:rPr>
                <w:rFonts w:ascii="Arial" w:cs="Arial" w:eastAsia="Arial" w:hAnsi="Arial"/>
                <w:sz w:val="16"/>
                <w:szCs w:val="16"/>
                <w:color w:val="auto"/>
              </w:rPr>
              <w:t>Revenues</w:t>
            </w:r>
          </w:p>
        </w:tc>
        <w:tc>
          <w:tcPr>
            <w:tcW w:w="1260" w:type="dxa"/>
            <w:vAlign w:val="bottom"/>
          </w:tcPr>
          <w:p>
            <w:pPr>
              <w:jc w:val="right"/>
              <w:ind w:right="201"/>
              <w:spacing w:after="0"/>
              <w:rPr>
                <w:sz w:val="20"/>
                <w:szCs w:val="20"/>
                <w:color w:val="auto"/>
              </w:rPr>
            </w:pPr>
            <w:r>
              <w:rPr>
                <w:rFonts w:ascii="Arial" w:cs="Arial" w:eastAsia="Arial" w:hAnsi="Arial"/>
                <w:sz w:val="16"/>
                <w:szCs w:val="16"/>
                <w:b w:val="1"/>
                <w:bCs w:val="1"/>
                <w:color w:val="auto"/>
              </w:rPr>
              <w:t>1,909</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1,815</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5%</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w:t>
            </w:r>
          </w:p>
        </w:tc>
      </w:tr>
      <w:tr>
        <w:trPr>
          <w:trHeight w:val="211"/>
        </w:trPr>
        <w:tc>
          <w:tcPr>
            <w:tcW w:w="6680" w:type="dxa"/>
            <w:vAlign w:val="bottom"/>
          </w:tcPr>
          <w:p>
            <w:pP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i w:val="1"/>
                <w:iCs w:val="1"/>
                <w:color w:val="auto"/>
              </w:rPr>
              <w:t>Organic revenue growth</w:t>
            </w: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i w:val="1"/>
                <w:iCs w:val="1"/>
                <w:color w:val="auto"/>
              </w:rPr>
              <w:t>5%</w:t>
            </w:r>
          </w:p>
        </w:tc>
      </w:tr>
      <w:tr>
        <w:trPr>
          <w:trHeight w:val="239"/>
        </w:trPr>
        <w:tc>
          <w:tcPr>
            <w:tcW w:w="6680" w:type="dxa"/>
            <w:vAlign w:val="bottom"/>
          </w:tcPr>
          <w:p>
            <w:pPr>
              <w:spacing w:after="0"/>
              <w:rPr>
                <w:sz w:val="20"/>
                <w:szCs w:val="20"/>
                <w:color w:val="auto"/>
              </w:rPr>
            </w:pPr>
            <w:r>
              <w:rPr>
                <w:rFonts w:ascii="Arial" w:cs="Arial" w:eastAsia="Arial" w:hAnsi="Arial"/>
                <w:sz w:val="16"/>
                <w:szCs w:val="16"/>
                <w:color w:val="auto"/>
              </w:rPr>
              <w:t>Adjusted EBITDA</w:t>
            </w:r>
          </w:p>
        </w:tc>
        <w:tc>
          <w:tcPr>
            <w:tcW w:w="1260" w:type="dxa"/>
            <w:vAlign w:val="bottom"/>
          </w:tcPr>
          <w:p>
            <w:pPr>
              <w:jc w:val="right"/>
              <w:ind w:right="201"/>
              <w:spacing w:after="0"/>
              <w:rPr>
                <w:sz w:val="20"/>
                <w:szCs w:val="20"/>
                <w:color w:val="auto"/>
              </w:rPr>
            </w:pPr>
            <w:r>
              <w:rPr>
                <w:rFonts w:ascii="Arial" w:cs="Arial" w:eastAsia="Arial" w:hAnsi="Arial"/>
                <w:sz w:val="16"/>
                <w:szCs w:val="16"/>
                <w:b w:val="1"/>
                <w:bCs w:val="1"/>
                <w:color w:val="auto"/>
              </w:rPr>
              <w:t>718</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707</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2%</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38"/>
        </w:trPr>
        <w:tc>
          <w:tcPr>
            <w:tcW w:w="6680" w:type="dxa"/>
            <w:vAlign w:val="bottom"/>
          </w:tcPr>
          <w:p>
            <w:pPr>
              <w:spacing w:after="0"/>
              <w:rPr>
                <w:sz w:val="20"/>
                <w:szCs w:val="20"/>
                <w:color w:val="auto"/>
              </w:rPr>
            </w:pPr>
            <w:r>
              <w:rPr>
                <w:rFonts w:ascii="Arial" w:cs="Arial" w:eastAsia="Arial" w:hAnsi="Arial"/>
                <w:sz w:val="16"/>
                <w:szCs w:val="16"/>
                <w:color w:val="auto"/>
              </w:rPr>
              <w:t>Adjusted EBITDA margin</w:t>
            </w:r>
          </w:p>
        </w:tc>
        <w:tc>
          <w:tcPr>
            <w:tcW w:w="1260" w:type="dxa"/>
            <w:vAlign w:val="bottom"/>
          </w:tcPr>
          <w:p>
            <w:pPr>
              <w:jc w:val="right"/>
              <w:ind w:right="201"/>
              <w:spacing w:after="0"/>
              <w:rPr>
                <w:sz w:val="20"/>
                <w:szCs w:val="20"/>
                <w:color w:val="auto"/>
              </w:rPr>
            </w:pPr>
            <w:r>
              <w:rPr>
                <w:rFonts w:ascii="Arial" w:cs="Arial" w:eastAsia="Arial" w:hAnsi="Arial"/>
                <w:sz w:val="16"/>
                <w:szCs w:val="16"/>
                <w:b w:val="1"/>
                <w:bCs w:val="1"/>
                <w:color w:val="auto"/>
              </w:rPr>
              <w:t>37.6%</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38.9%</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(130)bp</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(160)bp</w:t>
            </w:r>
          </w:p>
        </w:tc>
      </w:tr>
      <w:tr>
        <w:trPr>
          <w:trHeight w:val="238"/>
        </w:trPr>
        <w:tc>
          <w:tcPr>
            <w:tcW w:w="6680" w:type="dxa"/>
            <w:vAlign w:val="bottom"/>
          </w:tcPr>
          <w:p>
            <w:pPr>
              <w:spacing w:after="0"/>
              <w:rPr>
                <w:sz w:val="20"/>
                <w:szCs w:val="20"/>
                <w:color w:val="auto"/>
              </w:rPr>
            </w:pPr>
            <w:r>
              <w:rPr>
                <w:rFonts w:ascii="Arial" w:cs="Arial" w:eastAsia="Arial" w:hAnsi="Arial"/>
                <w:sz w:val="16"/>
                <w:szCs w:val="16"/>
                <w:color w:val="auto"/>
              </w:rPr>
              <w:t>Adjusted EBITDA less accrued capital expenditures</w:t>
            </w:r>
          </w:p>
        </w:tc>
        <w:tc>
          <w:tcPr>
            <w:tcW w:w="1260" w:type="dxa"/>
            <w:vAlign w:val="bottom"/>
          </w:tcPr>
          <w:p>
            <w:pPr>
              <w:jc w:val="right"/>
              <w:ind w:right="201"/>
              <w:spacing w:after="0"/>
              <w:rPr>
                <w:sz w:val="20"/>
                <w:szCs w:val="20"/>
                <w:color w:val="auto"/>
              </w:rPr>
            </w:pPr>
            <w:r>
              <w:rPr>
                <w:rFonts w:ascii="Arial" w:cs="Arial" w:eastAsia="Arial" w:hAnsi="Arial"/>
                <w:sz w:val="16"/>
                <w:szCs w:val="16"/>
                <w:b w:val="1"/>
                <w:bCs w:val="1"/>
                <w:color w:val="auto"/>
              </w:rPr>
              <w:t>546</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554</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(1%)</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6680" w:type="dxa"/>
            <w:vAlign w:val="bottom"/>
          </w:tcPr>
          <w:p>
            <w:pPr>
              <w:spacing w:after="0"/>
              <w:rPr>
                <w:sz w:val="20"/>
                <w:szCs w:val="20"/>
                <w:color w:val="auto"/>
              </w:rPr>
            </w:pPr>
            <w:r>
              <w:rPr>
                <w:rFonts w:ascii="Arial" w:cs="Arial" w:eastAsia="Arial" w:hAnsi="Arial"/>
                <w:sz w:val="16"/>
                <w:szCs w:val="16"/>
                <w:color w:val="auto"/>
              </w:rPr>
              <w:t>Adjusted EBITDA less accrued capital expenditures margin</w:t>
            </w:r>
          </w:p>
        </w:tc>
        <w:tc>
          <w:tcPr>
            <w:tcW w:w="1260" w:type="dxa"/>
            <w:vAlign w:val="bottom"/>
          </w:tcPr>
          <w:p>
            <w:pPr>
              <w:jc w:val="right"/>
              <w:ind w:right="201"/>
              <w:spacing w:after="0"/>
              <w:rPr>
                <w:sz w:val="20"/>
                <w:szCs w:val="20"/>
                <w:color w:val="auto"/>
              </w:rPr>
            </w:pPr>
            <w:r>
              <w:rPr>
                <w:rFonts w:ascii="Arial" w:cs="Arial" w:eastAsia="Arial" w:hAnsi="Arial"/>
                <w:sz w:val="16"/>
                <w:szCs w:val="16"/>
                <w:b w:val="1"/>
                <w:bCs w:val="1"/>
                <w:color w:val="auto"/>
              </w:rPr>
              <w:t>28.6%</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30.5%</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(190)bp</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6680" w:type="dxa"/>
            <w:vAlign w:val="bottom"/>
          </w:tcPr>
          <w:p>
            <w:pPr>
              <w:spacing w:after="0"/>
              <w:rPr>
                <w:sz w:val="20"/>
                <w:szCs w:val="20"/>
                <w:color w:val="auto"/>
              </w:rPr>
            </w:pPr>
            <w:r>
              <w:rPr>
                <w:rFonts w:ascii="Arial" w:cs="Arial" w:eastAsia="Arial" w:hAnsi="Arial"/>
                <w:sz w:val="16"/>
                <w:szCs w:val="16"/>
                <w:color w:val="auto"/>
              </w:rPr>
              <w:t>Adjusted earnings</w:t>
            </w:r>
          </w:p>
        </w:tc>
        <w:tc>
          <w:tcPr>
            <w:tcW w:w="1260" w:type="dxa"/>
            <w:vAlign w:val="bottom"/>
          </w:tcPr>
          <w:p>
            <w:pPr>
              <w:jc w:val="right"/>
              <w:ind w:right="201"/>
              <w:spacing w:after="0"/>
              <w:rPr>
                <w:sz w:val="20"/>
                <w:szCs w:val="20"/>
                <w:color w:val="auto"/>
              </w:rPr>
            </w:pPr>
            <w:r>
              <w:rPr>
                <w:rFonts w:ascii="Arial" w:cs="Arial" w:eastAsia="Arial" w:hAnsi="Arial"/>
                <w:sz w:val="16"/>
                <w:szCs w:val="16"/>
                <w:b w:val="1"/>
                <w:bCs w:val="1"/>
                <w:color w:val="auto"/>
              </w:rPr>
              <w:t>454</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446</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2%</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6680" w:type="dxa"/>
            <w:vAlign w:val="bottom"/>
          </w:tcPr>
          <w:p>
            <w:pPr>
              <w:spacing w:after="0"/>
              <w:rPr>
                <w:sz w:val="20"/>
                <w:szCs w:val="20"/>
                <w:color w:val="auto"/>
              </w:rPr>
            </w:pPr>
            <w:r>
              <w:rPr>
                <w:rFonts w:ascii="Arial" w:cs="Arial" w:eastAsia="Arial" w:hAnsi="Arial"/>
                <w:sz w:val="16"/>
                <w:szCs w:val="16"/>
                <w:color w:val="auto"/>
              </w:rPr>
              <w:t>Adjusted EPS</w:t>
            </w:r>
          </w:p>
        </w:tc>
        <w:tc>
          <w:tcPr>
            <w:tcW w:w="1260" w:type="dxa"/>
            <w:vAlign w:val="bottom"/>
          </w:tcPr>
          <w:p>
            <w:pPr>
              <w:jc w:val="right"/>
              <w:ind w:right="201"/>
              <w:spacing w:after="0"/>
              <w:rPr>
                <w:sz w:val="20"/>
                <w:szCs w:val="20"/>
                <w:color w:val="auto"/>
              </w:rPr>
            </w:pPr>
            <w:r>
              <w:rPr>
                <w:rFonts w:ascii="Arial" w:cs="Arial" w:eastAsia="Arial" w:hAnsi="Arial"/>
                <w:sz w:val="16"/>
                <w:szCs w:val="16"/>
                <w:b w:val="1"/>
                <w:bCs w:val="1"/>
                <w:color w:val="auto"/>
              </w:rPr>
              <w:t>$1.01</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$0.98</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3%</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39"/>
        </w:trPr>
        <w:tc>
          <w:tcPr>
            <w:tcW w:w="6680" w:type="dxa"/>
            <w:vAlign w:val="bottom"/>
          </w:tcPr>
          <w:p>
            <w:pPr>
              <w:spacing w:after="0"/>
              <w:rPr>
                <w:sz w:val="20"/>
                <w:szCs w:val="20"/>
                <w:color w:val="auto"/>
              </w:rPr>
            </w:pPr>
            <w:r>
              <w:rPr>
                <w:rFonts w:ascii="Arial" w:cs="Arial" w:eastAsia="Arial" w:hAnsi="Arial"/>
                <w:sz w:val="16"/>
                <w:szCs w:val="16"/>
                <w:color w:val="auto"/>
              </w:rPr>
              <w:t>Free cash flow</w:t>
            </w:r>
          </w:p>
        </w:tc>
        <w:tc>
          <w:tcPr>
            <w:tcW w:w="1260" w:type="dxa"/>
            <w:vAlign w:val="bottom"/>
          </w:tcPr>
          <w:p>
            <w:pPr>
              <w:jc w:val="right"/>
              <w:ind w:right="201"/>
              <w:spacing w:after="0"/>
              <w:rPr>
                <w:sz w:val="20"/>
                <w:szCs w:val="20"/>
                <w:color w:val="auto"/>
              </w:rPr>
            </w:pPr>
            <w:r>
              <w:rPr>
                <w:rFonts w:ascii="Arial" w:cs="Arial" w:eastAsia="Arial" w:hAnsi="Arial"/>
                <w:sz w:val="16"/>
                <w:szCs w:val="16"/>
                <w:b w:val="1"/>
                <w:bCs w:val="1"/>
                <w:color w:val="auto"/>
              </w:rPr>
              <w:t>425</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613</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(31%)</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6"/>
                <w:szCs w:val="16"/>
                <w:color w:val="auto"/>
              </w:rPr>
              <w:t>“Big 3” Segments</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6"/>
        </w:trPr>
        <w:tc>
          <w:tcPr>
            <w:tcW w:w="6680" w:type="dxa"/>
            <w:vAlign w:val="bottom"/>
          </w:tcPr>
          <w:p>
            <w:pPr>
              <w:spacing w:after="0"/>
              <w:rPr>
                <w:sz w:val="20"/>
                <w:szCs w:val="20"/>
                <w:color w:val="auto"/>
              </w:rPr>
            </w:pPr>
            <w:r>
              <w:rPr>
                <w:rFonts w:ascii="Arial" w:cs="Arial" w:eastAsia="Arial" w:hAnsi="Arial"/>
                <w:sz w:val="16"/>
                <w:szCs w:val="16"/>
                <w:color w:val="auto"/>
              </w:rPr>
              <w:t>Revenues</w:t>
            </w:r>
          </w:p>
        </w:tc>
        <w:tc>
          <w:tcPr>
            <w:tcW w:w="1260" w:type="dxa"/>
            <w:vAlign w:val="bottom"/>
          </w:tcPr>
          <w:p>
            <w:pPr>
              <w:jc w:val="right"/>
              <w:ind w:right="201"/>
              <w:spacing w:after="0"/>
              <w:rPr>
                <w:sz w:val="20"/>
                <w:szCs w:val="20"/>
                <w:color w:val="auto"/>
              </w:rPr>
            </w:pPr>
            <w:r>
              <w:rPr>
                <w:rFonts w:ascii="Arial" w:cs="Arial" w:eastAsia="Arial" w:hAnsi="Arial"/>
                <w:sz w:val="16"/>
                <w:szCs w:val="16"/>
                <w:b w:val="1"/>
                <w:bCs w:val="1"/>
                <w:color w:val="auto"/>
              </w:rPr>
              <w:t>1,553</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1,446</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7%</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231"/>
        </w:trPr>
        <w:tc>
          <w:tcPr>
            <w:tcW w:w="6680" w:type="dxa"/>
            <w:vAlign w:val="bottom"/>
          </w:tcPr>
          <w:p>
            <w:pPr>
              <w:spacing w:after="0"/>
              <w:rPr>
                <w:sz w:val="20"/>
                <w:szCs w:val="20"/>
                <w:color w:val="auto"/>
              </w:rPr>
            </w:pPr>
            <w:r>
              <w:rPr>
                <w:rFonts w:ascii="Arial" w:cs="Arial" w:eastAsia="Arial" w:hAnsi="Arial"/>
                <w:sz w:val="16"/>
                <w:szCs w:val="16"/>
                <w:color w:val="auto"/>
              </w:rPr>
              <w:t>  Organic revenue growth</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8%</w:t>
            </w:r>
          </w:p>
        </w:tc>
      </w:tr>
      <w:tr>
        <w:trPr>
          <w:trHeight w:val="246"/>
        </w:trPr>
        <w:tc>
          <w:tcPr>
            <w:tcW w:w="6680" w:type="dxa"/>
            <w:vAlign w:val="bottom"/>
          </w:tcPr>
          <w:p>
            <w:pPr>
              <w:spacing w:after="0"/>
              <w:rPr>
                <w:sz w:val="20"/>
                <w:szCs w:val="20"/>
                <w:color w:val="auto"/>
              </w:rPr>
            </w:pPr>
            <w:r>
              <w:rPr>
                <w:rFonts w:ascii="Arial" w:cs="Arial" w:eastAsia="Arial" w:hAnsi="Arial"/>
                <w:sz w:val="16"/>
                <w:szCs w:val="16"/>
                <w:color w:val="auto"/>
              </w:rPr>
              <w:t>Adjusted EBITDA</w:t>
            </w:r>
          </w:p>
        </w:tc>
        <w:tc>
          <w:tcPr>
            <w:tcW w:w="1260" w:type="dxa"/>
            <w:vAlign w:val="bottom"/>
          </w:tcPr>
          <w:p>
            <w:pPr>
              <w:jc w:val="right"/>
              <w:ind w:right="201"/>
              <w:spacing w:after="0"/>
              <w:rPr>
                <w:sz w:val="20"/>
                <w:szCs w:val="20"/>
                <w:color w:val="auto"/>
              </w:rPr>
            </w:pPr>
            <w:r>
              <w:rPr>
                <w:rFonts w:ascii="Arial" w:cs="Arial" w:eastAsia="Arial" w:hAnsi="Arial"/>
                <w:sz w:val="16"/>
                <w:szCs w:val="16"/>
                <w:b w:val="1"/>
                <w:bCs w:val="1"/>
                <w:color w:val="auto"/>
              </w:rPr>
              <w:t>648</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624</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4%</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w:t>
            </w:r>
          </w:p>
        </w:tc>
      </w:tr>
      <w:tr>
        <w:trPr>
          <w:trHeight w:val="227"/>
        </w:trPr>
        <w:tc>
          <w:tcPr>
            <w:tcW w:w="6680" w:type="dxa"/>
            <w:vAlign w:val="bottom"/>
            <w:tcBorders>
              <w:bottom w:val="single" w:sz="8" w:color="D64000"/>
            </w:tcBorders>
          </w:tcPr>
          <w:p>
            <w:pPr>
              <w:spacing w:after="0"/>
              <w:rPr>
                <w:sz w:val="20"/>
                <w:szCs w:val="20"/>
                <w:color w:val="auto"/>
              </w:rPr>
            </w:pPr>
            <w:r>
              <w:rPr>
                <w:rFonts w:ascii="Arial" w:cs="Arial" w:eastAsia="Arial" w:hAnsi="Arial"/>
                <w:sz w:val="16"/>
                <w:szCs w:val="16"/>
                <w:color w:val="auto"/>
              </w:rPr>
              <w:t>Adjusted EBITDA margin</w:t>
            </w:r>
          </w:p>
        </w:tc>
        <w:tc>
          <w:tcPr>
            <w:tcW w:w="1260" w:type="dxa"/>
            <w:vAlign w:val="bottom"/>
            <w:tcBorders>
              <w:bottom w:val="single" w:sz="8" w:color="D64000"/>
            </w:tcBorders>
          </w:tcPr>
          <w:p>
            <w:pPr>
              <w:jc w:val="right"/>
              <w:ind w:right="201"/>
              <w:spacing w:after="0"/>
              <w:rPr>
                <w:sz w:val="20"/>
                <w:szCs w:val="20"/>
                <w:color w:val="auto"/>
              </w:rPr>
            </w:pPr>
            <w:r>
              <w:rPr>
                <w:rFonts w:ascii="Arial" w:cs="Arial" w:eastAsia="Arial" w:hAnsi="Arial"/>
                <w:sz w:val="16"/>
                <w:szCs w:val="16"/>
                <w:b w:val="1"/>
                <w:bCs w:val="1"/>
                <w:color w:val="auto"/>
              </w:rPr>
              <w:t>41.7%</w:t>
            </w:r>
          </w:p>
        </w:tc>
        <w:tc>
          <w:tcPr>
            <w:tcW w:w="1040" w:type="dxa"/>
            <w:vAlign w:val="bottom"/>
            <w:tcBorders>
              <w:bottom w:val="single" w:sz="8" w:color="D64000"/>
            </w:tcBorders>
            <w:gridSpan w:val="2"/>
          </w:tcPr>
          <w:p>
            <w:pPr>
              <w:jc w:val="right"/>
              <w:ind w:right="260"/>
              <w:spacing w:after="0"/>
              <w:rPr>
                <w:sz w:val="20"/>
                <w:szCs w:val="20"/>
                <w:color w:val="auto"/>
              </w:rPr>
            </w:pPr>
            <w:r>
              <w:rPr>
                <w:rFonts w:ascii="Arial" w:cs="Arial" w:eastAsia="Arial" w:hAnsi="Arial"/>
                <w:sz w:val="16"/>
                <w:szCs w:val="16"/>
                <w:color w:val="auto"/>
              </w:rPr>
              <w:t>43.1%</w:t>
            </w:r>
          </w:p>
        </w:tc>
        <w:tc>
          <w:tcPr>
            <w:tcW w:w="1000" w:type="dxa"/>
            <w:vAlign w:val="bottom"/>
            <w:tcBorders>
              <w:bottom w:val="single" w:sz="8" w:color="D64000"/>
            </w:tcBorders>
          </w:tcPr>
          <w:p>
            <w:pPr>
              <w:jc w:val="right"/>
              <w:ind w:right="101"/>
              <w:spacing w:after="0"/>
              <w:rPr>
                <w:sz w:val="20"/>
                <w:szCs w:val="20"/>
                <w:color w:val="auto"/>
              </w:rPr>
            </w:pPr>
            <w:r>
              <w:rPr>
                <w:rFonts w:ascii="Arial" w:cs="Arial" w:eastAsia="Arial" w:hAnsi="Arial"/>
                <w:sz w:val="16"/>
                <w:szCs w:val="16"/>
                <w:color w:val="auto"/>
              </w:rPr>
              <w:t>(140)bp</w:t>
            </w:r>
          </w:p>
        </w:tc>
        <w:tc>
          <w:tcPr>
            <w:tcW w:w="840" w:type="dxa"/>
            <w:vAlign w:val="bottom"/>
            <w:tcBorders>
              <w:bottom w:val="single" w:sz="8" w:color="D64000"/>
            </w:tcBorders>
            <w:gridSpan w:val="2"/>
          </w:tcPr>
          <w:p>
            <w:pPr>
              <w:jc w:val="right"/>
              <w:spacing w:after="0"/>
              <w:rPr>
                <w:sz w:val="20"/>
                <w:szCs w:val="20"/>
                <w:color w:val="auto"/>
              </w:rPr>
            </w:pPr>
            <w:r>
              <w:rPr>
                <w:rFonts w:ascii="Arial" w:cs="Arial" w:eastAsia="Arial" w:hAnsi="Arial"/>
                <w:sz w:val="16"/>
                <w:szCs w:val="16"/>
                <w:color w:val="auto"/>
              </w:rPr>
              <w:t>(190)bp</w:t>
            </w:r>
          </w:p>
        </w:tc>
      </w:tr>
    </w:tbl>
    <w:p>
      <w:pPr>
        <w:spacing w:after="0" w:line="83" w:lineRule="exact"/>
        <w:rPr>
          <w:sz w:val="20"/>
          <w:szCs w:val="20"/>
          <w:color w:val="auto"/>
        </w:rPr>
      </w:pPr>
    </w:p>
    <w:p>
      <w:pPr>
        <w:ind w:left="440" w:right="100" w:hanging="222"/>
        <w:spacing w:after="0" w:line="274" w:lineRule="auto"/>
        <w:tabs>
          <w:tab w:leader="none" w:pos="4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Refer to Appendices A and B of this management’s discussion and analysis for additional information and reconciliations of our non-IFRS financial measures to the most directly comparable IFRS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75565</wp:posOffset>
            </wp:positionV>
            <wp:extent cx="68656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0"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41</w:t>
      </w:r>
    </w:p>
    <w:p>
      <w:pPr>
        <w:sectPr>
          <w:pgSz w:w="11900" w:h="16838" w:orient="portrait"/>
          <w:cols w:equalWidth="0" w:num="1">
            <w:col w:w="11040"/>
          </w:cols>
          <w:pgMar w:left="320" w:top="477" w:right="5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Review of Fourth Quarter Results (continued)</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Revenues</w:t>
      </w:r>
    </w:p>
    <w:p>
      <w:pPr>
        <w:spacing w:after="0" w:line="70" w:lineRule="exact"/>
        <w:rPr>
          <w:sz w:val="20"/>
          <w:szCs w:val="20"/>
          <w:color w:val="auto"/>
        </w:rPr>
      </w:pPr>
    </w:p>
    <w:p>
      <w:pPr>
        <w:ind w:left="220" w:right="80"/>
        <w:spacing w:after="0" w:line="238" w:lineRule="auto"/>
        <w:rPr>
          <w:sz w:val="20"/>
          <w:szCs w:val="20"/>
          <w:color w:val="auto"/>
        </w:rPr>
      </w:pPr>
      <w:r>
        <w:rPr>
          <w:rFonts w:ascii="Arial" w:cs="Arial" w:eastAsia="Arial" w:hAnsi="Arial"/>
          <w:sz w:val="17"/>
          <w:szCs w:val="17"/>
          <w:color w:val="auto"/>
        </w:rPr>
        <w:t>Revenues increased 5% in total reflecting a 7% growth in recurring revenues (83% of total revenues) partly offset by a 1% decline in transactions revenues and a 6% decline in Global Print. The net impact of acquisitions, divestitures as well as foreign currency on total company revenue growth was not significant. On an organic basis, revenues also increased 5% reflecting 8% growth in recurring revenues partly offset by a 4% decline in transactions revenues and the decline in Global Print.</w:t>
      </w:r>
    </w:p>
    <w:p>
      <w:pPr>
        <w:spacing w:after="0" w:line="59" w:lineRule="exact"/>
        <w:rPr>
          <w:sz w:val="20"/>
          <w:szCs w:val="20"/>
          <w:color w:val="auto"/>
        </w:rPr>
      </w:pPr>
    </w:p>
    <w:p>
      <w:pPr>
        <w:jc w:val="both"/>
        <w:ind w:left="220" w:right="440"/>
        <w:spacing w:after="0" w:line="243" w:lineRule="auto"/>
        <w:rPr>
          <w:sz w:val="20"/>
          <w:szCs w:val="20"/>
          <w:color w:val="auto"/>
        </w:rPr>
      </w:pPr>
      <w:r>
        <w:rPr>
          <w:rFonts w:ascii="Arial" w:cs="Arial" w:eastAsia="Arial" w:hAnsi="Arial"/>
          <w:sz w:val="17"/>
          <w:szCs w:val="17"/>
          <w:color w:val="auto"/>
        </w:rPr>
        <w:t>Revenues from the “Big 3” segments (81% of total revenues) increased 7% in total and in constant currency. On an organic basis, revenues increased 8%, driven by 8% growth in recurring revenues (92% of “Big 3” segments revenues in the quarter) and 11% growth in transactions revenues.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Operating profit, adjusted EBITDA and adjusted EBITDA less accrued capital expenditures</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Operating profit increased 29% driven from gains on the sale of FindLaw and certain other non-core businesses.</w:t>
      </w:r>
    </w:p>
    <w:p>
      <w:pPr>
        <w:spacing w:after="0" w:line="70" w:lineRule="exact"/>
        <w:rPr>
          <w:sz w:val="20"/>
          <w:szCs w:val="20"/>
          <w:color w:val="auto"/>
        </w:rPr>
      </w:pPr>
    </w:p>
    <w:p>
      <w:pPr>
        <w:ind w:left="220" w:right="240"/>
        <w:spacing w:after="0" w:line="236" w:lineRule="auto"/>
        <w:rPr>
          <w:sz w:val="20"/>
          <w:szCs w:val="20"/>
          <w:color w:val="auto"/>
        </w:rPr>
      </w:pPr>
      <w:r>
        <w:rPr>
          <w:rFonts w:ascii="Arial" w:cs="Arial" w:eastAsia="Arial" w:hAnsi="Arial"/>
          <w:sz w:val="17"/>
          <w:szCs w:val="17"/>
          <w:color w:val="auto"/>
        </w:rPr>
        <w:t>Adjusted EBITDA, which excludes gains on the sale of businesses, as well as other items, increased 2% and the related margin decreased to 37.6% from 38.9% in the prior-year period. The increase in revenues were largely offset by higher costs reflecting continued investments in our business, the impact of acquisitions, and higher incentive compensation based on strong business performance. The increase in adjusted EBITDA reflected 4% growth in the “Big 3” segments, partly offset by a 26% decline in Reuters News and a 1% decline in Global Print. Foreign currency contributed 30bp to the year-over-year change in adjusted EBITDA margin in the quarter.</w:t>
      </w:r>
    </w:p>
    <w:p>
      <w:pPr>
        <w:spacing w:after="0" w:line="59" w:lineRule="exact"/>
        <w:rPr>
          <w:sz w:val="20"/>
          <w:szCs w:val="20"/>
          <w:color w:val="auto"/>
        </w:rPr>
      </w:pPr>
    </w:p>
    <w:p>
      <w:pPr>
        <w:ind w:left="220" w:right="40"/>
        <w:spacing w:after="0" w:line="260" w:lineRule="auto"/>
        <w:rPr>
          <w:sz w:val="20"/>
          <w:szCs w:val="20"/>
          <w:color w:val="auto"/>
        </w:rPr>
      </w:pPr>
      <w:r>
        <w:rPr>
          <w:rFonts w:ascii="Arial" w:cs="Arial" w:eastAsia="Arial" w:hAnsi="Arial"/>
          <w:sz w:val="17"/>
          <w:szCs w:val="17"/>
          <w:color w:val="auto"/>
        </w:rPr>
        <w:t>Adjusted EBITDA less accrued capital expenditures and the related margin decreased as higher adjusted EBITDA was more than offset by higher accrued capital expenditures.</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Net earnings and diluted EPS, and adjusted earnings and adjusted EPS</w:t>
      </w:r>
    </w:p>
    <w:p>
      <w:pPr>
        <w:spacing w:after="0" w:line="70" w:lineRule="exact"/>
        <w:rPr>
          <w:sz w:val="20"/>
          <w:szCs w:val="20"/>
          <w:color w:val="auto"/>
        </w:rPr>
      </w:pPr>
    </w:p>
    <w:p>
      <w:pPr>
        <w:ind w:left="220" w:right="320"/>
        <w:spacing w:after="0" w:line="243" w:lineRule="auto"/>
        <w:rPr>
          <w:sz w:val="20"/>
          <w:szCs w:val="20"/>
          <w:color w:val="auto"/>
        </w:rPr>
      </w:pPr>
      <w:r>
        <w:rPr>
          <w:rFonts w:ascii="Arial" w:cs="Arial" w:eastAsia="Arial" w:hAnsi="Arial"/>
          <w:sz w:val="17"/>
          <w:szCs w:val="17"/>
          <w:color w:val="auto"/>
        </w:rPr>
        <w:t>Net earnings and diluted EPS decreased as higher operating profit and currency benefits included in other finance income or costs were more than offset by higher tax expense, lower results from discontinued operations, and a prior-year period increase in the value of our former investment in LSEG.</w:t>
      </w:r>
    </w:p>
    <w:p>
      <w:pPr>
        <w:spacing w:after="0" w:line="55" w:lineRule="exact"/>
        <w:rPr>
          <w:sz w:val="20"/>
          <w:szCs w:val="20"/>
          <w:color w:val="auto"/>
        </w:rPr>
      </w:pPr>
    </w:p>
    <w:p>
      <w:pPr>
        <w:ind w:left="220" w:right="120"/>
        <w:spacing w:after="0" w:line="291" w:lineRule="auto"/>
        <w:rPr>
          <w:sz w:val="20"/>
          <w:szCs w:val="20"/>
          <w:color w:val="auto"/>
        </w:rPr>
      </w:pPr>
      <w:r>
        <w:rPr>
          <w:rFonts w:ascii="Arial" w:cs="Arial" w:eastAsia="Arial" w:hAnsi="Arial"/>
          <w:sz w:val="16"/>
          <w:szCs w:val="16"/>
          <w:color w:val="auto"/>
        </w:rPr>
        <w:t>Adjusted earnings and adjusted EPS, which excludes gains on sale of businesses, other finance income or costs, changes in value of our former LSEG investment, discontinued operations, as well as other adjustments was $1.01 per share versus $0.98 per share in the prior period.</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Net cash provided by operating activities</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Net cash provided by operating activities decreased primarily due to certain component changes in working capital.</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Net cash used in investing activities</w:t>
      </w:r>
    </w:p>
    <w:p>
      <w:pPr>
        <w:spacing w:after="0" w:line="70" w:lineRule="exact"/>
        <w:rPr>
          <w:sz w:val="20"/>
          <w:szCs w:val="20"/>
          <w:color w:val="auto"/>
        </w:rPr>
      </w:pPr>
    </w:p>
    <w:p>
      <w:pPr>
        <w:ind w:left="220" w:right="120"/>
        <w:spacing w:after="0" w:line="238" w:lineRule="auto"/>
        <w:rPr>
          <w:sz w:val="20"/>
          <w:szCs w:val="20"/>
          <w:color w:val="auto"/>
        </w:rPr>
      </w:pPr>
      <w:r>
        <w:rPr>
          <w:rFonts w:ascii="Arial" w:cs="Arial" w:eastAsia="Arial" w:hAnsi="Arial"/>
          <w:sz w:val="17"/>
          <w:szCs w:val="17"/>
          <w:color w:val="auto"/>
        </w:rPr>
        <w:t>In 2024, net cash used in investing activities primarily reflected capital expenditures of $161 million and acquisition spend of $130 million, primarily related to the purchase of Materia, and $115 million of taxes paid on the sales of LSEG shares. These cash outflows were partly offset by $297 million in proceeds from the sale of FindLaw and other non-core businesses and $40 million of cash flows from other investing activities, which included proceeds from the sale of real estate.</w:t>
      </w:r>
    </w:p>
    <w:p>
      <w:pPr>
        <w:spacing w:after="0" w:line="59" w:lineRule="exact"/>
        <w:rPr>
          <w:sz w:val="20"/>
          <w:szCs w:val="20"/>
          <w:color w:val="auto"/>
        </w:rPr>
      </w:pPr>
    </w:p>
    <w:p>
      <w:pPr>
        <w:ind w:left="220" w:right="80"/>
        <w:spacing w:after="0" w:line="238" w:lineRule="auto"/>
        <w:rPr>
          <w:sz w:val="20"/>
          <w:szCs w:val="20"/>
          <w:color w:val="auto"/>
        </w:rPr>
      </w:pPr>
      <w:r>
        <w:rPr>
          <w:rFonts w:ascii="Arial" w:cs="Arial" w:eastAsia="Arial" w:hAnsi="Arial"/>
          <w:sz w:val="17"/>
          <w:szCs w:val="17"/>
          <w:color w:val="auto"/>
        </w:rPr>
        <w:t>In 2023, net cash used in investing activities primarily reflected $162 million in taxes paid on the sales of LSEG shares and certain other businesses, and $132 million of capital expenditures. These outflows were partly offset by $31 million of proceeds from the sales of LSEG shares and $55 million of cash flows from other investing activities, which included proceeds from the sale of real estate and a wholly-owned Canadian subsidiary to a company affiliated with Woodbridge.</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Net cash used in financing activities</w:t>
      </w:r>
    </w:p>
    <w:p>
      <w:pPr>
        <w:spacing w:after="0" w:line="83" w:lineRule="exact"/>
        <w:rPr>
          <w:sz w:val="20"/>
          <w:szCs w:val="20"/>
          <w:color w:val="auto"/>
        </w:rPr>
      </w:pPr>
    </w:p>
    <w:p>
      <w:pPr>
        <w:ind w:left="220" w:right="60"/>
        <w:spacing w:after="0" w:line="237" w:lineRule="auto"/>
        <w:rPr>
          <w:sz w:val="20"/>
          <w:szCs w:val="20"/>
          <w:color w:val="auto"/>
        </w:rPr>
      </w:pPr>
      <w:r>
        <w:rPr>
          <w:rFonts w:ascii="Arial" w:cs="Arial" w:eastAsia="Arial" w:hAnsi="Arial"/>
          <w:sz w:val="17"/>
          <w:szCs w:val="17"/>
          <w:color w:val="auto"/>
        </w:rPr>
        <w:t>In 2024, net cash used in financing activities primarily included dividend payments to our common shareholders of $236 million. In 2023, net cash used in financing activities included the repayment of our $600 million term debt at maturity,</w:t>
      </w:r>
    </w:p>
    <w:p>
      <w:pPr>
        <w:spacing w:after="0" w:line="1" w:lineRule="exact"/>
        <w:rPr>
          <w:sz w:val="20"/>
          <w:szCs w:val="20"/>
          <w:color w:val="auto"/>
        </w:rPr>
      </w:pPr>
    </w:p>
    <w:p>
      <w:pPr>
        <w:ind w:left="220" w:right="860"/>
        <w:spacing w:after="0"/>
        <w:rPr>
          <w:sz w:val="20"/>
          <w:szCs w:val="20"/>
          <w:color w:val="auto"/>
        </w:rPr>
      </w:pPr>
      <w:r>
        <w:rPr>
          <w:rFonts w:ascii="Arial" w:cs="Arial" w:eastAsia="Arial" w:hAnsi="Arial"/>
          <w:sz w:val="17"/>
          <w:szCs w:val="17"/>
          <w:color w:val="auto"/>
        </w:rPr>
        <w:t>$513 million of net repayments of commercial paper, and $576 million of returns to common shareholders through dividends and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92075</wp:posOffset>
            </wp:positionV>
            <wp:extent cx="68656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6"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42</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Review of Fourth Quarter Results (continued)</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Free cash flow</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Free cash flow decreased primarily due to lower net cash provided by operating activities and higher capital expenditures. </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Segment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75565</wp:posOffset>
            </wp:positionV>
            <wp:extent cx="68656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99" w:lineRule="exact"/>
        <w:rPr>
          <w:sz w:val="20"/>
          <w:szCs w:val="20"/>
          <w:color w:val="auto"/>
        </w:rPr>
      </w:pPr>
    </w:p>
    <w:tbl>
      <w:tblPr>
        <w:tblLayout w:type="fixed"/>
        <w:tblInd w:w="220" w:type="dxa"/>
        <w:tblCellMar>
          <w:top w:w="0" w:type="dxa"/>
          <w:left w:w="0" w:type="dxa"/>
          <w:bottom w:w="0" w:type="dxa"/>
          <w:right w:w="0" w:type="dxa"/>
        </w:tblCellMar>
      </w:tblPr>
      <w:tr>
        <w:trPr>
          <w:trHeight w:val="239"/>
        </w:trPr>
        <w:tc>
          <w:tcPr>
            <w:tcW w:w="5200" w:type="dxa"/>
            <w:vAlign w:val="bottom"/>
          </w:tcPr>
          <w:p>
            <w:pPr>
              <w:spacing w:after="0"/>
              <w:rPr>
                <w:sz w:val="20"/>
                <w:szCs w:val="20"/>
                <w:color w:val="auto"/>
              </w:rPr>
            </w:pPr>
          </w:p>
        </w:tc>
        <w:tc>
          <w:tcPr>
            <w:tcW w:w="1300" w:type="dxa"/>
            <w:vAlign w:val="bottom"/>
            <w:shd w:val="clear" w:color="auto" w:fill="E3F3EE"/>
          </w:tcPr>
          <w:p>
            <w:pPr>
              <w:spacing w:after="0"/>
              <w:rPr>
                <w:sz w:val="20"/>
                <w:szCs w:val="20"/>
                <w:color w:val="auto"/>
              </w:rPr>
            </w:pPr>
          </w:p>
        </w:tc>
        <w:tc>
          <w:tcPr>
            <w:tcW w:w="3420" w:type="dxa"/>
            <w:vAlign w:val="bottom"/>
            <w:gridSpan w:val="5"/>
            <w:shd w:val="clear" w:color="auto" w:fill="E3F3EE"/>
          </w:tcPr>
          <w:p>
            <w:pPr>
              <w:ind w:left="460"/>
              <w:spacing w:after="0"/>
              <w:rPr>
                <w:sz w:val="20"/>
                <w:szCs w:val="20"/>
                <w:color w:val="auto"/>
              </w:rPr>
            </w:pPr>
            <w:r>
              <w:rPr>
                <w:rFonts w:ascii="Arial" w:cs="Arial" w:eastAsia="Arial" w:hAnsi="Arial"/>
                <w:sz w:val="16"/>
                <w:szCs w:val="16"/>
                <w:b w:val="1"/>
                <w:bCs w:val="1"/>
                <w:color w:val="auto"/>
              </w:rPr>
              <w:t>Three months ended December 31,</w:t>
            </w:r>
          </w:p>
        </w:tc>
        <w:tc>
          <w:tcPr>
            <w:tcW w:w="880" w:type="dxa"/>
            <w:vAlign w:val="bottom"/>
            <w:shd w:val="clear" w:color="auto" w:fill="E3F3EE"/>
          </w:tcPr>
          <w:p>
            <w:pPr>
              <w:spacing w:after="0"/>
              <w:rPr>
                <w:sz w:val="20"/>
                <w:szCs w:val="20"/>
                <w:color w:val="auto"/>
              </w:rPr>
            </w:pPr>
          </w:p>
        </w:tc>
        <w:tc>
          <w:tcPr>
            <w:tcW w:w="20" w:type="dxa"/>
            <w:vAlign w:val="bottom"/>
          </w:tcPr>
          <w:p>
            <w:pPr>
              <w:spacing w:after="0"/>
              <w:rPr>
                <w:sz w:val="20"/>
                <w:szCs w:val="20"/>
                <w:color w:val="auto"/>
              </w:rPr>
            </w:pPr>
          </w:p>
        </w:tc>
      </w:tr>
      <w:tr>
        <w:trPr>
          <w:trHeight w:val="192"/>
        </w:trPr>
        <w:tc>
          <w:tcPr>
            <w:tcW w:w="5200" w:type="dxa"/>
            <w:vAlign w:val="bottom"/>
            <w:tcBorders>
              <w:bottom w:val="single" w:sz="8" w:color="1F473D"/>
            </w:tcBorders>
            <w:shd w:val="clear" w:color="auto" w:fill="1F473D"/>
          </w:tcPr>
          <w:p>
            <w:pPr>
              <w:spacing w:after="0"/>
              <w:rPr>
                <w:sz w:val="16"/>
                <w:szCs w:val="16"/>
                <w:color w:val="auto"/>
              </w:rPr>
            </w:pPr>
          </w:p>
        </w:tc>
        <w:tc>
          <w:tcPr>
            <w:tcW w:w="1300" w:type="dxa"/>
            <w:vAlign w:val="bottom"/>
            <w:tcBorders>
              <w:bottom w:val="single" w:sz="8" w:color="1F473D"/>
            </w:tcBorders>
            <w:shd w:val="clear" w:color="auto" w:fill="1F473D"/>
          </w:tcPr>
          <w:p>
            <w:pPr>
              <w:spacing w:after="0"/>
              <w:rPr>
                <w:sz w:val="16"/>
                <w:szCs w:val="16"/>
                <w:color w:val="auto"/>
              </w:rPr>
            </w:pPr>
          </w:p>
        </w:tc>
        <w:tc>
          <w:tcPr>
            <w:tcW w:w="1040" w:type="dxa"/>
            <w:vAlign w:val="bottom"/>
            <w:tcBorders>
              <w:bottom w:val="single" w:sz="8" w:color="1F473D"/>
            </w:tcBorders>
            <w:shd w:val="clear" w:color="auto" w:fill="1F473D"/>
          </w:tcPr>
          <w:p>
            <w:pPr>
              <w:spacing w:after="0"/>
              <w:rPr>
                <w:sz w:val="16"/>
                <w:szCs w:val="16"/>
                <w:color w:val="auto"/>
              </w:rPr>
            </w:pPr>
          </w:p>
        </w:tc>
        <w:tc>
          <w:tcPr>
            <w:tcW w:w="840" w:type="dxa"/>
            <w:vAlign w:val="bottom"/>
            <w:tcBorders>
              <w:bottom w:val="single" w:sz="8" w:color="1F473D"/>
            </w:tcBorders>
            <w:shd w:val="clear" w:color="auto" w:fill="1F473D"/>
          </w:tcPr>
          <w:p>
            <w:pPr>
              <w:spacing w:after="0"/>
              <w:rPr>
                <w:sz w:val="16"/>
                <w:szCs w:val="16"/>
                <w:color w:val="auto"/>
              </w:rPr>
            </w:pPr>
          </w:p>
        </w:tc>
        <w:tc>
          <w:tcPr>
            <w:tcW w:w="280" w:type="dxa"/>
            <w:vAlign w:val="bottom"/>
            <w:tcBorders>
              <w:bottom w:val="single" w:sz="8" w:color="D64000"/>
            </w:tcBorders>
            <w:shd w:val="clear" w:color="auto" w:fill="1F473D"/>
          </w:tcPr>
          <w:p>
            <w:pPr>
              <w:spacing w:after="0"/>
              <w:rPr>
                <w:sz w:val="16"/>
                <w:szCs w:val="16"/>
                <w:color w:val="auto"/>
              </w:rPr>
            </w:pPr>
          </w:p>
        </w:tc>
        <w:tc>
          <w:tcPr>
            <w:tcW w:w="2140" w:type="dxa"/>
            <w:vAlign w:val="bottom"/>
            <w:tcBorders>
              <w:bottom w:val="single" w:sz="8" w:color="D64000"/>
            </w:tcBorders>
            <w:gridSpan w:val="3"/>
            <w:shd w:val="clear" w:color="auto" w:fill="1F473D"/>
          </w:tcPr>
          <w:p>
            <w:pPr>
              <w:ind w:left="940"/>
              <w:spacing w:after="0"/>
              <w:rPr>
                <w:sz w:val="20"/>
                <w:szCs w:val="20"/>
                <w:color w:val="auto"/>
              </w:rPr>
            </w:pPr>
            <w:r>
              <w:rPr>
                <w:rFonts w:ascii="Arial" w:cs="Arial" w:eastAsia="Arial" w:hAnsi="Arial"/>
                <w:sz w:val="16"/>
                <w:szCs w:val="16"/>
                <w:color w:val="FFFFFF"/>
              </w:rPr>
              <w:t>Change</w:t>
            </w:r>
          </w:p>
        </w:tc>
        <w:tc>
          <w:tcPr>
            <w:tcW w:w="20" w:type="dxa"/>
            <w:vAlign w:val="bottom"/>
          </w:tcPr>
          <w:p>
            <w:pPr>
              <w:spacing w:after="0"/>
              <w:rPr>
                <w:sz w:val="16"/>
                <w:szCs w:val="16"/>
                <w:color w:val="auto"/>
              </w:rPr>
            </w:pPr>
          </w:p>
        </w:tc>
      </w:tr>
      <w:tr>
        <w:trPr>
          <w:trHeight w:val="171"/>
        </w:trPr>
        <w:tc>
          <w:tcPr>
            <w:tcW w:w="5200" w:type="dxa"/>
            <w:vAlign w:val="bottom"/>
            <w:shd w:val="clear" w:color="auto" w:fill="1F473D"/>
          </w:tcPr>
          <w:p>
            <w:pPr>
              <w:spacing w:after="0"/>
              <w:rPr>
                <w:sz w:val="14"/>
                <w:szCs w:val="14"/>
                <w:color w:val="auto"/>
              </w:rPr>
            </w:pPr>
          </w:p>
        </w:tc>
        <w:tc>
          <w:tcPr>
            <w:tcW w:w="1300" w:type="dxa"/>
            <w:vAlign w:val="bottom"/>
            <w:shd w:val="clear" w:color="auto" w:fill="1F473D"/>
          </w:tcPr>
          <w:p>
            <w:pPr>
              <w:spacing w:after="0"/>
              <w:rPr>
                <w:sz w:val="14"/>
                <w:szCs w:val="14"/>
                <w:color w:val="auto"/>
              </w:rPr>
            </w:pPr>
          </w:p>
        </w:tc>
        <w:tc>
          <w:tcPr>
            <w:tcW w:w="1040" w:type="dxa"/>
            <w:vAlign w:val="bottom"/>
            <w:shd w:val="clear" w:color="auto" w:fill="1F473D"/>
          </w:tcPr>
          <w:p>
            <w:pPr>
              <w:spacing w:after="0"/>
              <w:rPr>
                <w:sz w:val="14"/>
                <w:szCs w:val="14"/>
                <w:color w:val="auto"/>
              </w:rPr>
            </w:pPr>
          </w:p>
        </w:tc>
        <w:tc>
          <w:tcPr>
            <w:tcW w:w="840" w:type="dxa"/>
            <w:vAlign w:val="bottom"/>
            <w:shd w:val="clear" w:color="auto" w:fill="1F473D"/>
          </w:tcPr>
          <w:p>
            <w:pPr>
              <w:spacing w:after="0"/>
              <w:rPr>
                <w:sz w:val="14"/>
                <w:szCs w:val="14"/>
                <w:color w:val="auto"/>
              </w:rPr>
            </w:pPr>
          </w:p>
        </w:tc>
        <w:tc>
          <w:tcPr>
            <w:tcW w:w="280" w:type="dxa"/>
            <w:vAlign w:val="bottom"/>
            <w:shd w:val="clear" w:color="auto" w:fill="1F473D"/>
          </w:tcPr>
          <w:p>
            <w:pPr>
              <w:spacing w:after="0"/>
              <w:rPr>
                <w:sz w:val="14"/>
                <w:szCs w:val="14"/>
                <w:color w:val="auto"/>
              </w:rPr>
            </w:pPr>
          </w:p>
        </w:tc>
        <w:tc>
          <w:tcPr>
            <w:tcW w:w="1260" w:type="dxa"/>
            <w:vAlign w:val="bottom"/>
            <w:gridSpan w:val="2"/>
            <w:shd w:val="clear" w:color="auto" w:fill="1F473D"/>
          </w:tcPr>
          <w:p>
            <w:pPr>
              <w:ind w:left="340"/>
              <w:spacing w:after="0" w:line="171" w:lineRule="exact"/>
              <w:rPr>
                <w:sz w:val="20"/>
                <w:szCs w:val="20"/>
                <w:color w:val="auto"/>
              </w:rPr>
            </w:pPr>
            <w:r>
              <w:rPr>
                <w:rFonts w:ascii="Arial" w:cs="Arial" w:eastAsia="Arial" w:hAnsi="Arial"/>
                <w:sz w:val="16"/>
                <w:szCs w:val="16"/>
                <w:color w:val="FFFFFF"/>
              </w:rPr>
              <w:t>Constant</w:t>
            </w:r>
          </w:p>
        </w:tc>
        <w:tc>
          <w:tcPr>
            <w:tcW w:w="880" w:type="dxa"/>
            <w:vAlign w:val="bottom"/>
            <w:shd w:val="clear" w:color="auto" w:fill="1F473D"/>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520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color w:val="FFFFFF"/>
              </w:rPr>
              <w:t> (millions of U.S. dollars, except margins)</w:t>
            </w:r>
          </w:p>
        </w:tc>
        <w:tc>
          <w:tcPr>
            <w:tcW w:w="1300" w:type="dxa"/>
            <w:vAlign w:val="bottom"/>
            <w:tcBorders>
              <w:bottom w:val="single" w:sz="8" w:color="D64000"/>
            </w:tcBorders>
            <w:shd w:val="clear" w:color="auto" w:fill="1F473D"/>
          </w:tcPr>
          <w:p>
            <w:pPr>
              <w:jc w:val="right"/>
              <w:ind w:right="261"/>
              <w:spacing w:after="0"/>
              <w:rPr>
                <w:sz w:val="20"/>
                <w:szCs w:val="20"/>
                <w:color w:val="auto"/>
              </w:rPr>
            </w:pPr>
            <w:r>
              <w:rPr>
                <w:rFonts w:ascii="Arial" w:cs="Arial" w:eastAsia="Arial" w:hAnsi="Arial"/>
                <w:sz w:val="16"/>
                <w:szCs w:val="16"/>
                <w:b w:val="1"/>
                <w:bCs w:val="1"/>
                <w:color w:val="FFFFFF"/>
              </w:rPr>
              <w:t>2024</w:t>
            </w:r>
          </w:p>
        </w:tc>
        <w:tc>
          <w:tcPr>
            <w:tcW w:w="1040" w:type="dxa"/>
            <w:vAlign w:val="bottom"/>
            <w:tcBorders>
              <w:bottom w:val="single" w:sz="8" w:color="D64000"/>
            </w:tcBorders>
            <w:shd w:val="clear" w:color="auto" w:fill="1F473D"/>
          </w:tcPr>
          <w:p>
            <w:pPr>
              <w:jc w:val="right"/>
              <w:ind w:right="261"/>
              <w:spacing w:after="0"/>
              <w:rPr>
                <w:sz w:val="20"/>
                <w:szCs w:val="20"/>
                <w:color w:val="auto"/>
              </w:rPr>
            </w:pPr>
            <w:r>
              <w:rPr>
                <w:rFonts w:ascii="Arial" w:cs="Arial" w:eastAsia="Arial" w:hAnsi="Arial"/>
                <w:sz w:val="16"/>
                <w:szCs w:val="16"/>
                <w:color w:val="FFFFFF"/>
              </w:rPr>
              <w:t>2023</w:t>
            </w:r>
          </w:p>
        </w:tc>
        <w:tc>
          <w:tcPr>
            <w:tcW w:w="1120" w:type="dxa"/>
            <w:vAlign w:val="bottom"/>
            <w:tcBorders>
              <w:bottom w:val="single" w:sz="8" w:color="D64000"/>
            </w:tcBorders>
            <w:gridSpan w:val="2"/>
            <w:shd w:val="clear" w:color="auto" w:fill="1F473D"/>
          </w:tcPr>
          <w:p>
            <w:pPr>
              <w:jc w:val="center"/>
              <w:ind w:right="20"/>
              <w:spacing w:after="0"/>
              <w:rPr>
                <w:sz w:val="20"/>
                <w:szCs w:val="20"/>
                <w:color w:val="auto"/>
              </w:rPr>
            </w:pPr>
            <w:r>
              <w:rPr>
                <w:rFonts w:ascii="Arial" w:cs="Arial" w:eastAsia="Arial" w:hAnsi="Arial"/>
                <w:sz w:val="16"/>
                <w:szCs w:val="16"/>
                <w:color w:val="FFFFFF"/>
                <w:w w:val="95"/>
              </w:rPr>
              <w:t>Total</w:t>
            </w:r>
          </w:p>
        </w:tc>
        <w:tc>
          <w:tcPr>
            <w:tcW w:w="1260" w:type="dxa"/>
            <w:vAlign w:val="bottom"/>
            <w:tcBorders>
              <w:bottom w:val="single" w:sz="8" w:color="D64000"/>
            </w:tcBorders>
            <w:gridSpan w:val="2"/>
            <w:shd w:val="clear" w:color="auto" w:fill="1F473D"/>
          </w:tcPr>
          <w:p>
            <w:pPr>
              <w:jc w:val="right"/>
              <w:ind w:right="220"/>
              <w:spacing w:after="0" w:line="200" w:lineRule="exact"/>
              <w:rPr>
                <w:sz w:val="20"/>
                <w:szCs w:val="20"/>
                <w:color w:val="auto"/>
              </w:rPr>
            </w:pPr>
            <w:r>
              <w:rPr>
                <w:rFonts w:ascii="Arial" w:cs="Arial" w:eastAsia="Arial" w:hAnsi="Arial"/>
                <w:sz w:val="16"/>
                <w:szCs w:val="16"/>
                <w:color w:val="FFFFFF"/>
              </w:rPr>
              <w:t>Currency</w:t>
            </w:r>
            <w:r>
              <w:rPr>
                <w:rFonts w:ascii="Arial" w:cs="Arial" w:eastAsia="Arial" w:hAnsi="Arial"/>
                <w:sz w:val="19"/>
                <w:szCs w:val="19"/>
                <w:color w:val="FFFFFF"/>
                <w:vertAlign w:val="superscript"/>
              </w:rPr>
              <w:t>(1)</w:t>
            </w:r>
          </w:p>
        </w:tc>
        <w:tc>
          <w:tcPr>
            <w:tcW w:w="880" w:type="dxa"/>
            <w:vAlign w:val="bottom"/>
            <w:tcBorders>
              <w:bottom w:val="single" w:sz="8" w:color="D64000"/>
            </w:tcBorders>
            <w:shd w:val="clear" w:color="auto" w:fill="1F473D"/>
          </w:tcPr>
          <w:p>
            <w:pPr>
              <w:ind w:left="200"/>
              <w:spacing w:after="0" w:line="200" w:lineRule="exact"/>
              <w:rPr>
                <w:sz w:val="20"/>
                <w:szCs w:val="20"/>
                <w:color w:val="auto"/>
              </w:rPr>
            </w:pPr>
            <w:r>
              <w:rPr>
                <w:rFonts w:ascii="Arial" w:cs="Arial" w:eastAsia="Arial" w:hAnsi="Arial"/>
                <w:sz w:val="16"/>
                <w:szCs w:val="16"/>
                <w:color w:val="FFFFFF"/>
                <w:w w:val="92"/>
              </w:rPr>
              <w:t>Organic</w:t>
            </w:r>
            <w:r>
              <w:rPr>
                <w:rFonts w:ascii="Arial" w:cs="Arial" w:eastAsia="Arial" w:hAnsi="Arial"/>
                <w:sz w:val="19"/>
                <w:szCs w:val="19"/>
                <w:color w:val="FFFFFF"/>
                <w:w w:val="92"/>
                <w:vertAlign w:val="superscript"/>
              </w:rPr>
              <w:t>(1)</w:t>
            </w:r>
          </w:p>
        </w:tc>
        <w:tc>
          <w:tcPr>
            <w:tcW w:w="20" w:type="dxa"/>
            <w:vAlign w:val="bottom"/>
          </w:tcPr>
          <w:p>
            <w:pPr>
              <w:spacing w:after="0"/>
              <w:rPr>
                <w:sz w:val="17"/>
                <w:szCs w:val="17"/>
                <w:color w:val="auto"/>
              </w:rPr>
            </w:pPr>
          </w:p>
        </w:tc>
      </w:tr>
      <w:tr>
        <w:trPr>
          <w:trHeight w:val="244"/>
        </w:trPr>
        <w:tc>
          <w:tcPr>
            <w:tcW w:w="5200" w:type="dxa"/>
            <w:vAlign w:val="bottom"/>
          </w:tcPr>
          <w:p>
            <w:pPr>
              <w:spacing w:after="0"/>
              <w:rPr>
                <w:sz w:val="20"/>
                <w:szCs w:val="20"/>
                <w:color w:val="auto"/>
              </w:rPr>
            </w:pPr>
            <w:r>
              <w:rPr>
                <w:rFonts w:ascii="Arial" w:cs="Arial" w:eastAsia="Arial" w:hAnsi="Arial"/>
                <w:sz w:val="16"/>
                <w:szCs w:val="16"/>
                <w:b w:val="1"/>
                <w:bCs w:val="1"/>
                <w:color w:val="auto"/>
              </w:rPr>
              <w:t> Revenues</w:t>
            </w:r>
          </w:p>
        </w:tc>
        <w:tc>
          <w:tcPr>
            <w:tcW w:w="1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8"/>
        </w:trPr>
        <w:tc>
          <w:tcPr>
            <w:tcW w:w="5200" w:type="dxa"/>
            <w:vAlign w:val="bottom"/>
          </w:tcPr>
          <w:p>
            <w:pPr>
              <w:spacing w:after="0"/>
              <w:rPr>
                <w:sz w:val="20"/>
                <w:szCs w:val="20"/>
                <w:color w:val="auto"/>
              </w:rPr>
            </w:pPr>
            <w:r>
              <w:rPr>
                <w:rFonts w:ascii="Arial" w:cs="Arial" w:eastAsia="Arial" w:hAnsi="Arial"/>
                <w:sz w:val="16"/>
                <w:szCs w:val="16"/>
                <w:color w:val="auto"/>
              </w:rPr>
              <w:t> Legal Professionals</w:t>
            </w:r>
          </w:p>
        </w:tc>
        <w:tc>
          <w:tcPr>
            <w:tcW w:w="1300" w:type="dxa"/>
            <w:vAlign w:val="bottom"/>
          </w:tcPr>
          <w:p>
            <w:pPr>
              <w:jc w:val="right"/>
              <w:ind w:right="201"/>
              <w:spacing w:after="0"/>
              <w:rPr>
                <w:sz w:val="20"/>
                <w:szCs w:val="20"/>
                <w:color w:val="auto"/>
              </w:rPr>
            </w:pPr>
            <w:r>
              <w:rPr>
                <w:rFonts w:ascii="Arial" w:cs="Arial" w:eastAsia="Arial" w:hAnsi="Arial"/>
                <w:sz w:val="16"/>
                <w:szCs w:val="16"/>
                <w:b w:val="1"/>
                <w:bCs w:val="1"/>
                <w:color w:val="auto"/>
              </w:rPr>
              <w:t>729</w:t>
            </w:r>
          </w:p>
        </w:tc>
        <w:tc>
          <w:tcPr>
            <w:tcW w:w="1040" w:type="dxa"/>
            <w:vAlign w:val="bottom"/>
          </w:tcPr>
          <w:p>
            <w:pPr>
              <w:jc w:val="right"/>
              <w:ind w:right="221"/>
              <w:spacing w:after="0"/>
              <w:rPr>
                <w:sz w:val="20"/>
                <w:szCs w:val="20"/>
                <w:color w:val="auto"/>
              </w:rPr>
            </w:pPr>
            <w:r>
              <w:rPr>
                <w:rFonts w:ascii="Arial" w:cs="Arial" w:eastAsia="Arial" w:hAnsi="Arial"/>
                <w:sz w:val="16"/>
                <w:szCs w:val="16"/>
                <w:color w:val="auto"/>
              </w:rPr>
              <w:t>700</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4%</w:t>
            </w: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238"/>
        </w:trPr>
        <w:tc>
          <w:tcPr>
            <w:tcW w:w="5200" w:type="dxa"/>
            <w:vAlign w:val="bottom"/>
          </w:tcPr>
          <w:p>
            <w:pPr>
              <w:spacing w:after="0"/>
              <w:rPr>
                <w:sz w:val="20"/>
                <w:szCs w:val="20"/>
                <w:color w:val="auto"/>
              </w:rPr>
            </w:pPr>
            <w:r>
              <w:rPr>
                <w:rFonts w:ascii="Arial" w:cs="Arial" w:eastAsia="Arial" w:hAnsi="Arial"/>
                <w:sz w:val="16"/>
                <w:szCs w:val="16"/>
                <w:color w:val="auto"/>
              </w:rPr>
              <w:t> Corporates</w:t>
            </w:r>
          </w:p>
        </w:tc>
        <w:tc>
          <w:tcPr>
            <w:tcW w:w="1300" w:type="dxa"/>
            <w:vAlign w:val="bottom"/>
          </w:tcPr>
          <w:p>
            <w:pPr>
              <w:jc w:val="right"/>
              <w:ind w:right="201"/>
              <w:spacing w:after="0"/>
              <w:rPr>
                <w:sz w:val="20"/>
                <w:szCs w:val="20"/>
                <w:color w:val="auto"/>
              </w:rPr>
            </w:pPr>
            <w:r>
              <w:rPr>
                <w:rFonts w:ascii="Arial" w:cs="Arial" w:eastAsia="Arial" w:hAnsi="Arial"/>
                <w:sz w:val="16"/>
                <w:szCs w:val="16"/>
                <w:b w:val="1"/>
                <w:bCs w:val="1"/>
                <w:color w:val="auto"/>
              </w:rPr>
              <w:t>458</w:t>
            </w:r>
          </w:p>
        </w:tc>
        <w:tc>
          <w:tcPr>
            <w:tcW w:w="1040" w:type="dxa"/>
            <w:vAlign w:val="bottom"/>
          </w:tcPr>
          <w:p>
            <w:pPr>
              <w:jc w:val="right"/>
              <w:ind w:right="221"/>
              <w:spacing w:after="0"/>
              <w:rPr>
                <w:sz w:val="20"/>
                <w:szCs w:val="20"/>
                <w:color w:val="auto"/>
              </w:rPr>
            </w:pPr>
            <w:r>
              <w:rPr>
                <w:rFonts w:ascii="Arial" w:cs="Arial" w:eastAsia="Arial" w:hAnsi="Arial"/>
                <w:sz w:val="16"/>
                <w:szCs w:val="16"/>
                <w:color w:val="auto"/>
              </w:rPr>
              <w:t>402</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14%</w:t>
            </w: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220"/>
        </w:trPr>
        <w:tc>
          <w:tcPr>
            <w:tcW w:w="52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Tax &amp; Accounting Professionals</w:t>
            </w:r>
          </w:p>
        </w:tc>
        <w:tc>
          <w:tcPr>
            <w:tcW w:w="1300" w:type="dxa"/>
            <w:vAlign w:val="bottom"/>
            <w:tcBorders>
              <w:bottom w:val="single" w:sz="8" w:color="B2B2B2"/>
            </w:tcBorders>
          </w:tcPr>
          <w:p>
            <w:pPr>
              <w:jc w:val="right"/>
              <w:ind w:right="201"/>
              <w:spacing w:after="0"/>
              <w:rPr>
                <w:sz w:val="20"/>
                <w:szCs w:val="20"/>
                <w:color w:val="auto"/>
              </w:rPr>
            </w:pPr>
            <w:r>
              <w:rPr>
                <w:rFonts w:ascii="Arial" w:cs="Arial" w:eastAsia="Arial" w:hAnsi="Arial"/>
                <w:sz w:val="16"/>
                <w:szCs w:val="16"/>
                <w:b w:val="1"/>
                <w:bCs w:val="1"/>
                <w:color w:val="auto"/>
              </w:rPr>
              <w:t>366</w:t>
            </w:r>
          </w:p>
        </w:tc>
        <w:tc>
          <w:tcPr>
            <w:tcW w:w="1040" w:type="dxa"/>
            <w:vAlign w:val="bottom"/>
            <w:tcBorders>
              <w:bottom w:val="single" w:sz="8" w:color="B2B2B2"/>
            </w:tcBorders>
          </w:tcPr>
          <w:p>
            <w:pPr>
              <w:jc w:val="right"/>
              <w:ind w:right="221"/>
              <w:spacing w:after="0"/>
              <w:rPr>
                <w:sz w:val="20"/>
                <w:szCs w:val="20"/>
                <w:color w:val="auto"/>
              </w:rPr>
            </w:pPr>
            <w:r>
              <w:rPr>
                <w:rFonts w:ascii="Arial" w:cs="Arial" w:eastAsia="Arial" w:hAnsi="Arial"/>
                <w:sz w:val="16"/>
                <w:szCs w:val="16"/>
                <w:color w:val="auto"/>
              </w:rPr>
              <w:t>344</w:t>
            </w:r>
          </w:p>
        </w:tc>
        <w:tc>
          <w:tcPr>
            <w:tcW w:w="1120" w:type="dxa"/>
            <w:vAlign w:val="bottom"/>
            <w:tcBorders>
              <w:bottom w:val="single" w:sz="8" w:color="B2B2B2"/>
            </w:tcBorders>
            <w:gridSpan w:val="2"/>
          </w:tcPr>
          <w:p>
            <w:pPr>
              <w:jc w:val="right"/>
              <w:ind w:right="280"/>
              <w:spacing w:after="0"/>
              <w:rPr>
                <w:sz w:val="20"/>
                <w:szCs w:val="20"/>
                <w:color w:val="auto"/>
              </w:rPr>
            </w:pPr>
            <w:r>
              <w:rPr>
                <w:rFonts w:ascii="Arial" w:cs="Arial" w:eastAsia="Arial" w:hAnsi="Arial"/>
                <w:sz w:val="16"/>
                <w:szCs w:val="16"/>
                <w:color w:val="auto"/>
              </w:rPr>
              <w:t>6%</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w:t>
            </w:r>
          </w:p>
        </w:tc>
        <w:tc>
          <w:tcPr>
            <w:tcW w:w="200" w:type="dxa"/>
            <w:vAlign w:val="bottom"/>
            <w:tcBorders>
              <w:bottom w:val="single" w:sz="8" w:color="B2B2B2"/>
            </w:tcBorders>
          </w:tcPr>
          <w:p>
            <w:pPr>
              <w:spacing w:after="0"/>
              <w:rPr>
                <w:sz w:val="19"/>
                <w:szCs w:val="19"/>
                <w:color w:val="auto"/>
              </w:rPr>
            </w:pPr>
          </w:p>
        </w:tc>
        <w:tc>
          <w:tcPr>
            <w:tcW w:w="900" w:type="dxa"/>
            <w:vAlign w:val="bottom"/>
            <w:tcBorders>
              <w:bottom w:val="single" w:sz="8" w:color="B2B2B2"/>
            </w:tcBorders>
            <w:gridSpan w:val="2"/>
          </w:tcPr>
          <w:p>
            <w:pPr>
              <w:jc w:val="right"/>
              <w:spacing w:after="0"/>
              <w:rPr>
                <w:sz w:val="20"/>
                <w:szCs w:val="20"/>
                <w:color w:val="auto"/>
              </w:rPr>
            </w:pPr>
            <w:r>
              <w:rPr>
                <w:rFonts w:ascii="Arial" w:cs="Arial" w:eastAsia="Arial" w:hAnsi="Arial"/>
                <w:sz w:val="16"/>
                <w:szCs w:val="16"/>
                <w:color w:val="auto"/>
              </w:rPr>
              <w:t>7%</w:t>
            </w:r>
          </w:p>
        </w:tc>
      </w:tr>
      <w:tr>
        <w:trPr>
          <w:trHeight w:val="257"/>
        </w:trPr>
        <w:tc>
          <w:tcPr>
            <w:tcW w:w="5200" w:type="dxa"/>
            <w:vAlign w:val="bottom"/>
          </w:tcPr>
          <w:p>
            <w:pPr>
              <w:spacing w:after="0"/>
              <w:rPr>
                <w:sz w:val="20"/>
                <w:szCs w:val="20"/>
                <w:color w:val="auto"/>
              </w:rPr>
            </w:pPr>
            <w:r>
              <w:rPr>
                <w:rFonts w:ascii="Arial" w:cs="Arial" w:eastAsia="Arial" w:hAnsi="Arial"/>
                <w:sz w:val="16"/>
                <w:szCs w:val="16"/>
                <w:color w:val="auto"/>
              </w:rPr>
              <w:t> “Big 3” Segments Combined</w:t>
            </w:r>
            <w:r>
              <w:rPr>
                <w:rFonts w:ascii="Arial" w:cs="Arial" w:eastAsia="Arial" w:hAnsi="Arial"/>
                <w:sz w:val="19"/>
                <w:szCs w:val="19"/>
                <w:color w:val="auto"/>
                <w:vertAlign w:val="superscript"/>
              </w:rPr>
              <w:t>(1)</w:t>
            </w:r>
          </w:p>
        </w:tc>
        <w:tc>
          <w:tcPr>
            <w:tcW w:w="1300" w:type="dxa"/>
            <w:vAlign w:val="bottom"/>
          </w:tcPr>
          <w:p>
            <w:pPr>
              <w:jc w:val="right"/>
              <w:ind w:right="201"/>
              <w:spacing w:after="0"/>
              <w:rPr>
                <w:sz w:val="20"/>
                <w:szCs w:val="20"/>
                <w:color w:val="auto"/>
              </w:rPr>
            </w:pPr>
            <w:r>
              <w:rPr>
                <w:rFonts w:ascii="Arial" w:cs="Arial" w:eastAsia="Arial" w:hAnsi="Arial"/>
                <w:sz w:val="16"/>
                <w:szCs w:val="16"/>
                <w:b w:val="1"/>
                <w:bCs w:val="1"/>
                <w:color w:val="auto"/>
              </w:rPr>
              <w:t>1,553</w:t>
            </w:r>
          </w:p>
        </w:tc>
        <w:tc>
          <w:tcPr>
            <w:tcW w:w="1040" w:type="dxa"/>
            <w:vAlign w:val="bottom"/>
          </w:tcPr>
          <w:p>
            <w:pPr>
              <w:jc w:val="right"/>
              <w:ind w:right="221"/>
              <w:spacing w:after="0"/>
              <w:rPr>
                <w:sz w:val="20"/>
                <w:szCs w:val="20"/>
                <w:color w:val="auto"/>
              </w:rPr>
            </w:pPr>
            <w:r>
              <w:rPr>
                <w:rFonts w:ascii="Arial" w:cs="Arial" w:eastAsia="Arial" w:hAnsi="Arial"/>
                <w:sz w:val="16"/>
                <w:szCs w:val="16"/>
                <w:color w:val="auto"/>
              </w:rPr>
              <w:t>1,446</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7%</w:t>
            </w: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w:t>
            </w:r>
          </w:p>
        </w:tc>
      </w:tr>
      <w:tr>
        <w:trPr>
          <w:trHeight w:val="218"/>
        </w:trPr>
        <w:tc>
          <w:tcPr>
            <w:tcW w:w="5200" w:type="dxa"/>
            <w:vAlign w:val="bottom"/>
          </w:tcPr>
          <w:p>
            <w:pPr>
              <w:spacing w:after="0"/>
              <w:rPr>
                <w:sz w:val="20"/>
                <w:szCs w:val="20"/>
                <w:color w:val="auto"/>
              </w:rPr>
            </w:pPr>
            <w:r>
              <w:rPr>
                <w:rFonts w:ascii="Arial" w:cs="Arial" w:eastAsia="Arial" w:hAnsi="Arial"/>
                <w:sz w:val="16"/>
                <w:szCs w:val="16"/>
                <w:color w:val="auto"/>
              </w:rPr>
              <w:t> Reuters News</w:t>
            </w:r>
          </w:p>
        </w:tc>
        <w:tc>
          <w:tcPr>
            <w:tcW w:w="1300" w:type="dxa"/>
            <w:vAlign w:val="bottom"/>
          </w:tcPr>
          <w:p>
            <w:pPr>
              <w:jc w:val="right"/>
              <w:ind w:right="201"/>
              <w:spacing w:after="0"/>
              <w:rPr>
                <w:sz w:val="20"/>
                <w:szCs w:val="20"/>
                <w:color w:val="auto"/>
              </w:rPr>
            </w:pPr>
            <w:r>
              <w:rPr>
                <w:rFonts w:ascii="Arial" w:cs="Arial" w:eastAsia="Arial" w:hAnsi="Arial"/>
                <w:sz w:val="16"/>
                <w:szCs w:val="16"/>
                <w:b w:val="1"/>
                <w:bCs w:val="1"/>
                <w:color w:val="auto"/>
              </w:rPr>
              <w:t>218</w:t>
            </w:r>
          </w:p>
        </w:tc>
        <w:tc>
          <w:tcPr>
            <w:tcW w:w="1040" w:type="dxa"/>
            <w:vAlign w:val="bottom"/>
          </w:tcPr>
          <w:p>
            <w:pPr>
              <w:jc w:val="right"/>
              <w:ind w:right="221"/>
              <w:spacing w:after="0"/>
              <w:rPr>
                <w:sz w:val="20"/>
                <w:szCs w:val="20"/>
                <w:color w:val="auto"/>
              </w:rPr>
            </w:pPr>
            <w:r>
              <w:rPr>
                <w:rFonts w:ascii="Arial" w:cs="Arial" w:eastAsia="Arial" w:hAnsi="Arial"/>
                <w:sz w:val="16"/>
                <w:szCs w:val="16"/>
                <w:color w:val="auto"/>
              </w:rPr>
              <w:t>220</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(1%)</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w:t>
            </w:r>
          </w:p>
        </w:tc>
      </w:tr>
      <w:tr>
        <w:trPr>
          <w:trHeight w:val="238"/>
        </w:trPr>
        <w:tc>
          <w:tcPr>
            <w:tcW w:w="5200" w:type="dxa"/>
            <w:vAlign w:val="bottom"/>
          </w:tcPr>
          <w:p>
            <w:pPr>
              <w:spacing w:after="0"/>
              <w:rPr>
                <w:sz w:val="20"/>
                <w:szCs w:val="20"/>
                <w:color w:val="auto"/>
              </w:rPr>
            </w:pPr>
            <w:r>
              <w:rPr>
                <w:rFonts w:ascii="Arial" w:cs="Arial" w:eastAsia="Arial" w:hAnsi="Arial"/>
                <w:sz w:val="16"/>
                <w:szCs w:val="16"/>
                <w:color w:val="auto"/>
              </w:rPr>
              <w:t> Global Print</w:t>
            </w:r>
          </w:p>
        </w:tc>
        <w:tc>
          <w:tcPr>
            <w:tcW w:w="1300" w:type="dxa"/>
            <w:vAlign w:val="bottom"/>
          </w:tcPr>
          <w:p>
            <w:pPr>
              <w:jc w:val="right"/>
              <w:ind w:right="201"/>
              <w:spacing w:after="0"/>
              <w:rPr>
                <w:sz w:val="20"/>
                <w:szCs w:val="20"/>
                <w:color w:val="auto"/>
              </w:rPr>
            </w:pPr>
            <w:r>
              <w:rPr>
                <w:rFonts w:ascii="Arial" w:cs="Arial" w:eastAsia="Arial" w:hAnsi="Arial"/>
                <w:sz w:val="16"/>
                <w:szCs w:val="16"/>
                <w:b w:val="1"/>
                <w:bCs w:val="1"/>
                <w:color w:val="auto"/>
              </w:rPr>
              <w:t>144</w:t>
            </w:r>
          </w:p>
        </w:tc>
        <w:tc>
          <w:tcPr>
            <w:tcW w:w="1040" w:type="dxa"/>
            <w:vAlign w:val="bottom"/>
          </w:tcPr>
          <w:p>
            <w:pPr>
              <w:jc w:val="right"/>
              <w:ind w:right="221"/>
              <w:spacing w:after="0"/>
              <w:rPr>
                <w:sz w:val="20"/>
                <w:szCs w:val="20"/>
                <w:color w:val="auto"/>
              </w:rPr>
            </w:pPr>
            <w:r>
              <w:rPr>
                <w:rFonts w:ascii="Arial" w:cs="Arial" w:eastAsia="Arial" w:hAnsi="Arial"/>
                <w:sz w:val="16"/>
                <w:szCs w:val="16"/>
                <w:color w:val="auto"/>
              </w:rPr>
              <w:t>154</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(6%)</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w:t>
            </w:r>
          </w:p>
        </w:tc>
      </w:tr>
      <w:tr>
        <w:trPr>
          <w:trHeight w:val="220"/>
        </w:trPr>
        <w:tc>
          <w:tcPr>
            <w:tcW w:w="52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Eliminations/ Rounding</w:t>
            </w:r>
          </w:p>
        </w:tc>
        <w:tc>
          <w:tcPr>
            <w:tcW w:w="1300" w:type="dxa"/>
            <w:vAlign w:val="bottom"/>
            <w:tcBorders>
              <w:bottom w:val="single" w:sz="8" w:color="B2B2B2"/>
            </w:tcBorders>
          </w:tcPr>
          <w:p>
            <w:pPr>
              <w:jc w:val="right"/>
              <w:ind w:right="201"/>
              <w:spacing w:after="0"/>
              <w:rPr>
                <w:sz w:val="20"/>
                <w:szCs w:val="20"/>
                <w:color w:val="auto"/>
              </w:rPr>
            </w:pPr>
            <w:r>
              <w:rPr>
                <w:rFonts w:ascii="Arial" w:cs="Arial" w:eastAsia="Arial" w:hAnsi="Arial"/>
                <w:sz w:val="16"/>
                <w:szCs w:val="16"/>
                <w:b w:val="1"/>
                <w:bCs w:val="1"/>
                <w:color w:val="auto"/>
              </w:rPr>
              <w:t>(6)</w:t>
            </w:r>
          </w:p>
        </w:tc>
        <w:tc>
          <w:tcPr>
            <w:tcW w:w="1040" w:type="dxa"/>
            <w:vAlign w:val="bottom"/>
            <w:tcBorders>
              <w:bottom w:val="single" w:sz="8" w:color="B2B2B2"/>
            </w:tcBorders>
          </w:tcPr>
          <w:p>
            <w:pPr>
              <w:jc w:val="right"/>
              <w:ind w:right="221"/>
              <w:spacing w:after="0"/>
              <w:rPr>
                <w:sz w:val="20"/>
                <w:szCs w:val="20"/>
                <w:color w:val="auto"/>
              </w:rPr>
            </w:pPr>
            <w:r>
              <w:rPr>
                <w:rFonts w:ascii="Arial" w:cs="Arial" w:eastAsia="Arial" w:hAnsi="Arial"/>
                <w:sz w:val="16"/>
                <w:szCs w:val="16"/>
                <w:color w:val="auto"/>
              </w:rPr>
              <w:t>(5)</w:t>
            </w:r>
          </w:p>
        </w:tc>
        <w:tc>
          <w:tcPr>
            <w:tcW w:w="840" w:type="dxa"/>
            <w:vAlign w:val="bottom"/>
            <w:tcBorders>
              <w:bottom w:val="single" w:sz="8" w:color="B2B2B2"/>
            </w:tcBorders>
          </w:tcPr>
          <w:p>
            <w:pPr>
              <w:spacing w:after="0"/>
              <w:rPr>
                <w:sz w:val="19"/>
                <w:szCs w:val="19"/>
                <w:color w:val="auto"/>
              </w:rPr>
            </w:pPr>
          </w:p>
        </w:tc>
        <w:tc>
          <w:tcPr>
            <w:tcW w:w="280" w:type="dxa"/>
            <w:vAlign w:val="bottom"/>
            <w:tcBorders>
              <w:bottom w:val="single" w:sz="8" w:color="B2B2B2"/>
            </w:tcBorders>
          </w:tcPr>
          <w:p>
            <w:pPr>
              <w:spacing w:after="0"/>
              <w:rPr>
                <w:sz w:val="19"/>
                <w:szCs w:val="19"/>
                <w:color w:val="auto"/>
              </w:rPr>
            </w:pPr>
          </w:p>
        </w:tc>
        <w:tc>
          <w:tcPr>
            <w:tcW w:w="1060" w:type="dxa"/>
            <w:vAlign w:val="bottom"/>
            <w:tcBorders>
              <w:bottom w:val="single" w:sz="8" w:color="B2B2B2"/>
            </w:tcBorders>
          </w:tcPr>
          <w:p>
            <w:pPr>
              <w:spacing w:after="0"/>
              <w:rPr>
                <w:sz w:val="19"/>
                <w:szCs w:val="19"/>
                <w:color w:val="auto"/>
              </w:rPr>
            </w:pPr>
          </w:p>
        </w:tc>
        <w:tc>
          <w:tcPr>
            <w:tcW w:w="200" w:type="dxa"/>
            <w:vAlign w:val="bottom"/>
            <w:tcBorders>
              <w:bottom w:val="single" w:sz="8" w:color="B2B2B2"/>
            </w:tcBorders>
          </w:tcPr>
          <w:p>
            <w:pPr>
              <w:spacing w:after="0"/>
              <w:rPr>
                <w:sz w:val="19"/>
                <w:szCs w:val="19"/>
                <w:color w:val="auto"/>
              </w:rPr>
            </w:pPr>
          </w:p>
        </w:tc>
        <w:tc>
          <w:tcPr>
            <w:tcW w:w="880" w:type="dxa"/>
            <w:vAlign w:val="bottom"/>
            <w:tcBorders>
              <w:bottom w:val="single" w:sz="8" w:color="B2B2B2"/>
            </w:tcBorders>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5200" w:type="dxa"/>
            <w:vAlign w:val="bottom"/>
          </w:tcPr>
          <w:p>
            <w:pPr>
              <w:spacing w:after="0"/>
              <w:rPr>
                <w:sz w:val="20"/>
                <w:szCs w:val="20"/>
                <w:color w:val="auto"/>
              </w:rPr>
            </w:pPr>
            <w:r>
              <w:rPr>
                <w:rFonts w:ascii="Arial" w:cs="Arial" w:eastAsia="Arial" w:hAnsi="Arial"/>
                <w:sz w:val="16"/>
                <w:szCs w:val="16"/>
                <w:b w:val="1"/>
                <w:bCs w:val="1"/>
                <w:color w:val="auto"/>
              </w:rPr>
              <w:t> Revenues</w:t>
            </w:r>
          </w:p>
        </w:tc>
        <w:tc>
          <w:tcPr>
            <w:tcW w:w="1300" w:type="dxa"/>
            <w:vAlign w:val="bottom"/>
          </w:tcPr>
          <w:p>
            <w:pPr>
              <w:jc w:val="right"/>
              <w:ind w:right="201"/>
              <w:spacing w:after="0"/>
              <w:rPr>
                <w:sz w:val="20"/>
                <w:szCs w:val="20"/>
                <w:color w:val="auto"/>
              </w:rPr>
            </w:pPr>
            <w:r>
              <w:rPr>
                <w:rFonts w:ascii="Arial" w:cs="Arial" w:eastAsia="Arial" w:hAnsi="Arial"/>
                <w:sz w:val="16"/>
                <w:szCs w:val="16"/>
                <w:b w:val="1"/>
                <w:bCs w:val="1"/>
                <w:color w:val="auto"/>
              </w:rPr>
              <w:t>1,909</w:t>
            </w:r>
          </w:p>
        </w:tc>
        <w:tc>
          <w:tcPr>
            <w:tcW w:w="1040" w:type="dxa"/>
            <w:vAlign w:val="bottom"/>
          </w:tcPr>
          <w:p>
            <w:pPr>
              <w:jc w:val="right"/>
              <w:ind w:right="221"/>
              <w:spacing w:after="0"/>
              <w:rPr>
                <w:sz w:val="20"/>
                <w:szCs w:val="20"/>
                <w:color w:val="auto"/>
              </w:rPr>
            </w:pPr>
            <w:r>
              <w:rPr>
                <w:rFonts w:ascii="Arial" w:cs="Arial" w:eastAsia="Arial" w:hAnsi="Arial"/>
                <w:sz w:val="16"/>
                <w:szCs w:val="16"/>
                <w:color w:val="auto"/>
              </w:rPr>
              <w:t>1,815</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5%</w:t>
            </w: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w:t>
            </w:r>
          </w:p>
        </w:tc>
      </w:tr>
      <w:tr>
        <w:trPr>
          <w:trHeight w:val="257"/>
        </w:trPr>
        <w:tc>
          <w:tcPr>
            <w:tcW w:w="5200" w:type="dxa"/>
            <w:vAlign w:val="bottom"/>
            <w:tcBorders>
              <w:top w:val="single" w:sz="8" w:color="B2B2B2"/>
            </w:tcBorders>
          </w:tcPr>
          <w:p>
            <w:pPr>
              <w:spacing w:after="0"/>
              <w:rPr>
                <w:sz w:val="20"/>
                <w:szCs w:val="20"/>
                <w:color w:val="auto"/>
              </w:rPr>
            </w:pPr>
            <w:r>
              <w:rPr>
                <w:rFonts w:ascii="Arial" w:cs="Arial" w:eastAsia="Arial" w:hAnsi="Arial"/>
                <w:sz w:val="16"/>
                <w:szCs w:val="16"/>
                <w:b w:val="1"/>
                <w:bCs w:val="1"/>
                <w:color w:val="auto"/>
              </w:rPr>
              <w:t> Adjusted EBITDA</w:t>
            </w:r>
            <w:r>
              <w:rPr>
                <w:rFonts w:ascii="Arial" w:cs="Arial" w:eastAsia="Arial" w:hAnsi="Arial"/>
                <w:sz w:val="19"/>
                <w:szCs w:val="19"/>
                <w:b w:val="1"/>
                <w:bCs w:val="1"/>
                <w:color w:val="auto"/>
                <w:vertAlign w:val="superscript"/>
              </w:rPr>
              <w:t>(1)</w:t>
            </w:r>
          </w:p>
        </w:tc>
        <w:tc>
          <w:tcPr>
            <w:tcW w:w="1300" w:type="dxa"/>
            <w:vAlign w:val="bottom"/>
            <w:tcBorders>
              <w:top w:val="single" w:sz="8" w:color="B2B2B2"/>
            </w:tcBorders>
          </w:tcPr>
          <w:p>
            <w:pPr>
              <w:spacing w:after="0"/>
              <w:rPr>
                <w:sz w:val="22"/>
                <w:szCs w:val="22"/>
                <w:color w:val="auto"/>
              </w:rPr>
            </w:pPr>
          </w:p>
        </w:tc>
        <w:tc>
          <w:tcPr>
            <w:tcW w:w="1040" w:type="dxa"/>
            <w:vAlign w:val="bottom"/>
            <w:tcBorders>
              <w:top w:val="single" w:sz="8" w:color="B2B2B2"/>
            </w:tcBorders>
          </w:tcPr>
          <w:p>
            <w:pPr>
              <w:spacing w:after="0"/>
              <w:rPr>
                <w:sz w:val="22"/>
                <w:szCs w:val="22"/>
                <w:color w:val="auto"/>
              </w:rPr>
            </w:pPr>
          </w:p>
        </w:tc>
        <w:tc>
          <w:tcPr>
            <w:tcW w:w="840" w:type="dxa"/>
            <w:vAlign w:val="bottom"/>
            <w:tcBorders>
              <w:top w:val="single" w:sz="8" w:color="B2B2B2"/>
            </w:tcBorders>
          </w:tcPr>
          <w:p>
            <w:pPr>
              <w:spacing w:after="0"/>
              <w:rPr>
                <w:sz w:val="22"/>
                <w:szCs w:val="22"/>
                <w:color w:val="auto"/>
              </w:rPr>
            </w:pPr>
          </w:p>
        </w:tc>
        <w:tc>
          <w:tcPr>
            <w:tcW w:w="280" w:type="dxa"/>
            <w:vAlign w:val="bottom"/>
            <w:tcBorders>
              <w:top w:val="single" w:sz="8" w:color="B2B2B2"/>
            </w:tcBorders>
          </w:tcPr>
          <w:p>
            <w:pPr>
              <w:spacing w:after="0"/>
              <w:rPr>
                <w:sz w:val="22"/>
                <w:szCs w:val="22"/>
                <w:color w:val="auto"/>
              </w:rPr>
            </w:pPr>
          </w:p>
        </w:tc>
        <w:tc>
          <w:tcPr>
            <w:tcW w:w="1060" w:type="dxa"/>
            <w:vAlign w:val="bottom"/>
            <w:tcBorders>
              <w:top w:val="single" w:sz="8" w:color="B2B2B2"/>
            </w:tcBorders>
          </w:tcPr>
          <w:p>
            <w:pPr>
              <w:spacing w:after="0"/>
              <w:rPr>
                <w:sz w:val="22"/>
                <w:szCs w:val="22"/>
                <w:color w:val="auto"/>
              </w:rPr>
            </w:pPr>
          </w:p>
        </w:tc>
        <w:tc>
          <w:tcPr>
            <w:tcW w:w="200" w:type="dxa"/>
            <w:vAlign w:val="bottom"/>
            <w:tcBorders>
              <w:top w:val="single" w:sz="8" w:color="B2B2B2"/>
            </w:tcBorders>
          </w:tcPr>
          <w:p>
            <w:pPr>
              <w:spacing w:after="0"/>
              <w:rPr>
                <w:sz w:val="22"/>
                <w:szCs w:val="22"/>
                <w:color w:val="auto"/>
              </w:rPr>
            </w:pPr>
          </w:p>
        </w:tc>
        <w:tc>
          <w:tcPr>
            <w:tcW w:w="880" w:type="dxa"/>
            <w:vAlign w:val="bottom"/>
            <w:tcBorders>
              <w:top w:val="single" w:sz="8" w:color="B2B2B2"/>
            </w:tcBorders>
          </w:tcPr>
          <w:p>
            <w:pPr>
              <w:spacing w:after="0"/>
              <w:rPr>
                <w:sz w:val="22"/>
                <w:szCs w:val="22"/>
                <w:color w:val="auto"/>
              </w:rPr>
            </w:pPr>
          </w:p>
        </w:tc>
        <w:tc>
          <w:tcPr>
            <w:tcW w:w="20" w:type="dxa"/>
            <w:vAlign w:val="bottom"/>
          </w:tcPr>
          <w:p>
            <w:pPr>
              <w:spacing w:after="0"/>
              <w:rPr>
                <w:sz w:val="22"/>
                <w:szCs w:val="22"/>
                <w:color w:val="auto"/>
              </w:rPr>
            </w:pPr>
          </w:p>
        </w:tc>
      </w:tr>
      <w:tr>
        <w:trPr>
          <w:trHeight w:val="218"/>
        </w:trPr>
        <w:tc>
          <w:tcPr>
            <w:tcW w:w="5200" w:type="dxa"/>
            <w:vAlign w:val="bottom"/>
          </w:tcPr>
          <w:p>
            <w:pPr>
              <w:spacing w:after="0"/>
              <w:rPr>
                <w:sz w:val="20"/>
                <w:szCs w:val="20"/>
                <w:color w:val="auto"/>
              </w:rPr>
            </w:pPr>
            <w:r>
              <w:rPr>
                <w:rFonts w:ascii="Arial" w:cs="Arial" w:eastAsia="Arial" w:hAnsi="Arial"/>
                <w:sz w:val="16"/>
                <w:szCs w:val="16"/>
                <w:color w:val="auto"/>
              </w:rPr>
              <w:t> Legal Professionals</w:t>
            </w:r>
          </w:p>
        </w:tc>
        <w:tc>
          <w:tcPr>
            <w:tcW w:w="1300" w:type="dxa"/>
            <w:vAlign w:val="bottom"/>
          </w:tcPr>
          <w:p>
            <w:pPr>
              <w:jc w:val="right"/>
              <w:ind w:right="201"/>
              <w:spacing w:after="0"/>
              <w:rPr>
                <w:sz w:val="20"/>
                <w:szCs w:val="20"/>
                <w:color w:val="auto"/>
              </w:rPr>
            </w:pPr>
            <w:r>
              <w:rPr>
                <w:rFonts w:ascii="Arial" w:cs="Arial" w:eastAsia="Arial" w:hAnsi="Arial"/>
                <w:sz w:val="16"/>
                <w:szCs w:val="16"/>
                <w:b w:val="1"/>
                <w:bCs w:val="1"/>
                <w:color w:val="auto"/>
              </w:rPr>
              <w:t>299</w:t>
            </w:r>
          </w:p>
        </w:tc>
        <w:tc>
          <w:tcPr>
            <w:tcW w:w="1040" w:type="dxa"/>
            <w:vAlign w:val="bottom"/>
          </w:tcPr>
          <w:p>
            <w:pPr>
              <w:jc w:val="right"/>
              <w:ind w:right="221"/>
              <w:spacing w:after="0"/>
              <w:rPr>
                <w:sz w:val="20"/>
                <w:szCs w:val="20"/>
                <w:color w:val="auto"/>
              </w:rPr>
            </w:pPr>
            <w:r>
              <w:rPr>
                <w:rFonts w:ascii="Arial" w:cs="Arial" w:eastAsia="Arial" w:hAnsi="Arial"/>
                <w:sz w:val="16"/>
                <w:szCs w:val="16"/>
                <w:color w:val="auto"/>
              </w:rPr>
              <w:t>298</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9"/>
        </w:trPr>
        <w:tc>
          <w:tcPr>
            <w:tcW w:w="5200" w:type="dxa"/>
            <w:vAlign w:val="bottom"/>
          </w:tcPr>
          <w:p>
            <w:pPr>
              <w:spacing w:after="0"/>
              <w:rPr>
                <w:sz w:val="20"/>
                <w:szCs w:val="20"/>
                <w:color w:val="auto"/>
              </w:rPr>
            </w:pPr>
            <w:r>
              <w:rPr>
                <w:rFonts w:ascii="Arial" w:cs="Arial" w:eastAsia="Arial" w:hAnsi="Arial"/>
                <w:sz w:val="16"/>
                <w:szCs w:val="16"/>
                <w:color w:val="auto"/>
              </w:rPr>
              <w:t> Corporates</w:t>
            </w:r>
          </w:p>
        </w:tc>
        <w:tc>
          <w:tcPr>
            <w:tcW w:w="1300" w:type="dxa"/>
            <w:vAlign w:val="bottom"/>
          </w:tcPr>
          <w:p>
            <w:pPr>
              <w:jc w:val="right"/>
              <w:ind w:right="201"/>
              <w:spacing w:after="0"/>
              <w:rPr>
                <w:sz w:val="20"/>
                <w:szCs w:val="20"/>
                <w:color w:val="auto"/>
              </w:rPr>
            </w:pPr>
            <w:r>
              <w:rPr>
                <w:rFonts w:ascii="Arial" w:cs="Arial" w:eastAsia="Arial" w:hAnsi="Arial"/>
                <w:sz w:val="16"/>
                <w:szCs w:val="16"/>
                <w:b w:val="1"/>
                <w:bCs w:val="1"/>
                <w:color w:val="auto"/>
              </w:rPr>
              <w:t>153</w:t>
            </w:r>
          </w:p>
        </w:tc>
        <w:tc>
          <w:tcPr>
            <w:tcW w:w="1040" w:type="dxa"/>
            <w:vAlign w:val="bottom"/>
          </w:tcPr>
          <w:p>
            <w:pPr>
              <w:jc w:val="right"/>
              <w:ind w:right="221"/>
              <w:spacing w:after="0"/>
              <w:rPr>
                <w:sz w:val="20"/>
                <w:szCs w:val="20"/>
                <w:color w:val="auto"/>
              </w:rPr>
            </w:pPr>
            <w:r>
              <w:rPr>
                <w:rFonts w:ascii="Arial" w:cs="Arial" w:eastAsia="Arial" w:hAnsi="Arial"/>
                <w:sz w:val="16"/>
                <w:szCs w:val="16"/>
                <w:color w:val="auto"/>
              </w:rPr>
              <w:t>138</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11%</w:t>
            </w: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52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Tax &amp; Accounting Professionals</w:t>
            </w:r>
          </w:p>
        </w:tc>
        <w:tc>
          <w:tcPr>
            <w:tcW w:w="1300" w:type="dxa"/>
            <w:vAlign w:val="bottom"/>
            <w:tcBorders>
              <w:bottom w:val="single" w:sz="8" w:color="B2B2B2"/>
            </w:tcBorders>
          </w:tcPr>
          <w:p>
            <w:pPr>
              <w:jc w:val="right"/>
              <w:ind w:right="201"/>
              <w:spacing w:after="0"/>
              <w:rPr>
                <w:sz w:val="20"/>
                <w:szCs w:val="20"/>
                <w:color w:val="auto"/>
              </w:rPr>
            </w:pPr>
            <w:r>
              <w:rPr>
                <w:rFonts w:ascii="Arial" w:cs="Arial" w:eastAsia="Arial" w:hAnsi="Arial"/>
                <w:sz w:val="16"/>
                <w:szCs w:val="16"/>
                <w:b w:val="1"/>
                <w:bCs w:val="1"/>
                <w:color w:val="auto"/>
              </w:rPr>
              <w:t>196</w:t>
            </w:r>
          </w:p>
        </w:tc>
        <w:tc>
          <w:tcPr>
            <w:tcW w:w="1040" w:type="dxa"/>
            <w:vAlign w:val="bottom"/>
            <w:tcBorders>
              <w:bottom w:val="single" w:sz="8" w:color="B2B2B2"/>
            </w:tcBorders>
          </w:tcPr>
          <w:p>
            <w:pPr>
              <w:jc w:val="right"/>
              <w:ind w:right="221"/>
              <w:spacing w:after="0"/>
              <w:rPr>
                <w:sz w:val="20"/>
                <w:szCs w:val="20"/>
                <w:color w:val="auto"/>
              </w:rPr>
            </w:pPr>
            <w:r>
              <w:rPr>
                <w:rFonts w:ascii="Arial" w:cs="Arial" w:eastAsia="Arial" w:hAnsi="Arial"/>
                <w:sz w:val="16"/>
                <w:szCs w:val="16"/>
                <w:color w:val="auto"/>
              </w:rPr>
              <w:t>188</w:t>
            </w:r>
          </w:p>
        </w:tc>
        <w:tc>
          <w:tcPr>
            <w:tcW w:w="1120" w:type="dxa"/>
            <w:vAlign w:val="bottom"/>
            <w:tcBorders>
              <w:bottom w:val="single" w:sz="8" w:color="B2B2B2"/>
            </w:tcBorders>
            <w:gridSpan w:val="2"/>
          </w:tcPr>
          <w:p>
            <w:pPr>
              <w:jc w:val="right"/>
              <w:ind w:right="280"/>
              <w:spacing w:after="0"/>
              <w:rPr>
                <w:sz w:val="20"/>
                <w:szCs w:val="20"/>
                <w:color w:val="auto"/>
              </w:rPr>
            </w:pPr>
            <w:r>
              <w:rPr>
                <w:rFonts w:ascii="Arial" w:cs="Arial" w:eastAsia="Arial" w:hAnsi="Arial"/>
                <w:sz w:val="16"/>
                <w:szCs w:val="16"/>
                <w:color w:val="auto"/>
              </w:rPr>
              <w:t>4%</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6"/>
                <w:szCs w:val="16"/>
                <w:color w:val="auto"/>
              </w:rPr>
              <w:t> “Big 3” Segments Combined</w:t>
            </w:r>
          </w:p>
        </w:tc>
        <w:tc>
          <w:tcPr>
            <w:tcW w:w="1300" w:type="dxa"/>
            <w:vAlign w:val="bottom"/>
          </w:tcPr>
          <w:p>
            <w:pPr>
              <w:jc w:val="right"/>
              <w:ind w:right="201"/>
              <w:spacing w:after="0"/>
              <w:rPr>
                <w:sz w:val="20"/>
                <w:szCs w:val="20"/>
                <w:color w:val="auto"/>
              </w:rPr>
            </w:pPr>
            <w:r>
              <w:rPr>
                <w:rFonts w:ascii="Arial" w:cs="Arial" w:eastAsia="Arial" w:hAnsi="Arial"/>
                <w:sz w:val="16"/>
                <w:szCs w:val="16"/>
                <w:b w:val="1"/>
                <w:bCs w:val="1"/>
                <w:color w:val="auto"/>
              </w:rPr>
              <w:t>648</w:t>
            </w:r>
          </w:p>
        </w:tc>
        <w:tc>
          <w:tcPr>
            <w:tcW w:w="1040" w:type="dxa"/>
            <w:vAlign w:val="bottom"/>
          </w:tcPr>
          <w:p>
            <w:pPr>
              <w:jc w:val="right"/>
              <w:ind w:right="221"/>
              <w:spacing w:after="0"/>
              <w:rPr>
                <w:sz w:val="20"/>
                <w:szCs w:val="20"/>
                <w:color w:val="auto"/>
              </w:rPr>
            </w:pPr>
            <w:r>
              <w:rPr>
                <w:rFonts w:ascii="Arial" w:cs="Arial" w:eastAsia="Arial" w:hAnsi="Arial"/>
                <w:sz w:val="16"/>
                <w:szCs w:val="16"/>
                <w:color w:val="auto"/>
              </w:rPr>
              <w:t>624</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4%</w:t>
            </w: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5200" w:type="dxa"/>
            <w:vAlign w:val="bottom"/>
          </w:tcPr>
          <w:p>
            <w:pPr>
              <w:spacing w:after="0"/>
              <w:rPr>
                <w:sz w:val="20"/>
                <w:szCs w:val="20"/>
                <w:color w:val="auto"/>
              </w:rPr>
            </w:pPr>
            <w:r>
              <w:rPr>
                <w:rFonts w:ascii="Arial" w:cs="Arial" w:eastAsia="Arial" w:hAnsi="Arial"/>
                <w:sz w:val="16"/>
                <w:szCs w:val="16"/>
                <w:color w:val="auto"/>
              </w:rPr>
              <w:t> Reuters News</w:t>
            </w:r>
          </w:p>
        </w:tc>
        <w:tc>
          <w:tcPr>
            <w:tcW w:w="1300" w:type="dxa"/>
            <w:vAlign w:val="bottom"/>
          </w:tcPr>
          <w:p>
            <w:pPr>
              <w:jc w:val="right"/>
              <w:ind w:right="201"/>
              <w:spacing w:after="0"/>
              <w:rPr>
                <w:sz w:val="20"/>
                <w:szCs w:val="20"/>
                <w:color w:val="auto"/>
              </w:rPr>
            </w:pPr>
            <w:r>
              <w:rPr>
                <w:rFonts w:ascii="Arial" w:cs="Arial" w:eastAsia="Arial" w:hAnsi="Arial"/>
                <w:sz w:val="16"/>
                <w:szCs w:val="16"/>
                <w:b w:val="1"/>
                <w:bCs w:val="1"/>
                <w:color w:val="auto"/>
              </w:rPr>
              <w:t>45</w:t>
            </w:r>
          </w:p>
        </w:tc>
        <w:tc>
          <w:tcPr>
            <w:tcW w:w="1040" w:type="dxa"/>
            <w:vAlign w:val="bottom"/>
          </w:tcPr>
          <w:p>
            <w:pPr>
              <w:jc w:val="right"/>
              <w:ind w:right="221"/>
              <w:spacing w:after="0"/>
              <w:rPr>
                <w:sz w:val="20"/>
                <w:szCs w:val="20"/>
                <w:color w:val="auto"/>
              </w:rPr>
            </w:pPr>
            <w:r>
              <w:rPr>
                <w:rFonts w:ascii="Arial" w:cs="Arial" w:eastAsia="Arial" w:hAnsi="Arial"/>
                <w:sz w:val="16"/>
                <w:szCs w:val="16"/>
                <w:color w:val="auto"/>
              </w:rPr>
              <w:t>61</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(26%)</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(26%)</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5200" w:type="dxa"/>
            <w:vAlign w:val="bottom"/>
          </w:tcPr>
          <w:p>
            <w:pPr>
              <w:spacing w:after="0"/>
              <w:rPr>
                <w:sz w:val="20"/>
                <w:szCs w:val="20"/>
                <w:color w:val="auto"/>
              </w:rPr>
            </w:pPr>
            <w:r>
              <w:rPr>
                <w:rFonts w:ascii="Arial" w:cs="Arial" w:eastAsia="Arial" w:hAnsi="Arial"/>
                <w:sz w:val="16"/>
                <w:szCs w:val="16"/>
                <w:color w:val="auto"/>
              </w:rPr>
              <w:t> Global Print</w:t>
            </w:r>
          </w:p>
        </w:tc>
        <w:tc>
          <w:tcPr>
            <w:tcW w:w="1300" w:type="dxa"/>
            <w:vAlign w:val="bottom"/>
          </w:tcPr>
          <w:p>
            <w:pPr>
              <w:jc w:val="right"/>
              <w:ind w:right="201"/>
              <w:spacing w:after="0"/>
              <w:rPr>
                <w:sz w:val="20"/>
                <w:szCs w:val="20"/>
                <w:color w:val="auto"/>
              </w:rPr>
            </w:pPr>
            <w:r>
              <w:rPr>
                <w:rFonts w:ascii="Arial" w:cs="Arial" w:eastAsia="Arial" w:hAnsi="Arial"/>
                <w:sz w:val="16"/>
                <w:szCs w:val="16"/>
                <w:b w:val="1"/>
                <w:bCs w:val="1"/>
                <w:color w:val="auto"/>
              </w:rPr>
              <w:t>55</w:t>
            </w:r>
          </w:p>
        </w:tc>
        <w:tc>
          <w:tcPr>
            <w:tcW w:w="1040" w:type="dxa"/>
            <w:vAlign w:val="bottom"/>
          </w:tcPr>
          <w:p>
            <w:pPr>
              <w:jc w:val="right"/>
              <w:ind w:right="221"/>
              <w:spacing w:after="0"/>
              <w:rPr>
                <w:sz w:val="20"/>
                <w:szCs w:val="20"/>
                <w:color w:val="auto"/>
              </w:rPr>
            </w:pPr>
            <w:r>
              <w:rPr>
                <w:rFonts w:ascii="Arial" w:cs="Arial" w:eastAsia="Arial" w:hAnsi="Arial"/>
                <w:sz w:val="16"/>
                <w:szCs w:val="16"/>
                <w:color w:val="auto"/>
              </w:rPr>
              <w:t>55</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(1%)</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52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Corporate costs</w:t>
            </w:r>
          </w:p>
        </w:tc>
        <w:tc>
          <w:tcPr>
            <w:tcW w:w="1300" w:type="dxa"/>
            <w:vAlign w:val="bottom"/>
            <w:tcBorders>
              <w:bottom w:val="single" w:sz="8" w:color="B2B2B2"/>
            </w:tcBorders>
          </w:tcPr>
          <w:p>
            <w:pPr>
              <w:jc w:val="right"/>
              <w:ind w:right="201"/>
              <w:spacing w:after="0"/>
              <w:rPr>
                <w:sz w:val="20"/>
                <w:szCs w:val="20"/>
                <w:color w:val="auto"/>
              </w:rPr>
            </w:pPr>
            <w:r>
              <w:rPr>
                <w:rFonts w:ascii="Arial" w:cs="Arial" w:eastAsia="Arial" w:hAnsi="Arial"/>
                <w:sz w:val="16"/>
                <w:szCs w:val="16"/>
                <w:b w:val="1"/>
                <w:bCs w:val="1"/>
                <w:color w:val="auto"/>
              </w:rPr>
              <w:t>(30)</w:t>
            </w:r>
          </w:p>
        </w:tc>
        <w:tc>
          <w:tcPr>
            <w:tcW w:w="1040" w:type="dxa"/>
            <w:vAlign w:val="bottom"/>
            <w:tcBorders>
              <w:bottom w:val="single" w:sz="8" w:color="B2B2B2"/>
            </w:tcBorders>
          </w:tcPr>
          <w:p>
            <w:pPr>
              <w:jc w:val="right"/>
              <w:ind w:right="221"/>
              <w:spacing w:after="0"/>
              <w:rPr>
                <w:sz w:val="20"/>
                <w:szCs w:val="20"/>
                <w:color w:val="auto"/>
              </w:rPr>
            </w:pPr>
            <w:r>
              <w:rPr>
                <w:rFonts w:ascii="Arial" w:cs="Arial" w:eastAsia="Arial" w:hAnsi="Arial"/>
                <w:sz w:val="16"/>
                <w:szCs w:val="16"/>
                <w:color w:val="auto"/>
              </w:rPr>
              <w:t>(33)</w:t>
            </w:r>
          </w:p>
        </w:tc>
        <w:tc>
          <w:tcPr>
            <w:tcW w:w="840" w:type="dxa"/>
            <w:vAlign w:val="bottom"/>
            <w:tcBorders>
              <w:bottom w:val="single" w:sz="8" w:color="B2B2B2"/>
            </w:tcBorders>
          </w:tcPr>
          <w:p>
            <w:pPr>
              <w:spacing w:after="0"/>
              <w:rPr>
                <w:sz w:val="19"/>
                <w:szCs w:val="19"/>
                <w:color w:val="auto"/>
              </w:rPr>
            </w:pPr>
          </w:p>
        </w:tc>
        <w:tc>
          <w:tcPr>
            <w:tcW w:w="280" w:type="dxa"/>
            <w:vAlign w:val="bottom"/>
            <w:tcBorders>
              <w:bottom w:val="single" w:sz="8" w:color="B2B2B2"/>
            </w:tcBorders>
          </w:tcPr>
          <w:p>
            <w:pPr>
              <w:spacing w:after="0"/>
              <w:rPr>
                <w:sz w:val="19"/>
                <w:szCs w:val="19"/>
                <w:color w:val="auto"/>
              </w:rPr>
            </w:pPr>
          </w:p>
        </w:tc>
        <w:tc>
          <w:tcPr>
            <w:tcW w:w="1060" w:type="dxa"/>
            <w:vAlign w:val="bottom"/>
            <w:tcBorders>
              <w:bottom w:val="single" w:sz="8" w:color="B2B2B2"/>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5200" w:type="dxa"/>
            <w:vAlign w:val="bottom"/>
            <w:tcBorders>
              <w:bottom w:val="single" w:sz="8" w:color="B2B2B2"/>
            </w:tcBorders>
          </w:tcPr>
          <w:p>
            <w:pPr>
              <w:spacing w:after="0"/>
              <w:rPr>
                <w:sz w:val="20"/>
                <w:szCs w:val="20"/>
                <w:color w:val="auto"/>
              </w:rPr>
            </w:pPr>
            <w:r>
              <w:rPr>
                <w:rFonts w:ascii="Arial" w:cs="Arial" w:eastAsia="Arial" w:hAnsi="Arial"/>
                <w:sz w:val="16"/>
                <w:szCs w:val="16"/>
                <w:b w:val="1"/>
                <w:bCs w:val="1"/>
                <w:color w:val="auto"/>
              </w:rPr>
              <w:t> Adjusted EBITDA</w:t>
            </w:r>
          </w:p>
        </w:tc>
        <w:tc>
          <w:tcPr>
            <w:tcW w:w="1300" w:type="dxa"/>
            <w:vAlign w:val="bottom"/>
            <w:tcBorders>
              <w:bottom w:val="single" w:sz="8" w:color="B2B2B2"/>
            </w:tcBorders>
          </w:tcPr>
          <w:p>
            <w:pPr>
              <w:jc w:val="right"/>
              <w:ind w:right="201"/>
              <w:spacing w:after="0"/>
              <w:rPr>
                <w:sz w:val="20"/>
                <w:szCs w:val="20"/>
                <w:color w:val="auto"/>
              </w:rPr>
            </w:pPr>
            <w:r>
              <w:rPr>
                <w:rFonts w:ascii="Arial" w:cs="Arial" w:eastAsia="Arial" w:hAnsi="Arial"/>
                <w:sz w:val="16"/>
                <w:szCs w:val="16"/>
                <w:b w:val="1"/>
                <w:bCs w:val="1"/>
                <w:color w:val="auto"/>
              </w:rPr>
              <w:t>718</w:t>
            </w:r>
          </w:p>
        </w:tc>
        <w:tc>
          <w:tcPr>
            <w:tcW w:w="1040" w:type="dxa"/>
            <w:vAlign w:val="bottom"/>
            <w:tcBorders>
              <w:bottom w:val="single" w:sz="8" w:color="B2B2B2"/>
            </w:tcBorders>
          </w:tcPr>
          <w:p>
            <w:pPr>
              <w:jc w:val="right"/>
              <w:ind w:right="221"/>
              <w:spacing w:after="0"/>
              <w:rPr>
                <w:sz w:val="20"/>
                <w:szCs w:val="20"/>
                <w:color w:val="auto"/>
              </w:rPr>
            </w:pPr>
            <w:r>
              <w:rPr>
                <w:rFonts w:ascii="Arial" w:cs="Arial" w:eastAsia="Arial" w:hAnsi="Arial"/>
                <w:sz w:val="16"/>
                <w:szCs w:val="16"/>
                <w:color w:val="auto"/>
              </w:rPr>
              <w:t>707</w:t>
            </w:r>
          </w:p>
        </w:tc>
        <w:tc>
          <w:tcPr>
            <w:tcW w:w="1120" w:type="dxa"/>
            <w:vAlign w:val="bottom"/>
            <w:tcBorders>
              <w:bottom w:val="single" w:sz="8" w:color="B2B2B2"/>
            </w:tcBorders>
            <w:gridSpan w:val="2"/>
          </w:tcPr>
          <w:p>
            <w:pPr>
              <w:jc w:val="right"/>
              <w:ind w:right="280"/>
              <w:spacing w:after="0"/>
              <w:rPr>
                <w:sz w:val="20"/>
                <w:szCs w:val="20"/>
                <w:color w:val="auto"/>
              </w:rPr>
            </w:pPr>
            <w:r>
              <w:rPr>
                <w:rFonts w:ascii="Arial" w:cs="Arial" w:eastAsia="Arial" w:hAnsi="Arial"/>
                <w:sz w:val="16"/>
                <w:szCs w:val="16"/>
                <w:color w:val="auto"/>
              </w:rPr>
              <w:t>2%</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7"/>
        </w:trPr>
        <w:tc>
          <w:tcPr>
            <w:tcW w:w="5200" w:type="dxa"/>
            <w:vAlign w:val="bottom"/>
          </w:tcPr>
          <w:p>
            <w:pPr>
              <w:spacing w:after="0"/>
              <w:rPr>
                <w:sz w:val="20"/>
                <w:szCs w:val="20"/>
                <w:color w:val="auto"/>
              </w:rPr>
            </w:pPr>
            <w:r>
              <w:rPr>
                <w:rFonts w:ascii="Arial" w:cs="Arial" w:eastAsia="Arial" w:hAnsi="Arial"/>
                <w:sz w:val="16"/>
                <w:szCs w:val="16"/>
                <w:b w:val="1"/>
                <w:bCs w:val="1"/>
                <w:color w:val="auto"/>
              </w:rPr>
              <w:t> Adjusted EBITDA margin</w:t>
            </w:r>
            <w:r>
              <w:rPr>
                <w:rFonts w:ascii="Arial" w:cs="Arial" w:eastAsia="Arial" w:hAnsi="Arial"/>
                <w:sz w:val="19"/>
                <w:szCs w:val="19"/>
                <w:b w:val="1"/>
                <w:bCs w:val="1"/>
                <w:color w:val="auto"/>
                <w:vertAlign w:val="superscript"/>
              </w:rPr>
              <w:t>(1)</w:t>
            </w:r>
          </w:p>
        </w:tc>
        <w:tc>
          <w:tcPr>
            <w:tcW w:w="1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8"/>
        </w:trPr>
        <w:tc>
          <w:tcPr>
            <w:tcW w:w="5200" w:type="dxa"/>
            <w:vAlign w:val="bottom"/>
          </w:tcPr>
          <w:p>
            <w:pPr>
              <w:spacing w:after="0"/>
              <w:rPr>
                <w:sz w:val="20"/>
                <w:szCs w:val="20"/>
                <w:color w:val="auto"/>
              </w:rPr>
            </w:pPr>
            <w:r>
              <w:rPr>
                <w:rFonts w:ascii="Arial" w:cs="Arial" w:eastAsia="Arial" w:hAnsi="Arial"/>
                <w:sz w:val="16"/>
                <w:szCs w:val="16"/>
                <w:color w:val="auto"/>
              </w:rPr>
              <w:t> Legal Professionals</w:t>
            </w:r>
          </w:p>
        </w:tc>
        <w:tc>
          <w:tcPr>
            <w:tcW w:w="1300" w:type="dxa"/>
            <w:vAlign w:val="bottom"/>
          </w:tcPr>
          <w:p>
            <w:pPr>
              <w:jc w:val="right"/>
              <w:ind w:right="201"/>
              <w:spacing w:after="0"/>
              <w:rPr>
                <w:sz w:val="20"/>
                <w:szCs w:val="20"/>
                <w:color w:val="auto"/>
              </w:rPr>
            </w:pPr>
            <w:r>
              <w:rPr>
                <w:rFonts w:ascii="Arial" w:cs="Arial" w:eastAsia="Arial" w:hAnsi="Arial"/>
                <w:sz w:val="16"/>
                <w:szCs w:val="16"/>
                <w:b w:val="1"/>
                <w:bCs w:val="1"/>
                <w:color w:val="auto"/>
              </w:rPr>
              <w:t>41.0%</w:t>
            </w:r>
          </w:p>
        </w:tc>
        <w:tc>
          <w:tcPr>
            <w:tcW w:w="1040" w:type="dxa"/>
            <w:vAlign w:val="bottom"/>
          </w:tcPr>
          <w:p>
            <w:pPr>
              <w:jc w:val="right"/>
              <w:ind w:right="221"/>
              <w:spacing w:after="0"/>
              <w:rPr>
                <w:sz w:val="20"/>
                <w:szCs w:val="20"/>
                <w:color w:val="auto"/>
              </w:rPr>
            </w:pPr>
            <w:r>
              <w:rPr>
                <w:rFonts w:ascii="Arial" w:cs="Arial" w:eastAsia="Arial" w:hAnsi="Arial"/>
                <w:sz w:val="16"/>
                <w:szCs w:val="16"/>
                <w:color w:val="auto"/>
              </w:rPr>
              <w:t>42.5%</w:t>
            </w: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rPr>
              <w:t>(150)bp</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(200)bp</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5200" w:type="dxa"/>
            <w:vAlign w:val="bottom"/>
          </w:tcPr>
          <w:p>
            <w:pPr>
              <w:spacing w:after="0"/>
              <w:rPr>
                <w:sz w:val="20"/>
                <w:szCs w:val="20"/>
                <w:color w:val="auto"/>
              </w:rPr>
            </w:pPr>
            <w:r>
              <w:rPr>
                <w:rFonts w:ascii="Arial" w:cs="Arial" w:eastAsia="Arial" w:hAnsi="Arial"/>
                <w:sz w:val="16"/>
                <w:szCs w:val="16"/>
                <w:color w:val="auto"/>
              </w:rPr>
              <w:t> Corporates</w:t>
            </w:r>
          </w:p>
        </w:tc>
        <w:tc>
          <w:tcPr>
            <w:tcW w:w="1300" w:type="dxa"/>
            <w:vAlign w:val="bottom"/>
          </w:tcPr>
          <w:p>
            <w:pPr>
              <w:jc w:val="right"/>
              <w:ind w:right="201"/>
              <w:spacing w:after="0"/>
              <w:rPr>
                <w:sz w:val="20"/>
                <w:szCs w:val="20"/>
                <w:color w:val="auto"/>
              </w:rPr>
            </w:pPr>
            <w:r>
              <w:rPr>
                <w:rFonts w:ascii="Arial" w:cs="Arial" w:eastAsia="Arial" w:hAnsi="Arial"/>
                <w:sz w:val="16"/>
                <w:szCs w:val="16"/>
                <w:b w:val="1"/>
                <w:bCs w:val="1"/>
                <w:color w:val="auto"/>
              </w:rPr>
              <w:t>33.5%</w:t>
            </w:r>
          </w:p>
        </w:tc>
        <w:tc>
          <w:tcPr>
            <w:tcW w:w="1040" w:type="dxa"/>
            <w:vAlign w:val="bottom"/>
          </w:tcPr>
          <w:p>
            <w:pPr>
              <w:jc w:val="right"/>
              <w:ind w:right="221"/>
              <w:spacing w:after="0"/>
              <w:rPr>
                <w:sz w:val="20"/>
                <w:szCs w:val="20"/>
                <w:color w:val="auto"/>
              </w:rPr>
            </w:pPr>
            <w:r>
              <w:rPr>
                <w:rFonts w:ascii="Arial" w:cs="Arial" w:eastAsia="Arial" w:hAnsi="Arial"/>
                <w:sz w:val="16"/>
                <w:szCs w:val="16"/>
                <w:color w:val="auto"/>
              </w:rPr>
              <w:t>34.5%</w:t>
            </w: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rPr>
              <w:t>(100)bp</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(190)bp</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5200" w:type="dxa"/>
            <w:vAlign w:val="bottom"/>
          </w:tcPr>
          <w:p>
            <w:pPr>
              <w:spacing w:after="0"/>
              <w:rPr>
                <w:sz w:val="20"/>
                <w:szCs w:val="20"/>
                <w:color w:val="auto"/>
              </w:rPr>
            </w:pPr>
            <w:r>
              <w:rPr>
                <w:rFonts w:ascii="Arial" w:cs="Arial" w:eastAsia="Arial" w:hAnsi="Arial"/>
                <w:sz w:val="16"/>
                <w:szCs w:val="16"/>
                <w:color w:val="auto"/>
              </w:rPr>
              <w:t> Tax &amp; Accounting Professionals</w:t>
            </w:r>
          </w:p>
        </w:tc>
        <w:tc>
          <w:tcPr>
            <w:tcW w:w="1300" w:type="dxa"/>
            <w:vAlign w:val="bottom"/>
          </w:tcPr>
          <w:p>
            <w:pPr>
              <w:jc w:val="right"/>
              <w:ind w:right="201"/>
              <w:spacing w:after="0"/>
              <w:rPr>
                <w:sz w:val="20"/>
                <w:szCs w:val="20"/>
                <w:color w:val="auto"/>
              </w:rPr>
            </w:pPr>
            <w:r>
              <w:rPr>
                <w:rFonts w:ascii="Arial" w:cs="Arial" w:eastAsia="Arial" w:hAnsi="Arial"/>
                <w:sz w:val="16"/>
                <w:szCs w:val="16"/>
                <w:b w:val="1"/>
                <w:bCs w:val="1"/>
                <w:color w:val="auto"/>
              </w:rPr>
              <w:t>53.4%</w:t>
            </w:r>
          </w:p>
        </w:tc>
        <w:tc>
          <w:tcPr>
            <w:tcW w:w="1040" w:type="dxa"/>
            <w:vAlign w:val="bottom"/>
          </w:tcPr>
          <w:p>
            <w:pPr>
              <w:jc w:val="right"/>
              <w:ind w:right="221"/>
              <w:spacing w:after="0"/>
              <w:rPr>
                <w:sz w:val="20"/>
                <w:szCs w:val="20"/>
                <w:color w:val="auto"/>
              </w:rPr>
            </w:pPr>
            <w:r>
              <w:rPr>
                <w:rFonts w:ascii="Arial" w:cs="Arial" w:eastAsia="Arial" w:hAnsi="Arial"/>
                <w:sz w:val="16"/>
                <w:szCs w:val="16"/>
                <w:color w:val="auto"/>
              </w:rPr>
              <w:t>54.6%</w:t>
            </w: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rPr>
              <w:t>(120)bp</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(90)bp</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5200" w:type="dxa"/>
            <w:vAlign w:val="bottom"/>
          </w:tcPr>
          <w:p>
            <w:pPr>
              <w:spacing w:after="0"/>
              <w:rPr>
                <w:sz w:val="20"/>
                <w:szCs w:val="20"/>
                <w:color w:val="auto"/>
              </w:rPr>
            </w:pPr>
            <w:r>
              <w:rPr>
                <w:rFonts w:ascii="Arial" w:cs="Arial" w:eastAsia="Arial" w:hAnsi="Arial"/>
                <w:sz w:val="16"/>
                <w:szCs w:val="16"/>
                <w:color w:val="auto"/>
              </w:rPr>
              <w:t> “Big 3” Segments Combined</w:t>
            </w:r>
          </w:p>
        </w:tc>
        <w:tc>
          <w:tcPr>
            <w:tcW w:w="1300" w:type="dxa"/>
            <w:vAlign w:val="bottom"/>
          </w:tcPr>
          <w:p>
            <w:pPr>
              <w:jc w:val="right"/>
              <w:ind w:right="201"/>
              <w:spacing w:after="0"/>
              <w:rPr>
                <w:sz w:val="20"/>
                <w:szCs w:val="20"/>
                <w:color w:val="auto"/>
              </w:rPr>
            </w:pPr>
            <w:r>
              <w:rPr>
                <w:rFonts w:ascii="Arial" w:cs="Arial" w:eastAsia="Arial" w:hAnsi="Arial"/>
                <w:sz w:val="16"/>
                <w:szCs w:val="16"/>
                <w:b w:val="1"/>
                <w:bCs w:val="1"/>
                <w:color w:val="auto"/>
              </w:rPr>
              <w:t>41.7%</w:t>
            </w:r>
          </w:p>
        </w:tc>
        <w:tc>
          <w:tcPr>
            <w:tcW w:w="1040" w:type="dxa"/>
            <w:vAlign w:val="bottom"/>
          </w:tcPr>
          <w:p>
            <w:pPr>
              <w:jc w:val="right"/>
              <w:ind w:right="221"/>
              <w:spacing w:after="0"/>
              <w:rPr>
                <w:sz w:val="20"/>
                <w:szCs w:val="20"/>
                <w:color w:val="auto"/>
              </w:rPr>
            </w:pPr>
            <w:r>
              <w:rPr>
                <w:rFonts w:ascii="Arial" w:cs="Arial" w:eastAsia="Arial" w:hAnsi="Arial"/>
                <w:sz w:val="16"/>
                <w:szCs w:val="16"/>
                <w:color w:val="auto"/>
              </w:rPr>
              <w:t>43.1%</w:t>
            </w: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rPr>
              <w:t>(140)bp</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(190)bp</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5200" w:type="dxa"/>
            <w:vAlign w:val="bottom"/>
          </w:tcPr>
          <w:p>
            <w:pPr>
              <w:spacing w:after="0"/>
              <w:rPr>
                <w:sz w:val="20"/>
                <w:szCs w:val="20"/>
                <w:color w:val="auto"/>
              </w:rPr>
            </w:pPr>
            <w:r>
              <w:rPr>
                <w:rFonts w:ascii="Arial" w:cs="Arial" w:eastAsia="Arial" w:hAnsi="Arial"/>
                <w:sz w:val="16"/>
                <w:szCs w:val="16"/>
                <w:color w:val="auto"/>
              </w:rPr>
              <w:t> Reuters News</w:t>
            </w:r>
          </w:p>
        </w:tc>
        <w:tc>
          <w:tcPr>
            <w:tcW w:w="1300" w:type="dxa"/>
            <w:vAlign w:val="bottom"/>
          </w:tcPr>
          <w:p>
            <w:pPr>
              <w:jc w:val="right"/>
              <w:ind w:right="201"/>
              <w:spacing w:after="0"/>
              <w:rPr>
                <w:sz w:val="20"/>
                <w:szCs w:val="20"/>
                <w:color w:val="auto"/>
              </w:rPr>
            </w:pPr>
            <w:r>
              <w:rPr>
                <w:rFonts w:ascii="Arial" w:cs="Arial" w:eastAsia="Arial" w:hAnsi="Arial"/>
                <w:sz w:val="16"/>
                <w:szCs w:val="16"/>
                <w:b w:val="1"/>
                <w:bCs w:val="1"/>
                <w:color w:val="auto"/>
              </w:rPr>
              <w:t>20.8%</w:t>
            </w:r>
          </w:p>
        </w:tc>
        <w:tc>
          <w:tcPr>
            <w:tcW w:w="1040" w:type="dxa"/>
            <w:vAlign w:val="bottom"/>
          </w:tcPr>
          <w:p>
            <w:pPr>
              <w:jc w:val="right"/>
              <w:ind w:right="221"/>
              <w:spacing w:after="0"/>
              <w:rPr>
                <w:sz w:val="20"/>
                <w:szCs w:val="20"/>
                <w:color w:val="auto"/>
              </w:rPr>
            </w:pPr>
            <w:r>
              <w:rPr>
                <w:rFonts w:ascii="Arial" w:cs="Arial" w:eastAsia="Arial" w:hAnsi="Arial"/>
                <w:sz w:val="16"/>
                <w:szCs w:val="16"/>
                <w:color w:val="auto"/>
              </w:rPr>
              <w:t>27.9%</w:t>
            </w: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rPr>
              <w:t>(710)bp</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(670)bp</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52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Global Print</w:t>
            </w:r>
          </w:p>
        </w:tc>
        <w:tc>
          <w:tcPr>
            <w:tcW w:w="1300" w:type="dxa"/>
            <w:vAlign w:val="bottom"/>
            <w:tcBorders>
              <w:bottom w:val="single" w:sz="8" w:color="B2B2B2"/>
            </w:tcBorders>
          </w:tcPr>
          <w:p>
            <w:pPr>
              <w:jc w:val="right"/>
              <w:ind w:right="201"/>
              <w:spacing w:after="0"/>
              <w:rPr>
                <w:sz w:val="20"/>
                <w:szCs w:val="20"/>
                <w:color w:val="auto"/>
              </w:rPr>
            </w:pPr>
            <w:r>
              <w:rPr>
                <w:rFonts w:ascii="Arial" w:cs="Arial" w:eastAsia="Arial" w:hAnsi="Arial"/>
                <w:sz w:val="16"/>
                <w:szCs w:val="16"/>
                <w:b w:val="1"/>
                <w:bCs w:val="1"/>
                <w:color w:val="auto"/>
              </w:rPr>
              <w:t>38.2%</w:t>
            </w:r>
          </w:p>
        </w:tc>
        <w:tc>
          <w:tcPr>
            <w:tcW w:w="1040" w:type="dxa"/>
            <w:vAlign w:val="bottom"/>
            <w:tcBorders>
              <w:bottom w:val="single" w:sz="8" w:color="B2B2B2"/>
            </w:tcBorders>
          </w:tcPr>
          <w:p>
            <w:pPr>
              <w:jc w:val="right"/>
              <w:ind w:right="221"/>
              <w:spacing w:after="0"/>
              <w:rPr>
                <w:sz w:val="20"/>
                <w:szCs w:val="20"/>
                <w:color w:val="auto"/>
              </w:rPr>
            </w:pPr>
            <w:r>
              <w:rPr>
                <w:rFonts w:ascii="Arial" w:cs="Arial" w:eastAsia="Arial" w:hAnsi="Arial"/>
                <w:sz w:val="16"/>
                <w:szCs w:val="16"/>
                <w:color w:val="auto"/>
              </w:rPr>
              <w:t>36.4%</w:t>
            </w:r>
          </w:p>
        </w:tc>
        <w:tc>
          <w:tcPr>
            <w:tcW w:w="1120" w:type="dxa"/>
            <w:vAlign w:val="bottom"/>
            <w:tcBorders>
              <w:bottom w:val="single" w:sz="8" w:color="B2B2B2"/>
            </w:tcBorders>
            <w:gridSpan w:val="2"/>
          </w:tcPr>
          <w:p>
            <w:pPr>
              <w:jc w:val="right"/>
              <w:ind w:right="280"/>
              <w:spacing w:after="0"/>
              <w:rPr>
                <w:sz w:val="20"/>
                <w:szCs w:val="20"/>
                <w:color w:val="auto"/>
              </w:rPr>
            </w:pPr>
            <w:r>
              <w:rPr>
                <w:rFonts w:ascii="Arial" w:cs="Arial" w:eastAsia="Arial" w:hAnsi="Arial"/>
                <w:sz w:val="16"/>
                <w:szCs w:val="16"/>
                <w:color w:val="auto"/>
              </w:rPr>
              <w:t>180bp</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190bp</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5200" w:type="dxa"/>
            <w:vAlign w:val="bottom"/>
            <w:tcBorders>
              <w:bottom w:val="single" w:sz="8" w:color="D64000"/>
            </w:tcBorders>
          </w:tcPr>
          <w:p>
            <w:pPr>
              <w:spacing w:after="0"/>
              <w:rPr>
                <w:sz w:val="20"/>
                <w:szCs w:val="20"/>
                <w:color w:val="auto"/>
              </w:rPr>
            </w:pPr>
            <w:r>
              <w:rPr>
                <w:rFonts w:ascii="Arial" w:cs="Arial" w:eastAsia="Arial" w:hAnsi="Arial"/>
                <w:sz w:val="16"/>
                <w:szCs w:val="16"/>
                <w:b w:val="1"/>
                <w:bCs w:val="1"/>
                <w:color w:val="auto"/>
              </w:rPr>
              <w:t> Adjusted EBITDA margin</w:t>
            </w:r>
          </w:p>
        </w:tc>
        <w:tc>
          <w:tcPr>
            <w:tcW w:w="1300" w:type="dxa"/>
            <w:vAlign w:val="bottom"/>
            <w:tcBorders>
              <w:bottom w:val="single" w:sz="8" w:color="D64000"/>
            </w:tcBorders>
          </w:tcPr>
          <w:p>
            <w:pPr>
              <w:jc w:val="right"/>
              <w:ind w:right="201"/>
              <w:spacing w:after="0"/>
              <w:rPr>
                <w:sz w:val="20"/>
                <w:szCs w:val="20"/>
                <w:color w:val="auto"/>
              </w:rPr>
            </w:pPr>
            <w:r>
              <w:rPr>
                <w:rFonts w:ascii="Arial" w:cs="Arial" w:eastAsia="Arial" w:hAnsi="Arial"/>
                <w:sz w:val="16"/>
                <w:szCs w:val="16"/>
                <w:b w:val="1"/>
                <w:bCs w:val="1"/>
                <w:color w:val="auto"/>
              </w:rPr>
              <w:t>37.6%</w:t>
            </w:r>
          </w:p>
        </w:tc>
        <w:tc>
          <w:tcPr>
            <w:tcW w:w="1040" w:type="dxa"/>
            <w:vAlign w:val="bottom"/>
            <w:tcBorders>
              <w:bottom w:val="single" w:sz="8" w:color="D64000"/>
            </w:tcBorders>
          </w:tcPr>
          <w:p>
            <w:pPr>
              <w:jc w:val="right"/>
              <w:ind w:right="221"/>
              <w:spacing w:after="0"/>
              <w:rPr>
                <w:sz w:val="20"/>
                <w:szCs w:val="20"/>
                <w:color w:val="auto"/>
              </w:rPr>
            </w:pPr>
            <w:r>
              <w:rPr>
                <w:rFonts w:ascii="Arial" w:cs="Arial" w:eastAsia="Arial" w:hAnsi="Arial"/>
                <w:sz w:val="16"/>
                <w:szCs w:val="16"/>
                <w:color w:val="auto"/>
              </w:rPr>
              <w:t>38.9%</w:t>
            </w:r>
          </w:p>
        </w:tc>
        <w:tc>
          <w:tcPr>
            <w:tcW w:w="1120" w:type="dxa"/>
            <w:vAlign w:val="bottom"/>
            <w:tcBorders>
              <w:bottom w:val="single" w:sz="8" w:color="D64000"/>
            </w:tcBorders>
            <w:gridSpan w:val="2"/>
          </w:tcPr>
          <w:p>
            <w:pPr>
              <w:jc w:val="center"/>
              <w:spacing w:after="0"/>
              <w:rPr>
                <w:sz w:val="20"/>
                <w:szCs w:val="20"/>
                <w:color w:val="auto"/>
              </w:rPr>
            </w:pPr>
            <w:r>
              <w:rPr>
                <w:rFonts w:ascii="Arial" w:cs="Arial" w:eastAsia="Arial" w:hAnsi="Arial"/>
                <w:sz w:val="16"/>
                <w:szCs w:val="16"/>
                <w:color w:val="auto"/>
              </w:rPr>
              <w:t>(130)bp</w:t>
            </w:r>
          </w:p>
        </w:tc>
        <w:tc>
          <w:tcPr>
            <w:tcW w:w="1060" w:type="dxa"/>
            <w:vAlign w:val="bottom"/>
            <w:tcBorders>
              <w:bottom w:val="single" w:sz="8" w:color="D64000"/>
            </w:tcBorders>
          </w:tcPr>
          <w:p>
            <w:pPr>
              <w:jc w:val="right"/>
              <w:spacing w:after="0"/>
              <w:rPr>
                <w:sz w:val="20"/>
                <w:szCs w:val="20"/>
                <w:color w:val="auto"/>
              </w:rPr>
            </w:pPr>
            <w:r>
              <w:rPr>
                <w:rFonts w:ascii="Arial" w:cs="Arial" w:eastAsia="Arial" w:hAnsi="Arial"/>
                <w:sz w:val="16"/>
                <w:szCs w:val="16"/>
                <w:color w:val="auto"/>
              </w:rPr>
              <w:t>(160)bp</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70" w:lineRule="exact"/>
        <w:rPr>
          <w:sz w:val="20"/>
          <w:szCs w:val="20"/>
          <w:color w:val="auto"/>
        </w:rPr>
      </w:pPr>
    </w:p>
    <w:p>
      <w:pPr>
        <w:ind w:left="440" w:right="100" w:hanging="222"/>
        <w:spacing w:after="0" w:line="274" w:lineRule="auto"/>
        <w:tabs>
          <w:tab w:leader="none" w:pos="4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Refer to Appendices A and B of this management’s discussion and analysis for additional information and reconciliations of our non-IFRS financial measures to the most directly comparable IFRS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83820</wp:posOffset>
            </wp:positionV>
            <wp:extent cx="68656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0"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43</w:t>
      </w:r>
    </w:p>
    <w:p>
      <w:pPr>
        <w:sectPr>
          <w:pgSz w:w="11900" w:h="16838" w:orient="portrait"/>
          <w:cols w:equalWidth="0" w:num="1">
            <w:col w:w="11040"/>
          </w:cols>
          <w:pgMar w:left="320" w:top="477" w:right="5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Review of Fourth Quarter Results (continued)</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Legal Professionals</w:t>
      </w:r>
    </w:p>
    <w:p>
      <w:pPr>
        <w:spacing w:after="0" w:line="70" w:lineRule="exact"/>
        <w:rPr>
          <w:sz w:val="20"/>
          <w:szCs w:val="20"/>
          <w:color w:val="auto"/>
        </w:rPr>
      </w:pPr>
    </w:p>
    <w:p>
      <w:pPr>
        <w:ind w:left="220" w:right="180"/>
        <w:spacing w:after="0" w:line="236" w:lineRule="auto"/>
        <w:rPr>
          <w:sz w:val="20"/>
          <w:szCs w:val="20"/>
          <w:color w:val="auto"/>
        </w:rPr>
      </w:pPr>
      <w:r>
        <w:rPr>
          <w:rFonts w:ascii="Arial" w:cs="Arial" w:eastAsia="Arial" w:hAnsi="Arial"/>
          <w:sz w:val="17"/>
          <w:szCs w:val="17"/>
          <w:color w:val="auto"/>
        </w:rPr>
        <w:t>Revenues increased in total and in constant currency and included a negative impact from the divestiture of FindLaw. On an organic basis, revenues increased 7% due to growth in recurring revenues (97% of the Legal Professionals segment in the fourth quarter of 2024) driven by Westlaw, CoCounsel, Practical Law and the segment’s international businesses. The migration of customers from a Global Print product to Westlaw benefited the segment’s year-over-year revenue growth by $5 million. Transactions revenues decreased 10% in constant currency, 4% organically.</w:t>
      </w:r>
    </w:p>
    <w:p>
      <w:pPr>
        <w:spacing w:after="0" w:line="59" w:lineRule="exact"/>
        <w:rPr>
          <w:sz w:val="20"/>
          <w:szCs w:val="20"/>
          <w:color w:val="auto"/>
        </w:rPr>
      </w:pPr>
    </w:p>
    <w:p>
      <w:pPr>
        <w:ind w:left="220" w:right="140"/>
        <w:spacing w:after="0" w:line="243" w:lineRule="auto"/>
        <w:rPr>
          <w:sz w:val="20"/>
          <w:szCs w:val="20"/>
          <w:color w:val="auto"/>
        </w:rPr>
      </w:pPr>
      <w:r>
        <w:rPr>
          <w:rFonts w:ascii="Arial" w:cs="Arial" w:eastAsia="Arial" w:hAnsi="Arial"/>
          <w:sz w:val="17"/>
          <w:szCs w:val="17"/>
          <w:color w:val="auto"/>
        </w:rPr>
        <w:t>Segment adjusted EBITDA was essentially unchanged and the related margin declined. This performance reflected higher revenues which were largely offset by higher costs that included higher investments. Foreign currency benefited the year-over-year change in segment adjusted EBITDA margin by 50bp.</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Corporates</w:t>
      </w:r>
    </w:p>
    <w:p>
      <w:pPr>
        <w:spacing w:after="0" w:line="83" w:lineRule="exact"/>
        <w:rPr>
          <w:sz w:val="20"/>
          <w:szCs w:val="20"/>
          <w:color w:val="auto"/>
        </w:rPr>
      </w:pPr>
    </w:p>
    <w:p>
      <w:pPr>
        <w:ind w:left="220" w:right="180"/>
        <w:spacing w:after="0" w:line="238" w:lineRule="auto"/>
        <w:rPr>
          <w:sz w:val="20"/>
          <w:szCs w:val="20"/>
          <w:color w:val="auto"/>
        </w:rPr>
      </w:pPr>
      <w:r>
        <w:rPr>
          <w:rFonts w:ascii="Arial" w:cs="Arial" w:eastAsia="Arial" w:hAnsi="Arial"/>
          <w:sz w:val="17"/>
          <w:szCs w:val="17"/>
          <w:color w:val="auto"/>
        </w:rPr>
        <w:t>Revenues increased in total and in constant currency, including the acquisition of Pagero. On an organic basis, revenues increased 10% due to growth in recurring and transactions revenues. Recurring organic revenue growth was driven by Practical Law, Indirect Tax, CLEAR and the segment’s international businesses. Recurring revenues represented 88% of Corporates segment revenues in the quarter. Transactions organic revenue growth was driven by Direct Tax, Trust and Pagero.</w:t>
      </w:r>
    </w:p>
    <w:p>
      <w:pPr>
        <w:spacing w:after="0" w:line="46" w:lineRule="exact"/>
        <w:rPr>
          <w:sz w:val="20"/>
          <w:szCs w:val="20"/>
          <w:color w:val="auto"/>
        </w:rPr>
      </w:pPr>
    </w:p>
    <w:p>
      <w:pPr>
        <w:ind w:left="220" w:right="340"/>
        <w:spacing w:after="0" w:line="291" w:lineRule="auto"/>
        <w:rPr>
          <w:sz w:val="20"/>
          <w:szCs w:val="20"/>
          <w:color w:val="auto"/>
        </w:rPr>
      </w:pPr>
      <w:r>
        <w:rPr>
          <w:rFonts w:ascii="Arial" w:cs="Arial" w:eastAsia="Arial" w:hAnsi="Arial"/>
          <w:sz w:val="16"/>
          <w:szCs w:val="16"/>
          <w:color w:val="auto"/>
        </w:rPr>
        <w:t>Segment adjusted EBITDA increased and the related margin declined. This performance reflected the impact of higher revenues, higher investments and the Pagero acquisition. Foreign currency benefited the year-over-year change in segment adjusted EBITDA margin by 90bp.</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Tax &amp; Accounting Professionals</w:t>
      </w:r>
    </w:p>
    <w:p>
      <w:pPr>
        <w:spacing w:after="0" w:line="83" w:lineRule="exact"/>
        <w:rPr>
          <w:sz w:val="20"/>
          <w:szCs w:val="20"/>
          <w:color w:val="auto"/>
        </w:rPr>
      </w:pPr>
    </w:p>
    <w:p>
      <w:pPr>
        <w:ind w:left="220" w:right="280"/>
        <w:spacing w:after="0" w:line="238" w:lineRule="auto"/>
        <w:rPr>
          <w:sz w:val="20"/>
          <w:szCs w:val="20"/>
          <w:color w:val="auto"/>
        </w:rPr>
      </w:pPr>
      <w:r>
        <w:rPr>
          <w:rFonts w:ascii="Arial" w:cs="Arial" w:eastAsia="Arial" w:hAnsi="Arial"/>
          <w:sz w:val="17"/>
          <w:szCs w:val="17"/>
          <w:color w:val="auto"/>
        </w:rPr>
        <w:t>Revenues increased in total, in constant currency and on an organic basis. On an organic basis, revenues increased 7% due to growth in both recurring and transactions revenues. Recurring organic revenue growth was driven by the segment’s Latin America business and UltraTax products. Recurring revenues represented 87% of Tax &amp; Accounting Professionals segment revenues in the quarter. Transactions organic revenue growth was driven by tax products and professional services.</w:t>
      </w:r>
    </w:p>
    <w:p>
      <w:pPr>
        <w:spacing w:after="0" w:line="46" w:lineRule="exact"/>
        <w:rPr>
          <w:sz w:val="20"/>
          <w:szCs w:val="20"/>
          <w:color w:val="auto"/>
        </w:rPr>
      </w:pPr>
    </w:p>
    <w:p>
      <w:pPr>
        <w:ind w:left="220" w:right="320"/>
        <w:spacing w:after="0" w:line="243" w:lineRule="auto"/>
        <w:rPr>
          <w:sz w:val="20"/>
          <w:szCs w:val="20"/>
          <w:color w:val="auto"/>
        </w:rPr>
      </w:pPr>
      <w:r>
        <w:rPr>
          <w:rFonts w:ascii="Arial" w:cs="Arial" w:eastAsia="Arial" w:hAnsi="Arial"/>
          <w:sz w:val="17"/>
          <w:szCs w:val="17"/>
          <w:color w:val="auto"/>
        </w:rPr>
        <w:t>Segment adjusted EBITDA increased, but the related margin declined. This performance reflected the impact of higher revenues which were partly offset by higher expenses, including investments. Foreign currency negatively impacted the year-over-year change in segment adjusted EBITDA margin by 30bp.</w:t>
      </w:r>
    </w:p>
    <w:p>
      <w:pPr>
        <w:spacing w:after="0" w:line="55" w:lineRule="exact"/>
        <w:rPr>
          <w:sz w:val="20"/>
          <w:szCs w:val="20"/>
          <w:color w:val="auto"/>
        </w:rPr>
      </w:pPr>
    </w:p>
    <w:p>
      <w:pPr>
        <w:jc w:val="both"/>
        <w:ind w:left="220" w:right="300"/>
        <w:spacing w:after="0" w:line="243" w:lineRule="auto"/>
        <w:rPr>
          <w:sz w:val="20"/>
          <w:szCs w:val="20"/>
          <w:color w:val="auto"/>
        </w:rPr>
      </w:pPr>
      <w:r>
        <w:rPr>
          <w:rFonts w:ascii="Arial" w:cs="Arial" w:eastAsia="Arial" w:hAnsi="Arial"/>
          <w:sz w:val="17"/>
          <w:szCs w:val="17"/>
          <w:color w:val="auto"/>
        </w:rPr>
        <w:t>The Tax &amp; Accounting Professionals segment is the company’s most seasonal business with approximately 60% of full-year revenues typically generated in the first and fourth quarters. As a result, the margin performance of this segment has been generally higher in the first and fourth quarters as costs are typically incurred in a more linear fashion throughout the year.</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Reuters News</w:t>
      </w:r>
    </w:p>
    <w:p>
      <w:pPr>
        <w:spacing w:after="0" w:line="83" w:lineRule="exact"/>
        <w:rPr>
          <w:sz w:val="20"/>
          <w:szCs w:val="20"/>
          <w:color w:val="auto"/>
        </w:rPr>
      </w:pPr>
    </w:p>
    <w:p>
      <w:pPr>
        <w:ind w:left="220" w:right="80"/>
        <w:spacing w:after="0" w:line="238" w:lineRule="auto"/>
        <w:rPr>
          <w:sz w:val="20"/>
          <w:szCs w:val="20"/>
          <w:color w:val="auto"/>
        </w:rPr>
      </w:pPr>
      <w:r>
        <w:rPr>
          <w:rFonts w:ascii="Arial" w:cs="Arial" w:eastAsia="Arial" w:hAnsi="Arial"/>
          <w:sz w:val="17"/>
          <w:szCs w:val="17"/>
          <w:color w:val="auto"/>
        </w:rPr>
        <w:t>Revenues decreased in total and in constant currency which included a positive impact from acquisitions. On an organic basis, the decline in revenues primarily reflected generative AI related content licensing revenue recognized in the prior-year period that was largely transactional in nature, partially offset by higher agency revenues and a contractual price increase from the segment’s news agreement with the Data &amp; Analytics business of LSEG.</w:t>
      </w:r>
    </w:p>
    <w:p>
      <w:pPr>
        <w:spacing w:after="0" w:line="46" w:lineRule="exact"/>
        <w:rPr>
          <w:sz w:val="20"/>
          <w:szCs w:val="20"/>
          <w:color w:val="auto"/>
        </w:rPr>
      </w:pPr>
    </w:p>
    <w:p>
      <w:pPr>
        <w:ind w:left="220" w:right="40"/>
        <w:spacing w:after="0" w:line="291" w:lineRule="auto"/>
        <w:rPr>
          <w:sz w:val="20"/>
          <w:szCs w:val="20"/>
          <w:color w:val="auto"/>
        </w:rPr>
      </w:pPr>
      <w:r>
        <w:rPr>
          <w:rFonts w:ascii="Arial" w:cs="Arial" w:eastAsia="Arial" w:hAnsi="Arial"/>
          <w:sz w:val="16"/>
          <w:szCs w:val="16"/>
          <w:color w:val="auto"/>
        </w:rPr>
        <w:t>Segment adjusted EBITDA and the related margin decreased primarily due to lower revenues and higher costs including editorial coverage of key global events in the quarter. Foreign currency negatively impacted the year-over-year change in segment adjusted EBITDA margin by 40bp.</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Global Print</w:t>
      </w:r>
    </w:p>
    <w:p>
      <w:pPr>
        <w:spacing w:after="0" w:line="83" w:lineRule="exact"/>
        <w:rPr>
          <w:sz w:val="20"/>
          <w:szCs w:val="20"/>
          <w:color w:val="auto"/>
        </w:rPr>
      </w:pPr>
    </w:p>
    <w:p>
      <w:pPr>
        <w:jc w:val="both"/>
        <w:ind w:left="220" w:right="220"/>
        <w:spacing w:after="0" w:line="243" w:lineRule="auto"/>
        <w:rPr>
          <w:sz w:val="20"/>
          <w:szCs w:val="20"/>
          <w:color w:val="auto"/>
        </w:rPr>
      </w:pPr>
      <w:r>
        <w:rPr>
          <w:rFonts w:ascii="Arial" w:cs="Arial" w:eastAsia="Arial" w:hAnsi="Arial"/>
          <w:sz w:val="17"/>
          <w:szCs w:val="17"/>
          <w:color w:val="auto"/>
        </w:rPr>
        <w:t>Revenues decreased in total, constant currency, and on an organic basis. The revenue decline was driven by lower shipment volumes and the migration of customers from a Global Print product to Westlaw. Excluding the impact of this migration, Global Print revenues declined 4% on an organic basis.</w:t>
      </w:r>
    </w:p>
    <w:p>
      <w:pPr>
        <w:spacing w:after="0" w:line="55" w:lineRule="exact"/>
        <w:rPr>
          <w:sz w:val="20"/>
          <w:szCs w:val="20"/>
          <w:color w:val="auto"/>
        </w:rPr>
      </w:pPr>
    </w:p>
    <w:p>
      <w:pPr>
        <w:jc w:val="both"/>
        <w:ind w:left="220" w:right="440"/>
        <w:spacing w:after="0" w:line="243" w:lineRule="auto"/>
        <w:rPr>
          <w:sz w:val="20"/>
          <w:szCs w:val="20"/>
          <w:color w:val="auto"/>
        </w:rPr>
      </w:pPr>
      <w:r>
        <w:rPr>
          <w:rFonts w:ascii="Arial" w:cs="Arial" w:eastAsia="Arial" w:hAnsi="Arial"/>
          <w:sz w:val="17"/>
          <w:szCs w:val="17"/>
          <w:color w:val="auto"/>
        </w:rPr>
        <w:t>Segment adjusted EBITDA was unchanged, but the related margin increased. Both measures were impacted by lower revenues which were substantially offset by lower costs. Foreign currency negatively impacted the year-over-year change in segment adjusted EBITDA margin by 10bp.</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Corporate costs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Corporate costs decreased primarily due to lower costs related to certain functional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116840</wp:posOffset>
            </wp:positionV>
            <wp:extent cx="68656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82"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44</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Liquidity and Capital Resources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Capital Strategy</w:t>
      </w:r>
    </w:p>
    <w:p>
      <w:pPr>
        <w:spacing w:after="0" w:line="84" w:lineRule="exact"/>
        <w:rPr>
          <w:sz w:val="20"/>
          <w:szCs w:val="20"/>
          <w:color w:val="auto"/>
        </w:rPr>
      </w:pPr>
    </w:p>
    <w:p>
      <w:pPr>
        <w:ind w:left="220" w:right="20"/>
        <w:spacing w:after="0" w:line="235" w:lineRule="auto"/>
        <w:rPr>
          <w:sz w:val="20"/>
          <w:szCs w:val="20"/>
          <w:color w:val="auto"/>
        </w:rPr>
      </w:pPr>
      <w:r>
        <w:rPr>
          <w:rFonts w:ascii="Arial" w:cs="Arial" w:eastAsia="Arial" w:hAnsi="Arial"/>
          <w:sz w:val="17"/>
          <w:szCs w:val="17"/>
          <w:color w:val="auto"/>
        </w:rPr>
        <w:t>We have historically maintained a disciplined capital strategy that balances growth, long-term financial leverage, credit ratings and returns to shareholders. We are focused on having the investment capacity to drive revenue growth, both organically and through acquisitions, while also maintaining our long-term financial leverage and credit ratings and continuing to provide returns to shareholders. Our principal sources of liquidity are cash and cash equivalents and cash provided by operating activities. From time to time, we also issue commercial paper, issue debt securities and borrow under our credit facility. Our principal uses of cash are for debt repayments, debt servicing costs, dividend payments, capital expenditures, share repurchases and acquisitions.</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 2024, we received gross proceeds of $1.9 billion in connection with the sale of our remaining 16.0 million LSEG shares. We spent over</w:t>
      </w:r>
    </w:p>
    <w:p>
      <w:pPr>
        <w:spacing w:after="0" w:line="6" w:lineRule="exact"/>
        <w:rPr>
          <w:sz w:val="20"/>
          <w:szCs w:val="20"/>
          <w:color w:val="auto"/>
        </w:rPr>
      </w:pPr>
    </w:p>
    <w:p>
      <w:pPr>
        <w:ind w:left="220" w:right="60"/>
        <w:spacing w:after="0" w:line="233" w:lineRule="auto"/>
        <w:rPr>
          <w:sz w:val="20"/>
          <w:szCs w:val="20"/>
          <w:color w:val="auto"/>
        </w:rPr>
      </w:pPr>
      <w:r>
        <w:rPr>
          <w:rFonts w:ascii="Arial" w:cs="Arial" w:eastAsia="Arial" w:hAnsi="Arial"/>
          <w:sz w:val="17"/>
          <w:szCs w:val="17"/>
          <w:color w:val="auto"/>
        </w:rPr>
        <w:t>$1.0 billion on acquisitions in 2024, primarily for Pagero, Materia and World Business Media (The Insurer). Additionally, we repaid the outstanding $242 million balance of our $450 million, 3.85% notes due 2024 upon maturity and repurchased $639 million of our common shares to complete our plan to repurchase up to $1.0 billion of our common shares as announced on November 1, 2023. Refer to the “Share repurchases – Normal Course Issuer Bid (NCIB)” subsection below for additional information.</w:t>
      </w:r>
    </w:p>
    <w:p>
      <w:pPr>
        <w:spacing w:after="0" w:line="60" w:lineRule="exact"/>
        <w:rPr>
          <w:sz w:val="20"/>
          <w:szCs w:val="20"/>
          <w:color w:val="auto"/>
        </w:rPr>
      </w:pPr>
    </w:p>
    <w:p>
      <w:pPr>
        <w:ind w:left="220" w:right="300"/>
        <w:spacing w:after="0" w:line="238" w:lineRule="auto"/>
        <w:rPr>
          <w:sz w:val="20"/>
          <w:szCs w:val="20"/>
          <w:color w:val="auto"/>
        </w:rPr>
      </w:pPr>
      <w:r>
        <w:rPr>
          <w:rFonts w:ascii="Arial" w:cs="Arial" w:eastAsia="Arial" w:hAnsi="Arial"/>
          <w:sz w:val="17"/>
          <w:szCs w:val="17"/>
          <w:color w:val="auto"/>
        </w:rPr>
        <w:t>Our capital strategy approach has provided us with a strong capital structure and liquidity position which enables us to pursue organic and inorganic opportunities in key growth segments and drive shareholder returns. Our disciplined approach and cash generative business model have allowed us to weather economic volatility in recent years caused by macroeconomic and geopolitical factors, while continuing to invest in our business.</w:t>
      </w:r>
    </w:p>
    <w:p>
      <w:pPr>
        <w:spacing w:after="0" w:line="46" w:lineRule="exact"/>
        <w:rPr>
          <w:sz w:val="20"/>
          <w:szCs w:val="20"/>
          <w:color w:val="auto"/>
        </w:rPr>
      </w:pPr>
    </w:p>
    <w:p>
      <w:pPr>
        <w:ind w:left="220" w:right="120"/>
        <w:spacing w:after="0" w:line="235" w:lineRule="auto"/>
        <w:rPr>
          <w:sz w:val="20"/>
          <w:szCs w:val="20"/>
          <w:color w:val="auto"/>
        </w:rPr>
      </w:pPr>
      <w:r>
        <w:rPr>
          <w:rFonts w:ascii="Arial" w:cs="Arial" w:eastAsia="Arial" w:hAnsi="Arial"/>
          <w:sz w:val="17"/>
          <w:szCs w:val="17"/>
          <w:color w:val="auto"/>
        </w:rPr>
        <w:t>We expect that the operating leverage of our business will increase our free cash flow if we increase revenues as contemplated by our outlook. We continue to target: (i) a maximum leverage ratio of 2.5x net debt to adjusted EBITDA (ii) a payout of 50% to 60% of our expected free cash flow as dividends to our shareholders (iii) a return of at least 75% of our annual free cash flow to our shareholders in the form of dividends and share repurchases; and (iv) a return on invested capital (ROIC) that is double or more of our weighted-average cost of capital over time. In 2024, we returned nearly $1.6 billion to shareholders in the form of dividends and share repurchases, representing 87% of our 2024 full year free cash flow. </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of December 31, 2024, we had $2.0 billion of cash and cash equivalents, and a net debt to adjusted EBITDA leverage ratio as of</w:t>
      </w:r>
    </w:p>
    <w:p>
      <w:pPr>
        <w:spacing w:after="0" w:line="6" w:lineRule="exact"/>
        <w:rPr>
          <w:sz w:val="20"/>
          <w:szCs w:val="20"/>
          <w:color w:val="auto"/>
        </w:rPr>
      </w:pPr>
    </w:p>
    <w:p>
      <w:pPr>
        <w:ind w:left="220" w:right="100"/>
        <w:spacing w:after="0" w:line="236" w:lineRule="auto"/>
        <w:rPr>
          <w:sz w:val="20"/>
          <w:szCs w:val="20"/>
          <w:color w:val="auto"/>
        </w:rPr>
      </w:pPr>
      <w:r>
        <w:rPr>
          <w:rFonts w:ascii="Arial" w:cs="Arial" w:eastAsia="Arial" w:hAnsi="Arial"/>
          <w:sz w:val="17"/>
          <w:szCs w:val="17"/>
          <w:color w:val="auto"/>
        </w:rPr>
        <w:t>December 31, 2024 of 0.4:1, below our target of 2.5:1. As calculated under our credit facility covenant, our net debt to adjusted EBITDA leverage ratio as of December 31, 2024 was 0.3:1, which is also below the maximum leverage ratio allowed under the credit facility of 4.5:1. Our next scheduled debt repayment is in May 2025, when our C$1.4 billion (U.S. dollar $1.0 billion) 2.239% notes due 2025 mature.</w:t>
      </w:r>
    </w:p>
    <w:p>
      <w:pPr>
        <w:spacing w:after="0" w:line="43" w:lineRule="exact"/>
        <w:rPr>
          <w:sz w:val="20"/>
          <w:szCs w:val="20"/>
          <w:color w:val="auto"/>
        </w:rPr>
      </w:pPr>
    </w:p>
    <w:p>
      <w:pPr>
        <w:ind w:left="220" w:right="140"/>
        <w:spacing w:after="0" w:line="260" w:lineRule="auto"/>
        <w:rPr>
          <w:sz w:val="20"/>
          <w:szCs w:val="20"/>
          <w:color w:val="auto"/>
        </w:rPr>
      </w:pPr>
      <w:r>
        <w:rPr>
          <w:rFonts w:ascii="Arial" w:cs="Arial" w:eastAsia="Arial" w:hAnsi="Arial"/>
          <w:sz w:val="17"/>
          <w:szCs w:val="17"/>
          <w:color w:val="auto"/>
        </w:rPr>
        <w:t>We believe that our existing sources of liquidity will be sufficient to fund our expected cash requirements in the normal course of business for the next 12 months.</w:t>
      </w:r>
    </w:p>
    <w:p>
      <w:pPr>
        <w:spacing w:after="0" w:line="55" w:lineRule="exact"/>
        <w:rPr>
          <w:sz w:val="20"/>
          <w:szCs w:val="20"/>
          <w:color w:val="auto"/>
        </w:rPr>
      </w:pPr>
    </w:p>
    <w:p>
      <w:pPr>
        <w:ind w:left="220" w:right="300"/>
        <w:spacing w:after="0" w:line="257" w:lineRule="auto"/>
        <w:rPr>
          <w:sz w:val="20"/>
          <w:szCs w:val="20"/>
          <w:color w:val="auto"/>
        </w:rPr>
      </w:pPr>
      <w:r>
        <w:rPr>
          <w:rFonts w:ascii="Arial" w:cs="Arial" w:eastAsia="Arial" w:hAnsi="Arial"/>
          <w:sz w:val="17"/>
          <w:szCs w:val="17"/>
          <w:i w:val="1"/>
          <w:iCs w:val="1"/>
          <w:color w:val="auto"/>
        </w:rPr>
        <w:t>Certain information above in this section is forward-looking and should be read in conjunction with the section entitled “Additional Information - Cautionary Note Concerning Factors That May Affect Future Results”.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Cash Flow</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Summary of Consolidated Statement of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66675</wp:posOffset>
            </wp:positionV>
            <wp:extent cx="68656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85"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1480" w:type="dxa"/>
            <w:vAlign w:val="bottom"/>
            <w:shd w:val="clear" w:color="auto" w:fill="E3F3EE"/>
          </w:tcPr>
          <w:p>
            <w:pPr>
              <w:jc w:val="right"/>
              <w:spacing w:after="0"/>
              <w:rPr>
                <w:sz w:val="20"/>
                <w:szCs w:val="20"/>
                <w:color w:val="auto"/>
              </w:rPr>
            </w:pPr>
            <w:r>
              <w:rPr>
                <w:rFonts w:ascii="Arial" w:cs="Arial" w:eastAsia="Arial" w:hAnsi="Arial"/>
                <w:sz w:val="16"/>
                <w:szCs w:val="16"/>
                <w:b w:val="1"/>
                <w:bCs w:val="1"/>
                <w:color w:val="auto"/>
              </w:rPr>
              <w:t xml:space="preserve">    </w:t>
            </w:r>
          </w:p>
        </w:tc>
        <w:tc>
          <w:tcPr>
            <w:tcW w:w="2040" w:type="dxa"/>
            <w:vAlign w:val="bottom"/>
            <w:shd w:val="clear" w:color="auto" w:fill="E3F3EE"/>
          </w:tcPr>
          <w:p>
            <w:pPr>
              <w:jc w:val="right"/>
              <w:spacing w:after="0"/>
              <w:rPr>
                <w:sz w:val="20"/>
                <w:szCs w:val="20"/>
                <w:color w:val="auto"/>
              </w:rPr>
            </w:pPr>
            <w:r>
              <w:rPr>
                <w:rFonts w:ascii="Arial" w:cs="Arial" w:eastAsia="Arial" w:hAnsi="Arial"/>
                <w:sz w:val="16"/>
                <w:szCs w:val="16"/>
                <w:b w:val="1"/>
                <w:bCs w:val="1"/>
                <w:color w:val="auto"/>
                <w:w w:val="95"/>
              </w:rPr>
              <w:t>Year ended December 31, </w:t>
            </w:r>
          </w:p>
        </w:tc>
        <w:tc>
          <w:tcPr>
            <w:tcW w:w="680" w:type="dxa"/>
            <w:vAlign w:val="bottom"/>
            <w:shd w:val="clear" w:color="auto" w:fill="E3F3EE"/>
          </w:tcPr>
          <w:p>
            <w:pPr>
              <w:ind w:left="100"/>
              <w:spacing w:after="0"/>
              <w:rPr>
                <w:sz w:val="20"/>
                <w:szCs w:val="20"/>
                <w:color w:val="auto"/>
              </w:rPr>
            </w:pPr>
            <w:r>
              <w:rPr>
                <w:rFonts w:ascii="Arial" w:cs="Arial" w:eastAsia="Arial" w:hAnsi="Arial"/>
                <w:sz w:val="16"/>
                <w:szCs w:val="16"/>
                <w:b w:val="1"/>
                <w:bCs w:val="1"/>
                <w:color w:val="auto"/>
              </w:rPr>
              <w:t> </w:t>
            </w:r>
          </w:p>
        </w:tc>
        <w:tc>
          <w:tcPr>
            <w:tcW w:w="20" w:type="dxa"/>
            <w:vAlign w:val="bottom"/>
          </w:tcPr>
          <w:p>
            <w:pPr>
              <w:spacing w:after="0"/>
              <w:rPr>
                <w:sz w:val="20"/>
                <w:szCs w:val="20"/>
                <w:color w:val="auto"/>
              </w:rPr>
            </w:pPr>
          </w:p>
        </w:tc>
      </w:tr>
      <w:tr>
        <w:trPr>
          <w:trHeight w:val="192"/>
        </w:trPr>
        <w:tc>
          <w:tcPr>
            <w:tcW w:w="660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color w:val="FFFFFF"/>
              </w:rPr>
              <w:t> (millions of U.S. dollars)</w:t>
            </w:r>
          </w:p>
        </w:tc>
        <w:tc>
          <w:tcPr>
            <w:tcW w:w="1480" w:type="dxa"/>
            <w:vAlign w:val="bottom"/>
            <w:tcBorders>
              <w:bottom w:val="single" w:sz="8" w:color="D64000"/>
            </w:tcBorders>
            <w:shd w:val="clear" w:color="auto" w:fill="1F473D"/>
          </w:tcPr>
          <w:p>
            <w:pPr>
              <w:jc w:val="right"/>
              <w:ind w:right="1"/>
              <w:spacing w:after="0"/>
              <w:rPr>
                <w:sz w:val="20"/>
                <w:szCs w:val="20"/>
                <w:color w:val="auto"/>
              </w:rPr>
            </w:pPr>
            <w:r>
              <w:rPr>
                <w:rFonts w:ascii="Arial" w:cs="Arial" w:eastAsia="Arial" w:hAnsi="Arial"/>
                <w:sz w:val="16"/>
                <w:szCs w:val="16"/>
                <w:b w:val="1"/>
                <w:bCs w:val="1"/>
                <w:color w:val="FFFFFF"/>
              </w:rPr>
              <w:t>2024</w:t>
            </w:r>
          </w:p>
        </w:tc>
        <w:tc>
          <w:tcPr>
            <w:tcW w:w="2040" w:type="dxa"/>
            <w:vAlign w:val="bottom"/>
            <w:tcBorders>
              <w:bottom w:val="single" w:sz="8" w:color="D64000"/>
            </w:tcBorders>
            <w:shd w:val="clear" w:color="auto" w:fill="1F473D"/>
          </w:tcPr>
          <w:p>
            <w:pPr>
              <w:jc w:val="right"/>
              <w:ind w:right="601"/>
              <w:spacing w:after="0"/>
              <w:rPr>
                <w:sz w:val="20"/>
                <w:szCs w:val="20"/>
                <w:color w:val="auto"/>
              </w:rPr>
            </w:pPr>
            <w:r>
              <w:rPr>
                <w:rFonts w:ascii="Arial" w:cs="Arial" w:eastAsia="Arial" w:hAnsi="Arial"/>
                <w:sz w:val="16"/>
                <w:szCs w:val="16"/>
                <w:color w:val="FFFFFF"/>
              </w:rPr>
              <w:t>2023</w:t>
            </w:r>
          </w:p>
        </w:tc>
        <w:tc>
          <w:tcPr>
            <w:tcW w:w="68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color w:val="FFFFFF"/>
                <w:w w:val="95"/>
              </w:rPr>
              <w:t>$ Change</w:t>
            </w:r>
          </w:p>
        </w:tc>
        <w:tc>
          <w:tcPr>
            <w:tcW w:w="20" w:type="dxa"/>
            <w:vAlign w:val="bottom"/>
          </w:tcPr>
          <w:p>
            <w:pPr>
              <w:spacing w:after="0"/>
              <w:rPr>
                <w:sz w:val="16"/>
                <w:szCs w:val="16"/>
                <w:color w:val="auto"/>
              </w:rPr>
            </w:pPr>
          </w:p>
        </w:tc>
      </w:tr>
      <w:tr>
        <w:trPr>
          <w:trHeight w:val="243"/>
        </w:trPr>
        <w:tc>
          <w:tcPr>
            <w:tcW w:w="6600" w:type="dxa"/>
            <w:vAlign w:val="bottom"/>
          </w:tcPr>
          <w:p>
            <w:pPr>
              <w:spacing w:after="0"/>
              <w:rPr>
                <w:sz w:val="20"/>
                <w:szCs w:val="20"/>
                <w:color w:val="auto"/>
              </w:rPr>
            </w:pPr>
            <w:r>
              <w:rPr>
                <w:rFonts w:ascii="Arial" w:cs="Arial" w:eastAsia="Arial" w:hAnsi="Arial"/>
                <w:sz w:val="16"/>
                <w:szCs w:val="16"/>
                <w:b w:val="1"/>
                <w:bCs w:val="1"/>
                <w:color w:val="auto"/>
              </w:rPr>
              <w:t> Net cash provided by operating activities</w:t>
            </w: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2,457</w:t>
            </w:r>
          </w:p>
        </w:tc>
        <w:tc>
          <w:tcPr>
            <w:tcW w:w="2040" w:type="dxa"/>
            <w:vAlign w:val="bottom"/>
          </w:tcPr>
          <w:p>
            <w:pPr>
              <w:jc w:val="right"/>
              <w:ind w:right="601"/>
              <w:spacing w:after="0"/>
              <w:rPr>
                <w:sz w:val="20"/>
                <w:szCs w:val="20"/>
                <w:color w:val="auto"/>
              </w:rPr>
            </w:pPr>
            <w:r>
              <w:rPr>
                <w:rFonts w:ascii="Arial" w:cs="Arial" w:eastAsia="Arial" w:hAnsi="Arial"/>
                <w:sz w:val="16"/>
                <w:szCs w:val="16"/>
                <w:color w:val="auto"/>
              </w:rPr>
              <w:t>2,341</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116</w:t>
            </w:r>
          </w:p>
        </w:tc>
      </w:tr>
      <w:tr>
        <w:trPr>
          <w:trHeight w:val="239"/>
        </w:trPr>
        <w:tc>
          <w:tcPr>
            <w:tcW w:w="6600" w:type="dxa"/>
            <w:vAlign w:val="bottom"/>
          </w:tcPr>
          <w:p>
            <w:pPr>
              <w:spacing w:after="0"/>
              <w:rPr>
                <w:sz w:val="20"/>
                <w:szCs w:val="20"/>
                <w:color w:val="auto"/>
              </w:rPr>
            </w:pPr>
            <w:r>
              <w:rPr>
                <w:rFonts w:ascii="Arial" w:cs="Arial" w:eastAsia="Arial" w:hAnsi="Arial"/>
                <w:sz w:val="16"/>
                <w:szCs w:val="16"/>
                <w:b w:val="1"/>
                <w:bCs w:val="1"/>
                <w:color w:val="auto"/>
              </w:rPr>
              <w:t> Net cash provided by investing activities</w:t>
            </w: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680</w:t>
            </w:r>
          </w:p>
        </w:tc>
        <w:tc>
          <w:tcPr>
            <w:tcW w:w="2040" w:type="dxa"/>
            <w:vAlign w:val="bottom"/>
          </w:tcPr>
          <w:p>
            <w:pPr>
              <w:jc w:val="right"/>
              <w:ind w:right="601"/>
              <w:spacing w:after="0"/>
              <w:rPr>
                <w:sz w:val="20"/>
                <w:szCs w:val="20"/>
                <w:color w:val="auto"/>
              </w:rPr>
            </w:pPr>
            <w:r>
              <w:rPr>
                <w:rFonts w:ascii="Arial" w:cs="Arial" w:eastAsia="Arial" w:hAnsi="Arial"/>
                <w:sz w:val="16"/>
                <w:szCs w:val="16"/>
                <w:color w:val="auto"/>
              </w:rPr>
              <w:t>3,513</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(2,833)</w:t>
            </w:r>
          </w:p>
        </w:tc>
      </w:tr>
      <w:tr>
        <w:trPr>
          <w:trHeight w:val="238"/>
        </w:trPr>
        <w:tc>
          <w:tcPr>
            <w:tcW w:w="6600" w:type="dxa"/>
            <w:vAlign w:val="bottom"/>
          </w:tcPr>
          <w:p>
            <w:pPr>
              <w:spacing w:after="0"/>
              <w:rPr>
                <w:sz w:val="20"/>
                <w:szCs w:val="20"/>
                <w:color w:val="auto"/>
              </w:rPr>
            </w:pPr>
            <w:r>
              <w:rPr>
                <w:rFonts w:ascii="Arial" w:cs="Arial" w:eastAsia="Arial" w:hAnsi="Arial"/>
                <w:sz w:val="16"/>
                <w:szCs w:val="16"/>
                <w:b w:val="1"/>
                <w:bCs w:val="1"/>
                <w:color w:val="auto"/>
              </w:rPr>
              <w:t> Net cash used in financing activities</w:t>
            </w: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(2,459)</w:t>
            </w:r>
          </w:p>
        </w:tc>
        <w:tc>
          <w:tcPr>
            <w:tcW w:w="2040" w:type="dxa"/>
            <w:vAlign w:val="bottom"/>
          </w:tcPr>
          <w:p>
            <w:pPr>
              <w:jc w:val="right"/>
              <w:ind w:right="601"/>
              <w:spacing w:after="0"/>
              <w:rPr>
                <w:sz w:val="20"/>
                <w:szCs w:val="20"/>
                <w:color w:val="auto"/>
              </w:rPr>
            </w:pPr>
            <w:r>
              <w:rPr>
                <w:rFonts w:ascii="Arial" w:cs="Arial" w:eastAsia="Arial" w:hAnsi="Arial"/>
                <w:sz w:val="16"/>
                <w:szCs w:val="16"/>
                <w:color w:val="auto"/>
              </w:rPr>
              <w:t>(5,626)</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3,167</w:t>
            </w:r>
          </w:p>
        </w:tc>
      </w:tr>
      <w:tr>
        <w:trPr>
          <w:trHeight w:val="220"/>
        </w:trPr>
        <w:tc>
          <w:tcPr>
            <w:tcW w:w="6600" w:type="dxa"/>
            <w:vAlign w:val="bottom"/>
            <w:tcBorders>
              <w:bottom w:val="single" w:sz="8" w:color="B2B2B2"/>
            </w:tcBorders>
          </w:tcPr>
          <w:p>
            <w:pPr>
              <w:spacing w:after="0"/>
              <w:rPr>
                <w:sz w:val="20"/>
                <w:szCs w:val="20"/>
                <w:color w:val="auto"/>
              </w:rPr>
            </w:pPr>
            <w:r>
              <w:rPr>
                <w:rFonts w:ascii="Arial" w:cs="Arial" w:eastAsia="Arial" w:hAnsi="Arial"/>
                <w:sz w:val="16"/>
                <w:szCs w:val="16"/>
                <w:b w:val="1"/>
                <w:bCs w:val="1"/>
                <w:color w:val="auto"/>
              </w:rPr>
              <w:t> Translation adjustments</w:t>
            </w:r>
          </w:p>
        </w:tc>
        <w:tc>
          <w:tcPr>
            <w:tcW w:w="148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(8)</w:t>
            </w:r>
          </w:p>
        </w:tc>
        <w:tc>
          <w:tcPr>
            <w:tcW w:w="2040" w:type="dxa"/>
            <w:vAlign w:val="bottom"/>
            <w:tcBorders>
              <w:bottom w:val="single" w:sz="8" w:color="B2B2B2"/>
            </w:tcBorders>
          </w:tcPr>
          <w:p>
            <w:pPr>
              <w:jc w:val="right"/>
              <w:ind w:right="601"/>
              <w:spacing w:after="0"/>
              <w:rPr>
                <w:sz w:val="20"/>
                <w:szCs w:val="20"/>
                <w:color w:val="auto"/>
              </w:rPr>
            </w:pPr>
            <w:r>
              <w:rPr>
                <w:rFonts w:ascii="Arial" w:cs="Arial" w:eastAsia="Arial" w:hAnsi="Arial"/>
                <w:sz w:val="16"/>
                <w:szCs w:val="16"/>
                <w:color w:val="auto"/>
              </w:rPr>
              <w:t>1</w:t>
            </w:r>
          </w:p>
        </w:tc>
        <w:tc>
          <w:tcPr>
            <w:tcW w:w="700" w:type="dxa"/>
            <w:vAlign w:val="bottom"/>
            <w:tcBorders>
              <w:bottom w:val="single" w:sz="8" w:color="B2B2B2"/>
            </w:tcBorders>
            <w:gridSpan w:val="2"/>
          </w:tcPr>
          <w:p>
            <w:pPr>
              <w:jc w:val="right"/>
              <w:spacing w:after="0"/>
              <w:rPr>
                <w:sz w:val="20"/>
                <w:szCs w:val="20"/>
                <w:color w:val="auto"/>
              </w:rPr>
            </w:pPr>
            <w:r>
              <w:rPr>
                <w:rFonts w:ascii="Arial" w:cs="Arial" w:eastAsia="Arial" w:hAnsi="Arial"/>
                <w:sz w:val="16"/>
                <w:szCs w:val="16"/>
                <w:color w:val="auto"/>
              </w:rPr>
              <w:t>(9)</w:t>
            </w:r>
          </w:p>
        </w:tc>
      </w:tr>
      <w:tr>
        <w:trPr>
          <w:trHeight w:val="237"/>
        </w:trPr>
        <w:tc>
          <w:tcPr>
            <w:tcW w:w="6600" w:type="dxa"/>
            <w:vAlign w:val="bottom"/>
          </w:tcPr>
          <w:p>
            <w:pPr>
              <w:spacing w:after="0"/>
              <w:rPr>
                <w:sz w:val="20"/>
                <w:szCs w:val="20"/>
                <w:color w:val="auto"/>
              </w:rPr>
            </w:pPr>
            <w:r>
              <w:rPr>
                <w:rFonts w:ascii="Arial" w:cs="Arial" w:eastAsia="Arial" w:hAnsi="Arial"/>
                <w:sz w:val="16"/>
                <w:szCs w:val="16"/>
                <w:b w:val="1"/>
                <w:bCs w:val="1"/>
                <w:color w:val="auto"/>
              </w:rPr>
              <w:t> Increase in cash and cash equivalents</w:t>
            </w: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670</w:t>
            </w:r>
          </w:p>
        </w:tc>
        <w:tc>
          <w:tcPr>
            <w:tcW w:w="2040" w:type="dxa"/>
            <w:vAlign w:val="bottom"/>
          </w:tcPr>
          <w:p>
            <w:pPr>
              <w:jc w:val="right"/>
              <w:ind w:right="601"/>
              <w:spacing w:after="0"/>
              <w:rPr>
                <w:sz w:val="20"/>
                <w:szCs w:val="20"/>
                <w:color w:val="auto"/>
              </w:rPr>
            </w:pPr>
            <w:r>
              <w:rPr>
                <w:rFonts w:ascii="Arial" w:cs="Arial" w:eastAsia="Arial" w:hAnsi="Arial"/>
                <w:sz w:val="16"/>
                <w:szCs w:val="16"/>
                <w:color w:val="auto"/>
              </w:rPr>
              <w:t>229</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441</w:t>
            </w:r>
          </w:p>
        </w:tc>
      </w:tr>
      <w:tr>
        <w:trPr>
          <w:trHeight w:val="220"/>
        </w:trPr>
        <w:tc>
          <w:tcPr>
            <w:tcW w:w="6600" w:type="dxa"/>
            <w:vAlign w:val="bottom"/>
            <w:tcBorders>
              <w:bottom w:val="single" w:sz="8" w:color="B2B2B2"/>
            </w:tcBorders>
          </w:tcPr>
          <w:p>
            <w:pPr>
              <w:spacing w:after="0"/>
              <w:rPr>
                <w:sz w:val="20"/>
                <w:szCs w:val="20"/>
                <w:color w:val="auto"/>
              </w:rPr>
            </w:pPr>
            <w:r>
              <w:rPr>
                <w:rFonts w:ascii="Arial" w:cs="Arial" w:eastAsia="Arial" w:hAnsi="Arial"/>
                <w:sz w:val="16"/>
                <w:szCs w:val="16"/>
                <w:b w:val="1"/>
                <w:bCs w:val="1"/>
                <w:color w:val="auto"/>
              </w:rPr>
              <w:t> Cash and cash equivalents at beginning of period</w:t>
            </w:r>
          </w:p>
        </w:tc>
        <w:tc>
          <w:tcPr>
            <w:tcW w:w="148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1,298</w:t>
            </w:r>
          </w:p>
        </w:tc>
        <w:tc>
          <w:tcPr>
            <w:tcW w:w="2040" w:type="dxa"/>
            <w:vAlign w:val="bottom"/>
            <w:tcBorders>
              <w:bottom w:val="single" w:sz="8" w:color="B2B2B2"/>
            </w:tcBorders>
          </w:tcPr>
          <w:p>
            <w:pPr>
              <w:jc w:val="right"/>
              <w:ind w:right="601"/>
              <w:spacing w:after="0"/>
              <w:rPr>
                <w:sz w:val="20"/>
                <w:szCs w:val="20"/>
                <w:color w:val="auto"/>
              </w:rPr>
            </w:pPr>
            <w:r>
              <w:rPr>
                <w:rFonts w:ascii="Arial" w:cs="Arial" w:eastAsia="Arial" w:hAnsi="Arial"/>
                <w:sz w:val="16"/>
                <w:szCs w:val="16"/>
                <w:color w:val="auto"/>
              </w:rPr>
              <w:t>1,069</w:t>
            </w:r>
          </w:p>
        </w:tc>
        <w:tc>
          <w:tcPr>
            <w:tcW w:w="700" w:type="dxa"/>
            <w:vAlign w:val="bottom"/>
            <w:tcBorders>
              <w:bottom w:val="single" w:sz="8" w:color="B2B2B2"/>
            </w:tcBorders>
            <w:gridSpan w:val="2"/>
          </w:tcPr>
          <w:p>
            <w:pPr>
              <w:jc w:val="right"/>
              <w:spacing w:after="0"/>
              <w:rPr>
                <w:sz w:val="20"/>
                <w:szCs w:val="20"/>
                <w:color w:val="auto"/>
              </w:rPr>
            </w:pPr>
            <w:r>
              <w:rPr>
                <w:rFonts w:ascii="Arial" w:cs="Arial" w:eastAsia="Arial" w:hAnsi="Arial"/>
                <w:sz w:val="16"/>
                <w:szCs w:val="16"/>
                <w:color w:val="auto"/>
              </w:rPr>
              <w:t>229</w:t>
            </w:r>
          </w:p>
        </w:tc>
      </w:tr>
      <w:tr>
        <w:trPr>
          <w:trHeight w:val="218"/>
        </w:trPr>
        <w:tc>
          <w:tcPr>
            <w:tcW w:w="6600" w:type="dxa"/>
            <w:vAlign w:val="bottom"/>
          </w:tcPr>
          <w:p>
            <w:pPr>
              <w:spacing w:after="0"/>
              <w:rPr>
                <w:sz w:val="20"/>
                <w:szCs w:val="20"/>
                <w:color w:val="auto"/>
              </w:rPr>
            </w:pPr>
            <w:r>
              <w:rPr>
                <w:rFonts w:ascii="Arial" w:cs="Arial" w:eastAsia="Arial" w:hAnsi="Arial"/>
                <w:sz w:val="16"/>
                <w:szCs w:val="16"/>
                <w:b w:val="1"/>
                <w:bCs w:val="1"/>
                <w:color w:val="auto"/>
              </w:rPr>
              <w:t> Cash and cash equivalents at end of period</w:t>
            </w: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1,968</w:t>
            </w:r>
          </w:p>
        </w:tc>
        <w:tc>
          <w:tcPr>
            <w:tcW w:w="2040" w:type="dxa"/>
            <w:vAlign w:val="bottom"/>
          </w:tcPr>
          <w:p>
            <w:pPr>
              <w:jc w:val="right"/>
              <w:ind w:right="601"/>
              <w:spacing w:after="0"/>
              <w:rPr>
                <w:sz w:val="20"/>
                <w:szCs w:val="20"/>
                <w:color w:val="auto"/>
              </w:rPr>
            </w:pPr>
            <w:r>
              <w:rPr>
                <w:rFonts w:ascii="Arial" w:cs="Arial" w:eastAsia="Arial" w:hAnsi="Arial"/>
                <w:sz w:val="16"/>
                <w:szCs w:val="16"/>
                <w:color w:val="auto"/>
              </w:rPr>
              <w:t>1,298</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670</w:t>
            </w:r>
          </w:p>
        </w:tc>
      </w:tr>
      <w:tr>
        <w:trPr>
          <w:trHeight w:val="257"/>
        </w:trPr>
        <w:tc>
          <w:tcPr>
            <w:tcW w:w="6600" w:type="dxa"/>
            <w:vAlign w:val="bottom"/>
            <w:tcBorders>
              <w:top w:val="single" w:sz="8" w:color="B2B2B2"/>
            </w:tcBorders>
          </w:tcPr>
          <w:p>
            <w:pPr>
              <w:spacing w:after="0"/>
              <w:rPr>
                <w:sz w:val="20"/>
                <w:szCs w:val="20"/>
                <w:color w:val="auto"/>
              </w:rPr>
            </w:pPr>
            <w:r>
              <w:rPr>
                <w:rFonts w:ascii="Arial" w:cs="Arial" w:eastAsia="Arial" w:hAnsi="Arial"/>
                <w:sz w:val="16"/>
                <w:szCs w:val="16"/>
                <w:b w:val="1"/>
                <w:bCs w:val="1"/>
                <w:color w:val="auto"/>
              </w:rPr>
              <w:t> Non-IFRS Financial Measure</w:t>
            </w:r>
            <w:r>
              <w:rPr>
                <w:rFonts w:ascii="Arial" w:cs="Arial" w:eastAsia="Arial" w:hAnsi="Arial"/>
                <w:sz w:val="19"/>
                <w:szCs w:val="19"/>
                <w:b w:val="1"/>
                <w:bCs w:val="1"/>
                <w:color w:val="auto"/>
                <w:vertAlign w:val="superscript"/>
              </w:rPr>
              <w:t>(1):</w:t>
            </w:r>
          </w:p>
        </w:tc>
        <w:tc>
          <w:tcPr>
            <w:tcW w:w="1480" w:type="dxa"/>
            <w:vAlign w:val="bottom"/>
            <w:tcBorders>
              <w:top w:val="single" w:sz="8" w:color="B2B2B2"/>
            </w:tcBorders>
          </w:tcPr>
          <w:p>
            <w:pPr>
              <w:spacing w:after="0"/>
              <w:rPr>
                <w:sz w:val="22"/>
                <w:szCs w:val="22"/>
                <w:color w:val="auto"/>
              </w:rPr>
            </w:pPr>
          </w:p>
        </w:tc>
        <w:tc>
          <w:tcPr>
            <w:tcW w:w="2040" w:type="dxa"/>
            <w:vAlign w:val="bottom"/>
            <w:tcBorders>
              <w:top w:val="single" w:sz="8" w:color="B2B2B2"/>
            </w:tcBorders>
          </w:tcPr>
          <w:p>
            <w:pPr>
              <w:spacing w:after="0"/>
              <w:rPr>
                <w:sz w:val="22"/>
                <w:szCs w:val="22"/>
                <w:color w:val="auto"/>
              </w:rPr>
            </w:pPr>
          </w:p>
        </w:tc>
        <w:tc>
          <w:tcPr>
            <w:tcW w:w="680" w:type="dxa"/>
            <w:vAlign w:val="bottom"/>
            <w:tcBorders>
              <w:top w:val="single" w:sz="8" w:color="B2B2B2"/>
            </w:tcBorders>
          </w:tcPr>
          <w:p>
            <w:pPr>
              <w:spacing w:after="0"/>
              <w:rPr>
                <w:sz w:val="22"/>
                <w:szCs w:val="22"/>
                <w:color w:val="auto"/>
              </w:rPr>
            </w:pPr>
          </w:p>
        </w:tc>
        <w:tc>
          <w:tcPr>
            <w:tcW w:w="20" w:type="dxa"/>
            <w:vAlign w:val="bottom"/>
          </w:tcPr>
          <w:p>
            <w:pPr>
              <w:spacing w:after="0"/>
              <w:rPr>
                <w:sz w:val="22"/>
                <w:szCs w:val="22"/>
                <w:color w:val="auto"/>
              </w:rPr>
            </w:pPr>
          </w:p>
        </w:tc>
      </w:tr>
      <w:tr>
        <w:trPr>
          <w:trHeight w:val="206"/>
        </w:trPr>
        <w:tc>
          <w:tcPr>
            <w:tcW w:w="6600" w:type="dxa"/>
            <w:vAlign w:val="bottom"/>
            <w:tcBorders>
              <w:bottom w:val="single" w:sz="8" w:color="D64000"/>
            </w:tcBorders>
          </w:tcPr>
          <w:p>
            <w:pPr>
              <w:spacing w:after="0"/>
              <w:rPr>
                <w:sz w:val="20"/>
                <w:szCs w:val="20"/>
                <w:color w:val="auto"/>
              </w:rPr>
            </w:pPr>
            <w:r>
              <w:rPr>
                <w:rFonts w:ascii="Arial" w:cs="Arial" w:eastAsia="Arial" w:hAnsi="Arial"/>
                <w:sz w:val="16"/>
                <w:szCs w:val="16"/>
                <w:b w:val="1"/>
                <w:bCs w:val="1"/>
                <w:color w:val="auto"/>
              </w:rPr>
              <w:t> Free cash flow</w:t>
            </w:r>
          </w:p>
        </w:tc>
        <w:tc>
          <w:tcPr>
            <w:tcW w:w="1480" w:type="dxa"/>
            <w:vAlign w:val="bottom"/>
            <w:tcBorders>
              <w:bottom w:val="single" w:sz="8" w:color="D64000"/>
            </w:tcBorders>
          </w:tcPr>
          <w:p>
            <w:pPr>
              <w:jc w:val="right"/>
              <w:ind w:right="1"/>
              <w:spacing w:after="0"/>
              <w:rPr>
                <w:sz w:val="20"/>
                <w:szCs w:val="20"/>
                <w:color w:val="auto"/>
              </w:rPr>
            </w:pPr>
            <w:r>
              <w:rPr>
                <w:rFonts w:ascii="Arial" w:cs="Arial" w:eastAsia="Arial" w:hAnsi="Arial"/>
                <w:sz w:val="16"/>
                <w:szCs w:val="16"/>
                <w:b w:val="1"/>
                <w:bCs w:val="1"/>
                <w:color w:val="auto"/>
              </w:rPr>
              <w:t>1,828</w:t>
            </w:r>
          </w:p>
        </w:tc>
        <w:tc>
          <w:tcPr>
            <w:tcW w:w="2040" w:type="dxa"/>
            <w:vAlign w:val="bottom"/>
            <w:tcBorders>
              <w:bottom w:val="single" w:sz="8" w:color="D64000"/>
            </w:tcBorders>
          </w:tcPr>
          <w:p>
            <w:pPr>
              <w:jc w:val="right"/>
              <w:ind w:right="601"/>
              <w:spacing w:after="0"/>
              <w:rPr>
                <w:sz w:val="20"/>
                <w:szCs w:val="20"/>
                <w:color w:val="auto"/>
              </w:rPr>
            </w:pPr>
            <w:r>
              <w:rPr>
                <w:rFonts w:ascii="Arial" w:cs="Arial" w:eastAsia="Arial" w:hAnsi="Arial"/>
                <w:sz w:val="16"/>
                <w:szCs w:val="16"/>
                <w:color w:val="auto"/>
              </w:rPr>
              <w:t>1,871</w:t>
            </w:r>
          </w:p>
        </w:tc>
        <w:tc>
          <w:tcPr>
            <w:tcW w:w="700" w:type="dxa"/>
            <w:vAlign w:val="bottom"/>
            <w:tcBorders>
              <w:bottom w:val="single" w:sz="8" w:color="D64000"/>
            </w:tcBorders>
            <w:gridSpan w:val="2"/>
          </w:tcPr>
          <w:p>
            <w:pPr>
              <w:jc w:val="right"/>
              <w:spacing w:after="0"/>
              <w:rPr>
                <w:sz w:val="20"/>
                <w:szCs w:val="20"/>
                <w:color w:val="auto"/>
              </w:rPr>
            </w:pPr>
            <w:r>
              <w:rPr>
                <w:rFonts w:ascii="Arial" w:cs="Arial" w:eastAsia="Arial" w:hAnsi="Arial"/>
                <w:sz w:val="16"/>
                <w:szCs w:val="16"/>
                <w:color w:val="auto"/>
              </w:rPr>
              <w:t>(43)</w:t>
            </w:r>
          </w:p>
        </w:tc>
      </w:tr>
    </w:tbl>
    <w:p>
      <w:pPr>
        <w:spacing w:after="0" w:line="83" w:lineRule="exact"/>
        <w:rPr>
          <w:sz w:val="20"/>
          <w:szCs w:val="20"/>
          <w:color w:val="auto"/>
        </w:rPr>
      </w:pPr>
    </w:p>
    <w:p>
      <w:pPr>
        <w:ind w:left="640" w:right="220" w:hanging="422"/>
        <w:spacing w:after="0" w:line="274" w:lineRule="auto"/>
        <w:tabs>
          <w:tab w:leader="none" w:pos="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Refer to Appendices A and B of this management’s discussion and analysis for additional information and reconciliations of our non-IFRS financial measures to the most directly comparable IFRS financial measures.</w:t>
      </w:r>
    </w:p>
    <w:p>
      <w:pPr>
        <w:spacing w:after="0" w:line="30" w:lineRule="exact"/>
        <w:rPr>
          <w:sz w:val="20"/>
          <w:szCs w:val="20"/>
          <w:color w:val="auto"/>
        </w:rPr>
      </w:pPr>
    </w:p>
    <w:p>
      <w:pPr>
        <w:ind w:left="220" w:right="160"/>
        <w:spacing w:after="0" w:line="260" w:lineRule="auto"/>
        <w:rPr>
          <w:sz w:val="20"/>
          <w:szCs w:val="20"/>
          <w:color w:val="auto"/>
        </w:rPr>
      </w:pPr>
      <w:r>
        <w:rPr>
          <w:rFonts w:ascii="Arial" w:cs="Arial" w:eastAsia="Arial" w:hAnsi="Arial"/>
          <w:sz w:val="17"/>
          <w:szCs w:val="17"/>
          <w:b w:val="1"/>
          <w:bCs w:val="1"/>
          <w:color w:val="auto"/>
        </w:rPr>
        <w:t>Operating activities</w:t>
      </w:r>
      <w:r>
        <w:rPr>
          <w:rFonts w:ascii="Arial" w:cs="Arial" w:eastAsia="Arial" w:hAnsi="Arial"/>
          <w:sz w:val="17"/>
          <w:szCs w:val="17"/>
          <w:color w:val="auto"/>
        </w:rPr>
        <w:t>. Net cash provided by operating activities increased $116 million due to cash benefits from higher revenues that more than</w:t>
      </w:r>
      <w:r>
        <w:rPr>
          <w:rFonts w:ascii="Arial" w:cs="Arial" w:eastAsia="Arial" w:hAnsi="Arial"/>
          <w:sz w:val="17"/>
          <w:szCs w:val="17"/>
          <w:b w:val="1"/>
          <w:bCs w:val="1"/>
          <w:color w:val="auto"/>
        </w:rPr>
        <w:t xml:space="preserve"> </w:t>
      </w:r>
      <w:r>
        <w:rPr>
          <w:rFonts w:ascii="Arial" w:cs="Arial" w:eastAsia="Arial" w:hAnsi="Arial"/>
          <w:sz w:val="17"/>
          <w:szCs w:val="17"/>
          <w:color w:val="auto"/>
        </w:rPr>
        <w:t>offset higher operating expenses and tax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81915</wp:posOffset>
            </wp:positionV>
            <wp:extent cx="68656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9"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45</w:t>
      </w:r>
    </w:p>
    <w:p>
      <w:pPr>
        <w:sectPr>
          <w:pgSz w:w="11900" w:h="16838" w:orient="portrait"/>
          <w:cols w:equalWidth="0" w:num="1">
            <w:col w:w="11040"/>
          </w:cols>
          <w:pgMar w:left="320" w:top="477" w:right="5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160"/>
        <w:spacing w:after="0" w:line="235" w:lineRule="auto"/>
        <w:rPr>
          <w:sz w:val="20"/>
          <w:szCs w:val="20"/>
          <w:color w:val="auto"/>
        </w:rPr>
      </w:pPr>
      <w:r>
        <w:rPr>
          <w:rFonts w:ascii="Arial" w:cs="Arial" w:eastAsia="Arial" w:hAnsi="Arial"/>
          <w:sz w:val="17"/>
          <w:szCs w:val="17"/>
          <w:b w:val="1"/>
          <w:bCs w:val="1"/>
          <w:color w:val="auto"/>
        </w:rPr>
        <w:t>Investing activities</w:t>
      </w:r>
      <w:r>
        <w:rPr>
          <w:rFonts w:ascii="Arial" w:cs="Arial" w:eastAsia="Arial" w:hAnsi="Arial"/>
          <w:sz w:val="17"/>
          <w:szCs w:val="17"/>
          <w:color w:val="auto"/>
        </w:rPr>
        <w:t>. In 2024, cash provided by investing activities included proceeds of $1,854 million from sales of LSEG shares, $326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of proceeds from the sale of businesses and investments, which included our FindLaw business, and $46 million of cash flows from other investing activities, primarily proceeds from the sale of certain real estate. These inflows more than offset $317 million of tax payments, primarily associated with the LSEG share sales, capital expenditures of $607 million and acquisition spend of $622 million, primarily related to the purchase of Pagero, Materia and World Business Media (The Insurer). We spent an additional $384 million to acquire the remaining portion of Pagero from minority shareholders, which is reflected in financing activities below.</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 2023, net cash provided by investing activities included proceeds of $5,424 million from the sale of our LSEG investment, $418 million of</w:t>
      </w:r>
    </w:p>
    <w:p>
      <w:pPr>
        <w:ind w:left="220"/>
        <w:spacing w:after="0" w:line="235" w:lineRule="auto"/>
        <w:rPr>
          <w:sz w:val="20"/>
          <w:szCs w:val="20"/>
          <w:color w:val="auto"/>
        </w:rPr>
      </w:pPr>
      <w:r>
        <w:rPr>
          <w:rFonts w:ascii="Arial" w:cs="Arial" w:eastAsia="Arial" w:hAnsi="Arial"/>
          <w:sz w:val="17"/>
          <w:szCs w:val="17"/>
          <w:color w:val="auto"/>
        </w:rPr>
        <w:t>proceeds from the sale of a majority stake in our Elite business, and $137 million of cash flows from other investing activities, which included</w:t>
      </w:r>
    </w:p>
    <w:p>
      <w:pPr>
        <w:ind w:left="220"/>
        <w:spacing w:after="0"/>
        <w:rPr>
          <w:sz w:val="20"/>
          <w:szCs w:val="20"/>
          <w:color w:val="auto"/>
        </w:rPr>
      </w:pPr>
      <w:r>
        <w:rPr>
          <w:rFonts w:ascii="Arial" w:cs="Arial" w:eastAsia="Arial" w:hAnsi="Arial"/>
          <w:sz w:val="16"/>
          <w:szCs w:val="16"/>
          <w:color w:val="auto"/>
        </w:rPr>
        <w:t>$42 million from the sale of two Canadian wholly-owned subsidiaries to a company affiliated with Woodbridge, $35 million from the sale of certain</w:t>
      </w:r>
    </w:p>
    <w:p>
      <w:pPr>
        <w:ind w:left="220"/>
        <w:spacing w:after="0" w:line="229" w:lineRule="auto"/>
        <w:rPr>
          <w:sz w:val="20"/>
          <w:szCs w:val="20"/>
          <w:color w:val="auto"/>
        </w:rPr>
      </w:pPr>
      <w:r>
        <w:rPr>
          <w:rFonts w:ascii="Arial" w:cs="Arial" w:eastAsia="Arial" w:hAnsi="Arial"/>
          <w:sz w:val="17"/>
          <w:szCs w:val="17"/>
          <w:color w:val="auto"/>
        </w:rPr>
        <w:t>real estate, as well as $58 million in LSEG dividends. These inflows were partly offset by $1,216 million of acquisition spending, which included</w:t>
      </w:r>
    </w:p>
    <w:p>
      <w:pPr>
        <w:ind w:left="220"/>
        <w:spacing w:after="0" w:line="228" w:lineRule="auto"/>
        <w:rPr>
          <w:sz w:val="20"/>
          <w:szCs w:val="20"/>
          <w:color w:val="auto"/>
        </w:rPr>
      </w:pPr>
      <w:r>
        <w:rPr>
          <w:rFonts w:ascii="Arial" w:cs="Arial" w:eastAsia="Arial" w:hAnsi="Arial"/>
          <w:sz w:val="17"/>
          <w:szCs w:val="17"/>
          <w:color w:val="auto"/>
        </w:rPr>
        <w:t>the acquisitions of SurePrep and Casetext, $705 million in taxes paid primarily associated with the sales of LSEG shares, and $544 million of</w:t>
      </w:r>
    </w:p>
    <w:p>
      <w:pPr>
        <w:ind w:left="220"/>
        <w:spacing w:after="0"/>
        <w:rPr>
          <w:sz w:val="20"/>
          <w:szCs w:val="20"/>
          <w:color w:val="auto"/>
        </w:rPr>
      </w:pPr>
      <w:r>
        <w:rPr>
          <w:rFonts w:ascii="Arial" w:cs="Arial" w:eastAsia="Arial" w:hAnsi="Arial"/>
          <w:sz w:val="17"/>
          <w:szCs w:val="17"/>
          <w:color w:val="auto"/>
        </w:rPr>
        <w:t>capital expenditures.</w:t>
      </w:r>
    </w:p>
    <w:p>
      <w:pPr>
        <w:spacing w:after="0" w:line="67" w:lineRule="exact"/>
        <w:rPr>
          <w:sz w:val="20"/>
          <w:szCs w:val="20"/>
          <w:color w:val="auto"/>
        </w:rPr>
      </w:pPr>
    </w:p>
    <w:p>
      <w:pPr>
        <w:ind w:left="220" w:right="40"/>
        <w:spacing w:after="0" w:line="266" w:lineRule="auto"/>
        <w:rPr>
          <w:sz w:val="20"/>
          <w:szCs w:val="20"/>
          <w:color w:val="auto"/>
        </w:rPr>
      </w:pPr>
      <w:r>
        <w:rPr>
          <w:rFonts w:ascii="Arial" w:cs="Arial" w:eastAsia="Arial" w:hAnsi="Arial"/>
          <w:sz w:val="16"/>
          <w:szCs w:val="16"/>
          <w:b w:val="1"/>
          <w:bCs w:val="1"/>
          <w:color w:val="auto"/>
        </w:rPr>
        <w:t>Financing activities</w:t>
      </w:r>
      <w:r>
        <w:rPr>
          <w:rFonts w:ascii="Arial" w:cs="Arial" w:eastAsia="Arial" w:hAnsi="Arial"/>
          <w:sz w:val="16"/>
          <w:szCs w:val="16"/>
          <w:color w:val="auto"/>
        </w:rPr>
        <w:t>. In 2024, net cash used in financing activities included debt repayments of $290 million, including $48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repayment of Pagero’s outstanding debt, $139 million of net payments under our commercial paper program, $944 million of dividend payments to our common shareholders, $639 million of share repurchases and $384 million for the purchase of shares from Pagero’s minority shareholders.</w:t>
      </w:r>
    </w:p>
    <w:p>
      <w:pPr>
        <w:spacing w:after="0" w:line="37" w:lineRule="exact"/>
        <w:rPr>
          <w:sz w:val="20"/>
          <w:szCs w:val="20"/>
          <w:color w:val="auto"/>
        </w:rPr>
      </w:pPr>
    </w:p>
    <w:p>
      <w:pPr>
        <w:ind w:left="220" w:right="140"/>
        <w:spacing w:after="0" w:line="238" w:lineRule="auto"/>
        <w:rPr>
          <w:sz w:val="20"/>
          <w:szCs w:val="20"/>
          <w:color w:val="auto"/>
        </w:rPr>
      </w:pPr>
      <w:r>
        <w:rPr>
          <w:rFonts w:ascii="Arial" w:cs="Arial" w:eastAsia="Arial" w:hAnsi="Arial"/>
          <w:sz w:val="17"/>
          <w:szCs w:val="17"/>
          <w:color w:val="auto"/>
        </w:rPr>
        <w:t>In 2023, net cash used in financing activities primarily reflected $4,011 million of returns to our common shareholders, which was comprised of $2,045 million through our return of capital transaction, $887 million of dividends and $1,079 million of share repurchases. Net cash used in financing activities also included the repayment of $600 million of our term debt upon maturity and $956 million of net repayments of commercial paper.</w:t>
      </w:r>
    </w:p>
    <w:p>
      <w:pPr>
        <w:spacing w:after="0" w:line="46" w:lineRule="exact"/>
        <w:rPr>
          <w:sz w:val="20"/>
          <w:szCs w:val="20"/>
          <w:color w:val="auto"/>
        </w:rPr>
      </w:pPr>
    </w:p>
    <w:p>
      <w:pPr>
        <w:ind w:left="220" w:right="100"/>
        <w:spacing w:after="0" w:line="260" w:lineRule="auto"/>
        <w:rPr>
          <w:sz w:val="20"/>
          <w:szCs w:val="20"/>
          <w:color w:val="auto"/>
        </w:rPr>
      </w:pPr>
      <w:r>
        <w:rPr>
          <w:rFonts w:ascii="Arial" w:cs="Arial" w:eastAsia="Arial" w:hAnsi="Arial"/>
          <w:sz w:val="17"/>
          <w:szCs w:val="17"/>
          <w:color w:val="auto"/>
        </w:rPr>
        <w:t>Refer to the “Commercial paper program”, “Long-term debt”, “Dividends”, “Share repurchases– Normal Course Issuer Bid (NCIB)” and “Return of capital and share consolidation” subsections below for additional information.</w:t>
      </w:r>
    </w:p>
    <w:p>
      <w:pPr>
        <w:spacing w:after="0" w:line="40" w:lineRule="exact"/>
        <w:rPr>
          <w:sz w:val="20"/>
          <w:szCs w:val="20"/>
          <w:color w:val="auto"/>
        </w:rPr>
      </w:pPr>
    </w:p>
    <w:p>
      <w:pPr>
        <w:ind w:left="220" w:right="860"/>
        <w:spacing w:after="0" w:line="260" w:lineRule="auto"/>
        <w:rPr>
          <w:sz w:val="20"/>
          <w:szCs w:val="20"/>
          <w:color w:val="auto"/>
        </w:rPr>
      </w:pPr>
      <w:r>
        <w:rPr>
          <w:rFonts w:ascii="Arial" w:cs="Arial" w:eastAsia="Arial" w:hAnsi="Arial"/>
          <w:sz w:val="17"/>
          <w:szCs w:val="17"/>
          <w:b w:val="1"/>
          <w:bCs w:val="1"/>
          <w:color w:val="auto"/>
        </w:rPr>
        <w:t xml:space="preserve">Cash and cash equivalents. </w:t>
      </w:r>
      <w:r>
        <w:rPr>
          <w:rFonts w:ascii="Arial" w:cs="Arial" w:eastAsia="Arial" w:hAnsi="Arial"/>
          <w:sz w:val="17"/>
          <w:szCs w:val="17"/>
          <w:color w:val="auto"/>
        </w:rPr>
        <w:t>The increase in cash and cash equivalents primarily reflects the remaining net proceeds from the sale of</w:t>
      </w:r>
      <w:r>
        <w:rPr>
          <w:rFonts w:ascii="Arial" w:cs="Arial" w:eastAsia="Arial" w:hAnsi="Arial"/>
          <w:sz w:val="17"/>
          <w:szCs w:val="17"/>
          <w:b w:val="1"/>
          <w:bCs w:val="1"/>
          <w:color w:val="auto"/>
        </w:rPr>
        <w:t xml:space="preserve"> </w:t>
      </w:r>
      <w:r>
        <w:rPr>
          <w:rFonts w:ascii="Arial" w:cs="Arial" w:eastAsia="Arial" w:hAnsi="Arial"/>
          <w:sz w:val="17"/>
          <w:szCs w:val="17"/>
          <w:color w:val="auto"/>
        </w:rPr>
        <w:t>approximately 16.0 million of our indirectly owned LSEG shares, and the net impact of acquisition and divestiture activity.</w:t>
      </w:r>
    </w:p>
    <w:p>
      <w:pPr>
        <w:spacing w:after="0" w:line="27" w:lineRule="exact"/>
        <w:rPr>
          <w:sz w:val="20"/>
          <w:szCs w:val="20"/>
          <w:color w:val="auto"/>
        </w:rPr>
      </w:pPr>
    </w:p>
    <w:p>
      <w:pPr>
        <w:ind w:left="220" w:right="320"/>
        <w:spacing w:after="0" w:line="260" w:lineRule="auto"/>
        <w:rPr>
          <w:sz w:val="20"/>
          <w:szCs w:val="20"/>
          <w:color w:val="auto"/>
        </w:rPr>
      </w:pPr>
      <w:r>
        <w:rPr>
          <w:rFonts w:ascii="Arial" w:cs="Arial" w:eastAsia="Arial" w:hAnsi="Arial"/>
          <w:sz w:val="17"/>
          <w:szCs w:val="17"/>
          <w:b w:val="1"/>
          <w:bCs w:val="1"/>
          <w:color w:val="auto"/>
        </w:rPr>
        <w:t xml:space="preserve">Free cash flow. </w:t>
      </w:r>
      <w:r>
        <w:rPr>
          <w:rFonts w:ascii="Arial" w:cs="Arial" w:eastAsia="Arial" w:hAnsi="Arial"/>
          <w:sz w:val="17"/>
          <w:szCs w:val="17"/>
          <w:color w:val="auto"/>
        </w:rPr>
        <w:t>Free cash flow decreased as higher cash flows from operating activities were more than offset by higher capital expenditures</w:t>
      </w:r>
      <w:r>
        <w:rPr>
          <w:rFonts w:ascii="Arial" w:cs="Arial" w:eastAsia="Arial" w:hAnsi="Arial"/>
          <w:sz w:val="17"/>
          <w:szCs w:val="17"/>
          <w:b w:val="1"/>
          <w:bCs w:val="1"/>
          <w:color w:val="auto"/>
        </w:rPr>
        <w:t xml:space="preserve"> </w:t>
      </w:r>
      <w:r>
        <w:rPr>
          <w:rFonts w:ascii="Arial" w:cs="Arial" w:eastAsia="Arial" w:hAnsi="Arial"/>
          <w:sz w:val="17"/>
          <w:szCs w:val="17"/>
          <w:color w:val="auto"/>
        </w:rPr>
        <w:t>and lower cash flows from other investing activities.</w:t>
      </w:r>
    </w:p>
    <w:p>
      <w:pPr>
        <w:spacing w:after="0" w:line="40" w:lineRule="exact"/>
        <w:rPr>
          <w:sz w:val="20"/>
          <w:szCs w:val="20"/>
          <w:color w:val="auto"/>
        </w:rPr>
      </w:pPr>
    </w:p>
    <w:p>
      <w:pPr>
        <w:ind w:left="220" w:right="200"/>
        <w:spacing w:after="0" w:line="260" w:lineRule="auto"/>
        <w:rPr>
          <w:sz w:val="20"/>
          <w:szCs w:val="20"/>
          <w:color w:val="auto"/>
        </w:rPr>
      </w:pPr>
      <w:r>
        <w:rPr>
          <w:rFonts w:ascii="Arial" w:cs="Arial" w:eastAsia="Arial" w:hAnsi="Arial"/>
          <w:sz w:val="17"/>
          <w:szCs w:val="17"/>
          <w:color w:val="auto"/>
        </w:rPr>
        <w:t>Additional information about our debt and credit arrangements, dividends, share repurchases and return of capital and share consolidation is as follows:</w:t>
      </w:r>
    </w:p>
    <w:p>
      <w:pPr>
        <w:spacing w:after="0" w:line="67" w:lineRule="exact"/>
        <w:rPr>
          <w:sz w:val="20"/>
          <w:szCs w:val="20"/>
          <w:color w:val="auto"/>
        </w:rPr>
      </w:pPr>
    </w:p>
    <w:p>
      <w:pPr>
        <w:ind w:left="640" w:right="40" w:hanging="422"/>
        <w:spacing w:after="0" w:line="243" w:lineRule="auto"/>
        <w:tabs>
          <w:tab w:leader="none" w:pos="640" w:val="left"/>
        </w:tabs>
        <w:numPr>
          <w:ilvl w:val="0"/>
          <w:numId w:val="42"/>
        </w:numPr>
        <w:rPr>
          <w:rFonts w:ascii="Arial" w:cs="Arial" w:eastAsia="Arial" w:hAnsi="Arial"/>
          <w:sz w:val="17"/>
          <w:szCs w:val="17"/>
          <w:color w:val="D64000"/>
        </w:rPr>
      </w:pPr>
      <w:r>
        <w:rPr>
          <w:rFonts w:ascii="Arial" w:cs="Arial" w:eastAsia="Arial" w:hAnsi="Arial"/>
          <w:sz w:val="17"/>
          <w:szCs w:val="17"/>
          <w:b w:val="1"/>
          <w:bCs w:val="1"/>
          <w:color w:val="auto"/>
        </w:rPr>
        <w:t xml:space="preserve">Commercial paper program. </w:t>
      </w:r>
      <w:r>
        <w:rPr>
          <w:rFonts w:ascii="Arial" w:cs="Arial" w:eastAsia="Arial" w:hAnsi="Arial"/>
          <w:sz w:val="17"/>
          <w:szCs w:val="17"/>
          <w:color w:val="auto"/>
        </w:rPr>
        <w:t>Our $2.0 billion commercial paper program provides cost-effective and flexible short-term funding. There was</w:t>
      </w:r>
      <w:r>
        <w:rPr>
          <w:rFonts w:ascii="Arial" w:cs="Arial" w:eastAsia="Arial" w:hAnsi="Arial"/>
          <w:sz w:val="17"/>
          <w:szCs w:val="17"/>
          <w:b w:val="1"/>
          <w:bCs w:val="1"/>
          <w:color w:val="auto"/>
        </w:rPr>
        <w:t xml:space="preserve"> </w:t>
      </w:r>
      <w:r>
        <w:rPr>
          <w:rFonts w:ascii="Arial" w:cs="Arial" w:eastAsia="Arial" w:hAnsi="Arial"/>
          <w:sz w:val="17"/>
          <w:szCs w:val="17"/>
          <w:color w:val="auto"/>
        </w:rPr>
        <w:t>no commercial paper outstanding as of December 31, 2024 versus $130 million at December 31, 2023. Outstanding commercial paper reached a peak of $900 million during the year.</w:t>
      </w:r>
    </w:p>
    <w:p>
      <w:pPr>
        <w:spacing w:after="0" w:line="55" w:lineRule="exact"/>
        <w:rPr>
          <w:rFonts w:ascii="Arial" w:cs="Arial" w:eastAsia="Arial" w:hAnsi="Arial"/>
          <w:sz w:val="17"/>
          <w:szCs w:val="17"/>
          <w:color w:val="D64000"/>
        </w:rPr>
      </w:pPr>
    </w:p>
    <w:p>
      <w:pPr>
        <w:ind w:left="640" w:right="20" w:hanging="422"/>
        <w:spacing w:after="0" w:line="232" w:lineRule="auto"/>
        <w:tabs>
          <w:tab w:leader="none" w:pos="640" w:val="left"/>
        </w:tabs>
        <w:numPr>
          <w:ilvl w:val="0"/>
          <w:numId w:val="42"/>
        </w:numPr>
        <w:rPr>
          <w:rFonts w:ascii="Arial" w:cs="Arial" w:eastAsia="Arial" w:hAnsi="Arial"/>
          <w:sz w:val="17"/>
          <w:szCs w:val="17"/>
          <w:color w:val="D64000"/>
        </w:rPr>
      </w:pPr>
      <w:r>
        <w:rPr>
          <w:rFonts w:ascii="Arial" w:cs="Arial" w:eastAsia="Arial" w:hAnsi="Arial"/>
          <w:sz w:val="17"/>
          <w:szCs w:val="17"/>
          <w:b w:val="1"/>
          <w:bCs w:val="1"/>
          <w:color w:val="auto"/>
        </w:rPr>
        <w:t xml:space="preserve">Credit facility. </w:t>
      </w:r>
      <w:r>
        <w:rPr>
          <w:rFonts w:ascii="Arial" w:cs="Arial" w:eastAsia="Arial" w:hAnsi="Arial"/>
          <w:sz w:val="17"/>
          <w:szCs w:val="17"/>
          <w:color w:val="auto"/>
        </w:rPr>
        <w:t>We have a $2.0 billion syndicated credit facility agreement which matures in November 2027 and may be used to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liquidity for general corporate purposes (including acquisitions or support for our commercial paper program). There were no outstanding borrowings under the credit facility as of December 31, 2024 and 2023. Based on our current credit ratings, the cost of borrowing under the facility is priced at the Term Secured Overnight Financing Rate (SOFR)/Euro Interbank Offered Rate (EURiBOR)/Simple Sterling Overnight Index Average (SONIA) plus 102.5 basis points. We have the option to request an increase, subject to approval by applicable lenders, in the lenders’ commitments in an aggregate amount of $600 million for a maximum credit facility commitment of $2.6 billion. If our debt rating is downgraded by at least two ratings agencies consisting of Moody’s, S&amp;P or Fitch, our facility fees and borrowing costs could increase, although contractual availability would be unaffected. Conversely, an upgrade in our rating may reduce our facility fees and borrowing costs. We also monitor the lenders that are party to our facility and believe they continue to be able to lend to us.</w:t>
      </w:r>
    </w:p>
    <w:p>
      <w:pPr>
        <w:spacing w:after="0" w:line="62" w:lineRule="exact"/>
        <w:rPr>
          <w:sz w:val="20"/>
          <w:szCs w:val="20"/>
          <w:color w:val="auto"/>
        </w:rPr>
      </w:pPr>
    </w:p>
    <w:p>
      <w:pPr>
        <w:ind w:left="640" w:right="80" w:hanging="422"/>
        <w:spacing w:after="0" w:line="245" w:lineRule="auto"/>
        <w:tabs>
          <w:tab w:leader="none" w:pos="64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We guarantee borrowings by our subsidiaries under the credit facility. We must also maintain a ratio of net debt as defined in the credit agreement (total debt after swaps less cash and cash equivalents) as of the last day of each fiscal quarter to EBITDA as defined in the credit agreement (earnings before interest, income taxes, depreciation and amortization and other modifications described in the credit agreement) for the last four quarters ended of not more than 4.5:1. If we complete an acquisition with a purchase price of over $500 million, we may elect, subject to notification, to temporarily increase the ratio of net debt to EBITDA to 5.0:1 at the end of the quarter within which the transaction closed and for each of the three immediately following fiscal quarters. At the end of that period, the ratio would revert to</w:t>
      </w:r>
    </w:p>
    <w:p>
      <w:pPr>
        <w:spacing w:after="0" w:line="1" w:lineRule="exact"/>
        <w:rPr>
          <w:rFonts w:ascii="Times New Roman" w:cs="Times New Roman" w:eastAsia="Times New Roman" w:hAnsi="Times New Roman"/>
          <w:sz w:val="16"/>
          <w:szCs w:val="16"/>
          <w:color w:val="auto"/>
        </w:rPr>
      </w:pPr>
    </w:p>
    <w:p>
      <w:pPr>
        <w:ind w:left="640" w:right="300"/>
        <w:spacing w:after="0"/>
        <w:rPr>
          <w:rFonts w:ascii="Times New Roman" w:cs="Times New Roman" w:eastAsia="Times New Roman" w:hAnsi="Times New Roman"/>
          <w:sz w:val="16"/>
          <w:szCs w:val="16"/>
          <w:color w:val="auto"/>
        </w:rPr>
      </w:pPr>
      <w:r>
        <w:rPr>
          <w:rFonts w:ascii="Arial" w:cs="Arial" w:eastAsia="Arial" w:hAnsi="Arial"/>
          <w:sz w:val="17"/>
          <w:szCs w:val="17"/>
          <w:color w:val="auto"/>
        </w:rPr>
        <w:t>4.5:1. As of December 31, 2024, we complied with this covenant as our ratio of net debt to EBITDA, as calculated under the terms of our syndicated credit facility, was 0.3:1.</w:t>
      </w:r>
    </w:p>
    <w:p>
      <w:pPr>
        <w:spacing w:after="0" w:line="57" w:lineRule="exact"/>
        <w:rPr>
          <w:sz w:val="20"/>
          <w:szCs w:val="20"/>
          <w:color w:val="auto"/>
        </w:rPr>
      </w:pPr>
    </w:p>
    <w:p>
      <w:pPr>
        <w:ind w:left="640" w:right="280" w:hanging="422"/>
        <w:spacing w:after="0" w:line="260" w:lineRule="auto"/>
        <w:tabs>
          <w:tab w:leader="none" w:pos="640" w:val="left"/>
        </w:tabs>
        <w:numPr>
          <w:ilvl w:val="0"/>
          <w:numId w:val="44"/>
        </w:numPr>
        <w:rPr>
          <w:rFonts w:ascii="Arial" w:cs="Arial" w:eastAsia="Arial" w:hAnsi="Arial"/>
          <w:sz w:val="17"/>
          <w:szCs w:val="17"/>
          <w:color w:val="D64000"/>
        </w:rPr>
      </w:pPr>
      <w:r>
        <w:rPr>
          <w:rFonts w:ascii="Arial" w:cs="Arial" w:eastAsia="Arial" w:hAnsi="Arial"/>
          <w:sz w:val="17"/>
          <w:szCs w:val="17"/>
          <w:b w:val="1"/>
          <w:bCs w:val="1"/>
          <w:color w:val="auto"/>
        </w:rPr>
        <w:t>Long-term debt</w:t>
      </w:r>
      <w:r>
        <w:rPr>
          <w:rFonts w:ascii="Arial" w:cs="Arial" w:eastAsia="Arial" w:hAnsi="Arial"/>
          <w:sz w:val="17"/>
          <w:szCs w:val="17"/>
          <w:color w:val="auto"/>
        </w:rPr>
        <w:t>. In September 2024, we repaid upon maturity the outstanding $242 million balance of our $450 million 3.85% notes due</w:t>
      </w:r>
      <w:r>
        <w:rPr>
          <w:rFonts w:ascii="Arial" w:cs="Arial" w:eastAsia="Arial" w:hAnsi="Arial"/>
          <w:sz w:val="17"/>
          <w:szCs w:val="17"/>
          <w:b w:val="1"/>
          <w:bCs w:val="1"/>
          <w:color w:val="auto"/>
        </w:rPr>
        <w:t xml:space="preserve"> </w:t>
      </w:r>
      <w:r>
        <w:rPr>
          <w:rFonts w:ascii="Arial" w:cs="Arial" w:eastAsia="Arial" w:hAnsi="Arial"/>
          <w:sz w:val="17"/>
          <w:szCs w:val="17"/>
          <w:color w:val="auto"/>
        </w:rPr>
        <w:t>2024 with cash on hand. In November 2023, we repaid upon maturity our $600 million 4.30% notes due 2023 with cash on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81915</wp:posOffset>
            </wp:positionV>
            <wp:extent cx="68656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9"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46</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640" w:right="20" w:hanging="422"/>
        <w:spacing w:after="0" w:line="233" w:lineRule="auto"/>
        <w:tabs>
          <w:tab w:leader="none" w:pos="64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In June 2024, we filed a new base shelf prospectus pursuant to which Thomson Reuters Corporation (TRC) and one of its U.S. subsidiaries, TR Finance LLC (TR Finance), may collectively issue up to $3.0 billion of unsecured debt securities from time to time through July 19, 2026. Any debt securities issued by TR Finance LLC will be fully and unconditionally guaranteed on an unsecured basis by TRC and three U.S. subsidiary guarantors, which are also indirect 100%-owned and consolidated subsidiaries of TRC. Except for TR Finance and the subsidiary guarantors, none of Thomson Reuters Corporation’s other subsidiaries have guaranteed or would otherwise become obligated with respect to any issued TR Finance debt securities. As of December 31, 2024, neither TRC nor TR Finance have issued any debt securities under the prospectus. Please refer to Appendix G of this management’s discussion and analysis for condensed consolidating financial information of the Company, including TR Finance and the subsidiary guarantors.</w:t>
      </w:r>
    </w:p>
    <w:p>
      <w:pPr>
        <w:spacing w:after="0" w:line="57" w:lineRule="exact"/>
        <w:rPr>
          <w:rFonts w:ascii="Times New Roman" w:cs="Times New Roman" w:eastAsia="Times New Roman" w:hAnsi="Times New Roman"/>
          <w:sz w:val="17"/>
          <w:szCs w:val="17"/>
          <w:color w:val="auto"/>
        </w:rPr>
      </w:pPr>
    </w:p>
    <w:p>
      <w:pPr>
        <w:ind w:left="640" w:right="80" w:hanging="422"/>
        <w:spacing w:after="0" w:line="258" w:lineRule="auto"/>
        <w:tabs>
          <w:tab w:leader="none" w:pos="64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On February 11, 2025, we commenced offers to exchange any or all validly tendered and accepted notes of TRC of the series of notes below for new notes issued by TR Finance, an indirect 100% owned U.S. subsidiary of TRC in order to optimize the Thomson Reuters group capital structure, align revenue generation to indebtedness, and give existing holders of the existing notes the option to receive notes issued by TR Finance with the same financial terms and substantially similar covenants as the applicable series of the existing notes:</w:t>
      </w:r>
    </w:p>
    <w:p>
      <w:pPr>
        <w:spacing w:after="0" w:line="42" w:lineRule="exact"/>
        <w:rPr>
          <w:rFonts w:ascii="Times New Roman" w:cs="Times New Roman" w:eastAsia="Times New Roman" w:hAnsi="Times New Roman"/>
          <w:sz w:val="16"/>
          <w:szCs w:val="16"/>
          <w:color w:val="auto"/>
        </w:rPr>
      </w:pPr>
    </w:p>
    <w:p>
      <w:pPr>
        <w:ind w:left="1060" w:hanging="418"/>
        <w:spacing w:after="0"/>
        <w:tabs>
          <w:tab w:leader="none" w:pos="1060" w:val="left"/>
        </w:tabs>
        <w:numPr>
          <w:ilvl w:val="1"/>
          <w:numId w:val="45"/>
        </w:numPr>
        <w:rPr>
          <w:rFonts w:ascii="Arial" w:cs="Arial" w:eastAsia="Arial" w:hAnsi="Arial"/>
          <w:sz w:val="17"/>
          <w:szCs w:val="17"/>
          <w:color w:val="D64000"/>
        </w:rPr>
      </w:pPr>
      <w:r>
        <w:rPr>
          <w:rFonts w:ascii="Arial" w:cs="Arial" w:eastAsia="Arial" w:hAnsi="Arial"/>
          <w:sz w:val="17"/>
          <w:szCs w:val="17"/>
          <w:color w:val="auto"/>
        </w:rPr>
        <w:t>$500 million 3.35% Notes due 2026;</w:t>
      </w:r>
    </w:p>
    <w:p>
      <w:pPr>
        <w:spacing w:after="0" w:line="6" w:lineRule="exact"/>
        <w:rPr>
          <w:rFonts w:ascii="Arial" w:cs="Arial" w:eastAsia="Arial" w:hAnsi="Arial"/>
          <w:sz w:val="17"/>
          <w:szCs w:val="17"/>
          <w:color w:val="D64000"/>
        </w:rPr>
      </w:pPr>
    </w:p>
    <w:p>
      <w:pPr>
        <w:ind w:left="1060" w:hanging="418"/>
        <w:spacing w:after="0" w:line="227" w:lineRule="auto"/>
        <w:tabs>
          <w:tab w:leader="none" w:pos="1060" w:val="left"/>
        </w:tabs>
        <w:numPr>
          <w:ilvl w:val="1"/>
          <w:numId w:val="45"/>
        </w:numPr>
        <w:rPr>
          <w:rFonts w:ascii="Arial" w:cs="Arial" w:eastAsia="Arial" w:hAnsi="Arial"/>
          <w:sz w:val="17"/>
          <w:szCs w:val="17"/>
          <w:color w:val="D64000"/>
        </w:rPr>
      </w:pPr>
      <w:r>
        <w:rPr>
          <w:rFonts w:ascii="Arial" w:cs="Arial" w:eastAsia="Arial" w:hAnsi="Arial"/>
          <w:sz w:val="17"/>
          <w:szCs w:val="17"/>
          <w:color w:val="auto"/>
        </w:rPr>
        <w:t>$500 million 5.85% Notes due 2040;</w:t>
      </w:r>
    </w:p>
    <w:p>
      <w:pPr>
        <w:ind w:left="1060" w:hanging="418"/>
        <w:spacing w:after="0" w:line="227" w:lineRule="auto"/>
        <w:tabs>
          <w:tab w:leader="none" w:pos="1060" w:val="left"/>
        </w:tabs>
        <w:numPr>
          <w:ilvl w:val="1"/>
          <w:numId w:val="45"/>
        </w:numPr>
        <w:rPr>
          <w:rFonts w:ascii="Arial" w:cs="Arial" w:eastAsia="Arial" w:hAnsi="Arial"/>
          <w:sz w:val="17"/>
          <w:szCs w:val="17"/>
          <w:color w:val="D64000"/>
        </w:rPr>
      </w:pPr>
      <w:r>
        <w:rPr>
          <w:rFonts w:ascii="Arial" w:cs="Arial" w:eastAsia="Arial" w:hAnsi="Arial"/>
          <w:sz w:val="17"/>
          <w:szCs w:val="17"/>
          <w:color w:val="auto"/>
        </w:rPr>
        <w:t>$119 million 4.50% Notes due 2043;</w:t>
      </w:r>
    </w:p>
    <w:p>
      <w:pPr>
        <w:ind w:left="1060" w:hanging="418"/>
        <w:spacing w:after="0" w:line="227" w:lineRule="auto"/>
        <w:tabs>
          <w:tab w:leader="none" w:pos="1060" w:val="left"/>
        </w:tabs>
        <w:numPr>
          <w:ilvl w:val="1"/>
          <w:numId w:val="45"/>
        </w:numPr>
        <w:rPr>
          <w:rFonts w:ascii="Arial" w:cs="Arial" w:eastAsia="Arial" w:hAnsi="Arial"/>
          <w:sz w:val="17"/>
          <w:szCs w:val="17"/>
          <w:color w:val="D64000"/>
        </w:rPr>
      </w:pPr>
      <w:r>
        <w:rPr>
          <w:rFonts w:ascii="Arial" w:cs="Arial" w:eastAsia="Arial" w:hAnsi="Arial"/>
          <w:sz w:val="17"/>
          <w:szCs w:val="17"/>
          <w:color w:val="auto"/>
        </w:rPr>
        <w:t>$350 million 5.65% Notes due 2043; and</w:t>
      </w:r>
    </w:p>
    <w:p>
      <w:pPr>
        <w:ind w:left="1060" w:hanging="418"/>
        <w:spacing w:after="0"/>
        <w:tabs>
          <w:tab w:leader="none" w:pos="1060" w:val="left"/>
        </w:tabs>
        <w:numPr>
          <w:ilvl w:val="1"/>
          <w:numId w:val="45"/>
        </w:numPr>
        <w:rPr>
          <w:rFonts w:ascii="Arial" w:cs="Arial" w:eastAsia="Arial" w:hAnsi="Arial"/>
          <w:sz w:val="17"/>
          <w:szCs w:val="17"/>
          <w:color w:val="D64000"/>
        </w:rPr>
      </w:pPr>
      <w:r>
        <w:rPr>
          <w:rFonts w:ascii="Arial" w:cs="Arial" w:eastAsia="Arial" w:hAnsi="Arial"/>
          <w:sz w:val="17"/>
          <w:szCs w:val="17"/>
          <w:color w:val="auto"/>
        </w:rPr>
        <w:t>$400 million 5.50% Debentures due 2035.</w:t>
      </w:r>
    </w:p>
    <w:p>
      <w:pPr>
        <w:spacing w:after="0" w:line="66" w:lineRule="exact"/>
        <w:rPr>
          <w:rFonts w:ascii="Arial" w:cs="Arial" w:eastAsia="Arial" w:hAnsi="Arial"/>
          <w:sz w:val="17"/>
          <w:szCs w:val="17"/>
          <w:color w:val="D64000"/>
        </w:rPr>
      </w:pPr>
    </w:p>
    <w:p>
      <w:pPr>
        <w:ind w:left="640" w:right="260" w:hanging="422"/>
        <w:spacing w:after="0" w:line="243" w:lineRule="auto"/>
        <w:tabs>
          <w:tab w:leader="none" w:pos="64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The exchange offers will not have a significant impact on our annual interest expense and will not change our debt maturity profile. Following completion of the exchange offers, we plan to update our base shelf prospectus to reflect the finalized terms of the TR Finance indenture and the guarantee of the TRC notes by the three U.S. subsidiary guarantors.</w:t>
      </w:r>
    </w:p>
    <w:p>
      <w:pPr>
        <w:spacing w:after="0" w:line="46"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Arial" w:cs="Arial" w:eastAsia="Arial" w:hAnsi="Arial"/>
          <w:sz w:val="18"/>
          <w:szCs w:val="18"/>
          <w:color w:val="auto"/>
        </w:rPr>
        <w:t>See the “Subsequent Events” section of this management’s discussion and analysis for additional information.</w:t>
      </w:r>
    </w:p>
    <w:p>
      <w:pPr>
        <w:spacing w:after="0" w:line="79" w:lineRule="exact"/>
        <w:rPr>
          <w:sz w:val="20"/>
          <w:szCs w:val="20"/>
          <w:color w:val="auto"/>
        </w:rPr>
      </w:pPr>
    </w:p>
    <w:p>
      <w:pPr>
        <w:ind w:left="640" w:right="140" w:hanging="422"/>
        <w:spacing w:after="0" w:line="238" w:lineRule="auto"/>
        <w:tabs>
          <w:tab w:leader="none" w:pos="640" w:val="left"/>
        </w:tabs>
        <w:numPr>
          <w:ilvl w:val="0"/>
          <w:numId w:val="46"/>
        </w:numPr>
        <w:rPr>
          <w:rFonts w:ascii="Arial" w:cs="Arial" w:eastAsia="Arial" w:hAnsi="Arial"/>
          <w:sz w:val="17"/>
          <w:szCs w:val="17"/>
          <w:color w:val="D64000"/>
        </w:rPr>
      </w:pPr>
      <w:r>
        <w:rPr>
          <w:rFonts w:ascii="Arial" w:cs="Arial" w:eastAsia="Arial" w:hAnsi="Arial"/>
          <w:sz w:val="17"/>
          <w:szCs w:val="17"/>
          <w:b w:val="1"/>
          <w:bCs w:val="1"/>
          <w:color w:val="auto"/>
        </w:rPr>
        <w:t xml:space="preserve">Credit ratings. </w:t>
      </w:r>
      <w:r>
        <w:rPr>
          <w:rFonts w:ascii="Arial" w:cs="Arial" w:eastAsia="Arial" w:hAnsi="Arial"/>
          <w:sz w:val="17"/>
          <w:szCs w:val="17"/>
          <w:color w:val="auto"/>
        </w:rPr>
        <w:t>Our access to financing depends on, among other things, suitable market conditions and the maintenance of suitable long-term credit ratings. Our credit ratings may be adversely affected by various factors, including increased debt levels, decreased earnings, declines in customer demand, increased competition, a deterioration in general economic and business conditions and adverse publicity. Any downgrades in our credit ratings may impede our access to the debt markets or result in higher borrowing rates.</w:t>
      </w:r>
    </w:p>
    <w:p>
      <w:pPr>
        <w:spacing w:after="0" w:line="59" w:lineRule="exact"/>
        <w:rPr>
          <w:sz w:val="20"/>
          <w:szCs w:val="20"/>
          <w:color w:val="auto"/>
        </w:rPr>
      </w:pPr>
    </w:p>
    <w:p>
      <w:pPr>
        <w:ind w:left="640" w:hanging="422"/>
        <w:spacing w:after="0"/>
        <w:tabs>
          <w:tab w:leader="none" w:pos="64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In May 2024, S&amp;P Global Ratings upgraded our long-term debt to BBB+ from BBB.</w:t>
      </w:r>
    </w:p>
    <w:p>
      <w:pPr>
        <w:spacing w:after="0" w:line="95" w:lineRule="exact"/>
        <w:rPr>
          <w:rFonts w:ascii="Times New Roman" w:cs="Times New Roman" w:eastAsia="Times New Roman" w:hAnsi="Times New Roman"/>
          <w:sz w:val="17"/>
          <w:szCs w:val="17"/>
          <w:color w:val="auto"/>
        </w:rPr>
      </w:pPr>
    </w:p>
    <w:p>
      <w:pPr>
        <w:ind w:left="640" w:right="940" w:hanging="422"/>
        <w:spacing w:after="0" w:line="259" w:lineRule="auto"/>
        <w:tabs>
          <w:tab w:leader="none" w:pos="64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The following table sets forth the credit ratings from rating agencies in respect of our outstanding securities as of the date of this management’s discussion and analysis:</w:t>
      </w:r>
    </w:p>
    <w:p>
      <w:pPr>
        <w:spacing w:after="0" w:line="209" w:lineRule="exact"/>
        <w:rPr>
          <w:sz w:val="20"/>
          <w:szCs w:val="20"/>
          <w:color w:val="auto"/>
        </w:rPr>
      </w:pPr>
    </w:p>
    <w:tbl>
      <w:tblPr>
        <w:tblLayout w:type="fixed"/>
        <w:tblInd w:w="600" w:type="dxa"/>
        <w:tblCellMar>
          <w:top w:w="0" w:type="dxa"/>
          <w:left w:w="0" w:type="dxa"/>
          <w:bottom w:w="0" w:type="dxa"/>
          <w:right w:w="0" w:type="dxa"/>
        </w:tblCellMar>
      </w:tblPr>
      <w:tr>
        <w:trPr>
          <w:trHeight w:val="192"/>
        </w:trPr>
        <w:tc>
          <w:tcPr>
            <w:tcW w:w="2420" w:type="dxa"/>
            <w:vAlign w:val="bottom"/>
            <w:tcBorders>
              <w:bottom w:val="single" w:sz="8" w:color="D64000"/>
            </w:tcBorders>
            <w:shd w:val="clear" w:color="auto" w:fill="1F473D"/>
          </w:tcPr>
          <w:p>
            <w:pPr>
              <w:spacing w:after="0"/>
              <w:rPr>
                <w:sz w:val="16"/>
                <w:szCs w:val="16"/>
                <w:color w:val="auto"/>
              </w:rPr>
            </w:pPr>
          </w:p>
        </w:tc>
        <w:tc>
          <w:tcPr>
            <w:tcW w:w="2200" w:type="dxa"/>
            <w:vAlign w:val="bottom"/>
            <w:tcBorders>
              <w:bottom w:val="single" w:sz="8" w:color="D64000"/>
            </w:tcBorders>
            <w:shd w:val="clear" w:color="auto" w:fill="1F473D"/>
          </w:tcPr>
          <w:p>
            <w:pPr>
              <w:jc w:val="center"/>
              <w:ind w:left="361"/>
              <w:spacing w:after="0"/>
              <w:rPr>
                <w:sz w:val="20"/>
                <w:szCs w:val="20"/>
                <w:color w:val="auto"/>
              </w:rPr>
            </w:pPr>
            <w:r>
              <w:rPr>
                <w:rFonts w:ascii="Arial" w:cs="Arial" w:eastAsia="Arial" w:hAnsi="Arial"/>
                <w:sz w:val="16"/>
                <w:szCs w:val="16"/>
                <w:b w:val="1"/>
                <w:bCs w:val="1"/>
                <w:color w:val="FFFFFF"/>
                <w:w w:val="98"/>
              </w:rPr>
              <w:t>Moody’s</w:t>
            </w:r>
          </w:p>
        </w:tc>
        <w:tc>
          <w:tcPr>
            <w:tcW w:w="2600" w:type="dxa"/>
            <w:vAlign w:val="bottom"/>
            <w:tcBorders>
              <w:bottom w:val="single" w:sz="8" w:color="D64000"/>
            </w:tcBorders>
            <w:shd w:val="clear" w:color="auto" w:fill="1F473D"/>
          </w:tcPr>
          <w:p>
            <w:pPr>
              <w:jc w:val="center"/>
              <w:spacing w:after="0"/>
              <w:rPr>
                <w:sz w:val="20"/>
                <w:szCs w:val="20"/>
                <w:color w:val="auto"/>
              </w:rPr>
            </w:pPr>
            <w:r>
              <w:rPr>
                <w:rFonts w:ascii="Arial" w:cs="Arial" w:eastAsia="Arial" w:hAnsi="Arial"/>
                <w:sz w:val="16"/>
                <w:szCs w:val="16"/>
                <w:b w:val="1"/>
                <w:bCs w:val="1"/>
                <w:color w:val="FFFFFF"/>
                <w:w w:val="98"/>
              </w:rPr>
              <w:t>S&amp;P Global Ratings</w:t>
            </w:r>
          </w:p>
        </w:tc>
        <w:tc>
          <w:tcPr>
            <w:tcW w:w="2000" w:type="dxa"/>
            <w:vAlign w:val="bottom"/>
            <w:tcBorders>
              <w:bottom w:val="single" w:sz="8" w:color="D64000"/>
            </w:tcBorders>
            <w:shd w:val="clear" w:color="auto" w:fill="1F473D"/>
          </w:tcPr>
          <w:p>
            <w:pPr>
              <w:jc w:val="center"/>
              <w:ind w:left="101"/>
              <w:spacing w:after="0"/>
              <w:rPr>
                <w:sz w:val="20"/>
                <w:szCs w:val="20"/>
                <w:color w:val="auto"/>
              </w:rPr>
            </w:pPr>
            <w:r>
              <w:rPr>
                <w:rFonts w:ascii="Arial" w:cs="Arial" w:eastAsia="Arial" w:hAnsi="Arial"/>
                <w:sz w:val="16"/>
                <w:szCs w:val="16"/>
                <w:b w:val="1"/>
                <w:bCs w:val="1"/>
                <w:color w:val="FFFFFF"/>
                <w:w w:val="99"/>
              </w:rPr>
              <w:t>DBRS Limited</w:t>
            </w:r>
          </w:p>
        </w:tc>
        <w:tc>
          <w:tcPr>
            <w:tcW w:w="820" w:type="dxa"/>
            <w:vAlign w:val="bottom"/>
            <w:tcBorders>
              <w:bottom w:val="single" w:sz="8" w:color="D64000"/>
            </w:tcBorders>
            <w:shd w:val="clear" w:color="auto" w:fill="1F473D"/>
          </w:tcPr>
          <w:p>
            <w:pPr>
              <w:jc w:val="center"/>
              <w:ind w:left="281"/>
              <w:spacing w:after="0"/>
              <w:rPr>
                <w:sz w:val="20"/>
                <w:szCs w:val="20"/>
                <w:color w:val="auto"/>
              </w:rPr>
            </w:pPr>
            <w:r>
              <w:rPr>
                <w:rFonts w:ascii="Arial" w:cs="Arial" w:eastAsia="Arial" w:hAnsi="Arial"/>
                <w:sz w:val="16"/>
                <w:szCs w:val="16"/>
                <w:b w:val="1"/>
                <w:bCs w:val="1"/>
                <w:color w:val="FFFFFF"/>
                <w:w w:val="99"/>
              </w:rPr>
              <w:t>Fitch</w:t>
            </w:r>
          </w:p>
        </w:tc>
      </w:tr>
      <w:tr>
        <w:trPr>
          <w:trHeight w:val="257"/>
        </w:trPr>
        <w:tc>
          <w:tcPr>
            <w:tcW w:w="2420" w:type="dxa"/>
            <w:vAlign w:val="bottom"/>
          </w:tcPr>
          <w:p>
            <w:pPr>
              <w:spacing w:after="0"/>
              <w:rPr>
                <w:sz w:val="20"/>
                <w:szCs w:val="20"/>
                <w:color w:val="auto"/>
              </w:rPr>
            </w:pPr>
            <w:r>
              <w:rPr>
                <w:rFonts w:ascii="Arial" w:cs="Arial" w:eastAsia="Arial" w:hAnsi="Arial"/>
                <w:sz w:val="16"/>
                <w:szCs w:val="16"/>
                <w:b w:val="1"/>
                <w:bCs w:val="1"/>
                <w:color w:val="auto"/>
              </w:rPr>
              <w:t> Long-term debt</w:t>
            </w:r>
          </w:p>
        </w:tc>
        <w:tc>
          <w:tcPr>
            <w:tcW w:w="2200" w:type="dxa"/>
            <w:vAlign w:val="bottom"/>
          </w:tcPr>
          <w:p>
            <w:pPr>
              <w:jc w:val="center"/>
              <w:ind w:left="381"/>
              <w:spacing w:after="0"/>
              <w:rPr>
                <w:sz w:val="20"/>
                <w:szCs w:val="20"/>
                <w:color w:val="auto"/>
              </w:rPr>
            </w:pPr>
            <w:r>
              <w:rPr>
                <w:rFonts w:ascii="Arial" w:cs="Arial" w:eastAsia="Arial" w:hAnsi="Arial"/>
                <w:sz w:val="16"/>
                <w:szCs w:val="16"/>
                <w:color w:val="auto"/>
              </w:rPr>
              <w:t>Baa1</w:t>
            </w:r>
          </w:p>
        </w:tc>
        <w:tc>
          <w:tcPr>
            <w:tcW w:w="2600" w:type="dxa"/>
            <w:vAlign w:val="bottom"/>
          </w:tcPr>
          <w:p>
            <w:pPr>
              <w:jc w:val="center"/>
              <w:spacing w:after="0"/>
              <w:rPr>
                <w:sz w:val="20"/>
                <w:szCs w:val="20"/>
                <w:color w:val="auto"/>
              </w:rPr>
            </w:pPr>
            <w:r>
              <w:rPr>
                <w:rFonts w:ascii="Arial" w:cs="Arial" w:eastAsia="Arial" w:hAnsi="Arial"/>
                <w:sz w:val="16"/>
                <w:szCs w:val="16"/>
                <w:color w:val="auto"/>
                <w:w w:val="96"/>
              </w:rPr>
              <w:t>BBB+</w:t>
            </w:r>
          </w:p>
        </w:tc>
        <w:tc>
          <w:tcPr>
            <w:tcW w:w="2000" w:type="dxa"/>
            <w:vAlign w:val="bottom"/>
          </w:tcPr>
          <w:p>
            <w:pPr>
              <w:jc w:val="center"/>
              <w:ind w:left="81"/>
              <w:spacing w:after="0"/>
              <w:rPr>
                <w:sz w:val="20"/>
                <w:szCs w:val="20"/>
                <w:color w:val="auto"/>
              </w:rPr>
            </w:pPr>
            <w:r>
              <w:rPr>
                <w:rFonts w:ascii="Arial" w:cs="Arial" w:eastAsia="Arial" w:hAnsi="Arial"/>
                <w:sz w:val="16"/>
                <w:szCs w:val="16"/>
                <w:color w:val="auto"/>
                <w:w w:val="98"/>
              </w:rPr>
              <w:t>BBB (high)</w:t>
            </w:r>
          </w:p>
        </w:tc>
        <w:tc>
          <w:tcPr>
            <w:tcW w:w="820" w:type="dxa"/>
            <w:vAlign w:val="bottom"/>
          </w:tcPr>
          <w:p>
            <w:pPr>
              <w:jc w:val="center"/>
              <w:ind w:left="281"/>
              <w:spacing w:after="0"/>
              <w:rPr>
                <w:sz w:val="20"/>
                <w:szCs w:val="20"/>
                <w:color w:val="auto"/>
              </w:rPr>
            </w:pPr>
            <w:r>
              <w:rPr>
                <w:rFonts w:ascii="Arial" w:cs="Arial" w:eastAsia="Arial" w:hAnsi="Arial"/>
                <w:sz w:val="16"/>
                <w:szCs w:val="16"/>
                <w:color w:val="auto"/>
              </w:rPr>
              <w:t>BBB+</w:t>
            </w:r>
          </w:p>
        </w:tc>
      </w:tr>
      <w:tr>
        <w:trPr>
          <w:trHeight w:val="252"/>
        </w:trPr>
        <w:tc>
          <w:tcPr>
            <w:tcW w:w="2420" w:type="dxa"/>
            <w:vAlign w:val="bottom"/>
          </w:tcPr>
          <w:p>
            <w:pPr>
              <w:spacing w:after="0"/>
              <w:rPr>
                <w:sz w:val="20"/>
                <w:szCs w:val="20"/>
                <w:color w:val="auto"/>
              </w:rPr>
            </w:pPr>
            <w:r>
              <w:rPr>
                <w:rFonts w:ascii="Arial" w:cs="Arial" w:eastAsia="Arial" w:hAnsi="Arial"/>
                <w:sz w:val="16"/>
                <w:szCs w:val="16"/>
                <w:b w:val="1"/>
                <w:bCs w:val="1"/>
                <w:color w:val="auto"/>
              </w:rPr>
              <w:t> Commercial paper</w:t>
            </w:r>
          </w:p>
        </w:tc>
        <w:tc>
          <w:tcPr>
            <w:tcW w:w="2200" w:type="dxa"/>
            <w:vAlign w:val="bottom"/>
          </w:tcPr>
          <w:p>
            <w:pPr>
              <w:jc w:val="center"/>
              <w:ind w:left="361"/>
              <w:spacing w:after="0"/>
              <w:rPr>
                <w:sz w:val="20"/>
                <w:szCs w:val="20"/>
                <w:color w:val="auto"/>
              </w:rPr>
            </w:pPr>
            <w:r>
              <w:rPr>
                <w:rFonts w:ascii="Arial" w:cs="Arial" w:eastAsia="Arial" w:hAnsi="Arial"/>
                <w:sz w:val="16"/>
                <w:szCs w:val="16"/>
                <w:color w:val="auto"/>
                <w:w w:val="96"/>
              </w:rPr>
              <w:t>P-2</w:t>
            </w:r>
          </w:p>
        </w:tc>
        <w:tc>
          <w:tcPr>
            <w:tcW w:w="2600" w:type="dxa"/>
            <w:vAlign w:val="bottom"/>
          </w:tcPr>
          <w:p>
            <w:pPr>
              <w:jc w:val="center"/>
              <w:spacing w:after="0"/>
              <w:rPr>
                <w:sz w:val="20"/>
                <w:szCs w:val="20"/>
                <w:color w:val="auto"/>
              </w:rPr>
            </w:pPr>
            <w:r>
              <w:rPr>
                <w:rFonts w:ascii="Arial" w:cs="Arial" w:eastAsia="Arial" w:hAnsi="Arial"/>
                <w:sz w:val="16"/>
                <w:szCs w:val="16"/>
                <w:color w:val="auto"/>
                <w:w w:val="96"/>
              </w:rPr>
              <w:t>A-2</w:t>
            </w:r>
          </w:p>
        </w:tc>
        <w:tc>
          <w:tcPr>
            <w:tcW w:w="2000" w:type="dxa"/>
            <w:vAlign w:val="bottom"/>
          </w:tcPr>
          <w:p>
            <w:pPr>
              <w:jc w:val="center"/>
              <w:ind w:left="101"/>
              <w:spacing w:after="0"/>
              <w:rPr>
                <w:sz w:val="20"/>
                <w:szCs w:val="20"/>
                <w:color w:val="auto"/>
              </w:rPr>
            </w:pPr>
            <w:r>
              <w:rPr>
                <w:rFonts w:ascii="Arial" w:cs="Arial" w:eastAsia="Arial" w:hAnsi="Arial"/>
                <w:sz w:val="16"/>
                <w:szCs w:val="16"/>
                <w:color w:val="auto"/>
                <w:w w:val="98"/>
              </w:rPr>
              <w:t>R-2 (high)</w:t>
            </w:r>
          </w:p>
        </w:tc>
        <w:tc>
          <w:tcPr>
            <w:tcW w:w="820" w:type="dxa"/>
            <w:vAlign w:val="bottom"/>
          </w:tcPr>
          <w:p>
            <w:pPr>
              <w:jc w:val="center"/>
              <w:ind w:left="281"/>
              <w:spacing w:after="0"/>
              <w:rPr>
                <w:sz w:val="20"/>
                <w:szCs w:val="20"/>
                <w:color w:val="auto"/>
              </w:rPr>
            </w:pPr>
            <w:r>
              <w:rPr>
                <w:rFonts w:ascii="Arial" w:cs="Arial" w:eastAsia="Arial" w:hAnsi="Arial"/>
                <w:sz w:val="16"/>
                <w:szCs w:val="16"/>
                <w:color w:val="auto"/>
                <w:w w:val="96"/>
              </w:rPr>
              <w:t>F1</w:t>
            </w:r>
          </w:p>
        </w:tc>
      </w:tr>
      <w:tr>
        <w:trPr>
          <w:trHeight w:val="240"/>
        </w:trPr>
        <w:tc>
          <w:tcPr>
            <w:tcW w:w="2420" w:type="dxa"/>
            <w:vAlign w:val="bottom"/>
            <w:tcBorders>
              <w:bottom w:val="single" w:sz="8" w:color="D64000"/>
            </w:tcBorders>
          </w:tcPr>
          <w:p>
            <w:pPr>
              <w:spacing w:after="0"/>
              <w:rPr>
                <w:sz w:val="20"/>
                <w:szCs w:val="20"/>
                <w:color w:val="auto"/>
              </w:rPr>
            </w:pPr>
            <w:r>
              <w:rPr>
                <w:rFonts w:ascii="Arial" w:cs="Arial" w:eastAsia="Arial" w:hAnsi="Arial"/>
                <w:sz w:val="16"/>
                <w:szCs w:val="16"/>
                <w:b w:val="1"/>
                <w:bCs w:val="1"/>
                <w:color w:val="auto"/>
              </w:rPr>
              <w:t> Trend/Outlook</w:t>
            </w:r>
          </w:p>
        </w:tc>
        <w:tc>
          <w:tcPr>
            <w:tcW w:w="2200" w:type="dxa"/>
            <w:vAlign w:val="bottom"/>
            <w:tcBorders>
              <w:bottom w:val="single" w:sz="8" w:color="D64000"/>
            </w:tcBorders>
          </w:tcPr>
          <w:p>
            <w:pPr>
              <w:jc w:val="center"/>
              <w:ind w:left="381"/>
              <w:spacing w:after="0"/>
              <w:rPr>
                <w:sz w:val="20"/>
                <w:szCs w:val="20"/>
                <w:color w:val="auto"/>
              </w:rPr>
            </w:pPr>
            <w:r>
              <w:rPr>
                <w:rFonts w:ascii="Arial" w:cs="Arial" w:eastAsia="Arial" w:hAnsi="Arial"/>
                <w:sz w:val="16"/>
                <w:szCs w:val="16"/>
                <w:color w:val="auto"/>
              </w:rPr>
              <w:t>Stable</w:t>
            </w:r>
          </w:p>
        </w:tc>
        <w:tc>
          <w:tcPr>
            <w:tcW w:w="2600" w:type="dxa"/>
            <w:vAlign w:val="bottom"/>
            <w:tcBorders>
              <w:bottom w:val="single" w:sz="8" w:color="D64000"/>
            </w:tcBorders>
          </w:tcPr>
          <w:p>
            <w:pPr>
              <w:jc w:val="center"/>
              <w:spacing w:after="0"/>
              <w:rPr>
                <w:sz w:val="20"/>
                <w:szCs w:val="20"/>
                <w:color w:val="auto"/>
              </w:rPr>
            </w:pPr>
            <w:r>
              <w:rPr>
                <w:rFonts w:ascii="Arial" w:cs="Arial" w:eastAsia="Arial" w:hAnsi="Arial"/>
                <w:sz w:val="16"/>
                <w:szCs w:val="16"/>
                <w:color w:val="auto"/>
                <w:w w:val="96"/>
              </w:rPr>
              <w:t>Stable</w:t>
            </w:r>
          </w:p>
        </w:tc>
        <w:tc>
          <w:tcPr>
            <w:tcW w:w="2000" w:type="dxa"/>
            <w:vAlign w:val="bottom"/>
            <w:tcBorders>
              <w:bottom w:val="single" w:sz="8" w:color="D64000"/>
            </w:tcBorders>
          </w:tcPr>
          <w:p>
            <w:pPr>
              <w:jc w:val="center"/>
              <w:ind w:left="81"/>
              <w:spacing w:after="0"/>
              <w:rPr>
                <w:sz w:val="20"/>
                <w:szCs w:val="20"/>
                <w:color w:val="auto"/>
              </w:rPr>
            </w:pPr>
            <w:r>
              <w:rPr>
                <w:rFonts w:ascii="Arial" w:cs="Arial" w:eastAsia="Arial" w:hAnsi="Arial"/>
                <w:sz w:val="16"/>
                <w:szCs w:val="16"/>
                <w:color w:val="auto"/>
                <w:w w:val="96"/>
              </w:rPr>
              <w:t>Stable</w:t>
            </w:r>
          </w:p>
        </w:tc>
        <w:tc>
          <w:tcPr>
            <w:tcW w:w="820" w:type="dxa"/>
            <w:vAlign w:val="bottom"/>
            <w:tcBorders>
              <w:bottom w:val="single" w:sz="8" w:color="D64000"/>
            </w:tcBorders>
          </w:tcPr>
          <w:p>
            <w:pPr>
              <w:jc w:val="center"/>
              <w:ind w:left="281"/>
              <w:spacing w:after="0"/>
              <w:rPr>
                <w:sz w:val="20"/>
                <w:szCs w:val="20"/>
                <w:color w:val="auto"/>
              </w:rPr>
            </w:pPr>
            <w:r>
              <w:rPr>
                <w:rFonts w:ascii="Arial" w:cs="Arial" w:eastAsia="Arial" w:hAnsi="Arial"/>
                <w:sz w:val="16"/>
                <w:szCs w:val="16"/>
                <w:color w:val="auto"/>
              </w:rPr>
              <w:t>Stable</w:t>
            </w:r>
          </w:p>
        </w:tc>
      </w:tr>
    </w:tbl>
    <w:p>
      <w:pPr>
        <w:spacing w:after="0" w:line="97" w:lineRule="exact"/>
        <w:rPr>
          <w:sz w:val="20"/>
          <w:szCs w:val="20"/>
          <w:color w:val="auto"/>
        </w:rPr>
      </w:pPr>
    </w:p>
    <w:p>
      <w:pPr>
        <w:ind w:left="640" w:right="140" w:hanging="422"/>
        <w:spacing w:after="0" w:line="238" w:lineRule="auto"/>
        <w:tabs>
          <w:tab w:leader="none" w:pos="64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These credit ratings are not recommendations to purchase, hold, or sell securities and do not address the market price or suitability of a specific security for a particular investor. Credit ratings may not reflect the potential impact of all risks on the value of securities. We cannot ensure that our credit ratings will not be lowered in the future or that rating agencies will not issue adverse commentaries regarding our securities.</w:t>
      </w:r>
    </w:p>
    <w:p>
      <w:pPr>
        <w:spacing w:after="0" w:line="59" w:lineRule="exact"/>
        <w:rPr>
          <w:sz w:val="20"/>
          <w:szCs w:val="20"/>
          <w:color w:val="auto"/>
        </w:rPr>
      </w:pPr>
    </w:p>
    <w:p>
      <w:pPr>
        <w:ind w:left="640" w:right="120" w:hanging="422"/>
        <w:spacing w:after="0" w:line="251" w:lineRule="auto"/>
        <w:tabs>
          <w:tab w:leader="none" w:pos="640" w:val="left"/>
        </w:tabs>
        <w:numPr>
          <w:ilvl w:val="0"/>
          <w:numId w:val="49"/>
        </w:numPr>
        <w:rPr>
          <w:rFonts w:ascii="Arial" w:cs="Arial" w:eastAsia="Arial" w:hAnsi="Arial"/>
          <w:sz w:val="16"/>
          <w:szCs w:val="16"/>
          <w:color w:val="D64000"/>
        </w:rPr>
      </w:pPr>
      <w:r>
        <w:rPr>
          <w:rFonts w:ascii="Arial" w:cs="Arial" w:eastAsia="Arial" w:hAnsi="Arial"/>
          <w:sz w:val="16"/>
          <w:szCs w:val="16"/>
          <w:b w:val="1"/>
          <w:bCs w:val="1"/>
          <w:color w:val="auto"/>
        </w:rPr>
        <w:t xml:space="preserve">Dividends. </w:t>
      </w:r>
      <w:r>
        <w:rPr>
          <w:rFonts w:ascii="Arial" w:cs="Arial" w:eastAsia="Arial" w:hAnsi="Arial"/>
          <w:sz w:val="16"/>
          <w:szCs w:val="16"/>
          <w:color w:val="auto"/>
        </w:rPr>
        <w:t>Dividends on our common shares are declared in U.S. dollars. In February 2024, we announced a 10% or $0.20 per share</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in the annualized dividend rate to $2.16 per common share (beginning with the common share dividend that we paid in March 2024). In our consolidated statement of cash flow, dividends paid on common shares are shown net of amounts reinvested in our company under our dividend reinvestment plan (DRIP). Registered holders of common shares may participate in our DRIP, under which cash dividends are automatically reinvested in new common shares. Common shares are valued at the weighted-average price at which the shares traded on the Toronto Stock Exchange (TSX) during the five trading days immediately preceding the record date for the dividend.</w:t>
      </w:r>
    </w:p>
    <w:p>
      <w:pPr>
        <w:spacing w:after="0" w:line="51" w:lineRule="exact"/>
        <w:rPr>
          <w:sz w:val="20"/>
          <w:szCs w:val="20"/>
          <w:color w:val="auto"/>
        </w:rPr>
      </w:pPr>
    </w:p>
    <w:tbl>
      <w:tblPr>
        <w:tblLayout w:type="fixed"/>
        <w:tblInd w:w="220" w:type="dxa"/>
        <w:tblCellMar>
          <w:top w:w="0" w:type="dxa"/>
          <w:left w:w="0" w:type="dxa"/>
          <w:bottom w:w="0" w:type="dxa"/>
          <w:right w:w="0" w:type="dxa"/>
        </w:tblCellMar>
      </w:tblPr>
      <w:tr>
        <w:trPr>
          <w:trHeight w:val="222"/>
        </w:trPr>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7840" w:type="dxa"/>
            <w:vAlign w:val="bottom"/>
            <w:gridSpan w:val="2"/>
          </w:tcPr>
          <w:p>
            <w:pPr>
              <w:ind w:left="40"/>
              <w:spacing w:after="0"/>
              <w:rPr>
                <w:sz w:val="20"/>
                <w:szCs w:val="20"/>
                <w:color w:val="auto"/>
              </w:rPr>
            </w:pPr>
            <w:r>
              <w:rPr>
                <w:rFonts w:ascii="Arial" w:cs="Arial" w:eastAsia="Arial" w:hAnsi="Arial"/>
                <w:sz w:val="17"/>
                <w:szCs w:val="17"/>
                <w:color w:val="auto"/>
              </w:rPr>
              <w:t>Details of dividends declared per common share and dividends paid on common shares are as follows:</w:t>
            </w: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92"/>
        </w:trPr>
        <w:tc>
          <w:tcPr>
            <w:tcW w:w="380" w:type="dxa"/>
            <w:vAlign w:val="bottom"/>
          </w:tcPr>
          <w:p>
            <w:pPr>
              <w:spacing w:after="0"/>
              <w:rPr>
                <w:sz w:val="7"/>
                <w:szCs w:val="7"/>
                <w:color w:val="auto"/>
              </w:rPr>
            </w:pPr>
          </w:p>
        </w:tc>
        <w:tc>
          <w:tcPr>
            <w:tcW w:w="66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200" w:type="dxa"/>
            <w:vAlign w:val="bottom"/>
            <w:gridSpan w:val="2"/>
          </w:tcPr>
          <w:p>
            <w:pPr>
              <w:spacing w:after="0"/>
              <w:rPr>
                <w:sz w:val="7"/>
                <w:szCs w:val="7"/>
                <w:color w:val="auto"/>
              </w:rPr>
            </w:pPr>
          </w:p>
        </w:tc>
      </w:tr>
      <w:tr>
        <w:trPr>
          <w:trHeight w:val="252"/>
        </w:trPr>
        <w:tc>
          <w:tcPr>
            <w:tcW w:w="380" w:type="dxa"/>
            <w:vAlign w:val="bottom"/>
          </w:tcPr>
          <w:p>
            <w:pPr>
              <w:spacing w:after="0"/>
              <w:rPr>
                <w:sz w:val="21"/>
                <w:szCs w:val="21"/>
                <w:color w:val="auto"/>
              </w:rPr>
            </w:pPr>
          </w:p>
        </w:tc>
        <w:tc>
          <w:tcPr>
            <w:tcW w:w="6620" w:type="dxa"/>
            <w:vAlign w:val="bottom"/>
          </w:tcPr>
          <w:p>
            <w:pPr>
              <w:spacing w:after="0"/>
              <w:rPr>
                <w:sz w:val="21"/>
                <w:szCs w:val="21"/>
                <w:color w:val="auto"/>
              </w:rPr>
            </w:pPr>
          </w:p>
        </w:tc>
        <w:tc>
          <w:tcPr>
            <w:tcW w:w="1220" w:type="dxa"/>
            <w:vAlign w:val="bottom"/>
            <w:shd w:val="clear" w:color="auto" w:fill="E3F3EE"/>
          </w:tcPr>
          <w:p>
            <w:pPr>
              <w:ind w:left="1120"/>
              <w:spacing w:after="0"/>
              <w:rPr>
                <w:sz w:val="20"/>
                <w:szCs w:val="20"/>
                <w:color w:val="auto"/>
              </w:rPr>
            </w:pPr>
            <w:r>
              <w:rPr>
                <w:rFonts w:ascii="Arial" w:cs="Arial" w:eastAsia="Arial" w:hAnsi="Arial"/>
                <w:sz w:val="11"/>
                <w:szCs w:val="11"/>
                <w:b w:val="1"/>
                <w:bCs w:val="1"/>
                <w:color w:val="auto"/>
                <w:w w:val="72"/>
              </w:rPr>
              <w:t> </w:t>
            </w:r>
          </w:p>
        </w:tc>
        <w:tc>
          <w:tcPr>
            <w:tcW w:w="2200" w:type="dxa"/>
            <w:vAlign w:val="bottom"/>
            <w:gridSpan w:val="2"/>
            <w:shd w:val="clear" w:color="auto" w:fill="E3F3EE"/>
          </w:tcPr>
          <w:p>
            <w:pPr>
              <w:jc w:val="right"/>
              <w:spacing w:after="0"/>
              <w:rPr>
                <w:sz w:val="20"/>
                <w:szCs w:val="20"/>
                <w:color w:val="auto"/>
              </w:rPr>
            </w:pPr>
            <w:r>
              <w:rPr>
                <w:rFonts w:ascii="Arial" w:cs="Arial" w:eastAsia="Arial" w:hAnsi="Arial"/>
                <w:sz w:val="16"/>
                <w:szCs w:val="16"/>
                <w:b w:val="1"/>
                <w:bCs w:val="1"/>
                <w:color w:val="auto"/>
                <w:w w:val="98"/>
              </w:rPr>
              <w:t>  Year ended December 31,</w:t>
            </w:r>
          </w:p>
        </w:tc>
      </w:tr>
      <w:tr>
        <w:trPr>
          <w:trHeight w:val="192"/>
        </w:trPr>
        <w:tc>
          <w:tcPr>
            <w:tcW w:w="380" w:type="dxa"/>
            <w:vAlign w:val="bottom"/>
          </w:tcPr>
          <w:p>
            <w:pPr>
              <w:spacing w:after="0"/>
              <w:rPr>
                <w:sz w:val="16"/>
                <w:szCs w:val="16"/>
                <w:color w:val="auto"/>
              </w:rPr>
            </w:pPr>
          </w:p>
        </w:tc>
        <w:tc>
          <w:tcPr>
            <w:tcW w:w="662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color w:val="FFFFFF"/>
              </w:rPr>
              <w:t> (millions of U.S. dollars, except per share amounts)</w:t>
            </w:r>
          </w:p>
        </w:tc>
        <w:tc>
          <w:tcPr>
            <w:tcW w:w="1220" w:type="dxa"/>
            <w:vAlign w:val="bottom"/>
            <w:tcBorders>
              <w:bottom w:val="single" w:sz="8" w:color="D64000"/>
            </w:tcBorders>
            <w:shd w:val="clear" w:color="auto" w:fill="1F473D"/>
          </w:tcPr>
          <w:p>
            <w:pPr>
              <w:spacing w:after="0"/>
              <w:rPr>
                <w:sz w:val="16"/>
                <w:szCs w:val="16"/>
                <w:color w:val="auto"/>
              </w:rPr>
            </w:pPr>
          </w:p>
        </w:tc>
        <w:tc>
          <w:tcPr>
            <w:tcW w:w="1240" w:type="dxa"/>
            <w:vAlign w:val="bottom"/>
            <w:tcBorders>
              <w:bottom w:val="single" w:sz="8" w:color="D64000"/>
            </w:tcBorders>
            <w:shd w:val="clear" w:color="auto" w:fill="1F473D"/>
          </w:tcPr>
          <w:p>
            <w:pPr>
              <w:jc w:val="right"/>
              <w:ind w:right="481"/>
              <w:spacing w:after="0"/>
              <w:rPr>
                <w:sz w:val="20"/>
                <w:szCs w:val="20"/>
                <w:color w:val="auto"/>
              </w:rPr>
            </w:pPr>
            <w:r>
              <w:rPr>
                <w:rFonts w:ascii="Arial" w:cs="Arial" w:eastAsia="Arial" w:hAnsi="Arial"/>
                <w:sz w:val="16"/>
                <w:szCs w:val="16"/>
                <w:b w:val="1"/>
                <w:bCs w:val="1"/>
                <w:color w:val="FFFFFF"/>
              </w:rPr>
              <w:t>2024</w:t>
            </w:r>
          </w:p>
        </w:tc>
        <w:tc>
          <w:tcPr>
            <w:tcW w:w="96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2023</w:t>
            </w:r>
          </w:p>
        </w:tc>
      </w:tr>
      <w:tr>
        <w:trPr>
          <w:trHeight w:val="238"/>
        </w:trPr>
        <w:tc>
          <w:tcPr>
            <w:tcW w:w="380" w:type="dxa"/>
            <w:vAlign w:val="bottom"/>
          </w:tcPr>
          <w:p>
            <w:pPr>
              <w:spacing w:after="0"/>
              <w:rPr>
                <w:sz w:val="20"/>
                <w:szCs w:val="20"/>
                <w:color w:val="auto"/>
              </w:rPr>
            </w:pPr>
          </w:p>
        </w:tc>
        <w:tc>
          <w:tcPr>
            <w:tcW w:w="784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b w:val="1"/>
                <w:bCs w:val="1"/>
                <w:color w:val="auto"/>
              </w:rPr>
              <w:t> Dividends declared per common share</w:t>
            </w:r>
          </w:p>
        </w:tc>
        <w:tc>
          <w:tcPr>
            <w:tcW w:w="1240" w:type="dxa"/>
            <w:vAlign w:val="bottom"/>
            <w:tcBorders>
              <w:bottom w:val="single" w:sz="8" w:color="B2B2B2"/>
            </w:tcBorders>
          </w:tcPr>
          <w:p>
            <w:pPr>
              <w:jc w:val="right"/>
              <w:ind w:right="481"/>
              <w:spacing w:after="0"/>
              <w:rPr>
                <w:sz w:val="20"/>
                <w:szCs w:val="20"/>
                <w:color w:val="auto"/>
              </w:rPr>
            </w:pPr>
            <w:r>
              <w:rPr>
                <w:rFonts w:ascii="Arial" w:cs="Arial" w:eastAsia="Arial" w:hAnsi="Arial"/>
                <w:sz w:val="16"/>
                <w:szCs w:val="16"/>
                <w:b w:val="1"/>
                <w:bCs w:val="1"/>
                <w:color w:val="auto"/>
              </w:rPr>
              <w:t>$2.16</w:t>
            </w: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$1.96</w:t>
            </w:r>
          </w:p>
        </w:tc>
      </w:tr>
      <w:tr>
        <w:trPr>
          <w:trHeight w:val="250"/>
        </w:trPr>
        <w:tc>
          <w:tcPr>
            <w:tcW w:w="380" w:type="dxa"/>
            <w:vAlign w:val="bottom"/>
          </w:tcPr>
          <w:p>
            <w:pPr>
              <w:spacing w:after="0"/>
              <w:rPr>
                <w:sz w:val="21"/>
                <w:szCs w:val="21"/>
                <w:color w:val="auto"/>
              </w:rPr>
            </w:pPr>
          </w:p>
        </w:tc>
        <w:tc>
          <w:tcPr>
            <w:tcW w:w="7840" w:type="dxa"/>
            <w:vAlign w:val="bottom"/>
            <w:gridSpan w:val="2"/>
          </w:tcPr>
          <w:p>
            <w:pPr>
              <w:spacing w:after="0"/>
              <w:rPr>
                <w:sz w:val="20"/>
                <w:szCs w:val="20"/>
                <w:color w:val="auto"/>
              </w:rPr>
            </w:pPr>
            <w:r>
              <w:rPr>
                <w:rFonts w:ascii="Arial" w:cs="Arial" w:eastAsia="Arial" w:hAnsi="Arial"/>
                <w:sz w:val="16"/>
                <w:szCs w:val="16"/>
                <w:b w:val="1"/>
                <w:bCs w:val="1"/>
                <w:color w:val="auto"/>
              </w:rPr>
              <w:t> Dividends declared</w:t>
            </w:r>
          </w:p>
        </w:tc>
        <w:tc>
          <w:tcPr>
            <w:tcW w:w="1240" w:type="dxa"/>
            <w:vAlign w:val="bottom"/>
          </w:tcPr>
          <w:p>
            <w:pPr>
              <w:jc w:val="right"/>
              <w:ind w:right="481"/>
              <w:spacing w:after="0"/>
              <w:rPr>
                <w:sz w:val="20"/>
                <w:szCs w:val="20"/>
                <w:color w:val="auto"/>
              </w:rPr>
            </w:pPr>
            <w:r>
              <w:rPr>
                <w:rFonts w:ascii="Arial" w:cs="Arial" w:eastAsia="Arial" w:hAnsi="Arial"/>
                <w:sz w:val="16"/>
                <w:szCs w:val="16"/>
                <w:b w:val="1"/>
                <w:bCs w:val="1"/>
                <w:color w:val="auto"/>
              </w:rPr>
              <w:t>973</w:t>
            </w:r>
          </w:p>
        </w:tc>
        <w:tc>
          <w:tcPr>
            <w:tcW w:w="960" w:type="dxa"/>
            <w:vAlign w:val="bottom"/>
          </w:tcPr>
          <w:p>
            <w:pPr>
              <w:jc w:val="right"/>
              <w:spacing w:after="0"/>
              <w:rPr>
                <w:sz w:val="20"/>
                <w:szCs w:val="20"/>
                <w:color w:val="auto"/>
              </w:rPr>
            </w:pPr>
            <w:r>
              <w:rPr>
                <w:rFonts w:ascii="Arial" w:cs="Arial" w:eastAsia="Arial" w:hAnsi="Arial"/>
                <w:sz w:val="16"/>
                <w:szCs w:val="16"/>
                <w:color w:val="auto"/>
              </w:rPr>
              <w:t>908</w:t>
            </w:r>
          </w:p>
        </w:tc>
      </w:tr>
      <w:tr>
        <w:trPr>
          <w:trHeight w:val="234"/>
        </w:trPr>
        <w:tc>
          <w:tcPr>
            <w:tcW w:w="380" w:type="dxa"/>
            <w:vAlign w:val="bottom"/>
          </w:tcPr>
          <w:p>
            <w:pPr>
              <w:spacing w:after="0"/>
              <w:rPr>
                <w:sz w:val="20"/>
                <w:szCs w:val="20"/>
                <w:color w:val="auto"/>
              </w:rPr>
            </w:pPr>
          </w:p>
        </w:tc>
        <w:tc>
          <w:tcPr>
            <w:tcW w:w="784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b w:val="1"/>
                <w:bCs w:val="1"/>
                <w:color w:val="auto"/>
              </w:rPr>
              <w:t> Dividends reinvested</w:t>
            </w:r>
          </w:p>
        </w:tc>
        <w:tc>
          <w:tcPr>
            <w:tcW w:w="1240" w:type="dxa"/>
            <w:vAlign w:val="bottom"/>
            <w:tcBorders>
              <w:bottom w:val="single" w:sz="8" w:color="B2B2B2"/>
            </w:tcBorders>
          </w:tcPr>
          <w:p>
            <w:pPr>
              <w:jc w:val="right"/>
              <w:ind w:right="481"/>
              <w:spacing w:after="0"/>
              <w:rPr>
                <w:sz w:val="20"/>
                <w:szCs w:val="20"/>
                <w:color w:val="auto"/>
              </w:rPr>
            </w:pPr>
            <w:r>
              <w:rPr>
                <w:rFonts w:ascii="Arial" w:cs="Arial" w:eastAsia="Arial" w:hAnsi="Arial"/>
                <w:sz w:val="16"/>
                <w:szCs w:val="16"/>
                <w:b w:val="1"/>
                <w:bCs w:val="1"/>
                <w:color w:val="auto"/>
              </w:rPr>
              <w:t>(29)</w:t>
            </w:r>
          </w:p>
        </w:tc>
        <w:tc>
          <w:tcPr>
            <w:tcW w:w="9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(21)</w:t>
            </w:r>
          </w:p>
        </w:tc>
      </w:tr>
      <w:tr>
        <w:trPr>
          <w:trHeight w:val="198"/>
        </w:trPr>
        <w:tc>
          <w:tcPr>
            <w:tcW w:w="380" w:type="dxa"/>
            <w:vAlign w:val="bottom"/>
          </w:tcPr>
          <w:p>
            <w:pPr>
              <w:spacing w:after="0"/>
              <w:rPr>
                <w:sz w:val="17"/>
                <w:szCs w:val="17"/>
                <w:color w:val="auto"/>
              </w:rPr>
            </w:pPr>
          </w:p>
        </w:tc>
        <w:tc>
          <w:tcPr>
            <w:tcW w:w="7840" w:type="dxa"/>
            <w:vAlign w:val="bottom"/>
            <w:tcBorders>
              <w:bottom w:val="single" w:sz="8" w:color="D64000"/>
            </w:tcBorders>
            <w:gridSpan w:val="2"/>
          </w:tcPr>
          <w:p>
            <w:pPr>
              <w:spacing w:after="0"/>
              <w:rPr>
                <w:sz w:val="20"/>
                <w:szCs w:val="20"/>
                <w:color w:val="auto"/>
              </w:rPr>
            </w:pPr>
            <w:r>
              <w:rPr>
                <w:rFonts w:ascii="Arial" w:cs="Arial" w:eastAsia="Arial" w:hAnsi="Arial"/>
                <w:sz w:val="16"/>
                <w:szCs w:val="16"/>
                <w:b w:val="1"/>
                <w:bCs w:val="1"/>
                <w:color w:val="auto"/>
              </w:rPr>
              <w:t> Dividends paid</w:t>
            </w:r>
          </w:p>
        </w:tc>
        <w:tc>
          <w:tcPr>
            <w:tcW w:w="1240" w:type="dxa"/>
            <w:vAlign w:val="bottom"/>
            <w:tcBorders>
              <w:bottom w:val="single" w:sz="8" w:color="D64000"/>
            </w:tcBorders>
          </w:tcPr>
          <w:p>
            <w:pPr>
              <w:jc w:val="right"/>
              <w:ind w:right="481"/>
              <w:spacing w:after="0"/>
              <w:rPr>
                <w:sz w:val="20"/>
                <w:szCs w:val="20"/>
                <w:color w:val="auto"/>
              </w:rPr>
            </w:pPr>
            <w:r>
              <w:rPr>
                <w:rFonts w:ascii="Arial" w:cs="Arial" w:eastAsia="Arial" w:hAnsi="Arial"/>
                <w:sz w:val="16"/>
                <w:szCs w:val="16"/>
                <w:b w:val="1"/>
                <w:bCs w:val="1"/>
                <w:color w:val="auto"/>
              </w:rPr>
              <w:t>944</w:t>
            </w:r>
          </w:p>
        </w:tc>
        <w:tc>
          <w:tcPr>
            <w:tcW w:w="960" w:type="dxa"/>
            <w:vAlign w:val="bottom"/>
            <w:tcBorders>
              <w:bottom w:val="single" w:sz="8" w:color="D64000"/>
            </w:tcBorders>
          </w:tcPr>
          <w:p>
            <w:pPr>
              <w:jc w:val="right"/>
              <w:spacing w:after="0"/>
              <w:rPr>
                <w:sz w:val="20"/>
                <w:szCs w:val="20"/>
                <w:color w:val="auto"/>
              </w:rPr>
            </w:pPr>
            <w:r>
              <w:rPr>
                <w:rFonts w:ascii="Arial" w:cs="Arial" w:eastAsia="Arial" w:hAnsi="Arial"/>
                <w:sz w:val="16"/>
                <w:szCs w:val="16"/>
                <w:color w:val="auto"/>
              </w:rPr>
              <w:t>887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-916305</wp:posOffset>
            </wp:positionV>
            <wp:extent cx="637730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377305" cy="8255"/>
                    </a:xfrm>
                    <a:prstGeom prst="rect">
                      <a:avLst/>
                    </a:prstGeom>
                    <a:noFill/>
                  </pic:spPr>
                </pic:pic>
              </a:graphicData>
            </a:graphic>
          </wp:anchor>
        </w:drawing>
      </w:r>
    </w:p>
    <w:p>
      <w:pPr>
        <w:spacing w:after="0" w:line="77" w:lineRule="exact"/>
        <w:rPr>
          <w:sz w:val="20"/>
          <w:szCs w:val="20"/>
          <w:color w:val="auto"/>
        </w:rPr>
      </w:pPr>
    </w:p>
    <w:p>
      <w:pPr>
        <w:jc w:val="both"/>
        <w:ind w:left="640" w:right="40" w:hanging="422"/>
        <w:spacing w:after="0" w:line="243" w:lineRule="auto"/>
        <w:tabs>
          <w:tab w:leader="none" w:pos="64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In February 2025, we announced a 10% or $0.22 per share increase in the annualized dividend rate to $2.38 per common share (beginning with the common share dividend that we plan to pay in March 2025). See the “Subsequent Events” section of this management’s discussion and analysis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99060</wp:posOffset>
            </wp:positionV>
            <wp:extent cx="68656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4"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47</w:t>
      </w:r>
    </w:p>
    <w:p>
      <w:pPr>
        <w:sectPr>
          <w:pgSz w:w="11900" w:h="16838" w:orient="portrait"/>
          <w:cols w:equalWidth="0" w:num="1">
            <w:col w:w="11040"/>
          </w:cols>
          <w:pgMar w:left="320" w:top="477" w:right="5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640" w:right="40" w:hanging="422"/>
        <w:spacing w:after="0" w:line="236" w:lineRule="auto"/>
        <w:tabs>
          <w:tab w:leader="none" w:pos="640" w:val="left"/>
        </w:tabs>
        <w:numPr>
          <w:ilvl w:val="0"/>
          <w:numId w:val="51"/>
        </w:numPr>
        <w:rPr>
          <w:rFonts w:ascii="Arial" w:cs="Arial" w:eastAsia="Arial" w:hAnsi="Arial"/>
          <w:sz w:val="17"/>
          <w:szCs w:val="17"/>
          <w:color w:val="D64000"/>
        </w:rPr>
      </w:pPr>
      <w:r>
        <w:rPr>
          <w:rFonts w:ascii="Arial" w:cs="Arial" w:eastAsia="Arial" w:hAnsi="Arial"/>
          <w:sz w:val="17"/>
          <w:szCs w:val="17"/>
          <w:b w:val="1"/>
          <w:bCs w:val="1"/>
          <w:color w:val="auto"/>
        </w:rPr>
        <w:t xml:space="preserve">Share repurchases - Normal Course Issuer Bid (NCIB). </w:t>
      </w:r>
      <w:r>
        <w:rPr>
          <w:rFonts w:ascii="Arial" w:cs="Arial" w:eastAsia="Arial" w:hAnsi="Arial"/>
          <w:sz w:val="17"/>
          <w:szCs w:val="17"/>
          <w:color w:val="auto"/>
        </w:rPr>
        <w:t>We buy back shares (and subsequently cancel them) from time to time as part of</w:t>
      </w:r>
      <w:r>
        <w:rPr>
          <w:rFonts w:ascii="Arial" w:cs="Arial" w:eastAsia="Arial" w:hAnsi="Arial"/>
          <w:sz w:val="17"/>
          <w:szCs w:val="17"/>
          <w:b w:val="1"/>
          <w:bCs w:val="1"/>
          <w:color w:val="auto"/>
        </w:rPr>
        <w:t xml:space="preserve"> </w:t>
      </w:r>
      <w:r>
        <w:rPr>
          <w:rFonts w:ascii="Arial" w:cs="Arial" w:eastAsia="Arial" w:hAnsi="Arial"/>
          <w:sz w:val="17"/>
          <w:szCs w:val="17"/>
          <w:color w:val="auto"/>
        </w:rPr>
        <w:t>our capital strategy. Share repurchases are typically executed under a NCIB. On November 1, 2023, we announced that we planned to repurchase up to $1.0 billion of our common shares under a renewed NCIB, which was approved by the TSX and effective on November 1, 2023. Under the renewed NCIB, up to 10 million common shares were permitted to be repurchased between November 3, 2023 and November 2, 2024. In May 2024, we completed our $1.0 billion share repurchase plan.</w:t>
      </w:r>
    </w:p>
    <w:p>
      <w:pPr>
        <w:spacing w:after="0" w:line="51" w:lineRule="exact"/>
        <w:rPr>
          <w:rFonts w:ascii="Arial" w:cs="Arial" w:eastAsia="Arial" w:hAnsi="Arial"/>
          <w:sz w:val="17"/>
          <w:szCs w:val="17"/>
          <w:color w:val="D64000"/>
        </w:rPr>
      </w:pPr>
    </w:p>
    <w:p>
      <w:pPr>
        <w:ind w:left="660"/>
        <w:spacing w:after="0"/>
        <w:rPr>
          <w:rFonts w:ascii="Arial" w:cs="Arial" w:eastAsia="Arial" w:hAnsi="Arial"/>
          <w:sz w:val="17"/>
          <w:szCs w:val="17"/>
          <w:color w:val="D64000"/>
        </w:rPr>
      </w:pPr>
      <w:r>
        <w:rPr>
          <w:rFonts w:ascii="Arial" w:cs="Arial" w:eastAsia="Arial" w:hAnsi="Arial"/>
          <w:sz w:val="18"/>
          <w:szCs w:val="18"/>
          <w:color w:val="auto"/>
        </w:rPr>
        <w:t>Details of share repurchases were as follows:</w:t>
      </w:r>
    </w:p>
    <w:p>
      <w:pPr>
        <w:spacing w:after="0" w:line="153" w:lineRule="exact"/>
        <w:rPr>
          <w:rFonts w:ascii="Arial" w:cs="Arial" w:eastAsia="Arial" w:hAnsi="Arial"/>
          <w:sz w:val="17"/>
          <w:szCs w:val="17"/>
          <w:color w:val="D64000"/>
        </w:rPr>
      </w:pPr>
    </w:p>
    <w:p>
      <w:pPr>
        <w:ind w:left="8400" w:hanging="162"/>
        <w:spacing w:after="0"/>
        <w:tabs>
          <w:tab w:leader="none" w:pos="8400" w:val="left"/>
        </w:tabs>
        <w:numPr>
          <w:ilvl w:val="1"/>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-149225</wp:posOffset>
            </wp:positionV>
            <wp:extent cx="6377305" cy="1600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377305" cy="160020"/>
                    </a:xfrm>
                    <a:prstGeom prst="rect">
                      <a:avLst/>
                    </a:prstGeom>
                    <a:noFill/>
                  </pic:spPr>
                </pic:pic>
              </a:graphicData>
            </a:graphic>
          </wp:anchor>
        </w:drawing>
      </w:r>
    </w:p>
    <w:tbl>
      <w:tblPr>
        <w:tblLayout w:type="fixed"/>
        <w:tblInd w:w="600" w:type="dxa"/>
        <w:tblCellMar>
          <w:top w:w="0" w:type="dxa"/>
          <w:left w:w="0" w:type="dxa"/>
          <w:bottom w:w="0" w:type="dxa"/>
          <w:right w:w="0" w:type="dxa"/>
        </w:tblCellMar>
      </w:tblPr>
      <w:tr>
        <w:trPr>
          <w:trHeight w:val="190"/>
        </w:trPr>
        <w:tc>
          <w:tcPr>
            <w:tcW w:w="5600" w:type="dxa"/>
            <w:vAlign w:val="bottom"/>
            <w:tcBorders>
              <w:bottom w:val="single" w:sz="8" w:color="D64000"/>
            </w:tcBorders>
            <w:shd w:val="clear" w:color="auto" w:fill="1F473D"/>
          </w:tcPr>
          <w:p>
            <w:pPr>
              <w:spacing w:after="0"/>
              <w:rPr>
                <w:sz w:val="16"/>
                <w:szCs w:val="16"/>
                <w:color w:val="auto"/>
              </w:rPr>
            </w:pPr>
          </w:p>
        </w:tc>
        <w:tc>
          <w:tcPr>
            <w:tcW w:w="3320" w:type="dxa"/>
            <w:vAlign w:val="bottom"/>
            <w:tcBorders>
              <w:bottom w:val="single" w:sz="8" w:color="D64000"/>
            </w:tcBorders>
            <w:shd w:val="clear" w:color="auto" w:fill="1F473D"/>
          </w:tcPr>
          <w:p>
            <w:pPr>
              <w:jc w:val="right"/>
              <w:ind w:right="481"/>
              <w:spacing w:after="0"/>
              <w:rPr>
                <w:sz w:val="20"/>
                <w:szCs w:val="20"/>
                <w:color w:val="auto"/>
              </w:rPr>
            </w:pPr>
            <w:r>
              <w:rPr>
                <w:rFonts w:ascii="Arial" w:cs="Arial" w:eastAsia="Arial" w:hAnsi="Arial"/>
                <w:sz w:val="16"/>
                <w:szCs w:val="16"/>
                <w:b w:val="1"/>
                <w:bCs w:val="1"/>
                <w:color w:val="FFFFFF"/>
              </w:rPr>
              <w:t>2024</w:t>
            </w:r>
          </w:p>
        </w:tc>
        <w:tc>
          <w:tcPr>
            <w:tcW w:w="112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2023</w:t>
            </w:r>
          </w:p>
        </w:tc>
      </w:tr>
      <w:tr>
        <w:trPr>
          <w:trHeight w:val="257"/>
        </w:trPr>
        <w:tc>
          <w:tcPr>
            <w:tcW w:w="5600" w:type="dxa"/>
            <w:vAlign w:val="bottom"/>
          </w:tcPr>
          <w:p>
            <w:pPr>
              <w:spacing w:after="0"/>
              <w:rPr>
                <w:sz w:val="20"/>
                <w:szCs w:val="20"/>
                <w:color w:val="auto"/>
              </w:rPr>
            </w:pPr>
            <w:r>
              <w:rPr>
                <w:rFonts w:ascii="Arial" w:cs="Arial" w:eastAsia="Arial" w:hAnsi="Arial"/>
                <w:sz w:val="16"/>
                <w:szCs w:val="16"/>
                <w:b w:val="1"/>
                <w:bCs w:val="1"/>
                <w:color w:val="auto"/>
              </w:rPr>
              <w:t> Share repurchases (millions of U.S. dollars)</w:t>
            </w:r>
          </w:p>
        </w:tc>
        <w:tc>
          <w:tcPr>
            <w:tcW w:w="3320" w:type="dxa"/>
            <w:vAlign w:val="bottom"/>
          </w:tcPr>
          <w:p>
            <w:pPr>
              <w:jc w:val="right"/>
              <w:ind w:right="481"/>
              <w:spacing w:after="0"/>
              <w:rPr>
                <w:sz w:val="20"/>
                <w:szCs w:val="20"/>
                <w:color w:val="auto"/>
              </w:rPr>
            </w:pPr>
            <w:r>
              <w:rPr>
                <w:rFonts w:ascii="Arial" w:cs="Arial" w:eastAsia="Arial" w:hAnsi="Arial"/>
                <w:sz w:val="16"/>
                <w:szCs w:val="16"/>
                <w:b w:val="1"/>
                <w:bCs w:val="1"/>
                <w:color w:val="auto"/>
              </w:rPr>
              <w:t>639</w:t>
            </w:r>
          </w:p>
        </w:tc>
        <w:tc>
          <w:tcPr>
            <w:tcW w:w="1120" w:type="dxa"/>
            <w:vAlign w:val="bottom"/>
          </w:tcPr>
          <w:p>
            <w:pPr>
              <w:jc w:val="right"/>
              <w:spacing w:after="0"/>
              <w:rPr>
                <w:sz w:val="20"/>
                <w:szCs w:val="20"/>
                <w:color w:val="auto"/>
              </w:rPr>
            </w:pPr>
            <w:r>
              <w:rPr>
                <w:rFonts w:ascii="Arial" w:cs="Arial" w:eastAsia="Arial" w:hAnsi="Arial"/>
                <w:sz w:val="16"/>
                <w:szCs w:val="16"/>
                <w:color w:val="auto"/>
              </w:rPr>
              <w:t>1,079</w:t>
            </w:r>
          </w:p>
        </w:tc>
      </w:tr>
      <w:tr>
        <w:trPr>
          <w:trHeight w:val="252"/>
        </w:trPr>
        <w:tc>
          <w:tcPr>
            <w:tcW w:w="5600" w:type="dxa"/>
            <w:vAlign w:val="bottom"/>
          </w:tcPr>
          <w:p>
            <w:pPr>
              <w:spacing w:after="0"/>
              <w:rPr>
                <w:sz w:val="20"/>
                <w:szCs w:val="20"/>
                <w:color w:val="auto"/>
              </w:rPr>
            </w:pPr>
            <w:r>
              <w:rPr>
                <w:rFonts w:ascii="Arial" w:cs="Arial" w:eastAsia="Arial" w:hAnsi="Arial"/>
                <w:sz w:val="16"/>
                <w:szCs w:val="16"/>
                <w:b w:val="1"/>
                <w:bCs w:val="1"/>
                <w:color w:val="auto"/>
              </w:rPr>
              <w:t> Shares repurchased (number in millions)</w:t>
            </w:r>
          </w:p>
        </w:tc>
        <w:tc>
          <w:tcPr>
            <w:tcW w:w="3320" w:type="dxa"/>
            <w:vAlign w:val="bottom"/>
          </w:tcPr>
          <w:p>
            <w:pPr>
              <w:jc w:val="right"/>
              <w:ind w:right="481"/>
              <w:spacing w:after="0"/>
              <w:rPr>
                <w:sz w:val="20"/>
                <w:szCs w:val="20"/>
                <w:color w:val="auto"/>
              </w:rPr>
            </w:pPr>
            <w:r>
              <w:rPr>
                <w:rFonts w:ascii="Arial" w:cs="Arial" w:eastAsia="Arial" w:hAnsi="Arial"/>
                <w:sz w:val="16"/>
                <w:szCs w:val="16"/>
                <w:b w:val="1"/>
                <w:bCs w:val="1"/>
                <w:color w:val="auto"/>
              </w:rPr>
              <w:t>4.1</w:t>
            </w:r>
          </w:p>
        </w:tc>
        <w:tc>
          <w:tcPr>
            <w:tcW w:w="112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40"/>
        </w:trPr>
        <w:tc>
          <w:tcPr>
            <w:tcW w:w="5600" w:type="dxa"/>
            <w:vAlign w:val="bottom"/>
            <w:tcBorders>
              <w:bottom w:val="single" w:sz="8" w:color="D64000"/>
            </w:tcBorders>
          </w:tcPr>
          <w:p>
            <w:pPr>
              <w:spacing w:after="0"/>
              <w:rPr>
                <w:sz w:val="20"/>
                <w:szCs w:val="20"/>
                <w:color w:val="auto"/>
              </w:rPr>
            </w:pPr>
            <w:r>
              <w:rPr>
                <w:rFonts w:ascii="Arial" w:cs="Arial" w:eastAsia="Arial" w:hAnsi="Arial"/>
                <w:sz w:val="16"/>
                <w:szCs w:val="16"/>
                <w:b w:val="1"/>
                <w:bCs w:val="1"/>
                <w:color w:val="auto"/>
              </w:rPr>
              <w:t> Share repurchases – average price per share</w:t>
            </w:r>
          </w:p>
        </w:tc>
        <w:tc>
          <w:tcPr>
            <w:tcW w:w="3320" w:type="dxa"/>
            <w:vAlign w:val="bottom"/>
            <w:tcBorders>
              <w:bottom w:val="single" w:sz="8" w:color="D64000"/>
            </w:tcBorders>
          </w:tcPr>
          <w:p>
            <w:pPr>
              <w:jc w:val="right"/>
              <w:ind w:right="481"/>
              <w:spacing w:after="0"/>
              <w:rPr>
                <w:sz w:val="20"/>
                <w:szCs w:val="20"/>
                <w:color w:val="auto"/>
              </w:rPr>
            </w:pPr>
            <w:r>
              <w:rPr>
                <w:rFonts w:ascii="Arial" w:cs="Arial" w:eastAsia="Arial" w:hAnsi="Arial"/>
                <w:sz w:val="16"/>
                <w:szCs w:val="16"/>
                <w:b w:val="1"/>
                <w:bCs w:val="1"/>
                <w:color w:val="auto"/>
              </w:rPr>
              <w:t>$156.92</w:t>
            </w:r>
          </w:p>
        </w:tc>
        <w:tc>
          <w:tcPr>
            <w:tcW w:w="1120" w:type="dxa"/>
            <w:vAlign w:val="bottom"/>
            <w:tcBorders>
              <w:bottom w:val="single" w:sz="8" w:color="D64000"/>
            </w:tcBorders>
          </w:tcPr>
          <w:p>
            <w:pPr>
              <w:jc w:val="right"/>
              <w:spacing w:after="0"/>
              <w:rPr>
                <w:sz w:val="20"/>
                <w:szCs w:val="20"/>
                <w:color w:val="auto"/>
              </w:rPr>
            </w:pPr>
            <w:r>
              <w:rPr>
                <w:rFonts w:ascii="Arial" w:cs="Arial" w:eastAsia="Arial" w:hAnsi="Arial"/>
                <w:sz w:val="16"/>
                <w:szCs w:val="16"/>
                <w:color w:val="auto"/>
              </w:rPr>
              <w:t>$125.07</w:t>
            </w:r>
          </w:p>
        </w:tc>
      </w:tr>
    </w:tbl>
    <w:p>
      <w:pPr>
        <w:spacing w:after="0" w:line="97" w:lineRule="exact"/>
        <w:rPr>
          <w:sz w:val="20"/>
          <w:szCs w:val="20"/>
          <w:color w:val="auto"/>
        </w:rPr>
      </w:pPr>
    </w:p>
    <w:p>
      <w:pPr>
        <w:ind w:left="640" w:right="60" w:hanging="422"/>
        <w:spacing w:after="0" w:line="236" w:lineRule="auto"/>
        <w:tabs>
          <w:tab w:leader="none" w:pos="64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From time to time when we do not possess material nonpublic information about ourselves or our securities, we may enter into a pre-defined plan with our broker to allow for the repurchase of shares at times when we ordinarily would not be active in the market due to our own internal trading blackout periods, insider trading rules or otherwise. Any such plans entered into with our broker will be adopted in accordance with applicable Canadian securities laws and the requirements of Rule 10b5-1 under the U.S. Securities Exchange Act of 1934, as amended.</w:t>
      </w:r>
    </w:p>
    <w:p>
      <w:pPr>
        <w:spacing w:after="0" w:line="58" w:lineRule="exact"/>
        <w:rPr>
          <w:sz w:val="20"/>
          <w:szCs w:val="20"/>
          <w:color w:val="auto"/>
        </w:rPr>
      </w:pPr>
    </w:p>
    <w:p>
      <w:pPr>
        <w:ind w:left="640" w:right="20" w:hanging="422"/>
        <w:spacing w:after="0" w:line="234" w:lineRule="auto"/>
        <w:tabs>
          <w:tab w:leader="none" w:pos="640" w:val="left"/>
        </w:tabs>
        <w:numPr>
          <w:ilvl w:val="0"/>
          <w:numId w:val="53"/>
        </w:numPr>
        <w:rPr>
          <w:rFonts w:ascii="Arial" w:cs="Arial" w:eastAsia="Arial" w:hAnsi="Arial"/>
          <w:sz w:val="17"/>
          <w:szCs w:val="17"/>
          <w:color w:val="D64000"/>
        </w:rPr>
      </w:pPr>
      <w:r>
        <w:rPr>
          <w:rFonts w:ascii="Arial" w:cs="Arial" w:eastAsia="Arial" w:hAnsi="Arial"/>
          <w:sz w:val="17"/>
          <w:szCs w:val="17"/>
          <w:b w:val="1"/>
          <w:bCs w:val="1"/>
          <w:color w:val="auto"/>
        </w:rPr>
        <w:t xml:space="preserve">Return of capital and share consolidation. </w:t>
      </w:r>
      <w:r>
        <w:rPr>
          <w:rFonts w:ascii="Arial" w:cs="Arial" w:eastAsia="Arial" w:hAnsi="Arial"/>
          <w:sz w:val="17"/>
          <w:szCs w:val="17"/>
          <w:color w:val="auto"/>
        </w:rPr>
        <w:t>In June 2023, we returned approximately $2.0 billion to our shareholders through a return of</w:t>
      </w:r>
      <w:r>
        <w:rPr>
          <w:rFonts w:ascii="Arial" w:cs="Arial" w:eastAsia="Arial" w:hAnsi="Arial"/>
          <w:sz w:val="17"/>
          <w:szCs w:val="17"/>
          <w:b w:val="1"/>
          <w:bCs w:val="1"/>
          <w:color w:val="auto"/>
        </w:rPr>
        <w:t xml:space="preserve"> </w:t>
      </w:r>
      <w:r>
        <w:rPr>
          <w:rFonts w:ascii="Arial" w:cs="Arial" w:eastAsia="Arial" w:hAnsi="Arial"/>
          <w:sz w:val="17"/>
          <w:szCs w:val="17"/>
          <w:color w:val="auto"/>
        </w:rPr>
        <w:t>capital transaction, which was funded from the proceeds of our company’s dispositions of LSEG shares. The transaction consisted of a cash distribution of $4.67 per common share and a share consolidation, or “reverse stock split”, at a ratio of 1 pre-consolidated share for</w:t>
      </w:r>
    </w:p>
    <w:p>
      <w:pPr>
        <w:ind w:left="640" w:right="140"/>
        <w:spacing w:after="0" w:line="231" w:lineRule="auto"/>
        <w:rPr>
          <w:rFonts w:ascii="Arial" w:cs="Arial" w:eastAsia="Arial" w:hAnsi="Arial"/>
          <w:sz w:val="17"/>
          <w:szCs w:val="17"/>
          <w:color w:val="D64000"/>
        </w:rPr>
      </w:pPr>
      <w:r>
        <w:rPr>
          <w:rFonts w:ascii="Arial" w:cs="Arial" w:eastAsia="Arial" w:hAnsi="Arial"/>
          <w:sz w:val="17"/>
          <w:szCs w:val="17"/>
          <w:color w:val="auto"/>
        </w:rPr>
        <w:t>0.963957 post-consolidated shares. Shareholders who were subject to income tax in a jurisdiction other than Canada were given the opportunity to opt-out of the transaction. The share consolidation was proportional to the cash distribution and the share consolidation ratio was based on the volume weighted-average trading price of the shares on the New York Stock Exchange (NYSE), the stock exchange on which our shares were listed at the time (see the “Subsequent Events” section of this management’s discussion and analysis for additional information) for the five-trading day period immediately preceding June 23, 2023, the effective date for the return of capital transaction. Woodbridge, our principal shareholder, participated in this transaction. As a result of the share consolidation, our company’s outstanding common shares were reduced by 15.8 million common shares.</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Financial Position</w:t>
      </w:r>
    </w:p>
    <w:p>
      <w:pPr>
        <w:spacing w:after="0" w:line="96" w:lineRule="exact"/>
        <w:rPr>
          <w:sz w:val="20"/>
          <w:szCs w:val="20"/>
          <w:color w:val="auto"/>
        </w:rPr>
      </w:pPr>
    </w:p>
    <w:p>
      <w:pPr>
        <w:ind w:left="220" w:right="980"/>
        <w:spacing w:after="0" w:line="260" w:lineRule="auto"/>
        <w:rPr>
          <w:sz w:val="20"/>
          <w:szCs w:val="20"/>
          <w:color w:val="auto"/>
        </w:rPr>
      </w:pPr>
      <w:r>
        <w:rPr>
          <w:rFonts w:ascii="Arial" w:cs="Arial" w:eastAsia="Arial" w:hAnsi="Arial"/>
          <w:sz w:val="17"/>
          <w:szCs w:val="17"/>
          <w:color w:val="auto"/>
        </w:rPr>
        <w:t>Our net assets, defined as total assets less total liabilities were $12.0 billion as of December 31, 2024 compared to $11.1 billion as of December 31, 2023. </w:t>
      </w:r>
    </w:p>
    <w:p>
      <w:pPr>
        <w:spacing w:after="0" w:line="40" w:lineRule="exact"/>
        <w:rPr>
          <w:sz w:val="20"/>
          <w:szCs w:val="20"/>
          <w:color w:val="auto"/>
        </w:rPr>
      </w:pPr>
    </w:p>
    <w:p>
      <w:pPr>
        <w:ind w:left="220" w:right="20"/>
        <w:spacing w:after="0" w:line="233" w:lineRule="auto"/>
        <w:rPr>
          <w:sz w:val="20"/>
          <w:szCs w:val="20"/>
          <w:color w:val="auto"/>
        </w:rPr>
      </w:pPr>
      <w:r>
        <w:rPr>
          <w:rFonts w:ascii="Arial" w:cs="Arial" w:eastAsia="Arial" w:hAnsi="Arial"/>
          <w:sz w:val="17"/>
          <w:szCs w:val="17"/>
          <w:color w:val="auto"/>
        </w:rPr>
        <w:t>As of December 31, 2024, our current assets slightly exceeded our current liabilities by $54 million. Typically, our current liabilities exceed our current assets because current liabilities include a significant amount of deferred revenue, which arises from the sale of subscription-based products and services that many customers pay for in advance. The cash received from these advance payments is used to fund the operating, investing and financing activities of our business. However, for accounting purposes, these advance payments must be deferred and recognized over the term of the subscription. As such, we may reflect a negative working capital position in our consolidated statement of financial position. In the ordinary course of business, deferred revenue does not represent a cash obligation, but rather an obligation to perform services or deliver products, and therefore when we are in that situation, we do not believe it is indicative of a liquidity issue, but rather an outcome of the required accounting for our business model.</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Net debt and leverage ratio of net debt to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159385</wp:posOffset>
            </wp:positionV>
            <wp:extent cx="68656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1040" w:type="dxa"/>
            <w:vAlign w:val="bottom"/>
            <w:shd w:val="clear" w:color="auto" w:fill="E3F3EE"/>
          </w:tcPr>
          <w:p>
            <w:pPr>
              <w:ind w:left="960"/>
              <w:spacing w:after="0"/>
              <w:rPr>
                <w:sz w:val="20"/>
                <w:szCs w:val="20"/>
                <w:color w:val="auto"/>
              </w:rPr>
            </w:pPr>
            <w:r>
              <w:rPr>
                <w:rFonts w:ascii="Arial" w:cs="Arial" w:eastAsia="Arial" w:hAnsi="Arial"/>
                <w:sz w:val="8"/>
                <w:szCs w:val="8"/>
                <w:b w:val="1"/>
                <w:bCs w:val="1"/>
                <w:color w:val="auto"/>
                <w:w w:val="74"/>
              </w:rPr>
              <w:t> </w:t>
            </w:r>
          </w:p>
        </w:tc>
        <w:tc>
          <w:tcPr>
            <w:tcW w:w="1660" w:type="dxa"/>
            <w:vAlign w:val="bottom"/>
            <w:gridSpan w:val="2"/>
            <w:shd w:val="clear" w:color="auto" w:fill="E3F3EE"/>
          </w:tcPr>
          <w:p>
            <w:pPr>
              <w:jc w:val="right"/>
              <w:ind w:right="101"/>
              <w:spacing w:after="0"/>
              <w:rPr>
                <w:sz w:val="20"/>
                <w:szCs w:val="20"/>
                <w:color w:val="auto"/>
              </w:rPr>
            </w:pPr>
            <w:r>
              <w:rPr>
                <w:rFonts w:ascii="Arial" w:cs="Arial" w:eastAsia="Arial" w:hAnsi="Arial"/>
                <w:sz w:val="16"/>
                <w:szCs w:val="16"/>
                <w:b w:val="1"/>
                <w:bCs w:val="1"/>
                <w:color w:val="auto"/>
              </w:rPr>
              <w:t xml:space="preserve">   December 31,    </w:t>
            </w:r>
          </w:p>
        </w:tc>
        <w:tc>
          <w:tcPr>
            <w:tcW w:w="20" w:type="dxa"/>
            <w:vAlign w:val="bottom"/>
          </w:tcPr>
          <w:p>
            <w:pPr>
              <w:spacing w:after="0"/>
              <w:rPr>
                <w:sz w:val="20"/>
                <w:szCs w:val="20"/>
                <w:color w:val="auto"/>
              </w:rPr>
            </w:pPr>
          </w:p>
        </w:tc>
      </w:tr>
      <w:tr>
        <w:trPr>
          <w:trHeight w:val="245"/>
        </w:trPr>
        <w:tc>
          <w:tcPr>
            <w:tcW w:w="810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color w:val="FFFFFF"/>
              </w:rPr>
              <w:t> (millions of U.S. dollars)</w:t>
            </w:r>
          </w:p>
        </w:tc>
        <w:tc>
          <w:tcPr>
            <w:tcW w:w="1040" w:type="dxa"/>
            <w:vAlign w:val="bottom"/>
            <w:tcBorders>
              <w:bottom w:val="single" w:sz="8" w:color="D64000"/>
            </w:tcBorders>
            <w:shd w:val="clear" w:color="auto" w:fill="1F473D"/>
          </w:tcPr>
          <w:p>
            <w:pPr>
              <w:spacing w:after="0"/>
              <w:rPr>
                <w:sz w:val="21"/>
                <w:szCs w:val="21"/>
                <w:color w:val="auto"/>
              </w:rPr>
            </w:pPr>
          </w:p>
        </w:tc>
        <w:tc>
          <w:tcPr>
            <w:tcW w:w="860" w:type="dxa"/>
            <w:vAlign w:val="bottom"/>
            <w:tcBorders>
              <w:bottom w:val="single" w:sz="8" w:color="D64000"/>
            </w:tcBorders>
            <w:shd w:val="clear" w:color="auto" w:fill="1F473D"/>
          </w:tcPr>
          <w:p>
            <w:pPr>
              <w:jc w:val="right"/>
              <w:ind w:right="321"/>
              <w:spacing w:after="0"/>
              <w:rPr>
                <w:sz w:val="20"/>
                <w:szCs w:val="20"/>
                <w:color w:val="auto"/>
              </w:rPr>
            </w:pPr>
            <w:r>
              <w:rPr>
                <w:rFonts w:ascii="Arial" w:cs="Arial" w:eastAsia="Arial" w:hAnsi="Arial"/>
                <w:sz w:val="16"/>
                <w:szCs w:val="16"/>
                <w:b w:val="1"/>
                <w:bCs w:val="1"/>
                <w:color w:val="FFFFFF"/>
              </w:rPr>
              <w:t>2024</w:t>
            </w:r>
          </w:p>
        </w:tc>
        <w:tc>
          <w:tcPr>
            <w:tcW w:w="80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2023</w:t>
            </w:r>
          </w:p>
        </w:tc>
        <w:tc>
          <w:tcPr>
            <w:tcW w:w="20" w:type="dxa"/>
            <w:vAlign w:val="bottom"/>
          </w:tcPr>
          <w:p>
            <w:pPr>
              <w:spacing w:after="0"/>
              <w:rPr>
                <w:sz w:val="21"/>
                <w:szCs w:val="21"/>
                <w:color w:val="auto"/>
              </w:rPr>
            </w:pPr>
          </w:p>
        </w:tc>
      </w:tr>
      <w:tr>
        <w:trPr>
          <w:trHeight w:val="238"/>
        </w:trPr>
        <w:tc>
          <w:tcPr>
            <w:tcW w:w="9140" w:type="dxa"/>
            <w:vAlign w:val="bottom"/>
            <w:gridSpan w:val="2"/>
          </w:tcPr>
          <w:p>
            <w:pPr>
              <w:spacing w:after="0"/>
              <w:rPr>
                <w:sz w:val="20"/>
                <w:szCs w:val="20"/>
                <w:color w:val="auto"/>
              </w:rPr>
            </w:pPr>
            <w:r>
              <w:rPr>
                <w:rFonts w:ascii="Arial" w:cs="Arial" w:eastAsia="Arial" w:hAnsi="Arial"/>
                <w:sz w:val="16"/>
                <w:szCs w:val="16"/>
                <w:b w:val="1"/>
                <w:bCs w:val="1"/>
                <w:color w:val="auto"/>
              </w:rPr>
              <w:t> Net debt</w:t>
            </w:r>
            <w:r>
              <w:rPr>
                <w:rFonts w:ascii="Arial" w:cs="Arial" w:eastAsia="Arial" w:hAnsi="Arial"/>
                <w:sz w:val="19"/>
                <w:szCs w:val="19"/>
                <w:b w:val="1"/>
                <w:bCs w:val="1"/>
                <w:color w:val="auto"/>
                <w:vertAlign w:val="superscript"/>
              </w:rPr>
              <w:t>(1)</w:t>
            </w:r>
          </w:p>
        </w:tc>
        <w:tc>
          <w:tcPr>
            <w:tcW w:w="860" w:type="dxa"/>
            <w:vAlign w:val="bottom"/>
          </w:tcPr>
          <w:p>
            <w:pPr>
              <w:jc w:val="right"/>
              <w:ind w:right="321"/>
              <w:spacing w:after="0"/>
              <w:rPr>
                <w:sz w:val="20"/>
                <w:szCs w:val="20"/>
                <w:color w:val="auto"/>
              </w:rPr>
            </w:pPr>
            <w:r>
              <w:rPr>
                <w:rFonts w:ascii="Arial" w:cs="Arial" w:eastAsia="Arial" w:hAnsi="Arial"/>
                <w:sz w:val="16"/>
                <w:szCs w:val="16"/>
                <w:b w:val="1"/>
                <w:bCs w:val="1"/>
                <w:color w:val="auto"/>
              </w:rPr>
              <w:t>1,156</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2,207</w:t>
            </w:r>
          </w:p>
        </w:tc>
      </w:tr>
      <w:tr>
        <w:trPr>
          <w:trHeight w:val="250"/>
        </w:trPr>
        <w:tc>
          <w:tcPr>
            <w:tcW w:w="9140" w:type="dxa"/>
            <w:vAlign w:val="bottom"/>
            <w:tcBorders>
              <w:top w:val="single" w:sz="8" w:color="B2B2B2"/>
            </w:tcBorders>
            <w:gridSpan w:val="2"/>
          </w:tcPr>
          <w:p>
            <w:pPr>
              <w:spacing w:after="0"/>
              <w:rPr>
                <w:sz w:val="20"/>
                <w:szCs w:val="20"/>
                <w:color w:val="auto"/>
              </w:rPr>
            </w:pPr>
            <w:r>
              <w:rPr>
                <w:rFonts w:ascii="Arial" w:cs="Arial" w:eastAsia="Arial" w:hAnsi="Arial"/>
                <w:sz w:val="16"/>
                <w:szCs w:val="16"/>
                <w:b w:val="1"/>
                <w:bCs w:val="1"/>
                <w:color w:val="auto"/>
              </w:rPr>
              <w:t> Leverage ratio of net debt to adjusted EBITDA:</w:t>
            </w:r>
          </w:p>
        </w:tc>
        <w:tc>
          <w:tcPr>
            <w:tcW w:w="860" w:type="dxa"/>
            <w:vAlign w:val="bottom"/>
            <w:tcBorders>
              <w:top w:val="single" w:sz="8" w:color="B2B2B2"/>
            </w:tcBorders>
          </w:tcPr>
          <w:p>
            <w:pPr>
              <w:spacing w:after="0"/>
              <w:rPr>
                <w:sz w:val="21"/>
                <w:szCs w:val="21"/>
                <w:color w:val="auto"/>
              </w:rPr>
            </w:pPr>
          </w:p>
        </w:tc>
        <w:tc>
          <w:tcPr>
            <w:tcW w:w="800" w:type="dxa"/>
            <w:vAlign w:val="bottom"/>
            <w:tcBorders>
              <w:top w:val="single" w:sz="8" w:color="B2B2B2"/>
            </w:tcBorders>
          </w:tcPr>
          <w:p>
            <w:pPr>
              <w:spacing w:after="0"/>
              <w:rPr>
                <w:sz w:val="21"/>
                <w:szCs w:val="21"/>
                <w:color w:val="auto"/>
              </w:rPr>
            </w:pPr>
          </w:p>
        </w:tc>
        <w:tc>
          <w:tcPr>
            <w:tcW w:w="20" w:type="dxa"/>
            <w:vAlign w:val="bottom"/>
          </w:tcPr>
          <w:p>
            <w:pPr>
              <w:spacing w:after="0"/>
              <w:rPr>
                <w:sz w:val="21"/>
                <w:szCs w:val="21"/>
                <w:color w:val="auto"/>
              </w:rPr>
            </w:pPr>
          </w:p>
        </w:tc>
      </w:tr>
      <w:tr>
        <w:trPr>
          <w:trHeight w:val="286"/>
        </w:trPr>
        <w:tc>
          <w:tcPr>
            <w:tcW w:w="9140" w:type="dxa"/>
            <w:vAlign w:val="bottom"/>
            <w:gridSpan w:val="2"/>
          </w:tcPr>
          <w:p>
            <w:pPr>
              <w:spacing w:after="0"/>
              <w:rPr>
                <w:sz w:val="20"/>
                <w:szCs w:val="20"/>
                <w:color w:val="auto"/>
              </w:rPr>
            </w:pPr>
            <w:r>
              <w:rPr>
                <w:rFonts w:ascii="Arial" w:cs="Arial" w:eastAsia="Arial" w:hAnsi="Arial"/>
                <w:sz w:val="16"/>
                <w:szCs w:val="16"/>
                <w:b w:val="1"/>
                <w:bCs w:val="1"/>
                <w:color w:val="auto"/>
              </w:rPr>
              <w:t> Adjusted EBITDA</w:t>
            </w:r>
            <w:r>
              <w:rPr>
                <w:rFonts w:ascii="Arial" w:cs="Arial" w:eastAsia="Arial" w:hAnsi="Arial"/>
                <w:sz w:val="19"/>
                <w:szCs w:val="19"/>
                <w:b w:val="1"/>
                <w:bCs w:val="1"/>
                <w:color w:val="auto"/>
                <w:vertAlign w:val="superscript"/>
              </w:rPr>
              <w:t>(1)</w:t>
            </w:r>
          </w:p>
        </w:tc>
        <w:tc>
          <w:tcPr>
            <w:tcW w:w="860" w:type="dxa"/>
            <w:vAlign w:val="bottom"/>
          </w:tcPr>
          <w:p>
            <w:pPr>
              <w:jc w:val="right"/>
              <w:ind w:right="321"/>
              <w:spacing w:after="0"/>
              <w:rPr>
                <w:sz w:val="20"/>
                <w:szCs w:val="20"/>
                <w:color w:val="auto"/>
              </w:rPr>
            </w:pPr>
            <w:r>
              <w:rPr>
                <w:rFonts w:ascii="Arial" w:cs="Arial" w:eastAsia="Arial" w:hAnsi="Arial"/>
                <w:sz w:val="16"/>
                <w:szCs w:val="16"/>
                <w:b w:val="1"/>
                <w:bCs w:val="1"/>
                <w:color w:val="auto"/>
              </w:rPr>
              <w:t>2,779</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2,678</w:t>
            </w:r>
          </w:p>
        </w:tc>
      </w:tr>
      <w:tr>
        <w:trPr>
          <w:trHeight w:val="206"/>
        </w:trPr>
        <w:tc>
          <w:tcPr>
            <w:tcW w:w="9140" w:type="dxa"/>
            <w:vAlign w:val="bottom"/>
            <w:tcBorders>
              <w:bottom w:val="single" w:sz="8" w:color="D64000"/>
            </w:tcBorders>
            <w:gridSpan w:val="2"/>
          </w:tcPr>
          <w:p>
            <w:pPr>
              <w:spacing w:after="0" w:line="200" w:lineRule="exact"/>
              <w:rPr>
                <w:sz w:val="20"/>
                <w:szCs w:val="20"/>
                <w:color w:val="auto"/>
              </w:rPr>
            </w:pPr>
            <w:r>
              <w:rPr>
                <w:rFonts w:ascii="Arial" w:cs="Arial" w:eastAsia="Arial" w:hAnsi="Arial"/>
                <w:sz w:val="16"/>
                <w:szCs w:val="16"/>
                <w:b w:val="1"/>
                <w:bCs w:val="1"/>
                <w:color w:val="auto"/>
              </w:rPr>
              <w:t> Net debt/adjusted EBITDA</w:t>
            </w:r>
            <w:r>
              <w:rPr>
                <w:rFonts w:ascii="Arial" w:cs="Arial" w:eastAsia="Arial" w:hAnsi="Arial"/>
                <w:sz w:val="19"/>
                <w:szCs w:val="19"/>
                <w:b w:val="1"/>
                <w:bCs w:val="1"/>
                <w:color w:val="auto"/>
                <w:vertAlign w:val="superscript"/>
              </w:rPr>
              <w:t>(1)</w:t>
            </w:r>
          </w:p>
        </w:tc>
        <w:tc>
          <w:tcPr>
            <w:tcW w:w="860" w:type="dxa"/>
            <w:vAlign w:val="bottom"/>
            <w:tcBorders>
              <w:bottom w:val="single" w:sz="8" w:color="D64000"/>
            </w:tcBorders>
          </w:tcPr>
          <w:p>
            <w:pPr>
              <w:jc w:val="right"/>
              <w:ind w:right="321"/>
              <w:spacing w:after="0"/>
              <w:rPr>
                <w:sz w:val="20"/>
                <w:szCs w:val="20"/>
                <w:color w:val="auto"/>
              </w:rPr>
            </w:pPr>
            <w:r>
              <w:rPr>
                <w:rFonts w:ascii="Arial" w:cs="Arial" w:eastAsia="Arial" w:hAnsi="Arial"/>
                <w:sz w:val="16"/>
                <w:szCs w:val="16"/>
                <w:b w:val="1"/>
                <w:bCs w:val="1"/>
                <w:color w:val="auto"/>
              </w:rPr>
              <w:t>0.4:1</w:t>
            </w:r>
          </w:p>
        </w:tc>
        <w:tc>
          <w:tcPr>
            <w:tcW w:w="820" w:type="dxa"/>
            <w:vAlign w:val="bottom"/>
            <w:tcBorders>
              <w:bottom w:val="single" w:sz="8" w:color="D64000"/>
            </w:tcBorders>
            <w:gridSpan w:val="2"/>
          </w:tcPr>
          <w:p>
            <w:pPr>
              <w:jc w:val="right"/>
              <w:spacing w:after="0"/>
              <w:rPr>
                <w:sz w:val="20"/>
                <w:szCs w:val="20"/>
                <w:color w:val="auto"/>
              </w:rPr>
            </w:pPr>
            <w:r>
              <w:rPr>
                <w:rFonts w:ascii="Arial" w:cs="Arial" w:eastAsia="Arial" w:hAnsi="Arial"/>
                <w:sz w:val="16"/>
                <w:szCs w:val="16"/>
                <w:color w:val="auto"/>
              </w:rPr>
              <w:t>0.8:1</w:t>
            </w:r>
          </w:p>
        </w:tc>
      </w:tr>
    </w:tbl>
    <w:p>
      <w:pPr>
        <w:spacing w:after="0" w:line="83" w:lineRule="exact"/>
        <w:rPr>
          <w:sz w:val="20"/>
          <w:szCs w:val="20"/>
          <w:color w:val="auto"/>
        </w:rPr>
      </w:pPr>
    </w:p>
    <w:p>
      <w:pPr>
        <w:ind w:left="640" w:right="140" w:hanging="422"/>
        <w:spacing w:after="0" w:line="274" w:lineRule="auto"/>
        <w:tabs>
          <w:tab w:leader="none" w:pos="6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 non-IFRS financial measures. Refer to Appendices A and B of this management’s discussion and analysis for additional information and reconciliations of our non-IFRS financial measures to the most directly comparable IFRS financial measures.</w:t>
      </w:r>
    </w:p>
    <w:p>
      <w:pPr>
        <w:spacing w:after="0" w:line="30" w:lineRule="exact"/>
        <w:rPr>
          <w:sz w:val="20"/>
          <w:szCs w:val="20"/>
          <w:color w:val="auto"/>
        </w:rPr>
      </w:pPr>
    </w:p>
    <w:p>
      <w:pPr>
        <w:ind w:left="220" w:right="140"/>
        <w:spacing w:after="0" w:line="238" w:lineRule="auto"/>
        <w:rPr>
          <w:sz w:val="20"/>
          <w:szCs w:val="20"/>
          <w:color w:val="auto"/>
        </w:rPr>
      </w:pPr>
      <w:r>
        <w:rPr>
          <w:rFonts w:ascii="Arial" w:cs="Arial" w:eastAsia="Arial" w:hAnsi="Arial"/>
          <w:sz w:val="17"/>
          <w:szCs w:val="17"/>
          <w:color w:val="auto"/>
        </w:rPr>
        <w:t>For additional information about our liquidity, we provide our leverage ratio of net debt to adjusted EBITDA. Our leverage ratio of net debt to adjusted EBITDA was below our target ratio of 2.5:1. Net debt decreased primarily due to the increase in cash and cash equivalents (refer to the “Cash Flow” section of this management’s discussion and analysis for additional information). As of December 31, 2024, our total debt position (after swaps and excluding the associated unamortized transaction costs and premiums or discounts) was $2.9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93980</wp:posOffset>
            </wp:positionV>
            <wp:extent cx="68656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9"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48</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jc w:val="both"/>
        <w:ind w:left="220" w:right="140"/>
        <w:spacing w:after="0" w:line="243" w:lineRule="auto"/>
        <w:rPr>
          <w:sz w:val="20"/>
          <w:szCs w:val="20"/>
          <w:color w:val="auto"/>
        </w:rPr>
      </w:pPr>
      <w:r>
        <w:rPr>
          <w:rFonts w:ascii="Arial" w:cs="Arial" w:eastAsia="Arial" w:hAnsi="Arial"/>
          <w:sz w:val="17"/>
          <w:szCs w:val="17"/>
          <w:color w:val="auto"/>
        </w:rPr>
        <w:t>The maturity dates for our term debt are well balanced with no significant concentration in any one year. As of December 31, 2024, the average maturity of our term debt of $2.8 billion was approximately eight years at an average interest rate (after swaps) of slightly over 4%, all of which is fixed. We have approximately $1.0 billion coming due in May 2025.</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illustrates our expected term debt maturities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159385</wp:posOffset>
            </wp:positionV>
            <wp:extent cx="5006340" cy="19685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006340" cy="1968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Financial Risk Management</w:t>
      </w:r>
    </w:p>
    <w:p>
      <w:pPr>
        <w:spacing w:after="0" w:line="97" w:lineRule="exact"/>
        <w:rPr>
          <w:sz w:val="20"/>
          <w:szCs w:val="20"/>
          <w:color w:val="auto"/>
        </w:rPr>
      </w:pPr>
    </w:p>
    <w:p>
      <w:pPr>
        <w:ind w:left="220" w:right="100"/>
        <w:spacing w:after="0" w:line="234" w:lineRule="auto"/>
        <w:rPr>
          <w:sz w:val="20"/>
          <w:szCs w:val="20"/>
          <w:color w:val="auto"/>
        </w:rPr>
      </w:pPr>
      <w:r>
        <w:rPr>
          <w:rFonts w:ascii="Arial" w:cs="Arial" w:eastAsia="Arial" w:hAnsi="Arial"/>
          <w:sz w:val="17"/>
          <w:szCs w:val="17"/>
          <w:color w:val="auto"/>
        </w:rPr>
        <w:t>Our global operations expose us to a variety of financial risks including market risk (primarily currency risk, price risk and interest rate risk), credit risk and liquidity risk. The section entitled “Financial Risk Management” in note 20 of our 2024 annual consolidated financial statements provides a discussion of the material financial risks we believe we are exposed to and our approach to mitigating the potential adverse effects on our financial performance. Under the oversight of our Chief Financial Officer, our centralized corporate treasury group is responsible for our financial risk management strategy and execution and operates under strict guidelines and internal control processes. We strive to minimize the potential adverse economic effects associated with financial risks on our financial performance and to ensure we have sufficient liquidity to fund our operations, reinvest in our business, pay dividends and service our debt obligations.</w:t>
      </w:r>
    </w:p>
    <w:p>
      <w:pPr>
        <w:spacing w:after="0" w:line="57" w:lineRule="exact"/>
        <w:rPr>
          <w:sz w:val="20"/>
          <w:szCs w:val="20"/>
          <w:color w:val="auto"/>
        </w:rPr>
      </w:pPr>
    </w:p>
    <w:p>
      <w:pPr>
        <w:ind w:left="220" w:right="120"/>
        <w:spacing w:after="0" w:line="235" w:lineRule="auto"/>
        <w:rPr>
          <w:sz w:val="20"/>
          <w:szCs w:val="20"/>
          <w:color w:val="auto"/>
        </w:rPr>
      </w:pPr>
      <w:r>
        <w:rPr>
          <w:rFonts w:ascii="Arial" w:cs="Arial" w:eastAsia="Arial" w:hAnsi="Arial"/>
          <w:sz w:val="17"/>
          <w:szCs w:val="17"/>
          <w:color w:val="auto"/>
        </w:rPr>
        <w:t>Most of our business is conducted in U.S. dollars. However, 18% of our 2024 revenues and 35% of our 2024 operating expenses were denominated in currencies other than the U.S. dollar, the most significant of which is the British pound sterling with the balance spread over several currencies, including the Canadian dollar, the Euro, the Brazilian real and the Indian rupee. Changes in foreign exchange rates typically impact the growth in our expenses more than our revenues, because a higher percentage of our expenses are denominated in foreign currency. In 2024, foreign currency had a less than 1% negative impact on our revenue growth and decreased operating expenses by 1% compared to the prior year.</w:t>
      </w:r>
    </w:p>
    <w:p>
      <w:pPr>
        <w:spacing w:after="0" w:line="49" w:lineRule="exact"/>
        <w:rPr>
          <w:sz w:val="20"/>
          <w:szCs w:val="20"/>
          <w:color w:val="auto"/>
        </w:rPr>
      </w:pPr>
    </w:p>
    <w:p>
      <w:pPr>
        <w:ind w:left="220" w:right="240"/>
        <w:spacing w:after="0" w:line="259" w:lineRule="auto"/>
        <w:rPr>
          <w:sz w:val="20"/>
          <w:szCs w:val="20"/>
          <w:color w:val="auto"/>
        </w:rPr>
      </w:pPr>
      <w:r>
        <w:rPr>
          <w:rFonts w:ascii="Arial" w:cs="Arial" w:eastAsia="Arial" w:hAnsi="Arial"/>
          <w:sz w:val="18"/>
          <w:szCs w:val="18"/>
          <w:color w:val="auto"/>
        </w:rPr>
        <w:t>The following charts outline the currency profile of our revenues and operating expenses included in our calculation of adjusted EBITDA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130810</wp:posOffset>
            </wp:positionV>
            <wp:extent cx="5931535" cy="22967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31535" cy="2296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20" w:right="240"/>
        <w:spacing w:after="0" w:line="260" w:lineRule="auto"/>
        <w:rPr>
          <w:sz w:val="20"/>
          <w:szCs w:val="20"/>
          <w:color w:val="auto"/>
        </w:rPr>
      </w:pPr>
      <w:r>
        <w:rPr>
          <w:rFonts w:ascii="Arial" w:cs="Arial" w:eastAsia="Arial" w:hAnsi="Arial"/>
          <w:sz w:val="17"/>
          <w:szCs w:val="17"/>
          <w:color w:val="auto"/>
        </w:rPr>
        <w:t>To mitigate risk of loss, we monitor the creditworthiness of our customers and have policies and procedures for trade receivables collection and global cash management to ensure adequate liquidity is available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81915</wp:posOffset>
            </wp:positionV>
            <wp:extent cx="68656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9"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49</w:t>
      </w:r>
    </w:p>
    <w:p>
      <w:pPr>
        <w:sectPr>
          <w:pgSz w:w="11900" w:h="16838" w:orient="portrait"/>
          <w:cols w:equalWidth="0" w:num="1">
            <w:col w:w="11040"/>
          </w:cols>
          <w:pgMar w:left="320" w:top="477" w:right="5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20"/>
        <w:spacing w:after="0" w:line="260" w:lineRule="auto"/>
        <w:rPr>
          <w:sz w:val="20"/>
          <w:szCs w:val="20"/>
          <w:color w:val="auto"/>
        </w:rPr>
      </w:pPr>
      <w:r>
        <w:rPr>
          <w:rFonts w:ascii="Arial" w:cs="Arial" w:eastAsia="Arial" w:hAnsi="Arial"/>
          <w:sz w:val="17"/>
          <w:szCs w:val="17"/>
          <w:color w:val="auto"/>
        </w:rPr>
        <w:t>We also monitor the financial strength of financial institutions with which we have banking and other commercial relationships, including those that hold our cash and cash equivalents, and those which are counterparties to derivative financial instruments and other arrangements.</w:t>
      </w:r>
    </w:p>
    <w:p>
      <w:pPr>
        <w:spacing w:after="0" w:line="27" w:lineRule="exact"/>
        <w:rPr>
          <w:sz w:val="20"/>
          <w:szCs w:val="20"/>
          <w:color w:val="auto"/>
        </w:rPr>
      </w:pPr>
    </w:p>
    <w:p>
      <w:pPr>
        <w:ind w:left="220" w:right="60"/>
        <w:spacing w:after="0" w:line="243" w:lineRule="auto"/>
        <w:rPr>
          <w:sz w:val="20"/>
          <w:szCs w:val="20"/>
          <w:color w:val="auto"/>
        </w:rPr>
      </w:pPr>
      <w:r>
        <w:rPr>
          <w:rFonts w:ascii="Arial" w:cs="Arial" w:eastAsia="Arial" w:hAnsi="Arial"/>
          <w:sz w:val="17"/>
          <w:szCs w:val="17"/>
          <w:color w:val="auto"/>
        </w:rPr>
        <w:t>Approximately 47% of our cash and cash equivalents as of December 31, 2024 were held by subsidiaries outside the U.S., mostly in Switzerland. We have historically accessed such funds in a tax efficient manner to meet our liquidity requirements and due to our legal entity structure, we continue to expect to have access.</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Off-Balance Sheet Arrangements, Commitments and Contractual Obligations</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our contractual obligations and off-balance sheet commitments:</w:t>
      </w:r>
    </w:p>
    <w:p>
      <w:pPr>
        <w:spacing w:after="0" w:line="251" w:lineRule="exact"/>
        <w:rPr>
          <w:sz w:val="20"/>
          <w:szCs w:val="20"/>
          <w:color w:val="auto"/>
        </w:rPr>
      </w:pPr>
    </w:p>
    <w:tbl>
      <w:tblPr>
        <w:tblLayout w:type="fixed"/>
        <w:tblInd w:w="220" w:type="dxa"/>
        <w:tblCellMar>
          <w:top w:w="0" w:type="dxa"/>
          <w:left w:w="0" w:type="dxa"/>
          <w:bottom w:w="0" w:type="dxa"/>
          <w:right w:w="0" w:type="dxa"/>
        </w:tblCellMar>
      </w:tblPr>
      <w:tr>
        <w:trPr>
          <w:trHeight w:val="218"/>
        </w:trPr>
        <w:tc>
          <w:tcPr>
            <w:tcW w:w="496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color w:val="FFFFFF"/>
              </w:rPr>
              <w:t> (millions of U.S. dollars)</w:t>
            </w:r>
          </w:p>
        </w:tc>
        <w:tc>
          <w:tcPr>
            <w:tcW w:w="1020" w:type="dxa"/>
            <w:vAlign w:val="bottom"/>
            <w:tcBorders>
              <w:bottom w:val="single" w:sz="8" w:color="D64000"/>
            </w:tcBorders>
            <w:shd w:val="clear" w:color="auto" w:fill="1F473D"/>
          </w:tcPr>
          <w:p>
            <w:pPr>
              <w:jc w:val="right"/>
              <w:ind w:right="161"/>
              <w:spacing w:after="0"/>
              <w:rPr>
                <w:sz w:val="20"/>
                <w:szCs w:val="20"/>
                <w:color w:val="auto"/>
              </w:rPr>
            </w:pPr>
            <w:r>
              <w:rPr>
                <w:rFonts w:ascii="Arial" w:cs="Arial" w:eastAsia="Arial" w:hAnsi="Arial"/>
                <w:sz w:val="16"/>
                <w:szCs w:val="16"/>
                <w:b w:val="1"/>
                <w:bCs w:val="1"/>
                <w:color w:val="FFFFFF"/>
              </w:rPr>
              <w:t>2025</w:t>
            </w:r>
          </w:p>
        </w:tc>
        <w:tc>
          <w:tcPr>
            <w:tcW w:w="780" w:type="dxa"/>
            <w:vAlign w:val="bottom"/>
            <w:tcBorders>
              <w:bottom w:val="single" w:sz="8" w:color="D64000"/>
            </w:tcBorders>
            <w:shd w:val="clear" w:color="auto" w:fill="1F473D"/>
          </w:tcPr>
          <w:p>
            <w:pPr>
              <w:jc w:val="right"/>
              <w:ind w:right="141"/>
              <w:spacing w:after="0"/>
              <w:rPr>
                <w:sz w:val="20"/>
                <w:szCs w:val="20"/>
                <w:color w:val="auto"/>
              </w:rPr>
            </w:pPr>
            <w:r>
              <w:rPr>
                <w:rFonts w:ascii="Arial" w:cs="Arial" w:eastAsia="Arial" w:hAnsi="Arial"/>
                <w:sz w:val="16"/>
                <w:szCs w:val="16"/>
                <w:b w:val="1"/>
                <w:bCs w:val="1"/>
                <w:color w:val="FFFFFF"/>
              </w:rPr>
              <w:t>2026</w:t>
            </w:r>
          </w:p>
        </w:tc>
        <w:tc>
          <w:tcPr>
            <w:tcW w:w="760" w:type="dxa"/>
            <w:vAlign w:val="bottom"/>
            <w:tcBorders>
              <w:bottom w:val="single" w:sz="8" w:color="D64000"/>
            </w:tcBorders>
            <w:shd w:val="clear" w:color="auto" w:fill="1F473D"/>
          </w:tcPr>
          <w:p>
            <w:pPr>
              <w:jc w:val="right"/>
              <w:ind w:right="121"/>
              <w:spacing w:after="0"/>
              <w:rPr>
                <w:sz w:val="20"/>
                <w:szCs w:val="20"/>
                <w:color w:val="auto"/>
              </w:rPr>
            </w:pPr>
            <w:r>
              <w:rPr>
                <w:rFonts w:ascii="Arial" w:cs="Arial" w:eastAsia="Arial" w:hAnsi="Arial"/>
                <w:sz w:val="16"/>
                <w:szCs w:val="16"/>
                <w:b w:val="1"/>
                <w:bCs w:val="1"/>
                <w:color w:val="FFFFFF"/>
              </w:rPr>
              <w:t>2027</w:t>
            </w:r>
          </w:p>
        </w:tc>
        <w:tc>
          <w:tcPr>
            <w:tcW w:w="760" w:type="dxa"/>
            <w:vAlign w:val="bottom"/>
            <w:tcBorders>
              <w:bottom w:val="single" w:sz="8" w:color="D64000"/>
            </w:tcBorders>
            <w:shd w:val="clear" w:color="auto" w:fill="1F473D"/>
          </w:tcPr>
          <w:p>
            <w:pPr>
              <w:jc w:val="right"/>
              <w:ind w:right="121"/>
              <w:spacing w:after="0"/>
              <w:rPr>
                <w:sz w:val="20"/>
                <w:szCs w:val="20"/>
                <w:color w:val="auto"/>
              </w:rPr>
            </w:pPr>
            <w:r>
              <w:rPr>
                <w:rFonts w:ascii="Arial" w:cs="Arial" w:eastAsia="Arial" w:hAnsi="Arial"/>
                <w:sz w:val="16"/>
                <w:szCs w:val="16"/>
                <w:b w:val="1"/>
                <w:bCs w:val="1"/>
                <w:color w:val="FFFFFF"/>
              </w:rPr>
              <w:t>2028</w:t>
            </w:r>
          </w:p>
        </w:tc>
        <w:tc>
          <w:tcPr>
            <w:tcW w:w="780" w:type="dxa"/>
            <w:vAlign w:val="bottom"/>
            <w:tcBorders>
              <w:bottom w:val="single" w:sz="8" w:color="D64000"/>
            </w:tcBorders>
            <w:shd w:val="clear" w:color="auto" w:fill="1F473D"/>
          </w:tcPr>
          <w:p>
            <w:pPr>
              <w:jc w:val="right"/>
              <w:ind w:right="141"/>
              <w:spacing w:after="0"/>
              <w:rPr>
                <w:sz w:val="20"/>
                <w:szCs w:val="20"/>
                <w:color w:val="auto"/>
              </w:rPr>
            </w:pPr>
            <w:r>
              <w:rPr>
                <w:rFonts w:ascii="Arial" w:cs="Arial" w:eastAsia="Arial" w:hAnsi="Arial"/>
                <w:sz w:val="16"/>
                <w:szCs w:val="16"/>
                <w:b w:val="1"/>
                <w:bCs w:val="1"/>
                <w:color w:val="FFFFFF"/>
              </w:rPr>
              <w:t>2029</w:t>
            </w:r>
          </w:p>
        </w:tc>
        <w:tc>
          <w:tcPr>
            <w:tcW w:w="1180" w:type="dxa"/>
            <w:vAlign w:val="bottom"/>
            <w:tcBorders>
              <w:bottom w:val="single" w:sz="8" w:color="D64000"/>
            </w:tcBorders>
            <w:shd w:val="clear" w:color="auto" w:fill="1F473D"/>
          </w:tcPr>
          <w:p>
            <w:pPr>
              <w:jc w:val="right"/>
              <w:ind w:right="101"/>
              <w:spacing w:after="0"/>
              <w:rPr>
                <w:sz w:val="20"/>
                <w:szCs w:val="20"/>
                <w:color w:val="auto"/>
              </w:rPr>
            </w:pPr>
            <w:r>
              <w:rPr>
                <w:rFonts w:ascii="Arial" w:cs="Arial" w:eastAsia="Arial" w:hAnsi="Arial"/>
                <w:sz w:val="16"/>
                <w:szCs w:val="16"/>
                <w:b w:val="1"/>
                <w:bCs w:val="1"/>
                <w:color w:val="FFFFFF"/>
              </w:rPr>
              <w:t>Thereafter</w:t>
            </w:r>
          </w:p>
        </w:tc>
        <w:tc>
          <w:tcPr>
            <w:tcW w:w="560" w:type="dxa"/>
            <w:vAlign w:val="bottom"/>
            <w:tcBorders>
              <w:bottom w:val="single" w:sz="8" w:color="D64000"/>
            </w:tcBorders>
            <w:shd w:val="clear" w:color="auto" w:fill="1F473D"/>
          </w:tcPr>
          <w:p>
            <w:pPr>
              <w:ind w:left="180"/>
              <w:spacing w:after="0"/>
              <w:rPr>
                <w:sz w:val="20"/>
                <w:szCs w:val="20"/>
                <w:color w:val="auto"/>
              </w:rPr>
            </w:pPr>
            <w:r>
              <w:rPr>
                <w:rFonts w:ascii="Arial" w:cs="Arial" w:eastAsia="Arial" w:hAnsi="Arial"/>
                <w:sz w:val="16"/>
                <w:szCs w:val="16"/>
                <w:b w:val="1"/>
                <w:bCs w:val="1"/>
                <w:color w:val="FFFFFF"/>
                <w:w w:val="94"/>
              </w:rPr>
              <w:t>Total</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91"/>
        </w:trPr>
        <w:tc>
          <w:tcPr>
            <w:tcW w:w="4960" w:type="dxa"/>
            <w:vAlign w:val="bottom"/>
          </w:tcPr>
          <w:p>
            <w:pPr>
              <w:spacing w:after="0"/>
              <w:rPr>
                <w:sz w:val="20"/>
                <w:szCs w:val="20"/>
                <w:color w:val="auto"/>
              </w:rPr>
            </w:pPr>
            <w:r>
              <w:rPr>
                <w:rFonts w:ascii="Arial" w:cs="Arial" w:eastAsia="Arial" w:hAnsi="Arial"/>
                <w:sz w:val="16"/>
                <w:szCs w:val="16"/>
                <w:b w:val="1"/>
                <w:bCs w:val="1"/>
                <w:color w:val="auto"/>
              </w:rPr>
              <w:t> Notes/debentures</w:t>
            </w:r>
            <w:r>
              <w:rPr>
                <w:rFonts w:ascii="Arial" w:cs="Arial" w:eastAsia="Arial" w:hAnsi="Arial"/>
                <w:sz w:val="19"/>
                <w:szCs w:val="19"/>
                <w:b w:val="1"/>
                <w:bCs w:val="1"/>
                <w:color w:val="auto"/>
                <w:vertAlign w:val="superscript"/>
              </w:rPr>
              <w:t>(1)</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973</w:t>
            </w:r>
          </w:p>
        </w:tc>
        <w:tc>
          <w:tcPr>
            <w:tcW w:w="780" w:type="dxa"/>
            <w:vAlign w:val="bottom"/>
          </w:tcPr>
          <w:p>
            <w:pPr>
              <w:jc w:val="right"/>
              <w:ind w:right="141"/>
              <w:spacing w:after="0"/>
              <w:rPr>
                <w:sz w:val="20"/>
                <w:szCs w:val="20"/>
                <w:color w:val="auto"/>
              </w:rPr>
            </w:pPr>
            <w:r>
              <w:rPr>
                <w:rFonts w:ascii="Arial" w:cs="Arial" w:eastAsia="Arial" w:hAnsi="Arial"/>
                <w:sz w:val="16"/>
                <w:szCs w:val="16"/>
                <w:color w:val="auto"/>
              </w:rPr>
              <w:t>500</w:t>
            </w:r>
          </w:p>
        </w:tc>
        <w:tc>
          <w:tcPr>
            <w:tcW w:w="7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01"/>
              <w:spacing w:after="0"/>
              <w:rPr>
                <w:sz w:val="20"/>
                <w:szCs w:val="20"/>
                <w:color w:val="auto"/>
              </w:rPr>
            </w:pPr>
            <w:r>
              <w:rPr>
                <w:rFonts w:ascii="Arial" w:cs="Arial" w:eastAsia="Arial" w:hAnsi="Arial"/>
                <w:sz w:val="16"/>
                <w:szCs w:val="16"/>
                <w:color w:val="auto"/>
              </w:rPr>
              <w:t>1,369</w:t>
            </w:r>
          </w:p>
        </w:tc>
        <w:tc>
          <w:tcPr>
            <w:tcW w:w="600" w:type="dxa"/>
            <w:vAlign w:val="bottom"/>
            <w:gridSpan w:val="3"/>
          </w:tcPr>
          <w:p>
            <w:pPr>
              <w:jc w:val="right"/>
              <w:ind w:right="20"/>
              <w:spacing w:after="0"/>
              <w:rPr>
                <w:sz w:val="20"/>
                <w:szCs w:val="20"/>
                <w:color w:val="auto"/>
              </w:rPr>
            </w:pPr>
            <w:r>
              <w:rPr>
                <w:rFonts w:ascii="Arial" w:cs="Arial" w:eastAsia="Arial" w:hAnsi="Arial"/>
                <w:sz w:val="16"/>
                <w:szCs w:val="16"/>
                <w:color w:val="auto"/>
              </w:rPr>
              <w:t>2,842</w:t>
            </w:r>
          </w:p>
        </w:tc>
      </w:tr>
      <w:tr>
        <w:trPr>
          <w:trHeight w:val="252"/>
        </w:trPr>
        <w:tc>
          <w:tcPr>
            <w:tcW w:w="4960" w:type="dxa"/>
            <w:vAlign w:val="bottom"/>
          </w:tcPr>
          <w:p>
            <w:pPr>
              <w:spacing w:after="0"/>
              <w:rPr>
                <w:sz w:val="20"/>
                <w:szCs w:val="20"/>
                <w:color w:val="auto"/>
              </w:rPr>
            </w:pPr>
            <w:r>
              <w:rPr>
                <w:rFonts w:ascii="Arial" w:cs="Arial" w:eastAsia="Arial" w:hAnsi="Arial"/>
                <w:sz w:val="16"/>
                <w:szCs w:val="16"/>
                <w:b w:val="1"/>
                <w:bCs w:val="1"/>
                <w:color w:val="auto"/>
              </w:rPr>
              <w:t> Interest payable</w:t>
            </w:r>
            <w:r>
              <w:rPr>
                <w:rFonts w:ascii="Arial" w:cs="Arial" w:eastAsia="Arial" w:hAnsi="Arial"/>
                <w:sz w:val="19"/>
                <w:szCs w:val="19"/>
                <w:b w:val="1"/>
                <w:bCs w:val="1"/>
                <w:color w:val="auto"/>
                <w:vertAlign w:val="superscript"/>
              </w:rPr>
              <w:t>(1)</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104</w:t>
            </w:r>
          </w:p>
        </w:tc>
        <w:tc>
          <w:tcPr>
            <w:tcW w:w="780" w:type="dxa"/>
            <w:vAlign w:val="bottom"/>
          </w:tcPr>
          <w:p>
            <w:pPr>
              <w:jc w:val="right"/>
              <w:ind w:right="141"/>
              <w:spacing w:after="0"/>
              <w:rPr>
                <w:sz w:val="20"/>
                <w:szCs w:val="20"/>
                <w:color w:val="auto"/>
              </w:rPr>
            </w:pPr>
            <w:r>
              <w:rPr>
                <w:rFonts w:ascii="Arial" w:cs="Arial" w:eastAsia="Arial" w:hAnsi="Arial"/>
                <w:sz w:val="16"/>
                <w:szCs w:val="16"/>
                <w:color w:val="auto"/>
              </w:rPr>
              <w:t>84</w:t>
            </w:r>
          </w:p>
        </w:tc>
        <w:tc>
          <w:tcPr>
            <w:tcW w:w="760" w:type="dxa"/>
            <w:vAlign w:val="bottom"/>
          </w:tcPr>
          <w:p>
            <w:pPr>
              <w:jc w:val="right"/>
              <w:ind w:right="121"/>
              <w:spacing w:after="0"/>
              <w:rPr>
                <w:sz w:val="20"/>
                <w:szCs w:val="20"/>
                <w:color w:val="auto"/>
              </w:rPr>
            </w:pPr>
            <w:r>
              <w:rPr>
                <w:rFonts w:ascii="Arial" w:cs="Arial" w:eastAsia="Arial" w:hAnsi="Arial"/>
                <w:sz w:val="16"/>
                <w:szCs w:val="16"/>
                <w:color w:val="auto"/>
              </w:rPr>
              <w:t>76</w:t>
            </w:r>
          </w:p>
        </w:tc>
        <w:tc>
          <w:tcPr>
            <w:tcW w:w="760" w:type="dxa"/>
            <w:vAlign w:val="bottom"/>
          </w:tcPr>
          <w:p>
            <w:pPr>
              <w:jc w:val="right"/>
              <w:ind w:right="121"/>
              <w:spacing w:after="0"/>
              <w:rPr>
                <w:sz w:val="20"/>
                <w:szCs w:val="20"/>
                <w:color w:val="auto"/>
              </w:rPr>
            </w:pPr>
            <w:r>
              <w:rPr>
                <w:rFonts w:ascii="Arial" w:cs="Arial" w:eastAsia="Arial" w:hAnsi="Arial"/>
                <w:sz w:val="16"/>
                <w:szCs w:val="16"/>
                <w:color w:val="auto"/>
              </w:rPr>
              <w:t>76</w:t>
            </w:r>
          </w:p>
        </w:tc>
        <w:tc>
          <w:tcPr>
            <w:tcW w:w="780" w:type="dxa"/>
            <w:vAlign w:val="bottom"/>
          </w:tcPr>
          <w:p>
            <w:pPr>
              <w:jc w:val="right"/>
              <w:ind w:right="141"/>
              <w:spacing w:after="0"/>
              <w:rPr>
                <w:sz w:val="20"/>
                <w:szCs w:val="20"/>
                <w:color w:val="auto"/>
              </w:rPr>
            </w:pPr>
            <w:r>
              <w:rPr>
                <w:rFonts w:ascii="Arial" w:cs="Arial" w:eastAsia="Arial" w:hAnsi="Arial"/>
                <w:sz w:val="16"/>
                <w:szCs w:val="16"/>
                <w:color w:val="auto"/>
              </w:rPr>
              <w:t>76</w:t>
            </w:r>
          </w:p>
        </w:tc>
        <w:tc>
          <w:tcPr>
            <w:tcW w:w="1180" w:type="dxa"/>
            <w:vAlign w:val="bottom"/>
          </w:tcPr>
          <w:p>
            <w:pPr>
              <w:jc w:val="right"/>
              <w:ind w:right="101"/>
              <w:spacing w:after="0"/>
              <w:rPr>
                <w:sz w:val="20"/>
                <w:szCs w:val="20"/>
                <w:color w:val="auto"/>
              </w:rPr>
            </w:pPr>
            <w:r>
              <w:rPr>
                <w:rFonts w:ascii="Arial" w:cs="Arial" w:eastAsia="Arial" w:hAnsi="Arial"/>
                <w:sz w:val="16"/>
                <w:szCs w:val="16"/>
                <w:color w:val="auto"/>
              </w:rPr>
              <w:t>791</w:t>
            </w:r>
          </w:p>
        </w:tc>
        <w:tc>
          <w:tcPr>
            <w:tcW w:w="600" w:type="dxa"/>
            <w:vAlign w:val="bottom"/>
            <w:gridSpan w:val="3"/>
          </w:tcPr>
          <w:p>
            <w:pPr>
              <w:jc w:val="right"/>
              <w:ind w:right="20"/>
              <w:spacing w:after="0"/>
              <w:rPr>
                <w:sz w:val="20"/>
                <w:szCs w:val="20"/>
                <w:color w:val="auto"/>
              </w:rPr>
            </w:pPr>
            <w:r>
              <w:rPr>
                <w:rFonts w:ascii="Arial" w:cs="Arial" w:eastAsia="Arial" w:hAnsi="Arial"/>
                <w:sz w:val="16"/>
                <w:szCs w:val="16"/>
                <w:color w:val="auto"/>
              </w:rPr>
              <w:t>1,207</w:t>
            </w:r>
          </w:p>
        </w:tc>
      </w:tr>
      <w:tr>
        <w:trPr>
          <w:trHeight w:val="252"/>
        </w:trPr>
        <w:tc>
          <w:tcPr>
            <w:tcW w:w="4960" w:type="dxa"/>
            <w:vAlign w:val="bottom"/>
          </w:tcPr>
          <w:p>
            <w:pPr>
              <w:spacing w:after="0"/>
              <w:rPr>
                <w:sz w:val="20"/>
                <w:szCs w:val="20"/>
                <w:color w:val="auto"/>
              </w:rPr>
            </w:pPr>
            <w:r>
              <w:rPr>
                <w:rFonts w:ascii="Arial" w:cs="Arial" w:eastAsia="Arial" w:hAnsi="Arial"/>
                <w:sz w:val="16"/>
                <w:szCs w:val="16"/>
                <w:b w:val="1"/>
                <w:bCs w:val="1"/>
                <w:color w:val="auto"/>
              </w:rPr>
              <w:t> Debt-related hedges outflows</w:t>
            </w:r>
            <w:r>
              <w:rPr>
                <w:rFonts w:ascii="Arial" w:cs="Arial" w:eastAsia="Arial" w:hAnsi="Arial"/>
                <w:sz w:val="19"/>
                <w:szCs w:val="19"/>
                <w:b w:val="1"/>
                <w:bCs w:val="1"/>
                <w:color w:val="auto"/>
                <w:vertAlign w:val="superscript"/>
              </w:rPr>
              <w:t>(2)</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1,011</w:t>
            </w:r>
          </w:p>
        </w:tc>
        <w:tc>
          <w:tcPr>
            <w:tcW w:w="7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600" w:type="dxa"/>
            <w:vAlign w:val="bottom"/>
            <w:gridSpan w:val="3"/>
          </w:tcPr>
          <w:p>
            <w:pPr>
              <w:jc w:val="right"/>
              <w:ind w:right="20"/>
              <w:spacing w:after="0"/>
              <w:rPr>
                <w:sz w:val="20"/>
                <w:szCs w:val="20"/>
                <w:color w:val="auto"/>
              </w:rPr>
            </w:pPr>
            <w:r>
              <w:rPr>
                <w:rFonts w:ascii="Arial" w:cs="Arial" w:eastAsia="Arial" w:hAnsi="Arial"/>
                <w:sz w:val="16"/>
                <w:szCs w:val="16"/>
                <w:color w:val="auto"/>
              </w:rPr>
              <w:t>1,011</w:t>
            </w:r>
          </w:p>
        </w:tc>
      </w:tr>
      <w:tr>
        <w:trPr>
          <w:trHeight w:val="252"/>
        </w:trPr>
        <w:tc>
          <w:tcPr>
            <w:tcW w:w="4960" w:type="dxa"/>
            <w:vAlign w:val="bottom"/>
          </w:tcPr>
          <w:p>
            <w:pPr>
              <w:spacing w:after="0"/>
              <w:rPr>
                <w:sz w:val="20"/>
                <w:szCs w:val="20"/>
                <w:color w:val="auto"/>
              </w:rPr>
            </w:pPr>
            <w:r>
              <w:rPr>
                <w:rFonts w:ascii="Arial" w:cs="Arial" w:eastAsia="Arial" w:hAnsi="Arial"/>
                <w:sz w:val="16"/>
                <w:szCs w:val="16"/>
                <w:b w:val="1"/>
                <w:bCs w:val="1"/>
                <w:color w:val="auto"/>
              </w:rPr>
              <w:t> Debt-related hedges inflows</w:t>
            </w:r>
            <w:r>
              <w:rPr>
                <w:rFonts w:ascii="Arial" w:cs="Arial" w:eastAsia="Arial" w:hAnsi="Arial"/>
                <w:sz w:val="19"/>
                <w:szCs w:val="19"/>
                <w:b w:val="1"/>
                <w:bCs w:val="1"/>
                <w:color w:val="auto"/>
                <w:vertAlign w:val="superscript"/>
              </w:rPr>
              <w:t>(1)</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(984)</w:t>
            </w:r>
          </w:p>
        </w:tc>
        <w:tc>
          <w:tcPr>
            <w:tcW w:w="7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600" w:type="dxa"/>
            <w:vAlign w:val="bottom"/>
            <w:gridSpan w:val="3"/>
          </w:tcPr>
          <w:p>
            <w:pPr>
              <w:jc w:val="right"/>
              <w:ind w:right="20"/>
              <w:spacing w:after="0"/>
              <w:rPr>
                <w:sz w:val="20"/>
                <w:szCs w:val="20"/>
                <w:color w:val="auto"/>
              </w:rPr>
            </w:pPr>
            <w:r>
              <w:rPr>
                <w:rFonts w:ascii="Arial" w:cs="Arial" w:eastAsia="Arial" w:hAnsi="Arial"/>
                <w:sz w:val="16"/>
                <w:szCs w:val="16"/>
                <w:color w:val="auto"/>
              </w:rPr>
              <w:t>(984)</w:t>
            </w:r>
          </w:p>
        </w:tc>
      </w:tr>
      <w:tr>
        <w:trPr>
          <w:trHeight w:val="252"/>
        </w:trPr>
        <w:tc>
          <w:tcPr>
            <w:tcW w:w="4960" w:type="dxa"/>
            <w:vAlign w:val="bottom"/>
          </w:tcPr>
          <w:p>
            <w:pPr>
              <w:spacing w:after="0"/>
              <w:rPr>
                <w:sz w:val="20"/>
                <w:szCs w:val="20"/>
                <w:color w:val="auto"/>
              </w:rPr>
            </w:pPr>
            <w:r>
              <w:rPr>
                <w:rFonts w:ascii="Arial" w:cs="Arial" w:eastAsia="Arial" w:hAnsi="Arial"/>
                <w:sz w:val="16"/>
                <w:szCs w:val="16"/>
                <w:b w:val="1"/>
                <w:bCs w:val="1"/>
                <w:color w:val="auto"/>
              </w:rPr>
              <w:t> Lease obligations</w:t>
            </w:r>
            <w:r>
              <w:rPr>
                <w:rFonts w:ascii="Arial" w:cs="Arial" w:eastAsia="Arial" w:hAnsi="Arial"/>
                <w:sz w:val="19"/>
                <w:szCs w:val="19"/>
                <w:b w:val="1"/>
                <w:bCs w:val="1"/>
                <w:color w:val="auto"/>
                <w:vertAlign w:val="superscript"/>
              </w:rPr>
              <w:t>(3)</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74</w:t>
            </w:r>
          </w:p>
        </w:tc>
        <w:tc>
          <w:tcPr>
            <w:tcW w:w="780" w:type="dxa"/>
            <w:vAlign w:val="bottom"/>
          </w:tcPr>
          <w:p>
            <w:pPr>
              <w:jc w:val="right"/>
              <w:ind w:right="141"/>
              <w:spacing w:after="0"/>
              <w:rPr>
                <w:sz w:val="20"/>
                <w:szCs w:val="20"/>
                <w:color w:val="auto"/>
              </w:rPr>
            </w:pPr>
            <w:r>
              <w:rPr>
                <w:rFonts w:ascii="Arial" w:cs="Arial" w:eastAsia="Arial" w:hAnsi="Arial"/>
                <w:sz w:val="16"/>
                <w:szCs w:val="16"/>
                <w:color w:val="auto"/>
              </w:rPr>
              <w:t>61</w:t>
            </w:r>
          </w:p>
        </w:tc>
        <w:tc>
          <w:tcPr>
            <w:tcW w:w="760" w:type="dxa"/>
            <w:vAlign w:val="bottom"/>
          </w:tcPr>
          <w:p>
            <w:pPr>
              <w:jc w:val="right"/>
              <w:ind w:right="121"/>
              <w:spacing w:after="0"/>
              <w:rPr>
                <w:sz w:val="20"/>
                <w:szCs w:val="20"/>
                <w:color w:val="auto"/>
              </w:rPr>
            </w:pPr>
            <w:r>
              <w:rPr>
                <w:rFonts w:ascii="Arial" w:cs="Arial" w:eastAsia="Arial" w:hAnsi="Arial"/>
                <w:sz w:val="16"/>
                <w:szCs w:val="16"/>
                <w:color w:val="auto"/>
              </w:rPr>
              <w:t>47</w:t>
            </w:r>
          </w:p>
        </w:tc>
        <w:tc>
          <w:tcPr>
            <w:tcW w:w="760" w:type="dxa"/>
            <w:vAlign w:val="bottom"/>
          </w:tcPr>
          <w:p>
            <w:pPr>
              <w:jc w:val="right"/>
              <w:ind w:right="121"/>
              <w:spacing w:after="0"/>
              <w:rPr>
                <w:sz w:val="20"/>
                <w:szCs w:val="20"/>
                <w:color w:val="auto"/>
              </w:rPr>
            </w:pPr>
            <w:r>
              <w:rPr>
                <w:rFonts w:ascii="Arial" w:cs="Arial" w:eastAsia="Arial" w:hAnsi="Arial"/>
                <w:sz w:val="16"/>
                <w:szCs w:val="16"/>
                <w:color w:val="auto"/>
              </w:rPr>
              <w:t>37</w:t>
            </w:r>
          </w:p>
        </w:tc>
        <w:tc>
          <w:tcPr>
            <w:tcW w:w="780" w:type="dxa"/>
            <w:vAlign w:val="bottom"/>
          </w:tcPr>
          <w:p>
            <w:pPr>
              <w:jc w:val="right"/>
              <w:ind w:right="141"/>
              <w:spacing w:after="0"/>
              <w:rPr>
                <w:sz w:val="20"/>
                <w:szCs w:val="20"/>
                <w:color w:val="auto"/>
              </w:rPr>
            </w:pPr>
            <w:r>
              <w:rPr>
                <w:rFonts w:ascii="Arial" w:cs="Arial" w:eastAsia="Arial" w:hAnsi="Arial"/>
                <w:sz w:val="16"/>
                <w:szCs w:val="16"/>
                <w:color w:val="auto"/>
              </w:rPr>
              <w:t>31</w:t>
            </w:r>
          </w:p>
        </w:tc>
        <w:tc>
          <w:tcPr>
            <w:tcW w:w="1180" w:type="dxa"/>
            <w:vAlign w:val="bottom"/>
          </w:tcPr>
          <w:p>
            <w:pPr>
              <w:jc w:val="right"/>
              <w:ind w:right="101"/>
              <w:spacing w:after="0"/>
              <w:rPr>
                <w:sz w:val="20"/>
                <w:szCs w:val="20"/>
                <w:color w:val="auto"/>
              </w:rPr>
            </w:pPr>
            <w:r>
              <w:rPr>
                <w:rFonts w:ascii="Arial" w:cs="Arial" w:eastAsia="Arial" w:hAnsi="Arial"/>
                <w:sz w:val="16"/>
                <w:szCs w:val="16"/>
                <w:color w:val="auto"/>
              </w:rPr>
              <w:t>127</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377</w:t>
            </w:r>
          </w:p>
        </w:tc>
        <w:tc>
          <w:tcPr>
            <w:tcW w:w="20" w:type="dxa"/>
            <w:vAlign w:val="bottom"/>
          </w:tcPr>
          <w:p>
            <w:pPr>
              <w:spacing w:after="0"/>
              <w:rPr>
                <w:sz w:val="21"/>
                <w:szCs w:val="21"/>
                <w:color w:val="auto"/>
              </w:rPr>
            </w:pPr>
          </w:p>
        </w:tc>
      </w:tr>
      <w:tr>
        <w:trPr>
          <w:trHeight w:val="218"/>
        </w:trPr>
        <w:tc>
          <w:tcPr>
            <w:tcW w:w="4960" w:type="dxa"/>
            <w:vAlign w:val="bottom"/>
          </w:tcPr>
          <w:p>
            <w:pPr>
              <w:spacing w:after="0"/>
              <w:rPr>
                <w:sz w:val="20"/>
                <w:szCs w:val="20"/>
                <w:color w:val="auto"/>
              </w:rPr>
            </w:pPr>
            <w:r>
              <w:rPr>
                <w:rFonts w:ascii="Arial" w:cs="Arial" w:eastAsia="Arial" w:hAnsi="Arial"/>
                <w:sz w:val="16"/>
                <w:szCs w:val="16"/>
                <w:b w:val="1"/>
                <w:bCs w:val="1"/>
                <w:color w:val="auto"/>
              </w:rPr>
              <w:t> Unconditional purchase obligations</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479</w:t>
            </w:r>
          </w:p>
        </w:tc>
        <w:tc>
          <w:tcPr>
            <w:tcW w:w="780" w:type="dxa"/>
            <w:vAlign w:val="bottom"/>
          </w:tcPr>
          <w:p>
            <w:pPr>
              <w:jc w:val="right"/>
              <w:ind w:right="141"/>
              <w:spacing w:after="0"/>
              <w:rPr>
                <w:sz w:val="20"/>
                <w:szCs w:val="20"/>
                <w:color w:val="auto"/>
              </w:rPr>
            </w:pPr>
            <w:r>
              <w:rPr>
                <w:rFonts w:ascii="Arial" w:cs="Arial" w:eastAsia="Arial" w:hAnsi="Arial"/>
                <w:sz w:val="16"/>
                <w:szCs w:val="16"/>
                <w:color w:val="auto"/>
              </w:rPr>
              <w:t>267</w:t>
            </w:r>
          </w:p>
        </w:tc>
        <w:tc>
          <w:tcPr>
            <w:tcW w:w="760" w:type="dxa"/>
            <w:vAlign w:val="bottom"/>
          </w:tcPr>
          <w:p>
            <w:pPr>
              <w:jc w:val="right"/>
              <w:ind w:right="121"/>
              <w:spacing w:after="0"/>
              <w:rPr>
                <w:sz w:val="20"/>
                <w:szCs w:val="20"/>
                <w:color w:val="auto"/>
              </w:rPr>
            </w:pPr>
            <w:r>
              <w:rPr>
                <w:rFonts w:ascii="Arial" w:cs="Arial" w:eastAsia="Arial" w:hAnsi="Arial"/>
                <w:sz w:val="16"/>
                <w:szCs w:val="16"/>
                <w:color w:val="auto"/>
              </w:rPr>
              <w:t>92</w:t>
            </w:r>
          </w:p>
        </w:tc>
        <w:tc>
          <w:tcPr>
            <w:tcW w:w="760" w:type="dxa"/>
            <w:vAlign w:val="bottom"/>
          </w:tcPr>
          <w:p>
            <w:pPr>
              <w:jc w:val="right"/>
              <w:ind w:right="121"/>
              <w:spacing w:after="0"/>
              <w:rPr>
                <w:sz w:val="20"/>
                <w:szCs w:val="20"/>
                <w:color w:val="auto"/>
              </w:rPr>
            </w:pPr>
            <w:r>
              <w:rPr>
                <w:rFonts w:ascii="Arial" w:cs="Arial" w:eastAsia="Arial" w:hAnsi="Arial"/>
                <w:sz w:val="16"/>
                <w:szCs w:val="16"/>
                <w:color w:val="auto"/>
              </w:rPr>
              <w:t>34</w:t>
            </w:r>
          </w:p>
        </w:tc>
        <w:tc>
          <w:tcPr>
            <w:tcW w:w="780" w:type="dxa"/>
            <w:vAlign w:val="bottom"/>
          </w:tcPr>
          <w:p>
            <w:pPr>
              <w:jc w:val="right"/>
              <w:ind w:right="141"/>
              <w:spacing w:after="0"/>
              <w:rPr>
                <w:sz w:val="20"/>
                <w:szCs w:val="20"/>
                <w:color w:val="auto"/>
              </w:rPr>
            </w:pPr>
            <w:r>
              <w:rPr>
                <w:rFonts w:ascii="Arial" w:cs="Arial" w:eastAsia="Arial" w:hAnsi="Arial"/>
                <w:sz w:val="16"/>
                <w:szCs w:val="16"/>
                <w:color w:val="auto"/>
              </w:rPr>
              <w:t>7</w:t>
            </w:r>
          </w:p>
        </w:tc>
        <w:tc>
          <w:tcPr>
            <w:tcW w:w="1180" w:type="dxa"/>
            <w:vAlign w:val="bottom"/>
          </w:tcPr>
          <w:p>
            <w:pPr>
              <w:jc w:val="right"/>
              <w:ind w:right="101"/>
              <w:spacing w:after="0"/>
              <w:rPr>
                <w:sz w:val="20"/>
                <w:szCs w:val="20"/>
                <w:color w:val="auto"/>
              </w:rPr>
            </w:pPr>
            <w:r>
              <w:rPr>
                <w:rFonts w:ascii="Arial" w:cs="Arial" w:eastAsia="Arial" w:hAnsi="Arial"/>
                <w:sz w:val="16"/>
                <w:szCs w:val="16"/>
                <w:color w:val="auto"/>
              </w:rPr>
              <w:t>4</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883</w:t>
            </w:r>
          </w:p>
        </w:tc>
        <w:tc>
          <w:tcPr>
            <w:tcW w:w="20" w:type="dxa"/>
            <w:vAlign w:val="bottom"/>
          </w:tcPr>
          <w:p>
            <w:pPr>
              <w:spacing w:after="0"/>
              <w:rPr>
                <w:sz w:val="18"/>
                <w:szCs w:val="18"/>
                <w:color w:val="auto"/>
              </w:rPr>
            </w:pPr>
          </w:p>
        </w:tc>
      </w:tr>
      <w:tr>
        <w:trPr>
          <w:trHeight w:val="233"/>
        </w:trPr>
        <w:tc>
          <w:tcPr>
            <w:tcW w:w="4960" w:type="dxa"/>
            <w:vAlign w:val="bottom"/>
            <w:tcBorders>
              <w:bottom w:val="single" w:sz="8" w:color="B2B2B2"/>
            </w:tcBorders>
          </w:tcPr>
          <w:p>
            <w:pPr>
              <w:spacing w:after="0"/>
              <w:rPr>
                <w:sz w:val="20"/>
                <w:szCs w:val="20"/>
                <w:color w:val="auto"/>
              </w:rPr>
            </w:pPr>
            <w:r>
              <w:rPr>
                <w:rFonts w:ascii="Arial" w:cs="Arial" w:eastAsia="Arial" w:hAnsi="Arial"/>
                <w:sz w:val="16"/>
                <w:szCs w:val="16"/>
                <w:b w:val="1"/>
                <w:bCs w:val="1"/>
                <w:color w:val="auto"/>
              </w:rPr>
              <w:t> Defined benefit obligations</w:t>
            </w:r>
          </w:p>
        </w:tc>
        <w:tc>
          <w:tcPr>
            <w:tcW w:w="1020" w:type="dxa"/>
            <w:vAlign w:val="bottom"/>
            <w:tcBorders>
              <w:bottom w:val="single" w:sz="8" w:color="B2B2B2"/>
            </w:tcBorders>
          </w:tcPr>
          <w:p>
            <w:pPr>
              <w:jc w:val="right"/>
              <w:ind w:right="121"/>
              <w:spacing w:after="0"/>
              <w:rPr>
                <w:sz w:val="20"/>
                <w:szCs w:val="20"/>
                <w:color w:val="auto"/>
              </w:rPr>
            </w:pPr>
            <w:r>
              <w:rPr>
                <w:rFonts w:ascii="Arial" w:cs="Arial" w:eastAsia="Arial" w:hAnsi="Arial"/>
                <w:sz w:val="16"/>
                <w:szCs w:val="16"/>
                <w:color w:val="auto"/>
              </w:rPr>
              <w:t>33</w:t>
            </w:r>
          </w:p>
        </w:tc>
        <w:tc>
          <w:tcPr>
            <w:tcW w:w="780" w:type="dxa"/>
            <w:vAlign w:val="bottom"/>
            <w:tcBorders>
              <w:bottom w:val="single" w:sz="8" w:color="B2B2B2"/>
            </w:tcBorders>
          </w:tcPr>
          <w:p>
            <w:pPr>
              <w:jc w:val="right"/>
              <w:ind w:right="141"/>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B2B2B2"/>
            </w:tcBorders>
          </w:tcPr>
          <w:p>
            <w:pPr>
              <w:jc w:val="right"/>
              <w:ind w:right="121"/>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B2B2B2"/>
            </w:tcBorders>
          </w:tcPr>
          <w:p>
            <w:pPr>
              <w:jc w:val="right"/>
              <w:ind w:right="1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B2B2B2"/>
            </w:tcBorders>
          </w:tcPr>
          <w:p>
            <w:pPr>
              <w:jc w:val="right"/>
              <w:ind w:right="141"/>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B2B2B2"/>
            </w:tcBorders>
          </w:tcPr>
          <w:p>
            <w:pPr>
              <w:jc w:val="right"/>
              <w:ind w:right="10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B2B2B2"/>
            </w:tcBorders>
            <w:gridSpan w:val="2"/>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20"/>
                <w:szCs w:val="20"/>
                <w:color w:val="auto"/>
              </w:rPr>
            </w:pPr>
          </w:p>
        </w:tc>
      </w:tr>
      <w:tr>
        <w:trPr>
          <w:trHeight w:val="185"/>
        </w:trPr>
        <w:tc>
          <w:tcPr>
            <w:tcW w:w="496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b w:val="1"/>
                <w:bCs w:val="1"/>
                <w:color w:val="auto"/>
              </w:rPr>
              <w:t> Total</w:t>
            </w:r>
          </w:p>
        </w:tc>
        <w:tc>
          <w:tcPr>
            <w:tcW w:w="1020" w:type="dxa"/>
            <w:vAlign w:val="bottom"/>
            <w:tcBorders>
              <w:bottom w:val="single" w:sz="8" w:color="D64000"/>
            </w:tcBorders>
          </w:tcPr>
          <w:p>
            <w:pPr>
              <w:jc w:val="right"/>
              <w:ind w:right="121"/>
              <w:spacing w:after="0" w:line="179" w:lineRule="exact"/>
              <w:rPr>
                <w:sz w:val="20"/>
                <w:szCs w:val="20"/>
                <w:color w:val="auto"/>
              </w:rPr>
            </w:pPr>
            <w:r>
              <w:rPr>
                <w:rFonts w:ascii="Arial" w:cs="Arial" w:eastAsia="Arial" w:hAnsi="Arial"/>
                <w:sz w:val="16"/>
                <w:szCs w:val="16"/>
                <w:color w:val="auto"/>
              </w:rPr>
              <w:t>1,690</w:t>
            </w:r>
          </w:p>
        </w:tc>
        <w:tc>
          <w:tcPr>
            <w:tcW w:w="780" w:type="dxa"/>
            <w:vAlign w:val="bottom"/>
            <w:tcBorders>
              <w:bottom w:val="single" w:sz="8" w:color="D64000"/>
            </w:tcBorders>
          </w:tcPr>
          <w:p>
            <w:pPr>
              <w:jc w:val="right"/>
              <w:ind w:right="141"/>
              <w:spacing w:after="0" w:line="179" w:lineRule="exact"/>
              <w:rPr>
                <w:sz w:val="20"/>
                <w:szCs w:val="20"/>
                <w:color w:val="auto"/>
              </w:rPr>
            </w:pPr>
            <w:r>
              <w:rPr>
                <w:rFonts w:ascii="Arial" w:cs="Arial" w:eastAsia="Arial" w:hAnsi="Arial"/>
                <w:sz w:val="16"/>
                <w:szCs w:val="16"/>
                <w:color w:val="auto"/>
              </w:rPr>
              <w:t>912</w:t>
            </w:r>
          </w:p>
        </w:tc>
        <w:tc>
          <w:tcPr>
            <w:tcW w:w="760" w:type="dxa"/>
            <w:vAlign w:val="bottom"/>
            <w:tcBorders>
              <w:bottom w:val="single" w:sz="8" w:color="D64000"/>
            </w:tcBorders>
          </w:tcPr>
          <w:p>
            <w:pPr>
              <w:jc w:val="right"/>
              <w:ind w:right="121"/>
              <w:spacing w:after="0" w:line="179" w:lineRule="exact"/>
              <w:rPr>
                <w:sz w:val="20"/>
                <w:szCs w:val="20"/>
                <w:color w:val="auto"/>
              </w:rPr>
            </w:pPr>
            <w:r>
              <w:rPr>
                <w:rFonts w:ascii="Arial" w:cs="Arial" w:eastAsia="Arial" w:hAnsi="Arial"/>
                <w:sz w:val="16"/>
                <w:szCs w:val="16"/>
                <w:color w:val="auto"/>
              </w:rPr>
              <w:t>215</w:t>
            </w:r>
          </w:p>
        </w:tc>
        <w:tc>
          <w:tcPr>
            <w:tcW w:w="760" w:type="dxa"/>
            <w:vAlign w:val="bottom"/>
            <w:tcBorders>
              <w:bottom w:val="single" w:sz="8" w:color="D64000"/>
            </w:tcBorders>
          </w:tcPr>
          <w:p>
            <w:pPr>
              <w:jc w:val="right"/>
              <w:ind w:right="121"/>
              <w:spacing w:after="0" w:line="179" w:lineRule="exact"/>
              <w:rPr>
                <w:sz w:val="20"/>
                <w:szCs w:val="20"/>
                <w:color w:val="auto"/>
              </w:rPr>
            </w:pPr>
            <w:r>
              <w:rPr>
                <w:rFonts w:ascii="Arial" w:cs="Arial" w:eastAsia="Arial" w:hAnsi="Arial"/>
                <w:sz w:val="16"/>
                <w:szCs w:val="16"/>
                <w:color w:val="auto"/>
              </w:rPr>
              <w:t>147</w:t>
            </w:r>
          </w:p>
        </w:tc>
        <w:tc>
          <w:tcPr>
            <w:tcW w:w="780" w:type="dxa"/>
            <w:vAlign w:val="bottom"/>
            <w:tcBorders>
              <w:bottom w:val="single" w:sz="8" w:color="D64000"/>
            </w:tcBorders>
          </w:tcPr>
          <w:p>
            <w:pPr>
              <w:jc w:val="right"/>
              <w:ind w:right="141"/>
              <w:spacing w:after="0" w:line="179" w:lineRule="exact"/>
              <w:rPr>
                <w:sz w:val="20"/>
                <w:szCs w:val="20"/>
                <w:color w:val="auto"/>
              </w:rPr>
            </w:pPr>
            <w:r>
              <w:rPr>
                <w:rFonts w:ascii="Arial" w:cs="Arial" w:eastAsia="Arial" w:hAnsi="Arial"/>
                <w:sz w:val="16"/>
                <w:szCs w:val="16"/>
                <w:color w:val="auto"/>
              </w:rPr>
              <w:t>114</w:t>
            </w:r>
          </w:p>
        </w:tc>
        <w:tc>
          <w:tcPr>
            <w:tcW w:w="1180" w:type="dxa"/>
            <w:vAlign w:val="bottom"/>
            <w:tcBorders>
              <w:bottom w:val="single" w:sz="8" w:color="D64000"/>
            </w:tcBorders>
          </w:tcPr>
          <w:p>
            <w:pPr>
              <w:jc w:val="right"/>
              <w:ind w:right="101"/>
              <w:spacing w:after="0" w:line="179" w:lineRule="exact"/>
              <w:rPr>
                <w:sz w:val="20"/>
                <w:szCs w:val="20"/>
                <w:color w:val="auto"/>
              </w:rPr>
            </w:pPr>
            <w:r>
              <w:rPr>
                <w:rFonts w:ascii="Arial" w:cs="Arial" w:eastAsia="Arial" w:hAnsi="Arial"/>
                <w:sz w:val="16"/>
                <w:szCs w:val="16"/>
                <w:color w:val="auto"/>
              </w:rPr>
              <w:t>2,291</w:t>
            </w:r>
          </w:p>
        </w:tc>
        <w:tc>
          <w:tcPr>
            <w:tcW w:w="580" w:type="dxa"/>
            <w:vAlign w:val="bottom"/>
            <w:tcBorders>
              <w:bottom w:val="single" w:sz="8" w:color="D64000"/>
            </w:tcBorders>
            <w:gridSpan w:val="2"/>
          </w:tcPr>
          <w:p>
            <w:pPr>
              <w:jc w:val="right"/>
              <w:spacing w:after="0" w:line="179" w:lineRule="exact"/>
              <w:rPr>
                <w:sz w:val="20"/>
                <w:szCs w:val="20"/>
                <w:color w:val="auto"/>
              </w:rPr>
            </w:pPr>
            <w:r>
              <w:rPr>
                <w:rFonts w:ascii="Arial" w:cs="Arial" w:eastAsia="Arial" w:hAnsi="Arial"/>
                <w:sz w:val="16"/>
                <w:szCs w:val="16"/>
                <w:color w:val="auto"/>
              </w:rPr>
              <w:t>5,369</w:t>
            </w:r>
          </w:p>
        </w:tc>
        <w:tc>
          <w:tcPr>
            <w:tcW w:w="20" w:type="dxa"/>
            <w:vAlign w:val="bottom"/>
            <w:tcBorders>
              <w:bottom w:val="single" w:sz="8" w:color="D64000"/>
            </w:tcBorders>
          </w:tcPr>
          <w:p>
            <w:pPr>
              <w:spacing w:after="0"/>
              <w:rPr>
                <w:sz w:val="16"/>
                <w:szCs w:val="16"/>
                <w:color w:val="auto"/>
              </w:rPr>
            </w:pPr>
          </w:p>
        </w:tc>
      </w:tr>
    </w:tbl>
    <w:p>
      <w:pPr>
        <w:spacing w:after="0" w:line="83" w:lineRule="exact"/>
        <w:rPr>
          <w:sz w:val="20"/>
          <w:szCs w:val="20"/>
          <w:color w:val="auto"/>
        </w:rPr>
      </w:pPr>
    </w:p>
    <w:p>
      <w:pPr>
        <w:ind w:left="640" w:hanging="422"/>
        <w:spacing w:after="0"/>
        <w:tabs>
          <w:tab w:leader="none" w:pos="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contractual cash flows calculated using spot foreign exchange rates as of December 31, 2024.</w:t>
      </w:r>
    </w:p>
    <w:p>
      <w:pPr>
        <w:spacing w:after="0" w:line="24" w:lineRule="exact"/>
        <w:rPr>
          <w:rFonts w:ascii="Arial" w:cs="Arial" w:eastAsia="Arial" w:hAnsi="Arial"/>
          <w:sz w:val="14"/>
          <w:szCs w:val="14"/>
          <w:color w:val="auto"/>
        </w:rPr>
      </w:pPr>
    </w:p>
    <w:p>
      <w:pPr>
        <w:ind w:left="640" w:hanging="422"/>
        <w:spacing w:after="0"/>
        <w:tabs>
          <w:tab w:leader="none" w:pos="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contractual U.S. dollar cash flows.</w:t>
      </w:r>
    </w:p>
    <w:p>
      <w:pPr>
        <w:spacing w:after="0" w:line="11" w:lineRule="exact"/>
        <w:rPr>
          <w:rFonts w:ascii="Arial" w:cs="Arial" w:eastAsia="Arial" w:hAnsi="Arial"/>
          <w:sz w:val="14"/>
          <w:szCs w:val="14"/>
          <w:color w:val="auto"/>
        </w:rPr>
      </w:pPr>
    </w:p>
    <w:p>
      <w:pPr>
        <w:ind w:left="640" w:right="240" w:hanging="422"/>
        <w:spacing w:after="0" w:line="253" w:lineRule="auto"/>
        <w:tabs>
          <w:tab w:leader="none" w:pos="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leases with a term of 12 months or less, certain low-value assets and lease commitments that have not commenced, all of which are not recognized in the consolidated statement of financial position.</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provide further information about certain of our obligations below:</w:t>
      </w:r>
    </w:p>
    <w:p>
      <w:pPr>
        <w:spacing w:after="0" w:line="83" w:lineRule="exact"/>
        <w:rPr>
          <w:sz w:val="20"/>
          <w:szCs w:val="20"/>
          <w:color w:val="auto"/>
        </w:rPr>
      </w:pPr>
    </w:p>
    <w:p>
      <w:pPr>
        <w:ind w:left="640" w:right="280" w:hanging="422"/>
        <w:spacing w:after="0" w:line="260" w:lineRule="auto"/>
        <w:tabs>
          <w:tab w:leader="none" w:pos="640" w:val="left"/>
        </w:tabs>
        <w:numPr>
          <w:ilvl w:val="0"/>
          <w:numId w:val="56"/>
        </w:numPr>
        <w:rPr>
          <w:rFonts w:ascii="Arial" w:cs="Arial" w:eastAsia="Arial" w:hAnsi="Arial"/>
          <w:sz w:val="17"/>
          <w:szCs w:val="17"/>
          <w:color w:val="D64000"/>
        </w:rPr>
      </w:pPr>
      <w:r>
        <w:rPr>
          <w:rFonts w:ascii="Arial" w:cs="Arial" w:eastAsia="Arial" w:hAnsi="Arial"/>
          <w:sz w:val="17"/>
          <w:szCs w:val="17"/>
          <w:b w:val="1"/>
          <w:bCs w:val="1"/>
          <w:color w:val="auto"/>
        </w:rPr>
        <w:t xml:space="preserve">Subsidiary guarantees </w:t>
      </w:r>
      <w:r>
        <w:rPr>
          <w:rFonts w:ascii="Arial" w:cs="Arial" w:eastAsia="Arial" w:hAnsi="Arial"/>
          <w:sz w:val="17"/>
          <w:szCs w:val="17"/>
          <w:color w:val="auto"/>
        </w:rPr>
        <w:t>– For certain property leases, banking arrangements and commercial contracts, we guarantee the obligations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some of our subsidiaries. We also guarantee borrowings by our subsidiaries under our credit agreement.</w:t>
      </w:r>
    </w:p>
    <w:p>
      <w:pPr>
        <w:spacing w:after="0" w:line="40" w:lineRule="exact"/>
        <w:rPr>
          <w:rFonts w:ascii="Arial" w:cs="Arial" w:eastAsia="Arial" w:hAnsi="Arial"/>
          <w:sz w:val="17"/>
          <w:szCs w:val="17"/>
          <w:color w:val="D64000"/>
        </w:rPr>
      </w:pPr>
    </w:p>
    <w:p>
      <w:pPr>
        <w:ind w:left="640" w:right="160" w:hanging="422"/>
        <w:spacing w:after="0" w:line="260" w:lineRule="auto"/>
        <w:tabs>
          <w:tab w:leader="none" w:pos="640" w:val="left"/>
        </w:tabs>
        <w:numPr>
          <w:ilvl w:val="0"/>
          <w:numId w:val="56"/>
        </w:numPr>
        <w:rPr>
          <w:rFonts w:ascii="Arial" w:cs="Arial" w:eastAsia="Arial" w:hAnsi="Arial"/>
          <w:sz w:val="17"/>
          <w:szCs w:val="17"/>
          <w:color w:val="D64000"/>
        </w:rPr>
      </w:pPr>
      <w:r>
        <w:rPr>
          <w:rFonts w:ascii="Arial" w:cs="Arial" w:eastAsia="Arial" w:hAnsi="Arial"/>
          <w:sz w:val="17"/>
          <w:szCs w:val="17"/>
          <w:b w:val="1"/>
          <w:bCs w:val="1"/>
          <w:color w:val="auto"/>
        </w:rPr>
        <w:t xml:space="preserve">Guarantees </w:t>
      </w:r>
      <w:r>
        <w:rPr>
          <w:rFonts w:ascii="Arial" w:cs="Arial" w:eastAsia="Arial" w:hAnsi="Arial"/>
          <w:sz w:val="17"/>
          <w:szCs w:val="17"/>
          <w:color w:val="auto"/>
        </w:rPr>
        <w:t>- See the “Contingencies” section below for information on guarantees and other credit support provided by our company to 3</w:t>
      </w:r>
      <w:r>
        <w:rPr>
          <w:rFonts w:ascii="Arial" w:cs="Arial" w:eastAsia="Arial" w:hAnsi="Arial"/>
          <w:sz w:val="17"/>
          <w:szCs w:val="17"/>
          <w:b w:val="1"/>
          <w:bCs w:val="1"/>
          <w:color w:val="auto"/>
        </w:rPr>
        <w:t xml:space="preserve"> </w:t>
      </w:r>
      <w:r>
        <w:rPr>
          <w:rFonts w:ascii="Arial" w:cs="Arial" w:eastAsia="Arial" w:hAnsi="Arial"/>
          <w:sz w:val="17"/>
          <w:szCs w:val="17"/>
          <w:color w:val="auto"/>
        </w:rPr>
        <w:t>Times Square Associates LLC (3XSQ Associates) in connection with a loan facility.</w:t>
      </w:r>
    </w:p>
    <w:p>
      <w:pPr>
        <w:spacing w:after="0" w:line="40" w:lineRule="exact"/>
        <w:rPr>
          <w:rFonts w:ascii="Arial" w:cs="Arial" w:eastAsia="Arial" w:hAnsi="Arial"/>
          <w:sz w:val="17"/>
          <w:szCs w:val="17"/>
          <w:color w:val="D64000"/>
        </w:rPr>
      </w:pPr>
    </w:p>
    <w:p>
      <w:pPr>
        <w:ind w:left="640" w:right="200" w:hanging="422"/>
        <w:spacing w:after="0" w:line="260" w:lineRule="auto"/>
        <w:tabs>
          <w:tab w:leader="none" w:pos="640" w:val="left"/>
        </w:tabs>
        <w:numPr>
          <w:ilvl w:val="0"/>
          <w:numId w:val="56"/>
        </w:numPr>
        <w:rPr>
          <w:rFonts w:ascii="Arial" w:cs="Arial" w:eastAsia="Arial" w:hAnsi="Arial"/>
          <w:sz w:val="17"/>
          <w:szCs w:val="17"/>
          <w:color w:val="D64000"/>
        </w:rPr>
      </w:pPr>
      <w:r>
        <w:rPr>
          <w:rFonts w:ascii="Arial" w:cs="Arial" w:eastAsia="Arial" w:hAnsi="Arial"/>
          <w:sz w:val="17"/>
          <w:szCs w:val="17"/>
          <w:b w:val="1"/>
          <w:bCs w:val="1"/>
          <w:color w:val="auto"/>
        </w:rPr>
        <w:t xml:space="preserve">Unconditional purchase obligations </w:t>
      </w:r>
      <w:r>
        <w:rPr>
          <w:rFonts w:ascii="Arial" w:cs="Arial" w:eastAsia="Arial" w:hAnsi="Arial"/>
          <w:sz w:val="17"/>
          <w:szCs w:val="17"/>
          <w:color w:val="auto"/>
        </w:rPr>
        <w:t>– We have various obligations for materials, supplies, outsourcing and other services contracted in</w:t>
      </w:r>
      <w:r>
        <w:rPr>
          <w:rFonts w:ascii="Arial" w:cs="Arial" w:eastAsia="Arial" w:hAnsi="Arial"/>
          <w:sz w:val="17"/>
          <w:szCs w:val="17"/>
          <w:b w:val="1"/>
          <w:bCs w:val="1"/>
          <w:color w:val="auto"/>
        </w:rPr>
        <w:t xml:space="preserve"> </w:t>
      </w:r>
      <w:r>
        <w:rPr>
          <w:rFonts w:ascii="Arial" w:cs="Arial" w:eastAsia="Arial" w:hAnsi="Arial"/>
          <w:sz w:val="17"/>
          <w:szCs w:val="17"/>
          <w:color w:val="auto"/>
        </w:rPr>
        <w:t>the ordinary course of business. In the table above, certain commitments have been estimated over the contractual period.</w:t>
      </w:r>
    </w:p>
    <w:p>
      <w:pPr>
        <w:spacing w:after="0" w:line="40" w:lineRule="exact"/>
        <w:rPr>
          <w:rFonts w:ascii="Arial" w:cs="Arial" w:eastAsia="Arial" w:hAnsi="Arial"/>
          <w:sz w:val="17"/>
          <w:szCs w:val="17"/>
          <w:color w:val="D64000"/>
        </w:rPr>
      </w:pPr>
    </w:p>
    <w:p>
      <w:pPr>
        <w:ind w:left="640" w:right="200" w:hanging="422"/>
        <w:spacing w:after="0" w:line="236" w:lineRule="auto"/>
        <w:tabs>
          <w:tab w:leader="none" w:pos="640" w:val="left"/>
        </w:tabs>
        <w:numPr>
          <w:ilvl w:val="0"/>
          <w:numId w:val="56"/>
        </w:numPr>
        <w:rPr>
          <w:rFonts w:ascii="Arial" w:cs="Arial" w:eastAsia="Arial" w:hAnsi="Arial"/>
          <w:sz w:val="17"/>
          <w:szCs w:val="17"/>
          <w:color w:val="D64000"/>
        </w:rPr>
      </w:pPr>
      <w:r>
        <w:rPr>
          <w:rFonts w:ascii="Arial" w:cs="Arial" w:eastAsia="Arial" w:hAnsi="Arial"/>
          <w:sz w:val="17"/>
          <w:szCs w:val="17"/>
          <w:b w:val="1"/>
          <w:bCs w:val="1"/>
          <w:color w:val="auto"/>
        </w:rPr>
        <w:t xml:space="preserve">Defined benefit obligations </w:t>
      </w:r>
      <w:r>
        <w:rPr>
          <w:rFonts w:ascii="Arial" w:cs="Arial" w:eastAsia="Arial" w:hAnsi="Arial"/>
          <w:sz w:val="17"/>
          <w:szCs w:val="17"/>
          <w:color w:val="auto"/>
        </w:rPr>
        <w:t>– We sponsor defined benefit plans that provide pension and other post-employment benefits to covered</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As of December 31, 2024, the fair value of plan assets for our material funded pension plans was 91% of the plan obligations. In 2024, we contributed $35 million to our material defined benefit plans. In 2025, we expect to contribute approximately $33 million to our material defined benefit plans, of which $6 million will be in accordance with the normal funding policy of funded plans and $27 million will be for claims expected to arise under unfunded and retiree medical plans.</w:t>
      </w:r>
    </w:p>
    <w:p>
      <w:pPr>
        <w:spacing w:after="0" w:line="59" w:lineRule="exact"/>
        <w:rPr>
          <w:sz w:val="20"/>
          <w:szCs w:val="20"/>
          <w:color w:val="auto"/>
        </w:rPr>
      </w:pPr>
    </w:p>
    <w:p>
      <w:pPr>
        <w:jc w:val="both"/>
        <w:ind w:left="640" w:right="60" w:hanging="422"/>
        <w:spacing w:after="0" w:line="236" w:lineRule="auto"/>
        <w:tabs>
          <w:tab w:leader="none" w:pos="64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The amount and timing of any future required contributions to pension plans could differ significantly from our estimates as of December 31, 2024. We cannot estimate contributions beyond 2025 because they depend on future economic conditions, plan performance and potential future government legislation. For certain plans, the trustees have the right to call for special valuations, which could subsequently result in us having to make an unexpected contribution. Additionally, from time to time, we may elect to make voluntary contributions to improve the funded status of the plans.</w:t>
      </w:r>
    </w:p>
    <w:p>
      <w:pPr>
        <w:spacing w:after="0" w:line="58" w:lineRule="exact"/>
        <w:rPr>
          <w:sz w:val="20"/>
          <w:szCs w:val="20"/>
          <w:color w:val="auto"/>
        </w:rPr>
      </w:pPr>
    </w:p>
    <w:p>
      <w:pPr>
        <w:ind w:left="640" w:right="180" w:hanging="422"/>
        <w:spacing w:after="0" w:line="238" w:lineRule="auto"/>
        <w:tabs>
          <w:tab w:leader="none" w:pos="640" w:val="left"/>
        </w:tabs>
        <w:numPr>
          <w:ilvl w:val="0"/>
          <w:numId w:val="58"/>
        </w:numPr>
        <w:rPr>
          <w:rFonts w:ascii="Arial" w:cs="Arial" w:eastAsia="Arial" w:hAnsi="Arial"/>
          <w:sz w:val="17"/>
          <w:szCs w:val="17"/>
          <w:color w:val="D64000"/>
        </w:rPr>
      </w:pPr>
      <w:r>
        <w:rPr>
          <w:rFonts w:ascii="Arial" w:cs="Arial" w:eastAsia="Arial" w:hAnsi="Arial"/>
          <w:sz w:val="17"/>
          <w:szCs w:val="17"/>
          <w:b w:val="1"/>
          <w:bCs w:val="1"/>
          <w:color w:val="auto"/>
        </w:rPr>
        <w:t xml:space="preserve">Disposition contingencies </w:t>
      </w:r>
      <w:r>
        <w:rPr>
          <w:rFonts w:ascii="Arial" w:cs="Arial" w:eastAsia="Arial" w:hAnsi="Arial"/>
          <w:sz w:val="17"/>
          <w:szCs w:val="17"/>
          <w:color w:val="auto"/>
        </w:rPr>
        <w:t>– In certain disposition agreements, including as described in the “Uncertain Tax Positions” section below, we</w:t>
      </w:r>
      <w:r>
        <w:rPr>
          <w:rFonts w:ascii="Arial" w:cs="Arial" w:eastAsia="Arial" w:hAnsi="Arial"/>
          <w:sz w:val="17"/>
          <w:szCs w:val="17"/>
          <w:b w:val="1"/>
          <w:bCs w:val="1"/>
          <w:color w:val="auto"/>
        </w:rPr>
        <w:t xml:space="preserve"> </w:t>
      </w:r>
      <w:r>
        <w:rPr>
          <w:rFonts w:ascii="Arial" w:cs="Arial" w:eastAsia="Arial" w:hAnsi="Arial"/>
          <w:sz w:val="17"/>
          <w:szCs w:val="17"/>
          <w:color w:val="auto"/>
        </w:rPr>
        <w:t>guarantee indemnification obligations of our subsidiary that sold the business or assets. We believe that based upon current facts and circumstances, additional payments in connection with these transactions would not have a material adverse impact on our financial condition taken as a whole.</w:t>
      </w:r>
    </w:p>
    <w:p>
      <w:pPr>
        <w:spacing w:after="0" w:line="46" w:lineRule="exact"/>
        <w:rPr>
          <w:sz w:val="20"/>
          <w:szCs w:val="20"/>
          <w:color w:val="auto"/>
        </w:rPr>
      </w:pPr>
    </w:p>
    <w:p>
      <w:pPr>
        <w:ind w:left="220" w:right="1120"/>
        <w:spacing w:after="0" w:line="260" w:lineRule="auto"/>
        <w:rPr>
          <w:sz w:val="20"/>
          <w:szCs w:val="20"/>
          <w:color w:val="auto"/>
        </w:rPr>
      </w:pPr>
      <w:r>
        <w:rPr>
          <w:rFonts w:ascii="Arial" w:cs="Arial" w:eastAsia="Arial" w:hAnsi="Arial"/>
          <w:sz w:val="17"/>
          <w:szCs w:val="17"/>
          <w:color w:val="auto"/>
        </w:rPr>
        <w:t>Other than as described above, we do not engage in off-balance sheet financing arrangements and we do not have any interests in unconsolidated special-purpose or structured finance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90170</wp:posOffset>
            </wp:positionV>
            <wp:extent cx="68656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9"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50</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Contingencies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Lawsuits and Legal Claims</w:t>
      </w:r>
    </w:p>
    <w:p>
      <w:pPr>
        <w:spacing w:after="0" w:line="70" w:lineRule="exact"/>
        <w:rPr>
          <w:sz w:val="20"/>
          <w:szCs w:val="20"/>
          <w:color w:val="auto"/>
        </w:rPr>
      </w:pPr>
    </w:p>
    <w:p>
      <w:pPr>
        <w:ind w:left="220" w:right="20"/>
        <w:spacing w:after="0" w:line="233" w:lineRule="auto"/>
        <w:rPr>
          <w:sz w:val="20"/>
          <w:szCs w:val="20"/>
          <w:color w:val="auto"/>
        </w:rPr>
      </w:pPr>
      <w:r>
        <w:rPr>
          <w:rFonts w:ascii="Arial" w:cs="Arial" w:eastAsia="Arial" w:hAnsi="Arial"/>
          <w:sz w:val="17"/>
          <w:szCs w:val="17"/>
          <w:color w:val="auto"/>
        </w:rPr>
        <w:t>We are engaged in various legal proceedings, claims, audits and investigations that have arisen in the ordinary course of business. These matters include, but are not limited to, employment matters, commercial matters, privacy and data protection matters, defamation matters and intellectual property infringement matters. The outcome of all the matters against us is subject to future resolution, including uncertainties of litigation. Litigation outcomes are difficult to predict with certainty due to various factors, including but not limited to: the preliminary nature of some claims; uncertain damage theories and demands; an incomplete factual record; uncertainty concerning legal theories and procedures and their resolution by the courts, at both trial and appellate levels; and the unpredictable nature of opposing parties. Based on information currently known to us and after consultation with outside legal counsel, management believes that the ultimate resolution of any such matters, individually or in the aggregate, will not have a material adverse impact on our financial condition taken as a whole.</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Uncertain Tax Positions</w:t>
      </w:r>
    </w:p>
    <w:p>
      <w:pPr>
        <w:spacing w:after="0" w:line="83" w:lineRule="exact"/>
        <w:rPr>
          <w:sz w:val="20"/>
          <w:szCs w:val="20"/>
          <w:color w:val="auto"/>
        </w:rPr>
      </w:pPr>
    </w:p>
    <w:p>
      <w:pPr>
        <w:ind w:left="220" w:right="60"/>
        <w:spacing w:after="0" w:line="243" w:lineRule="auto"/>
        <w:rPr>
          <w:sz w:val="20"/>
          <w:szCs w:val="20"/>
          <w:color w:val="auto"/>
        </w:rPr>
      </w:pPr>
      <w:r>
        <w:rPr>
          <w:rFonts w:ascii="Arial" w:cs="Arial" w:eastAsia="Arial" w:hAnsi="Arial"/>
          <w:sz w:val="17"/>
          <w:szCs w:val="17"/>
          <w:color w:val="auto"/>
        </w:rPr>
        <w:t>We are subject to taxation in numerous jurisdictions and we are routinely under audit by many different taxing authorities in the ordinary course of business. There are many transactions and calculations during the course of business for which the ultimate tax determination is uncertain, as taxing authorities may challenge some of our positions and propose adjustments or changes to our tax filings.</w:t>
      </w:r>
    </w:p>
    <w:p>
      <w:pPr>
        <w:spacing w:after="0" w:line="55" w:lineRule="exact"/>
        <w:rPr>
          <w:sz w:val="20"/>
          <w:szCs w:val="20"/>
          <w:color w:val="auto"/>
        </w:rPr>
      </w:pPr>
    </w:p>
    <w:p>
      <w:pPr>
        <w:ind w:left="220" w:right="60"/>
        <w:spacing w:after="0" w:line="234" w:lineRule="auto"/>
        <w:rPr>
          <w:sz w:val="20"/>
          <w:szCs w:val="20"/>
          <w:color w:val="auto"/>
        </w:rPr>
      </w:pPr>
      <w:r>
        <w:rPr>
          <w:rFonts w:ascii="Arial" w:cs="Arial" w:eastAsia="Arial" w:hAnsi="Arial"/>
          <w:sz w:val="17"/>
          <w:szCs w:val="17"/>
          <w:color w:val="auto"/>
        </w:rPr>
        <w:t>As a result, we maintain provisions for uncertain tax positions that we believe appropriately reflect our risk. These provisions are made using our best estimates of the amount expected to be paid based on a qualitative assessment of all relevant factors. When appropriate, we perform an expected value calculation to determine our provisions. We review the adequacy of these provisions at the end of each reporting period and adjust them based on changing facts and circumstances. Due to the uncertainty associated with tax audits, it is possible that at some future date, liabilities resulting from such audits or related litigation could vary significantly from our provisions. However, based on currently enacted legislation, information currently known to us and after consultation with outside tax advisors, management believes that the ultimate resolution of any such matters, individually or in the aggregate, will not have a material adverse impact on our financial condition taken as a whole.</w:t>
      </w:r>
    </w:p>
    <w:p>
      <w:pPr>
        <w:spacing w:after="0" w:line="44" w:lineRule="exact"/>
        <w:rPr>
          <w:sz w:val="20"/>
          <w:szCs w:val="20"/>
          <w:color w:val="auto"/>
        </w:rPr>
      </w:pPr>
    </w:p>
    <w:p>
      <w:pPr>
        <w:jc w:val="both"/>
        <w:ind w:left="220"/>
        <w:spacing w:after="0" w:line="248" w:lineRule="auto"/>
        <w:rPr>
          <w:sz w:val="20"/>
          <w:szCs w:val="20"/>
          <w:color w:val="auto"/>
        </w:rPr>
      </w:pPr>
      <w:r>
        <w:rPr>
          <w:rFonts w:ascii="Arial" w:cs="Arial" w:eastAsia="Arial" w:hAnsi="Arial"/>
          <w:sz w:val="16"/>
          <w:szCs w:val="16"/>
          <w:color w:val="auto"/>
        </w:rPr>
        <w:t>Prior to December 31, 2023, we paid $430 million of tax as required under notices of assessment issued by the U.K. tax authority, HM Revenue &amp; Customs (HMRC), under the Diverted Profits Tax (DPT) regime that collectively related to the 2015, 2016, 2017 and 2018 taxation years of certain of our current and former U.K. affiliates. We do not believe these current and former U.K. affiliates fall within the scope of the DPT regime.</w:t>
      </w:r>
    </w:p>
    <w:p>
      <w:pPr>
        <w:spacing w:after="0" w:line="2" w:lineRule="exact"/>
        <w:rPr>
          <w:sz w:val="20"/>
          <w:szCs w:val="20"/>
          <w:color w:val="auto"/>
        </w:rPr>
      </w:pPr>
    </w:p>
    <w:p>
      <w:pPr>
        <w:ind w:left="220" w:right="120"/>
        <w:spacing w:after="0" w:line="233" w:lineRule="auto"/>
        <w:rPr>
          <w:sz w:val="20"/>
          <w:szCs w:val="20"/>
          <w:color w:val="auto"/>
        </w:rPr>
      </w:pPr>
      <w:r>
        <w:rPr>
          <w:rFonts w:ascii="Arial" w:cs="Arial" w:eastAsia="Arial" w:hAnsi="Arial"/>
          <w:sz w:val="17"/>
          <w:szCs w:val="17"/>
          <w:color w:val="auto"/>
        </w:rPr>
        <w:t>Because we believe our position is supported by the weight of law, we intend to vigorously defend our position and will continue contesting these assessments through all available administrative and judicial remedies. As the assessments largely relate to businesses that we have sold, the majority are subject to indemnity arrangements under which we have been required to pay additional taxes to HMRC or the indemnity counterparty.</w:t>
      </w:r>
    </w:p>
    <w:p>
      <w:pPr>
        <w:spacing w:after="0" w:line="60" w:lineRule="exact"/>
        <w:rPr>
          <w:sz w:val="20"/>
          <w:szCs w:val="20"/>
          <w:color w:val="auto"/>
        </w:rPr>
      </w:pPr>
    </w:p>
    <w:p>
      <w:pPr>
        <w:ind w:left="220" w:right="240"/>
        <w:spacing w:after="0" w:line="238" w:lineRule="auto"/>
        <w:rPr>
          <w:sz w:val="20"/>
          <w:szCs w:val="20"/>
          <w:color w:val="auto"/>
        </w:rPr>
      </w:pPr>
      <w:r>
        <w:rPr>
          <w:rFonts w:ascii="Arial" w:cs="Arial" w:eastAsia="Arial" w:hAnsi="Arial"/>
          <w:sz w:val="17"/>
          <w:szCs w:val="17"/>
          <w:color w:val="auto"/>
        </w:rPr>
        <w:t>We do not believe that the resolution of these matters will have a material adverse effect on our financial condition taken as a whole. Payments made by us are not a reflection of our view on the merits of the case. As we expect to receive refunds of substantially all of the aggregate of amounts paid pursuant to these notices of assessment, we have recorded substantially all of these payments as non-current receivables from HMRC or the indemnity counterparty, in our financial statements.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Guarantees</w:t>
      </w:r>
    </w:p>
    <w:p>
      <w:pPr>
        <w:spacing w:after="0" w:line="70" w:lineRule="exact"/>
        <w:rPr>
          <w:sz w:val="20"/>
          <w:szCs w:val="20"/>
          <w:color w:val="auto"/>
        </w:rPr>
      </w:pPr>
    </w:p>
    <w:p>
      <w:pPr>
        <w:ind w:left="220" w:right="140"/>
        <w:spacing w:after="0" w:line="246" w:lineRule="auto"/>
        <w:rPr>
          <w:sz w:val="20"/>
          <w:szCs w:val="20"/>
          <w:color w:val="auto"/>
        </w:rPr>
      </w:pPr>
      <w:r>
        <w:rPr>
          <w:rFonts w:ascii="Arial" w:cs="Arial" w:eastAsia="Arial" w:hAnsi="Arial"/>
          <w:sz w:val="16"/>
          <w:szCs w:val="16"/>
          <w:color w:val="auto"/>
        </w:rPr>
        <w:t>We have an investment in 3XSQ Associates, an entity jointly owned by a subsidiary of our company and Rudin Times Square Associates LLC (Rudin), that owns and operates the 3 Times Square office building (the building) in New York, New York. In June 2022, 3XSQ Associates obtained a $415 million, 3-year term loan facility to refinance existing debt, fund the building’s redevelopment, and cover interest and operating costs during the redevelopment period. The building is pledged as loan collateral. We and Rudin each guarantee 50% of (i) certain principal loan amounts and (ii) interest and operating costs. We and Rudin also jointly and severally guarantee (i) completion of commenced works and</w:t>
      </w:r>
    </w:p>
    <w:p>
      <w:pPr>
        <w:spacing w:after="0" w:line="1" w:lineRule="exact"/>
        <w:rPr>
          <w:sz w:val="20"/>
          <w:szCs w:val="20"/>
          <w:color w:val="auto"/>
        </w:rPr>
      </w:pPr>
    </w:p>
    <w:p>
      <w:pPr>
        <w:ind w:left="220" w:right="100" w:hanging="2"/>
        <w:spacing w:after="0" w:line="227" w:lineRule="auto"/>
        <w:tabs>
          <w:tab w:leader="none" w:pos="453" w:val="left"/>
        </w:tabs>
        <w:numPr>
          <w:ilvl w:val="0"/>
          <w:numId w:val="59"/>
        </w:numPr>
        <w:rPr>
          <w:rFonts w:ascii="Arial" w:cs="Arial" w:eastAsia="Arial" w:hAnsi="Arial"/>
          <w:sz w:val="17"/>
          <w:szCs w:val="17"/>
          <w:color w:val="auto"/>
        </w:rPr>
      </w:pPr>
      <w:r>
        <w:rPr>
          <w:rFonts w:ascii="Arial" w:cs="Arial" w:eastAsia="Arial" w:hAnsi="Arial"/>
          <w:sz w:val="17"/>
          <w:szCs w:val="17"/>
          <w:color w:val="auto"/>
        </w:rPr>
        <w:t>lender losses arising from disallowed acts, environmental or otherwise. To minimize economic exposure to 50% for the joint and several obligations, we and a parent entity of Rudin entered into a cross-indemnification arrangement. We believe the value of the building is expected to be sufficient to cover obligations that could arise from the guarantees. The guarantees do not impact our ability to borrow funds under our</w:t>
      </w:r>
    </w:p>
    <w:p>
      <w:pPr>
        <w:spacing w:after="0" w:line="1" w:lineRule="exact"/>
        <w:rPr>
          <w:rFonts w:ascii="Arial" w:cs="Arial" w:eastAsia="Arial" w:hAnsi="Arial"/>
          <w:sz w:val="17"/>
          <w:szCs w:val="17"/>
          <w:color w:val="auto"/>
        </w:rPr>
      </w:pPr>
    </w:p>
    <w:p>
      <w:pPr>
        <w:ind w:left="220" w:right="360"/>
        <w:spacing w:after="0"/>
        <w:rPr>
          <w:rFonts w:ascii="Arial" w:cs="Arial" w:eastAsia="Arial" w:hAnsi="Arial"/>
          <w:sz w:val="17"/>
          <w:szCs w:val="17"/>
          <w:color w:val="auto"/>
        </w:rPr>
      </w:pPr>
      <w:r>
        <w:rPr>
          <w:rFonts w:ascii="Arial" w:cs="Arial" w:eastAsia="Arial" w:hAnsi="Arial"/>
          <w:sz w:val="17"/>
          <w:szCs w:val="17"/>
          <w:color w:val="auto"/>
        </w:rPr>
        <w:t>$2.0 billion syndicated credit facility or the related covenant calculation. We expect the 3 year term loan facility to be refinanced in June 2025, which may require a capital contribution by us.</w:t>
      </w:r>
    </w:p>
    <w:p>
      <w:pPr>
        <w:spacing w:after="0" w:line="59" w:lineRule="exact"/>
        <w:rPr>
          <w:sz w:val="20"/>
          <w:szCs w:val="20"/>
          <w:color w:val="auto"/>
        </w:rPr>
      </w:pPr>
    </w:p>
    <w:p>
      <w:pPr>
        <w:ind w:left="220" w:right="180"/>
        <w:spacing w:after="0" w:line="257" w:lineRule="auto"/>
        <w:rPr>
          <w:sz w:val="20"/>
          <w:szCs w:val="20"/>
          <w:color w:val="auto"/>
        </w:rPr>
      </w:pPr>
      <w:r>
        <w:rPr>
          <w:rFonts w:ascii="Arial" w:cs="Arial" w:eastAsia="Arial" w:hAnsi="Arial"/>
          <w:sz w:val="17"/>
          <w:szCs w:val="17"/>
          <w:i w:val="1"/>
          <w:iCs w:val="1"/>
          <w:color w:val="auto"/>
        </w:rPr>
        <w:t>For additional information, please see the “Risk Factors” section of this annual report, which contains further information on risks related to legal and tax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83185</wp:posOffset>
            </wp:positionV>
            <wp:extent cx="68656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42"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51</w:t>
      </w:r>
    </w:p>
    <w:p>
      <w:pPr>
        <w:sectPr>
          <w:pgSz w:w="11900" w:h="16838" w:orient="portrait"/>
          <w:cols w:equalWidth="0" w:num="1">
            <w:col w:w="11040"/>
          </w:cols>
          <w:pgMar w:left="320" w:top="477" w:right="5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298" w:lineRule="exact"/>
        <w:rPr>
          <w:sz w:val="20"/>
          <w:szCs w:val="20"/>
          <w:color w:val="auto"/>
        </w:rPr>
      </w:pPr>
    </w:p>
    <w:p>
      <w:pPr>
        <w:ind w:left="220"/>
        <w:spacing w:after="0"/>
        <w:rPr>
          <w:sz w:val="20"/>
          <w:szCs w:val="20"/>
          <w:color w:val="auto"/>
        </w:rPr>
      </w:pPr>
      <w:r>
        <w:rPr>
          <w:rFonts w:ascii="Arial" w:cs="Arial" w:eastAsia="Arial" w:hAnsi="Arial"/>
          <w:sz w:val="28"/>
          <w:szCs w:val="28"/>
          <w:b w:val="1"/>
          <w:bCs w:val="1"/>
          <w:color w:val="auto"/>
        </w:rPr>
        <w:t>Outlook</w:t>
      </w:r>
    </w:p>
    <w:p>
      <w:pPr>
        <w:spacing w:after="0" w:line="101" w:lineRule="exact"/>
        <w:rPr>
          <w:sz w:val="20"/>
          <w:szCs w:val="20"/>
          <w:color w:val="auto"/>
        </w:rPr>
      </w:pPr>
    </w:p>
    <w:p>
      <w:pPr>
        <w:ind w:left="220" w:right="200"/>
        <w:spacing w:after="0" w:line="257" w:lineRule="auto"/>
        <w:rPr>
          <w:sz w:val="20"/>
          <w:szCs w:val="20"/>
          <w:color w:val="auto"/>
        </w:rPr>
      </w:pPr>
      <w:r>
        <w:rPr>
          <w:rFonts w:ascii="Arial" w:cs="Arial" w:eastAsia="Arial" w:hAnsi="Arial"/>
          <w:sz w:val="17"/>
          <w:szCs w:val="17"/>
          <w:i w:val="1"/>
          <w:iCs w:val="1"/>
          <w:color w:val="auto"/>
        </w:rPr>
        <w:t>The information in this section is forward-looking and should be read in conjunction with the section entitled “Additional Information - Cautionary Note Concerning Factors That May Affect Future Results”.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Trends</w:t>
      </w:r>
    </w:p>
    <w:p>
      <w:pPr>
        <w:spacing w:after="0" w:line="97" w:lineRule="exact"/>
        <w:rPr>
          <w:sz w:val="20"/>
          <w:szCs w:val="20"/>
          <w:color w:val="auto"/>
        </w:rPr>
      </w:pPr>
    </w:p>
    <w:p>
      <w:pPr>
        <w:ind w:left="220" w:right="20"/>
        <w:spacing w:after="0" w:line="233" w:lineRule="auto"/>
        <w:rPr>
          <w:sz w:val="20"/>
          <w:szCs w:val="20"/>
          <w:color w:val="auto"/>
        </w:rPr>
      </w:pPr>
      <w:r>
        <w:rPr>
          <w:rFonts w:ascii="Arial" w:cs="Arial" w:eastAsia="Arial" w:hAnsi="Arial"/>
          <w:sz w:val="17"/>
          <w:szCs w:val="17"/>
          <w:color w:val="auto"/>
        </w:rPr>
        <w:t>Technology and societal forces continue to drive the digital transformation of the Legal, Tax &amp; Accounting, and Risk &amp; Fraud ecosystems in which we operate. Our customers – professionals in law firms, accounting firms, government agencies and corporations – must continually improve efficiency and demonstrate the value of their service to their clients. Increasingly, AI is streamlining the workflows of the professionals we serve by enabling the rapid analysis of vast quantities of documents and data, automating routine tasks, facilitating sophisticated contract analysis and predicting financial outcomes. The application of AI to the workflows of the professionals we serve enables them to focus on more complex services for their customers. Further, virtual and hybrid work has become commonplace, making digital workflows a necessity. Consumer digital experience continues to influence the expectations of professionals in their work environments. These factors continue to drive demand for content-enabled, cloud-based solutions that are powered by AI.</w:t>
      </w:r>
    </w:p>
    <w:p>
      <w:pPr>
        <w:spacing w:after="0" w:line="59" w:lineRule="exact"/>
        <w:rPr>
          <w:sz w:val="20"/>
          <w:szCs w:val="20"/>
          <w:color w:val="auto"/>
        </w:rPr>
      </w:pPr>
    </w:p>
    <w:p>
      <w:pPr>
        <w:ind w:left="220" w:right="720"/>
        <w:spacing w:after="0" w:line="260" w:lineRule="auto"/>
        <w:rPr>
          <w:sz w:val="20"/>
          <w:szCs w:val="20"/>
          <w:color w:val="auto"/>
        </w:rPr>
      </w:pPr>
      <w:r>
        <w:rPr>
          <w:rFonts w:ascii="Arial" w:cs="Arial" w:eastAsia="Arial" w:hAnsi="Arial"/>
          <w:sz w:val="17"/>
          <w:szCs w:val="17"/>
          <w:color w:val="auto"/>
        </w:rPr>
        <w:t>While the pace of technology adoption varies, the overall trend towards cloud and AI enabled automation is consistent across our “Big 3” customer segments. The following forces are driving changes in our customer segments:</w:t>
      </w:r>
    </w:p>
    <w:p>
      <w:pPr>
        <w:spacing w:after="0" w:line="40" w:lineRule="exact"/>
        <w:rPr>
          <w:sz w:val="20"/>
          <w:szCs w:val="20"/>
          <w:color w:val="auto"/>
        </w:rPr>
      </w:pPr>
    </w:p>
    <w:p>
      <w:pPr>
        <w:ind w:left="640" w:right="140" w:hanging="422"/>
        <w:spacing w:after="0" w:line="234" w:lineRule="auto"/>
        <w:tabs>
          <w:tab w:leader="none" w:pos="640" w:val="left"/>
        </w:tabs>
        <w:numPr>
          <w:ilvl w:val="0"/>
          <w:numId w:val="60"/>
        </w:numPr>
        <w:rPr>
          <w:rFonts w:ascii="Arial" w:cs="Arial" w:eastAsia="Arial" w:hAnsi="Arial"/>
          <w:sz w:val="17"/>
          <w:szCs w:val="17"/>
          <w:color w:val="D64000"/>
        </w:rPr>
      </w:pPr>
      <w:r>
        <w:rPr>
          <w:rFonts w:ascii="Arial" w:cs="Arial" w:eastAsia="Arial" w:hAnsi="Arial"/>
          <w:sz w:val="17"/>
          <w:szCs w:val="17"/>
          <w:b w:val="1"/>
          <w:bCs w:val="1"/>
          <w:color w:val="auto"/>
        </w:rPr>
        <w:t xml:space="preserve">Legal Professionals: </w:t>
      </w:r>
      <w:r>
        <w:rPr>
          <w:rFonts w:ascii="Arial" w:cs="Arial" w:eastAsia="Arial" w:hAnsi="Arial"/>
          <w:sz w:val="17"/>
          <w:szCs w:val="17"/>
          <w:color w:val="auto"/>
        </w:rPr>
        <w:t>Law firms continue to need technology to drive efficiency and competitive advantage, and to provide clients with</w:t>
      </w:r>
      <w:r>
        <w:rPr>
          <w:rFonts w:ascii="Arial" w:cs="Arial" w:eastAsia="Arial" w:hAnsi="Arial"/>
          <w:sz w:val="17"/>
          <w:szCs w:val="17"/>
          <w:b w:val="1"/>
          <w:bCs w:val="1"/>
          <w:color w:val="auto"/>
        </w:rPr>
        <w:t xml:space="preserve"> </w:t>
      </w:r>
      <w:r>
        <w:rPr>
          <w:rFonts w:ascii="Arial" w:cs="Arial" w:eastAsia="Arial" w:hAnsi="Arial"/>
          <w:sz w:val="17"/>
          <w:szCs w:val="17"/>
          <w:color w:val="auto"/>
        </w:rPr>
        <w:t>modern, digitally enabled client service. Generative AI is increasingly leveraged in areas such as legal research and contract drafting, with potential to transform not just legal workflows but law firm business models and operating structures. Demand for digital collaboration tools among lawyers within firms, as well as with their clients, remains high. Demand for fraud prevention, detection and investigative solutions continues to grow across government and corporate customers, with generative AI enabling new fraud patterns such as deep fakes. Technology solutions, enabled by public and proprietary information, are increasingly being used to manage risks, adhere to regulations, minimize fraud, provide greater access to justice via virtual courts and to maintain global security.</w:t>
      </w:r>
    </w:p>
    <w:p>
      <w:pPr>
        <w:spacing w:after="0" w:line="57" w:lineRule="exact"/>
        <w:rPr>
          <w:rFonts w:ascii="Arial" w:cs="Arial" w:eastAsia="Arial" w:hAnsi="Arial"/>
          <w:sz w:val="17"/>
          <w:szCs w:val="17"/>
          <w:color w:val="D64000"/>
        </w:rPr>
      </w:pPr>
    </w:p>
    <w:p>
      <w:pPr>
        <w:ind w:left="640" w:right="20" w:hanging="422"/>
        <w:spacing w:after="0" w:line="236" w:lineRule="auto"/>
        <w:tabs>
          <w:tab w:leader="none" w:pos="640" w:val="left"/>
        </w:tabs>
        <w:numPr>
          <w:ilvl w:val="0"/>
          <w:numId w:val="60"/>
        </w:numPr>
        <w:rPr>
          <w:rFonts w:ascii="Arial" w:cs="Arial" w:eastAsia="Arial" w:hAnsi="Arial"/>
          <w:sz w:val="17"/>
          <w:szCs w:val="17"/>
          <w:color w:val="D64000"/>
        </w:rPr>
      </w:pPr>
      <w:r>
        <w:rPr>
          <w:rFonts w:ascii="Arial" w:cs="Arial" w:eastAsia="Arial" w:hAnsi="Arial"/>
          <w:sz w:val="17"/>
          <w:szCs w:val="17"/>
          <w:b w:val="1"/>
          <w:bCs w:val="1"/>
          <w:color w:val="auto"/>
        </w:rPr>
        <w:t xml:space="preserve">Corporates: </w:t>
      </w:r>
      <w:r>
        <w:rPr>
          <w:rFonts w:ascii="Arial" w:cs="Arial" w:eastAsia="Arial" w:hAnsi="Arial"/>
          <w:sz w:val="17"/>
          <w:szCs w:val="17"/>
          <w:color w:val="auto"/>
        </w:rPr>
        <w:t>Tax &amp; Trade departments are under sustained pressure to operate efficiently and respond swiftly to changing regulations. They</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 to invest in digital solutions reflecting governments’ increased focus on tax compliance and law enforcement, and in response to the introduction of digital tax reporting requirements, electronic invoicing mandates, and evolving Environmental, Social and Governance (ESG) regulations. Similarly, corporate legal departments are embracing technology to enhance productivity and demonstrate value and impact to the corporations they serve, driving demand for automation that is powered by AI.</w:t>
      </w:r>
    </w:p>
    <w:p>
      <w:pPr>
        <w:spacing w:after="0" w:line="59" w:lineRule="exact"/>
        <w:rPr>
          <w:rFonts w:ascii="Arial" w:cs="Arial" w:eastAsia="Arial" w:hAnsi="Arial"/>
          <w:sz w:val="17"/>
          <w:szCs w:val="17"/>
          <w:color w:val="D64000"/>
        </w:rPr>
      </w:pPr>
    </w:p>
    <w:p>
      <w:pPr>
        <w:ind w:left="640" w:right="180" w:hanging="422"/>
        <w:spacing w:after="0" w:line="238" w:lineRule="auto"/>
        <w:tabs>
          <w:tab w:leader="none" w:pos="640" w:val="left"/>
        </w:tabs>
        <w:numPr>
          <w:ilvl w:val="0"/>
          <w:numId w:val="60"/>
        </w:numPr>
        <w:rPr>
          <w:rFonts w:ascii="Arial" w:cs="Arial" w:eastAsia="Arial" w:hAnsi="Arial"/>
          <w:sz w:val="17"/>
          <w:szCs w:val="17"/>
          <w:color w:val="D64000"/>
        </w:rPr>
      </w:pPr>
      <w:r>
        <w:rPr>
          <w:rFonts w:ascii="Arial" w:cs="Arial" w:eastAsia="Arial" w:hAnsi="Arial"/>
          <w:sz w:val="17"/>
          <w:szCs w:val="17"/>
          <w:b w:val="1"/>
          <w:bCs w:val="1"/>
          <w:color w:val="auto"/>
        </w:rPr>
        <w:t xml:space="preserve">Tax &amp; Accounting Professionals: </w:t>
      </w:r>
      <w:r>
        <w:rPr>
          <w:rFonts w:ascii="Arial" w:cs="Arial" w:eastAsia="Arial" w:hAnsi="Arial"/>
          <w:sz w:val="17"/>
          <w:szCs w:val="17"/>
          <w:color w:val="auto"/>
        </w:rPr>
        <w:t>Talent shortages and growing client expectations for digital engagement are driving demand for higher</w:t>
      </w:r>
      <w:r>
        <w:rPr>
          <w:rFonts w:ascii="Arial" w:cs="Arial" w:eastAsia="Arial" w:hAnsi="Arial"/>
          <w:sz w:val="17"/>
          <w:szCs w:val="17"/>
          <w:b w:val="1"/>
          <w:bCs w:val="1"/>
          <w:color w:val="auto"/>
        </w:rPr>
        <w:t xml:space="preserve"> </w:t>
      </w:r>
      <w:r>
        <w:rPr>
          <w:rFonts w:ascii="Arial" w:cs="Arial" w:eastAsia="Arial" w:hAnsi="Arial"/>
          <w:sz w:val="17"/>
          <w:szCs w:val="17"/>
          <w:color w:val="auto"/>
        </w:rPr>
        <w:t>levels of automation in the accounting profession. AI tools are rapidly maturing to enable automation of routine elements of tax filings and audits, with the potential to enhance productivity and accuracy. Remaining legacy on-premises tax, audit, accounting, and practice management systems are gradually being replaced by cloud-based offerings.</w:t>
      </w:r>
    </w:p>
    <w:p>
      <w:pPr>
        <w:spacing w:after="0" w:line="46" w:lineRule="exact"/>
        <w:rPr>
          <w:sz w:val="20"/>
          <w:szCs w:val="20"/>
          <w:color w:val="auto"/>
        </w:rPr>
      </w:pPr>
    </w:p>
    <w:p>
      <w:pPr>
        <w:ind w:left="220" w:right="120"/>
        <w:spacing w:after="0" w:line="238" w:lineRule="auto"/>
        <w:rPr>
          <w:sz w:val="20"/>
          <w:szCs w:val="20"/>
          <w:color w:val="auto"/>
        </w:rPr>
      </w:pPr>
      <w:r>
        <w:rPr>
          <w:rFonts w:ascii="Arial" w:cs="Arial" w:eastAsia="Arial" w:hAnsi="Arial"/>
          <w:sz w:val="17"/>
          <w:szCs w:val="17"/>
          <w:color w:val="auto"/>
        </w:rPr>
        <w:t xml:space="preserve">Relative to our </w:t>
      </w:r>
      <w:r>
        <w:rPr>
          <w:rFonts w:ascii="Arial" w:cs="Arial" w:eastAsia="Arial" w:hAnsi="Arial"/>
          <w:sz w:val="17"/>
          <w:szCs w:val="17"/>
          <w:b w:val="1"/>
          <w:bCs w:val="1"/>
          <w:color w:val="auto"/>
        </w:rPr>
        <w:t>Reuters News</w:t>
      </w:r>
      <w:r>
        <w:rPr>
          <w:rFonts w:ascii="Arial" w:cs="Arial" w:eastAsia="Arial" w:hAnsi="Arial"/>
          <w:sz w:val="17"/>
          <w:szCs w:val="17"/>
          <w:color w:val="auto"/>
        </w:rPr>
        <w:t xml:space="preserve"> business, the media sector continues to transform, with the traditional news agency market under pressure due to audiences’ shift to digital and streaming services. Traditional news content has found new uses in the licensing of content for the training of AI foundation models, and the industry is exploring new means of consuming news through various AI agents. In the Professional sector, digital advertising and sponsorships revenues will continue to be exposed to discretionary spend shifts over the business cycle.</w:t>
      </w:r>
    </w:p>
    <w:p>
      <w:pPr>
        <w:spacing w:after="0" w:line="59" w:lineRule="exact"/>
        <w:rPr>
          <w:sz w:val="20"/>
          <w:szCs w:val="20"/>
          <w:color w:val="auto"/>
        </w:rPr>
      </w:pPr>
    </w:p>
    <w:p>
      <w:pPr>
        <w:ind w:left="220" w:right="240"/>
        <w:spacing w:after="0" w:line="260" w:lineRule="auto"/>
        <w:rPr>
          <w:sz w:val="20"/>
          <w:szCs w:val="20"/>
          <w:color w:val="auto"/>
        </w:rPr>
      </w:pPr>
      <w:r>
        <w:rPr>
          <w:rFonts w:ascii="Arial" w:cs="Arial" w:eastAsia="Arial" w:hAnsi="Arial"/>
          <w:sz w:val="17"/>
          <w:szCs w:val="17"/>
          <w:color w:val="auto"/>
        </w:rPr>
        <w:t xml:space="preserve">We continue to expect revenue declines in our </w:t>
      </w:r>
      <w:r>
        <w:rPr>
          <w:rFonts w:ascii="Arial" w:cs="Arial" w:eastAsia="Arial" w:hAnsi="Arial"/>
          <w:sz w:val="17"/>
          <w:szCs w:val="17"/>
          <w:b w:val="1"/>
          <w:bCs w:val="1"/>
          <w:color w:val="auto"/>
        </w:rPr>
        <w:t>Global Print</w:t>
      </w:r>
      <w:r>
        <w:rPr>
          <w:rFonts w:ascii="Arial" w:cs="Arial" w:eastAsia="Arial" w:hAnsi="Arial"/>
          <w:sz w:val="17"/>
          <w:szCs w:val="17"/>
          <w:color w:val="auto"/>
        </w:rPr>
        <w:t xml:space="preserve"> business as customers migrate to online delivery, which has been compounded by the influence of the virtual and hybrid work environment.</w:t>
      </w:r>
    </w:p>
    <w:p>
      <w:pPr>
        <w:spacing w:after="0" w:line="27" w:lineRule="exact"/>
        <w:rPr>
          <w:sz w:val="20"/>
          <w:szCs w:val="20"/>
          <w:color w:val="auto"/>
        </w:rPr>
      </w:pPr>
    </w:p>
    <w:p>
      <w:pPr>
        <w:ind w:left="220" w:right="60"/>
        <w:spacing w:after="0" w:line="231" w:lineRule="auto"/>
        <w:rPr>
          <w:sz w:val="20"/>
          <w:szCs w:val="20"/>
          <w:color w:val="auto"/>
        </w:rPr>
      </w:pPr>
      <w:r>
        <w:rPr>
          <w:rFonts w:ascii="Arial" w:cs="Arial" w:eastAsia="Arial" w:hAnsi="Arial"/>
          <w:sz w:val="17"/>
          <w:szCs w:val="17"/>
          <w:color w:val="auto"/>
        </w:rPr>
        <w:t>The opportunity created by technology in the professional markets we serve continues to attract significant capital and entrepreneurial talent, creating a highly competitive environment. The increasing opportunities created by AI have elevated the competitive environment. Our traditional competitors are investing to provide new value to customers, as well as acquiring businesses to add new capabilities. More narrowly focused technology companies, including private companies often funded by private equity or start-ups funded by venture capital, are all investing heavily to pursue growth opportunities in our market segments. Large horizontal business systems vendors as well as some smaller vendors provide similar solutions to certain of our offerings. Professional service firms such as the Global 7 accounting firms, who have traditionally been our customers as well as our go-to-market partners, are developing their own competitive technology solutions. Start-ups continue to produce attractive innovations using the latest technologies. In the global news market segment, audiences are fragmenting across platforms while news consumption is shifting to on demand, social, and mobile formats, with emerging news consumption via AI agents. While competition continues to be intense and dynamic, we believe that our strengths, high quality content, deep domain expertise, technology expertise and strong customer relationships will allow us to continue to serve the needs of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104775</wp:posOffset>
            </wp:positionV>
            <wp:extent cx="68656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63"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52</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Priorities</w:t>
      </w:r>
    </w:p>
    <w:p>
      <w:pPr>
        <w:spacing w:after="0" w:line="84" w:lineRule="exact"/>
        <w:rPr>
          <w:sz w:val="20"/>
          <w:szCs w:val="20"/>
          <w:color w:val="auto"/>
        </w:rPr>
      </w:pPr>
    </w:p>
    <w:p>
      <w:pPr>
        <w:ind w:left="220" w:right="40"/>
        <w:spacing w:after="0" w:line="238" w:lineRule="auto"/>
        <w:rPr>
          <w:sz w:val="20"/>
          <w:szCs w:val="20"/>
          <w:color w:val="auto"/>
        </w:rPr>
      </w:pPr>
      <w:r>
        <w:rPr>
          <w:rFonts w:ascii="Arial" w:cs="Arial" w:eastAsia="Arial" w:hAnsi="Arial"/>
          <w:sz w:val="17"/>
          <w:szCs w:val="17"/>
          <w:color w:val="auto"/>
        </w:rPr>
        <w:t>We strive to be a leading content-driven technology company that empowers professionals to navigate legal, tax, accounting, compliance, government, and media environments. In 2024, we accelerated our progress on delivering generative AI-powered solutions, including rapidly evolving our CoCounsel AI Assistant, acquiring Materia to target agentic AI use cases in the Tax &amp; Accounting market, and working on proprietary legal AI models in TR Labs.</w:t>
      </w:r>
    </w:p>
    <w:p>
      <w:pPr>
        <w:spacing w:after="0" w:line="59" w:lineRule="exact"/>
        <w:rPr>
          <w:sz w:val="20"/>
          <w:szCs w:val="20"/>
          <w:color w:val="auto"/>
        </w:rPr>
      </w:pPr>
    </w:p>
    <w:p>
      <w:pPr>
        <w:ind w:left="220" w:right="20"/>
        <w:spacing w:after="0" w:line="243" w:lineRule="auto"/>
        <w:rPr>
          <w:sz w:val="20"/>
          <w:szCs w:val="20"/>
          <w:color w:val="auto"/>
        </w:rPr>
      </w:pPr>
      <w:r>
        <w:rPr>
          <w:rFonts w:ascii="Arial" w:cs="Arial" w:eastAsia="Arial" w:hAnsi="Arial"/>
          <w:sz w:val="17"/>
          <w:szCs w:val="17"/>
          <w:color w:val="auto"/>
        </w:rPr>
        <w:t>The rapid pace of innovation in AI has sparked a major wave of transformation across multiple industries, including the ones we serve. As a leading content-driven technology company, we are in a prime position to combine these new technologies with our existing strengths to serve our customers in new and innovative ways. This guides our key priorities for 2025, which include:</w:t>
      </w:r>
    </w:p>
    <w:p>
      <w:pPr>
        <w:spacing w:after="0" w:line="55" w:lineRule="exact"/>
        <w:rPr>
          <w:sz w:val="20"/>
          <w:szCs w:val="20"/>
          <w:color w:val="auto"/>
        </w:rPr>
      </w:pPr>
    </w:p>
    <w:p>
      <w:pPr>
        <w:ind w:left="640" w:hanging="422"/>
        <w:spacing w:after="0"/>
        <w:tabs>
          <w:tab w:leader="none" w:pos="640" w:val="left"/>
        </w:tabs>
        <w:numPr>
          <w:ilvl w:val="0"/>
          <w:numId w:val="61"/>
        </w:numPr>
        <w:rPr>
          <w:rFonts w:ascii="Arial" w:cs="Arial" w:eastAsia="Arial" w:hAnsi="Arial"/>
          <w:sz w:val="17"/>
          <w:szCs w:val="17"/>
          <w:color w:val="D64000"/>
        </w:rPr>
      </w:pPr>
      <w:r>
        <w:rPr>
          <w:rFonts w:ascii="Arial" w:cs="Arial" w:eastAsia="Arial" w:hAnsi="Arial"/>
          <w:sz w:val="17"/>
          <w:szCs w:val="17"/>
          <w:color w:val="auto"/>
        </w:rPr>
        <w:t>Continue evolving our transformative AI capabilities through ongoing product innovation and enhancements to our flagship products</w:t>
      </w:r>
    </w:p>
    <w:p>
      <w:pPr>
        <w:spacing w:after="0" w:line="6" w:lineRule="exact"/>
        <w:rPr>
          <w:rFonts w:ascii="Arial" w:cs="Arial" w:eastAsia="Arial" w:hAnsi="Arial"/>
          <w:sz w:val="17"/>
          <w:szCs w:val="17"/>
          <w:color w:val="D64000"/>
        </w:rPr>
      </w:pPr>
    </w:p>
    <w:p>
      <w:pPr>
        <w:ind w:left="640" w:hanging="422"/>
        <w:spacing w:after="0" w:line="227" w:lineRule="auto"/>
        <w:tabs>
          <w:tab w:leader="none" w:pos="640" w:val="left"/>
        </w:tabs>
        <w:numPr>
          <w:ilvl w:val="0"/>
          <w:numId w:val="61"/>
        </w:numPr>
        <w:rPr>
          <w:rFonts w:ascii="Arial" w:cs="Arial" w:eastAsia="Arial" w:hAnsi="Arial"/>
          <w:sz w:val="17"/>
          <w:szCs w:val="17"/>
          <w:color w:val="D64000"/>
        </w:rPr>
      </w:pPr>
      <w:r>
        <w:rPr>
          <w:rFonts w:ascii="Arial" w:cs="Arial" w:eastAsia="Arial" w:hAnsi="Arial"/>
          <w:sz w:val="17"/>
          <w:szCs w:val="17"/>
          <w:color w:val="auto"/>
        </w:rPr>
        <w:t>Continue to roll out our AI assistant, CoCounsel, across our customer base</w:t>
      </w:r>
    </w:p>
    <w:p>
      <w:pPr>
        <w:ind w:left="640" w:hanging="422"/>
        <w:spacing w:after="0" w:line="227" w:lineRule="auto"/>
        <w:tabs>
          <w:tab w:leader="none" w:pos="640" w:val="left"/>
        </w:tabs>
        <w:numPr>
          <w:ilvl w:val="0"/>
          <w:numId w:val="61"/>
        </w:numPr>
        <w:rPr>
          <w:rFonts w:ascii="Arial" w:cs="Arial" w:eastAsia="Arial" w:hAnsi="Arial"/>
          <w:sz w:val="17"/>
          <w:szCs w:val="17"/>
          <w:color w:val="D64000"/>
        </w:rPr>
      </w:pPr>
      <w:r>
        <w:rPr>
          <w:rFonts w:ascii="Arial" w:cs="Arial" w:eastAsia="Arial" w:hAnsi="Arial"/>
          <w:sz w:val="17"/>
          <w:szCs w:val="17"/>
          <w:color w:val="auto"/>
        </w:rPr>
        <w:t>Maintain and build on our deep domain expertise and comprehensive collection of richly enhanced data and content</w:t>
      </w:r>
    </w:p>
    <w:p>
      <w:pPr>
        <w:ind w:left="640" w:hanging="422"/>
        <w:spacing w:after="0" w:line="227" w:lineRule="auto"/>
        <w:tabs>
          <w:tab w:leader="none" w:pos="640" w:val="left"/>
        </w:tabs>
        <w:numPr>
          <w:ilvl w:val="0"/>
          <w:numId w:val="61"/>
        </w:numPr>
        <w:rPr>
          <w:rFonts w:ascii="Arial" w:cs="Arial" w:eastAsia="Arial" w:hAnsi="Arial"/>
          <w:sz w:val="17"/>
          <w:szCs w:val="17"/>
          <w:color w:val="D64000"/>
        </w:rPr>
      </w:pPr>
      <w:r>
        <w:rPr>
          <w:rFonts w:ascii="Arial" w:cs="Arial" w:eastAsia="Arial" w:hAnsi="Arial"/>
          <w:sz w:val="17"/>
          <w:szCs w:val="17"/>
          <w:color w:val="auto"/>
        </w:rPr>
        <w:t>Further enhance our go-to-market model, including a focus on customer success and retention</w:t>
      </w:r>
    </w:p>
    <w:p>
      <w:pPr>
        <w:ind w:left="640" w:hanging="422"/>
        <w:spacing w:after="0" w:line="227" w:lineRule="auto"/>
        <w:tabs>
          <w:tab w:leader="none" w:pos="640" w:val="left"/>
        </w:tabs>
        <w:numPr>
          <w:ilvl w:val="0"/>
          <w:numId w:val="61"/>
        </w:numPr>
        <w:rPr>
          <w:rFonts w:ascii="Arial" w:cs="Arial" w:eastAsia="Arial" w:hAnsi="Arial"/>
          <w:sz w:val="17"/>
          <w:szCs w:val="17"/>
          <w:color w:val="D64000"/>
        </w:rPr>
      </w:pPr>
      <w:r>
        <w:rPr>
          <w:rFonts w:ascii="Arial" w:cs="Arial" w:eastAsia="Arial" w:hAnsi="Arial"/>
          <w:sz w:val="17"/>
          <w:szCs w:val="17"/>
          <w:color w:val="auto"/>
        </w:rPr>
        <w:t>Extend our channel partnerships to integrate our products and services into broader ecosystems</w:t>
      </w:r>
    </w:p>
    <w:p>
      <w:pPr>
        <w:ind w:left="640" w:hanging="422"/>
        <w:spacing w:after="0" w:line="227" w:lineRule="auto"/>
        <w:tabs>
          <w:tab w:leader="none" w:pos="640" w:val="left"/>
        </w:tabs>
        <w:numPr>
          <w:ilvl w:val="0"/>
          <w:numId w:val="61"/>
        </w:numPr>
        <w:rPr>
          <w:rFonts w:ascii="Arial" w:cs="Arial" w:eastAsia="Arial" w:hAnsi="Arial"/>
          <w:sz w:val="17"/>
          <w:szCs w:val="17"/>
          <w:color w:val="D64000"/>
        </w:rPr>
      </w:pPr>
      <w:r>
        <w:rPr>
          <w:rFonts w:ascii="Arial" w:cs="Arial" w:eastAsia="Arial" w:hAnsi="Arial"/>
          <w:sz w:val="17"/>
          <w:szCs w:val="17"/>
          <w:color w:val="auto"/>
        </w:rPr>
        <w:t>Ongoing expansion of our international offerings</w:t>
      </w:r>
    </w:p>
    <w:p>
      <w:pPr>
        <w:ind w:left="640" w:hanging="422"/>
        <w:spacing w:after="0" w:line="227" w:lineRule="auto"/>
        <w:tabs>
          <w:tab w:leader="none" w:pos="640" w:val="left"/>
        </w:tabs>
        <w:numPr>
          <w:ilvl w:val="0"/>
          <w:numId w:val="61"/>
        </w:numPr>
        <w:rPr>
          <w:rFonts w:ascii="Arial" w:cs="Arial" w:eastAsia="Arial" w:hAnsi="Arial"/>
          <w:sz w:val="17"/>
          <w:szCs w:val="17"/>
          <w:color w:val="D64000"/>
        </w:rPr>
      </w:pPr>
      <w:r>
        <w:rPr>
          <w:rFonts w:ascii="Arial" w:cs="Arial" w:eastAsia="Arial" w:hAnsi="Arial"/>
          <w:sz w:val="17"/>
          <w:szCs w:val="17"/>
          <w:color w:val="auto"/>
        </w:rPr>
        <w:t>Accelerate our pace of execution to move fast and win in a competitive market; and</w:t>
      </w:r>
    </w:p>
    <w:p>
      <w:pPr>
        <w:ind w:left="640" w:right="300" w:hanging="422"/>
        <w:spacing w:after="0"/>
        <w:tabs>
          <w:tab w:leader="none" w:pos="640" w:val="left"/>
        </w:tabs>
        <w:numPr>
          <w:ilvl w:val="0"/>
          <w:numId w:val="61"/>
        </w:numPr>
        <w:rPr>
          <w:rFonts w:ascii="Arial" w:cs="Arial" w:eastAsia="Arial" w:hAnsi="Arial"/>
          <w:sz w:val="17"/>
          <w:szCs w:val="17"/>
          <w:color w:val="D64000"/>
        </w:rPr>
      </w:pPr>
      <w:r>
        <w:rPr>
          <w:rFonts w:ascii="Arial" w:cs="Arial" w:eastAsia="Arial" w:hAnsi="Arial"/>
          <w:sz w:val="17"/>
          <w:szCs w:val="17"/>
          <w:color w:val="auto"/>
        </w:rPr>
        <w:t>Leverage our significant capital capacity to fund organic investment and execute a balanced capital allocation approach including annual dividend growth, strategic acquisitions, and shareholder returns.</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Financial Outlook</w:t>
      </w:r>
    </w:p>
    <w:p>
      <w:pPr>
        <w:spacing w:after="0" w:line="97" w:lineRule="exact"/>
        <w:rPr>
          <w:sz w:val="20"/>
          <w:szCs w:val="20"/>
          <w:color w:val="auto"/>
        </w:rPr>
      </w:pPr>
    </w:p>
    <w:p>
      <w:pPr>
        <w:ind w:left="220" w:right="80"/>
        <w:spacing w:after="0" w:line="238" w:lineRule="auto"/>
        <w:rPr>
          <w:sz w:val="20"/>
          <w:szCs w:val="20"/>
          <w:color w:val="auto"/>
        </w:rPr>
      </w:pPr>
      <w:r>
        <w:rPr>
          <w:rFonts w:ascii="Arial" w:cs="Arial" w:eastAsia="Arial" w:hAnsi="Arial"/>
          <w:sz w:val="17"/>
          <w:szCs w:val="17"/>
          <w:color w:val="auto"/>
        </w:rPr>
        <w:t>The following table sets forth our 2025 outlook and our full-year 2024 actual results, which includes non-IFRS financial measures. Our outlook assumes constant currency rates relative to 2024 and incorporates our January 2025 SafeSend acquisition and the December 2024 divestitures of FindLaw and other non-core businesses but excludes the impact of any future acquisitions or dispositions that may occur during the remainder of the year.</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believe this type of guidance provides useful insight into the anticipated performance of our business.</w:t>
      </w:r>
    </w:p>
    <w:p>
      <w:pPr>
        <w:spacing w:after="0" w:line="83" w:lineRule="exact"/>
        <w:rPr>
          <w:sz w:val="20"/>
          <w:szCs w:val="20"/>
          <w:color w:val="auto"/>
        </w:rPr>
      </w:pPr>
    </w:p>
    <w:p>
      <w:pPr>
        <w:ind w:left="220" w:right="480"/>
        <w:spacing w:after="0" w:line="243" w:lineRule="auto"/>
        <w:rPr>
          <w:sz w:val="20"/>
          <w:szCs w:val="20"/>
          <w:color w:val="auto"/>
        </w:rPr>
      </w:pPr>
      <w:r>
        <w:rPr>
          <w:rFonts w:ascii="Arial" w:cs="Arial" w:eastAsia="Arial" w:hAnsi="Arial"/>
          <w:sz w:val="17"/>
          <w:szCs w:val="17"/>
          <w:color w:val="auto"/>
        </w:rPr>
        <w:t>We continue to operate in an uncertain macroeconomic environment, reflecting ongoing geopolitical risk, uneven economic growth and an evolving interest rate and inflationary backdrop. Any worsening of the global economic or business environment, among other factors, could impact our ability to achieve our outlook.</w:t>
      </w:r>
    </w:p>
    <w:p>
      <w:pPr>
        <w:spacing w:after="0" w:line="223" w:lineRule="exact"/>
        <w:rPr>
          <w:sz w:val="20"/>
          <w:szCs w:val="20"/>
          <w:color w:val="auto"/>
        </w:rPr>
      </w:pPr>
    </w:p>
    <w:tbl>
      <w:tblPr>
        <w:tblLayout w:type="fixed"/>
        <w:tblInd w:w="220" w:type="dxa"/>
        <w:tblCellMar>
          <w:top w:w="0" w:type="dxa"/>
          <w:left w:w="0" w:type="dxa"/>
          <w:bottom w:w="0" w:type="dxa"/>
          <w:right w:w="0" w:type="dxa"/>
        </w:tblCellMar>
      </w:tblPr>
      <w:tr>
        <w:trPr>
          <w:trHeight w:val="245"/>
        </w:trPr>
        <w:tc>
          <w:tcPr>
            <w:tcW w:w="788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b w:val="1"/>
                <w:bCs w:val="1"/>
                <w:color w:val="FFFFFF"/>
              </w:rPr>
              <w:t>  Total Thomson Reuters</w:t>
            </w:r>
          </w:p>
        </w:tc>
        <w:tc>
          <w:tcPr>
            <w:tcW w:w="1380" w:type="dxa"/>
            <w:vAlign w:val="bottom"/>
            <w:tcBorders>
              <w:bottom w:val="single" w:sz="8" w:color="D64000"/>
            </w:tcBorders>
            <w:shd w:val="clear" w:color="auto" w:fill="1F473D"/>
          </w:tcPr>
          <w:p>
            <w:pPr>
              <w:jc w:val="center"/>
              <w:ind w:left="61"/>
              <w:spacing w:after="0"/>
              <w:rPr>
                <w:sz w:val="20"/>
                <w:szCs w:val="20"/>
                <w:color w:val="auto"/>
              </w:rPr>
            </w:pPr>
            <w:r>
              <w:rPr>
                <w:rFonts w:ascii="Arial" w:cs="Arial" w:eastAsia="Arial" w:hAnsi="Arial"/>
                <w:sz w:val="16"/>
                <w:szCs w:val="16"/>
                <w:b w:val="1"/>
                <w:bCs w:val="1"/>
                <w:color w:val="FFFFFF"/>
                <w:w w:val="98"/>
              </w:rPr>
              <w:t>2024 Actual</w:t>
            </w:r>
          </w:p>
        </w:tc>
        <w:tc>
          <w:tcPr>
            <w:tcW w:w="1540" w:type="dxa"/>
            <w:vAlign w:val="bottom"/>
            <w:tcBorders>
              <w:bottom w:val="single" w:sz="8" w:color="D64000"/>
            </w:tcBorders>
            <w:shd w:val="clear" w:color="auto" w:fill="1F473D"/>
          </w:tcPr>
          <w:p>
            <w:pPr>
              <w:jc w:val="center"/>
              <w:ind w:left="61"/>
              <w:spacing w:after="0"/>
              <w:rPr>
                <w:sz w:val="20"/>
                <w:szCs w:val="20"/>
                <w:color w:val="auto"/>
              </w:rPr>
            </w:pPr>
            <w:r>
              <w:rPr>
                <w:rFonts w:ascii="Arial" w:cs="Arial" w:eastAsia="Arial" w:hAnsi="Arial"/>
                <w:sz w:val="16"/>
                <w:szCs w:val="16"/>
                <w:b w:val="1"/>
                <w:bCs w:val="1"/>
                <w:color w:val="FFFFFF"/>
                <w:w w:val="99"/>
              </w:rPr>
              <w:t>2025 Outlook</w:t>
            </w:r>
          </w:p>
        </w:tc>
      </w:tr>
      <w:tr>
        <w:trPr>
          <w:trHeight w:val="178"/>
        </w:trPr>
        <w:tc>
          <w:tcPr>
            <w:tcW w:w="7880" w:type="dxa"/>
            <w:vAlign w:val="bottom"/>
          </w:tcPr>
          <w:p>
            <w:pPr>
              <w:spacing w:after="0" w:line="178" w:lineRule="exact"/>
              <w:rPr>
                <w:sz w:val="20"/>
                <w:szCs w:val="20"/>
                <w:color w:val="auto"/>
              </w:rPr>
            </w:pPr>
            <w:r>
              <w:rPr>
                <w:rFonts w:ascii="Arial" w:cs="Arial" w:eastAsia="Arial" w:hAnsi="Arial"/>
                <w:sz w:val="16"/>
                <w:szCs w:val="16"/>
                <w:b w:val="1"/>
                <w:bCs w:val="1"/>
                <w:color w:val="auto"/>
              </w:rPr>
              <w:t>  Revenue growth</w:t>
            </w:r>
          </w:p>
        </w:tc>
        <w:tc>
          <w:tcPr>
            <w:tcW w:w="1380" w:type="dxa"/>
            <w:vAlign w:val="bottom"/>
          </w:tcPr>
          <w:p>
            <w:pPr>
              <w:jc w:val="center"/>
              <w:ind w:left="61"/>
              <w:spacing w:after="0" w:line="178" w:lineRule="exact"/>
              <w:rPr>
                <w:sz w:val="20"/>
                <w:szCs w:val="20"/>
                <w:color w:val="auto"/>
              </w:rPr>
            </w:pPr>
            <w:r>
              <w:rPr>
                <w:rFonts w:ascii="Arial" w:cs="Arial" w:eastAsia="Arial" w:hAnsi="Arial"/>
                <w:sz w:val="16"/>
                <w:szCs w:val="16"/>
                <w:color w:val="auto"/>
              </w:rPr>
              <w:t>7%</w:t>
            </w:r>
          </w:p>
        </w:tc>
        <w:tc>
          <w:tcPr>
            <w:tcW w:w="1540" w:type="dxa"/>
            <w:vAlign w:val="bottom"/>
          </w:tcPr>
          <w:p>
            <w:pPr>
              <w:jc w:val="center"/>
              <w:ind w:left="81"/>
              <w:spacing w:after="0" w:line="178" w:lineRule="exact"/>
              <w:rPr>
                <w:sz w:val="20"/>
                <w:szCs w:val="20"/>
                <w:color w:val="auto"/>
              </w:rPr>
            </w:pPr>
            <w:r>
              <w:rPr>
                <w:rFonts w:ascii="Arial" w:cs="Arial" w:eastAsia="Arial" w:hAnsi="Arial"/>
                <w:sz w:val="16"/>
                <w:szCs w:val="16"/>
                <w:color w:val="auto"/>
                <w:w w:val="95"/>
              </w:rPr>
              <w:t>3.0% – 3.5%</w:t>
            </w:r>
            <w:r>
              <w:rPr>
                <w:rFonts w:ascii="Arial" w:cs="Arial" w:eastAsia="Arial" w:hAnsi="Arial"/>
                <w:sz w:val="19"/>
                <w:szCs w:val="19"/>
                <w:color w:val="auto"/>
                <w:w w:val="95"/>
                <w:vertAlign w:val="superscript"/>
              </w:rPr>
              <w:t>(2)</w:t>
            </w:r>
          </w:p>
        </w:tc>
      </w:tr>
      <w:tr>
        <w:trPr>
          <w:trHeight w:val="180"/>
        </w:trPr>
        <w:tc>
          <w:tcPr>
            <w:tcW w:w="7880" w:type="dxa"/>
            <w:vAlign w:val="bottom"/>
            <w:tcBorders>
              <w:bottom w:val="single" w:sz="8" w:color="B2B2B2"/>
            </w:tcBorders>
          </w:tcPr>
          <w:p>
            <w:pPr>
              <w:ind w:left="160"/>
              <w:spacing w:after="0" w:line="180" w:lineRule="exact"/>
              <w:rPr>
                <w:sz w:val="20"/>
                <w:szCs w:val="20"/>
                <w:color w:val="auto"/>
              </w:rPr>
            </w:pPr>
            <w:r>
              <w:rPr>
                <w:rFonts w:ascii="Arial" w:cs="Arial" w:eastAsia="Arial" w:hAnsi="Arial"/>
                <w:sz w:val="14"/>
                <w:szCs w:val="14"/>
                <w:b w:val="1"/>
                <w:bCs w:val="1"/>
                <w:i w:val="1"/>
                <w:iCs w:val="1"/>
                <w:color w:val="auto"/>
              </w:rPr>
              <w:t>Organic revenue growth</w:t>
            </w:r>
            <w:r>
              <w:rPr>
                <w:rFonts w:ascii="Arial" w:cs="Arial" w:eastAsia="Arial" w:hAnsi="Arial"/>
                <w:sz w:val="17"/>
                <w:szCs w:val="17"/>
                <w:b w:val="1"/>
                <w:bCs w:val="1"/>
                <w:i w:val="1"/>
                <w:iCs w:val="1"/>
                <w:color w:val="auto"/>
                <w:vertAlign w:val="superscript"/>
              </w:rPr>
              <w:t>(1)</w:t>
            </w:r>
          </w:p>
        </w:tc>
        <w:tc>
          <w:tcPr>
            <w:tcW w:w="1380" w:type="dxa"/>
            <w:vAlign w:val="bottom"/>
            <w:tcBorders>
              <w:bottom w:val="single" w:sz="8" w:color="B2B2B2"/>
            </w:tcBorders>
          </w:tcPr>
          <w:p>
            <w:pPr>
              <w:jc w:val="center"/>
              <w:ind w:left="61"/>
              <w:spacing w:after="0"/>
              <w:rPr>
                <w:sz w:val="20"/>
                <w:szCs w:val="20"/>
                <w:color w:val="auto"/>
              </w:rPr>
            </w:pPr>
            <w:r>
              <w:rPr>
                <w:rFonts w:ascii="Arial" w:cs="Arial" w:eastAsia="Arial" w:hAnsi="Arial"/>
                <w:sz w:val="14"/>
                <w:szCs w:val="14"/>
                <w:i w:val="1"/>
                <w:iCs w:val="1"/>
                <w:color w:val="auto"/>
                <w:w w:val="98"/>
              </w:rPr>
              <w:t>7%</w:t>
            </w:r>
          </w:p>
        </w:tc>
        <w:tc>
          <w:tcPr>
            <w:tcW w:w="1540" w:type="dxa"/>
            <w:vAlign w:val="bottom"/>
            <w:tcBorders>
              <w:bottom w:val="single" w:sz="8" w:color="B2B2B2"/>
            </w:tcBorders>
          </w:tcPr>
          <w:p>
            <w:pPr>
              <w:jc w:val="center"/>
              <w:ind w:left="61"/>
              <w:spacing w:after="0"/>
              <w:rPr>
                <w:sz w:val="20"/>
                <w:szCs w:val="20"/>
                <w:color w:val="auto"/>
              </w:rPr>
            </w:pPr>
            <w:r>
              <w:rPr>
                <w:rFonts w:ascii="Arial" w:cs="Arial" w:eastAsia="Arial" w:hAnsi="Arial"/>
                <w:sz w:val="14"/>
                <w:szCs w:val="14"/>
                <w:i w:val="1"/>
                <w:iCs w:val="1"/>
                <w:color w:val="auto"/>
              </w:rPr>
              <w:t>7.0% – 7.5%</w:t>
            </w:r>
          </w:p>
        </w:tc>
      </w:tr>
      <w:tr>
        <w:trPr>
          <w:trHeight w:val="179"/>
        </w:trPr>
        <w:tc>
          <w:tcPr>
            <w:tcW w:w="788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b w:val="1"/>
                <w:bCs w:val="1"/>
                <w:color w:val="auto"/>
              </w:rPr>
              <w:t>  Adjusted EBITDA margin</w:t>
            </w:r>
            <w:r>
              <w:rPr>
                <w:rFonts w:ascii="Arial" w:cs="Arial" w:eastAsia="Arial" w:hAnsi="Arial"/>
                <w:sz w:val="19"/>
                <w:szCs w:val="19"/>
                <w:b w:val="1"/>
                <w:bCs w:val="1"/>
                <w:color w:val="auto"/>
                <w:vertAlign w:val="superscript"/>
              </w:rPr>
              <w:t>(1)</w:t>
            </w:r>
          </w:p>
        </w:tc>
        <w:tc>
          <w:tcPr>
            <w:tcW w:w="1380" w:type="dxa"/>
            <w:vAlign w:val="bottom"/>
            <w:tcBorders>
              <w:bottom w:val="single" w:sz="8" w:color="B2B2B2"/>
            </w:tcBorders>
          </w:tcPr>
          <w:p>
            <w:pPr>
              <w:jc w:val="center"/>
              <w:ind w:left="61"/>
              <w:spacing w:after="0" w:line="179" w:lineRule="exact"/>
              <w:rPr>
                <w:sz w:val="20"/>
                <w:szCs w:val="20"/>
                <w:color w:val="auto"/>
              </w:rPr>
            </w:pPr>
            <w:r>
              <w:rPr>
                <w:rFonts w:ascii="Arial" w:cs="Arial" w:eastAsia="Arial" w:hAnsi="Arial"/>
                <w:sz w:val="16"/>
                <w:szCs w:val="16"/>
                <w:color w:val="auto"/>
                <w:w w:val="96"/>
              </w:rPr>
              <w:t>38.2%</w:t>
            </w:r>
          </w:p>
        </w:tc>
        <w:tc>
          <w:tcPr>
            <w:tcW w:w="1540" w:type="dxa"/>
            <w:vAlign w:val="bottom"/>
            <w:tcBorders>
              <w:bottom w:val="single" w:sz="8" w:color="B2B2B2"/>
            </w:tcBorders>
          </w:tcPr>
          <w:p>
            <w:pPr>
              <w:jc w:val="center"/>
              <w:ind w:left="81"/>
              <w:spacing w:after="0" w:line="179" w:lineRule="exact"/>
              <w:rPr>
                <w:sz w:val="20"/>
                <w:szCs w:val="20"/>
                <w:color w:val="auto"/>
              </w:rPr>
            </w:pPr>
            <w:r>
              <w:rPr>
                <w:rFonts w:ascii="Arial" w:cs="Arial" w:eastAsia="Arial" w:hAnsi="Arial"/>
                <w:sz w:val="16"/>
                <w:szCs w:val="16"/>
                <w:color w:val="auto"/>
              </w:rPr>
              <w:t>~39%</w:t>
            </w:r>
          </w:p>
        </w:tc>
      </w:tr>
      <w:tr>
        <w:trPr>
          <w:trHeight w:val="179"/>
        </w:trPr>
        <w:tc>
          <w:tcPr>
            <w:tcW w:w="788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b w:val="1"/>
                <w:bCs w:val="1"/>
                <w:color w:val="auto"/>
              </w:rPr>
              <w:t>  Corporate costs</w:t>
            </w:r>
          </w:p>
        </w:tc>
        <w:tc>
          <w:tcPr>
            <w:tcW w:w="1380" w:type="dxa"/>
            <w:vAlign w:val="bottom"/>
            <w:tcBorders>
              <w:bottom w:val="single" w:sz="8" w:color="B2B2B2"/>
            </w:tcBorders>
          </w:tcPr>
          <w:p>
            <w:pPr>
              <w:jc w:val="center"/>
              <w:ind w:left="61"/>
              <w:spacing w:after="0" w:line="179" w:lineRule="exact"/>
              <w:rPr>
                <w:sz w:val="20"/>
                <w:szCs w:val="20"/>
                <w:color w:val="auto"/>
              </w:rPr>
            </w:pPr>
            <w:r>
              <w:rPr>
                <w:rFonts w:ascii="Arial" w:cs="Arial" w:eastAsia="Arial" w:hAnsi="Arial"/>
                <w:sz w:val="16"/>
                <w:szCs w:val="16"/>
                <w:color w:val="auto"/>
                <w:w w:val="98"/>
              </w:rPr>
              <w:t>$105 million</w:t>
            </w:r>
          </w:p>
        </w:tc>
        <w:tc>
          <w:tcPr>
            <w:tcW w:w="1540" w:type="dxa"/>
            <w:vAlign w:val="bottom"/>
            <w:tcBorders>
              <w:bottom w:val="single" w:sz="8" w:color="B2B2B2"/>
            </w:tcBorders>
          </w:tcPr>
          <w:p>
            <w:pPr>
              <w:jc w:val="center"/>
              <w:ind w:left="81"/>
              <w:spacing w:after="0" w:line="179" w:lineRule="exact"/>
              <w:rPr>
                <w:sz w:val="20"/>
                <w:szCs w:val="20"/>
                <w:color w:val="auto"/>
              </w:rPr>
            </w:pPr>
            <w:r>
              <w:rPr>
                <w:rFonts w:ascii="Arial" w:cs="Arial" w:eastAsia="Arial" w:hAnsi="Arial"/>
                <w:sz w:val="16"/>
                <w:szCs w:val="16"/>
                <w:color w:val="auto"/>
                <w:w w:val="99"/>
              </w:rPr>
              <w:t>$120 – $130 million</w:t>
            </w:r>
          </w:p>
        </w:tc>
      </w:tr>
      <w:tr>
        <w:trPr>
          <w:trHeight w:val="179"/>
        </w:trPr>
        <w:tc>
          <w:tcPr>
            <w:tcW w:w="788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b w:val="1"/>
                <w:bCs w:val="1"/>
                <w:color w:val="auto"/>
              </w:rPr>
              <w:t>  Free cash flow</w:t>
            </w:r>
            <w:r>
              <w:rPr>
                <w:rFonts w:ascii="Arial" w:cs="Arial" w:eastAsia="Arial" w:hAnsi="Arial"/>
                <w:sz w:val="19"/>
                <w:szCs w:val="19"/>
                <w:b w:val="1"/>
                <w:bCs w:val="1"/>
                <w:color w:val="auto"/>
                <w:vertAlign w:val="superscript"/>
              </w:rPr>
              <w:t>(1)</w:t>
            </w:r>
          </w:p>
        </w:tc>
        <w:tc>
          <w:tcPr>
            <w:tcW w:w="1380" w:type="dxa"/>
            <w:vAlign w:val="bottom"/>
            <w:tcBorders>
              <w:bottom w:val="single" w:sz="8" w:color="B2B2B2"/>
            </w:tcBorders>
          </w:tcPr>
          <w:p>
            <w:pPr>
              <w:jc w:val="center"/>
              <w:ind w:left="61"/>
              <w:spacing w:after="0" w:line="179" w:lineRule="exact"/>
              <w:rPr>
                <w:sz w:val="20"/>
                <w:szCs w:val="20"/>
                <w:color w:val="auto"/>
              </w:rPr>
            </w:pPr>
            <w:r>
              <w:rPr>
                <w:rFonts w:ascii="Arial" w:cs="Arial" w:eastAsia="Arial" w:hAnsi="Arial"/>
                <w:sz w:val="16"/>
                <w:szCs w:val="16"/>
                <w:color w:val="auto"/>
                <w:w w:val="99"/>
              </w:rPr>
              <w:t>$1.8 billion</w:t>
            </w:r>
          </w:p>
        </w:tc>
        <w:tc>
          <w:tcPr>
            <w:tcW w:w="1540" w:type="dxa"/>
            <w:vAlign w:val="bottom"/>
            <w:tcBorders>
              <w:bottom w:val="single" w:sz="8" w:color="B2B2B2"/>
            </w:tcBorders>
          </w:tcPr>
          <w:p>
            <w:pPr>
              <w:jc w:val="center"/>
              <w:ind w:left="81"/>
              <w:spacing w:after="0" w:line="179" w:lineRule="exact"/>
              <w:rPr>
                <w:sz w:val="20"/>
                <w:szCs w:val="20"/>
                <w:color w:val="auto"/>
              </w:rPr>
            </w:pPr>
            <w:r>
              <w:rPr>
                <w:rFonts w:ascii="Arial" w:cs="Arial" w:eastAsia="Arial" w:hAnsi="Arial"/>
                <w:sz w:val="16"/>
                <w:szCs w:val="16"/>
                <w:color w:val="auto"/>
              </w:rPr>
              <w:t>~$1.9 billion</w:t>
            </w:r>
          </w:p>
        </w:tc>
      </w:tr>
      <w:tr>
        <w:trPr>
          <w:trHeight w:val="179"/>
        </w:trPr>
        <w:tc>
          <w:tcPr>
            <w:tcW w:w="788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b w:val="1"/>
                <w:bCs w:val="1"/>
                <w:color w:val="auto"/>
              </w:rPr>
              <w:t>  Accrued capital expenditures as a percentage of revenues</w:t>
            </w:r>
            <w:r>
              <w:rPr>
                <w:rFonts w:ascii="Arial" w:cs="Arial" w:eastAsia="Arial" w:hAnsi="Arial"/>
                <w:sz w:val="19"/>
                <w:szCs w:val="19"/>
                <w:b w:val="1"/>
                <w:bCs w:val="1"/>
                <w:color w:val="auto"/>
                <w:vertAlign w:val="superscript"/>
              </w:rPr>
              <w:t>(1)</w:t>
            </w:r>
          </w:p>
        </w:tc>
        <w:tc>
          <w:tcPr>
            <w:tcW w:w="1380" w:type="dxa"/>
            <w:vAlign w:val="bottom"/>
            <w:tcBorders>
              <w:bottom w:val="single" w:sz="8" w:color="B2B2B2"/>
            </w:tcBorders>
          </w:tcPr>
          <w:p>
            <w:pPr>
              <w:jc w:val="center"/>
              <w:ind w:left="61"/>
              <w:spacing w:after="0" w:line="179" w:lineRule="exact"/>
              <w:rPr>
                <w:sz w:val="20"/>
                <w:szCs w:val="20"/>
                <w:color w:val="auto"/>
              </w:rPr>
            </w:pPr>
            <w:r>
              <w:rPr>
                <w:rFonts w:ascii="Arial" w:cs="Arial" w:eastAsia="Arial" w:hAnsi="Arial"/>
                <w:sz w:val="16"/>
                <w:szCs w:val="16"/>
                <w:color w:val="auto"/>
                <w:w w:val="98"/>
              </w:rPr>
              <w:t>8.4%</w:t>
            </w:r>
          </w:p>
        </w:tc>
        <w:tc>
          <w:tcPr>
            <w:tcW w:w="1540" w:type="dxa"/>
            <w:vAlign w:val="bottom"/>
            <w:tcBorders>
              <w:bottom w:val="single" w:sz="8" w:color="B2B2B2"/>
            </w:tcBorders>
          </w:tcPr>
          <w:p>
            <w:pPr>
              <w:jc w:val="center"/>
              <w:ind w:left="61"/>
              <w:spacing w:after="0" w:line="179" w:lineRule="exact"/>
              <w:rPr>
                <w:sz w:val="20"/>
                <w:szCs w:val="20"/>
                <w:color w:val="auto"/>
              </w:rPr>
            </w:pPr>
            <w:r>
              <w:rPr>
                <w:rFonts w:ascii="Arial" w:cs="Arial" w:eastAsia="Arial" w:hAnsi="Arial"/>
                <w:sz w:val="16"/>
                <w:szCs w:val="16"/>
                <w:color w:val="auto"/>
                <w:w w:val="98"/>
              </w:rPr>
              <w:t>~8%</w:t>
            </w:r>
          </w:p>
        </w:tc>
      </w:tr>
      <w:tr>
        <w:trPr>
          <w:trHeight w:val="165"/>
        </w:trPr>
        <w:tc>
          <w:tcPr>
            <w:tcW w:w="7880" w:type="dxa"/>
            <w:vAlign w:val="bottom"/>
          </w:tcPr>
          <w:p>
            <w:pPr>
              <w:spacing w:after="0" w:line="165" w:lineRule="exact"/>
              <w:rPr>
                <w:sz w:val="20"/>
                <w:szCs w:val="20"/>
                <w:color w:val="auto"/>
              </w:rPr>
            </w:pPr>
            <w:r>
              <w:rPr>
                <w:rFonts w:ascii="Arial" w:cs="Arial" w:eastAsia="Arial" w:hAnsi="Arial"/>
                <w:sz w:val="16"/>
                <w:szCs w:val="16"/>
                <w:b w:val="1"/>
                <w:bCs w:val="1"/>
                <w:color w:val="auto"/>
              </w:rPr>
              <w:t>  Depreciation and amortization of computer software</w:t>
            </w:r>
          </w:p>
        </w:tc>
        <w:tc>
          <w:tcPr>
            <w:tcW w:w="1380" w:type="dxa"/>
            <w:vAlign w:val="bottom"/>
          </w:tcPr>
          <w:p>
            <w:pPr>
              <w:jc w:val="center"/>
              <w:ind w:left="61"/>
              <w:spacing w:after="0" w:line="165" w:lineRule="exact"/>
              <w:rPr>
                <w:sz w:val="20"/>
                <w:szCs w:val="20"/>
                <w:color w:val="auto"/>
              </w:rPr>
            </w:pPr>
            <w:r>
              <w:rPr>
                <w:rFonts w:ascii="Arial" w:cs="Arial" w:eastAsia="Arial" w:hAnsi="Arial"/>
                <w:sz w:val="16"/>
                <w:szCs w:val="16"/>
                <w:color w:val="auto"/>
                <w:w w:val="98"/>
              </w:rPr>
              <w:t>$731 million</w:t>
            </w:r>
          </w:p>
        </w:tc>
        <w:tc>
          <w:tcPr>
            <w:tcW w:w="1540" w:type="dxa"/>
            <w:vAlign w:val="bottom"/>
          </w:tcPr>
          <w:p>
            <w:pPr>
              <w:jc w:val="center"/>
              <w:ind w:left="81"/>
              <w:spacing w:after="0" w:line="165" w:lineRule="exact"/>
              <w:rPr>
                <w:sz w:val="20"/>
                <w:szCs w:val="20"/>
                <w:color w:val="auto"/>
              </w:rPr>
            </w:pPr>
            <w:r>
              <w:rPr>
                <w:rFonts w:ascii="Arial" w:cs="Arial" w:eastAsia="Arial" w:hAnsi="Arial"/>
                <w:sz w:val="16"/>
                <w:szCs w:val="16"/>
                <w:color w:val="auto"/>
                <w:w w:val="99"/>
              </w:rPr>
              <w:t>$835 – $855 million</w:t>
            </w:r>
          </w:p>
        </w:tc>
      </w:tr>
      <w:tr>
        <w:trPr>
          <w:trHeight w:val="185"/>
        </w:trPr>
        <w:tc>
          <w:tcPr>
            <w:tcW w:w="7880" w:type="dxa"/>
            <w:vAlign w:val="bottom"/>
          </w:tcPr>
          <w:p>
            <w:pPr>
              <w:ind w:left="160"/>
              <w:spacing w:after="0"/>
              <w:rPr>
                <w:sz w:val="20"/>
                <w:szCs w:val="20"/>
                <w:color w:val="auto"/>
              </w:rPr>
            </w:pPr>
            <w:r>
              <w:rPr>
                <w:rFonts w:ascii="Arial" w:cs="Arial" w:eastAsia="Arial" w:hAnsi="Arial"/>
                <w:sz w:val="16"/>
                <w:szCs w:val="16"/>
                <w:b w:val="1"/>
                <w:bCs w:val="1"/>
                <w:color w:val="auto"/>
              </w:rPr>
              <w:t>Depreciation and amortization of internally developed software</w:t>
            </w:r>
          </w:p>
        </w:tc>
        <w:tc>
          <w:tcPr>
            <w:tcW w:w="1380" w:type="dxa"/>
            <w:vAlign w:val="bottom"/>
          </w:tcPr>
          <w:p>
            <w:pPr>
              <w:jc w:val="center"/>
              <w:ind w:left="61"/>
              <w:spacing w:after="0"/>
              <w:rPr>
                <w:sz w:val="20"/>
                <w:szCs w:val="20"/>
                <w:color w:val="auto"/>
              </w:rPr>
            </w:pPr>
            <w:r>
              <w:rPr>
                <w:rFonts w:ascii="Arial" w:cs="Arial" w:eastAsia="Arial" w:hAnsi="Arial"/>
                <w:sz w:val="16"/>
                <w:szCs w:val="16"/>
                <w:color w:val="auto"/>
                <w:w w:val="98"/>
              </w:rPr>
              <w:t>$584 million</w:t>
            </w:r>
          </w:p>
        </w:tc>
        <w:tc>
          <w:tcPr>
            <w:tcW w:w="1540" w:type="dxa"/>
            <w:vAlign w:val="bottom"/>
          </w:tcPr>
          <w:p>
            <w:pPr>
              <w:jc w:val="center"/>
              <w:ind w:left="81"/>
              <w:spacing w:after="0"/>
              <w:rPr>
                <w:sz w:val="20"/>
                <w:szCs w:val="20"/>
                <w:color w:val="auto"/>
              </w:rPr>
            </w:pPr>
            <w:r>
              <w:rPr>
                <w:rFonts w:ascii="Arial" w:cs="Arial" w:eastAsia="Arial" w:hAnsi="Arial"/>
                <w:sz w:val="16"/>
                <w:szCs w:val="16"/>
                <w:color w:val="auto"/>
                <w:w w:val="99"/>
              </w:rPr>
              <w:t>$635 – $655 million</w:t>
            </w:r>
          </w:p>
        </w:tc>
      </w:tr>
      <w:tr>
        <w:trPr>
          <w:trHeight w:val="213"/>
        </w:trPr>
        <w:tc>
          <w:tcPr>
            <w:tcW w:w="7880" w:type="dxa"/>
            <w:vAlign w:val="bottom"/>
            <w:tcBorders>
              <w:bottom w:val="single" w:sz="8" w:color="B2B2B2"/>
            </w:tcBorders>
          </w:tcPr>
          <w:p>
            <w:pPr>
              <w:ind w:left="160"/>
              <w:spacing w:after="0"/>
              <w:rPr>
                <w:sz w:val="20"/>
                <w:szCs w:val="20"/>
                <w:color w:val="auto"/>
              </w:rPr>
            </w:pPr>
            <w:r>
              <w:rPr>
                <w:rFonts w:ascii="Arial" w:cs="Arial" w:eastAsia="Arial" w:hAnsi="Arial"/>
                <w:sz w:val="16"/>
                <w:szCs w:val="16"/>
                <w:b w:val="1"/>
                <w:bCs w:val="1"/>
                <w:color w:val="auto"/>
              </w:rPr>
              <w:t> Amortization of acquired software</w:t>
            </w:r>
          </w:p>
        </w:tc>
        <w:tc>
          <w:tcPr>
            <w:tcW w:w="1380" w:type="dxa"/>
            <w:vAlign w:val="bottom"/>
            <w:tcBorders>
              <w:bottom w:val="single" w:sz="8" w:color="B2B2B2"/>
            </w:tcBorders>
          </w:tcPr>
          <w:p>
            <w:pPr>
              <w:jc w:val="center"/>
              <w:ind w:left="61"/>
              <w:spacing w:after="0"/>
              <w:rPr>
                <w:sz w:val="20"/>
                <w:szCs w:val="20"/>
                <w:color w:val="auto"/>
              </w:rPr>
            </w:pPr>
            <w:r>
              <w:rPr>
                <w:rFonts w:ascii="Arial" w:cs="Arial" w:eastAsia="Arial" w:hAnsi="Arial"/>
                <w:sz w:val="16"/>
                <w:szCs w:val="16"/>
                <w:color w:val="auto"/>
                <w:w w:val="98"/>
              </w:rPr>
              <w:t>$147 million</w:t>
            </w:r>
          </w:p>
        </w:tc>
        <w:tc>
          <w:tcPr>
            <w:tcW w:w="1540" w:type="dxa"/>
            <w:vAlign w:val="bottom"/>
            <w:tcBorders>
              <w:bottom w:val="single" w:sz="8" w:color="B2B2B2"/>
            </w:tcBorders>
          </w:tcPr>
          <w:p>
            <w:pPr>
              <w:jc w:val="center"/>
              <w:ind w:left="81"/>
              <w:spacing w:after="0"/>
              <w:rPr>
                <w:sz w:val="20"/>
                <w:szCs w:val="20"/>
                <w:color w:val="auto"/>
              </w:rPr>
            </w:pPr>
            <w:r>
              <w:rPr>
                <w:rFonts w:ascii="Arial" w:cs="Arial" w:eastAsia="Arial" w:hAnsi="Arial"/>
                <w:sz w:val="16"/>
                <w:szCs w:val="16"/>
                <w:color w:val="auto"/>
                <w:w w:val="99"/>
              </w:rPr>
              <w:t>~$200 million</w:t>
            </w:r>
          </w:p>
        </w:tc>
      </w:tr>
      <w:tr>
        <w:trPr>
          <w:trHeight w:val="179"/>
        </w:trPr>
        <w:tc>
          <w:tcPr>
            <w:tcW w:w="788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b w:val="1"/>
                <w:bCs w:val="1"/>
                <w:color w:val="auto"/>
              </w:rPr>
              <w:t>  Interest expense</w:t>
            </w:r>
          </w:p>
        </w:tc>
        <w:tc>
          <w:tcPr>
            <w:tcW w:w="1380" w:type="dxa"/>
            <w:vAlign w:val="bottom"/>
            <w:tcBorders>
              <w:bottom w:val="single" w:sz="8" w:color="B2B2B2"/>
            </w:tcBorders>
          </w:tcPr>
          <w:p>
            <w:pPr>
              <w:jc w:val="center"/>
              <w:ind w:left="61"/>
              <w:spacing w:after="0" w:line="179" w:lineRule="exact"/>
              <w:rPr>
                <w:sz w:val="20"/>
                <w:szCs w:val="20"/>
                <w:color w:val="auto"/>
              </w:rPr>
            </w:pPr>
            <w:r>
              <w:rPr>
                <w:rFonts w:ascii="Arial" w:cs="Arial" w:eastAsia="Arial" w:hAnsi="Arial"/>
                <w:sz w:val="16"/>
                <w:szCs w:val="16"/>
                <w:color w:val="auto"/>
                <w:w w:val="98"/>
              </w:rPr>
              <w:t>$125 million</w:t>
            </w:r>
          </w:p>
        </w:tc>
        <w:tc>
          <w:tcPr>
            <w:tcW w:w="1540" w:type="dxa"/>
            <w:vAlign w:val="bottom"/>
            <w:tcBorders>
              <w:bottom w:val="single" w:sz="8" w:color="B2B2B2"/>
            </w:tcBorders>
          </w:tcPr>
          <w:p>
            <w:pPr>
              <w:jc w:val="center"/>
              <w:ind w:left="81"/>
              <w:spacing w:after="0" w:line="179" w:lineRule="exact"/>
              <w:rPr>
                <w:sz w:val="20"/>
                <w:szCs w:val="20"/>
                <w:color w:val="auto"/>
              </w:rPr>
            </w:pPr>
            <w:r>
              <w:rPr>
                <w:rFonts w:ascii="Arial" w:cs="Arial" w:eastAsia="Arial" w:hAnsi="Arial"/>
                <w:sz w:val="16"/>
                <w:szCs w:val="16"/>
                <w:color w:val="auto"/>
                <w:w w:val="99"/>
              </w:rPr>
              <w:t>~$150 million</w:t>
            </w:r>
          </w:p>
        </w:tc>
      </w:tr>
      <w:tr>
        <w:trPr>
          <w:trHeight w:val="179"/>
        </w:trPr>
        <w:tc>
          <w:tcPr>
            <w:tcW w:w="788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b w:val="1"/>
                <w:bCs w:val="1"/>
                <w:color w:val="auto"/>
              </w:rPr>
              <w:t>  Effective tax rate on adjusted earnings</w:t>
            </w:r>
            <w:r>
              <w:rPr>
                <w:rFonts w:ascii="Arial" w:cs="Arial" w:eastAsia="Arial" w:hAnsi="Arial"/>
                <w:sz w:val="19"/>
                <w:szCs w:val="19"/>
                <w:b w:val="1"/>
                <w:bCs w:val="1"/>
                <w:color w:val="auto"/>
                <w:vertAlign w:val="superscript"/>
              </w:rPr>
              <w:t>(1)</w:t>
            </w:r>
          </w:p>
        </w:tc>
        <w:tc>
          <w:tcPr>
            <w:tcW w:w="1380" w:type="dxa"/>
            <w:vAlign w:val="bottom"/>
            <w:tcBorders>
              <w:bottom w:val="single" w:sz="8" w:color="B2B2B2"/>
            </w:tcBorders>
          </w:tcPr>
          <w:p>
            <w:pPr>
              <w:jc w:val="center"/>
              <w:ind w:left="61"/>
              <w:spacing w:after="0" w:line="179" w:lineRule="exact"/>
              <w:rPr>
                <w:sz w:val="20"/>
                <w:szCs w:val="20"/>
                <w:color w:val="auto"/>
              </w:rPr>
            </w:pPr>
            <w:r>
              <w:rPr>
                <w:rFonts w:ascii="Arial" w:cs="Arial" w:eastAsia="Arial" w:hAnsi="Arial"/>
                <w:sz w:val="16"/>
                <w:szCs w:val="16"/>
                <w:color w:val="auto"/>
                <w:w w:val="96"/>
              </w:rPr>
              <w:t>17.6%</w:t>
            </w:r>
          </w:p>
        </w:tc>
        <w:tc>
          <w:tcPr>
            <w:tcW w:w="1540" w:type="dxa"/>
            <w:vAlign w:val="bottom"/>
            <w:tcBorders>
              <w:bottom w:val="single" w:sz="8" w:color="B2B2B2"/>
            </w:tcBorders>
          </w:tcPr>
          <w:p>
            <w:pPr>
              <w:jc w:val="center"/>
              <w:ind w:left="81"/>
              <w:spacing w:after="0" w:line="179" w:lineRule="exact"/>
              <w:rPr>
                <w:sz w:val="20"/>
                <w:szCs w:val="20"/>
                <w:color w:val="auto"/>
              </w:rPr>
            </w:pPr>
            <w:r>
              <w:rPr>
                <w:rFonts w:ascii="Arial" w:cs="Arial" w:eastAsia="Arial" w:hAnsi="Arial"/>
                <w:sz w:val="16"/>
                <w:szCs w:val="16"/>
                <w:color w:val="auto"/>
              </w:rPr>
              <w:t>~19%</w:t>
            </w:r>
          </w:p>
        </w:tc>
      </w:tr>
      <w:tr>
        <w:trPr>
          <w:trHeight w:val="46"/>
        </w:trPr>
        <w:tc>
          <w:tcPr>
            <w:tcW w:w="7880" w:type="dxa"/>
            <w:vAlign w:val="bottom"/>
          </w:tcPr>
          <w:p>
            <w:pPr>
              <w:spacing w:after="0"/>
              <w:rPr>
                <w:sz w:val="4"/>
                <w:szCs w:val="4"/>
                <w:color w:val="auto"/>
              </w:rPr>
            </w:pPr>
          </w:p>
        </w:tc>
        <w:tc>
          <w:tcPr>
            <w:tcW w:w="1380" w:type="dxa"/>
            <w:vAlign w:val="bottom"/>
            <w:shd w:val="clear" w:color="auto" w:fill="1F473D"/>
          </w:tcPr>
          <w:p>
            <w:pPr>
              <w:spacing w:after="0"/>
              <w:rPr>
                <w:sz w:val="4"/>
                <w:szCs w:val="4"/>
                <w:color w:val="auto"/>
              </w:rPr>
            </w:pPr>
          </w:p>
        </w:tc>
        <w:tc>
          <w:tcPr>
            <w:tcW w:w="1540" w:type="dxa"/>
            <w:vAlign w:val="bottom"/>
            <w:shd w:val="clear" w:color="auto" w:fill="1F473D"/>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-41275</wp:posOffset>
            </wp:positionV>
            <wp:extent cx="5006340" cy="1600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006340" cy="160020"/>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185"/>
        </w:trPr>
        <w:tc>
          <w:tcPr>
            <w:tcW w:w="7880" w:type="dxa"/>
            <w:vAlign w:val="bottom"/>
          </w:tcPr>
          <w:p>
            <w:pPr>
              <w:spacing w:after="0" w:line="185" w:lineRule="exact"/>
              <w:rPr>
                <w:sz w:val="20"/>
                <w:szCs w:val="20"/>
                <w:color w:val="auto"/>
              </w:rPr>
            </w:pPr>
            <w:r>
              <w:rPr>
                <w:rFonts w:ascii="Arial" w:cs="Arial" w:eastAsia="Arial" w:hAnsi="Arial"/>
                <w:sz w:val="16"/>
                <w:szCs w:val="16"/>
                <w:b w:val="1"/>
                <w:bCs w:val="1"/>
                <w:color w:val="FFFFFF"/>
              </w:rPr>
              <w:t>  “Big 3” Segments</w:t>
            </w:r>
            <w:r>
              <w:rPr>
                <w:rFonts w:ascii="Arial" w:cs="Arial" w:eastAsia="Arial" w:hAnsi="Arial"/>
                <w:sz w:val="19"/>
                <w:szCs w:val="19"/>
                <w:b w:val="1"/>
                <w:bCs w:val="1"/>
                <w:color w:val="FFFFFF"/>
                <w:vertAlign w:val="superscript"/>
              </w:rPr>
              <w:t>(1)</w:t>
            </w:r>
          </w:p>
        </w:tc>
        <w:tc>
          <w:tcPr>
            <w:tcW w:w="1460" w:type="dxa"/>
            <w:vAlign w:val="bottom"/>
            <w:shd w:val="clear" w:color="auto" w:fill="1F473D"/>
          </w:tcPr>
          <w:p>
            <w:pPr>
              <w:ind w:left="320"/>
              <w:spacing w:after="0"/>
              <w:rPr>
                <w:sz w:val="20"/>
                <w:szCs w:val="20"/>
                <w:color w:val="auto"/>
              </w:rPr>
            </w:pPr>
            <w:r>
              <w:rPr>
                <w:rFonts w:ascii="Arial" w:cs="Arial" w:eastAsia="Arial" w:hAnsi="Arial"/>
                <w:sz w:val="16"/>
                <w:szCs w:val="16"/>
                <w:b w:val="1"/>
                <w:bCs w:val="1"/>
                <w:color w:val="FFFFFF"/>
              </w:rPr>
              <w:t>2024 Actual</w:t>
            </w:r>
          </w:p>
        </w:tc>
        <w:tc>
          <w:tcPr>
            <w:tcW w:w="1460" w:type="dxa"/>
            <w:vAlign w:val="bottom"/>
            <w:shd w:val="clear" w:color="auto" w:fill="1F473D"/>
          </w:tcPr>
          <w:p>
            <w:pPr>
              <w:ind w:left="260"/>
              <w:spacing w:after="0"/>
              <w:rPr>
                <w:sz w:val="20"/>
                <w:szCs w:val="20"/>
                <w:color w:val="auto"/>
              </w:rPr>
            </w:pPr>
            <w:r>
              <w:rPr>
                <w:rFonts w:ascii="Arial" w:cs="Arial" w:eastAsia="Arial" w:hAnsi="Arial"/>
                <w:sz w:val="16"/>
                <w:szCs w:val="16"/>
                <w:b w:val="1"/>
                <w:bCs w:val="1"/>
                <w:color w:val="FFFFFF"/>
              </w:rPr>
              <w:t>2025 Outlook</w:t>
            </w:r>
          </w:p>
        </w:tc>
      </w:tr>
      <w:tr>
        <w:trPr>
          <w:trHeight w:val="178"/>
        </w:trPr>
        <w:tc>
          <w:tcPr>
            <w:tcW w:w="7880" w:type="dxa"/>
            <w:vAlign w:val="bottom"/>
          </w:tcPr>
          <w:p>
            <w:pPr>
              <w:spacing w:after="0" w:line="178" w:lineRule="exact"/>
              <w:rPr>
                <w:sz w:val="20"/>
                <w:szCs w:val="20"/>
                <w:color w:val="auto"/>
              </w:rPr>
            </w:pPr>
            <w:r>
              <w:rPr>
                <w:rFonts w:ascii="Arial" w:cs="Arial" w:eastAsia="Arial" w:hAnsi="Arial"/>
                <w:sz w:val="16"/>
                <w:szCs w:val="16"/>
                <w:b w:val="1"/>
                <w:bCs w:val="1"/>
                <w:color w:val="auto"/>
              </w:rPr>
              <w:t>  Revenue growth</w:t>
            </w:r>
          </w:p>
        </w:tc>
        <w:tc>
          <w:tcPr>
            <w:tcW w:w="1460" w:type="dxa"/>
            <w:vAlign w:val="bottom"/>
          </w:tcPr>
          <w:p>
            <w:pPr>
              <w:jc w:val="center"/>
              <w:spacing w:after="0" w:line="178" w:lineRule="exact"/>
              <w:rPr>
                <w:sz w:val="20"/>
                <w:szCs w:val="20"/>
                <w:color w:val="auto"/>
              </w:rPr>
            </w:pPr>
            <w:r>
              <w:rPr>
                <w:rFonts w:ascii="Arial" w:cs="Arial" w:eastAsia="Arial" w:hAnsi="Arial"/>
                <w:sz w:val="16"/>
                <w:szCs w:val="16"/>
                <w:color w:val="auto"/>
              </w:rPr>
              <w:t>8%</w:t>
            </w:r>
          </w:p>
        </w:tc>
        <w:tc>
          <w:tcPr>
            <w:tcW w:w="1460" w:type="dxa"/>
            <w:vAlign w:val="bottom"/>
          </w:tcPr>
          <w:p>
            <w:pPr>
              <w:jc w:val="center"/>
              <w:spacing w:after="0" w:line="178" w:lineRule="exact"/>
              <w:rPr>
                <w:sz w:val="20"/>
                <w:szCs w:val="20"/>
                <w:color w:val="auto"/>
              </w:rPr>
            </w:pPr>
            <w:r>
              <w:rPr>
                <w:rFonts w:ascii="Arial" w:cs="Arial" w:eastAsia="Arial" w:hAnsi="Arial"/>
                <w:sz w:val="16"/>
                <w:szCs w:val="16"/>
                <w:color w:val="auto"/>
                <w:w w:val="98"/>
              </w:rPr>
              <w:t>~4%</w:t>
            </w:r>
          </w:p>
        </w:tc>
      </w:tr>
      <w:tr>
        <w:trPr>
          <w:trHeight w:val="180"/>
        </w:trPr>
        <w:tc>
          <w:tcPr>
            <w:tcW w:w="7880" w:type="dxa"/>
            <w:vAlign w:val="bottom"/>
            <w:tcBorders>
              <w:bottom w:val="single" w:sz="8" w:color="B2B2B2"/>
            </w:tcBorders>
          </w:tcPr>
          <w:p>
            <w:pPr>
              <w:ind w:left="160"/>
              <w:spacing w:after="0"/>
              <w:rPr>
                <w:sz w:val="20"/>
                <w:szCs w:val="20"/>
                <w:color w:val="auto"/>
              </w:rPr>
            </w:pPr>
            <w:r>
              <w:rPr>
                <w:rFonts w:ascii="Arial" w:cs="Arial" w:eastAsia="Arial" w:hAnsi="Arial"/>
                <w:sz w:val="14"/>
                <w:szCs w:val="14"/>
                <w:b w:val="1"/>
                <w:bCs w:val="1"/>
                <w:i w:val="1"/>
                <w:iCs w:val="1"/>
                <w:color w:val="auto"/>
              </w:rPr>
              <w:t>Organic revenue growth</w:t>
            </w:r>
          </w:p>
        </w:tc>
        <w:tc>
          <w:tcPr>
            <w:tcW w:w="1460" w:type="dxa"/>
            <w:vAlign w:val="bottom"/>
            <w:tcBorders>
              <w:bottom w:val="single" w:sz="8" w:color="B2B2B2"/>
            </w:tcBorders>
          </w:tcPr>
          <w:p>
            <w:pPr>
              <w:jc w:val="center"/>
              <w:spacing w:after="0"/>
              <w:rPr>
                <w:sz w:val="20"/>
                <w:szCs w:val="20"/>
                <w:color w:val="auto"/>
              </w:rPr>
            </w:pPr>
            <w:r>
              <w:rPr>
                <w:rFonts w:ascii="Arial" w:cs="Arial" w:eastAsia="Arial" w:hAnsi="Arial"/>
                <w:sz w:val="14"/>
                <w:szCs w:val="14"/>
                <w:i w:val="1"/>
                <w:iCs w:val="1"/>
                <w:color w:val="auto"/>
                <w:w w:val="98"/>
              </w:rPr>
              <w:t>9%</w:t>
            </w:r>
          </w:p>
        </w:tc>
        <w:tc>
          <w:tcPr>
            <w:tcW w:w="1460" w:type="dxa"/>
            <w:vAlign w:val="bottom"/>
            <w:tcBorders>
              <w:bottom w:val="single" w:sz="8" w:color="B2B2B2"/>
            </w:tcBorders>
          </w:tcPr>
          <w:p>
            <w:pPr>
              <w:jc w:val="center"/>
              <w:ind w:left="3"/>
              <w:spacing w:after="0"/>
              <w:rPr>
                <w:sz w:val="20"/>
                <w:szCs w:val="20"/>
                <w:color w:val="auto"/>
              </w:rPr>
            </w:pPr>
            <w:r>
              <w:rPr>
                <w:rFonts w:ascii="Arial" w:cs="Arial" w:eastAsia="Arial" w:hAnsi="Arial"/>
                <w:sz w:val="14"/>
                <w:szCs w:val="14"/>
                <w:i w:val="1"/>
                <w:iCs w:val="1"/>
                <w:color w:val="auto"/>
              </w:rPr>
              <w:t>~9%</w:t>
            </w:r>
          </w:p>
        </w:tc>
      </w:tr>
      <w:tr>
        <w:trPr>
          <w:trHeight w:val="185"/>
        </w:trPr>
        <w:tc>
          <w:tcPr>
            <w:tcW w:w="788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b w:val="1"/>
                <w:bCs w:val="1"/>
                <w:color w:val="auto"/>
              </w:rPr>
              <w:t>  Adjusted EBITDA margin</w:t>
            </w:r>
          </w:p>
        </w:tc>
        <w:tc>
          <w:tcPr>
            <w:tcW w:w="1460" w:type="dxa"/>
            <w:vAlign w:val="bottom"/>
            <w:tcBorders>
              <w:bottom w:val="single" w:sz="8" w:color="D64000"/>
            </w:tcBorders>
          </w:tcPr>
          <w:p>
            <w:pPr>
              <w:jc w:val="center"/>
              <w:spacing w:after="0" w:line="179" w:lineRule="exact"/>
              <w:rPr>
                <w:sz w:val="20"/>
                <w:szCs w:val="20"/>
                <w:color w:val="auto"/>
              </w:rPr>
            </w:pPr>
            <w:r>
              <w:rPr>
                <w:rFonts w:ascii="Arial" w:cs="Arial" w:eastAsia="Arial" w:hAnsi="Arial"/>
                <w:sz w:val="16"/>
                <w:szCs w:val="16"/>
                <w:color w:val="auto"/>
                <w:w w:val="96"/>
              </w:rPr>
              <w:t>42.1%</w:t>
            </w:r>
          </w:p>
        </w:tc>
        <w:tc>
          <w:tcPr>
            <w:tcW w:w="1460" w:type="dxa"/>
            <w:vAlign w:val="bottom"/>
            <w:tcBorders>
              <w:bottom w:val="single" w:sz="8" w:color="D64000"/>
            </w:tcBorders>
          </w:tcPr>
          <w:p>
            <w:pPr>
              <w:jc w:val="center"/>
              <w:ind w:left="3"/>
              <w:spacing w:after="0" w:line="179" w:lineRule="exact"/>
              <w:rPr>
                <w:sz w:val="20"/>
                <w:szCs w:val="20"/>
                <w:color w:val="auto"/>
              </w:rPr>
            </w:pPr>
            <w:r>
              <w:rPr>
                <w:rFonts w:ascii="Arial" w:cs="Arial" w:eastAsia="Arial" w:hAnsi="Arial"/>
                <w:sz w:val="16"/>
                <w:szCs w:val="16"/>
                <w:color w:val="auto"/>
              </w:rPr>
              <w:t>~43%</w:t>
            </w:r>
          </w:p>
        </w:tc>
      </w:tr>
    </w:tbl>
    <w:p>
      <w:pPr>
        <w:spacing w:after="0" w:line="83" w:lineRule="exact"/>
        <w:rPr>
          <w:sz w:val="20"/>
          <w:szCs w:val="20"/>
          <w:color w:val="auto"/>
        </w:rPr>
      </w:pPr>
    </w:p>
    <w:p>
      <w:pPr>
        <w:ind w:left="640" w:right="560" w:hanging="422"/>
        <w:spacing w:after="0" w:line="247" w:lineRule="auto"/>
        <w:tabs>
          <w:tab w:leader="none" w:pos="6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Non-IFRS financial measures. Refer to Appendices A and B of this management’s discussion and analysis for additional information and reconciliations of our non-IFRS financial measures to the most directly comparable IFRS financial measures.</w:t>
      </w:r>
    </w:p>
    <w:p>
      <w:pPr>
        <w:ind w:left="640" w:hanging="422"/>
        <w:spacing w:after="0"/>
        <w:tabs>
          <w:tab w:leader="none" w:pos="6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Total revenue growth reflects the impact of the divestitures of FindLaw and other non-core businesses in December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96520</wp:posOffset>
            </wp:positionV>
            <wp:extent cx="68656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63"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53</w:t>
      </w:r>
    </w:p>
    <w:p>
      <w:pPr>
        <w:sectPr>
          <w:pgSz w:w="11900" w:h="16838" w:orient="portrait"/>
          <w:cols w:equalWidth="0" w:num="1">
            <w:col w:w="11040"/>
          </w:cols>
          <w:pgMar w:left="320" w:top="477" w:right="5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For the first quarter of 2025, we expect total company:</w:t>
      </w:r>
    </w:p>
    <w:p>
      <w:pPr>
        <w:spacing w:after="0" w:line="83" w:lineRule="exact"/>
        <w:rPr>
          <w:sz w:val="20"/>
          <w:szCs w:val="20"/>
          <w:color w:val="auto"/>
        </w:rPr>
      </w:pPr>
    </w:p>
    <w:p>
      <w:pPr>
        <w:ind w:left="640" w:hanging="422"/>
        <w:spacing w:after="0"/>
        <w:tabs>
          <w:tab w:leader="none" w:pos="640" w:val="left"/>
        </w:tabs>
        <w:numPr>
          <w:ilvl w:val="0"/>
          <w:numId w:val="63"/>
        </w:numPr>
        <w:rPr>
          <w:rFonts w:ascii="Arial" w:cs="Arial" w:eastAsia="Arial" w:hAnsi="Arial"/>
          <w:sz w:val="17"/>
          <w:szCs w:val="17"/>
          <w:color w:val="D64000"/>
        </w:rPr>
      </w:pPr>
      <w:r>
        <w:rPr>
          <w:rFonts w:ascii="Arial" w:cs="Arial" w:eastAsia="Arial" w:hAnsi="Arial"/>
          <w:sz w:val="17"/>
          <w:szCs w:val="17"/>
          <w:color w:val="auto"/>
        </w:rPr>
        <w:t>Organic revenue growth to be in the range of 5% to 6%; and</w:t>
      </w:r>
    </w:p>
    <w:p>
      <w:pPr>
        <w:spacing w:after="0" w:line="6" w:lineRule="exact"/>
        <w:rPr>
          <w:rFonts w:ascii="Arial" w:cs="Arial" w:eastAsia="Arial" w:hAnsi="Arial"/>
          <w:sz w:val="17"/>
          <w:szCs w:val="17"/>
          <w:color w:val="D64000"/>
        </w:rPr>
      </w:pPr>
    </w:p>
    <w:p>
      <w:pPr>
        <w:ind w:left="640" w:hanging="422"/>
        <w:spacing w:after="0"/>
        <w:tabs>
          <w:tab w:leader="none" w:pos="640" w:val="left"/>
        </w:tabs>
        <w:numPr>
          <w:ilvl w:val="0"/>
          <w:numId w:val="63"/>
        </w:numPr>
        <w:rPr>
          <w:rFonts w:ascii="Arial" w:cs="Arial" w:eastAsia="Arial" w:hAnsi="Arial"/>
          <w:sz w:val="17"/>
          <w:szCs w:val="17"/>
          <w:color w:val="D64000"/>
        </w:rPr>
      </w:pPr>
      <w:r>
        <w:rPr>
          <w:rFonts w:ascii="Arial" w:cs="Arial" w:eastAsia="Arial" w:hAnsi="Arial"/>
          <w:sz w:val="17"/>
          <w:szCs w:val="17"/>
          <w:color w:val="auto"/>
        </w:rPr>
        <w:t>Adjusted EBITDA margin to be approximately 40%.</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7"/>
          <w:szCs w:val="17"/>
          <w:b w:val="1"/>
          <w:bCs w:val="1"/>
          <w:u w:val="single" w:color="auto"/>
          <w:color w:val="auto"/>
        </w:rPr>
        <w:t>2026 Financial Framework</w:t>
      </w:r>
    </w:p>
    <w:p>
      <w:pPr>
        <w:spacing w:after="0" w:line="70" w:lineRule="exact"/>
        <w:rPr>
          <w:sz w:val="20"/>
          <w:szCs w:val="20"/>
          <w:color w:val="auto"/>
        </w:rPr>
      </w:pPr>
    </w:p>
    <w:p>
      <w:pPr>
        <w:ind w:left="220" w:right="220"/>
        <w:spacing w:after="0" w:line="243" w:lineRule="auto"/>
        <w:rPr>
          <w:sz w:val="20"/>
          <w:szCs w:val="20"/>
          <w:color w:val="auto"/>
        </w:rPr>
      </w:pPr>
      <w:r>
        <w:rPr>
          <w:rFonts w:ascii="Arial" w:cs="Arial" w:eastAsia="Arial" w:hAnsi="Arial"/>
          <w:sz w:val="17"/>
          <w:szCs w:val="17"/>
          <w:color w:val="auto"/>
        </w:rPr>
        <w:t>For 2026, we target an organic revenue growth range of 7.5% - 8.0%, driven by approximately 9.5% growth for the “Big 3” segments. We target adjusted EBITDA margin expansion by at least 50bp. We anticipate accrued capital expenditures as a percentage of revenues to be approximately 8%, free cash flow to range from $2.0 - $2.1 billion and effective tax rate on adjusted earnings to be approximately 19%.</w:t>
      </w:r>
    </w:p>
    <w:p>
      <w:pPr>
        <w:spacing w:after="0" w:line="55" w:lineRule="exact"/>
        <w:rPr>
          <w:sz w:val="20"/>
          <w:szCs w:val="20"/>
          <w:color w:val="auto"/>
        </w:rPr>
      </w:pPr>
    </w:p>
    <w:p>
      <w:pPr>
        <w:ind w:left="220" w:right="60"/>
        <w:spacing w:after="0" w:line="260" w:lineRule="auto"/>
        <w:rPr>
          <w:sz w:val="20"/>
          <w:szCs w:val="20"/>
          <w:color w:val="auto"/>
        </w:rPr>
      </w:pPr>
      <w:r>
        <w:rPr>
          <w:rFonts w:ascii="Arial" w:cs="Arial" w:eastAsia="Arial" w:hAnsi="Arial"/>
          <w:sz w:val="17"/>
          <w:szCs w:val="17"/>
          <w:color w:val="auto"/>
        </w:rPr>
        <w:t>This financial framework assumes constant currency rates relative to 2024 and incorporates our January 2025 SafeSend acquisition but excludes the impact of any future acquisitions or dispositions that may occur during this time horizon.</w:t>
      </w:r>
    </w:p>
    <w:p>
      <w:pPr>
        <w:spacing w:after="0" w:line="40" w:lineRule="exact"/>
        <w:rPr>
          <w:sz w:val="20"/>
          <w:szCs w:val="20"/>
          <w:color w:val="auto"/>
        </w:rPr>
      </w:pPr>
    </w:p>
    <w:p>
      <w:pPr>
        <w:ind w:left="220" w:right="80"/>
        <w:spacing w:after="0" w:line="260" w:lineRule="auto"/>
        <w:rPr>
          <w:sz w:val="20"/>
          <w:szCs w:val="20"/>
          <w:color w:val="auto"/>
        </w:rPr>
      </w:pPr>
      <w:r>
        <w:rPr>
          <w:rFonts w:ascii="Arial" w:cs="Arial" w:eastAsia="Arial" w:hAnsi="Arial"/>
          <w:sz w:val="17"/>
          <w:szCs w:val="17"/>
          <w:color w:val="auto"/>
        </w:rPr>
        <w:t>The following table summarizes our material assumptions and risks that may cause actual performance to differ from our expectations underlying our 2025 financial outlook and 2026 financial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132080</wp:posOffset>
            </wp:positionV>
            <wp:extent cx="6865620" cy="1600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65620" cy="160020"/>
                    </a:xfrm>
                    <a:prstGeom prst="rect">
                      <a:avLst/>
                    </a:prstGeom>
                    <a:noFill/>
                  </pic:spPr>
                </pic:pic>
              </a:graphicData>
            </a:graphic>
          </wp:anchor>
        </w:drawing>
      </w:r>
    </w:p>
    <w:p>
      <w:pPr>
        <w:spacing w:after="0" w:line="24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Revenues</w:t>
      </w:r>
    </w:p>
    <w:p>
      <w:pPr>
        <w:spacing w:after="0" w:line="36" w:lineRule="exact"/>
        <w:rPr>
          <w:sz w:val="20"/>
          <w:szCs w:val="20"/>
          <w:color w:val="auto"/>
        </w:rPr>
      </w:pPr>
    </w:p>
    <w:tbl>
      <w:tblPr>
        <w:tblLayout w:type="fixed"/>
        <w:tblInd w:w="220" w:type="dxa"/>
        <w:tblCellMar>
          <w:top w:w="0" w:type="dxa"/>
          <w:left w:w="0" w:type="dxa"/>
          <w:bottom w:w="0" w:type="dxa"/>
          <w:right w:w="0" w:type="dxa"/>
        </w:tblCellMar>
      </w:tblPr>
      <w:tr>
        <w:trPr>
          <w:trHeight w:val="225"/>
        </w:trPr>
        <w:tc>
          <w:tcPr>
            <w:tcW w:w="546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b w:val="1"/>
                <w:bCs w:val="1"/>
                <w:color w:val="FFFFFF"/>
              </w:rPr>
              <w:t>Material assumptions</w:t>
            </w:r>
          </w:p>
        </w:tc>
        <w:tc>
          <w:tcPr>
            <w:tcW w:w="5340" w:type="dxa"/>
            <w:vAlign w:val="bottom"/>
            <w:tcBorders>
              <w:bottom w:val="single" w:sz="8" w:color="D64000"/>
            </w:tcBorders>
            <w:shd w:val="clear" w:color="auto" w:fill="1F473D"/>
          </w:tcPr>
          <w:p>
            <w:pPr>
              <w:ind w:left="200"/>
              <w:spacing w:after="0"/>
              <w:rPr>
                <w:sz w:val="20"/>
                <w:szCs w:val="20"/>
                <w:color w:val="auto"/>
              </w:rPr>
            </w:pPr>
            <w:r>
              <w:rPr>
                <w:rFonts w:ascii="Arial" w:cs="Arial" w:eastAsia="Arial" w:hAnsi="Arial"/>
                <w:sz w:val="16"/>
                <w:szCs w:val="16"/>
                <w:b w:val="1"/>
                <w:bCs w:val="1"/>
                <w:color w:val="FFFFFF"/>
              </w:rPr>
              <w:t>Material risks</w:t>
            </w:r>
          </w:p>
        </w:tc>
      </w:tr>
    </w:tbl>
    <w:p>
      <w:pPr>
        <w:spacing w:after="0" w:line="1" w:lineRule="exact"/>
        <w:rPr>
          <w:sz w:val="20"/>
          <w:szCs w:val="20"/>
          <w:color w:val="auto"/>
        </w:rPr>
      </w:pPr>
    </w:p>
    <w:p>
      <w:pPr>
        <w:sectPr>
          <w:pgSz w:w="11900" w:h="16838" w:orient="portrait"/>
          <w:cols w:equalWidth="0" w:num="1">
            <w:col w:w="11040"/>
          </w:cols>
          <w:pgMar w:left="320" w:top="477" w:right="539" w:bottom="1440" w:gutter="0" w:footer="0" w:header="0"/>
        </w:sectPr>
      </w:pPr>
    </w:p>
    <w:p>
      <w:pPr>
        <w:ind w:left="540" w:right="220" w:hanging="317"/>
        <w:spacing w:after="0" w:line="243" w:lineRule="auto"/>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Uncertain macroeconomic and geopolitical conditions will continue to</w:t>
      </w:r>
      <w:r>
        <w:rPr>
          <w:rFonts w:ascii="Arial" w:cs="Arial" w:eastAsia="Arial" w:hAnsi="Arial"/>
          <w:sz w:val="16"/>
          <w:szCs w:val="16"/>
          <w:color w:val="D64000"/>
        </w:rPr>
        <w:t xml:space="preserve"> </w:t>
      </w:r>
      <w:r>
        <w:rPr>
          <w:rFonts w:ascii="Arial" w:cs="Arial" w:eastAsia="Arial" w:hAnsi="Arial"/>
          <w:sz w:val="16"/>
          <w:szCs w:val="16"/>
          <w:color w:val="000000"/>
        </w:rPr>
        <w:t>disrupt the economy and cause periods of volatility</w:t>
      </w:r>
    </w:p>
    <w:p>
      <w:pPr>
        <w:ind w:left="540" w:hanging="317"/>
        <w:spacing w:after="0" w:line="241" w:lineRule="auto"/>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Continued need for trusted products and services that help customers</w:t>
      </w:r>
      <w:r>
        <w:rPr>
          <w:rFonts w:ascii="Arial" w:cs="Arial" w:eastAsia="Arial" w:hAnsi="Arial"/>
          <w:sz w:val="16"/>
          <w:szCs w:val="16"/>
          <w:color w:val="D64000"/>
        </w:rPr>
        <w:t xml:space="preserve"> </w:t>
      </w:r>
      <w:r>
        <w:rPr>
          <w:rFonts w:ascii="Arial" w:cs="Arial" w:eastAsia="Arial" w:hAnsi="Arial"/>
          <w:sz w:val="16"/>
          <w:szCs w:val="16"/>
          <w:color w:val="000000"/>
        </w:rPr>
        <w:t>navigate evolving and complex legal, tax, accounting, regulatory, geopolitical and commercial changes, developments and environments, and for cloud-based digital tools that drive productivity</w:t>
      </w:r>
    </w:p>
    <w:p>
      <w:pPr>
        <w:spacing w:after="0" w:line="3" w:lineRule="exact"/>
        <w:rPr>
          <w:sz w:val="20"/>
          <w:szCs w:val="20"/>
          <w:color w:val="auto"/>
        </w:rPr>
      </w:pPr>
    </w:p>
    <w:p>
      <w:pPr>
        <w:ind w:left="540" w:right="460" w:hanging="317"/>
        <w:spacing w:after="0" w:line="241" w:lineRule="auto"/>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Continued ability to deliver innovative products that meet evolving</w:t>
      </w:r>
      <w:r>
        <w:rPr>
          <w:rFonts w:ascii="Arial" w:cs="Arial" w:eastAsia="Arial" w:hAnsi="Arial"/>
          <w:sz w:val="16"/>
          <w:szCs w:val="16"/>
          <w:color w:val="D64000"/>
        </w:rPr>
        <w:t xml:space="preserve"> </w:t>
      </w:r>
      <w:r>
        <w:rPr>
          <w:rFonts w:ascii="Arial" w:cs="Arial" w:eastAsia="Arial" w:hAnsi="Arial"/>
          <w:sz w:val="16"/>
          <w:szCs w:val="16"/>
          <w:color w:val="000000"/>
        </w:rPr>
        <w:t>customer demands</w:t>
      </w:r>
    </w:p>
    <w:p>
      <w:pPr>
        <w:spacing w:after="0" w:line="1" w:lineRule="exact"/>
        <w:rPr>
          <w:sz w:val="20"/>
          <w:szCs w:val="20"/>
          <w:color w:val="auto"/>
        </w:rPr>
      </w:pPr>
    </w:p>
    <w:p>
      <w:pPr>
        <w:ind w:left="540" w:right="60" w:hanging="317"/>
        <w:spacing w:after="0" w:line="241" w:lineRule="auto"/>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Acquisition of new customers through expanded and improved digital</w:t>
      </w:r>
      <w:r>
        <w:rPr>
          <w:rFonts w:ascii="Arial" w:cs="Arial" w:eastAsia="Arial" w:hAnsi="Arial"/>
          <w:sz w:val="16"/>
          <w:szCs w:val="16"/>
          <w:color w:val="D64000"/>
        </w:rPr>
        <w:t xml:space="preserve"> </w:t>
      </w:r>
      <w:r>
        <w:rPr>
          <w:rFonts w:ascii="Arial" w:cs="Arial" w:eastAsia="Arial" w:hAnsi="Arial"/>
          <w:sz w:val="16"/>
          <w:szCs w:val="16"/>
          <w:color w:val="000000"/>
        </w:rPr>
        <w:t>platforms, simplification of the product portfolio and through other sales initiatives</w:t>
      </w:r>
    </w:p>
    <w:p>
      <w:pPr>
        <w:spacing w:after="0" w:line="2" w:lineRule="exact"/>
        <w:rPr>
          <w:sz w:val="20"/>
          <w:szCs w:val="20"/>
          <w:color w:val="auto"/>
        </w:rPr>
      </w:pPr>
    </w:p>
    <w:p>
      <w:pPr>
        <w:ind w:left="540" w:right="220" w:hanging="317"/>
        <w:spacing w:after="0" w:line="254" w:lineRule="auto"/>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Improvement in customer retention through commercial simplification</w:t>
      </w:r>
      <w:r>
        <w:rPr>
          <w:rFonts w:ascii="Arial" w:cs="Arial" w:eastAsia="Arial" w:hAnsi="Arial"/>
          <w:sz w:val="16"/>
          <w:szCs w:val="16"/>
          <w:color w:val="D64000"/>
        </w:rPr>
        <w:t xml:space="preserve"> </w:t>
      </w:r>
      <w:r>
        <w:rPr>
          <w:rFonts w:ascii="Arial" w:cs="Arial" w:eastAsia="Arial" w:hAnsi="Arial"/>
          <w:sz w:val="16"/>
          <w:szCs w:val="16"/>
          <w:color w:val="000000"/>
        </w:rPr>
        <w:t>efforts and customer service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525780</wp:posOffset>
            </wp:positionV>
            <wp:extent cx="6865620" cy="1600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65620" cy="160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00"/>
        <w:spacing w:after="0"/>
        <w:rPr>
          <w:sz w:val="20"/>
          <w:szCs w:val="20"/>
          <w:color w:val="auto"/>
        </w:rPr>
      </w:pPr>
      <w:r>
        <w:rPr>
          <w:rFonts w:ascii="Arial" w:cs="Arial" w:eastAsia="Arial" w:hAnsi="Arial"/>
          <w:sz w:val="15"/>
          <w:szCs w:val="15"/>
          <w:color w:val="D64000"/>
        </w:rPr>
        <w:t>•</w:t>
      </w:r>
      <w:r>
        <w:rPr>
          <w:rFonts w:ascii="Arial" w:cs="Arial" w:eastAsia="Arial" w:hAnsi="Arial"/>
          <w:sz w:val="15"/>
          <w:szCs w:val="15"/>
          <w:color w:val="000000"/>
        </w:rPr>
        <w:t xml:space="preserve">     Ongoing geopolitical and macroeconomic uncertainty continue to</w:t>
      </w:r>
    </w:p>
    <w:p>
      <w:pPr>
        <w:spacing w:after="0" w:line="15" w:lineRule="exact"/>
        <w:rPr>
          <w:sz w:val="20"/>
          <w:szCs w:val="20"/>
          <w:color w:val="auto"/>
        </w:rPr>
      </w:pPr>
    </w:p>
    <w:p>
      <w:pPr>
        <w:ind w:left="320" w:right="220"/>
        <w:spacing w:after="0" w:line="241" w:lineRule="auto"/>
        <w:rPr>
          <w:sz w:val="20"/>
          <w:szCs w:val="20"/>
          <w:color w:val="auto"/>
        </w:rPr>
      </w:pPr>
      <w:r>
        <w:rPr>
          <w:rFonts w:ascii="Arial" w:cs="Arial" w:eastAsia="Arial" w:hAnsi="Arial"/>
          <w:sz w:val="16"/>
          <w:szCs w:val="16"/>
          <w:color w:val="auto"/>
        </w:rPr>
        <w:t>impact the global economy. The severity and duration of this uncertainty could lead to lower demand for our products and services (beyond our assumption that these disruptions will cause periods of volatility)</w:t>
      </w:r>
    </w:p>
    <w:p>
      <w:pPr>
        <w:spacing w:after="0" w:line="3" w:lineRule="exact"/>
        <w:rPr>
          <w:sz w:val="20"/>
          <w:szCs w:val="20"/>
          <w:color w:val="auto"/>
        </w:rPr>
      </w:pPr>
    </w:p>
    <w:p>
      <w:pPr>
        <w:ind w:left="320" w:right="40" w:hanging="317"/>
        <w:spacing w:after="0" w:line="258" w:lineRule="auto"/>
        <w:rPr>
          <w:sz w:val="20"/>
          <w:szCs w:val="20"/>
          <w:color w:val="auto"/>
        </w:rPr>
      </w:pPr>
      <w:r>
        <w:rPr>
          <w:rFonts w:ascii="Arial" w:cs="Arial" w:eastAsia="Arial" w:hAnsi="Arial"/>
          <w:sz w:val="15"/>
          <w:szCs w:val="15"/>
          <w:color w:val="D64000"/>
        </w:rPr>
        <w:t>•</w:t>
      </w:r>
      <w:r>
        <w:rPr>
          <w:rFonts w:ascii="Arial" w:cs="Arial" w:eastAsia="Arial" w:hAnsi="Arial"/>
          <w:sz w:val="15"/>
          <w:szCs w:val="15"/>
          <w:color w:val="000000"/>
        </w:rPr>
        <w:t xml:space="preserve">    Uncertainty in the legal regulatory regime relating to AI. Potential</w:t>
      </w:r>
      <w:r>
        <w:rPr>
          <w:rFonts w:ascii="Arial" w:cs="Arial" w:eastAsia="Arial" w:hAnsi="Arial"/>
          <w:sz w:val="15"/>
          <w:szCs w:val="15"/>
          <w:color w:val="D64000"/>
        </w:rPr>
        <w:t xml:space="preserve"> </w:t>
      </w:r>
      <w:r>
        <w:rPr>
          <w:rFonts w:ascii="Arial" w:cs="Arial" w:eastAsia="Arial" w:hAnsi="Arial"/>
          <w:sz w:val="15"/>
          <w:szCs w:val="15"/>
          <w:color w:val="000000"/>
        </w:rPr>
        <w:t>future legislation may make it harder for us to conduct business using AI, lead to regulatory fines or penalties, require us to change product offerings or business practices, or prevent or limit our use of</w:t>
      </w:r>
    </w:p>
    <w:p>
      <w:pPr>
        <w:ind w:left="320"/>
        <w:spacing w:after="0"/>
        <w:rPr>
          <w:sz w:val="20"/>
          <w:szCs w:val="20"/>
          <w:color w:val="auto"/>
        </w:rPr>
      </w:pPr>
      <w:r>
        <w:rPr>
          <w:rFonts w:ascii="Arial" w:cs="Arial" w:eastAsia="Arial" w:hAnsi="Arial"/>
          <w:sz w:val="16"/>
          <w:szCs w:val="16"/>
          <w:color w:val="auto"/>
        </w:rPr>
        <w:t>AI</w:t>
      </w:r>
    </w:p>
    <w:p>
      <w:pPr>
        <w:spacing w:after="0" w:line="2" w:lineRule="exact"/>
        <w:rPr>
          <w:sz w:val="20"/>
          <w:szCs w:val="20"/>
          <w:color w:val="auto"/>
        </w:rPr>
      </w:pPr>
    </w:p>
    <w:p>
      <w:pPr>
        <w:ind w:left="320" w:right="40" w:hanging="317"/>
        <w:spacing w:after="0" w:line="241" w:lineRule="auto"/>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Demand for our products and services could be reduced by changes</w:t>
      </w:r>
      <w:r>
        <w:rPr>
          <w:rFonts w:ascii="Arial" w:cs="Arial" w:eastAsia="Arial" w:hAnsi="Arial"/>
          <w:sz w:val="16"/>
          <w:szCs w:val="16"/>
          <w:color w:val="D64000"/>
        </w:rPr>
        <w:t xml:space="preserve"> </w:t>
      </w:r>
      <w:r>
        <w:rPr>
          <w:rFonts w:ascii="Arial" w:cs="Arial" w:eastAsia="Arial" w:hAnsi="Arial"/>
          <w:sz w:val="16"/>
          <w:szCs w:val="16"/>
          <w:color w:val="000000"/>
        </w:rPr>
        <w:t>in customer buying patterns, or our inability to execute on key product design or customer support initiatives</w:t>
      </w:r>
    </w:p>
    <w:p>
      <w:pPr>
        <w:spacing w:after="0" w:line="2" w:lineRule="exact"/>
        <w:rPr>
          <w:sz w:val="20"/>
          <w:szCs w:val="20"/>
          <w:color w:val="auto"/>
        </w:rPr>
      </w:pPr>
    </w:p>
    <w:p>
      <w:pPr>
        <w:ind w:left="320" w:right="100" w:hanging="317"/>
        <w:spacing w:after="0" w:line="241" w:lineRule="auto"/>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Competitive pricing actions and product innovation could impact our</w:t>
      </w:r>
      <w:r>
        <w:rPr>
          <w:rFonts w:ascii="Arial" w:cs="Arial" w:eastAsia="Arial" w:hAnsi="Arial"/>
          <w:sz w:val="16"/>
          <w:szCs w:val="16"/>
          <w:color w:val="D64000"/>
        </w:rPr>
        <w:t xml:space="preserve"> </w:t>
      </w:r>
      <w:r>
        <w:rPr>
          <w:rFonts w:ascii="Arial" w:cs="Arial" w:eastAsia="Arial" w:hAnsi="Arial"/>
          <w:sz w:val="16"/>
          <w:szCs w:val="16"/>
          <w:color w:val="000000"/>
        </w:rPr>
        <w:t>revenues</w:t>
      </w:r>
    </w:p>
    <w:p>
      <w:pPr>
        <w:spacing w:after="0" w:line="1" w:lineRule="exact"/>
        <w:rPr>
          <w:sz w:val="20"/>
          <w:szCs w:val="20"/>
          <w:color w:val="auto"/>
        </w:rPr>
      </w:pPr>
    </w:p>
    <w:p>
      <w:pPr>
        <w:jc w:val="center"/>
        <w:ind w:right="220"/>
        <w:spacing w:after="0" w:line="254" w:lineRule="auto"/>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Our sales, commercial simplification and product design initiatives</w:t>
      </w:r>
      <w:r>
        <w:rPr>
          <w:rFonts w:ascii="Arial" w:cs="Arial" w:eastAsia="Arial" w:hAnsi="Arial"/>
          <w:sz w:val="16"/>
          <w:szCs w:val="16"/>
          <w:color w:val="D64000"/>
        </w:rPr>
        <w:t xml:space="preserve"> </w:t>
      </w:r>
      <w:r>
        <w:rPr>
          <w:rFonts w:ascii="Arial" w:cs="Arial" w:eastAsia="Arial" w:hAnsi="Arial"/>
          <w:sz w:val="16"/>
          <w:szCs w:val="16"/>
          <w:color w:val="000000"/>
        </w:rPr>
        <w:t>may be insufficient to retain customers or generate new sales</w:t>
      </w:r>
    </w:p>
    <w:p>
      <w:pPr>
        <w:spacing w:after="0" w:line="138" w:lineRule="exact"/>
        <w:rPr>
          <w:sz w:val="20"/>
          <w:szCs w:val="20"/>
          <w:color w:val="auto"/>
        </w:rPr>
      </w:pPr>
    </w:p>
    <w:p>
      <w:pPr>
        <w:sectPr>
          <w:pgSz w:w="11900" w:h="16838" w:orient="portrait"/>
          <w:cols w:equalWidth="0" w:num="2">
            <w:col w:w="5580" w:space="300"/>
            <w:col w:w="5160"/>
          </w:cols>
          <w:pgMar w:left="320" w:top="477" w:right="539" w:bottom="1440" w:gutter="0" w:footer="0" w:header="0"/>
          <w:type w:val="continuous"/>
        </w:sectPr>
      </w:pPr>
    </w:p>
    <w:p>
      <w:pPr>
        <w:ind w:left="220"/>
        <w:spacing w:after="0"/>
        <w:rPr>
          <w:sz w:val="20"/>
          <w:szCs w:val="20"/>
          <w:color w:val="auto"/>
        </w:rPr>
      </w:pPr>
      <w:r>
        <w:rPr>
          <w:rFonts w:ascii="Arial" w:cs="Arial" w:eastAsia="Arial" w:hAnsi="Arial"/>
          <w:sz w:val="16"/>
          <w:szCs w:val="16"/>
          <w:b w:val="1"/>
          <w:bCs w:val="1"/>
          <w:color w:val="auto"/>
        </w:rPr>
        <w:t>Adjusted EBITDA margin</w:t>
      </w:r>
    </w:p>
    <w:p>
      <w:pPr>
        <w:spacing w:after="0" w:line="36" w:lineRule="exact"/>
        <w:rPr>
          <w:sz w:val="20"/>
          <w:szCs w:val="20"/>
          <w:color w:val="auto"/>
        </w:rPr>
      </w:pPr>
    </w:p>
    <w:tbl>
      <w:tblPr>
        <w:tblLayout w:type="fixed"/>
        <w:tblInd w:w="220" w:type="dxa"/>
        <w:tblCellMar>
          <w:top w:w="0" w:type="dxa"/>
          <w:left w:w="0" w:type="dxa"/>
          <w:bottom w:w="0" w:type="dxa"/>
          <w:right w:w="0" w:type="dxa"/>
        </w:tblCellMar>
      </w:tblPr>
      <w:tr>
        <w:trPr>
          <w:trHeight w:val="225"/>
        </w:trPr>
        <w:tc>
          <w:tcPr>
            <w:tcW w:w="546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b w:val="1"/>
                <w:bCs w:val="1"/>
                <w:color w:val="FFFFFF"/>
              </w:rPr>
              <w:t>Material assumptions</w:t>
            </w:r>
          </w:p>
        </w:tc>
        <w:tc>
          <w:tcPr>
            <w:tcW w:w="5340" w:type="dxa"/>
            <w:vAlign w:val="bottom"/>
            <w:tcBorders>
              <w:bottom w:val="single" w:sz="8" w:color="D64000"/>
            </w:tcBorders>
            <w:shd w:val="clear" w:color="auto" w:fill="1F473D"/>
          </w:tcPr>
          <w:p>
            <w:pPr>
              <w:ind w:left="200"/>
              <w:spacing w:after="0"/>
              <w:rPr>
                <w:sz w:val="20"/>
                <w:szCs w:val="20"/>
                <w:color w:val="auto"/>
              </w:rPr>
            </w:pPr>
            <w:r>
              <w:rPr>
                <w:rFonts w:ascii="Arial" w:cs="Arial" w:eastAsia="Arial" w:hAnsi="Arial"/>
                <w:sz w:val="16"/>
                <w:szCs w:val="16"/>
                <w:b w:val="1"/>
                <w:bCs w:val="1"/>
                <w:color w:val="FFFFFF"/>
              </w:rPr>
              <w:t>Material risks</w:t>
            </w:r>
          </w:p>
        </w:tc>
      </w:tr>
    </w:tbl>
    <w:p>
      <w:pPr>
        <w:spacing w:after="0" w:line="1" w:lineRule="exact"/>
        <w:rPr>
          <w:sz w:val="20"/>
          <w:szCs w:val="20"/>
          <w:color w:val="auto"/>
        </w:rPr>
      </w:pPr>
    </w:p>
    <w:p>
      <w:pPr>
        <w:sectPr>
          <w:pgSz w:w="11900" w:h="16838" w:orient="portrait"/>
          <w:cols w:equalWidth="0" w:num="1">
            <w:col w:w="11040"/>
          </w:cols>
          <w:pgMar w:left="320" w:top="477" w:right="539" w:bottom="1440" w:gutter="0" w:footer="0" w:header="0"/>
          <w:type w:val="continuous"/>
        </w:sectPr>
      </w:pPr>
    </w:p>
    <w:p>
      <w:pPr>
        <w:ind w:left="22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Our ability to achieve revenue growth targets</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Business mix continues to shift to higher-growth product offerings</w:t>
      </w:r>
    </w:p>
    <w:p>
      <w:pPr>
        <w:spacing w:after="0" w:line="2" w:lineRule="exact"/>
        <w:rPr>
          <w:sz w:val="20"/>
          <w:szCs w:val="20"/>
          <w:color w:val="auto"/>
        </w:rPr>
      </w:pPr>
    </w:p>
    <w:p>
      <w:pPr>
        <w:ind w:left="540" w:hanging="317"/>
        <w:spacing w:after="0" w:line="254" w:lineRule="auto"/>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Integration expenses associated with recent acquisitions will reduce</w:t>
      </w:r>
      <w:r>
        <w:rPr>
          <w:rFonts w:ascii="Arial" w:cs="Arial" w:eastAsia="Arial" w:hAnsi="Arial"/>
          <w:sz w:val="16"/>
          <w:szCs w:val="16"/>
          <w:color w:val="D64000"/>
        </w:rPr>
        <w:t xml:space="preserve"> </w:t>
      </w:r>
      <w:r>
        <w:rPr>
          <w:rFonts w:ascii="Arial" w:cs="Arial" w:eastAsia="Arial" w:hAnsi="Arial"/>
          <w:sz w:val="16"/>
          <w:szCs w:val="16"/>
          <w:color w:val="000000"/>
        </w:rPr>
        <w:t>margins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Same as the risks above related to the revenue outlook</w:t>
      </w:r>
    </w:p>
    <w:p>
      <w:pPr>
        <w:spacing w:after="0" w:line="3" w:lineRule="exact"/>
        <w:rPr>
          <w:sz w:val="20"/>
          <w:szCs w:val="20"/>
          <w:color w:val="auto"/>
        </w:rPr>
      </w:pPr>
    </w:p>
    <w:p>
      <w:pPr>
        <w:jc w:val="both"/>
        <w:ind w:left="320" w:right="180" w:hanging="317"/>
        <w:spacing w:after="0" w:line="241" w:lineRule="auto"/>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Higher than expected inflation may lead to greater than anticipated</w:t>
      </w:r>
      <w:r>
        <w:rPr>
          <w:rFonts w:ascii="Arial" w:cs="Arial" w:eastAsia="Arial" w:hAnsi="Arial"/>
          <w:sz w:val="16"/>
          <w:szCs w:val="16"/>
          <w:color w:val="D64000"/>
        </w:rPr>
        <w:t xml:space="preserve"> </w:t>
      </w:r>
      <w:r>
        <w:rPr>
          <w:rFonts w:ascii="Arial" w:cs="Arial" w:eastAsia="Arial" w:hAnsi="Arial"/>
          <w:sz w:val="16"/>
          <w:szCs w:val="16"/>
          <w:color w:val="000000"/>
        </w:rPr>
        <w:t>increase in labor costs, third-party supplier costs and costs of print materials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D64000"/>
        </w:rPr>
        <w:t>•</w:t>
      </w:r>
      <w:r>
        <w:rPr>
          <w:rFonts w:ascii="Arial" w:cs="Arial" w:eastAsia="Arial" w:hAnsi="Arial"/>
          <w:sz w:val="15"/>
          <w:szCs w:val="15"/>
          <w:color w:val="000000"/>
        </w:rPr>
        <w:t xml:space="preserve">     Acquisition and disposal activity may dilute adjusted EBITDA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-3594735</wp:posOffset>
            </wp:positionH>
            <wp:positionV relativeFrom="paragraph">
              <wp:posOffset>74295</wp:posOffset>
            </wp:positionV>
            <wp:extent cx="6865620" cy="1600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65620" cy="160020"/>
                    </a:xfrm>
                    <a:prstGeom prst="rect">
                      <a:avLst/>
                    </a:prstGeom>
                    <a:noFill/>
                  </pic:spPr>
                </pic:pic>
              </a:graphicData>
            </a:graphic>
          </wp:anchor>
        </w:drawing>
      </w:r>
    </w:p>
    <w:p>
      <w:pPr>
        <w:spacing w:after="0" w:line="169" w:lineRule="exact"/>
        <w:rPr>
          <w:sz w:val="20"/>
          <w:szCs w:val="20"/>
          <w:color w:val="auto"/>
        </w:rPr>
      </w:pPr>
    </w:p>
    <w:p>
      <w:pPr>
        <w:sectPr>
          <w:pgSz w:w="11900" w:h="16838" w:orient="portrait"/>
          <w:cols w:equalWidth="0" w:num="2">
            <w:col w:w="5280" w:space="600"/>
            <w:col w:w="5160"/>
          </w:cols>
          <w:pgMar w:left="320" w:top="477" w:right="539" w:bottom="1440" w:gutter="0" w:footer="0" w:header="0"/>
          <w:type w:val="continuous"/>
        </w:sectPr>
      </w:pPr>
    </w:p>
    <w:p>
      <w:pPr>
        <w:ind w:left="220"/>
        <w:spacing w:after="0"/>
        <w:rPr>
          <w:sz w:val="20"/>
          <w:szCs w:val="20"/>
          <w:color w:val="auto"/>
        </w:rPr>
      </w:pPr>
      <w:r>
        <w:rPr>
          <w:rFonts w:ascii="Arial" w:cs="Arial" w:eastAsia="Arial" w:hAnsi="Arial"/>
          <w:sz w:val="16"/>
          <w:szCs w:val="16"/>
          <w:b w:val="1"/>
          <w:bCs w:val="1"/>
          <w:color w:val="auto"/>
        </w:rPr>
        <w:t>Free Cash Flow</w:t>
      </w:r>
    </w:p>
    <w:p>
      <w:pPr>
        <w:spacing w:after="0" w:line="36" w:lineRule="exact"/>
        <w:rPr>
          <w:sz w:val="20"/>
          <w:szCs w:val="20"/>
          <w:color w:val="auto"/>
        </w:rPr>
      </w:pPr>
    </w:p>
    <w:tbl>
      <w:tblPr>
        <w:tblLayout w:type="fixed"/>
        <w:tblInd w:w="220" w:type="dxa"/>
        <w:tblCellMar>
          <w:top w:w="0" w:type="dxa"/>
          <w:left w:w="0" w:type="dxa"/>
          <w:bottom w:w="0" w:type="dxa"/>
          <w:right w:w="0" w:type="dxa"/>
        </w:tblCellMar>
      </w:tblPr>
      <w:tr>
        <w:trPr>
          <w:trHeight w:val="225"/>
        </w:trPr>
        <w:tc>
          <w:tcPr>
            <w:tcW w:w="546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b w:val="1"/>
                <w:bCs w:val="1"/>
                <w:color w:val="FFFFFF"/>
              </w:rPr>
              <w:t>Material assumptions</w:t>
            </w:r>
          </w:p>
        </w:tc>
        <w:tc>
          <w:tcPr>
            <w:tcW w:w="5340" w:type="dxa"/>
            <w:vAlign w:val="bottom"/>
            <w:tcBorders>
              <w:bottom w:val="single" w:sz="8" w:color="D64000"/>
            </w:tcBorders>
            <w:shd w:val="clear" w:color="auto" w:fill="1F473D"/>
          </w:tcPr>
          <w:p>
            <w:pPr>
              <w:ind w:left="200"/>
              <w:spacing w:after="0"/>
              <w:rPr>
                <w:sz w:val="20"/>
                <w:szCs w:val="20"/>
                <w:color w:val="auto"/>
              </w:rPr>
            </w:pPr>
            <w:r>
              <w:rPr>
                <w:rFonts w:ascii="Arial" w:cs="Arial" w:eastAsia="Arial" w:hAnsi="Arial"/>
                <w:sz w:val="16"/>
                <w:szCs w:val="16"/>
                <w:b w:val="1"/>
                <w:bCs w:val="1"/>
                <w:color w:val="FFFFFF"/>
              </w:rPr>
              <w:t>Material risks</w:t>
            </w:r>
          </w:p>
        </w:tc>
      </w:tr>
    </w:tbl>
    <w:p>
      <w:pPr>
        <w:spacing w:after="0" w:line="1" w:lineRule="exact"/>
        <w:rPr>
          <w:sz w:val="20"/>
          <w:szCs w:val="20"/>
          <w:color w:val="auto"/>
        </w:rPr>
      </w:pPr>
    </w:p>
    <w:p>
      <w:pPr>
        <w:sectPr>
          <w:pgSz w:w="11900" w:h="16838" w:orient="portrait"/>
          <w:cols w:equalWidth="0" w:num="1">
            <w:col w:w="11040"/>
          </w:cols>
          <w:pgMar w:left="320" w:top="477" w:right="539" w:bottom="1440" w:gutter="0" w:footer="0" w:header="0"/>
          <w:type w:val="continuous"/>
        </w:sectPr>
      </w:pPr>
    </w:p>
    <w:p>
      <w:pPr>
        <w:ind w:left="22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Our ability to achieve our revenue and adjusted EBITDA margin targets</w:t>
      </w:r>
    </w:p>
    <w:p>
      <w:pPr>
        <w:spacing w:after="0" w:line="3" w:lineRule="exact"/>
        <w:rPr>
          <w:sz w:val="20"/>
          <w:szCs w:val="20"/>
          <w:color w:val="auto"/>
        </w:rPr>
      </w:pPr>
    </w:p>
    <w:p>
      <w:pPr>
        <w:ind w:left="540" w:hanging="317"/>
        <w:spacing w:after="0" w:line="254" w:lineRule="auto"/>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Accrued capital expenditures expected to approximate 8% of revenues in</w:t>
      </w:r>
      <w:r>
        <w:rPr>
          <w:rFonts w:ascii="Arial" w:cs="Arial" w:eastAsia="Arial" w:hAnsi="Arial"/>
          <w:sz w:val="16"/>
          <w:szCs w:val="16"/>
          <w:color w:val="D64000"/>
        </w:rPr>
        <w:t xml:space="preserve"> </w:t>
      </w:r>
      <w:r>
        <w:rPr>
          <w:rFonts w:ascii="Arial" w:cs="Arial" w:eastAsia="Arial" w:hAnsi="Arial"/>
          <w:sz w:val="16"/>
          <w:szCs w:val="16"/>
          <w:color w:val="000000"/>
        </w:rPr>
        <w:t>2025 and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735965</wp:posOffset>
            </wp:positionV>
            <wp:extent cx="68656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65620" cy="825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845185</wp:posOffset>
            </wp:positionV>
            <wp:extent cx="68656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20" w:right="580" w:hanging="317"/>
        <w:spacing w:after="0" w:line="243" w:lineRule="auto"/>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Same as the risks above related to the revenue and adjusted</w:t>
      </w:r>
      <w:r>
        <w:rPr>
          <w:rFonts w:ascii="Arial" w:cs="Arial" w:eastAsia="Arial" w:hAnsi="Arial"/>
          <w:sz w:val="16"/>
          <w:szCs w:val="16"/>
          <w:color w:val="D64000"/>
        </w:rPr>
        <w:t xml:space="preserve"> </w:t>
      </w:r>
      <w:r>
        <w:rPr>
          <w:rFonts w:ascii="Arial" w:cs="Arial" w:eastAsia="Arial" w:hAnsi="Arial"/>
          <w:sz w:val="16"/>
          <w:szCs w:val="16"/>
          <w:color w:val="000000"/>
        </w:rPr>
        <w:t>EBITDA margin outlook</w:t>
      </w:r>
    </w:p>
    <w:p>
      <w:pPr>
        <w:ind w:left="320" w:right="180" w:hanging="317"/>
        <w:spacing w:after="0" w:line="241" w:lineRule="auto"/>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A weaker macroeconomic environment could negatively impact</w:t>
      </w:r>
      <w:r>
        <w:rPr>
          <w:rFonts w:ascii="Arial" w:cs="Arial" w:eastAsia="Arial" w:hAnsi="Arial"/>
          <w:sz w:val="16"/>
          <w:szCs w:val="16"/>
          <w:color w:val="D64000"/>
        </w:rPr>
        <w:t xml:space="preserve"> </w:t>
      </w:r>
      <w:r>
        <w:rPr>
          <w:rFonts w:ascii="Arial" w:cs="Arial" w:eastAsia="Arial" w:hAnsi="Arial"/>
          <w:sz w:val="16"/>
          <w:szCs w:val="16"/>
          <w:color w:val="000000"/>
        </w:rPr>
        <w:t>working capital performance, including the ability of our customers to pay us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D64000"/>
        </w:rPr>
        <w:t>•</w:t>
      </w:r>
      <w:r>
        <w:rPr>
          <w:rFonts w:ascii="Arial" w:cs="Arial" w:eastAsia="Arial" w:hAnsi="Arial"/>
          <w:sz w:val="15"/>
          <w:szCs w:val="15"/>
          <w:color w:val="000000"/>
        </w:rPr>
        <w:t xml:space="preserve">     Accrued capital expenditures may be higher than currently expected</w:t>
      </w:r>
    </w:p>
    <w:p>
      <w:pPr>
        <w:spacing w:after="0" w:line="13" w:lineRule="exact"/>
        <w:rPr>
          <w:sz w:val="20"/>
          <w:szCs w:val="20"/>
          <w:color w:val="auto"/>
        </w:rPr>
      </w:pPr>
    </w:p>
    <w:p>
      <w:pPr>
        <w:ind w:left="320" w:right="180" w:hanging="317"/>
        <w:spacing w:after="0" w:line="254" w:lineRule="auto"/>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The timing and amount of tax payments to governments may differ</w:t>
      </w:r>
      <w:r>
        <w:rPr>
          <w:rFonts w:ascii="Arial" w:cs="Arial" w:eastAsia="Arial" w:hAnsi="Arial"/>
          <w:sz w:val="16"/>
          <w:szCs w:val="16"/>
          <w:color w:val="D64000"/>
        </w:rPr>
        <w:t xml:space="preserve"> </w:t>
      </w:r>
      <w:r>
        <w:rPr>
          <w:rFonts w:ascii="Arial" w:cs="Arial" w:eastAsia="Arial" w:hAnsi="Arial"/>
          <w:sz w:val="16"/>
          <w:szCs w:val="16"/>
          <w:color w:val="000000"/>
        </w:rPr>
        <w:t>from our expectations</w:t>
      </w:r>
    </w:p>
    <w:p>
      <w:pPr>
        <w:spacing w:after="0" w:line="200" w:lineRule="exact"/>
        <w:rPr>
          <w:sz w:val="20"/>
          <w:szCs w:val="20"/>
          <w:color w:val="auto"/>
        </w:rPr>
      </w:pPr>
    </w:p>
    <w:p>
      <w:pPr>
        <w:sectPr>
          <w:pgSz w:w="11900" w:h="16838" w:orient="portrait"/>
          <w:cols w:equalWidth="0" w:num="2">
            <w:col w:w="5640" w:space="240"/>
            <w:col w:w="5160"/>
          </w:cols>
          <w:pgMar w:left="320" w:top="477" w:right="539" w:bottom="1440" w:gutter="0" w:footer="0" w:header="0"/>
          <w:type w:val="continuous"/>
        </w:sectPr>
      </w:pPr>
    </w:p>
    <w:p>
      <w:pPr>
        <w:spacing w:after="0" w:line="221"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54</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209550</wp:posOffset>
            </wp:positionV>
            <wp:extent cx="6865620" cy="1600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65620" cy="160020"/>
                    </a:xfrm>
                    <a:prstGeom prst="rect">
                      <a:avLst/>
                    </a:prstGeom>
                    <a:noFill/>
                  </pic:spPr>
                </pic:pic>
              </a:graphicData>
            </a:graphic>
          </wp:anchor>
        </w:drawing>
      </w:r>
    </w:p>
    <w:p>
      <w:pPr>
        <w:spacing w:after="0" w:line="36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Effective tax rate on adjusted earnings</w:t>
      </w:r>
    </w:p>
    <w:p>
      <w:pPr>
        <w:spacing w:after="0" w:line="36" w:lineRule="exact"/>
        <w:rPr>
          <w:sz w:val="20"/>
          <w:szCs w:val="20"/>
          <w:color w:val="auto"/>
        </w:rPr>
      </w:pPr>
    </w:p>
    <w:tbl>
      <w:tblPr>
        <w:tblLayout w:type="fixed"/>
        <w:tblInd w:w="220" w:type="dxa"/>
        <w:tblCellMar>
          <w:top w:w="0" w:type="dxa"/>
          <w:left w:w="0" w:type="dxa"/>
          <w:bottom w:w="0" w:type="dxa"/>
          <w:right w:w="0" w:type="dxa"/>
        </w:tblCellMar>
      </w:tblPr>
      <w:tr>
        <w:trPr>
          <w:trHeight w:val="225"/>
        </w:trPr>
        <w:tc>
          <w:tcPr>
            <w:tcW w:w="546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b w:val="1"/>
                <w:bCs w:val="1"/>
                <w:color w:val="FFFFFF"/>
              </w:rPr>
              <w:t>Material assumptions</w:t>
            </w:r>
          </w:p>
        </w:tc>
        <w:tc>
          <w:tcPr>
            <w:tcW w:w="5340" w:type="dxa"/>
            <w:vAlign w:val="bottom"/>
            <w:tcBorders>
              <w:bottom w:val="single" w:sz="8" w:color="D64000"/>
            </w:tcBorders>
            <w:shd w:val="clear" w:color="auto" w:fill="1F473D"/>
          </w:tcPr>
          <w:p>
            <w:pPr>
              <w:ind w:left="200"/>
              <w:spacing w:after="0"/>
              <w:rPr>
                <w:sz w:val="20"/>
                <w:szCs w:val="20"/>
                <w:color w:val="auto"/>
              </w:rPr>
            </w:pPr>
            <w:r>
              <w:rPr>
                <w:rFonts w:ascii="Arial" w:cs="Arial" w:eastAsia="Arial" w:hAnsi="Arial"/>
                <w:sz w:val="16"/>
                <w:szCs w:val="16"/>
                <w:b w:val="1"/>
                <w:bCs w:val="1"/>
                <w:color w:val="FFFFFF"/>
              </w:rPr>
              <w:t>Material risks</w:t>
            </w:r>
          </w:p>
        </w:tc>
      </w:tr>
    </w:tbl>
    <w:p>
      <w:pPr>
        <w:spacing w:after="0" w:line="1" w:lineRule="exact"/>
        <w:rPr>
          <w:sz w:val="20"/>
          <w:szCs w:val="20"/>
          <w:color w:val="auto"/>
        </w:rPr>
      </w:pPr>
    </w:p>
    <w:p>
      <w:pPr>
        <w:sectPr>
          <w:pgSz w:w="11900" w:h="16838" w:orient="portrait"/>
          <w:cols w:equalWidth="0" w:num="1">
            <w:col w:w="11040"/>
          </w:cols>
          <w:pgMar w:left="320" w:top="477" w:right="539" w:bottom="1440" w:gutter="0" w:footer="0" w:header="0"/>
        </w:sectPr>
      </w:pPr>
    </w:p>
    <w:p>
      <w:pPr>
        <w:ind w:left="22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Our ability to achieve our adjusted EBITDA target</w:t>
      </w:r>
    </w:p>
    <w:p>
      <w:pPr>
        <w:spacing w:after="0" w:line="3" w:lineRule="exact"/>
        <w:rPr>
          <w:sz w:val="20"/>
          <w:szCs w:val="20"/>
          <w:color w:val="auto"/>
        </w:rPr>
      </w:pPr>
    </w:p>
    <w:p>
      <w:pPr>
        <w:ind w:left="540" w:right="360" w:hanging="317"/>
        <w:spacing w:after="0" w:line="241" w:lineRule="auto"/>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The mix of taxing jurisdictions where we recognized pre-tax profit or</w:t>
      </w:r>
      <w:r>
        <w:rPr>
          <w:rFonts w:ascii="Arial" w:cs="Arial" w:eastAsia="Arial" w:hAnsi="Arial"/>
          <w:sz w:val="16"/>
          <w:szCs w:val="16"/>
          <w:color w:val="D64000"/>
        </w:rPr>
        <w:t xml:space="preserve"> </w:t>
      </w:r>
      <w:r>
        <w:rPr>
          <w:rFonts w:ascii="Arial" w:cs="Arial" w:eastAsia="Arial" w:hAnsi="Arial"/>
          <w:sz w:val="16"/>
          <w:szCs w:val="16"/>
          <w:color w:val="000000"/>
        </w:rPr>
        <w:t>losses in 2024 does not significantly change in 2025 or 2026</w:t>
      </w:r>
    </w:p>
    <w:p>
      <w:pPr>
        <w:spacing w:after="0" w:line="1" w:lineRule="exact"/>
        <w:rPr>
          <w:sz w:val="20"/>
          <w:szCs w:val="20"/>
          <w:color w:val="auto"/>
        </w:rPr>
      </w:pPr>
    </w:p>
    <w:p>
      <w:pPr>
        <w:ind w:left="540" w:right="280" w:hanging="317"/>
        <w:spacing w:after="0" w:line="241" w:lineRule="auto"/>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Minimal changes in currently enacted tax laws and treaties within the</w:t>
      </w:r>
      <w:r>
        <w:rPr>
          <w:rFonts w:ascii="Arial" w:cs="Arial" w:eastAsia="Arial" w:hAnsi="Arial"/>
          <w:sz w:val="16"/>
          <w:szCs w:val="16"/>
          <w:color w:val="D64000"/>
        </w:rPr>
        <w:t xml:space="preserve"> </w:t>
      </w:r>
      <w:r>
        <w:rPr>
          <w:rFonts w:ascii="Arial" w:cs="Arial" w:eastAsia="Arial" w:hAnsi="Arial"/>
          <w:sz w:val="16"/>
          <w:szCs w:val="16"/>
          <w:color w:val="000000"/>
        </w:rPr>
        <w:t>jurisdictions where we operate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No significant charges or benefits from the finalization of prior tax years</w:t>
      </w:r>
    </w:p>
    <w:p>
      <w:pPr>
        <w:spacing w:after="0" w:line="2" w:lineRule="exact"/>
        <w:rPr>
          <w:sz w:val="20"/>
          <w:szCs w:val="20"/>
          <w:color w:val="auto"/>
        </w:rPr>
      </w:pPr>
    </w:p>
    <w:p>
      <w:pPr>
        <w:ind w:left="540" w:hanging="317"/>
        <w:spacing w:after="0" w:line="241" w:lineRule="auto"/>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Depreciation and amortization of internally developed computer software</w:t>
      </w:r>
      <w:r>
        <w:rPr>
          <w:rFonts w:ascii="Arial" w:cs="Arial" w:eastAsia="Arial" w:hAnsi="Arial"/>
          <w:sz w:val="16"/>
          <w:szCs w:val="16"/>
          <w:color w:val="D64000"/>
        </w:rPr>
        <w:t xml:space="preserve"> </w:t>
      </w:r>
      <w:r>
        <w:rPr>
          <w:rFonts w:ascii="Arial" w:cs="Arial" w:eastAsia="Arial" w:hAnsi="Arial"/>
          <w:sz w:val="16"/>
          <w:szCs w:val="16"/>
          <w:color w:val="000000"/>
        </w:rPr>
        <w:t>of $835 - $855 million in 2025</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Interest expense of approximately $150 million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125730</wp:posOffset>
            </wp:positionV>
            <wp:extent cx="68656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65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Same as the risks above related to adjusted EBITDA</w:t>
      </w:r>
    </w:p>
    <w:p>
      <w:pPr>
        <w:spacing w:after="0" w:line="3" w:lineRule="exact"/>
        <w:rPr>
          <w:sz w:val="20"/>
          <w:szCs w:val="20"/>
          <w:color w:val="auto"/>
        </w:rPr>
      </w:pPr>
    </w:p>
    <w:p>
      <w:pPr>
        <w:ind w:left="320" w:right="120" w:hanging="317"/>
        <w:spacing w:after="0" w:line="241" w:lineRule="auto"/>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A material change in the geographical mix of our pre-tax profits and</w:t>
      </w:r>
      <w:r>
        <w:rPr>
          <w:rFonts w:ascii="Arial" w:cs="Arial" w:eastAsia="Arial" w:hAnsi="Arial"/>
          <w:sz w:val="16"/>
          <w:szCs w:val="16"/>
          <w:color w:val="D64000"/>
        </w:rPr>
        <w:t xml:space="preserve"> </w:t>
      </w:r>
      <w:r>
        <w:rPr>
          <w:rFonts w:ascii="Arial" w:cs="Arial" w:eastAsia="Arial" w:hAnsi="Arial"/>
          <w:sz w:val="16"/>
          <w:szCs w:val="16"/>
          <w:color w:val="000000"/>
        </w:rPr>
        <w:t>losses</w:t>
      </w:r>
    </w:p>
    <w:p>
      <w:pPr>
        <w:spacing w:after="0" w:line="1" w:lineRule="exact"/>
        <w:rPr>
          <w:sz w:val="20"/>
          <w:szCs w:val="20"/>
          <w:color w:val="auto"/>
        </w:rPr>
      </w:pPr>
    </w:p>
    <w:p>
      <w:pPr>
        <w:ind w:left="320" w:right="360" w:hanging="317"/>
        <w:spacing w:after="0" w:line="241" w:lineRule="auto"/>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A material change in current tax laws or treaties to which we are</w:t>
      </w:r>
      <w:r>
        <w:rPr>
          <w:rFonts w:ascii="Arial" w:cs="Arial" w:eastAsia="Arial" w:hAnsi="Arial"/>
          <w:sz w:val="16"/>
          <w:szCs w:val="16"/>
          <w:color w:val="D64000"/>
        </w:rPr>
        <w:t xml:space="preserve"> </w:t>
      </w:r>
      <w:r>
        <w:rPr>
          <w:rFonts w:ascii="Arial" w:cs="Arial" w:eastAsia="Arial" w:hAnsi="Arial"/>
          <w:sz w:val="16"/>
          <w:szCs w:val="16"/>
          <w:color w:val="000000"/>
        </w:rPr>
        <w:t>subject, and did not expect</w:t>
      </w:r>
    </w:p>
    <w:p>
      <w:pPr>
        <w:spacing w:after="0" w:line="1" w:lineRule="exact"/>
        <w:rPr>
          <w:sz w:val="20"/>
          <w:szCs w:val="20"/>
          <w:color w:val="auto"/>
        </w:rPr>
      </w:pPr>
    </w:p>
    <w:p>
      <w:pPr>
        <w:ind w:left="320" w:right="180" w:hanging="317"/>
        <w:spacing w:after="0" w:line="248" w:lineRule="auto"/>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Depreciation and amortization of internally developed computer</w:t>
      </w:r>
      <w:r>
        <w:rPr>
          <w:rFonts w:ascii="Arial" w:cs="Arial" w:eastAsia="Arial" w:hAnsi="Arial"/>
          <w:sz w:val="16"/>
          <w:szCs w:val="16"/>
          <w:color w:val="D64000"/>
        </w:rPr>
        <w:t xml:space="preserve"> </w:t>
      </w:r>
      <w:r>
        <w:rPr>
          <w:rFonts w:ascii="Arial" w:cs="Arial" w:eastAsia="Arial" w:hAnsi="Arial"/>
          <w:sz w:val="16"/>
          <w:szCs w:val="16"/>
          <w:color w:val="000000"/>
        </w:rPr>
        <w:t>software as well as interest expense may be significantly higher or lower than expected</w:t>
      </w:r>
    </w:p>
    <w:p>
      <w:pPr>
        <w:spacing w:after="0" w:line="370" w:lineRule="exact"/>
        <w:rPr>
          <w:sz w:val="20"/>
          <w:szCs w:val="20"/>
          <w:color w:val="auto"/>
        </w:rPr>
      </w:pPr>
    </w:p>
    <w:p>
      <w:pPr>
        <w:sectPr>
          <w:pgSz w:w="11900" w:h="16838" w:orient="portrait"/>
          <w:cols w:equalWidth="0" w:num="2">
            <w:col w:w="5620" w:space="260"/>
            <w:col w:w="5160"/>
          </w:cols>
          <w:pgMar w:left="320" w:top="477" w:right="539" w:bottom="1440" w:gutter="0" w:footer="0" w:header="0"/>
          <w:type w:val="continuous"/>
        </w:sectPr>
      </w:pPr>
    </w:p>
    <w:p>
      <w:pPr>
        <w:spacing w:after="0" w:line="82" w:lineRule="exact"/>
        <w:rPr>
          <w:sz w:val="20"/>
          <w:szCs w:val="20"/>
          <w:color w:val="auto"/>
        </w:rPr>
      </w:pPr>
    </w:p>
    <w:p>
      <w:pPr>
        <w:ind w:left="220" w:right="40"/>
        <w:spacing w:after="0" w:line="233" w:lineRule="auto"/>
        <w:rPr>
          <w:sz w:val="20"/>
          <w:szCs w:val="20"/>
          <w:color w:val="auto"/>
        </w:rPr>
      </w:pPr>
      <w:r>
        <w:rPr>
          <w:rFonts w:ascii="Arial" w:cs="Arial" w:eastAsia="Arial" w:hAnsi="Arial"/>
          <w:sz w:val="17"/>
          <w:szCs w:val="17"/>
          <w:color w:val="auto"/>
        </w:rPr>
        <w:t>Our outlook and financial framework contain various non-IFRS financial measures. We believe that providing reconciliations of forward-looking non-IFRS financial measures in our outlook and financial framework would be potentially misleading and not practical due to the difficulty of projecting items that are not reflective of ongoing operations in any future period. The magnitude of these items may be significant. Consequently, for purposes of our outlook and financial framework only, we are unable to reconcile these measures to the most comparable IFRS measures because we cannot predict, with reasonable certainty, the impact of changes in foreign exchange rates which impact (i) the translation of our results reported at average foreign currency rates for the year and (ii) other finance income or expense related to intercompany financing arrangements. Additionally, we cannot reasonably predict the occurrence or amount of other operating gains and losses, which generally arise from business transactions we do not currently anticipate.</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28"/>
          <w:szCs w:val="28"/>
          <w:b w:val="1"/>
          <w:bCs w:val="1"/>
          <w:color w:val="auto"/>
        </w:rPr>
        <w:t>Related Party Transactions</w:t>
      </w:r>
    </w:p>
    <w:p>
      <w:pPr>
        <w:spacing w:after="0" w:line="112" w:lineRule="exact"/>
        <w:rPr>
          <w:sz w:val="20"/>
          <w:szCs w:val="20"/>
          <w:color w:val="auto"/>
        </w:rPr>
      </w:pPr>
    </w:p>
    <w:p>
      <w:pPr>
        <w:ind w:left="220" w:right="300"/>
        <w:spacing w:after="0" w:line="260" w:lineRule="auto"/>
        <w:rPr>
          <w:sz w:val="20"/>
          <w:szCs w:val="20"/>
          <w:color w:val="auto"/>
        </w:rPr>
      </w:pPr>
      <w:r>
        <w:rPr>
          <w:rFonts w:ascii="Arial" w:cs="Arial" w:eastAsia="Arial" w:hAnsi="Arial"/>
          <w:sz w:val="17"/>
          <w:szCs w:val="17"/>
          <w:color w:val="auto"/>
        </w:rPr>
        <w:t>As of March 3, 2025, our principal shareholder, Woodbridge (together with its affiliates), beneficially owned approximately 70% of our common shares.</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Transactions with Woodbridge</w:t>
      </w:r>
    </w:p>
    <w:p>
      <w:pPr>
        <w:spacing w:after="0" w:line="97" w:lineRule="exact"/>
        <w:rPr>
          <w:sz w:val="20"/>
          <w:szCs w:val="20"/>
          <w:color w:val="auto"/>
        </w:rPr>
      </w:pPr>
    </w:p>
    <w:p>
      <w:pPr>
        <w:ind w:left="220" w:right="260"/>
        <w:spacing w:after="0" w:line="243" w:lineRule="auto"/>
        <w:rPr>
          <w:sz w:val="20"/>
          <w:szCs w:val="20"/>
          <w:color w:val="auto"/>
        </w:rPr>
      </w:pPr>
      <w:r>
        <w:rPr>
          <w:rFonts w:ascii="Arial" w:cs="Arial" w:eastAsia="Arial" w:hAnsi="Arial"/>
          <w:sz w:val="17"/>
          <w:szCs w:val="17"/>
          <w:color w:val="auto"/>
        </w:rPr>
        <w:t>From time to time, in the normal course of business, we enter into transactions with Woodbridge and certain of its affiliates. These transactions involve providing and receiving product and service offerings and are not material to our results of operations or financial condition either individually or in the aggregate.</w:t>
      </w:r>
    </w:p>
    <w:p>
      <w:pPr>
        <w:spacing w:after="0" w:line="42" w:lineRule="exact"/>
        <w:rPr>
          <w:sz w:val="20"/>
          <w:szCs w:val="20"/>
          <w:color w:val="auto"/>
        </w:rPr>
      </w:pPr>
    </w:p>
    <w:p>
      <w:pPr>
        <w:ind w:left="220" w:right="140"/>
        <w:spacing w:after="0" w:line="232" w:lineRule="auto"/>
        <w:rPr>
          <w:sz w:val="20"/>
          <w:szCs w:val="20"/>
          <w:color w:val="auto"/>
        </w:rPr>
      </w:pPr>
      <w:r>
        <w:rPr>
          <w:rFonts w:ascii="Arial" w:cs="Arial" w:eastAsia="Arial" w:hAnsi="Arial"/>
          <w:sz w:val="17"/>
          <w:szCs w:val="17"/>
          <w:color w:val="auto"/>
        </w:rPr>
        <w:t>In 2023, we sold two wholly owned Canadian subsidiaries to a company affiliated with Woodbridge for $42 million. The subsidiaries’ assets consisted of accumulated tax losses that management did not expect to utilize against future taxable income prior to their expiry. As such, no tax benefit for the losses had been recognized in the consolidated financial statements. Under Canadian law, certain losses may only be transferred to related companies, such as those affiliated with Woodbridge. The proceeds were recorded as gains within “Other operating gains, net” in the consolidated income statement. For each of these transactions, the board of directors’ Corporate Governance Committee obtained an independent fairness opinion. We utilized each independent fairness opinion to determine that the negotiated price between our company and Woodbridge was reasonable. After reviewing these matters, the Corporate Governance Committee approved these transactions. Directors who were not considered independent because of their positions with Woodbridge refrained from deliberating and voting on the matters at the committee meetings.</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Transactions with YPL</w:t>
      </w:r>
    </w:p>
    <w:p>
      <w:pPr>
        <w:spacing w:after="0" w:line="97" w:lineRule="exact"/>
        <w:rPr>
          <w:sz w:val="20"/>
          <w:szCs w:val="20"/>
          <w:color w:val="auto"/>
        </w:rPr>
      </w:pPr>
    </w:p>
    <w:p>
      <w:pPr>
        <w:ind w:left="220" w:right="200"/>
        <w:spacing w:after="0" w:line="260" w:lineRule="auto"/>
        <w:rPr>
          <w:sz w:val="20"/>
          <w:szCs w:val="20"/>
          <w:color w:val="auto"/>
        </w:rPr>
      </w:pPr>
      <w:r>
        <w:rPr>
          <w:rFonts w:ascii="Arial" w:cs="Arial" w:eastAsia="Arial" w:hAnsi="Arial"/>
          <w:sz w:val="17"/>
          <w:szCs w:val="17"/>
          <w:color w:val="auto"/>
        </w:rPr>
        <w:t>In 2024 and 2023, we received $1.8 billion and $5.3 billion, respectively, of dividends from YPL related to the sale of our indirectly owned LSEG shares.</w:t>
      </w:r>
    </w:p>
    <w:p>
      <w:pPr>
        <w:spacing w:after="0" w:line="27" w:lineRule="exact"/>
        <w:rPr>
          <w:sz w:val="20"/>
          <w:szCs w:val="20"/>
          <w:color w:val="auto"/>
        </w:rPr>
      </w:pPr>
    </w:p>
    <w:p>
      <w:pPr>
        <w:ind w:left="220" w:right="320"/>
        <w:spacing w:after="0" w:line="260" w:lineRule="auto"/>
        <w:rPr>
          <w:sz w:val="20"/>
          <w:szCs w:val="20"/>
          <w:color w:val="auto"/>
        </w:rPr>
      </w:pPr>
      <w:r>
        <w:rPr>
          <w:rFonts w:ascii="Arial" w:cs="Arial" w:eastAsia="Arial" w:hAnsi="Arial"/>
          <w:sz w:val="17"/>
          <w:szCs w:val="17"/>
          <w:color w:val="auto"/>
        </w:rPr>
        <w:t>See the “Executive Summary – Acquisitions and Dispositions” section of this management’s discussion and analysis for additional information regarding the above transactions. </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Transactions with 3XSQ Associates</w:t>
      </w:r>
    </w:p>
    <w:p>
      <w:pPr>
        <w:spacing w:after="0" w:line="97" w:lineRule="exact"/>
        <w:rPr>
          <w:sz w:val="20"/>
          <w:szCs w:val="20"/>
          <w:color w:val="auto"/>
        </w:rPr>
      </w:pPr>
    </w:p>
    <w:p>
      <w:pPr>
        <w:ind w:left="220" w:right="160"/>
        <w:spacing w:after="0" w:line="260" w:lineRule="auto"/>
        <w:rPr>
          <w:sz w:val="20"/>
          <w:szCs w:val="20"/>
          <w:color w:val="auto"/>
        </w:rPr>
      </w:pPr>
      <w:r>
        <w:rPr>
          <w:rFonts w:ascii="Arial" w:cs="Arial" w:eastAsia="Arial" w:hAnsi="Arial"/>
          <w:sz w:val="17"/>
          <w:szCs w:val="17"/>
          <w:color w:val="auto"/>
        </w:rPr>
        <w:t>In 2024, we contributed $10 million in cash pursuant to a capital call. In 2024 and 2023, we paid $4 million and $5 million, respectively, of rent to 3XSQ Associates for office space in the 3 Times Square building in New York, New York related to a lease through December 2028.</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Transactions with Elite</w:t>
      </w:r>
    </w:p>
    <w:p>
      <w:pPr>
        <w:spacing w:after="0" w:line="97" w:lineRule="exact"/>
        <w:rPr>
          <w:sz w:val="20"/>
          <w:szCs w:val="20"/>
          <w:color w:val="auto"/>
        </w:rPr>
      </w:pPr>
    </w:p>
    <w:p>
      <w:pPr>
        <w:ind w:left="220" w:right="100"/>
        <w:spacing w:after="0" w:line="243" w:lineRule="auto"/>
        <w:rPr>
          <w:sz w:val="20"/>
          <w:szCs w:val="20"/>
          <w:color w:val="auto"/>
        </w:rPr>
      </w:pPr>
      <w:r>
        <w:rPr>
          <w:rFonts w:ascii="Arial" w:cs="Arial" w:eastAsia="Arial" w:hAnsi="Arial"/>
          <w:sz w:val="17"/>
          <w:szCs w:val="17"/>
          <w:color w:val="auto"/>
        </w:rPr>
        <w:t>In June 2023, we sold a majority interest in our Elite business to TPG and retained a 19.9% minority interest with board representation. To facilitate the separation, we provided certain operational services to Elite, including technology and administrative services, through May 2024. In 2024 and 2023, we recorded $2 million and $8 million, respectively, as a contra-expense against the costs associated with these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91440</wp:posOffset>
            </wp:positionV>
            <wp:extent cx="68656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5"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55</w:t>
      </w:r>
    </w:p>
    <w:p>
      <w:pPr>
        <w:sectPr>
          <w:pgSz w:w="11900" w:h="16838" w:orient="portrait"/>
          <w:cols w:equalWidth="0" w:num="1">
            <w:col w:w="11040"/>
          </w:cols>
          <w:pgMar w:left="320" w:top="477" w:right="5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460"/>
        <w:spacing w:after="0" w:line="260" w:lineRule="auto"/>
        <w:rPr>
          <w:sz w:val="20"/>
          <w:szCs w:val="20"/>
          <w:color w:val="auto"/>
        </w:rPr>
      </w:pPr>
      <w:r>
        <w:rPr>
          <w:rFonts w:ascii="Arial" w:cs="Arial" w:eastAsia="Arial" w:hAnsi="Arial"/>
          <w:sz w:val="17"/>
          <w:szCs w:val="17"/>
          <w:color w:val="auto"/>
        </w:rPr>
        <w:t>As of December 31, 2024, there were no balances outstanding between our company and Elite. As of December 31, 2023, the consolidated statement of financial position included a receivable from Elite of $39 million and a payable to Elite of $12 million.</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Transactions with other associates</w:t>
      </w:r>
    </w:p>
    <w:p>
      <w:pPr>
        <w:spacing w:after="0" w:line="84" w:lineRule="exact"/>
        <w:rPr>
          <w:sz w:val="20"/>
          <w:szCs w:val="20"/>
          <w:color w:val="auto"/>
        </w:rPr>
      </w:pPr>
    </w:p>
    <w:p>
      <w:pPr>
        <w:ind w:left="220" w:right="40"/>
        <w:spacing w:after="0" w:line="291" w:lineRule="auto"/>
        <w:rPr>
          <w:sz w:val="20"/>
          <w:szCs w:val="20"/>
          <w:color w:val="auto"/>
        </w:rPr>
      </w:pPr>
      <w:r>
        <w:rPr>
          <w:rFonts w:ascii="Arial" w:cs="Arial" w:eastAsia="Arial" w:hAnsi="Arial"/>
          <w:sz w:val="16"/>
          <w:szCs w:val="16"/>
          <w:color w:val="auto"/>
        </w:rPr>
        <w:t>From time to time, we enter into transactions with other associates. These transactions typically involve providing or receiving services in the normal course of business and are not material to our company’s results of operations or financial condition either individually or in the aggregate.</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Compensation of key management personnel</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Key management personnel compensation, including directors,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4631055</wp:posOffset>
            </wp:positionH>
            <wp:positionV relativeFrom="paragraph">
              <wp:posOffset>159385</wp:posOffset>
            </wp:positionV>
            <wp:extent cx="2372360" cy="1511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372360" cy="151130"/>
                    </a:xfrm>
                    <a:prstGeom prst="rect">
                      <a:avLst/>
                    </a:prstGeom>
                    <a:noFill/>
                  </pic:spPr>
                </pic:pic>
              </a:graphicData>
            </a:graphic>
          </wp:anchor>
        </w:drawing>
      </w:r>
    </w:p>
    <w:p>
      <w:pPr>
        <w:spacing w:after="0" w:line="269" w:lineRule="exact"/>
        <w:rPr>
          <w:sz w:val="20"/>
          <w:szCs w:val="20"/>
          <w:color w:val="auto"/>
        </w:rPr>
      </w:pPr>
    </w:p>
    <w:p>
      <w:pPr>
        <w:ind w:left="8360"/>
        <w:spacing w:after="0"/>
        <w:rPr>
          <w:sz w:val="20"/>
          <w:szCs w:val="20"/>
          <w:color w:val="auto"/>
        </w:rPr>
      </w:pPr>
      <w:r>
        <w:rPr>
          <w:rFonts w:ascii="Arial" w:cs="Arial" w:eastAsia="Arial" w:hAnsi="Arial"/>
          <w:sz w:val="16"/>
          <w:szCs w:val="16"/>
          <w:b w:val="1"/>
          <w:bCs w:val="1"/>
          <w:color w:val="auto"/>
        </w:rPr>
        <w:t>  Year ended December 31, 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25"/>
        </w:trPr>
        <w:tc>
          <w:tcPr>
            <w:tcW w:w="7080" w:type="dxa"/>
            <w:vAlign w:val="bottom"/>
            <w:tcBorders>
              <w:top w:val="single" w:sz="8" w:color="auto"/>
              <w:bottom w:val="single" w:sz="8" w:color="D64000"/>
            </w:tcBorders>
            <w:shd w:val="clear" w:color="auto" w:fill="1F473D"/>
          </w:tcPr>
          <w:p>
            <w:pPr>
              <w:spacing w:after="0"/>
              <w:rPr>
                <w:sz w:val="20"/>
                <w:szCs w:val="20"/>
                <w:color w:val="auto"/>
              </w:rPr>
            </w:pPr>
            <w:r>
              <w:rPr>
                <w:rFonts w:ascii="Arial" w:cs="Arial" w:eastAsia="Arial" w:hAnsi="Arial"/>
                <w:sz w:val="16"/>
                <w:szCs w:val="16"/>
                <w:color w:val="FFFFFF"/>
              </w:rPr>
              <w:t>  (millions of U.S. dollars)</w:t>
            </w:r>
          </w:p>
        </w:tc>
        <w:tc>
          <w:tcPr>
            <w:tcW w:w="2440" w:type="dxa"/>
            <w:vAlign w:val="bottom"/>
            <w:tcBorders>
              <w:top w:val="single" w:sz="8" w:color="auto"/>
              <w:bottom w:val="single" w:sz="8" w:color="D64000"/>
            </w:tcBorders>
            <w:shd w:val="clear" w:color="auto" w:fill="1F473D"/>
          </w:tcPr>
          <w:p>
            <w:pPr>
              <w:jc w:val="right"/>
              <w:ind w:right="601"/>
              <w:spacing w:after="0"/>
              <w:rPr>
                <w:sz w:val="20"/>
                <w:szCs w:val="20"/>
                <w:color w:val="auto"/>
              </w:rPr>
            </w:pPr>
            <w:r>
              <w:rPr>
                <w:rFonts w:ascii="Arial" w:cs="Arial" w:eastAsia="Arial" w:hAnsi="Arial"/>
                <w:sz w:val="16"/>
                <w:szCs w:val="16"/>
                <w:b w:val="1"/>
                <w:bCs w:val="1"/>
                <w:color w:val="FFFFFF"/>
              </w:rPr>
              <w:t>2024</w:t>
            </w:r>
          </w:p>
        </w:tc>
        <w:tc>
          <w:tcPr>
            <w:tcW w:w="1280" w:type="dxa"/>
            <w:vAlign w:val="bottom"/>
            <w:tcBorders>
              <w:top w:val="single" w:sz="8" w:color="auto"/>
              <w:bottom w:val="single" w:sz="8" w:color="D64000"/>
            </w:tcBorders>
            <w:shd w:val="clear" w:color="auto" w:fill="1F473D"/>
          </w:tcPr>
          <w:p>
            <w:pPr>
              <w:jc w:val="right"/>
              <w:ind w:right="181"/>
              <w:spacing w:after="0"/>
              <w:rPr>
                <w:sz w:val="20"/>
                <w:szCs w:val="20"/>
                <w:color w:val="auto"/>
              </w:rPr>
            </w:pPr>
            <w:r>
              <w:rPr>
                <w:rFonts w:ascii="Arial" w:cs="Arial" w:eastAsia="Arial" w:hAnsi="Arial"/>
                <w:sz w:val="16"/>
                <w:szCs w:val="16"/>
                <w:color w:val="FFFFFF"/>
              </w:rPr>
              <w:t>2023</w:t>
            </w:r>
          </w:p>
        </w:tc>
      </w:tr>
      <w:tr>
        <w:trPr>
          <w:trHeight w:val="171"/>
        </w:trPr>
        <w:tc>
          <w:tcPr>
            <w:tcW w:w="7080" w:type="dxa"/>
            <w:vAlign w:val="bottom"/>
          </w:tcPr>
          <w:p>
            <w:pPr>
              <w:spacing w:after="0" w:line="171" w:lineRule="exact"/>
              <w:rPr>
                <w:sz w:val="20"/>
                <w:szCs w:val="20"/>
                <w:color w:val="auto"/>
              </w:rPr>
            </w:pPr>
            <w:r>
              <w:rPr>
                <w:rFonts w:ascii="Arial" w:cs="Arial" w:eastAsia="Arial" w:hAnsi="Arial"/>
                <w:sz w:val="16"/>
                <w:szCs w:val="16"/>
                <w:b w:val="1"/>
                <w:bCs w:val="1"/>
                <w:color w:val="auto"/>
              </w:rPr>
              <w:t>  Salaries and other benefits</w:t>
            </w:r>
          </w:p>
        </w:tc>
        <w:tc>
          <w:tcPr>
            <w:tcW w:w="2440" w:type="dxa"/>
            <w:vAlign w:val="bottom"/>
          </w:tcPr>
          <w:p>
            <w:pPr>
              <w:jc w:val="right"/>
              <w:ind w:right="601"/>
              <w:spacing w:after="0" w:line="171" w:lineRule="exact"/>
              <w:rPr>
                <w:sz w:val="20"/>
                <w:szCs w:val="20"/>
                <w:color w:val="auto"/>
              </w:rPr>
            </w:pPr>
            <w:r>
              <w:rPr>
                <w:rFonts w:ascii="Arial" w:cs="Arial" w:eastAsia="Arial" w:hAnsi="Arial"/>
                <w:sz w:val="16"/>
                <w:szCs w:val="16"/>
                <w:b w:val="1"/>
                <w:bCs w:val="1"/>
                <w:color w:val="auto"/>
              </w:rPr>
              <w:t>25</w:t>
            </w:r>
          </w:p>
        </w:tc>
        <w:tc>
          <w:tcPr>
            <w:tcW w:w="1280" w:type="dxa"/>
            <w:vAlign w:val="bottom"/>
          </w:tcPr>
          <w:p>
            <w:pPr>
              <w:jc w:val="right"/>
              <w:ind w:right="181"/>
              <w:spacing w:after="0" w:line="171" w:lineRule="exact"/>
              <w:rPr>
                <w:sz w:val="20"/>
                <w:szCs w:val="20"/>
                <w:color w:val="auto"/>
              </w:rPr>
            </w:pPr>
            <w:r>
              <w:rPr>
                <w:rFonts w:ascii="Arial" w:cs="Arial" w:eastAsia="Arial" w:hAnsi="Arial"/>
                <w:sz w:val="16"/>
                <w:szCs w:val="16"/>
                <w:color w:val="auto"/>
              </w:rPr>
              <w:t>23</w:t>
            </w:r>
          </w:p>
        </w:tc>
      </w:tr>
      <w:tr>
        <w:trPr>
          <w:trHeight w:val="200"/>
        </w:trPr>
        <w:tc>
          <w:tcPr>
            <w:tcW w:w="7080" w:type="dxa"/>
            <w:vAlign w:val="bottom"/>
            <w:tcBorders>
              <w:bottom w:val="single" w:sz="8" w:color="B2B2B2"/>
            </w:tcBorders>
          </w:tcPr>
          <w:p>
            <w:pPr>
              <w:spacing w:after="0"/>
              <w:rPr>
                <w:sz w:val="20"/>
                <w:szCs w:val="20"/>
                <w:color w:val="auto"/>
              </w:rPr>
            </w:pPr>
            <w:r>
              <w:rPr>
                <w:rFonts w:ascii="Arial" w:cs="Arial" w:eastAsia="Arial" w:hAnsi="Arial"/>
                <w:sz w:val="16"/>
                <w:szCs w:val="16"/>
                <w:b w:val="1"/>
                <w:bCs w:val="1"/>
                <w:color w:val="auto"/>
              </w:rPr>
              <w:t>  Share-based payments</w:t>
            </w:r>
          </w:p>
        </w:tc>
        <w:tc>
          <w:tcPr>
            <w:tcW w:w="2440" w:type="dxa"/>
            <w:vAlign w:val="bottom"/>
            <w:tcBorders>
              <w:bottom w:val="single" w:sz="8" w:color="B2B2B2"/>
            </w:tcBorders>
          </w:tcPr>
          <w:p>
            <w:pPr>
              <w:jc w:val="right"/>
              <w:ind w:right="601"/>
              <w:spacing w:after="0"/>
              <w:rPr>
                <w:sz w:val="20"/>
                <w:szCs w:val="20"/>
                <w:color w:val="auto"/>
              </w:rPr>
            </w:pPr>
            <w:r>
              <w:rPr>
                <w:rFonts w:ascii="Arial" w:cs="Arial" w:eastAsia="Arial" w:hAnsi="Arial"/>
                <w:sz w:val="16"/>
                <w:szCs w:val="16"/>
                <w:b w:val="1"/>
                <w:bCs w:val="1"/>
                <w:color w:val="auto"/>
              </w:rPr>
              <w:t>19</w:t>
            </w:r>
          </w:p>
        </w:tc>
        <w:tc>
          <w:tcPr>
            <w:tcW w:w="128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color w:val="auto"/>
              </w:rPr>
              <w:t>17</w:t>
            </w:r>
          </w:p>
        </w:tc>
      </w:tr>
      <w:tr>
        <w:trPr>
          <w:trHeight w:val="185"/>
        </w:trPr>
        <w:tc>
          <w:tcPr>
            <w:tcW w:w="708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b w:val="1"/>
                <w:bCs w:val="1"/>
                <w:color w:val="auto"/>
              </w:rPr>
              <w:t>  Total compensation</w:t>
            </w:r>
          </w:p>
        </w:tc>
        <w:tc>
          <w:tcPr>
            <w:tcW w:w="2440" w:type="dxa"/>
            <w:vAlign w:val="bottom"/>
            <w:tcBorders>
              <w:bottom w:val="single" w:sz="8" w:color="D64000"/>
            </w:tcBorders>
          </w:tcPr>
          <w:p>
            <w:pPr>
              <w:jc w:val="right"/>
              <w:ind w:right="601"/>
              <w:spacing w:after="0" w:line="179" w:lineRule="exact"/>
              <w:rPr>
                <w:sz w:val="20"/>
                <w:szCs w:val="20"/>
                <w:color w:val="auto"/>
              </w:rPr>
            </w:pPr>
            <w:r>
              <w:rPr>
                <w:rFonts w:ascii="Arial" w:cs="Arial" w:eastAsia="Arial" w:hAnsi="Arial"/>
                <w:sz w:val="16"/>
                <w:szCs w:val="16"/>
                <w:b w:val="1"/>
                <w:bCs w:val="1"/>
                <w:color w:val="auto"/>
              </w:rPr>
              <w:t>44</w:t>
            </w:r>
          </w:p>
        </w:tc>
        <w:tc>
          <w:tcPr>
            <w:tcW w:w="1280" w:type="dxa"/>
            <w:vAlign w:val="bottom"/>
            <w:tcBorders>
              <w:bottom w:val="single" w:sz="8" w:color="D64000"/>
            </w:tcBorders>
          </w:tcPr>
          <w:p>
            <w:pPr>
              <w:jc w:val="right"/>
              <w:ind w:right="181"/>
              <w:spacing w:after="0" w:line="179" w:lineRule="exact"/>
              <w:rPr>
                <w:sz w:val="20"/>
                <w:szCs w:val="20"/>
                <w:color w:val="auto"/>
              </w:rPr>
            </w:pPr>
            <w:r>
              <w:rPr>
                <w:rFonts w:ascii="Arial" w:cs="Arial" w:eastAsia="Arial" w:hAnsi="Arial"/>
                <w:sz w:val="16"/>
                <w:szCs w:val="16"/>
                <w:color w:val="auto"/>
              </w:rPr>
              <w:t>40</w:t>
            </w:r>
          </w:p>
        </w:tc>
      </w:tr>
      <w:tr>
        <w:trPr>
          <w:trHeight w:val="279"/>
        </w:trPr>
        <w:tc>
          <w:tcPr>
            <w:tcW w:w="7080" w:type="dxa"/>
            <w:vAlign w:val="bottom"/>
          </w:tcPr>
          <w:p>
            <w:pPr>
              <w:spacing w:after="0"/>
              <w:rPr>
                <w:sz w:val="20"/>
                <w:szCs w:val="20"/>
                <w:color w:val="auto"/>
              </w:rPr>
            </w:pPr>
            <w:r>
              <w:rPr>
                <w:rFonts w:ascii="Arial" w:cs="Arial" w:eastAsia="Arial" w:hAnsi="Arial"/>
                <w:sz w:val="17"/>
                <w:szCs w:val="17"/>
                <w:color w:val="auto"/>
              </w:rPr>
              <w:t>Key management personnel are comprised of our company’s directors and executive officers.</w:t>
            </w:r>
          </w:p>
        </w:tc>
        <w:tc>
          <w:tcPr>
            <w:tcW w:w="244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166" w:lineRule="exact"/>
        <w:rPr>
          <w:sz w:val="20"/>
          <w:szCs w:val="20"/>
          <w:color w:val="auto"/>
        </w:rPr>
      </w:pPr>
    </w:p>
    <w:p>
      <w:pPr>
        <w:ind w:left="220"/>
        <w:spacing w:after="0"/>
        <w:rPr>
          <w:sz w:val="20"/>
          <w:szCs w:val="20"/>
          <w:color w:val="auto"/>
        </w:rPr>
      </w:pPr>
      <w:r>
        <w:rPr>
          <w:rFonts w:ascii="Arial" w:cs="Arial" w:eastAsia="Arial" w:hAnsi="Arial"/>
          <w:sz w:val="28"/>
          <w:szCs w:val="28"/>
          <w:b w:val="1"/>
          <w:bCs w:val="1"/>
          <w:color w:val="auto"/>
        </w:rPr>
        <w:t>Subsequent Events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Acquisition</w:t>
      </w:r>
    </w:p>
    <w:p>
      <w:pPr>
        <w:spacing w:after="0" w:line="84" w:lineRule="exact"/>
        <w:rPr>
          <w:sz w:val="20"/>
          <w:szCs w:val="20"/>
          <w:color w:val="auto"/>
        </w:rPr>
      </w:pPr>
    </w:p>
    <w:p>
      <w:pPr>
        <w:ind w:left="220" w:right="100"/>
        <w:spacing w:after="0" w:line="238" w:lineRule="auto"/>
        <w:rPr>
          <w:sz w:val="20"/>
          <w:szCs w:val="20"/>
          <w:color w:val="auto"/>
        </w:rPr>
      </w:pPr>
      <w:r>
        <w:rPr>
          <w:rFonts w:ascii="Arial" w:cs="Arial" w:eastAsia="Arial" w:hAnsi="Arial"/>
          <w:sz w:val="17"/>
          <w:szCs w:val="17"/>
          <w:color w:val="auto"/>
        </w:rPr>
        <w:t>In January 2025, we acquired cPaperless, LLC, doing business as SafeSend (SafeSend), for $600 million in cash. SafeSend is a U.S. based cloud-native provider of technology for tax and accounting professionals. SafeSend automates the “last-mile” of the tax return, including assembly, review, taxpayer e-signature, and delivery. This business will be substantially reported in the Tax &amp; Accounting Professionals segment. We are in the process of allocating the purchase consideration to the assets and liabilities assumed for accounting purposes.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2025 Dividends</w:t>
      </w:r>
    </w:p>
    <w:p>
      <w:pPr>
        <w:spacing w:after="0" w:line="97" w:lineRule="exact"/>
        <w:rPr>
          <w:sz w:val="20"/>
          <w:szCs w:val="20"/>
          <w:color w:val="auto"/>
        </w:rPr>
      </w:pPr>
    </w:p>
    <w:p>
      <w:pPr>
        <w:ind w:left="220" w:right="40"/>
        <w:spacing w:after="0" w:line="243" w:lineRule="auto"/>
        <w:rPr>
          <w:sz w:val="20"/>
          <w:szCs w:val="20"/>
          <w:color w:val="auto"/>
        </w:rPr>
      </w:pPr>
      <w:r>
        <w:rPr>
          <w:rFonts w:ascii="Arial" w:cs="Arial" w:eastAsia="Arial" w:hAnsi="Arial"/>
          <w:sz w:val="17"/>
          <w:szCs w:val="17"/>
          <w:color w:val="auto"/>
        </w:rPr>
        <w:t>In February 2025, we announced a 10% or $0.22 per share increase in the annualized dividend to $2.38 per common share, which was approved by our board of directors. A quarterly dividend of $0.595 per share will be paid on March 10, 2025 to shareholders of record as of February 20, 2025.</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Debt exchange offers</w:t>
      </w:r>
    </w:p>
    <w:p>
      <w:pPr>
        <w:spacing w:after="0" w:line="97" w:lineRule="exact"/>
        <w:rPr>
          <w:sz w:val="20"/>
          <w:szCs w:val="20"/>
          <w:color w:val="auto"/>
        </w:rPr>
      </w:pPr>
    </w:p>
    <w:p>
      <w:pPr>
        <w:ind w:left="220" w:right="80"/>
        <w:spacing w:after="0" w:line="238" w:lineRule="auto"/>
        <w:rPr>
          <w:sz w:val="20"/>
          <w:szCs w:val="20"/>
          <w:color w:val="auto"/>
        </w:rPr>
      </w:pPr>
      <w:r>
        <w:rPr>
          <w:rFonts w:ascii="Arial" w:cs="Arial" w:eastAsia="Arial" w:hAnsi="Arial"/>
          <w:sz w:val="17"/>
          <w:szCs w:val="17"/>
          <w:color w:val="auto"/>
        </w:rPr>
        <w:t>On February 11, 2025, we commenced offers to exchange all the notes of TRC listed below for new notes issued by TR Finance in order to optimize the Thomson Reuters group capital structure, align revenue generation to indebtedness, and give existing holders of the existing notes the option to receive notes issued by TR Finance with the same financial terms and substantially similar covenants as the applicable series of the existing notes:</w:t>
      </w:r>
    </w:p>
    <w:p>
      <w:pPr>
        <w:spacing w:after="0" w:line="59" w:lineRule="exact"/>
        <w:rPr>
          <w:sz w:val="20"/>
          <w:szCs w:val="20"/>
          <w:color w:val="auto"/>
        </w:rPr>
      </w:pPr>
    </w:p>
    <w:p>
      <w:pPr>
        <w:ind w:left="640" w:hanging="422"/>
        <w:spacing w:after="0"/>
        <w:tabs>
          <w:tab w:leader="none" w:pos="640" w:val="left"/>
        </w:tabs>
        <w:numPr>
          <w:ilvl w:val="0"/>
          <w:numId w:val="64"/>
        </w:numPr>
        <w:rPr>
          <w:rFonts w:ascii="Arial" w:cs="Arial" w:eastAsia="Arial" w:hAnsi="Arial"/>
          <w:sz w:val="17"/>
          <w:szCs w:val="17"/>
          <w:color w:val="D64000"/>
        </w:rPr>
      </w:pPr>
      <w:r>
        <w:rPr>
          <w:rFonts w:ascii="Arial" w:cs="Arial" w:eastAsia="Arial" w:hAnsi="Arial"/>
          <w:sz w:val="17"/>
          <w:szCs w:val="17"/>
          <w:color w:val="auto"/>
        </w:rPr>
        <w:t>$500 million 3.35% Notes due 2026;</w:t>
      </w:r>
    </w:p>
    <w:p>
      <w:pPr>
        <w:spacing w:after="0" w:line="6" w:lineRule="exact"/>
        <w:rPr>
          <w:rFonts w:ascii="Arial" w:cs="Arial" w:eastAsia="Arial" w:hAnsi="Arial"/>
          <w:sz w:val="17"/>
          <w:szCs w:val="17"/>
          <w:color w:val="D64000"/>
        </w:rPr>
      </w:pPr>
    </w:p>
    <w:p>
      <w:pPr>
        <w:ind w:left="640" w:hanging="422"/>
        <w:spacing w:after="0" w:line="227" w:lineRule="auto"/>
        <w:tabs>
          <w:tab w:leader="none" w:pos="640" w:val="left"/>
        </w:tabs>
        <w:numPr>
          <w:ilvl w:val="0"/>
          <w:numId w:val="64"/>
        </w:numPr>
        <w:rPr>
          <w:rFonts w:ascii="Arial" w:cs="Arial" w:eastAsia="Arial" w:hAnsi="Arial"/>
          <w:sz w:val="17"/>
          <w:szCs w:val="17"/>
          <w:color w:val="D64000"/>
        </w:rPr>
      </w:pPr>
      <w:r>
        <w:rPr>
          <w:rFonts w:ascii="Arial" w:cs="Arial" w:eastAsia="Arial" w:hAnsi="Arial"/>
          <w:sz w:val="17"/>
          <w:szCs w:val="17"/>
          <w:color w:val="auto"/>
        </w:rPr>
        <w:t>$500 million 5.85% Notes due 2040;</w:t>
      </w:r>
    </w:p>
    <w:p>
      <w:pPr>
        <w:ind w:left="640" w:hanging="422"/>
        <w:spacing w:after="0" w:line="227" w:lineRule="auto"/>
        <w:tabs>
          <w:tab w:leader="none" w:pos="640" w:val="left"/>
        </w:tabs>
        <w:numPr>
          <w:ilvl w:val="0"/>
          <w:numId w:val="64"/>
        </w:numPr>
        <w:rPr>
          <w:rFonts w:ascii="Arial" w:cs="Arial" w:eastAsia="Arial" w:hAnsi="Arial"/>
          <w:sz w:val="17"/>
          <w:szCs w:val="17"/>
          <w:color w:val="D64000"/>
        </w:rPr>
      </w:pPr>
      <w:r>
        <w:rPr>
          <w:rFonts w:ascii="Arial" w:cs="Arial" w:eastAsia="Arial" w:hAnsi="Arial"/>
          <w:sz w:val="17"/>
          <w:szCs w:val="17"/>
          <w:color w:val="auto"/>
        </w:rPr>
        <w:t>$119 million 4.50% Notes due 2043;</w:t>
      </w:r>
    </w:p>
    <w:p>
      <w:pPr>
        <w:ind w:left="640" w:hanging="422"/>
        <w:spacing w:after="0" w:line="227" w:lineRule="auto"/>
        <w:tabs>
          <w:tab w:leader="none" w:pos="640" w:val="left"/>
        </w:tabs>
        <w:numPr>
          <w:ilvl w:val="0"/>
          <w:numId w:val="64"/>
        </w:numPr>
        <w:rPr>
          <w:rFonts w:ascii="Arial" w:cs="Arial" w:eastAsia="Arial" w:hAnsi="Arial"/>
          <w:sz w:val="17"/>
          <w:szCs w:val="17"/>
          <w:color w:val="D64000"/>
        </w:rPr>
      </w:pPr>
      <w:r>
        <w:rPr>
          <w:rFonts w:ascii="Arial" w:cs="Arial" w:eastAsia="Arial" w:hAnsi="Arial"/>
          <w:sz w:val="17"/>
          <w:szCs w:val="17"/>
          <w:color w:val="auto"/>
        </w:rPr>
        <w:t>$350 million 5.65% Notes due 2043; and</w:t>
      </w:r>
    </w:p>
    <w:p>
      <w:pPr>
        <w:ind w:left="640" w:hanging="422"/>
        <w:spacing w:after="0"/>
        <w:tabs>
          <w:tab w:leader="none" w:pos="640" w:val="left"/>
        </w:tabs>
        <w:numPr>
          <w:ilvl w:val="0"/>
          <w:numId w:val="64"/>
        </w:numPr>
        <w:rPr>
          <w:rFonts w:ascii="Arial" w:cs="Arial" w:eastAsia="Arial" w:hAnsi="Arial"/>
          <w:sz w:val="17"/>
          <w:szCs w:val="17"/>
          <w:color w:val="D64000"/>
        </w:rPr>
      </w:pPr>
      <w:r>
        <w:rPr>
          <w:rFonts w:ascii="Arial" w:cs="Arial" w:eastAsia="Arial" w:hAnsi="Arial"/>
          <w:sz w:val="17"/>
          <w:szCs w:val="17"/>
          <w:color w:val="auto"/>
        </w:rPr>
        <w:t>$400 million 5.50% Debentures due 2035.</w:t>
      </w:r>
    </w:p>
    <w:p>
      <w:pPr>
        <w:spacing w:after="0" w:line="54" w:lineRule="exact"/>
        <w:rPr>
          <w:sz w:val="20"/>
          <w:szCs w:val="20"/>
          <w:color w:val="auto"/>
        </w:rPr>
      </w:pPr>
    </w:p>
    <w:p>
      <w:pPr>
        <w:ind w:left="220" w:right="120"/>
        <w:spacing w:after="0" w:line="235" w:lineRule="auto"/>
        <w:rPr>
          <w:sz w:val="20"/>
          <w:szCs w:val="20"/>
          <w:color w:val="auto"/>
        </w:rPr>
      </w:pPr>
      <w:r>
        <w:rPr>
          <w:rFonts w:ascii="Arial" w:cs="Arial" w:eastAsia="Arial" w:hAnsi="Arial"/>
          <w:sz w:val="17"/>
          <w:szCs w:val="17"/>
          <w:color w:val="auto"/>
        </w:rPr>
        <w:t>The notes to be issued by TR Finance have the same interest rate, interest payment dates and maturity date, and the economic terms of the optional redemption provisions are the same, as the above notes of TRC. The new notes will be fully and unconditionally guaranteed as to payment of principal, premium (if any) and interest by TRC as well as West Publishing Corporation, Thomson Reuters Applications Inc. and Thomson Reuters (Tax &amp; Accounting) Inc., each of which is an indirect 100% owned U.S. subsidiary of TRC. In addition, on or about the settlement date of the exchange offers, the three U.S. subsidiary guarantors will also guarantee the remaining TRC notes on the same basis that TRC and the three U.S. subsidiary guarantors will guarantee the TR Finance notes upon closing of the exchange offers.</w:t>
      </w:r>
    </w:p>
    <w:p>
      <w:pPr>
        <w:spacing w:after="0" w:line="57" w:lineRule="exact"/>
        <w:rPr>
          <w:sz w:val="20"/>
          <w:szCs w:val="20"/>
          <w:color w:val="auto"/>
        </w:rPr>
      </w:pPr>
    </w:p>
    <w:p>
      <w:pPr>
        <w:ind w:left="220" w:right="100"/>
        <w:spacing w:after="0" w:line="235" w:lineRule="auto"/>
        <w:rPr>
          <w:sz w:val="20"/>
          <w:szCs w:val="20"/>
          <w:color w:val="auto"/>
        </w:rPr>
      </w:pPr>
      <w:r>
        <w:rPr>
          <w:rFonts w:ascii="Arial" w:cs="Arial" w:eastAsia="Arial" w:hAnsi="Arial"/>
          <w:sz w:val="17"/>
          <w:szCs w:val="17"/>
          <w:color w:val="auto"/>
        </w:rPr>
        <w:t>In connection with the exchange offers, we are also soliciting consents from holders of the TRC notes to amend the TRC indenture and the applicable supplemental indentures governing the TRC notes, including certain covenants and related definitions, to modify or eliminate certain reporting requirements, restrictive covenants and events of default. In order for these proposed amendments to be adopted with respect to a series of TRC notes, holders of not less than a majority of the aggregate principal amount of the outstanding TRC notes of that series must consent. By tendering TRC notes for exchange pursuant to the exchange offers, holders will be deemed to have validly delivered their consent to the proposed amendments with respect to that specific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92710</wp:posOffset>
            </wp:positionV>
            <wp:extent cx="68656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7"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56</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exchange offers commenced on February 11, 2025 and will expire on March 17, 2025.</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NYSE listing transferred to Nasdaq</w:t>
      </w:r>
    </w:p>
    <w:p>
      <w:pPr>
        <w:spacing w:after="0" w:line="84" w:lineRule="exact"/>
        <w:rPr>
          <w:sz w:val="20"/>
          <w:szCs w:val="20"/>
          <w:color w:val="auto"/>
        </w:rPr>
      </w:pPr>
    </w:p>
    <w:p>
      <w:pPr>
        <w:ind w:left="220" w:right="840"/>
        <w:spacing w:after="0" w:line="291" w:lineRule="auto"/>
        <w:rPr>
          <w:sz w:val="20"/>
          <w:szCs w:val="20"/>
          <w:color w:val="auto"/>
        </w:rPr>
      </w:pPr>
      <w:r>
        <w:rPr>
          <w:rFonts w:ascii="Arial" w:cs="Arial" w:eastAsia="Arial" w:hAnsi="Arial"/>
          <w:sz w:val="16"/>
          <w:szCs w:val="16"/>
          <w:color w:val="auto"/>
        </w:rPr>
        <w:t>In February 2025, we announced that we voluntarily transferred our U.S. stock exchange listing to the Nasdaq from the NYSE effective February 25, 2025. We continue to trade under the symbol “TRI”. We ceased trading on the NYSE effective February 24, 2025.</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28"/>
          <w:szCs w:val="28"/>
          <w:b w:val="1"/>
          <w:bCs w:val="1"/>
          <w:color w:val="auto"/>
        </w:rPr>
        <w:t>Changes in Accounting Policies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had no significant changes to our accounting policies for the year ended December 31, 2024.</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Accounting pronouncements effective in future periods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7"/>
          <w:szCs w:val="17"/>
          <w:u w:val="single" w:color="auto"/>
          <w:color w:val="auto"/>
        </w:rPr>
        <w:t xml:space="preserve">IAS 21, </w:t>
      </w:r>
      <w:r>
        <w:rPr>
          <w:rFonts w:ascii="Arial" w:cs="Arial" w:eastAsia="Arial" w:hAnsi="Arial"/>
          <w:sz w:val="17"/>
          <w:szCs w:val="17"/>
          <w:i w:val="1"/>
          <w:iCs w:val="1"/>
          <w:u w:val="single" w:color="auto"/>
          <w:color w:val="auto"/>
        </w:rPr>
        <w:t>The Effect of Changes in Foreign Exchange Rates</w:t>
      </w:r>
    </w:p>
    <w:p>
      <w:pPr>
        <w:spacing w:after="0" w:line="83" w:lineRule="exact"/>
        <w:rPr>
          <w:sz w:val="20"/>
          <w:szCs w:val="20"/>
          <w:color w:val="auto"/>
        </w:rPr>
      </w:pPr>
    </w:p>
    <w:p>
      <w:pPr>
        <w:ind w:left="220" w:right="180"/>
        <w:spacing w:after="0" w:line="238" w:lineRule="auto"/>
        <w:rPr>
          <w:sz w:val="20"/>
          <w:szCs w:val="20"/>
          <w:color w:val="auto"/>
        </w:rPr>
      </w:pPr>
      <w:r>
        <w:rPr>
          <w:rFonts w:ascii="Arial" w:cs="Arial" w:eastAsia="Arial" w:hAnsi="Arial"/>
          <w:sz w:val="17"/>
          <w:szCs w:val="17"/>
          <w:color w:val="auto"/>
        </w:rPr>
        <w:t>In August 2023, the IASB issued amendments to IAS 21, which provide guidance on the determination of an exchange rate to translate transactions and financial statements denominated or presented in a currency that is not exchangeable into another currency. The amendments are effective for reporting periods beginning January 1, 2025. There will be no material impact from the adoption of these amendments on our financial statements.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7"/>
          <w:szCs w:val="17"/>
          <w:u w:val="single" w:color="auto"/>
          <w:color w:val="auto"/>
        </w:rPr>
        <w:t xml:space="preserve">IFRS 18, </w:t>
      </w:r>
      <w:r>
        <w:rPr>
          <w:rFonts w:ascii="Arial" w:cs="Arial" w:eastAsia="Arial" w:hAnsi="Arial"/>
          <w:sz w:val="17"/>
          <w:szCs w:val="17"/>
          <w:i w:val="1"/>
          <w:iCs w:val="1"/>
          <w:u w:val="single" w:color="auto"/>
          <w:color w:val="auto"/>
        </w:rPr>
        <w:t>Presentation and Disclosure in Financial Statements</w:t>
      </w:r>
    </w:p>
    <w:p>
      <w:pPr>
        <w:spacing w:after="0" w:line="70" w:lineRule="exact"/>
        <w:rPr>
          <w:sz w:val="20"/>
          <w:szCs w:val="20"/>
          <w:color w:val="auto"/>
        </w:rPr>
      </w:pPr>
    </w:p>
    <w:p>
      <w:pPr>
        <w:ind w:left="220" w:right="200"/>
        <w:spacing w:after="0" w:line="243" w:lineRule="auto"/>
        <w:rPr>
          <w:sz w:val="20"/>
          <w:szCs w:val="20"/>
          <w:color w:val="auto"/>
        </w:rPr>
      </w:pPr>
      <w:r>
        <w:rPr>
          <w:rFonts w:ascii="Arial" w:cs="Arial" w:eastAsia="Arial" w:hAnsi="Arial"/>
          <w:sz w:val="17"/>
          <w:szCs w:val="17"/>
          <w:color w:val="auto"/>
        </w:rPr>
        <w:t xml:space="preserve">In April 2024, the IASB issued IFRS 18, which will replace IAS 1, </w:t>
      </w:r>
      <w:r>
        <w:rPr>
          <w:rFonts w:ascii="Arial" w:cs="Arial" w:eastAsia="Arial" w:hAnsi="Arial"/>
          <w:sz w:val="17"/>
          <w:szCs w:val="17"/>
          <w:i w:val="1"/>
          <w:iCs w:val="1"/>
          <w:color w:val="auto"/>
        </w:rPr>
        <w:t>Presentation of Financial Statements</w:t>
      </w:r>
      <w:r>
        <w:rPr>
          <w:rFonts w:ascii="Arial" w:cs="Arial" w:eastAsia="Arial" w:hAnsi="Arial"/>
          <w:sz w:val="17"/>
          <w:szCs w:val="17"/>
          <w:color w:val="auto"/>
        </w:rPr>
        <w:t>, and is effective for reporting periods beginning January 1, 2027. IFRS 18 will change the presentation of our financial statements and add new disclosure requirements. Specifically, the new standard requires:</w:t>
      </w:r>
    </w:p>
    <w:p>
      <w:pPr>
        <w:spacing w:after="0" w:line="55" w:lineRule="exact"/>
        <w:rPr>
          <w:sz w:val="20"/>
          <w:szCs w:val="20"/>
          <w:color w:val="auto"/>
        </w:rPr>
      </w:pPr>
    </w:p>
    <w:p>
      <w:pPr>
        <w:ind w:left="640" w:right="500" w:hanging="422"/>
        <w:spacing w:after="0" w:line="237" w:lineRule="auto"/>
        <w:tabs>
          <w:tab w:leader="none" w:pos="640" w:val="left"/>
        </w:tabs>
        <w:numPr>
          <w:ilvl w:val="0"/>
          <w:numId w:val="65"/>
        </w:numPr>
        <w:rPr>
          <w:rFonts w:ascii="Arial" w:cs="Arial" w:eastAsia="Arial" w:hAnsi="Arial"/>
          <w:sz w:val="17"/>
          <w:szCs w:val="17"/>
          <w:color w:val="D64000"/>
        </w:rPr>
      </w:pPr>
      <w:r>
        <w:rPr>
          <w:rFonts w:ascii="Arial" w:cs="Arial" w:eastAsia="Arial" w:hAnsi="Arial"/>
          <w:sz w:val="17"/>
          <w:szCs w:val="17"/>
          <w:color w:val="auto"/>
        </w:rPr>
        <w:t>The consolidated income statement to be structured according to operating, investing and financing categories, and include additional subtotals for “Operating Profit” and “Profit Before Financing and Income Taxes”;</w:t>
      </w:r>
    </w:p>
    <w:p>
      <w:pPr>
        <w:ind w:left="640" w:right="280" w:hanging="422"/>
        <w:spacing w:after="0" w:line="227" w:lineRule="auto"/>
        <w:tabs>
          <w:tab w:leader="none" w:pos="640" w:val="left"/>
        </w:tabs>
        <w:numPr>
          <w:ilvl w:val="0"/>
          <w:numId w:val="65"/>
        </w:numPr>
        <w:rPr>
          <w:rFonts w:ascii="Arial" w:cs="Arial" w:eastAsia="Arial" w:hAnsi="Arial"/>
          <w:sz w:val="17"/>
          <w:szCs w:val="17"/>
          <w:color w:val="D64000"/>
        </w:rPr>
      </w:pPr>
      <w:r>
        <w:rPr>
          <w:rFonts w:ascii="Arial" w:cs="Arial" w:eastAsia="Arial" w:hAnsi="Arial"/>
          <w:sz w:val="17"/>
          <w:szCs w:val="17"/>
          <w:color w:val="auto"/>
        </w:rPr>
        <w:t>Management-defined performance measurements (MPM’s), which represent certain of our non-IFRS measures, to be identified, defined, and have an explanation why each one is useful. Each MPM must be reconciled to the most directly comparable IFRS subtotal. All disclosures related to MPM’s must be disclosed in a single footnote within the consolidated financial statements; and</w:t>
      </w:r>
    </w:p>
    <w:p>
      <w:pPr>
        <w:spacing w:after="0" w:line="1" w:lineRule="exact"/>
        <w:rPr>
          <w:rFonts w:ascii="Arial" w:cs="Arial" w:eastAsia="Arial" w:hAnsi="Arial"/>
          <w:sz w:val="17"/>
          <w:szCs w:val="17"/>
          <w:color w:val="D64000"/>
        </w:rPr>
      </w:pPr>
    </w:p>
    <w:p>
      <w:pPr>
        <w:ind w:left="640" w:right="20" w:hanging="422"/>
        <w:spacing w:after="0"/>
        <w:tabs>
          <w:tab w:leader="none" w:pos="640" w:val="left"/>
        </w:tabs>
        <w:numPr>
          <w:ilvl w:val="0"/>
          <w:numId w:val="65"/>
        </w:numPr>
        <w:rPr>
          <w:rFonts w:ascii="Arial" w:cs="Arial" w:eastAsia="Arial" w:hAnsi="Arial"/>
          <w:sz w:val="17"/>
          <w:szCs w:val="17"/>
          <w:color w:val="D64000"/>
        </w:rPr>
      </w:pPr>
      <w:r>
        <w:rPr>
          <w:rFonts w:ascii="Arial" w:cs="Arial" w:eastAsia="Arial" w:hAnsi="Arial"/>
          <w:sz w:val="17"/>
          <w:szCs w:val="17"/>
          <w:color w:val="auto"/>
        </w:rPr>
        <w:t>The application of enhanced guidance related to the grouping of financial information associated with amounts presented within the financial statements, otherwise known as aggregation or disaggregation.</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are assessing the impact of IFRS 18 on our disclosures. </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7"/>
          <w:szCs w:val="17"/>
          <w:u w:val="single" w:color="auto"/>
          <w:color w:val="auto"/>
        </w:rPr>
        <w:t xml:space="preserve">Amendments to IAS 7, </w:t>
      </w:r>
      <w:r>
        <w:rPr>
          <w:rFonts w:ascii="Arial" w:cs="Arial" w:eastAsia="Arial" w:hAnsi="Arial"/>
          <w:sz w:val="17"/>
          <w:szCs w:val="17"/>
          <w:i w:val="1"/>
          <w:iCs w:val="1"/>
          <w:u w:val="single" w:color="auto"/>
          <w:color w:val="auto"/>
        </w:rPr>
        <w:t>Statement of Cash Flows</w:t>
      </w:r>
    </w:p>
    <w:p>
      <w:pPr>
        <w:spacing w:after="0" w:line="70" w:lineRule="exact"/>
        <w:rPr>
          <w:sz w:val="20"/>
          <w:szCs w:val="20"/>
          <w:color w:val="auto"/>
        </w:rPr>
      </w:pPr>
    </w:p>
    <w:p>
      <w:pPr>
        <w:ind w:left="220" w:right="340"/>
        <w:spacing w:after="0" w:line="260" w:lineRule="auto"/>
        <w:rPr>
          <w:sz w:val="20"/>
          <w:szCs w:val="20"/>
          <w:color w:val="auto"/>
        </w:rPr>
      </w:pPr>
      <w:r>
        <w:rPr>
          <w:rFonts w:ascii="Arial" w:cs="Arial" w:eastAsia="Arial" w:hAnsi="Arial"/>
          <w:sz w:val="17"/>
          <w:szCs w:val="17"/>
          <w:color w:val="auto"/>
        </w:rPr>
        <w:t>The amendments were issued to align the presentation of the statement of cash flows, as prepared under the indirect method, to the changes prescribed to the income statement under IFRS 18.</w:t>
      </w:r>
    </w:p>
    <w:p>
      <w:pPr>
        <w:spacing w:after="0" w:line="4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Both IFRS 18 and the amendments to IAS 7 are disclosure related and do not impact our results of operations, financial condition, or cash flows.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7"/>
          <w:szCs w:val="17"/>
          <w:u w:val="single" w:color="auto"/>
          <w:color w:val="auto"/>
        </w:rPr>
        <w:t xml:space="preserve">Amendments to IFRS 9 and IFRS 7, </w:t>
      </w:r>
      <w:r>
        <w:rPr>
          <w:rFonts w:ascii="Arial" w:cs="Arial" w:eastAsia="Arial" w:hAnsi="Arial"/>
          <w:sz w:val="17"/>
          <w:szCs w:val="17"/>
          <w:i w:val="1"/>
          <w:iCs w:val="1"/>
          <w:u w:val="single" w:color="auto"/>
          <w:color w:val="auto"/>
        </w:rPr>
        <w:t>Amendments to the Classification and Measurement of Financial Instruments</w:t>
      </w:r>
    </w:p>
    <w:p>
      <w:pPr>
        <w:spacing w:after="0" w:line="83" w:lineRule="exact"/>
        <w:rPr>
          <w:sz w:val="20"/>
          <w:szCs w:val="20"/>
          <w:color w:val="auto"/>
        </w:rPr>
      </w:pPr>
    </w:p>
    <w:p>
      <w:pPr>
        <w:ind w:left="220" w:right="220"/>
        <w:spacing w:after="0" w:line="260" w:lineRule="auto"/>
        <w:rPr>
          <w:sz w:val="20"/>
          <w:szCs w:val="20"/>
          <w:color w:val="auto"/>
        </w:rPr>
      </w:pPr>
      <w:r>
        <w:rPr>
          <w:rFonts w:ascii="Arial" w:cs="Arial" w:eastAsia="Arial" w:hAnsi="Arial"/>
          <w:sz w:val="17"/>
          <w:szCs w:val="17"/>
          <w:color w:val="auto"/>
        </w:rPr>
        <w:t xml:space="preserve">In May 2024, the IASB issued amendments to IFRS 9,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and IFRS 7, </w:t>
      </w:r>
      <w:r>
        <w:rPr>
          <w:rFonts w:ascii="Arial" w:cs="Arial" w:eastAsia="Arial" w:hAnsi="Arial"/>
          <w:sz w:val="17"/>
          <w:szCs w:val="17"/>
          <w:i w:val="1"/>
          <w:iCs w:val="1"/>
          <w:color w:val="auto"/>
        </w:rPr>
        <w:t>Financial Instruments: Disclosures</w:t>
      </w:r>
      <w:r>
        <w:rPr>
          <w:rFonts w:ascii="Arial" w:cs="Arial" w:eastAsia="Arial" w:hAnsi="Arial"/>
          <w:sz w:val="17"/>
          <w:szCs w:val="17"/>
          <w:color w:val="auto"/>
        </w:rPr>
        <w:t>. The amendments introduce:</w:t>
      </w:r>
    </w:p>
    <w:p>
      <w:pPr>
        <w:spacing w:after="0" w:line="40" w:lineRule="exact"/>
        <w:rPr>
          <w:sz w:val="20"/>
          <w:szCs w:val="20"/>
          <w:color w:val="auto"/>
        </w:rPr>
      </w:pPr>
    </w:p>
    <w:p>
      <w:pPr>
        <w:ind w:left="640" w:right="60" w:hanging="422"/>
        <w:spacing w:after="0" w:line="237" w:lineRule="auto"/>
        <w:tabs>
          <w:tab w:leader="none" w:pos="640" w:val="left"/>
        </w:tabs>
        <w:numPr>
          <w:ilvl w:val="0"/>
          <w:numId w:val="66"/>
        </w:numPr>
        <w:rPr>
          <w:rFonts w:ascii="Arial" w:cs="Arial" w:eastAsia="Arial" w:hAnsi="Arial"/>
          <w:sz w:val="17"/>
          <w:szCs w:val="17"/>
          <w:color w:val="D64000"/>
        </w:rPr>
      </w:pPr>
      <w:r>
        <w:rPr>
          <w:rFonts w:ascii="Arial" w:cs="Arial" w:eastAsia="Arial" w:hAnsi="Arial"/>
          <w:sz w:val="17"/>
          <w:szCs w:val="17"/>
          <w:color w:val="auto"/>
        </w:rPr>
        <w:t>An election permitting derecognition of financial liabilities that are settled through an electronic payment system before the actual settlement date, if certain conditions are met; and</w:t>
      </w:r>
    </w:p>
    <w:p>
      <w:pPr>
        <w:ind w:left="640" w:right="40" w:hanging="422"/>
        <w:spacing w:after="0"/>
        <w:tabs>
          <w:tab w:leader="none" w:pos="640" w:val="left"/>
        </w:tabs>
        <w:numPr>
          <w:ilvl w:val="0"/>
          <w:numId w:val="66"/>
        </w:numPr>
        <w:rPr>
          <w:rFonts w:ascii="Arial" w:cs="Arial" w:eastAsia="Arial" w:hAnsi="Arial"/>
          <w:sz w:val="17"/>
          <w:szCs w:val="17"/>
          <w:color w:val="D64000"/>
        </w:rPr>
      </w:pPr>
      <w:r>
        <w:rPr>
          <w:rFonts w:ascii="Arial" w:cs="Arial" w:eastAsia="Arial" w:hAnsi="Arial"/>
          <w:sz w:val="17"/>
          <w:szCs w:val="17"/>
          <w:color w:val="auto"/>
        </w:rPr>
        <w:t>Expanded disclosures for (a) investments in equity instruments and (b) financial liabilities that have features unrelated to basic lending risks, such as achieving sustainability targets, that could affect the cash flows of those liabilities.</w:t>
      </w:r>
    </w:p>
    <w:p>
      <w:pPr>
        <w:spacing w:after="0" w:line="44" w:lineRule="exact"/>
        <w:rPr>
          <w:sz w:val="20"/>
          <w:szCs w:val="20"/>
          <w:color w:val="auto"/>
        </w:rPr>
      </w:pPr>
    </w:p>
    <w:p>
      <w:pPr>
        <w:ind w:left="220" w:right="500"/>
        <w:spacing w:after="0" w:line="260" w:lineRule="auto"/>
        <w:rPr>
          <w:sz w:val="20"/>
          <w:szCs w:val="20"/>
          <w:color w:val="auto"/>
        </w:rPr>
      </w:pPr>
      <w:r>
        <w:rPr>
          <w:rFonts w:ascii="Arial" w:cs="Arial" w:eastAsia="Arial" w:hAnsi="Arial"/>
          <w:sz w:val="17"/>
          <w:szCs w:val="17"/>
          <w:color w:val="auto"/>
        </w:rPr>
        <w:t>The amendments are effective for reporting periods beginning on January 1, 2026. We are assessing the impact of the amendments on our financial statements and disclosures.</w:t>
      </w:r>
    </w:p>
    <w:p>
      <w:pPr>
        <w:spacing w:after="0" w:line="40" w:lineRule="exact"/>
        <w:rPr>
          <w:sz w:val="20"/>
          <w:szCs w:val="20"/>
          <w:color w:val="auto"/>
        </w:rPr>
      </w:pPr>
    </w:p>
    <w:p>
      <w:pPr>
        <w:ind w:left="220" w:right="720"/>
        <w:spacing w:after="0" w:line="260" w:lineRule="auto"/>
        <w:rPr>
          <w:sz w:val="20"/>
          <w:szCs w:val="20"/>
          <w:color w:val="auto"/>
        </w:rPr>
      </w:pPr>
      <w:r>
        <w:rPr>
          <w:rFonts w:ascii="Arial" w:cs="Arial" w:eastAsia="Arial" w:hAnsi="Arial"/>
          <w:sz w:val="17"/>
          <w:szCs w:val="17"/>
          <w:color w:val="auto"/>
        </w:rPr>
        <w:t>Other pronouncements issued by the IASB and International Financial Reporting Interpretations Committee (IFRIC) are not applicable or consequential to our company.</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28"/>
          <w:szCs w:val="28"/>
          <w:b w:val="1"/>
          <w:bCs w:val="1"/>
          <w:color w:val="auto"/>
        </w:rPr>
        <w:t>Critical Accounting Estimates and Judgments</w:t>
      </w:r>
    </w:p>
    <w:p>
      <w:pPr>
        <w:spacing w:after="0" w:line="112" w:lineRule="exact"/>
        <w:rPr>
          <w:sz w:val="20"/>
          <w:szCs w:val="20"/>
          <w:color w:val="auto"/>
        </w:rPr>
      </w:pPr>
    </w:p>
    <w:p>
      <w:pPr>
        <w:ind w:left="220" w:right="140"/>
        <w:spacing w:after="0" w:line="238" w:lineRule="auto"/>
        <w:rPr>
          <w:sz w:val="20"/>
          <w:szCs w:val="20"/>
          <w:color w:val="auto"/>
        </w:rPr>
      </w:pPr>
      <w:r>
        <w:rPr>
          <w:rFonts w:ascii="Arial" w:cs="Arial" w:eastAsia="Arial" w:hAnsi="Arial"/>
          <w:sz w:val="17"/>
          <w:szCs w:val="17"/>
          <w:color w:val="auto"/>
        </w:rPr>
        <w:t>The preparation of financial statements requires management to make estimates and judgments about the future. Estimates and judgments are continually evaluated and are based on historical experience and other factors, including expectations of future events that are believed to be reasonable under the circumstances. Refer to Appendix D of this management’s discussion and analysis for additional information on our critical accounting estimates and judgments.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93980</wp:posOffset>
            </wp:positionV>
            <wp:extent cx="68656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9"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57</w:t>
      </w:r>
    </w:p>
    <w:p>
      <w:pPr>
        <w:sectPr>
          <w:pgSz w:w="11900" w:h="16838" w:orient="portrait"/>
          <w:cols w:equalWidth="0" w:num="1">
            <w:col w:w="11040"/>
          </w:cols>
          <w:pgMar w:left="320" w:top="477" w:right="5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Additional Information</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Disclosure Controls and Procedures</w:t>
      </w:r>
    </w:p>
    <w:p>
      <w:pPr>
        <w:spacing w:after="0" w:line="97" w:lineRule="exact"/>
        <w:rPr>
          <w:sz w:val="20"/>
          <w:szCs w:val="20"/>
          <w:color w:val="auto"/>
        </w:rPr>
      </w:pPr>
    </w:p>
    <w:p>
      <w:pPr>
        <w:ind w:left="220" w:right="60"/>
        <w:spacing w:after="0" w:line="234" w:lineRule="auto"/>
        <w:rPr>
          <w:sz w:val="20"/>
          <w:szCs w:val="20"/>
          <w:color w:val="auto"/>
        </w:rPr>
      </w:pPr>
      <w:r>
        <w:rPr>
          <w:rFonts w:ascii="Arial" w:cs="Arial" w:eastAsia="Arial" w:hAnsi="Arial"/>
          <w:sz w:val="17"/>
          <w:szCs w:val="17"/>
          <w:color w:val="auto"/>
        </w:rPr>
        <w:t>Our Chief Executive Officer and Chief Financial Officer, after evaluating the effectiveness of our disclosure controls and procedures (as defined in applicable U.S. and Canadian securities law) as of the end of the period covered by this management’s discussion and analysis, have concluded that our disclosure controls and procedures were effective to ensure that all information that we are required to disclose in reports that we file or furnish under the U.S. Securities Exchange Act and applicable Canadian securities law is (i) recorded, processed, summarized and reported within the time periods specified in the rules and forms of the SEC and Canadian securities regulatory authorities and (ii) accumulated and communicated to our management, including our Chief Executive Officer and Chief Financial Officer, to allow timely decisions regarding required disclosure.</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Internal Control Over Financial Reporting</w:t>
      </w:r>
    </w:p>
    <w:p>
      <w:pPr>
        <w:spacing w:after="0" w:line="84" w:lineRule="exact"/>
        <w:rPr>
          <w:sz w:val="20"/>
          <w:szCs w:val="20"/>
          <w:color w:val="auto"/>
        </w:rPr>
      </w:pPr>
    </w:p>
    <w:p>
      <w:pPr>
        <w:ind w:left="220" w:right="480"/>
        <w:spacing w:after="0" w:line="243"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to provide reasonable assurance regarding the reliability of financial reporting and the preparation of financial statements for external purposes in accordance with IFRS.</w:t>
      </w:r>
    </w:p>
    <w:p>
      <w:pPr>
        <w:spacing w:after="0" w:line="55" w:lineRule="exact"/>
        <w:rPr>
          <w:sz w:val="20"/>
          <w:szCs w:val="20"/>
          <w:color w:val="auto"/>
        </w:rPr>
      </w:pPr>
    </w:p>
    <w:p>
      <w:pPr>
        <w:ind w:left="220" w:right="40"/>
        <w:spacing w:after="0" w:line="260" w:lineRule="auto"/>
        <w:rPr>
          <w:sz w:val="20"/>
          <w:szCs w:val="20"/>
          <w:color w:val="auto"/>
        </w:rPr>
      </w:pPr>
      <w:r>
        <w:rPr>
          <w:rFonts w:ascii="Arial" w:cs="Arial" w:eastAsia="Arial" w:hAnsi="Arial"/>
          <w:sz w:val="17"/>
          <w:szCs w:val="17"/>
          <w:color w:val="auto"/>
        </w:rPr>
        <w:t>There was no change in our internal control over financial reporting during 2024 that materially affected, or is reasonably likely to materially affect, our internal control over financial reporting.</w:t>
      </w:r>
    </w:p>
    <w:p>
      <w:pPr>
        <w:spacing w:after="0" w:line="27" w:lineRule="exact"/>
        <w:rPr>
          <w:sz w:val="20"/>
          <w:szCs w:val="20"/>
          <w:color w:val="auto"/>
        </w:rPr>
      </w:pPr>
    </w:p>
    <w:p>
      <w:pPr>
        <w:ind w:left="220" w:right="60"/>
        <w:spacing w:after="0" w:line="243" w:lineRule="auto"/>
        <w:rPr>
          <w:sz w:val="20"/>
          <w:szCs w:val="20"/>
          <w:color w:val="auto"/>
        </w:rPr>
      </w:pPr>
      <w:r>
        <w:rPr>
          <w:rFonts w:ascii="Arial" w:cs="Arial" w:eastAsia="Arial" w:hAnsi="Arial"/>
          <w:sz w:val="17"/>
          <w:szCs w:val="17"/>
          <w:color w:val="auto"/>
        </w:rPr>
        <w:t>Our management assessed the effectiveness of our internal control over financial reporting as of December 31, 2024 and based on that assessment determined that our internal control over financial reporting was effective. Refer to our 2024 annual consolidated financial statements for our management’s report on internal control over financial reporting.</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Share Capital</w:t>
      </w:r>
    </w:p>
    <w:p>
      <w:pPr>
        <w:spacing w:after="0" w:line="97" w:lineRule="exact"/>
        <w:rPr>
          <w:sz w:val="20"/>
          <w:szCs w:val="20"/>
          <w:color w:val="auto"/>
        </w:rPr>
      </w:pPr>
    </w:p>
    <w:p>
      <w:pPr>
        <w:ind w:left="220" w:right="220"/>
        <w:spacing w:after="0" w:line="238" w:lineRule="auto"/>
        <w:rPr>
          <w:sz w:val="20"/>
          <w:szCs w:val="20"/>
          <w:color w:val="auto"/>
        </w:rPr>
      </w:pPr>
      <w:r>
        <w:rPr>
          <w:rFonts w:ascii="Arial" w:cs="Arial" w:eastAsia="Arial" w:hAnsi="Arial"/>
          <w:sz w:val="17"/>
          <w:szCs w:val="17"/>
          <w:color w:val="auto"/>
        </w:rPr>
        <w:t>As of March 3, 2025, we had outstanding 450,096,872 common shares, 6,000,000 Series II preference shares, 1,182,896 stock options and a total of 1,345,562 time-based restricted share units and performance restricted share units. We have also issued a Thomson Reuters Founders Share which enables Thomson Reuters Founders Share Company to exercise extraordinary voting power to safeguard the Thomson Reuters Trust Principles.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Public Securities Filings and Regulatory Announcements</w:t>
      </w:r>
    </w:p>
    <w:p>
      <w:pPr>
        <w:spacing w:after="0" w:line="97" w:lineRule="exact"/>
        <w:rPr>
          <w:sz w:val="20"/>
          <w:szCs w:val="20"/>
          <w:color w:val="auto"/>
        </w:rPr>
      </w:pPr>
    </w:p>
    <w:p>
      <w:pPr>
        <w:ind w:left="220" w:right="20"/>
        <w:spacing w:after="0" w:line="271" w:lineRule="auto"/>
        <w:rPr>
          <w:sz w:val="20"/>
          <w:szCs w:val="20"/>
          <w:color w:val="auto"/>
        </w:rPr>
      </w:pPr>
      <w:r>
        <w:rPr>
          <w:rFonts w:ascii="Arial" w:cs="Arial" w:eastAsia="Arial" w:hAnsi="Arial"/>
          <w:sz w:val="16"/>
          <w:szCs w:val="16"/>
          <w:color w:val="auto"/>
        </w:rPr>
        <w:t xml:space="preserve">You may access other information about our company, including our 2024 annual report (which contains information required in an annual information form) and our other disclosure documents, reports, statements or other information that we file with the Canadian securities regulatory authorities through SEDAR+ at </w:t>
      </w:r>
      <w:r>
        <w:rPr>
          <w:rFonts w:ascii="Arial" w:cs="Arial" w:eastAsia="Arial" w:hAnsi="Arial"/>
          <w:sz w:val="16"/>
          <w:szCs w:val="16"/>
          <w:b w:val="1"/>
          <w:bCs w:val="1"/>
          <w:i w:val="1"/>
          <w:iCs w:val="1"/>
          <w:color w:val="auto"/>
        </w:rPr>
        <w:t>sedarplus.ca</w:t>
      </w:r>
      <w:r>
        <w:rPr>
          <w:rFonts w:ascii="Arial" w:cs="Arial" w:eastAsia="Arial" w:hAnsi="Arial"/>
          <w:sz w:val="16"/>
          <w:szCs w:val="16"/>
          <w:color w:val="auto"/>
        </w:rPr>
        <w:t xml:space="preserve"> and in the United States with the Securities and Exchange Commission (SEC) at </w:t>
      </w:r>
      <w:r>
        <w:rPr>
          <w:rFonts w:ascii="Arial" w:cs="Arial" w:eastAsia="Arial" w:hAnsi="Arial"/>
          <w:sz w:val="16"/>
          <w:szCs w:val="16"/>
          <w:b w:val="1"/>
          <w:bCs w:val="1"/>
          <w:i w:val="1"/>
          <w:iCs w:val="1"/>
          <w:color w:val="auto"/>
        </w:rPr>
        <w:t>sec.gov</w:t>
      </w:r>
      <w:r>
        <w:rPr>
          <w:rFonts w:ascii="Arial" w:cs="Arial" w:eastAsia="Arial" w:hAnsi="Arial"/>
          <w:sz w:val="16"/>
          <w:szCs w:val="16"/>
          <w:color w:val="auto"/>
        </w:rPr>
        <w:t>.</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25"/>
          <w:szCs w:val="25"/>
          <w:b w:val="1"/>
          <w:bCs w:val="1"/>
          <w:i w:val="1"/>
          <w:iCs w:val="1"/>
          <w:color w:val="D64000"/>
        </w:rPr>
        <w:t>Cautionary Note Concerning Factors That May Affect Future Results</w:t>
      </w:r>
    </w:p>
    <w:p>
      <w:pPr>
        <w:spacing w:after="0" w:line="97" w:lineRule="exact"/>
        <w:rPr>
          <w:sz w:val="20"/>
          <w:szCs w:val="20"/>
          <w:color w:val="auto"/>
        </w:rPr>
      </w:pPr>
    </w:p>
    <w:p>
      <w:pPr>
        <w:ind w:left="220" w:right="20"/>
        <w:spacing w:after="0" w:line="230" w:lineRule="auto"/>
        <w:rPr>
          <w:sz w:val="20"/>
          <w:szCs w:val="20"/>
          <w:color w:val="auto"/>
        </w:rPr>
      </w:pPr>
      <w:r>
        <w:rPr>
          <w:rFonts w:ascii="Arial" w:cs="Arial" w:eastAsia="Arial" w:hAnsi="Arial"/>
          <w:sz w:val="17"/>
          <w:szCs w:val="17"/>
          <w:i w:val="1"/>
          <w:iCs w:val="1"/>
          <w:color w:val="auto"/>
        </w:rPr>
        <w:t>Certain statements in this management’s discussion and analysis are forward-looking, including, but not limited to, our 2025 business outlook, the 2026 financial framework, and discussion of anticipated trends, as well as statements regarding the Company’s intentions to target a maximum leverage ratio of 2.5x net debt to adjusted EBITDA, a dividend payout ratio of between 50% to 60% of its free cash flow, its target to return at least 75% of free cash flow annually in the form of dividends and share repurchases, as well as its target to earn a return on invested capital (ROIC) that is double or more of its weighted-average cost of capital over time, the Company’s expectations regarding refunds on amounts paid to HMRC, other expectations regarding the Company’s recent SafeSend acquisition as well as its strategic priorities, initiatives, opportunities and with regard to its liquidity and capital resources, and statements about the estimated future growth of the market segments in which Thomson Reuters’ businesses operates. The words “will”, “expect”, “believe”, “target” “estimate”, “could”, “should”, “intend”, “predict”, “project” and similar expressions identify forward-looking statements. While we believe that we have a reasonable basis for making forward-looking statements in this management’s discussion and analysis, they are not a guarantee of future performance or outcomes or that any other events described in any forward-looking statement will materialize. Forward-looking statements are subject to a number of risks, uncertainties and assumptions that could cause actual results or events to differ materially from current expectations. Many of these risks, uncertainties and assumptions are beyond our company’s control and the effects of them can be difficult to predict. In particular, the full extent of the impact of macroeconomic and geopolitical environment on the Company’s business, operations and financial results will depend on numerous evolving factors that we may not be able to accurately predict.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96520</wp:posOffset>
            </wp:positionV>
            <wp:extent cx="68656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63"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58</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10" w:lineRule="exact"/>
        <w:rPr>
          <w:sz w:val="20"/>
          <w:szCs w:val="20"/>
          <w:color w:val="auto"/>
        </w:rPr>
      </w:pPr>
    </w:p>
    <w:p>
      <w:pPr>
        <w:ind w:left="220" w:right="20"/>
        <w:spacing w:after="0" w:line="244" w:lineRule="auto"/>
        <w:rPr>
          <w:sz w:val="20"/>
          <w:szCs w:val="20"/>
          <w:color w:val="auto"/>
        </w:rPr>
      </w:pPr>
      <w:r>
        <w:rPr>
          <w:rFonts w:ascii="Arial" w:cs="Arial" w:eastAsia="Arial" w:hAnsi="Arial"/>
          <w:sz w:val="16"/>
          <w:szCs w:val="16"/>
          <w:i w:val="1"/>
          <w:iCs w:val="1"/>
          <w:color w:val="auto"/>
        </w:rPr>
        <w:t>Some of the material risk factors that could cause actual results or events to differ materially from those expressed in or implied by forward-looking statements in this management’s discussion and analysis include, but are not limited to, actions of competitors; uncertainty, downturns and changes in the markets that the Company serves; failure of AI initiatives to enhance products or meet customer expectations; failure to keep pace with technological developments to provide new products, services, applications and functionalities to meet customers’ needs, attract new customers and retain existing ones, or expand into new geographic markets and identify areas of higher growth; failure to derive fully the anticipated benefits from existing or future acquisitions, dispositions or other strategic investments, including joint ventures and investments; failure to protect the brands and reputation of Thomson Reuters; social and ethical issues from the use of new and evolving technologies in our products and services; risks related to cybersecurity threats and incidents for us and our third-party providers; dependency on cloud providers, local data centers, software-as-a-service providers and other third parties for services; failure to attract, engage and retain the right management, key employees and skills to the organization; failure to adapt to organizational changes and effectively implement strategic initiatives; failure to meet the challenges involved in operating globally, including risks associated with persisting geopolitical tensions and ongoing protectionism measures (including the potential imposition of new tariffs as well as related retaliatory measures); dependency on third parties for data, information and other services; changes to law and regulations related to privacy, data security, data protection, the use of AI, and other areas; inadequate protection of intellectual property rights; tax matters, including changes to tax laws, regulations and treaties; threat of legal actions and claims; risk of antitrust/competition-related claims or investigations; failure to maintain a high renewal rate for recurring, subscription-based services; fluctuations in foreign currency exchange and interest rates; downgrading of credit ratings and adverse conditions in the credit markets; the effect of factors outside of the control of Thomson Reuters on funding obligations in respect of pension and post-retirement benefit arrangements; impairment of goodwill and other identifiable intangible assets; actions or potential actions that could be taken by the Company’s principal shareholder (Woodbridge); and the ability of Thomson Reuters Founders Share Company to affect the Company’s governance and management. Additional factors are discussed in the “Risk Factors” and “Financial Outlook” sections of the 2024 annual report and in materials that we from time to time file with, or furnish to, the Canadian securities regulatory authorities and the U.S. Securities and Exchange Commission.</w:t>
      </w:r>
    </w:p>
    <w:p>
      <w:pPr>
        <w:spacing w:after="0" w:line="234" w:lineRule="exact"/>
        <w:rPr>
          <w:sz w:val="20"/>
          <w:szCs w:val="20"/>
          <w:color w:val="auto"/>
        </w:rPr>
      </w:pPr>
    </w:p>
    <w:p>
      <w:pPr>
        <w:ind w:left="220" w:right="220"/>
        <w:spacing w:after="0" w:line="265" w:lineRule="auto"/>
        <w:rPr>
          <w:sz w:val="20"/>
          <w:szCs w:val="20"/>
          <w:color w:val="auto"/>
        </w:rPr>
      </w:pPr>
      <w:r>
        <w:rPr>
          <w:rFonts w:ascii="Arial" w:cs="Arial" w:eastAsia="Arial" w:hAnsi="Arial"/>
          <w:sz w:val="16"/>
          <w:szCs w:val="16"/>
          <w:i w:val="1"/>
          <w:iCs w:val="1"/>
          <w:color w:val="auto"/>
        </w:rPr>
        <w:t>Our company’s 2025 business outlook and 2026 financial framework are based on information currently available to the Company and is based on various external and internal assumptions made by the Company in light of its experience and perception of historical trends, current conditions and expected future developments, as well as other factors that the Company believes are appropriate under the circumstances.</w:t>
      </w:r>
    </w:p>
    <w:p>
      <w:pPr>
        <w:spacing w:after="0" w:line="40" w:lineRule="exact"/>
        <w:rPr>
          <w:sz w:val="20"/>
          <w:szCs w:val="20"/>
          <w:color w:val="auto"/>
        </w:rPr>
      </w:pPr>
    </w:p>
    <w:p>
      <w:pPr>
        <w:ind w:left="220" w:right="60"/>
        <w:spacing w:after="0" w:line="242" w:lineRule="auto"/>
        <w:rPr>
          <w:sz w:val="20"/>
          <w:szCs w:val="20"/>
          <w:color w:val="auto"/>
        </w:rPr>
      </w:pPr>
      <w:r>
        <w:rPr>
          <w:rFonts w:ascii="Arial" w:cs="Arial" w:eastAsia="Arial" w:hAnsi="Arial"/>
          <w:sz w:val="17"/>
          <w:szCs w:val="17"/>
          <w:i w:val="1"/>
          <w:iCs w:val="1"/>
          <w:color w:val="auto"/>
        </w:rPr>
        <w:t>Our company has provided a 2025 business outlook and updated its 2026 financial framework for the purpose of presenting information about current expectations for the periods presented. This information may not be appropriate for other purposes. You are cautioned not to place undue reliance on forward-looking statements which reflect expectations only as of the date of this management’s discussion and analysis.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Except as may be required by applicable law, Thomson Reuters disclaims any obligation to update or revise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107315</wp:posOffset>
            </wp:positionV>
            <wp:extent cx="68656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67"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59</w:t>
      </w:r>
    </w:p>
    <w:p>
      <w:pPr>
        <w:sectPr>
          <w:pgSz w:w="11900" w:h="16838" w:orient="portrait"/>
          <w:cols w:equalWidth="0" w:num="1">
            <w:col w:w="11040"/>
          </w:cols>
          <w:pgMar w:left="320" w:top="477" w:right="5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Appendix A</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Non-IFRS Financial Measures</w:t>
      </w:r>
    </w:p>
    <w:p>
      <w:pPr>
        <w:spacing w:after="0" w:line="97" w:lineRule="exact"/>
        <w:rPr>
          <w:sz w:val="20"/>
          <w:szCs w:val="20"/>
          <w:color w:val="auto"/>
        </w:rPr>
      </w:pPr>
    </w:p>
    <w:p>
      <w:pPr>
        <w:ind w:left="220" w:right="40"/>
        <w:spacing w:after="0" w:line="238" w:lineRule="auto"/>
        <w:rPr>
          <w:sz w:val="20"/>
          <w:szCs w:val="20"/>
          <w:color w:val="auto"/>
        </w:rPr>
      </w:pPr>
      <w:r>
        <w:rPr>
          <w:rFonts w:ascii="Arial" w:cs="Arial" w:eastAsia="Arial" w:hAnsi="Arial"/>
          <w:sz w:val="17"/>
          <w:szCs w:val="17"/>
          <w:color w:val="auto"/>
        </w:rPr>
        <w:t>We use non-IFRS financial measures, which include ratios that incorporate one or more non-IFRS financial measures, as supplemental indicators of our operating performance and financial position as well as for internal planning purposes, our management incentive programs and our business outlook. These measures do not have any standardized meaning prescribed by IFRS and therefore are unlikely to be comparable to the calculation of similar measures used by other companies.</w:t>
      </w:r>
    </w:p>
    <w:p>
      <w:pPr>
        <w:spacing w:after="0" w:line="59" w:lineRule="exact"/>
        <w:rPr>
          <w:sz w:val="20"/>
          <w:szCs w:val="20"/>
          <w:color w:val="auto"/>
        </w:rPr>
      </w:pPr>
    </w:p>
    <w:p>
      <w:pPr>
        <w:ind w:left="220" w:right="560"/>
        <w:spacing w:after="0" w:line="243" w:lineRule="auto"/>
        <w:rPr>
          <w:sz w:val="20"/>
          <w:szCs w:val="20"/>
          <w:color w:val="auto"/>
        </w:rPr>
      </w:pPr>
      <w:r>
        <w:rPr>
          <w:rFonts w:ascii="Arial" w:cs="Arial" w:eastAsia="Arial" w:hAnsi="Arial"/>
          <w:sz w:val="17"/>
          <w:szCs w:val="17"/>
          <w:color w:val="auto"/>
        </w:rPr>
        <w:t>The following table sets forth our non-IFRS financial measures including an explanation of why we believe they are useful measures of our performance. Reconciliations to the most directly comparable IFRS measure are reflected in Appendices B and C of this management’s discussion and analysis.</w:t>
      </w:r>
    </w:p>
    <w:p>
      <w:pPr>
        <w:spacing w:after="0" w:line="131"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3780" w:type="dxa"/>
            <w:vAlign w:val="bottom"/>
            <w:shd w:val="clear" w:color="auto" w:fill="E3F3EE"/>
          </w:tcPr>
          <w:p>
            <w:pPr>
              <w:spacing w:after="0"/>
              <w:rPr>
                <w:sz w:val="19"/>
                <w:szCs w:val="19"/>
                <w:color w:val="auto"/>
              </w:rPr>
            </w:pPr>
          </w:p>
        </w:tc>
        <w:tc>
          <w:tcPr>
            <w:tcW w:w="3320" w:type="dxa"/>
            <w:vAlign w:val="bottom"/>
            <w:shd w:val="clear" w:color="auto" w:fill="E3F3EE"/>
          </w:tcPr>
          <w:p>
            <w:pPr>
              <w:ind w:left="120"/>
              <w:spacing w:after="0"/>
              <w:rPr>
                <w:sz w:val="20"/>
                <w:szCs w:val="20"/>
                <w:color w:val="auto"/>
              </w:rPr>
            </w:pPr>
            <w:r>
              <w:rPr>
                <w:rFonts w:ascii="Arial" w:cs="Arial" w:eastAsia="Arial" w:hAnsi="Arial"/>
                <w:sz w:val="16"/>
                <w:szCs w:val="16"/>
                <w:b w:val="1"/>
                <w:bCs w:val="1"/>
                <w:color w:val="auto"/>
              </w:rPr>
              <w:t>Why We Use It and Why It Is Useful to</w:t>
            </w:r>
          </w:p>
        </w:tc>
        <w:tc>
          <w:tcPr>
            <w:tcW w:w="3700" w:type="dxa"/>
            <w:vAlign w:val="bottom"/>
            <w:shd w:val="clear" w:color="auto" w:fill="E3F3EE"/>
          </w:tcPr>
          <w:p>
            <w:pPr>
              <w:ind w:left="380"/>
              <w:spacing w:after="0"/>
              <w:rPr>
                <w:sz w:val="20"/>
                <w:szCs w:val="20"/>
                <w:color w:val="auto"/>
              </w:rPr>
            </w:pPr>
            <w:r>
              <w:rPr>
                <w:rFonts w:ascii="Arial" w:cs="Arial" w:eastAsia="Arial" w:hAnsi="Arial"/>
                <w:sz w:val="16"/>
                <w:szCs w:val="16"/>
                <w:b w:val="1"/>
                <w:bCs w:val="1"/>
                <w:color w:val="auto"/>
              </w:rPr>
              <w:t>Most Directly Comparable</w:t>
            </w:r>
          </w:p>
        </w:tc>
      </w:tr>
      <w:tr>
        <w:trPr>
          <w:trHeight w:val="218"/>
        </w:trPr>
        <w:tc>
          <w:tcPr>
            <w:tcW w:w="3780" w:type="dxa"/>
            <w:vAlign w:val="bottom"/>
            <w:shd w:val="clear" w:color="auto" w:fill="E3F3EE"/>
          </w:tcPr>
          <w:p>
            <w:pPr>
              <w:spacing w:after="0"/>
              <w:rPr>
                <w:sz w:val="20"/>
                <w:szCs w:val="20"/>
                <w:color w:val="auto"/>
              </w:rPr>
            </w:pPr>
            <w:r>
              <w:rPr>
                <w:rFonts w:ascii="Arial" w:cs="Arial" w:eastAsia="Arial" w:hAnsi="Arial"/>
                <w:sz w:val="16"/>
                <w:szCs w:val="16"/>
                <w:b w:val="1"/>
                <w:bCs w:val="1"/>
                <w:color w:val="auto"/>
              </w:rPr>
              <w:t>  How We Define It</w:t>
            </w:r>
          </w:p>
        </w:tc>
        <w:tc>
          <w:tcPr>
            <w:tcW w:w="3320" w:type="dxa"/>
            <w:vAlign w:val="bottom"/>
            <w:shd w:val="clear" w:color="auto" w:fill="E3F3EE"/>
          </w:tcPr>
          <w:p>
            <w:pPr>
              <w:ind w:left="120"/>
              <w:spacing w:after="0"/>
              <w:rPr>
                <w:sz w:val="20"/>
                <w:szCs w:val="20"/>
                <w:color w:val="auto"/>
              </w:rPr>
            </w:pPr>
            <w:r>
              <w:rPr>
                <w:rFonts w:ascii="Arial" w:cs="Arial" w:eastAsia="Arial" w:hAnsi="Arial"/>
                <w:sz w:val="16"/>
                <w:szCs w:val="16"/>
                <w:b w:val="1"/>
                <w:bCs w:val="1"/>
                <w:color w:val="auto"/>
              </w:rPr>
              <w:t>Investors</w:t>
            </w:r>
          </w:p>
        </w:tc>
        <w:tc>
          <w:tcPr>
            <w:tcW w:w="3700" w:type="dxa"/>
            <w:vAlign w:val="bottom"/>
            <w:shd w:val="clear" w:color="auto" w:fill="E3F3EE"/>
          </w:tcPr>
          <w:p>
            <w:pPr>
              <w:ind w:left="380"/>
              <w:spacing w:after="0"/>
              <w:rPr>
                <w:sz w:val="20"/>
                <w:szCs w:val="20"/>
                <w:color w:val="auto"/>
              </w:rPr>
            </w:pPr>
            <w:r>
              <w:rPr>
                <w:rFonts w:ascii="Arial" w:cs="Arial" w:eastAsia="Arial" w:hAnsi="Arial"/>
                <w:sz w:val="16"/>
                <w:szCs w:val="16"/>
                <w:b w:val="1"/>
                <w:bCs w:val="1"/>
                <w:color w:val="auto"/>
              </w:rPr>
              <w:t>IFRS Measure</w:t>
            </w:r>
          </w:p>
        </w:tc>
      </w:tr>
      <w:tr>
        <w:trPr>
          <w:trHeight w:val="61"/>
        </w:trPr>
        <w:tc>
          <w:tcPr>
            <w:tcW w:w="3780" w:type="dxa"/>
            <w:vAlign w:val="bottom"/>
            <w:shd w:val="clear" w:color="auto" w:fill="E3F3EE"/>
          </w:tcPr>
          <w:p>
            <w:pPr>
              <w:spacing w:after="0"/>
              <w:rPr>
                <w:sz w:val="5"/>
                <w:szCs w:val="5"/>
                <w:color w:val="auto"/>
              </w:rPr>
            </w:pPr>
          </w:p>
        </w:tc>
        <w:tc>
          <w:tcPr>
            <w:tcW w:w="3320" w:type="dxa"/>
            <w:vAlign w:val="bottom"/>
            <w:shd w:val="clear" w:color="auto" w:fill="E3F3EE"/>
          </w:tcPr>
          <w:p>
            <w:pPr>
              <w:spacing w:after="0"/>
              <w:rPr>
                <w:sz w:val="5"/>
                <w:szCs w:val="5"/>
                <w:color w:val="auto"/>
              </w:rPr>
            </w:pPr>
          </w:p>
        </w:tc>
        <w:tc>
          <w:tcPr>
            <w:tcW w:w="3700" w:type="dxa"/>
            <w:vAlign w:val="bottom"/>
            <w:shd w:val="clear" w:color="auto" w:fill="E3F3EE"/>
          </w:tcPr>
          <w:p>
            <w:pPr>
              <w:spacing w:after="0"/>
              <w:rPr>
                <w:sz w:val="5"/>
                <w:szCs w:val="5"/>
                <w:color w:val="auto"/>
              </w:rPr>
            </w:pPr>
          </w:p>
        </w:tc>
      </w:tr>
      <w:tr>
        <w:trPr>
          <w:trHeight w:val="285"/>
        </w:trPr>
        <w:tc>
          <w:tcPr>
            <w:tcW w:w="3780" w:type="dxa"/>
            <w:vAlign w:val="bottom"/>
            <w:tcBorders>
              <w:bottom w:val="single" w:sz="8" w:color="1F473D"/>
            </w:tcBorders>
            <w:shd w:val="clear" w:color="auto" w:fill="1F473D"/>
          </w:tcPr>
          <w:p>
            <w:pPr>
              <w:ind w:left="80"/>
              <w:spacing w:after="0"/>
              <w:rPr>
                <w:sz w:val="20"/>
                <w:szCs w:val="20"/>
                <w:color w:val="auto"/>
              </w:rPr>
            </w:pPr>
            <w:r>
              <w:rPr>
                <w:rFonts w:ascii="Arial" w:cs="Arial" w:eastAsia="Arial" w:hAnsi="Arial"/>
                <w:sz w:val="16"/>
                <w:szCs w:val="16"/>
                <w:b w:val="1"/>
                <w:bCs w:val="1"/>
                <w:color w:val="FFFFFF"/>
              </w:rPr>
              <w:t>Adjusted EBITDA and the related margin</w:t>
            </w:r>
          </w:p>
        </w:tc>
        <w:tc>
          <w:tcPr>
            <w:tcW w:w="3320" w:type="dxa"/>
            <w:vAlign w:val="bottom"/>
            <w:tcBorders>
              <w:bottom w:val="single" w:sz="8" w:color="1F473D"/>
            </w:tcBorders>
            <w:shd w:val="clear" w:color="auto" w:fill="1F473D"/>
          </w:tcPr>
          <w:p>
            <w:pPr>
              <w:spacing w:after="0"/>
              <w:rPr>
                <w:sz w:val="24"/>
                <w:szCs w:val="24"/>
                <w:color w:val="auto"/>
              </w:rPr>
            </w:pPr>
          </w:p>
        </w:tc>
        <w:tc>
          <w:tcPr>
            <w:tcW w:w="3700" w:type="dxa"/>
            <w:vAlign w:val="bottom"/>
            <w:tcBorders>
              <w:bottom w:val="single" w:sz="8" w:color="1F473D"/>
            </w:tcBorders>
            <w:shd w:val="clear" w:color="auto" w:fill="1F473D"/>
          </w:tcPr>
          <w:p>
            <w:pPr>
              <w:spacing w:after="0"/>
              <w:rPr>
                <w:sz w:val="24"/>
                <w:szCs w:val="24"/>
                <w:color w:val="auto"/>
              </w:rPr>
            </w:pPr>
          </w:p>
        </w:tc>
      </w:tr>
      <w:tr>
        <w:trPr>
          <w:trHeight w:val="27"/>
        </w:trPr>
        <w:tc>
          <w:tcPr>
            <w:tcW w:w="3780" w:type="dxa"/>
            <w:vAlign w:val="bottom"/>
            <w:shd w:val="clear" w:color="auto" w:fill="D64000"/>
          </w:tcPr>
          <w:p>
            <w:pPr>
              <w:spacing w:after="0"/>
              <w:rPr>
                <w:sz w:val="2"/>
                <w:szCs w:val="2"/>
                <w:color w:val="auto"/>
              </w:rPr>
            </w:pPr>
          </w:p>
        </w:tc>
        <w:tc>
          <w:tcPr>
            <w:tcW w:w="3320" w:type="dxa"/>
            <w:vAlign w:val="bottom"/>
            <w:shd w:val="clear" w:color="auto" w:fill="D64000"/>
          </w:tcPr>
          <w:p>
            <w:pPr>
              <w:spacing w:after="0"/>
              <w:rPr>
                <w:sz w:val="2"/>
                <w:szCs w:val="2"/>
                <w:color w:val="auto"/>
              </w:rPr>
            </w:pPr>
          </w:p>
        </w:tc>
        <w:tc>
          <w:tcPr>
            <w:tcW w:w="3700" w:type="dxa"/>
            <w:vAlign w:val="bottom"/>
            <w:shd w:val="clear" w:color="auto" w:fill="D64000"/>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040"/>
          </w:cols>
          <w:pgMar w:left="320" w:top="477" w:right="539" w:bottom="1440" w:gutter="0" w:footer="0" w:header="0"/>
        </w:sectPr>
      </w:pPr>
    </w:p>
    <w:p>
      <w:pPr>
        <w:ind w:left="300"/>
        <w:spacing w:after="0" w:line="245" w:lineRule="auto"/>
        <w:rPr>
          <w:sz w:val="20"/>
          <w:szCs w:val="20"/>
          <w:color w:val="auto"/>
        </w:rPr>
      </w:pPr>
      <w:r>
        <w:rPr>
          <w:rFonts w:ascii="Arial" w:cs="Arial" w:eastAsia="Arial" w:hAnsi="Arial"/>
          <w:sz w:val="16"/>
          <w:szCs w:val="16"/>
          <w:color w:val="auto"/>
        </w:rPr>
        <w:t>Represents earnings or losses from continuing operations before tax expense or benefit, net interest expense, other finance costs or income, depreciation, amortization of computer software and other identifiable intangible assets, our share of post-tax earnings or losses in equity method investments, other operating gains and losses, certain asset impairment charges and fair value adjustments, including those related to acquired deferred revenue.</w:t>
      </w:r>
    </w:p>
    <w:p>
      <w:pPr>
        <w:spacing w:after="0" w:line="69" w:lineRule="exact"/>
        <w:rPr>
          <w:sz w:val="20"/>
          <w:szCs w:val="20"/>
          <w:color w:val="auto"/>
        </w:rPr>
      </w:pPr>
    </w:p>
    <w:p>
      <w:pPr>
        <w:ind w:left="300" w:right="120"/>
        <w:spacing w:after="0" w:line="275" w:lineRule="auto"/>
        <w:rPr>
          <w:sz w:val="20"/>
          <w:szCs w:val="20"/>
          <w:color w:val="auto"/>
        </w:rPr>
      </w:pPr>
      <w:r>
        <w:rPr>
          <w:rFonts w:ascii="Arial" w:cs="Arial" w:eastAsia="Arial" w:hAnsi="Arial"/>
          <w:sz w:val="15"/>
          <w:szCs w:val="15"/>
          <w:color w:val="auto"/>
        </w:rPr>
        <w:t>The related margin is adjusted EBITDA expressed as a percentage of revenues. For purposes of this calculation, revenues are before fair value adjustments to acquired deferred revenue.</w:t>
      </w:r>
    </w:p>
    <w:p>
      <w:pPr>
        <w:spacing w:after="0" w:line="20" w:lineRule="exact"/>
        <w:rPr>
          <w:sz w:val="20"/>
          <w:szCs w:val="20"/>
          <w:color w:val="auto"/>
        </w:rPr>
      </w:pPr>
      <w:r>
        <w:rPr>
          <w:sz w:val="20"/>
          <w:szCs w:val="20"/>
          <w:color w:val="auto"/>
        </w:rPr>
        <w:br w:type="column"/>
      </w:r>
    </w:p>
    <w:p>
      <w:pPr>
        <w:ind w:right="800"/>
        <w:spacing w:after="0" w:line="248" w:lineRule="auto"/>
        <w:rPr>
          <w:sz w:val="20"/>
          <w:szCs w:val="20"/>
          <w:color w:val="auto"/>
        </w:rPr>
      </w:pPr>
      <w:r>
        <w:rPr>
          <w:rFonts w:ascii="Arial" w:cs="Arial" w:eastAsia="Arial" w:hAnsi="Arial"/>
          <w:sz w:val="16"/>
          <w:szCs w:val="16"/>
          <w:color w:val="auto"/>
        </w:rPr>
        <w:t>Provides a consistent basis to evaluate operating Earnings from continuing operations profitability and performance trends by excluding items that we do not consider to be controllable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activities for this purpose.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Also represents a measure commonly reported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and widely used by investors as a valuation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metric, as well as to assess our ability to incur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and service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824230</wp:posOffset>
            </wp:positionV>
            <wp:extent cx="6865620" cy="2101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65620" cy="210185"/>
                    </a:xfrm>
                    <a:prstGeom prst="rect">
                      <a:avLst/>
                    </a:prstGeom>
                    <a:noFill/>
                  </pic:spPr>
                </pic:pic>
              </a:graphicData>
            </a:graphic>
          </wp:anchor>
        </w:drawing>
      </w:r>
    </w:p>
    <w:p>
      <w:pPr>
        <w:spacing w:after="0" w:line="1347" w:lineRule="exact"/>
        <w:rPr>
          <w:sz w:val="20"/>
          <w:szCs w:val="20"/>
          <w:color w:val="auto"/>
        </w:rPr>
      </w:pPr>
    </w:p>
    <w:p>
      <w:pPr>
        <w:sectPr>
          <w:pgSz w:w="11900" w:h="16838" w:orient="portrait"/>
          <w:cols w:equalWidth="0" w:num="2">
            <w:col w:w="3960" w:space="160"/>
            <w:col w:w="6920"/>
          </w:cols>
          <w:pgMar w:left="320" w:top="477" w:right="539" w:bottom="1440" w:gutter="0" w:footer="0" w:header="0"/>
          <w:type w:val="continuous"/>
        </w:sectPr>
      </w:pPr>
    </w:p>
    <w:p>
      <w:pPr>
        <w:spacing w:after="0" w:line="3"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FFFFFF"/>
        </w:rPr>
        <w:t>Adjusted EBITDA less accrued capital expenditures and the related margin</w:t>
      </w:r>
    </w:p>
    <w:p>
      <w:pPr>
        <w:sectPr>
          <w:pgSz w:w="11900" w:h="16838" w:orient="portrait"/>
          <w:cols w:equalWidth="0" w:num="1">
            <w:col w:w="11040"/>
          </w:cols>
          <w:pgMar w:left="320" w:top="477" w:right="539" w:bottom="1440" w:gutter="0" w:footer="0" w:header="0"/>
          <w:type w:val="continuous"/>
        </w:sectPr>
      </w:pPr>
    </w:p>
    <w:p>
      <w:pPr>
        <w:spacing w:after="0" w:line="106" w:lineRule="exact"/>
        <w:rPr>
          <w:sz w:val="20"/>
          <w:szCs w:val="20"/>
          <w:color w:val="auto"/>
        </w:rPr>
      </w:pPr>
    </w:p>
    <w:p>
      <w:pPr>
        <w:ind w:left="300" w:right="60"/>
        <w:spacing w:after="0" w:line="253" w:lineRule="auto"/>
        <w:rPr>
          <w:sz w:val="20"/>
          <w:szCs w:val="20"/>
          <w:color w:val="auto"/>
        </w:rPr>
      </w:pPr>
      <w:r>
        <w:rPr>
          <w:rFonts w:ascii="Arial" w:cs="Arial" w:eastAsia="Arial" w:hAnsi="Arial"/>
          <w:sz w:val="16"/>
          <w:szCs w:val="16"/>
          <w:color w:val="auto"/>
        </w:rPr>
        <w:t>Represents adjusted EBITDA less accrued capital expenditures, where accrued capital expenditures include amounts that remain unpaid at the reporting date.</w:t>
      </w:r>
    </w:p>
    <w:p>
      <w:pPr>
        <w:spacing w:after="0" w:line="59" w:lineRule="exact"/>
        <w:rPr>
          <w:sz w:val="20"/>
          <w:szCs w:val="20"/>
          <w:color w:val="auto"/>
        </w:rPr>
      </w:pPr>
    </w:p>
    <w:p>
      <w:pPr>
        <w:ind w:left="300"/>
        <w:spacing w:after="0" w:line="250" w:lineRule="auto"/>
        <w:rPr>
          <w:sz w:val="20"/>
          <w:szCs w:val="20"/>
          <w:color w:val="auto"/>
        </w:rPr>
      </w:pPr>
      <w:r>
        <w:rPr>
          <w:rFonts w:ascii="Arial" w:cs="Arial" w:eastAsia="Arial" w:hAnsi="Arial"/>
          <w:sz w:val="16"/>
          <w:szCs w:val="16"/>
          <w:color w:val="auto"/>
        </w:rPr>
        <w:t>The related margin is adjusted EBITDA less accrued capital expenditures expressed as a percentage of revenues. For purposes of this calculation, revenues are before fair value adjustments to acquired deferred revenue.</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tabs>
          <w:tab w:leader="none" w:pos="3560" w:val="left"/>
        </w:tabs>
        <w:rPr>
          <w:sz w:val="20"/>
          <w:szCs w:val="20"/>
          <w:color w:val="auto"/>
        </w:rPr>
      </w:pPr>
      <w:r>
        <w:rPr>
          <w:rFonts w:ascii="Arial" w:cs="Arial" w:eastAsia="Arial" w:hAnsi="Arial"/>
          <w:sz w:val="16"/>
          <w:szCs w:val="16"/>
          <w:color w:val="auto"/>
        </w:rPr>
        <w:t>Provides a basis for evaluating the operating</w:t>
      </w:r>
      <w:r>
        <w:rPr>
          <w:sz w:val="20"/>
          <w:szCs w:val="20"/>
          <w:color w:val="auto"/>
        </w:rPr>
        <w:tab/>
      </w:r>
      <w:r>
        <w:rPr>
          <w:rFonts w:ascii="Arial" w:cs="Arial" w:eastAsia="Arial" w:hAnsi="Arial"/>
          <w:sz w:val="15"/>
          <w:szCs w:val="15"/>
          <w:color w:val="auto"/>
        </w:rPr>
        <w:t>Earnings from continuing operations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profitability and capital intensity of a business in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 single measure. This measure captures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investments regardless of whether they are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expensed or capitalized, and reflects the basis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on which management measures capital</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412115</wp:posOffset>
            </wp:positionV>
            <wp:extent cx="6865620" cy="2101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65620" cy="210185"/>
                    </a:xfrm>
                    <a:prstGeom prst="rect">
                      <a:avLst/>
                    </a:prstGeom>
                    <a:noFill/>
                  </pic:spPr>
                </pic:pic>
              </a:graphicData>
            </a:graphic>
          </wp:anchor>
        </w:drawing>
      </w:r>
    </w:p>
    <w:p>
      <w:pPr>
        <w:spacing w:after="0" w:line="680" w:lineRule="exact"/>
        <w:rPr>
          <w:sz w:val="20"/>
          <w:szCs w:val="20"/>
          <w:color w:val="auto"/>
        </w:rPr>
      </w:pPr>
    </w:p>
    <w:p>
      <w:pPr>
        <w:sectPr>
          <w:pgSz w:w="11900" w:h="16838" w:orient="portrait"/>
          <w:cols w:equalWidth="0" w:num="2">
            <w:col w:w="4000" w:space="120"/>
            <w:col w:w="6920"/>
          </w:cols>
          <w:pgMar w:left="320" w:top="477" w:right="539" w:bottom="1440" w:gutter="0" w:footer="0" w:header="0"/>
          <w:type w:val="continuous"/>
        </w:sectPr>
      </w:pPr>
    </w:p>
    <w:p>
      <w:pPr>
        <w:spacing w:after="0" w:line="21"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FFFFFF"/>
        </w:rPr>
        <w:t>Accrued capital expenditures as a percentage of revenues</w:t>
      </w:r>
    </w:p>
    <w:p>
      <w:pPr>
        <w:sectPr>
          <w:pgSz w:w="11900" w:h="16838" w:orient="portrait"/>
          <w:cols w:equalWidth="0" w:num="1">
            <w:col w:w="11040"/>
          </w:cols>
          <w:pgMar w:left="320" w:top="477" w:right="539" w:bottom="1440" w:gutter="0" w:footer="0" w:header="0"/>
          <w:type w:val="continuous"/>
        </w:sectPr>
      </w:pPr>
    </w:p>
    <w:p>
      <w:pPr>
        <w:spacing w:after="0" w:line="106" w:lineRule="exact"/>
        <w:rPr>
          <w:sz w:val="20"/>
          <w:szCs w:val="20"/>
          <w:color w:val="auto"/>
        </w:rPr>
      </w:pPr>
    </w:p>
    <w:p>
      <w:pPr>
        <w:ind w:left="300"/>
        <w:spacing w:after="0" w:line="275" w:lineRule="auto"/>
        <w:rPr>
          <w:sz w:val="20"/>
          <w:szCs w:val="20"/>
          <w:color w:val="auto"/>
        </w:rPr>
      </w:pPr>
      <w:r>
        <w:rPr>
          <w:rFonts w:ascii="Arial" w:cs="Arial" w:eastAsia="Arial" w:hAnsi="Arial"/>
          <w:sz w:val="15"/>
          <w:szCs w:val="15"/>
          <w:color w:val="auto"/>
        </w:rPr>
        <w:t>Accrued capital expenditures expressed as a percentage of revenues. For purposes of this calculation, revenues are before fair value adjustments to acquired deferred revenue.</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tabs>
          <w:tab w:leader="none" w:pos="3560" w:val="left"/>
        </w:tabs>
        <w:rPr>
          <w:sz w:val="20"/>
          <w:szCs w:val="20"/>
          <w:color w:val="auto"/>
        </w:rPr>
      </w:pPr>
      <w:r>
        <w:rPr>
          <w:rFonts w:ascii="Arial" w:cs="Arial" w:eastAsia="Arial" w:hAnsi="Arial"/>
          <w:sz w:val="16"/>
          <w:szCs w:val="16"/>
          <w:color w:val="auto"/>
        </w:rPr>
        <w:t>Reflects the basis on how we manage capital</w:t>
      </w:r>
      <w:r>
        <w:rPr>
          <w:sz w:val="20"/>
          <w:szCs w:val="20"/>
          <w:color w:val="auto"/>
        </w:rPr>
        <w:tab/>
      </w:r>
      <w:r>
        <w:rPr>
          <w:rFonts w:ascii="Arial" w:cs="Arial" w:eastAsia="Arial" w:hAnsi="Arial"/>
          <w:sz w:val="15"/>
          <w:szCs w:val="15"/>
          <w:color w:val="auto"/>
        </w:rPr>
        <w:t>Capital expenditures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expenditures for internal budgeting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344805</wp:posOffset>
            </wp:positionV>
            <wp:extent cx="68656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65620" cy="17145"/>
                    </a:xfrm>
                    <a:prstGeom prst="rect">
                      <a:avLst/>
                    </a:prstGeom>
                    <a:noFill/>
                  </pic:spPr>
                </pic:pic>
              </a:graphicData>
            </a:graphic>
          </wp:anchor>
        </w:drawing>
        <w:drawing>
          <wp:anchor simplePos="0" relativeHeight="251657728" behindDoc="1" locked="0" layoutInCell="0" allowOverlap="1">
            <wp:simplePos x="0" y="0"/>
            <wp:positionH relativeFrom="column">
              <wp:posOffset>-2477135</wp:posOffset>
            </wp:positionH>
            <wp:positionV relativeFrom="paragraph">
              <wp:posOffset>462280</wp:posOffset>
            </wp:positionV>
            <wp:extent cx="68656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605" w:lineRule="exact"/>
        <w:rPr>
          <w:sz w:val="20"/>
          <w:szCs w:val="20"/>
          <w:color w:val="auto"/>
        </w:rPr>
      </w:pPr>
    </w:p>
    <w:p>
      <w:pPr>
        <w:sectPr>
          <w:pgSz w:w="11900" w:h="16838" w:orient="portrait"/>
          <w:cols w:equalWidth="0" w:num="2">
            <w:col w:w="3480" w:space="640"/>
            <w:col w:w="6920"/>
          </w:cols>
          <w:pgMar w:left="320" w:top="477" w:right="539" w:bottom="1440" w:gutter="0" w:footer="0" w:header="0"/>
          <w:type w:val="continuous"/>
        </w:sectPr>
      </w:pPr>
    </w:p>
    <w:p>
      <w:pPr>
        <w:spacing w:after="0" w:line="141"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60</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30"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3780" w:type="dxa"/>
            <w:vAlign w:val="bottom"/>
            <w:shd w:val="clear" w:color="auto" w:fill="E3F3EE"/>
          </w:tcPr>
          <w:p>
            <w:pPr>
              <w:spacing w:after="0"/>
              <w:rPr>
                <w:sz w:val="19"/>
                <w:szCs w:val="19"/>
                <w:color w:val="auto"/>
              </w:rPr>
            </w:pPr>
          </w:p>
        </w:tc>
        <w:tc>
          <w:tcPr>
            <w:tcW w:w="3320" w:type="dxa"/>
            <w:vAlign w:val="bottom"/>
            <w:shd w:val="clear" w:color="auto" w:fill="E3F3EE"/>
          </w:tcPr>
          <w:p>
            <w:pPr>
              <w:ind w:left="120"/>
              <w:spacing w:after="0"/>
              <w:rPr>
                <w:sz w:val="20"/>
                <w:szCs w:val="20"/>
                <w:color w:val="auto"/>
              </w:rPr>
            </w:pPr>
            <w:r>
              <w:rPr>
                <w:rFonts w:ascii="Arial" w:cs="Arial" w:eastAsia="Arial" w:hAnsi="Arial"/>
                <w:sz w:val="16"/>
                <w:szCs w:val="16"/>
                <w:b w:val="1"/>
                <w:bCs w:val="1"/>
                <w:color w:val="auto"/>
              </w:rPr>
              <w:t>Why We Use It and Why It Is Useful to</w:t>
            </w:r>
          </w:p>
        </w:tc>
        <w:tc>
          <w:tcPr>
            <w:tcW w:w="3700" w:type="dxa"/>
            <w:vAlign w:val="bottom"/>
            <w:shd w:val="clear" w:color="auto" w:fill="E3F3EE"/>
          </w:tcPr>
          <w:p>
            <w:pPr>
              <w:ind w:left="380"/>
              <w:spacing w:after="0"/>
              <w:rPr>
                <w:sz w:val="20"/>
                <w:szCs w:val="20"/>
                <w:color w:val="auto"/>
              </w:rPr>
            </w:pPr>
            <w:r>
              <w:rPr>
                <w:rFonts w:ascii="Arial" w:cs="Arial" w:eastAsia="Arial" w:hAnsi="Arial"/>
                <w:sz w:val="16"/>
                <w:szCs w:val="16"/>
                <w:b w:val="1"/>
                <w:bCs w:val="1"/>
                <w:color w:val="auto"/>
              </w:rPr>
              <w:t>Most Directly Comparable</w:t>
            </w:r>
          </w:p>
        </w:tc>
      </w:tr>
      <w:tr>
        <w:trPr>
          <w:trHeight w:val="218"/>
        </w:trPr>
        <w:tc>
          <w:tcPr>
            <w:tcW w:w="3780" w:type="dxa"/>
            <w:vAlign w:val="bottom"/>
            <w:shd w:val="clear" w:color="auto" w:fill="E3F3EE"/>
          </w:tcPr>
          <w:p>
            <w:pPr>
              <w:spacing w:after="0"/>
              <w:rPr>
                <w:sz w:val="20"/>
                <w:szCs w:val="20"/>
                <w:color w:val="auto"/>
              </w:rPr>
            </w:pPr>
            <w:r>
              <w:rPr>
                <w:rFonts w:ascii="Arial" w:cs="Arial" w:eastAsia="Arial" w:hAnsi="Arial"/>
                <w:sz w:val="16"/>
                <w:szCs w:val="16"/>
                <w:b w:val="1"/>
                <w:bCs w:val="1"/>
                <w:color w:val="auto"/>
              </w:rPr>
              <w:t>  How We Define It</w:t>
            </w:r>
          </w:p>
        </w:tc>
        <w:tc>
          <w:tcPr>
            <w:tcW w:w="3320" w:type="dxa"/>
            <w:vAlign w:val="bottom"/>
            <w:shd w:val="clear" w:color="auto" w:fill="E3F3EE"/>
          </w:tcPr>
          <w:p>
            <w:pPr>
              <w:ind w:left="120"/>
              <w:spacing w:after="0"/>
              <w:rPr>
                <w:sz w:val="20"/>
                <w:szCs w:val="20"/>
                <w:color w:val="auto"/>
              </w:rPr>
            </w:pPr>
            <w:r>
              <w:rPr>
                <w:rFonts w:ascii="Arial" w:cs="Arial" w:eastAsia="Arial" w:hAnsi="Arial"/>
                <w:sz w:val="16"/>
                <w:szCs w:val="16"/>
                <w:b w:val="1"/>
                <w:bCs w:val="1"/>
                <w:color w:val="auto"/>
              </w:rPr>
              <w:t>Investors</w:t>
            </w:r>
          </w:p>
        </w:tc>
        <w:tc>
          <w:tcPr>
            <w:tcW w:w="3700" w:type="dxa"/>
            <w:vAlign w:val="bottom"/>
            <w:shd w:val="clear" w:color="auto" w:fill="E3F3EE"/>
          </w:tcPr>
          <w:p>
            <w:pPr>
              <w:ind w:left="380"/>
              <w:spacing w:after="0"/>
              <w:rPr>
                <w:sz w:val="20"/>
                <w:szCs w:val="20"/>
                <w:color w:val="auto"/>
              </w:rPr>
            </w:pPr>
            <w:r>
              <w:rPr>
                <w:rFonts w:ascii="Arial" w:cs="Arial" w:eastAsia="Arial" w:hAnsi="Arial"/>
                <w:sz w:val="16"/>
                <w:szCs w:val="16"/>
                <w:b w:val="1"/>
                <w:bCs w:val="1"/>
                <w:color w:val="auto"/>
              </w:rPr>
              <w:t>IFRS Measure</w:t>
            </w:r>
          </w:p>
        </w:tc>
      </w:tr>
      <w:tr>
        <w:trPr>
          <w:trHeight w:val="61"/>
        </w:trPr>
        <w:tc>
          <w:tcPr>
            <w:tcW w:w="3780" w:type="dxa"/>
            <w:vAlign w:val="bottom"/>
            <w:shd w:val="clear" w:color="auto" w:fill="E3F3EE"/>
          </w:tcPr>
          <w:p>
            <w:pPr>
              <w:spacing w:after="0"/>
              <w:rPr>
                <w:sz w:val="5"/>
                <w:szCs w:val="5"/>
                <w:color w:val="auto"/>
              </w:rPr>
            </w:pPr>
          </w:p>
        </w:tc>
        <w:tc>
          <w:tcPr>
            <w:tcW w:w="3320" w:type="dxa"/>
            <w:vAlign w:val="bottom"/>
            <w:shd w:val="clear" w:color="auto" w:fill="E3F3EE"/>
          </w:tcPr>
          <w:p>
            <w:pPr>
              <w:spacing w:after="0"/>
              <w:rPr>
                <w:sz w:val="5"/>
                <w:szCs w:val="5"/>
                <w:color w:val="auto"/>
              </w:rPr>
            </w:pPr>
          </w:p>
        </w:tc>
        <w:tc>
          <w:tcPr>
            <w:tcW w:w="3700" w:type="dxa"/>
            <w:vAlign w:val="bottom"/>
            <w:shd w:val="clear" w:color="auto" w:fill="E3F3EE"/>
          </w:tcPr>
          <w:p>
            <w:pPr>
              <w:spacing w:after="0"/>
              <w:rPr>
                <w:sz w:val="5"/>
                <w:szCs w:val="5"/>
                <w:color w:val="auto"/>
              </w:rPr>
            </w:pPr>
          </w:p>
        </w:tc>
      </w:tr>
      <w:tr>
        <w:trPr>
          <w:trHeight w:val="285"/>
        </w:trPr>
        <w:tc>
          <w:tcPr>
            <w:tcW w:w="3780" w:type="dxa"/>
            <w:vAlign w:val="bottom"/>
            <w:tcBorders>
              <w:bottom w:val="single" w:sz="8" w:color="1F473D"/>
            </w:tcBorders>
            <w:shd w:val="clear" w:color="auto" w:fill="1F473D"/>
          </w:tcPr>
          <w:p>
            <w:pPr>
              <w:ind w:left="80"/>
              <w:spacing w:after="0"/>
              <w:rPr>
                <w:sz w:val="20"/>
                <w:szCs w:val="20"/>
                <w:color w:val="auto"/>
              </w:rPr>
            </w:pPr>
            <w:r>
              <w:rPr>
                <w:rFonts w:ascii="Arial" w:cs="Arial" w:eastAsia="Arial" w:hAnsi="Arial"/>
                <w:sz w:val="16"/>
                <w:szCs w:val="16"/>
                <w:b w:val="1"/>
                <w:bCs w:val="1"/>
                <w:color w:val="FFFFFF"/>
              </w:rPr>
              <w:t>Adjusted earnings and adjusted EPS</w:t>
            </w:r>
          </w:p>
        </w:tc>
        <w:tc>
          <w:tcPr>
            <w:tcW w:w="3320" w:type="dxa"/>
            <w:vAlign w:val="bottom"/>
            <w:tcBorders>
              <w:bottom w:val="single" w:sz="8" w:color="1F473D"/>
            </w:tcBorders>
            <w:shd w:val="clear" w:color="auto" w:fill="1F473D"/>
          </w:tcPr>
          <w:p>
            <w:pPr>
              <w:spacing w:after="0"/>
              <w:rPr>
                <w:sz w:val="24"/>
                <w:szCs w:val="24"/>
                <w:color w:val="auto"/>
              </w:rPr>
            </w:pPr>
          </w:p>
        </w:tc>
        <w:tc>
          <w:tcPr>
            <w:tcW w:w="3700" w:type="dxa"/>
            <w:vAlign w:val="bottom"/>
            <w:tcBorders>
              <w:bottom w:val="single" w:sz="8" w:color="1F473D"/>
            </w:tcBorders>
            <w:shd w:val="clear" w:color="auto" w:fill="1F473D"/>
          </w:tcPr>
          <w:p>
            <w:pPr>
              <w:spacing w:after="0"/>
              <w:rPr>
                <w:sz w:val="24"/>
                <w:szCs w:val="24"/>
                <w:color w:val="auto"/>
              </w:rPr>
            </w:pPr>
          </w:p>
        </w:tc>
      </w:tr>
      <w:tr>
        <w:trPr>
          <w:trHeight w:val="27"/>
        </w:trPr>
        <w:tc>
          <w:tcPr>
            <w:tcW w:w="3780" w:type="dxa"/>
            <w:vAlign w:val="bottom"/>
            <w:shd w:val="clear" w:color="auto" w:fill="D64000"/>
          </w:tcPr>
          <w:p>
            <w:pPr>
              <w:spacing w:after="0"/>
              <w:rPr>
                <w:sz w:val="2"/>
                <w:szCs w:val="2"/>
                <w:color w:val="auto"/>
              </w:rPr>
            </w:pPr>
          </w:p>
        </w:tc>
        <w:tc>
          <w:tcPr>
            <w:tcW w:w="3320" w:type="dxa"/>
            <w:vAlign w:val="bottom"/>
            <w:shd w:val="clear" w:color="auto" w:fill="D64000"/>
          </w:tcPr>
          <w:p>
            <w:pPr>
              <w:spacing w:after="0"/>
              <w:rPr>
                <w:sz w:val="2"/>
                <w:szCs w:val="2"/>
                <w:color w:val="auto"/>
              </w:rPr>
            </w:pPr>
          </w:p>
        </w:tc>
        <w:tc>
          <w:tcPr>
            <w:tcW w:w="3700" w:type="dxa"/>
            <w:vAlign w:val="bottom"/>
            <w:shd w:val="clear" w:color="auto" w:fill="D64000"/>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040"/>
          </w:cols>
          <w:pgMar w:left="320" w:top="477" w:right="539" w:bottom="1440" w:gutter="0" w:footer="0" w:header="0"/>
        </w:sectPr>
      </w:pPr>
    </w:p>
    <w:p>
      <w:pPr>
        <w:ind w:left="300" w:right="20"/>
        <w:spacing w:after="0" w:line="262" w:lineRule="auto"/>
        <w:rPr>
          <w:sz w:val="20"/>
          <w:szCs w:val="20"/>
          <w:color w:val="auto"/>
        </w:rPr>
      </w:pPr>
      <w:r>
        <w:rPr>
          <w:rFonts w:ascii="Arial" w:cs="Arial" w:eastAsia="Arial" w:hAnsi="Arial"/>
          <w:sz w:val="15"/>
          <w:szCs w:val="15"/>
          <w:color w:val="auto"/>
        </w:rPr>
        <w:t>Net earnings or loss including dividends declared on preference shares but excluding the post-tax impacts of fair value adjustments, including those related to acquired deferred revenue, amortization of acquired intangible assets (attributable to other identifiable intangible assets and acquired computer software), other operating gains and losses, certain asset impairment charges, other finance costs or income, our share of post-tax earnings or losses in equity method investments, discontinued operations and other items affecting comparability. Acquired intangible assets contribute to the generation of revenues from acquired companies, which are included in our computation of adjusted earnings.</w:t>
      </w:r>
    </w:p>
    <w:p>
      <w:pPr>
        <w:spacing w:after="0" w:line="53" w:lineRule="exact"/>
        <w:rPr>
          <w:sz w:val="20"/>
          <w:szCs w:val="20"/>
          <w:color w:val="auto"/>
        </w:rPr>
      </w:pPr>
    </w:p>
    <w:p>
      <w:pPr>
        <w:ind w:left="300" w:right="120"/>
        <w:spacing w:after="0" w:line="253" w:lineRule="auto"/>
        <w:rPr>
          <w:sz w:val="20"/>
          <w:szCs w:val="20"/>
          <w:color w:val="auto"/>
        </w:rPr>
      </w:pPr>
      <w:r>
        <w:rPr>
          <w:rFonts w:ascii="Arial" w:cs="Arial" w:eastAsia="Arial" w:hAnsi="Arial"/>
          <w:sz w:val="16"/>
          <w:szCs w:val="16"/>
          <w:color w:val="auto"/>
        </w:rPr>
        <w:t>The post-tax amount of each item is excluded from adjusted earnings based on the specific tax rules and tax rates associated with the nature and jurisdiction of each item.</w:t>
      </w:r>
    </w:p>
    <w:p>
      <w:pPr>
        <w:spacing w:after="0" w:line="59" w:lineRule="exact"/>
        <w:rPr>
          <w:sz w:val="20"/>
          <w:szCs w:val="20"/>
          <w:color w:val="auto"/>
        </w:rPr>
      </w:pPr>
    </w:p>
    <w:p>
      <w:pPr>
        <w:ind w:left="300"/>
        <w:spacing w:after="0" w:line="253" w:lineRule="auto"/>
        <w:rPr>
          <w:sz w:val="20"/>
          <w:szCs w:val="20"/>
          <w:color w:val="auto"/>
        </w:rPr>
      </w:pPr>
      <w:r>
        <w:rPr>
          <w:rFonts w:ascii="Arial" w:cs="Arial" w:eastAsia="Arial" w:hAnsi="Arial"/>
          <w:sz w:val="16"/>
          <w:szCs w:val="16"/>
          <w:color w:val="auto"/>
        </w:rPr>
        <w:t>Adjusted EPS is calculated from adjusted earnings using diluted weighted-average shares and does not represent actual earnings or loss per share attributable to shareholders.</w:t>
      </w:r>
    </w:p>
    <w:p>
      <w:pPr>
        <w:spacing w:after="0" w:line="20" w:lineRule="exact"/>
        <w:rPr>
          <w:sz w:val="20"/>
          <w:szCs w:val="20"/>
          <w:color w:val="auto"/>
        </w:rPr>
      </w:pPr>
      <w:r>
        <w:rPr>
          <w:sz w:val="20"/>
          <w:szCs w:val="20"/>
          <w:color w:val="auto"/>
        </w:rPr>
        <w:br w:type="column"/>
      </w:r>
    </w:p>
    <w:p>
      <w:pPr>
        <w:spacing w:after="0"/>
        <w:tabs>
          <w:tab w:leader="none" w:pos="3560" w:val="left"/>
        </w:tabs>
        <w:rPr>
          <w:sz w:val="20"/>
          <w:szCs w:val="20"/>
          <w:color w:val="auto"/>
        </w:rPr>
      </w:pPr>
      <w:r>
        <w:rPr>
          <w:rFonts w:ascii="Arial" w:cs="Arial" w:eastAsia="Arial" w:hAnsi="Arial"/>
          <w:sz w:val="16"/>
          <w:szCs w:val="16"/>
          <w:color w:val="auto"/>
        </w:rPr>
        <w:t>Provides a more comparable basis to analyze</w:t>
      </w:r>
      <w:r>
        <w:rPr>
          <w:sz w:val="20"/>
          <w:szCs w:val="20"/>
          <w:color w:val="auto"/>
        </w:rPr>
        <w:tab/>
      </w:r>
      <w:r>
        <w:rPr>
          <w:rFonts w:ascii="Arial" w:cs="Arial" w:eastAsia="Arial" w:hAnsi="Arial"/>
          <w:sz w:val="15"/>
          <w:szCs w:val="15"/>
          <w:color w:val="auto"/>
        </w:rPr>
        <w:t>Net earnings and diluted EPS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earnings.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These measures are commonly used by</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shareholders to measure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2296795</wp:posOffset>
            </wp:positionV>
            <wp:extent cx="6865620" cy="2101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65620" cy="210185"/>
                    </a:xfrm>
                    <a:prstGeom prst="rect">
                      <a:avLst/>
                    </a:prstGeom>
                    <a:noFill/>
                  </pic:spPr>
                </pic:pic>
              </a:graphicData>
            </a:graphic>
          </wp:anchor>
        </w:drawing>
      </w:r>
    </w:p>
    <w:p>
      <w:pPr>
        <w:spacing w:after="0" w:line="3651" w:lineRule="exact"/>
        <w:rPr>
          <w:sz w:val="20"/>
          <w:szCs w:val="20"/>
          <w:color w:val="auto"/>
        </w:rPr>
      </w:pPr>
    </w:p>
    <w:p>
      <w:pPr>
        <w:sectPr>
          <w:pgSz w:w="11900" w:h="16838" w:orient="portrait"/>
          <w:cols w:equalWidth="0" w:num="2">
            <w:col w:w="4000" w:space="120"/>
            <w:col w:w="6920"/>
          </w:cols>
          <w:pgMar w:left="320" w:top="477" w:right="539" w:bottom="1440" w:gutter="0" w:footer="0" w:header="0"/>
          <w:type w:val="continuous"/>
        </w:sectPr>
      </w:pPr>
    </w:p>
    <w:p>
      <w:pPr>
        <w:spacing w:after="0" w:line="18"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FFFFFF"/>
        </w:rPr>
        <w:t>Effective tax rate on adjusted earnings</w:t>
      </w:r>
    </w:p>
    <w:p>
      <w:pPr>
        <w:sectPr>
          <w:pgSz w:w="11900" w:h="16838" w:orient="portrait"/>
          <w:cols w:equalWidth="0" w:num="1">
            <w:col w:w="11040"/>
          </w:cols>
          <w:pgMar w:left="320" w:top="477" w:right="539" w:bottom="1440" w:gutter="0" w:footer="0" w:header="0"/>
          <w:type w:val="continuous"/>
        </w:sectPr>
      </w:pPr>
    </w:p>
    <w:p>
      <w:pPr>
        <w:spacing w:after="0" w:line="106" w:lineRule="exact"/>
        <w:rPr>
          <w:sz w:val="20"/>
          <w:szCs w:val="20"/>
          <w:color w:val="auto"/>
        </w:rPr>
      </w:pPr>
    </w:p>
    <w:p>
      <w:pPr>
        <w:ind w:left="300"/>
        <w:spacing w:after="0" w:line="248" w:lineRule="auto"/>
        <w:rPr>
          <w:sz w:val="20"/>
          <w:szCs w:val="20"/>
          <w:color w:val="auto"/>
        </w:rPr>
      </w:pPr>
      <w:r>
        <w:rPr>
          <w:rFonts w:ascii="Arial" w:cs="Arial" w:eastAsia="Arial" w:hAnsi="Arial"/>
          <w:sz w:val="16"/>
          <w:szCs w:val="16"/>
          <w:color w:val="auto"/>
        </w:rPr>
        <w:t>Adjusted tax expense divided by pre-tax adjusted earnings. Adjusted tax expense is computed as income tax (benefit) expense plus or minus the income tax impacts of all items impacting adjusted earnings (as described above), and other tax items impacting comparability.</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tabs>
          <w:tab w:leader="none" w:pos="3560" w:val="left"/>
        </w:tabs>
        <w:rPr>
          <w:sz w:val="20"/>
          <w:szCs w:val="20"/>
          <w:color w:val="auto"/>
        </w:rPr>
      </w:pPr>
      <w:r>
        <w:rPr>
          <w:rFonts w:ascii="Arial" w:cs="Arial" w:eastAsia="Arial" w:hAnsi="Arial"/>
          <w:sz w:val="16"/>
          <w:szCs w:val="16"/>
          <w:color w:val="auto"/>
        </w:rPr>
        <w:t>Provides a basis to analyze the effective tax rate</w:t>
      </w:r>
      <w:r>
        <w:rPr>
          <w:sz w:val="20"/>
          <w:szCs w:val="20"/>
          <w:color w:val="auto"/>
        </w:rPr>
        <w:tab/>
      </w:r>
      <w:r>
        <w:rPr>
          <w:rFonts w:ascii="Arial" w:cs="Arial" w:eastAsia="Arial" w:hAnsi="Arial"/>
          <w:sz w:val="15"/>
          <w:szCs w:val="15"/>
          <w:color w:val="auto"/>
        </w:rPr>
        <w:t>Tax benefit (expense)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adjusted earnings.</w:t>
      </w:r>
    </w:p>
    <w:p>
      <w:pPr>
        <w:spacing w:after="0" w:line="807" w:lineRule="exact"/>
        <w:rPr>
          <w:sz w:val="20"/>
          <w:szCs w:val="20"/>
          <w:color w:val="auto"/>
        </w:rPr>
      </w:pPr>
    </w:p>
    <w:p>
      <w:pPr>
        <w:sectPr>
          <w:pgSz w:w="11900" w:h="16838" w:orient="portrait"/>
          <w:cols w:equalWidth="0" w:num="2">
            <w:col w:w="3880" w:space="240"/>
            <w:col w:w="6920"/>
          </w:cols>
          <w:pgMar w:left="320" w:top="477" w:right="539" w:bottom="1440" w:gutter="0" w:footer="0" w:header="0"/>
          <w:type w:val="continuous"/>
        </w:sectPr>
      </w:pPr>
    </w:p>
    <w:p>
      <w:pPr>
        <w:ind w:left="300"/>
        <w:spacing w:after="0" w:line="246" w:lineRule="auto"/>
        <w:rPr>
          <w:sz w:val="20"/>
          <w:szCs w:val="20"/>
          <w:color w:val="auto"/>
        </w:rPr>
      </w:pPr>
      <w:r>
        <w:rPr>
          <w:rFonts w:ascii="Arial" w:cs="Arial" w:eastAsia="Arial" w:hAnsi="Arial"/>
          <w:sz w:val="16"/>
          <w:szCs w:val="16"/>
          <w:color w:val="auto"/>
        </w:rPr>
        <w:t>In interim periods, we also make an adjustment to reflect income taxes based on the estimated full-year effective tax rate. Earnings or losses for interim periods under IFRS reflect income taxes based on the estimated effective tax rates of each of the jurisdictions in which we operate. The non-IFRS adjustment reallocates estimated full-year income taxes between interim periods but has no effect on full-year income taxes.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Our effective tax rate computed in accordance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with IFRS may be more volatile by quarter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because the geographical mix of pre-tax profits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and losses in interim periods may be different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from that for the full year. Therefore, we believe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that using the expected full-year effective tax</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rate provides more comparability among interim</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226695</wp:posOffset>
            </wp:positionV>
            <wp:extent cx="6865620" cy="165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65620" cy="16510"/>
                    </a:xfrm>
                    <a:prstGeom prst="rect">
                      <a:avLst/>
                    </a:prstGeom>
                    <a:noFill/>
                  </pic:spPr>
                </pic:pic>
              </a:graphicData>
            </a:graphic>
          </wp:anchor>
        </w:drawing>
        <w:drawing>
          <wp:anchor simplePos="0" relativeHeight="251657728" behindDoc="1" locked="0" layoutInCell="0" allowOverlap="1">
            <wp:simplePos x="0" y="0"/>
            <wp:positionH relativeFrom="column">
              <wp:posOffset>-2477135</wp:posOffset>
            </wp:positionH>
            <wp:positionV relativeFrom="paragraph">
              <wp:posOffset>344805</wp:posOffset>
            </wp:positionV>
            <wp:extent cx="68656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398" w:lineRule="exact"/>
        <w:rPr>
          <w:sz w:val="20"/>
          <w:szCs w:val="20"/>
          <w:color w:val="auto"/>
        </w:rPr>
      </w:pPr>
    </w:p>
    <w:p>
      <w:pPr>
        <w:sectPr>
          <w:pgSz w:w="11900" w:h="16838" w:orient="portrait"/>
          <w:cols w:equalWidth="0" w:num="2">
            <w:col w:w="3980" w:space="140"/>
            <w:col w:w="6920"/>
          </w:cols>
          <w:pgMar w:left="320" w:top="477" w:right="539" w:bottom="1440" w:gutter="0" w:footer="0" w:header="0"/>
          <w:type w:val="continuous"/>
        </w:sectPr>
      </w:pPr>
    </w:p>
    <w:p>
      <w:pPr>
        <w:spacing w:after="0" w:line="175"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61</w:t>
      </w:r>
    </w:p>
    <w:p>
      <w:pPr>
        <w:sectPr>
          <w:pgSz w:w="11900" w:h="16838" w:orient="portrait"/>
          <w:cols w:equalWidth="0" w:num="1">
            <w:col w:w="11040"/>
          </w:cols>
          <w:pgMar w:left="320" w:top="477" w:right="5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30"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3780" w:type="dxa"/>
            <w:vAlign w:val="bottom"/>
            <w:shd w:val="clear" w:color="auto" w:fill="E3F3EE"/>
          </w:tcPr>
          <w:p>
            <w:pPr>
              <w:spacing w:after="0"/>
              <w:rPr>
                <w:sz w:val="19"/>
                <w:szCs w:val="19"/>
                <w:color w:val="auto"/>
              </w:rPr>
            </w:pPr>
          </w:p>
        </w:tc>
        <w:tc>
          <w:tcPr>
            <w:tcW w:w="3320" w:type="dxa"/>
            <w:vAlign w:val="bottom"/>
            <w:shd w:val="clear" w:color="auto" w:fill="E3F3EE"/>
          </w:tcPr>
          <w:p>
            <w:pPr>
              <w:ind w:left="120"/>
              <w:spacing w:after="0"/>
              <w:rPr>
                <w:sz w:val="20"/>
                <w:szCs w:val="20"/>
                <w:color w:val="auto"/>
              </w:rPr>
            </w:pPr>
            <w:r>
              <w:rPr>
                <w:rFonts w:ascii="Arial" w:cs="Arial" w:eastAsia="Arial" w:hAnsi="Arial"/>
                <w:sz w:val="16"/>
                <w:szCs w:val="16"/>
                <w:b w:val="1"/>
                <w:bCs w:val="1"/>
                <w:color w:val="auto"/>
              </w:rPr>
              <w:t>Why We Use It and Why It Is Useful to</w:t>
            </w:r>
          </w:p>
        </w:tc>
        <w:tc>
          <w:tcPr>
            <w:tcW w:w="3700" w:type="dxa"/>
            <w:vAlign w:val="bottom"/>
            <w:shd w:val="clear" w:color="auto" w:fill="E3F3EE"/>
          </w:tcPr>
          <w:p>
            <w:pPr>
              <w:ind w:left="380"/>
              <w:spacing w:after="0"/>
              <w:rPr>
                <w:sz w:val="20"/>
                <w:szCs w:val="20"/>
                <w:color w:val="auto"/>
              </w:rPr>
            </w:pPr>
            <w:r>
              <w:rPr>
                <w:rFonts w:ascii="Arial" w:cs="Arial" w:eastAsia="Arial" w:hAnsi="Arial"/>
                <w:sz w:val="16"/>
                <w:szCs w:val="16"/>
                <w:b w:val="1"/>
                <w:bCs w:val="1"/>
                <w:color w:val="auto"/>
              </w:rPr>
              <w:t>Most Directly Comparable</w:t>
            </w:r>
          </w:p>
        </w:tc>
      </w:tr>
      <w:tr>
        <w:trPr>
          <w:trHeight w:val="218"/>
        </w:trPr>
        <w:tc>
          <w:tcPr>
            <w:tcW w:w="3780" w:type="dxa"/>
            <w:vAlign w:val="bottom"/>
            <w:shd w:val="clear" w:color="auto" w:fill="E3F3EE"/>
          </w:tcPr>
          <w:p>
            <w:pPr>
              <w:spacing w:after="0"/>
              <w:rPr>
                <w:sz w:val="20"/>
                <w:szCs w:val="20"/>
                <w:color w:val="auto"/>
              </w:rPr>
            </w:pPr>
            <w:r>
              <w:rPr>
                <w:rFonts w:ascii="Arial" w:cs="Arial" w:eastAsia="Arial" w:hAnsi="Arial"/>
                <w:sz w:val="16"/>
                <w:szCs w:val="16"/>
                <w:b w:val="1"/>
                <w:bCs w:val="1"/>
                <w:color w:val="auto"/>
              </w:rPr>
              <w:t>  How We Define It</w:t>
            </w:r>
          </w:p>
        </w:tc>
        <w:tc>
          <w:tcPr>
            <w:tcW w:w="3320" w:type="dxa"/>
            <w:vAlign w:val="bottom"/>
            <w:shd w:val="clear" w:color="auto" w:fill="E3F3EE"/>
          </w:tcPr>
          <w:p>
            <w:pPr>
              <w:ind w:left="120"/>
              <w:spacing w:after="0"/>
              <w:rPr>
                <w:sz w:val="20"/>
                <w:szCs w:val="20"/>
                <w:color w:val="auto"/>
              </w:rPr>
            </w:pPr>
            <w:r>
              <w:rPr>
                <w:rFonts w:ascii="Arial" w:cs="Arial" w:eastAsia="Arial" w:hAnsi="Arial"/>
                <w:sz w:val="16"/>
                <w:szCs w:val="16"/>
                <w:b w:val="1"/>
                <w:bCs w:val="1"/>
                <w:color w:val="auto"/>
              </w:rPr>
              <w:t>Investors</w:t>
            </w:r>
          </w:p>
        </w:tc>
        <w:tc>
          <w:tcPr>
            <w:tcW w:w="3700" w:type="dxa"/>
            <w:vAlign w:val="bottom"/>
            <w:shd w:val="clear" w:color="auto" w:fill="E3F3EE"/>
          </w:tcPr>
          <w:p>
            <w:pPr>
              <w:ind w:left="380"/>
              <w:spacing w:after="0"/>
              <w:rPr>
                <w:sz w:val="20"/>
                <w:szCs w:val="20"/>
                <w:color w:val="auto"/>
              </w:rPr>
            </w:pPr>
            <w:r>
              <w:rPr>
                <w:rFonts w:ascii="Arial" w:cs="Arial" w:eastAsia="Arial" w:hAnsi="Arial"/>
                <w:sz w:val="16"/>
                <w:szCs w:val="16"/>
                <w:b w:val="1"/>
                <w:bCs w:val="1"/>
                <w:color w:val="auto"/>
              </w:rPr>
              <w:t>IFRS Measure</w:t>
            </w:r>
          </w:p>
        </w:tc>
      </w:tr>
      <w:tr>
        <w:trPr>
          <w:trHeight w:val="61"/>
        </w:trPr>
        <w:tc>
          <w:tcPr>
            <w:tcW w:w="3780" w:type="dxa"/>
            <w:vAlign w:val="bottom"/>
            <w:shd w:val="clear" w:color="auto" w:fill="E3F3EE"/>
          </w:tcPr>
          <w:p>
            <w:pPr>
              <w:spacing w:after="0"/>
              <w:rPr>
                <w:sz w:val="5"/>
                <w:szCs w:val="5"/>
                <w:color w:val="auto"/>
              </w:rPr>
            </w:pPr>
          </w:p>
        </w:tc>
        <w:tc>
          <w:tcPr>
            <w:tcW w:w="3320" w:type="dxa"/>
            <w:vAlign w:val="bottom"/>
            <w:shd w:val="clear" w:color="auto" w:fill="E3F3EE"/>
          </w:tcPr>
          <w:p>
            <w:pPr>
              <w:spacing w:after="0"/>
              <w:rPr>
                <w:sz w:val="5"/>
                <w:szCs w:val="5"/>
                <w:color w:val="auto"/>
              </w:rPr>
            </w:pPr>
          </w:p>
        </w:tc>
        <w:tc>
          <w:tcPr>
            <w:tcW w:w="3700" w:type="dxa"/>
            <w:vAlign w:val="bottom"/>
            <w:shd w:val="clear" w:color="auto" w:fill="E3F3EE"/>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0</wp:posOffset>
            </wp:positionV>
            <wp:extent cx="6865620" cy="2101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65620" cy="210185"/>
                    </a:xfrm>
                    <a:prstGeom prst="rect">
                      <a:avLst/>
                    </a:prstGeom>
                    <a:noFill/>
                  </pic:spPr>
                </pic:pic>
              </a:graphicData>
            </a:graphic>
          </wp:anchor>
        </w:drawing>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FFFFFF"/>
        </w:rPr>
        <w:t>Net debt and leverage ratio of net debt to adjusted EBITDA</w:t>
      </w:r>
    </w:p>
    <w:p>
      <w:pPr>
        <w:sectPr>
          <w:pgSz w:w="11900" w:h="16838" w:orient="portrait"/>
          <w:cols w:equalWidth="0" w:num="1">
            <w:col w:w="11040"/>
          </w:cols>
          <w:pgMar w:left="320" w:top="477" w:right="539" w:bottom="1440" w:gutter="0" w:footer="0" w:header="0"/>
        </w:sectPr>
      </w:pPr>
    </w:p>
    <w:p>
      <w:pPr>
        <w:spacing w:after="0" w:line="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Net debt:</w:t>
      </w:r>
    </w:p>
    <w:p>
      <w:pPr>
        <w:spacing w:after="0" w:line="18" w:lineRule="exact"/>
        <w:rPr>
          <w:sz w:val="20"/>
          <w:szCs w:val="20"/>
          <w:color w:val="auto"/>
        </w:rPr>
      </w:pPr>
    </w:p>
    <w:p>
      <w:pPr>
        <w:ind w:left="300"/>
        <w:spacing w:after="0" w:line="245" w:lineRule="auto"/>
        <w:rPr>
          <w:sz w:val="20"/>
          <w:szCs w:val="20"/>
          <w:color w:val="auto"/>
        </w:rPr>
      </w:pPr>
      <w:r>
        <w:rPr>
          <w:rFonts w:ascii="Arial" w:cs="Arial" w:eastAsia="Arial" w:hAnsi="Arial"/>
          <w:sz w:val="16"/>
          <w:szCs w:val="16"/>
          <w:color w:val="auto"/>
        </w:rPr>
        <w:t>Total indebtedness (excluding the associated unamortized transaction costs and premiums or discount) plus the currency related fair value of associated hedging instruments, and lease liabilities less cash and cash equivalents.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520"/>
        <w:spacing w:after="0" w:line="275" w:lineRule="auto"/>
        <w:rPr>
          <w:sz w:val="20"/>
          <w:szCs w:val="20"/>
          <w:color w:val="auto"/>
        </w:rPr>
      </w:pPr>
      <w:r>
        <w:rPr>
          <w:rFonts w:ascii="Arial" w:cs="Arial" w:eastAsia="Arial" w:hAnsi="Arial"/>
          <w:sz w:val="16"/>
          <w:szCs w:val="16"/>
          <w:color w:val="auto"/>
        </w:rPr>
        <w:t>Provides a commonly used measure of a company’s leverage.</w:t>
      </w:r>
    </w:p>
    <w:p>
      <w:pPr>
        <w:spacing w:after="0" w:line="42"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Given that we hedge some of our debt to reduce risk, we include hedging instruments as we believe it provides a better measure of the total obligation associated with our outstanding debt. However, because we intend to hold our debt and related hedges to maturity, we do not consider the interest components of the associated fair value of hedges in our measurements. We reduce gross indebtedness by cash and cash equivalents.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Total debt (current indebtedness plus long-term indebtedness)</w:t>
      </w:r>
    </w:p>
    <w:p>
      <w:pPr>
        <w:spacing w:after="0" w:line="2016" w:lineRule="exact"/>
        <w:rPr>
          <w:sz w:val="20"/>
          <w:szCs w:val="20"/>
          <w:color w:val="auto"/>
        </w:rPr>
      </w:pPr>
    </w:p>
    <w:p>
      <w:pPr>
        <w:sectPr>
          <w:pgSz w:w="11900" w:h="16838" w:orient="portrait"/>
          <w:cols w:equalWidth="0" w:num="3">
            <w:col w:w="3960" w:space="160"/>
            <w:col w:w="3400" w:space="180"/>
            <w:col w:w="3340"/>
          </w:cols>
          <w:pgMar w:left="320" w:top="477" w:right="5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Net debt to adjusted EBITDA:</w:t>
      </w:r>
    </w:p>
    <w:p>
      <w:pPr>
        <w:spacing w:after="0" w:line="18" w:lineRule="exact"/>
        <w:rPr>
          <w:sz w:val="20"/>
          <w:szCs w:val="20"/>
          <w:color w:val="auto"/>
        </w:rPr>
      </w:pPr>
    </w:p>
    <w:p>
      <w:pPr>
        <w:ind w:left="300"/>
        <w:spacing w:after="0" w:line="248" w:lineRule="auto"/>
        <w:rPr>
          <w:sz w:val="20"/>
          <w:szCs w:val="20"/>
          <w:color w:val="auto"/>
        </w:rPr>
      </w:pPr>
      <w:r>
        <w:rPr>
          <w:rFonts w:ascii="Arial" w:cs="Arial" w:eastAsia="Arial" w:hAnsi="Arial"/>
          <w:sz w:val="16"/>
          <w:szCs w:val="16"/>
          <w:color w:val="auto"/>
        </w:rPr>
        <w:t>Net debt is divided by adjusted EBITDA for the previous twelve-month period ending with the current fiscal quarter.</w:t>
      </w:r>
    </w:p>
    <w:p>
      <w:pPr>
        <w:spacing w:after="0" w:line="20" w:lineRule="exact"/>
        <w:rPr>
          <w:sz w:val="20"/>
          <w:szCs w:val="20"/>
          <w:color w:val="auto"/>
        </w:rPr>
      </w:pPr>
      <w:r>
        <w:rPr>
          <w:sz w:val="20"/>
          <w:szCs w:val="20"/>
          <w:color w:val="auto"/>
        </w:rPr>
        <w:br w:type="column"/>
      </w:r>
    </w:p>
    <w:p>
      <w:pPr>
        <w:spacing w:after="0" w:line="248" w:lineRule="auto"/>
        <w:rPr>
          <w:sz w:val="20"/>
          <w:szCs w:val="20"/>
          <w:color w:val="auto"/>
        </w:rPr>
      </w:pPr>
      <w:r>
        <w:rPr>
          <w:rFonts w:ascii="Arial" w:cs="Arial" w:eastAsia="Arial" w:hAnsi="Arial"/>
          <w:sz w:val="16"/>
          <w:szCs w:val="16"/>
          <w:color w:val="auto"/>
        </w:rPr>
        <w:t>Provides a commonly used measure of a company’s ability to pay its debt. Our non-IFRS measure is aligned with the calculation of our internal target and is more conservative than the maximum ratio allowed under the contractual covenants in our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100965</wp:posOffset>
            </wp:positionV>
            <wp:extent cx="6865620" cy="2101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65620" cy="2101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0"/>
        <w:spacing w:after="0" w:line="258" w:lineRule="auto"/>
        <w:rPr>
          <w:sz w:val="20"/>
          <w:szCs w:val="20"/>
          <w:color w:val="auto"/>
        </w:rPr>
      </w:pPr>
      <w:r>
        <w:rPr>
          <w:rFonts w:ascii="Arial" w:cs="Arial" w:eastAsia="Arial" w:hAnsi="Arial"/>
          <w:sz w:val="16"/>
          <w:szCs w:val="16"/>
          <w:color w:val="auto"/>
        </w:rPr>
        <w:t>For adjusted EBITDA, refer to the definition above for the most directly comparable IFRS measure</w:t>
      </w:r>
    </w:p>
    <w:p>
      <w:pPr>
        <w:spacing w:after="0" w:line="747" w:lineRule="exact"/>
        <w:rPr>
          <w:sz w:val="20"/>
          <w:szCs w:val="20"/>
          <w:color w:val="auto"/>
        </w:rPr>
      </w:pPr>
    </w:p>
    <w:p>
      <w:pPr>
        <w:sectPr>
          <w:pgSz w:w="11900" w:h="16838" w:orient="portrait"/>
          <w:cols w:equalWidth="0" w:num="3">
            <w:col w:w="3580" w:space="540"/>
            <w:col w:w="3400" w:space="180"/>
            <w:col w:w="3340"/>
          </w:cols>
          <w:pgMar w:left="320" w:top="477" w:right="539" w:bottom="1440" w:gutter="0" w:footer="0" w:header="0"/>
          <w:type w:val="continuous"/>
        </w:sectPr>
      </w:pPr>
    </w:p>
    <w:p>
      <w:pPr>
        <w:spacing w:after="0" w:line="1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FFFFFF"/>
        </w:rPr>
        <w:t>Free cash flow</w:t>
      </w:r>
    </w:p>
    <w:p>
      <w:pPr>
        <w:sectPr>
          <w:pgSz w:w="11900" w:h="16838" w:orient="portrait"/>
          <w:cols w:equalWidth="0" w:num="1">
            <w:col w:w="11040"/>
          </w:cols>
          <w:pgMar w:left="320" w:top="477" w:right="539" w:bottom="1440" w:gutter="0" w:footer="0" w:header="0"/>
          <w:type w:val="continuous"/>
        </w:sectPr>
      </w:pPr>
    </w:p>
    <w:p>
      <w:pPr>
        <w:spacing w:after="0" w:line="94" w:lineRule="exact"/>
        <w:rPr>
          <w:sz w:val="20"/>
          <w:szCs w:val="20"/>
          <w:color w:val="auto"/>
        </w:rPr>
      </w:pPr>
    </w:p>
    <w:p>
      <w:pPr>
        <w:ind w:left="300"/>
        <w:spacing w:after="0" w:line="253" w:lineRule="auto"/>
        <w:rPr>
          <w:sz w:val="20"/>
          <w:szCs w:val="20"/>
          <w:color w:val="auto"/>
        </w:rPr>
      </w:pPr>
      <w:r>
        <w:rPr>
          <w:rFonts w:ascii="Arial" w:cs="Arial" w:eastAsia="Arial" w:hAnsi="Arial"/>
          <w:sz w:val="16"/>
          <w:szCs w:val="16"/>
          <w:color w:val="auto"/>
        </w:rPr>
        <w:t>Net cash provided by operating activities and other investing activities, less capital expenditures, payments of lease principal and dividends paid on our preference shares.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tabs>
          <w:tab w:leader="none" w:pos="3560" w:val="left"/>
        </w:tabs>
        <w:rPr>
          <w:sz w:val="20"/>
          <w:szCs w:val="20"/>
          <w:color w:val="auto"/>
        </w:rPr>
      </w:pPr>
      <w:r>
        <w:rPr>
          <w:rFonts w:ascii="Arial" w:cs="Arial" w:eastAsia="Arial" w:hAnsi="Arial"/>
          <w:sz w:val="16"/>
          <w:szCs w:val="16"/>
          <w:color w:val="auto"/>
        </w:rPr>
        <w:t>Helps assess our ability, over the long term, to</w:t>
      </w:r>
      <w:r>
        <w:rPr>
          <w:sz w:val="20"/>
          <w:szCs w:val="20"/>
          <w:color w:val="auto"/>
        </w:rPr>
        <w:tab/>
      </w:r>
      <w:r>
        <w:rPr>
          <w:rFonts w:ascii="Arial" w:cs="Arial" w:eastAsia="Arial" w:hAnsi="Arial"/>
          <w:sz w:val="15"/>
          <w:szCs w:val="15"/>
          <w:color w:val="auto"/>
        </w:rPr>
        <w:t>Net cash provided by operating activities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create value for our shareholders as it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represents cash available to repay debt, pay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common dividends and fund share repurchases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and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109220</wp:posOffset>
            </wp:positionV>
            <wp:extent cx="6865620" cy="2101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65620" cy="2101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80" w:space="240"/>
            <w:col w:w="6920"/>
          </w:cols>
          <w:pgMar w:left="320" w:top="477" w:right="539" w:bottom="1440" w:gutter="0" w:footer="0" w:header="0"/>
          <w:type w:val="continuous"/>
        </w:sectPr>
      </w:pPr>
    </w:p>
    <w:p>
      <w:pPr>
        <w:spacing w:after="0" w:line="24"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FFFFFF"/>
        </w:rPr>
        <w:t>Return on invested capital (ROIC)</w:t>
      </w:r>
    </w:p>
    <w:p>
      <w:pPr>
        <w:sectPr>
          <w:pgSz w:w="11900" w:h="16838" w:orient="portrait"/>
          <w:cols w:equalWidth="0" w:num="1">
            <w:col w:w="11040"/>
          </w:cols>
          <w:pgMar w:left="320" w:top="477" w:right="539" w:bottom="1440" w:gutter="0" w:footer="0" w:header="0"/>
          <w:type w:val="continuous"/>
        </w:sectPr>
      </w:pPr>
    </w:p>
    <w:p>
      <w:pPr>
        <w:spacing w:after="0" w:line="106" w:lineRule="exact"/>
        <w:rPr>
          <w:sz w:val="20"/>
          <w:szCs w:val="20"/>
          <w:color w:val="auto"/>
        </w:rPr>
      </w:pPr>
    </w:p>
    <w:p>
      <w:pPr>
        <w:ind w:left="300"/>
        <w:spacing w:after="0" w:line="266" w:lineRule="auto"/>
        <w:rPr>
          <w:sz w:val="20"/>
          <w:szCs w:val="20"/>
          <w:color w:val="auto"/>
        </w:rPr>
      </w:pPr>
      <w:r>
        <w:rPr>
          <w:rFonts w:ascii="Arial" w:cs="Arial" w:eastAsia="Arial" w:hAnsi="Arial"/>
          <w:sz w:val="15"/>
          <w:szCs w:val="15"/>
          <w:color w:val="auto"/>
        </w:rPr>
        <w:t>Adjusted operating profit (operating profit excluding amortization of acquired intangible assets attributable to other identifiable intangible assets and acquired computer software, other operating gains and losses, and fair value adjustments) less net taxes paid expressed as a percentage of the average adjusted invested capital during the period.</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Provides a measure of how efficiently we allocate resources to profitable activities and is indicative of our ability to create value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450215</wp:posOffset>
            </wp:positionV>
            <wp:extent cx="6865620" cy="2101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65620" cy="2101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IFRS does not require a measure comparable to ROIC. Refer to our calculation of ROIC in Appendix C for a reconciliation of the components in the calculation to the most directly comparable IFRS measure.</w:t>
      </w:r>
    </w:p>
    <w:p>
      <w:pPr>
        <w:spacing w:after="0" w:line="578" w:lineRule="exact"/>
        <w:rPr>
          <w:sz w:val="20"/>
          <w:szCs w:val="20"/>
          <w:color w:val="auto"/>
        </w:rPr>
      </w:pPr>
    </w:p>
    <w:p>
      <w:pPr>
        <w:sectPr>
          <w:pgSz w:w="11900" w:h="16838" w:orient="portrait"/>
          <w:cols w:equalWidth="0" w:num="3">
            <w:col w:w="3940" w:space="180"/>
            <w:col w:w="3300" w:space="280"/>
            <w:col w:w="3340"/>
          </w:cols>
          <w:pgMar w:left="320" w:top="477" w:right="539" w:bottom="1440" w:gutter="0" w:footer="0" w:header="0"/>
          <w:type w:val="continuous"/>
        </w:sectPr>
      </w:pPr>
    </w:p>
    <w:p>
      <w:pPr>
        <w:ind w:left="300"/>
        <w:spacing w:after="0"/>
        <w:rPr>
          <w:sz w:val="20"/>
          <w:szCs w:val="20"/>
          <w:color w:val="auto"/>
        </w:rPr>
      </w:pPr>
      <w:r>
        <w:rPr>
          <w:rFonts w:ascii="Arial" w:cs="Arial" w:eastAsia="Arial" w:hAnsi="Arial"/>
          <w:sz w:val="15"/>
          <w:szCs w:val="15"/>
          <w:b w:val="1"/>
          <w:bCs w:val="1"/>
          <w:color w:val="FFFFFF"/>
        </w:rPr>
        <w:t>Changes before the impact of foreign currency or at “constant currency”</w:t>
      </w:r>
    </w:p>
    <w:p>
      <w:pPr>
        <w:sectPr>
          <w:pgSz w:w="11900" w:h="16838" w:orient="portrait"/>
          <w:cols w:equalWidth="0" w:num="1">
            <w:col w:w="11040"/>
          </w:cols>
          <w:pgMar w:left="320" w:top="477" w:right="539" w:bottom="1440" w:gutter="0" w:footer="0" w:header="0"/>
          <w:type w:val="continuous"/>
        </w:sectPr>
      </w:pPr>
    </w:p>
    <w:p>
      <w:pPr>
        <w:spacing w:after="0" w:line="106" w:lineRule="exact"/>
        <w:rPr>
          <w:sz w:val="20"/>
          <w:szCs w:val="20"/>
          <w:color w:val="auto"/>
        </w:rPr>
      </w:pPr>
    </w:p>
    <w:p>
      <w:pPr>
        <w:ind w:left="300" w:right="40"/>
        <w:spacing w:after="0" w:line="258" w:lineRule="auto"/>
        <w:rPr>
          <w:sz w:val="20"/>
          <w:szCs w:val="20"/>
          <w:color w:val="auto"/>
        </w:rPr>
      </w:pPr>
      <w:r>
        <w:rPr>
          <w:rFonts w:ascii="Arial" w:cs="Arial" w:eastAsia="Arial" w:hAnsi="Arial"/>
          <w:sz w:val="16"/>
          <w:szCs w:val="16"/>
          <w:color w:val="auto"/>
        </w:rPr>
        <w:t>Applicable measures where changes are reported before the impact of foreign currency or at “constant currency”</w:t>
      </w:r>
    </w:p>
    <w:p>
      <w:pPr>
        <w:spacing w:after="0" w:line="5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IFRS Measures:</w:t>
      </w:r>
    </w:p>
    <w:p>
      <w:pPr>
        <w:ind w:left="300"/>
        <w:spacing w:after="0"/>
        <w:rPr>
          <w:sz w:val="20"/>
          <w:szCs w:val="20"/>
          <w:color w:val="auto"/>
        </w:rPr>
      </w:pPr>
      <w:r>
        <w:rPr>
          <w:rFonts w:ascii="Arial" w:cs="Arial" w:eastAsia="Arial" w:hAnsi="Arial"/>
          <w:sz w:val="17"/>
          <w:szCs w:val="17"/>
          <w:color w:val="D64000"/>
        </w:rPr>
        <w:t>•</w:t>
      </w:r>
      <w:r>
        <w:rPr>
          <w:rFonts w:ascii="Arial" w:cs="Arial" w:eastAsia="Arial" w:hAnsi="Arial"/>
          <w:sz w:val="17"/>
          <w:szCs w:val="17"/>
          <w:color w:val="000000"/>
        </w:rPr>
        <w:t xml:space="preserve">    Revenues</w:t>
      </w:r>
    </w:p>
    <w:p>
      <w:pPr>
        <w:ind w:left="300"/>
        <w:spacing w:after="0"/>
        <w:rPr>
          <w:sz w:val="20"/>
          <w:szCs w:val="20"/>
          <w:color w:val="auto"/>
        </w:rPr>
      </w:pPr>
      <w:r>
        <w:rPr>
          <w:rFonts w:ascii="Arial" w:cs="Arial" w:eastAsia="Arial" w:hAnsi="Arial"/>
          <w:sz w:val="17"/>
          <w:szCs w:val="17"/>
          <w:color w:val="D64000"/>
        </w:rPr>
        <w:t>•</w:t>
      </w:r>
      <w:r>
        <w:rPr>
          <w:rFonts w:ascii="Arial" w:cs="Arial" w:eastAsia="Arial" w:hAnsi="Arial"/>
          <w:sz w:val="17"/>
          <w:szCs w:val="17"/>
          <w:color w:val="000000"/>
        </w:rPr>
        <w:t xml:space="preserve">    Operating expenses</w:t>
      </w:r>
    </w:p>
    <w:p>
      <w:pPr>
        <w:spacing w:after="0" w:line="7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Non-IFRS Measures and ratios:</w:t>
      </w:r>
    </w:p>
    <w:p>
      <w:pPr>
        <w:spacing w:after="0" w:line="10" w:lineRule="exact"/>
        <w:rPr>
          <w:sz w:val="20"/>
          <w:szCs w:val="20"/>
          <w:color w:val="auto"/>
        </w:rPr>
      </w:pPr>
    </w:p>
    <w:p>
      <w:pPr>
        <w:ind w:left="520" w:right="560" w:hanging="210"/>
        <w:spacing w:after="0" w:line="227" w:lineRule="auto"/>
        <w:rPr>
          <w:sz w:val="20"/>
          <w:szCs w:val="20"/>
          <w:color w:val="auto"/>
        </w:rPr>
      </w:pPr>
      <w:r>
        <w:rPr>
          <w:rFonts w:ascii="Arial" w:cs="Arial" w:eastAsia="Arial" w:hAnsi="Arial"/>
          <w:sz w:val="17"/>
          <w:szCs w:val="17"/>
          <w:color w:val="D64000"/>
        </w:rPr>
        <w:t>•</w:t>
      </w:r>
      <w:r>
        <w:rPr>
          <w:rFonts w:ascii="Arial" w:cs="Arial" w:eastAsia="Arial" w:hAnsi="Arial"/>
          <w:sz w:val="17"/>
          <w:szCs w:val="17"/>
          <w:color w:val="000000"/>
        </w:rPr>
        <w:t xml:space="preserve">    Adjusted EBITDA and adjusted EBITDA</w:t>
      </w:r>
      <w:r>
        <w:rPr>
          <w:rFonts w:ascii="Arial" w:cs="Arial" w:eastAsia="Arial" w:hAnsi="Arial"/>
          <w:sz w:val="17"/>
          <w:szCs w:val="17"/>
          <w:color w:val="D64000"/>
        </w:rPr>
        <w:t xml:space="preserve"> </w:t>
      </w:r>
      <w:r>
        <w:rPr>
          <w:rFonts w:ascii="Arial" w:cs="Arial" w:eastAsia="Arial" w:hAnsi="Arial"/>
          <w:sz w:val="17"/>
          <w:szCs w:val="17"/>
          <w:color w:val="000000"/>
        </w:rPr>
        <w:t>margin</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7"/>
          <w:szCs w:val="17"/>
          <w:color w:val="D64000"/>
        </w:rPr>
        <w:t>•</w:t>
      </w:r>
      <w:r>
        <w:rPr>
          <w:rFonts w:ascii="Arial" w:cs="Arial" w:eastAsia="Arial" w:hAnsi="Arial"/>
          <w:sz w:val="17"/>
          <w:szCs w:val="17"/>
          <w:color w:val="000000"/>
        </w:rPr>
        <w:t xml:space="preserve">    Adjusted EPS</w:t>
      </w:r>
    </w:p>
    <w:p>
      <w:pPr>
        <w:spacing w:after="0" w:line="75" w:lineRule="exact"/>
        <w:rPr>
          <w:sz w:val="20"/>
          <w:szCs w:val="20"/>
          <w:color w:val="auto"/>
        </w:rPr>
      </w:pPr>
    </w:p>
    <w:p>
      <w:pPr>
        <w:ind w:left="300"/>
        <w:spacing w:after="0" w:line="246" w:lineRule="auto"/>
        <w:rPr>
          <w:sz w:val="20"/>
          <w:szCs w:val="20"/>
          <w:color w:val="auto"/>
        </w:rPr>
      </w:pPr>
      <w:r>
        <w:rPr>
          <w:rFonts w:ascii="Arial" w:cs="Arial" w:eastAsia="Arial" w:hAnsi="Arial"/>
          <w:sz w:val="16"/>
          <w:szCs w:val="16"/>
          <w:color w:val="auto"/>
        </w:rPr>
        <w:t>Our reporting currency is the U.S. dollar. However, we conduct activities in currencies other than the U.S. dollar. We measure our performance before the impact of foreign currency (or at “constant currency” or excluding the effects of currency), which is determined by converting the current and equivalent prior period’s local currency results using the same foreign currency exchange rate.</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Provides better comparability of business trends from period to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2159635</wp:posOffset>
            </wp:positionV>
            <wp:extent cx="6865620" cy="165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65620" cy="16510"/>
                    </a:xfrm>
                    <a:prstGeom prst="rect">
                      <a:avLst/>
                    </a:prstGeom>
                    <a:noFill/>
                  </pic:spPr>
                </pic:pic>
              </a:graphicData>
            </a:graphic>
          </wp:anchor>
        </w:drawing>
        <w:drawing>
          <wp:anchor simplePos="0" relativeHeight="251657728" behindDoc="1" locked="0" layoutInCell="0" allowOverlap="1">
            <wp:simplePos x="0" y="0"/>
            <wp:positionH relativeFrom="column">
              <wp:posOffset>-2477135</wp:posOffset>
            </wp:positionH>
            <wp:positionV relativeFrom="paragraph">
              <wp:posOffset>2277745</wp:posOffset>
            </wp:positionV>
            <wp:extent cx="68656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jc w:val="both"/>
        <w:ind w:right="80"/>
        <w:spacing w:after="0" w:line="243" w:lineRule="auto"/>
        <w:rPr>
          <w:sz w:val="20"/>
          <w:szCs w:val="20"/>
          <w:color w:val="auto"/>
        </w:rPr>
      </w:pPr>
      <w:r>
        <w:rPr>
          <w:rFonts w:ascii="Arial" w:cs="Arial" w:eastAsia="Arial" w:hAnsi="Arial"/>
          <w:sz w:val="17"/>
          <w:szCs w:val="17"/>
          <w:color w:val="auto"/>
        </w:rPr>
        <w:t>For each non-IFRS measure and ratio, refer to the definitions above for the most directly comparable IFRS measure.</w:t>
      </w:r>
    </w:p>
    <w:p>
      <w:pPr>
        <w:spacing w:after="0" w:line="3256" w:lineRule="exact"/>
        <w:rPr>
          <w:sz w:val="20"/>
          <w:szCs w:val="20"/>
          <w:color w:val="auto"/>
        </w:rPr>
      </w:pPr>
    </w:p>
    <w:p>
      <w:pPr>
        <w:sectPr>
          <w:pgSz w:w="11900" w:h="16838" w:orient="portrait"/>
          <w:cols w:equalWidth="0" w:num="3">
            <w:col w:w="4000" w:space="120"/>
            <w:col w:w="3060" w:space="520"/>
            <w:col w:w="3340"/>
          </w:cols>
          <w:pgMar w:left="320" w:top="477" w:right="539" w:bottom="1440" w:gutter="0" w:footer="0" w:header="0"/>
          <w:type w:val="continuous"/>
        </w:sectPr>
      </w:pPr>
    </w:p>
    <w:p>
      <w:pPr>
        <w:spacing w:after="0" w:line="191"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62</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30"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3780" w:type="dxa"/>
            <w:vAlign w:val="bottom"/>
            <w:shd w:val="clear" w:color="auto" w:fill="E3F3EE"/>
          </w:tcPr>
          <w:p>
            <w:pPr>
              <w:spacing w:after="0"/>
              <w:rPr>
                <w:sz w:val="19"/>
                <w:szCs w:val="19"/>
                <w:color w:val="auto"/>
              </w:rPr>
            </w:pPr>
          </w:p>
        </w:tc>
        <w:tc>
          <w:tcPr>
            <w:tcW w:w="3320" w:type="dxa"/>
            <w:vAlign w:val="bottom"/>
            <w:shd w:val="clear" w:color="auto" w:fill="E3F3EE"/>
          </w:tcPr>
          <w:p>
            <w:pPr>
              <w:ind w:left="120"/>
              <w:spacing w:after="0"/>
              <w:rPr>
                <w:sz w:val="20"/>
                <w:szCs w:val="20"/>
                <w:color w:val="auto"/>
              </w:rPr>
            </w:pPr>
            <w:r>
              <w:rPr>
                <w:rFonts w:ascii="Arial" w:cs="Arial" w:eastAsia="Arial" w:hAnsi="Arial"/>
                <w:sz w:val="16"/>
                <w:szCs w:val="16"/>
                <w:b w:val="1"/>
                <w:bCs w:val="1"/>
                <w:color w:val="auto"/>
              </w:rPr>
              <w:t>Why We Use It and Why It Is Useful to</w:t>
            </w:r>
          </w:p>
        </w:tc>
        <w:tc>
          <w:tcPr>
            <w:tcW w:w="3700" w:type="dxa"/>
            <w:vAlign w:val="bottom"/>
            <w:shd w:val="clear" w:color="auto" w:fill="E3F3EE"/>
          </w:tcPr>
          <w:p>
            <w:pPr>
              <w:ind w:left="380"/>
              <w:spacing w:after="0"/>
              <w:rPr>
                <w:sz w:val="20"/>
                <w:szCs w:val="20"/>
                <w:color w:val="auto"/>
              </w:rPr>
            </w:pPr>
            <w:r>
              <w:rPr>
                <w:rFonts w:ascii="Arial" w:cs="Arial" w:eastAsia="Arial" w:hAnsi="Arial"/>
                <w:sz w:val="16"/>
                <w:szCs w:val="16"/>
                <w:b w:val="1"/>
                <w:bCs w:val="1"/>
                <w:color w:val="auto"/>
              </w:rPr>
              <w:t>Most Directly Comparable</w:t>
            </w:r>
          </w:p>
        </w:tc>
      </w:tr>
      <w:tr>
        <w:trPr>
          <w:trHeight w:val="218"/>
        </w:trPr>
        <w:tc>
          <w:tcPr>
            <w:tcW w:w="3780" w:type="dxa"/>
            <w:vAlign w:val="bottom"/>
            <w:shd w:val="clear" w:color="auto" w:fill="E3F3EE"/>
          </w:tcPr>
          <w:p>
            <w:pPr>
              <w:spacing w:after="0"/>
              <w:rPr>
                <w:sz w:val="20"/>
                <w:szCs w:val="20"/>
                <w:color w:val="auto"/>
              </w:rPr>
            </w:pPr>
            <w:r>
              <w:rPr>
                <w:rFonts w:ascii="Arial" w:cs="Arial" w:eastAsia="Arial" w:hAnsi="Arial"/>
                <w:sz w:val="16"/>
                <w:szCs w:val="16"/>
                <w:b w:val="1"/>
                <w:bCs w:val="1"/>
                <w:color w:val="auto"/>
              </w:rPr>
              <w:t>  How We Define It</w:t>
            </w:r>
          </w:p>
        </w:tc>
        <w:tc>
          <w:tcPr>
            <w:tcW w:w="3320" w:type="dxa"/>
            <w:vAlign w:val="bottom"/>
            <w:shd w:val="clear" w:color="auto" w:fill="E3F3EE"/>
          </w:tcPr>
          <w:p>
            <w:pPr>
              <w:ind w:left="120"/>
              <w:spacing w:after="0"/>
              <w:rPr>
                <w:sz w:val="20"/>
                <w:szCs w:val="20"/>
                <w:color w:val="auto"/>
              </w:rPr>
            </w:pPr>
            <w:r>
              <w:rPr>
                <w:rFonts w:ascii="Arial" w:cs="Arial" w:eastAsia="Arial" w:hAnsi="Arial"/>
                <w:sz w:val="16"/>
                <w:szCs w:val="16"/>
                <w:b w:val="1"/>
                <w:bCs w:val="1"/>
                <w:color w:val="auto"/>
              </w:rPr>
              <w:t>Investors</w:t>
            </w:r>
          </w:p>
        </w:tc>
        <w:tc>
          <w:tcPr>
            <w:tcW w:w="3700" w:type="dxa"/>
            <w:vAlign w:val="bottom"/>
            <w:shd w:val="clear" w:color="auto" w:fill="E3F3EE"/>
          </w:tcPr>
          <w:p>
            <w:pPr>
              <w:ind w:left="380"/>
              <w:spacing w:after="0"/>
              <w:rPr>
                <w:sz w:val="20"/>
                <w:szCs w:val="20"/>
                <w:color w:val="auto"/>
              </w:rPr>
            </w:pPr>
            <w:r>
              <w:rPr>
                <w:rFonts w:ascii="Arial" w:cs="Arial" w:eastAsia="Arial" w:hAnsi="Arial"/>
                <w:sz w:val="16"/>
                <w:szCs w:val="16"/>
                <w:b w:val="1"/>
                <w:bCs w:val="1"/>
                <w:color w:val="auto"/>
              </w:rPr>
              <w:t>IFRS Measure</w:t>
            </w:r>
          </w:p>
        </w:tc>
      </w:tr>
      <w:tr>
        <w:trPr>
          <w:trHeight w:val="61"/>
        </w:trPr>
        <w:tc>
          <w:tcPr>
            <w:tcW w:w="3780" w:type="dxa"/>
            <w:vAlign w:val="bottom"/>
            <w:shd w:val="clear" w:color="auto" w:fill="E3F3EE"/>
          </w:tcPr>
          <w:p>
            <w:pPr>
              <w:spacing w:after="0"/>
              <w:rPr>
                <w:sz w:val="5"/>
                <w:szCs w:val="5"/>
                <w:color w:val="auto"/>
              </w:rPr>
            </w:pPr>
          </w:p>
        </w:tc>
        <w:tc>
          <w:tcPr>
            <w:tcW w:w="3320" w:type="dxa"/>
            <w:vAlign w:val="bottom"/>
            <w:shd w:val="clear" w:color="auto" w:fill="E3F3EE"/>
          </w:tcPr>
          <w:p>
            <w:pPr>
              <w:spacing w:after="0"/>
              <w:rPr>
                <w:sz w:val="5"/>
                <w:szCs w:val="5"/>
                <w:color w:val="auto"/>
              </w:rPr>
            </w:pPr>
          </w:p>
        </w:tc>
        <w:tc>
          <w:tcPr>
            <w:tcW w:w="3700" w:type="dxa"/>
            <w:vAlign w:val="bottom"/>
            <w:shd w:val="clear" w:color="auto" w:fill="E3F3EE"/>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0</wp:posOffset>
            </wp:positionV>
            <wp:extent cx="6865620" cy="2101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65620" cy="210185"/>
                    </a:xfrm>
                    <a:prstGeom prst="rect">
                      <a:avLst/>
                    </a:prstGeom>
                    <a:noFill/>
                  </pic:spPr>
                </pic:pic>
              </a:graphicData>
            </a:graphic>
          </wp:anchor>
        </w:drawing>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FFFFFF"/>
        </w:rPr>
        <w:t>Changes in revenues computed on an “organic” basis</w:t>
      </w:r>
    </w:p>
    <w:p>
      <w:pPr>
        <w:sectPr>
          <w:pgSz w:w="11900" w:h="16838" w:orient="portrait"/>
          <w:cols w:equalWidth="0" w:num="1">
            <w:col w:w="11040"/>
          </w:cols>
          <w:pgMar w:left="320" w:top="477" w:right="539" w:bottom="1440" w:gutter="0" w:footer="0" w:header="0"/>
        </w:sectPr>
      </w:pPr>
    </w:p>
    <w:p>
      <w:pPr>
        <w:spacing w:after="0" w:line="94" w:lineRule="exact"/>
        <w:rPr>
          <w:sz w:val="20"/>
          <w:szCs w:val="20"/>
          <w:color w:val="auto"/>
        </w:rPr>
      </w:pPr>
    </w:p>
    <w:p>
      <w:pPr>
        <w:ind w:left="300" w:right="160"/>
        <w:spacing w:after="0" w:line="250" w:lineRule="auto"/>
        <w:rPr>
          <w:sz w:val="20"/>
          <w:szCs w:val="20"/>
          <w:color w:val="auto"/>
        </w:rPr>
      </w:pPr>
      <w:r>
        <w:rPr>
          <w:rFonts w:ascii="Arial" w:cs="Arial" w:eastAsia="Arial" w:hAnsi="Arial"/>
          <w:sz w:val="16"/>
          <w:szCs w:val="16"/>
          <w:color w:val="auto"/>
        </w:rPr>
        <w:t>Represent changes in revenues of our existing businesses at constant currency. The metric excludes the distortive impacts of acquisitions and dispositions from not owning the business in both comparable periods.</w:t>
      </w:r>
    </w:p>
    <w:p>
      <w:pPr>
        <w:spacing w:after="0" w:line="54" w:lineRule="exact"/>
        <w:rPr>
          <w:sz w:val="20"/>
          <w:szCs w:val="20"/>
          <w:color w:val="auto"/>
        </w:rPr>
      </w:pPr>
    </w:p>
    <w:p>
      <w:pPr>
        <w:ind w:left="520" w:right="160" w:hanging="210"/>
        <w:spacing w:after="0" w:line="250" w:lineRule="auto"/>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 For acquisitions, we calculate organic growth</w:t>
      </w:r>
      <w:r>
        <w:rPr>
          <w:rFonts w:ascii="Arial" w:cs="Arial" w:eastAsia="Arial" w:hAnsi="Arial"/>
          <w:sz w:val="16"/>
          <w:szCs w:val="16"/>
          <w:color w:val="D64000"/>
        </w:rPr>
        <w:t xml:space="preserve"> </w:t>
      </w:r>
      <w:r>
        <w:rPr>
          <w:rFonts w:ascii="Arial" w:cs="Arial" w:eastAsia="Arial" w:hAnsi="Arial"/>
          <w:sz w:val="16"/>
          <w:szCs w:val="16"/>
          <w:color w:val="000000"/>
        </w:rPr>
        <w:t>as though we had owned the acquired business in both periods. We compare revenues for the acquired business for the period we owned the business to the same prior-year period revenues for that business, when we did not own it.</w:t>
      </w:r>
    </w:p>
    <w:p>
      <w:pPr>
        <w:spacing w:after="0" w:line="129" w:lineRule="exact"/>
        <w:rPr>
          <w:sz w:val="20"/>
          <w:szCs w:val="20"/>
          <w:color w:val="auto"/>
        </w:rPr>
      </w:pPr>
    </w:p>
    <w:p>
      <w:pPr>
        <w:ind w:left="520" w:hanging="210"/>
        <w:spacing w:after="0" w:line="238" w:lineRule="auto"/>
        <w:rPr>
          <w:sz w:val="20"/>
          <w:szCs w:val="20"/>
          <w:color w:val="auto"/>
        </w:rPr>
      </w:pPr>
      <w:r>
        <w:rPr>
          <w:rFonts w:ascii="Arial" w:cs="Arial" w:eastAsia="Arial" w:hAnsi="Arial"/>
          <w:sz w:val="17"/>
          <w:szCs w:val="17"/>
          <w:color w:val="D64000"/>
        </w:rPr>
        <w:t>•</w:t>
      </w:r>
      <w:r>
        <w:rPr>
          <w:rFonts w:ascii="Arial" w:cs="Arial" w:eastAsia="Arial" w:hAnsi="Arial"/>
          <w:sz w:val="17"/>
          <w:szCs w:val="17"/>
          <w:color w:val="000000"/>
        </w:rPr>
        <w:t xml:space="preserve">    For dispositions, we calculate organic growth</w:t>
      </w:r>
      <w:r>
        <w:rPr>
          <w:rFonts w:ascii="Arial" w:cs="Arial" w:eastAsia="Arial" w:hAnsi="Arial"/>
          <w:sz w:val="17"/>
          <w:szCs w:val="17"/>
          <w:color w:val="D64000"/>
        </w:rPr>
        <w:t xml:space="preserve"> </w:t>
      </w:r>
      <w:r>
        <w:rPr>
          <w:rFonts w:ascii="Arial" w:cs="Arial" w:eastAsia="Arial" w:hAnsi="Arial"/>
          <w:sz w:val="17"/>
          <w:szCs w:val="17"/>
          <w:color w:val="000000"/>
        </w:rPr>
        <w:t>only for the time we owned the business in the current period, compared to the same period in the prior year.</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2600"/>
        <w:spacing w:after="0" w:line="234" w:lineRule="auto"/>
        <w:rPr>
          <w:sz w:val="20"/>
          <w:szCs w:val="20"/>
          <w:color w:val="auto"/>
        </w:rPr>
      </w:pPr>
      <w:r>
        <w:rPr>
          <w:rFonts w:ascii="Arial" w:cs="Arial" w:eastAsia="Arial" w:hAnsi="Arial"/>
          <w:sz w:val="17"/>
          <w:szCs w:val="17"/>
          <w:color w:val="auto"/>
        </w:rPr>
        <w:t>Provides further insight into the performance Revenues of our existing businesses by excluding distortive impacts and serves as a better</w:t>
      </w:r>
    </w:p>
    <w:p>
      <w:pPr>
        <w:spacing w:after="0" w:line="228" w:lineRule="auto"/>
        <w:rPr>
          <w:sz w:val="20"/>
          <w:szCs w:val="20"/>
          <w:color w:val="auto"/>
        </w:rPr>
      </w:pPr>
      <w:r>
        <w:rPr>
          <w:rFonts w:ascii="Arial" w:cs="Arial" w:eastAsia="Arial" w:hAnsi="Arial"/>
          <w:sz w:val="17"/>
          <w:szCs w:val="17"/>
          <w:color w:val="auto"/>
        </w:rPr>
        <w:t>measure of our ability to grow our business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over the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1570990</wp:posOffset>
            </wp:positionV>
            <wp:extent cx="6865620" cy="2101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65620" cy="210185"/>
                    </a:xfrm>
                    <a:prstGeom prst="rect">
                      <a:avLst/>
                    </a:prstGeom>
                    <a:noFill/>
                  </pic:spPr>
                </pic:pic>
              </a:graphicData>
            </a:graphic>
          </wp:anchor>
        </w:drawing>
      </w:r>
    </w:p>
    <w:p>
      <w:pPr>
        <w:spacing w:after="0" w:line="2512" w:lineRule="exact"/>
        <w:rPr>
          <w:sz w:val="20"/>
          <w:szCs w:val="20"/>
          <w:color w:val="auto"/>
        </w:rPr>
      </w:pPr>
    </w:p>
    <w:p>
      <w:pPr>
        <w:sectPr>
          <w:pgSz w:w="11900" w:h="16838" w:orient="portrait"/>
          <w:cols w:equalWidth="0" w:num="2">
            <w:col w:w="4000" w:space="120"/>
            <w:col w:w="6920"/>
          </w:cols>
          <w:pgMar w:left="320" w:top="477" w:right="539" w:bottom="1440" w:gutter="0" w:footer="0" w:header="0"/>
          <w:type w:val="continuous"/>
        </w:sectPr>
      </w:pPr>
    </w:p>
    <w:p>
      <w:pPr>
        <w:spacing w:after="0" w:line="13"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FFFFFF"/>
        </w:rPr>
        <w:t>“Big 3” segments</w:t>
      </w:r>
    </w:p>
    <w:p>
      <w:pPr>
        <w:sectPr>
          <w:pgSz w:w="11900" w:h="16838" w:orient="portrait"/>
          <w:cols w:equalWidth="0" w:num="1">
            <w:col w:w="11040"/>
          </w:cols>
          <w:pgMar w:left="320" w:top="477" w:right="539" w:bottom="1440" w:gutter="0" w:footer="0" w:header="0"/>
          <w:type w:val="continuous"/>
        </w:sectPr>
      </w:pPr>
    </w:p>
    <w:p>
      <w:pPr>
        <w:spacing w:after="0" w:line="106" w:lineRule="exact"/>
        <w:rPr>
          <w:sz w:val="20"/>
          <w:szCs w:val="20"/>
          <w:color w:val="auto"/>
        </w:rPr>
      </w:pPr>
    </w:p>
    <w:p>
      <w:pPr>
        <w:ind w:left="300"/>
        <w:spacing w:after="0" w:line="253" w:lineRule="auto"/>
        <w:rPr>
          <w:sz w:val="20"/>
          <w:szCs w:val="20"/>
          <w:color w:val="auto"/>
        </w:rPr>
      </w:pPr>
      <w:r>
        <w:rPr>
          <w:rFonts w:ascii="Arial" w:cs="Arial" w:eastAsia="Arial" w:hAnsi="Arial"/>
          <w:sz w:val="16"/>
          <w:szCs w:val="16"/>
          <w:color w:val="auto"/>
        </w:rPr>
        <w:t>Our combined Legal Professionals, Corporates and Tax &amp; Accounting Professionals segments. All measures reported for the “Big 3” segments are non-IFRS financial measures.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tabs>
          <w:tab w:leader="none" w:pos="3560" w:val="left"/>
        </w:tabs>
        <w:rPr>
          <w:sz w:val="20"/>
          <w:szCs w:val="20"/>
          <w:color w:val="auto"/>
        </w:rPr>
      </w:pPr>
      <w:r>
        <w:rPr>
          <w:rFonts w:ascii="Arial" w:cs="Arial" w:eastAsia="Arial" w:hAnsi="Arial"/>
          <w:sz w:val="16"/>
          <w:szCs w:val="16"/>
          <w:color w:val="auto"/>
        </w:rPr>
        <w:t>The “Big 3” segments comprised 82% of</w:t>
      </w:r>
      <w:r>
        <w:rPr>
          <w:sz w:val="20"/>
          <w:szCs w:val="20"/>
          <w:color w:val="auto"/>
        </w:rPr>
        <w:tab/>
      </w:r>
      <w:r>
        <w:rPr>
          <w:rFonts w:ascii="Arial" w:cs="Arial" w:eastAsia="Arial" w:hAnsi="Arial"/>
          <w:sz w:val="15"/>
          <w:szCs w:val="15"/>
          <w:color w:val="auto"/>
        </w:rPr>
        <w:t>Revenues</w:t>
      </w:r>
    </w:p>
    <w:p>
      <w:pPr>
        <w:spacing w:after="0" w:line="18" w:lineRule="exact"/>
        <w:rPr>
          <w:sz w:val="20"/>
          <w:szCs w:val="20"/>
          <w:color w:val="auto"/>
        </w:rPr>
      </w:pPr>
    </w:p>
    <w:p>
      <w:pPr>
        <w:ind w:right="800"/>
        <w:spacing w:after="0" w:line="254" w:lineRule="auto"/>
        <w:rPr>
          <w:sz w:val="20"/>
          <w:szCs w:val="20"/>
          <w:color w:val="auto"/>
        </w:rPr>
      </w:pPr>
      <w:r>
        <w:rPr>
          <w:rFonts w:ascii="Arial" w:cs="Arial" w:eastAsia="Arial" w:hAnsi="Arial"/>
          <w:sz w:val="16"/>
          <w:szCs w:val="16"/>
          <w:color w:val="auto"/>
        </w:rPr>
        <w:t>revenues in 2024 and represent the core of our Earnings from continuing operations business information service product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189230</wp:posOffset>
            </wp:positionV>
            <wp:extent cx="68656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65620" cy="17145"/>
                    </a:xfrm>
                    <a:prstGeom prst="rect">
                      <a:avLst/>
                    </a:prstGeom>
                    <a:noFill/>
                  </pic:spPr>
                </pic:pic>
              </a:graphicData>
            </a:graphic>
          </wp:anchor>
        </w:drawing>
        <w:drawing>
          <wp:anchor simplePos="0" relativeHeight="251657728" behindDoc="1" locked="0" layoutInCell="0" allowOverlap="1">
            <wp:simplePos x="0" y="0"/>
            <wp:positionH relativeFrom="column">
              <wp:posOffset>-2477135</wp:posOffset>
            </wp:positionH>
            <wp:positionV relativeFrom="paragraph">
              <wp:posOffset>306705</wp:posOffset>
            </wp:positionV>
            <wp:extent cx="68656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384" w:lineRule="exact"/>
        <w:rPr>
          <w:sz w:val="20"/>
          <w:szCs w:val="20"/>
          <w:color w:val="auto"/>
        </w:rPr>
      </w:pPr>
    </w:p>
    <w:p>
      <w:pPr>
        <w:sectPr>
          <w:pgSz w:w="11900" w:h="16838" w:orient="portrait"/>
          <w:cols w:equalWidth="0" w:num="2">
            <w:col w:w="3920" w:space="200"/>
            <w:col w:w="6920"/>
          </w:cols>
          <w:pgMar w:left="320" w:top="477" w:right="539" w:bottom="1440" w:gutter="0" w:footer="0" w:header="0"/>
          <w:type w:val="continuous"/>
        </w:sectPr>
      </w:pPr>
    </w:p>
    <w:p>
      <w:pPr>
        <w:spacing w:after="0" w:line="129"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63</w:t>
      </w:r>
    </w:p>
    <w:p>
      <w:pPr>
        <w:sectPr>
          <w:pgSz w:w="11900" w:h="16838" w:orient="portrait"/>
          <w:cols w:equalWidth="0" w:num="1">
            <w:col w:w="11040"/>
          </w:cols>
          <w:pgMar w:left="320" w:top="477" w:right="5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Appendix B</w:t>
      </w:r>
    </w:p>
    <w:p>
      <w:pPr>
        <w:spacing w:after="0" w:line="84" w:lineRule="exact"/>
        <w:rPr>
          <w:sz w:val="20"/>
          <w:szCs w:val="20"/>
          <w:color w:val="auto"/>
        </w:rPr>
      </w:pPr>
    </w:p>
    <w:p>
      <w:pPr>
        <w:ind w:left="220" w:right="560"/>
        <w:spacing w:after="0" w:line="260" w:lineRule="auto"/>
        <w:rPr>
          <w:sz w:val="20"/>
          <w:szCs w:val="20"/>
          <w:color w:val="auto"/>
        </w:rPr>
      </w:pPr>
      <w:r>
        <w:rPr>
          <w:rFonts w:ascii="Arial" w:cs="Arial" w:eastAsia="Arial" w:hAnsi="Arial"/>
          <w:sz w:val="17"/>
          <w:szCs w:val="17"/>
          <w:color w:val="auto"/>
        </w:rPr>
        <w:t>This appendix provides reconciliations of certain non-IFRS financial measures to the most directly comparable IFRS measures that are not presented elsewhere in this management’s discussion and analysis.</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Rounding</w:t>
      </w:r>
    </w:p>
    <w:p>
      <w:pPr>
        <w:spacing w:after="0" w:line="136" w:lineRule="exact"/>
        <w:rPr>
          <w:sz w:val="20"/>
          <w:szCs w:val="20"/>
          <w:color w:val="auto"/>
        </w:rPr>
      </w:pPr>
    </w:p>
    <w:p>
      <w:pPr>
        <w:ind w:left="220" w:right="140"/>
        <w:spacing w:after="0" w:line="243" w:lineRule="auto"/>
        <w:rPr>
          <w:sz w:val="20"/>
          <w:szCs w:val="20"/>
          <w:color w:val="auto"/>
        </w:rPr>
      </w:pPr>
      <w:r>
        <w:rPr>
          <w:rFonts w:ascii="Arial" w:cs="Arial" w:eastAsia="Arial" w:hAnsi="Arial"/>
          <w:sz w:val="17"/>
          <w:szCs w:val="17"/>
          <w:color w:val="auto"/>
        </w:rPr>
        <w:t>Other than EPS, we report our results in millions of U.S. dollars, but we compute percentage changes and margins using whole dollars to be more precise. As a result, percentages and margins calculated from reported amounts may differ from those presented, and growth components may not total due to rounding.</w:t>
      </w:r>
    </w:p>
    <w:p>
      <w:pPr>
        <w:spacing w:after="0" w:line="95" w:lineRule="exact"/>
        <w:rPr>
          <w:sz w:val="20"/>
          <w:szCs w:val="20"/>
          <w:color w:val="auto"/>
        </w:rPr>
      </w:pPr>
    </w:p>
    <w:p>
      <w:pPr>
        <w:ind w:left="220" w:right="220"/>
        <w:spacing w:after="0" w:line="287" w:lineRule="auto"/>
        <w:rPr>
          <w:sz w:val="20"/>
          <w:szCs w:val="20"/>
          <w:color w:val="auto"/>
        </w:rPr>
      </w:pPr>
      <w:r>
        <w:rPr>
          <w:rFonts w:ascii="Arial" w:cs="Arial" w:eastAsia="Arial" w:hAnsi="Arial"/>
          <w:sz w:val="25"/>
          <w:szCs w:val="25"/>
          <w:b w:val="1"/>
          <w:bCs w:val="1"/>
          <w:color w:val="D64000"/>
        </w:rPr>
        <w:t>Reconciliation of Earnings From Continuing Operations to Adjusted EBITDA and Adjusted EBITDA Less Accrued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23495</wp:posOffset>
            </wp:positionV>
            <wp:extent cx="617537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17"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3300" w:type="dxa"/>
            <w:vAlign w:val="bottom"/>
          </w:tcPr>
          <w:p>
            <w:pPr>
              <w:spacing w:after="0"/>
              <w:rPr>
                <w:sz w:val="17"/>
                <w:szCs w:val="17"/>
                <w:color w:val="auto"/>
              </w:rPr>
            </w:pPr>
          </w:p>
        </w:tc>
        <w:tc>
          <w:tcPr>
            <w:tcW w:w="3860" w:type="dxa"/>
            <w:vAlign w:val="bottom"/>
            <w:gridSpan w:val="2"/>
            <w:shd w:val="clear" w:color="auto" w:fill="E3F3EE"/>
          </w:tcPr>
          <w:p>
            <w:pPr>
              <w:jc w:val="right"/>
              <w:ind w:right="381"/>
              <w:spacing w:after="0"/>
              <w:rPr>
                <w:sz w:val="20"/>
                <w:szCs w:val="20"/>
                <w:color w:val="auto"/>
              </w:rPr>
            </w:pPr>
            <w:r>
              <w:rPr>
                <w:rFonts w:ascii="Arial" w:cs="Arial" w:eastAsia="Arial" w:hAnsi="Arial"/>
                <w:sz w:val="16"/>
                <w:szCs w:val="16"/>
                <w:b w:val="1"/>
                <w:bCs w:val="1"/>
                <w:color w:val="auto"/>
              </w:rPr>
              <w:t>Three months ended December 31, </w:t>
            </w:r>
          </w:p>
        </w:tc>
        <w:tc>
          <w:tcPr>
            <w:tcW w:w="2560" w:type="dxa"/>
            <w:vAlign w:val="bottom"/>
            <w:gridSpan w:val="2"/>
            <w:shd w:val="clear" w:color="auto" w:fill="E3F3EE"/>
          </w:tcPr>
          <w:p>
            <w:pPr>
              <w:jc w:val="right"/>
              <w:ind w:right="161"/>
              <w:spacing w:after="0"/>
              <w:rPr>
                <w:sz w:val="20"/>
                <w:szCs w:val="20"/>
                <w:color w:val="auto"/>
              </w:rPr>
            </w:pPr>
            <w:r>
              <w:rPr>
                <w:rFonts w:ascii="Arial" w:cs="Arial" w:eastAsia="Arial" w:hAnsi="Arial"/>
                <w:sz w:val="16"/>
                <w:szCs w:val="16"/>
                <w:b w:val="1"/>
                <w:bCs w:val="1"/>
                <w:color w:val="auto"/>
              </w:rPr>
              <w:t>Year ended December 31, </w:t>
            </w:r>
          </w:p>
        </w:tc>
      </w:tr>
      <w:tr>
        <w:trPr>
          <w:trHeight w:val="192"/>
        </w:trPr>
        <w:tc>
          <w:tcPr>
            <w:tcW w:w="330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color w:val="FFFFFF"/>
              </w:rPr>
              <w:t> (millions of U.S. dollars, except margins)</w:t>
            </w:r>
          </w:p>
        </w:tc>
        <w:tc>
          <w:tcPr>
            <w:tcW w:w="2260" w:type="dxa"/>
            <w:vAlign w:val="bottom"/>
            <w:tcBorders>
              <w:bottom w:val="single" w:sz="8" w:color="D64000"/>
            </w:tcBorders>
            <w:shd w:val="clear" w:color="auto" w:fill="1F473D"/>
          </w:tcPr>
          <w:p>
            <w:pPr>
              <w:jc w:val="right"/>
              <w:ind w:right="501"/>
              <w:spacing w:after="0"/>
              <w:rPr>
                <w:sz w:val="20"/>
                <w:szCs w:val="20"/>
                <w:color w:val="auto"/>
              </w:rPr>
            </w:pPr>
            <w:r>
              <w:rPr>
                <w:rFonts w:ascii="Arial" w:cs="Arial" w:eastAsia="Arial" w:hAnsi="Arial"/>
                <w:sz w:val="16"/>
                <w:szCs w:val="16"/>
                <w:b w:val="1"/>
                <w:bCs w:val="1"/>
                <w:color w:val="FFFFFF"/>
              </w:rPr>
              <w:t>      2024</w:t>
            </w:r>
          </w:p>
        </w:tc>
        <w:tc>
          <w:tcPr>
            <w:tcW w:w="1600" w:type="dxa"/>
            <w:vAlign w:val="bottom"/>
            <w:tcBorders>
              <w:bottom w:val="single" w:sz="8" w:color="D64000"/>
            </w:tcBorders>
            <w:shd w:val="clear" w:color="auto" w:fill="1F473D"/>
          </w:tcPr>
          <w:p>
            <w:pPr>
              <w:jc w:val="right"/>
              <w:ind w:right="261"/>
              <w:spacing w:after="0"/>
              <w:rPr>
                <w:sz w:val="20"/>
                <w:szCs w:val="20"/>
                <w:color w:val="auto"/>
              </w:rPr>
            </w:pPr>
            <w:r>
              <w:rPr>
                <w:rFonts w:ascii="Arial" w:cs="Arial" w:eastAsia="Arial" w:hAnsi="Arial"/>
                <w:sz w:val="16"/>
                <w:szCs w:val="16"/>
                <w:color w:val="FFFFFF"/>
              </w:rPr>
              <w:t>      2023</w:t>
            </w:r>
          </w:p>
        </w:tc>
        <w:tc>
          <w:tcPr>
            <w:tcW w:w="1420" w:type="dxa"/>
            <w:vAlign w:val="bottom"/>
            <w:tcBorders>
              <w:bottom w:val="single" w:sz="8" w:color="D64000"/>
            </w:tcBorders>
            <w:shd w:val="clear" w:color="auto" w:fill="1F473D"/>
          </w:tcPr>
          <w:p>
            <w:pPr>
              <w:jc w:val="right"/>
              <w:ind w:right="261"/>
              <w:spacing w:after="0"/>
              <w:rPr>
                <w:sz w:val="20"/>
                <w:szCs w:val="20"/>
                <w:color w:val="auto"/>
              </w:rPr>
            </w:pPr>
            <w:r>
              <w:rPr>
                <w:rFonts w:ascii="Arial" w:cs="Arial" w:eastAsia="Arial" w:hAnsi="Arial"/>
                <w:sz w:val="16"/>
                <w:szCs w:val="16"/>
                <w:b w:val="1"/>
                <w:bCs w:val="1"/>
                <w:color w:val="FFFFFF"/>
              </w:rPr>
              <w:t>      2024</w:t>
            </w:r>
          </w:p>
        </w:tc>
        <w:tc>
          <w:tcPr>
            <w:tcW w:w="1140" w:type="dxa"/>
            <w:vAlign w:val="bottom"/>
            <w:tcBorders>
              <w:bottom w:val="single" w:sz="8" w:color="D64000"/>
            </w:tcBorders>
            <w:shd w:val="clear" w:color="auto" w:fill="1F473D"/>
          </w:tcPr>
          <w:p>
            <w:pPr>
              <w:jc w:val="right"/>
              <w:ind w:right="41"/>
              <w:spacing w:after="0"/>
              <w:rPr>
                <w:sz w:val="20"/>
                <w:szCs w:val="20"/>
                <w:color w:val="auto"/>
              </w:rPr>
            </w:pPr>
            <w:r>
              <w:rPr>
                <w:rFonts w:ascii="Arial" w:cs="Arial" w:eastAsia="Arial" w:hAnsi="Arial"/>
                <w:sz w:val="16"/>
                <w:szCs w:val="16"/>
                <w:color w:val="FFFFFF"/>
              </w:rPr>
              <w:t>      2023</w:t>
            </w:r>
          </w:p>
        </w:tc>
      </w:tr>
      <w:tr>
        <w:trPr>
          <w:trHeight w:val="171"/>
        </w:trPr>
        <w:tc>
          <w:tcPr>
            <w:tcW w:w="3300" w:type="dxa"/>
            <w:vAlign w:val="bottom"/>
          </w:tcPr>
          <w:p>
            <w:pPr>
              <w:spacing w:after="0" w:line="171" w:lineRule="exact"/>
              <w:rPr>
                <w:sz w:val="20"/>
                <w:szCs w:val="20"/>
                <w:color w:val="auto"/>
              </w:rPr>
            </w:pPr>
            <w:r>
              <w:rPr>
                <w:rFonts w:ascii="Arial" w:cs="Arial" w:eastAsia="Arial" w:hAnsi="Arial"/>
                <w:sz w:val="16"/>
                <w:szCs w:val="16"/>
                <w:b w:val="1"/>
                <w:bCs w:val="1"/>
                <w:color w:val="auto"/>
              </w:rPr>
              <w:t> Earnings from continuing operations</w:t>
            </w:r>
          </w:p>
        </w:tc>
        <w:tc>
          <w:tcPr>
            <w:tcW w:w="2260" w:type="dxa"/>
            <w:vAlign w:val="bottom"/>
          </w:tcPr>
          <w:p>
            <w:pPr>
              <w:jc w:val="right"/>
              <w:ind w:right="501"/>
              <w:spacing w:after="0" w:line="171" w:lineRule="exact"/>
              <w:rPr>
                <w:sz w:val="20"/>
                <w:szCs w:val="20"/>
                <w:color w:val="auto"/>
              </w:rPr>
            </w:pPr>
            <w:r>
              <w:rPr>
                <w:rFonts w:ascii="Arial" w:cs="Arial" w:eastAsia="Arial" w:hAnsi="Arial"/>
                <w:sz w:val="16"/>
                <w:szCs w:val="16"/>
                <w:b w:val="1"/>
                <w:bCs w:val="1"/>
                <w:color w:val="auto"/>
              </w:rPr>
              <w:t>607</w:t>
            </w:r>
          </w:p>
        </w:tc>
        <w:tc>
          <w:tcPr>
            <w:tcW w:w="1600" w:type="dxa"/>
            <w:vAlign w:val="bottom"/>
          </w:tcPr>
          <w:p>
            <w:pPr>
              <w:jc w:val="right"/>
              <w:ind w:right="261"/>
              <w:spacing w:after="0" w:line="171" w:lineRule="exact"/>
              <w:rPr>
                <w:sz w:val="20"/>
                <w:szCs w:val="20"/>
                <w:color w:val="auto"/>
              </w:rPr>
            </w:pPr>
            <w:r>
              <w:rPr>
                <w:rFonts w:ascii="Arial" w:cs="Arial" w:eastAsia="Arial" w:hAnsi="Arial"/>
                <w:sz w:val="16"/>
                <w:szCs w:val="16"/>
                <w:color w:val="auto"/>
              </w:rPr>
              <w:t>650</w:t>
            </w:r>
          </w:p>
        </w:tc>
        <w:tc>
          <w:tcPr>
            <w:tcW w:w="1420" w:type="dxa"/>
            <w:vAlign w:val="bottom"/>
          </w:tcPr>
          <w:p>
            <w:pPr>
              <w:jc w:val="right"/>
              <w:ind w:right="261"/>
              <w:spacing w:after="0" w:line="171" w:lineRule="exact"/>
              <w:rPr>
                <w:sz w:val="20"/>
                <w:szCs w:val="20"/>
                <w:color w:val="auto"/>
              </w:rPr>
            </w:pPr>
            <w:r>
              <w:rPr>
                <w:rFonts w:ascii="Arial" w:cs="Arial" w:eastAsia="Arial" w:hAnsi="Arial"/>
                <w:sz w:val="16"/>
                <w:szCs w:val="16"/>
                <w:b w:val="1"/>
                <w:bCs w:val="1"/>
                <w:color w:val="auto"/>
              </w:rPr>
              <w:t>2,192</w:t>
            </w:r>
          </w:p>
        </w:tc>
        <w:tc>
          <w:tcPr>
            <w:tcW w:w="1140" w:type="dxa"/>
            <w:vAlign w:val="bottom"/>
          </w:tcPr>
          <w:p>
            <w:pPr>
              <w:jc w:val="right"/>
              <w:ind w:right="41"/>
              <w:spacing w:after="0" w:line="171" w:lineRule="exact"/>
              <w:rPr>
                <w:sz w:val="20"/>
                <w:szCs w:val="20"/>
                <w:color w:val="auto"/>
              </w:rPr>
            </w:pPr>
            <w:r>
              <w:rPr>
                <w:rFonts w:ascii="Arial" w:cs="Arial" w:eastAsia="Arial" w:hAnsi="Arial"/>
                <w:sz w:val="16"/>
                <w:szCs w:val="16"/>
                <w:color w:val="auto"/>
              </w:rPr>
              <w:t>2,646</w:t>
            </w:r>
          </w:p>
        </w:tc>
      </w:tr>
      <w:tr>
        <w:trPr>
          <w:trHeight w:val="186"/>
        </w:trPr>
        <w:tc>
          <w:tcPr>
            <w:tcW w:w="3300" w:type="dxa"/>
            <w:vAlign w:val="bottom"/>
          </w:tcPr>
          <w:p>
            <w:pPr>
              <w:spacing w:after="0"/>
              <w:rPr>
                <w:sz w:val="20"/>
                <w:szCs w:val="20"/>
                <w:color w:val="auto"/>
              </w:rPr>
            </w:pPr>
            <w:r>
              <w:rPr>
                <w:rFonts w:ascii="Arial" w:cs="Arial" w:eastAsia="Arial" w:hAnsi="Arial"/>
                <w:sz w:val="16"/>
                <w:szCs w:val="16"/>
                <w:b w:val="1"/>
                <w:bCs w:val="1"/>
                <w:color w:val="auto"/>
              </w:rPr>
              <w:t> Adjustments to remove:</w:t>
            </w:r>
          </w:p>
        </w:tc>
        <w:tc>
          <w:tcPr>
            <w:tcW w:w="2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5"/>
        </w:trPr>
        <w:tc>
          <w:tcPr>
            <w:tcW w:w="3300" w:type="dxa"/>
            <w:vAlign w:val="bottom"/>
          </w:tcPr>
          <w:p>
            <w:pPr>
              <w:ind w:left="160"/>
              <w:spacing w:after="0"/>
              <w:rPr>
                <w:sz w:val="20"/>
                <w:szCs w:val="20"/>
                <w:color w:val="auto"/>
              </w:rPr>
            </w:pPr>
            <w:r>
              <w:rPr>
                <w:rFonts w:ascii="Arial" w:cs="Arial" w:eastAsia="Arial" w:hAnsi="Arial"/>
                <w:sz w:val="16"/>
                <w:szCs w:val="16"/>
                <w:color w:val="auto"/>
              </w:rPr>
              <w:t> Tax expense (benefit)</w:t>
            </w:r>
          </w:p>
        </w:tc>
        <w:tc>
          <w:tcPr>
            <w:tcW w:w="2260" w:type="dxa"/>
            <w:vAlign w:val="bottom"/>
          </w:tcPr>
          <w:p>
            <w:pPr>
              <w:jc w:val="right"/>
              <w:ind w:right="501"/>
              <w:spacing w:after="0"/>
              <w:rPr>
                <w:sz w:val="20"/>
                <w:szCs w:val="20"/>
                <w:color w:val="auto"/>
              </w:rPr>
            </w:pPr>
            <w:r>
              <w:rPr>
                <w:rFonts w:ascii="Arial" w:cs="Arial" w:eastAsia="Arial" w:hAnsi="Arial"/>
                <w:sz w:val="16"/>
                <w:szCs w:val="16"/>
                <w:b w:val="1"/>
                <w:bCs w:val="1"/>
                <w:color w:val="auto"/>
              </w:rPr>
              <w:t>135</w:t>
            </w:r>
          </w:p>
        </w:tc>
        <w:tc>
          <w:tcPr>
            <w:tcW w:w="1600" w:type="dxa"/>
            <w:vAlign w:val="bottom"/>
          </w:tcPr>
          <w:p>
            <w:pPr>
              <w:jc w:val="right"/>
              <w:ind w:right="261"/>
              <w:spacing w:after="0"/>
              <w:rPr>
                <w:sz w:val="20"/>
                <w:szCs w:val="20"/>
                <w:color w:val="auto"/>
              </w:rPr>
            </w:pPr>
            <w:r>
              <w:rPr>
                <w:rFonts w:ascii="Arial" w:cs="Arial" w:eastAsia="Arial" w:hAnsi="Arial"/>
                <w:sz w:val="16"/>
                <w:szCs w:val="16"/>
                <w:color w:val="auto"/>
              </w:rPr>
              <w:t>20</w:t>
            </w:r>
          </w:p>
        </w:tc>
        <w:tc>
          <w:tcPr>
            <w:tcW w:w="1420" w:type="dxa"/>
            <w:vAlign w:val="bottom"/>
          </w:tcPr>
          <w:p>
            <w:pPr>
              <w:jc w:val="right"/>
              <w:ind w:right="261"/>
              <w:spacing w:after="0"/>
              <w:rPr>
                <w:sz w:val="20"/>
                <w:szCs w:val="20"/>
                <w:color w:val="auto"/>
              </w:rPr>
            </w:pPr>
            <w:r>
              <w:rPr>
                <w:rFonts w:ascii="Arial" w:cs="Arial" w:eastAsia="Arial" w:hAnsi="Arial"/>
                <w:sz w:val="16"/>
                <w:szCs w:val="16"/>
                <w:b w:val="1"/>
                <w:bCs w:val="1"/>
                <w:color w:val="auto"/>
              </w:rPr>
              <w:t>(123)</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417</w:t>
            </w:r>
          </w:p>
        </w:tc>
      </w:tr>
      <w:tr>
        <w:trPr>
          <w:trHeight w:val="186"/>
        </w:trPr>
        <w:tc>
          <w:tcPr>
            <w:tcW w:w="3300" w:type="dxa"/>
            <w:vAlign w:val="bottom"/>
          </w:tcPr>
          <w:p>
            <w:pPr>
              <w:ind w:left="160"/>
              <w:spacing w:after="0"/>
              <w:rPr>
                <w:sz w:val="20"/>
                <w:szCs w:val="20"/>
                <w:color w:val="auto"/>
              </w:rPr>
            </w:pPr>
            <w:r>
              <w:rPr>
                <w:rFonts w:ascii="Arial" w:cs="Arial" w:eastAsia="Arial" w:hAnsi="Arial"/>
                <w:sz w:val="16"/>
                <w:szCs w:val="16"/>
                <w:color w:val="auto"/>
              </w:rPr>
              <w:t> Other finance (income) costs</w:t>
            </w:r>
          </w:p>
        </w:tc>
        <w:tc>
          <w:tcPr>
            <w:tcW w:w="2260" w:type="dxa"/>
            <w:vAlign w:val="bottom"/>
          </w:tcPr>
          <w:p>
            <w:pPr>
              <w:jc w:val="right"/>
              <w:ind w:right="501"/>
              <w:spacing w:after="0"/>
              <w:rPr>
                <w:sz w:val="20"/>
                <w:szCs w:val="20"/>
                <w:color w:val="auto"/>
              </w:rPr>
            </w:pPr>
            <w:r>
              <w:rPr>
                <w:rFonts w:ascii="Arial" w:cs="Arial" w:eastAsia="Arial" w:hAnsi="Arial"/>
                <w:sz w:val="16"/>
                <w:szCs w:val="16"/>
                <w:b w:val="1"/>
                <w:bCs w:val="1"/>
                <w:color w:val="auto"/>
              </w:rPr>
              <w:t>(53)</w:t>
            </w:r>
          </w:p>
        </w:tc>
        <w:tc>
          <w:tcPr>
            <w:tcW w:w="1600" w:type="dxa"/>
            <w:vAlign w:val="bottom"/>
          </w:tcPr>
          <w:p>
            <w:pPr>
              <w:jc w:val="right"/>
              <w:ind w:right="261"/>
              <w:spacing w:after="0"/>
              <w:rPr>
                <w:sz w:val="20"/>
                <w:szCs w:val="20"/>
                <w:color w:val="auto"/>
              </w:rPr>
            </w:pPr>
            <w:r>
              <w:rPr>
                <w:rFonts w:ascii="Arial" w:cs="Arial" w:eastAsia="Arial" w:hAnsi="Arial"/>
                <w:sz w:val="16"/>
                <w:szCs w:val="16"/>
                <w:color w:val="auto"/>
              </w:rPr>
              <w:t>117</w:t>
            </w:r>
          </w:p>
        </w:tc>
        <w:tc>
          <w:tcPr>
            <w:tcW w:w="1420" w:type="dxa"/>
            <w:vAlign w:val="bottom"/>
          </w:tcPr>
          <w:p>
            <w:pPr>
              <w:jc w:val="right"/>
              <w:ind w:right="261"/>
              <w:spacing w:after="0"/>
              <w:rPr>
                <w:sz w:val="20"/>
                <w:szCs w:val="20"/>
                <w:color w:val="auto"/>
              </w:rPr>
            </w:pPr>
            <w:r>
              <w:rPr>
                <w:rFonts w:ascii="Arial" w:cs="Arial" w:eastAsia="Arial" w:hAnsi="Arial"/>
                <w:sz w:val="16"/>
                <w:szCs w:val="16"/>
                <w:b w:val="1"/>
                <w:bCs w:val="1"/>
                <w:color w:val="auto"/>
              </w:rPr>
              <w:t>(45)</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192</w:t>
            </w:r>
          </w:p>
        </w:tc>
      </w:tr>
      <w:tr>
        <w:trPr>
          <w:trHeight w:val="186"/>
        </w:trPr>
        <w:tc>
          <w:tcPr>
            <w:tcW w:w="3300" w:type="dxa"/>
            <w:vAlign w:val="bottom"/>
          </w:tcPr>
          <w:p>
            <w:pPr>
              <w:ind w:left="160"/>
              <w:spacing w:after="0"/>
              <w:rPr>
                <w:sz w:val="20"/>
                <w:szCs w:val="20"/>
                <w:color w:val="auto"/>
              </w:rPr>
            </w:pPr>
            <w:r>
              <w:rPr>
                <w:rFonts w:ascii="Arial" w:cs="Arial" w:eastAsia="Arial" w:hAnsi="Arial"/>
                <w:sz w:val="16"/>
                <w:szCs w:val="16"/>
                <w:color w:val="auto"/>
              </w:rPr>
              <w:t> Net interest expense</w:t>
            </w:r>
          </w:p>
        </w:tc>
        <w:tc>
          <w:tcPr>
            <w:tcW w:w="2260" w:type="dxa"/>
            <w:vAlign w:val="bottom"/>
          </w:tcPr>
          <w:p>
            <w:pPr>
              <w:jc w:val="right"/>
              <w:ind w:right="501"/>
              <w:spacing w:after="0"/>
              <w:rPr>
                <w:sz w:val="20"/>
                <w:szCs w:val="20"/>
                <w:color w:val="auto"/>
              </w:rPr>
            </w:pPr>
            <w:r>
              <w:rPr>
                <w:rFonts w:ascii="Arial" w:cs="Arial" w:eastAsia="Arial" w:hAnsi="Arial"/>
                <w:sz w:val="16"/>
                <w:szCs w:val="16"/>
                <w:b w:val="1"/>
                <w:bCs w:val="1"/>
                <w:color w:val="auto"/>
              </w:rPr>
              <w:t>28</w:t>
            </w:r>
          </w:p>
        </w:tc>
        <w:tc>
          <w:tcPr>
            <w:tcW w:w="1600" w:type="dxa"/>
            <w:vAlign w:val="bottom"/>
          </w:tcPr>
          <w:p>
            <w:pPr>
              <w:jc w:val="right"/>
              <w:ind w:right="261"/>
              <w:spacing w:after="0"/>
              <w:rPr>
                <w:sz w:val="20"/>
                <w:szCs w:val="20"/>
                <w:color w:val="auto"/>
              </w:rPr>
            </w:pPr>
            <w:r>
              <w:rPr>
                <w:rFonts w:ascii="Arial" w:cs="Arial" w:eastAsia="Arial" w:hAnsi="Arial"/>
                <w:sz w:val="16"/>
                <w:szCs w:val="16"/>
                <w:color w:val="auto"/>
              </w:rPr>
              <w:t>31</w:t>
            </w:r>
          </w:p>
        </w:tc>
        <w:tc>
          <w:tcPr>
            <w:tcW w:w="1420" w:type="dxa"/>
            <w:vAlign w:val="bottom"/>
          </w:tcPr>
          <w:p>
            <w:pPr>
              <w:jc w:val="right"/>
              <w:ind w:right="261"/>
              <w:spacing w:after="0"/>
              <w:rPr>
                <w:sz w:val="20"/>
                <w:szCs w:val="20"/>
                <w:color w:val="auto"/>
              </w:rPr>
            </w:pPr>
            <w:r>
              <w:rPr>
                <w:rFonts w:ascii="Arial" w:cs="Arial" w:eastAsia="Arial" w:hAnsi="Arial"/>
                <w:sz w:val="16"/>
                <w:szCs w:val="16"/>
                <w:b w:val="1"/>
                <w:bCs w:val="1"/>
                <w:color w:val="auto"/>
              </w:rPr>
              <w:t>125</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152</w:t>
            </w:r>
          </w:p>
        </w:tc>
      </w:tr>
      <w:tr>
        <w:trPr>
          <w:trHeight w:val="185"/>
        </w:trPr>
        <w:tc>
          <w:tcPr>
            <w:tcW w:w="3300" w:type="dxa"/>
            <w:vAlign w:val="bottom"/>
          </w:tcPr>
          <w:p>
            <w:pPr>
              <w:ind w:left="180"/>
              <w:spacing w:after="0"/>
              <w:rPr>
                <w:sz w:val="20"/>
                <w:szCs w:val="20"/>
                <w:color w:val="auto"/>
              </w:rPr>
            </w:pPr>
            <w:r>
              <w:rPr>
                <w:rFonts w:ascii="Arial" w:cs="Arial" w:eastAsia="Arial" w:hAnsi="Arial"/>
                <w:sz w:val="16"/>
                <w:szCs w:val="16"/>
                <w:color w:val="auto"/>
              </w:rPr>
              <w:t> Amortization of other identifiable intangible</w:t>
            </w:r>
          </w:p>
        </w:tc>
        <w:tc>
          <w:tcPr>
            <w:tcW w:w="2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6"/>
        </w:trPr>
        <w:tc>
          <w:tcPr>
            <w:tcW w:w="3300" w:type="dxa"/>
            <w:vAlign w:val="bottom"/>
          </w:tcPr>
          <w:p>
            <w:pPr>
              <w:ind w:left="360"/>
              <w:spacing w:after="0"/>
              <w:rPr>
                <w:sz w:val="20"/>
                <w:szCs w:val="20"/>
                <w:color w:val="auto"/>
              </w:rPr>
            </w:pPr>
            <w:r>
              <w:rPr>
                <w:rFonts w:ascii="Arial" w:cs="Arial" w:eastAsia="Arial" w:hAnsi="Arial"/>
                <w:sz w:val="16"/>
                <w:szCs w:val="16"/>
                <w:color w:val="auto"/>
              </w:rPr>
              <w:t>assets</w:t>
            </w:r>
          </w:p>
        </w:tc>
        <w:tc>
          <w:tcPr>
            <w:tcW w:w="2260" w:type="dxa"/>
            <w:vAlign w:val="bottom"/>
          </w:tcPr>
          <w:p>
            <w:pPr>
              <w:jc w:val="right"/>
              <w:ind w:right="501"/>
              <w:spacing w:after="0"/>
              <w:rPr>
                <w:sz w:val="20"/>
                <w:szCs w:val="20"/>
                <w:color w:val="auto"/>
              </w:rPr>
            </w:pPr>
            <w:r>
              <w:rPr>
                <w:rFonts w:ascii="Arial" w:cs="Arial" w:eastAsia="Arial" w:hAnsi="Arial"/>
                <w:sz w:val="16"/>
                <w:szCs w:val="16"/>
                <w:b w:val="1"/>
                <w:bCs w:val="1"/>
                <w:color w:val="auto"/>
              </w:rPr>
              <w:t>22</w:t>
            </w:r>
          </w:p>
        </w:tc>
        <w:tc>
          <w:tcPr>
            <w:tcW w:w="1600" w:type="dxa"/>
            <w:vAlign w:val="bottom"/>
          </w:tcPr>
          <w:p>
            <w:pPr>
              <w:jc w:val="right"/>
              <w:ind w:right="261"/>
              <w:spacing w:after="0"/>
              <w:rPr>
                <w:sz w:val="20"/>
                <w:szCs w:val="20"/>
                <w:color w:val="auto"/>
              </w:rPr>
            </w:pPr>
            <w:r>
              <w:rPr>
                <w:rFonts w:ascii="Arial" w:cs="Arial" w:eastAsia="Arial" w:hAnsi="Arial"/>
                <w:sz w:val="16"/>
                <w:szCs w:val="16"/>
                <w:color w:val="auto"/>
              </w:rPr>
              <w:t>25</w:t>
            </w:r>
          </w:p>
        </w:tc>
        <w:tc>
          <w:tcPr>
            <w:tcW w:w="1420" w:type="dxa"/>
            <w:vAlign w:val="bottom"/>
          </w:tcPr>
          <w:p>
            <w:pPr>
              <w:jc w:val="right"/>
              <w:ind w:right="261"/>
              <w:spacing w:after="0"/>
              <w:rPr>
                <w:sz w:val="20"/>
                <w:szCs w:val="20"/>
                <w:color w:val="auto"/>
              </w:rPr>
            </w:pPr>
            <w:r>
              <w:rPr>
                <w:rFonts w:ascii="Arial" w:cs="Arial" w:eastAsia="Arial" w:hAnsi="Arial"/>
                <w:sz w:val="16"/>
                <w:szCs w:val="16"/>
                <w:b w:val="1"/>
                <w:bCs w:val="1"/>
                <w:color w:val="auto"/>
              </w:rPr>
              <w:t>91</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97</w:t>
            </w:r>
          </w:p>
        </w:tc>
      </w:tr>
      <w:tr>
        <w:trPr>
          <w:trHeight w:val="185"/>
        </w:trPr>
        <w:tc>
          <w:tcPr>
            <w:tcW w:w="3300" w:type="dxa"/>
            <w:vAlign w:val="bottom"/>
          </w:tcPr>
          <w:p>
            <w:pPr>
              <w:ind w:left="160"/>
              <w:spacing w:after="0"/>
              <w:rPr>
                <w:sz w:val="20"/>
                <w:szCs w:val="20"/>
                <w:color w:val="auto"/>
              </w:rPr>
            </w:pPr>
            <w:r>
              <w:rPr>
                <w:rFonts w:ascii="Arial" w:cs="Arial" w:eastAsia="Arial" w:hAnsi="Arial"/>
                <w:sz w:val="16"/>
                <w:szCs w:val="16"/>
                <w:color w:val="auto"/>
              </w:rPr>
              <w:t> Amortization of computer software</w:t>
            </w:r>
          </w:p>
        </w:tc>
        <w:tc>
          <w:tcPr>
            <w:tcW w:w="2260" w:type="dxa"/>
            <w:vAlign w:val="bottom"/>
          </w:tcPr>
          <w:p>
            <w:pPr>
              <w:jc w:val="right"/>
              <w:ind w:right="501"/>
              <w:spacing w:after="0"/>
              <w:rPr>
                <w:sz w:val="20"/>
                <w:szCs w:val="20"/>
                <w:color w:val="auto"/>
              </w:rPr>
            </w:pPr>
            <w:r>
              <w:rPr>
                <w:rFonts w:ascii="Arial" w:cs="Arial" w:eastAsia="Arial" w:hAnsi="Arial"/>
                <w:sz w:val="16"/>
                <w:szCs w:val="16"/>
                <w:b w:val="1"/>
                <w:bCs w:val="1"/>
                <w:color w:val="auto"/>
              </w:rPr>
              <w:t>160</w:t>
            </w:r>
          </w:p>
        </w:tc>
        <w:tc>
          <w:tcPr>
            <w:tcW w:w="1600" w:type="dxa"/>
            <w:vAlign w:val="bottom"/>
          </w:tcPr>
          <w:p>
            <w:pPr>
              <w:jc w:val="right"/>
              <w:ind w:right="261"/>
              <w:spacing w:after="0"/>
              <w:rPr>
                <w:sz w:val="20"/>
                <w:szCs w:val="20"/>
                <w:color w:val="auto"/>
              </w:rPr>
            </w:pPr>
            <w:r>
              <w:rPr>
                <w:rFonts w:ascii="Arial" w:cs="Arial" w:eastAsia="Arial" w:hAnsi="Arial"/>
                <w:sz w:val="16"/>
                <w:szCs w:val="16"/>
                <w:color w:val="auto"/>
              </w:rPr>
              <w:t>135</w:t>
            </w:r>
          </w:p>
        </w:tc>
        <w:tc>
          <w:tcPr>
            <w:tcW w:w="1420" w:type="dxa"/>
            <w:vAlign w:val="bottom"/>
          </w:tcPr>
          <w:p>
            <w:pPr>
              <w:jc w:val="right"/>
              <w:ind w:right="261"/>
              <w:spacing w:after="0"/>
              <w:rPr>
                <w:sz w:val="20"/>
                <w:szCs w:val="20"/>
                <w:color w:val="auto"/>
              </w:rPr>
            </w:pPr>
            <w:r>
              <w:rPr>
                <w:rFonts w:ascii="Arial" w:cs="Arial" w:eastAsia="Arial" w:hAnsi="Arial"/>
                <w:sz w:val="16"/>
                <w:szCs w:val="16"/>
                <w:b w:val="1"/>
                <w:bCs w:val="1"/>
                <w:color w:val="auto"/>
              </w:rPr>
              <w:t>618</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512</w:t>
            </w:r>
          </w:p>
        </w:tc>
      </w:tr>
      <w:tr>
        <w:trPr>
          <w:trHeight w:val="200"/>
        </w:trPr>
        <w:tc>
          <w:tcPr>
            <w:tcW w:w="3300" w:type="dxa"/>
            <w:vAlign w:val="bottom"/>
            <w:tcBorders>
              <w:bottom w:val="single" w:sz="8" w:color="B2B2B2"/>
            </w:tcBorders>
          </w:tcPr>
          <w:p>
            <w:pPr>
              <w:ind w:left="160"/>
              <w:spacing w:after="0"/>
              <w:rPr>
                <w:sz w:val="20"/>
                <w:szCs w:val="20"/>
                <w:color w:val="auto"/>
              </w:rPr>
            </w:pPr>
            <w:r>
              <w:rPr>
                <w:rFonts w:ascii="Arial" w:cs="Arial" w:eastAsia="Arial" w:hAnsi="Arial"/>
                <w:sz w:val="16"/>
                <w:szCs w:val="16"/>
                <w:color w:val="auto"/>
              </w:rPr>
              <w:t> Depreciation</w:t>
            </w:r>
          </w:p>
        </w:tc>
        <w:tc>
          <w:tcPr>
            <w:tcW w:w="2260" w:type="dxa"/>
            <w:vAlign w:val="bottom"/>
            <w:tcBorders>
              <w:bottom w:val="single" w:sz="8" w:color="B2B2B2"/>
            </w:tcBorders>
          </w:tcPr>
          <w:p>
            <w:pPr>
              <w:jc w:val="right"/>
              <w:ind w:right="501"/>
              <w:spacing w:after="0"/>
              <w:rPr>
                <w:sz w:val="20"/>
                <w:szCs w:val="20"/>
                <w:color w:val="auto"/>
              </w:rPr>
            </w:pPr>
            <w:r>
              <w:rPr>
                <w:rFonts w:ascii="Arial" w:cs="Arial" w:eastAsia="Arial" w:hAnsi="Arial"/>
                <w:sz w:val="16"/>
                <w:szCs w:val="16"/>
                <w:b w:val="1"/>
                <w:bCs w:val="1"/>
                <w:color w:val="auto"/>
              </w:rPr>
              <w:t>26</w:t>
            </w:r>
          </w:p>
        </w:tc>
        <w:tc>
          <w:tcPr>
            <w:tcW w:w="1600" w:type="dxa"/>
            <w:vAlign w:val="bottom"/>
            <w:tcBorders>
              <w:bottom w:val="single" w:sz="8" w:color="B2B2B2"/>
            </w:tcBorders>
          </w:tcPr>
          <w:p>
            <w:pPr>
              <w:jc w:val="right"/>
              <w:ind w:right="261"/>
              <w:spacing w:after="0"/>
              <w:rPr>
                <w:sz w:val="20"/>
                <w:szCs w:val="20"/>
                <w:color w:val="auto"/>
              </w:rPr>
            </w:pPr>
            <w:r>
              <w:rPr>
                <w:rFonts w:ascii="Arial" w:cs="Arial" w:eastAsia="Arial" w:hAnsi="Arial"/>
                <w:sz w:val="16"/>
                <w:szCs w:val="16"/>
                <w:color w:val="auto"/>
              </w:rPr>
              <w:t>29</w:t>
            </w:r>
          </w:p>
        </w:tc>
        <w:tc>
          <w:tcPr>
            <w:tcW w:w="1420" w:type="dxa"/>
            <w:vAlign w:val="bottom"/>
            <w:tcBorders>
              <w:bottom w:val="single" w:sz="8" w:color="B2B2B2"/>
            </w:tcBorders>
          </w:tcPr>
          <w:p>
            <w:pPr>
              <w:jc w:val="right"/>
              <w:ind w:right="261"/>
              <w:spacing w:after="0"/>
              <w:rPr>
                <w:sz w:val="20"/>
                <w:szCs w:val="20"/>
                <w:color w:val="auto"/>
              </w:rPr>
            </w:pPr>
            <w:r>
              <w:rPr>
                <w:rFonts w:ascii="Arial" w:cs="Arial" w:eastAsia="Arial" w:hAnsi="Arial"/>
                <w:sz w:val="16"/>
                <w:szCs w:val="16"/>
                <w:b w:val="1"/>
                <w:bCs w:val="1"/>
                <w:color w:val="auto"/>
              </w:rPr>
              <w:t>113</w:t>
            </w:r>
          </w:p>
        </w:tc>
        <w:tc>
          <w:tcPr>
            <w:tcW w:w="114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116</w:t>
            </w:r>
          </w:p>
        </w:tc>
      </w:tr>
      <w:tr>
        <w:trPr>
          <w:trHeight w:val="165"/>
        </w:trPr>
        <w:tc>
          <w:tcPr>
            <w:tcW w:w="3300" w:type="dxa"/>
            <w:vAlign w:val="bottom"/>
          </w:tcPr>
          <w:p>
            <w:pPr>
              <w:spacing w:after="0" w:line="165" w:lineRule="exact"/>
              <w:rPr>
                <w:sz w:val="20"/>
                <w:szCs w:val="20"/>
                <w:color w:val="auto"/>
              </w:rPr>
            </w:pPr>
            <w:r>
              <w:rPr>
                <w:rFonts w:ascii="Arial" w:cs="Arial" w:eastAsia="Arial" w:hAnsi="Arial"/>
                <w:sz w:val="16"/>
                <w:szCs w:val="16"/>
                <w:b w:val="1"/>
                <w:bCs w:val="1"/>
                <w:color w:val="auto"/>
              </w:rPr>
              <w:t> EBITDA</w:t>
            </w:r>
          </w:p>
        </w:tc>
        <w:tc>
          <w:tcPr>
            <w:tcW w:w="2260" w:type="dxa"/>
            <w:vAlign w:val="bottom"/>
          </w:tcPr>
          <w:p>
            <w:pPr>
              <w:jc w:val="right"/>
              <w:ind w:right="501"/>
              <w:spacing w:after="0" w:line="165" w:lineRule="exact"/>
              <w:rPr>
                <w:sz w:val="20"/>
                <w:szCs w:val="20"/>
                <w:color w:val="auto"/>
              </w:rPr>
            </w:pPr>
            <w:r>
              <w:rPr>
                <w:rFonts w:ascii="Arial" w:cs="Arial" w:eastAsia="Arial" w:hAnsi="Arial"/>
                <w:sz w:val="16"/>
                <w:szCs w:val="16"/>
                <w:b w:val="1"/>
                <w:bCs w:val="1"/>
                <w:color w:val="auto"/>
              </w:rPr>
              <w:t>925</w:t>
            </w:r>
          </w:p>
        </w:tc>
        <w:tc>
          <w:tcPr>
            <w:tcW w:w="1600" w:type="dxa"/>
            <w:vAlign w:val="bottom"/>
          </w:tcPr>
          <w:p>
            <w:pPr>
              <w:jc w:val="right"/>
              <w:ind w:right="261"/>
              <w:spacing w:after="0" w:line="165" w:lineRule="exact"/>
              <w:rPr>
                <w:sz w:val="20"/>
                <w:szCs w:val="20"/>
                <w:color w:val="auto"/>
              </w:rPr>
            </w:pPr>
            <w:r>
              <w:rPr>
                <w:rFonts w:ascii="Arial" w:cs="Arial" w:eastAsia="Arial" w:hAnsi="Arial"/>
                <w:sz w:val="16"/>
                <w:szCs w:val="16"/>
                <w:color w:val="auto"/>
              </w:rPr>
              <w:t>1,007</w:t>
            </w:r>
          </w:p>
        </w:tc>
        <w:tc>
          <w:tcPr>
            <w:tcW w:w="1420" w:type="dxa"/>
            <w:vAlign w:val="bottom"/>
          </w:tcPr>
          <w:p>
            <w:pPr>
              <w:jc w:val="right"/>
              <w:ind w:right="261"/>
              <w:spacing w:after="0" w:line="165" w:lineRule="exact"/>
              <w:rPr>
                <w:sz w:val="20"/>
                <w:szCs w:val="20"/>
                <w:color w:val="auto"/>
              </w:rPr>
            </w:pPr>
            <w:r>
              <w:rPr>
                <w:rFonts w:ascii="Arial" w:cs="Arial" w:eastAsia="Arial" w:hAnsi="Arial"/>
                <w:sz w:val="16"/>
                <w:szCs w:val="16"/>
                <w:b w:val="1"/>
                <w:bCs w:val="1"/>
                <w:color w:val="auto"/>
              </w:rPr>
              <w:t>2,971</w:t>
            </w:r>
          </w:p>
        </w:tc>
        <w:tc>
          <w:tcPr>
            <w:tcW w:w="1140" w:type="dxa"/>
            <w:vAlign w:val="bottom"/>
          </w:tcPr>
          <w:p>
            <w:pPr>
              <w:jc w:val="right"/>
              <w:ind w:right="41"/>
              <w:spacing w:after="0" w:line="165" w:lineRule="exact"/>
              <w:rPr>
                <w:sz w:val="20"/>
                <w:szCs w:val="20"/>
                <w:color w:val="auto"/>
              </w:rPr>
            </w:pPr>
            <w:r>
              <w:rPr>
                <w:rFonts w:ascii="Arial" w:cs="Arial" w:eastAsia="Arial" w:hAnsi="Arial"/>
                <w:sz w:val="16"/>
                <w:szCs w:val="16"/>
                <w:color w:val="auto"/>
              </w:rPr>
              <w:t>4,132</w:t>
            </w:r>
          </w:p>
        </w:tc>
      </w:tr>
      <w:tr>
        <w:trPr>
          <w:trHeight w:val="185"/>
        </w:trPr>
        <w:tc>
          <w:tcPr>
            <w:tcW w:w="3300" w:type="dxa"/>
            <w:vAlign w:val="bottom"/>
          </w:tcPr>
          <w:p>
            <w:pPr>
              <w:spacing w:after="0"/>
              <w:rPr>
                <w:sz w:val="20"/>
                <w:szCs w:val="20"/>
                <w:color w:val="auto"/>
              </w:rPr>
            </w:pPr>
            <w:r>
              <w:rPr>
                <w:rFonts w:ascii="Arial" w:cs="Arial" w:eastAsia="Arial" w:hAnsi="Arial"/>
                <w:sz w:val="16"/>
                <w:szCs w:val="16"/>
                <w:b w:val="1"/>
                <w:bCs w:val="1"/>
                <w:color w:val="auto"/>
              </w:rPr>
              <w:t> Adjustments to remove:</w:t>
            </w:r>
          </w:p>
        </w:tc>
        <w:tc>
          <w:tcPr>
            <w:tcW w:w="2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6"/>
        </w:trPr>
        <w:tc>
          <w:tcPr>
            <w:tcW w:w="3300" w:type="dxa"/>
            <w:vAlign w:val="bottom"/>
          </w:tcPr>
          <w:p>
            <w:pPr>
              <w:ind w:left="180"/>
              <w:spacing w:after="0"/>
              <w:rPr>
                <w:sz w:val="20"/>
                <w:szCs w:val="20"/>
                <w:color w:val="auto"/>
              </w:rPr>
            </w:pPr>
            <w:r>
              <w:rPr>
                <w:rFonts w:ascii="Arial" w:cs="Arial" w:eastAsia="Arial" w:hAnsi="Arial"/>
                <w:sz w:val="16"/>
                <w:szCs w:val="16"/>
                <w:color w:val="auto"/>
              </w:rPr>
              <w:t> Share of post-tax losses (earnings) in</w:t>
            </w:r>
          </w:p>
        </w:tc>
        <w:tc>
          <w:tcPr>
            <w:tcW w:w="2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6"/>
        </w:trPr>
        <w:tc>
          <w:tcPr>
            <w:tcW w:w="3300" w:type="dxa"/>
            <w:vAlign w:val="bottom"/>
          </w:tcPr>
          <w:p>
            <w:pPr>
              <w:ind w:left="360"/>
              <w:spacing w:after="0"/>
              <w:rPr>
                <w:sz w:val="20"/>
                <w:szCs w:val="20"/>
                <w:color w:val="auto"/>
              </w:rPr>
            </w:pPr>
            <w:r>
              <w:rPr>
                <w:rFonts w:ascii="Arial" w:cs="Arial" w:eastAsia="Arial" w:hAnsi="Arial"/>
                <w:sz w:val="16"/>
                <w:szCs w:val="16"/>
                <w:color w:val="auto"/>
              </w:rPr>
              <w:t>equity method investments</w:t>
            </w:r>
          </w:p>
        </w:tc>
        <w:tc>
          <w:tcPr>
            <w:tcW w:w="2260" w:type="dxa"/>
            <w:vAlign w:val="bottom"/>
          </w:tcPr>
          <w:p>
            <w:pPr>
              <w:jc w:val="right"/>
              <w:ind w:right="501"/>
              <w:spacing w:after="0"/>
              <w:rPr>
                <w:sz w:val="20"/>
                <w:szCs w:val="20"/>
                <w:color w:val="auto"/>
              </w:rPr>
            </w:pPr>
            <w:r>
              <w:rPr>
                <w:rFonts w:ascii="Arial" w:cs="Arial" w:eastAsia="Arial" w:hAnsi="Arial"/>
                <w:sz w:val="16"/>
                <w:szCs w:val="16"/>
                <w:b w:val="1"/>
                <w:bCs w:val="1"/>
                <w:color w:val="auto"/>
              </w:rPr>
              <w:t>5</w:t>
            </w:r>
          </w:p>
        </w:tc>
        <w:tc>
          <w:tcPr>
            <w:tcW w:w="1600" w:type="dxa"/>
            <w:vAlign w:val="bottom"/>
          </w:tcPr>
          <w:p>
            <w:pPr>
              <w:jc w:val="right"/>
              <w:ind w:right="261"/>
              <w:spacing w:after="0"/>
              <w:rPr>
                <w:sz w:val="20"/>
                <w:szCs w:val="20"/>
                <w:color w:val="auto"/>
              </w:rPr>
            </w:pPr>
            <w:r>
              <w:rPr>
                <w:rFonts w:ascii="Arial" w:cs="Arial" w:eastAsia="Arial" w:hAnsi="Arial"/>
                <w:sz w:val="16"/>
                <w:szCs w:val="16"/>
                <w:color w:val="auto"/>
              </w:rPr>
              <w:t>(260)</w:t>
            </w:r>
          </w:p>
        </w:tc>
        <w:tc>
          <w:tcPr>
            <w:tcW w:w="1420" w:type="dxa"/>
            <w:vAlign w:val="bottom"/>
          </w:tcPr>
          <w:p>
            <w:pPr>
              <w:jc w:val="right"/>
              <w:ind w:right="261"/>
              <w:spacing w:after="0"/>
              <w:rPr>
                <w:sz w:val="20"/>
                <w:szCs w:val="20"/>
                <w:color w:val="auto"/>
              </w:rPr>
            </w:pPr>
            <w:r>
              <w:rPr>
                <w:rFonts w:ascii="Arial" w:cs="Arial" w:eastAsia="Arial" w:hAnsi="Arial"/>
                <w:sz w:val="16"/>
                <w:szCs w:val="16"/>
                <w:b w:val="1"/>
                <w:bCs w:val="1"/>
                <w:color w:val="auto"/>
              </w:rPr>
              <w:t>(40)</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(1,075)</w:t>
            </w:r>
          </w:p>
        </w:tc>
      </w:tr>
      <w:tr>
        <w:trPr>
          <w:trHeight w:val="185"/>
        </w:trPr>
        <w:tc>
          <w:tcPr>
            <w:tcW w:w="3300" w:type="dxa"/>
            <w:vAlign w:val="bottom"/>
          </w:tcPr>
          <w:p>
            <w:pPr>
              <w:ind w:left="160"/>
              <w:spacing w:after="0"/>
              <w:rPr>
                <w:sz w:val="20"/>
                <w:szCs w:val="20"/>
                <w:color w:val="auto"/>
              </w:rPr>
            </w:pPr>
            <w:r>
              <w:rPr>
                <w:rFonts w:ascii="Arial" w:cs="Arial" w:eastAsia="Arial" w:hAnsi="Arial"/>
                <w:sz w:val="16"/>
                <w:szCs w:val="16"/>
                <w:color w:val="auto"/>
              </w:rPr>
              <w:t> Other operating gains, net</w:t>
            </w:r>
          </w:p>
        </w:tc>
        <w:tc>
          <w:tcPr>
            <w:tcW w:w="2260" w:type="dxa"/>
            <w:vAlign w:val="bottom"/>
          </w:tcPr>
          <w:p>
            <w:pPr>
              <w:jc w:val="right"/>
              <w:ind w:right="501"/>
              <w:spacing w:after="0"/>
              <w:rPr>
                <w:sz w:val="20"/>
                <w:szCs w:val="20"/>
                <w:color w:val="auto"/>
              </w:rPr>
            </w:pPr>
            <w:r>
              <w:rPr>
                <w:rFonts w:ascii="Arial" w:cs="Arial" w:eastAsia="Arial" w:hAnsi="Arial"/>
                <w:sz w:val="16"/>
                <w:szCs w:val="16"/>
                <w:b w:val="1"/>
                <w:bCs w:val="1"/>
                <w:color w:val="auto"/>
              </w:rPr>
              <w:t>(204)</w:t>
            </w:r>
          </w:p>
        </w:tc>
        <w:tc>
          <w:tcPr>
            <w:tcW w:w="1600" w:type="dxa"/>
            <w:vAlign w:val="bottom"/>
          </w:tcPr>
          <w:p>
            <w:pPr>
              <w:jc w:val="right"/>
              <w:ind w:right="261"/>
              <w:spacing w:after="0"/>
              <w:rPr>
                <w:sz w:val="20"/>
                <w:szCs w:val="20"/>
                <w:color w:val="auto"/>
              </w:rPr>
            </w:pPr>
            <w:r>
              <w:rPr>
                <w:rFonts w:ascii="Arial" w:cs="Arial" w:eastAsia="Arial" w:hAnsi="Arial"/>
                <w:sz w:val="16"/>
                <w:szCs w:val="16"/>
                <w:color w:val="auto"/>
              </w:rPr>
              <w:t>(44)</w:t>
            </w:r>
          </w:p>
        </w:tc>
        <w:tc>
          <w:tcPr>
            <w:tcW w:w="1420" w:type="dxa"/>
            <w:vAlign w:val="bottom"/>
          </w:tcPr>
          <w:p>
            <w:pPr>
              <w:jc w:val="right"/>
              <w:ind w:right="261"/>
              <w:spacing w:after="0"/>
              <w:rPr>
                <w:sz w:val="20"/>
                <w:szCs w:val="20"/>
                <w:color w:val="auto"/>
              </w:rPr>
            </w:pPr>
            <w:r>
              <w:rPr>
                <w:rFonts w:ascii="Arial" w:cs="Arial" w:eastAsia="Arial" w:hAnsi="Arial"/>
                <w:sz w:val="16"/>
                <w:szCs w:val="16"/>
                <w:b w:val="1"/>
                <w:bCs w:val="1"/>
                <w:color w:val="auto"/>
              </w:rPr>
              <w:t>(144)</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(397)</w:t>
            </w:r>
          </w:p>
        </w:tc>
      </w:tr>
      <w:tr>
        <w:trPr>
          <w:trHeight w:val="200"/>
        </w:trPr>
        <w:tc>
          <w:tcPr>
            <w:tcW w:w="3300" w:type="dxa"/>
            <w:vAlign w:val="bottom"/>
            <w:tcBorders>
              <w:bottom w:val="single" w:sz="8" w:color="B2B2B2"/>
            </w:tcBorders>
          </w:tcPr>
          <w:p>
            <w:pPr>
              <w:ind w:left="160"/>
              <w:spacing w:after="0" w:line="200" w:lineRule="exact"/>
              <w:rPr>
                <w:sz w:val="20"/>
                <w:szCs w:val="20"/>
                <w:color w:val="auto"/>
              </w:rPr>
            </w:pPr>
            <w:r>
              <w:rPr>
                <w:rFonts w:ascii="Arial" w:cs="Arial" w:eastAsia="Arial" w:hAnsi="Arial"/>
                <w:sz w:val="16"/>
                <w:szCs w:val="16"/>
                <w:color w:val="auto"/>
              </w:rPr>
              <w:t> Fair value adjustments</w:t>
            </w:r>
            <w:r>
              <w:rPr>
                <w:rFonts w:ascii="Arial" w:cs="Arial" w:eastAsia="Arial" w:hAnsi="Arial"/>
                <w:sz w:val="19"/>
                <w:szCs w:val="19"/>
                <w:color w:val="auto"/>
                <w:vertAlign w:val="superscript"/>
              </w:rPr>
              <w:t>(1)</w:t>
            </w:r>
          </w:p>
        </w:tc>
        <w:tc>
          <w:tcPr>
            <w:tcW w:w="2260" w:type="dxa"/>
            <w:vAlign w:val="bottom"/>
            <w:tcBorders>
              <w:bottom w:val="single" w:sz="8" w:color="B2B2B2"/>
            </w:tcBorders>
          </w:tcPr>
          <w:p>
            <w:pPr>
              <w:jc w:val="right"/>
              <w:ind w:right="501"/>
              <w:spacing w:after="0"/>
              <w:rPr>
                <w:sz w:val="20"/>
                <w:szCs w:val="20"/>
                <w:color w:val="auto"/>
              </w:rPr>
            </w:pPr>
            <w:r>
              <w:rPr>
                <w:rFonts w:ascii="Arial" w:cs="Arial" w:eastAsia="Arial" w:hAnsi="Arial"/>
                <w:sz w:val="16"/>
                <w:szCs w:val="16"/>
                <w:b w:val="1"/>
                <w:bCs w:val="1"/>
                <w:color w:val="auto"/>
              </w:rPr>
              <w:t>(8)</w:t>
            </w:r>
          </w:p>
        </w:tc>
        <w:tc>
          <w:tcPr>
            <w:tcW w:w="1600" w:type="dxa"/>
            <w:vAlign w:val="bottom"/>
            <w:tcBorders>
              <w:bottom w:val="single" w:sz="8" w:color="B2B2B2"/>
            </w:tcBorders>
          </w:tcPr>
          <w:p>
            <w:pPr>
              <w:jc w:val="right"/>
              <w:ind w:right="261"/>
              <w:spacing w:after="0"/>
              <w:rPr>
                <w:sz w:val="20"/>
                <w:szCs w:val="20"/>
                <w:color w:val="auto"/>
              </w:rPr>
            </w:pPr>
            <w:r>
              <w:rPr>
                <w:rFonts w:ascii="Arial" w:cs="Arial" w:eastAsia="Arial" w:hAnsi="Arial"/>
                <w:sz w:val="16"/>
                <w:szCs w:val="16"/>
                <w:color w:val="auto"/>
              </w:rPr>
              <w:t>4</w:t>
            </w:r>
          </w:p>
        </w:tc>
        <w:tc>
          <w:tcPr>
            <w:tcW w:w="1420" w:type="dxa"/>
            <w:vAlign w:val="bottom"/>
            <w:tcBorders>
              <w:bottom w:val="single" w:sz="8" w:color="B2B2B2"/>
            </w:tcBorders>
          </w:tcPr>
          <w:p>
            <w:pPr>
              <w:jc w:val="right"/>
              <w:ind w:right="261"/>
              <w:spacing w:after="0"/>
              <w:rPr>
                <w:sz w:val="20"/>
                <w:szCs w:val="20"/>
                <w:color w:val="auto"/>
              </w:rPr>
            </w:pPr>
            <w:r>
              <w:rPr>
                <w:rFonts w:ascii="Arial" w:cs="Arial" w:eastAsia="Arial" w:hAnsi="Arial"/>
                <w:sz w:val="16"/>
                <w:szCs w:val="16"/>
                <w:b w:val="1"/>
                <w:bCs w:val="1"/>
                <w:color w:val="auto"/>
              </w:rPr>
              <w:t>(8)</w:t>
            </w:r>
          </w:p>
        </w:tc>
        <w:tc>
          <w:tcPr>
            <w:tcW w:w="114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18</w:t>
            </w:r>
          </w:p>
        </w:tc>
      </w:tr>
      <w:tr>
        <w:trPr>
          <w:trHeight w:val="165"/>
        </w:trPr>
        <w:tc>
          <w:tcPr>
            <w:tcW w:w="3300" w:type="dxa"/>
            <w:vAlign w:val="bottom"/>
          </w:tcPr>
          <w:p>
            <w:pPr>
              <w:spacing w:after="0" w:line="165" w:lineRule="exact"/>
              <w:rPr>
                <w:sz w:val="20"/>
                <w:szCs w:val="20"/>
                <w:color w:val="auto"/>
              </w:rPr>
            </w:pPr>
            <w:r>
              <w:rPr>
                <w:rFonts w:ascii="Arial" w:cs="Arial" w:eastAsia="Arial" w:hAnsi="Arial"/>
                <w:sz w:val="16"/>
                <w:szCs w:val="16"/>
                <w:b w:val="1"/>
                <w:bCs w:val="1"/>
                <w:color w:val="auto"/>
              </w:rPr>
              <w:t> Adjusted EBITDA</w:t>
            </w:r>
          </w:p>
        </w:tc>
        <w:tc>
          <w:tcPr>
            <w:tcW w:w="2260" w:type="dxa"/>
            <w:vAlign w:val="bottom"/>
          </w:tcPr>
          <w:p>
            <w:pPr>
              <w:jc w:val="right"/>
              <w:ind w:right="501"/>
              <w:spacing w:after="0" w:line="165" w:lineRule="exact"/>
              <w:rPr>
                <w:sz w:val="20"/>
                <w:szCs w:val="20"/>
                <w:color w:val="auto"/>
              </w:rPr>
            </w:pPr>
            <w:r>
              <w:rPr>
                <w:rFonts w:ascii="Arial" w:cs="Arial" w:eastAsia="Arial" w:hAnsi="Arial"/>
                <w:sz w:val="16"/>
                <w:szCs w:val="16"/>
                <w:b w:val="1"/>
                <w:bCs w:val="1"/>
                <w:color w:val="auto"/>
              </w:rPr>
              <w:t>718</w:t>
            </w:r>
          </w:p>
        </w:tc>
        <w:tc>
          <w:tcPr>
            <w:tcW w:w="1600" w:type="dxa"/>
            <w:vAlign w:val="bottom"/>
          </w:tcPr>
          <w:p>
            <w:pPr>
              <w:jc w:val="right"/>
              <w:ind w:right="261"/>
              <w:spacing w:after="0" w:line="165" w:lineRule="exact"/>
              <w:rPr>
                <w:sz w:val="20"/>
                <w:szCs w:val="20"/>
                <w:color w:val="auto"/>
              </w:rPr>
            </w:pPr>
            <w:r>
              <w:rPr>
                <w:rFonts w:ascii="Arial" w:cs="Arial" w:eastAsia="Arial" w:hAnsi="Arial"/>
                <w:sz w:val="16"/>
                <w:szCs w:val="16"/>
                <w:color w:val="auto"/>
              </w:rPr>
              <w:t>707</w:t>
            </w:r>
          </w:p>
        </w:tc>
        <w:tc>
          <w:tcPr>
            <w:tcW w:w="1420" w:type="dxa"/>
            <w:vAlign w:val="bottom"/>
          </w:tcPr>
          <w:p>
            <w:pPr>
              <w:jc w:val="right"/>
              <w:ind w:right="261"/>
              <w:spacing w:after="0" w:line="165" w:lineRule="exact"/>
              <w:rPr>
                <w:sz w:val="20"/>
                <w:szCs w:val="20"/>
                <w:color w:val="auto"/>
              </w:rPr>
            </w:pPr>
            <w:r>
              <w:rPr>
                <w:rFonts w:ascii="Arial" w:cs="Arial" w:eastAsia="Arial" w:hAnsi="Arial"/>
                <w:sz w:val="16"/>
                <w:szCs w:val="16"/>
                <w:b w:val="1"/>
                <w:bCs w:val="1"/>
                <w:color w:val="auto"/>
              </w:rPr>
              <w:t>2,779</w:t>
            </w:r>
          </w:p>
        </w:tc>
        <w:tc>
          <w:tcPr>
            <w:tcW w:w="1140" w:type="dxa"/>
            <w:vAlign w:val="bottom"/>
          </w:tcPr>
          <w:p>
            <w:pPr>
              <w:jc w:val="right"/>
              <w:ind w:right="41"/>
              <w:spacing w:after="0" w:line="165" w:lineRule="exact"/>
              <w:rPr>
                <w:sz w:val="20"/>
                <w:szCs w:val="20"/>
                <w:color w:val="auto"/>
              </w:rPr>
            </w:pPr>
            <w:r>
              <w:rPr>
                <w:rFonts w:ascii="Arial" w:cs="Arial" w:eastAsia="Arial" w:hAnsi="Arial"/>
                <w:sz w:val="16"/>
                <w:szCs w:val="16"/>
                <w:color w:val="auto"/>
              </w:rPr>
              <w:t>2,678</w:t>
            </w:r>
          </w:p>
        </w:tc>
      </w:tr>
      <w:tr>
        <w:trPr>
          <w:trHeight w:val="200"/>
        </w:trPr>
        <w:tc>
          <w:tcPr>
            <w:tcW w:w="3300" w:type="dxa"/>
            <w:vAlign w:val="bottom"/>
            <w:tcBorders>
              <w:bottom w:val="single" w:sz="8" w:color="B2B2B2"/>
            </w:tcBorders>
          </w:tcPr>
          <w:p>
            <w:pPr>
              <w:ind w:left="160"/>
              <w:spacing w:after="0"/>
              <w:rPr>
                <w:sz w:val="20"/>
                <w:szCs w:val="20"/>
                <w:color w:val="auto"/>
              </w:rPr>
            </w:pPr>
            <w:r>
              <w:rPr>
                <w:rFonts w:ascii="Arial" w:cs="Arial" w:eastAsia="Arial" w:hAnsi="Arial"/>
                <w:sz w:val="16"/>
                <w:szCs w:val="16"/>
                <w:color w:val="auto"/>
              </w:rPr>
              <w:t> Deduct: Accrued capital expenditures</w:t>
            </w:r>
          </w:p>
        </w:tc>
        <w:tc>
          <w:tcPr>
            <w:tcW w:w="2260" w:type="dxa"/>
            <w:vAlign w:val="bottom"/>
            <w:tcBorders>
              <w:bottom w:val="single" w:sz="8" w:color="B2B2B2"/>
            </w:tcBorders>
          </w:tcPr>
          <w:p>
            <w:pPr>
              <w:jc w:val="right"/>
              <w:ind w:right="501"/>
              <w:spacing w:after="0"/>
              <w:rPr>
                <w:sz w:val="20"/>
                <w:szCs w:val="20"/>
                <w:color w:val="auto"/>
              </w:rPr>
            </w:pPr>
            <w:r>
              <w:rPr>
                <w:rFonts w:ascii="Arial" w:cs="Arial" w:eastAsia="Arial" w:hAnsi="Arial"/>
                <w:sz w:val="16"/>
                <w:szCs w:val="16"/>
                <w:b w:val="1"/>
                <w:bCs w:val="1"/>
                <w:color w:val="auto"/>
              </w:rPr>
              <w:t>(172)</w:t>
            </w:r>
          </w:p>
        </w:tc>
        <w:tc>
          <w:tcPr>
            <w:tcW w:w="1600" w:type="dxa"/>
            <w:vAlign w:val="bottom"/>
            <w:tcBorders>
              <w:bottom w:val="single" w:sz="8" w:color="B2B2B2"/>
            </w:tcBorders>
          </w:tcPr>
          <w:p>
            <w:pPr>
              <w:jc w:val="right"/>
              <w:ind w:right="261"/>
              <w:spacing w:after="0"/>
              <w:rPr>
                <w:sz w:val="20"/>
                <w:szCs w:val="20"/>
                <w:color w:val="auto"/>
              </w:rPr>
            </w:pPr>
            <w:r>
              <w:rPr>
                <w:rFonts w:ascii="Arial" w:cs="Arial" w:eastAsia="Arial" w:hAnsi="Arial"/>
                <w:sz w:val="16"/>
                <w:szCs w:val="16"/>
                <w:color w:val="auto"/>
              </w:rPr>
              <w:t>(153)</w:t>
            </w:r>
          </w:p>
        </w:tc>
        <w:tc>
          <w:tcPr>
            <w:tcW w:w="1420" w:type="dxa"/>
            <w:vAlign w:val="bottom"/>
            <w:tcBorders>
              <w:bottom w:val="single" w:sz="8" w:color="B2B2B2"/>
            </w:tcBorders>
          </w:tcPr>
          <w:p>
            <w:pPr>
              <w:jc w:val="right"/>
              <w:ind w:right="261"/>
              <w:spacing w:after="0"/>
              <w:rPr>
                <w:sz w:val="20"/>
                <w:szCs w:val="20"/>
                <w:color w:val="auto"/>
              </w:rPr>
            </w:pPr>
            <w:r>
              <w:rPr>
                <w:rFonts w:ascii="Arial" w:cs="Arial" w:eastAsia="Arial" w:hAnsi="Arial"/>
                <w:sz w:val="16"/>
                <w:szCs w:val="16"/>
                <w:b w:val="1"/>
                <w:bCs w:val="1"/>
                <w:color w:val="auto"/>
              </w:rPr>
              <w:t>(609)</w:t>
            </w:r>
          </w:p>
        </w:tc>
        <w:tc>
          <w:tcPr>
            <w:tcW w:w="114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(532)</w:t>
            </w:r>
          </w:p>
        </w:tc>
      </w:tr>
      <w:tr>
        <w:trPr>
          <w:trHeight w:val="165"/>
        </w:trPr>
        <w:tc>
          <w:tcPr>
            <w:tcW w:w="3300" w:type="dxa"/>
            <w:vAlign w:val="bottom"/>
          </w:tcPr>
          <w:p>
            <w:pPr>
              <w:spacing w:after="0" w:line="165" w:lineRule="exact"/>
              <w:rPr>
                <w:sz w:val="20"/>
                <w:szCs w:val="20"/>
                <w:color w:val="auto"/>
              </w:rPr>
            </w:pPr>
            <w:r>
              <w:rPr>
                <w:rFonts w:ascii="Arial" w:cs="Arial" w:eastAsia="Arial" w:hAnsi="Arial"/>
                <w:sz w:val="16"/>
                <w:szCs w:val="16"/>
                <w:b w:val="1"/>
                <w:bCs w:val="1"/>
                <w:color w:val="auto"/>
              </w:rPr>
              <w:t> Adjusted EBITDA less accrued capital</w:t>
            </w:r>
          </w:p>
        </w:tc>
        <w:tc>
          <w:tcPr>
            <w:tcW w:w="2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5"/>
        </w:trPr>
        <w:tc>
          <w:tcPr>
            <w:tcW w:w="3300" w:type="dxa"/>
            <w:vAlign w:val="bottom"/>
          </w:tcPr>
          <w:p>
            <w:pPr>
              <w:ind w:left="160"/>
              <w:spacing w:after="0"/>
              <w:rPr>
                <w:sz w:val="20"/>
                <w:szCs w:val="20"/>
                <w:color w:val="auto"/>
              </w:rPr>
            </w:pPr>
            <w:r>
              <w:rPr>
                <w:rFonts w:ascii="Arial" w:cs="Arial" w:eastAsia="Arial" w:hAnsi="Arial"/>
                <w:sz w:val="16"/>
                <w:szCs w:val="16"/>
                <w:b w:val="1"/>
                <w:bCs w:val="1"/>
                <w:color w:val="auto"/>
              </w:rPr>
              <w:t>expenditures</w:t>
            </w:r>
          </w:p>
        </w:tc>
        <w:tc>
          <w:tcPr>
            <w:tcW w:w="2260" w:type="dxa"/>
            <w:vAlign w:val="bottom"/>
          </w:tcPr>
          <w:p>
            <w:pPr>
              <w:jc w:val="right"/>
              <w:ind w:right="501"/>
              <w:spacing w:after="0"/>
              <w:rPr>
                <w:sz w:val="20"/>
                <w:szCs w:val="20"/>
                <w:color w:val="auto"/>
              </w:rPr>
            </w:pPr>
            <w:r>
              <w:rPr>
                <w:rFonts w:ascii="Arial" w:cs="Arial" w:eastAsia="Arial" w:hAnsi="Arial"/>
                <w:sz w:val="16"/>
                <w:szCs w:val="16"/>
                <w:b w:val="1"/>
                <w:bCs w:val="1"/>
                <w:color w:val="auto"/>
              </w:rPr>
              <w:t>546</w:t>
            </w:r>
          </w:p>
        </w:tc>
        <w:tc>
          <w:tcPr>
            <w:tcW w:w="1600" w:type="dxa"/>
            <w:vAlign w:val="bottom"/>
          </w:tcPr>
          <w:p>
            <w:pPr>
              <w:jc w:val="right"/>
              <w:ind w:right="261"/>
              <w:spacing w:after="0"/>
              <w:rPr>
                <w:sz w:val="20"/>
                <w:szCs w:val="20"/>
                <w:color w:val="auto"/>
              </w:rPr>
            </w:pPr>
            <w:r>
              <w:rPr>
                <w:rFonts w:ascii="Arial" w:cs="Arial" w:eastAsia="Arial" w:hAnsi="Arial"/>
                <w:sz w:val="16"/>
                <w:szCs w:val="16"/>
                <w:color w:val="auto"/>
              </w:rPr>
              <w:t>554</w:t>
            </w:r>
          </w:p>
        </w:tc>
        <w:tc>
          <w:tcPr>
            <w:tcW w:w="1420" w:type="dxa"/>
            <w:vAlign w:val="bottom"/>
          </w:tcPr>
          <w:p>
            <w:pPr>
              <w:jc w:val="right"/>
              <w:ind w:right="261"/>
              <w:spacing w:after="0"/>
              <w:rPr>
                <w:sz w:val="20"/>
                <w:szCs w:val="20"/>
                <w:color w:val="auto"/>
              </w:rPr>
            </w:pPr>
            <w:r>
              <w:rPr>
                <w:rFonts w:ascii="Arial" w:cs="Arial" w:eastAsia="Arial" w:hAnsi="Arial"/>
                <w:sz w:val="16"/>
                <w:szCs w:val="16"/>
                <w:b w:val="1"/>
                <w:bCs w:val="1"/>
                <w:color w:val="auto"/>
              </w:rPr>
              <w:t>2,170</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2,146</w:t>
            </w:r>
          </w:p>
        </w:tc>
      </w:tr>
      <w:tr>
        <w:trPr>
          <w:trHeight w:val="185"/>
        </w:trPr>
        <w:tc>
          <w:tcPr>
            <w:tcW w:w="3300" w:type="dxa"/>
            <w:vAlign w:val="bottom"/>
          </w:tcPr>
          <w:p>
            <w:pPr>
              <w:spacing w:after="0"/>
              <w:rPr>
                <w:sz w:val="20"/>
                <w:szCs w:val="20"/>
                <w:color w:val="auto"/>
              </w:rPr>
            </w:pPr>
            <w:r>
              <w:rPr>
                <w:rFonts w:ascii="Arial" w:cs="Arial" w:eastAsia="Arial" w:hAnsi="Arial"/>
                <w:sz w:val="16"/>
                <w:szCs w:val="16"/>
                <w:b w:val="1"/>
                <w:bCs w:val="1"/>
                <w:color w:val="auto"/>
              </w:rPr>
              <w:t> Adjusted EBITDA margin</w:t>
            </w:r>
          </w:p>
        </w:tc>
        <w:tc>
          <w:tcPr>
            <w:tcW w:w="2260" w:type="dxa"/>
            <w:vAlign w:val="bottom"/>
          </w:tcPr>
          <w:p>
            <w:pPr>
              <w:jc w:val="right"/>
              <w:ind w:right="501"/>
              <w:spacing w:after="0"/>
              <w:rPr>
                <w:sz w:val="20"/>
                <w:szCs w:val="20"/>
                <w:color w:val="auto"/>
              </w:rPr>
            </w:pPr>
            <w:r>
              <w:rPr>
                <w:rFonts w:ascii="Arial" w:cs="Arial" w:eastAsia="Arial" w:hAnsi="Arial"/>
                <w:sz w:val="16"/>
                <w:szCs w:val="16"/>
                <w:b w:val="1"/>
                <w:bCs w:val="1"/>
                <w:color w:val="auto"/>
              </w:rPr>
              <w:t>37.6%</w:t>
            </w:r>
          </w:p>
        </w:tc>
        <w:tc>
          <w:tcPr>
            <w:tcW w:w="1600" w:type="dxa"/>
            <w:vAlign w:val="bottom"/>
          </w:tcPr>
          <w:p>
            <w:pPr>
              <w:jc w:val="right"/>
              <w:ind w:right="261"/>
              <w:spacing w:after="0"/>
              <w:rPr>
                <w:sz w:val="20"/>
                <w:szCs w:val="20"/>
                <w:color w:val="auto"/>
              </w:rPr>
            </w:pPr>
            <w:r>
              <w:rPr>
                <w:rFonts w:ascii="Arial" w:cs="Arial" w:eastAsia="Arial" w:hAnsi="Arial"/>
                <w:sz w:val="16"/>
                <w:szCs w:val="16"/>
                <w:color w:val="auto"/>
              </w:rPr>
              <w:t>38.9%</w:t>
            </w:r>
          </w:p>
        </w:tc>
        <w:tc>
          <w:tcPr>
            <w:tcW w:w="1420" w:type="dxa"/>
            <w:vAlign w:val="bottom"/>
          </w:tcPr>
          <w:p>
            <w:pPr>
              <w:jc w:val="right"/>
              <w:ind w:right="261"/>
              <w:spacing w:after="0"/>
              <w:rPr>
                <w:sz w:val="20"/>
                <w:szCs w:val="20"/>
                <w:color w:val="auto"/>
              </w:rPr>
            </w:pPr>
            <w:r>
              <w:rPr>
                <w:rFonts w:ascii="Arial" w:cs="Arial" w:eastAsia="Arial" w:hAnsi="Arial"/>
                <w:sz w:val="16"/>
                <w:szCs w:val="16"/>
                <w:b w:val="1"/>
                <w:bCs w:val="1"/>
                <w:color w:val="auto"/>
              </w:rPr>
              <w:t>38.2%</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39.3%</w:t>
            </w:r>
          </w:p>
        </w:tc>
      </w:tr>
      <w:tr>
        <w:trPr>
          <w:trHeight w:val="185"/>
        </w:trPr>
        <w:tc>
          <w:tcPr>
            <w:tcW w:w="3300" w:type="dxa"/>
            <w:vAlign w:val="bottom"/>
          </w:tcPr>
          <w:p>
            <w:pPr>
              <w:spacing w:after="0"/>
              <w:rPr>
                <w:sz w:val="20"/>
                <w:szCs w:val="20"/>
                <w:color w:val="auto"/>
              </w:rPr>
            </w:pPr>
            <w:r>
              <w:rPr>
                <w:rFonts w:ascii="Arial" w:cs="Arial" w:eastAsia="Arial" w:hAnsi="Arial"/>
                <w:sz w:val="16"/>
                <w:szCs w:val="16"/>
                <w:b w:val="1"/>
                <w:bCs w:val="1"/>
                <w:color w:val="auto"/>
              </w:rPr>
              <w:t> Adjusted EBITDA less accrued capital</w:t>
            </w:r>
          </w:p>
        </w:tc>
        <w:tc>
          <w:tcPr>
            <w:tcW w:w="2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6"/>
        </w:trPr>
        <w:tc>
          <w:tcPr>
            <w:tcW w:w="3300" w:type="dxa"/>
            <w:vAlign w:val="bottom"/>
            <w:tcBorders>
              <w:bottom w:val="single" w:sz="8" w:color="D64000"/>
            </w:tcBorders>
          </w:tcPr>
          <w:p>
            <w:pPr>
              <w:ind w:left="160"/>
              <w:spacing w:after="0"/>
              <w:rPr>
                <w:sz w:val="20"/>
                <w:szCs w:val="20"/>
                <w:color w:val="auto"/>
              </w:rPr>
            </w:pPr>
            <w:r>
              <w:rPr>
                <w:rFonts w:ascii="Arial" w:cs="Arial" w:eastAsia="Arial" w:hAnsi="Arial"/>
                <w:sz w:val="16"/>
                <w:szCs w:val="16"/>
                <w:b w:val="1"/>
                <w:bCs w:val="1"/>
                <w:color w:val="auto"/>
              </w:rPr>
              <w:t>expenditures margin</w:t>
            </w:r>
          </w:p>
        </w:tc>
        <w:tc>
          <w:tcPr>
            <w:tcW w:w="2260" w:type="dxa"/>
            <w:vAlign w:val="bottom"/>
            <w:tcBorders>
              <w:bottom w:val="single" w:sz="8" w:color="D64000"/>
            </w:tcBorders>
          </w:tcPr>
          <w:p>
            <w:pPr>
              <w:jc w:val="right"/>
              <w:ind w:right="501"/>
              <w:spacing w:after="0"/>
              <w:rPr>
                <w:sz w:val="20"/>
                <w:szCs w:val="20"/>
                <w:color w:val="auto"/>
              </w:rPr>
            </w:pPr>
            <w:r>
              <w:rPr>
                <w:rFonts w:ascii="Arial" w:cs="Arial" w:eastAsia="Arial" w:hAnsi="Arial"/>
                <w:sz w:val="16"/>
                <w:szCs w:val="16"/>
                <w:b w:val="1"/>
                <w:bCs w:val="1"/>
                <w:color w:val="auto"/>
              </w:rPr>
              <w:t>28.6%</w:t>
            </w:r>
          </w:p>
        </w:tc>
        <w:tc>
          <w:tcPr>
            <w:tcW w:w="1600" w:type="dxa"/>
            <w:vAlign w:val="bottom"/>
            <w:tcBorders>
              <w:bottom w:val="single" w:sz="8" w:color="D64000"/>
            </w:tcBorders>
          </w:tcPr>
          <w:p>
            <w:pPr>
              <w:jc w:val="right"/>
              <w:ind w:right="261"/>
              <w:spacing w:after="0"/>
              <w:rPr>
                <w:sz w:val="20"/>
                <w:szCs w:val="20"/>
                <w:color w:val="auto"/>
              </w:rPr>
            </w:pPr>
            <w:r>
              <w:rPr>
                <w:rFonts w:ascii="Arial" w:cs="Arial" w:eastAsia="Arial" w:hAnsi="Arial"/>
                <w:sz w:val="16"/>
                <w:szCs w:val="16"/>
                <w:color w:val="auto"/>
              </w:rPr>
              <w:t>30.5%</w:t>
            </w:r>
          </w:p>
        </w:tc>
        <w:tc>
          <w:tcPr>
            <w:tcW w:w="1420" w:type="dxa"/>
            <w:vAlign w:val="bottom"/>
            <w:tcBorders>
              <w:bottom w:val="single" w:sz="8" w:color="D64000"/>
            </w:tcBorders>
          </w:tcPr>
          <w:p>
            <w:pPr>
              <w:jc w:val="right"/>
              <w:ind w:right="261"/>
              <w:spacing w:after="0"/>
              <w:rPr>
                <w:sz w:val="20"/>
                <w:szCs w:val="20"/>
                <w:color w:val="auto"/>
              </w:rPr>
            </w:pPr>
            <w:r>
              <w:rPr>
                <w:rFonts w:ascii="Arial" w:cs="Arial" w:eastAsia="Arial" w:hAnsi="Arial"/>
                <w:sz w:val="16"/>
                <w:szCs w:val="16"/>
                <w:b w:val="1"/>
                <w:bCs w:val="1"/>
                <w:color w:val="auto"/>
              </w:rPr>
              <w:t>29.9%</w:t>
            </w:r>
          </w:p>
        </w:tc>
        <w:tc>
          <w:tcPr>
            <w:tcW w:w="1140" w:type="dxa"/>
            <w:vAlign w:val="bottom"/>
            <w:tcBorders>
              <w:bottom w:val="single" w:sz="8" w:color="D64000"/>
            </w:tcBorders>
          </w:tcPr>
          <w:p>
            <w:pPr>
              <w:jc w:val="right"/>
              <w:ind w:right="41"/>
              <w:spacing w:after="0"/>
              <w:rPr>
                <w:sz w:val="20"/>
                <w:szCs w:val="20"/>
                <w:color w:val="auto"/>
              </w:rPr>
            </w:pPr>
            <w:r>
              <w:rPr>
                <w:rFonts w:ascii="Arial" w:cs="Arial" w:eastAsia="Arial" w:hAnsi="Arial"/>
                <w:sz w:val="16"/>
                <w:szCs w:val="16"/>
                <w:color w:val="auto"/>
              </w:rPr>
              <w:t>31.5%</w:t>
            </w:r>
          </w:p>
        </w:tc>
      </w:tr>
    </w:tbl>
    <w:p>
      <w:pPr>
        <w:spacing w:after="0" w:line="83" w:lineRule="exact"/>
        <w:rPr>
          <w:sz w:val="20"/>
          <w:szCs w:val="20"/>
          <w:color w:val="auto"/>
        </w:rPr>
      </w:pPr>
    </w:p>
    <w:p>
      <w:pPr>
        <w:ind w:left="440" w:right="80" w:hanging="222"/>
        <w:spacing w:after="0" w:line="274" w:lineRule="auto"/>
        <w:tabs>
          <w:tab w:leader="none" w:pos="4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Fair value adjustments primarily represent gains or losses due to changes in foreign currency exchange rates on intercompany balances that arise in the ordinary course of business, a component of operating expenses, as well as adjustments related to acquired deferred revenue.</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Reconciliation of Capital Expenditures to Accrued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168275</wp:posOffset>
            </wp:positionV>
            <wp:extent cx="617537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245"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3040" w:type="dxa"/>
            <w:vAlign w:val="bottom"/>
          </w:tcPr>
          <w:p>
            <w:pPr>
              <w:spacing w:after="0"/>
              <w:rPr>
                <w:sz w:val="17"/>
                <w:szCs w:val="17"/>
                <w:color w:val="auto"/>
              </w:rPr>
            </w:pPr>
          </w:p>
        </w:tc>
        <w:tc>
          <w:tcPr>
            <w:tcW w:w="4060" w:type="dxa"/>
            <w:vAlign w:val="bottom"/>
            <w:gridSpan w:val="2"/>
            <w:shd w:val="clear" w:color="auto" w:fill="E3F3EE"/>
          </w:tcPr>
          <w:p>
            <w:pPr>
              <w:jc w:val="right"/>
              <w:ind w:right="441"/>
              <w:spacing w:after="0"/>
              <w:rPr>
                <w:sz w:val="20"/>
                <w:szCs w:val="20"/>
                <w:color w:val="auto"/>
              </w:rPr>
            </w:pPr>
            <w:r>
              <w:rPr>
                <w:rFonts w:ascii="Arial" w:cs="Arial" w:eastAsia="Arial" w:hAnsi="Arial"/>
                <w:sz w:val="16"/>
                <w:szCs w:val="16"/>
                <w:b w:val="1"/>
                <w:bCs w:val="1"/>
                <w:color w:val="auto"/>
              </w:rPr>
              <w:t>Three months ended December 31, </w:t>
            </w:r>
          </w:p>
        </w:tc>
        <w:tc>
          <w:tcPr>
            <w:tcW w:w="2620" w:type="dxa"/>
            <w:vAlign w:val="bottom"/>
            <w:gridSpan w:val="2"/>
            <w:shd w:val="clear" w:color="auto" w:fill="E3F3EE"/>
          </w:tcPr>
          <w:p>
            <w:pPr>
              <w:jc w:val="right"/>
              <w:ind w:right="161"/>
              <w:spacing w:after="0"/>
              <w:rPr>
                <w:sz w:val="20"/>
                <w:szCs w:val="20"/>
                <w:color w:val="auto"/>
              </w:rPr>
            </w:pPr>
            <w:r>
              <w:rPr>
                <w:rFonts w:ascii="Arial" w:cs="Arial" w:eastAsia="Arial" w:hAnsi="Arial"/>
                <w:sz w:val="16"/>
                <w:szCs w:val="16"/>
                <w:b w:val="1"/>
                <w:bCs w:val="1"/>
                <w:color w:val="auto"/>
              </w:rPr>
              <w:t>Year ended December 31, </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2"/>
        </w:trPr>
        <w:tc>
          <w:tcPr>
            <w:tcW w:w="304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color w:val="FFFFFF"/>
              </w:rPr>
              <w:t> (millions of U.S. dollars)</w:t>
            </w:r>
          </w:p>
        </w:tc>
        <w:tc>
          <w:tcPr>
            <w:tcW w:w="2360" w:type="dxa"/>
            <w:vAlign w:val="bottom"/>
            <w:tcBorders>
              <w:bottom w:val="single" w:sz="8" w:color="D64000"/>
            </w:tcBorders>
            <w:shd w:val="clear" w:color="auto" w:fill="1F473D"/>
          </w:tcPr>
          <w:p>
            <w:pPr>
              <w:jc w:val="right"/>
              <w:ind w:right="541"/>
              <w:spacing w:after="0"/>
              <w:rPr>
                <w:sz w:val="20"/>
                <w:szCs w:val="20"/>
                <w:color w:val="auto"/>
              </w:rPr>
            </w:pPr>
            <w:r>
              <w:rPr>
                <w:rFonts w:ascii="Arial" w:cs="Arial" w:eastAsia="Arial" w:hAnsi="Arial"/>
                <w:sz w:val="16"/>
                <w:szCs w:val="16"/>
                <w:b w:val="1"/>
                <w:bCs w:val="1"/>
                <w:color w:val="FFFFFF"/>
              </w:rPr>
              <w:t>      2024</w:t>
            </w:r>
          </w:p>
        </w:tc>
        <w:tc>
          <w:tcPr>
            <w:tcW w:w="1700" w:type="dxa"/>
            <w:vAlign w:val="bottom"/>
            <w:tcBorders>
              <w:bottom w:val="single" w:sz="8" w:color="D64000"/>
            </w:tcBorders>
            <w:shd w:val="clear" w:color="auto" w:fill="1F473D"/>
          </w:tcPr>
          <w:p>
            <w:pPr>
              <w:jc w:val="right"/>
              <w:ind w:right="341"/>
              <w:spacing w:after="0"/>
              <w:rPr>
                <w:sz w:val="20"/>
                <w:szCs w:val="20"/>
                <w:color w:val="auto"/>
              </w:rPr>
            </w:pPr>
            <w:r>
              <w:rPr>
                <w:rFonts w:ascii="Arial" w:cs="Arial" w:eastAsia="Arial" w:hAnsi="Arial"/>
                <w:sz w:val="16"/>
                <w:szCs w:val="16"/>
                <w:color w:val="FFFFFF"/>
              </w:rPr>
              <w:t>      2023</w:t>
            </w:r>
          </w:p>
        </w:tc>
        <w:tc>
          <w:tcPr>
            <w:tcW w:w="1460" w:type="dxa"/>
            <w:vAlign w:val="bottom"/>
            <w:tcBorders>
              <w:bottom w:val="single" w:sz="8" w:color="D64000"/>
            </w:tcBorders>
            <w:shd w:val="clear" w:color="auto" w:fill="1F473D"/>
          </w:tcPr>
          <w:p>
            <w:pPr>
              <w:jc w:val="right"/>
              <w:ind w:right="300"/>
              <w:spacing w:after="0"/>
              <w:rPr>
                <w:sz w:val="20"/>
                <w:szCs w:val="20"/>
                <w:color w:val="auto"/>
              </w:rPr>
            </w:pPr>
            <w:r>
              <w:rPr>
                <w:rFonts w:ascii="Arial" w:cs="Arial" w:eastAsia="Arial" w:hAnsi="Arial"/>
                <w:sz w:val="16"/>
                <w:szCs w:val="16"/>
                <w:b w:val="1"/>
                <w:bCs w:val="1"/>
                <w:color w:val="FFFFFF"/>
              </w:rPr>
              <w:t>      2024</w:t>
            </w:r>
          </w:p>
        </w:tc>
        <w:tc>
          <w:tcPr>
            <w:tcW w:w="1160" w:type="dxa"/>
            <w:vAlign w:val="bottom"/>
            <w:tcBorders>
              <w:bottom w:val="single" w:sz="8" w:color="D64000"/>
            </w:tcBorders>
            <w:shd w:val="clear" w:color="auto" w:fill="1F473D"/>
          </w:tcPr>
          <w:p>
            <w:pPr>
              <w:jc w:val="right"/>
              <w:ind w:right="41"/>
              <w:spacing w:after="0"/>
              <w:rPr>
                <w:sz w:val="20"/>
                <w:szCs w:val="20"/>
                <w:color w:val="auto"/>
              </w:rPr>
            </w:pPr>
            <w:r>
              <w:rPr>
                <w:rFonts w:ascii="Arial" w:cs="Arial" w:eastAsia="Arial" w:hAnsi="Arial"/>
                <w:sz w:val="16"/>
                <w:szCs w:val="16"/>
                <w:color w:val="FFFFFF"/>
              </w:rPr>
              <w:t>      2023</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3040" w:type="dxa"/>
            <w:vAlign w:val="bottom"/>
          </w:tcPr>
          <w:p>
            <w:pPr>
              <w:spacing w:after="0" w:line="171" w:lineRule="exact"/>
              <w:rPr>
                <w:sz w:val="20"/>
                <w:szCs w:val="20"/>
                <w:color w:val="auto"/>
              </w:rPr>
            </w:pPr>
            <w:r>
              <w:rPr>
                <w:rFonts w:ascii="Arial" w:cs="Arial" w:eastAsia="Arial" w:hAnsi="Arial"/>
                <w:sz w:val="16"/>
                <w:szCs w:val="16"/>
                <w:b w:val="1"/>
                <w:bCs w:val="1"/>
                <w:color w:val="auto"/>
              </w:rPr>
              <w:t> Capital expenditures</w:t>
            </w:r>
          </w:p>
        </w:tc>
        <w:tc>
          <w:tcPr>
            <w:tcW w:w="2360" w:type="dxa"/>
            <w:vAlign w:val="bottom"/>
          </w:tcPr>
          <w:p>
            <w:pPr>
              <w:jc w:val="right"/>
              <w:ind w:right="541"/>
              <w:spacing w:after="0" w:line="171" w:lineRule="exact"/>
              <w:rPr>
                <w:sz w:val="20"/>
                <w:szCs w:val="20"/>
                <w:color w:val="auto"/>
              </w:rPr>
            </w:pPr>
            <w:r>
              <w:rPr>
                <w:rFonts w:ascii="Arial" w:cs="Arial" w:eastAsia="Arial" w:hAnsi="Arial"/>
                <w:sz w:val="16"/>
                <w:szCs w:val="16"/>
                <w:b w:val="1"/>
                <w:bCs w:val="1"/>
                <w:color w:val="auto"/>
              </w:rPr>
              <w:t>161</w:t>
            </w:r>
          </w:p>
        </w:tc>
        <w:tc>
          <w:tcPr>
            <w:tcW w:w="1700" w:type="dxa"/>
            <w:vAlign w:val="bottom"/>
          </w:tcPr>
          <w:p>
            <w:pPr>
              <w:jc w:val="right"/>
              <w:ind w:right="341"/>
              <w:spacing w:after="0" w:line="171" w:lineRule="exact"/>
              <w:rPr>
                <w:sz w:val="20"/>
                <w:szCs w:val="20"/>
                <w:color w:val="auto"/>
              </w:rPr>
            </w:pPr>
            <w:r>
              <w:rPr>
                <w:rFonts w:ascii="Arial" w:cs="Arial" w:eastAsia="Arial" w:hAnsi="Arial"/>
                <w:sz w:val="16"/>
                <w:szCs w:val="16"/>
                <w:color w:val="auto"/>
              </w:rPr>
              <w:t>132</w:t>
            </w:r>
          </w:p>
        </w:tc>
        <w:tc>
          <w:tcPr>
            <w:tcW w:w="1460" w:type="dxa"/>
            <w:vAlign w:val="bottom"/>
          </w:tcPr>
          <w:p>
            <w:pPr>
              <w:jc w:val="right"/>
              <w:ind w:right="300"/>
              <w:spacing w:after="0" w:line="171" w:lineRule="exact"/>
              <w:rPr>
                <w:sz w:val="20"/>
                <w:szCs w:val="20"/>
                <w:color w:val="auto"/>
              </w:rPr>
            </w:pPr>
            <w:r>
              <w:rPr>
                <w:rFonts w:ascii="Arial" w:cs="Arial" w:eastAsia="Arial" w:hAnsi="Arial"/>
                <w:sz w:val="16"/>
                <w:szCs w:val="16"/>
                <w:b w:val="1"/>
                <w:bCs w:val="1"/>
                <w:color w:val="auto"/>
              </w:rPr>
              <w:t>607</w:t>
            </w:r>
          </w:p>
        </w:tc>
        <w:tc>
          <w:tcPr>
            <w:tcW w:w="1160" w:type="dxa"/>
            <w:vAlign w:val="bottom"/>
          </w:tcPr>
          <w:p>
            <w:pPr>
              <w:jc w:val="right"/>
              <w:ind w:right="41"/>
              <w:spacing w:after="0" w:line="171" w:lineRule="exact"/>
              <w:rPr>
                <w:sz w:val="20"/>
                <w:szCs w:val="20"/>
                <w:color w:val="auto"/>
              </w:rPr>
            </w:pPr>
            <w:r>
              <w:rPr>
                <w:rFonts w:ascii="Arial" w:cs="Arial" w:eastAsia="Arial" w:hAnsi="Arial"/>
                <w:sz w:val="16"/>
                <w:szCs w:val="16"/>
                <w:color w:val="auto"/>
              </w:rPr>
              <w:t>544</w:t>
            </w: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0"/>
        </w:trPr>
        <w:tc>
          <w:tcPr>
            <w:tcW w:w="304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Remove: IFRS adjustment to cash basis</w:t>
            </w:r>
          </w:p>
        </w:tc>
        <w:tc>
          <w:tcPr>
            <w:tcW w:w="2360" w:type="dxa"/>
            <w:vAlign w:val="bottom"/>
            <w:tcBorders>
              <w:bottom w:val="single" w:sz="8" w:color="B2B2B2"/>
            </w:tcBorders>
          </w:tcPr>
          <w:p>
            <w:pPr>
              <w:jc w:val="right"/>
              <w:ind w:right="541"/>
              <w:spacing w:after="0"/>
              <w:rPr>
                <w:sz w:val="20"/>
                <w:szCs w:val="20"/>
                <w:color w:val="auto"/>
              </w:rPr>
            </w:pPr>
            <w:r>
              <w:rPr>
                <w:rFonts w:ascii="Arial" w:cs="Arial" w:eastAsia="Arial" w:hAnsi="Arial"/>
                <w:sz w:val="16"/>
                <w:szCs w:val="16"/>
                <w:b w:val="1"/>
                <w:bCs w:val="1"/>
                <w:color w:val="auto"/>
              </w:rPr>
              <w:t>11</w:t>
            </w:r>
          </w:p>
        </w:tc>
        <w:tc>
          <w:tcPr>
            <w:tcW w:w="1700" w:type="dxa"/>
            <w:vAlign w:val="bottom"/>
            <w:tcBorders>
              <w:bottom w:val="single" w:sz="8" w:color="B2B2B2"/>
            </w:tcBorders>
          </w:tcPr>
          <w:p>
            <w:pPr>
              <w:jc w:val="right"/>
              <w:ind w:right="341"/>
              <w:spacing w:after="0"/>
              <w:rPr>
                <w:sz w:val="20"/>
                <w:szCs w:val="20"/>
                <w:color w:val="auto"/>
              </w:rPr>
            </w:pPr>
            <w:r>
              <w:rPr>
                <w:rFonts w:ascii="Arial" w:cs="Arial" w:eastAsia="Arial" w:hAnsi="Arial"/>
                <w:sz w:val="16"/>
                <w:szCs w:val="16"/>
                <w:color w:val="auto"/>
              </w:rPr>
              <w:t>21</w:t>
            </w:r>
          </w:p>
        </w:tc>
        <w:tc>
          <w:tcPr>
            <w:tcW w:w="1460" w:type="dxa"/>
            <w:vAlign w:val="bottom"/>
            <w:tcBorders>
              <w:bottom w:val="single" w:sz="8" w:color="B2B2B2"/>
            </w:tcBorders>
          </w:tcPr>
          <w:p>
            <w:pPr>
              <w:jc w:val="right"/>
              <w:ind w:right="300"/>
              <w:spacing w:after="0"/>
              <w:rPr>
                <w:sz w:val="20"/>
                <w:szCs w:val="20"/>
                <w:color w:val="auto"/>
              </w:rPr>
            </w:pPr>
            <w:r>
              <w:rPr>
                <w:rFonts w:ascii="Arial" w:cs="Arial" w:eastAsia="Arial" w:hAnsi="Arial"/>
                <w:sz w:val="16"/>
                <w:szCs w:val="16"/>
                <w:b w:val="1"/>
                <w:bCs w:val="1"/>
                <w:color w:val="auto"/>
              </w:rPr>
              <w:t>2</w:t>
            </w:r>
          </w:p>
        </w:tc>
        <w:tc>
          <w:tcPr>
            <w:tcW w:w="116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(12)</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9"/>
        </w:trPr>
        <w:tc>
          <w:tcPr>
            <w:tcW w:w="304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b w:val="1"/>
                <w:bCs w:val="1"/>
                <w:color w:val="auto"/>
              </w:rPr>
              <w:t> Accrued capital expenditures</w:t>
            </w:r>
          </w:p>
        </w:tc>
        <w:tc>
          <w:tcPr>
            <w:tcW w:w="2360" w:type="dxa"/>
            <w:vAlign w:val="bottom"/>
            <w:tcBorders>
              <w:bottom w:val="single" w:sz="8" w:color="B2B2B2"/>
            </w:tcBorders>
          </w:tcPr>
          <w:p>
            <w:pPr>
              <w:jc w:val="right"/>
              <w:ind w:right="541"/>
              <w:spacing w:after="0" w:line="179" w:lineRule="exact"/>
              <w:rPr>
                <w:sz w:val="20"/>
                <w:szCs w:val="20"/>
                <w:color w:val="auto"/>
              </w:rPr>
            </w:pPr>
            <w:r>
              <w:rPr>
                <w:rFonts w:ascii="Arial" w:cs="Arial" w:eastAsia="Arial" w:hAnsi="Arial"/>
                <w:sz w:val="16"/>
                <w:szCs w:val="16"/>
                <w:b w:val="1"/>
                <w:bCs w:val="1"/>
                <w:color w:val="auto"/>
              </w:rPr>
              <w:t>172</w:t>
            </w:r>
          </w:p>
        </w:tc>
        <w:tc>
          <w:tcPr>
            <w:tcW w:w="1700" w:type="dxa"/>
            <w:vAlign w:val="bottom"/>
            <w:tcBorders>
              <w:bottom w:val="single" w:sz="8" w:color="B2B2B2"/>
            </w:tcBorders>
          </w:tcPr>
          <w:p>
            <w:pPr>
              <w:jc w:val="right"/>
              <w:ind w:right="341"/>
              <w:spacing w:after="0" w:line="179" w:lineRule="exact"/>
              <w:rPr>
                <w:sz w:val="20"/>
                <w:szCs w:val="20"/>
                <w:color w:val="auto"/>
              </w:rPr>
            </w:pPr>
            <w:r>
              <w:rPr>
                <w:rFonts w:ascii="Arial" w:cs="Arial" w:eastAsia="Arial" w:hAnsi="Arial"/>
                <w:sz w:val="16"/>
                <w:szCs w:val="16"/>
                <w:color w:val="auto"/>
              </w:rPr>
              <w:t>153</w:t>
            </w:r>
          </w:p>
        </w:tc>
        <w:tc>
          <w:tcPr>
            <w:tcW w:w="1460" w:type="dxa"/>
            <w:vAlign w:val="bottom"/>
            <w:tcBorders>
              <w:bottom w:val="single" w:sz="8" w:color="B2B2B2"/>
            </w:tcBorders>
          </w:tcPr>
          <w:p>
            <w:pPr>
              <w:jc w:val="right"/>
              <w:ind w:right="300"/>
              <w:spacing w:after="0" w:line="179" w:lineRule="exact"/>
              <w:rPr>
                <w:sz w:val="20"/>
                <w:szCs w:val="20"/>
                <w:color w:val="auto"/>
              </w:rPr>
            </w:pPr>
            <w:r>
              <w:rPr>
                <w:rFonts w:ascii="Arial" w:cs="Arial" w:eastAsia="Arial" w:hAnsi="Arial"/>
                <w:sz w:val="16"/>
                <w:szCs w:val="16"/>
                <w:b w:val="1"/>
                <w:bCs w:val="1"/>
                <w:color w:val="auto"/>
              </w:rPr>
              <w:t>609</w:t>
            </w:r>
          </w:p>
        </w:tc>
        <w:tc>
          <w:tcPr>
            <w:tcW w:w="1160" w:type="dxa"/>
            <w:vAlign w:val="bottom"/>
            <w:tcBorders>
              <w:bottom w:val="single" w:sz="8" w:color="B2B2B2"/>
            </w:tcBorders>
          </w:tcPr>
          <w:p>
            <w:pPr>
              <w:jc w:val="right"/>
              <w:ind w:right="41"/>
              <w:spacing w:after="0" w:line="179" w:lineRule="exact"/>
              <w:rPr>
                <w:sz w:val="20"/>
                <w:szCs w:val="20"/>
                <w:color w:val="auto"/>
              </w:rPr>
            </w:pPr>
            <w:r>
              <w:rPr>
                <w:rFonts w:ascii="Arial" w:cs="Arial" w:eastAsia="Arial" w:hAnsi="Arial"/>
                <w:sz w:val="16"/>
                <w:szCs w:val="16"/>
                <w:color w:val="auto"/>
              </w:rPr>
              <w:t>532</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5"/>
        </w:trPr>
        <w:tc>
          <w:tcPr>
            <w:tcW w:w="3040" w:type="dxa"/>
            <w:vAlign w:val="bottom"/>
          </w:tcPr>
          <w:p>
            <w:pPr>
              <w:spacing w:after="0" w:line="165" w:lineRule="exact"/>
              <w:rPr>
                <w:sz w:val="20"/>
                <w:szCs w:val="20"/>
                <w:color w:val="auto"/>
              </w:rPr>
            </w:pPr>
            <w:r>
              <w:rPr>
                <w:rFonts w:ascii="Arial" w:cs="Arial" w:eastAsia="Arial" w:hAnsi="Arial"/>
                <w:sz w:val="16"/>
                <w:szCs w:val="16"/>
                <w:b w:val="1"/>
                <w:bCs w:val="1"/>
                <w:color w:val="auto"/>
              </w:rPr>
              <w:t> Accrued capital expenditures as a</w:t>
            </w:r>
          </w:p>
        </w:tc>
        <w:tc>
          <w:tcPr>
            <w:tcW w:w="2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3040" w:type="dxa"/>
            <w:vAlign w:val="bottom"/>
            <w:tcBorders>
              <w:bottom w:val="single" w:sz="8" w:color="D64000"/>
            </w:tcBorders>
          </w:tcPr>
          <w:p>
            <w:pPr>
              <w:ind w:left="160"/>
              <w:spacing w:after="0"/>
              <w:rPr>
                <w:sz w:val="20"/>
                <w:szCs w:val="20"/>
                <w:color w:val="auto"/>
              </w:rPr>
            </w:pPr>
            <w:r>
              <w:rPr>
                <w:rFonts w:ascii="Arial" w:cs="Arial" w:eastAsia="Arial" w:hAnsi="Arial"/>
                <w:sz w:val="16"/>
                <w:szCs w:val="16"/>
                <w:b w:val="1"/>
                <w:bCs w:val="1"/>
                <w:color w:val="auto"/>
              </w:rPr>
              <w:t>percentage of revenues</w:t>
            </w:r>
          </w:p>
        </w:tc>
        <w:tc>
          <w:tcPr>
            <w:tcW w:w="2360" w:type="dxa"/>
            <w:vAlign w:val="bottom"/>
            <w:tcBorders>
              <w:bottom w:val="single" w:sz="8" w:color="D64000"/>
            </w:tcBorders>
          </w:tcPr>
          <w:p>
            <w:pPr>
              <w:jc w:val="right"/>
              <w:ind w:right="541"/>
              <w:spacing w:after="0"/>
              <w:rPr>
                <w:sz w:val="20"/>
                <w:szCs w:val="20"/>
                <w:color w:val="auto"/>
              </w:rPr>
            </w:pPr>
            <w:r>
              <w:rPr>
                <w:rFonts w:ascii="Arial" w:cs="Arial" w:eastAsia="Arial" w:hAnsi="Arial"/>
                <w:sz w:val="16"/>
                <w:szCs w:val="16"/>
                <w:b w:val="1"/>
                <w:bCs w:val="1"/>
                <w:color w:val="auto"/>
              </w:rPr>
              <w:t>n/a</w:t>
            </w:r>
          </w:p>
        </w:tc>
        <w:tc>
          <w:tcPr>
            <w:tcW w:w="1700" w:type="dxa"/>
            <w:vAlign w:val="bottom"/>
            <w:tcBorders>
              <w:bottom w:val="single" w:sz="8" w:color="D64000"/>
            </w:tcBorders>
          </w:tcPr>
          <w:p>
            <w:pPr>
              <w:jc w:val="right"/>
              <w:ind w:right="341"/>
              <w:spacing w:after="0"/>
              <w:rPr>
                <w:sz w:val="20"/>
                <w:szCs w:val="20"/>
                <w:color w:val="auto"/>
              </w:rPr>
            </w:pPr>
            <w:r>
              <w:rPr>
                <w:rFonts w:ascii="Arial" w:cs="Arial" w:eastAsia="Arial" w:hAnsi="Arial"/>
                <w:sz w:val="16"/>
                <w:szCs w:val="16"/>
                <w:color w:val="auto"/>
              </w:rPr>
              <w:t>n/a</w:t>
            </w:r>
          </w:p>
        </w:tc>
        <w:tc>
          <w:tcPr>
            <w:tcW w:w="1460" w:type="dxa"/>
            <w:vAlign w:val="bottom"/>
            <w:tcBorders>
              <w:bottom w:val="single" w:sz="8" w:color="D64000"/>
            </w:tcBorders>
          </w:tcPr>
          <w:p>
            <w:pPr>
              <w:jc w:val="right"/>
              <w:ind w:right="300"/>
              <w:spacing w:after="0"/>
              <w:rPr>
                <w:sz w:val="20"/>
                <w:szCs w:val="20"/>
                <w:color w:val="auto"/>
              </w:rPr>
            </w:pPr>
            <w:r>
              <w:rPr>
                <w:rFonts w:ascii="Arial" w:cs="Arial" w:eastAsia="Arial" w:hAnsi="Arial"/>
                <w:sz w:val="16"/>
                <w:szCs w:val="16"/>
                <w:b w:val="1"/>
                <w:bCs w:val="1"/>
                <w:color w:val="auto"/>
              </w:rPr>
              <w:t>8.4%</w:t>
            </w:r>
          </w:p>
        </w:tc>
        <w:tc>
          <w:tcPr>
            <w:tcW w:w="1160" w:type="dxa"/>
            <w:vAlign w:val="bottom"/>
            <w:tcBorders>
              <w:bottom w:val="single" w:sz="8" w:color="D64000"/>
            </w:tcBorders>
          </w:tcPr>
          <w:p>
            <w:pPr>
              <w:jc w:val="right"/>
              <w:ind w:right="41"/>
              <w:spacing w:after="0"/>
              <w:rPr>
                <w:sz w:val="20"/>
                <w:szCs w:val="20"/>
                <w:color w:val="auto"/>
              </w:rPr>
            </w:pPr>
            <w:r>
              <w:rPr>
                <w:rFonts w:ascii="Arial" w:cs="Arial" w:eastAsia="Arial" w:hAnsi="Arial"/>
                <w:sz w:val="16"/>
                <w:szCs w:val="16"/>
                <w:color w:val="auto"/>
              </w:rPr>
              <w:t>7.8%</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9"/>
        </w:trPr>
        <w:tc>
          <w:tcPr>
            <w:tcW w:w="3040" w:type="dxa"/>
            <w:vAlign w:val="bottom"/>
            <w:tcBorders>
              <w:bottom w:val="single" w:sz="8" w:color="7F7F7F"/>
            </w:tcBorders>
          </w:tcPr>
          <w:p>
            <w:pPr>
              <w:spacing w:after="0"/>
              <w:rPr>
                <w:sz w:val="13"/>
                <w:szCs w:val="13"/>
                <w:color w:val="auto"/>
              </w:rPr>
            </w:pPr>
          </w:p>
        </w:tc>
        <w:tc>
          <w:tcPr>
            <w:tcW w:w="2360" w:type="dxa"/>
            <w:vAlign w:val="bottom"/>
            <w:tcBorders>
              <w:bottom w:val="single" w:sz="8" w:color="7F7F7F"/>
            </w:tcBorders>
          </w:tcPr>
          <w:p>
            <w:pPr>
              <w:spacing w:after="0"/>
              <w:rPr>
                <w:sz w:val="13"/>
                <w:szCs w:val="13"/>
                <w:color w:val="auto"/>
              </w:rPr>
            </w:pPr>
          </w:p>
        </w:tc>
        <w:tc>
          <w:tcPr>
            <w:tcW w:w="1700" w:type="dxa"/>
            <w:vAlign w:val="bottom"/>
            <w:tcBorders>
              <w:bottom w:val="single" w:sz="8" w:color="7F7F7F"/>
            </w:tcBorders>
          </w:tcPr>
          <w:p>
            <w:pPr>
              <w:spacing w:after="0"/>
              <w:rPr>
                <w:sz w:val="13"/>
                <w:szCs w:val="13"/>
                <w:color w:val="auto"/>
              </w:rPr>
            </w:pPr>
          </w:p>
        </w:tc>
        <w:tc>
          <w:tcPr>
            <w:tcW w:w="3700" w:type="dxa"/>
            <w:vAlign w:val="bottom"/>
            <w:tcBorders>
              <w:bottom w:val="single" w:sz="8" w:color="7F7F7F"/>
            </w:tcBorders>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41"/>
        </w:trPr>
        <w:tc>
          <w:tcPr>
            <w:tcW w:w="3040" w:type="dxa"/>
            <w:vAlign w:val="bottom"/>
          </w:tcPr>
          <w:p>
            <w:pPr>
              <w:spacing w:after="0"/>
              <w:rPr>
                <w:sz w:val="20"/>
                <w:szCs w:val="20"/>
                <w:color w:val="auto"/>
              </w:rPr>
            </w:pPr>
            <w:r>
              <w:rPr>
                <w:rFonts w:ascii="Arial" w:cs="Arial" w:eastAsia="Arial" w:hAnsi="Arial"/>
                <w:sz w:val="17"/>
                <w:szCs w:val="17"/>
                <w:color w:val="auto"/>
              </w:rPr>
              <w:t>Page 64</w:t>
            </w:r>
          </w:p>
        </w:tc>
        <w:tc>
          <w:tcPr>
            <w:tcW w:w="2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720" w:type="dxa"/>
            <w:vAlign w:val="bottom"/>
            <w:gridSpan w:val="4"/>
          </w:tcPr>
          <w:p>
            <w:pPr>
              <w:ind w:left="660"/>
              <w:spacing w:after="0"/>
              <w:rPr>
                <w:sz w:val="20"/>
                <w:szCs w:val="20"/>
                <w:color w:val="auto"/>
              </w:rPr>
            </w:pPr>
            <w:r>
              <w:rPr>
                <w:rFonts w:ascii="Arial" w:cs="Arial" w:eastAsia="Arial" w:hAnsi="Arial"/>
                <w:sz w:val="17"/>
                <w:szCs w:val="17"/>
                <w:b w:val="1"/>
                <w:bCs w:val="1"/>
                <w:color w:val="auto"/>
                <w:w w:val="98"/>
              </w:rPr>
              <w:t>Thomson Reuters Annual Report 2024</w:t>
            </w:r>
          </w:p>
        </w:tc>
      </w:tr>
    </w:tbl>
    <w:p>
      <w:pPr>
        <w:sectPr>
          <w:pgSz w:w="11900" w:h="16838" w:orient="portrait"/>
          <w:cols w:equalWidth="0" w:num="1">
            <w:col w:w="11040"/>
          </w:cols>
          <w:pgMar w:left="320" w:top="477" w:right="5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Reconciliation of Net Earnings to Adjusted Earnings and Adjusted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168275</wp:posOffset>
            </wp:positionV>
            <wp:extent cx="617537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245"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3040" w:type="dxa"/>
            <w:vAlign w:val="bottom"/>
          </w:tcPr>
          <w:p>
            <w:pPr>
              <w:spacing w:after="0"/>
              <w:rPr>
                <w:sz w:val="17"/>
                <w:szCs w:val="17"/>
                <w:color w:val="auto"/>
              </w:rPr>
            </w:pPr>
          </w:p>
        </w:tc>
        <w:tc>
          <w:tcPr>
            <w:tcW w:w="4020" w:type="dxa"/>
            <w:vAlign w:val="bottom"/>
            <w:gridSpan w:val="2"/>
            <w:shd w:val="clear" w:color="auto" w:fill="E3F3EE"/>
          </w:tcPr>
          <w:p>
            <w:pPr>
              <w:jc w:val="right"/>
              <w:ind w:right="441"/>
              <w:spacing w:after="0"/>
              <w:rPr>
                <w:sz w:val="20"/>
                <w:szCs w:val="20"/>
                <w:color w:val="auto"/>
              </w:rPr>
            </w:pPr>
            <w:r>
              <w:rPr>
                <w:rFonts w:ascii="Arial" w:cs="Arial" w:eastAsia="Arial" w:hAnsi="Arial"/>
                <w:sz w:val="16"/>
                <w:szCs w:val="16"/>
                <w:b w:val="1"/>
                <w:bCs w:val="1"/>
                <w:color w:val="auto"/>
              </w:rPr>
              <w:t>Three months ended December 31, </w:t>
            </w:r>
          </w:p>
        </w:tc>
        <w:tc>
          <w:tcPr>
            <w:tcW w:w="2660" w:type="dxa"/>
            <w:vAlign w:val="bottom"/>
            <w:gridSpan w:val="2"/>
            <w:shd w:val="clear" w:color="auto" w:fill="E3F3EE"/>
          </w:tcPr>
          <w:p>
            <w:pPr>
              <w:jc w:val="right"/>
              <w:ind w:right="161"/>
              <w:spacing w:after="0"/>
              <w:rPr>
                <w:sz w:val="20"/>
                <w:szCs w:val="20"/>
                <w:color w:val="auto"/>
              </w:rPr>
            </w:pPr>
            <w:r>
              <w:rPr>
                <w:rFonts w:ascii="Arial" w:cs="Arial" w:eastAsia="Arial" w:hAnsi="Arial"/>
                <w:sz w:val="16"/>
                <w:szCs w:val="16"/>
                <w:b w:val="1"/>
                <w:bCs w:val="1"/>
                <w:color w:val="auto"/>
              </w:rPr>
              <w:t>Year ended December 31, </w:t>
            </w:r>
          </w:p>
        </w:tc>
      </w:tr>
      <w:tr>
        <w:trPr>
          <w:trHeight w:val="171"/>
        </w:trPr>
        <w:tc>
          <w:tcPr>
            <w:tcW w:w="3040" w:type="dxa"/>
            <w:vAlign w:val="bottom"/>
            <w:shd w:val="clear" w:color="auto" w:fill="1F473D"/>
          </w:tcPr>
          <w:p>
            <w:pPr>
              <w:spacing w:after="0" w:line="171" w:lineRule="exact"/>
              <w:rPr>
                <w:sz w:val="20"/>
                <w:szCs w:val="20"/>
                <w:color w:val="auto"/>
              </w:rPr>
            </w:pPr>
            <w:r>
              <w:rPr>
                <w:rFonts w:ascii="Arial" w:cs="Arial" w:eastAsia="Arial" w:hAnsi="Arial"/>
                <w:sz w:val="16"/>
                <w:szCs w:val="16"/>
                <w:color w:val="FFFFFF"/>
              </w:rPr>
              <w:t> (millions of U.S. dollars, except per share</w:t>
            </w:r>
          </w:p>
        </w:tc>
        <w:tc>
          <w:tcPr>
            <w:tcW w:w="2340" w:type="dxa"/>
            <w:vAlign w:val="bottom"/>
            <w:shd w:val="clear" w:color="auto" w:fill="1F473D"/>
          </w:tcPr>
          <w:p>
            <w:pPr>
              <w:spacing w:after="0"/>
              <w:rPr>
                <w:sz w:val="14"/>
                <w:szCs w:val="14"/>
                <w:color w:val="auto"/>
              </w:rPr>
            </w:pPr>
          </w:p>
        </w:tc>
        <w:tc>
          <w:tcPr>
            <w:tcW w:w="1680" w:type="dxa"/>
            <w:vAlign w:val="bottom"/>
            <w:shd w:val="clear" w:color="auto" w:fill="1F473D"/>
          </w:tcPr>
          <w:p>
            <w:pPr>
              <w:spacing w:after="0"/>
              <w:rPr>
                <w:sz w:val="14"/>
                <w:szCs w:val="14"/>
                <w:color w:val="auto"/>
              </w:rPr>
            </w:pPr>
          </w:p>
        </w:tc>
        <w:tc>
          <w:tcPr>
            <w:tcW w:w="1460" w:type="dxa"/>
            <w:vAlign w:val="bottom"/>
            <w:shd w:val="clear" w:color="auto" w:fill="1F473D"/>
          </w:tcPr>
          <w:p>
            <w:pPr>
              <w:spacing w:after="0"/>
              <w:rPr>
                <w:sz w:val="14"/>
                <w:szCs w:val="14"/>
                <w:color w:val="auto"/>
              </w:rPr>
            </w:pPr>
          </w:p>
        </w:tc>
        <w:tc>
          <w:tcPr>
            <w:tcW w:w="1200" w:type="dxa"/>
            <w:vAlign w:val="bottom"/>
            <w:shd w:val="clear" w:color="auto" w:fill="1F473D"/>
          </w:tcPr>
          <w:p>
            <w:pPr>
              <w:spacing w:after="0"/>
              <w:rPr>
                <w:sz w:val="14"/>
                <w:szCs w:val="14"/>
                <w:color w:val="auto"/>
              </w:rPr>
            </w:pPr>
          </w:p>
        </w:tc>
      </w:tr>
      <w:tr>
        <w:trPr>
          <w:trHeight w:val="206"/>
        </w:trPr>
        <w:tc>
          <w:tcPr>
            <w:tcW w:w="304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color w:val="FFFFFF"/>
              </w:rPr>
              <w:t>   amounts and share data)</w:t>
            </w:r>
          </w:p>
        </w:tc>
        <w:tc>
          <w:tcPr>
            <w:tcW w:w="2340" w:type="dxa"/>
            <w:vAlign w:val="bottom"/>
            <w:tcBorders>
              <w:bottom w:val="single" w:sz="8" w:color="D64000"/>
            </w:tcBorders>
            <w:shd w:val="clear" w:color="auto" w:fill="1F473D"/>
          </w:tcPr>
          <w:p>
            <w:pPr>
              <w:jc w:val="right"/>
              <w:ind w:right="541"/>
              <w:spacing w:after="0"/>
              <w:rPr>
                <w:sz w:val="20"/>
                <w:szCs w:val="20"/>
                <w:color w:val="auto"/>
              </w:rPr>
            </w:pPr>
            <w:r>
              <w:rPr>
                <w:rFonts w:ascii="Arial" w:cs="Arial" w:eastAsia="Arial" w:hAnsi="Arial"/>
                <w:sz w:val="16"/>
                <w:szCs w:val="16"/>
                <w:b w:val="1"/>
                <w:bCs w:val="1"/>
                <w:color w:val="FFFFFF"/>
              </w:rPr>
              <w:t>      2024</w:t>
            </w:r>
          </w:p>
        </w:tc>
        <w:tc>
          <w:tcPr>
            <w:tcW w:w="1680" w:type="dxa"/>
            <w:vAlign w:val="bottom"/>
            <w:tcBorders>
              <w:bottom w:val="single" w:sz="8" w:color="D64000"/>
            </w:tcBorders>
            <w:shd w:val="clear" w:color="auto" w:fill="1F473D"/>
          </w:tcPr>
          <w:p>
            <w:pPr>
              <w:jc w:val="right"/>
              <w:ind w:right="341"/>
              <w:spacing w:after="0"/>
              <w:rPr>
                <w:sz w:val="20"/>
                <w:szCs w:val="20"/>
                <w:color w:val="auto"/>
              </w:rPr>
            </w:pPr>
            <w:r>
              <w:rPr>
                <w:rFonts w:ascii="Arial" w:cs="Arial" w:eastAsia="Arial" w:hAnsi="Arial"/>
                <w:sz w:val="16"/>
                <w:szCs w:val="16"/>
                <w:color w:val="FFFFFF"/>
              </w:rPr>
              <w:t>      2023</w:t>
            </w:r>
          </w:p>
        </w:tc>
        <w:tc>
          <w:tcPr>
            <w:tcW w:w="1460" w:type="dxa"/>
            <w:vAlign w:val="bottom"/>
            <w:tcBorders>
              <w:bottom w:val="single" w:sz="8" w:color="D64000"/>
            </w:tcBorders>
            <w:shd w:val="clear" w:color="auto" w:fill="1F473D"/>
          </w:tcPr>
          <w:p>
            <w:pPr>
              <w:jc w:val="right"/>
              <w:ind w:right="301"/>
              <w:spacing w:after="0"/>
              <w:rPr>
                <w:sz w:val="20"/>
                <w:szCs w:val="20"/>
                <w:color w:val="auto"/>
              </w:rPr>
            </w:pPr>
            <w:r>
              <w:rPr>
                <w:rFonts w:ascii="Arial" w:cs="Arial" w:eastAsia="Arial" w:hAnsi="Arial"/>
                <w:sz w:val="16"/>
                <w:szCs w:val="16"/>
                <w:b w:val="1"/>
                <w:bCs w:val="1"/>
                <w:color w:val="FFFFFF"/>
              </w:rPr>
              <w:t>      2024</w:t>
            </w:r>
          </w:p>
        </w:tc>
        <w:tc>
          <w:tcPr>
            <w:tcW w:w="1200" w:type="dxa"/>
            <w:vAlign w:val="bottom"/>
            <w:tcBorders>
              <w:bottom w:val="single" w:sz="8" w:color="D64000"/>
            </w:tcBorders>
            <w:shd w:val="clear" w:color="auto" w:fill="1F473D"/>
          </w:tcPr>
          <w:p>
            <w:pPr>
              <w:jc w:val="right"/>
              <w:ind w:right="41"/>
              <w:spacing w:after="0"/>
              <w:rPr>
                <w:sz w:val="20"/>
                <w:szCs w:val="20"/>
                <w:color w:val="auto"/>
              </w:rPr>
            </w:pPr>
            <w:r>
              <w:rPr>
                <w:rFonts w:ascii="Arial" w:cs="Arial" w:eastAsia="Arial" w:hAnsi="Arial"/>
                <w:sz w:val="16"/>
                <w:szCs w:val="16"/>
                <w:color w:val="FFFFFF"/>
              </w:rPr>
              <w:t>      2023</w:t>
            </w:r>
          </w:p>
        </w:tc>
      </w:tr>
      <w:tr>
        <w:trPr>
          <w:trHeight w:val="171"/>
        </w:trPr>
        <w:tc>
          <w:tcPr>
            <w:tcW w:w="3040" w:type="dxa"/>
            <w:vAlign w:val="bottom"/>
          </w:tcPr>
          <w:p>
            <w:pPr>
              <w:spacing w:after="0" w:line="171" w:lineRule="exact"/>
              <w:rPr>
                <w:sz w:val="20"/>
                <w:szCs w:val="20"/>
                <w:color w:val="auto"/>
              </w:rPr>
            </w:pPr>
            <w:r>
              <w:rPr>
                <w:rFonts w:ascii="Arial" w:cs="Arial" w:eastAsia="Arial" w:hAnsi="Arial"/>
                <w:sz w:val="16"/>
                <w:szCs w:val="16"/>
                <w:b w:val="1"/>
                <w:bCs w:val="1"/>
                <w:color w:val="auto"/>
              </w:rPr>
              <w:t> Net earnings</w:t>
            </w:r>
          </w:p>
        </w:tc>
        <w:tc>
          <w:tcPr>
            <w:tcW w:w="2340" w:type="dxa"/>
            <w:vAlign w:val="bottom"/>
          </w:tcPr>
          <w:p>
            <w:pPr>
              <w:jc w:val="right"/>
              <w:ind w:right="541"/>
              <w:spacing w:after="0" w:line="171" w:lineRule="exact"/>
              <w:rPr>
                <w:sz w:val="20"/>
                <w:szCs w:val="20"/>
                <w:color w:val="auto"/>
              </w:rPr>
            </w:pPr>
            <w:r>
              <w:rPr>
                <w:rFonts w:ascii="Arial" w:cs="Arial" w:eastAsia="Arial" w:hAnsi="Arial"/>
                <w:sz w:val="16"/>
                <w:szCs w:val="16"/>
                <w:b w:val="1"/>
                <w:bCs w:val="1"/>
                <w:color w:val="auto"/>
              </w:rPr>
              <w:t>587</w:t>
            </w:r>
          </w:p>
        </w:tc>
        <w:tc>
          <w:tcPr>
            <w:tcW w:w="1680" w:type="dxa"/>
            <w:vAlign w:val="bottom"/>
          </w:tcPr>
          <w:p>
            <w:pPr>
              <w:jc w:val="right"/>
              <w:ind w:right="341"/>
              <w:spacing w:after="0" w:line="171" w:lineRule="exact"/>
              <w:rPr>
                <w:sz w:val="20"/>
                <w:szCs w:val="20"/>
                <w:color w:val="auto"/>
              </w:rPr>
            </w:pPr>
            <w:r>
              <w:rPr>
                <w:rFonts w:ascii="Arial" w:cs="Arial" w:eastAsia="Arial" w:hAnsi="Arial"/>
                <w:sz w:val="16"/>
                <w:szCs w:val="16"/>
                <w:color w:val="auto"/>
              </w:rPr>
              <w:t>678</w:t>
            </w:r>
          </w:p>
        </w:tc>
        <w:tc>
          <w:tcPr>
            <w:tcW w:w="1460" w:type="dxa"/>
            <w:vAlign w:val="bottom"/>
          </w:tcPr>
          <w:p>
            <w:pPr>
              <w:jc w:val="right"/>
              <w:ind w:right="301"/>
              <w:spacing w:after="0" w:line="171" w:lineRule="exact"/>
              <w:rPr>
                <w:sz w:val="20"/>
                <w:szCs w:val="20"/>
                <w:color w:val="auto"/>
              </w:rPr>
            </w:pPr>
            <w:r>
              <w:rPr>
                <w:rFonts w:ascii="Arial" w:cs="Arial" w:eastAsia="Arial" w:hAnsi="Arial"/>
                <w:sz w:val="16"/>
                <w:szCs w:val="16"/>
                <w:b w:val="1"/>
                <w:bCs w:val="1"/>
                <w:color w:val="auto"/>
              </w:rPr>
              <w:t>2,207</w:t>
            </w:r>
          </w:p>
        </w:tc>
        <w:tc>
          <w:tcPr>
            <w:tcW w:w="1200" w:type="dxa"/>
            <w:vAlign w:val="bottom"/>
          </w:tcPr>
          <w:p>
            <w:pPr>
              <w:jc w:val="right"/>
              <w:ind w:right="41"/>
              <w:spacing w:after="0" w:line="171" w:lineRule="exact"/>
              <w:rPr>
                <w:sz w:val="20"/>
                <w:szCs w:val="20"/>
                <w:color w:val="auto"/>
              </w:rPr>
            </w:pPr>
            <w:r>
              <w:rPr>
                <w:rFonts w:ascii="Arial" w:cs="Arial" w:eastAsia="Arial" w:hAnsi="Arial"/>
                <w:sz w:val="16"/>
                <w:szCs w:val="16"/>
                <w:color w:val="auto"/>
              </w:rPr>
              <w:t>2,695</w:t>
            </w:r>
          </w:p>
        </w:tc>
      </w:tr>
      <w:tr>
        <w:trPr>
          <w:trHeight w:val="186"/>
        </w:trPr>
        <w:tc>
          <w:tcPr>
            <w:tcW w:w="3040" w:type="dxa"/>
            <w:vAlign w:val="bottom"/>
          </w:tcPr>
          <w:p>
            <w:pPr>
              <w:spacing w:after="0"/>
              <w:rPr>
                <w:sz w:val="20"/>
                <w:szCs w:val="20"/>
                <w:color w:val="auto"/>
              </w:rPr>
            </w:pPr>
            <w:r>
              <w:rPr>
                <w:rFonts w:ascii="Arial" w:cs="Arial" w:eastAsia="Arial" w:hAnsi="Arial"/>
                <w:sz w:val="16"/>
                <w:szCs w:val="16"/>
                <w:b w:val="1"/>
                <w:bCs w:val="1"/>
                <w:color w:val="auto"/>
              </w:rPr>
              <w:t> Adjustments to remove:</w:t>
            </w:r>
          </w:p>
        </w:tc>
        <w:tc>
          <w:tcPr>
            <w:tcW w:w="2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5"/>
        </w:trPr>
        <w:tc>
          <w:tcPr>
            <w:tcW w:w="3040" w:type="dxa"/>
            <w:vAlign w:val="bottom"/>
          </w:tcPr>
          <w:p>
            <w:pPr>
              <w:ind w:left="160"/>
              <w:spacing w:after="0" w:line="185" w:lineRule="exact"/>
              <w:rPr>
                <w:sz w:val="20"/>
                <w:szCs w:val="20"/>
                <w:color w:val="auto"/>
              </w:rPr>
            </w:pPr>
            <w:r>
              <w:rPr>
                <w:rFonts w:ascii="Arial" w:cs="Arial" w:eastAsia="Arial" w:hAnsi="Arial"/>
                <w:sz w:val="16"/>
                <w:szCs w:val="16"/>
                <w:color w:val="auto"/>
              </w:rPr>
              <w:t> Fair value adjustments</w:t>
            </w:r>
            <w:r>
              <w:rPr>
                <w:rFonts w:ascii="Arial" w:cs="Arial" w:eastAsia="Arial" w:hAnsi="Arial"/>
                <w:sz w:val="19"/>
                <w:szCs w:val="19"/>
                <w:color w:val="auto"/>
                <w:vertAlign w:val="superscript"/>
              </w:rPr>
              <w:t>(1)</w:t>
            </w:r>
          </w:p>
        </w:tc>
        <w:tc>
          <w:tcPr>
            <w:tcW w:w="2340" w:type="dxa"/>
            <w:vAlign w:val="bottom"/>
          </w:tcPr>
          <w:p>
            <w:pPr>
              <w:jc w:val="right"/>
              <w:ind w:right="541"/>
              <w:spacing w:after="0"/>
              <w:rPr>
                <w:sz w:val="20"/>
                <w:szCs w:val="20"/>
                <w:color w:val="auto"/>
              </w:rPr>
            </w:pPr>
            <w:r>
              <w:rPr>
                <w:rFonts w:ascii="Arial" w:cs="Arial" w:eastAsia="Arial" w:hAnsi="Arial"/>
                <w:sz w:val="16"/>
                <w:szCs w:val="16"/>
                <w:b w:val="1"/>
                <w:bCs w:val="1"/>
                <w:color w:val="auto"/>
              </w:rPr>
              <w:t>(8)</w:t>
            </w:r>
          </w:p>
        </w:tc>
        <w:tc>
          <w:tcPr>
            <w:tcW w:w="1680" w:type="dxa"/>
            <w:vAlign w:val="bottom"/>
          </w:tcPr>
          <w:p>
            <w:pPr>
              <w:jc w:val="right"/>
              <w:ind w:right="341"/>
              <w:spacing w:after="0"/>
              <w:rPr>
                <w:sz w:val="20"/>
                <w:szCs w:val="20"/>
                <w:color w:val="auto"/>
              </w:rPr>
            </w:pPr>
            <w:r>
              <w:rPr>
                <w:rFonts w:ascii="Arial" w:cs="Arial" w:eastAsia="Arial" w:hAnsi="Arial"/>
                <w:sz w:val="16"/>
                <w:szCs w:val="16"/>
                <w:color w:val="auto"/>
              </w:rPr>
              <w:t>4</w:t>
            </w:r>
          </w:p>
        </w:tc>
        <w:tc>
          <w:tcPr>
            <w:tcW w:w="1460" w:type="dxa"/>
            <w:vAlign w:val="bottom"/>
          </w:tcPr>
          <w:p>
            <w:pPr>
              <w:jc w:val="right"/>
              <w:ind w:right="301"/>
              <w:spacing w:after="0"/>
              <w:rPr>
                <w:sz w:val="20"/>
                <w:szCs w:val="20"/>
                <w:color w:val="auto"/>
              </w:rPr>
            </w:pPr>
            <w:r>
              <w:rPr>
                <w:rFonts w:ascii="Arial" w:cs="Arial" w:eastAsia="Arial" w:hAnsi="Arial"/>
                <w:sz w:val="16"/>
                <w:szCs w:val="16"/>
                <w:b w:val="1"/>
                <w:bCs w:val="1"/>
                <w:color w:val="auto"/>
              </w:rPr>
              <w:t>(8)</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18</w:t>
            </w:r>
          </w:p>
        </w:tc>
      </w:tr>
      <w:tr>
        <w:trPr>
          <w:trHeight w:val="186"/>
        </w:trPr>
        <w:tc>
          <w:tcPr>
            <w:tcW w:w="3040" w:type="dxa"/>
            <w:vAlign w:val="bottom"/>
          </w:tcPr>
          <w:p>
            <w:pPr>
              <w:ind w:left="180"/>
              <w:spacing w:after="0"/>
              <w:rPr>
                <w:sz w:val="20"/>
                <w:szCs w:val="20"/>
                <w:color w:val="auto"/>
              </w:rPr>
            </w:pPr>
            <w:r>
              <w:rPr>
                <w:rFonts w:ascii="Arial" w:cs="Arial" w:eastAsia="Arial" w:hAnsi="Arial"/>
                <w:sz w:val="16"/>
                <w:szCs w:val="16"/>
                <w:color w:val="auto"/>
              </w:rPr>
              <w:t> Amortization of acquired computer</w:t>
            </w:r>
          </w:p>
        </w:tc>
        <w:tc>
          <w:tcPr>
            <w:tcW w:w="2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6"/>
        </w:trPr>
        <w:tc>
          <w:tcPr>
            <w:tcW w:w="3040" w:type="dxa"/>
            <w:vAlign w:val="bottom"/>
          </w:tcPr>
          <w:p>
            <w:pPr>
              <w:ind w:left="360"/>
              <w:spacing w:after="0"/>
              <w:rPr>
                <w:sz w:val="20"/>
                <w:szCs w:val="20"/>
                <w:color w:val="auto"/>
              </w:rPr>
            </w:pPr>
            <w:r>
              <w:rPr>
                <w:rFonts w:ascii="Arial" w:cs="Arial" w:eastAsia="Arial" w:hAnsi="Arial"/>
                <w:sz w:val="16"/>
                <w:szCs w:val="16"/>
                <w:color w:val="auto"/>
              </w:rPr>
              <w:t>software</w:t>
            </w:r>
          </w:p>
        </w:tc>
        <w:tc>
          <w:tcPr>
            <w:tcW w:w="2340" w:type="dxa"/>
            <w:vAlign w:val="bottom"/>
          </w:tcPr>
          <w:p>
            <w:pPr>
              <w:jc w:val="right"/>
              <w:ind w:right="541"/>
              <w:spacing w:after="0"/>
              <w:rPr>
                <w:sz w:val="20"/>
                <w:szCs w:val="20"/>
                <w:color w:val="auto"/>
              </w:rPr>
            </w:pPr>
            <w:r>
              <w:rPr>
                <w:rFonts w:ascii="Arial" w:cs="Arial" w:eastAsia="Arial" w:hAnsi="Arial"/>
                <w:sz w:val="16"/>
                <w:szCs w:val="16"/>
                <w:b w:val="1"/>
                <w:bCs w:val="1"/>
                <w:color w:val="auto"/>
              </w:rPr>
              <w:t>38</w:t>
            </w:r>
          </w:p>
        </w:tc>
        <w:tc>
          <w:tcPr>
            <w:tcW w:w="1680" w:type="dxa"/>
            <w:vAlign w:val="bottom"/>
          </w:tcPr>
          <w:p>
            <w:pPr>
              <w:jc w:val="right"/>
              <w:ind w:right="341"/>
              <w:spacing w:after="0"/>
              <w:rPr>
                <w:sz w:val="20"/>
                <w:szCs w:val="20"/>
                <w:color w:val="auto"/>
              </w:rPr>
            </w:pPr>
            <w:r>
              <w:rPr>
                <w:rFonts w:ascii="Arial" w:cs="Arial" w:eastAsia="Arial" w:hAnsi="Arial"/>
                <w:sz w:val="16"/>
                <w:szCs w:val="16"/>
                <w:color w:val="auto"/>
              </w:rPr>
              <w:t>24</w:t>
            </w:r>
          </w:p>
        </w:tc>
        <w:tc>
          <w:tcPr>
            <w:tcW w:w="1460" w:type="dxa"/>
            <w:vAlign w:val="bottom"/>
          </w:tcPr>
          <w:p>
            <w:pPr>
              <w:jc w:val="right"/>
              <w:ind w:right="301"/>
              <w:spacing w:after="0"/>
              <w:rPr>
                <w:sz w:val="20"/>
                <w:szCs w:val="20"/>
                <w:color w:val="auto"/>
              </w:rPr>
            </w:pPr>
            <w:r>
              <w:rPr>
                <w:rFonts w:ascii="Arial" w:cs="Arial" w:eastAsia="Arial" w:hAnsi="Arial"/>
                <w:sz w:val="16"/>
                <w:szCs w:val="16"/>
                <w:b w:val="1"/>
                <w:bCs w:val="1"/>
                <w:color w:val="auto"/>
              </w:rPr>
              <w:t>147</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72</w:t>
            </w:r>
          </w:p>
        </w:tc>
      </w:tr>
      <w:tr>
        <w:trPr>
          <w:trHeight w:val="185"/>
        </w:trPr>
        <w:tc>
          <w:tcPr>
            <w:tcW w:w="3040" w:type="dxa"/>
            <w:vAlign w:val="bottom"/>
          </w:tcPr>
          <w:p>
            <w:pPr>
              <w:ind w:left="180"/>
              <w:spacing w:after="0"/>
              <w:rPr>
                <w:sz w:val="20"/>
                <w:szCs w:val="20"/>
                <w:color w:val="auto"/>
              </w:rPr>
            </w:pPr>
            <w:r>
              <w:rPr>
                <w:rFonts w:ascii="Arial" w:cs="Arial" w:eastAsia="Arial" w:hAnsi="Arial"/>
                <w:sz w:val="16"/>
                <w:szCs w:val="16"/>
                <w:color w:val="auto"/>
              </w:rPr>
              <w:t> Amortization of other identifiable</w:t>
            </w:r>
          </w:p>
        </w:tc>
        <w:tc>
          <w:tcPr>
            <w:tcW w:w="2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6"/>
        </w:trPr>
        <w:tc>
          <w:tcPr>
            <w:tcW w:w="3040" w:type="dxa"/>
            <w:vAlign w:val="bottom"/>
          </w:tcPr>
          <w:p>
            <w:pPr>
              <w:ind w:left="360"/>
              <w:spacing w:after="0"/>
              <w:rPr>
                <w:sz w:val="20"/>
                <w:szCs w:val="20"/>
                <w:color w:val="auto"/>
              </w:rPr>
            </w:pPr>
            <w:r>
              <w:rPr>
                <w:rFonts w:ascii="Arial" w:cs="Arial" w:eastAsia="Arial" w:hAnsi="Arial"/>
                <w:sz w:val="16"/>
                <w:szCs w:val="16"/>
                <w:color w:val="auto"/>
              </w:rPr>
              <w:t>intangible assets</w:t>
            </w:r>
          </w:p>
        </w:tc>
        <w:tc>
          <w:tcPr>
            <w:tcW w:w="2340" w:type="dxa"/>
            <w:vAlign w:val="bottom"/>
          </w:tcPr>
          <w:p>
            <w:pPr>
              <w:jc w:val="right"/>
              <w:ind w:right="541"/>
              <w:spacing w:after="0"/>
              <w:rPr>
                <w:sz w:val="20"/>
                <w:szCs w:val="20"/>
                <w:color w:val="auto"/>
              </w:rPr>
            </w:pPr>
            <w:r>
              <w:rPr>
                <w:rFonts w:ascii="Arial" w:cs="Arial" w:eastAsia="Arial" w:hAnsi="Arial"/>
                <w:sz w:val="16"/>
                <w:szCs w:val="16"/>
                <w:b w:val="1"/>
                <w:bCs w:val="1"/>
                <w:color w:val="auto"/>
              </w:rPr>
              <w:t>22</w:t>
            </w:r>
          </w:p>
        </w:tc>
        <w:tc>
          <w:tcPr>
            <w:tcW w:w="1680" w:type="dxa"/>
            <w:vAlign w:val="bottom"/>
          </w:tcPr>
          <w:p>
            <w:pPr>
              <w:jc w:val="right"/>
              <w:ind w:right="341"/>
              <w:spacing w:after="0"/>
              <w:rPr>
                <w:sz w:val="20"/>
                <w:szCs w:val="20"/>
                <w:color w:val="auto"/>
              </w:rPr>
            </w:pPr>
            <w:r>
              <w:rPr>
                <w:rFonts w:ascii="Arial" w:cs="Arial" w:eastAsia="Arial" w:hAnsi="Arial"/>
                <w:sz w:val="16"/>
                <w:szCs w:val="16"/>
                <w:color w:val="auto"/>
              </w:rPr>
              <w:t>25</w:t>
            </w:r>
          </w:p>
        </w:tc>
        <w:tc>
          <w:tcPr>
            <w:tcW w:w="1460" w:type="dxa"/>
            <w:vAlign w:val="bottom"/>
          </w:tcPr>
          <w:p>
            <w:pPr>
              <w:jc w:val="right"/>
              <w:ind w:right="301"/>
              <w:spacing w:after="0"/>
              <w:rPr>
                <w:sz w:val="20"/>
                <w:szCs w:val="20"/>
                <w:color w:val="auto"/>
              </w:rPr>
            </w:pPr>
            <w:r>
              <w:rPr>
                <w:rFonts w:ascii="Arial" w:cs="Arial" w:eastAsia="Arial" w:hAnsi="Arial"/>
                <w:sz w:val="16"/>
                <w:szCs w:val="16"/>
                <w:b w:val="1"/>
                <w:bCs w:val="1"/>
                <w:color w:val="auto"/>
              </w:rPr>
              <w:t>91</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97</w:t>
            </w:r>
          </w:p>
        </w:tc>
      </w:tr>
      <w:tr>
        <w:trPr>
          <w:trHeight w:val="185"/>
        </w:trPr>
        <w:tc>
          <w:tcPr>
            <w:tcW w:w="3040" w:type="dxa"/>
            <w:vAlign w:val="bottom"/>
          </w:tcPr>
          <w:p>
            <w:pPr>
              <w:ind w:left="160"/>
              <w:spacing w:after="0"/>
              <w:rPr>
                <w:sz w:val="20"/>
                <w:szCs w:val="20"/>
                <w:color w:val="auto"/>
              </w:rPr>
            </w:pPr>
            <w:r>
              <w:rPr>
                <w:rFonts w:ascii="Arial" w:cs="Arial" w:eastAsia="Arial" w:hAnsi="Arial"/>
                <w:sz w:val="16"/>
                <w:szCs w:val="16"/>
                <w:color w:val="auto"/>
              </w:rPr>
              <w:t> Other operating gains, net</w:t>
            </w:r>
          </w:p>
        </w:tc>
        <w:tc>
          <w:tcPr>
            <w:tcW w:w="2340" w:type="dxa"/>
            <w:vAlign w:val="bottom"/>
          </w:tcPr>
          <w:p>
            <w:pPr>
              <w:jc w:val="right"/>
              <w:ind w:right="541"/>
              <w:spacing w:after="0"/>
              <w:rPr>
                <w:sz w:val="20"/>
                <w:szCs w:val="20"/>
                <w:color w:val="auto"/>
              </w:rPr>
            </w:pPr>
            <w:r>
              <w:rPr>
                <w:rFonts w:ascii="Arial" w:cs="Arial" w:eastAsia="Arial" w:hAnsi="Arial"/>
                <w:sz w:val="16"/>
                <w:szCs w:val="16"/>
                <w:b w:val="1"/>
                <w:bCs w:val="1"/>
                <w:color w:val="auto"/>
              </w:rPr>
              <w:t>(204)</w:t>
            </w:r>
          </w:p>
        </w:tc>
        <w:tc>
          <w:tcPr>
            <w:tcW w:w="1680" w:type="dxa"/>
            <w:vAlign w:val="bottom"/>
          </w:tcPr>
          <w:p>
            <w:pPr>
              <w:jc w:val="right"/>
              <w:ind w:right="341"/>
              <w:spacing w:after="0"/>
              <w:rPr>
                <w:sz w:val="20"/>
                <w:szCs w:val="20"/>
                <w:color w:val="auto"/>
              </w:rPr>
            </w:pPr>
            <w:r>
              <w:rPr>
                <w:rFonts w:ascii="Arial" w:cs="Arial" w:eastAsia="Arial" w:hAnsi="Arial"/>
                <w:sz w:val="16"/>
                <w:szCs w:val="16"/>
                <w:color w:val="auto"/>
              </w:rPr>
              <w:t>(44)</w:t>
            </w:r>
          </w:p>
        </w:tc>
        <w:tc>
          <w:tcPr>
            <w:tcW w:w="1460" w:type="dxa"/>
            <w:vAlign w:val="bottom"/>
          </w:tcPr>
          <w:p>
            <w:pPr>
              <w:jc w:val="right"/>
              <w:ind w:right="301"/>
              <w:spacing w:after="0"/>
              <w:rPr>
                <w:sz w:val="20"/>
                <w:szCs w:val="20"/>
                <w:color w:val="auto"/>
              </w:rPr>
            </w:pPr>
            <w:r>
              <w:rPr>
                <w:rFonts w:ascii="Arial" w:cs="Arial" w:eastAsia="Arial" w:hAnsi="Arial"/>
                <w:sz w:val="16"/>
                <w:szCs w:val="16"/>
                <w:b w:val="1"/>
                <w:bCs w:val="1"/>
                <w:color w:val="auto"/>
              </w:rPr>
              <w:t>(144)</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(397)</w:t>
            </w:r>
          </w:p>
        </w:tc>
      </w:tr>
      <w:tr>
        <w:trPr>
          <w:trHeight w:val="186"/>
        </w:trPr>
        <w:tc>
          <w:tcPr>
            <w:tcW w:w="3040" w:type="dxa"/>
            <w:vAlign w:val="bottom"/>
          </w:tcPr>
          <w:p>
            <w:pPr>
              <w:ind w:left="160"/>
              <w:spacing w:after="0"/>
              <w:rPr>
                <w:sz w:val="20"/>
                <w:szCs w:val="20"/>
                <w:color w:val="auto"/>
              </w:rPr>
            </w:pPr>
            <w:r>
              <w:rPr>
                <w:rFonts w:ascii="Arial" w:cs="Arial" w:eastAsia="Arial" w:hAnsi="Arial"/>
                <w:sz w:val="16"/>
                <w:szCs w:val="16"/>
                <w:color w:val="auto"/>
              </w:rPr>
              <w:t> Interest benefit impacting</w:t>
            </w:r>
          </w:p>
        </w:tc>
        <w:tc>
          <w:tcPr>
            <w:tcW w:w="2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6"/>
        </w:trPr>
        <w:tc>
          <w:tcPr>
            <w:tcW w:w="3040" w:type="dxa"/>
            <w:vAlign w:val="bottom"/>
          </w:tcPr>
          <w:p>
            <w:pPr>
              <w:ind w:left="240"/>
              <w:spacing w:after="0" w:line="185" w:lineRule="exact"/>
              <w:rPr>
                <w:sz w:val="20"/>
                <w:szCs w:val="20"/>
                <w:color w:val="auto"/>
              </w:rPr>
            </w:pPr>
            <w:r>
              <w:rPr>
                <w:rFonts w:ascii="Arial" w:cs="Arial" w:eastAsia="Arial" w:hAnsi="Arial"/>
                <w:sz w:val="16"/>
                <w:szCs w:val="16"/>
                <w:color w:val="auto"/>
              </w:rPr>
              <w:t>comparability</w:t>
            </w:r>
            <w:r>
              <w:rPr>
                <w:rFonts w:ascii="Arial" w:cs="Arial" w:eastAsia="Arial" w:hAnsi="Arial"/>
                <w:sz w:val="19"/>
                <w:szCs w:val="19"/>
                <w:color w:val="auto"/>
                <w:vertAlign w:val="superscript"/>
              </w:rPr>
              <w:t>(2)(3)</w:t>
            </w:r>
          </w:p>
        </w:tc>
        <w:tc>
          <w:tcPr>
            <w:tcW w:w="2340" w:type="dxa"/>
            <w:vAlign w:val="bottom"/>
          </w:tcPr>
          <w:p>
            <w:pPr>
              <w:jc w:val="right"/>
              <w:ind w:right="541"/>
              <w:spacing w:after="0"/>
              <w:rPr>
                <w:sz w:val="20"/>
                <w:szCs w:val="20"/>
                <w:color w:val="auto"/>
              </w:rPr>
            </w:pPr>
            <w:r>
              <w:rPr>
                <w:rFonts w:ascii="Arial" w:cs="Arial" w:eastAsia="Arial" w:hAnsi="Arial"/>
                <w:sz w:val="16"/>
                <w:szCs w:val="16"/>
                <w:b w:val="1"/>
                <w:bCs w:val="1"/>
                <w:color w:val="auto"/>
              </w:rPr>
              <w:t>-</w:t>
            </w:r>
          </w:p>
        </w:tc>
        <w:tc>
          <w:tcPr>
            <w:tcW w:w="168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01"/>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(12)</w:t>
            </w:r>
          </w:p>
        </w:tc>
      </w:tr>
      <w:tr>
        <w:trPr>
          <w:trHeight w:val="185"/>
        </w:trPr>
        <w:tc>
          <w:tcPr>
            <w:tcW w:w="3040" w:type="dxa"/>
            <w:vAlign w:val="bottom"/>
          </w:tcPr>
          <w:p>
            <w:pPr>
              <w:ind w:left="160"/>
              <w:spacing w:after="0"/>
              <w:rPr>
                <w:sz w:val="20"/>
                <w:szCs w:val="20"/>
                <w:color w:val="auto"/>
              </w:rPr>
            </w:pPr>
            <w:r>
              <w:rPr>
                <w:rFonts w:ascii="Arial" w:cs="Arial" w:eastAsia="Arial" w:hAnsi="Arial"/>
                <w:sz w:val="16"/>
                <w:szCs w:val="16"/>
                <w:color w:val="auto"/>
              </w:rPr>
              <w:t> Other finance (income) costs</w:t>
            </w:r>
          </w:p>
        </w:tc>
        <w:tc>
          <w:tcPr>
            <w:tcW w:w="2340" w:type="dxa"/>
            <w:vAlign w:val="bottom"/>
          </w:tcPr>
          <w:p>
            <w:pPr>
              <w:jc w:val="right"/>
              <w:ind w:right="541"/>
              <w:spacing w:after="0"/>
              <w:rPr>
                <w:sz w:val="20"/>
                <w:szCs w:val="20"/>
                <w:color w:val="auto"/>
              </w:rPr>
            </w:pPr>
            <w:r>
              <w:rPr>
                <w:rFonts w:ascii="Arial" w:cs="Arial" w:eastAsia="Arial" w:hAnsi="Arial"/>
                <w:sz w:val="16"/>
                <w:szCs w:val="16"/>
                <w:b w:val="1"/>
                <w:bCs w:val="1"/>
                <w:color w:val="auto"/>
              </w:rPr>
              <w:t>(53)</w:t>
            </w:r>
          </w:p>
        </w:tc>
        <w:tc>
          <w:tcPr>
            <w:tcW w:w="1680" w:type="dxa"/>
            <w:vAlign w:val="bottom"/>
          </w:tcPr>
          <w:p>
            <w:pPr>
              <w:jc w:val="right"/>
              <w:ind w:right="341"/>
              <w:spacing w:after="0"/>
              <w:rPr>
                <w:sz w:val="20"/>
                <w:szCs w:val="20"/>
                <w:color w:val="auto"/>
              </w:rPr>
            </w:pPr>
            <w:r>
              <w:rPr>
                <w:rFonts w:ascii="Arial" w:cs="Arial" w:eastAsia="Arial" w:hAnsi="Arial"/>
                <w:sz w:val="16"/>
                <w:szCs w:val="16"/>
                <w:color w:val="auto"/>
              </w:rPr>
              <w:t>117</w:t>
            </w:r>
          </w:p>
        </w:tc>
        <w:tc>
          <w:tcPr>
            <w:tcW w:w="1460" w:type="dxa"/>
            <w:vAlign w:val="bottom"/>
          </w:tcPr>
          <w:p>
            <w:pPr>
              <w:jc w:val="right"/>
              <w:ind w:right="301"/>
              <w:spacing w:after="0"/>
              <w:rPr>
                <w:sz w:val="20"/>
                <w:szCs w:val="20"/>
                <w:color w:val="auto"/>
              </w:rPr>
            </w:pPr>
            <w:r>
              <w:rPr>
                <w:rFonts w:ascii="Arial" w:cs="Arial" w:eastAsia="Arial" w:hAnsi="Arial"/>
                <w:sz w:val="16"/>
                <w:szCs w:val="16"/>
                <w:b w:val="1"/>
                <w:bCs w:val="1"/>
                <w:color w:val="auto"/>
              </w:rPr>
              <w:t>(45)</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192</w:t>
            </w:r>
          </w:p>
        </w:tc>
      </w:tr>
      <w:tr>
        <w:trPr>
          <w:trHeight w:val="186"/>
        </w:trPr>
        <w:tc>
          <w:tcPr>
            <w:tcW w:w="3040" w:type="dxa"/>
            <w:vAlign w:val="bottom"/>
          </w:tcPr>
          <w:p>
            <w:pPr>
              <w:ind w:left="160"/>
              <w:spacing w:after="0"/>
              <w:rPr>
                <w:sz w:val="20"/>
                <w:szCs w:val="20"/>
                <w:color w:val="auto"/>
              </w:rPr>
            </w:pPr>
            <w:r>
              <w:rPr>
                <w:rFonts w:ascii="Arial" w:cs="Arial" w:eastAsia="Arial" w:hAnsi="Arial"/>
                <w:sz w:val="16"/>
                <w:szCs w:val="16"/>
                <w:color w:val="auto"/>
              </w:rPr>
              <w:t> Share of post-tax losses (earnings) in</w:t>
            </w:r>
          </w:p>
        </w:tc>
        <w:tc>
          <w:tcPr>
            <w:tcW w:w="2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5"/>
        </w:trPr>
        <w:tc>
          <w:tcPr>
            <w:tcW w:w="3040" w:type="dxa"/>
            <w:vAlign w:val="bottom"/>
          </w:tcPr>
          <w:p>
            <w:pPr>
              <w:ind w:left="360"/>
              <w:spacing w:after="0"/>
              <w:rPr>
                <w:sz w:val="20"/>
                <w:szCs w:val="20"/>
                <w:color w:val="auto"/>
              </w:rPr>
            </w:pPr>
            <w:r>
              <w:rPr>
                <w:rFonts w:ascii="Arial" w:cs="Arial" w:eastAsia="Arial" w:hAnsi="Arial"/>
                <w:sz w:val="16"/>
                <w:szCs w:val="16"/>
                <w:color w:val="auto"/>
              </w:rPr>
              <w:t>equity method investments</w:t>
            </w:r>
          </w:p>
        </w:tc>
        <w:tc>
          <w:tcPr>
            <w:tcW w:w="2340" w:type="dxa"/>
            <w:vAlign w:val="bottom"/>
          </w:tcPr>
          <w:p>
            <w:pPr>
              <w:jc w:val="right"/>
              <w:ind w:right="541"/>
              <w:spacing w:after="0"/>
              <w:rPr>
                <w:sz w:val="20"/>
                <w:szCs w:val="20"/>
                <w:color w:val="auto"/>
              </w:rPr>
            </w:pPr>
            <w:r>
              <w:rPr>
                <w:rFonts w:ascii="Arial" w:cs="Arial" w:eastAsia="Arial" w:hAnsi="Arial"/>
                <w:sz w:val="16"/>
                <w:szCs w:val="16"/>
                <w:b w:val="1"/>
                <w:bCs w:val="1"/>
                <w:color w:val="auto"/>
              </w:rPr>
              <w:t>5</w:t>
            </w:r>
          </w:p>
        </w:tc>
        <w:tc>
          <w:tcPr>
            <w:tcW w:w="1680" w:type="dxa"/>
            <w:vAlign w:val="bottom"/>
          </w:tcPr>
          <w:p>
            <w:pPr>
              <w:jc w:val="right"/>
              <w:ind w:right="341"/>
              <w:spacing w:after="0"/>
              <w:rPr>
                <w:sz w:val="20"/>
                <w:szCs w:val="20"/>
                <w:color w:val="auto"/>
              </w:rPr>
            </w:pPr>
            <w:r>
              <w:rPr>
                <w:rFonts w:ascii="Arial" w:cs="Arial" w:eastAsia="Arial" w:hAnsi="Arial"/>
                <w:sz w:val="16"/>
                <w:szCs w:val="16"/>
                <w:color w:val="auto"/>
              </w:rPr>
              <w:t>(260)</w:t>
            </w:r>
          </w:p>
        </w:tc>
        <w:tc>
          <w:tcPr>
            <w:tcW w:w="1460" w:type="dxa"/>
            <w:vAlign w:val="bottom"/>
          </w:tcPr>
          <w:p>
            <w:pPr>
              <w:jc w:val="right"/>
              <w:ind w:right="301"/>
              <w:spacing w:after="0"/>
              <w:rPr>
                <w:sz w:val="20"/>
                <w:szCs w:val="20"/>
                <w:color w:val="auto"/>
              </w:rPr>
            </w:pPr>
            <w:r>
              <w:rPr>
                <w:rFonts w:ascii="Arial" w:cs="Arial" w:eastAsia="Arial" w:hAnsi="Arial"/>
                <w:sz w:val="16"/>
                <w:szCs w:val="16"/>
                <w:b w:val="1"/>
                <w:bCs w:val="1"/>
                <w:color w:val="auto"/>
              </w:rPr>
              <w:t>(40)</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(1,075)</w:t>
            </w:r>
          </w:p>
        </w:tc>
      </w:tr>
      <w:tr>
        <w:trPr>
          <w:trHeight w:val="186"/>
        </w:trPr>
        <w:tc>
          <w:tcPr>
            <w:tcW w:w="3040" w:type="dxa"/>
            <w:vAlign w:val="bottom"/>
          </w:tcPr>
          <w:p>
            <w:pPr>
              <w:ind w:left="160"/>
              <w:spacing w:after="0" w:line="185" w:lineRule="exact"/>
              <w:rPr>
                <w:sz w:val="20"/>
                <w:szCs w:val="20"/>
                <w:color w:val="auto"/>
              </w:rPr>
            </w:pPr>
            <w:r>
              <w:rPr>
                <w:rFonts w:ascii="Arial" w:cs="Arial" w:eastAsia="Arial" w:hAnsi="Arial"/>
                <w:sz w:val="16"/>
                <w:szCs w:val="16"/>
                <w:color w:val="auto"/>
              </w:rPr>
              <w:t> Tax on above items</w:t>
            </w:r>
            <w:r>
              <w:rPr>
                <w:rFonts w:ascii="Arial" w:cs="Arial" w:eastAsia="Arial" w:hAnsi="Arial"/>
                <w:sz w:val="19"/>
                <w:szCs w:val="19"/>
                <w:color w:val="auto"/>
                <w:vertAlign w:val="superscript"/>
              </w:rPr>
              <w:t>(3)</w:t>
            </w:r>
          </w:p>
        </w:tc>
        <w:tc>
          <w:tcPr>
            <w:tcW w:w="2340" w:type="dxa"/>
            <w:vAlign w:val="bottom"/>
          </w:tcPr>
          <w:p>
            <w:pPr>
              <w:jc w:val="right"/>
              <w:ind w:right="541"/>
              <w:spacing w:after="0"/>
              <w:rPr>
                <w:sz w:val="20"/>
                <w:szCs w:val="20"/>
                <w:color w:val="auto"/>
              </w:rPr>
            </w:pPr>
            <w:r>
              <w:rPr>
                <w:rFonts w:ascii="Arial" w:cs="Arial" w:eastAsia="Arial" w:hAnsi="Arial"/>
                <w:sz w:val="16"/>
                <w:szCs w:val="16"/>
                <w:b w:val="1"/>
                <w:bCs w:val="1"/>
                <w:color w:val="auto"/>
              </w:rPr>
              <w:t>36</w:t>
            </w:r>
          </w:p>
        </w:tc>
        <w:tc>
          <w:tcPr>
            <w:tcW w:w="1680" w:type="dxa"/>
            <w:vAlign w:val="bottom"/>
          </w:tcPr>
          <w:p>
            <w:pPr>
              <w:jc w:val="right"/>
              <w:ind w:right="341"/>
              <w:spacing w:after="0"/>
              <w:rPr>
                <w:sz w:val="20"/>
                <w:szCs w:val="20"/>
                <w:color w:val="auto"/>
              </w:rPr>
            </w:pPr>
            <w:r>
              <w:rPr>
                <w:rFonts w:ascii="Arial" w:cs="Arial" w:eastAsia="Arial" w:hAnsi="Arial"/>
                <w:sz w:val="16"/>
                <w:szCs w:val="16"/>
                <w:color w:val="auto"/>
              </w:rPr>
              <w:t>38</w:t>
            </w:r>
          </w:p>
        </w:tc>
        <w:tc>
          <w:tcPr>
            <w:tcW w:w="1460" w:type="dxa"/>
            <w:vAlign w:val="bottom"/>
          </w:tcPr>
          <w:p>
            <w:pPr>
              <w:jc w:val="right"/>
              <w:ind w:right="301"/>
              <w:spacing w:after="0"/>
              <w:rPr>
                <w:sz w:val="20"/>
                <w:szCs w:val="20"/>
                <w:color w:val="auto"/>
              </w:rPr>
            </w:pPr>
            <w:r>
              <w:rPr>
                <w:rFonts w:ascii="Arial" w:cs="Arial" w:eastAsia="Arial" w:hAnsi="Arial"/>
                <w:sz w:val="16"/>
                <w:szCs w:val="16"/>
                <w:b w:val="1"/>
                <w:bCs w:val="1"/>
                <w:color w:val="auto"/>
              </w:rPr>
              <w:t>(9)</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265</w:t>
            </w:r>
          </w:p>
        </w:tc>
      </w:tr>
      <w:tr>
        <w:trPr>
          <w:trHeight w:val="185"/>
        </w:trPr>
        <w:tc>
          <w:tcPr>
            <w:tcW w:w="3040" w:type="dxa"/>
            <w:vAlign w:val="bottom"/>
          </w:tcPr>
          <w:p>
            <w:pPr>
              <w:ind w:left="160"/>
              <w:spacing w:after="0" w:line="185" w:lineRule="exact"/>
              <w:rPr>
                <w:sz w:val="20"/>
                <w:szCs w:val="20"/>
                <w:color w:val="auto"/>
              </w:rPr>
            </w:pPr>
            <w:r>
              <w:rPr>
                <w:rFonts w:ascii="Arial" w:cs="Arial" w:eastAsia="Arial" w:hAnsi="Arial"/>
                <w:sz w:val="16"/>
                <w:szCs w:val="16"/>
                <w:color w:val="auto"/>
              </w:rPr>
              <w:t> Tax items impacting comparability</w:t>
            </w:r>
            <w:r>
              <w:rPr>
                <w:rFonts w:ascii="Arial" w:cs="Arial" w:eastAsia="Arial" w:hAnsi="Arial"/>
                <w:sz w:val="19"/>
                <w:szCs w:val="19"/>
                <w:color w:val="auto"/>
                <w:vertAlign w:val="superscript"/>
              </w:rPr>
              <w:t>(2)(3)</w:t>
            </w:r>
          </w:p>
        </w:tc>
        <w:tc>
          <w:tcPr>
            <w:tcW w:w="2340" w:type="dxa"/>
            <w:vAlign w:val="bottom"/>
          </w:tcPr>
          <w:p>
            <w:pPr>
              <w:jc w:val="right"/>
              <w:ind w:right="541"/>
              <w:spacing w:after="0"/>
              <w:rPr>
                <w:sz w:val="20"/>
                <w:szCs w:val="20"/>
                <w:color w:val="auto"/>
              </w:rPr>
            </w:pPr>
            <w:r>
              <w:rPr>
                <w:rFonts w:ascii="Arial" w:cs="Arial" w:eastAsia="Arial" w:hAnsi="Arial"/>
                <w:sz w:val="16"/>
                <w:szCs w:val="16"/>
                <w:b w:val="1"/>
                <w:bCs w:val="1"/>
                <w:color w:val="auto"/>
              </w:rPr>
              <w:t>5</w:t>
            </w:r>
          </w:p>
        </w:tc>
        <w:tc>
          <w:tcPr>
            <w:tcW w:w="1680" w:type="dxa"/>
            <w:vAlign w:val="bottom"/>
          </w:tcPr>
          <w:p>
            <w:pPr>
              <w:jc w:val="right"/>
              <w:ind w:right="341"/>
              <w:spacing w:after="0"/>
              <w:rPr>
                <w:sz w:val="20"/>
                <w:szCs w:val="20"/>
                <w:color w:val="auto"/>
              </w:rPr>
            </w:pPr>
            <w:r>
              <w:rPr>
                <w:rFonts w:ascii="Arial" w:cs="Arial" w:eastAsia="Arial" w:hAnsi="Arial"/>
                <w:sz w:val="16"/>
                <w:szCs w:val="16"/>
                <w:color w:val="auto"/>
              </w:rPr>
              <w:t>(108)</w:t>
            </w:r>
          </w:p>
        </w:tc>
        <w:tc>
          <w:tcPr>
            <w:tcW w:w="1460" w:type="dxa"/>
            <w:vAlign w:val="bottom"/>
          </w:tcPr>
          <w:p>
            <w:pPr>
              <w:jc w:val="right"/>
              <w:ind w:right="301"/>
              <w:spacing w:after="0"/>
              <w:rPr>
                <w:sz w:val="20"/>
                <w:szCs w:val="20"/>
                <w:color w:val="auto"/>
              </w:rPr>
            </w:pPr>
            <w:r>
              <w:rPr>
                <w:rFonts w:ascii="Arial" w:cs="Arial" w:eastAsia="Arial" w:hAnsi="Arial"/>
                <w:sz w:val="16"/>
                <w:szCs w:val="16"/>
                <w:b w:val="1"/>
                <w:bCs w:val="1"/>
                <w:color w:val="auto"/>
              </w:rPr>
              <w:t>(478)</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(172)</w:t>
            </w:r>
          </w:p>
        </w:tc>
      </w:tr>
      <w:tr>
        <w:trPr>
          <w:trHeight w:val="186"/>
        </w:trPr>
        <w:tc>
          <w:tcPr>
            <w:tcW w:w="3040" w:type="dxa"/>
            <w:vAlign w:val="bottom"/>
          </w:tcPr>
          <w:p>
            <w:pPr>
              <w:ind w:left="180"/>
              <w:spacing w:after="0"/>
              <w:rPr>
                <w:sz w:val="20"/>
                <w:szCs w:val="20"/>
                <w:color w:val="auto"/>
              </w:rPr>
            </w:pPr>
            <w:r>
              <w:rPr>
                <w:rFonts w:ascii="Arial" w:cs="Arial" w:eastAsia="Arial" w:hAnsi="Arial"/>
                <w:sz w:val="16"/>
                <w:szCs w:val="16"/>
                <w:color w:val="auto"/>
              </w:rPr>
              <w:t> Loss (earnings) loss from discontinued</w:t>
            </w:r>
          </w:p>
        </w:tc>
        <w:tc>
          <w:tcPr>
            <w:tcW w:w="2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6"/>
        </w:trPr>
        <w:tc>
          <w:tcPr>
            <w:tcW w:w="3040" w:type="dxa"/>
            <w:vAlign w:val="bottom"/>
          </w:tcPr>
          <w:p>
            <w:pPr>
              <w:ind w:left="360"/>
              <w:spacing w:after="0"/>
              <w:rPr>
                <w:sz w:val="20"/>
                <w:szCs w:val="20"/>
                <w:color w:val="auto"/>
              </w:rPr>
            </w:pPr>
            <w:r>
              <w:rPr>
                <w:rFonts w:ascii="Arial" w:cs="Arial" w:eastAsia="Arial" w:hAnsi="Arial"/>
                <w:sz w:val="16"/>
                <w:szCs w:val="16"/>
                <w:color w:val="auto"/>
              </w:rPr>
              <w:t>operations, net of tax</w:t>
            </w:r>
          </w:p>
        </w:tc>
        <w:tc>
          <w:tcPr>
            <w:tcW w:w="2340" w:type="dxa"/>
            <w:vAlign w:val="bottom"/>
          </w:tcPr>
          <w:p>
            <w:pPr>
              <w:jc w:val="right"/>
              <w:ind w:right="541"/>
              <w:spacing w:after="0"/>
              <w:rPr>
                <w:sz w:val="20"/>
                <w:szCs w:val="20"/>
                <w:color w:val="auto"/>
              </w:rPr>
            </w:pPr>
            <w:r>
              <w:rPr>
                <w:rFonts w:ascii="Arial" w:cs="Arial" w:eastAsia="Arial" w:hAnsi="Arial"/>
                <w:sz w:val="16"/>
                <w:szCs w:val="16"/>
                <w:b w:val="1"/>
                <w:bCs w:val="1"/>
                <w:color w:val="auto"/>
              </w:rPr>
              <w:t>20</w:t>
            </w:r>
          </w:p>
        </w:tc>
        <w:tc>
          <w:tcPr>
            <w:tcW w:w="1680" w:type="dxa"/>
            <w:vAlign w:val="bottom"/>
          </w:tcPr>
          <w:p>
            <w:pPr>
              <w:jc w:val="right"/>
              <w:ind w:right="341"/>
              <w:spacing w:after="0"/>
              <w:rPr>
                <w:sz w:val="20"/>
                <w:szCs w:val="20"/>
                <w:color w:val="auto"/>
              </w:rPr>
            </w:pPr>
            <w:r>
              <w:rPr>
                <w:rFonts w:ascii="Arial" w:cs="Arial" w:eastAsia="Arial" w:hAnsi="Arial"/>
                <w:sz w:val="16"/>
                <w:szCs w:val="16"/>
                <w:color w:val="auto"/>
              </w:rPr>
              <w:t>(28)</w:t>
            </w:r>
          </w:p>
        </w:tc>
        <w:tc>
          <w:tcPr>
            <w:tcW w:w="1460" w:type="dxa"/>
            <w:vAlign w:val="bottom"/>
          </w:tcPr>
          <w:p>
            <w:pPr>
              <w:jc w:val="right"/>
              <w:ind w:right="301"/>
              <w:spacing w:after="0"/>
              <w:rPr>
                <w:sz w:val="20"/>
                <w:szCs w:val="20"/>
                <w:color w:val="auto"/>
              </w:rPr>
            </w:pPr>
            <w:r>
              <w:rPr>
                <w:rFonts w:ascii="Arial" w:cs="Arial" w:eastAsia="Arial" w:hAnsi="Arial"/>
                <w:sz w:val="16"/>
                <w:szCs w:val="16"/>
                <w:b w:val="1"/>
                <w:bCs w:val="1"/>
                <w:color w:val="auto"/>
              </w:rPr>
              <w:t>(15)</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(49)</w:t>
            </w:r>
          </w:p>
        </w:tc>
      </w:tr>
      <w:tr>
        <w:trPr>
          <w:trHeight w:val="185"/>
        </w:trPr>
        <w:tc>
          <w:tcPr>
            <w:tcW w:w="3040" w:type="dxa"/>
            <w:vAlign w:val="bottom"/>
          </w:tcPr>
          <w:p>
            <w:pPr>
              <w:spacing w:after="0"/>
              <w:rPr>
                <w:sz w:val="20"/>
                <w:szCs w:val="20"/>
                <w:color w:val="auto"/>
              </w:rPr>
            </w:pPr>
            <w:r>
              <w:rPr>
                <w:rFonts w:ascii="Arial" w:cs="Arial" w:eastAsia="Arial" w:hAnsi="Arial"/>
                <w:sz w:val="16"/>
                <w:szCs w:val="16"/>
                <w:b w:val="1"/>
                <w:bCs w:val="1"/>
                <w:color w:val="auto"/>
              </w:rPr>
              <w:t> Interim period effective tax rate</w:t>
            </w:r>
          </w:p>
        </w:tc>
        <w:tc>
          <w:tcPr>
            <w:tcW w:w="2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6"/>
        </w:trPr>
        <w:tc>
          <w:tcPr>
            <w:tcW w:w="3040" w:type="dxa"/>
            <w:vAlign w:val="bottom"/>
          </w:tcPr>
          <w:p>
            <w:pPr>
              <w:ind w:left="160"/>
              <w:spacing w:after="0" w:line="185" w:lineRule="exact"/>
              <w:rPr>
                <w:sz w:val="20"/>
                <w:szCs w:val="20"/>
                <w:color w:val="auto"/>
              </w:rPr>
            </w:pPr>
            <w:r>
              <w:rPr>
                <w:rFonts w:ascii="Arial" w:cs="Arial" w:eastAsia="Arial" w:hAnsi="Arial"/>
                <w:sz w:val="16"/>
                <w:szCs w:val="16"/>
                <w:b w:val="1"/>
                <w:bCs w:val="1"/>
                <w:color w:val="auto"/>
              </w:rPr>
              <w:t>normalization</w:t>
            </w:r>
            <w:r>
              <w:rPr>
                <w:rFonts w:ascii="Arial" w:cs="Arial" w:eastAsia="Arial" w:hAnsi="Arial"/>
                <w:sz w:val="19"/>
                <w:szCs w:val="19"/>
                <w:b w:val="1"/>
                <w:bCs w:val="1"/>
                <w:color w:val="auto"/>
                <w:vertAlign w:val="superscript"/>
              </w:rPr>
              <w:t>(3)</w:t>
            </w:r>
          </w:p>
        </w:tc>
        <w:tc>
          <w:tcPr>
            <w:tcW w:w="2340" w:type="dxa"/>
            <w:vAlign w:val="bottom"/>
          </w:tcPr>
          <w:p>
            <w:pPr>
              <w:jc w:val="right"/>
              <w:ind w:right="541"/>
              <w:spacing w:after="0"/>
              <w:rPr>
                <w:sz w:val="20"/>
                <w:szCs w:val="20"/>
                <w:color w:val="auto"/>
              </w:rPr>
            </w:pPr>
            <w:r>
              <w:rPr>
                <w:rFonts w:ascii="Arial" w:cs="Arial" w:eastAsia="Arial" w:hAnsi="Arial"/>
                <w:sz w:val="16"/>
                <w:szCs w:val="16"/>
                <w:b w:val="1"/>
                <w:bCs w:val="1"/>
                <w:color w:val="auto"/>
              </w:rPr>
              <w:t>7</w:t>
            </w:r>
          </w:p>
        </w:tc>
        <w:tc>
          <w:tcPr>
            <w:tcW w:w="1680" w:type="dxa"/>
            <w:vAlign w:val="bottom"/>
          </w:tcPr>
          <w:p>
            <w:pPr>
              <w:jc w:val="right"/>
              <w:ind w:right="341"/>
              <w:spacing w:after="0"/>
              <w:rPr>
                <w:sz w:val="20"/>
                <w:szCs w:val="20"/>
                <w:color w:val="auto"/>
              </w:rPr>
            </w:pPr>
            <w:r>
              <w:rPr>
                <w:rFonts w:ascii="Arial" w:cs="Arial" w:eastAsia="Arial" w:hAnsi="Arial"/>
                <w:sz w:val="16"/>
                <w:szCs w:val="16"/>
                <w:color w:val="auto"/>
              </w:rPr>
              <w:t>1</w:t>
            </w:r>
          </w:p>
        </w:tc>
        <w:tc>
          <w:tcPr>
            <w:tcW w:w="1460" w:type="dxa"/>
            <w:vAlign w:val="bottom"/>
          </w:tcPr>
          <w:p>
            <w:pPr>
              <w:jc w:val="right"/>
              <w:ind w:right="301"/>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185"/>
        </w:trPr>
        <w:tc>
          <w:tcPr>
            <w:tcW w:w="3040" w:type="dxa"/>
            <w:vAlign w:val="bottom"/>
          </w:tcPr>
          <w:p>
            <w:pPr>
              <w:spacing w:after="0"/>
              <w:rPr>
                <w:sz w:val="20"/>
                <w:szCs w:val="20"/>
                <w:color w:val="auto"/>
              </w:rPr>
            </w:pPr>
            <w:r>
              <w:rPr>
                <w:rFonts w:ascii="Arial" w:cs="Arial" w:eastAsia="Arial" w:hAnsi="Arial"/>
                <w:sz w:val="16"/>
                <w:szCs w:val="16"/>
                <w:b w:val="1"/>
                <w:bCs w:val="1"/>
                <w:color w:val="auto"/>
              </w:rPr>
              <w:t> Dividends declared on preference</w:t>
            </w:r>
          </w:p>
        </w:tc>
        <w:tc>
          <w:tcPr>
            <w:tcW w:w="2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0"/>
        </w:trPr>
        <w:tc>
          <w:tcPr>
            <w:tcW w:w="3040" w:type="dxa"/>
            <w:vAlign w:val="bottom"/>
            <w:tcBorders>
              <w:bottom w:val="single" w:sz="8" w:color="B2B2B2"/>
            </w:tcBorders>
          </w:tcPr>
          <w:p>
            <w:pPr>
              <w:ind w:left="160"/>
              <w:spacing w:after="0"/>
              <w:rPr>
                <w:sz w:val="20"/>
                <w:szCs w:val="20"/>
                <w:color w:val="auto"/>
              </w:rPr>
            </w:pPr>
            <w:r>
              <w:rPr>
                <w:rFonts w:ascii="Arial" w:cs="Arial" w:eastAsia="Arial" w:hAnsi="Arial"/>
                <w:sz w:val="16"/>
                <w:szCs w:val="16"/>
                <w:b w:val="1"/>
                <w:bCs w:val="1"/>
                <w:color w:val="auto"/>
              </w:rPr>
              <w:t>shares</w:t>
            </w:r>
          </w:p>
        </w:tc>
        <w:tc>
          <w:tcPr>
            <w:tcW w:w="2340" w:type="dxa"/>
            <w:vAlign w:val="bottom"/>
            <w:tcBorders>
              <w:bottom w:val="single" w:sz="8" w:color="B2B2B2"/>
            </w:tcBorders>
          </w:tcPr>
          <w:p>
            <w:pPr>
              <w:jc w:val="right"/>
              <w:ind w:right="541"/>
              <w:spacing w:after="0"/>
              <w:rPr>
                <w:sz w:val="20"/>
                <w:szCs w:val="20"/>
                <w:color w:val="auto"/>
              </w:rPr>
            </w:pPr>
            <w:r>
              <w:rPr>
                <w:rFonts w:ascii="Arial" w:cs="Arial" w:eastAsia="Arial" w:hAnsi="Arial"/>
                <w:sz w:val="16"/>
                <w:szCs w:val="16"/>
                <w:b w:val="1"/>
                <w:bCs w:val="1"/>
                <w:color w:val="auto"/>
              </w:rPr>
              <w:t>(1)</w:t>
            </w:r>
          </w:p>
        </w:tc>
        <w:tc>
          <w:tcPr>
            <w:tcW w:w="1680" w:type="dxa"/>
            <w:vAlign w:val="bottom"/>
            <w:tcBorders>
              <w:bottom w:val="single" w:sz="8" w:color="B2B2B2"/>
            </w:tcBorders>
          </w:tcPr>
          <w:p>
            <w:pPr>
              <w:jc w:val="right"/>
              <w:ind w:right="341"/>
              <w:spacing w:after="0"/>
              <w:rPr>
                <w:sz w:val="20"/>
                <w:szCs w:val="20"/>
                <w:color w:val="auto"/>
              </w:rPr>
            </w:pPr>
            <w:r>
              <w:rPr>
                <w:rFonts w:ascii="Arial" w:cs="Arial" w:eastAsia="Arial" w:hAnsi="Arial"/>
                <w:sz w:val="16"/>
                <w:szCs w:val="16"/>
                <w:color w:val="auto"/>
              </w:rPr>
              <w:t>(1)</w:t>
            </w:r>
          </w:p>
        </w:tc>
        <w:tc>
          <w:tcPr>
            <w:tcW w:w="1460" w:type="dxa"/>
            <w:vAlign w:val="bottom"/>
            <w:tcBorders>
              <w:bottom w:val="single" w:sz="8" w:color="B2B2B2"/>
            </w:tcBorders>
          </w:tcPr>
          <w:p>
            <w:pPr>
              <w:jc w:val="right"/>
              <w:ind w:right="301"/>
              <w:spacing w:after="0"/>
              <w:rPr>
                <w:sz w:val="20"/>
                <w:szCs w:val="20"/>
                <w:color w:val="auto"/>
              </w:rPr>
            </w:pPr>
            <w:r>
              <w:rPr>
                <w:rFonts w:ascii="Arial" w:cs="Arial" w:eastAsia="Arial" w:hAnsi="Arial"/>
                <w:sz w:val="16"/>
                <w:szCs w:val="16"/>
                <w:b w:val="1"/>
                <w:bCs w:val="1"/>
                <w:color w:val="auto"/>
              </w:rPr>
              <w:t>(5)</w:t>
            </w:r>
          </w:p>
        </w:tc>
        <w:tc>
          <w:tcPr>
            <w:tcW w:w="120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(5)</w:t>
            </w:r>
          </w:p>
        </w:tc>
      </w:tr>
      <w:tr>
        <w:trPr>
          <w:trHeight w:val="165"/>
        </w:trPr>
        <w:tc>
          <w:tcPr>
            <w:tcW w:w="3040" w:type="dxa"/>
            <w:vAlign w:val="bottom"/>
          </w:tcPr>
          <w:p>
            <w:pPr>
              <w:spacing w:after="0" w:line="164" w:lineRule="exact"/>
              <w:rPr>
                <w:sz w:val="20"/>
                <w:szCs w:val="20"/>
                <w:color w:val="auto"/>
              </w:rPr>
            </w:pPr>
            <w:r>
              <w:rPr>
                <w:rFonts w:ascii="Arial" w:cs="Arial" w:eastAsia="Arial" w:hAnsi="Arial"/>
                <w:sz w:val="16"/>
                <w:szCs w:val="16"/>
                <w:b w:val="1"/>
                <w:bCs w:val="1"/>
                <w:color w:val="auto"/>
              </w:rPr>
              <w:t> Adjusted earnings</w:t>
            </w:r>
            <w:r>
              <w:rPr>
                <w:rFonts w:ascii="Arial" w:cs="Arial" w:eastAsia="Arial" w:hAnsi="Arial"/>
                <w:sz w:val="19"/>
                <w:szCs w:val="19"/>
                <w:b w:val="1"/>
                <w:bCs w:val="1"/>
                <w:color w:val="auto"/>
                <w:vertAlign w:val="superscript"/>
              </w:rPr>
              <w:t>(4)</w:t>
            </w:r>
          </w:p>
        </w:tc>
        <w:tc>
          <w:tcPr>
            <w:tcW w:w="2340" w:type="dxa"/>
            <w:vAlign w:val="bottom"/>
          </w:tcPr>
          <w:p>
            <w:pPr>
              <w:jc w:val="right"/>
              <w:ind w:right="541"/>
              <w:spacing w:after="0" w:line="165" w:lineRule="exact"/>
              <w:rPr>
                <w:sz w:val="20"/>
                <w:szCs w:val="20"/>
                <w:color w:val="auto"/>
              </w:rPr>
            </w:pPr>
            <w:r>
              <w:rPr>
                <w:rFonts w:ascii="Arial" w:cs="Arial" w:eastAsia="Arial" w:hAnsi="Arial"/>
                <w:sz w:val="16"/>
                <w:szCs w:val="16"/>
                <w:b w:val="1"/>
                <w:bCs w:val="1"/>
                <w:color w:val="auto"/>
              </w:rPr>
              <w:t>454</w:t>
            </w:r>
          </w:p>
        </w:tc>
        <w:tc>
          <w:tcPr>
            <w:tcW w:w="1680" w:type="dxa"/>
            <w:vAlign w:val="bottom"/>
          </w:tcPr>
          <w:p>
            <w:pPr>
              <w:jc w:val="right"/>
              <w:ind w:right="341"/>
              <w:spacing w:after="0" w:line="165" w:lineRule="exact"/>
              <w:rPr>
                <w:sz w:val="20"/>
                <w:szCs w:val="20"/>
                <w:color w:val="auto"/>
              </w:rPr>
            </w:pPr>
            <w:r>
              <w:rPr>
                <w:rFonts w:ascii="Arial" w:cs="Arial" w:eastAsia="Arial" w:hAnsi="Arial"/>
                <w:sz w:val="16"/>
                <w:szCs w:val="16"/>
                <w:color w:val="auto"/>
              </w:rPr>
              <w:t>446</w:t>
            </w:r>
          </w:p>
        </w:tc>
        <w:tc>
          <w:tcPr>
            <w:tcW w:w="1460" w:type="dxa"/>
            <w:vAlign w:val="bottom"/>
          </w:tcPr>
          <w:p>
            <w:pPr>
              <w:jc w:val="right"/>
              <w:ind w:right="301"/>
              <w:spacing w:after="0" w:line="165" w:lineRule="exact"/>
              <w:rPr>
                <w:sz w:val="20"/>
                <w:szCs w:val="20"/>
                <w:color w:val="auto"/>
              </w:rPr>
            </w:pPr>
            <w:r>
              <w:rPr>
                <w:rFonts w:ascii="Arial" w:cs="Arial" w:eastAsia="Arial" w:hAnsi="Arial"/>
                <w:sz w:val="16"/>
                <w:szCs w:val="16"/>
                <w:b w:val="1"/>
                <w:bCs w:val="1"/>
                <w:color w:val="auto"/>
              </w:rPr>
              <w:t>1,701</w:t>
            </w:r>
          </w:p>
        </w:tc>
        <w:tc>
          <w:tcPr>
            <w:tcW w:w="1200" w:type="dxa"/>
            <w:vAlign w:val="bottom"/>
          </w:tcPr>
          <w:p>
            <w:pPr>
              <w:jc w:val="right"/>
              <w:ind w:right="41"/>
              <w:spacing w:after="0" w:line="165" w:lineRule="exact"/>
              <w:rPr>
                <w:sz w:val="20"/>
                <w:szCs w:val="20"/>
                <w:color w:val="auto"/>
              </w:rPr>
            </w:pPr>
            <w:r>
              <w:rPr>
                <w:rFonts w:ascii="Arial" w:cs="Arial" w:eastAsia="Arial" w:hAnsi="Arial"/>
                <w:sz w:val="16"/>
                <w:szCs w:val="16"/>
                <w:color w:val="auto"/>
              </w:rPr>
              <w:t>1,629</w:t>
            </w:r>
          </w:p>
        </w:tc>
      </w:tr>
      <w:tr>
        <w:trPr>
          <w:trHeight w:val="200"/>
        </w:trPr>
        <w:tc>
          <w:tcPr>
            <w:tcW w:w="3040" w:type="dxa"/>
            <w:vAlign w:val="bottom"/>
            <w:tcBorders>
              <w:bottom w:val="single" w:sz="8" w:color="B2B2B2"/>
            </w:tcBorders>
          </w:tcPr>
          <w:p>
            <w:pPr>
              <w:spacing w:after="0" w:line="200" w:lineRule="exact"/>
              <w:rPr>
                <w:sz w:val="20"/>
                <w:szCs w:val="20"/>
                <w:color w:val="auto"/>
              </w:rPr>
            </w:pPr>
            <w:r>
              <w:rPr>
                <w:rFonts w:ascii="Arial" w:cs="Arial" w:eastAsia="Arial" w:hAnsi="Arial"/>
                <w:sz w:val="16"/>
                <w:szCs w:val="16"/>
                <w:b w:val="1"/>
                <w:bCs w:val="1"/>
                <w:color w:val="auto"/>
              </w:rPr>
              <w:t> Adjusted EPS</w:t>
            </w:r>
            <w:r>
              <w:rPr>
                <w:rFonts w:ascii="Arial" w:cs="Arial" w:eastAsia="Arial" w:hAnsi="Arial"/>
                <w:sz w:val="19"/>
                <w:szCs w:val="19"/>
                <w:b w:val="1"/>
                <w:bCs w:val="1"/>
                <w:color w:val="auto"/>
                <w:vertAlign w:val="superscript"/>
              </w:rPr>
              <w:t>(4)</w:t>
            </w:r>
          </w:p>
        </w:tc>
        <w:tc>
          <w:tcPr>
            <w:tcW w:w="2340" w:type="dxa"/>
            <w:vAlign w:val="bottom"/>
            <w:tcBorders>
              <w:bottom w:val="single" w:sz="8" w:color="B2B2B2"/>
            </w:tcBorders>
          </w:tcPr>
          <w:p>
            <w:pPr>
              <w:jc w:val="right"/>
              <w:ind w:right="541"/>
              <w:spacing w:after="0"/>
              <w:rPr>
                <w:sz w:val="20"/>
                <w:szCs w:val="20"/>
                <w:color w:val="auto"/>
              </w:rPr>
            </w:pPr>
            <w:r>
              <w:rPr>
                <w:rFonts w:ascii="Arial" w:cs="Arial" w:eastAsia="Arial" w:hAnsi="Arial"/>
                <w:sz w:val="16"/>
                <w:szCs w:val="16"/>
                <w:b w:val="1"/>
                <w:bCs w:val="1"/>
                <w:color w:val="auto"/>
              </w:rPr>
              <w:t>$1.01</w:t>
            </w:r>
          </w:p>
        </w:tc>
        <w:tc>
          <w:tcPr>
            <w:tcW w:w="1680" w:type="dxa"/>
            <w:vAlign w:val="bottom"/>
            <w:tcBorders>
              <w:bottom w:val="single" w:sz="8" w:color="B2B2B2"/>
            </w:tcBorders>
          </w:tcPr>
          <w:p>
            <w:pPr>
              <w:jc w:val="right"/>
              <w:ind w:right="341"/>
              <w:spacing w:after="0"/>
              <w:rPr>
                <w:sz w:val="20"/>
                <w:szCs w:val="20"/>
                <w:color w:val="auto"/>
              </w:rPr>
            </w:pPr>
            <w:r>
              <w:rPr>
                <w:rFonts w:ascii="Arial" w:cs="Arial" w:eastAsia="Arial" w:hAnsi="Arial"/>
                <w:sz w:val="16"/>
                <w:szCs w:val="16"/>
                <w:color w:val="auto"/>
              </w:rPr>
              <w:t>$0.98</w:t>
            </w:r>
          </w:p>
        </w:tc>
        <w:tc>
          <w:tcPr>
            <w:tcW w:w="1460" w:type="dxa"/>
            <w:vAlign w:val="bottom"/>
            <w:tcBorders>
              <w:bottom w:val="single" w:sz="8" w:color="B2B2B2"/>
            </w:tcBorders>
          </w:tcPr>
          <w:p>
            <w:pPr>
              <w:jc w:val="right"/>
              <w:ind w:right="301"/>
              <w:spacing w:after="0"/>
              <w:rPr>
                <w:sz w:val="20"/>
                <w:szCs w:val="20"/>
                <w:color w:val="auto"/>
              </w:rPr>
            </w:pPr>
            <w:r>
              <w:rPr>
                <w:rFonts w:ascii="Arial" w:cs="Arial" w:eastAsia="Arial" w:hAnsi="Arial"/>
                <w:sz w:val="16"/>
                <w:szCs w:val="16"/>
                <w:b w:val="1"/>
                <w:bCs w:val="1"/>
                <w:color w:val="auto"/>
              </w:rPr>
              <w:t>$3.77</w:t>
            </w:r>
          </w:p>
        </w:tc>
        <w:tc>
          <w:tcPr>
            <w:tcW w:w="120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$3.51</w:t>
            </w:r>
          </w:p>
        </w:tc>
      </w:tr>
      <w:tr>
        <w:trPr>
          <w:trHeight w:val="165"/>
        </w:trPr>
        <w:tc>
          <w:tcPr>
            <w:tcW w:w="3040" w:type="dxa"/>
            <w:vAlign w:val="bottom"/>
          </w:tcPr>
          <w:p>
            <w:pPr>
              <w:spacing w:after="0" w:line="165" w:lineRule="exact"/>
              <w:rPr>
                <w:sz w:val="20"/>
                <w:szCs w:val="20"/>
                <w:color w:val="auto"/>
              </w:rPr>
            </w:pPr>
            <w:r>
              <w:rPr>
                <w:rFonts w:ascii="Arial" w:cs="Arial" w:eastAsia="Arial" w:hAnsi="Arial"/>
                <w:sz w:val="16"/>
                <w:szCs w:val="16"/>
                <w:b w:val="1"/>
                <w:bCs w:val="1"/>
                <w:color w:val="auto"/>
              </w:rPr>
              <w:t> Diluted weighted-average common</w:t>
            </w:r>
          </w:p>
        </w:tc>
        <w:tc>
          <w:tcPr>
            <w:tcW w:w="2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6"/>
        </w:trPr>
        <w:tc>
          <w:tcPr>
            <w:tcW w:w="3040" w:type="dxa"/>
            <w:vAlign w:val="bottom"/>
            <w:tcBorders>
              <w:bottom w:val="single" w:sz="8" w:color="D64000"/>
            </w:tcBorders>
          </w:tcPr>
          <w:p>
            <w:pPr>
              <w:ind w:left="160"/>
              <w:spacing w:after="0"/>
              <w:rPr>
                <w:sz w:val="20"/>
                <w:szCs w:val="20"/>
                <w:color w:val="auto"/>
              </w:rPr>
            </w:pPr>
            <w:r>
              <w:rPr>
                <w:rFonts w:ascii="Arial" w:cs="Arial" w:eastAsia="Arial" w:hAnsi="Arial"/>
                <w:sz w:val="16"/>
                <w:szCs w:val="16"/>
                <w:b w:val="1"/>
                <w:bCs w:val="1"/>
                <w:color w:val="auto"/>
              </w:rPr>
              <w:t>shares (millions)</w:t>
            </w:r>
          </w:p>
        </w:tc>
        <w:tc>
          <w:tcPr>
            <w:tcW w:w="2340" w:type="dxa"/>
            <w:vAlign w:val="bottom"/>
            <w:tcBorders>
              <w:bottom w:val="single" w:sz="8" w:color="D64000"/>
            </w:tcBorders>
          </w:tcPr>
          <w:p>
            <w:pPr>
              <w:jc w:val="right"/>
              <w:ind w:right="541"/>
              <w:spacing w:after="0"/>
              <w:rPr>
                <w:sz w:val="20"/>
                <w:szCs w:val="20"/>
                <w:color w:val="auto"/>
              </w:rPr>
            </w:pPr>
            <w:r>
              <w:rPr>
                <w:rFonts w:ascii="Arial" w:cs="Arial" w:eastAsia="Arial" w:hAnsi="Arial"/>
                <w:sz w:val="16"/>
                <w:szCs w:val="16"/>
                <w:b w:val="1"/>
                <w:bCs w:val="1"/>
                <w:color w:val="auto"/>
              </w:rPr>
              <w:t>450.6</w:t>
            </w:r>
          </w:p>
        </w:tc>
        <w:tc>
          <w:tcPr>
            <w:tcW w:w="1680" w:type="dxa"/>
            <w:vAlign w:val="bottom"/>
            <w:tcBorders>
              <w:bottom w:val="single" w:sz="8" w:color="D64000"/>
            </w:tcBorders>
          </w:tcPr>
          <w:p>
            <w:pPr>
              <w:jc w:val="right"/>
              <w:ind w:right="341"/>
              <w:spacing w:after="0"/>
              <w:rPr>
                <w:sz w:val="20"/>
                <w:szCs w:val="20"/>
                <w:color w:val="auto"/>
              </w:rPr>
            </w:pPr>
            <w:r>
              <w:rPr>
                <w:rFonts w:ascii="Arial" w:cs="Arial" w:eastAsia="Arial" w:hAnsi="Arial"/>
                <w:sz w:val="16"/>
                <w:szCs w:val="16"/>
                <w:color w:val="auto"/>
              </w:rPr>
              <w:t>455.2</w:t>
            </w:r>
          </w:p>
        </w:tc>
        <w:tc>
          <w:tcPr>
            <w:tcW w:w="1460" w:type="dxa"/>
            <w:vAlign w:val="bottom"/>
            <w:tcBorders>
              <w:bottom w:val="single" w:sz="8" w:color="D64000"/>
            </w:tcBorders>
          </w:tcPr>
          <w:p>
            <w:pPr>
              <w:jc w:val="right"/>
              <w:ind w:right="301"/>
              <w:spacing w:after="0"/>
              <w:rPr>
                <w:sz w:val="20"/>
                <w:szCs w:val="20"/>
                <w:color w:val="auto"/>
              </w:rPr>
            </w:pPr>
            <w:r>
              <w:rPr>
                <w:rFonts w:ascii="Arial" w:cs="Arial" w:eastAsia="Arial" w:hAnsi="Arial"/>
                <w:sz w:val="16"/>
                <w:szCs w:val="16"/>
                <w:b w:val="1"/>
                <w:bCs w:val="1"/>
                <w:color w:val="auto"/>
              </w:rPr>
              <w:t>451.2</w:t>
            </w:r>
          </w:p>
        </w:tc>
        <w:tc>
          <w:tcPr>
            <w:tcW w:w="1200" w:type="dxa"/>
            <w:vAlign w:val="bottom"/>
            <w:tcBorders>
              <w:bottom w:val="single" w:sz="8" w:color="D64000"/>
            </w:tcBorders>
          </w:tcPr>
          <w:p>
            <w:pPr>
              <w:jc w:val="right"/>
              <w:ind w:right="41"/>
              <w:spacing w:after="0"/>
              <w:rPr>
                <w:sz w:val="20"/>
                <w:szCs w:val="20"/>
                <w:color w:val="auto"/>
              </w:rPr>
            </w:pPr>
            <w:r>
              <w:rPr>
                <w:rFonts w:ascii="Arial" w:cs="Arial" w:eastAsia="Arial" w:hAnsi="Arial"/>
                <w:sz w:val="16"/>
                <w:szCs w:val="16"/>
                <w:color w:val="auto"/>
              </w:rPr>
              <w:t>464.0</w:t>
            </w:r>
          </w:p>
        </w:tc>
      </w:tr>
    </w:tbl>
    <w:p>
      <w:pPr>
        <w:spacing w:after="0" w:line="83" w:lineRule="exact"/>
        <w:rPr>
          <w:sz w:val="20"/>
          <w:szCs w:val="20"/>
          <w:color w:val="auto"/>
        </w:rPr>
      </w:pPr>
    </w:p>
    <w:p>
      <w:pPr>
        <w:ind w:left="540" w:right="440" w:hanging="322"/>
        <w:spacing w:after="0" w:line="247" w:lineRule="auto"/>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Fair value adjustments primarily represent gains or losses due to changes in foreign currency exchange rates on intercompany balances that arise in the ordinary course of business, a component of operating expenses, as well as adjustments related to acquired deferred revenue.</w:t>
      </w:r>
    </w:p>
    <w:p>
      <w:pPr>
        <w:ind w:left="540" w:hanging="322"/>
        <w:spacing w:after="0" w:line="237" w:lineRule="auto"/>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 2023, relates to the release of tax and interest reserves due to the expiration of statutes of limitation.</w:t>
      </w:r>
    </w:p>
    <w:p>
      <w:pPr>
        <w:ind w:left="540" w:hanging="322"/>
        <w:spacing w:after="0" w:line="237" w:lineRule="auto"/>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See the “Results of Operations -Tax (benefit) expense” section of this management’s discussion and analysis for additional information.</w:t>
      </w:r>
    </w:p>
    <w:p>
      <w:pPr>
        <w:ind w:left="540" w:hanging="322"/>
        <w:spacing w:after="0"/>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adjusted earnings impact of non-controlling interests, which was applicable only to the year ended December 31, 2024, was not material.</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Reconciliation of Full-year Effective Tax Rate on Adjusted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168275</wp:posOffset>
            </wp:positionV>
            <wp:extent cx="617537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245"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6720" w:type="dxa"/>
            <w:vAlign w:val="bottom"/>
          </w:tcPr>
          <w:p>
            <w:pPr>
              <w:spacing w:after="0"/>
              <w:rPr>
                <w:sz w:val="17"/>
                <w:szCs w:val="17"/>
                <w:color w:val="auto"/>
              </w:rPr>
            </w:pPr>
          </w:p>
        </w:tc>
        <w:tc>
          <w:tcPr>
            <w:tcW w:w="3000" w:type="dxa"/>
            <w:vAlign w:val="bottom"/>
            <w:gridSpan w:val="2"/>
            <w:shd w:val="clear" w:color="auto" w:fill="E3F3EE"/>
          </w:tcPr>
          <w:p>
            <w:pPr>
              <w:jc w:val="right"/>
              <w:ind w:right="201"/>
              <w:spacing w:after="0"/>
              <w:rPr>
                <w:sz w:val="20"/>
                <w:szCs w:val="20"/>
                <w:color w:val="auto"/>
              </w:rPr>
            </w:pPr>
            <w:r>
              <w:rPr>
                <w:rFonts w:ascii="Arial" w:cs="Arial" w:eastAsia="Arial" w:hAnsi="Arial"/>
                <w:sz w:val="16"/>
                <w:szCs w:val="16"/>
                <w:b w:val="1"/>
                <w:bCs w:val="1"/>
                <w:color w:val="auto"/>
              </w:rPr>
              <w:t>Year ended December 31, </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2"/>
        </w:trPr>
        <w:tc>
          <w:tcPr>
            <w:tcW w:w="672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color w:val="FFFFFF"/>
              </w:rPr>
              <w:t> (millions of U.S. dollars, except percentages)</w:t>
            </w:r>
          </w:p>
        </w:tc>
        <w:tc>
          <w:tcPr>
            <w:tcW w:w="1800" w:type="dxa"/>
            <w:vAlign w:val="bottom"/>
            <w:tcBorders>
              <w:bottom w:val="single" w:sz="8" w:color="D64000"/>
            </w:tcBorders>
            <w:shd w:val="clear" w:color="auto" w:fill="1F473D"/>
          </w:tcPr>
          <w:p>
            <w:pPr>
              <w:jc w:val="right"/>
              <w:ind w:right="281"/>
              <w:spacing w:after="0"/>
              <w:rPr>
                <w:sz w:val="20"/>
                <w:szCs w:val="20"/>
                <w:color w:val="auto"/>
              </w:rPr>
            </w:pPr>
            <w:r>
              <w:rPr>
                <w:rFonts w:ascii="Arial" w:cs="Arial" w:eastAsia="Arial" w:hAnsi="Arial"/>
                <w:sz w:val="16"/>
                <w:szCs w:val="16"/>
                <w:b w:val="1"/>
                <w:bCs w:val="1"/>
                <w:color w:val="FFFFFF"/>
              </w:rPr>
              <w:t>      2024</w:t>
            </w:r>
          </w:p>
        </w:tc>
        <w:tc>
          <w:tcPr>
            <w:tcW w:w="1200" w:type="dxa"/>
            <w:vAlign w:val="bottom"/>
            <w:tcBorders>
              <w:bottom w:val="single" w:sz="8" w:color="D64000"/>
            </w:tcBorders>
            <w:shd w:val="clear" w:color="auto" w:fill="1F473D"/>
          </w:tcPr>
          <w:p>
            <w:pPr>
              <w:jc w:val="right"/>
              <w:ind w:right="81"/>
              <w:spacing w:after="0"/>
              <w:rPr>
                <w:sz w:val="20"/>
                <w:szCs w:val="20"/>
                <w:color w:val="auto"/>
              </w:rPr>
            </w:pPr>
            <w:r>
              <w:rPr>
                <w:rFonts w:ascii="Arial" w:cs="Arial" w:eastAsia="Arial" w:hAnsi="Arial"/>
                <w:sz w:val="16"/>
                <w:szCs w:val="16"/>
                <w:color w:val="FFFFFF"/>
              </w:rPr>
              <w:t>      2023</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6720" w:type="dxa"/>
            <w:vAlign w:val="bottom"/>
          </w:tcPr>
          <w:p>
            <w:pPr>
              <w:spacing w:after="0" w:line="171" w:lineRule="exact"/>
              <w:rPr>
                <w:sz w:val="20"/>
                <w:szCs w:val="20"/>
                <w:color w:val="auto"/>
              </w:rPr>
            </w:pPr>
            <w:r>
              <w:rPr>
                <w:rFonts w:ascii="Arial" w:cs="Arial" w:eastAsia="Arial" w:hAnsi="Arial"/>
                <w:sz w:val="16"/>
                <w:szCs w:val="16"/>
                <w:b w:val="1"/>
                <w:bCs w:val="1"/>
                <w:color w:val="auto"/>
              </w:rPr>
              <w:t> Adjusted earnings</w:t>
            </w:r>
          </w:p>
        </w:tc>
        <w:tc>
          <w:tcPr>
            <w:tcW w:w="1800" w:type="dxa"/>
            <w:vAlign w:val="bottom"/>
          </w:tcPr>
          <w:p>
            <w:pPr>
              <w:jc w:val="right"/>
              <w:ind w:right="281"/>
              <w:spacing w:after="0" w:line="171" w:lineRule="exact"/>
              <w:rPr>
                <w:sz w:val="20"/>
                <w:szCs w:val="20"/>
                <w:color w:val="auto"/>
              </w:rPr>
            </w:pPr>
            <w:r>
              <w:rPr>
                <w:rFonts w:ascii="Arial" w:cs="Arial" w:eastAsia="Arial" w:hAnsi="Arial"/>
                <w:sz w:val="16"/>
                <w:szCs w:val="16"/>
                <w:b w:val="1"/>
                <w:bCs w:val="1"/>
                <w:color w:val="auto"/>
              </w:rPr>
              <w:t>1,701</w:t>
            </w:r>
          </w:p>
        </w:tc>
        <w:tc>
          <w:tcPr>
            <w:tcW w:w="1200" w:type="dxa"/>
            <w:vAlign w:val="bottom"/>
          </w:tcPr>
          <w:p>
            <w:pPr>
              <w:jc w:val="right"/>
              <w:ind w:right="81"/>
              <w:spacing w:after="0" w:line="171" w:lineRule="exact"/>
              <w:rPr>
                <w:sz w:val="20"/>
                <w:szCs w:val="20"/>
                <w:color w:val="auto"/>
              </w:rPr>
            </w:pPr>
            <w:r>
              <w:rPr>
                <w:rFonts w:ascii="Arial" w:cs="Arial" w:eastAsia="Arial" w:hAnsi="Arial"/>
                <w:sz w:val="16"/>
                <w:szCs w:val="16"/>
                <w:b w:val="1"/>
                <w:bCs w:val="1"/>
                <w:color w:val="auto"/>
              </w:rPr>
              <w:t>1,629</w:t>
            </w: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6720" w:type="dxa"/>
            <w:vAlign w:val="bottom"/>
          </w:tcPr>
          <w:p>
            <w:pPr>
              <w:spacing w:after="0"/>
              <w:rPr>
                <w:sz w:val="20"/>
                <w:szCs w:val="20"/>
                <w:color w:val="auto"/>
              </w:rPr>
            </w:pPr>
            <w:r>
              <w:rPr>
                <w:rFonts w:ascii="Arial" w:cs="Arial" w:eastAsia="Arial" w:hAnsi="Arial"/>
                <w:sz w:val="16"/>
                <w:szCs w:val="16"/>
                <w:color w:val="auto"/>
              </w:rPr>
              <w:t> Plus: Dividends declared on preference shares</w:t>
            </w:r>
          </w:p>
        </w:tc>
        <w:tc>
          <w:tcPr>
            <w:tcW w:w="1800" w:type="dxa"/>
            <w:vAlign w:val="bottom"/>
          </w:tcPr>
          <w:p>
            <w:pPr>
              <w:jc w:val="right"/>
              <w:ind w:right="281"/>
              <w:spacing w:after="0"/>
              <w:rPr>
                <w:sz w:val="20"/>
                <w:szCs w:val="20"/>
                <w:color w:val="auto"/>
              </w:rPr>
            </w:pPr>
            <w:r>
              <w:rPr>
                <w:rFonts w:ascii="Arial" w:cs="Arial" w:eastAsia="Arial" w:hAnsi="Arial"/>
                <w:sz w:val="16"/>
                <w:szCs w:val="16"/>
                <w:color w:val="auto"/>
              </w:rPr>
              <w:t>5</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5</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672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Plus: Tax expense on adjusted earnings</w:t>
            </w:r>
          </w:p>
        </w:tc>
        <w:tc>
          <w:tcPr>
            <w:tcW w:w="1800" w:type="dxa"/>
            <w:vAlign w:val="bottom"/>
            <w:tcBorders>
              <w:bottom w:val="single" w:sz="8" w:color="B2B2B2"/>
            </w:tcBorders>
          </w:tcPr>
          <w:p>
            <w:pPr>
              <w:jc w:val="right"/>
              <w:ind w:right="281"/>
              <w:spacing w:after="0"/>
              <w:rPr>
                <w:sz w:val="20"/>
                <w:szCs w:val="20"/>
                <w:color w:val="auto"/>
              </w:rPr>
            </w:pPr>
            <w:r>
              <w:rPr>
                <w:rFonts w:ascii="Arial" w:cs="Arial" w:eastAsia="Arial" w:hAnsi="Arial"/>
                <w:sz w:val="16"/>
                <w:szCs w:val="16"/>
                <w:color w:val="auto"/>
              </w:rPr>
              <w:t>364</w:t>
            </w:r>
          </w:p>
        </w:tc>
        <w:tc>
          <w:tcPr>
            <w:tcW w:w="1200" w:type="dxa"/>
            <w:vAlign w:val="bottom"/>
            <w:tcBorders>
              <w:bottom w:val="single" w:sz="8" w:color="B2B2B2"/>
            </w:tcBorders>
          </w:tcPr>
          <w:p>
            <w:pPr>
              <w:jc w:val="right"/>
              <w:ind w:right="81"/>
              <w:spacing w:after="0"/>
              <w:rPr>
                <w:sz w:val="20"/>
                <w:szCs w:val="20"/>
                <w:color w:val="auto"/>
              </w:rPr>
            </w:pPr>
            <w:r>
              <w:rPr>
                <w:rFonts w:ascii="Arial" w:cs="Arial" w:eastAsia="Arial" w:hAnsi="Arial"/>
                <w:sz w:val="16"/>
                <w:szCs w:val="16"/>
                <w:color w:val="auto"/>
              </w:rPr>
              <w:t>324</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9"/>
        </w:trPr>
        <w:tc>
          <w:tcPr>
            <w:tcW w:w="672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b w:val="1"/>
                <w:bCs w:val="1"/>
                <w:color w:val="auto"/>
              </w:rPr>
              <w:t> Pre-tax adjusted earnings</w:t>
            </w:r>
          </w:p>
        </w:tc>
        <w:tc>
          <w:tcPr>
            <w:tcW w:w="1800" w:type="dxa"/>
            <w:vAlign w:val="bottom"/>
            <w:tcBorders>
              <w:bottom w:val="single" w:sz="8" w:color="B2B2B2"/>
            </w:tcBorders>
          </w:tcPr>
          <w:p>
            <w:pPr>
              <w:jc w:val="right"/>
              <w:ind w:right="281"/>
              <w:spacing w:after="0" w:line="179" w:lineRule="exact"/>
              <w:rPr>
                <w:sz w:val="20"/>
                <w:szCs w:val="20"/>
                <w:color w:val="auto"/>
              </w:rPr>
            </w:pPr>
            <w:r>
              <w:rPr>
                <w:rFonts w:ascii="Arial" w:cs="Arial" w:eastAsia="Arial" w:hAnsi="Arial"/>
                <w:sz w:val="16"/>
                <w:szCs w:val="16"/>
                <w:b w:val="1"/>
                <w:bCs w:val="1"/>
                <w:color w:val="auto"/>
              </w:rPr>
              <w:t>2,070</w:t>
            </w:r>
          </w:p>
        </w:tc>
        <w:tc>
          <w:tcPr>
            <w:tcW w:w="1200" w:type="dxa"/>
            <w:vAlign w:val="bottom"/>
            <w:tcBorders>
              <w:bottom w:val="single" w:sz="8" w:color="B2B2B2"/>
            </w:tcBorders>
          </w:tcPr>
          <w:p>
            <w:pPr>
              <w:jc w:val="right"/>
              <w:ind w:right="81"/>
              <w:spacing w:after="0" w:line="179" w:lineRule="exact"/>
              <w:rPr>
                <w:sz w:val="20"/>
                <w:szCs w:val="20"/>
                <w:color w:val="auto"/>
              </w:rPr>
            </w:pPr>
            <w:r>
              <w:rPr>
                <w:rFonts w:ascii="Arial" w:cs="Arial" w:eastAsia="Arial" w:hAnsi="Arial"/>
                <w:sz w:val="16"/>
                <w:szCs w:val="16"/>
                <w:b w:val="1"/>
                <w:bCs w:val="1"/>
                <w:color w:val="auto"/>
              </w:rPr>
              <w:t>1,958</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5"/>
        </w:trPr>
        <w:tc>
          <w:tcPr>
            <w:tcW w:w="6720" w:type="dxa"/>
            <w:vAlign w:val="bottom"/>
          </w:tcPr>
          <w:p>
            <w:pPr>
              <w:spacing w:after="0" w:line="165" w:lineRule="exact"/>
              <w:rPr>
                <w:sz w:val="20"/>
                <w:szCs w:val="20"/>
                <w:color w:val="auto"/>
              </w:rPr>
            </w:pPr>
            <w:r>
              <w:rPr>
                <w:rFonts w:ascii="Arial" w:cs="Arial" w:eastAsia="Arial" w:hAnsi="Arial"/>
                <w:sz w:val="16"/>
                <w:szCs w:val="16"/>
                <w:b w:val="1"/>
                <w:bCs w:val="1"/>
                <w:color w:val="auto"/>
              </w:rPr>
              <w:t> IFRS tax (benefit) expense</w:t>
            </w:r>
          </w:p>
        </w:tc>
        <w:tc>
          <w:tcPr>
            <w:tcW w:w="1800" w:type="dxa"/>
            <w:vAlign w:val="bottom"/>
          </w:tcPr>
          <w:p>
            <w:pPr>
              <w:jc w:val="right"/>
              <w:ind w:right="281"/>
              <w:spacing w:after="0" w:line="165" w:lineRule="exact"/>
              <w:rPr>
                <w:sz w:val="20"/>
                <w:szCs w:val="20"/>
                <w:color w:val="auto"/>
              </w:rPr>
            </w:pPr>
            <w:r>
              <w:rPr>
                <w:rFonts w:ascii="Arial" w:cs="Arial" w:eastAsia="Arial" w:hAnsi="Arial"/>
                <w:sz w:val="16"/>
                <w:szCs w:val="16"/>
                <w:b w:val="1"/>
                <w:bCs w:val="1"/>
                <w:color w:val="auto"/>
              </w:rPr>
              <w:t>(123)</w:t>
            </w:r>
          </w:p>
        </w:tc>
        <w:tc>
          <w:tcPr>
            <w:tcW w:w="1200" w:type="dxa"/>
            <w:vAlign w:val="bottom"/>
          </w:tcPr>
          <w:p>
            <w:pPr>
              <w:jc w:val="right"/>
              <w:ind w:right="81"/>
              <w:spacing w:after="0" w:line="165" w:lineRule="exact"/>
              <w:rPr>
                <w:sz w:val="20"/>
                <w:szCs w:val="20"/>
                <w:color w:val="auto"/>
              </w:rPr>
            </w:pPr>
            <w:r>
              <w:rPr>
                <w:rFonts w:ascii="Arial" w:cs="Arial" w:eastAsia="Arial" w:hAnsi="Arial"/>
                <w:sz w:val="16"/>
                <w:szCs w:val="16"/>
                <w:b w:val="1"/>
                <w:bCs w:val="1"/>
                <w:color w:val="auto"/>
              </w:rPr>
              <w:t>417</w:t>
            </w: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6720" w:type="dxa"/>
            <w:vAlign w:val="bottom"/>
          </w:tcPr>
          <w:p>
            <w:pPr>
              <w:spacing w:after="0"/>
              <w:rPr>
                <w:sz w:val="20"/>
                <w:szCs w:val="20"/>
                <w:color w:val="auto"/>
              </w:rPr>
            </w:pPr>
            <w:r>
              <w:rPr>
                <w:rFonts w:ascii="Arial" w:cs="Arial" w:eastAsia="Arial" w:hAnsi="Arial"/>
                <w:sz w:val="16"/>
                <w:szCs w:val="16"/>
                <w:color w:val="auto"/>
              </w:rPr>
              <w:t> Remove tax related to:</w:t>
            </w:r>
          </w:p>
        </w:tc>
        <w:tc>
          <w:tcPr>
            <w:tcW w:w="1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6720" w:type="dxa"/>
            <w:vAlign w:val="bottom"/>
          </w:tcPr>
          <w:p>
            <w:pPr>
              <w:ind w:left="160"/>
              <w:spacing w:after="0"/>
              <w:rPr>
                <w:sz w:val="20"/>
                <w:szCs w:val="20"/>
                <w:color w:val="auto"/>
              </w:rPr>
            </w:pPr>
            <w:r>
              <w:rPr>
                <w:rFonts w:ascii="Arial" w:cs="Arial" w:eastAsia="Arial" w:hAnsi="Arial"/>
                <w:sz w:val="16"/>
                <w:szCs w:val="16"/>
                <w:color w:val="auto"/>
              </w:rPr>
              <w:t> Amortization of acquired computer software</w:t>
            </w:r>
          </w:p>
        </w:tc>
        <w:tc>
          <w:tcPr>
            <w:tcW w:w="1800" w:type="dxa"/>
            <w:vAlign w:val="bottom"/>
          </w:tcPr>
          <w:p>
            <w:pPr>
              <w:jc w:val="right"/>
              <w:ind w:right="281"/>
              <w:spacing w:after="0"/>
              <w:rPr>
                <w:sz w:val="20"/>
                <w:szCs w:val="20"/>
                <w:color w:val="auto"/>
              </w:rPr>
            </w:pPr>
            <w:r>
              <w:rPr>
                <w:rFonts w:ascii="Arial" w:cs="Arial" w:eastAsia="Arial" w:hAnsi="Arial"/>
                <w:sz w:val="16"/>
                <w:szCs w:val="16"/>
                <w:color w:val="auto"/>
              </w:rPr>
              <w:t>33</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17</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6720" w:type="dxa"/>
            <w:vAlign w:val="bottom"/>
          </w:tcPr>
          <w:p>
            <w:pPr>
              <w:ind w:left="160"/>
              <w:spacing w:after="0"/>
              <w:rPr>
                <w:sz w:val="20"/>
                <w:szCs w:val="20"/>
                <w:color w:val="auto"/>
              </w:rPr>
            </w:pPr>
            <w:r>
              <w:rPr>
                <w:rFonts w:ascii="Arial" w:cs="Arial" w:eastAsia="Arial" w:hAnsi="Arial"/>
                <w:sz w:val="16"/>
                <w:szCs w:val="16"/>
                <w:color w:val="auto"/>
              </w:rPr>
              <w:t> Amortization of other identifiable intangible assets</w:t>
            </w:r>
          </w:p>
        </w:tc>
        <w:tc>
          <w:tcPr>
            <w:tcW w:w="1800" w:type="dxa"/>
            <w:vAlign w:val="bottom"/>
          </w:tcPr>
          <w:p>
            <w:pPr>
              <w:jc w:val="right"/>
              <w:ind w:right="281"/>
              <w:spacing w:after="0"/>
              <w:rPr>
                <w:sz w:val="20"/>
                <w:szCs w:val="20"/>
                <w:color w:val="auto"/>
              </w:rPr>
            </w:pPr>
            <w:r>
              <w:rPr>
                <w:rFonts w:ascii="Arial" w:cs="Arial" w:eastAsia="Arial" w:hAnsi="Arial"/>
                <w:sz w:val="16"/>
                <w:szCs w:val="16"/>
                <w:color w:val="auto"/>
              </w:rPr>
              <w:t>22</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22</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6720" w:type="dxa"/>
            <w:vAlign w:val="bottom"/>
          </w:tcPr>
          <w:p>
            <w:pPr>
              <w:ind w:left="160"/>
              <w:spacing w:after="0"/>
              <w:rPr>
                <w:sz w:val="20"/>
                <w:szCs w:val="20"/>
                <w:color w:val="auto"/>
              </w:rPr>
            </w:pPr>
            <w:r>
              <w:rPr>
                <w:rFonts w:ascii="Arial" w:cs="Arial" w:eastAsia="Arial" w:hAnsi="Arial"/>
                <w:sz w:val="16"/>
                <w:szCs w:val="16"/>
                <w:color w:val="auto"/>
              </w:rPr>
              <w:t> Share of post-tax earnings in equity method investments</w:t>
            </w:r>
          </w:p>
        </w:tc>
        <w:tc>
          <w:tcPr>
            <w:tcW w:w="1800" w:type="dxa"/>
            <w:vAlign w:val="bottom"/>
          </w:tcPr>
          <w:p>
            <w:pPr>
              <w:jc w:val="right"/>
              <w:ind w:right="281"/>
              <w:spacing w:after="0"/>
              <w:rPr>
                <w:sz w:val="20"/>
                <w:szCs w:val="20"/>
                <w:color w:val="auto"/>
              </w:rPr>
            </w:pPr>
            <w:r>
              <w:rPr>
                <w:rFonts w:ascii="Arial" w:cs="Arial" w:eastAsia="Arial" w:hAnsi="Arial"/>
                <w:sz w:val="16"/>
                <w:szCs w:val="16"/>
                <w:color w:val="auto"/>
              </w:rPr>
              <w:t>(7)</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(253)</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6720" w:type="dxa"/>
            <w:vAlign w:val="bottom"/>
          </w:tcPr>
          <w:p>
            <w:pPr>
              <w:ind w:left="160"/>
              <w:spacing w:after="0"/>
              <w:rPr>
                <w:sz w:val="20"/>
                <w:szCs w:val="20"/>
                <w:color w:val="auto"/>
              </w:rPr>
            </w:pPr>
            <w:r>
              <w:rPr>
                <w:rFonts w:ascii="Arial" w:cs="Arial" w:eastAsia="Arial" w:hAnsi="Arial"/>
                <w:sz w:val="16"/>
                <w:szCs w:val="16"/>
                <w:color w:val="auto"/>
              </w:rPr>
              <w:t> Other finance (income) costs</w:t>
            </w:r>
          </w:p>
        </w:tc>
        <w:tc>
          <w:tcPr>
            <w:tcW w:w="1800" w:type="dxa"/>
            <w:vAlign w:val="bottom"/>
          </w:tcPr>
          <w:p>
            <w:pPr>
              <w:jc w:val="right"/>
              <w:ind w:right="281"/>
              <w:spacing w:after="0"/>
              <w:rPr>
                <w:sz w:val="20"/>
                <w:szCs w:val="20"/>
                <w:color w:val="auto"/>
              </w:rPr>
            </w:pPr>
            <w:r>
              <w:rPr>
                <w:rFonts w:ascii="Arial" w:cs="Arial" w:eastAsia="Arial" w:hAnsi="Arial"/>
                <w:sz w:val="16"/>
                <w:szCs w:val="16"/>
                <w:color w:val="auto"/>
              </w:rPr>
              <w:t>19</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31</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6720" w:type="dxa"/>
            <w:vAlign w:val="bottom"/>
          </w:tcPr>
          <w:p>
            <w:pPr>
              <w:ind w:left="160"/>
              <w:spacing w:after="0"/>
              <w:rPr>
                <w:sz w:val="20"/>
                <w:szCs w:val="20"/>
                <w:color w:val="auto"/>
              </w:rPr>
            </w:pPr>
            <w:r>
              <w:rPr>
                <w:rFonts w:ascii="Arial" w:cs="Arial" w:eastAsia="Arial" w:hAnsi="Arial"/>
                <w:sz w:val="16"/>
                <w:szCs w:val="16"/>
                <w:color w:val="auto"/>
              </w:rPr>
              <w:t> Other operating gains, net</w:t>
            </w:r>
          </w:p>
        </w:tc>
        <w:tc>
          <w:tcPr>
            <w:tcW w:w="1800" w:type="dxa"/>
            <w:vAlign w:val="bottom"/>
          </w:tcPr>
          <w:p>
            <w:pPr>
              <w:jc w:val="right"/>
              <w:ind w:right="281"/>
              <w:spacing w:after="0"/>
              <w:rPr>
                <w:sz w:val="20"/>
                <w:szCs w:val="20"/>
                <w:color w:val="auto"/>
              </w:rPr>
            </w:pPr>
            <w:r>
              <w:rPr>
                <w:rFonts w:ascii="Arial" w:cs="Arial" w:eastAsia="Arial" w:hAnsi="Arial"/>
                <w:sz w:val="16"/>
                <w:szCs w:val="16"/>
                <w:color w:val="auto"/>
              </w:rPr>
              <w:t>(56)</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(81)</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6720" w:type="dxa"/>
            <w:vAlign w:val="bottom"/>
            <w:tcBorders>
              <w:bottom w:val="single" w:sz="8" w:color="B2B2B2"/>
            </w:tcBorders>
          </w:tcPr>
          <w:p>
            <w:pPr>
              <w:ind w:left="160"/>
              <w:spacing w:after="0"/>
              <w:rPr>
                <w:sz w:val="20"/>
                <w:szCs w:val="20"/>
                <w:color w:val="auto"/>
              </w:rPr>
            </w:pPr>
            <w:r>
              <w:rPr>
                <w:rFonts w:ascii="Arial" w:cs="Arial" w:eastAsia="Arial" w:hAnsi="Arial"/>
                <w:sz w:val="16"/>
                <w:szCs w:val="16"/>
                <w:color w:val="auto"/>
              </w:rPr>
              <w:t> Other items</w:t>
            </w:r>
          </w:p>
        </w:tc>
        <w:tc>
          <w:tcPr>
            <w:tcW w:w="1800" w:type="dxa"/>
            <w:vAlign w:val="bottom"/>
            <w:tcBorders>
              <w:bottom w:val="single" w:sz="8" w:color="B2B2B2"/>
            </w:tcBorders>
          </w:tcPr>
          <w:p>
            <w:pPr>
              <w:jc w:val="right"/>
              <w:ind w:right="281"/>
              <w:spacing w:after="0"/>
              <w:rPr>
                <w:sz w:val="20"/>
                <w:szCs w:val="20"/>
                <w:color w:val="auto"/>
              </w:rPr>
            </w:pPr>
            <w:r>
              <w:rPr>
                <w:rFonts w:ascii="Arial" w:cs="Arial" w:eastAsia="Arial" w:hAnsi="Arial"/>
                <w:sz w:val="16"/>
                <w:szCs w:val="16"/>
                <w:color w:val="auto"/>
              </w:rPr>
              <w:t>(2)</w:t>
            </w:r>
          </w:p>
        </w:tc>
        <w:tc>
          <w:tcPr>
            <w:tcW w:w="1200" w:type="dxa"/>
            <w:vAlign w:val="bottom"/>
            <w:tcBorders>
              <w:bottom w:val="single" w:sz="8" w:color="B2B2B2"/>
            </w:tcBorders>
          </w:tcPr>
          <w:p>
            <w:pPr>
              <w:jc w:val="right"/>
              <w:ind w:right="81"/>
              <w:spacing w:after="0"/>
              <w:rPr>
                <w:sz w:val="20"/>
                <w:szCs w:val="20"/>
                <w:color w:val="auto"/>
              </w:rPr>
            </w:pPr>
            <w:r>
              <w:rPr>
                <w:rFonts w:ascii="Arial" w:cs="Arial" w:eastAsia="Arial" w:hAnsi="Arial"/>
                <w:sz w:val="16"/>
                <w:szCs w:val="16"/>
                <w:color w:val="auto"/>
              </w:rPr>
              <w:t>(1)</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65"/>
        </w:trPr>
        <w:tc>
          <w:tcPr>
            <w:tcW w:w="6720" w:type="dxa"/>
            <w:vAlign w:val="bottom"/>
          </w:tcPr>
          <w:p>
            <w:pPr>
              <w:ind w:left="40"/>
              <w:spacing w:after="0" w:line="165" w:lineRule="exact"/>
              <w:rPr>
                <w:sz w:val="20"/>
                <w:szCs w:val="20"/>
                <w:color w:val="auto"/>
              </w:rPr>
            </w:pPr>
            <w:r>
              <w:rPr>
                <w:rFonts w:ascii="Arial" w:cs="Arial" w:eastAsia="Arial" w:hAnsi="Arial"/>
                <w:sz w:val="16"/>
                <w:szCs w:val="16"/>
                <w:color w:val="auto"/>
              </w:rPr>
              <w:t>Subtotal - Remove tax benefit (expense) on pre-tax items removed from adjusted earnings</w:t>
            </w:r>
          </w:p>
        </w:tc>
        <w:tc>
          <w:tcPr>
            <w:tcW w:w="1800" w:type="dxa"/>
            <w:vAlign w:val="bottom"/>
          </w:tcPr>
          <w:p>
            <w:pPr>
              <w:jc w:val="right"/>
              <w:ind w:right="281"/>
              <w:spacing w:after="0" w:line="165" w:lineRule="exact"/>
              <w:rPr>
                <w:sz w:val="20"/>
                <w:szCs w:val="20"/>
                <w:color w:val="auto"/>
              </w:rPr>
            </w:pPr>
            <w:r>
              <w:rPr>
                <w:rFonts w:ascii="Arial" w:cs="Arial" w:eastAsia="Arial" w:hAnsi="Arial"/>
                <w:sz w:val="16"/>
                <w:szCs w:val="16"/>
                <w:color w:val="auto"/>
              </w:rPr>
              <w:t>9</w:t>
            </w:r>
          </w:p>
        </w:tc>
        <w:tc>
          <w:tcPr>
            <w:tcW w:w="1200" w:type="dxa"/>
            <w:vAlign w:val="bottom"/>
          </w:tcPr>
          <w:p>
            <w:pPr>
              <w:jc w:val="right"/>
              <w:ind w:right="81"/>
              <w:spacing w:after="0" w:line="165" w:lineRule="exact"/>
              <w:rPr>
                <w:sz w:val="20"/>
                <w:szCs w:val="20"/>
                <w:color w:val="auto"/>
              </w:rPr>
            </w:pPr>
            <w:r>
              <w:rPr>
                <w:rFonts w:ascii="Arial" w:cs="Arial" w:eastAsia="Arial" w:hAnsi="Arial"/>
                <w:sz w:val="16"/>
                <w:szCs w:val="16"/>
                <w:color w:val="auto"/>
              </w:rPr>
              <w:t>(265)</w:t>
            </w: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0"/>
        </w:trPr>
        <w:tc>
          <w:tcPr>
            <w:tcW w:w="672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Remove: Tax items impacting comparability</w:t>
            </w:r>
          </w:p>
        </w:tc>
        <w:tc>
          <w:tcPr>
            <w:tcW w:w="1800" w:type="dxa"/>
            <w:vAlign w:val="bottom"/>
            <w:tcBorders>
              <w:bottom w:val="single" w:sz="8" w:color="B2B2B2"/>
            </w:tcBorders>
          </w:tcPr>
          <w:p>
            <w:pPr>
              <w:jc w:val="right"/>
              <w:ind w:right="281"/>
              <w:spacing w:after="0"/>
              <w:rPr>
                <w:sz w:val="20"/>
                <w:szCs w:val="20"/>
                <w:color w:val="auto"/>
              </w:rPr>
            </w:pPr>
            <w:r>
              <w:rPr>
                <w:rFonts w:ascii="Arial" w:cs="Arial" w:eastAsia="Arial" w:hAnsi="Arial"/>
                <w:sz w:val="16"/>
                <w:szCs w:val="16"/>
                <w:color w:val="auto"/>
              </w:rPr>
              <w:t>478</w:t>
            </w:r>
          </w:p>
        </w:tc>
        <w:tc>
          <w:tcPr>
            <w:tcW w:w="1200" w:type="dxa"/>
            <w:vAlign w:val="bottom"/>
            <w:tcBorders>
              <w:bottom w:val="single" w:sz="8" w:color="B2B2B2"/>
            </w:tcBorders>
          </w:tcPr>
          <w:p>
            <w:pPr>
              <w:jc w:val="right"/>
              <w:ind w:right="81"/>
              <w:spacing w:after="0"/>
              <w:rPr>
                <w:sz w:val="20"/>
                <w:szCs w:val="20"/>
                <w:color w:val="auto"/>
              </w:rPr>
            </w:pPr>
            <w:r>
              <w:rPr>
                <w:rFonts w:ascii="Arial" w:cs="Arial" w:eastAsia="Arial" w:hAnsi="Arial"/>
                <w:sz w:val="16"/>
                <w:szCs w:val="16"/>
                <w:color w:val="auto"/>
              </w:rPr>
              <w:t>172</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9"/>
        </w:trPr>
        <w:tc>
          <w:tcPr>
            <w:tcW w:w="672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Total - Remove all items impacting comparability</w:t>
            </w:r>
          </w:p>
        </w:tc>
        <w:tc>
          <w:tcPr>
            <w:tcW w:w="1800" w:type="dxa"/>
            <w:vAlign w:val="bottom"/>
            <w:tcBorders>
              <w:bottom w:val="single" w:sz="8" w:color="B2B2B2"/>
            </w:tcBorders>
          </w:tcPr>
          <w:p>
            <w:pPr>
              <w:jc w:val="right"/>
              <w:ind w:right="281"/>
              <w:spacing w:after="0" w:line="179" w:lineRule="exact"/>
              <w:rPr>
                <w:sz w:val="20"/>
                <w:szCs w:val="20"/>
                <w:color w:val="auto"/>
              </w:rPr>
            </w:pPr>
            <w:r>
              <w:rPr>
                <w:rFonts w:ascii="Arial" w:cs="Arial" w:eastAsia="Arial" w:hAnsi="Arial"/>
                <w:sz w:val="16"/>
                <w:szCs w:val="16"/>
                <w:color w:val="auto"/>
              </w:rPr>
              <w:t>487</w:t>
            </w:r>
          </w:p>
        </w:tc>
        <w:tc>
          <w:tcPr>
            <w:tcW w:w="1200" w:type="dxa"/>
            <w:vAlign w:val="bottom"/>
            <w:tcBorders>
              <w:bottom w:val="single" w:sz="8" w:color="B2B2B2"/>
            </w:tcBorders>
          </w:tcPr>
          <w:p>
            <w:pPr>
              <w:jc w:val="right"/>
              <w:ind w:right="81"/>
              <w:spacing w:after="0" w:line="179" w:lineRule="exact"/>
              <w:rPr>
                <w:sz w:val="20"/>
                <w:szCs w:val="20"/>
                <w:color w:val="auto"/>
              </w:rPr>
            </w:pPr>
            <w:r>
              <w:rPr>
                <w:rFonts w:ascii="Arial" w:cs="Arial" w:eastAsia="Arial" w:hAnsi="Arial"/>
                <w:sz w:val="16"/>
                <w:szCs w:val="16"/>
                <w:color w:val="auto"/>
              </w:rPr>
              <w:t>(93)</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672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b w:val="1"/>
                <w:bCs w:val="1"/>
                <w:color w:val="auto"/>
              </w:rPr>
              <w:t> Tax expense on adjusted earnings</w:t>
            </w:r>
          </w:p>
        </w:tc>
        <w:tc>
          <w:tcPr>
            <w:tcW w:w="1800" w:type="dxa"/>
            <w:vAlign w:val="bottom"/>
            <w:tcBorders>
              <w:bottom w:val="single" w:sz="8" w:color="B2B2B2"/>
            </w:tcBorders>
          </w:tcPr>
          <w:p>
            <w:pPr>
              <w:jc w:val="right"/>
              <w:ind w:right="281"/>
              <w:spacing w:after="0" w:line="179" w:lineRule="exact"/>
              <w:rPr>
                <w:sz w:val="20"/>
                <w:szCs w:val="20"/>
                <w:color w:val="auto"/>
              </w:rPr>
            </w:pPr>
            <w:r>
              <w:rPr>
                <w:rFonts w:ascii="Arial" w:cs="Arial" w:eastAsia="Arial" w:hAnsi="Arial"/>
                <w:sz w:val="16"/>
                <w:szCs w:val="16"/>
                <w:b w:val="1"/>
                <w:bCs w:val="1"/>
                <w:color w:val="auto"/>
              </w:rPr>
              <w:t>364</w:t>
            </w:r>
          </w:p>
        </w:tc>
        <w:tc>
          <w:tcPr>
            <w:tcW w:w="1200" w:type="dxa"/>
            <w:vAlign w:val="bottom"/>
            <w:tcBorders>
              <w:bottom w:val="single" w:sz="8" w:color="B2B2B2"/>
            </w:tcBorders>
          </w:tcPr>
          <w:p>
            <w:pPr>
              <w:jc w:val="right"/>
              <w:ind w:right="81"/>
              <w:spacing w:after="0" w:line="179" w:lineRule="exact"/>
              <w:rPr>
                <w:sz w:val="20"/>
                <w:szCs w:val="20"/>
                <w:color w:val="auto"/>
              </w:rPr>
            </w:pPr>
            <w:r>
              <w:rPr>
                <w:rFonts w:ascii="Arial" w:cs="Arial" w:eastAsia="Arial" w:hAnsi="Arial"/>
                <w:sz w:val="16"/>
                <w:szCs w:val="16"/>
                <w:b w:val="1"/>
                <w:bCs w:val="1"/>
                <w:color w:val="auto"/>
              </w:rPr>
              <w:t>324</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672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b w:val="1"/>
                <w:bCs w:val="1"/>
                <w:color w:val="auto"/>
              </w:rPr>
              <w:t> Effective tax rate on adjusted earnings</w:t>
            </w:r>
          </w:p>
        </w:tc>
        <w:tc>
          <w:tcPr>
            <w:tcW w:w="1800" w:type="dxa"/>
            <w:vAlign w:val="bottom"/>
            <w:tcBorders>
              <w:bottom w:val="single" w:sz="8" w:color="D64000"/>
            </w:tcBorders>
          </w:tcPr>
          <w:p>
            <w:pPr>
              <w:jc w:val="right"/>
              <w:ind w:right="281"/>
              <w:spacing w:after="0" w:line="179" w:lineRule="exact"/>
              <w:rPr>
                <w:sz w:val="20"/>
                <w:szCs w:val="20"/>
                <w:color w:val="auto"/>
              </w:rPr>
            </w:pPr>
            <w:r>
              <w:rPr>
                <w:rFonts w:ascii="Arial" w:cs="Arial" w:eastAsia="Arial" w:hAnsi="Arial"/>
                <w:sz w:val="16"/>
                <w:szCs w:val="16"/>
                <w:b w:val="1"/>
                <w:bCs w:val="1"/>
                <w:color w:val="auto"/>
              </w:rPr>
              <w:t>17.6%</w:t>
            </w:r>
          </w:p>
        </w:tc>
        <w:tc>
          <w:tcPr>
            <w:tcW w:w="1200" w:type="dxa"/>
            <w:vAlign w:val="bottom"/>
            <w:tcBorders>
              <w:bottom w:val="single" w:sz="8" w:color="D64000"/>
            </w:tcBorders>
          </w:tcPr>
          <w:p>
            <w:pPr>
              <w:jc w:val="right"/>
              <w:ind w:right="81"/>
              <w:spacing w:after="0" w:line="179" w:lineRule="exact"/>
              <w:rPr>
                <w:sz w:val="20"/>
                <w:szCs w:val="20"/>
                <w:color w:val="auto"/>
              </w:rPr>
            </w:pPr>
            <w:r>
              <w:rPr>
                <w:rFonts w:ascii="Arial" w:cs="Arial" w:eastAsia="Arial" w:hAnsi="Arial"/>
                <w:sz w:val="16"/>
                <w:szCs w:val="16"/>
                <w:b w:val="1"/>
                <w:bCs w:val="1"/>
                <w:color w:val="auto"/>
              </w:rPr>
              <w:t>16.5%</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9"/>
        </w:trPr>
        <w:tc>
          <w:tcPr>
            <w:tcW w:w="6720" w:type="dxa"/>
            <w:vAlign w:val="bottom"/>
            <w:tcBorders>
              <w:bottom w:val="single" w:sz="8" w:color="7F7F7F"/>
            </w:tcBorders>
          </w:tcPr>
          <w:p>
            <w:pPr>
              <w:spacing w:after="0"/>
              <w:rPr>
                <w:sz w:val="13"/>
                <w:szCs w:val="13"/>
                <w:color w:val="auto"/>
              </w:rPr>
            </w:pPr>
          </w:p>
        </w:tc>
        <w:tc>
          <w:tcPr>
            <w:tcW w:w="1800" w:type="dxa"/>
            <w:vAlign w:val="bottom"/>
            <w:tcBorders>
              <w:bottom w:val="single" w:sz="8" w:color="7F7F7F"/>
            </w:tcBorders>
          </w:tcPr>
          <w:p>
            <w:pPr>
              <w:spacing w:after="0"/>
              <w:rPr>
                <w:sz w:val="13"/>
                <w:szCs w:val="13"/>
                <w:color w:val="auto"/>
              </w:rPr>
            </w:pPr>
          </w:p>
        </w:tc>
        <w:tc>
          <w:tcPr>
            <w:tcW w:w="1200" w:type="dxa"/>
            <w:vAlign w:val="bottom"/>
            <w:tcBorders>
              <w:bottom w:val="single" w:sz="8" w:color="7F7F7F"/>
            </w:tcBorders>
          </w:tcPr>
          <w:p>
            <w:pPr>
              <w:spacing w:after="0"/>
              <w:rPr>
                <w:sz w:val="13"/>
                <w:szCs w:val="13"/>
                <w:color w:val="auto"/>
              </w:rPr>
            </w:pPr>
          </w:p>
        </w:tc>
        <w:tc>
          <w:tcPr>
            <w:tcW w:w="1080" w:type="dxa"/>
            <w:vAlign w:val="bottom"/>
            <w:tcBorders>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r>
      <w:tr>
        <w:trPr>
          <w:trHeight w:val="241"/>
        </w:trPr>
        <w:tc>
          <w:tcPr>
            <w:tcW w:w="6720" w:type="dxa"/>
            <w:vAlign w:val="bottom"/>
          </w:tcPr>
          <w:p>
            <w:pPr>
              <w:spacing w:after="0"/>
              <w:rPr>
                <w:sz w:val="20"/>
                <w:szCs w:val="20"/>
                <w:color w:val="auto"/>
              </w:rPr>
            </w:pPr>
            <w:r>
              <w:rPr>
                <w:rFonts w:ascii="Arial" w:cs="Arial" w:eastAsia="Arial" w:hAnsi="Arial"/>
                <w:sz w:val="17"/>
                <w:szCs w:val="17"/>
                <w:b w:val="1"/>
                <w:bCs w:val="1"/>
                <w:color w:val="auto"/>
              </w:rPr>
              <w:t>Thomson Reuters Annual Report 2024</w:t>
            </w:r>
          </w:p>
        </w:tc>
        <w:tc>
          <w:tcPr>
            <w:tcW w:w="1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00" w:type="dxa"/>
            <w:vAlign w:val="bottom"/>
            <w:gridSpan w:val="2"/>
          </w:tcPr>
          <w:p>
            <w:pPr>
              <w:ind w:left="460"/>
              <w:spacing w:after="0"/>
              <w:rPr>
                <w:sz w:val="20"/>
                <w:szCs w:val="20"/>
                <w:color w:val="auto"/>
              </w:rPr>
            </w:pPr>
            <w:r>
              <w:rPr>
                <w:rFonts w:ascii="Arial" w:cs="Arial" w:eastAsia="Arial" w:hAnsi="Arial"/>
                <w:sz w:val="17"/>
                <w:szCs w:val="17"/>
                <w:color w:val="auto"/>
                <w:w w:val="97"/>
              </w:rPr>
              <w:t>Page 65</w:t>
            </w:r>
          </w:p>
        </w:tc>
      </w:tr>
    </w:tbl>
    <w:p>
      <w:pPr>
        <w:sectPr>
          <w:pgSz w:w="11900" w:h="16838" w:orient="portrait"/>
          <w:cols w:equalWidth="0" w:num="1">
            <w:col w:w="11040"/>
          </w:cols>
          <w:pgMar w:left="320" w:top="477" w:right="5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Reconciliation of Net Cash Provided by Operating Activities to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168275</wp:posOffset>
            </wp:positionV>
            <wp:extent cx="617537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245"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3020" w:type="dxa"/>
            <w:vAlign w:val="bottom"/>
          </w:tcPr>
          <w:p>
            <w:pPr>
              <w:spacing w:after="0"/>
              <w:rPr>
                <w:sz w:val="17"/>
                <w:szCs w:val="17"/>
                <w:color w:val="auto"/>
              </w:rPr>
            </w:pPr>
          </w:p>
        </w:tc>
        <w:tc>
          <w:tcPr>
            <w:tcW w:w="4060" w:type="dxa"/>
            <w:vAlign w:val="bottom"/>
            <w:gridSpan w:val="2"/>
            <w:shd w:val="clear" w:color="auto" w:fill="E3F3EE"/>
          </w:tcPr>
          <w:p>
            <w:pPr>
              <w:jc w:val="right"/>
              <w:ind w:right="441"/>
              <w:spacing w:after="0"/>
              <w:rPr>
                <w:sz w:val="20"/>
                <w:szCs w:val="20"/>
                <w:color w:val="auto"/>
              </w:rPr>
            </w:pPr>
            <w:r>
              <w:rPr>
                <w:rFonts w:ascii="Arial" w:cs="Arial" w:eastAsia="Arial" w:hAnsi="Arial"/>
                <w:sz w:val="16"/>
                <w:szCs w:val="16"/>
                <w:b w:val="1"/>
                <w:bCs w:val="1"/>
                <w:color w:val="auto"/>
              </w:rPr>
              <w:t>Three months ended December 31, </w:t>
            </w:r>
          </w:p>
        </w:tc>
        <w:tc>
          <w:tcPr>
            <w:tcW w:w="2640" w:type="dxa"/>
            <w:vAlign w:val="bottom"/>
            <w:gridSpan w:val="2"/>
            <w:shd w:val="clear" w:color="auto" w:fill="E3F3EE"/>
          </w:tcPr>
          <w:p>
            <w:pPr>
              <w:jc w:val="right"/>
              <w:ind w:right="161"/>
              <w:spacing w:after="0"/>
              <w:rPr>
                <w:sz w:val="20"/>
                <w:szCs w:val="20"/>
                <w:color w:val="auto"/>
              </w:rPr>
            </w:pPr>
            <w:r>
              <w:rPr>
                <w:rFonts w:ascii="Arial" w:cs="Arial" w:eastAsia="Arial" w:hAnsi="Arial"/>
                <w:sz w:val="16"/>
                <w:szCs w:val="16"/>
                <w:b w:val="1"/>
                <w:bCs w:val="1"/>
                <w:color w:val="auto"/>
              </w:rPr>
              <w:t>Year ended December 31, </w:t>
            </w:r>
          </w:p>
        </w:tc>
      </w:tr>
      <w:tr>
        <w:trPr>
          <w:trHeight w:val="192"/>
        </w:trPr>
        <w:tc>
          <w:tcPr>
            <w:tcW w:w="302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color w:val="FFFFFF"/>
              </w:rPr>
              <w:t> (millions of U.S. dollars)</w:t>
            </w:r>
          </w:p>
        </w:tc>
        <w:tc>
          <w:tcPr>
            <w:tcW w:w="2360" w:type="dxa"/>
            <w:vAlign w:val="bottom"/>
            <w:tcBorders>
              <w:bottom w:val="single" w:sz="8" w:color="D64000"/>
            </w:tcBorders>
            <w:shd w:val="clear" w:color="auto" w:fill="1F473D"/>
          </w:tcPr>
          <w:p>
            <w:pPr>
              <w:jc w:val="right"/>
              <w:ind w:right="541"/>
              <w:spacing w:after="0"/>
              <w:rPr>
                <w:sz w:val="20"/>
                <w:szCs w:val="20"/>
                <w:color w:val="auto"/>
              </w:rPr>
            </w:pPr>
            <w:r>
              <w:rPr>
                <w:rFonts w:ascii="Arial" w:cs="Arial" w:eastAsia="Arial" w:hAnsi="Arial"/>
                <w:sz w:val="16"/>
                <w:szCs w:val="16"/>
                <w:b w:val="1"/>
                <w:bCs w:val="1"/>
                <w:color w:val="FFFFFF"/>
              </w:rPr>
              <w:t>      2024</w:t>
            </w:r>
          </w:p>
        </w:tc>
        <w:tc>
          <w:tcPr>
            <w:tcW w:w="1700" w:type="dxa"/>
            <w:vAlign w:val="bottom"/>
            <w:tcBorders>
              <w:bottom w:val="single" w:sz="8" w:color="D64000"/>
            </w:tcBorders>
            <w:shd w:val="clear" w:color="auto" w:fill="1F473D"/>
          </w:tcPr>
          <w:p>
            <w:pPr>
              <w:jc w:val="right"/>
              <w:ind w:right="321"/>
              <w:spacing w:after="0"/>
              <w:rPr>
                <w:sz w:val="20"/>
                <w:szCs w:val="20"/>
                <w:color w:val="auto"/>
              </w:rPr>
            </w:pPr>
            <w:r>
              <w:rPr>
                <w:rFonts w:ascii="Arial" w:cs="Arial" w:eastAsia="Arial" w:hAnsi="Arial"/>
                <w:sz w:val="16"/>
                <w:szCs w:val="16"/>
                <w:color w:val="FFFFFF"/>
              </w:rPr>
              <w:t>      2023</w:t>
            </w:r>
          </w:p>
        </w:tc>
        <w:tc>
          <w:tcPr>
            <w:tcW w:w="1460" w:type="dxa"/>
            <w:vAlign w:val="bottom"/>
            <w:tcBorders>
              <w:bottom w:val="single" w:sz="8" w:color="D64000"/>
            </w:tcBorders>
            <w:shd w:val="clear" w:color="auto" w:fill="1F473D"/>
          </w:tcPr>
          <w:p>
            <w:pPr>
              <w:jc w:val="right"/>
              <w:ind w:right="321"/>
              <w:spacing w:after="0"/>
              <w:rPr>
                <w:sz w:val="20"/>
                <w:szCs w:val="20"/>
                <w:color w:val="auto"/>
              </w:rPr>
            </w:pPr>
            <w:r>
              <w:rPr>
                <w:rFonts w:ascii="Arial" w:cs="Arial" w:eastAsia="Arial" w:hAnsi="Arial"/>
                <w:sz w:val="16"/>
                <w:szCs w:val="16"/>
                <w:b w:val="1"/>
                <w:bCs w:val="1"/>
                <w:color w:val="FFFFFF"/>
              </w:rPr>
              <w:t>      2024</w:t>
            </w:r>
          </w:p>
        </w:tc>
        <w:tc>
          <w:tcPr>
            <w:tcW w:w="1180" w:type="dxa"/>
            <w:vAlign w:val="bottom"/>
            <w:tcBorders>
              <w:bottom w:val="single" w:sz="8" w:color="D64000"/>
            </w:tcBorders>
            <w:shd w:val="clear" w:color="auto" w:fill="1F473D"/>
          </w:tcPr>
          <w:p>
            <w:pPr>
              <w:jc w:val="right"/>
              <w:ind w:right="41"/>
              <w:spacing w:after="0"/>
              <w:rPr>
                <w:sz w:val="20"/>
                <w:szCs w:val="20"/>
                <w:color w:val="auto"/>
              </w:rPr>
            </w:pPr>
            <w:r>
              <w:rPr>
                <w:rFonts w:ascii="Arial" w:cs="Arial" w:eastAsia="Arial" w:hAnsi="Arial"/>
                <w:sz w:val="16"/>
                <w:szCs w:val="16"/>
                <w:color w:val="FFFFFF"/>
              </w:rPr>
              <w:t>      2023</w:t>
            </w:r>
          </w:p>
        </w:tc>
      </w:tr>
      <w:tr>
        <w:trPr>
          <w:trHeight w:val="171"/>
        </w:trPr>
        <w:tc>
          <w:tcPr>
            <w:tcW w:w="3020" w:type="dxa"/>
            <w:vAlign w:val="bottom"/>
          </w:tcPr>
          <w:p>
            <w:pPr>
              <w:spacing w:after="0" w:line="171" w:lineRule="exact"/>
              <w:rPr>
                <w:sz w:val="20"/>
                <w:szCs w:val="20"/>
                <w:color w:val="auto"/>
              </w:rPr>
            </w:pPr>
            <w:r>
              <w:rPr>
                <w:rFonts w:ascii="Arial" w:cs="Arial" w:eastAsia="Arial" w:hAnsi="Arial"/>
                <w:sz w:val="16"/>
                <w:szCs w:val="16"/>
                <w:b w:val="1"/>
                <w:bCs w:val="1"/>
                <w:color w:val="auto"/>
              </w:rPr>
              <w:t> Net cash provided by operating</w:t>
            </w:r>
          </w:p>
        </w:tc>
        <w:tc>
          <w:tcPr>
            <w:tcW w:w="2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5"/>
        </w:trPr>
        <w:tc>
          <w:tcPr>
            <w:tcW w:w="3020" w:type="dxa"/>
            <w:vAlign w:val="bottom"/>
          </w:tcPr>
          <w:p>
            <w:pPr>
              <w:ind w:left="160"/>
              <w:spacing w:after="0"/>
              <w:rPr>
                <w:sz w:val="20"/>
                <w:szCs w:val="20"/>
                <w:color w:val="auto"/>
              </w:rPr>
            </w:pPr>
            <w:r>
              <w:rPr>
                <w:rFonts w:ascii="Arial" w:cs="Arial" w:eastAsia="Arial" w:hAnsi="Arial"/>
                <w:sz w:val="16"/>
                <w:szCs w:val="16"/>
                <w:b w:val="1"/>
                <w:bCs w:val="1"/>
                <w:color w:val="auto"/>
              </w:rPr>
              <w:t>activities</w:t>
            </w:r>
          </w:p>
        </w:tc>
        <w:tc>
          <w:tcPr>
            <w:tcW w:w="2360" w:type="dxa"/>
            <w:vAlign w:val="bottom"/>
          </w:tcPr>
          <w:p>
            <w:pPr>
              <w:jc w:val="right"/>
              <w:ind w:right="541"/>
              <w:spacing w:after="0"/>
              <w:rPr>
                <w:sz w:val="20"/>
                <w:szCs w:val="20"/>
                <w:color w:val="auto"/>
              </w:rPr>
            </w:pPr>
            <w:r>
              <w:rPr>
                <w:rFonts w:ascii="Arial" w:cs="Arial" w:eastAsia="Arial" w:hAnsi="Arial"/>
                <w:sz w:val="16"/>
                <w:szCs w:val="16"/>
                <w:b w:val="1"/>
                <w:bCs w:val="1"/>
                <w:color w:val="auto"/>
              </w:rPr>
              <w:t>564</w:t>
            </w:r>
          </w:p>
        </w:tc>
        <w:tc>
          <w:tcPr>
            <w:tcW w:w="1700" w:type="dxa"/>
            <w:vAlign w:val="bottom"/>
          </w:tcPr>
          <w:p>
            <w:pPr>
              <w:jc w:val="right"/>
              <w:ind w:right="321"/>
              <w:spacing w:after="0"/>
              <w:rPr>
                <w:sz w:val="20"/>
                <w:szCs w:val="20"/>
                <w:color w:val="auto"/>
              </w:rPr>
            </w:pPr>
            <w:r>
              <w:rPr>
                <w:rFonts w:ascii="Arial" w:cs="Arial" w:eastAsia="Arial" w:hAnsi="Arial"/>
                <w:sz w:val="16"/>
                <w:szCs w:val="16"/>
                <w:color w:val="auto"/>
              </w:rPr>
              <w:t>705</w:t>
            </w:r>
          </w:p>
        </w:tc>
        <w:tc>
          <w:tcPr>
            <w:tcW w:w="1460" w:type="dxa"/>
            <w:vAlign w:val="bottom"/>
          </w:tcPr>
          <w:p>
            <w:pPr>
              <w:jc w:val="right"/>
              <w:ind w:right="321"/>
              <w:spacing w:after="0"/>
              <w:rPr>
                <w:sz w:val="20"/>
                <w:szCs w:val="20"/>
                <w:color w:val="auto"/>
              </w:rPr>
            </w:pPr>
            <w:r>
              <w:rPr>
                <w:rFonts w:ascii="Arial" w:cs="Arial" w:eastAsia="Arial" w:hAnsi="Arial"/>
                <w:sz w:val="16"/>
                <w:szCs w:val="16"/>
                <w:b w:val="1"/>
                <w:bCs w:val="1"/>
                <w:color w:val="auto"/>
              </w:rPr>
              <w:t>2,457</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2,341</w:t>
            </w:r>
          </w:p>
        </w:tc>
      </w:tr>
      <w:tr>
        <w:trPr>
          <w:trHeight w:val="186"/>
        </w:trPr>
        <w:tc>
          <w:tcPr>
            <w:tcW w:w="3020" w:type="dxa"/>
            <w:vAlign w:val="bottom"/>
          </w:tcPr>
          <w:p>
            <w:pPr>
              <w:spacing w:after="0"/>
              <w:rPr>
                <w:sz w:val="20"/>
                <w:szCs w:val="20"/>
                <w:color w:val="auto"/>
              </w:rPr>
            </w:pPr>
            <w:r>
              <w:rPr>
                <w:rFonts w:ascii="Arial" w:cs="Arial" w:eastAsia="Arial" w:hAnsi="Arial"/>
                <w:sz w:val="16"/>
                <w:szCs w:val="16"/>
                <w:b w:val="1"/>
                <w:bCs w:val="1"/>
                <w:color w:val="auto"/>
              </w:rPr>
              <w:t> Capital expenditures</w:t>
            </w:r>
          </w:p>
        </w:tc>
        <w:tc>
          <w:tcPr>
            <w:tcW w:w="2360" w:type="dxa"/>
            <w:vAlign w:val="bottom"/>
          </w:tcPr>
          <w:p>
            <w:pPr>
              <w:jc w:val="right"/>
              <w:ind w:right="541"/>
              <w:spacing w:after="0"/>
              <w:rPr>
                <w:sz w:val="20"/>
                <w:szCs w:val="20"/>
                <w:color w:val="auto"/>
              </w:rPr>
            </w:pPr>
            <w:r>
              <w:rPr>
                <w:rFonts w:ascii="Arial" w:cs="Arial" w:eastAsia="Arial" w:hAnsi="Arial"/>
                <w:sz w:val="16"/>
                <w:szCs w:val="16"/>
                <w:b w:val="1"/>
                <w:bCs w:val="1"/>
                <w:color w:val="auto"/>
              </w:rPr>
              <w:t>(161)</w:t>
            </w:r>
          </w:p>
        </w:tc>
        <w:tc>
          <w:tcPr>
            <w:tcW w:w="1700" w:type="dxa"/>
            <w:vAlign w:val="bottom"/>
          </w:tcPr>
          <w:p>
            <w:pPr>
              <w:jc w:val="right"/>
              <w:ind w:right="321"/>
              <w:spacing w:after="0"/>
              <w:rPr>
                <w:sz w:val="20"/>
                <w:szCs w:val="20"/>
                <w:color w:val="auto"/>
              </w:rPr>
            </w:pPr>
            <w:r>
              <w:rPr>
                <w:rFonts w:ascii="Arial" w:cs="Arial" w:eastAsia="Arial" w:hAnsi="Arial"/>
                <w:sz w:val="16"/>
                <w:szCs w:val="16"/>
                <w:color w:val="auto"/>
              </w:rPr>
              <w:t>(132)</w:t>
            </w:r>
          </w:p>
        </w:tc>
        <w:tc>
          <w:tcPr>
            <w:tcW w:w="1460" w:type="dxa"/>
            <w:vAlign w:val="bottom"/>
          </w:tcPr>
          <w:p>
            <w:pPr>
              <w:jc w:val="right"/>
              <w:ind w:right="321"/>
              <w:spacing w:after="0"/>
              <w:rPr>
                <w:sz w:val="20"/>
                <w:szCs w:val="20"/>
                <w:color w:val="auto"/>
              </w:rPr>
            </w:pPr>
            <w:r>
              <w:rPr>
                <w:rFonts w:ascii="Arial" w:cs="Arial" w:eastAsia="Arial" w:hAnsi="Arial"/>
                <w:sz w:val="16"/>
                <w:szCs w:val="16"/>
                <w:b w:val="1"/>
                <w:bCs w:val="1"/>
                <w:color w:val="auto"/>
              </w:rPr>
              <w:t>(607)</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(544)</w:t>
            </w:r>
          </w:p>
        </w:tc>
      </w:tr>
      <w:tr>
        <w:trPr>
          <w:trHeight w:val="186"/>
        </w:trPr>
        <w:tc>
          <w:tcPr>
            <w:tcW w:w="3020" w:type="dxa"/>
            <w:vAlign w:val="bottom"/>
          </w:tcPr>
          <w:p>
            <w:pPr>
              <w:spacing w:after="0"/>
              <w:rPr>
                <w:sz w:val="20"/>
                <w:szCs w:val="20"/>
                <w:color w:val="auto"/>
              </w:rPr>
            </w:pPr>
            <w:r>
              <w:rPr>
                <w:rFonts w:ascii="Arial" w:cs="Arial" w:eastAsia="Arial" w:hAnsi="Arial"/>
                <w:sz w:val="16"/>
                <w:szCs w:val="16"/>
                <w:b w:val="1"/>
                <w:bCs w:val="1"/>
                <w:color w:val="auto"/>
              </w:rPr>
              <w:t> Other investing activities</w:t>
            </w:r>
          </w:p>
        </w:tc>
        <w:tc>
          <w:tcPr>
            <w:tcW w:w="2360" w:type="dxa"/>
            <w:vAlign w:val="bottom"/>
          </w:tcPr>
          <w:p>
            <w:pPr>
              <w:jc w:val="right"/>
              <w:ind w:right="541"/>
              <w:spacing w:after="0"/>
              <w:rPr>
                <w:sz w:val="20"/>
                <w:szCs w:val="20"/>
                <w:color w:val="auto"/>
              </w:rPr>
            </w:pPr>
            <w:r>
              <w:rPr>
                <w:rFonts w:ascii="Arial" w:cs="Arial" w:eastAsia="Arial" w:hAnsi="Arial"/>
                <w:sz w:val="16"/>
                <w:szCs w:val="16"/>
                <w:b w:val="1"/>
                <w:bCs w:val="1"/>
                <w:color w:val="auto"/>
              </w:rPr>
              <w:t>40</w:t>
            </w:r>
          </w:p>
        </w:tc>
        <w:tc>
          <w:tcPr>
            <w:tcW w:w="1700" w:type="dxa"/>
            <w:vAlign w:val="bottom"/>
          </w:tcPr>
          <w:p>
            <w:pPr>
              <w:jc w:val="right"/>
              <w:ind w:right="321"/>
              <w:spacing w:after="0"/>
              <w:rPr>
                <w:sz w:val="20"/>
                <w:szCs w:val="20"/>
                <w:color w:val="auto"/>
              </w:rPr>
            </w:pPr>
            <w:r>
              <w:rPr>
                <w:rFonts w:ascii="Arial" w:cs="Arial" w:eastAsia="Arial" w:hAnsi="Arial"/>
                <w:sz w:val="16"/>
                <w:szCs w:val="16"/>
                <w:color w:val="auto"/>
              </w:rPr>
              <w:t>55</w:t>
            </w:r>
          </w:p>
        </w:tc>
        <w:tc>
          <w:tcPr>
            <w:tcW w:w="1460" w:type="dxa"/>
            <w:vAlign w:val="bottom"/>
          </w:tcPr>
          <w:p>
            <w:pPr>
              <w:jc w:val="right"/>
              <w:ind w:right="321"/>
              <w:spacing w:after="0"/>
              <w:rPr>
                <w:sz w:val="20"/>
                <w:szCs w:val="20"/>
                <w:color w:val="auto"/>
              </w:rPr>
            </w:pPr>
            <w:r>
              <w:rPr>
                <w:rFonts w:ascii="Arial" w:cs="Arial" w:eastAsia="Arial" w:hAnsi="Arial"/>
                <w:sz w:val="16"/>
                <w:szCs w:val="16"/>
                <w:b w:val="1"/>
                <w:bCs w:val="1"/>
                <w:color w:val="auto"/>
              </w:rPr>
              <w:t>46</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137</w:t>
            </w:r>
          </w:p>
        </w:tc>
      </w:tr>
      <w:tr>
        <w:trPr>
          <w:trHeight w:val="185"/>
        </w:trPr>
        <w:tc>
          <w:tcPr>
            <w:tcW w:w="3020" w:type="dxa"/>
            <w:vAlign w:val="bottom"/>
          </w:tcPr>
          <w:p>
            <w:pPr>
              <w:spacing w:after="0"/>
              <w:rPr>
                <w:sz w:val="20"/>
                <w:szCs w:val="20"/>
                <w:color w:val="auto"/>
              </w:rPr>
            </w:pPr>
            <w:r>
              <w:rPr>
                <w:rFonts w:ascii="Arial" w:cs="Arial" w:eastAsia="Arial" w:hAnsi="Arial"/>
                <w:sz w:val="16"/>
                <w:szCs w:val="16"/>
                <w:b w:val="1"/>
                <w:bCs w:val="1"/>
                <w:color w:val="auto"/>
              </w:rPr>
              <w:t> Payments of lease principal</w:t>
            </w:r>
          </w:p>
        </w:tc>
        <w:tc>
          <w:tcPr>
            <w:tcW w:w="2360" w:type="dxa"/>
            <w:vAlign w:val="bottom"/>
          </w:tcPr>
          <w:p>
            <w:pPr>
              <w:jc w:val="right"/>
              <w:ind w:right="541"/>
              <w:spacing w:after="0"/>
              <w:rPr>
                <w:sz w:val="20"/>
                <w:szCs w:val="20"/>
                <w:color w:val="auto"/>
              </w:rPr>
            </w:pPr>
            <w:r>
              <w:rPr>
                <w:rFonts w:ascii="Arial" w:cs="Arial" w:eastAsia="Arial" w:hAnsi="Arial"/>
                <w:sz w:val="16"/>
                <w:szCs w:val="16"/>
                <w:b w:val="1"/>
                <w:bCs w:val="1"/>
                <w:color w:val="auto"/>
              </w:rPr>
              <w:t>(17)</w:t>
            </w:r>
          </w:p>
        </w:tc>
        <w:tc>
          <w:tcPr>
            <w:tcW w:w="1700" w:type="dxa"/>
            <w:vAlign w:val="bottom"/>
          </w:tcPr>
          <w:p>
            <w:pPr>
              <w:jc w:val="right"/>
              <w:ind w:right="321"/>
              <w:spacing w:after="0"/>
              <w:rPr>
                <w:sz w:val="20"/>
                <w:szCs w:val="20"/>
                <w:color w:val="auto"/>
              </w:rPr>
            </w:pPr>
            <w:r>
              <w:rPr>
                <w:rFonts w:ascii="Arial" w:cs="Arial" w:eastAsia="Arial" w:hAnsi="Arial"/>
                <w:sz w:val="16"/>
                <w:szCs w:val="16"/>
                <w:color w:val="auto"/>
              </w:rPr>
              <w:t>(14)</w:t>
            </w:r>
          </w:p>
        </w:tc>
        <w:tc>
          <w:tcPr>
            <w:tcW w:w="1460" w:type="dxa"/>
            <w:vAlign w:val="bottom"/>
          </w:tcPr>
          <w:p>
            <w:pPr>
              <w:jc w:val="right"/>
              <w:ind w:right="321"/>
              <w:spacing w:after="0"/>
              <w:rPr>
                <w:sz w:val="20"/>
                <w:szCs w:val="20"/>
                <w:color w:val="auto"/>
              </w:rPr>
            </w:pPr>
            <w:r>
              <w:rPr>
                <w:rFonts w:ascii="Arial" w:cs="Arial" w:eastAsia="Arial" w:hAnsi="Arial"/>
                <w:sz w:val="16"/>
                <w:szCs w:val="16"/>
                <w:b w:val="1"/>
                <w:bCs w:val="1"/>
                <w:color w:val="auto"/>
              </w:rPr>
              <w:t>(63)</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(58)</w:t>
            </w:r>
          </w:p>
        </w:tc>
      </w:tr>
      <w:tr>
        <w:trPr>
          <w:trHeight w:val="200"/>
        </w:trPr>
        <w:tc>
          <w:tcPr>
            <w:tcW w:w="3020" w:type="dxa"/>
            <w:vAlign w:val="bottom"/>
            <w:tcBorders>
              <w:bottom w:val="single" w:sz="8" w:color="B2B2B2"/>
            </w:tcBorders>
          </w:tcPr>
          <w:p>
            <w:pPr>
              <w:spacing w:after="0"/>
              <w:rPr>
                <w:sz w:val="20"/>
                <w:szCs w:val="20"/>
                <w:color w:val="auto"/>
              </w:rPr>
            </w:pPr>
            <w:r>
              <w:rPr>
                <w:rFonts w:ascii="Arial" w:cs="Arial" w:eastAsia="Arial" w:hAnsi="Arial"/>
                <w:sz w:val="16"/>
                <w:szCs w:val="16"/>
                <w:b w:val="1"/>
                <w:bCs w:val="1"/>
                <w:color w:val="auto"/>
              </w:rPr>
              <w:t> Dividends paid on preference shares</w:t>
            </w:r>
          </w:p>
        </w:tc>
        <w:tc>
          <w:tcPr>
            <w:tcW w:w="2360" w:type="dxa"/>
            <w:vAlign w:val="bottom"/>
            <w:tcBorders>
              <w:bottom w:val="single" w:sz="8" w:color="B2B2B2"/>
            </w:tcBorders>
          </w:tcPr>
          <w:p>
            <w:pPr>
              <w:jc w:val="right"/>
              <w:ind w:right="541"/>
              <w:spacing w:after="0"/>
              <w:rPr>
                <w:sz w:val="20"/>
                <w:szCs w:val="20"/>
                <w:color w:val="auto"/>
              </w:rPr>
            </w:pPr>
            <w:r>
              <w:rPr>
                <w:rFonts w:ascii="Arial" w:cs="Arial" w:eastAsia="Arial" w:hAnsi="Arial"/>
                <w:sz w:val="16"/>
                <w:szCs w:val="16"/>
                <w:b w:val="1"/>
                <w:bCs w:val="1"/>
                <w:color w:val="auto"/>
              </w:rPr>
              <w:t>(1)</w:t>
            </w:r>
          </w:p>
        </w:tc>
        <w:tc>
          <w:tcPr>
            <w:tcW w:w="1700" w:type="dxa"/>
            <w:vAlign w:val="bottom"/>
            <w:tcBorders>
              <w:bottom w:val="single" w:sz="8" w:color="B2B2B2"/>
            </w:tcBorders>
          </w:tcPr>
          <w:p>
            <w:pPr>
              <w:jc w:val="right"/>
              <w:ind w:right="321"/>
              <w:spacing w:after="0"/>
              <w:rPr>
                <w:sz w:val="20"/>
                <w:szCs w:val="20"/>
                <w:color w:val="auto"/>
              </w:rPr>
            </w:pPr>
            <w:r>
              <w:rPr>
                <w:rFonts w:ascii="Arial" w:cs="Arial" w:eastAsia="Arial" w:hAnsi="Arial"/>
                <w:sz w:val="16"/>
                <w:szCs w:val="16"/>
                <w:color w:val="auto"/>
              </w:rPr>
              <w:t>(1)</w:t>
            </w:r>
          </w:p>
        </w:tc>
        <w:tc>
          <w:tcPr>
            <w:tcW w:w="1460" w:type="dxa"/>
            <w:vAlign w:val="bottom"/>
            <w:tcBorders>
              <w:bottom w:val="single" w:sz="8" w:color="B2B2B2"/>
            </w:tcBorders>
          </w:tcPr>
          <w:p>
            <w:pPr>
              <w:jc w:val="right"/>
              <w:ind w:right="321"/>
              <w:spacing w:after="0"/>
              <w:rPr>
                <w:sz w:val="20"/>
                <w:szCs w:val="20"/>
                <w:color w:val="auto"/>
              </w:rPr>
            </w:pPr>
            <w:r>
              <w:rPr>
                <w:rFonts w:ascii="Arial" w:cs="Arial" w:eastAsia="Arial" w:hAnsi="Arial"/>
                <w:sz w:val="16"/>
                <w:szCs w:val="16"/>
                <w:b w:val="1"/>
                <w:bCs w:val="1"/>
                <w:color w:val="auto"/>
              </w:rPr>
              <w:t>(5)</w:t>
            </w:r>
          </w:p>
        </w:tc>
        <w:tc>
          <w:tcPr>
            <w:tcW w:w="118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(5)</w:t>
            </w:r>
          </w:p>
        </w:tc>
      </w:tr>
      <w:tr>
        <w:trPr>
          <w:trHeight w:val="185"/>
        </w:trPr>
        <w:tc>
          <w:tcPr>
            <w:tcW w:w="302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b w:val="1"/>
                <w:bCs w:val="1"/>
                <w:color w:val="auto"/>
              </w:rPr>
              <w:t> Free cash flow</w:t>
            </w:r>
          </w:p>
        </w:tc>
        <w:tc>
          <w:tcPr>
            <w:tcW w:w="2360" w:type="dxa"/>
            <w:vAlign w:val="bottom"/>
            <w:tcBorders>
              <w:bottom w:val="single" w:sz="8" w:color="D64000"/>
            </w:tcBorders>
          </w:tcPr>
          <w:p>
            <w:pPr>
              <w:jc w:val="right"/>
              <w:ind w:right="541"/>
              <w:spacing w:after="0" w:line="179" w:lineRule="exact"/>
              <w:rPr>
                <w:sz w:val="20"/>
                <w:szCs w:val="20"/>
                <w:color w:val="auto"/>
              </w:rPr>
            </w:pPr>
            <w:r>
              <w:rPr>
                <w:rFonts w:ascii="Arial" w:cs="Arial" w:eastAsia="Arial" w:hAnsi="Arial"/>
                <w:sz w:val="16"/>
                <w:szCs w:val="16"/>
                <w:b w:val="1"/>
                <w:bCs w:val="1"/>
                <w:color w:val="auto"/>
              </w:rPr>
              <w:t>425</w:t>
            </w:r>
          </w:p>
        </w:tc>
        <w:tc>
          <w:tcPr>
            <w:tcW w:w="1700" w:type="dxa"/>
            <w:vAlign w:val="bottom"/>
            <w:tcBorders>
              <w:bottom w:val="single" w:sz="8" w:color="D64000"/>
            </w:tcBorders>
          </w:tcPr>
          <w:p>
            <w:pPr>
              <w:jc w:val="right"/>
              <w:ind w:right="321"/>
              <w:spacing w:after="0" w:line="179" w:lineRule="exact"/>
              <w:rPr>
                <w:sz w:val="20"/>
                <w:szCs w:val="20"/>
                <w:color w:val="auto"/>
              </w:rPr>
            </w:pPr>
            <w:r>
              <w:rPr>
                <w:rFonts w:ascii="Arial" w:cs="Arial" w:eastAsia="Arial" w:hAnsi="Arial"/>
                <w:sz w:val="16"/>
                <w:szCs w:val="16"/>
                <w:color w:val="auto"/>
              </w:rPr>
              <w:t>613</w:t>
            </w:r>
          </w:p>
        </w:tc>
        <w:tc>
          <w:tcPr>
            <w:tcW w:w="1460" w:type="dxa"/>
            <w:vAlign w:val="bottom"/>
            <w:tcBorders>
              <w:bottom w:val="single" w:sz="8" w:color="D64000"/>
            </w:tcBorders>
          </w:tcPr>
          <w:p>
            <w:pPr>
              <w:jc w:val="right"/>
              <w:ind w:right="321"/>
              <w:spacing w:after="0" w:line="179" w:lineRule="exact"/>
              <w:rPr>
                <w:sz w:val="20"/>
                <w:szCs w:val="20"/>
                <w:color w:val="auto"/>
              </w:rPr>
            </w:pPr>
            <w:r>
              <w:rPr>
                <w:rFonts w:ascii="Arial" w:cs="Arial" w:eastAsia="Arial" w:hAnsi="Arial"/>
                <w:sz w:val="16"/>
                <w:szCs w:val="16"/>
                <w:b w:val="1"/>
                <w:bCs w:val="1"/>
                <w:color w:val="auto"/>
              </w:rPr>
              <w:t>1,828</w:t>
            </w:r>
          </w:p>
        </w:tc>
        <w:tc>
          <w:tcPr>
            <w:tcW w:w="1180" w:type="dxa"/>
            <w:vAlign w:val="bottom"/>
            <w:tcBorders>
              <w:bottom w:val="single" w:sz="8" w:color="D64000"/>
            </w:tcBorders>
          </w:tcPr>
          <w:p>
            <w:pPr>
              <w:jc w:val="right"/>
              <w:ind w:right="41"/>
              <w:spacing w:after="0" w:line="179" w:lineRule="exact"/>
              <w:rPr>
                <w:sz w:val="20"/>
                <w:szCs w:val="20"/>
                <w:color w:val="auto"/>
              </w:rPr>
            </w:pPr>
            <w:r>
              <w:rPr>
                <w:rFonts w:ascii="Arial" w:cs="Arial" w:eastAsia="Arial" w:hAnsi="Arial"/>
                <w:sz w:val="16"/>
                <w:szCs w:val="16"/>
                <w:color w:val="auto"/>
              </w:rPr>
              <w:t>1,871</w:t>
            </w:r>
          </w:p>
        </w:tc>
      </w:tr>
    </w:tbl>
    <w:p>
      <w:pPr>
        <w:spacing w:after="0" w:line="5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Reconciliation of Net debt and Leverage Ratio of Net Debt to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168275</wp:posOffset>
            </wp:positionV>
            <wp:extent cx="617537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245"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7700" w:type="dxa"/>
            <w:vAlign w:val="bottom"/>
          </w:tcPr>
          <w:p>
            <w:pPr>
              <w:spacing w:after="0"/>
              <w:rPr>
                <w:sz w:val="17"/>
                <w:szCs w:val="17"/>
                <w:color w:val="auto"/>
              </w:rPr>
            </w:pPr>
          </w:p>
        </w:tc>
        <w:tc>
          <w:tcPr>
            <w:tcW w:w="2020" w:type="dxa"/>
            <w:vAlign w:val="bottom"/>
            <w:gridSpan w:val="2"/>
            <w:shd w:val="clear" w:color="auto" w:fill="E3F3EE"/>
          </w:tcPr>
          <w:p>
            <w:pPr>
              <w:jc w:val="right"/>
              <w:ind w:right="121"/>
              <w:spacing w:after="0"/>
              <w:rPr>
                <w:sz w:val="20"/>
                <w:szCs w:val="20"/>
                <w:color w:val="auto"/>
              </w:rPr>
            </w:pPr>
            <w:r>
              <w:rPr>
                <w:rFonts w:ascii="Arial" w:cs="Arial" w:eastAsia="Arial" w:hAnsi="Arial"/>
                <w:sz w:val="16"/>
                <w:szCs w:val="16"/>
                <w:b w:val="1"/>
                <w:bCs w:val="1"/>
                <w:color w:val="auto"/>
              </w:rPr>
              <w:t>December 31, </w:t>
            </w:r>
          </w:p>
        </w:tc>
      </w:tr>
      <w:tr>
        <w:trPr>
          <w:trHeight w:val="192"/>
        </w:trPr>
        <w:tc>
          <w:tcPr>
            <w:tcW w:w="770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color w:val="FFFFFF"/>
              </w:rPr>
              <w:t> (millions of U.S. dollars)</w:t>
            </w:r>
          </w:p>
        </w:tc>
        <w:tc>
          <w:tcPr>
            <w:tcW w:w="980" w:type="dxa"/>
            <w:vAlign w:val="bottom"/>
            <w:tcBorders>
              <w:bottom w:val="single" w:sz="8" w:color="D64000"/>
            </w:tcBorders>
            <w:shd w:val="clear" w:color="auto" w:fill="1F473D"/>
          </w:tcPr>
          <w:p>
            <w:pPr>
              <w:jc w:val="right"/>
              <w:ind w:right="41"/>
              <w:spacing w:after="0"/>
              <w:rPr>
                <w:sz w:val="20"/>
                <w:szCs w:val="20"/>
                <w:color w:val="auto"/>
              </w:rPr>
            </w:pPr>
            <w:r>
              <w:rPr>
                <w:rFonts w:ascii="Arial" w:cs="Arial" w:eastAsia="Arial" w:hAnsi="Arial"/>
                <w:sz w:val="16"/>
                <w:szCs w:val="16"/>
                <w:b w:val="1"/>
                <w:bCs w:val="1"/>
                <w:color w:val="FFFFFF"/>
              </w:rPr>
              <w:t>   2024</w:t>
            </w:r>
          </w:p>
        </w:tc>
        <w:tc>
          <w:tcPr>
            <w:tcW w:w="1040" w:type="dxa"/>
            <w:vAlign w:val="bottom"/>
            <w:tcBorders>
              <w:bottom w:val="single" w:sz="8" w:color="D64000"/>
            </w:tcBorders>
            <w:shd w:val="clear" w:color="auto" w:fill="1F473D"/>
          </w:tcPr>
          <w:p>
            <w:pPr>
              <w:jc w:val="right"/>
              <w:ind w:right="1"/>
              <w:spacing w:after="0"/>
              <w:rPr>
                <w:sz w:val="20"/>
                <w:szCs w:val="20"/>
                <w:color w:val="auto"/>
              </w:rPr>
            </w:pPr>
            <w:r>
              <w:rPr>
                <w:rFonts w:ascii="Arial" w:cs="Arial" w:eastAsia="Arial" w:hAnsi="Arial"/>
                <w:sz w:val="16"/>
                <w:szCs w:val="16"/>
                <w:color w:val="FFFFFF"/>
              </w:rPr>
              <w:t>         2023</w:t>
            </w:r>
          </w:p>
        </w:tc>
      </w:tr>
      <w:tr>
        <w:trPr>
          <w:trHeight w:val="171"/>
        </w:trPr>
        <w:tc>
          <w:tcPr>
            <w:tcW w:w="7700" w:type="dxa"/>
            <w:vAlign w:val="bottom"/>
          </w:tcPr>
          <w:p>
            <w:pPr>
              <w:spacing w:after="0" w:line="171" w:lineRule="exact"/>
              <w:rPr>
                <w:sz w:val="20"/>
                <w:szCs w:val="20"/>
                <w:color w:val="auto"/>
              </w:rPr>
            </w:pPr>
            <w:r>
              <w:rPr>
                <w:rFonts w:ascii="Arial" w:cs="Arial" w:eastAsia="Arial" w:hAnsi="Arial"/>
                <w:sz w:val="16"/>
                <w:szCs w:val="16"/>
                <w:b w:val="1"/>
                <w:bCs w:val="1"/>
                <w:color w:val="auto"/>
              </w:rPr>
              <w:t> Current indebtedness</w:t>
            </w:r>
          </w:p>
        </w:tc>
        <w:tc>
          <w:tcPr>
            <w:tcW w:w="980" w:type="dxa"/>
            <w:vAlign w:val="bottom"/>
          </w:tcPr>
          <w:p>
            <w:pPr>
              <w:jc w:val="right"/>
              <w:ind w:right="41"/>
              <w:spacing w:after="0" w:line="171" w:lineRule="exact"/>
              <w:rPr>
                <w:sz w:val="20"/>
                <w:szCs w:val="20"/>
                <w:color w:val="auto"/>
              </w:rPr>
            </w:pPr>
            <w:r>
              <w:rPr>
                <w:rFonts w:ascii="Arial" w:cs="Arial" w:eastAsia="Arial" w:hAnsi="Arial"/>
                <w:sz w:val="16"/>
                <w:szCs w:val="16"/>
                <w:b w:val="1"/>
                <w:bCs w:val="1"/>
                <w:color w:val="auto"/>
              </w:rPr>
              <w:t>973</w:t>
            </w:r>
          </w:p>
        </w:tc>
        <w:tc>
          <w:tcPr>
            <w:tcW w:w="1040" w:type="dxa"/>
            <w:vAlign w:val="bottom"/>
          </w:tcPr>
          <w:p>
            <w:pPr>
              <w:jc w:val="right"/>
              <w:ind w:right="1"/>
              <w:spacing w:after="0" w:line="171" w:lineRule="exact"/>
              <w:rPr>
                <w:sz w:val="20"/>
                <w:szCs w:val="20"/>
                <w:color w:val="auto"/>
              </w:rPr>
            </w:pPr>
            <w:r>
              <w:rPr>
                <w:rFonts w:ascii="Arial" w:cs="Arial" w:eastAsia="Arial" w:hAnsi="Arial"/>
                <w:sz w:val="16"/>
                <w:szCs w:val="16"/>
                <w:color w:val="auto"/>
              </w:rPr>
              <w:t>372</w:t>
            </w:r>
          </w:p>
        </w:tc>
      </w:tr>
      <w:tr>
        <w:trPr>
          <w:trHeight w:val="200"/>
        </w:trPr>
        <w:tc>
          <w:tcPr>
            <w:tcW w:w="7700" w:type="dxa"/>
            <w:vAlign w:val="bottom"/>
            <w:tcBorders>
              <w:bottom w:val="single" w:sz="8" w:color="B2B2B2"/>
            </w:tcBorders>
          </w:tcPr>
          <w:p>
            <w:pPr>
              <w:spacing w:after="0"/>
              <w:rPr>
                <w:sz w:val="20"/>
                <w:szCs w:val="20"/>
                <w:color w:val="auto"/>
              </w:rPr>
            </w:pPr>
            <w:r>
              <w:rPr>
                <w:rFonts w:ascii="Arial" w:cs="Arial" w:eastAsia="Arial" w:hAnsi="Arial"/>
                <w:sz w:val="16"/>
                <w:szCs w:val="16"/>
                <w:b w:val="1"/>
                <w:bCs w:val="1"/>
                <w:color w:val="auto"/>
              </w:rPr>
              <w:t> Long-term indebtedness</w:t>
            </w:r>
          </w:p>
        </w:tc>
        <w:tc>
          <w:tcPr>
            <w:tcW w:w="98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b w:val="1"/>
                <w:bCs w:val="1"/>
                <w:color w:val="auto"/>
              </w:rPr>
              <w:t>1,847</w:t>
            </w:r>
          </w:p>
        </w:tc>
        <w:tc>
          <w:tcPr>
            <w:tcW w:w="104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2,905</w:t>
            </w:r>
          </w:p>
        </w:tc>
      </w:tr>
      <w:tr>
        <w:trPr>
          <w:trHeight w:val="165"/>
        </w:trPr>
        <w:tc>
          <w:tcPr>
            <w:tcW w:w="7700" w:type="dxa"/>
            <w:vAlign w:val="bottom"/>
          </w:tcPr>
          <w:p>
            <w:pPr>
              <w:spacing w:after="0" w:line="165" w:lineRule="exact"/>
              <w:rPr>
                <w:sz w:val="20"/>
                <w:szCs w:val="20"/>
                <w:color w:val="auto"/>
              </w:rPr>
            </w:pPr>
            <w:r>
              <w:rPr>
                <w:rFonts w:ascii="Arial" w:cs="Arial" w:eastAsia="Arial" w:hAnsi="Arial"/>
                <w:sz w:val="16"/>
                <w:szCs w:val="16"/>
                <w:b w:val="1"/>
                <w:bCs w:val="1"/>
                <w:color w:val="auto"/>
              </w:rPr>
              <w:t> Total debt</w:t>
            </w:r>
          </w:p>
        </w:tc>
        <w:tc>
          <w:tcPr>
            <w:tcW w:w="980" w:type="dxa"/>
            <w:vAlign w:val="bottom"/>
          </w:tcPr>
          <w:p>
            <w:pPr>
              <w:jc w:val="right"/>
              <w:ind w:right="41"/>
              <w:spacing w:after="0" w:line="165" w:lineRule="exact"/>
              <w:rPr>
                <w:sz w:val="20"/>
                <w:szCs w:val="20"/>
                <w:color w:val="auto"/>
              </w:rPr>
            </w:pPr>
            <w:r>
              <w:rPr>
                <w:rFonts w:ascii="Arial" w:cs="Arial" w:eastAsia="Arial" w:hAnsi="Arial"/>
                <w:sz w:val="16"/>
                <w:szCs w:val="16"/>
                <w:b w:val="1"/>
                <w:bCs w:val="1"/>
                <w:color w:val="auto"/>
              </w:rPr>
              <w:t>2,820</w:t>
            </w:r>
          </w:p>
        </w:tc>
        <w:tc>
          <w:tcPr>
            <w:tcW w:w="1040" w:type="dxa"/>
            <w:vAlign w:val="bottom"/>
          </w:tcPr>
          <w:p>
            <w:pPr>
              <w:jc w:val="right"/>
              <w:ind w:right="1"/>
              <w:spacing w:after="0" w:line="165" w:lineRule="exact"/>
              <w:rPr>
                <w:sz w:val="20"/>
                <w:szCs w:val="20"/>
                <w:color w:val="auto"/>
              </w:rPr>
            </w:pPr>
            <w:r>
              <w:rPr>
                <w:rFonts w:ascii="Arial" w:cs="Arial" w:eastAsia="Arial" w:hAnsi="Arial"/>
                <w:sz w:val="16"/>
                <w:szCs w:val="16"/>
                <w:color w:val="auto"/>
              </w:rPr>
              <w:t>3,277</w:t>
            </w:r>
          </w:p>
        </w:tc>
      </w:tr>
      <w:tr>
        <w:trPr>
          <w:trHeight w:val="200"/>
        </w:trPr>
        <w:tc>
          <w:tcPr>
            <w:tcW w:w="7700" w:type="dxa"/>
            <w:vAlign w:val="bottom"/>
            <w:tcBorders>
              <w:bottom w:val="single" w:sz="8" w:color="B2B2B2"/>
            </w:tcBorders>
          </w:tcPr>
          <w:p>
            <w:pPr>
              <w:spacing w:after="0"/>
              <w:rPr>
                <w:sz w:val="20"/>
                <w:szCs w:val="20"/>
                <w:color w:val="auto"/>
              </w:rPr>
            </w:pPr>
            <w:r>
              <w:rPr>
                <w:rFonts w:ascii="Arial" w:cs="Arial" w:eastAsia="Arial" w:hAnsi="Arial"/>
                <w:sz w:val="16"/>
                <w:szCs w:val="16"/>
                <w:b w:val="1"/>
                <w:bCs w:val="1"/>
                <w:color w:val="auto"/>
              </w:rPr>
              <w:t> Swaps</w:t>
            </w:r>
          </w:p>
        </w:tc>
        <w:tc>
          <w:tcPr>
            <w:tcW w:w="98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b w:val="1"/>
                <w:bCs w:val="1"/>
                <w:color w:val="auto"/>
              </w:rPr>
              <w:t>21</w:t>
            </w:r>
          </w:p>
        </w:tc>
        <w:tc>
          <w:tcPr>
            <w:tcW w:w="104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(65)</w:t>
            </w:r>
          </w:p>
        </w:tc>
      </w:tr>
      <w:tr>
        <w:trPr>
          <w:trHeight w:val="165"/>
        </w:trPr>
        <w:tc>
          <w:tcPr>
            <w:tcW w:w="7700" w:type="dxa"/>
            <w:vAlign w:val="bottom"/>
          </w:tcPr>
          <w:p>
            <w:pPr>
              <w:spacing w:after="0" w:line="165" w:lineRule="exact"/>
              <w:rPr>
                <w:sz w:val="20"/>
                <w:szCs w:val="20"/>
                <w:color w:val="auto"/>
              </w:rPr>
            </w:pPr>
            <w:r>
              <w:rPr>
                <w:rFonts w:ascii="Arial" w:cs="Arial" w:eastAsia="Arial" w:hAnsi="Arial"/>
                <w:sz w:val="16"/>
                <w:szCs w:val="16"/>
                <w:b w:val="1"/>
                <w:bCs w:val="1"/>
                <w:color w:val="auto"/>
              </w:rPr>
              <w:t> Total debt after swaps</w:t>
            </w:r>
          </w:p>
        </w:tc>
        <w:tc>
          <w:tcPr>
            <w:tcW w:w="980" w:type="dxa"/>
            <w:vAlign w:val="bottom"/>
          </w:tcPr>
          <w:p>
            <w:pPr>
              <w:jc w:val="right"/>
              <w:ind w:right="41"/>
              <w:spacing w:after="0" w:line="165" w:lineRule="exact"/>
              <w:rPr>
                <w:sz w:val="20"/>
                <w:szCs w:val="20"/>
                <w:color w:val="auto"/>
              </w:rPr>
            </w:pPr>
            <w:r>
              <w:rPr>
                <w:rFonts w:ascii="Arial" w:cs="Arial" w:eastAsia="Arial" w:hAnsi="Arial"/>
                <w:sz w:val="16"/>
                <w:szCs w:val="16"/>
                <w:b w:val="1"/>
                <w:bCs w:val="1"/>
                <w:color w:val="auto"/>
              </w:rPr>
              <w:t>2,841</w:t>
            </w:r>
          </w:p>
        </w:tc>
        <w:tc>
          <w:tcPr>
            <w:tcW w:w="1040" w:type="dxa"/>
            <w:vAlign w:val="bottom"/>
          </w:tcPr>
          <w:p>
            <w:pPr>
              <w:jc w:val="right"/>
              <w:ind w:right="1"/>
              <w:spacing w:after="0" w:line="165" w:lineRule="exact"/>
              <w:rPr>
                <w:sz w:val="20"/>
                <w:szCs w:val="20"/>
                <w:color w:val="auto"/>
              </w:rPr>
            </w:pPr>
            <w:r>
              <w:rPr>
                <w:rFonts w:ascii="Arial" w:cs="Arial" w:eastAsia="Arial" w:hAnsi="Arial"/>
                <w:sz w:val="16"/>
                <w:szCs w:val="16"/>
                <w:color w:val="auto"/>
              </w:rPr>
              <w:t>3,212</w:t>
            </w:r>
          </w:p>
        </w:tc>
      </w:tr>
      <w:tr>
        <w:trPr>
          <w:trHeight w:val="200"/>
        </w:trPr>
        <w:tc>
          <w:tcPr>
            <w:tcW w:w="7700" w:type="dxa"/>
            <w:vAlign w:val="bottom"/>
            <w:tcBorders>
              <w:bottom w:val="single" w:sz="8" w:color="B2B2B2"/>
            </w:tcBorders>
          </w:tcPr>
          <w:p>
            <w:pPr>
              <w:spacing w:after="0" w:line="200" w:lineRule="exact"/>
              <w:rPr>
                <w:sz w:val="20"/>
                <w:szCs w:val="20"/>
                <w:color w:val="auto"/>
              </w:rPr>
            </w:pPr>
            <w:r>
              <w:rPr>
                <w:rFonts w:ascii="Arial" w:cs="Arial" w:eastAsia="Arial" w:hAnsi="Arial"/>
                <w:sz w:val="16"/>
                <w:szCs w:val="16"/>
                <w:b w:val="1"/>
                <w:bCs w:val="1"/>
                <w:color w:val="auto"/>
              </w:rPr>
              <w:t> Remove fair value adjustments for hedges</w:t>
            </w:r>
            <w:r>
              <w:rPr>
                <w:rFonts w:ascii="Arial" w:cs="Arial" w:eastAsia="Arial" w:hAnsi="Arial"/>
                <w:sz w:val="19"/>
                <w:szCs w:val="19"/>
                <w:b w:val="1"/>
                <w:bCs w:val="1"/>
                <w:color w:val="auto"/>
                <w:vertAlign w:val="superscript"/>
              </w:rPr>
              <w:t>(1)</w:t>
            </w:r>
          </w:p>
        </w:tc>
        <w:tc>
          <w:tcPr>
            <w:tcW w:w="98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b w:val="1"/>
                <w:bCs w:val="1"/>
                <w:color w:val="auto"/>
              </w:rPr>
              <w:t>5</w:t>
            </w:r>
          </w:p>
        </w:tc>
        <w:tc>
          <w:tcPr>
            <w:tcW w:w="104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2</w:t>
            </w:r>
          </w:p>
        </w:tc>
      </w:tr>
      <w:tr>
        <w:trPr>
          <w:trHeight w:val="165"/>
        </w:trPr>
        <w:tc>
          <w:tcPr>
            <w:tcW w:w="7700" w:type="dxa"/>
            <w:vAlign w:val="bottom"/>
          </w:tcPr>
          <w:p>
            <w:pPr>
              <w:spacing w:after="0" w:line="165" w:lineRule="exact"/>
              <w:rPr>
                <w:sz w:val="20"/>
                <w:szCs w:val="20"/>
                <w:color w:val="auto"/>
              </w:rPr>
            </w:pPr>
            <w:r>
              <w:rPr>
                <w:rFonts w:ascii="Arial" w:cs="Arial" w:eastAsia="Arial" w:hAnsi="Arial"/>
                <w:sz w:val="16"/>
                <w:szCs w:val="16"/>
                <w:b w:val="1"/>
                <w:bCs w:val="1"/>
                <w:color w:val="auto"/>
              </w:rPr>
              <w:t> Total debt after currency hedging arrangements</w:t>
            </w:r>
          </w:p>
        </w:tc>
        <w:tc>
          <w:tcPr>
            <w:tcW w:w="980" w:type="dxa"/>
            <w:vAlign w:val="bottom"/>
          </w:tcPr>
          <w:p>
            <w:pPr>
              <w:jc w:val="right"/>
              <w:ind w:right="41"/>
              <w:spacing w:after="0" w:line="165" w:lineRule="exact"/>
              <w:rPr>
                <w:sz w:val="20"/>
                <w:szCs w:val="20"/>
                <w:color w:val="auto"/>
              </w:rPr>
            </w:pPr>
            <w:r>
              <w:rPr>
                <w:rFonts w:ascii="Arial" w:cs="Arial" w:eastAsia="Arial" w:hAnsi="Arial"/>
                <w:sz w:val="16"/>
                <w:szCs w:val="16"/>
                <w:b w:val="1"/>
                <w:bCs w:val="1"/>
                <w:color w:val="auto"/>
              </w:rPr>
              <w:t>2,846</w:t>
            </w:r>
          </w:p>
        </w:tc>
        <w:tc>
          <w:tcPr>
            <w:tcW w:w="1040" w:type="dxa"/>
            <w:vAlign w:val="bottom"/>
          </w:tcPr>
          <w:p>
            <w:pPr>
              <w:jc w:val="right"/>
              <w:ind w:right="1"/>
              <w:spacing w:after="0" w:line="165" w:lineRule="exact"/>
              <w:rPr>
                <w:sz w:val="20"/>
                <w:szCs w:val="20"/>
                <w:color w:val="auto"/>
              </w:rPr>
            </w:pPr>
            <w:r>
              <w:rPr>
                <w:rFonts w:ascii="Arial" w:cs="Arial" w:eastAsia="Arial" w:hAnsi="Arial"/>
                <w:sz w:val="16"/>
                <w:szCs w:val="16"/>
                <w:color w:val="auto"/>
              </w:rPr>
              <w:t>3,214</w:t>
            </w:r>
          </w:p>
        </w:tc>
      </w:tr>
      <w:tr>
        <w:trPr>
          <w:trHeight w:val="186"/>
        </w:trPr>
        <w:tc>
          <w:tcPr>
            <w:tcW w:w="7700" w:type="dxa"/>
            <w:vAlign w:val="bottom"/>
          </w:tcPr>
          <w:p>
            <w:pPr>
              <w:spacing w:after="0"/>
              <w:rPr>
                <w:sz w:val="20"/>
                <w:szCs w:val="20"/>
                <w:color w:val="auto"/>
              </w:rPr>
            </w:pPr>
            <w:r>
              <w:rPr>
                <w:rFonts w:ascii="Arial" w:cs="Arial" w:eastAsia="Arial" w:hAnsi="Arial"/>
                <w:sz w:val="16"/>
                <w:szCs w:val="16"/>
                <w:b w:val="1"/>
                <w:bCs w:val="1"/>
                <w:color w:val="auto"/>
              </w:rPr>
              <w:t> Remove transaction costs, premiums or discounts included in the carrying value of debt</w:t>
            </w: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22</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26</w:t>
            </w:r>
          </w:p>
        </w:tc>
      </w:tr>
      <w:tr>
        <w:trPr>
          <w:trHeight w:val="186"/>
        </w:trPr>
        <w:tc>
          <w:tcPr>
            <w:tcW w:w="7700" w:type="dxa"/>
            <w:vAlign w:val="bottom"/>
          </w:tcPr>
          <w:p>
            <w:pPr>
              <w:spacing w:after="0"/>
              <w:rPr>
                <w:sz w:val="20"/>
                <w:szCs w:val="20"/>
                <w:color w:val="auto"/>
              </w:rPr>
            </w:pPr>
            <w:r>
              <w:rPr>
                <w:rFonts w:ascii="Arial" w:cs="Arial" w:eastAsia="Arial" w:hAnsi="Arial"/>
                <w:sz w:val="16"/>
                <w:szCs w:val="16"/>
                <w:b w:val="1"/>
                <w:bCs w:val="1"/>
                <w:color w:val="auto"/>
              </w:rPr>
              <w:t> Add: Lease liabilities (current and non-current)</w:t>
            </w: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256</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265</w:t>
            </w:r>
          </w:p>
        </w:tc>
      </w:tr>
      <w:tr>
        <w:trPr>
          <w:trHeight w:val="200"/>
        </w:trPr>
        <w:tc>
          <w:tcPr>
            <w:tcW w:w="7700" w:type="dxa"/>
            <w:vAlign w:val="bottom"/>
            <w:tcBorders>
              <w:bottom w:val="single" w:sz="8" w:color="B2B2B2"/>
            </w:tcBorders>
          </w:tcPr>
          <w:p>
            <w:pPr>
              <w:spacing w:after="0" w:line="200" w:lineRule="exact"/>
              <w:rPr>
                <w:sz w:val="20"/>
                <w:szCs w:val="20"/>
                <w:color w:val="auto"/>
              </w:rPr>
            </w:pPr>
            <w:r>
              <w:rPr>
                <w:rFonts w:ascii="Arial" w:cs="Arial" w:eastAsia="Arial" w:hAnsi="Arial"/>
                <w:sz w:val="16"/>
                <w:szCs w:val="16"/>
                <w:b w:val="1"/>
                <w:bCs w:val="1"/>
                <w:color w:val="auto"/>
              </w:rPr>
              <w:t> Less: Cash and cash equivalents</w:t>
            </w:r>
            <w:r>
              <w:rPr>
                <w:rFonts w:ascii="Arial" w:cs="Arial" w:eastAsia="Arial" w:hAnsi="Arial"/>
                <w:sz w:val="19"/>
                <w:szCs w:val="19"/>
                <w:b w:val="1"/>
                <w:bCs w:val="1"/>
                <w:color w:val="auto"/>
                <w:vertAlign w:val="superscript"/>
              </w:rPr>
              <w:t>(2)</w:t>
            </w:r>
          </w:p>
        </w:tc>
        <w:tc>
          <w:tcPr>
            <w:tcW w:w="98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b w:val="1"/>
                <w:bCs w:val="1"/>
                <w:color w:val="auto"/>
              </w:rPr>
              <w:t>(1,968)</w:t>
            </w:r>
          </w:p>
        </w:tc>
        <w:tc>
          <w:tcPr>
            <w:tcW w:w="104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(1,298)</w:t>
            </w:r>
          </w:p>
        </w:tc>
      </w:tr>
      <w:tr>
        <w:trPr>
          <w:trHeight w:val="179"/>
        </w:trPr>
        <w:tc>
          <w:tcPr>
            <w:tcW w:w="770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b w:val="1"/>
                <w:bCs w:val="1"/>
                <w:color w:val="auto"/>
              </w:rPr>
              <w:t> Net debt</w:t>
            </w:r>
          </w:p>
        </w:tc>
        <w:tc>
          <w:tcPr>
            <w:tcW w:w="980" w:type="dxa"/>
            <w:vAlign w:val="bottom"/>
            <w:tcBorders>
              <w:bottom w:val="single" w:sz="8" w:color="B2B2B2"/>
            </w:tcBorders>
          </w:tcPr>
          <w:p>
            <w:pPr>
              <w:jc w:val="right"/>
              <w:ind w:right="41"/>
              <w:spacing w:after="0" w:line="179" w:lineRule="exact"/>
              <w:rPr>
                <w:sz w:val="20"/>
                <w:szCs w:val="20"/>
                <w:color w:val="auto"/>
              </w:rPr>
            </w:pPr>
            <w:r>
              <w:rPr>
                <w:rFonts w:ascii="Arial" w:cs="Arial" w:eastAsia="Arial" w:hAnsi="Arial"/>
                <w:sz w:val="16"/>
                <w:szCs w:val="16"/>
                <w:b w:val="1"/>
                <w:bCs w:val="1"/>
                <w:color w:val="auto"/>
              </w:rPr>
              <w:t>1,156</w:t>
            </w:r>
          </w:p>
        </w:tc>
        <w:tc>
          <w:tcPr>
            <w:tcW w:w="1040" w:type="dxa"/>
            <w:vAlign w:val="bottom"/>
            <w:tcBorders>
              <w:bottom w:val="single" w:sz="8" w:color="B2B2B2"/>
            </w:tcBorders>
          </w:tcPr>
          <w:p>
            <w:pPr>
              <w:jc w:val="right"/>
              <w:ind w:right="1"/>
              <w:spacing w:after="0" w:line="179" w:lineRule="exact"/>
              <w:rPr>
                <w:sz w:val="20"/>
                <w:szCs w:val="20"/>
                <w:color w:val="auto"/>
              </w:rPr>
            </w:pPr>
            <w:r>
              <w:rPr>
                <w:rFonts w:ascii="Arial" w:cs="Arial" w:eastAsia="Arial" w:hAnsi="Arial"/>
                <w:sz w:val="16"/>
                <w:szCs w:val="16"/>
                <w:color w:val="auto"/>
              </w:rPr>
              <w:t>2,207</w:t>
            </w:r>
          </w:p>
        </w:tc>
      </w:tr>
      <w:tr>
        <w:trPr>
          <w:trHeight w:val="165"/>
        </w:trPr>
        <w:tc>
          <w:tcPr>
            <w:tcW w:w="7700" w:type="dxa"/>
            <w:vAlign w:val="bottom"/>
          </w:tcPr>
          <w:p>
            <w:pPr>
              <w:spacing w:after="0" w:line="165" w:lineRule="exact"/>
              <w:rPr>
                <w:sz w:val="20"/>
                <w:szCs w:val="20"/>
                <w:color w:val="auto"/>
              </w:rPr>
            </w:pPr>
            <w:r>
              <w:rPr>
                <w:rFonts w:ascii="Arial" w:cs="Arial" w:eastAsia="Arial" w:hAnsi="Arial"/>
                <w:sz w:val="16"/>
                <w:szCs w:val="16"/>
                <w:b w:val="1"/>
                <w:bCs w:val="1"/>
                <w:color w:val="auto"/>
              </w:rPr>
              <w:t> Leverage ratio of net debt to adjusted EBITDA</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6"/>
        </w:trPr>
        <w:tc>
          <w:tcPr>
            <w:tcW w:w="7700" w:type="dxa"/>
            <w:vAlign w:val="bottom"/>
          </w:tcPr>
          <w:p>
            <w:pPr>
              <w:spacing w:after="0"/>
              <w:rPr>
                <w:sz w:val="20"/>
                <w:szCs w:val="20"/>
                <w:color w:val="auto"/>
              </w:rPr>
            </w:pPr>
            <w:r>
              <w:rPr>
                <w:rFonts w:ascii="Arial" w:cs="Arial" w:eastAsia="Arial" w:hAnsi="Arial"/>
                <w:sz w:val="16"/>
                <w:szCs w:val="16"/>
                <w:b w:val="1"/>
                <w:bCs w:val="1"/>
                <w:color w:val="auto"/>
              </w:rPr>
              <w:t> Adjusted EBITDA</w:t>
            </w: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2,779</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2,678</w:t>
            </w:r>
          </w:p>
        </w:tc>
      </w:tr>
      <w:tr>
        <w:trPr>
          <w:trHeight w:val="206"/>
        </w:trPr>
        <w:tc>
          <w:tcPr>
            <w:tcW w:w="7700" w:type="dxa"/>
            <w:vAlign w:val="bottom"/>
            <w:tcBorders>
              <w:bottom w:val="single" w:sz="8" w:color="D64000"/>
            </w:tcBorders>
          </w:tcPr>
          <w:p>
            <w:pPr>
              <w:spacing w:after="0"/>
              <w:rPr>
                <w:sz w:val="20"/>
                <w:szCs w:val="20"/>
                <w:color w:val="auto"/>
              </w:rPr>
            </w:pPr>
            <w:r>
              <w:rPr>
                <w:rFonts w:ascii="Arial" w:cs="Arial" w:eastAsia="Arial" w:hAnsi="Arial"/>
                <w:sz w:val="16"/>
                <w:szCs w:val="16"/>
                <w:b w:val="1"/>
                <w:bCs w:val="1"/>
                <w:color w:val="auto"/>
              </w:rPr>
              <w:t> Net debt/adjusted EBITDA</w:t>
            </w:r>
          </w:p>
        </w:tc>
        <w:tc>
          <w:tcPr>
            <w:tcW w:w="980" w:type="dxa"/>
            <w:vAlign w:val="bottom"/>
            <w:tcBorders>
              <w:bottom w:val="single" w:sz="8" w:color="D64000"/>
            </w:tcBorders>
          </w:tcPr>
          <w:p>
            <w:pPr>
              <w:jc w:val="right"/>
              <w:ind w:right="41"/>
              <w:spacing w:after="0"/>
              <w:rPr>
                <w:sz w:val="20"/>
                <w:szCs w:val="20"/>
                <w:color w:val="auto"/>
              </w:rPr>
            </w:pPr>
            <w:r>
              <w:rPr>
                <w:rFonts w:ascii="Arial" w:cs="Arial" w:eastAsia="Arial" w:hAnsi="Arial"/>
                <w:sz w:val="16"/>
                <w:szCs w:val="16"/>
                <w:b w:val="1"/>
                <w:bCs w:val="1"/>
                <w:color w:val="auto"/>
              </w:rPr>
              <w:t>0.4:1</w:t>
            </w:r>
          </w:p>
        </w:tc>
        <w:tc>
          <w:tcPr>
            <w:tcW w:w="1040" w:type="dxa"/>
            <w:vAlign w:val="bottom"/>
            <w:tcBorders>
              <w:bottom w:val="single" w:sz="8" w:color="D64000"/>
            </w:tcBorders>
          </w:tcPr>
          <w:p>
            <w:pPr>
              <w:jc w:val="right"/>
              <w:ind w:right="1"/>
              <w:spacing w:after="0"/>
              <w:rPr>
                <w:sz w:val="20"/>
                <w:szCs w:val="20"/>
                <w:color w:val="auto"/>
              </w:rPr>
            </w:pPr>
            <w:r>
              <w:rPr>
                <w:rFonts w:ascii="Arial" w:cs="Arial" w:eastAsia="Arial" w:hAnsi="Arial"/>
                <w:sz w:val="16"/>
                <w:szCs w:val="16"/>
                <w:color w:val="auto"/>
              </w:rPr>
              <w:t>0.8:1</w:t>
            </w:r>
          </w:p>
        </w:tc>
      </w:tr>
    </w:tbl>
    <w:p>
      <w:pPr>
        <w:spacing w:after="0" w:line="83" w:lineRule="exact"/>
        <w:rPr>
          <w:sz w:val="20"/>
          <w:szCs w:val="20"/>
          <w:color w:val="auto"/>
        </w:rPr>
      </w:pPr>
    </w:p>
    <w:p>
      <w:pPr>
        <w:ind w:left="540" w:hanging="322"/>
        <w:spacing w:after="0"/>
        <w:tabs>
          <w:tab w:leader="none" w:pos="5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Represents the interest-related fair value component of hedging instruments that are removed to reflect net cash outflow upon maturity.</w:t>
      </w:r>
    </w:p>
    <w:p>
      <w:pPr>
        <w:spacing w:after="0" w:line="12" w:lineRule="exact"/>
        <w:rPr>
          <w:rFonts w:ascii="Arial" w:cs="Arial" w:eastAsia="Arial" w:hAnsi="Arial"/>
          <w:sz w:val="14"/>
          <w:szCs w:val="14"/>
          <w:color w:val="auto"/>
        </w:rPr>
      </w:pPr>
    </w:p>
    <w:p>
      <w:pPr>
        <w:ind w:left="540" w:right="80" w:hanging="322"/>
        <w:spacing w:after="0" w:line="245" w:lineRule="auto"/>
        <w:tabs>
          <w:tab w:leader="none" w:pos="5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Includes cash and cash equivalents of $115 million and $100 million as of December 31, 2024 and 2023, respectively, held in subsidiaries which have regulatory restrictions, contractual restrictions or operate in countries where exchange controls and other legal restrictions apply and are therefore not available for general use by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96520</wp:posOffset>
            </wp:positionV>
            <wp:extent cx="68656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49"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66</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140"/>
        <w:spacing w:after="0" w:line="308" w:lineRule="auto"/>
        <w:rPr>
          <w:sz w:val="20"/>
          <w:szCs w:val="20"/>
          <w:color w:val="auto"/>
        </w:rPr>
      </w:pPr>
      <w:r>
        <w:rPr>
          <w:rFonts w:ascii="Arial" w:cs="Arial" w:eastAsia="Arial" w:hAnsi="Arial"/>
          <w:sz w:val="24"/>
          <w:szCs w:val="24"/>
          <w:b w:val="1"/>
          <w:bCs w:val="1"/>
          <w:color w:val="D64000"/>
        </w:rPr>
        <w:t>Reconciliation of Changes in Revenues to Changes in Revenues Excluding the Effects of Foreign Currency (Constant Currency) as well as Acquisitions/Divestitures (Organic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10160</wp:posOffset>
            </wp:positionV>
            <wp:extent cx="617537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0" w:type="dxa"/>
            <w:vAlign w:val="bottom"/>
            <w:shd w:val="clear" w:color="auto" w:fill="E3F3EE"/>
          </w:tcPr>
          <w:p>
            <w:pPr>
              <w:spacing w:after="0"/>
              <w:rPr>
                <w:sz w:val="14"/>
                <w:szCs w:val="14"/>
                <w:color w:val="auto"/>
              </w:rPr>
            </w:pPr>
          </w:p>
        </w:tc>
        <w:tc>
          <w:tcPr>
            <w:tcW w:w="140" w:type="dxa"/>
            <w:vAlign w:val="bottom"/>
            <w:shd w:val="clear" w:color="auto" w:fill="E3F3EE"/>
          </w:tcPr>
          <w:p>
            <w:pPr>
              <w:spacing w:after="0"/>
              <w:rPr>
                <w:sz w:val="14"/>
                <w:szCs w:val="14"/>
                <w:color w:val="auto"/>
              </w:rPr>
            </w:pPr>
          </w:p>
        </w:tc>
        <w:tc>
          <w:tcPr>
            <w:tcW w:w="520" w:type="dxa"/>
            <w:vAlign w:val="bottom"/>
            <w:shd w:val="clear" w:color="auto" w:fill="E3F3EE"/>
          </w:tcPr>
          <w:p>
            <w:pPr>
              <w:spacing w:after="0"/>
              <w:rPr>
                <w:sz w:val="14"/>
                <w:szCs w:val="14"/>
                <w:color w:val="auto"/>
              </w:rPr>
            </w:pPr>
          </w:p>
        </w:tc>
        <w:tc>
          <w:tcPr>
            <w:tcW w:w="200" w:type="dxa"/>
            <w:vAlign w:val="bottom"/>
            <w:shd w:val="clear" w:color="auto" w:fill="E3F3EE"/>
          </w:tcPr>
          <w:p>
            <w:pPr>
              <w:spacing w:after="0"/>
              <w:rPr>
                <w:sz w:val="14"/>
                <w:szCs w:val="14"/>
                <w:color w:val="auto"/>
              </w:rPr>
            </w:pPr>
          </w:p>
        </w:tc>
        <w:tc>
          <w:tcPr>
            <w:tcW w:w="140" w:type="dxa"/>
            <w:vAlign w:val="bottom"/>
            <w:shd w:val="clear" w:color="auto" w:fill="E3F3EE"/>
          </w:tcPr>
          <w:p>
            <w:pPr>
              <w:spacing w:after="0"/>
              <w:rPr>
                <w:sz w:val="14"/>
                <w:szCs w:val="14"/>
                <w:color w:val="auto"/>
              </w:rPr>
            </w:pPr>
          </w:p>
        </w:tc>
        <w:tc>
          <w:tcPr>
            <w:tcW w:w="480" w:type="dxa"/>
            <w:vAlign w:val="bottom"/>
            <w:shd w:val="clear" w:color="auto" w:fill="E3F3EE"/>
          </w:tcPr>
          <w:p>
            <w:pPr>
              <w:spacing w:after="0"/>
              <w:rPr>
                <w:sz w:val="14"/>
                <w:szCs w:val="14"/>
                <w:color w:val="auto"/>
              </w:rPr>
            </w:pPr>
          </w:p>
        </w:tc>
        <w:tc>
          <w:tcPr>
            <w:tcW w:w="2660" w:type="dxa"/>
            <w:vAlign w:val="bottom"/>
            <w:gridSpan w:val="5"/>
            <w:shd w:val="clear" w:color="auto" w:fill="E3F3EE"/>
          </w:tcPr>
          <w:p>
            <w:pPr>
              <w:ind w:left="120"/>
              <w:spacing w:after="0"/>
              <w:rPr>
                <w:sz w:val="20"/>
                <w:szCs w:val="20"/>
                <w:color w:val="auto"/>
              </w:rPr>
            </w:pPr>
            <w:r>
              <w:rPr>
                <w:rFonts w:ascii="Arial" w:cs="Arial" w:eastAsia="Arial" w:hAnsi="Arial"/>
                <w:sz w:val="15"/>
                <w:szCs w:val="15"/>
                <w:b w:val="1"/>
                <w:bCs w:val="1"/>
                <w:color w:val="auto"/>
              </w:rPr>
              <w:t>Three months ended December 31,</w:t>
            </w:r>
          </w:p>
        </w:tc>
        <w:tc>
          <w:tcPr>
            <w:tcW w:w="980" w:type="dxa"/>
            <w:vAlign w:val="bottom"/>
            <w:shd w:val="clear" w:color="auto" w:fill="E3F3EE"/>
          </w:tcPr>
          <w:p>
            <w:pPr>
              <w:spacing w:after="0"/>
              <w:rPr>
                <w:sz w:val="14"/>
                <w:szCs w:val="14"/>
                <w:color w:val="auto"/>
              </w:rPr>
            </w:pPr>
          </w:p>
        </w:tc>
        <w:tc>
          <w:tcPr>
            <w:tcW w:w="800" w:type="dxa"/>
            <w:vAlign w:val="bottom"/>
            <w:shd w:val="clear" w:color="auto" w:fill="E3F3E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1F473D"/>
            </w:tcBorders>
            <w:shd w:val="clear" w:color="auto" w:fill="1F473D"/>
          </w:tcPr>
          <w:p>
            <w:pPr>
              <w:spacing w:after="0"/>
              <w:rPr>
                <w:sz w:val="14"/>
                <w:szCs w:val="14"/>
                <w:color w:val="auto"/>
              </w:rPr>
            </w:pPr>
          </w:p>
        </w:tc>
        <w:tc>
          <w:tcPr>
            <w:tcW w:w="760" w:type="dxa"/>
            <w:vAlign w:val="bottom"/>
            <w:tcBorders>
              <w:bottom w:val="single" w:sz="8" w:color="1F473D"/>
            </w:tcBorders>
            <w:shd w:val="clear" w:color="auto" w:fill="1F473D"/>
          </w:tcPr>
          <w:p>
            <w:pPr>
              <w:spacing w:after="0"/>
              <w:rPr>
                <w:sz w:val="14"/>
                <w:szCs w:val="14"/>
                <w:color w:val="auto"/>
              </w:rPr>
            </w:pPr>
          </w:p>
        </w:tc>
        <w:tc>
          <w:tcPr>
            <w:tcW w:w="800" w:type="dxa"/>
            <w:vAlign w:val="bottom"/>
            <w:tcBorders>
              <w:bottom w:val="single" w:sz="8" w:color="1F473D"/>
            </w:tcBorders>
            <w:shd w:val="clear" w:color="auto" w:fill="1F473D"/>
          </w:tcPr>
          <w:p>
            <w:pPr>
              <w:spacing w:after="0"/>
              <w:rPr>
                <w:sz w:val="14"/>
                <w:szCs w:val="14"/>
                <w:color w:val="auto"/>
              </w:rPr>
            </w:pPr>
          </w:p>
        </w:tc>
        <w:tc>
          <w:tcPr>
            <w:tcW w:w="220" w:type="dxa"/>
            <w:vAlign w:val="bottom"/>
            <w:tcBorders>
              <w:bottom w:val="single" w:sz="8" w:color="1F473D"/>
            </w:tcBorders>
            <w:shd w:val="clear" w:color="auto" w:fill="1F473D"/>
          </w:tcPr>
          <w:p>
            <w:pPr>
              <w:spacing w:after="0"/>
              <w:rPr>
                <w:sz w:val="14"/>
                <w:szCs w:val="14"/>
                <w:color w:val="auto"/>
              </w:rPr>
            </w:pPr>
          </w:p>
        </w:tc>
        <w:tc>
          <w:tcPr>
            <w:tcW w:w="1760" w:type="dxa"/>
            <w:vAlign w:val="bottom"/>
            <w:tcBorders>
              <w:bottom w:val="single" w:sz="8" w:color="1F473D"/>
            </w:tcBorders>
            <w:shd w:val="clear" w:color="auto" w:fill="1F473D"/>
          </w:tcPr>
          <w:p>
            <w:pPr>
              <w:spacing w:after="0"/>
              <w:rPr>
                <w:sz w:val="14"/>
                <w:szCs w:val="14"/>
                <w:color w:val="auto"/>
              </w:rPr>
            </w:pPr>
          </w:p>
        </w:tc>
        <w:tc>
          <w:tcPr>
            <w:tcW w:w="240" w:type="dxa"/>
            <w:vAlign w:val="bottom"/>
            <w:tcBorders>
              <w:bottom w:val="single" w:sz="8" w:color="1F473D"/>
            </w:tcBorders>
            <w:shd w:val="clear" w:color="auto" w:fill="1F473D"/>
          </w:tcPr>
          <w:p>
            <w:pPr>
              <w:spacing w:after="0"/>
              <w:rPr>
                <w:sz w:val="14"/>
                <w:szCs w:val="14"/>
                <w:color w:val="auto"/>
              </w:rPr>
            </w:pPr>
          </w:p>
        </w:tc>
        <w:tc>
          <w:tcPr>
            <w:tcW w:w="140" w:type="dxa"/>
            <w:vAlign w:val="bottom"/>
            <w:tcBorders>
              <w:bottom w:val="single" w:sz="8" w:color="1F473D"/>
            </w:tcBorders>
            <w:shd w:val="clear" w:color="auto" w:fill="1F473D"/>
          </w:tcPr>
          <w:p>
            <w:pPr>
              <w:spacing w:after="0"/>
              <w:rPr>
                <w:sz w:val="14"/>
                <w:szCs w:val="14"/>
                <w:color w:val="auto"/>
              </w:rPr>
            </w:pPr>
          </w:p>
        </w:tc>
        <w:tc>
          <w:tcPr>
            <w:tcW w:w="520" w:type="dxa"/>
            <w:vAlign w:val="bottom"/>
            <w:tcBorders>
              <w:bottom w:val="single" w:sz="8" w:color="1F473D"/>
            </w:tcBorders>
            <w:shd w:val="clear" w:color="auto" w:fill="1F473D"/>
          </w:tcPr>
          <w:p>
            <w:pPr>
              <w:spacing w:after="0"/>
              <w:rPr>
                <w:sz w:val="14"/>
                <w:szCs w:val="14"/>
                <w:color w:val="auto"/>
              </w:rPr>
            </w:pPr>
          </w:p>
        </w:tc>
        <w:tc>
          <w:tcPr>
            <w:tcW w:w="200" w:type="dxa"/>
            <w:vAlign w:val="bottom"/>
            <w:tcBorders>
              <w:bottom w:val="single" w:sz="8" w:color="1F473D"/>
            </w:tcBorders>
            <w:shd w:val="clear" w:color="auto" w:fill="1F473D"/>
          </w:tcPr>
          <w:p>
            <w:pPr>
              <w:spacing w:after="0"/>
              <w:rPr>
                <w:sz w:val="14"/>
                <w:szCs w:val="14"/>
                <w:color w:val="auto"/>
              </w:rPr>
            </w:pPr>
          </w:p>
        </w:tc>
        <w:tc>
          <w:tcPr>
            <w:tcW w:w="140" w:type="dxa"/>
            <w:vAlign w:val="bottom"/>
            <w:tcBorders>
              <w:bottom w:val="single" w:sz="8" w:color="1F473D"/>
            </w:tcBorders>
            <w:shd w:val="clear" w:color="auto" w:fill="1F473D"/>
          </w:tcPr>
          <w:p>
            <w:pPr>
              <w:spacing w:after="0"/>
              <w:rPr>
                <w:sz w:val="14"/>
                <w:szCs w:val="14"/>
                <w:color w:val="auto"/>
              </w:rPr>
            </w:pPr>
          </w:p>
        </w:tc>
        <w:tc>
          <w:tcPr>
            <w:tcW w:w="480" w:type="dxa"/>
            <w:vAlign w:val="bottom"/>
            <w:tcBorders>
              <w:bottom w:val="single" w:sz="8" w:color="1F473D"/>
            </w:tcBorders>
            <w:shd w:val="clear" w:color="auto" w:fill="1F473D"/>
          </w:tcPr>
          <w:p>
            <w:pPr>
              <w:spacing w:after="0"/>
              <w:rPr>
                <w:sz w:val="14"/>
                <w:szCs w:val="14"/>
                <w:color w:val="auto"/>
              </w:rPr>
            </w:pPr>
          </w:p>
        </w:tc>
        <w:tc>
          <w:tcPr>
            <w:tcW w:w="240" w:type="dxa"/>
            <w:vAlign w:val="bottom"/>
            <w:tcBorders>
              <w:bottom w:val="single" w:sz="8" w:color="D64000"/>
            </w:tcBorders>
            <w:shd w:val="clear" w:color="auto" w:fill="1F473D"/>
          </w:tcPr>
          <w:p>
            <w:pPr>
              <w:spacing w:after="0"/>
              <w:rPr>
                <w:sz w:val="14"/>
                <w:szCs w:val="14"/>
                <w:color w:val="auto"/>
              </w:rPr>
            </w:pPr>
          </w:p>
        </w:tc>
        <w:tc>
          <w:tcPr>
            <w:tcW w:w="120" w:type="dxa"/>
            <w:vAlign w:val="bottom"/>
            <w:tcBorders>
              <w:bottom w:val="single" w:sz="8" w:color="D64000"/>
            </w:tcBorders>
            <w:shd w:val="clear" w:color="auto" w:fill="1F473D"/>
          </w:tcPr>
          <w:p>
            <w:pPr>
              <w:spacing w:after="0"/>
              <w:rPr>
                <w:sz w:val="14"/>
                <w:szCs w:val="14"/>
                <w:color w:val="auto"/>
              </w:rPr>
            </w:pPr>
          </w:p>
        </w:tc>
        <w:tc>
          <w:tcPr>
            <w:tcW w:w="560" w:type="dxa"/>
            <w:vAlign w:val="bottom"/>
            <w:tcBorders>
              <w:bottom w:val="single" w:sz="8" w:color="D64000"/>
            </w:tcBorders>
            <w:shd w:val="clear" w:color="auto" w:fill="1F473D"/>
          </w:tcPr>
          <w:p>
            <w:pPr>
              <w:spacing w:after="0"/>
              <w:rPr>
                <w:sz w:val="14"/>
                <w:szCs w:val="14"/>
                <w:color w:val="auto"/>
              </w:rPr>
            </w:pPr>
          </w:p>
        </w:tc>
        <w:tc>
          <w:tcPr>
            <w:tcW w:w="860" w:type="dxa"/>
            <w:vAlign w:val="bottom"/>
            <w:tcBorders>
              <w:bottom w:val="single" w:sz="8" w:color="D64000"/>
            </w:tcBorders>
            <w:shd w:val="clear" w:color="auto" w:fill="1F473D"/>
          </w:tcPr>
          <w:p>
            <w:pPr>
              <w:spacing w:after="0"/>
              <w:rPr>
                <w:sz w:val="14"/>
                <w:szCs w:val="14"/>
                <w:color w:val="auto"/>
              </w:rPr>
            </w:pPr>
          </w:p>
        </w:tc>
        <w:tc>
          <w:tcPr>
            <w:tcW w:w="880" w:type="dxa"/>
            <w:vAlign w:val="bottom"/>
            <w:tcBorders>
              <w:bottom w:val="single" w:sz="8" w:color="D64000"/>
            </w:tcBorders>
            <w:shd w:val="clear" w:color="auto" w:fill="1F473D"/>
          </w:tcPr>
          <w:p>
            <w:pPr>
              <w:jc w:val="right"/>
              <w:ind w:right="81"/>
              <w:spacing w:after="0" w:line="159" w:lineRule="exact"/>
              <w:rPr>
                <w:sz w:val="20"/>
                <w:szCs w:val="20"/>
                <w:color w:val="auto"/>
              </w:rPr>
            </w:pPr>
            <w:r>
              <w:rPr>
                <w:rFonts w:ascii="Arial" w:cs="Arial" w:eastAsia="Arial" w:hAnsi="Arial"/>
                <w:sz w:val="15"/>
                <w:szCs w:val="15"/>
                <w:color w:val="FFFFFF"/>
              </w:rPr>
              <w:t>Change</w:t>
            </w:r>
          </w:p>
        </w:tc>
        <w:tc>
          <w:tcPr>
            <w:tcW w:w="980" w:type="dxa"/>
            <w:vAlign w:val="bottom"/>
            <w:tcBorders>
              <w:bottom w:val="single" w:sz="8" w:color="D64000"/>
            </w:tcBorders>
            <w:shd w:val="clear" w:color="auto" w:fill="1F473D"/>
          </w:tcPr>
          <w:p>
            <w:pPr>
              <w:spacing w:after="0"/>
              <w:rPr>
                <w:sz w:val="14"/>
                <w:szCs w:val="14"/>
                <w:color w:val="auto"/>
              </w:rPr>
            </w:pPr>
          </w:p>
        </w:tc>
        <w:tc>
          <w:tcPr>
            <w:tcW w:w="800" w:type="dxa"/>
            <w:vAlign w:val="bottom"/>
            <w:tcBorders>
              <w:bottom w:val="single" w:sz="8" w:color="D64000"/>
            </w:tcBorders>
            <w:shd w:val="clear" w:color="auto" w:fill="1F473D"/>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1F473D"/>
          </w:tcPr>
          <w:p>
            <w:pPr>
              <w:spacing w:after="0"/>
              <w:rPr>
                <w:sz w:val="12"/>
                <w:szCs w:val="12"/>
                <w:color w:val="auto"/>
              </w:rPr>
            </w:pPr>
          </w:p>
        </w:tc>
        <w:tc>
          <w:tcPr>
            <w:tcW w:w="760" w:type="dxa"/>
            <w:vAlign w:val="bottom"/>
            <w:shd w:val="clear" w:color="auto" w:fill="1F473D"/>
          </w:tcPr>
          <w:p>
            <w:pPr>
              <w:spacing w:after="0"/>
              <w:rPr>
                <w:sz w:val="12"/>
                <w:szCs w:val="12"/>
                <w:color w:val="auto"/>
              </w:rPr>
            </w:pPr>
          </w:p>
        </w:tc>
        <w:tc>
          <w:tcPr>
            <w:tcW w:w="800" w:type="dxa"/>
            <w:vAlign w:val="bottom"/>
            <w:shd w:val="clear" w:color="auto" w:fill="1F473D"/>
          </w:tcPr>
          <w:p>
            <w:pPr>
              <w:spacing w:after="0"/>
              <w:rPr>
                <w:sz w:val="12"/>
                <w:szCs w:val="12"/>
                <w:color w:val="auto"/>
              </w:rPr>
            </w:pPr>
          </w:p>
        </w:tc>
        <w:tc>
          <w:tcPr>
            <w:tcW w:w="220" w:type="dxa"/>
            <w:vAlign w:val="bottom"/>
            <w:shd w:val="clear" w:color="auto" w:fill="1F473D"/>
          </w:tcPr>
          <w:p>
            <w:pPr>
              <w:spacing w:after="0"/>
              <w:rPr>
                <w:sz w:val="12"/>
                <w:szCs w:val="12"/>
                <w:color w:val="auto"/>
              </w:rPr>
            </w:pPr>
          </w:p>
        </w:tc>
        <w:tc>
          <w:tcPr>
            <w:tcW w:w="1760" w:type="dxa"/>
            <w:vAlign w:val="bottom"/>
            <w:shd w:val="clear" w:color="auto" w:fill="1F473D"/>
          </w:tcPr>
          <w:p>
            <w:pPr>
              <w:spacing w:after="0"/>
              <w:rPr>
                <w:sz w:val="12"/>
                <w:szCs w:val="12"/>
                <w:color w:val="auto"/>
              </w:rPr>
            </w:pPr>
          </w:p>
        </w:tc>
        <w:tc>
          <w:tcPr>
            <w:tcW w:w="240" w:type="dxa"/>
            <w:vAlign w:val="bottom"/>
            <w:shd w:val="clear" w:color="auto" w:fill="1F473D"/>
          </w:tcPr>
          <w:p>
            <w:pPr>
              <w:spacing w:after="0"/>
              <w:rPr>
                <w:sz w:val="12"/>
                <w:szCs w:val="12"/>
                <w:color w:val="auto"/>
              </w:rPr>
            </w:pPr>
          </w:p>
        </w:tc>
        <w:tc>
          <w:tcPr>
            <w:tcW w:w="140" w:type="dxa"/>
            <w:vAlign w:val="bottom"/>
            <w:shd w:val="clear" w:color="auto" w:fill="1F473D"/>
          </w:tcPr>
          <w:p>
            <w:pPr>
              <w:spacing w:after="0"/>
              <w:rPr>
                <w:sz w:val="12"/>
                <w:szCs w:val="12"/>
                <w:color w:val="auto"/>
              </w:rPr>
            </w:pPr>
          </w:p>
        </w:tc>
        <w:tc>
          <w:tcPr>
            <w:tcW w:w="520" w:type="dxa"/>
            <w:vAlign w:val="bottom"/>
            <w:shd w:val="clear" w:color="auto" w:fill="1F473D"/>
          </w:tcPr>
          <w:p>
            <w:pPr>
              <w:spacing w:after="0"/>
              <w:rPr>
                <w:sz w:val="12"/>
                <w:szCs w:val="12"/>
                <w:color w:val="auto"/>
              </w:rPr>
            </w:pPr>
          </w:p>
        </w:tc>
        <w:tc>
          <w:tcPr>
            <w:tcW w:w="200" w:type="dxa"/>
            <w:vAlign w:val="bottom"/>
            <w:shd w:val="clear" w:color="auto" w:fill="1F473D"/>
          </w:tcPr>
          <w:p>
            <w:pPr>
              <w:spacing w:after="0"/>
              <w:rPr>
                <w:sz w:val="12"/>
                <w:szCs w:val="12"/>
                <w:color w:val="auto"/>
              </w:rPr>
            </w:pPr>
          </w:p>
        </w:tc>
        <w:tc>
          <w:tcPr>
            <w:tcW w:w="140" w:type="dxa"/>
            <w:vAlign w:val="bottom"/>
            <w:shd w:val="clear" w:color="auto" w:fill="1F473D"/>
          </w:tcPr>
          <w:p>
            <w:pPr>
              <w:spacing w:after="0"/>
              <w:rPr>
                <w:sz w:val="12"/>
                <w:szCs w:val="12"/>
                <w:color w:val="auto"/>
              </w:rPr>
            </w:pPr>
          </w:p>
        </w:tc>
        <w:tc>
          <w:tcPr>
            <w:tcW w:w="480" w:type="dxa"/>
            <w:vAlign w:val="bottom"/>
            <w:shd w:val="clear" w:color="auto" w:fill="1F473D"/>
          </w:tcPr>
          <w:p>
            <w:pPr>
              <w:spacing w:after="0"/>
              <w:rPr>
                <w:sz w:val="12"/>
                <w:szCs w:val="12"/>
                <w:color w:val="auto"/>
              </w:rPr>
            </w:pPr>
          </w:p>
        </w:tc>
        <w:tc>
          <w:tcPr>
            <w:tcW w:w="240" w:type="dxa"/>
            <w:vAlign w:val="bottom"/>
            <w:shd w:val="clear" w:color="auto" w:fill="1F473D"/>
          </w:tcPr>
          <w:p>
            <w:pPr>
              <w:spacing w:after="0"/>
              <w:rPr>
                <w:sz w:val="12"/>
                <w:szCs w:val="12"/>
                <w:color w:val="auto"/>
              </w:rPr>
            </w:pPr>
          </w:p>
        </w:tc>
        <w:tc>
          <w:tcPr>
            <w:tcW w:w="120" w:type="dxa"/>
            <w:vAlign w:val="bottom"/>
            <w:shd w:val="clear" w:color="auto" w:fill="1F473D"/>
          </w:tcPr>
          <w:p>
            <w:pPr>
              <w:spacing w:after="0"/>
              <w:rPr>
                <w:sz w:val="12"/>
                <w:szCs w:val="12"/>
                <w:color w:val="auto"/>
              </w:rPr>
            </w:pPr>
          </w:p>
        </w:tc>
        <w:tc>
          <w:tcPr>
            <w:tcW w:w="560" w:type="dxa"/>
            <w:vAlign w:val="bottom"/>
            <w:shd w:val="clear" w:color="auto" w:fill="1F473D"/>
          </w:tcPr>
          <w:p>
            <w:pPr>
              <w:spacing w:after="0"/>
              <w:rPr>
                <w:sz w:val="12"/>
                <w:szCs w:val="12"/>
                <w:color w:val="auto"/>
              </w:rPr>
            </w:pPr>
          </w:p>
        </w:tc>
        <w:tc>
          <w:tcPr>
            <w:tcW w:w="860" w:type="dxa"/>
            <w:vAlign w:val="bottom"/>
            <w:shd w:val="clear" w:color="auto" w:fill="1F473D"/>
          </w:tcPr>
          <w:p>
            <w:pPr>
              <w:spacing w:after="0"/>
              <w:rPr>
                <w:sz w:val="12"/>
                <w:szCs w:val="12"/>
                <w:color w:val="auto"/>
              </w:rPr>
            </w:pPr>
          </w:p>
        </w:tc>
        <w:tc>
          <w:tcPr>
            <w:tcW w:w="880" w:type="dxa"/>
            <w:vAlign w:val="bottom"/>
            <w:shd w:val="clear" w:color="auto" w:fill="1F473D"/>
          </w:tcPr>
          <w:p>
            <w:pPr>
              <w:jc w:val="center"/>
              <w:ind w:right="1"/>
              <w:spacing w:after="0" w:line="142" w:lineRule="exact"/>
              <w:rPr>
                <w:sz w:val="20"/>
                <w:szCs w:val="20"/>
                <w:color w:val="auto"/>
              </w:rPr>
            </w:pPr>
            <w:r>
              <w:rPr>
                <w:rFonts w:ascii="Arial" w:cs="Arial" w:eastAsia="Arial" w:hAnsi="Arial"/>
                <w:sz w:val="15"/>
                <w:szCs w:val="15"/>
                <w:color w:val="FFFFFF"/>
              </w:rPr>
              <w:t>Subtotal</w:t>
            </w:r>
          </w:p>
        </w:tc>
        <w:tc>
          <w:tcPr>
            <w:tcW w:w="980" w:type="dxa"/>
            <w:vAlign w:val="bottom"/>
            <w:shd w:val="clear" w:color="auto" w:fill="1F473D"/>
          </w:tcPr>
          <w:p>
            <w:pPr>
              <w:spacing w:after="0"/>
              <w:rPr>
                <w:sz w:val="12"/>
                <w:szCs w:val="12"/>
                <w:color w:val="auto"/>
              </w:rPr>
            </w:pPr>
          </w:p>
        </w:tc>
        <w:tc>
          <w:tcPr>
            <w:tcW w:w="800" w:type="dxa"/>
            <w:vAlign w:val="bottom"/>
            <w:shd w:val="clear" w:color="auto" w:fill="1F473D"/>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1F473D"/>
          </w:tcPr>
          <w:p>
            <w:pPr>
              <w:spacing w:after="0"/>
              <w:rPr>
                <w:sz w:val="14"/>
                <w:szCs w:val="14"/>
                <w:color w:val="auto"/>
              </w:rPr>
            </w:pPr>
          </w:p>
        </w:tc>
        <w:tc>
          <w:tcPr>
            <w:tcW w:w="760" w:type="dxa"/>
            <w:vAlign w:val="bottom"/>
            <w:shd w:val="clear" w:color="auto" w:fill="1F473D"/>
          </w:tcPr>
          <w:p>
            <w:pPr>
              <w:spacing w:after="0"/>
              <w:rPr>
                <w:sz w:val="14"/>
                <w:szCs w:val="14"/>
                <w:color w:val="auto"/>
              </w:rPr>
            </w:pPr>
          </w:p>
        </w:tc>
        <w:tc>
          <w:tcPr>
            <w:tcW w:w="800" w:type="dxa"/>
            <w:vAlign w:val="bottom"/>
            <w:shd w:val="clear" w:color="auto" w:fill="1F473D"/>
          </w:tcPr>
          <w:p>
            <w:pPr>
              <w:spacing w:after="0"/>
              <w:rPr>
                <w:sz w:val="14"/>
                <w:szCs w:val="14"/>
                <w:color w:val="auto"/>
              </w:rPr>
            </w:pPr>
          </w:p>
        </w:tc>
        <w:tc>
          <w:tcPr>
            <w:tcW w:w="220" w:type="dxa"/>
            <w:vAlign w:val="bottom"/>
            <w:shd w:val="clear" w:color="auto" w:fill="1F473D"/>
          </w:tcPr>
          <w:p>
            <w:pPr>
              <w:spacing w:after="0"/>
              <w:rPr>
                <w:sz w:val="14"/>
                <w:szCs w:val="14"/>
                <w:color w:val="auto"/>
              </w:rPr>
            </w:pPr>
          </w:p>
        </w:tc>
        <w:tc>
          <w:tcPr>
            <w:tcW w:w="1760" w:type="dxa"/>
            <w:vAlign w:val="bottom"/>
            <w:shd w:val="clear" w:color="auto" w:fill="1F473D"/>
          </w:tcPr>
          <w:p>
            <w:pPr>
              <w:spacing w:after="0"/>
              <w:rPr>
                <w:sz w:val="14"/>
                <w:szCs w:val="14"/>
                <w:color w:val="auto"/>
              </w:rPr>
            </w:pPr>
          </w:p>
        </w:tc>
        <w:tc>
          <w:tcPr>
            <w:tcW w:w="240" w:type="dxa"/>
            <w:vAlign w:val="bottom"/>
            <w:vMerge w:val="restart"/>
            <w:shd w:val="clear" w:color="auto" w:fill="1F473D"/>
          </w:tcPr>
          <w:p>
            <w:pPr>
              <w:ind w:left="140"/>
              <w:spacing w:after="0"/>
              <w:rPr>
                <w:sz w:val="20"/>
                <w:szCs w:val="20"/>
                <w:color w:val="auto"/>
              </w:rPr>
            </w:pPr>
            <w:r>
              <w:rPr>
                <w:rFonts w:ascii="Arial" w:cs="Arial" w:eastAsia="Arial" w:hAnsi="Arial"/>
                <w:sz w:val="11"/>
                <w:szCs w:val="11"/>
                <w:b w:val="1"/>
                <w:bCs w:val="1"/>
                <w:color w:val="FFFFFF"/>
                <w:w w:val="72"/>
              </w:rPr>
              <w:t> </w:t>
            </w:r>
          </w:p>
        </w:tc>
        <w:tc>
          <w:tcPr>
            <w:tcW w:w="140" w:type="dxa"/>
            <w:vAlign w:val="bottom"/>
            <w:vMerge w:val="restart"/>
            <w:shd w:val="clear" w:color="auto" w:fill="1F473D"/>
          </w:tcPr>
          <w:p>
            <w:pPr>
              <w:ind w:left="40"/>
              <w:spacing w:after="0"/>
              <w:rPr>
                <w:sz w:val="20"/>
                <w:szCs w:val="20"/>
                <w:color w:val="auto"/>
              </w:rPr>
            </w:pPr>
            <w:r>
              <w:rPr>
                <w:rFonts w:ascii="Arial" w:cs="Arial" w:eastAsia="Arial" w:hAnsi="Arial"/>
                <w:sz w:val="11"/>
                <w:szCs w:val="11"/>
                <w:b w:val="1"/>
                <w:bCs w:val="1"/>
                <w:color w:val="FFFFFF"/>
                <w:w w:val="72"/>
              </w:rPr>
              <w:t> </w:t>
            </w:r>
          </w:p>
        </w:tc>
        <w:tc>
          <w:tcPr>
            <w:tcW w:w="520" w:type="dxa"/>
            <w:vAlign w:val="bottom"/>
            <w:vMerge w:val="restart"/>
            <w:shd w:val="clear" w:color="auto" w:fill="1F473D"/>
          </w:tcPr>
          <w:p>
            <w:pPr>
              <w:jc w:val="right"/>
              <w:ind w:right="61"/>
              <w:spacing w:after="0"/>
              <w:rPr>
                <w:sz w:val="20"/>
                <w:szCs w:val="20"/>
                <w:color w:val="auto"/>
              </w:rPr>
            </w:pPr>
            <w:r>
              <w:rPr>
                <w:rFonts w:ascii="Arial" w:cs="Arial" w:eastAsia="Arial" w:hAnsi="Arial"/>
                <w:sz w:val="15"/>
                <w:szCs w:val="15"/>
                <w:b w:val="1"/>
                <w:bCs w:val="1"/>
                <w:color w:val="FFFFFF"/>
              </w:rPr>
              <w:t>2024</w:t>
            </w:r>
          </w:p>
        </w:tc>
        <w:tc>
          <w:tcPr>
            <w:tcW w:w="200" w:type="dxa"/>
            <w:vAlign w:val="bottom"/>
            <w:shd w:val="clear" w:color="auto" w:fill="1F473D"/>
          </w:tcPr>
          <w:p>
            <w:pPr>
              <w:spacing w:after="0"/>
              <w:rPr>
                <w:sz w:val="14"/>
                <w:szCs w:val="14"/>
                <w:color w:val="auto"/>
              </w:rPr>
            </w:pPr>
          </w:p>
        </w:tc>
        <w:tc>
          <w:tcPr>
            <w:tcW w:w="140" w:type="dxa"/>
            <w:vAlign w:val="bottom"/>
            <w:shd w:val="clear" w:color="auto" w:fill="1F473D"/>
          </w:tcPr>
          <w:p>
            <w:pPr>
              <w:spacing w:after="0"/>
              <w:rPr>
                <w:sz w:val="14"/>
                <w:szCs w:val="14"/>
                <w:color w:val="auto"/>
              </w:rPr>
            </w:pPr>
          </w:p>
        </w:tc>
        <w:tc>
          <w:tcPr>
            <w:tcW w:w="480" w:type="dxa"/>
            <w:vAlign w:val="bottom"/>
            <w:shd w:val="clear" w:color="auto" w:fill="1F473D"/>
          </w:tcPr>
          <w:p>
            <w:pPr>
              <w:spacing w:after="0"/>
              <w:rPr>
                <w:sz w:val="14"/>
                <w:szCs w:val="14"/>
                <w:color w:val="auto"/>
              </w:rPr>
            </w:pPr>
          </w:p>
        </w:tc>
        <w:tc>
          <w:tcPr>
            <w:tcW w:w="240" w:type="dxa"/>
            <w:vAlign w:val="bottom"/>
            <w:shd w:val="clear" w:color="auto" w:fill="1F473D"/>
          </w:tcPr>
          <w:p>
            <w:pPr>
              <w:spacing w:after="0"/>
              <w:rPr>
                <w:sz w:val="14"/>
                <w:szCs w:val="14"/>
                <w:color w:val="auto"/>
              </w:rPr>
            </w:pPr>
          </w:p>
        </w:tc>
        <w:tc>
          <w:tcPr>
            <w:tcW w:w="120" w:type="dxa"/>
            <w:vAlign w:val="bottom"/>
            <w:shd w:val="clear" w:color="auto" w:fill="1F473D"/>
          </w:tcPr>
          <w:p>
            <w:pPr>
              <w:spacing w:after="0"/>
              <w:rPr>
                <w:sz w:val="14"/>
                <w:szCs w:val="14"/>
                <w:color w:val="auto"/>
              </w:rPr>
            </w:pPr>
          </w:p>
        </w:tc>
        <w:tc>
          <w:tcPr>
            <w:tcW w:w="560" w:type="dxa"/>
            <w:vAlign w:val="bottom"/>
            <w:shd w:val="clear" w:color="auto" w:fill="1F473D"/>
          </w:tcPr>
          <w:p>
            <w:pPr>
              <w:spacing w:after="0"/>
              <w:rPr>
                <w:sz w:val="14"/>
                <w:szCs w:val="14"/>
                <w:color w:val="auto"/>
              </w:rPr>
            </w:pPr>
          </w:p>
        </w:tc>
        <w:tc>
          <w:tcPr>
            <w:tcW w:w="860" w:type="dxa"/>
            <w:vAlign w:val="bottom"/>
            <w:shd w:val="clear" w:color="auto" w:fill="1F473D"/>
          </w:tcPr>
          <w:p>
            <w:pPr>
              <w:jc w:val="center"/>
              <w:spacing w:after="0" w:line="163" w:lineRule="exact"/>
              <w:rPr>
                <w:sz w:val="20"/>
                <w:szCs w:val="20"/>
                <w:color w:val="auto"/>
              </w:rPr>
            </w:pPr>
            <w:r>
              <w:rPr>
                <w:rFonts w:ascii="Arial" w:cs="Arial" w:eastAsia="Arial" w:hAnsi="Arial"/>
                <w:sz w:val="15"/>
                <w:szCs w:val="15"/>
                <w:color w:val="FFFFFF"/>
              </w:rPr>
              <w:t>Foreign</w:t>
            </w:r>
          </w:p>
        </w:tc>
        <w:tc>
          <w:tcPr>
            <w:tcW w:w="880" w:type="dxa"/>
            <w:vAlign w:val="bottom"/>
            <w:shd w:val="clear" w:color="auto" w:fill="1F473D"/>
          </w:tcPr>
          <w:p>
            <w:pPr>
              <w:jc w:val="center"/>
              <w:ind w:right="1"/>
              <w:spacing w:after="0" w:line="163" w:lineRule="exact"/>
              <w:rPr>
                <w:sz w:val="20"/>
                <w:szCs w:val="20"/>
                <w:color w:val="auto"/>
              </w:rPr>
            </w:pPr>
            <w:r>
              <w:rPr>
                <w:rFonts w:ascii="Arial" w:cs="Arial" w:eastAsia="Arial" w:hAnsi="Arial"/>
                <w:sz w:val="15"/>
                <w:szCs w:val="15"/>
                <w:color w:val="FFFFFF"/>
                <w:w w:val="99"/>
              </w:rPr>
              <w:t>Constant</w:t>
            </w:r>
          </w:p>
        </w:tc>
        <w:tc>
          <w:tcPr>
            <w:tcW w:w="980" w:type="dxa"/>
            <w:vAlign w:val="bottom"/>
            <w:shd w:val="clear" w:color="auto" w:fill="1F473D"/>
          </w:tcPr>
          <w:p>
            <w:pPr>
              <w:jc w:val="center"/>
              <w:ind w:right="21"/>
              <w:spacing w:after="0" w:line="163" w:lineRule="exact"/>
              <w:rPr>
                <w:sz w:val="20"/>
                <w:szCs w:val="20"/>
                <w:color w:val="auto"/>
              </w:rPr>
            </w:pPr>
            <w:r>
              <w:rPr>
                <w:rFonts w:ascii="Arial" w:cs="Arial" w:eastAsia="Arial" w:hAnsi="Arial"/>
                <w:sz w:val="15"/>
                <w:szCs w:val="15"/>
                <w:color w:val="FFFFFF"/>
                <w:w w:val="99"/>
              </w:rPr>
              <w:t>Acquisitions/</w:t>
            </w:r>
          </w:p>
        </w:tc>
        <w:tc>
          <w:tcPr>
            <w:tcW w:w="800" w:type="dxa"/>
            <w:vAlign w:val="bottom"/>
            <w:shd w:val="clear" w:color="auto" w:fill="1F473D"/>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560" w:type="dxa"/>
            <w:vAlign w:val="bottom"/>
            <w:tcBorders>
              <w:bottom w:val="single" w:sz="8" w:color="D64000"/>
            </w:tcBorders>
            <w:gridSpan w:val="5"/>
            <w:shd w:val="clear" w:color="auto" w:fill="1F473D"/>
          </w:tcPr>
          <w:p>
            <w:pPr>
              <w:spacing w:after="0"/>
              <w:rPr>
                <w:sz w:val="20"/>
                <w:szCs w:val="20"/>
                <w:color w:val="auto"/>
              </w:rPr>
            </w:pPr>
            <w:r>
              <w:rPr>
                <w:rFonts w:ascii="Arial" w:cs="Arial" w:eastAsia="Arial" w:hAnsi="Arial"/>
                <w:sz w:val="15"/>
                <w:szCs w:val="15"/>
                <w:color w:val="FFFFFF"/>
              </w:rPr>
              <w:t> (millions of U.S. dollars)</w:t>
            </w:r>
          </w:p>
        </w:tc>
        <w:tc>
          <w:tcPr>
            <w:tcW w:w="240" w:type="dxa"/>
            <w:vAlign w:val="bottom"/>
            <w:tcBorders>
              <w:bottom w:val="single" w:sz="8" w:color="D64000"/>
            </w:tcBorders>
            <w:vMerge w:val="continue"/>
            <w:shd w:val="clear" w:color="auto" w:fill="1F473D"/>
          </w:tcPr>
          <w:p>
            <w:pPr>
              <w:spacing w:after="0"/>
              <w:rPr>
                <w:sz w:val="16"/>
                <w:szCs w:val="16"/>
                <w:color w:val="auto"/>
              </w:rPr>
            </w:pPr>
          </w:p>
        </w:tc>
        <w:tc>
          <w:tcPr>
            <w:tcW w:w="140" w:type="dxa"/>
            <w:vAlign w:val="bottom"/>
            <w:tcBorders>
              <w:bottom w:val="single" w:sz="8" w:color="D64000"/>
            </w:tcBorders>
            <w:vMerge w:val="continue"/>
            <w:shd w:val="clear" w:color="auto" w:fill="1F473D"/>
          </w:tcPr>
          <w:p>
            <w:pPr>
              <w:spacing w:after="0"/>
              <w:rPr>
                <w:sz w:val="16"/>
                <w:szCs w:val="16"/>
                <w:color w:val="auto"/>
              </w:rPr>
            </w:pPr>
          </w:p>
        </w:tc>
        <w:tc>
          <w:tcPr>
            <w:tcW w:w="520" w:type="dxa"/>
            <w:vAlign w:val="bottom"/>
            <w:tcBorders>
              <w:bottom w:val="single" w:sz="8" w:color="D64000"/>
            </w:tcBorders>
            <w:vMerge w:val="continue"/>
            <w:shd w:val="clear" w:color="auto" w:fill="1F473D"/>
          </w:tcPr>
          <w:p>
            <w:pPr>
              <w:spacing w:after="0"/>
              <w:rPr>
                <w:sz w:val="16"/>
                <w:szCs w:val="16"/>
                <w:color w:val="auto"/>
              </w:rPr>
            </w:pPr>
          </w:p>
        </w:tc>
        <w:tc>
          <w:tcPr>
            <w:tcW w:w="200" w:type="dxa"/>
            <w:vAlign w:val="bottom"/>
            <w:tcBorders>
              <w:bottom w:val="single" w:sz="8" w:color="D64000"/>
            </w:tcBorders>
            <w:shd w:val="clear" w:color="auto" w:fill="1F473D"/>
          </w:tcPr>
          <w:p>
            <w:pPr>
              <w:ind w:left="100"/>
              <w:spacing w:after="0"/>
              <w:rPr>
                <w:sz w:val="20"/>
                <w:szCs w:val="20"/>
                <w:color w:val="auto"/>
              </w:rPr>
            </w:pPr>
            <w:r>
              <w:rPr>
                <w:rFonts w:ascii="Arial" w:cs="Arial" w:eastAsia="Arial" w:hAnsi="Arial"/>
                <w:sz w:val="11"/>
                <w:szCs w:val="11"/>
                <w:color w:val="FFFFFF"/>
                <w:w w:val="72"/>
              </w:rPr>
              <w:t> </w:t>
            </w:r>
          </w:p>
        </w:tc>
        <w:tc>
          <w:tcPr>
            <w:tcW w:w="140" w:type="dxa"/>
            <w:vAlign w:val="bottom"/>
            <w:tcBorders>
              <w:bottom w:val="single" w:sz="8" w:color="D64000"/>
            </w:tcBorders>
            <w:shd w:val="clear" w:color="auto" w:fill="1F473D"/>
          </w:tcPr>
          <w:p>
            <w:pPr>
              <w:ind w:left="40"/>
              <w:spacing w:after="0"/>
              <w:rPr>
                <w:sz w:val="20"/>
                <w:szCs w:val="20"/>
                <w:color w:val="auto"/>
              </w:rPr>
            </w:pPr>
            <w:r>
              <w:rPr>
                <w:rFonts w:ascii="Arial" w:cs="Arial" w:eastAsia="Arial" w:hAnsi="Arial"/>
                <w:sz w:val="11"/>
                <w:szCs w:val="11"/>
                <w:color w:val="FFFFFF"/>
                <w:w w:val="72"/>
              </w:rPr>
              <w:t> </w:t>
            </w:r>
          </w:p>
        </w:tc>
        <w:tc>
          <w:tcPr>
            <w:tcW w:w="480" w:type="dxa"/>
            <w:vAlign w:val="bottom"/>
            <w:tcBorders>
              <w:bottom w:val="single" w:sz="8" w:color="D64000"/>
            </w:tcBorders>
            <w:shd w:val="clear" w:color="auto" w:fill="1F473D"/>
          </w:tcPr>
          <w:p>
            <w:pPr>
              <w:jc w:val="right"/>
              <w:ind w:right="1"/>
              <w:spacing w:after="0"/>
              <w:rPr>
                <w:sz w:val="20"/>
                <w:szCs w:val="20"/>
                <w:color w:val="auto"/>
              </w:rPr>
            </w:pPr>
            <w:r>
              <w:rPr>
                <w:rFonts w:ascii="Arial" w:cs="Arial" w:eastAsia="Arial" w:hAnsi="Arial"/>
                <w:sz w:val="15"/>
                <w:szCs w:val="15"/>
                <w:color w:val="FFFFFF"/>
              </w:rPr>
              <w:t>2023</w:t>
            </w:r>
          </w:p>
        </w:tc>
        <w:tc>
          <w:tcPr>
            <w:tcW w:w="240" w:type="dxa"/>
            <w:vAlign w:val="bottom"/>
            <w:tcBorders>
              <w:bottom w:val="single" w:sz="8" w:color="D64000"/>
            </w:tcBorders>
            <w:shd w:val="clear" w:color="auto" w:fill="1F473D"/>
          </w:tcPr>
          <w:p>
            <w:pPr>
              <w:ind w:left="140"/>
              <w:spacing w:after="0"/>
              <w:rPr>
                <w:sz w:val="20"/>
                <w:szCs w:val="20"/>
                <w:color w:val="auto"/>
              </w:rPr>
            </w:pPr>
            <w:r>
              <w:rPr>
                <w:rFonts w:ascii="Arial" w:cs="Arial" w:eastAsia="Arial" w:hAnsi="Arial"/>
                <w:sz w:val="11"/>
                <w:szCs w:val="11"/>
                <w:color w:val="FFFFFF"/>
                <w:w w:val="72"/>
              </w:rPr>
              <w:t> </w:t>
            </w:r>
          </w:p>
        </w:tc>
        <w:tc>
          <w:tcPr>
            <w:tcW w:w="120" w:type="dxa"/>
            <w:vAlign w:val="bottom"/>
            <w:tcBorders>
              <w:bottom w:val="single" w:sz="8" w:color="D64000"/>
            </w:tcBorders>
            <w:shd w:val="clear" w:color="auto" w:fill="1F473D"/>
          </w:tcPr>
          <w:p>
            <w:pPr>
              <w:ind w:left="60"/>
              <w:spacing w:after="0"/>
              <w:rPr>
                <w:sz w:val="20"/>
                <w:szCs w:val="20"/>
                <w:color w:val="auto"/>
              </w:rPr>
            </w:pPr>
            <w:r>
              <w:rPr>
                <w:rFonts w:ascii="Arial" w:cs="Arial" w:eastAsia="Arial" w:hAnsi="Arial"/>
                <w:sz w:val="5"/>
                <w:szCs w:val="5"/>
                <w:color w:val="FFFFFF"/>
                <w:w w:val="79"/>
              </w:rPr>
              <w:t> </w:t>
            </w:r>
          </w:p>
        </w:tc>
        <w:tc>
          <w:tcPr>
            <w:tcW w:w="560" w:type="dxa"/>
            <w:vAlign w:val="bottom"/>
            <w:tcBorders>
              <w:bottom w:val="single" w:sz="8" w:color="D64000"/>
            </w:tcBorders>
            <w:shd w:val="clear" w:color="auto" w:fill="1F473D"/>
          </w:tcPr>
          <w:p>
            <w:pPr>
              <w:ind w:left="80"/>
              <w:spacing w:after="0"/>
              <w:rPr>
                <w:sz w:val="20"/>
                <w:szCs w:val="20"/>
                <w:color w:val="auto"/>
              </w:rPr>
            </w:pPr>
            <w:r>
              <w:rPr>
                <w:rFonts w:ascii="Arial" w:cs="Arial" w:eastAsia="Arial" w:hAnsi="Arial"/>
                <w:sz w:val="15"/>
                <w:szCs w:val="15"/>
                <w:color w:val="FFFFFF"/>
              </w:rPr>
              <w:t>Total</w:t>
            </w:r>
          </w:p>
        </w:tc>
        <w:tc>
          <w:tcPr>
            <w:tcW w:w="860" w:type="dxa"/>
            <w:vAlign w:val="bottom"/>
            <w:tcBorders>
              <w:bottom w:val="single" w:sz="8" w:color="D64000"/>
            </w:tcBorders>
            <w:shd w:val="clear" w:color="auto" w:fill="1F473D"/>
          </w:tcPr>
          <w:p>
            <w:pPr>
              <w:jc w:val="center"/>
              <w:spacing w:after="0"/>
              <w:rPr>
                <w:sz w:val="20"/>
                <w:szCs w:val="20"/>
                <w:color w:val="auto"/>
              </w:rPr>
            </w:pPr>
            <w:r>
              <w:rPr>
                <w:rFonts w:ascii="Arial" w:cs="Arial" w:eastAsia="Arial" w:hAnsi="Arial"/>
                <w:sz w:val="15"/>
                <w:szCs w:val="15"/>
                <w:color w:val="FFFFFF"/>
                <w:w w:val="98"/>
              </w:rPr>
              <w:t>Currency</w:t>
            </w:r>
          </w:p>
        </w:tc>
        <w:tc>
          <w:tcPr>
            <w:tcW w:w="880" w:type="dxa"/>
            <w:vAlign w:val="bottom"/>
            <w:tcBorders>
              <w:bottom w:val="single" w:sz="8" w:color="D64000"/>
            </w:tcBorders>
            <w:shd w:val="clear" w:color="auto" w:fill="1F473D"/>
          </w:tcPr>
          <w:p>
            <w:pPr>
              <w:jc w:val="center"/>
              <w:ind w:right="1"/>
              <w:spacing w:after="0"/>
              <w:rPr>
                <w:sz w:val="20"/>
                <w:szCs w:val="20"/>
                <w:color w:val="auto"/>
              </w:rPr>
            </w:pPr>
            <w:r>
              <w:rPr>
                <w:rFonts w:ascii="Arial" w:cs="Arial" w:eastAsia="Arial" w:hAnsi="Arial"/>
                <w:sz w:val="15"/>
                <w:szCs w:val="15"/>
                <w:color w:val="FFFFFF"/>
                <w:w w:val="98"/>
              </w:rPr>
              <w:t>Currency</w:t>
            </w:r>
          </w:p>
        </w:tc>
        <w:tc>
          <w:tcPr>
            <w:tcW w:w="980" w:type="dxa"/>
            <w:vAlign w:val="bottom"/>
            <w:tcBorders>
              <w:bottom w:val="single" w:sz="8" w:color="D64000"/>
            </w:tcBorders>
            <w:shd w:val="clear" w:color="auto" w:fill="1F473D"/>
          </w:tcPr>
          <w:p>
            <w:pPr>
              <w:jc w:val="center"/>
              <w:ind w:right="1"/>
              <w:spacing w:after="0"/>
              <w:rPr>
                <w:sz w:val="20"/>
                <w:szCs w:val="20"/>
                <w:color w:val="auto"/>
              </w:rPr>
            </w:pPr>
            <w:r>
              <w:rPr>
                <w:rFonts w:ascii="Arial" w:cs="Arial" w:eastAsia="Arial" w:hAnsi="Arial"/>
                <w:sz w:val="15"/>
                <w:szCs w:val="15"/>
                <w:color w:val="FFFFFF"/>
                <w:w w:val="99"/>
              </w:rPr>
              <w:t>Divestitures</w:t>
            </w:r>
          </w:p>
        </w:tc>
        <w:tc>
          <w:tcPr>
            <w:tcW w:w="800" w:type="dxa"/>
            <w:vAlign w:val="bottom"/>
            <w:tcBorders>
              <w:bottom w:val="single" w:sz="8" w:color="D64000"/>
            </w:tcBorders>
            <w:shd w:val="clear" w:color="auto" w:fill="1F473D"/>
          </w:tcPr>
          <w:p>
            <w:pPr>
              <w:jc w:val="right"/>
              <w:ind w:right="81"/>
              <w:spacing w:after="0"/>
              <w:rPr>
                <w:sz w:val="20"/>
                <w:szCs w:val="20"/>
                <w:color w:val="auto"/>
              </w:rPr>
            </w:pPr>
            <w:r>
              <w:rPr>
                <w:rFonts w:ascii="Arial" w:cs="Arial" w:eastAsia="Arial" w:hAnsi="Arial"/>
                <w:sz w:val="15"/>
                <w:szCs w:val="15"/>
                <w:color w:val="FFFFFF"/>
              </w:rPr>
              <w:t>Organic</w:t>
            </w:r>
          </w:p>
        </w:tc>
        <w:tc>
          <w:tcPr>
            <w:tcW w:w="0" w:type="dxa"/>
            <w:vAlign w:val="bottom"/>
          </w:tcPr>
          <w:p>
            <w:pPr>
              <w:spacing w:after="0"/>
              <w:rPr>
                <w:sz w:val="1"/>
                <w:szCs w:val="1"/>
                <w:color w:val="auto"/>
              </w:rPr>
            </w:pPr>
          </w:p>
        </w:tc>
      </w:tr>
      <w:tr>
        <w:trPr>
          <w:trHeight w:val="172"/>
        </w:trPr>
        <w:tc>
          <w:tcPr>
            <w:tcW w:w="3560" w:type="dxa"/>
            <w:vAlign w:val="bottom"/>
            <w:gridSpan w:val="5"/>
          </w:tcPr>
          <w:p>
            <w:pPr>
              <w:spacing w:after="0" w:line="172" w:lineRule="exact"/>
              <w:rPr>
                <w:sz w:val="20"/>
                <w:szCs w:val="20"/>
                <w:color w:val="auto"/>
              </w:rPr>
            </w:pPr>
            <w:r>
              <w:rPr>
                <w:rFonts w:ascii="Arial" w:cs="Arial" w:eastAsia="Arial" w:hAnsi="Arial"/>
                <w:sz w:val="16"/>
                <w:szCs w:val="16"/>
                <w:b w:val="1"/>
                <w:bCs w:val="1"/>
                <w:color w:val="auto"/>
              </w:rPr>
              <w:t> Revenues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729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540" w:type="dxa"/>
            <w:vAlign w:val="bottom"/>
            <w:gridSpan w:val="4"/>
          </w:tcPr>
          <w:p>
            <w:pPr>
              <w:ind w:left="140"/>
              <w:spacing w:after="0"/>
              <w:rPr>
                <w:sz w:val="20"/>
                <w:szCs w:val="20"/>
                <w:color w:val="auto"/>
              </w:rPr>
            </w:pPr>
            <w:r>
              <w:rPr>
                <w:rFonts w:ascii="Arial" w:cs="Arial" w:eastAsia="Arial" w:hAnsi="Arial"/>
                <w:sz w:val="16"/>
                <w:szCs w:val="16"/>
                <w:b w:val="1"/>
                <w:bCs w:val="1"/>
                <w:color w:val="auto"/>
              </w:rPr>
              <w:t> Legal Professionals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8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40" w:type="dxa"/>
            <w:vAlign w:val="bottom"/>
            <w:gridSpan w:val="4"/>
          </w:tcPr>
          <w:p>
            <w:pPr>
              <w:ind w:left="140"/>
              <w:spacing w:after="0"/>
              <w:rPr>
                <w:sz w:val="20"/>
                <w:szCs w:val="20"/>
                <w:color w:val="auto"/>
              </w:rPr>
            </w:pPr>
            <w:r>
              <w:rPr>
                <w:rFonts w:ascii="Arial" w:cs="Arial" w:eastAsia="Arial" w:hAnsi="Arial"/>
                <w:sz w:val="16"/>
                <w:szCs w:val="16"/>
                <w:b w:val="1"/>
                <w:bCs w:val="1"/>
                <w:color w:val="auto"/>
              </w:rPr>
              <w:t> Corporates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458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402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14%</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15%</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0"/>
        </w:trPr>
        <w:tc>
          <w:tcPr>
            <w:tcW w:w="20" w:type="dxa"/>
            <w:vAlign w:val="bottom"/>
            <w:tcBorders>
              <w:bottom w:val="single" w:sz="8" w:color="B2B2B2"/>
            </w:tcBorders>
          </w:tcPr>
          <w:p>
            <w:pPr>
              <w:spacing w:after="0"/>
              <w:rPr>
                <w:sz w:val="17"/>
                <w:szCs w:val="17"/>
                <w:color w:val="auto"/>
              </w:rPr>
            </w:pPr>
          </w:p>
        </w:tc>
        <w:tc>
          <w:tcPr>
            <w:tcW w:w="3540" w:type="dxa"/>
            <w:vAlign w:val="bottom"/>
            <w:tcBorders>
              <w:bottom w:val="single" w:sz="8" w:color="B2B2B2"/>
            </w:tcBorders>
            <w:gridSpan w:val="4"/>
          </w:tcPr>
          <w:p>
            <w:pPr>
              <w:ind w:left="140"/>
              <w:spacing w:after="0"/>
              <w:rPr>
                <w:sz w:val="20"/>
                <w:szCs w:val="20"/>
                <w:color w:val="auto"/>
              </w:rPr>
            </w:pPr>
            <w:r>
              <w:rPr>
                <w:rFonts w:ascii="Arial" w:cs="Arial" w:eastAsia="Arial" w:hAnsi="Arial"/>
                <w:sz w:val="16"/>
                <w:szCs w:val="16"/>
                <w:b w:val="1"/>
                <w:bCs w:val="1"/>
                <w:color w:val="auto"/>
              </w:rPr>
              <w:t> Tax &amp; Accounting Professionals</w:t>
            </w:r>
          </w:p>
        </w:tc>
        <w:tc>
          <w:tcPr>
            <w:tcW w:w="24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52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366</w:t>
            </w:r>
          </w:p>
        </w:tc>
        <w:tc>
          <w:tcPr>
            <w:tcW w:w="20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344</w:t>
            </w:r>
          </w:p>
        </w:tc>
        <w:tc>
          <w:tcPr>
            <w:tcW w:w="240" w:type="dxa"/>
            <w:vAlign w:val="bottom"/>
            <w:tcBorders>
              <w:bottom w:val="single" w:sz="8" w:color="B2B2B2"/>
            </w:tcBorders>
          </w:tcPr>
          <w:p>
            <w:pPr>
              <w:spacing w:after="0"/>
              <w:rPr>
                <w:sz w:val="17"/>
                <w:szCs w:val="17"/>
                <w:color w:val="auto"/>
              </w:rPr>
            </w:pPr>
          </w:p>
        </w:tc>
        <w:tc>
          <w:tcPr>
            <w:tcW w:w="120" w:type="dxa"/>
            <w:vAlign w:val="bottom"/>
            <w:tcBorders>
              <w:bottom w:val="single" w:sz="8" w:color="B2B2B2"/>
            </w:tcBorders>
          </w:tcPr>
          <w:p>
            <w:pPr>
              <w:spacing w:after="0"/>
              <w:rPr>
                <w:sz w:val="17"/>
                <w:szCs w:val="17"/>
                <w:color w:val="auto"/>
              </w:rPr>
            </w:pPr>
          </w:p>
        </w:tc>
        <w:tc>
          <w:tcPr>
            <w:tcW w:w="5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6%</w:t>
            </w:r>
          </w:p>
        </w:tc>
        <w:tc>
          <w:tcPr>
            <w:tcW w:w="8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7%</w:t>
            </w:r>
          </w:p>
        </w:tc>
        <w:tc>
          <w:tcPr>
            <w:tcW w:w="98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1"/>
        </w:trPr>
        <w:tc>
          <w:tcPr>
            <w:tcW w:w="3560" w:type="dxa"/>
            <w:vAlign w:val="bottom"/>
            <w:gridSpan w:val="5"/>
          </w:tcPr>
          <w:p>
            <w:pPr>
              <w:spacing w:after="0"/>
              <w:rPr>
                <w:sz w:val="20"/>
                <w:szCs w:val="20"/>
                <w:color w:val="auto"/>
              </w:rPr>
            </w:pPr>
            <w:r>
              <w:rPr>
                <w:rFonts w:ascii="Arial" w:cs="Arial" w:eastAsia="Arial" w:hAnsi="Arial"/>
                <w:sz w:val="16"/>
                <w:szCs w:val="16"/>
                <w:b w:val="1"/>
                <w:bCs w:val="1"/>
                <w:color w:val="auto"/>
              </w:rPr>
              <w:t> “Big 3” Segments Combined</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1,553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1,446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7%</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7%</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8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40" w:type="dxa"/>
            <w:vAlign w:val="bottom"/>
            <w:gridSpan w:val="4"/>
          </w:tcPr>
          <w:p>
            <w:pPr>
              <w:ind w:left="140"/>
              <w:spacing w:after="0"/>
              <w:rPr>
                <w:sz w:val="20"/>
                <w:szCs w:val="20"/>
                <w:color w:val="auto"/>
              </w:rPr>
            </w:pPr>
            <w:r>
              <w:rPr>
                <w:rFonts w:ascii="Arial" w:cs="Arial" w:eastAsia="Arial" w:hAnsi="Arial"/>
                <w:sz w:val="16"/>
                <w:szCs w:val="16"/>
                <w:b w:val="1"/>
                <w:bCs w:val="1"/>
                <w:color w:val="auto"/>
              </w:rPr>
              <w:t> Reuters News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218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220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40" w:type="dxa"/>
            <w:vAlign w:val="bottom"/>
            <w:gridSpan w:val="4"/>
          </w:tcPr>
          <w:p>
            <w:pPr>
              <w:ind w:left="140"/>
              <w:spacing w:after="0"/>
              <w:rPr>
                <w:sz w:val="20"/>
                <w:szCs w:val="20"/>
                <w:color w:val="auto"/>
              </w:rPr>
            </w:pPr>
            <w:r>
              <w:rPr>
                <w:rFonts w:ascii="Arial" w:cs="Arial" w:eastAsia="Arial" w:hAnsi="Arial"/>
                <w:sz w:val="16"/>
                <w:szCs w:val="16"/>
                <w:b w:val="1"/>
                <w:bCs w:val="1"/>
                <w:color w:val="auto"/>
              </w:rPr>
              <w:t> Global Print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144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154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(6%)</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(6%)</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0"/>
        </w:trPr>
        <w:tc>
          <w:tcPr>
            <w:tcW w:w="20" w:type="dxa"/>
            <w:vAlign w:val="bottom"/>
            <w:tcBorders>
              <w:bottom w:val="single" w:sz="8" w:color="B2B2B2"/>
            </w:tcBorders>
          </w:tcPr>
          <w:p>
            <w:pPr>
              <w:spacing w:after="0"/>
              <w:rPr>
                <w:sz w:val="17"/>
                <w:szCs w:val="17"/>
                <w:color w:val="auto"/>
              </w:rPr>
            </w:pPr>
          </w:p>
        </w:tc>
        <w:tc>
          <w:tcPr>
            <w:tcW w:w="3540" w:type="dxa"/>
            <w:vAlign w:val="bottom"/>
            <w:tcBorders>
              <w:bottom w:val="single" w:sz="8" w:color="B2B2B2"/>
            </w:tcBorders>
            <w:gridSpan w:val="4"/>
          </w:tcPr>
          <w:p>
            <w:pPr>
              <w:ind w:left="140"/>
              <w:spacing w:after="0"/>
              <w:rPr>
                <w:sz w:val="20"/>
                <w:szCs w:val="20"/>
                <w:color w:val="auto"/>
              </w:rPr>
            </w:pPr>
            <w:r>
              <w:rPr>
                <w:rFonts w:ascii="Arial" w:cs="Arial" w:eastAsia="Arial" w:hAnsi="Arial"/>
                <w:sz w:val="16"/>
                <w:szCs w:val="16"/>
                <w:b w:val="1"/>
                <w:bCs w:val="1"/>
                <w:color w:val="auto"/>
              </w:rPr>
              <w:t> Eliminations/Rounding</w:t>
            </w:r>
          </w:p>
        </w:tc>
        <w:tc>
          <w:tcPr>
            <w:tcW w:w="24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52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(6)</w:t>
            </w:r>
          </w:p>
        </w:tc>
        <w:tc>
          <w:tcPr>
            <w:tcW w:w="20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B2B2B2"/>
            </w:tcBorders>
          </w:tcPr>
          <w:p>
            <w:pPr>
              <w:spacing w:after="0"/>
              <w:rPr>
                <w:sz w:val="17"/>
                <w:szCs w:val="17"/>
                <w:color w:val="auto"/>
              </w:rPr>
            </w:pPr>
          </w:p>
        </w:tc>
        <w:tc>
          <w:tcPr>
            <w:tcW w:w="120" w:type="dxa"/>
            <w:vAlign w:val="bottom"/>
            <w:tcBorders>
              <w:bottom w:val="single" w:sz="8" w:color="B2B2B2"/>
            </w:tcBorders>
          </w:tcPr>
          <w:p>
            <w:pPr>
              <w:spacing w:after="0"/>
              <w:rPr>
                <w:sz w:val="17"/>
                <w:szCs w:val="17"/>
                <w:color w:val="auto"/>
              </w:rPr>
            </w:pPr>
          </w:p>
        </w:tc>
        <w:tc>
          <w:tcPr>
            <w:tcW w:w="560" w:type="dxa"/>
            <w:vAlign w:val="bottom"/>
            <w:tcBorders>
              <w:bottom w:val="single" w:sz="8" w:color="B2B2B2"/>
            </w:tcBorders>
          </w:tcPr>
          <w:p>
            <w:pPr>
              <w:spacing w:after="0"/>
              <w:rPr>
                <w:sz w:val="17"/>
                <w:szCs w:val="17"/>
                <w:color w:val="auto"/>
              </w:rPr>
            </w:pPr>
          </w:p>
        </w:tc>
        <w:tc>
          <w:tcPr>
            <w:tcW w:w="860" w:type="dxa"/>
            <w:vAlign w:val="bottom"/>
            <w:tcBorders>
              <w:bottom w:val="single" w:sz="8" w:color="B2B2B2"/>
            </w:tcBorders>
          </w:tcPr>
          <w:p>
            <w:pPr>
              <w:spacing w:after="0"/>
              <w:rPr>
                <w:sz w:val="17"/>
                <w:szCs w:val="17"/>
                <w:color w:val="auto"/>
              </w:rPr>
            </w:pPr>
          </w:p>
        </w:tc>
        <w:tc>
          <w:tcPr>
            <w:tcW w:w="880" w:type="dxa"/>
            <w:vAlign w:val="bottom"/>
            <w:tcBorders>
              <w:bottom w:val="single" w:sz="8" w:color="B2B2B2"/>
            </w:tcBorders>
          </w:tcPr>
          <w:p>
            <w:pPr>
              <w:spacing w:after="0"/>
              <w:rPr>
                <w:sz w:val="17"/>
                <w:szCs w:val="17"/>
                <w:color w:val="auto"/>
              </w:rPr>
            </w:pPr>
          </w:p>
        </w:tc>
        <w:tc>
          <w:tcPr>
            <w:tcW w:w="980" w:type="dxa"/>
            <w:vAlign w:val="bottom"/>
            <w:tcBorders>
              <w:bottom w:val="single" w:sz="8" w:color="B2B2B2"/>
            </w:tcBorders>
          </w:tcPr>
          <w:p>
            <w:pPr>
              <w:spacing w:after="0"/>
              <w:rPr>
                <w:sz w:val="17"/>
                <w:szCs w:val="17"/>
                <w:color w:val="auto"/>
              </w:rPr>
            </w:pPr>
          </w:p>
        </w:tc>
        <w:tc>
          <w:tcPr>
            <w:tcW w:w="800" w:type="dxa"/>
            <w:vAlign w:val="bottom"/>
            <w:tcBorders>
              <w:bottom w:val="single" w:sz="8" w:color="B2B2B2"/>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560" w:type="dxa"/>
            <w:vAlign w:val="bottom"/>
            <w:tcBorders>
              <w:bottom w:val="single" w:sz="8" w:color="B2B2B2"/>
            </w:tcBorders>
            <w:gridSpan w:val="5"/>
          </w:tcPr>
          <w:p>
            <w:pPr>
              <w:spacing w:after="0"/>
              <w:rPr>
                <w:sz w:val="20"/>
                <w:szCs w:val="20"/>
                <w:color w:val="auto"/>
              </w:rPr>
            </w:pPr>
            <w:r>
              <w:rPr>
                <w:rFonts w:ascii="Arial" w:cs="Arial" w:eastAsia="Arial" w:hAnsi="Arial"/>
                <w:sz w:val="16"/>
                <w:szCs w:val="16"/>
                <w:b w:val="1"/>
                <w:bCs w:val="1"/>
                <w:color w:val="auto"/>
              </w:rPr>
              <w:t> Total revenues</w:t>
            </w:r>
          </w:p>
        </w:tc>
        <w:tc>
          <w:tcPr>
            <w:tcW w:w="240" w:type="dxa"/>
            <w:vAlign w:val="bottom"/>
            <w:tcBorders>
              <w:bottom w:val="single" w:sz="8" w:color="B2B2B2"/>
            </w:tcBorders>
          </w:tcPr>
          <w:p>
            <w:pPr>
              <w:spacing w:after="0"/>
              <w:rPr>
                <w:sz w:val="16"/>
                <w:szCs w:val="16"/>
                <w:color w:val="auto"/>
              </w:rPr>
            </w:pPr>
          </w:p>
        </w:tc>
        <w:tc>
          <w:tcPr>
            <w:tcW w:w="140" w:type="dxa"/>
            <w:vAlign w:val="bottom"/>
            <w:tcBorders>
              <w:bottom w:val="single" w:sz="8" w:color="B2B2B2"/>
            </w:tcBorders>
          </w:tcPr>
          <w:p>
            <w:pPr>
              <w:spacing w:after="0"/>
              <w:rPr>
                <w:sz w:val="16"/>
                <w:szCs w:val="16"/>
                <w:color w:val="auto"/>
              </w:rPr>
            </w:pPr>
          </w:p>
        </w:tc>
        <w:tc>
          <w:tcPr>
            <w:tcW w:w="52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1,909</w:t>
            </w:r>
          </w:p>
        </w:tc>
        <w:tc>
          <w:tcPr>
            <w:tcW w:w="200" w:type="dxa"/>
            <w:vAlign w:val="bottom"/>
            <w:tcBorders>
              <w:bottom w:val="single" w:sz="8" w:color="B2B2B2"/>
            </w:tcBorders>
          </w:tcPr>
          <w:p>
            <w:pPr>
              <w:spacing w:after="0"/>
              <w:rPr>
                <w:sz w:val="16"/>
                <w:szCs w:val="16"/>
                <w:color w:val="auto"/>
              </w:rPr>
            </w:pPr>
          </w:p>
        </w:tc>
        <w:tc>
          <w:tcPr>
            <w:tcW w:w="140" w:type="dxa"/>
            <w:vAlign w:val="bottom"/>
            <w:tcBorders>
              <w:bottom w:val="single" w:sz="8" w:color="B2B2B2"/>
            </w:tcBorders>
          </w:tcPr>
          <w:p>
            <w:pPr>
              <w:spacing w:after="0"/>
              <w:rPr>
                <w:sz w:val="16"/>
                <w:szCs w:val="16"/>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1,815</w:t>
            </w:r>
          </w:p>
        </w:tc>
        <w:tc>
          <w:tcPr>
            <w:tcW w:w="240" w:type="dxa"/>
            <w:vAlign w:val="bottom"/>
            <w:tcBorders>
              <w:bottom w:val="single" w:sz="8" w:color="B2B2B2"/>
            </w:tcBorders>
          </w:tcPr>
          <w:p>
            <w:pPr>
              <w:spacing w:after="0"/>
              <w:rPr>
                <w:sz w:val="16"/>
                <w:szCs w:val="16"/>
                <w:color w:val="auto"/>
              </w:rPr>
            </w:pPr>
          </w:p>
        </w:tc>
        <w:tc>
          <w:tcPr>
            <w:tcW w:w="120" w:type="dxa"/>
            <w:vAlign w:val="bottom"/>
            <w:tcBorders>
              <w:bottom w:val="single" w:sz="8" w:color="B2B2B2"/>
            </w:tcBorders>
          </w:tcPr>
          <w:p>
            <w:pPr>
              <w:spacing w:after="0"/>
              <w:rPr>
                <w:sz w:val="16"/>
                <w:szCs w:val="16"/>
                <w:color w:val="auto"/>
              </w:rPr>
            </w:pPr>
          </w:p>
        </w:tc>
        <w:tc>
          <w:tcPr>
            <w:tcW w:w="5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5%</w:t>
            </w:r>
          </w:p>
        </w:tc>
        <w:tc>
          <w:tcPr>
            <w:tcW w:w="8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5%</w:t>
            </w:r>
          </w:p>
        </w:tc>
        <w:tc>
          <w:tcPr>
            <w:tcW w:w="98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66"/>
        </w:trPr>
        <w:tc>
          <w:tcPr>
            <w:tcW w:w="3560" w:type="dxa"/>
            <w:vAlign w:val="bottom"/>
            <w:gridSpan w:val="5"/>
          </w:tcPr>
          <w:p>
            <w:pPr>
              <w:spacing w:after="0" w:line="165" w:lineRule="exact"/>
              <w:rPr>
                <w:sz w:val="20"/>
                <w:szCs w:val="20"/>
                <w:color w:val="auto"/>
              </w:rPr>
            </w:pPr>
            <w:r>
              <w:rPr>
                <w:rFonts w:ascii="Arial" w:cs="Arial" w:eastAsia="Arial" w:hAnsi="Arial"/>
                <w:sz w:val="16"/>
                <w:szCs w:val="16"/>
                <w:b w:val="1"/>
                <w:bCs w:val="1"/>
                <w:color w:val="auto"/>
              </w:rPr>
              <w:t> Recurring Revenues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707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540" w:type="dxa"/>
            <w:vAlign w:val="bottom"/>
            <w:gridSpan w:val="4"/>
          </w:tcPr>
          <w:p>
            <w:pPr>
              <w:ind w:left="140"/>
              <w:spacing w:after="0"/>
              <w:rPr>
                <w:sz w:val="20"/>
                <w:szCs w:val="20"/>
                <w:color w:val="auto"/>
              </w:rPr>
            </w:pPr>
            <w:r>
              <w:rPr>
                <w:rFonts w:ascii="Arial" w:cs="Arial" w:eastAsia="Arial" w:hAnsi="Arial"/>
                <w:sz w:val="16"/>
                <w:szCs w:val="16"/>
                <w:b w:val="1"/>
                <w:bCs w:val="1"/>
                <w:color w:val="auto"/>
              </w:rPr>
              <w:t> Legal Professionals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674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5%</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8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40" w:type="dxa"/>
            <w:vAlign w:val="bottom"/>
            <w:gridSpan w:val="4"/>
          </w:tcPr>
          <w:p>
            <w:pPr>
              <w:ind w:left="140"/>
              <w:spacing w:after="0"/>
              <w:rPr>
                <w:sz w:val="20"/>
                <w:szCs w:val="20"/>
                <w:color w:val="auto"/>
              </w:rPr>
            </w:pPr>
            <w:r>
              <w:rPr>
                <w:rFonts w:ascii="Arial" w:cs="Arial" w:eastAsia="Arial" w:hAnsi="Arial"/>
                <w:sz w:val="16"/>
                <w:szCs w:val="16"/>
                <w:b w:val="1"/>
                <w:bCs w:val="1"/>
                <w:color w:val="auto"/>
              </w:rPr>
              <w:t> Corporates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401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358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12%</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13%</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0"/>
        </w:trPr>
        <w:tc>
          <w:tcPr>
            <w:tcW w:w="20" w:type="dxa"/>
            <w:vAlign w:val="bottom"/>
            <w:tcBorders>
              <w:bottom w:val="single" w:sz="8" w:color="B2B2B2"/>
            </w:tcBorders>
          </w:tcPr>
          <w:p>
            <w:pPr>
              <w:spacing w:after="0"/>
              <w:rPr>
                <w:sz w:val="17"/>
                <w:szCs w:val="17"/>
                <w:color w:val="auto"/>
              </w:rPr>
            </w:pPr>
          </w:p>
        </w:tc>
        <w:tc>
          <w:tcPr>
            <w:tcW w:w="3540" w:type="dxa"/>
            <w:vAlign w:val="bottom"/>
            <w:tcBorders>
              <w:bottom w:val="single" w:sz="8" w:color="B2B2B2"/>
            </w:tcBorders>
            <w:gridSpan w:val="4"/>
          </w:tcPr>
          <w:p>
            <w:pPr>
              <w:ind w:left="140"/>
              <w:spacing w:after="0"/>
              <w:rPr>
                <w:sz w:val="20"/>
                <w:szCs w:val="20"/>
                <w:color w:val="auto"/>
              </w:rPr>
            </w:pPr>
            <w:r>
              <w:rPr>
                <w:rFonts w:ascii="Arial" w:cs="Arial" w:eastAsia="Arial" w:hAnsi="Arial"/>
                <w:sz w:val="16"/>
                <w:szCs w:val="16"/>
                <w:b w:val="1"/>
                <w:bCs w:val="1"/>
                <w:color w:val="auto"/>
              </w:rPr>
              <w:t> Tax &amp; Accounting Professionals</w:t>
            </w:r>
          </w:p>
        </w:tc>
        <w:tc>
          <w:tcPr>
            <w:tcW w:w="24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52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319</w:t>
            </w:r>
          </w:p>
        </w:tc>
        <w:tc>
          <w:tcPr>
            <w:tcW w:w="20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305</w:t>
            </w:r>
          </w:p>
        </w:tc>
        <w:tc>
          <w:tcPr>
            <w:tcW w:w="240" w:type="dxa"/>
            <w:vAlign w:val="bottom"/>
            <w:tcBorders>
              <w:bottom w:val="single" w:sz="8" w:color="B2B2B2"/>
            </w:tcBorders>
          </w:tcPr>
          <w:p>
            <w:pPr>
              <w:spacing w:after="0"/>
              <w:rPr>
                <w:sz w:val="17"/>
                <w:szCs w:val="17"/>
                <w:color w:val="auto"/>
              </w:rPr>
            </w:pPr>
          </w:p>
        </w:tc>
        <w:tc>
          <w:tcPr>
            <w:tcW w:w="120" w:type="dxa"/>
            <w:vAlign w:val="bottom"/>
            <w:tcBorders>
              <w:bottom w:val="single" w:sz="8" w:color="B2B2B2"/>
            </w:tcBorders>
          </w:tcPr>
          <w:p>
            <w:pPr>
              <w:spacing w:after="0"/>
              <w:rPr>
                <w:sz w:val="17"/>
                <w:szCs w:val="17"/>
                <w:color w:val="auto"/>
              </w:rPr>
            </w:pPr>
          </w:p>
        </w:tc>
        <w:tc>
          <w:tcPr>
            <w:tcW w:w="5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4%</w:t>
            </w:r>
          </w:p>
        </w:tc>
        <w:tc>
          <w:tcPr>
            <w:tcW w:w="8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(1%)</w:t>
            </w:r>
          </w:p>
        </w:tc>
        <w:tc>
          <w:tcPr>
            <w:tcW w:w="88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5%</w:t>
            </w:r>
          </w:p>
        </w:tc>
        <w:tc>
          <w:tcPr>
            <w:tcW w:w="98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1"/>
        </w:trPr>
        <w:tc>
          <w:tcPr>
            <w:tcW w:w="3560" w:type="dxa"/>
            <w:vAlign w:val="bottom"/>
            <w:gridSpan w:val="5"/>
          </w:tcPr>
          <w:p>
            <w:pPr>
              <w:spacing w:after="0"/>
              <w:rPr>
                <w:sz w:val="20"/>
                <w:szCs w:val="20"/>
                <w:color w:val="auto"/>
              </w:rPr>
            </w:pPr>
            <w:r>
              <w:rPr>
                <w:rFonts w:ascii="Arial" w:cs="Arial" w:eastAsia="Arial" w:hAnsi="Arial"/>
                <w:sz w:val="16"/>
                <w:szCs w:val="16"/>
                <w:b w:val="1"/>
                <w:bCs w:val="1"/>
                <w:color w:val="auto"/>
              </w:rPr>
              <w:t> “Big 3” Segments Combined</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1,427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1,337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7%</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7%</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8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40" w:type="dxa"/>
            <w:vAlign w:val="bottom"/>
            <w:gridSpan w:val="4"/>
          </w:tcPr>
          <w:p>
            <w:pPr>
              <w:ind w:left="140"/>
              <w:spacing w:after="0"/>
              <w:rPr>
                <w:sz w:val="20"/>
                <w:szCs w:val="20"/>
                <w:color w:val="auto"/>
              </w:rPr>
            </w:pPr>
            <w:r>
              <w:rPr>
                <w:rFonts w:ascii="Arial" w:cs="Arial" w:eastAsia="Arial" w:hAnsi="Arial"/>
                <w:sz w:val="16"/>
                <w:szCs w:val="16"/>
                <w:b w:val="1"/>
                <w:bCs w:val="1"/>
                <w:color w:val="auto"/>
              </w:rPr>
              <w:t> Reuters News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173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157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8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0"/>
        </w:trPr>
        <w:tc>
          <w:tcPr>
            <w:tcW w:w="20" w:type="dxa"/>
            <w:vAlign w:val="bottom"/>
            <w:tcBorders>
              <w:bottom w:val="single" w:sz="8" w:color="B2B2B2"/>
            </w:tcBorders>
          </w:tcPr>
          <w:p>
            <w:pPr>
              <w:spacing w:after="0"/>
              <w:rPr>
                <w:sz w:val="17"/>
                <w:szCs w:val="17"/>
                <w:color w:val="auto"/>
              </w:rPr>
            </w:pPr>
          </w:p>
        </w:tc>
        <w:tc>
          <w:tcPr>
            <w:tcW w:w="3540" w:type="dxa"/>
            <w:vAlign w:val="bottom"/>
            <w:tcBorders>
              <w:bottom w:val="single" w:sz="8" w:color="B2B2B2"/>
            </w:tcBorders>
            <w:gridSpan w:val="4"/>
          </w:tcPr>
          <w:p>
            <w:pPr>
              <w:ind w:left="140"/>
              <w:spacing w:after="0"/>
              <w:rPr>
                <w:sz w:val="20"/>
                <w:szCs w:val="20"/>
                <w:color w:val="auto"/>
              </w:rPr>
            </w:pPr>
            <w:r>
              <w:rPr>
                <w:rFonts w:ascii="Arial" w:cs="Arial" w:eastAsia="Arial" w:hAnsi="Arial"/>
                <w:sz w:val="16"/>
                <w:szCs w:val="16"/>
                <w:b w:val="1"/>
                <w:bCs w:val="1"/>
                <w:color w:val="auto"/>
              </w:rPr>
              <w:t> Eliminations/Rounding</w:t>
            </w:r>
          </w:p>
        </w:tc>
        <w:tc>
          <w:tcPr>
            <w:tcW w:w="24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52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(6)</w:t>
            </w:r>
          </w:p>
        </w:tc>
        <w:tc>
          <w:tcPr>
            <w:tcW w:w="20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B2B2B2"/>
            </w:tcBorders>
          </w:tcPr>
          <w:p>
            <w:pPr>
              <w:spacing w:after="0"/>
              <w:rPr>
                <w:sz w:val="17"/>
                <w:szCs w:val="17"/>
                <w:color w:val="auto"/>
              </w:rPr>
            </w:pPr>
          </w:p>
        </w:tc>
        <w:tc>
          <w:tcPr>
            <w:tcW w:w="120" w:type="dxa"/>
            <w:vAlign w:val="bottom"/>
            <w:tcBorders>
              <w:bottom w:val="single" w:sz="8" w:color="B2B2B2"/>
            </w:tcBorders>
          </w:tcPr>
          <w:p>
            <w:pPr>
              <w:spacing w:after="0"/>
              <w:rPr>
                <w:sz w:val="17"/>
                <w:szCs w:val="17"/>
                <w:color w:val="auto"/>
              </w:rPr>
            </w:pPr>
          </w:p>
        </w:tc>
        <w:tc>
          <w:tcPr>
            <w:tcW w:w="560" w:type="dxa"/>
            <w:vAlign w:val="bottom"/>
            <w:tcBorders>
              <w:bottom w:val="single" w:sz="8" w:color="B2B2B2"/>
            </w:tcBorders>
          </w:tcPr>
          <w:p>
            <w:pPr>
              <w:spacing w:after="0"/>
              <w:rPr>
                <w:sz w:val="17"/>
                <w:szCs w:val="17"/>
                <w:color w:val="auto"/>
              </w:rPr>
            </w:pPr>
          </w:p>
        </w:tc>
        <w:tc>
          <w:tcPr>
            <w:tcW w:w="860" w:type="dxa"/>
            <w:vAlign w:val="bottom"/>
            <w:tcBorders>
              <w:bottom w:val="single" w:sz="8" w:color="B2B2B2"/>
            </w:tcBorders>
          </w:tcPr>
          <w:p>
            <w:pPr>
              <w:spacing w:after="0"/>
              <w:rPr>
                <w:sz w:val="17"/>
                <w:szCs w:val="17"/>
                <w:color w:val="auto"/>
              </w:rPr>
            </w:pPr>
          </w:p>
        </w:tc>
        <w:tc>
          <w:tcPr>
            <w:tcW w:w="880" w:type="dxa"/>
            <w:vAlign w:val="bottom"/>
            <w:tcBorders>
              <w:bottom w:val="single" w:sz="8" w:color="B2B2B2"/>
            </w:tcBorders>
          </w:tcPr>
          <w:p>
            <w:pPr>
              <w:spacing w:after="0"/>
              <w:rPr>
                <w:sz w:val="17"/>
                <w:szCs w:val="17"/>
                <w:color w:val="auto"/>
              </w:rPr>
            </w:pPr>
          </w:p>
        </w:tc>
        <w:tc>
          <w:tcPr>
            <w:tcW w:w="980" w:type="dxa"/>
            <w:vAlign w:val="bottom"/>
            <w:tcBorders>
              <w:bottom w:val="single" w:sz="8" w:color="B2B2B2"/>
            </w:tcBorders>
          </w:tcPr>
          <w:p>
            <w:pPr>
              <w:spacing w:after="0"/>
              <w:rPr>
                <w:sz w:val="17"/>
                <w:szCs w:val="17"/>
                <w:color w:val="auto"/>
              </w:rPr>
            </w:pPr>
          </w:p>
        </w:tc>
        <w:tc>
          <w:tcPr>
            <w:tcW w:w="800" w:type="dxa"/>
            <w:vAlign w:val="bottom"/>
            <w:tcBorders>
              <w:bottom w:val="single" w:sz="8" w:color="B2B2B2"/>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560" w:type="dxa"/>
            <w:vAlign w:val="bottom"/>
            <w:tcBorders>
              <w:bottom w:val="single" w:sz="8" w:color="B2B2B2"/>
            </w:tcBorders>
            <w:gridSpan w:val="5"/>
          </w:tcPr>
          <w:p>
            <w:pPr>
              <w:spacing w:after="0"/>
              <w:rPr>
                <w:sz w:val="20"/>
                <w:szCs w:val="20"/>
                <w:color w:val="auto"/>
              </w:rPr>
            </w:pPr>
            <w:r>
              <w:rPr>
                <w:rFonts w:ascii="Arial" w:cs="Arial" w:eastAsia="Arial" w:hAnsi="Arial"/>
                <w:sz w:val="16"/>
                <w:szCs w:val="16"/>
                <w:b w:val="1"/>
                <w:bCs w:val="1"/>
                <w:color w:val="auto"/>
              </w:rPr>
              <w:t> Total recurring revenues</w:t>
            </w:r>
          </w:p>
        </w:tc>
        <w:tc>
          <w:tcPr>
            <w:tcW w:w="240" w:type="dxa"/>
            <w:vAlign w:val="bottom"/>
            <w:tcBorders>
              <w:bottom w:val="single" w:sz="8" w:color="B2B2B2"/>
            </w:tcBorders>
          </w:tcPr>
          <w:p>
            <w:pPr>
              <w:spacing w:after="0"/>
              <w:rPr>
                <w:sz w:val="16"/>
                <w:szCs w:val="16"/>
                <w:color w:val="auto"/>
              </w:rPr>
            </w:pPr>
          </w:p>
        </w:tc>
        <w:tc>
          <w:tcPr>
            <w:tcW w:w="140" w:type="dxa"/>
            <w:vAlign w:val="bottom"/>
            <w:tcBorders>
              <w:bottom w:val="single" w:sz="8" w:color="B2B2B2"/>
            </w:tcBorders>
          </w:tcPr>
          <w:p>
            <w:pPr>
              <w:spacing w:after="0"/>
              <w:rPr>
                <w:sz w:val="16"/>
                <w:szCs w:val="16"/>
                <w:color w:val="auto"/>
              </w:rPr>
            </w:pPr>
          </w:p>
        </w:tc>
        <w:tc>
          <w:tcPr>
            <w:tcW w:w="52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1,594</w:t>
            </w:r>
          </w:p>
        </w:tc>
        <w:tc>
          <w:tcPr>
            <w:tcW w:w="200" w:type="dxa"/>
            <w:vAlign w:val="bottom"/>
            <w:tcBorders>
              <w:bottom w:val="single" w:sz="8" w:color="B2B2B2"/>
            </w:tcBorders>
          </w:tcPr>
          <w:p>
            <w:pPr>
              <w:spacing w:after="0"/>
              <w:rPr>
                <w:sz w:val="16"/>
                <w:szCs w:val="16"/>
                <w:color w:val="auto"/>
              </w:rPr>
            </w:pPr>
          </w:p>
        </w:tc>
        <w:tc>
          <w:tcPr>
            <w:tcW w:w="140" w:type="dxa"/>
            <w:vAlign w:val="bottom"/>
            <w:tcBorders>
              <w:bottom w:val="single" w:sz="8" w:color="B2B2B2"/>
            </w:tcBorders>
          </w:tcPr>
          <w:p>
            <w:pPr>
              <w:spacing w:after="0"/>
              <w:rPr>
                <w:sz w:val="16"/>
                <w:szCs w:val="16"/>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1,489</w:t>
            </w:r>
          </w:p>
        </w:tc>
        <w:tc>
          <w:tcPr>
            <w:tcW w:w="240" w:type="dxa"/>
            <w:vAlign w:val="bottom"/>
            <w:tcBorders>
              <w:bottom w:val="single" w:sz="8" w:color="B2B2B2"/>
            </w:tcBorders>
          </w:tcPr>
          <w:p>
            <w:pPr>
              <w:spacing w:after="0"/>
              <w:rPr>
                <w:sz w:val="16"/>
                <w:szCs w:val="16"/>
                <w:color w:val="auto"/>
              </w:rPr>
            </w:pPr>
          </w:p>
        </w:tc>
        <w:tc>
          <w:tcPr>
            <w:tcW w:w="120" w:type="dxa"/>
            <w:vAlign w:val="bottom"/>
            <w:tcBorders>
              <w:bottom w:val="single" w:sz="8" w:color="B2B2B2"/>
            </w:tcBorders>
          </w:tcPr>
          <w:p>
            <w:pPr>
              <w:spacing w:after="0"/>
              <w:rPr>
                <w:sz w:val="16"/>
                <w:szCs w:val="16"/>
                <w:color w:val="auto"/>
              </w:rPr>
            </w:pPr>
          </w:p>
        </w:tc>
        <w:tc>
          <w:tcPr>
            <w:tcW w:w="5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7%</w:t>
            </w:r>
          </w:p>
        </w:tc>
        <w:tc>
          <w:tcPr>
            <w:tcW w:w="8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7%</w:t>
            </w:r>
          </w:p>
        </w:tc>
        <w:tc>
          <w:tcPr>
            <w:tcW w:w="98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(1%)</w:t>
            </w: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65"/>
        </w:trPr>
        <w:tc>
          <w:tcPr>
            <w:tcW w:w="3560" w:type="dxa"/>
            <w:vAlign w:val="bottom"/>
            <w:gridSpan w:val="5"/>
          </w:tcPr>
          <w:p>
            <w:pPr>
              <w:spacing w:after="0" w:line="165" w:lineRule="exact"/>
              <w:rPr>
                <w:sz w:val="20"/>
                <w:szCs w:val="20"/>
                <w:color w:val="auto"/>
              </w:rPr>
            </w:pPr>
            <w:r>
              <w:rPr>
                <w:rFonts w:ascii="Arial" w:cs="Arial" w:eastAsia="Arial" w:hAnsi="Arial"/>
                <w:sz w:val="16"/>
                <w:szCs w:val="16"/>
                <w:b w:val="1"/>
                <w:bCs w:val="1"/>
                <w:color w:val="auto"/>
              </w:rPr>
              <w:t> Transactions Revenues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22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780" w:type="dxa"/>
            <w:vAlign w:val="bottom"/>
            <w:tcBorders>
              <w:top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rPr>
              <w:t> Legal Professionals</w:t>
            </w: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(11%)</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40" w:type="dxa"/>
            <w:vAlign w:val="bottom"/>
            <w:gridSpan w:val="4"/>
          </w:tcPr>
          <w:p>
            <w:pPr>
              <w:ind w:left="140"/>
              <w:spacing w:after="0"/>
              <w:rPr>
                <w:sz w:val="20"/>
                <w:szCs w:val="20"/>
                <w:color w:val="auto"/>
              </w:rPr>
            </w:pPr>
            <w:r>
              <w:rPr>
                <w:rFonts w:ascii="Arial" w:cs="Arial" w:eastAsia="Arial" w:hAnsi="Arial"/>
                <w:sz w:val="16"/>
                <w:szCs w:val="16"/>
                <w:b w:val="1"/>
                <w:bCs w:val="1"/>
                <w:color w:val="auto"/>
              </w:rPr>
              <w:t> Corporates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57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25%</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28%</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17%</w:t>
            </w: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0"/>
        </w:trPr>
        <w:tc>
          <w:tcPr>
            <w:tcW w:w="20" w:type="dxa"/>
            <w:vAlign w:val="bottom"/>
            <w:tcBorders>
              <w:bottom w:val="single" w:sz="8" w:color="B2B2B2"/>
            </w:tcBorders>
          </w:tcPr>
          <w:p>
            <w:pPr>
              <w:spacing w:after="0"/>
              <w:rPr>
                <w:sz w:val="17"/>
                <w:szCs w:val="17"/>
                <w:color w:val="auto"/>
              </w:rPr>
            </w:pPr>
          </w:p>
        </w:tc>
        <w:tc>
          <w:tcPr>
            <w:tcW w:w="3540" w:type="dxa"/>
            <w:vAlign w:val="bottom"/>
            <w:tcBorders>
              <w:bottom w:val="single" w:sz="8" w:color="B2B2B2"/>
            </w:tcBorders>
            <w:gridSpan w:val="4"/>
          </w:tcPr>
          <w:p>
            <w:pPr>
              <w:ind w:left="140"/>
              <w:spacing w:after="0"/>
              <w:rPr>
                <w:sz w:val="20"/>
                <w:szCs w:val="20"/>
                <w:color w:val="auto"/>
              </w:rPr>
            </w:pPr>
            <w:r>
              <w:rPr>
                <w:rFonts w:ascii="Arial" w:cs="Arial" w:eastAsia="Arial" w:hAnsi="Arial"/>
                <w:sz w:val="16"/>
                <w:szCs w:val="16"/>
                <w:b w:val="1"/>
                <w:bCs w:val="1"/>
                <w:color w:val="auto"/>
              </w:rPr>
              <w:t> Tax &amp; Accounting Professionals</w:t>
            </w:r>
          </w:p>
        </w:tc>
        <w:tc>
          <w:tcPr>
            <w:tcW w:w="24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52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47</w:t>
            </w:r>
          </w:p>
        </w:tc>
        <w:tc>
          <w:tcPr>
            <w:tcW w:w="20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39</w:t>
            </w:r>
          </w:p>
        </w:tc>
        <w:tc>
          <w:tcPr>
            <w:tcW w:w="240" w:type="dxa"/>
            <w:vAlign w:val="bottom"/>
            <w:tcBorders>
              <w:bottom w:val="single" w:sz="8" w:color="B2B2B2"/>
            </w:tcBorders>
          </w:tcPr>
          <w:p>
            <w:pPr>
              <w:spacing w:after="0"/>
              <w:rPr>
                <w:sz w:val="17"/>
                <w:szCs w:val="17"/>
                <w:color w:val="auto"/>
              </w:rPr>
            </w:pPr>
          </w:p>
        </w:tc>
        <w:tc>
          <w:tcPr>
            <w:tcW w:w="120" w:type="dxa"/>
            <w:vAlign w:val="bottom"/>
            <w:tcBorders>
              <w:bottom w:val="single" w:sz="8" w:color="B2B2B2"/>
            </w:tcBorders>
          </w:tcPr>
          <w:p>
            <w:pPr>
              <w:spacing w:after="0"/>
              <w:rPr>
                <w:sz w:val="17"/>
                <w:szCs w:val="17"/>
                <w:color w:val="auto"/>
              </w:rPr>
            </w:pPr>
          </w:p>
        </w:tc>
        <w:tc>
          <w:tcPr>
            <w:tcW w:w="5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22%</w:t>
            </w:r>
          </w:p>
        </w:tc>
        <w:tc>
          <w:tcPr>
            <w:tcW w:w="8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1%</w:t>
            </w:r>
          </w:p>
        </w:tc>
        <w:tc>
          <w:tcPr>
            <w:tcW w:w="88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21%</w:t>
            </w:r>
          </w:p>
        </w:tc>
        <w:tc>
          <w:tcPr>
            <w:tcW w:w="98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1"/>
        </w:trPr>
        <w:tc>
          <w:tcPr>
            <w:tcW w:w="3560" w:type="dxa"/>
            <w:vAlign w:val="bottom"/>
            <w:gridSpan w:val="5"/>
          </w:tcPr>
          <w:p>
            <w:pPr>
              <w:spacing w:after="0"/>
              <w:rPr>
                <w:sz w:val="20"/>
                <w:szCs w:val="20"/>
                <w:color w:val="auto"/>
              </w:rPr>
            </w:pPr>
            <w:r>
              <w:rPr>
                <w:rFonts w:ascii="Arial" w:cs="Arial" w:eastAsia="Arial" w:hAnsi="Arial"/>
                <w:sz w:val="16"/>
                <w:szCs w:val="16"/>
                <w:b w:val="1"/>
                <w:bCs w:val="1"/>
                <w:color w:val="auto"/>
              </w:rPr>
              <w:t> “Big 3” Segments Combined</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126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109</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16%</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17%</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8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0"/>
        </w:trPr>
        <w:tc>
          <w:tcPr>
            <w:tcW w:w="20" w:type="dxa"/>
            <w:vAlign w:val="bottom"/>
            <w:tcBorders>
              <w:bottom w:val="single" w:sz="8" w:color="B2B2B2"/>
            </w:tcBorders>
          </w:tcPr>
          <w:p>
            <w:pPr>
              <w:spacing w:after="0"/>
              <w:rPr>
                <w:sz w:val="17"/>
                <w:szCs w:val="17"/>
                <w:color w:val="auto"/>
              </w:rPr>
            </w:pPr>
          </w:p>
        </w:tc>
        <w:tc>
          <w:tcPr>
            <w:tcW w:w="3540" w:type="dxa"/>
            <w:vAlign w:val="bottom"/>
            <w:tcBorders>
              <w:bottom w:val="single" w:sz="8" w:color="B2B2B2"/>
            </w:tcBorders>
            <w:gridSpan w:val="4"/>
          </w:tcPr>
          <w:p>
            <w:pPr>
              <w:ind w:left="140"/>
              <w:spacing w:after="0"/>
              <w:rPr>
                <w:sz w:val="20"/>
                <w:szCs w:val="20"/>
                <w:color w:val="auto"/>
              </w:rPr>
            </w:pPr>
            <w:r>
              <w:rPr>
                <w:rFonts w:ascii="Arial" w:cs="Arial" w:eastAsia="Arial" w:hAnsi="Arial"/>
                <w:sz w:val="16"/>
                <w:szCs w:val="16"/>
                <w:b w:val="1"/>
                <w:bCs w:val="1"/>
                <w:color w:val="auto"/>
              </w:rPr>
              <w:t> Reuters News</w:t>
            </w:r>
          </w:p>
        </w:tc>
        <w:tc>
          <w:tcPr>
            <w:tcW w:w="24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52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45</w:t>
            </w:r>
          </w:p>
        </w:tc>
        <w:tc>
          <w:tcPr>
            <w:tcW w:w="20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63</w:t>
            </w:r>
          </w:p>
        </w:tc>
        <w:tc>
          <w:tcPr>
            <w:tcW w:w="240" w:type="dxa"/>
            <w:vAlign w:val="bottom"/>
            <w:tcBorders>
              <w:bottom w:val="single" w:sz="8" w:color="B2B2B2"/>
            </w:tcBorders>
          </w:tcPr>
          <w:p>
            <w:pPr>
              <w:spacing w:after="0"/>
              <w:rPr>
                <w:sz w:val="17"/>
                <w:szCs w:val="17"/>
                <w:color w:val="auto"/>
              </w:rPr>
            </w:pPr>
          </w:p>
        </w:tc>
        <w:tc>
          <w:tcPr>
            <w:tcW w:w="120" w:type="dxa"/>
            <w:vAlign w:val="bottom"/>
            <w:tcBorders>
              <w:bottom w:val="single" w:sz="8" w:color="B2B2B2"/>
            </w:tcBorders>
          </w:tcPr>
          <w:p>
            <w:pPr>
              <w:spacing w:after="0"/>
              <w:rPr>
                <w:sz w:val="17"/>
                <w:szCs w:val="17"/>
                <w:color w:val="auto"/>
              </w:rPr>
            </w:pPr>
          </w:p>
        </w:tc>
        <w:tc>
          <w:tcPr>
            <w:tcW w:w="5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(29%)</w:t>
            </w:r>
          </w:p>
        </w:tc>
        <w:tc>
          <w:tcPr>
            <w:tcW w:w="8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1%</w:t>
            </w:r>
          </w:p>
        </w:tc>
        <w:tc>
          <w:tcPr>
            <w:tcW w:w="88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(29%)</w:t>
            </w:r>
          </w:p>
        </w:tc>
        <w:tc>
          <w:tcPr>
            <w:tcW w:w="98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1%</w:t>
            </w: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9"/>
        </w:trPr>
        <w:tc>
          <w:tcPr>
            <w:tcW w:w="3560" w:type="dxa"/>
            <w:vAlign w:val="bottom"/>
            <w:tcBorders>
              <w:bottom w:val="single" w:sz="8" w:color="D64000"/>
            </w:tcBorders>
            <w:gridSpan w:val="5"/>
          </w:tcPr>
          <w:p>
            <w:pPr>
              <w:spacing w:after="0"/>
              <w:rPr>
                <w:sz w:val="20"/>
                <w:szCs w:val="20"/>
                <w:color w:val="auto"/>
              </w:rPr>
            </w:pPr>
            <w:r>
              <w:rPr>
                <w:rFonts w:ascii="Arial" w:cs="Arial" w:eastAsia="Arial" w:hAnsi="Arial"/>
                <w:sz w:val="16"/>
                <w:szCs w:val="16"/>
                <w:b w:val="1"/>
                <w:bCs w:val="1"/>
                <w:color w:val="auto"/>
              </w:rPr>
              <w:t> Total transactions revenues</w:t>
            </w:r>
          </w:p>
        </w:tc>
        <w:tc>
          <w:tcPr>
            <w:tcW w:w="240" w:type="dxa"/>
            <w:vAlign w:val="bottom"/>
            <w:tcBorders>
              <w:bottom w:val="single" w:sz="8" w:color="D64000"/>
            </w:tcBorders>
          </w:tcPr>
          <w:p>
            <w:pPr>
              <w:spacing w:after="0"/>
              <w:rPr>
                <w:sz w:val="17"/>
                <w:szCs w:val="17"/>
                <w:color w:val="auto"/>
              </w:rPr>
            </w:pPr>
          </w:p>
        </w:tc>
        <w:tc>
          <w:tcPr>
            <w:tcW w:w="140" w:type="dxa"/>
            <w:vAlign w:val="bottom"/>
            <w:tcBorders>
              <w:bottom w:val="single" w:sz="8" w:color="D64000"/>
            </w:tcBorders>
          </w:tcPr>
          <w:p>
            <w:pPr>
              <w:spacing w:after="0"/>
              <w:rPr>
                <w:sz w:val="17"/>
                <w:szCs w:val="17"/>
                <w:color w:val="auto"/>
              </w:rPr>
            </w:pPr>
          </w:p>
        </w:tc>
        <w:tc>
          <w:tcPr>
            <w:tcW w:w="520" w:type="dxa"/>
            <w:vAlign w:val="bottom"/>
            <w:tcBorders>
              <w:bottom w:val="single" w:sz="8" w:color="D64000"/>
            </w:tcBorders>
          </w:tcPr>
          <w:p>
            <w:pPr>
              <w:jc w:val="right"/>
              <w:ind w:right="1"/>
              <w:spacing w:after="0"/>
              <w:rPr>
                <w:sz w:val="20"/>
                <w:szCs w:val="20"/>
                <w:color w:val="auto"/>
              </w:rPr>
            </w:pPr>
            <w:r>
              <w:rPr>
                <w:rFonts w:ascii="Arial" w:cs="Arial" w:eastAsia="Arial" w:hAnsi="Arial"/>
                <w:sz w:val="16"/>
                <w:szCs w:val="16"/>
                <w:b w:val="1"/>
                <w:bCs w:val="1"/>
                <w:color w:val="auto"/>
              </w:rPr>
              <w:t>171</w:t>
            </w:r>
          </w:p>
        </w:tc>
        <w:tc>
          <w:tcPr>
            <w:tcW w:w="200" w:type="dxa"/>
            <w:vAlign w:val="bottom"/>
            <w:tcBorders>
              <w:bottom w:val="single" w:sz="8" w:color="D64000"/>
            </w:tcBorders>
          </w:tcPr>
          <w:p>
            <w:pPr>
              <w:spacing w:after="0"/>
              <w:rPr>
                <w:sz w:val="17"/>
                <w:szCs w:val="17"/>
                <w:color w:val="auto"/>
              </w:rPr>
            </w:pPr>
          </w:p>
        </w:tc>
        <w:tc>
          <w:tcPr>
            <w:tcW w:w="140" w:type="dxa"/>
            <w:vAlign w:val="bottom"/>
            <w:tcBorders>
              <w:bottom w:val="single" w:sz="8" w:color="D64000"/>
            </w:tcBorders>
          </w:tcPr>
          <w:p>
            <w:pPr>
              <w:spacing w:after="0"/>
              <w:rPr>
                <w:sz w:val="17"/>
                <w:szCs w:val="17"/>
                <w:color w:val="auto"/>
              </w:rPr>
            </w:pPr>
          </w:p>
        </w:tc>
        <w:tc>
          <w:tcPr>
            <w:tcW w:w="480" w:type="dxa"/>
            <w:vAlign w:val="bottom"/>
            <w:tcBorders>
              <w:bottom w:val="single" w:sz="8" w:color="D64000"/>
            </w:tcBorders>
          </w:tcPr>
          <w:p>
            <w:pPr>
              <w:jc w:val="right"/>
              <w:spacing w:after="0"/>
              <w:rPr>
                <w:sz w:val="20"/>
                <w:szCs w:val="20"/>
                <w:color w:val="auto"/>
              </w:rPr>
            </w:pPr>
            <w:r>
              <w:rPr>
                <w:rFonts w:ascii="Arial" w:cs="Arial" w:eastAsia="Arial" w:hAnsi="Arial"/>
                <w:sz w:val="16"/>
                <w:szCs w:val="16"/>
                <w:color w:val="auto"/>
              </w:rPr>
              <w:t>172</w:t>
            </w:r>
          </w:p>
        </w:tc>
        <w:tc>
          <w:tcPr>
            <w:tcW w:w="240" w:type="dxa"/>
            <w:vAlign w:val="bottom"/>
            <w:tcBorders>
              <w:bottom w:val="single" w:sz="8" w:color="D64000"/>
            </w:tcBorders>
          </w:tcPr>
          <w:p>
            <w:pPr>
              <w:spacing w:after="0"/>
              <w:rPr>
                <w:sz w:val="17"/>
                <w:szCs w:val="17"/>
                <w:color w:val="auto"/>
              </w:rPr>
            </w:pPr>
          </w:p>
        </w:tc>
        <w:tc>
          <w:tcPr>
            <w:tcW w:w="120" w:type="dxa"/>
            <w:vAlign w:val="bottom"/>
            <w:tcBorders>
              <w:bottom w:val="single" w:sz="8" w:color="D64000"/>
            </w:tcBorders>
          </w:tcPr>
          <w:p>
            <w:pPr>
              <w:spacing w:after="0"/>
              <w:rPr>
                <w:sz w:val="17"/>
                <w:szCs w:val="17"/>
                <w:color w:val="auto"/>
              </w:rPr>
            </w:pPr>
          </w:p>
        </w:tc>
        <w:tc>
          <w:tcPr>
            <w:tcW w:w="560" w:type="dxa"/>
            <w:vAlign w:val="bottom"/>
            <w:tcBorders>
              <w:bottom w:val="single" w:sz="8" w:color="D64000"/>
            </w:tcBorders>
          </w:tcPr>
          <w:p>
            <w:pPr>
              <w:jc w:val="right"/>
              <w:ind w:right="21"/>
              <w:spacing w:after="0"/>
              <w:rPr>
                <w:sz w:val="20"/>
                <w:szCs w:val="20"/>
                <w:color w:val="auto"/>
              </w:rPr>
            </w:pPr>
            <w:r>
              <w:rPr>
                <w:rFonts w:ascii="Arial" w:cs="Arial" w:eastAsia="Arial" w:hAnsi="Arial"/>
                <w:sz w:val="16"/>
                <w:szCs w:val="16"/>
                <w:color w:val="auto"/>
              </w:rPr>
              <w:t>(1%)</w:t>
            </w:r>
          </w:p>
        </w:tc>
        <w:tc>
          <w:tcPr>
            <w:tcW w:w="860" w:type="dxa"/>
            <w:vAlign w:val="bottom"/>
            <w:tcBorders>
              <w:bottom w:val="single" w:sz="8" w:color="D64000"/>
            </w:tcBorders>
          </w:tcPr>
          <w:p>
            <w:pPr>
              <w:jc w:val="right"/>
              <w:ind w:right="21"/>
              <w:spacing w:after="0"/>
              <w:rPr>
                <w:sz w:val="20"/>
                <w:szCs w:val="20"/>
                <w:color w:val="auto"/>
              </w:rPr>
            </w:pPr>
            <w:r>
              <w:rPr>
                <w:rFonts w:ascii="Arial" w:cs="Arial" w:eastAsia="Arial" w:hAnsi="Arial"/>
                <w:sz w:val="16"/>
                <w:szCs w:val="16"/>
                <w:color w:val="auto"/>
              </w:rPr>
              <w:t>(1%)</w:t>
            </w:r>
          </w:p>
        </w:tc>
        <w:tc>
          <w:tcPr>
            <w:tcW w:w="880" w:type="dxa"/>
            <w:vAlign w:val="bottom"/>
            <w:tcBorders>
              <w:bottom w:val="single" w:sz="8" w:color="D64000"/>
            </w:tcBorders>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D64000"/>
            </w:tcBorders>
          </w:tcPr>
          <w:p>
            <w:pPr>
              <w:jc w:val="right"/>
              <w:ind w:right="41"/>
              <w:spacing w:after="0"/>
              <w:rPr>
                <w:sz w:val="20"/>
                <w:szCs w:val="20"/>
                <w:color w:val="auto"/>
              </w:rPr>
            </w:pPr>
            <w:r>
              <w:rPr>
                <w:rFonts w:ascii="Arial" w:cs="Arial" w:eastAsia="Arial" w:hAnsi="Arial"/>
                <w:sz w:val="16"/>
                <w:szCs w:val="16"/>
                <w:color w:val="auto"/>
              </w:rPr>
              <w:t>3%</w:t>
            </w:r>
          </w:p>
        </w:tc>
        <w:tc>
          <w:tcPr>
            <w:tcW w:w="800" w:type="dxa"/>
            <w:vAlign w:val="bottom"/>
            <w:tcBorders>
              <w:bottom w:val="single" w:sz="8" w:color="D64000"/>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00" w:type="dxa"/>
            <w:vAlign w:val="bottom"/>
            <w:gridSpan w:val="3"/>
          </w:tcPr>
          <w:p>
            <w:pPr>
              <w:spacing w:after="0"/>
              <w:rPr>
                <w:sz w:val="10"/>
                <w:szCs w:val="10"/>
                <w:color w:val="auto"/>
              </w:rPr>
            </w:pPr>
          </w:p>
        </w:tc>
        <w:tc>
          <w:tcPr>
            <w:tcW w:w="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0" w:type="dxa"/>
            <w:vAlign w:val="bottom"/>
            <w:shd w:val="clear" w:color="auto" w:fill="E3F3EE"/>
          </w:tcPr>
          <w:p>
            <w:pPr>
              <w:spacing w:after="0"/>
              <w:rPr>
                <w:sz w:val="14"/>
                <w:szCs w:val="14"/>
                <w:color w:val="auto"/>
              </w:rPr>
            </w:pPr>
          </w:p>
        </w:tc>
        <w:tc>
          <w:tcPr>
            <w:tcW w:w="140" w:type="dxa"/>
            <w:vAlign w:val="bottom"/>
            <w:shd w:val="clear" w:color="auto" w:fill="E3F3EE"/>
          </w:tcPr>
          <w:p>
            <w:pPr>
              <w:spacing w:after="0"/>
              <w:rPr>
                <w:sz w:val="14"/>
                <w:szCs w:val="14"/>
                <w:color w:val="auto"/>
              </w:rPr>
            </w:pPr>
          </w:p>
        </w:tc>
        <w:tc>
          <w:tcPr>
            <w:tcW w:w="520" w:type="dxa"/>
            <w:vAlign w:val="bottom"/>
            <w:shd w:val="clear" w:color="auto" w:fill="E3F3EE"/>
          </w:tcPr>
          <w:p>
            <w:pPr>
              <w:spacing w:after="0"/>
              <w:rPr>
                <w:sz w:val="14"/>
                <w:szCs w:val="14"/>
                <w:color w:val="auto"/>
              </w:rPr>
            </w:pPr>
          </w:p>
        </w:tc>
        <w:tc>
          <w:tcPr>
            <w:tcW w:w="200" w:type="dxa"/>
            <w:vAlign w:val="bottom"/>
            <w:shd w:val="clear" w:color="auto" w:fill="E3F3EE"/>
          </w:tcPr>
          <w:p>
            <w:pPr>
              <w:spacing w:after="0"/>
              <w:rPr>
                <w:sz w:val="14"/>
                <w:szCs w:val="14"/>
                <w:color w:val="auto"/>
              </w:rPr>
            </w:pPr>
          </w:p>
        </w:tc>
        <w:tc>
          <w:tcPr>
            <w:tcW w:w="140" w:type="dxa"/>
            <w:vAlign w:val="bottom"/>
            <w:shd w:val="clear" w:color="auto" w:fill="E3F3EE"/>
          </w:tcPr>
          <w:p>
            <w:pPr>
              <w:spacing w:after="0"/>
              <w:rPr>
                <w:sz w:val="14"/>
                <w:szCs w:val="14"/>
                <w:color w:val="auto"/>
              </w:rPr>
            </w:pPr>
          </w:p>
        </w:tc>
        <w:tc>
          <w:tcPr>
            <w:tcW w:w="480" w:type="dxa"/>
            <w:vAlign w:val="bottom"/>
            <w:shd w:val="clear" w:color="auto" w:fill="E3F3EE"/>
          </w:tcPr>
          <w:p>
            <w:pPr>
              <w:spacing w:after="0"/>
              <w:rPr>
                <w:sz w:val="14"/>
                <w:szCs w:val="14"/>
                <w:color w:val="auto"/>
              </w:rPr>
            </w:pPr>
          </w:p>
        </w:tc>
        <w:tc>
          <w:tcPr>
            <w:tcW w:w="240" w:type="dxa"/>
            <w:vAlign w:val="bottom"/>
            <w:shd w:val="clear" w:color="auto" w:fill="E3F3EE"/>
          </w:tcPr>
          <w:p>
            <w:pPr>
              <w:spacing w:after="0"/>
              <w:rPr>
                <w:sz w:val="14"/>
                <w:szCs w:val="14"/>
                <w:color w:val="auto"/>
              </w:rPr>
            </w:pPr>
          </w:p>
        </w:tc>
        <w:tc>
          <w:tcPr>
            <w:tcW w:w="120" w:type="dxa"/>
            <w:vAlign w:val="bottom"/>
            <w:shd w:val="clear" w:color="auto" w:fill="E3F3EE"/>
          </w:tcPr>
          <w:p>
            <w:pPr>
              <w:spacing w:after="0"/>
              <w:rPr>
                <w:sz w:val="14"/>
                <w:szCs w:val="14"/>
                <w:color w:val="auto"/>
              </w:rPr>
            </w:pPr>
          </w:p>
        </w:tc>
        <w:tc>
          <w:tcPr>
            <w:tcW w:w="2300" w:type="dxa"/>
            <w:vAlign w:val="bottom"/>
            <w:gridSpan w:val="3"/>
            <w:shd w:val="clear" w:color="auto" w:fill="E3F3EE"/>
          </w:tcPr>
          <w:p>
            <w:pPr>
              <w:ind w:left="100"/>
              <w:spacing w:after="0"/>
              <w:rPr>
                <w:sz w:val="20"/>
                <w:szCs w:val="20"/>
                <w:color w:val="auto"/>
              </w:rPr>
            </w:pPr>
            <w:r>
              <w:rPr>
                <w:rFonts w:ascii="Arial" w:cs="Arial" w:eastAsia="Arial" w:hAnsi="Arial"/>
                <w:sz w:val="15"/>
                <w:szCs w:val="15"/>
                <w:b w:val="1"/>
                <w:bCs w:val="1"/>
                <w:color w:val="auto"/>
              </w:rPr>
              <w:t>Year ended December 31,</w:t>
            </w:r>
          </w:p>
        </w:tc>
        <w:tc>
          <w:tcPr>
            <w:tcW w:w="980" w:type="dxa"/>
            <w:vAlign w:val="bottom"/>
            <w:shd w:val="clear" w:color="auto" w:fill="E3F3EE"/>
          </w:tcPr>
          <w:p>
            <w:pPr>
              <w:spacing w:after="0"/>
              <w:rPr>
                <w:sz w:val="14"/>
                <w:szCs w:val="14"/>
                <w:color w:val="auto"/>
              </w:rPr>
            </w:pPr>
          </w:p>
        </w:tc>
        <w:tc>
          <w:tcPr>
            <w:tcW w:w="800" w:type="dxa"/>
            <w:vAlign w:val="bottom"/>
            <w:shd w:val="clear" w:color="auto" w:fill="E3F3E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1F473D"/>
            </w:tcBorders>
            <w:shd w:val="clear" w:color="auto" w:fill="1F473D"/>
          </w:tcPr>
          <w:p>
            <w:pPr>
              <w:spacing w:after="0"/>
              <w:rPr>
                <w:sz w:val="14"/>
                <w:szCs w:val="14"/>
                <w:color w:val="auto"/>
              </w:rPr>
            </w:pPr>
          </w:p>
        </w:tc>
        <w:tc>
          <w:tcPr>
            <w:tcW w:w="760" w:type="dxa"/>
            <w:vAlign w:val="bottom"/>
            <w:tcBorders>
              <w:bottom w:val="single" w:sz="8" w:color="1F473D"/>
            </w:tcBorders>
            <w:shd w:val="clear" w:color="auto" w:fill="1F473D"/>
          </w:tcPr>
          <w:p>
            <w:pPr>
              <w:spacing w:after="0"/>
              <w:rPr>
                <w:sz w:val="14"/>
                <w:szCs w:val="14"/>
                <w:color w:val="auto"/>
              </w:rPr>
            </w:pPr>
          </w:p>
        </w:tc>
        <w:tc>
          <w:tcPr>
            <w:tcW w:w="800" w:type="dxa"/>
            <w:vAlign w:val="bottom"/>
            <w:tcBorders>
              <w:bottom w:val="single" w:sz="8" w:color="1F473D"/>
            </w:tcBorders>
            <w:shd w:val="clear" w:color="auto" w:fill="1F473D"/>
          </w:tcPr>
          <w:p>
            <w:pPr>
              <w:spacing w:after="0"/>
              <w:rPr>
                <w:sz w:val="14"/>
                <w:szCs w:val="14"/>
                <w:color w:val="auto"/>
              </w:rPr>
            </w:pPr>
          </w:p>
        </w:tc>
        <w:tc>
          <w:tcPr>
            <w:tcW w:w="220" w:type="dxa"/>
            <w:vAlign w:val="bottom"/>
            <w:tcBorders>
              <w:bottom w:val="single" w:sz="8" w:color="1F473D"/>
            </w:tcBorders>
            <w:shd w:val="clear" w:color="auto" w:fill="1F473D"/>
          </w:tcPr>
          <w:p>
            <w:pPr>
              <w:spacing w:after="0"/>
              <w:rPr>
                <w:sz w:val="14"/>
                <w:szCs w:val="14"/>
                <w:color w:val="auto"/>
              </w:rPr>
            </w:pPr>
          </w:p>
        </w:tc>
        <w:tc>
          <w:tcPr>
            <w:tcW w:w="1760" w:type="dxa"/>
            <w:vAlign w:val="bottom"/>
            <w:tcBorders>
              <w:bottom w:val="single" w:sz="8" w:color="1F473D"/>
            </w:tcBorders>
            <w:shd w:val="clear" w:color="auto" w:fill="1F473D"/>
          </w:tcPr>
          <w:p>
            <w:pPr>
              <w:spacing w:after="0"/>
              <w:rPr>
                <w:sz w:val="14"/>
                <w:szCs w:val="14"/>
                <w:color w:val="auto"/>
              </w:rPr>
            </w:pPr>
          </w:p>
        </w:tc>
        <w:tc>
          <w:tcPr>
            <w:tcW w:w="240" w:type="dxa"/>
            <w:vAlign w:val="bottom"/>
            <w:tcBorders>
              <w:bottom w:val="single" w:sz="8" w:color="1F473D"/>
            </w:tcBorders>
            <w:shd w:val="clear" w:color="auto" w:fill="1F473D"/>
          </w:tcPr>
          <w:p>
            <w:pPr>
              <w:spacing w:after="0"/>
              <w:rPr>
                <w:sz w:val="14"/>
                <w:szCs w:val="14"/>
                <w:color w:val="auto"/>
              </w:rPr>
            </w:pPr>
          </w:p>
        </w:tc>
        <w:tc>
          <w:tcPr>
            <w:tcW w:w="140" w:type="dxa"/>
            <w:vAlign w:val="bottom"/>
            <w:tcBorders>
              <w:bottom w:val="single" w:sz="8" w:color="1F473D"/>
            </w:tcBorders>
            <w:shd w:val="clear" w:color="auto" w:fill="1F473D"/>
          </w:tcPr>
          <w:p>
            <w:pPr>
              <w:spacing w:after="0"/>
              <w:rPr>
                <w:sz w:val="14"/>
                <w:szCs w:val="14"/>
                <w:color w:val="auto"/>
              </w:rPr>
            </w:pPr>
          </w:p>
        </w:tc>
        <w:tc>
          <w:tcPr>
            <w:tcW w:w="520" w:type="dxa"/>
            <w:vAlign w:val="bottom"/>
            <w:tcBorders>
              <w:bottom w:val="single" w:sz="8" w:color="1F473D"/>
            </w:tcBorders>
            <w:shd w:val="clear" w:color="auto" w:fill="1F473D"/>
          </w:tcPr>
          <w:p>
            <w:pPr>
              <w:spacing w:after="0"/>
              <w:rPr>
                <w:sz w:val="14"/>
                <w:szCs w:val="14"/>
                <w:color w:val="auto"/>
              </w:rPr>
            </w:pPr>
          </w:p>
        </w:tc>
        <w:tc>
          <w:tcPr>
            <w:tcW w:w="200" w:type="dxa"/>
            <w:vAlign w:val="bottom"/>
            <w:tcBorders>
              <w:bottom w:val="single" w:sz="8" w:color="1F473D"/>
            </w:tcBorders>
            <w:shd w:val="clear" w:color="auto" w:fill="1F473D"/>
          </w:tcPr>
          <w:p>
            <w:pPr>
              <w:spacing w:after="0"/>
              <w:rPr>
                <w:sz w:val="14"/>
                <w:szCs w:val="14"/>
                <w:color w:val="auto"/>
              </w:rPr>
            </w:pPr>
          </w:p>
        </w:tc>
        <w:tc>
          <w:tcPr>
            <w:tcW w:w="140" w:type="dxa"/>
            <w:vAlign w:val="bottom"/>
            <w:tcBorders>
              <w:bottom w:val="single" w:sz="8" w:color="1F473D"/>
            </w:tcBorders>
            <w:shd w:val="clear" w:color="auto" w:fill="1F473D"/>
          </w:tcPr>
          <w:p>
            <w:pPr>
              <w:spacing w:after="0"/>
              <w:rPr>
                <w:sz w:val="14"/>
                <w:szCs w:val="14"/>
                <w:color w:val="auto"/>
              </w:rPr>
            </w:pPr>
          </w:p>
        </w:tc>
        <w:tc>
          <w:tcPr>
            <w:tcW w:w="480" w:type="dxa"/>
            <w:vAlign w:val="bottom"/>
            <w:tcBorders>
              <w:bottom w:val="single" w:sz="8" w:color="1F473D"/>
            </w:tcBorders>
            <w:shd w:val="clear" w:color="auto" w:fill="1F473D"/>
          </w:tcPr>
          <w:p>
            <w:pPr>
              <w:spacing w:after="0"/>
              <w:rPr>
                <w:sz w:val="14"/>
                <w:szCs w:val="14"/>
                <w:color w:val="auto"/>
              </w:rPr>
            </w:pPr>
          </w:p>
        </w:tc>
        <w:tc>
          <w:tcPr>
            <w:tcW w:w="240" w:type="dxa"/>
            <w:vAlign w:val="bottom"/>
            <w:tcBorders>
              <w:bottom w:val="single" w:sz="8" w:color="D64000"/>
            </w:tcBorders>
            <w:shd w:val="clear" w:color="auto" w:fill="1F473D"/>
          </w:tcPr>
          <w:p>
            <w:pPr>
              <w:spacing w:after="0"/>
              <w:rPr>
                <w:sz w:val="14"/>
                <w:szCs w:val="14"/>
                <w:color w:val="auto"/>
              </w:rPr>
            </w:pPr>
          </w:p>
        </w:tc>
        <w:tc>
          <w:tcPr>
            <w:tcW w:w="120" w:type="dxa"/>
            <w:vAlign w:val="bottom"/>
            <w:tcBorders>
              <w:bottom w:val="single" w:sz="8" w:color="D64000"/>
            </w:tcBorders>
            <w:shd w:val="clear" w:color="auto" w:fill="1F473D"/>
          </w:tcPr>
          <w:p>
            <w:pPr>
              <w:spacing w:after="0"/>
              <w:rPr>
                <w:sz w:val="14"/>
                <w:szCs w:val="14"/>
                <w:color w:val="auto"/>
              </w:rPr>
            </w:pPr>
          </w:p>
        </w:tc>
        <w:tc>
          <w:tcPr>
            <w:tcW w:w="560" w:type="dxa"/>
            <w:vAlign w:val="bottom"/>
            <w:tcBorders>
              <w:bottom w:val="single" w:sz="8" w:color="D64000"/>
            </w:tcBorders>
            <w:shd w:val="clear" w:color="auto" w:fill="1F473D"/>
          </w:tcPr>
          <w:p>
            <w:pPr>
              <w:spacing w:after="0"/>
              <w:rPr>
                <w:sz w:val="14"/>
                <w:szCs w:val="14"/>
                <w:color w:val="auto"/>
              </w:rPr>
            </w:pPr>
          </w:p>
        </w:tc>
        <w:tc>
          <w:tcPr>
            <w:tcW w:w="860" w:type="dxa"/>
            <w:vAlign w:val="bottom"/>
            <w:tcBorders>
              <w:bottom w:val="single" w:sz="8" w:color="D64000"/>
            </w:tcBorders>
            <w:shd w:val="clear" w:color="auto" w:fill="1F473D"/>
          </w:tcPr>
          <w:p>
            <w:pPr>
              <w:spacing w:after="0"/>
              <w:rPr>
                <w:sz w:val="14"/>
                <w:szCs w:val="14"/>
                <w:color w:val="auto"/>
              </w:rPr>
            </w:pPr>
          </w:p>
        </w:tc>
        <w:tc>
          <w:tcPr>
            <w:tcW w:w="880" w:type="dxa"/>
            <w:vAlign w:val="bottom"/>
            <w:tcBorders>
              <w:bottom w:val="single" w:sz="8" w:color="D64000"/>
            </w:tcBorders>
            <w:shd w:val="clear" w:color="auto" w:fill="1F473D"/>
          </w:tcPr>
          <w:p>
            <w:pPr>
              <w:jc w:val="right"/>
              <w:ind w:right="81"/>
              <w:spacing w:after="0" w:line="159" w:lineRule="exact"/>
              <w:rPr>
                <w:sz w:val="20"/>
                <w:szCs w:val="20"/>
                <w:color w:val="auto"/>
              </w:rPr>
            </w:pPr>
            <w:r>
              <w:rPr>
                <w:rFonts w:ascii="Arial" w:cs="Arial" w:eastAsia="Arial" w:hAnsi="Arial"/>
                <w:sz w:val="15"/>
                <w:szCs w:val="15"/>
                <w:color w:val="FFFFFF"/>
              </w:rPr>
              <w:t>Change</w:t>
            </w:r>
          </w:p>
        </w:tc>
        <w:tc>
          <w:tcPr>
            <w:tcW w:w="980" w:type="dxa"/>
            <w:vAlign w:val="bottom"/>
            <w:tcBorders>
              <w:bottom w:val="single" w:sz="8" w:color="D64000"/>
            </w:tcBorders>
            <w:shd w:val="clear" w:color="auto" w:fill="1F473D"/>
          </w:tcPr>
          <w:p>
            <w:pPr>
              <w:spacing w:after="0"/>
              <w:rPr>
                <w:sz w:val="14"/>
                <w:szCs w:val="14"/>
                <w:color w:val="auto"/>
              </w:rPr>
            </w:pPr>
          </w:p>
        </w:tc>
        <w:tc>
          <w:tcPr>
            <w:tcW w:w="800" w:type="dxa"/>
            <w:vAlign w:val="bottom"/>
            <w:tcBorders>
              <w:bottom w:val="single" w:sz="8" w:color="D64000"/>
            </w:tcBorders>
            <w:shd w:val="clear" w:color="auto" w:fill="1F473D"/>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1F473D"/>
          </w:tcPr>
          <w:p>
            <w:pPr>
              <w:spacing w:after="0"/>
              <w:rPr>
                <w:sz w:val="12"/>
                <w:szCs w:val="12"/>
                <w:color w:val="auto"/>
              </w:rPr>
            </w:pPr>
          </w:p>
        </w:tc>
        <w:tc>
          <w:tcPr>
            <w:tcW w:w="760" w:type="dxa"/>
            <w:vAlign w:val="bottom"/>
            <w:shd w:val="clear" w:color="auto" w:fill="1F473D"/>
          </w:tcPr>
          <w:p>
            <w:pPr>
              <w:spacing w:after="0"/>
              <w:rPr>
                <w:sz w:val="12"/>
                <w:szCs w:val="12"/>
                <w:color w:val="auto"/>
              </w:rPr>
            </w:pPr>
          </w:p>
        </w:tc>
        <w:tc>
          <w:tcPr>
            <w:tcW w:w="800" w:type="dxa"/>
            <w:vAlign w:val="bottom"/>
            <w:shd w:val="clear" w:color="auto" w:fill="1F473D"/>
          </w:tcPr>
          <w:p>
            <w:pPr>
              <w:spacing w:after="0"/>
              <w:rPr>
                <w:sz w:val="12"/>
                <w:szCs w:val="12"/>
                <w:color w:val="auto"/>
              </w:rPr>
            </w:pPr>
          </w:p>
        </w:tc>
        <w:tc>
          <w:tcPr>
            <w:tcW w:w="220" w:type="dxa"/>
            <w:vAlign w:val="bottom"/>
            <w:shd w:val="clear" w:color="auto" w:fill="1F473D"/>
          </w:tcPr>
          <w:p>
            <w:pPr>
              <w:spacing w:after="0"/>
              <w:rPr>
                <w:sz w:val="12"/>
                <w:szCs w:val="12"/>
                <w:color w:val="auto"/>
              </w:rPr>
            </w:pPr>
          </w:p>
        </w:tc>
        <w:tc>
          <w:tcPr>
            <w:tcW w:w="1760" w:type="dxa"/>
            <w:vAlign w:val="bottom"/>
            <w:shd w:val="clear" w:color="auto" w:fill="1F473D"/>
          </w:tcPr>
          <w:p>
            <w:pPr>
              <w:spacing w:after="0"/>
              <w:rPr>
                <w:sz w:val="12"/>
                <w:szCs w:val="12"/>
                <w:color w:val="auto"/>
              </w:rPr>
            </w:pPr>
          </w:p>
        </w:tc>
        <w:tc>
          <w:tcPr>
            <w:tcW w:w="240" w:type="dxa"/>
            <w:vAlign w:val="bottom"/>
            <w:shd w:val="clear" w:color="auto" w:fill="1F473D"/>
          </w:tcPr>
          <w:p>
            <w:pPr>
              <w:spacing w:after="0"/>
              <w:rPr>
                <w:sz w:val="12"/>
                <w:szCs w:val="12"/>
                <w:color w:val="auto"/>
              </w:rPr>
            </w:pPr>
          </w:p>
        </w:tc>
        <w:tc>
          <w:tcPr>
            <w:tcW w:w="140" w:type="dxa"/>
            <w:vAlign w:val="bottom"/>
            <w:shd w:val="clear" w:color="auto" w:fill="1F473D"/>
          </w:tcPr>
          <w:p>
            <w:pPr>
              <w:spacing w:after="0"/>
              <w:rPr>
                <w:sz w:val="12"/>
                <w:szCs w:val="12"/>
                <w:color w:val="auto"/>
              </w:rPr>
            </w:pPr>
          </w:p>
        </w:tc>
        <w:tc>
          <w:tcPr>
            <w:tcW w:w="520" w:type="dxa"/>
            <w:vAlign w:val="bottom"/>
            <w:shd w:val="clear" w:color="auto" w:fill="1F473D"/>
          </w:tcPr>
          <w:p>
            <w:pPr>
              <w:spacing w:after="0"/>
              <w:rPr>
                <w:sz w:val="12"/>
                <w:szCs w:val="12"/>
                <w:color w:val="auto"/>
              </w:rPr>
            </w:pPr>
          </w:p>
        </w:tc>
        <w:tc>
          <w:tcPr>
            <w:tcW w:w="200" w:type="dxa"/>
            <w:vAlign w:val="bottom"/>
            <w:shd w:val="clear" w:color="auto" w:fill="1F473D"/>
          </w:tcPr>
          <w:p>
            <w:pPr>
              <w:spacing w:after="0"/>
              <w:rPr>
                <w:sz w:val="12"/>
                <w:szCs w:val="12"/>
                <w:color w:val="auto"/>
              </w:rPr>
            </w:pPr>
          </w:p>
        </w:tc>
        <w:tc>
          <w:tcPr>
            <w:tcW w:w="140" w:type="dxa"/>
            <w:vAlign w:val="bottom"/>
            <w:shd w:val="clear" w:color="auto" w:fill="1F473D"/>
          </w:tcPr>
          <w:p>
            <w:pPr>
              <w:spacing w:after="0"/>
              <w:rPr>
                <w:sz w:val="12"/>
                <w:szCs w:val="12"/>
                <w:color w:val="auto"/>
              </w:rPr>
            </w:pPr>
          </w:p>
        </w:tc>
        <w:tc>
          <w:tcPr>
            <w:tcW w:w="480" w:type="dxa"/>
            <w:vAlign w:val="bottom"/>
            <w:shd w:val="clear" w:color="auto" w:fill="1F473D"/>
          </w:tcPr>
          <w:p>
            <w:pPr>
              <w:spacing w:after="0"/>
              <w:rPr>
                <w:sz w:val="12"/>
                <w:szCs w:val="12"/>
                <w:color w:val="auto"/>
              </w:rPr>
            </w:pPr>
          </w:p>
        </w:tc>
        <w:tc>
          <w:tcPr>
            <w:tcW w:w="240" w:type="dxa"/>
            <w:vAlign w:val="bottom"/>
            <w:shd w:val="clear" w:color="auto" w:fill="1F473D"/>
          </w:tcPr>
          <w:p>
            <w:pPr>
              <w:spacing w:after="0"/>
              <w:rPr>
                <w:sz w:val="12"/>
                <w:szCs w:val="12"/>
                <w:color w:val="auto"/>
              </w:rPr>
            </w:pPr>
          </w:p>
        </w:tc>
        <w:tc>
          <w:tcPr>
            <w:tcW w:w="120" w:type="dxa"/>
            <w:vAlign w:val="bottom"/>
            <w:shd w:val="clear" w:color="auto" w:fill="1F473D"/>
          </w:tcPr>
          <w:p>
            <w:pPr>
              <w:spacing w:after="0"/>
              <w:rPr>
                <w:sz w:val="12"/>
                <w:szCs w:val="12"/>
                <w:color w:val="auto"/>
              </w:rPr>
            </w:pPr>
          </w:p>
        </w:tc>
        <w:tc>
          <w:tcPr>
            <w:tcW w:w="560" w:type="dxa"/>
            <w:vAlign w:val="bottom"/>
            <w:shd w:val="clear" w:color="auto" w:fill="1F473D"/>
          </w:tcPr>
          <w:p>
            <w:pPr>
              <w:spacing w:after="0"/>
              <w:rPr>
                <w:sz w:val="12"/>
                <w:szCs w:val="12"/>
                <w:color w:val="auto"/>
              </w:rPr>
            </w:pPr>
          </w:p>
        </w:tc>
        <w:tc>
          <w:tcPr>
            <w:tcW w:w="860" w:type="dxa"/>
            <w:vAlign w:val="bottom"/>
            <w:shd w:val="clear" w:color="auto" w:fill="1F473D"/>
          </w:tcPr>
          <w:p>
            <w:pPr>
              <w:spacing w:after="0"/>
              <w:rPr>
                <w:sz w:val="12"/>
                <w:szCs w:val="12"/>
                <w:color w:val="auto"/>
              </w:rPr>
            </w:pPr>
          </w:p>
        </w:tc>
        <w:tc>
          <w:tcPr>
            <w:tcW w:w="880" w:type="dxa"/>
            <w:vAlign w:val="bottom"/>
            <w:shd w:val="clear" w:color="auto" w:fill="1F473D"/>
          </w:tcPr>
          <w:p>
            <w:pPr>
              <w:jc w:val="center"/>
              <w:ind w:right="1"/>
              <w:spacing w:after="0" w:line="142" w:lineRule="exact"/>
              <w:rPr>
                <w:sz w:val="20"/>
                <w:szCs w:val="20"/>
                <w:color w:val="auto"/>
              </w:rPr>
            </w:pPr>
            <w:r>
              <w:rPr>
                <w:rFonts w:ascii="Arial" w:cs="Arial" w:eastAsia="Arial" w:hAnsi="Arial"/>
                <w:sz w:val="15"/>
                <w:szCs w:val="15"/>
                <w:color w:val="FFFFFF"/>
              </w:rPr>
              <w:t>Subtotal</w:t>
            </w:r>
          </w:p>
        </w:tc>
        <w:tc>
          <w:tcPr>
            <w:tcW w:w="980" w:type="dxa"/>
            <w:vAlign w:val="bottom"/>
            <w:shd w:val="clear" w:color="auto" w:fill="1F473D"/>
          </w:tcPr>
          <w:p>
            <w:pPr>
              <w:spacing w:after="0"/>
              <w:rPr>
                <w:sz w:val="12"/>
                <w:szCs w:val="12"/>
                <w:color w:val="auto"/>
              </w:rPr>
            </w:pPr>
          </w:p>
        </w:tc>
        <w:tc>
          <w:tcPr>
            <w:tcW w:w="800" w:type="dxa"/>
            <w:vAlign w:val="bottom"/>
            <w:shd w:val="clear" w:color="auto" w:fill="1F473D"/>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1F473D"/>
          </w:tcPr>
          <w:p>
            <w:pPr>
              <w:spacing w:after="0"/>
              <w:rPr>
                <w:sz w:val="13"/>
                <w:szCs w:val="13"/>
                <w:color w:val="auto"/>
              </w:rPr>
            </w:pPr>
          </w:p>
        </w:tc>
        <w:tc>
          <w:tcPr>
            <w:tcW w:w="760" w:type="dxa"/>
            <w:vAlign w:val="bottom"/>
            <w:shd w:val="clear" w:color="auto" w:fill="1F473D"/>
          </w:tcPr>
          <w:p>
            <w:pPr>
              <w:spacing w:after="0"/>
              <w:rPr>
                <w:sz w:val="13"/>
                <w:szCs w:val="13"/>
                <w:color w:val="auto"/>
              </w:rPr>
            </w:pPr>
          </w:p>
        </w:tc>
        <w:tc>
          <w:tcPr>
            <w:tcW w:w="800" w:type="dxa"/>
            <w:vAlign w:val="bottom"/>
            <w:shd w:val="clear" w:color="auto" w:fill="1F473D"/>
          </w:tcPr>
          <w:p>
            <w:pPr>
              <w:spacing w:after="0"/>
              <w:rPr>
                <w:sz w:val="13"/>
                <w:szCs w:val="13"/>
                <w:color w:val="auto"/>
              </w:rPr>
            </w:pPr>
          </w:p>
        </w:tc>
        <w:tc>
          <w:tcPr>
            <w:tcW w:w="220" w:type="dxa"/>
            <w:vAlign w:val="bottom"/>
            <w:shd w:val="clear" w:color="auto" w:fill="1F473D"/>
          </w:tcPr>
          <w:p>
            <w:pPr>
              <w:spacing w:after="0"/>
              <w:rPr>
                <w:sz w:val="13"/>
                <w:szCs w:val="13"/>
                <w:color w:val="auto"/>
              </w:rPr>
            </w:pPr>
          </w:p>
        </w:tc>
        <w:tc>
          <w:tcPr>
            <w:tcW w:w="1760" w:type="dxa"/>
            <w:vAlign w:val="bottom"/>
            <w:shd w:val="clear" w:color="auto" w:fill="1F473D"/>
          </w:tcPr>
          <w:p>
            <w:pPr>
              <w:spacing w:after="0"/>
              <w:rPr>
                <w:sz w:val="13"/>
                <w:szCs w:val="13"/>
                <w:color w:val="auto"/>
              </w:rPr>
            </w:pPr>
          </w:p>
        </w:tc>
        <w:tc>
          <w:tcPr>
            <w:tcW w:w="240" w:type="dxa"/>
            <w:vAlign w:val="bottom"/>
            <w:vMerge w:val="restart"/>
            <w:shd w:val="clear" w:color="auto" w:fill="1F473D"/>
          </w:tcPr>
          <w:p>
            <w:pPr>
              <w:ind w:left="140"/>
              <w:spacing w:after="0"/>
              <w:rPr>
                <w:sz w:val="20"/>
                <w:szCs w:val="20"/>
                <w:color w:val="auto"/>
              </w:rPr>
            </w:pPr>
            <w:r>
              <w:rPr>
                <w:rFonts w:ascii="Arial" w:cs="Arial" w:eastAsia="Arial" w:hAnsi="Arial"/>
                <w:sz w:val="11"/>
                <w:szCs w:val="11"/>
                <w:b w:val="1"/>
                <w:bCs w:val="1"/>
                <w:color w:val="FFFFFF"/>
                <w:w w:val="72"/>
              </w:rPr>
              <w:t> </w:t>
            </w:r>
          </w:p>
        </w:tc>
        <w:tc>
          <w:tcPr>
            <w:tcW w:w="140" w:type="dxa"/>
            <w:vAlign w:val="bottom"/>
            <w:vMerge w:val="restart"/>
            <w:shd w:val="clear" w:color="auto" w:fill="1F473D"/>
          </w:tcPr>
          <w:p>
            <w:pPr>
              <w:ind w:left="40"/>
              <w:spacing w:after="0"/>
              <w:rPr>
                <w:sz w:val="20"/>
                <w:szCs w:val="20"/>
                <w:color w:val="auto"/>
              </w:rPr>
            </w:pPr>
            <w:r>
              <w:rPr>
                <w:rFonts w:ascii="Arial" w:cs="Arial" w:eastAsia="Arial" w:hAnsi="Arial"/>
                <w:sz w:val="11"/>
                <w:szCs w:val="11"/>
                <w:b w:val="1"/>
                <w:bCs w:val="1"/>
                <w:color w:val="FFFFFF"/>
                <w:w w:val="72"/>
              </w:rPr>
              <w:t> </w:t>
            </w:r>
          </w:p>
        </w:tc>
        <w:tc>
          <w:tcPr>
            <w:tcW w:w="520" w:type="dxa"/>
            <w:vAlign w:val="bottom"/>
            <w:vMerge w:val="restart"/>
            <w:shd w:val="clear" w:color="auto" w:fill="1F473D"/>
          </w:tcPr>
          <w:p>
            <w:pPr>
              <w:jc w:val="right"/>
              <w:ind w:right="61"/>
              <w:spacing w:after="0"/>
              <w:rPr>
                <w:sz w:val="20"/>
                <w:szCs w:val="20"/>
                <w:color w:val="auto"/>
              </w:rPr>
            </w:pPr>
            <w:r>
              <w:rPr>
                <w:rFonts w:ascii="Arial" w:cs="Arial" w:eastAsia="Arial" w:hAnsi="Arial"/>
                <w:sz w:val="15"/>
                <w:szCs w:val="15"/>
                <w:b w:val="1"/>
                <w:bCs w:val="1"/>
                <w:color w:val="FFFFFF"/>
              </w:rPr>
              <w:t>2024</w:t>
            </w:r>
          </w:p>
        </w:tc>
        <w:tc>
          <w:tcPr>
            <w:tcW w:w="200" w:type="dxa"/>
            <w:vAlign w:val="bottom"/>
            <w:shd w:val="clear" w:color="auto" w:fill="1F473D"/>
          </w:tcPr>
          <w:p>
            <w:pPr>
              <w:spacing w:after="0"/>
              <w:rPr>
                <w:sz w:val="13"/>
                <w:szCs w:val="13"/>
                <w:color w:val="auto"/>
              </w:rPr>
            </w:pPr>
          </w:p>
        </w:tc>
        <w:tc>
          <w:tcPr>
            <w:tcW w:w="140" w:type="dxa"/>
            <w:vAlign w:val="bottom"/>
            <w:shd w:val="clear" w:color="auto" w:fill="1F473D"/>
          </w:tcPr>
          <w:p>
            <w:pPr>
              <w:spacing w:after="0"/>
              <w:rPr>
                <w:sz w:val="13"/>
                <w:szCs w:val="13"/>
                <w:color w:val="auto"/>
              </w:rPr>
            </w:pPr>
          </w:p>
        </w:tc>
        <w:tc>
          <w:tcPr>
            <w:tcW w:w="480" w:type="dxa"/>
            <w:vAlign w:val="bottom"/>
            <w:shd w:val="clear" w:color="auto" w:fill="1F473D"/>
          </w:tcPr>
          <w:p>
            <w:pPr>
              <w:spacing w:after="0"/>
              <w:rPr>
                <w:sz w:val="13"/>
                <w:szCs w:val="13"/>
                <w:color w:val="auto"/>
              </w:rPr>
            </w:pPr>
          </w:p>
        </w:tc>
        <w:tc>
          <w:tcPr>
            <w:tcW w:w="240" w:type="dxa"/>
            <w:vAlign w:val="bottom"/>
            <w:shd w:val="clear" w:color="auto" w:fill="1F473D"/>
          </w:tcPr>
          <w:p>
            <w:pPr>
              <w:spacing w:after="0"/>
              <w:rPr>
                <w:sz w:val="13"/>
                <w:szCs w:val="13"/>
                <w:color w:val="auto"/>
              </w:rPr>
            </w:pPr>
          </w:p>
        </w:tc>
        <w:tc>
          <w:tcPr>
            <w:tcW w:w="120" w:type="dxa"/>
            <w:vAlign w:val="bottom"/>
            <w:shd w:val="clear" w:color="auto" w:fill="1F473D"/>
          </w:tcPr>
          <w:p>
            <w:pPr>
              <w:spacing w:after="0"/>
              <w:rPr>
                <w:sz w:val="13"/>
                <w:szCs w:val="13"/>
                <w:color w:val="auto"/>
              </w:rPr>
            </w:pPr>
          </w:p>
        </w:tc>
        <w:tc>
          <w:tcPr>
            <w:tcW w:w="560" w:type="dxa"/>
            <w:vAlign w:val="bottom"/>
            <w:shd w:val="clear" w:color="auto" w:fill="1F473D"/>
          </w:tcPr>
          <w:p>
            <w:pPr>
              <w:spacing w:after="0"/>
              <w:rPr>
                <w:sz w:val="13"/>
                <w:szCs w:val="13"/>
                <w:color w:val="auto"/>
              </w:rPr>
            </w:pPr>
          </w:p>
        </w:tc>
        <w:tc>
          <w:tcPr>
            <w:tcW w:w="860" w:type="dxa"/>
            <w:vAlign w:val="bottom"/>
            <w:shd w:val="clear" w:color="auto" w:fill="1F473D"/>
          </w:tcPr>
          <w:p>
            <w:pPr>
              <w:jc w:val="center"/>
              <w:spacing w:after="0" w:line="159" w:lineRule="exact"/>
              <w:rPr>
                <w:sz w:val="20"/>
                <w:szCs w:val="20"/>
                <w:color w:val="auto"/>
              </w:rPr>
            </w:pPr>
            <w:r>
              <w:rPr>
                <w:rFonts w:ascii="Arial" w:cs="Arial" w:eastAsia="Arial" w:hAnsi="Arial"/>
                <w:sz w:val="15"/>
                <w:szCs w:val="15"/>
                <w:color w:val="FFFFFF"/>
              </w:rPr>
              <w:t>Foreign</w:t>
            </w:r>
          </w:p>
        </w:tc>
        <w:tc>
          <w:tcPr>
            <w:tcW w:w="880" w:type="dxa"/>
            <w:vAlign w:val="bottom"/>
            <w:shd w:val="clear" w:color="auto" w:fill="1F473D"/>
          </w:tcPr>
          <w:p>
            <w:pPr>
              <w:jc w:val="center"/>
              <w:ind w:right="1"/>
              <w:spacing w:after="0" w:line="159" w:lineRule="exact"/>
              <w:rPr>
                <w:sz w:val="20"/>
                <w:szCs w:val="20"/>
                <w:color w:val="auto"/>
              </w:rPr>
            </w:pPr>
            <w:r>
              <w:rPr>
                <w:rFonts w:ascii="Arial" w:cs="Arial" w:eastAsia="Arial" w:hAnsi="Arial"/>
                <w:sz w:val="15"/>
                <w:szCs w:val="15"/>
                <w:color w:val="FFFFFF"/>
                <w:w w:val="99"/>
              </w:rPr>
              <w:t>Constant</w:t>
            </w:r>
          </w:p>
        </w:tc>
        <w:tc>
          <w:tcPr>
            <w:tcW w:w="980" w:type="dxa"/>
            <w:vAlign w:val="bottom"/>
            <w:shd w:val="clear" w:color="auto" w:fill="1F473D"/>
          </w:tcPr>
          <w:p>
            <w:pPr>
              <w:jc w:val="center"/>
              <w:ind w:right="21"/>
              <w:spacing w:after="0" w:line="159" w:lineRule="exact"/>
              <w:rPr>
                <w:sz w:val="20"/>
                <w:szCs w:val="20"/>
                <w:color w:val="auto"/>
              </w:rPr>
            </w:pPr>
            <w:r>
              <w:rPr>
                <w:rFonts w:ascii="Arial" w:cs="Arial" w:eastAsia="Arial" w:hAnsi="Arial"/>
                <w:sz w:val="15"/>
                <w:szCs w:val="15"/>
                <w:color w:val="FFFFFF"/>
                <w:w w:val="99"/>
              </w:rPr>
              <w:t>Acquisitions/</w:t>
            </w:r>
          </w:p>
        </w:tc>
        <w:tc>
          <w:tcPr>
            <w:tcW w:w="800" w:type="dxa"/>
            <w:vAlign w:val="bottom"/>
            <w:shd w:val="clear" w:color="auto" w:fill="1F473D"/>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560" w:type="dxa"/>
            <w:vAlign w:val="bottom"/>
            <w:tcBorders>
              <w:bottom w:val="single" w:sz="8" w:color="D64000"/>
            </w:tcBorders>
            <w:gridSpan w:val="5"/>
            <w:shd w:val="clear" w:color="auto" w:fill="1F473D"/>
          </w:tcPr>
          <w:p>
            <w:pPr>
              <w:spacing w:after="0"/>
              <w:rPr>
                <w:sz w:val="20"/>
                <w:szCs w:val="20"/>
                <w:color w:val="auto"/>
              </w:rPr>
            </w:pPr>
            <w:r>
              <w:rPr>
                <w:rFonts w:ascii="Arial" w:cs="Arial" w:eastAsia="Arial" w:hAnsi="Arial"/>
                <w:sz w:val="15"/>
                <w:szCs w:val="15"/>
                <w:color w:val="FFFFFF"/>
              </w:rPr>
              <w:t> (millions of U.S. dollars)</w:t>
            </w:r>
          </w:p>
        </w:tc>
        <w:tc>
          <w:tcPr>
            <w:tcW w:w="240" w:type="dxa"/>
            <w:vAlign w:val="bottom"/>
            <w:tcBorders>
              <w:bottom w:val="single" w:sz="8" w:color="D64000"/>
            </w:tcBorders>
            <w:vMerge w:val="continue"/>
            <w:shd w:val="clear" w:color="auto" w:fill="1F473D"/>
          </w:tcPr>
          <w:p>
            <w:pPr>
              <w:spacing w:after="0"/>
              <w:rPr>
                <w:sz w:val="15"/>
                <w:szCs w:val="15"/>
                <w:color w:val="auto"/>
              </w:rPr>
            </w:pPr>
          </w:p>
        </w:tc>
        <w:tc>
          <w:tcPr>
            <w:tcW w:w="140" w:type="dxa"/>
            <w:vAlign w:val="bottom"/>
            <w:tcBorders>
              <w:bottom w:val="single" w:sz="8" w:color="D64000"/>
            </w:tcBorders>
            <w:vMerge w:val="continue"/>
            <w:shd w:val="clear" w:color="auto" w:fill="1F473D"/>
          </w:tcPr>
          <w:p>
            <w:pPr>
              <w:spacing w:after="0"/>
              <w:rPr>
                <w:sz w:val="15"/>
                <w:szCs w:val="15"/>
                <w:color w:val="auto"/>
              </w:rPr>
            </w:pPr>
          </w:p>
        </w:tc>
        <w:tc>
          <w:tcPr>
            <w:tcW w:w="520" w:type="dxa"/>
            <w:vAlign w:val="bottom"/>
            <w:tcBorders>
              <w:bottom w:val="single" w:sz="8" w:color="D64000"/>
            </w:tcBorders>
            <w:vMerge w:val="continue"/>
            <w:shd w:val="clear" w:color="auto" w:fill="1F473D"/>
          </w:tcPr>
          <w:p>
            <w:pPr>
              <w:spacing w:after="0"/>
              <w:rPr>
                <w:sz w:val="15"/>
                <w:szCs w:val="15"/>
                <w:color w:val="auto"/>
              </w:rPr>
            </w:pPr>
          </w:p>
        </w:tc>
        <w:tc>
          <w:tcPr>
            <w:tcW w:w="200" w:type="dxa"/>
            <w:vAlign w:val="bottom"/>
            <w:tcBorders>
              <w:bottom w:val="single" w:sz="8" w:color="D64000"/>
            </w:tcBorders>
            <w:shd w:val="clear" w:color="auto" w:fill="1F473D"/>
          </w:tcPr>
          <w:p>
            <w:pPr>
              <w:ind w:left="100"/>
              <w:spacing w:after="0"/>
              <w:rPr>
                <w:sz w:val="20"/>
                <w:szCs w:val="20"/>
                <w:color w:val="auto"/>
              </w:rPr>
            </w:pPr>
            <w:r>
              <w:rPr>
                <w:rFonts w:ascii="Arial" w:cs="Arial" w:eastAsia="Arial" w:hAnsi="Arial"/>
                <w:sz w:val="11"/>
                <w:szCs w:val="11"/>
                <w:color w:val="FFFFFF"/>
                <w:w w:val="72"/>
              </w:rPr>
              <w:t> </w:t>
            </w:r>
          </w:p>
        </w:tc>
        <w:tc>
          <w:tcPr>
            <w:tcW w:w="140" w:type="dxa"/>
            <w:vAlign w:val="bottom"/>
            <w:tcBorders>
              <w:bottom w:val="single" w:sz="8" w:color="D64000"/>
            </w:tcBorders>
            <w:shd w:val="clear" w:color="auto" w:fill="1F473D"/>
          </w:tcPr>
          <w:p>
            <w:pPr>
              <w:ind w:left="40"/>
              <w:spacing w:after="0"/>
              <w:rPr>
                <w:sz w:val="20"/>
                <w:szCs w:val="20"/>
                <w:color w:val="auto"/>
              </w:rPr>
            </w:pPr>
            <w:r>
              <w:rPr>
                <w:rFonts w:ascii="Arial" w:cs="Arial" w:eastAsia="Arial" w:hAnsi="Arial"/>
                <w:sz w:val="11"/>
                <w:szCs w:val="11"/>
                <w:color w:val="FFFFFF"/>
                <w:w w:val="72"/>
              </w:rPr>
              <w:t> </w:t>
            </w:r>
          </w:p>
        </w:tc>
        <w:tc>
          <w:tcPr>
            <w:tcW w:w="480" w:type="dxa"/>
            <w:vAlign w:val="bottom"/>
            <w:tcBorders>
              <w:bottom w:val="single" w:sz="8" w:color="D64000"/>
            </w:tcBorders>
            <w:shd w:val="clear" w:color="auto" w:fill="1F473D"/>
          </w:tcPr>
          <w:p>
            <w:pPr>
              <w:jc w:val="right"/>
              <w:ind w:right="1"/>
              <w:spacing w:after="0"/>
              <w:rPr>
                <w:sz w:val="20"/>
                <w:szCs w:val="20"/>
                <w:color w:val="auto"/>
              </w:rPr>
            </w:pPr>
            <w:r>
              <w:rPr>
                <w:rFonts w:ascii="Arial" w:cs="Arial" w:eastAsia="Arial" w:hAnsi="Arial"/>
                <w:sz w:val="15"/>
                <w:szCs w:val="15"/>
                <w:color w:val="FFFFFF"/>
              </w:rPr>
              <w:t>2023</w:t>
            </w:r>
          </w:p>
        </w:tc>
        <w:tc>
          <w:tcPr>
            <w:tcW w:w="240" w:type="dxa"/>
            <w:vAlign w:val="bottom"/>
            <w:tcBorders>
              <w:bottom w:val="single" w:sz="8" w:color="D64000"/>
            </w:tcBorders>
            <w:shd w:val="clear" w:color="auto" w:fill="1F473D"/>
          </w:tcPr>
          <w:p>
            <w:pPr>
              <w:ind w:left="140"/>
              <w:spacing w:after="0"/>
              <w:rPr>
                <w:sz w:val="20"/>
                <w:szCs w:val="20"/>
                <w:color w:val="auto"/>
              </w:rPr>
            </w:pPr>
            <w:r>
              <w:rPr>
                <w:rFonts w:ascii="Arial" w:cs="Arial" w:eastAsia="Arial" w:hAnsi="Arial"/>
                <w:sz w:val="11"/>
                <w:szCs w:val="11"/>
                <w:color w:val="FFFFFF"/>
                <w:w w:val="72"/>
              </w:rPr>
              <w:t> </w:t>
            </w:r>
          </w:p>
        </w:tc>
        <w:tc>
          <w:tcPr>
            <w:tcW w:w="120" w:type="dxa"/>
            <w:vAlign w:val="bottom"/>
            <w:tcBorders>
              <w:bottom w:val="single" w:sz="8" w:color="D64000"/>
            </w:tcBorders>
            <w:shd w:val="clear" w:color="auto" w:fill="1F473D"/>
          </w:tcPr>
          <w:p>
            <w:pPr>
              <w:ind w:left="60"/>
              <w:spacing w:after="0"/>
              <w:rPr>
                <w:sz w:val="20"/>
                <w:szCs w:val="20"/>
                <w:color w:val="auto"/>
              </w:rPr>
            </w:pPr>
            <w:r>
              <w:rPr>
                <w:rFonts w:ascii="Arial" w:cs="Arial" w:eastAsia="Arial" w:hAnsi="Arial"/>
                <w:sz w:val="5"/>
                <w:szCs w:val="5"/>
                <w:color w:val="FFFFFF"/>
                <w:w w:val="79"/>
              </w:rPr>
              <w:t> </w:t>
            </w:r>
          </w:p>
        </w:tc>
        <w:tc>
          <w:tcPr>
            <w:tcW w:w="560" w:type="dxa"/>
            <w:vAlign w:val="bottom"/>
            <w:tcBorders>
              <w:bottom w:val="single" w:sz="8" w:color="D64000"/>
            </w:tcBorders>
            <w:shd w:val="clear" w:color="auto" w:fill="1F473D"/>
          </w:tcPr>
          <w:p>
            <w:pPr>
              <w:ind w:left="80"/>
              <w:spacing w:after="0"/>
              <w:rPr>
                <w:sz w:val="20"/>
                <w:szCs w:val="20"/>
                <w:color w:val="auto"/>
              </w:rPr>
            </w:pPr>
            <w:r>
              <w:rPr>
                <w:rFonts w:ascii="Arial" w:cs="Arial" w:eastAsia="Arial" w:hAnsi="Arial"/>
                <w:sz w:val="15"/>
                <w:szCs w:val="15"/>
                <w:color w:val="FFFFFF"/>
              </w:rPr>
              <w:t>Total</w:t>
            </w:r>
          </w:p>
        </w:tc>
        <w:tc>
          <w:tcPr>
            <w:tcW w:w="860" w:type="dxa"/>
            <w:vAlign w:val="bottom"/>
            <w:tcBorders>
              <w:bottom w:val="single" w:sz="8" w:color="D64000"/>
            </w:tcBorders>
            <w:shd w:val="clear" w:color="auto" w:fill="1F473D"/>
          </w:tcPr>
          <w:p>
            <w:pPr>
              <w:jc w:val="center"/>
              <w:spacing w:after="0"/>
              <w:rPr>
                <w:sz w:val="20"/>
                <w:szCs w:val="20"/>
                <w:color w:val="auto"/>
              </w:rPr>
            </w:pPr>
            <w:r>
              <w:rPr>
                <w:rFonts w:ascii="Arial" w:cs="Arial" w:eastAsia="Arial" w:hAnsi="Arial"/>
                <w:sz w:val="15"/>
                <w:szCs w:val="15"/>
                <w:color w:val="FFFFFF"/>
                <w:w w:val="98"/>
              </w:rPr>
              <w:t>Currency</w:t>
            </w:r>
          </w:p>
        </w:tc>
        <w:tc>
          <w:tcPr>
            <w:tcW w:w="880" w:type="dxa"/>
            <w:vAlign w:val="bottom"/>
            <w:tcBorders>
              <w:bottom w:val="single" w:sz="8" w:color="D64000"/>
            </w:tcBorders>
            <w:shd w:val="clear" w:color="auto" w:fill="1F473D"/>
          </w:tcPr>
          <w:p>
            <w:pPr>
              <w:jc w:val="center"/>
              <w:ind w:right="1"/>
              <w:spacing w:after="0"/>
              <w:rPr>
                <w:sz w:val="20"/>
                <w:szCs w:val="20"/>
                <w:color w:val="auto"/>
              </w:rPr>
            </w:pPr>
            <w:r>
              <w:rPr>
                <w:rFonts w:ascii="Arial" w:cs="Arial" w:eastAsia="Arial" w:hAnsi="Arial"/>
                <w:sz w:val="15"/>
                <w:szCs w:val="15"/>
                <w:color w:val="FFFFFF"/>
                <w:w w:val="98"/>
              </w:rPr>
              <w:t>Currency</w:t>
            </w:r>
          </w:p>
        </w:tc>
        <w:tc>
          <w:tcPr>
            <w:tcW w:w="980" w:type="dxa"/>
            <w:vAlign w:val="bottom"/>
            <w:tcBorders>
              <w:bottom w:val="single" w:sz="8" w:color="D64000"/>
            </w:tcBorders>
            <w:shd w:val="clear" w:color="auto" w:fill="1F473D"/>
          </w:tcPr>
          <w:p>
            <w:pPr>
              <w:jc w:val="center"/>
              <w:ind w:right="1"/>
              <w:spacing w:after="0"/>
              <w:rPr>
                <w:sz w:val="20"/>
                <w:szCs w:val="20"/>
                <w:color w:val="auto"/>
              </w:rPr>
            </w:pPr>
            <w:r>
              <w:rPr>
                <w:rFonts w:ascii="Arial" w:cs="Arial" w:eastAsia="Arial" w:hAnsi="Arial"/>
                <w:sz w:val="15"/>
                <w:szCs w:val="15"/>
                <w:color w:val="FFFFFF"/>
                <w:w w:val="99"/>
              </w:rPr>
              <w:t>Divestitures</w:t>
            </w:r>
          </w:p>
        </w:tc>
        <w:tc>
          <w:tcPr>
            <w:tcW w:w="800" w:type="dxa"/>
            <w:vAlign w:val="bottom"/>
            <w:tcBorders>
              <w:bottom w:val="single" w:sz="8" w:color="D64000"/>
            </w:tcBorders>
            <w:shd w:val="clear" w:color="auto" w:fill="1F473D"/>
          </w:tcPr>
          <w:p>
            <w:pPr>
              <w:jc w:val="right"/>
              <w:ind w:right="81"/>
              <w:spacing w:after="0"/>
              <w:rPr>
                <w:sz w:val="20"/>
                <w:szCs w:val="20"/>
                <w:color w:val="auto"/>
              </w:rPr>
            </w:pPr>
            <w:r>
              <w:rPr>
                <w:rFonts w:ascii="Arial" w:cs="Arial" w:eastAsia="Arial" w:hAnsi="Arial"/>
                <w:sz w:val="15"/>
                <w:szCs w:val="15"/>
                <w:color w:val="FFFFFF"/>
              </w:rPr>
              <w:t>Organic</w:t>
            </w:r>
          </w:p>
        </w:tc>
        <w:tc>
          <w:tcPr>
            <w:tcW w:w="0" w:type="dxa"/>
            <w:vAlign w:val="bottom"/>
          </w:tcPr>
          <w:p>
            <w:pPr>
              <w:spacing w:after="0"/>
              <w:rPr>
                <w:sz w:val="1"/>
                <w:szCs w:val="1"/>
                <w:color w:val="auto"/>
              </w:rPr>
            </w:pPr>
          </w:p>
        </w:tc>
      </w:tr>
      <w:tr>
        <w:trPr>
          <w:trHeight w:val="172"/>
        </w:trPr>
        <w:tc>
          <w:tcPr>
            <w:tcW w:w="3560" w:type="dxa"/>
            <w:vAlign w:val="bottom"/>
            <w:gridSpan w:val="5"/>
          </w:tcPr>
          <w:p>
            <w:pPr>
              <w:spacing w:after="0" w:line="172" w:lineRule="exact"/>
              <w:rPr>
                <w:sz w:val="20"/>
                <w:szCs w:val="20"/>
                <w:color w:val="auto"/>
              </w:rPr>
            </w:pPr>
            <w:r>
              <w:rPr>
                <w:rFonts w:ascii="Arial" w:cs="Arial" w:eastAsia="Arial" w:hAnsi="Arial"/>
                <w:sz w:val="16"/>
                <w:szCs w:val="16"/>
                <w:b w:val="1"/>
                <w:bCs w:val="1"/>
                <w:color w:val="auto"/>
              </w:rPr>
              <w:t> Revenues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2,922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540" w:type="dxa"/>
            <w:vAlign w:val="bottom"/>
            <w:gridSpan w:val="4"/>
          </w:tcPr>
          <w:p>
            <w:pPr>
              <w:ind w:left="140"/>
              <w:spacing w:after="0"/>
              <w:rPr>
                <w:sz w:val="20"/>
                <w:szCs w:val="20"/>
                <w:color w:val="auto"/>
              </w:rPr>
            </w:pPr>
            <w:r>
              <w:rPr>
                <w:rFonts w:ascii="Arial" w:cs="Arial" w:eastAsia="Arial" w:hAnsi="Arial"/>
                <w:sz w:val="16"/>
                <w:szCs w:val="16"/>
                <w:b w:val="1"/>
                <w:bCs w:val="1"/>
                <w:color w:val="auto"/>
              </w:rPr>
              <w:t> Legal Professionals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2,807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8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40" w:type="dxa"/>
            <w:vAlign w:val="bottom"/>
            <w:gridSpan w:val="4"/>
          </w:tcPr>
          <w:p>
            <w:pPr>
              <w:ind w:left="140"/>
              <w:spacing w:after="0"/>
              <w:rPr>
                <w:sz w:val="20"/>
                <w:szCs w:val="20"/>
                <w:color w:val="auto"/>
              </w:rPr>
            </w:pPr>
            <w:r>
              <w:rPr>
                <w:rFonts w:ascii="Arial" w:cs="Arial" w:eastAsia="Arial" w:hAnsi="Arial"/>
                <w:sz w:val="16"/>
                <w:szCs w:val="16"/>
                <w:b w:val="1"/>
                <w:bCs w:val="1"/>
                <w:color w:val="auto"/>
              </w:rPr>
              <w:t> Corporates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1,844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1,620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14%</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14%</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0"/>
        </w:trPr>
        <w:tc>
          <w:tcPr>
            <w:tcW w:w="20" w:type="dxa"/>
            <w:vAlign w:val="bottom"/>
            <w:tcBorders>
              <w:bottom w:val="single" w:sz="8" w:color="B2B2B2"/>
            </w:tcBorders>
          </w:tcPr>
          <w:p>
            <w:pPr>
              <w:spacing w:after="0"/>
              <w:rPr>
                <w:sz w:val="17"/>
                <w:szCs w:val="17"/>
                <w:color w:val="auto"/>
              </w:rPr>
            </w:pPr>
          </w:p>
        </w:tc>
        <w:tc>
          <w:tcPr>
            <w:tcW w:w="3540" w:type="dxa"/>
            <w:vAlign w:val="bottom"/>
            <w:tcBorders>
              <w:bottom w:val="single" w:sz="8" w:color="B2B2B2"/>
            </w:tcBorders>
            <w:gridSpan w:val="4"/>
          </w:tcPr>
          <w:p>
            <w:pPr>
              <w:ind w:left="140"/>
              <w:spacing w:after="0"/>
              <w:rPr>
                <w:sz w:val="20"/>
                <w:szCs w:val="20"/>
                <w:color w:val="auto"/>
              </w:rPr>
            </w:pPr>
            <w:r>
              <w:rPr>
                <w:rFonts w:ascii="Arial" w:cs="Arial" w:eastAsia="Arial" w:hAnsi="Arial"/>
                <w:sz w:val="16"/>
                <w:szCs w:val="16"/>
                <w:b w:val="1"/>
                <w:bCs w:val="1"/>
                <w:color w:val="auto"/>
              </w:rPr>
              <w:t> Tax &amp; Accounting Professionals</w:t>
            </w:r>
          </w:p>
        </w:tc>
        <w:tc>
          <w:tcPr>
            <w:tcW w:w="24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52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1,165</w:t>
            </w:r>
          </w:p>
        </w:tc>
        <w:tc>
          <w:tcPr>
            <w:tcW w:w="20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1,058</w:t>
            </w:r>
          </w:p>
        </w:tc>
        <w:tc>
          <w:tcPr>
            <w:tcW w:w="240" w:type="dxa"/>
            <w:vAlign w:val="bottom"/>
            <w:tcBorders>
              <w:bottom w:val="single" w:sz="8" w:color="B2B2B2"/>
            </w:tcBorders>
          </w:tcPr>
          <w:p>
            <w:pPr>
              <w:spacing w:after="0"/>
              <w:rPr>
                <w:sz w:val="17"/>
                <w:szCs w:val="17"/>
                <w:color w:val="auto"/>
              </w:rPr>
            </w:pPr>
          </w:p>
        </w:tc>
        <w:tc>
          <w:tcPr>
            <w:tcW w:w="120" w:type="dxa"/>
            <w:vAlign w:val="bottom"/>
            <w:tcBorders>
              <w:bottom w:val="single" w:sz="8" w:color="B2B2B2"/>
            </w:tcBorders>
          </w:tcPr>
          <w:p>
            <w:pPr>
              <w:spacing w:after="0"/>
              <w:rPr>
                <w:sz w:val="17"/>
                <w:szCs w:val="17"/>
                <w:color w:val="auto"/>
              </w:rPr>
            </w:pPr>
          </w:p>
        </w:tc>
        <w:tc>
          <w:tcPr>
            <w:tcW w:w="5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10%</w:t>
            </w:r>
          </w:p>
        </w:tc>
        <w:tc>
          <w:tcPr>
            <w:tcW w:w="8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(1%)</w:t>
            </w:r>
          </w:p>
        </w:tc>
        <w:tc>
          <w:tcPr>
            <w:tcW w:w="88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11%</w:t>
            </w:r>
          </w:p>
        </w:tc>
        <w:tc>
          <w:tcPr>
            <w:tcW w:w="98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1%</w:t>
            </w: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1"/>
        </w:trPr>
        <w:tc>
          <w:tcPr>
            <w:tcW w:w="3560" w:type="dxa"/>
            <w:vAlign w:val="bottom"/>
            <w:gridSpan w:val="5"/>
          </w:tcPr>
          <w:p>
            <w:pPr>
              <w:spacing w:after="0"/>
              <w:rPr>
                <w:sz w:val="20"/>
                <w:szCs w:val="20"/>
                <w:color w:val="auto"/>
              </w:rPr>
            </w:pPr>
            <w:r>
              <w:rPr>
                <w:rFonts w:ascii="Arial" w:cs="Arial" w:eastAsia="Arial" w:hAnsi="Arial"/>
                <w:sz w:val="16"/>
                <w:szCs w:val="16"/>
                <w:b w:val="1"/>
                <w:bCs w:val="1"/>
                <w:color w:val="auto"/>
              </w:rPr>
              <w:t> “Big 3” Segments Combined</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5,931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5,485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8%</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40" w:type="dxa"/>
            <w:vAlign w:val="bottom"/>
            <w:gridSpan w:val="4"/>
          </w:tcPr>
          <w:p>
            <w:pPr>
              <w:ind w:left="140"/>
              <w:spacing w:after="0"/>
              <w:rPr>
                <w:sz w:val="20"/>
                <w:szCs w:val="20"/>
                <w:color w:val="auto"/>
              </w:rPr>
            </w:pPr>
            <w:r>
              <w:rPr>
                <w:rFonts w:ascii="Arial" w:cs="Arial" w:eastAsia="Arial" w:hAnsi="Arial"/>
                <w:sz w:val="16"/>
                <w:szCs w:val="16"/>
                <w:b w:val="1"/>
                <w:bCs w:val="1"/>
                <w:color w:val="auto"/>
              </w:rPr>
              <w:t> Reuters News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832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769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8%</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40" w:type="dxa"/>
            <w:vAlign w:val="bottom"/>
            <w:gridSpan w:val="4"/>
          </w:tcPr>
          <w:p>
            <w:pPr>
              <w:ind w:left="140"/>
              <w:spacing w:after="0"/>
              <w:rPr>
                <w:sz w:val="20"/>
                <w:szCs w:val="20"/>
                <w:color w:val="auto"/>
              </w:rPr>
            </w:pPr>
            <w:r>
              <w:rPr>
                <w:rFonts w:ascii="Arial" w:cs="Arial" w:eastAsia="Arial" w:hAnsi="Arial"/>
                <w:sz w:val="16"/>
                <w:szCs w:val="16"/>
                <w:b w:val="1"/>
                <w:bCs w:val="1"/>
                <w:color w:val="auto"/>
              </w:rPr>
              <w:t> Global Print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519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562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(8%)</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(7%)</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0"/>
        </w:trPr>
        <w:tc>
          <w:tcPr>
            <w:tcW w:w="20" w:type="dxa"/>
            <w:vAlign w:val="bottom"/>
            <w:tcBorders>
              <w:bottom w:val="single" w:sz="8" w:color="B2B2B2"/>
            </w:tcBorders>
          </w:tcPr>
          <w:p>
            <w:pPr>
              <w:spacing w:after="0"/>
              <w:rPr>
                <w:sz w:val="17"/>
                <w:szCs w:val="17"/>
                <w:color w:val="auto"/>
              </w:rPr>
            </w:pPr>
          </w:p>
        </w:tc>
        <w:tc>
          <w:tcPr>
            <w:tcW w:w="3540" w:type="dxa"/>
            <w:vAlign w:val="bottom"/>
            <w:tcBorders>
              <w:bottom w:val="single" w:sz="8" w:color="B2B2B2"/>
            </w:tcBorders>
            <w:gridSpan w:val="4"/>
          </w:tcPr>
          <w:p>
            <w:pPr>
              <w:ind w:left="140"/>
              <w:spacing w:after="0"/>
              <w:rPr>
                <w:sz w:val="20"/>
                <w:szCs w:val="20"/>
                <w:color w:val="auto"/>
              </w:rPr>
            </w:pPr>
            <w:r>
              <w:rPr>
                <w:rFonts w:ascii="Arial" w:cs="Arial" w:eastAsia="Arial" w:hAnsi="Arial"/>
                <w:sz w:val="16"/>
                <w:szCs w:val="16"/>
                <w:b w:val="1"/>
                <w:bCs w:val="1"/>
                <w:color w:val="auto"/>
              </w:rPr>
              <w:t> Eliminations/Rounding</w:t>
            </w:r>
          </w:p>
        </w:tc>
        <w:tc>
          <w:tcPr>
            <w:tcW w:w="24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52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(24)</w:t>
            </w:r>
          </w:p>
        </w:tc>
        <w:tc>
          <w:tcPr>
            <w:tcW w:w="20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(22)</w:t>
            </w:r>
          </w:p>
        </w:tc>
        <w:tc>
          <w:tcPr>
            <w:tcW w:w="240" w:type="dxa"/>
            <w:vAlign w:val="bottom"/>
            <w:tcBorders>
              <w:bottom w:val="single" w:sz="8" w:color="B2B2B2"/>
            </w:tcBorders>
          </w:tcPr>
          <w:p>
            <w:pPr>
              <w:spacing w:after="0"/>
              <w:rPr>
                <w:sz w:val="17"/>
                <w:szCs w:val="17"/>
                <w:color w:val="auto"/>
              </w:rPr>
            </w:pPr>
          </w:p>
        </w:tc>
        <w:tc>
          <w:tcPr>
            <w:tcW w:w="120" w:type="dxa"/>
            <w:vAlign w:val="bottom"/>
            <w:tcBorders>
              <w:bottom w:val="single" w:sz="8" w:color="B2B2B2"/>
            </w:tcBorders>
          </w:tcPr>
          <w:p>
            <w:pPr>
              <w:spacing w:after="0"/>
              <w:rPr>
                <w:sz w:val="17"/>
                <w:szCs w:val="17"/>
                <w:color w:val="auto"/>
              </w:rPr>
            </w:pPr>
          </w:p>
        </w:tc>
        <w:tc>
          <w:tcPr>
            <w:tcW w:w="560" w:type="dxa"/>
            <w:vAlign w:val="bottom"/>
            <w:tcBorders>
              <w:bottom w:val="single" w:sz="8" w:color="B2B2B2"/>
            </w:tcBorders>
          </w:tcPr>
          <w:p>
            <w:pPr>
              <w:spacing w:after="0"/>
              <w:rPr>
                <w:sz w:val="17"/>
                <w:szCs w:val="17"/>
                <w:color w:val="auto"/>
              </w:rPr>
            </w:pPr>
          </w:p>
        </w:tc>
        <w:tc>
          <w:tcPr>
            <w:tcW w:w="860" w:type="dxa"/>
            <w:vAlign w:val="bottom"/>
            <w:tcBorders>
              <w:bottom w:val="single" w:sz="8" w:color="B2B2B2"/>
            </w:tcBorders>
          </w:tcPr>
          <w:p>
            <w:pPr>
              <w:spacing w:after="0"/>
              <w:rPr>
                <w:sz w:val="17"/>
                <w:szCs w:val="17"/>
                <w:color w:val="auto"/>
              </w:rPr>
            </w:pPr>
          </w:p>
        </w:tc>
        <w:tc>
          <w:tcPr>
            <w:tcW w:w="880" w:type="dxa"/>
            <w:vAlign w:val="bottom"/>
            <w:tcBorders>
              <w:bottom w:val="single" w:sz="8" w:color="B2B2B2"/>
            </w:tcBorders>
          </w:tcPr>
          <w:p>
            <w:pPr>
              <w:spacing w:after="0"/>
              <w:rPr>
                <w:sz w:val="17"/>
                <w:szCs w:val="17"/>
                <w:color w:val="auto"/>
              </w:rPr>
            </w:pPr>
          </w:p>
        </w:tc>
        <w:tc>
          <w:tcPr>
            <w:tcW w:w="980" w:type="dxa"/>
            <w:vAlign w:val="bottom"/>
            <w:tcBorders>
              <w:bottom w:val="single" w:sz="8" w:color="B2B2B2"/>
            </w:tcBorders>
          </w:tcPr>
          <w:p>
            <w:pPr>
              <w:spacing w:after="0"/>
              <w:rPr>
                <w:sz w:val="17"/>
                <w:szCs w:val="17"/>
                <w:color w:val="auto"/>
              </w:rPr>
            </w:pPr>
          </w:p>
        </w:tc>
        <w:tc>
          <w:tcPr>
            <w:tcW w:w="800" w:type="dxa"/>
            <w:vAlign w:val="bottom"/>
            <w:tcBorders>
              <w:bottom w:val="single" w:sz="8" w:color="B2B2B2"/>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560" w:type="dxa"/>
            <w:vAlign w:val="bottom"/>
            <w:tcBorders>
              <w:bottom w:val="single" w:sz="8" w:color="B2B2B2"/>
            </w:tcBorders>
            <w:gridSpan w:val="5"/>
          </w:tcPr>
          <w:p>
            <w:pPr>
              <w:spacing w:after="0"/>
              <w:rPr>
                <w:sz w:val="20"/>
                <w:szCs w:val="20"/>
                <w:color w:val="auto"/>
              </w:rPr>
            </w:pPr>
            <w:r>
              <w:rPr>
                <w:rFonts w:ascii="Arial" w:cs="Arial" w:eastAsia="Arial" w:hAnsi="Arial"/>
                <w:sz w:val="16"/>
                <w:szCs w:val="16"/>
                <w:b w:val="1"/>
                <w:bCs w:val="1"/>
                <w:color w:val="auto"/>
              </w:rPr>
              <w:t> Total revenues</w:t>
            </w:r>
          </w:p>
        </w:tc>
        <w:tc>
          <w:tcPr>
            <w:tcW w:w="240" w:type="dxa"/>
            <w:vAlign w:val="bottom"/>
            <w:tcBorders>
              <w:bottom w:val="single" w:sz="8" w:color="B2B2B2"/>
            </w:tcBorders>
          </w:tcPr>
          <w:p>
            <w:pPr>
              <w:spacing w:after="0"/>
              <w:rPr>
                <w:sz w:val="16"/>
                <w:szCs w:val="16"/>
                <w:color w:val="auto"/>
              </w:rPr>
            </w:pPr>
          </w:p>
        </w:tc>
        <w:tc>
          <w:tcPr>
            <w:tcW w:w="140" w:type="dxa"/>
            <w:vAlign w:val="bottom"/>
            <w:tcBorders>
              <w:bottom w:val="single" w:sz="8" w:color="B2B2B2"/>
            </w:tcBorders>
          </w:tcPr>
          <w:p>
            <w:pPr>
              <w:spacing w:after="0"/>
              <w:rPr>
                <w:sz w:val="16"/>
                <w:szCs w:val="16"/>
                <w:color w:val="auto"/>
              </w:rPr>
            </w:pPr>
          </w:p>
        </w:tc>
        <w:tc>
          <w:tcPr>
            <w:tcW w:w="52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7,258</w:t>
            </w:r>
          </w:p>
        </w:tc>
        <w:tc>
          <w:tcPr>
            <w:tcW w:w="200" w:type="dxa"/>
            <w:vAlign w:val="bottom"/>
            <w:tcBorders>
              <w:bottom w:val="single" w:sz="8" w:color="B2B2B2"/>
            </w:tcBorders>
          </w:tcPr>
          <w:p>
            <w:pPr>
              <w:spacing w:after="0"/>
              <w:rPr>
                <w:sz w:val="16"/>
                <w:szCs w:val="16"/>
                <w:color w:val="auto"/>
              </w:rPr>
            </w:pPr>
          </w:p>
        </w:tc>
        <w:tc>
          <w:tcPr>
            <w:tcW w:w="140" w:type="dxa"/>
            <w:vAlign w:val="bottom"/>
            <w:tcBorders>
              <w:bottom w:val="single" w:sz="8" w:color="B2B2B2"/>
            </w:tcBorders>
          </w:tcPr>
          <w:p>
            <w:pPr>
              <w:spacing w:after="0"/>
              <w:rPr>
                <w:sz w:val="16"/>
                <w:szCs w:val="16"/>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6,794</w:t>
            </w:r>
          </w:p>
        </w:tc>
        <w:tc>
          <w:tcPr>
            <w:tcW w:w="240" w:type="dxa"/>
            <w:vAlign w:val="bottom"/>
            <w:tcBorders>
              <w:bottom w:val="single" w:sz="8" w:color="B2B2B2"/>
            </w:tcBorders>
          </w:tcPr>
          <w:p>
            <w:pPr>
              <w:spacing w:after="0"/>
              <w:rPr>
                <w:sz w:val="16"/>
                <w:szCs w:val="16"/>
                <w:color w:val="auto"/>
              </w:rPr>
            </w:pPr>
          </w:p>
        </w:tc>
        <w:tc>
          <w:tcPr>
            <w:tcW w:w="120" w:type="dxa"/>
            <w:vAlign w:val="bottom"/>
            <w:tcBorders>
              <w:bottom w:val="single" w:sz="8" w:color="B2B2B2"/>
            </w:tcBorders>
          </w:tcPr>
          <w:p>
            <w:pPr>
              <w:spacing w:after="0"/>
              <w:rPr>
                <w:sz w:val="16"/>
                <w:szCs w:val="16"/>
                <w:color w:val="auto"/>
              </w:rPr>
            </w:pPr>
          </w:p>
        </w:tc>
        <w:tc>
          <w:tcPr>
            <w:tcW w:w="5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7%</w:t>
            </w:r>
          </w:p>
        </w:tc>
        <w:tc>
          <w:tcPr>
            <w:tcW w:w="8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7%</w:t>
            </w:r>
          </w:p>
        </w:tc>
        <w:tc>
          <w:tcPr>
            <w:tcW w:w="98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5"/>
        </w:trPr>
        <w:tc>
          <w:tcPr>
            <w:tcW w:w="3560" w:type="dxa"/>
            <w:vAlign w:val="bottom"/>
            <w:gridSpan w:val="5"/>
          </w:tcPr>
          <w:p>
            <w:pPr>
              <w:spacing w:after="0" w:line="165" w:lineRule="exact"/>
              <w:rPr>
                <w:sz w:val="20"/>
                <w:szCs w:val="20"/>
                <w:color w:val="auto"/>
              </w:rPr>
            </w:pPr>
            <w:r>
              <w:rPr>
                <w:rFonts w:ascii="Arial" w:cs="Arial" w:eastAsia="Arial" w:hAnsi="Arial"/>
                <w:sz w:val="16"/>
                <w:szCs w:val="16"/>
                <w:b w:val="1"/>
                <w:bCs w:val="1"/>
                <w:color w:val="auto"/>
              </w:rPr>
              <w:t> Recurring Revenues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2,828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540" w:type="dxa"/>
            <w:vAlign w:val="bottom"/>
            <w:gridSpan w:val="4"/>
          </w:tcPr>
          <w:p>
            <w:pPr>
              <w:ind w:left="140"/>
              <w:spacing w:after="0"/>
              <w:rPr>
                <w:sz w:val="20"/>
                <w:szCs w:val="20"/>
                <w:color w:val="auto"/>
              </w:rPr>
            </w:pPr>
            <w:r>
              <w:rPr>
                <w:rFonts w:ascii="Arial" w:cs="Arial" w:eastAsia="Arial" w:hAnsi="Arial"/>
                <w:sz w:val="16"/>
                <w:szCs w:val="16"/>
                <w:b w:val="1"/>
                <w:bCs w:val="1"/>
                <w:color w:val="auto"/>
              </w:rPr>
              <w:t> Legal Professionals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2,674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6%</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6%</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8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40" w:type="dxa"/>
            <w:vAlign w:val="bottom"/>
            <w:gridSpan w:val="4"/>
          </w:tcPr>
          <w:p>
            <w:pPr>
              <w:ind w:left="140"/>
              <w:spacing w:after="0"/>
              <w:rPr>
                <w:sz w:val="20"/>
                <w:szCs w:val="20"/>
                <w:color w:val="auto"/>
              </w:rPr>
            </w:pPr>
            <w:r>
              <w:rPr>
                <w:rFonts w:ascii="Arial" w:cs="Arial" w:eastAsia="Arial" w:hAnsi="Arial"/>
                <w:sz w:val="16"/>
                <w:szCs w:val="16"/>
                <w:b w:val="1"/>
                <w:bCs w:val="1"/>
                <w:color w:val="auto"/>
              </w:rPr>
              <w:t> Corporates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1,543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1,373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12%</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13%</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0"/>
        </w:trPr>
        <w:tc>
          <w:tcPr>
            <w:tcW w:w="20" w:type="dxa"/>
            <w:vAlign w:val="bottom"/>
            <w:tcBorders>
              <w:bottom w:val="single" w:sz="8" w:color="B2B2B2"/>
            </w:tcBorders>
          </w:tcPr>
          <w:p>
            <w:pPr>
              <w:spacing w:after="0"/>
              <w:rPr>
                <w:sz w:val="17"/>
                <w:szCs w:val="17"/>
                <w:color w:val="auto"/>
              </w:rPr>
            </w:pPr>
          </w:p>
        </w:tc>
        <w:tc>
          <w:tcPr>
            <w:tcW w:w="3540" w:type="dxa"/>
            <w:vAlign w:val="bottom"/>
            <w:tcBorders>
              <w:bottom w:val="single" w:sz="8" w:color="B2B2B2"/>
            </w:tcBorders>
            <w:gridSpan w:val="4"/>
          </w:tcPr>
          <w:p>
            <w:pPr>
              <w:ind w:left="140"/>
              <w:spacing w:after="0"/>
              <w:rPr>
                <w:sz w:val="20"/>
                <w:szCs w:val="20"/>
                <w:color w:val="auto"/>
              </w:rPr>
            </w:pPr>
            <w:r>
              <w:rPr>
                <w:rFonts w:ascii="Arial" w:cs="Arial" w:eastAsia="Arial" w:hAnsi="Arial"/>
                <w:sz w:val="16"/>
                <w:szCs w:val="16"/>
                <w:b w:val="1"/>
                <w:bCs w:val="1"/>
                <w:color w:val="auto"/>
              </w:rPr>
              <w:t> Tax &amp; Accounting Professionals</w:t>
            </w:r>
          </w:p>
        </w:tc>
        <w:tc>
          <w:tcPr>
            <w:tcW w:w="24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52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867</w:t>
            </w:r>
          </w:p>
        </w:tc>
        <w:tc>
          <w:tcPr>
            <w:tcW w:w="20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808</w:t>
            </w:r>
          </w:p>
        </w:tc>
        <w:tc>
          <w:tcPr>
            <w:tcW w:w="240" w:type="dxa"/>
            <w:vAlign w:val="bottom"/>
            <w:tcBorders>
              <w:bottom w:val="single" w:sz="8" w:color="B2B2B2"/>
            </w:tcBorders>
          </w:tcPr>
          <w:p>
            <w:pPr>
              <w:spacing w:after="0"/>
              <w:rPr>
                <w:sz w:val="17"/>
                <w:szCs w:val="17"/>
                <w:color w:val="auto"/>
              </w:rPr>
            </w:pPr>
          </w:p>
        </w:tc>
        <w:tc>
          <w:tcPr>
            <w:tcW w:w="120" w:type="dxa"/>
            <w:vAlign w:val="bottom"/>
            <w:tcBorders>
              <w:bottom w:val="single" w:sz="8" w:color="B2B2B2"/>
            </w:tcBorders>
          </w:tcPr>
          <w:p>
            <w:pPr>
              <w:spacing w:after="0"/>
              <w:rPr>
                <w:sz w:val="17"/>
                <w:szCs w:val="17"/>
                <w:color w:val="auto"/>
              </w:rPr>
            </w:pPr>
          </w:p>
        </w:tc>
        <w:tc>
          <w:tcPr>
            <w:tcW w:w="5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7%</w:t>
            </w:r>
          </w:p>
        </w:tc>
        <w:tc>
          <w:tcPr>
            <w:tcW w:w="8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(2%)</w:t>
            </w:r>
          </w:p>
        </w:tc>
        <w:tc>
          <w:tcPr>
            <w:tcW w:w="88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9%</w:t>
            </w:r>
          </w:p>
        </w:tc>
        <w:tc>
          <w:tcPr>
            <w:tcW w:w="98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1"/>
        </w:trPr>
        <w:tc>
          <w:tcPr>
            <w:tcW w:w="3560" w:type="dxa"/>
            <w:vAlign w:val="bottom"/>
            <w:gridSpan w:val="5"/>
          </w:tcPr>
          <w:p>
            <w:pPr>
              <w:spacing w:after="0"/>
              <w:rPr>
                <w:sz w:val="20"/>
                <w:szCs w:val="20"/>
                <w:color w:val="auto"/>
              </w:rPr>
            </w:pPr>
            <w:r>
              <w:rPr>
                <w:rFonts w:ascii="Arial" w:cs="Arial" w:eastAsia="Arial" w:hAnsi="Arial"/>
                <w:sz w:val="16"/>
                <w:szCs w:val="16"/>
                <w:b w:val="1"/>
                <w:bCs w:val="1"/>
                <w:color w:val="auto"/>
              </w:rPr>
              <w:t> “Big 3” Segments Combined</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5,238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4,855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8%</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40" w:type="dxa"/>
            <w:vAlign w:val="bottom"/>
            <w:gridSpan w:val="4"/>
          </w:tcPr>
          <w:p>
            <w:pPr>
              <w:ind w:left="140"/>
              <w:spacing w:after="0"/>
              <w:rPr>
                <w:sz w:val="20"/>
                <w:szCs w:val="20"/>
                <w:color w:val="auto"/>
              </w:rPr>
            </w:pPr>
            <w:r>
              <w:rPr>
                <w:rFonts w:ascii="Arial" w:cs="Arial" w:eastAsia="Arial" w:hAnsi="Arial"/>
                <w:sz w:val="16"/>
                <w:szCs w:val="16"/>
                <w:b w:val="1"/>
                <w:bCs w:val="1"/>
                <w:color w:val="auto"/>
              </w:rPr>
              <w:t> Reuters News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668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625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7%</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7%</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0"/>
        </w:trPr>
        <w:tc>
          <w:tcPr>
            <w:tcW w:w="20" w:type="dxa"/>
            <w:vAlign w:val="bottom"/>
            <w:tcBorders>
              <w:bottom w:val="single" w:sz="8" w:color="B2B2B2"/>
            </w:tcBorders>
          </w:tcPr>
          <w:p>
            <w:pPr>
              <w:spacing w:after="0"/>
              <w:rPr>
                <w:sz w:val="17"/>
                <w:szCs w:val="17"/>
                <w:color w:val="auto"/>
              </w:rPr>
            </w:pPr>
          </w:p>
        </w:tc>
        <w:tc>
          <w:tcPr>
            <w:tcW w:w="3540" w:type="dxa"/>
            <w:vAlign w:val="bottom"/>
            <w:tcBorders>
              <w:bottom w:val="single" w:sz="8" w:color="B2B2B2"/>
            </w:tcBorders>
            <w:gridSpan w:val="4"/>
          </w:tcPr>
          <w:p>
            <w:pPr>
              <w:ind w:left="140"/>
              <w:spacing w:after="0"/>
              <w:rPr>
                <w:sz w:val="20"/>
                <w:szCs w:val="20"/>
                <w:color w:val="auto"/>
              </w:rPr>
            </w:pPr>
            <w:r>
              <w:rPr>
                <w:rFonts w:ascii="Arial" w:cs="Arial" w:eastAsia="Arial" w:hAnsi="Arial"/>
                <w:sz w:val="16"/>
                <w:szCs w:val="16"/>
                <w:b w:val="1"/>
                <w:bCs w:val="1"/>
                <w:color w:val="auto"/>
              </w:rPr>
              <w:t> Eliminations/Rounding</w:t>
            </w:r>
          </w:p>
        </w:tc>
        <w:tc>
          <w:tcPr>
            <w:tcW w:w="24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52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(24)</w:t>
            </w:r>
          </w:p>
        </w:tc>
        <w:tc>
          <w:tcPr>
            <w:tcW w:w="20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(22)</w:t>
            </w:r>
          </w:p>
        </w:tc>
        <w:tc>
          <w:tcPr>
            <w:tcW w:w="240" w:type="dxa"/>
            <w:vAlign w:val="bottom"/>
            <w:tcBorders>
              <w:bottom w:val="single" w:sz="8" w:color="B2B2B2"/>
            </w:tcBorders>
          </w:tcPr>
          <w:p>
            <w:pPr>
              <w:spacing w:after="0"/>
              <w:rPr>
                <w:sz w:val="17"/>
                <w:szCs w:val="17"/>
                <w:color w:val="auto"/>
              </w:rPr>
            </w:pPr>
          </w:p>
        </w:tc>
        <w:tc>
          <w:tcPr>
            <w:tcW w:w="120" w:type="dxa"/>
            <w:vAlign w:val="bottom"/>
            <w:tcBorders>
              <w:bottom w:val="single" w:sz="8" w:color="B2B2B2"/>
            </w:tcBorders>
          </w:tcPr>
          <w:p>
            <w:pPr>
              <w:spacing w:after="0"/>
              <w:rPr>
                <w:sz w:val="17"/>
                <w:szCs w:val="17"/>
                <w:color w:val="auto"/>
              </w:rPr>
            </w:pPr>
          </w:p>
        </w:tc>
        <w:tc>
          <w:tcPr>
            <w:tcW w:w="560" w:type="dxa"/>
            <w:vAlign w:val="bottom"/>
            <w:tcBorders>
              <w:bottom w:val="single" w:sz="8" w:color="B2B2B2"/>
            </w:tcBorders>
          </w:tcPr>
          <w:p>
            <w:pPr>
              <w:spacing w:after="0"/>
              <w:rPr>
                <w:sz w:val="17"/>
                <w:szCs w:val="17"/>
                <w:color w:val="auto"/>
              </w:rPr>
            </w:pPr>
          </w:p>
        </w:tc>
        <w:tc>
          <w:tcPr>
            <w:tcW w:w="860" w:type="dxa"/>
            <w:vAlign w:val="bottom"/>
            <w:tcBorders>
              <w:bottom w:val="single" w:sz="8" w:color="B2B2B2"/>
            </w:tcBorders>
          </w:tcPr>
          <w:p>
            <w:pPr>
              <w:spacing w:after="0"/>
              <w:rPr>
                <w:sz w:val="17"/>
                <w:szCs w:val="17"/>
                <w:color w:val="auto"/>
              </w:rPr>
            </w:pPr>
          </w:p>
        </w:tc>
        <w:tc>
          <w:tcPr>
            <w:tcW w:w="880" w:type="dxa"/>
            <w:vAlign w:val="bottom"/>
            <w:tcBorders>
              <w:bottom w:val="single" w:sz="8" w:color="B2B2B2"/>
            </w:tcBorders>
          </w:tcPr>
          <w:p>
            <w:pPr>
              <w:spacing w:after="0"/>
              <w:rPr>
                <w:sz w:val="17"/>
                <w:szCs w:val="17"/>
                <w:color w:val="auto"/>
              </w:rPr>
            </w:pPr>
          </w:p>
        </w:tc>
        <w:tc>
          <w:tcPr>
            <w:tcW w:w="980" w:type="dxa"/>
            <w:vAlign w:val="bottom"/>
            <w:tcBorders>
              <w:bottom w:val="single" w:sz="8" w:color="B2B2B2"/>
            </w:tcBorders>
          </w:tcPr>
          <w:p>
            <w:pPr>
              <w:spacing w:after="0"/>
              <w:rPr>
                <w:sz w:val="17"/>
                <w:szCs w:val="17"/>
                <w:color w:val="auto"/>
              </w:rPr>
            </w:pPr>
          </w:p>
        </w:tc>
        <w:tc>
          <w:tcPr>
            <w:tcW w:w="800" w:type="dxa"/>
            <w:vAlign w:val="bottom"/>
            <w:tcBorders>
              <w:bottom w:val="single" w:sz="8" w:color="B2B2B2"/>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560" w:type="dxa"/>
            <w:vAlign w:val="bottom"/>
            <w:tcBorders>
              <w:bottom w:val="single" w:sz="8" w:color="B2B2B2"/>
            </w:tcBorders>
            <w:gridSpan w:val="5"/>
          </w:tcPr>
          <w:p>
            <w:pPr>
              <w:spacing w:after="0"/>
              <w:rPr>
                <w:sz w:val="20"/>
                <w:szCs w:val="20"/>
                <w:color w:val="auto"/>
              </w:rPr>
            </w:pPr>
            <w:r>
              <w:rPr>
                <w:rFonts w:ascii="Arial" w:cs="Arial" w:eastAsia="Arial" w:hAnsi="Arial"/>
                <w:sz w:val="16"/>
                <w:szCs w:val="16"/>
                <w:b w:val="1"/>
                <w:bCs w:val="1"/>
                <w:color w:val="auto"/>
              </w:rPr>
              <w:t> Total recurring revenues</w:t>
            </w:r>
          </w:p>
        </w:tc>
        <w:tc>
          <w:tcPr>
            <w:tcW w:w="240" w:type="dxa"/>
            <w:vAlign w:val="bottom"/>
            <w:tcBorders>
              <w:bottom w:val="single" w:sz="8" w:color="B2B2B2"/>
            </w:tcBorders>
          </w:tcPr>
          <w:p>
            <w:pPr>
              <w:spacing w:after="0"/>
              <w:rPr>
                <w:sz w:val="16"/>
                <w:szCs w:val="16"/>
                <w:color w:val="auto"/>
              </w:rPr>
            </w:pPr>
          </w:p>
        </w:tc>
        <w:tc>
          <w:tcPr>
            <w:tcW w:w="140" w:type="dxa"/>
            <w:vAlign w:val="bottom"/>
            <w:tcBorders>
              <w:bottom w:val="single" w:sz="8" w:color="B2B2B2"/>
            </w:tcBorders>
          </w:tcPr>
          <w:p>
            <w:pPr>
              <w:spacing w:after="0"/>
              <w:rPr>
                <w:sz w:val="16"/>
                <w:szCs w:val="16"/>
                <w:color w:val="auto"/>
              </w:rPr>
            </w:pPr>
          </w:p>
        </w:tc>
        <w:tc>
          <w:tcPr>
            <w:tcW w:w="52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5,882</w:t>
            </w:r>
          </w:p>
        </w:tc>
        <w:tc>
          <w:tcPr>
            <w:tcW w:w="200" w:type="dxa"/>
            <w:vAlign w:val="bottom"/>
            <w:tcBorders>
              <w:bottom w:val="single" w:sz="8" w:color="B2B2B2"/>
            </w:tcBorders>
          </w:tcPr>
          <w:p>
            <w:pPr>
              <w:spacing w:after="0"/>
              <w:rPr>
                <w:sz w:val="16"/>
                <w:szCs w:val="16"/>
                <w:color w:val="auto"/>
              </w:rPr>
            </w:pPr>
          </w:p>
        </w:tc>
        <w:tc>
          <w:tcPr>
            <w:tcW w:w="140" w:type="dxa"/>
            <w:vAlign w:val="bottom"/>
            <w:tcBorders>
              <w:bottom w:val="single" w:sz="8" w:color="B2B2B2"/>
            </w:tcBorders>
          </w:tcPr>
          <w:p>
            <w:pPr>
              <w:spacing w:after="0"/>
              <w:rPr>
                <w:sz w:val="16"/>
                <w:szCs w:val="16"/>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5,458</w:t>
            </w:r>
          </w:p>
        </w:tc>
        <w:tc>
          <w:tcPr>
            <w:tcW w:w="240" w:type="dxa"/>
            <w:vAlign w:val="bottom"/>
            <w:tcBorders>
              <w:bottom w:val="single" w:sz="8" w:color="B2B2B2"/>
            </w:tcBorders>
          </w:tcPr>
          <w:p>
            <w:pPr>
              <w:spacing w:after="0"/>
              <w:rPr>
                <w:sz w:val="16"/>
                <w:szCs w:val="16"/>
                <w:color w:val="auto"/>
              </w:rPr>
            </w:pPr>
          </w:p>
        </w:tc>
        <w:tc>
          <w:tcPr>
            <w:tcW w:w="120" w:type="dxa"/>
            <w:vAlign w:val="bottom"/>
            <w:tcBorders>
              <w:bottom w:val="single" w:sz="8" w:color="B2B2B2"/>
            </w:tcBorders>
          </w:tcPr>
          <w:p>
            <w:pPr>
              <w:spacing w:after="0"/>
              <w:rPr>
                <w:sz w:val="16"/>
                <w:szCs w:val="16"/>
                <w:color w:val="auto"/>
              </w:rPr>
            </w:pPr>
          </w:p>
        </w:tc>
        <w:tc>
          <w:tcPr>
            <w:tcW w:w="5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8%</w:t>
            </w:r>
          </w:p>
        </w:tc>
        <w:tc>
          <w:tcPr>
            <w:tcW w:w="8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8%</w:t>
            </w:r>
          </w:p>
        </w:tc>
        <w:tc>
          <w:tcPr>
            <w:tcW w:w="98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65"/>
        </w:trPr>
        <w:tc>
          <w:tcPr>
            <w:tcW w:w="3560" w:type="dxa"/>
            <w:vAlign w:val="bottom"/>
            <w:gridSpan w:val="5"/>
          </w:tcPr>
          <w:p>
            <w:pPr>
              <w:spacing w:after="0" w:line="165" w:lineRule="exact"/>
              <w:rPr>
                <w:sz w:val="20"/>
                <w:szCs w:val="20"/>
                <w:color w:val="auto"/>
              </w:rPr>
            </w:pPr>
            <w:r>
              <w:rPr>
                <w:rFonts w:ascii="Arial" w:cs="Arial" w:eastAsia="Arial" w:hAnsi="Arial"/>
                <w:sz w:val="16"/>
                <w:szCs w:val="16"/>
                <w:b w:val="1"/>
                <w:bCs w:val="1"/>
                <w:color w:val="auto"/>
              </w:rPr>
              <w:t> Transactions Revenues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94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780" w:type="dxa"/>
            <w:vAlign w:val="bottom"/>
            <w:tcBorders>
              <w:top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rPr>
              <w:t> Legal Professionals</w:t>
            </w: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133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(29%)</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(28%)</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(25%)</w:t>
            </w: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40" w:type="dxa"/>
            <w:vAlign w:val="bottom"/>
            <w:gridSpan w:val="4"/>
          </w:tcPr>
          <w:p>
            <w:pPr>
              <w:ind w:left="140"/>
              <w:spacing w:after="0"/>
              <w:rPr>
                <w:sz w:val="20"/>
                <w:szCs w:val="20"/>
                <w:color w:val="auto"/>
              </w:rPr>
            </w:pPr>
            <w:r>
              <w:rPr>
                <w:rFonts w:ascii="Arial" w:cs="Arial" w:eastAsia="Arial" w:hAnsi="Arial"/>
                <w:sz w:val="16"/>
                <w:szCs w:val="16"/>
                <w:b w:val="1"/>
                <w:bCs w:val="1"/>
                <w:color w:val="auto"/>
              </w:rPr>
              <w:t> Corporates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301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247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22%</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8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0"/>
        </w:trPr>
        <w:tc>
          <w:tcPr>
            <w:tcW w:w="20" w:type="dxa"/>
            <w:vAlign w:val="bottom"/>
            <w:tcBorders>
              <w:bottom w:val="single" w:sz="8" w:color="B2B2B2"/>
            </w:tcBorders>
          </w:tcPr>
          <w:p>
            <w:pPr>
              <w:spacing w:after="0"/>
              <w:rPr>
                <w:sz w:val="17"/>
                <w:szCs w:val="17"/>
                <w:color w:val="auto"/>
              </w:rPr>
            </w:pPr>
          </w:p>
        </w:tc>
        <w:tc>
          <w:tcPr>
            <w:tcW w:w="3540" w:type="dxa"/>
            <w:vAlign w:val="bottom"/>
            <w:tcBorders>
              <w:bottom w:val="single" w:sz="8" w:color="B2B2B2"/>
            </w:tcBorders>
            <w:gridSpan w:val="4"/>
          </w:tcPr>
          <w:p>
            <w:pPr>
              <w:ind w:left="140"/>
              <w:spacing w:after="0"/>
              <w:rPr>
                <w:sz w:val="20"/>
                <w:szCs w:val="20"/>
                <w:color w:val="auto"/>
              </w:rPr>
            </w:pPr>
            <w:r>
              <w:rPr>
                <w:rFonts w:ascii="Arial" w:cs="Arial" w:eastAsia="Arial" w:hAnsi="Arial"/>
                <w:sz w:val="16"/>
                <w:szCs w:val="16"/>
                <w:b w:val="1"/>
                <w:bCs w:val="1"/>
                <w:color w:val="auto"/>
              </w:rPr>
              <w:t> Tax &amp; Accounting Professionals</w:t>
            </w:r>
          </w:p>
        </w:tc>
        <w:tc>
          <w:tcPr>
            <w:tcW w:w="24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52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298</w:t>
            </w:r>
          </w:p>
        </w:tc>
        <w:tc>
          <w:tcPr>
            <w:tcW w:w="20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250</w:t>
            </w:r>
          </w:p>
        </w:tc>
        <w:tc>
          <w:tcPr>
            <w:tcW w:w="240" w:type="dxa"/>
            <w:vAlign w:val="bottom"/>
            <w:tcBorders>
              <w:bottom w:val="single" w:sz="8" w:color="B2B2B2"/>
            </w:tcBorders>
          </w:tcPr>
          <w:p>
            <w:pPr>
              <w:spacing w:after="0"/>
              <w:rPr>
                <w:sz w:val="17"/>
                <w:szCs w:val="17"/>
                <w:color w:val="auto"/>
              </w:rPr>
            </w:pPr>
          </w:p>
        </w:tc>
        <w:tc>
          <w:tcPr>
            <w:tcW w:w="120" w:type="dxa"/>
            <w:vAlign w:val="bottom"/>
            <w:tcBorders>
              <w:bottom w:val="single" w:sz="8" w:color="B2B2B2"/>
            </w:tcBorders>
          </w:tcPr>
          <w:p>
            <w:pPr>
              <w:spacing w:after="0"/>
              <w:rPr>
                <w:sz w:val="17"/>
                <w:szCs w:val="17"/>
                <w:color w:val="auto"/>
              </w:rPr>
            </w:pPr>
          </w:p>
        </w:tc>
        <w:tc>
          <w:tcPr>
            <w:tcW w:w="5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19%</w:t>
            </w:r>
          </w:p>
        </w:tc>
        <w:tc>
          <w:tcPr>
            <w:tcW w:w="8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19%</w:t>
            </w:r>
          </w:p>
        </w:tc>
        <w:tc>
          <w:tcPr>
            <w:tcW w:w="98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5%</w:t>
            </w: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1"/>
        </w:trPr>
        <w:tc>
          <w:tcPr>
            <w:tcW w:w="3560" w:type="dxa"/>
            <w:vAlign w:val="bottom"/>
            <w:gridSpan w:val="5"/>
          </w:tcPr>
          <w:p>
            <w:pPr>
              <w:spacing w:after="0"/>
              <w:rPr>
                <w:sz w:val="20"/>
                <w:szCs w:val="20"/>
                <w:color w:val="auto"/>
              </w:rPr>
            </w:pPr>
            <w:r>
              <w:rPr>
                <w:rFonts w:ascii="Arial" w:cs="Arial" w:eastAsia="Arial" w:hAnsi="Arial"/>
                <w:sz w:val="16"/>
                <w:szCs w:val="16"/>
                <w:b w:val="1"/>
                <w:bCs w:val="1"/>
                <w:color w:val="auto"/>
              </w:rPr>
              <w:t> “Big 3” Segments Combined</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693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630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0"/>
        </w:trPr>
        <w:tc>
          <w:tcPr>
            <w:tcW w:w="20" w:type="dxa"/>
            <w:vAlign w:val="bottom"/>
            <w:tcBorders>
              <w:bottom w:val="single" w:sz="8" w:color="B2B2B2"/>
            </w:tcBorders>
          </w:tcPr>
          <w:p>
            <w:pPr>
              <w:spacing w:after="0"/>
              <w:rPr>
                <w:sz w:val="17"/>
                <w:szCs w:val="17"/>
                <w:color w:val="auto"/>
              </w:rPr>
            </w:pPr>
          </w:p>
        </w:tc>
        <w:tc>
          <w:tcPr>
            <w:tcW w:w="3540" w:type="dxa"/>
            <w:vAlign w:val="bottom"/>
            <w:tcBorders>
              <w:bottom w:val="single" w:sz="8" w:color="B2B2B2"/>
            </w:tcBorders>
            <w:gridSpan w:val="4"/>
          </w:tcPr>
          <w:p>
            <w:pPr>
              <w:ind w:left="140"/>
              <w:spacing w:after="0"/>
              <w:rPr>
                <w:sz w:val="20"/>
                <w:szCs w:val="20"/>
                <w:color w:val="auto"/>
              </w:rPr>
            </w:pPr>
            <w:r>
              <w:rPr>
                <w:rFonts w:ascii="Arial" w:cs="Arial" w:eastAsia="Arial" w:hAnsi="Arial"/>
                <w:sz w:val="16"/>
                <w:szCs w:val="16"/>
                <w:b w:val="1"/>
                <w:bCs w:val="1"/>
                <w:color w:val="auto"/>
              </w:rPr>
              <w:t> Reuters News</w:t>
            </w:r>
          </w:p>
        </w:tc>
        <w:tc>
          <w:tcPr>
            <w:tcW w:w="24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52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164</w:t>
            </w:r>
          </w:p>
        </w:tc>
        <w:tc>
          <w:tcPr>
            <w:tcW w:w="20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144</w:t>
            </w:r>
          </w:p>
        </w:tc>
        <w:tc>
          <w:tcPr>
            <w:tcW w:w="240" w:type="dxa"/>
            <w:vAlign w:val="bottom"/>
            <w:tcBorders>
              <w:bottom w:val="single" w:sz="8" w:color="B2B2B2"/>
            </w:tcBorders>
          </w:tcPr>
          <w:p>
            <w:pPr>
              <w:spacing w:after="0"/>
              <w:rPr>
                <w:sz w:val="17"/>
                <w:szCs w:val="17"/>
                <w:color w:val="auto"/>
              </w:rPr>
            </w:pPr>
          </w:p>
        </w:tc>
        <w:tc>
          <w:tcPr>
            <w:tcW w:w="120" w:type="dxa"/>
            <w:vAlign w:val="bottom"/>
            <w:tcBorders>
              <w:bottom w:val="single" w:sz="8" w:color="B2B2B2"/>
            </w:tcBorders>
          </w:tcPr>
          <w:p>
            <w:pPr>
              <w:spacing w:after="0"/>
              <w:rPr>
                <w:sz w:val="17"/>
                <w:szCs w:val="17"/>
                <w:color w:val="auto"/>
              </w:rPr>
            </w:pPr>
          </w:p>
        </w:tc>
        <w:tc>
          <w:tcPr>
            <w:tcW w:w="5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14%</w:t>
            </w:r>
          </w:p>
        </w:tc>
        <w:tc>
          <w:tcPr>
            <w:tcW w:w="8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1%</w:t>
            </w:r>
          </w:p>
        </w:tc>
        <w:tc>
          <w:tcPr>
            <w:tcW w:w="88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13%</w:t>
            </w:r>
          </w:p>
        </w:tc>
        <w:tc>
          <w:tcPr>
            <w:tcW w:w="98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4%</w:t>
            </w:r>
          </w:p>
        </w:tc>
        <w:tc>
          <w:tcPr>
            <w:tcW w:w="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9"/>
        </w:trPr>
        <w:tc>
          <w:tcPr>
            <w:tcW w:w="3560" w:type="dxa"/>
            <w:vAlign w:val="bottom"/>
            <w:tcBorders>
              <w:bottom w:val="single" w:sz="8" w:color="D64000"/>
            </w:tcBorders>
            <w:gridSpan w:val="5"/>
          </w:tcPr>
          <w:p>
            <w:pPr>
              <w:spacing w:after="0"/>
              <w:rPr>
                <w:sz w:val="20"/>
                <w:szCs w:val="20"/>
                <w:color w:val="auto"/>
              </w:rPr>
            </w:pPr>
            <w:r>
              <w:rPr>
                <w:rFonts w:ascii="Arial" w:cs="Arial" w:eastAsia="Arial" w:hAnsi="Arial"/>
                <w:sz w:val="16"/>
                <w:szCs w:val="16"/>
                <w:b w:val="1"/>
                <w:bCs w:val="1"/>
                <w:color w:val="auto"/>
              </w:rPr>
              <w:t> Total transactions revenues</w:t>
            </w:r>
          </w:p>
        </w:tc>
        <w:tc>
          <w:tcPr>
            <w:tcW w:w="240" w:type="dxa"/>
            <w:vAlign w:val="bottom"/>
            <w:tcBorders>
              <w:bottom w:val="single" w:sz="8" w:color="D64000"/>
            </w:tcBorders>
          </w:tcPr>
          <w:p>
            <w:pPr>
              <w:spacing w:after="0"/>
              <w:rPr>
                <w:sz w:val="17"/>
                <w:szCs w:val="17"/>
                <w:color w:val="auto"/>
              </w:rPr>
            </w:pPr>
          </w:p>
        </w:tc>
        <w:tc>
          <w:tcPr>
            <w:tcW w:w="140" w:type="dxa"/>
            <w:vAlign w:val="bottom"/>
            <w:tcBorders>
              <w:bottom w:val="single" w:sz="8" w:color="D64000"/>
            </w:tcBorders>
          </w:tcPr>
          <w:p>
            <w:pPr>
              <w:spacing w:after="0"/>
              <w:rPr>
                <w:sz w:val="17"/>
                <w:szCs w:val="17"/>
                <w:color w:val="auto"/>
              </w:rPr>
            </w:pPr>
          </w:p>
        </w:tc>
        <w:tc>
          <w:tcPr>
            <w:tcW w:w="520" w:type="dxa"/>
            <w:vAlign w:val="bottom"/>
            <w:tcBorders>
              <w:bottom w:val="single" w:sz="8" w:color="D64000"/>
            </w:tcBorders>
          </w:tcPr>
          <w:p>
            <w:pPr>
              <w:jc w:val="right"/>
              <w:ind w:right="1"/>
              <w:spacing w:after="0"/>
              <w:rPr>
                <w:sz w:val="20"/>
                <w:szCs w:val="20"/>
                <w:color w:val="auto"/>
              </w:rPr>
            </w:pPr>
            <w:r>
              <w:rPr>
                <w:rFonts w:ascii="Arial" w:cs="Arial" w:eastAsia="Arial" w:hAnsi="Arial"/>
                <w:sz w:val="16"/>
                <w:szCs w:val="16"/>
                <w:b w:val="1"/>
                <w:bCs w:val="1"/>
                <w:color w:val="auto"/>
              </w:rPr>
              <w:t>857</w:t>
            </w:r>
          </w:p>
        </w:tc>
        <w:tc>
          <w:tcPr>
            <w:tcW w:w="200" w:type="dxa"/>
            <w:vAlign w:val="bottom"/>
            <w:tcBorders>
              <w:bottom w:val="single" w:sz="8" w:color="D64000"/>
            </w:tcBorders>
          </w:tcPr>
          <w:p>
            <w:pPr>
              <w:spacing w:after="0"/>
              <w:rPr>
                <w:sz w:val="17"/>
                <w:szCs w:val="17"/>
                <w:color w:val="auto"/>
              </w:rPr>
            </w:pPr>
          </w:p>
        </w:tc>
        <w:tc>
          <w:tcPr>
            <w:tcW w:w="140" w:type="dxa"/>
            <w:vAlign w:val="bottom"/>
            <w:tcBorders>
              <w:bottom w:val="single" w:sz="8" w:color="D64000"/>
            </w:tcBorders>
          </w:tcPr>
          <w:p>
            <w:pPr>
              <w:spacing w:after="0"/>
              <w:rPr>
                <w:sz w:val="17"/>
                <w:szCs w:val="17"/>
                <w:color w:val="auto"/>
              </w:rPr>
            </w:pPr>
          </w:p>
        </w:tc>
        <w:tc>
          <w:tcPr>
            <w:tcW w:w="480" w:type="dxa"/>
            <w:vAlign w:val="bottom"/>
            <w:tcBorders>
              <w:bottom w:val="single" w:sz="8" w:color="D64000"/>
            </w:tcBorders>
          </w:tcPr>
          <w:p>
            <w:pPr>
              <w:jc w:val="right"/>
              <w:spacing w:after="0"/>
              <w:rPr>
                <w:sz w:val="20"/>
                <w:szCs w:val="20"/>
                <w:color w:val="auto"/>
              </w:rPr>
            </w:pPr>
            <w:r>
              <w:rPr>
                <w:rFonts w:ascii="Arial" w:cs="Arial" w:eastAsia="Arial" w:hAnsi="Arial"/>
                <w:sz w:val="16"/>
                <w:szCs w:val="16"/>
                <w:color w:val="auto"/>
              </w:rPr>
              <w:t>774</w:t>
            </w:r>
          </w:p>
        </w:tc>
        <w:tc>
          <w:tcPr>
            <w:tcW w:w="240" w:type="dxa"/>
            <w:vAlign w:val="bottom"/>
            <w:tcBorders>
              <w:bottom w:val="single" w:sz="8" w:color="D64000"/>
            </w:tcBorders>
          </w:tcPr>
          <w:p>
            <w:pPr>
              <w:spacing w:after="0"/>
              <w:rPr>
                <w:sz w:val="17"/>
                <w:szCs w:val="17"/>
                <w:color w:val="auto"/>
              </w:rPr>
            </w:pPr>
          </w:p>
        </w:tc>
        <w:tc>
          <w:tcPr>
            <w:tcW w:w="120" w:type="dxa"/>
            <w:vAlign w:val="bottom"/>
            <w:tcBorders>
              <w:bottom w:val="single" w:sz="8" w:color="D64000"/>
            </w:tcBorders>
          </w:tcPr>
          <w:p>
            <w:pPr>
              <w:spacing w:after="0"/>
              <w:rPr>
                <w:sz w:val="17"/>
                <w:szCs w:val="17"/>
                <w:color w:val="auto"/>
              </w:rPr>
            </w:pPr>
          </w:p>
        </w:tc>
        <w:tc>
          <w:tcPr>
            <w:tcW w:w="560" w:type="dxa"/>
            <w:vAlign w:val="bottom"/>
            <w:tcBorders>
              <w:bottom w:val="single" w:sz="8" w:color="D64000"/>
            </w:tcBorders>
          </w:tcPr>
          <w:p>
            <w:pPr>
              <w:jc w:val="right"/>
              <w:ind w:right="21"/>
              <w:spacing w:after="0"/>
              <w:rPr>
                <w:sz w:val="20"/>
                <w:szCs w:val="20"/>
                <w:color w:val="auto"/>
              </w:rPr>
            </w:pPr>
            <w:r>
              <w:rPr>
                <w:rFonts w:ascii="Arial" w:cs="Arial" w:eastAsia="Arial" w:hAnsi="Arial"/>
                <w:sz w:val="16"/>
                <w:szCs w:val="16"/>
                <w:color w:val="auto"/>
              </w:rPr>
              <w:t>11%</w:t>
            </w:r>
          </w:p>
        </w:tc>
        <w:tc>
          <w:tcPr>
            <w:tcW w:w="860" w:type="dxa"/>
            <w:vAlign w:val="bottom"/>
            <w:tcBorders>
              <w:bottom w:val="single" w:sz="8" w:color="D64000"/>
            </w:tcBorders>
          </w:tcPr>
          <w:p>
            <w:pPr>
              <w:jc w:val="right"/>
              <w:ind w:right="21"/>
              <w:spacing w:after="0"/>
              <w:rPr>
                <w:sz w:val="20"/>
                <w:szCs w:val="20"/>
                <w:color w:val="auto"/>
              </w:rPr>
            </w:pPr>
            <w:r>
              <w:rPr>
                <w:rFonts w:ascii="Arial" w:cs="Arial" w:eastAsia="Arial" w:hAnsi="Arial"/>
                <w:sz w:val="16"/>
                <w:szCs w:val="16"/>
                <w:color w:val="auto"/>
              </w:rPr>
              <w:t>(1%)</w:t>
            </w:r>
          </w:p>
        </w:tc>
        <w:tc>
          <w:tcPr>
            <w:tcW w:w="880" w:type="dxa"/>
            <w:vAlign w:val="bottom"/>
            <w:tcBorders>
              <w:bottom w:val="single" w:sz="8" w:color="D64000"/>
            </w:tcBorders>
          </w:tcPr>
          <w:p>
            <w:pPr>
              <w:jc w:val="right"/>
              <w:ind w:right="41"/>
              <w:spacing w:after="0"/>
              <w:rPr>
                <w:sz w:val="20"/>
                <w:szCs w:val="20"/>
                <w:color w:val="auto"/>
              </w:rPr>
            </w:pPr>
            <w:r>
              <w:rPr>
                <w:rFonts w:ascii="Arial" w:cs="Arial" w:eastAsia="Arial" w:hAnsi="Arial"/>
                <w:sz w:val="16"/>
                <w:szCs w:val="16"/>
                <w:color w:val="auto"/>
              </w:rPr>
              <w:t>11%</w:t>
            </w:r>
          </w:p>
        </w:tc>
        <w:tc>
          <w:tcPr>
            <w:tcW w:w="980" w:type="dxa"/>
            <w:vAlign w:val="bottom"/>
            <w:tcBorders>
              <w:bottom w:val="single" w:sz="8" w:color="D64000"/>
            </w:tcBorders>
          </w:tcPr>
          <w:p>
            <w:pPr>
              <w:jc w:val="right"/>
              <w:ind w:right="41"/>
              <w:spacing w:after="0"/>
              <w:rPr>
                <w:sz w:val="20"/>
                <w:szCs w:val="20"/>
                <w:color w:val="auto"/>
              </w:rPr>
            </w:pPr>
            <w:r>
              <w:rPr>
                <w:rFonts w:ascii="Arial" w:cs="Arial" w:eastAsia="Arial" w:hAnsi="Arial"/>
                <w:sz w:val="16"/>
                <w:szCs w:val="16"/>
                <w:color w:val="auto"/>
              </w:rPr>
              <w:t>1%</w:t>
            </w:r>
          </w:p>
        </w:tc>
        <w:tc>
          <w:tcPr>
            <w:tcW w:w="800" w:type="dxa"/>
            <w:vAlign w:val="bottom"/>
            <w:tcBorders>
              <w:bottom w:val="single" w:sz="8" w:color="D64000"/>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-3659505</wp:posOffset>
            </wp:positionV>
            <wp:extent cx="617537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175375" cy="825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100965</wp:posOffset>
            </wp:positionV>
            <wp:extent cx="68656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ectPr>
          <w:pgSz w:w="11900" w:h="16838" w:orient="portrait"/>
          <w:cols w:equalWidth="0" w:num="1">
            <w:col w:w="11040"/>
          </w:cols>
          <w:pgMar w:left="320" w:top="477" w:right="539" w:bottom="1440" w:gutter="0" w:footer="0" w:header="0"/>
        </w:sectPr>
      </w:pPr>
    </w:p>
    <w:p>
      <w:pPr>
        <w:spacing w:after="0" w:line="190"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67</w:t>
      </w:r>
    </w:p>
    <w:p>
      <w:pPr>
        <w:sectPr>
          <w:pgSz w:w="11900" w:h="16838" w:orient="portrait"/>
          <w:cols w:equalWidth="0" w:num="1">
            <w:col w:w="11040"/>
          </w:cols>
          <w:pgMar w:left="320" w:top="477" w:right="5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320"/>
        <w:spacing w:after="0" w:line="308" w:lineRule="auto"/>
        <w:rPr>
          <w:sz w:val="20"/>
          <w:szCs w:val="20"/>
          <w:color w:val="auto"/>
        </w:rPr>
      </w:pPr>
      <w:r>
        <w:rPr>
          <w:rFonts w:ascii="Arial" w:cs="Arial" w:eastAsia="Arial" w:hAnsi="Arial"/>
          <w:sz w:val="24"/>
          <w:szCs w:val="24"/>
          <w:b w:val="1"/>
          <w:bCs w:val="1"/>
          <w:color w:val="D64000"/>
        </w:rPr>
        <w:t>Reconciliation of Changes in Adjusted EBITDA and the Related Margin, and Consolidated Operating Expenses and Adjusted EPS, Excluding the Effects of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10160</wp:posOffset>
            </wp:positionV>
            <wp:extent cx="617537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shd w:val="clear" w:color="auto" w:fill="E3F3EE"/>
          </w:tcPr>
          <w:p>
            <w:pPr>
              <w:spacing w:after="0"/>
              <w:rPr>
                <w:sz w:val="18"/>
                <w:szCs w:val="18"/>
                <w:color w:val="auto"/>
              </w:rPr>
            </w:pPr>
          </w:p>
        </w:tc>
        <w:tc>
          <w:tcPr>
            <w:tcW w:w="140" w:type="dxa"/>
            <w:vAlign w:val="bottom"/>
            <w:shd w:val="clear" w:color="auto" w:fill="E3F3EE"/>
          </w:tcPr>
          <w:p>
            <w:pPr>
              <w:spacing w:after="0"/>
              <w:rPr>
                <w:sz w:val="18"/>
                <w:szCs w:val="18"/>
                <w:color w:val="auto"/>
              </w:rPr>
            </w:pPr>
          </w:p>
        </w:tc>
        <w:tc>
          <w:tcPr>
            <w:tcW w:w="560" w:type="dxa"/>
            <w:vAlign w:val="bottom"/>
            <w:shd w:val="clear" w:color="auto" w:fill="E3F3EE"/>
          </w:tcPr>
          <w:p>
            <w:pPr>
              <w:spacing w:after="0"/>
              <w:rPr>
                <w:sz w:val="18"/>
                <w:szCs w:val="18"/>
                <w:color w:val="auto"/>
              </w:rPr>
            </w:pPr>
          </w:p>
        </w:tc>
        <w:tc>
          <w:tcPr>
            <w:tcW w:w="2800" w:type="dxa"/>
            <w:vAlign w:val="bottom"/>
            <w:gridSpan w:val="6"/>
            <w:shd w:val="clear" w:color="auto" w:fill="E3F3EE"/>
          </w:tcPr>
          <w:p>
            <w:pPr>
              <w:jc w:val="right"/>
              <w:ind w:right="20"/>
              <w:spacing w:after="0"/>
              <w:rPr>
                <w:sz w:val="20"/>
                <w:szCs w:val="20"/>
                <w:color w:val="auto"/>
              </w:rPr>
            </w:pPr>
            <w:r>
              <w:rPr>
                <w:rFonts w:ascii="Arial" w:cs="Arial" w:eastAsia="Arial" w:hAnsi="Arial"/>
                <w:sz w:val="16"/>
                <w:szCs w:val="16"/>
                <w:b w:val="1"/>
                <w:bCs w:val="1"/>
                <w:color w:val="auto"/>
              </w:rPr>
              <w:t>Three months ended December 31,</w:t>
            </w:r>
          </w:p>
        </w:tc>
        <w:tc>
          <w:tcPr>
            <w:tcW w:w="880" w:type="dxa"/>
            <w:vAlign w:val="bottom"/>
            <w:shd w:val="clear" w:color="auto" w:fill="E3F3EE"/>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5"/>
        </w:trPr>
        <w:tc>
          <w:tcPr>
            <w:tcW w:w="20" w:type="dxa"/>
            <w:vAlign w:val="bottom"/>
            <w:tcBorders>
              <w:bottom w:val="single" w:sz="8" w:color="1F473D"/>
            </w:tcBorders>
            <w:shd w:val="clear" w:color="auto" w:fill="1F473D"/>
          </w:tcPr>
          <w:p>
            <w:pPr>
              <w:spacing w:after="0"/>
              <w:rPr>
                <w:sz w:val="17"/>
                <w:szCs w:val="17"/>
                <w:color w:val="auto"/>
              </w:rPr>
            </w:pPr>
          </w:p>
        </w:tc>
        <w:tc>
          <w:tcPr>
            <w:tcW w:w="1320" w:type="dxa"/>
            <w:vAlign w:val="bottom"/>
            <w:tcBorders>
              <w:bottom w:val="single" w:sz="8" w:color="1F473D"/>
            </w:tcBorders>
            <w:shd w:val="clear" w:color="auto" w:fill="1F473D"/>
          </w:tcPr>
          <w:p>
            <w:pPr>
              <w:spacing w:after="0"/>
              <w:rPr>
                <w:sz w:val="17"/>
                <w:szCs w:val="17"/>
                <w:color w:val="auto"/>
              </w:rPr>
            </w:pPr>
          </w:p>
        </w:tc>
        <w:tc>
          <w:tcPr>
            <w:tcW w:w="580" w:type="dxa"/>
            <w:vAlign w:val="bottom"/>
            <w:tcBorders>
              <w:bottom w:val="single" w:sz="8" w:color="1F473D"/>
            </w:tcBorders>
            <w:shd w:val="clear" w:color="auto" w:fill="1F473D"/>
          </w:tcPr>
          <w:p>
            <w:pPr>
              <w:spacing w:after="0"/>
              <w:rPr>
                <w:sz w:val="17"/>
                <w:szCs w:val="17"/>
                <w:color w:val="auto"/>
              </w:rPr>
            </w:pPr>
          </w:p>
        </w:tc>
        <w:tc>
          <w:tcPr>
            <w:tcW w:w="3180" w:type="dxa"/>
            <w:vAlign w:val="bottom"/>
            <w:tcBorders>
              <w:bottom w:val="single" w:sz="8" w:color="1F473D"/>
            </w:tcBorders>
            <w:shd w:val="clear" w:color="auto" w:fill="1F473D"/>
          </w:tcPr>
          <w:p>
            <w:pPr>
              <w:spacing w:after="0"/>
              <w:rPr>
                <w:sz w:val="17"/>
                <w:szCs w:val="17"/>
                <w:color w:val="auto"/>
              </w:rPr>
            </w:pPr>
          </w:p>
        </w:tc>
        <w:tc>
          <w:tcPr>
            <w:tcW w:w="240" w:type="dxa"/>
            <w:vAlign w:val="bottom"/>
            <w:tcBorders>
              <w:bottom w:val="single" w:sz="8" w:color="1F473D"/>
            </w:tcBorders>
            <w:shd w:val="clear" w:color="auto" w:fill="1F473D"/>
          </w:tcPr>
          <w:p>
            <w:pPr>
              <w:spacing w:after="0"/>
              <w:rPr>
                <w:sz w:val="17"/>
                <w:szCs w:val="17"/>
                <w:color w:val="auto"/>
              </w:rPr>
            </w:pPr>
          </w:p>
        </w:tc>
        <w:tc>
          <w:tcPr>
            <w:tcW w:w="140" w:type="dxa"/>
            <w:vAlign w:val="bottom"/>
            <w:tcBorders>
              <w:bottom w:val="single" w:sz="8" w:color="1F473D"/>
            </w:tcBorders>
            <w:shd w:val="clear" w:color="auto" w:fill="1F473D"/>
          </w:tcPr>
          <w:p>
            <w:pPr>
              <w:spacing w:after="0"/>
              <w:rPr>
                <w:sz w:val="17"/>
                <w:szCs w:val="17"/>
                <w:color w:val="auto"/>
              </w:rPr>
            </w:pPr>
          </w:p>
        </w:tc>
        <w:tc>
          <w:tcPr>
            <w:tcW w:w="560" w:type="dxa"/>
            <w:vAlign w:val="bottom"/>
            <w:tcBorders>
              <w:bottom w:val="single" w:sz="8" w:color="1F473D"/>
            </w:tcBorders>
            <w:shd w:val="clear" w:color="auto" w:fill="1F473D"/>
          </w:tcPr>
          <w:p>
            <w:pPr>
              <w:spacing w:after="0"/>
              <w:rPr>
                <w:sz w:val="17"/>
                <w:szCs w:val="17"/>
                <w:color w:val="auto"/>
              </w:rPr>
            </w:pPr>
          </w:p>
        </w:tc>
        <w:tc>
          <w:tcPr>
            <w:tcW w:w="220" w:type="dxa"/>
            <w:vAlign w:val="bottom"/>
            <w:tcBorders>
              <w:bottom w:val="single" w:sz="8" w:color="1F473D"/>
            </w:tcBorders>
            <w:shd w:val="clear" w:color="auto" w:fill="1F473D"/>
          </w:tcPr>
          <w:p>
            <w:pPr>
              <w:spacing w:after="0"/>
              <w:rPr>
                <w:sz w:val="17"/>
                <w:szCs w:val="17"/>
                <w:color w:val="auto"/>
              </w:rPr>
            </w:pPr>
          </w:p>
        </w:tc>
        <w:tc>
          <w:tcPr>
            <w:tcW w:w="140" w:type="dxa"/>
            <w:vAlign w:val="bottom"/>
            <w:tcBorders>
              <w:bottom w:val="single" w:sz="8" w:color="1F473D"/>
            </w:tcBorders>
            <w:shd w:val="clear" w:color="auto" w:fill="1F473D"/>
          </w:tcPr>
          <w:p>
            <w:pPr>
              <w:spacing w:after="0"/>
              <w:rPr>
                <w:sz w:val="17"/>
                <w:szCs w:val="17"/>
                <w:color w:val="auto"/>
              </w:rPr>
            </w:pPr>
          </w:p>
        </w:tc>
        <w:tc>
          <w:tcPr>
            <w:tcW w:w="560" w:type="dxa"/>
            <w:vAlign w:val="bottom"/>
            <w:tcBorders>
              <w:bottom w:val="single" w:sz="8" w:color="1F473D"/>
            </w:tcBorders>
            <w:shd w:val="clear" w:color="auto" w:fill="1F473D"/>
          </w:tcPr>
          <w:p>
            <w:pPr>
              <w:spacing w:after="0"/>
              <w:rPr>
                <w:sz w:val="17"/>
                <w:szCs w:val="17"/>
                <w:color w:val="auto"/>
              </w:rPr>
            </w:pPr>
          </w:p>
        </w:tc>
        <w:tc>
          <w:tcPr>
            <w:tcW w:w="240" w:type="dxa"/>
            <w:vAlign w:val="bottom"/>
            <w:tcBorders>
              <w:bottom w:val="single" w:sz="8" w:color="D64000"/>
            </w:tcBorders>
            <w:shd w:val="clear" w:color="auto" w:fill="1F473D"/>
          </w:tcPr>
          <w:p>
            <w:pPr>
              <w:spacing w:after="0"/>
              <w:rPr>
                <w:sz w:val="17"/>
                <w:szCs w:val="17"/>
                <w:color w:val="auto"/>
              </w:rPr>
            </w:pPr>
          </w:p>
        </w:tc>
        <w:tc>
          <w:tcPr>
            <w:tcW w:w="740" w:type="dxa"/>
            <w:vAlign w:val="bottom"/>
            <w:tcBorders>
              <w:bottom w:val="single" w:sz="8" w:color="D64000"/>
            </w:tcBorders>
            <w:shd w:val="clear" w:color="auto" w:fill="1F473D"/>
          </w:tcPr>
          <w:p>
            <w:pPr>
              <w:spacing w:after="0"/>
              <w:rPr>
                <w:sz w:val="17"/>
                <w:szCs w:val="17"/>
                <w:color w:val="auto"/>
              </w:rPr>
            </w:pPr>
          </w:p>
        </w:tc>
        <w:tc>
          <w:tcPr>
            <w:tcW w:w="900" w:type="dxa"/>
            <w:vAlign w:val="bottom"/>
            <w:tcBorders>
              <w:bottom w:val="single" w:sz="8" w:color="D64000"/>
            </w:tcBorders>
            <w:shd w:val="clear" w:color="auto" w:fill="1F473D"/>
          </w:tcPr>
          <w:p>
            <w:pPr>
              <w:jc w:val="center"/>
              <w:ind w:right="20"/>
              <w:spacing w:after="0"/>
              <w:rPr>
                <w:sz w:val="20"/>
                <w:szCs w:val="20"/>
                <w:color w:val="auto"/>
              </w:rPr>
            </w:pPr>
            <w:r>
              <w:rPr>
                <w:rFonts w:ascii="Arial" w:cs="Arial" w:eastAsia="Arial" w:hAnsi="Arial"/>
                <w:sz w:val="16"/>
                <w:szCs w:val="16"/>
                <w:color w:val="FFFFFF"/>
                <w:w w:val="99"/>
              </w:rPr>
              <w:t>Change</w:t>
            </w:r>
          </w:p>
        </w:tc>
        <w:tc>
          <w:tcPr>
            <w:tcW w:w="880" w:type="dxa"/>
            <w:vAlign w:val="bottom"/>
            <w:tcBorders>
              <w:bottom w:val="single" w:sz="8" w:color="D64000"/>
            </w:tcBorders>
            <w:shd w:val="clear" w:color="auto" w:fill="1F473D"/>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1"/>
        </w:trPr>
        <w:tc>
          <w:tcPr>
            <w:tcW w:w="20" w:type="dxa"/>
            <w:vAlign w:val="bottom"/>
            <w:shd w:val="clear" w:color="auto" w:fill="1F473D"/>
          </w:tcPr>
          <w:p>
            <w:pPr>
              <w:spacing w:after="0"/>
              <w:rPr>
                <w:sz w:val="14"/>
                <w:szCs w:val="14"/>
                <w:color w:val="auto"/>
              </w:rPr>
            </w:pPr>
          </w:p>
        </w:tc>
        <w:tc>
          <w:tcPr>
            <w:tcW w:w="1320" w:type="dxa"/>
            <w:vAlign w:val="bottom"/>
            <w:shd w:val="clear" w:color="auto" w:fill="1F473D"/>
          </w:tcPr>
          <w:p>
            <w:pPr>
              <w:spacing w:after="0"/>
              <w:rPr>
                <w:sz w:val="14"/>
                <w:szCs w:val="14"/>
                <w:color w:val="auto"/>
              </w:rPr>
            </w:pPr>
          </w:p>
        </w:tc>
        <w:tc>
          <w:tcPr>
            <w:tcW w:w="580" w:type="dxa"/>
            <w:vAlign w:val="bottom"/>
            <w:shd w:val="clear" w:color="auto" w:fill="1F473D"/>
          </w:tcPr>
          <w:p>
            <w:pPr>
              <w:spacing w:after="0"/>
              <w:rPr>
                <w:sz w:val="14"/>
                <w:szCs w:val="14"/>
                <w:color w:val="auto"/>
              </w:rPr>
            </w:pPr>
          </w:p>
        </w:tc>
        <w:tc>
          <w:tcPr>
            <w:tcW w:w="3180" w:type="dxa"/>
            <w:vAlign w:val="bottom"/>
            <w:shd w:val="clear" w:color="auto" w:fill="1F473D"/>
          </w:tcPr>
          <w:p>
            <w:pPr>
              <w:spacing w:after="0"/>
              <w:rPr>
                <w:sz w:val="14"/>
                <w:szCs w:val="14"/>
                <w:color w:val="auto"/>
              </w:rPr>
            </w:pPr>
          </w:p>
        </w:tc>
        <w:tc>
          <w:tcPr>
            <w:tcW w:w="240" w:type="dxa"/>
            <w:vAlign w:val="bottom"/>
            <w:shd w:val="clear" w:color="auto" w:fill="1F473D"/>
          </w:tcPr>
          <w:p>
            <w:pPr>
              <w:spacing w:after="0"/>
              <w:rPr>
                <w:sz w:val="14"/>
                <w:szCs w:val="14"/>
                <w:color w:val="auto"/>
              </w:rPr>
            </w:pPr>
          </w:p>
        </w:tc>
        <w:tc>
          <w:tcPr>
            <w:tcW w:w="140" w:type="dxa"/>
            <w:vAlign w:val="bottom"/>
            <w:shd w:val="clear" w:color="auto" w:fill="1F473D"/>
          </w:tcPr>
          <w:p>
            <w:pPr>
              <w:spacing w:after="0"/>
              <w:rPr>
                <w:sz w:val="14"/>
                <w:szCs w:val="14"/>
                <w:color w:val="auto"/>
              </w:rPr>
            </w:pPr>
          </w:p>
        </w:tc>
        <w:tc>
          <w:tcPr>
            <w:tcW w:w="560" w:type="dxa"/>
            <w:vAlign w:val="bottom"/>
            <w:shd w:val="clear" w:color="auto" w:fill="1F473D"/>
          </w:tcPr>
          <w:p>
            <w:pPr>
              <w:spacing w:after="0"/>
              <w:rPr>
                <w:sz w:val="14"/>
                <w:szCs w:val="14"/>
                <w:color w:val="auto"/>
              </w:rPr>
            </w:pPr>
          </w:p>
        </w:tc>
        <w:tc>
          <w:tcPr>
            <w:tcW w:w="220" w:type="dxa"/>
            <w:vAlign w:val="bottom"/>
            <w:shd w:val="clear" w:color="auto" w:fill="1F473D"/>
          </w:tcPr>
          <w:p>
            <w:pPr>
              <w:spacing w:after="0"/>
              <w:rPr>
                <w:sz w:val="14"/>
                <w:szCs w:val="14"/>
                <w:color w:val="auto"/>
              </w:rPr>
            </w:pPr>
          </w:p>
        </w:tc>
        <w:tc>
          <w:tcPr>
            <w:tcW w:w="140" w:type="dxa"/>
            <w:vAlign w:val="bottom"/>
            <w:shd w:val="clear" w:color="auto" w:fill="1F473D"/>
          </w:tcPr>
          <w:p>
            <w:pPr>
              <w:spacing w:after="0"/>
              <w:rPr>
                <w:sz w:val="14"/>
                <w:szCs w:val="14"/>
                <w:color w:val="auto"/>
              </w:rPr>
            </w:pPr>
          </w:p>
        </w:tc>
        <w:tc>
          <w:tcPr>
            <w:tcW w:w="560" w:type="dxa"/>
            <w:vAlign w:val="bottom"/>
            <w:shd w:val="clear" w:color="auto" w:fill="1F473D"/>
          </w:tcPr>
          <w:p>
            <w:pPr>
              <w:spacing w:after="0"/>
              <w:rPr>
                <w:sz w:val="14"/>
                <w:szCs w:val="14"/>
                <w:color w:val="auto"/>
              </w:rPr>
            </w:pPr>
          </w:p>
        </w:tc>
        <w:tc>
          <w:tcPr>
            <w:tcW w:w="240" w:type="dxa"/>
            <w:vAlign w:val="bottom"/>
            <w:shd w:val="clear" w:color="auto" w:fill="1F473D"/>
          </w:tcPr>
          <w:p>
            <w:pPr>
              <w:spacing w:after="0"/>
              <w:rPr>
                <w:sz w:val="14"/>
                <w:szCs w:val="14"/>
                <w:color w:val="auto"/>
              </w:rPr>
            </w:pPr>
          </w:p>
        </w:tc>
        <w:tc>
          <w:tcPr>
            <w:tcW w:w="740" w:type="dxa"/>
            <w:vAlign w:val="bottom"/>
            <w:shd w:val="clear" w:color="auto" w:fill="1F473D"/>
          </w:tcPr>
          <w:p>
            <w:pPr>
              <w:spacing w:after="0"/>
              <w:rPr>
                <w:sz w:val="14"/>
                <w:szCs w:val="14"/>
                <w:color w:val="auto"/>
              </w:rPr>
            </w:pPr>
          </w:p>
        </w:tc>
        <w:tc>
          <w:tcPr>
            <w:tcW w:w="900" w:type="dxa"/>
            <w:vAlign w:val="bottom"/>
            <w:shd w:val="clear" w:color="auto" w:fill="1F473D"/>
          </w:tcPr>
          <w:p>
            <w:pPr>
              <w:jc w:val="center"/>
              <w:spacing w:after="0" w:line="171" w:lineRule="exact"/>
              <w:rPr>
                <w:sz w:val="20"/>
                <w:szCs w:val="20"/>
                <w:color w:val="auto"/>
              </w:rPr>
            </w:pPr>
            <w:r>
              <w:rPr>
                <w:rFonts w:ascii="Arial" w:cs="Arial" w:eastAsia="Arial" w:hAnsi="Arial"/>
                <w:sz w:val="16"/>
                <w:szCs w:val="16"/>
                <w:color w:val="FFFFFF"/>
                <w:w w:val="99"/>
              </w:rPr>
              <w:t>Foreign</w:t>
            </w:r>
          </w:p>
        </w:tc>
        <w:tc>
          <w:tcPr>
            <w:tcW w:w="880" w:type="dxa"/>
            <w:vAlign w:val="bottom"/>
            <w:shd w:val="clear" w:color="auto" w:fill="1F473D"/>
          </w:tcPr>
          <w:p>
            <w:pPr>
              <w:jc w:val="right"/>
              <w:ind w:right="80"/>
              <w:spacing w:after="0" w:line="171" w:lineRule="exact"/>
              <w:rPr>
                <w:sz w:val="20"/>
                <w:szCs w:val="20"/>
                <w:color w:val="auto"/>
              </w:rPr>
            </w:pPr>
            <w:r>
              <w:rPr>
                <w:rFonts w:ascii="Arial" w:cs="Arial" w:eastAsia="Arial" w:hAnsi="Arial"/>
                <w:sz w:val="16"/>
                <w:szCs w:val="16"/>
                <w:color w:val="FFFFFF"/>
              </w:rPr>
              <w:t>Constant</w:t>
            </w: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5100" w:type="dxa"/>
            <w:vAlign w:val="bottom"/>
            <w:tcBorders>
              <w:bottom w:val="single" w:sz="8" w:color="D64000"/>
            </w:tcBorders>
            <w:gridSpan w:val="4"/>
            <w:shd w:val="clear" w:color="auto" w:fill="1F473D"/>
          </w:tcPr>
          <w:p>
            <w:pPr>
              <w:spacing w:after="0"/>
              <w:rPr>
                <w:sz w:val="20"/>
                <w:szCs w:val="20"/>
                <w:color w:val="auto"/>
              </w:rPr>
            </w:pPr>
            <w:r>
              <w:rPr>
                <w:rFonts w:ascii="Arial" w:cs="Arial" w:eastAsia="Arial" w:hAnsi="Arial"/>
                <w:sz w:val="16"/>
                <w:szCs w:val="16"/>
                <w:color w:val="FFFFFF"/>
              </w:rPr>
              <w:t> (millions of U.S. dollars, except margins and per share amounts)</w:t>
            </w:r>
          </w:p>
        </w:tc>
        <w:tc>
          <w:tcPr>
            <w:tcW w:w="240" w:type="dxa"/>
            <w:vAlign w:val="bottom"/>
            <w:tcBorders>
              <w:bottom w:val="single" w:sz="8" w:color="D64000"/>
            </w:tcBorders>
            <w:shd w:val="clear" w:color="auto" w:fill="1F473D"/>
          </w:tcPr>
          <w:p>
            <w:pPr>
              <w:ind w:left="140"/>
              <w:spacing w:after="0"/>
              <w:rPr>
                <w:sz w:val="20"/>
                <w:szCs w:val="20"/>
                <w:color w:val="auto"/>
              </w:rPr>
            </w:pPr>
            <w:r>
              <w:rPr>
                <w:rFonts w:ascii="Arial" w:cs="Arial" w:eastAsia="Arial" w:hAnsi="Arial"/>
                <w:sz w:val="11"/>
                <w:szCs w:val="11"/>
                <w:b w:val="1"/>
                <w:bCs w:val="1"/>
                <w:color w:val="FFFFFF"/>
                <w:w w:val="72"/>
              </w:rPr>
              <w:t> </w:t>
            </w:r>
          </w:p>
        </w:tc>
        <w:tc>
          <w:tcPr>
            <w:tcW w:w="140" w:type="dxa"/>
            <w:vAlign w:val="bottom"/>
            <w:tcBorders>
              <w:bottom w:val="single" w:sz="8" w:color="D64000"/>
            </w:tcBorders>
            <w:shd w:val="clear" w:color="auto" w:fill="1F473D"/>
          </w:tcPr>
          <w:p>
            <w:pPr>
              <w:ind w:left="60"/>
              <w:spacing w:after="0"/>
              <w:rPr>
                <w:sz w:val="20"/>
                <w:szCs w:val="20"/>
                <w:color w:val="auto"/>
              </w:rPr>
            </w:pPr>
            <w:r>
              <w:rPr>
                <w:rFonts w:ascii="Arial" w:cs="Arial" w:eastAsia="Arial" w:hAnsi="Arial"/>
                <w:sz w:val="8"/>
                <w:szCs w:val="8"/>
                <w:b w:val="1"/>
                <w:bCs w:val="1"/>
                <w:color w:val="FFFFFF"/>
                <w:w w:val="74"/>
              </w:rPr>
              <w:t> </w:t>
            </w:r>
          </w:p>
        </w:tc>
        <w:tc>
          <w:tcPr>
            <w:tcW w:w="560" w:type="dxa"/>
            <w:vAlign w:val="bottom"/>
            <w:tcBorders>
              <w:bottom w:val="single" w:sz="8" w:color="D64000"/>
            </w:tcBorders>
            <w:shd w:val="clear" w:color="auto" w:fill="1F473D"/>
          </w:tcPr>
          <w:p>
            <w:pPr>
              <w:jc w:val="right"/>
              <w:ind w:right="41"/>
              <w:spacing w:after="0"/>
              <w:rPr>
                <w:sz w:val="20"/>
                <w:szCs w:val="20"/>
                <w:color w:val="auto"/>
              </w:rPr>
            </w:pPr>
            <w:r>
              <w:rPr>
                <w:rFonts w:ascii="Arial" w:cs="Arial" w:eastAsia="Arial" w:hAnsi="Arial"/>
                <w:sz w:val="16"/>
                <w:szCs w:val="16"/>
                <w:b w:val="1"/>
                <w:bCs w:val="1"/>
                <w:color w:val="FFFFFF"/>
              </w:rPr>
              <w:t>2024</w:t>
            </w:r>
          </w:p>
        </w:tc>
        <w:tc>
          <w:tcPr>
            <w:tcW w:w="220" w:type="dxa"/>
            <w:vAlign w:val="bottom"/>
            <w:tcBorders>
              <w:bottom w:val="single" w:sz="8" w:color="D64000"/>
            </w:tcBorders>
            <w:shd w:val="clear" w:color="auto" w:fill="1F473D"/>
          </w:tcPr>
          <w:p>
            <w:pPr>
              <w:ind w:left="120"/>
              <w:spacing w:after="0"/>
              <w:rPr>
                <w:sz w:val="20"/>
                <w:szCs w:val="20"/>
                <w:color w:val="auto"/>
              </w:rPr>
            </w:pPr>
            <w:r>
              <w:rPr>
                <w:rFonts w:ascii="Arial" w:cs="Arial" w:eastAsia="Arial" w:hAnsi="Arial"/>
                <w:sz w:val="11"/>
                <w:szCs w:val="11"/>
                <w:color w:val="FFFFFF"/>
                <w:w w:val="72"/>
              </w:rPr>
              <w:t> </w:t>
            </w:r>
          </w:p>
        </w:tc>
        <w:tc>
          <w:tcPr>
            <w:tcW w:w="140" w:type="dxa"/>
            <w:vAlign w:val="bottom"/>
            <w:tcBorders>
              <w:bottom w:val="single" w:sz="8" w:color="D64000"/>
            </w:tcBorders>
            <w:shd w:val="clear" w:color="auto" w:fill="1F473D"/>
          </w:tcPr>
          <w:p>
            <w:pPr>
              <w:ind w:left="60"/>
              <w:spacing w:after="0"/>
              <w:rPr>
                <w:sz w:val="20"/>
                <w:szCs w:val="20"/>
                <w:color w:val="auto"/>
              </w:rPr>
            </w:pPr>
            <w:r>
              <w:rPr>
                <w:rFonts w:ascii="Arial" w:cs="Arial" w:eastAsia="Arial" w:hAnsi="Arial"/>
                <w:sz w:val="8"/>
                <w:szCs w:val="8"/>
                <w:color w:val="FFFFFF"/>
                <w:w w:val="74"/>
              </w:rPr>
              <w:t> </w:t>
            </w:r>
          </w:p>
        </w:tc>
        <w:tc>
          <w:tcPr>
            <w:tcW w:w="560" w:type="dxa"/>
            <w:vAlign w:val="bottom"/>
            <w:tcBorders>
              <w:bottom w:val="single" w:sz="8" w:color="D64000"/>
            </w:tcBorders>
            <w:shd w:val="clear" w:color="auto" w:fill="1F473D"/>
          </w:tcPr>
          <w:p>
            <w:pPr>
              <w:jc w:val="right"/>
              <w:ind w:right="41"/>
              <w:spacing w:after="0"/>
              <w:rPr>
                <w:sz w:val="20"/>
                <w:szCs w:val="20"/>
                <w:color w:val="auto"/>
              </w:rPr>
            </w:pPr>
            <w:r>
              <w:rPr>
                <w:rFonts w:ascii="Arial" w:cs="Arial" w:eastAsia="Arial" w:hAnsi="Arial"/>
                <w:sz w:val="16"/>
                <w:szCs w:val="16"/>
                <w:color w:val="FFFFFF"/>
              </w:rPr>
              <w:t>2023</w:t>
            </w:r>
          </w:p>
        </w:tc>
        <w:tc>
          <w:tcPr>
            <w:tcW w:w="240" w:type="dxa"/>
            <w:vAlign w:val="bottom"/>
            <w:tcBorders>
              <w:bottom w:val="single" w:sz="8" w:color="D64000"/>
            </w:tcBorders>
            <w:shd w:val="clear" w:color="auto" w:fill="1F473D"/>
          </w:tcPr>
          <w:p>
            <w:pPr>
              <w:ind w:left="140"/>
              <w:spacing w:after="0"/>
              <w:rPr>
                <w:sz w:val="20"/>
                <w:szCs w:val="20"/>
                <w:color w:val="auto"/>
              </w:rPr>
            </w:pPr>
            <w:r>
              <w:rPr>
                <w:rFonts w:ascii="Arial" w:cs="Arial" w:eastAsia="Arial" w:hAnsi="Arial"/>
                <w:sz w:val="11"/>
                <w:szCs w:val="11"/>
                <w:color w:val="FFFFFF"/>
                <w:w w:val="72"/>
              </w:rPr>
              <w:t> </w:t>
            </w:r>
          </w:p>
        </w:tc>
        <w:tc>
          <w:tcPr>
            <w:tcW w:w="740" w:type="dxa"/>
            <w:vAlign w:val="bottom"/>
            <w:tcBorders>
              <w:bottom w:val="single" w:sz="8" w:color="D64000"/>
            </w:tcBorders>
            <w:shd w:val="clear" w:color="auto" w:fill="1F473D"/>
          </w:tcPr>
          <w:p>
            <w:pPr>
              <w:jc w:val="right"/>
              <w:ind w:right="100"/>
              <w:spacing w:after="0"/>
              <w:rPr>
                <w:sz w:val="20"/>
                <w:szCs w:val="20"/>
                <w:color w:val="auto"/>
              </w:rPr>
            </w:pPr>
            <w:r>
              <w:rPr>
                <w:rFonts w:ascii="Arial" w:cs="Arial" w:eastAsia="Arial" w:hAnsi="Arial"/>
                <w:sz w:val="16"/>
                <w:szCs w:val="16"/>
                <w:color w:val="FFFFFF"/>
                <w:w w:val="89"/>
              </w:rPr>
              <w:t>   Total</w:t>
            </w:r>
          </w:p>
        </w:tc>
        <w:tc>
          <w:tcPr>
            <w:tcW w:w="900" w:type="dxa"/>
            <w:vAlign w:val="bottom"/>
            <w:tcBorders>
              <w:bottom w:val="single" w:sz="8" w:color="D64000"/>
            </w:tcBorders>
            <w:shd w:val="clear" w:color="auto" w:fill="1F473D"/>
          </w:tcPr>
          <w:p>
            <w:pPr>
              <w:jc w:val="center"/>
              <w:spacing w:after="0"/>
              <w:rPr>
                <w:sz w:val="20"/>
                <w:szCs w:val="20"/>
                <w:color w:val="auto"/>
              </w:rPr>
            </w:pPr>
            <w:r>
              <w:rPr>
                <w:rFonts w:ascii="Arial" w:cs="Arial" w:eastAsia="Arial" w:hAnsi="Arial"/>
                <w:sz w:val="16"/>
                <w:szCs w:val="16"/>
                <w:color w:val="FFFFFF"/>
                <w:w w:val="98"/>
              </w:rPr>
              <w:t>Currency</w:t>
            </w:r>
          </w:p>
        </w:tc>
        <w:tc>
          <w:tcPr>
            <w:tcW w:w="880" w:type="dxa"/>
            <w:vAlign w:val="bottom"/>
            <w:tcBorders>
              <w:bottom w:val="single" w:sz="8" w:color="D64000"/>
            </w:tcBorders>
            <w:shd w:val="clear" w:color="auto" w:fill="1F473D"/>
          </w:tcPr>
          <w:p>
            <w:pPr>
              <w:jc w:val="right"/>
              <w:ind w:right="80"/>
              <w:spacing w:after="0"/>
              <w:rPr>
                <w:sz w:val="20"/>
                <w:szCs w:val="20"/>
                <w:color w:val="auto"/>
              </w:rPr>
            </w:pPr>
            <w:r>
              <w:rPr>
                <w:rFonts w:ascii="Arial" w:cs="Arial" w:eastAsia="Arial" w:hAnsi="Arial"/>
                <w:sz w:val="16"/>
                <w:szCs w:val="16"/>
                <w:color w:val="FFFFFF"/>
              </w:rPr>
              <w:t>Currency</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2"/>
        </w:trPr>
        <w:tc>
          <w:tcPr>
            <w:tcW w:w="5100" w:type="dxa"/>
            <w:vAlign w:val="bottom"/>
            <w:gridSpan w:val="4"/>
          </w:tcPr>
          <w:p>
            <w:pPr>
              <w:spacing w:after="0" w:line="172" w:lineRule="exact"/>
              <w:rPr>
                <w:sz w:val="20"/>
                <w:szCs w:val="20"/>
                <w:color w:val="auto"/>
              </w:rPr>
            </w:pPr>
            <w:r>
              <w:rPr>
                <w:rFonts w:ascii="Arial" w:cs="Arial" w:eastAsia="Arial" w:hAnsi="Arial"/>
                <w:sz w:val="16"/>
                <w:szCs w:val="16"/>
                <w:b w:val="1"/>
                <w:bCs w:val="1"/>
                <w:color w:val="auto"/>
              </w:rPr>
              <w:t> Adjusted EBITDA</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5080" w:type="dxa"/>
            <w:vAlign w:val="bottom"/>
            <w:gridSpan w:val="3"/>
          </w:tcPr>
          <w:p>
            <w:pPr>
              <w:ind w:left="140"/>
              <w:spacing w:after="0"/>
              <w:rPr>
                <w:sz w:val="20"/>
                <w:szCs w:val="20"/>
                <w:color w:val="auto"/>
              </w:rPr>
            </w:pPr>
            <w:r>
              <w:rPr>
                <w:rFonts w:ascii="Arial" w:cs="Arial" w:eastAsia="Arial" w:hAnsi="Arial"/>
                <w:sz w:val="16"/>
                <w:szCs w:val="16"/>
                <w:b w:val="1"/>
                <w:bCs w:val="1"/>
                <w:color w:val="auto"/>
              </w:rPr>
              <w:t> Legal Professionals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299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298</w:t>
            </w:r>
          </w:p>
        </w:tc>
        <w:tc>
          <w:tcPr>
            <w:tcW w:w="24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9"/>
        </w:trPr>
        <w:tc>
          <w:tcPr>
            <w:tcW w:w="20" w:type="dxa"/>
            <w:vAlign w:val="bottom"/>
          </w:tcPr>
          <w:p>
            <w:pPr>
              <w:spacing w:after="0"/>
              <w:rPr>
                <w:sz w:val="17"/>
                <w:szCs w:val="17"/>
                <w:color w:val="auto"/>
              </w:rPr>
            </w:pPr>
          </w:p>
        </w:tc>
        <w:tc>
          <w:tcPr>
            <w:tcW w:w="5080" w:type="dxa"/>
            <w:vAlign w:val="bottom"/>
            <w:gridSpan w:val="3"/>
          </w:tcPr>
          <w:p>
            <w:pPr>
              <w:ind w:left="140"/>
              <w:spacing w:after="0"/>
              <w:rPr>
                <w:sz w:val="20"/>
                <w:szCs w:val="20"/>
                <w:color w:val="auto"/>
              </w:rPr>
            </w:pPr>
            <w:r>
              <w:rPr>
                <w:rFonts w:ascii="Arial" w:cs="Arial" w:eastAsia="Arial" w:hAnsi="Arial"/>
                <w:sz w:val="16"/>
                <w:szCs w:val="16"/>
                <w:b w:val="1"/>
                <w:bCs w:val="1"/>
                <w:color w:val="auto"/>
              </w:rPr>
              <w:t> Corporates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153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138</w:t>
            </w:r>
          </w:p>
        </w:tc>
        <w:tc>
          <w:tcPr>
            <w:tcW w:w="240" w:type="dxa"/>
            <w:vAlign w:val="bottom"/>
          </w:tcPr>
          <w:p>
            <w:pPr>
              <w:spacing w:after="0"/>
              <w:rPr>
                <w:sz w:val="17"/>
                <w:szCs w:val="17"/>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20" w:type="dxa"/>
            <w:vAlign w:val="bottom"/>
            <w:tcBorders>
              <w:bottom w:val="single" w:sz="8" w:color="B2B2B2"/>
            </w:tcBorders>
          </w:tcPr>
          <w:p>
            <w:pPr>
              <w:spacing w:after="0"/>
              <w:rPr>
                <w:sz w:val="17"/>
                <w:szCs w:val="17"/>
                <w:color w:val="auto"/>
              </w:rPr>
            </w:pPr>
          </w:p>
        </w:tc>
        <w:tc>
          <w:tcPr>
            <w:tcW w:w="5080" w:type="dxa"/>
            <w:vAlign w:val="bottom"/>
            <w:tcBorders>
              <w:bottom w:val="single" w:sz="8" w:color="B2B2B2"/>
            </w:tcBorders>
            <w:gridSpan w:val="3"/>
          </w:tcPr>
          <w:p>
            <w:pPr>
              <w:ind w:left="140"/>
              <w:spacing w:after="0"/>
              <w:rPr>
                <w:sz w:val="20"/>
                <w:szCs w:val="20"/>
                <w:color w:val="auto"/>
              </w:rPr>
            </w:pPr>
            <w:r>
              <w:rPr>
                <w:rFonts w:ascii="Arial" w:cs="Arial" w:eastAsia="Arial" w:hAnsi="Arial"/>
                <w:sz w:val="16"/>
                <w:szCs w:val="16"/>
                <w:b w:val="1"/>
                <w:bCs w:val="1"/>
                <w:color w:val="auto"/>
              </w:rPr>
              <w:t> Tax &amp; Accounting Professionals</w:t>
            </w:r>
          </w:p>
        </w:tc>
        <w:tc>
          <w:tcPr>
            <w:tcW w:w="24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196</w:t>
            </w:r>
          </w:p>
        </w:tc>
        <w:tc>
          <w:tcPr>
            <w:tcW w:w="22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188</w:t>
            </w:r>
          </w:p>
        </w:tc>
        <w:tc>
          <w:tcPr>
            <w:tcW w:w="240" w:type="dxa"/>
            <w:vAlign w:val="bottom"/>
            <w:tcBorders>
              <w:bottom w:val="single" w:sz="8" w:color="B2B2B2"/>
            </w:tcBorders>
          </w:tcPr>
          <w:p>
            <w:pPr>
              <w:spacing w:after="0"/>
              <w:rPr>
                <w:sz w:val="17"/>
                <w:szCs w:val="17"/>
                <w:color w:val="auto"/>
              </w:rPr>
            </w:pPr>
          </w:p>
        </w:tc>
        <w:tc>
          <w:tcPr>
            <w:tcW w:w="740" w:type="dxa"/>
            <w:vAlign w:val="bottom"/>
            <w:tcBorders>
              <w:bottom w:val="single" w:sz="8" w:color="B2B2B2"/>
            </w:tcBorders>
          </w:tcPr>
          <w:p>
            <w:pPr>
              <w:jc w:val="right"/>
              <w:ind w:right="40"/>
              <w:spacing w:after="0"/>
              <w:rPr>
                <w:sz w:val="20"/>
                <w:szCs w:val="20"/>
                <w:color w:val="auto"/>
              </w:rPr>
            </w:pPr>
            <w:r>
              <w:rPr>
                <w:rFonts w:ascii="Arial" w:cs="Arial" w:eastAsia="Arial" w:hAnsi="Arial"/>
                <w:sz w:val="16"/>
                <w:szCs w:val="16"/>
                <w:color w:val="auto"/>
              </w:rPr>
              <w:t>4%</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w:t>
            </w:r>
          </w:p>
        </w:tc>
        <w:tc>
          <w:tcPr>
            <w:tcW w:w="8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1"/>
        </w:trPr>
        <w:tc>
          <w:tcPr>
            <w:tcW w:w="5100" w:type="dxa"/>
            <w:vAlign w:val="bottom"/>
            <w:gridSpan w:val="4"/>
          </w:tcPr>
          <w:p>
            <w:pPr>
              <w:spacing w:after="0"/>
              <w:rPr>
                <w:sz w:val="20"/>
                <w:szCs w:val="20"/>
                <w:color w:val="auto"/>
              </w:rPr>
            </w:pPr>
            <w:r>
              <w:rPr>
                <w:rFonts w:ascii="Arial" w:cs="Arial" w:eastAsia="Arial" w:hAnsi="Arial"/>
                <w:sz w:val="16"/>
                <w:szCs w:val="16"/>
                <w:b w:val="1"/>
                <w:bCs w:val="1"/>
                <w:color w:val="auto"/>
              </w:rPr>
              <w:t> “Big 3” Segments Combined</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648</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624</w:t>
            </w:r>
          </w:p>
        </w:tc>
        <w:tc>
          <w:tcPr>
            <w:tcW w:w="240" w:type="dxa"/>
            <w:vAlign w:val="bottom"/>
          </w:tcPr>
          <w:p>
            <w:pPr>
              <w:spacing w:after="0"/>
              <w:rPr>
                <w:sz w:val="16"/>
                <w:szCs w:val="16"/>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5080" w:type="dxa"/>
            <w:vAlign w:val="bottom"/>
            <w:gridSpan w:val="3"/>
          </w:tcPr>
          <w:p>
            <w:pPr>
              <w:ind w:left="140"/>
              <w:spacing w:after="0"/>
              <w:rPr>
                <w:sz w:val="20"/>
                <w:szCs w:val="20"/>
                <w:color w:val="auto"/>
              </w:rPr>
            </w:pPr>
            <w:r>
              <w:rPr>
                <w:rFonts w:ascii="Arial" w:cs="Arial" w:eastAsia="Arial" w:hAnsi="Arial"/>
                <w:sz w:val="16"/>
                <w:szCs w:val="16"/>
                <w:b w:val="1"/>
                <w:bCs w:val="1"/>
                <w:color w:val="auto"/>
              </w:rPr>
              <w:t> Reuters News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61</w:t>
            </w:r>
          </w:p>
        </w:tc>
        <w:tc>
          <w:tcPr>
            <w:tcW w:w="240" w:type="dxa"/>
            <w:vAlign w:val="bottom"/>
          </w:tcPr>
          <w:p>
            <w:pPr>
              <w:spacing w:after="0"/>
              <w:rPr>
                <w:sz w:val="17"/>
                <w:szCs w:val="17"/>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(26%)</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880" w:type="dxa"/>
            <w:vAlign w:val="bottom"/>
          </w:tcPr>
          <w:p>
            <w:pPr>
              <w:jc w:val="right"/>
              <w:spacing w:after="0"/>
              <w:rPr>
                <w:sz w:val="20"/>
                <w:szCs w:val="20"/>
                <w:color w:val="auto"/>
              </w:rPr>
            </w:pPr>
            <w:r>
              <w:rPr>
                <w:rFonts w:ascii="Arial" w:cs="Arial" w:eastAsia="Arial" w:hAnsi="Arial"/>
                <w:sz w:val="16"/>
                <w:szCs w:val="16"/>
                <w:color w:val="auto"/>
              </w:rPr>
              <w:t>(26%)</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080" w:type="dxa"/>
            <w:vAlign w:val="bottom"/>
            <w:gridSpan w:val="3"/>
          </w:tcPr>
          <w:p>
            <w:pPr>
              <w:ind w:left="140"/>
              <w:spacing w:after="0"/>
              <w:rPr>
                <w:sz w:val="20"/>
                <w:szCs w:val="20"/>
                <w:color w:val="auto"/>
              </w:rPr>
            </w:pPr>
            <w:r>
              <w:rPr>
                <w:rFonts w:ascii="Arial" w:cs="Arial" w:eastAsia="Arial" w:hAnsi="Arial"/>
                <w:sz w:val="16"/>
                <w:szCs w:val="16"/>
                <w:b w:val="1"/>
                <w:bCs w:val="1"/>
                <w:color w:val="auto"/>
              </w:rPr>
              <w:t> Global Print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55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55</w:t>
            </w:r>
          </w:p>
        </w:tc>
        <w:tc>
          <w:tcPr>
            <w:tcW w:w="240" w:type="dxa"/>
            <w:vAlign w:val="bottom"/>
          </w:tcPr>
          <w:p>
            <w:pPr>
              <w:spacing w:after="0"/>
              <w:rPr>
                <w:sz w:val="17"/>
                <w:szCs w:val="17"/>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080" w:type="dxa"/>
            <w:vAlign w:val="bottom"/>
            <w:gridSpan w:val="3"/>
          </w:tcPr>
          <w:p>
            <w:pPr>
              <w:ind w:left="140"/>
              <w:spacing w:after="0"/>
              <w:rPr>
                <w:sz w:val="20"/>
                <w:szCs w:val="20"/>
                <w:color w:val="auto"/>
              </w:rPr>
            </w:pPr>
            <w:r>
              <w:rPr>
                <w:rFonts w:ascii="Arial" w:cs="Arial" w:eastAsia="Arial" w:hAnsi="Arial"/>
                <w:sz w:val="16"/>
                <w:szCs w:val="16"/>
                <w:b w:val="1"/>
                <w:bCs w:val="1"/>
                <w:color w:val="auto"/>
              </w:rPr>
              <w:t> Corporate costs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17"/>
                <w:szCs w:val="17"/>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900" w:type="dxa"/>
            <w:vAlign w:val="bottom"/>
          </w:tcPr>
          <w:p>
            <w:pPr>
              <w:jc w:val="right"/>
              <w:spacing w:after="0"/>
              <w:rPr>
                <w:sz w:val="20"/>
                <w:szCs w:val="20"/>
                <w:color w:val="auto"/>
              </w:rPr>
            </w:pPr>
            <w:r>
              <w:rPr>
                <w:rFonts w:ascii="Arial" w:cs="Arial" w:eastAsia="Arial" w:hAnsi="Arial"/>
                <w:sz w:val="16"/>
                <w:szCs w:val="16"/>
                <w:color w:val="auto"/>
              </w:rPr>
              <w:t>n/a</w:t>
            </w:r>
          </w:p>
        </w:tc>
        <w:tc>
          <w:tcPr>
            <w:tcW w:w="1980" w:type="dxa"/>
            <w:vAlign w:val="bottom"/>
            <w:gridSpan w:val="3"/>
          </w:tcPr>
          <w:p>
            <w:pPr>
              <w:jc w:val="right"/>
              <w:ind w:right="1180"/>
              <w:spacing w:after="0"/>
              <w:rPr>
                <w:sz w:val="20"/>
                <w:szCs w:val="20"/>
                <w:color w:val="auto"/>
              </w:rPr>
            </w:pPr>
            <w:r>
              <w:rPr>
                <w:rFonts w:ascii="Arial" w:cs="Arial" w:eastAsia="Arial" w:hAnsi="Arial"/>
                <w:sz w:val="16"/>
                <w:szCs w:val="16"/>
                <w:color w:val="auto"/>
              </w:rPr>
              <w:t>n/a</w:t>
            </w:r>
          </w:p>
        </w:tc>
      </w:tr>
      <w:tr>
        <w:trPr>
          <w:trHeight w:val="192"/>
        </w:trPr>
        <w:tc>
          <w:tcPr>
            <w:tcW w:w="5100" w:type="dxa"/>
            <w:vAlign w:val="bottom"/>
            <w:tcBorders>
              <w:top w:val="single" w:sz="8" w:color="B2B2B2"/>
              <w:bottom w:val="single" w:sz="8" w:color="B2B2B2"/>
            </w:tcBorders>
            <w:gridSpan w:val="4"/>
          </w:tcPr>
          <w:p>
            <w:pPr>
              <w:spacing w:after="0"/>
              <w:rPr>
                <w:sz w:val="20"/>
                <w:szCs w:val="20"/>
                <w:color w:val="auto"/>
              </w:rPr>
            </w:pPr>
            <w:r>
              <w:rPr>
                <w:rFonts w:ascii="Arial" w:cs="Arial" w:eastAsia="Arial" w:hAnsi="Arial"/>
                <w:sz w:val="16"/>
                <w:szCs w:val="16"/>
                <w:b w:val="1"/>
                <w:bCs w:val="1"/>
                <w:color w:val="auto"/>
              </w:rPr>
              <w:t> Adjusted EBITDA</w:t>
            </w:r>
          </w:p>
        </w:tc>
        <w:tc>
          <w:tcPr>
            <w:tcW w:w="240" w:type="dxa"/>
            <w:vAlign w:val="bottom"/>
            <w:tcBorders>
              <w:top w:val="single" w:sz="8" w:color="B2B2B2"/>
              <w:bottom w:val="single" w:sz="8" w:color="B2B2B2"/>
            </w:tcBorders>
          </w:tcPr>
          <w:p>
            <w:pPr>
              <w:spacing w:after="0"/>
              <w:rPr>
                <w:sz w:val="16"/>
                <w:szCs w:val="16"/>
                <w:color w:val="auto"/>
              </w:rPr>
            </w:pPr>
          </w:p>
        </w:tc>
        <w:tc>
          <w:tcPr>
            <w:tcW w:w="140" w:type="dxa"/>
            <w:vAlign w:val="bottom"/>
            <w:tcBorders>
              <w:top w:val="single" w:sz="8" w:color="B2B2B2"/>
              <w:bottom w:val="single" w:sz="8" w:color="B2B2B2"/>
            </w:tcBorders>
          </w:tcPr>
          <w:p>
            <w:pPr>
              <w:spacing w:after="0"/>
              <w:rPr>
                <w:sz w:val="16"/>
                <w:szCs w:val="16"/>
                <w:color w:val="auto"/>
              </w:rPr>
            </w:pPr>
          </w:p>
        </w:tc>
        <w:tc>
          <w:tcPr>
            <w:tcW w:w="56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718</w:t>
            </w:r>
          </w:p>
        </w:tc>
        <w:tc>
          <w:tcPr>
            <w:tcW w:w="220" w:type="dxa"/>
            <w:vAlign w:val="bottom"/>
            <w:tcBorders>
              <w:top w:val="single" w:sz="8" w:color="B2B2B2"/>
              <w:bottom w:val="single" w:sz="8" w:color="B2B2B2"/>
            </w:tcBorders>
          </w:tcPr>
          <w:p>
            <w:pPr>
              <w:spacing w:after="0"/>
              <w:rPr>
                <w:sz w:val="16"/>
                <w:szCs w:val="16"/>
                <w:color w:val="auto"/>
              </w:rPr>
            </w:pPr>
          </w:p>
        </w:tc>
        <w:tc>
          <w:tcPr>
            <w:tcW w:w="140" w:type="dxa"/>
            <w:vAlign w:val="bottom"/>
            <w:tcBorders>
              <w:top w:val="single" w:sz="8" w:color="B2B2B2"/>
              <w:bottom w:val="single" w:sz="8" w:color="B2B2B2"/>
            </w:tcBorders>
          </w:tcPr>
          <w:p>
            <w:pPr>
              <w:spacing w:after="0"/>
              <w:rPr>
                <w:sz w:val="16"/>
                <w:szCs w:val="16"/>
                <w:color w:val="auto"/>
              </w:rPr>
            </w:pPr>
          </w:p>
        </w:tc>
        <w:tc>
          <w:tcPr>
            <w:tcW w:w="56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707</w:t>
            </w:r>
          </w:p>
        </w:tc>
        <w:tc>
          <w:tcPr>
            <w:tcW w:w="240" w:type="dxa"/>
            <w:vAlign w:val="bottom"/>
            <w:tcBorders>
              <w:top w:val="single" w:sz="8" w:color="B2B2B2"/>
              <w:bottom w:val="single" w:sz="8" w:color="B2B2B2"/>
            </w:tcBorders>
          </w:tcPr>
          <w:p>
            <w:pPr>
              <w:spacing w:after="0"/>
              <w:rPr>
                <w:sz w:val="16"/>
                <w:szCs w:val="16"/>
                <w:color w:val="auto"/>
              </w:rPr>
            </w:pPr>
          </w:p>
        </w:tc>
        <w:tc>
          <w:tcPr>
            <w:tcW w:w="740" w:type="dxa"/>
            <w:vAlign w:val="bottom"/>
            <w:tcBorders>
              <w:top w:val="single" w:sz="8" w:color="B2B2B2"/>
              <w:bottom w:val="single" w:sz="8" w:color="B2B2B2"/>
            </w:tcBorders>
          </w:tcPr>
          <w:p>
            <w:pPr>
              <w:jc w:val="right"/>
              <w:ind w:right="40"/>
              <w:spacing w:after="0"/>
              <w:rPr>
                <w:sz w:val="20"/>
                <w:szCs w:val="20"/>
                <w:color w:val="auto"/>
              </w:rPr>
            </w:pPr>
            <w:r>
              <w:rPr>
                <w:rFonts w:ascii="Arial" w:cs="Arial" w:eastAsia="Arial" w:hAnsi="Arial"/>
                <w:sz w:val="16"/>
                <w:szCs w:val="16"/>
                <w:color w:val="auto"/>
              </w:rPr>
              <w:t>2%</w:t>
            </w:r>
          </w:p>
        </w:tc>
        <w:tc>
          <w:tcPr>
            <w:tcW w:w="90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1%</w:t>
            </w:r>
          </w:p>
        </w:tc>
        <w:tc>
          <w:tcPr>
            <w:tcW w:w="88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1%</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6"/>
        </w:trPr>
        <w:tc>
          <w:tcPr>
            <w:tcW w:w="5100" w:type="dxa"/>
            <w:vAlign w:val="bottom"/>
            <w:gridSpan w:val="4"/>
          </w:tcPr>
          <w:p>
            <w:pPr>
              <w:spacing w:after="0" w:line="165" w:lineRule="exact"/>
              <w:rPr>
                <w:sz w:val="20"/>
                <w:szCs w:val="20"/>
                <w:color w:val="auto"/>
              </w:rPr>
            </w:pPr>
            <w:r>
              <w:rPr>
                <w:rFonts w:ascii="Arial" w:cs="Arial" w:eastAsia="Arial" w:hAnsi="Arial"/>
                <w:sz w:val="16"/>
                <w:szCs w:val="16"/>
                <w:b w:val="1"/>
                <w:bCs w:val="1"/>
                <w:color w:val="auto"/>
              </w:rPr>
              <w:t> Adjusted EBITDA margin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190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 Legal Professionals</w:t>
            </w:r>
          </w:p>
        </w:tc>
        <w:tc>
          <w:tcPr>
            <w:tcW w:w="3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41.0%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42.5%</w:t>
            </w:r>
          </w:p>
        </w:tc>
        <w:tc>
          <w:tcPr>
            <w:tcW w:w="24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(150)bp</w:t>
            </w:r>
          </w:p>
        </w:tc>
        <w:tc>
          <w:tcPr>
            <w:tcW w:w="900" w:type="dxa"/>
            <w:vAlign w:val="bottom"/>
          </w:tcPr>
          <w:p>
            <w:pPr>
              <w:jc w:val="right"/>
              <w:spacing w:after="0"/>
              <w:rPr>
                <w:sz w:val="20"/>
                <w:szCs w:val="20"/>
                <w:color w:val="auto"/>
              </w:rPr>
            </w:pPr>
            <w:r>
              <w:rPr>
                <w:rFonts w:ascii="Arial" w:cs="Arial" w:eastAsia="Arial" w:hAnsi="Arial"/>
                <w:sz w:val="16"/>
                <w:szCs w:val="16"/>
                <w:color w:val="auto"/>
              </w:rPr>
              <w:t>50bp</w:t>
            </w:r>
          </w:p>
        </w:tc>
        <w:tc>
          <w:tcPr>
            <w:tcW w:w="1980" w:type="dxa"/>
            <w:vAlign w:val="bottom"/>
            <w:gridSpan w:val="3"/>
          </w:tcPr>
          <w:p>
            <w:pPr>
              <w:jc w:val="right"/>
              <w:ind w:right="1180"/>
              <w:spacing w:after="0"/>
              <w:rPr>
                <w:sz w:val="20"/>
                <w:szCs w:val="20"/>
                <w:color w:val="auto"/>
              </w:rPr>
            </w:pPr>
            <w:r>
              <w:rPr>
                <w:rFonts w:ascii="Arial" w:cs="Arial" w:eastAsia="Arial" w:hAnsi="Arial"/>
                <w:sz w:val="16"/>
                <w:szCs w:val="16"/>
                <w:color w:val="auto"/>
              </w:rPr>
              <w:t>(200)bp</w:t>
            </w:r>
          </w:p>
        </w:tc>
      </w:tr>
      <w:tr>
        <w:trPr>
          <w:trHeight w:val="199"/>
        </w:trPr>
        <w:tc>
          <w:tcPr>
            <w:tcW w:w="20" w:type="dxa"/>
            <w:vAlign w:val="bottom"/>
          </w:tcPr>
          <w:p>
            <w:pPr>
              <w:spacing w:after="0"/>
              <w:rPr>
                <w:sz w:val="17"/>
                <w:szCs w:val="17"/>
                <w:color w:val="auto"/>
              </w:rPr>
            </w:pPr>
          </w:p>
        </w:tc>
        <w:tc>
          <w:tcPr>
            <w:tcW w:w="5080" w:type="dxa"/>
            <w:vAlign w:val="bottom"/>
            <w:gridSpan w:val="3"/>
          </w:tcPr>
          <w:p>
            <w:pPr>
              <w:ind w:left="140"/>
              <w:spacing w:after="0"/>
              <w:rPr>
                <w:sz w:val="20"/>
                <w:szCs w:val="20"/>
                <w:color w:val="auto"/>
              </w:rPr>
            </w:pPr>
            <w:r>
              <w:rPr>
                <w:rFonts w:ascii="Arial" w:cs="Arial" w:eastAsia="Arial" w:hAnsi="Arial"/>
                <w:sz w:val="16"/>
                <w:szCs w:val="16"/>
                <w:b w:val="1"/>
                <w:bCs w:val="1"/>
                <w:color w:val="auto"/>
              </w:rPr>
              <w:t> Corporates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33.5%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34.5%</w:t>
            </w:r>
          </w:p>
        </w:tc>
        <w:tc>
          <w:tcPr>
            <w:tcW w:w="240" w:type="dxa"/>
            <w:vAlign w:val="bottom"/>
          </w:tcPr>
          <w:p>
            <w:pPr>
              <w:spacing w:after="0"/>
              <w:rPr>
                <w:sz w:val="17"/>
                <w:szCs w:val="17"/>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(100)bp</w:t>
            </w:r>
          </w:p>
        </w:tc>
        <w:tc>
          <w:tcPr>
            <w:tcW w:w="900" w:type="dxa"/>
            <w:vAlign w:val="bottom"/>
          </w:tcPr>
          <w:p>
            <w:pPr>
              <w:jc w:val="right"/>
              <w:spacing w:after="0"/>
              <w:rPr>
                <w:sz w:val="20"/>
                <w:szCs w:val="20"/>
                <w:color w:val="auto"/>
              </w:rPr>
            </w:pPr>
            <w:r>
              <w:rPr>
                <w:rFonts w:ascii="Arial" w:cs="Arial" w:eastAsia="Arial" w:hAnsi="Arial"/>
                <w:sz w:val="16"/>
                <w:szCs w:val="16"/>
                <w:color w:val="auto"/>
              </w:rPr>
              <w:t>90bp</w:t>
            </w:r>
          </w:p>
        </w:tc>
        <w:tc>
          <w:tcPr>
            <w:tcW w:w="1980" w:type="dxa"/>
            <w:vAlign w:val="bottom"/>
            <w:gridSpan w:val="3"/>
          </w:tcPr>
          <w:p>
            <w:pPr>
              <w:jc w:val="right"/>
              <w:ind w:right="1180"/>
              <w:spacing w:after="0"/>
              <w:rPr>
                <w:sz w:val="20"/>
                <w:szCs w:val="20"/>
                <w:color w:val="auto"/>
              </w:rPr>
            </w:pPr>
            <w:r>
              <w:rPr>
                <w:rFonts w:ascii="Arial" w:cs="Arial" w:eastAsia="Arial" w:hAnsi="Arial"/>
                <w:sz w:val="16"/>
                <w:szCs w:val="16"/>
                <w:color w:val="auto"/>
              </w:rPr>
              <w:t>(190)bp</w:t>
            </w:r>
          </w:p>
        </w:tc>
      </w:tr>
      <w:tr>
        <w:trPr>
          <w:trHeight w:val="200"/>
        </w:trPr>
        <w:tc>
          <w:tcPr>
            <w:tcW w:w="20" w:type="dxa"/>
            <w:vAlign w:val="bottom"/>
          </w:tcPr>
          <w:p>
            <w:pPr>
              <w:spacing w:after="0"/>
              <w:rPr>
                <w:sz w:val="17"/>
                <w:szCs w:val="17"/>
                <w:color w:val="auto"/>
              </w:rPr>
            </w:pPr>
          </w:p>
        </w:tc>
        <w:tc>
          <w:tcPr>
            <w:tcW w:w="5080" w:type="dxa"/>
            <w:vAlign w:val="bottom"/>
            <w:gridSpan w:val="3"/>
          </w:tcPr>
          <w:p>
            <w:pPr>
              <w:ind w:left="140"/>
              <w:spacing w:after="0"/>
              <w:rPr>
                <w:sz w:val="20"/>
                <w:szCs w:val="20"/>
                <w:color w:val="auto"/>
              </w:rPr>
            </w:pPr>
            <w:r>
              <w:rPr>
                <w:rFonts w:ascii="Arial" w:cs="Arial" w:eastAsia="Arial" w:hAnsi="Arial"/>
                <w:sz w:val="16"/>
                <w:szCs w:val="16"/>
                <w:b w:val="1"/>
                <w:bCs w:val="1"/>
                <w:color w:val="auto"/>
              </w:rPr>
              <w:t> Tax &amp; Accounting Professionals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53.4%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54.6%</w:t>
            </w:r>
          </w:p>
        </w:tc>
        <w:tc>
          <w:tcPr>
            <w:tcW w:w="240" w:type="dxa"/>
            <w:vAlign w:val="bottom"/>
          </w:tcPr>
          <w:p>
            <w:pPr>
              <w:spacing w:after="0"/>
              <w:rPr>
                <w:sz w:val="17"/>
                <w:szCs w:val="17"/>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(120)bp</w:t>
            </w:r>
          </w:p>
        </w:tc>
        <w:tc>
          <w:tcPr>
            <w:tcW w:w="900" w:type="dxa"/>
            <w:vAlign w:val="bottom"/>
          </w:tcPr>
          <w:p>
            <w:pPr>
              <w:jc w:val="right"/>
              <w:spacing w:after="0"/>
              <w:rPr>
                <w:sz w:val="20"/>
                <w:szCs w:val="20"/>
                <w:color w:val="auto"/>
              </w:rPr>
            </w:pPr>
            <w:r>
              <w:rPr>
                <w:rFonts w:ascii="Arial" w:cs="Arial" w:eastAsia="Arial" w:hAnsi="Arial"/>
                <w:sz w:val="16"/>
                <w:szCs w:val="16"/>
                <w:color w:val="auto"/>
              </w:rPr>
              <w:t>(30)bp</w:t>
            </w:r>
          </w:p>
        </w:tc>
        <w:tc>
          <w:tcPr>
            <w:tcW w:w="1980" w:type="dxa"/>
            <w:vAlign w:val="bottom"/>
            <w:gridSpan w:val="3"/>
          </w:tcPr>
          <w:p>
            <w:pPr>
              <w:jc w:val="right"/>
              <w:ind w:right="1180"/>
              <w:spacing w:after="0"/>
              <w:rPr>
                <w:sz w:val="20"/>
                <w:szCs w:val="20"/>
                <w:color w:val="auto"/>
              </w:rPr>
            </w:pPr>
            <w:r>
              <w:rPr>
                <w:rFonts w:ascii="Arial" w:cs="Arial" w:eastAsia="Arial" w:hAnsi="Arial"/>
                <w:sz w:val="16"/>
                <w:szCs w:val="16"/>
                <w:color w:val="auto"/>
              </w:rPr>
              <w:t>(90)bp</w:t>
            </w:r>
          </w:p>
        </w:tc>
      </w:tr>
      <w:tr>
        <w:trPr>
          <w:trHeight w:val="191"/>
        </w:trPr>
        <w:tc>
          <w:tcPr>
            <w:tcW w:w="5100" w:type="dxa"/>
            <w:vAlign w:val="bottom"/>
            <w:tcBorders>
              <w:top w:val="single" w:sz="8" w:color="B2B2B2"/>
            </w:tcBorders>
            <w:gridSpan w:val="4"/>
          </w:tcPr>
          <w:p>
            <w:pPr>
              <w:spacing w:after="0"/>
              <w:rPr>
                <w:sz w:val="20"/>
                <w:szCs w:val="20"/>
                <w:color w:val="auto"/>
              </w:rPr>
            </w:pPr>
            <w:r>
              <w:rPr>
                <w:rFonts w:ascii="Arial" w:cs="Arial" w:eastAsia="Arial" w:hAnsi="Arial"/>
                <w:sz w:val="16"/>
                <w:szCs w:val="16"/>
                <w:b w:val="1"/>
                <w:bCs w:val="1"/>
                <w:color w:val="auto"/>
              </w:rPr>
              <w:t> “Big 3” Segments Combined</w:t>
            </w:r>
          </w:p>
        </w:tc>
        <w:tc>
          <w:tcPr>
            <w:tcW w:w="240" w:type="dxa"/>
            <w:vAlign w:val="bottom"/>
            <w:tcBorders>
              <w:top w:val="single" w:sz="8" w:color="B2B2B2"/>
            </w:tcBorders>
          </w:tcPr>
          <w:p>
            <w:pPr>
              <w:spacing w:after="0"/>
              <w:rPr>
                <w:sz w:val="16"/>
                <w:szCs w:val="16"/>
                <w:color w:val="auto"/>
              </w:rPr>
            </w:pPr>
          </w:p>
        </w:tc>
        <w:tc>
          <w:tcPr>
            <w:tcW w:w="140" w:type="dxa"/>
            <w:vAlign w:val="bottom"/>
            <w:tcBorders>
              <w:top w:val="single" w:sz="8" w:color="B2B2B2"/>
            </w:tcBorders>
          </w:tcPr>
          <w:p>
            <w:pPr>
              <w:spacing w:after="0"/>
              <w:rPr>
                <w:sz w:val="16"/>
                <w:szCs w:val="16"/>
                <w:color w:val="auto"/>
              </w:rPr>
            </w:pPr>
          </w:p>
        </w:tc>
        <w:tc>
          <w:tcPr>
            <w:tcW w:w="560" w:type="dxa"/>
            <w:vAlign w:val="bottom"/>
            <w:tcBorders>
              <w:top w:val="single" w:sz="8" w:color="B2B2B2"/>
            </w:tcBorders>
          </w:tcPr>
          <w:p>
            <w:pPr>
              <w:jc w:val="right"/>
              <w:spacing w:after="0"/>
              <w:rPr>
                <w:sz w:val="20"/>
                <w:szCs w:val="20"/>
                <w:color w:val="auto"/>
              </w:rPr>
            </w:pPr>
            <w:r>
              <w:rPr>
                <w:rFonts w:ascii="Arial" w:cs="Arial" w:eastAsia="Arial" w:hAnsi="Arial"/>
                <w:sz w:val="16"/>
                <w:szCs w:val="16"/>
                <w:b w:val="1"/>
                <w:bCs w:val="1"/>
                <w:color w:val="auto"/>
              </w:rPr>
              <w:t>41.7%</w:t>
            </w:r>
          </w:p>
        </w:tc>
        <w:tc>
          <w:tcPr>
            <w:tcW w:w="220" w:type="dxa"/>
            <w:vAlign w:val="bottom"/>
            <w:tcBorders>
              <w:top w:val="single" w:sz="8" w:color="B2B2B2"/>
            </w:tcBorders>
          </w:tcPr>
          <w:p>
            <w:pPr>
              <w:spacing w:after="0"/>
              <w:rPr>
                <w:sz w:val="16"/>
                <w:szCs w:val="16"/>
                <w:color w:val="auto"/>
              </w:rPr>
            </w:pPr>
          </w:p>
        </w:tc>
        <w:tc>
          <w:tcPr>
            <w:tcW w:w="140" w:type="dxa"/>
            <w:vAlign w:val="bottom"/>
            <w:tcBorders>
              <w:top w:val="single" w:sz="8" w:color="B2B2B2"/>
            </w:tcBorders>
          </w:tcPr>
          <w:p>
            <w:pPr>
              <w:spacing w:after="0"/>
              <w:rPr>
                <w:sz w:val="16"/>
                <w:szCs w:val="16"/>
                <w:color w:val="auto"/>
              </w:rPr>
            </w:pPr>
          </w:p>
        </w:tc>
        <w:tc>
          <w:tcPr>
            <w:tcW w:w="5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43.1%</w:t>
            </w:r>
          </w:p>
        </w:tc>
        <w:tc>
          <w:tcPr>
            <w:tcW w:w="240" w:type="dxa"/>
            <w:vAlign w:val="bottom"/>
            <w:tcBorders>
              <w:top w:val="single" w:sz="8" w:color="B2B2B2"/>
            </w:tcBorders>
          </w:tcPr>
          <w:p>
            <w:pPr>
              <w:spacing w:after="0"/>
              <w:rPr>
                <w:sz w:val="16"/>
                <w:szCs w:val="16"/>
                <w:color w:val="auto"/>
              </w:rPr>
            </w:pPr>
          </w:p>
        </w:tc>
        <w:tc>
          <w:tcPr>
            <w:tcW w:w="740" w:type="dxa"/>
            <w:vAlign w:val="bottom"/>
            <w:tcBorders>
              <w:top w:val="single" w:sz="8" w:color="B2B2B2"/>
            </w:tcBorders>
          </w:tcPr>
          <w:p>
            <w:pPr>
              <w:jc w:val="right"/>
              <w:ind w:right="40"/>
              <w:spacing w:after="0"/>
              <w:rPr>
                <w:sz w:val="20"/>
                <w:szCs w:val="20"/>
                <w:color w:val="auto"/>
              </w:rPr>
            </w:pPr>
            <w:r>
              <w:rPr>
                <w:rFonts w:ascii="Arial" w:cs="Arial" w:eastAsia="Arial" w:hAnsi="Arial"/>
                <w:sz w:val="16"/>
                <w:szCs w:val="16"/>
                <w:color w:val="auto"/>
              </w:rPr>
              <w:t>(140)bp</w:t>
            </w:r>
          </w:p>
        </w:tc>
        <w:tc>
          <w:tcPr>
            <w:tcW w:w="90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50bp</w:t>
            </w:r>
          </w:p>
        </w:tc>
        <w:tc>
          <w:tcPr>
            <w:tcW w:w="88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(190)bp</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5080" w:type="dxa"/>
            <w:vAlign w:val="bottom"/>
            <w:gridSpan w:val="3"/>
          </w:tcPr>
          <w:p>
            <w:pPr>
              <w:ind w:left="140"/>
              <w:spacing w:after="0"/>
              <w:rPr>
                <w:sz w:val="20"/>
                <w:szCs w:val="20"/>
                <w:color w:val="auto"/>
              </w:rPr>
            </w:pPr>
            <w:r>
              <w:rPr>
                <w:rFonts w:ascii="Arial" w:cs="Arial" w:eastAsia="Arial" w:hAnsi="Arial"/>
                <w:sz w:val="16"/>
                <w:szCs w:val="16"/>
                <w:b w:val="1"/>
                <w:bCs w:val="1"/>
                <w:color w:val="auto"/>
              </w:rPr>
              <w:t> Reuters News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20.8%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27.9%</w:t>
            </w:r>
          </w:p>
        </w:tc>
        <w:tc>
          <w:tcPr>
            <w:tcW w:w="240" w:type="dxa"/>
            <w:vAlign w:val="bottom"/>
          </w:tcPr>
          <w:p>
            <w:pPr>
              <w:spacing w:after="0"/>
              <w:rPr>
                <w:sz w:val="17"/>
                <w:szCs w:val="17"/>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(710)bp</w:t>
            </w:r>
          </w:p>
        </w:tc>
        <w:tc>
          <w:tcPr>
            <w:tcW w:w="900" w:type="dxa"/>
            <w:vAlign w:val="bottom"/>
          </w:tcPr>
          <w:p>
            <w:pPr>
              <w:jc w:val="right"/>
              <w:spacing w:after="0"/>
              <w:rPr>
                <w:sz w:val="20"/>
                <w:szCs w:val="20"/>
                <w:color w:val="auto"/>
              </w:rPr>
            </w:pPr>
            <w:r>
              <w:rPr>
                <w:rFonts w:ascii="Arial" w:cs="Arial" w:eastAsia="Arial" w:hAnsi="Arial"/>
                <w:sz w:val="16"/>
                <w:szCs w:val="16"/>
                <w:color w:val="auto"/>
              </w:rPr>
              <w:t>(40)bp</w:t>
            </w:r>
          </w:p>
        </w:tc>
        <w:tc>
          <w:tcPr>
            <w:tcW w:w="1980" w:type="dxa"/>
            <w:vAlign w:val="bottom"/>
            <w:gridSpan w:val="3"/>
          </w:tcPr>
          <w:p>
            <w:pPr>
              <w:jc w:val="right"/>
              <w:ind w:right="1180"/>
              <w:spacing w:after="0"/>
              <w:rPr>
                <w:sz w:val="20"/>
                <w:szCs w:val="20"/>
                <w:color w:val="auto"/>
              </w:rPr>
            </w:pPr>
            <w:r>
              <w:rPr>
                <w:rFonts w:ascii="Arial" w:cs="Arial" w:eastAsia="Arial" w:hAnsi="Arial"/>
                <w:sz w:val="16"/>
                <w:szCs w:val="16"/>
                <w:color w:val="auto"/>
              </w:rPr>
              <w:t>(670)bp</w:t>
            </w:r>
          </w:p>
        </w:tc>
      </w:tr>
      <w:tr>
        <w:trPr>
          <w:trHeight w:val="200"/>
        </w:trPr>
        <w:tc>
          <w:tcPr>
            <w:tcW w:w="20" w:type="dxa"/>
            <w:vAlign w:val="bottom"/>
          </w:tcPr>
          <w:p>
            <w:pPr>
              <w:spacing w:after="0"/>
              <w:rPr>
                <w:sz w:val="17"/>
                <w:szCs w:val="17"/>
                <w:color w:val="auto"/>
              </w:rPr>
            </w:pPr>
          </w:p>
        </w:tc>
        <w:tc>
          <w:tcPr>
            <w:tcW w:w="5080" w:type="dxa"/>
            <w:vAlign w:val="bottom"/>
            <w:gridSpan w:val="3"/>
          </w:tcPr>
          <w:p>
            <w:pPr>
              <w:ind w:left="140"/>
              <w:spacing w:after="0"/>
              <w:rPr>
                <w:sz w:val="20"/>
                <w:szCs w:val="20"/>
                <w:color w:val="auto"/>
              </w:rPr>
            </w:pPr>
            <w:r>
              <w:rPr>
                <w:rFonts w:ascii="Arial" w:cs="Arial" w:eastAsia="Arial" w:hAnsi="Arial"/>
                <w:sz w:val="16"/>
                <w:szCs w:val="16"/>
                <w:b w:val="1"/>
                <w:bCs w:val="1"/>
                <w:color w:val="auto"/>
              </w:rPr>
              <w:t> Global Print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38.2%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36.4%</w:t>
            </w:r>
          </w:p>
        </w:tc>
        <w:tc>
          <w:tcPr>
            <w:tcW w:w="240" w:type="dxa"/>
            <w:vAlign w:val="bottom"/>
          </w:tcPr>
          <w:p>
            <w:pPr>
              <w:spacing w:after="0"/>
              <w:rPr>
                <w:sz w:val="17"/>
                <w:szCs w:val="17"/>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180bp</w:t>
            </w:r>
          </w:p>
        </w:tc>
        <w:tc>
          <w:tcPr>
            <w:tcW w:w="900" w:type="dxa"/>
            <w:vAlign w:val="bottom"/>
          </w:tcPr>
          <w:p>
            <w:pPr>
              <w:jc w:val="right"/>
              <w:spacing w:after="0"/>
              <w:rPr>
                <w:sz w:val="20"/>
                <w:szCs w:val="20"/>
                <w:color w:val="auto"/>
              </w:rPr>
            </w:pPr>
            <w:r>
              <w:rPr>
                <w:rFonts w:ascii="Arial" w:cs="Arial" w:eastAsia="Arial" w:hAnsi="Arial"/>
                <w:sz w:val="16"/>
                <w:szCs w:val="16"/>
                <w:color w:val="auto"/>
              </w:rPr>
              <w:t>(10)bp</w:t>
            </w:r>
          </w:p>
        </w:tc>
        <w:tc>
          <w:tcPr>
            <w:tcW w:w="1980" w:type="dxa"/>
            <w:vAlign w:val="bottom"/>
            <w:gridSpan w:val="3"/>
          </w:tcPr>
          <w:p>
            <w:pPr>
              <w:jc w:val="right"/>
              <w:ind w:right="1180"/>
              <w:spacing w:after="0"/>
              <w:rPr>
                <w:sz w:val="20"/>
                <w:szCs w:val="20"/>
                <w:color w:val="auto"/>
              </w:rPr>
            </w:pPr>
            <w:r>
              <w:rPr>
                <w:rFonts w:ascii="Arial" w:cs="Arial" w:eastAsia="Arial" w:hAnsi="Arial"/>
                <w:sz w:val="16"/>
                <w:szCs w:val="16"/>
                <w:color w:val="auto"/>
              </w:rPr>
              <w:t>190bp</w:t>
            </w:r>
          </w:p>
        </w:tc>
      </w:tr>
      <w:tr>
        <w:trPr>
          <w:trHeight w:val="192"/>
        </w:trPr>
        <w:tc>
          <w:tcPr>
            <w:tcW w:w="5100" w:type="dxa"/>
            <w:vAlign w:val="bottom"/>
            <w:tcBorders>
              <w:top w:val="single" w:sz="8" w:color="B2B2B2"/>
              <w:bottom w:val="single" w:sz="8" w:color="B2B2B2"/>
            </w:tcBorders>
            <w:gridSpan w:val="4"/>
          </w:tcPr>
          <w:p>
            <w:pPr>
              <w:spacing w:after="0"/>
              <w:rPr>
                <w:sz w:val="20"/>
                <w:szCs w:val="20"/>
                <w:color w:val="auto"/>
              </w:rPr>
            </w:pPr>
            <w:r>
              <w:rPr>
                <w:rFonts w:ascii="Arial" w:cs="Arial" w:eastAsia="Arial" w:hAnsi="Arial"/>
                <w:sz w:val="16"/>
                <w:szCs w:val="16"/>
                <w:b w:val="1"/>
                <w:bCs w:val="1"/>
                <w:color w:val="auto"/>
              </w:rPr>
              <w:t> Adjusted EBITDA margin</w:t>
            </w:r>
          </w:p>
        </w:tc>
        <w:tc>
          <w:tcPr>
            <w:tcW w:w="240" w:type="dxa"/>
            <w:vAlign w:val="bottom"/>
            <w:tcBorders>
              <w:top w:val="single" w:sz="8" w:color="B2B2B2"/>
              <w:bottom w:val="single" w:sz="8" w:color="B2B2B2"/>
            </w:tcBorders>
          </w:tcPr>
          <w:p>
            <w:pPr>
              <w:spacing w:after="0"/>
              <w:rPr>
                <w:sz w:val="16"/>
                <w:szCs w:val="16"/>
                <w:color w:val="auto"/>
              </w:rPr>
            </w:pPr>
          </w:p>
        </w:tc>
        <w:tc>
          <w:tcPr>
            <w:tcW w:w="140" w:type="dxa"/>
            <w:vAlign w:val="bottom"/>
            <w:tcBorders>
              <w:top w:val="single" w:sz="8" w:color="B2B2B2"/>
              <w:bottom w:val="single" w:sz="8" w:color="B2B2B2"/>
            </w:tcBorders>
          </w:tcPr>
          <w:p>
            <w:pPr>
              <w:spacing w:after="0"/>
              <w:rPr>
                <w:sz w:val="16"/>
                <w:szCs w:val="16"/>
                <w:color w:val="auto"/>
              </w:rPr>
            </w:pPr>
          </w:p>
        </w:tc>
        <w:tc>
          <w:tcPr>
            <w:tcW w:w="56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37.6%</w:t>
            </w:r>
          </w:p>
        </w:tc>
        <w:tc>
          <w:tcPr>
            <w:tcW w:w="220" w:type="dxa"/>
            <w:vAlign w:val="bottom"/>
            <w:tcBorders>
              <w:top w:val="single" w:sz="8" w:color="B2B2B2"/>
              <w:bottom w:val="single" w:sz="8" w:color="B2B2B2"/>
            </w:tcBorders>
          </w:tcPr>
          <w:p>
            <w:pPr>
              <w:spacing w:after="0"/>
              <w:rPr>
                <w:sz w:val="16"/>
                <w:szCs w:val="16"/>
                <w:color w:val="auto"/>
              </w:rPr>
            </w:pPr>
          </w:p>
        </w:tc>
        <w:tc>
          <w:tcPr>
            <w:tcW w:w="140" w:type="dxa"/>
            <w:vAlign w:val="bottom"/>
            <w:tcBorders>
              <w:top w:val="single" w:sz="8" w:color="B2B2B2"/>
              <w:bottom w:val="single" w:sz="8" w:color="B2B2B2"/>
            </w:tcBorders>
          </w:tcPr>
          <w:p>
            <w:pPr>
              <w:spacing w:after="0"/>
              <w:rPr>
                <w:sz w:val="16"/>
                <w:szCs w:val="16"/>
                <w:color w:val="auto"/>
              </w:rPr>
            </w:pPr>
          </w:p>
        </w:tc>
        <w:tc>
          <w:tcPr>
            <w:tcW w:w="56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38.9%</w:t>
            </w:r>
          </w:p>
        </w:tc>
        <w:tc>
          <w:tcPr>
            <w:tcW w:w="240" w:type="dxa"/>
            <w:vAlign w:val="bottom"/>
            <w:tcBorders>
              <w:top w:val="single" w:sz="8" w:color="B2B2B2"/>
              <w:bottom w:val="single" w:sz="8" w:color="B2B2B2"/>
            </w:tcBorders>
          </w:tcPr>
          <w:p>
            <w:pPr>
              <w:spacing w:after="0"/>
              <w:rPr>
                <w:sz w:val="16"/>
                <w:szCs w:val="16"/>
                <w:color w:val="auto"/>
              </w:rPr>
            </w:pPr>
          </w:p>
        </w:tc>
        <w:tc>
          <w:tcPr>
            <w:tcW w:w="740" w:type="dxa"/>
            <w:vAlign w:val="bottom"/>
            <w:tcBorders>
              <w:top w:val="single" w:sz="8" w:color="B2B2B2"/>
              <w:bottom w:val="single" w:sz="8" w:color="B2B2B2"/>
            </w:tcBorders>
          </w:tcPr>
          <w:p>
            <w:pPr>
              <w:jc w:val="right"/>
              <w:ind w:right="40"/>
              <w:spacing w:after="0"/>
              <w:rPr>
                <w:sz w:val="20"/>
                <w:szCs w:val="20"/>
                <w:color w:val="auto"/>
              </w:rPr>
            </w:pPr>
            <w:r>
              <w:rPr>
                <w:rFonts w:ascii="Arial" w:cs="Arial" w:eastAsia="Arial" w:hAnsi="Arial"/>
                <w:sz w:val="16"/>
                <w:szCs w:val="16"/>
                <w:color w:val="auto"/>
              </w:rPr>
              <w:t>(130)bp</w:t>
            </w:r>
          </w:p>
        </w:tc>
        <w:tc>
          <w:tcPr>
            <w:tcW w:w="90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30bp</w:t>
            </w:r>
          </w:p>
        </w:tc>
        <w:tc>
          <w:tcPr>
            <w:tcW w:w="88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(160)bp</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5100" w:type="dxa"/>
            <w:vAlign w:val="bottom"/>
            <w:gridSpan w:val="4"/>
          </w:tcPr>
          <w:p>
            <w:pPr>
              <w:spacing w:after="0"/>
              <w:rPr>
                <w:sz w:val="20"/>
                <w:szCs w:val="20"/>
                <w:color w:val="auto"/>
              </w:rPr>
            </w:pPr>
            <w:r>
              <w:rPr>
                <w:rFonts w:ascii="Arial" w:cs="Arial" w:eastAsia="Arial" w:hAnsi="Arial"/>
                <w:sz w:val="16"/>
                <w:szCs w:val="16"/>
                <w:b w:val="1"/>
                <w:bCs w:val="1"/>
                <w:color w:val="auto"/>
              </w:rPr>
              <w:t> Operating expenses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1,183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1,112</w:t>
            </w:r>
          </w:p>
        </w:tc>
        <w:tc>
          <w:tcPr>
            <w:tcW w:w="240" w:type="dxa"/>
            <w:vAlign w:val="bottom"/>
          </w:tcPr>
          <w:p>
            <w:pPr>
              <w:spacing w:after="0"/>
              <w:rPr>
                <w:sz w:val="16"/>
                <w:szCs w:val="16"/>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5100" w:type="dxa"/>
            <w:vAlign w:val="bottom"/>
            <w:tcBorders>
              <w:bottom w:val="single" w:sz="8" w:color="D64000"/>
            </w:tcBorders>
            <w:gridSpan w:val="4"/>
          </w:tcPr>
          <w:p>
            <w:pPr>
              <w:spacing w:after="0"/>
              <w:rPr>
                <w:sz w:val="20"/>
                <w:szCs w:val="20"/>
                <w:color w:val="auto"/>
              </w:rPr>
            </w:pPr>
            <w:r>
              <w:rPr>
                <w:rFonts w:ascii="Arial" w:cs="Arial" w:eastAsia="Arial" w:hAnsi="Arial"/>
                <w:sz w:val="16"/>
                <w:szCs w:val="16"/>
                <w:b w:val="1"/>
                <w:bCs w:val="1"/>
                <w:color w:val="auto"/>
              </w:rPr>
              <w:t> Adjusted EPS</w:t>
            </w:r>
          </w:p>
        </w:tc>
        <w:tc>
          <w:tcPr>
            <w:tcW w:w="240" w:type="dxa"/>
            <w:vAlign w:val="bottom"/>
            <w:tcBorders>
              <w:bottom w:val="single" w:sz="8" w:color="D64000"/>
            </w:tcBorders>
          </w:tcPr>
          <w:p>
            <w:pPr>
              <w:spacing w:after="0"/>
              <w:rPr>
                <w:sz w:val="17"/>
                <w:szCs w:val="17"/>
                <w:color w:val="auto"/>
              </w:rPr>
            </w:pPr>
          </w:p>
        </w:tc>
        <w:tc>
          <w:tcPr>
            <w:tcW w:w="140" w:type="dxa"/>
            <w:vAlign w:val="bottom"/>
            <w:tcBorders>
              <w:bottom w:val="single" w:sz="8" w:color="D64000"/>
            </w:tcBorders>
          </w:tcPr>
          <w:p>
            <w:pPr>
              <w:spacing w:after="0"/>
              <w:rPr>
                <w:sz w:val="17"/>
                <w:szCs w:val="17"/>
                <w:color w:val="auto"/>
              </w:rPr>
            </w:pPr>
          </w:p>
        </w:tc>
        <w:tc>
          <w:tcPr>
            <w:tcW w:w="560" w:type="dxa"/>
            <w:vAlign w:val="bottom"/>
            <w:tcBorders>
              <w:bottom w:val="single" w:sz="8" w:color="D64000"/>
            </w:tcBorders>
          </w:tcPr>
          <w:p>
            <w:pPr>
              <w:jc w:val="right"/>
              <w:spacing w:after="0"/>
              <w:rPr>
                <w:sz w:val="20"/>
                <w:szCs w:val="20"/>
                <w:color w:val="auto"/>
              </w:rPr>
            </w:pPr>
            <w:r>
              <w:rPr>
                <w:rFonts w:ascii="Arial" w:cs="Arial" w:eastAsia="Arial" w:hAnsi="Arial"/>
                <w:sz w:val="16"/>
                <w:szCs w:val="16"/>
                <w:b w:val="1"/>
                <w:bCs w:val="1"/>
                <w:color w:val="auto"/>
              </w:rPr>
              <w:t>$1.01</w:t>
            </w:r>
          </w:p>
        </w:tc>
        <w:tc>
          <w:tcPr>
            <w:tcW w:w="220" w:type="dxa"/>
            <w:vAlign w:val="bottom"/>
            <w:tcBorders>
              <w:bottom w:val="single" w:sz="8" w:color="D64000"/>
            </w:tcBorders>
          </w:tcPr>
          <w:p>
            <w:pPr>
              <w:spacing w:after="0"/>
              <w:rPr>
                <w:sz w:val="17"/>
                <w:szCs w:val="17"/>
                <w:color w:val="auto"/>
              </w:rPr>
            </w:pPr>
          </w:p>
        </w:tc>
        <w:tc>
          <w:tcPr>
            <w:tcW w:w="140" w:type="dxa"/>
            <w:vAlign w:val="bottom"/>
            <w:tcBorders>
              <w:bottom w:val="single" w:sz="8" w:color="D64000"/>
            </w:tcBorders>
          </w:tcPr>
          <w:p>
            <w:pPr>
              <w:spacing w:after="0"/>
              <w:rPr>
                <w:sz w:val="17"/>
                <w:szCs w:val="17"/>
                <w:color w:val="auto"/>
              </w:rPr>
            </w:pPr>
          </w:p>
        </w:tc>
        <w:tc>
          <w:tcPr>
            <w:tcW w:w="560" w:type="dxa"/>
            <w:vAlign w:val="bottom"/>
            <w:tcBorders>
              <w:bottom w:val="single" w:sz="8" w:color="D64000"/>
            </w:tcBorders>
          </w:tcPr>
          <w:p>
            <w:pPr>
              <w:jc w:val="right"/>
              <w:spacing w:after="0"/>
              <w:rPr>
                <w:sz w:val="20"/>
                <w:szCs w:val="20"/>
                <w:color w:val="auto"/>
              </w:rPr>
            </w:pPr>
            <w:r>
              <w:rPr>
                <w:rFonts w:ascii="Arial" w:cs="Arial" w:eastAsia="Arial" w:hAnsi="Arial"/>
                <w:sz w:val="16"/>
                <w:szCs w:val="16"/>
                <w:color w:val="auto"/>
              </w:rPr>
              <w:t>$0.98</w:t>
            </w:r>
          </w:p>
        </w:tc>
        <w:tc>
          <w:tcPr>
            <w:tcW w:w="240" w:type="dxa"/>
            <w:vAlign w:val="bottom"/>
            <w:tcBorders>
              <w:bottom w:val="single" w:sz="8" w:color="D64000"/>
            </w:tcBorders>
          </w:tcPr>
          <w:p>
            <w:pPr>
              <w:spacing w:after="0"/>
              <w:rPr>
                <w:sz w:val="17"/>
                <w:szCs w:val="17"/>
                <w:color w:val="auto"/>
              </w:rPr>
            </w:pPr>
          </w:p>
        </w:tc>
        <w:tc>
          <w:tcPr>
            <w:tcW w:w="740" w:type="dxa"/>
            <w:vAlign w:val="bottom"/>
            <w:tcBorders>
              <w:bottom w:val="single" w:sz="8" w:color="D64000"/>
            </w:tcBorders>
          </w:tcPr>
          <w:p>
            <w:pPr>
              <w:jc w:val="right"/>
              <w:ind w:right="40"/>
              <w:spacing w:after="0"/>
              <w:rPr>
                <w:sz w:val="20"/>
                <w:szCs w:val="20"/>
                <w:color w:val="auto"/>
              </w:rPr>
            </w:pPr>
            <w:r>
              <w:rPr>
                <w:rFonts w:ascii="Arial" w:cs="Arial" w:eastAsia="Arial" w:hAnsi="Arial"/>
                <w:sz w:val="16"/>
                <w:szCs w:val="16"/>
                <w:color w:val="auto"/>
              </w:rPr>
              <w:t>3%</w:t>
            </w:r>
          </w:p>
        </w:tc>
        <w:tc>
          <w:tcPr>
            <w:tcW w:w="900" w:type="dxa"/>
            <w:vAlign w:val="bottom"/>
            <w:tcBorders>
              <w:bottom w:val="single" w:sz="8" w:color="D64000"/>
            </w:tcBorders>
          </w:tcPr>
          <w:p>
            <w:pPr>
              <w:jc w:val="right"/>
              <w:spacing w:after="0"/>
              <w:rPr>
                <w:sz w:val="20"/>
                <w:szCs w:val="20"/>
                <w:color w:val="auto"/>
              </w:rPr>
            </w:pPr>
            <w:r>
              <w:rPr>
                <w:rFonts w:ascii="Arial" w:cs="Arial" w:eastAsia="Arial" w:hAnsi="Arial"/>
                <w:sz w:val="16"/>
                <w:szCs w:val="16"/>
                <w:color w:val="auto"/>
              </w:rPr>
              <w:t>2%</w:t>
            </w:r>
          </w:p>
        </w:tc>
        <w:tc>
          <w:tcPr>
            <w:tcW w:w="880" w:type="dxa"/>
            <w:vAlign w:val="bottom"/>
            <w:tcBorders>
              <w:bottom w:val="single" w:sz="8" w:color="D64000"/>
            </w:tcBorders>
          </w:tcPr>
          <w:p>
            <w:pPr>
              <w:jc w:val="right"/>
              <w:spacing w:after="0"/>
              <w:rPr>
                <w:sz w:val="20"/>
                <w:szCs w:val="20"/>
                <w:color w:val="auto"/>
              </w:rPr>
            </w:pPr>
            <w:r>
              <w:rPr>
                <w:rFonts w:ascii="Arial" w:cs="Arial" w:eastAsia="Arial" w:hAnsi="Arial"/>
                <w:sz w:val="16"/>
                <w:szCs w:val="16"/>
                <w:color w:val="auto"/>
              </w:rPr>
              <w:t>1%</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9"/>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4"/>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shd w:val="clear" w:color="auto" w:fill="E3F3EE"/>
          </w:tcPr>
          <w:p>
            <w:pPr>
              <w:spacing w:after="0"/>
              <w:rPr>
                <w:sz w:val="18"/>
                <w:szCs w:val="18"/>
                <w:color w:val="auto"/>
              </w:rPr>
            </w:pPr>
          </w:p>
        </w:tc>
        <w:tc>
          <w:tcPr>
            <w:tcW w:w="140" w:type="dxa"/>
            <w:vAlign w:val="bottom"/>
            <w:shd w:val="clear" w:color="auto" w:fill="E3F3EE"/>
          </w:tcPr>
          <w:p>
            <w:pPr>
              <w:spacing w:after="0"/>
              <w:rPr>
                <w:sz w:val="18"/>
                <w:szCs w:val="18"/>
                <w:color w:val="auto"/>
              </w:rPr>
            </w:pPr>
          </w:p>
        </w:tc>
        <w:tc>
          <w:tcPr>
            <w:tcW w:w="560" w:type="dxa"/>
            <w:vAlign w:val="bottom"/>
            <w:shd w:val="clear" w:color="auto" w:fill="E3F3EE"/>
          </w:tcPr>
          <w:p>
            <w:pPr>
              <w:spacing w:after="0"/>
              <w:rPr>
                <w:sz w:val="18"/>
                <w:szCs w:val="18"/>
                <w:color w:val="auto"/>
              </w:rPr>
            </w:pPr>
          </w:p>
        </w:tc>
        <w:tc>
          <w:tcPr>
            <w:tcW w:w="220" w:type="dxa"/>
            <w:vAlign w:val="bottom"/>
            <w:shd w:val="clear" w:color="auto" w:fill="E3F3EE"/>
          </w:tcPr>
          <w:p>
            <w:pPr>
              <w:spacing w:after="0"/>
              <w:rPr>
                <w:sz w:val="18"/>
                <w:szCs w:val="18"/>
                <w:color w:val="auto"/>
              </w:rPr>
            </w:pPr>
          </w:p>
        </w:tc>
        <w:tc>
          <w:tcPr>
            <w:tcW w:w="140" w:type="dxa"/>
            <w:vAlign w:val="bottom"/>
            <w:shd w:val="clear" w:color="auto" w:fill="E3F3EE"/>
          </w:tcPr>
          <w:p>
            <w:pPr>
              <w:spacing w:after="0"/>
              <w:rPr>
                <w:sz w:val="18"/>
                <w:szCs w:val="18"/>
                <w:color w:val="auto"/>
              </w:rPr>
            </w:pPr>
          </w:p>
        </w:tc>
        <w:tc>
          <w:tcPr>
            <w:tcW w:w="2440" w:type="dxa"/>
            <w:vAlign w:val="bottom"/>
            <w:gridSpan w:val="4"/>
            <w:shd w:val="clear" w:color="auto" w:fill="E3F3EE"/>
          </w:tcPr>
          <w:p>
            <w:pPr>
              <w:jc w:val="right"/>
              <w:ind w:right="381"/>
              <w:spacing w:after="0"/>
              <w:rPr>
                <w:sz w:val="20"/>
                <w:szCs w:val="20"/>
                <w:color w:val="auto"/>
              </w:rPr>
            </w:pPr>
            <w:r>
              <w:rPr>
                <w:rFonts w:ascii="Arial" w:cs="Arial" w:eastAsia="Arial" w:hAnsi="Arial"/>
                <w:sz w:val="16"/>
                <w:szCs w:val="16"/>
                <w:b w:val="1"/>
                <w:bCs w:val="1"/>
                <w:color w:val="auto"/>
              </w:rPr>
              <w:t>Year ended December 31,</w:t>
            </w:r>
          </w:p>
        </w:tc>
        <w:tc>
          <w:tcPr>
            <w:tcW w:w="880" w:type="dxa"/>
            <w:vAlign w:val="bottom"/>
            <w:shd w:val="clear" w:color="auto" w:fill="E3F3EE"/>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5"/>
        </w:trPr>
        <w:tc>
          <w:tcPr>
            <w:tcW w:w="20" w:type="dxa"/>
            <w:vAlign w:val="bottom"/>
            <w:tcBorders>
              <w:bottom w:val="single" w:sz="8" w:color="1F473D"/>
            </w:tcBorders>
            <w:shd w:val="clear" w:color="auto" w:fill="1F473D"/>
          </w:tcPr>
          <w:p>
            <w:pPr>
              <w:spacing w:after="0"/>
              <w:rPr>
                <w:sz w:val="17"/>
                <w:szCs w:val="17"/>
                <w:color w:val="auto"/>
              </w:rPr>
            </w:pPr>
          </w:p>
        </w:tc>
        <w:tc>
          <w:tcPr>
            <w:tcW w:w="1320" w:type="dxa"/>
            <w:vAlign w:val="bottom"/>
            <w:tcBorders>
              <w:bottom w:val="single" w:sz="8" w:color="1F473D"/>
            </w:tcBorders>
            <w:shd w:val="clear" w:color="auto" w:fill="1F473D"/>
          </w:tcPr>
          <w:p>
            <w:pPr>
              <w:spacing w:after="0"/>
              <w:rPr>
                <w:sz w:val="17"/>
                <w:szCs w:val="17"/>
                <w:color w:val="auto"/>
              </w:rPr>
            </w:pPr>
          </w:p>
        </w:tc>
        <w:tc>
          <w:tcPr>
            <w:tcW w:w="580" w:type="dxa"/>
            <w:vAlign w:val="bottom"/>
            <w:tcBorders>
              <w:bottom w:val="single" w:sz="8" w:color="1F473D"/>
            </w:tcBorders>
            <w:shd w:val="clear" w:color="auto" w:fill="1F473D"/>
          </w:tcPr>
          <w:p>
            <w:pPr>
              <w:spacing w:after="0"/>
              <w:rPr>
                <w:sz w:val="17"/>
                <w:szCs w:val="17"/>
                <w:color w:val="auto"/>
              </w:rPr>
            </w:pPr>
          </w:p>
        </w:tc>
        <w:tc>
          <w:tcPr>
            <w:tcW w:w="3180" w:type="dxa"/>
            <w:vAlign w:val="bottom"/>
            <w:tcBorders>
              <w:bottom w:val="single" w:sz="8" w:color="1F473D"/>
            </w:tcBorders>
            <w:shd w:val="clear" w:color="auto" w:fill="1F473D"/>
          </w:tcPr>
          <w:p>
            <w:pPr>
              <w:spacing w:after="0"/>
              <w:rPr>
                <w:sz w:val="17"/>
                <w:szCs w:val="17"/>
                <w:color w:val="auto"/>
              </w:rPr>
            </w:pPr>
          </w:p>
        </w:tc>
        <w:tc>
          <w:tcPr>
            <w:tcW w:w="240" w:type="dxa"/>
            <w:vAlign w:val="bottom"/>
            <w:tcBorders>
              <w:bottom w:val="single" w:sz="8" w:color="1F473D"/>
            </w:tcBorders>
            <w:shd w:val="clear" w:color="auto" w:fill="1F473D"/>
          </w:tcPr>
          <w:p>
            <w:pPr>
              <w:spacing w:after="0"/>
              <w:rPr>
                <w:sz w:val="17"/>
                <w:szCs w:val="17"/>
                <w:color w:val="auto"/>
              </w:rPr>
            </w:pPr>
          </w:p>
        </w:tc>
        <w:tc>
          <w:tcPr>
            <w:tcW w:w="140" w:type="dxa"/>
            <w:vAlign w:val="bottom"/>
            <w:tcBorders>
              <w:bottom w:val="single" w:sz="8" w:color="1F473D"/>
            </w:tcBorders>
            <w:shd w:val="clear" w:color="auto" w:fill="1F473D"/>
          </w:tcPr>
          <w:p>
            <w:pPr>
              <w:spacing w:after="0"/>
              <w:rPr>
                <w:sz w:val="17"/>
                <w:szCs w:val="17"/>
                <w:color w:val="auto"/>
              </w:rPr>
            </w:pPr>
          </w:p>
        </w:tc>
        <w:tc>
          <w:tcPr>
            <w:tcW w:w="560" w:type="dxa"/>
            <w:vAlign w:val="bottom"/>
            <w:tcBorders>
              <w:bottom w:val="single" w:sz="8" w:color="1F473D"/>
            </w:tcBorders>
            <w:shd w:val="clear" w:color="auto" w:fill="1F473D"/>
          </w:tcPr>
          <w:p>
            <w:pPr>
              <w:spacing w:after="0"/>
              <w:rPr>
                <w:sz w:val="17"/>
                <w:szCs w:val="17"/>
                <w:color w:val="auto"/>
              </w:rPr>
            </w:pPr>
          </w:p>
        </w:tc>
        <w:tc>
          <w:tcPr>
            <w:tcW w:w="220" w:type="dxa"/>
            <w:vAlign w:val="bottom"/>
            <w:tcBorders>
              <w:bottom w:val="single" w:sz="8" w:color="1F473D"/>
            </w:tcBorders>
            <w:shd w:val="clear" w:color="auto" w:fill="1F473D"/>
          </w:tcPr>
          <w:p>
            <w:pPr>
              <w:spacing w:after="0"/>
              <w:rPr>
                <w:sz w:val="17"/>
                <w:szCs w:val="17"/>
                <w:color w:val="auto"/>
              </w:rPr>
            </w:pPr>
          </w:p>
        </w:tc>
        <w:tc>
          <w:tcPr>
            <w:tcW w:w="140" w:type="dxa"/>
            <w:vAlign w:val="bottom"/>
            <w:tcBorders>
              <w:bottom w:val="single" w:sz="8" w:color="1F473D"/>
            </w:tcBorders>
            <w:shd w:val="clear" w:color="auto" w:fill="1F473D"/>
          </w:tcPr>
          <w:p>
            <w:pPr>
              <w:spacing w:after="0"/>
              <w:rPr>
                <w:sz w:val="17"/>
                <w:szCs w:val="17"/>
                <w:color w:val="auto"/>
              </w:rPr>
            </w:pPr>
          </w:p>
        </w:tc>
        <w:tc>
          <w:tcPr>
            <w:tcW w:w="560" w:type="dxa"/>
            <w:vAlign w:val="bottom"/>
            <w:tcBorders>
              <w:bottom w:val="single" w:sz="8" w:color="1F473D"/>
            </w:tcBorders>
            <w:shd w:val="clear" w:color="auto" w:fill="1F473D"/>
          </w:tcPr>
          <w:p>
            <w:pPr>
              <w:spacing w:after="0"/>
              <w:rPr>
                <w:sz w:val="17"/>
                <w:szCs w:val="17"/>
                <w:color w:val="auto"/>
              </w:rPr>
            </w:pPr>
          </w:p>
        </w:tc>
        <w:tc>
          <w:tcPr>
            <w:tcW w:w="240" w:type="dxa"/>
            <w:vAlign w:val="bottom"/>
            <w:tcBorders>
              <w:bottom w:val="single" w:sz="8" w:color="D64000"/>
            </w:tcBorders>
            <w:shd w:val="clear" w:color="auto" w:fill="1F473D"/>
          </w:tcPr>
          <w:p>
            <w:pPr>
              <w:spacing w:after="0"/>
              <w:rPr>
                <w:sz w:val="17"/>
                <w:szCs w:val="17"/>
                <w:color w:val="auto"/>
              </w:rPr>
            </w:pPr>
          </w:p>
        </w:tc>
        <w:tc>
          <w:tcPr>
            <w:tcW w:w="740" w:type="dxa"/>
            <w:vAlign w:val="bottom"/>
            <w:tcBorders>
              <w:bottom w:val="single" w:sz="8" w:color="D64000"/>
            </w:tcBorders>
            <w:shd w:val="clear" w:color="auto" w:fill="1F473D"/>
          </w:tcPr>
          <w:p>
            <w:pPr>
              <w:spacing w:after="0"/>
              <w:rPr>
                <w:sz w:val="17"/>
                <w:szCs w:val="17"/>
                <w:color w:val="auto"/>
              </w:rPr>
            </w:pPr>
          </w:p>
        </w:tc>
        <w:tc>
          <w:tcPr>
            <w:tcW w:w="900" w:type="dxa"/>
            <w:vAlign w:val="bottom"/>
            <w:tcBorders>
              <w:bottom w:val="single" w:sz="8" w:color="D64000"/>
            </w:tcBorders>
            <w:shd w:val="clear" w:color="auto" w:fill="1F473D"/>
          </w:tcPr>
          <w:p>
            <w:pPr>
              <w:jc w:val="center"/>
              <w:ind w:right="20"/>
              <w:spacing w:after="0"/>
              <w:rPr>
                <w:sz w:val="20"/>
                <w:szCs w:val="20"/>
                <w:color w:val="auto"/>
              </w:rPr>
            </w:pPr>
            <w:r>
              <w:rPr>
                <w:rFonts w:ascii="Arial" w:cs="Arial" w:eastAsia="Arial" w:hAnsi="Arial"/>
                <w:sz w:val="16"/>
                <w:szCs w:val="16"/>
                <w:color w:val="FFFFFF"/>
                <w:w w:val="99"/>
              </w:rPr>
              <w:t>Change</w:t>
            </w:r>
          </w:p>
        </w:tc>
        <w:tc>
          <w:tcPr>
            <w:tcW w:w="880" w:type="dxa"/>
            <w:vAlign w:val="bottom"/>
            <w:tcBorders>
              <w:bottom w:val="single" w:sz="8" w:color="D64000"/>
            </w:tcBorders>
            <w:shd w:val="clear" w:color="auto" w:fill="1F473D"/>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1"/>
        </w:trPr>
        <w:tc>
          <w:tcPr>
            <w:tcW w:w="20" w:type="dxa"/>
            <w:vAlign w:val="bottom"/>
            <w:shd w:val="clear" w:color="auto" w:fill="1F473D"/>
          </w:tcPr>
          <w:p>
            <w:pPr>
              <w:spacing w:after="0"/>
              <w:rPr>
                <w:sz w:val="14"/>
                <w:szCs w:val="14"/>
                <w:color w:val="auto"/>
              </w:rPr>
            </w:pPr>
          </w:p>
        </w:tc>
        <w:tc>
          <w:tcPr>
            <w:tcW w:w="1320" w:type="dxa"/>
            <w:vAlign w:val="bottom"/>
            <w:shd w:val="clear" w:color="auto" w:fill="1F473D"/>
          </w:tcPr>
          <w:p>
            <w:pPr>
              <w:spacing w:after="0"/>
              <w:rPr>
                <w:sz w:val="14"/>
                <w:szCs w:val="14"/>
                <w:color w:val="auto"/>
              </w:rPr>
            </w:pPr>
          </w:p>
        </w:tc>
        <w:tc>
          <w:tcPr>
            <w:tcW w:w="580" w:type="dxa"/>
            <w:vAlign w:val="bottom"/>
            <w:shd w:val="clear" w:color="auto" w:fill="1F473D"/>
          </w:tcPr>
          <w:p>
            <w:pPr>
              <w:spacing w:after="0"/>
              <w:rPr>
                <w:sz w:val="14"/>
                <w:szCs w:val="14"/>
                <w:color w:val="auto"/>
              </w:rPr>
            </w:pPr>
          </w:p>
        </w:tc>
        <w:tc>
          <w:tcPr>
            <w:tcW w:w="3180" w:type="dxa"/>
            <w:vAlign w:val="bottom"/>
            <w:shd w:val="clear" w:color="auto" w:fill="1F473D"/>
          </w:tcPr>
          <w:p>
            <w:pPr>
              <w:spacing w:after="0"/>
              <w:rPr>
                <w:sz w:val="14"/>
                <w:szCs w:val="14"/>
                <w:color w:val="auto"/>
              </w:rPr>
            </w:pPr>
          </w:p>
        </w:tc>
        <w:tc>
          <w:tcPr>
            <w:tcW w:w="240" w:type="dxa"/>
            <w:vAlign w:val="bottom"/>
            <w:shd w:val="clear" w:color="auto" w:fill="1F473D"/>
          </w:tcPr>
          <w:p>
            <w:pPr>
              <w:spacing w:after="0"/>
              <w:rPr>
                <w:sz w:val="14"/>
                <w:szCs w:val="14"/>
                <w:color w:val="auto"/>
              </w:rPr>
            </w:pPr>
          </w:p>
        </w:tc>
        <w:tc>
          <w:tcPr>
            <w:tcW w:w="140" w:type="dxa"/>
            <w:vAlign w:val="bottom"/>
            <w:shd w:val="clear" w:color="auto" w:fill="1F473D"/>
          </w:tcPr>
          <w:p>
            <w:pPr>
              <w:spacing w:after="0"/>
              <w:rPr>
                <w:sz w:val="14"/>
                <w:szCs w:val="14"/>
                <w:color w:val="auto"/>
              </w:rPr>
            </w:pPr>
          </w:p>
        </w:tc>
        <w:tc>
          <w:tcPr>
            <w:tcW w:w="560" w:type="dxa"/>
            <w:vAlign w:val="bottom"/>
            <w:shd w:val="clear" w:color="auto" w:fill="1F473D"/>
          </w:tcPr>
          <w:p>
            <w:pPr>
              <w:spacing w:after="0"/>
              <w:rPr>
                <w:sz w:val="14"/>
                <w:szCs w:val="14"/>
                <w:color w:val="auto"/>
              </w:rPr>
            </w:pPr>
          </w:p>
        </w:tc>
        <w:tc>
          <w:tcPr>
            <w:tcW w:w="220" w:type="dxa"/>
            <w:vAlign w:val="bottom"/>
            <w:shd w:val="clear" w:color="auto" w:fill="1F473D"/>
          </w:tcPr>
          <w:p>
            <w:pPr>
              <w:spacing w:after="0"/>
              <w:rPr>
                <w:sz w:val="14"/>
                <w:szCs w:val="14"/>
                <w:color w:val="auto"/>
              </w:rPr>
            </w:pPr>
          </w:p>
        </w:tc>
        <w:tc>
          <w:tcPr>
            <w:tcW w:w="140" w:type="dxa"/>
            <w:vAlign w:val="bottom"/>
            <w:shd w:val="clear" w:color="auto" w:fill="1F473D"/>
          </w:tcPr>
          <w:p>
            <w:pPr>
              <w:spacing w:after="0"/>
              <w:rPr>
                <w:sz w:val="14"/>
                <w:szCs w:val="14"/>
                <w:color w:val="auto"/>
              </w:rPr>
            </w:pPr>
          </w:p>
        </w:tc>
        <w:tc>
          <w:tcPr>
            <w:tcW w:w="560" w:type="dxa"/>
            <w:vAlign w:val="bottom"/>
            <w:shd w:val="clear" w:color="auto" w:fill="1F473D"/>
          </w:tcPr>
          <w:p>
            <w:pPr>
              <w:spacing w:after="0"/>
              <w:rPr>
                <w:sz w:val="14"/>
                <w:szCs w:val="14"/>
                <w:color w:val="auto"/>
              </w:rPr>
            </w:pPr>
          </w:p>
        </w:tc>
        <w:tc>
          <w:tcPr>
            <w:tcW w:w="240" w:type="dxa"/>
            <w:vAlign w:val="bottom"/>
            <w:shd w:val="clear" w:color="auto" w:fill="1F473D"/>
          </w:tcPr>
          <w:p>
            <w:pPr>
              <w:spacing w:after="0"/>
              <w:rPr>
                <w:sz w:val="14"/>
                <w:szCs w:val="14"/>
                <w:color w:val="auto"/>
              </w:rPr>
            </w:pPr>
          </w:p>
        </w:tc>
        <w:tc>
          <w:tcPr>
            <w:tcW w:w="740" w:type="dxa"/>
            <w:vAlign w:val="bottom"/>
            <w:shd w:val="clear" w:color="auto" w:fill="1F473D"/>
          </w:tcPr>
          <w:p>
            <w:pPr>
              <w:spacing w:after="0"/>
              <w:rPr>
                <w:sz w:val="14"/>
                <w:szCs w:val="14"/>
                <w:color w:val="auto"/>
              </w:rPr>
            </w:pPr>
          </w:p>
        </w:tc>
        <w:tc>
          <w:tcPr>
            <w:tcW w:w="900" w:type="dxa"/>
            <w:vAlign w:val="bottom"/>
            <w:shd w:val="clear" w:color="auto" w:fill="1F473D"/>
          </w:tcPr>
          <w:p>
            <w:pPr>
              <w:jc w:val="center"/>
              <w:spacing w:after="0" w:line="171" w:lineRule="exact"/>
              <w:rPr>
                <w:sz w:val="20"/>
                <w:szCs w:val="20"/>
                <w:color w:val="auto"/>
              </w:rPr>
            </w:pPr>
            <w:r>
              <w:rPr>
                <w:rFonts w:ascii="Arial" w:cs="Arial" w:eastAsia="Arial" w:hAnsi="Arial"/>
                <w:sz w:val="16"/>
                <w:szCs w:val="16"/>
                <w:color w:val="FFFFFF"/>
                <w:w w:val="99"/>
              </w:rPr>
              <w:t>Foreign</w:t>
            </w:r>
          </w:p>
        </w:tc>
        <w:tc>
          <w:tcPr>
            <w:tcW w:w="880" w:type="dxa"/>
            <w:vAlign w:val="bottom"/>
            <w:shd w:val="clear" w:color="auto" w:fill="1F473D"/>
          </w:tcPr>
          <w:p>
            <w:pPr>
              <w:jc w:val="right"/>
              <w:ind w:right="80"/>
              <w:spacing w:after="0" w:line="171" w:lineRule="exact"/>
              <w:rPr>
                <w:sz w:val="20"/>
                <w:szCs w:val="20"/>
                <w:color w:val="auto"/>
              </w:rPr>
            </w:pPr>
            <w:r>
              <w:rPr>
                <w:rFonts w:ascii="Arial" w:cs="Arial" w:eastAsia="Arial" w:hAnsi="Arial"/>
                <w:sz w:val="16"/>
                <w:szCs w:val="16"/>
                <w:color w:val="FFFFFF"/>
              </w:rPr>
              <w:t>Constant</w:t>
            </w: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5100" w:type="dxa"/>
            <w:vAlign w:val="bottom"/>
            <w:tcBorders>
              <w:bottom w:val="single" w:sz="8" w:color="D64000"/>
            </w:tcBorders>
            <w:gridSpan w:val="4"/>
            <w:shd w:val="clear" w:color="auto" w:fill="1F473D"/>
          </w:tcPr>
          <w:p>
            <w:pPr>
              <w:spacing w:after="0"/>
              <w:rPr>
                <w:sz w:val="20"/>
                <w:szCs w:val="20"/>
                <w:color w:val="auto"/>
              </w:rPr>
            </w:pPr>
            <w:r>
              <w:rPr>
                <w:rFonts w:ascii="Arial" w:cs="Arial" w:eastAsia="Arial" w:hAnsi="Arial"/>
                <w:sz w:val="16"/>
                <w:szCs w:val="16"/>
                <w:color w:val="FFFFFF"/>
              </w:rPr>
              <w:t> (millions of U.S. dollars, except margins and per share amounts)</w:t>
            </w:r>
          </w:p>
        </w:tc>
        <w:tc>
          <w:tcPr>
            <w:tcW w:w="240" w:type="dxa"/>
            <w:vAlign w:val="bottom"/>
            <w:tcBorders>
              <w:bottom w:val="single" w:sz="8" w:color="D64000"/>
            </w:tcBorders>
            <w:shd w:val="clear" w:color="auto" w:fill="1F473D"/>
          </w:tcPr>
          <w:p>
            <w:pPr>
              <w:ind w:left="140"/>
              <w:spacing w:after="0"/>
              <w:rPr>
                <w:sz w:val="20"/>
                <w:szCs w:val="20"/>
                <w:color w:val="auto"/>
              </w:rPr>
            </w:pPr>
            <w:r>
              <w:rPr>
                <w:rFonts w:ascii="Arial" w:cs="Arial" w:eastAsia="Arial" w:hAnsi="Arial"/>
                <w:sz w:val="11"/>
                <w:szCs w:val="11"/>
                <w:b w:val="1"/>
                <w:bCs w:val="1"/>
                <w:color w:val="FFFFFF"/>
                <w:w w:val="72"/>
              </w:rPr>
              <w:t> </w:t>
            </w:r>
          </w:p>
        </w:tc>
        <w:tc>
          <w:tcPr>
            <w:tcW w:w="140" w:type="dxa"/>
            <w:vAlign w:val="bottom"/>
            <w:tcBorders>
              <w:bottom w:val="single" w:sz="8" w:color="D64000"/>
            </w:tcBorders>
            <w:shd w:val="clear" w:color="auto" w:fill="1F473D"/>
          </w:tcPr>
          <w:p>
            <w:pPr>
              <w:ind w:left="60"/>
              <w:spacing w:after="0"/>
              <w:rPr>
                <w:sz w:val="20"/>
                <w:szCs w:val="20"/>
                <w:color w:val="auto"/>
              </w:rPr>
            </w:pPr>
            <w:r>
              <w:rPr>
                <w:rFonts w:ascii="Arial" w:cs="Arial" w:eastAsia="Arial" w:hAnsi="Arial"/>
                <w:sz w:val="8"/>
                <w:szCs w:val="8"/>
                <w:b w:val="1"/>
                <w:bCs w:val="1"/>
                <w:color w:val="FFFFFF"/>
                <w:w w:val="74"/>
              </w:rPr>
              <w:t> </w:t>
            </w:r>
          </w:p>
        </w:tc>
        <w:tc>
          <w:tcPr>
            <w:tcW w:w="560" w:type="dxa"/>
            <w:vAlign w:val="bottom"/>
            <w:tcBorders>
              <w:bottom w:val="single" w:sz="8" w:color="D64000"/>
            </w:tcBorders>
            <w:shd w:val="clear" w:color="auto" w:fill="1F473D"/>
          </w:tcPr>
          <w:p>
            <w:pPr>
              <w:jc w:val="right"/>
              <w:ind w:right="41"/>
              <w:spacing w:after="0"/>
              <w:rPr>
                <w:sz w:val="20"/>
                <w:szCs w:val="20"/>
                <w:color w:val="auto"/>
              </w:rPr>
            </w:pPr>
            <w:r>
              <w:rPr>
                <w:rFonts w:ascii="Arial" w:cs="Arial" w:eastAsia="Arial" w:hAnsi="Arial"/>
                <w:sz w:val="16"/>
                <w:szCs w:val="16"/>
                <w:b w:val="1"/>
                <w:bCs w:val="1"/>
                <w:color w:val="FFFFFF"/>
              </w:rPr>
              <w:t>2024</w:t>
            </w:r>
          </w:p>
        </w:tc>
        <w:tc>
          <w:tcPr>
            <w:tcW w:w="220" w:type="dxa"/>
            <w:vAlign w:val="bottom"/>
            <w:tcBorders>
              <w:bottom w:val="single" w:sz="8" w:color="D64000"/>
            </w:tcBorders>
            <w:shd w:val="clear" w:color="auto" w:fill="1F473D"/>
          </w:tcPr>
          <w:p>
            <w:pPr>
              <w:ind w:left="120"/>
              <w:spacing w:after="0"/>
              <w:rPr>
                <w:sz w:val="20"/>
                <w:szCs w:val="20"/>
                <w:color w:val="auto"/>
              </w:rPr>
            </w:pPr>
            <w:r>
              <w:rPr>
                <w:rFonts w:ascii="Arial" w:cs="Arial" w:eastAsia="Arial" w:hAnsi="Arial"/>
                <w:sz w:val="11"/>
                <w:szCs w:val="11"/>
                <w:color w:val="FFFFFF"/>
                <w:w w:val="72"/>
              </w:rPr>
              <w:t> </w:t>
            </w:r>
          </w:p>
        </w:tc>
        <w:tc>
          <w:tcPr>
            <w:tcW w:w="140" w:type="dxa"/>
            <w:vAlign w:val="bottom"/>
            <w:tcBorders>
              <w:bottom w:val="single" w:sz="8" w:color="D64000"/>
            </w:tcBorders>
            <w:shd w:val="clear" w:color="auto" w:fill="1F473D"/>
          </w:tcPr>
          <w:p>
            <w:pPr>
              <w:ind w:left="60"/>
              <w:spacing w:after="0"/>
              <w:rPr>
                <w:sz w:val="20"/>
                <w:szCs w:val="20"/>
                <w:color w:val="auto"/>
              </w:rPr>
            </w:pPr>
            <w:r>
              <w:rPr>
                <w:rFonts w:ascii="Arial" w:cs="Arial" w:eastAsia="Arial" w:hAnsi="Arial"/>
                <w:sz w:val="8"/>
                <w:szCs w:val="8"/>
                <w:color w:val="FFFFFF"/>
                <w:w w:val="74"/>
              </w:rPr>
              <w:t> </w:t>
            </w:r>
          </w:p>
        </w:tc>
        <w:tc>
          <w:tcPr>
            <w:tcW w:w="560" w:type="dxa"/>
            <w:vAlign w:val="bottom"/>
            <w:tcBorders>
              <w:bottom w:val="single" w:sz="8" w:color="D64000"/>
            </w:tcBorders>
            <w:shd w:val="clear" w:color="auto" w:fill="1F473D"/>
          </w:tcPr>
          <w:p>
            <w:pPr>
              <w:jc w:val="right"/>
              <w:ind w:right="41"/>
              <w:spacing w:after="0"/>
              <w:rPr>
                <w:sz w:val="20"/>
                <w:szCs w:val="20"/>
                <w:color w:val="auto"/>
              </w:rPr>
            </w:pPr>
            <w:r>
              <w:rPr>
                <w:rFonts w:ascii="Arial" w:cs="Arial" w:eastAsia="Arial" w:hAnsi="Arial"/>
                <w:sz w:val="16"/>
                <w:szCs w:val="16"/>
                <w:color w:val="FFFFFF"/>
              </w:rPr>
              <w:t>2023</w:t>
            </w:r>
          </w:p>
        </w:tc>
        <w:tc>
          <w:tcPr>
            <w:tcW w:w="240" w:type="dxa"/>
            <w:vAlign w:val="bottom"/>
            <w:tcBorders>
              <w:bottom w:val="single" w:sz="8" w:color="D64000"/>
            </w:tcBorders>
            <w:shd w:val="clear" w:color="auto" w:fill="1F473D"/>
          </w:tcPr>
          <w:p>
            <w:pPr>
              <w:ind w:left="140"/>
              <w:spacing w:after="0"/>
              <w:rPr>
                <w:sz w:val="20"/>
                <w:szCs w:val="20"/>
                <w:color w:val="auto"/>
              </w:rPr>
            </w:pPr>
            <w:r>
              <w:rPr>
                <w:rFonts w:ascii="Arial" w:cs="Arial" w:eastAsia="Arial" w:hAnsi="Arial"/>
                <w:sz w:val="11"/>
                <w:szCs w:val="11"/>
                <w:color w:val="FFFFFF"/>
                <w:w w:val="72"/>
              </w:rPr>
              <w:t> </w:t>
            </w:r>
          </w:p>
        </w:tc>
        <w:tc>
          <w:tcPr>
            <w:tcW w:w="740" w:type="dxa"/>
            <w:vAlign w:val="bottom"/>
            <w:tcBorders>
              <w:bottom w:val="single" w:sz="8" w:color="D64000"/>
            </w:tcBorders>
            <w:shd w:val="clear" w:color="auto" w:fill="1F473D"/>
          </w:tcPr>
          <w:p>
            <w:pPr>
              <w:jc w:val="right"/>
              <w:ind w:right="100"/>
              <w:spacing w:after="0"/>
              <w:rPr>
                <w:sz w:val="20"/>
                <w:szCs w:val="20"/>
                <w:color w:val="auto"/>
              </w:rPr>
            </w:pPr>
            <w:r>
              <w:rPr>
                <w:rFonts w:ascii="Arial" w:cs="Arial" w:eastAsia="Arial" w:hAnsi="Arial"/>
                <w:sz w:val="16"/>
                <w:szCs w:val="16"/>
                <w:color w:val="FFFFFF"/>
                <w:w w:val="89"/>
              </w:rPr>
              <w:t>   Total</w:t>
            </w:r>
          </w:p>
        </w:tc>
        <w:tc>
          <w:tcPr>
            <w:tcW w:w="900" w:type="dxa"/>
            <w:vAlign w:val="bottom"/>
            <w:tcBorders>
              <w:bottom w:val="single" w:sz="8" w:color="D64000"/>
            </w:tcBorders>
            <w:shd w:val="clear" w:color="auto" w:fill="1F473D"/>
          </w:tcPr>
          <w:p>
            <w:pPr>
              <w:jc w:val="center"/>
              <w:spacing w:after="0"/>
              <w:rPr>
                <w:sz w:val="20"/>
                <w:szCs w:val="20"/>
                <w:color w:val="auto"/>
              </w:rPr>
            </w:pPr>
            <w:r>
              <w:rPr>
                <w:rFonts w:ascii="Arial" w:cs="Arial" w:eastAsia="Arial" w:hAnsi="Arial"/>
                <w:sz w:val="16"/>
                <w:szCs w:val="16"/>
                <w:color w:val="FFFFFF"/>
                <w:w w:val="98"/>
              </w:rPr>
              <w:t>Currency</w:t>
            </w:r>
          </w:p>
        </w:tc>
        <w:tc>
          <w:tcPr>
            <w:tcW w:w="880" w:type="dxa"/>
            <w:vAlign w:val="bottom"/>
            <w:tcBorders>
              <w:bottom w:val="single" w:sz="8" w:color="D64000"/>
            </w:tcBorders>
            <w:shd w:val="clear" w:color="auto" w:fill="1F473D"/>
          </w:tcPr>
          <w:p>
            <w:pPr>
              <w:jc w:val="right"/>
              <w:ind w:right="80"/>
              <w:spacing w:after="0"/>
              <w:rPr>
                <w:sz w:val="20"/>
                <w:szCs w:val="20"/>
                <w:color w:val="auto"/>
              </w:rPr>
            </w:pPr>
            <w:r>
              <w:rPr>
                <w:rFonts w:ascii="Arial" w:cs="Arial" w:eastAsia="Arial" w:hAnsi="Arial"/>
                <w:sz w:val="16"/>
                <w:szCs w:val="16"/>
                <w:color w:val="FFFFFF"/>
              </w:rPr>
              <w:t>Currency</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2"/>
        </w:trPr>
        <w:tc>
          <w:tcPr>
            <w:tcW w:w="5100" w:type="dxa"/>
            <w:vAlign w:val="bottom"/>
            <w:gridSpan w:val="4"/>
          </w:tcPr>
          <w:p>
            <w:pPr>
              <w:spacing w:after="0" w:line="172" w:lineRule="exact"/>
              <w:rPr>
                <w:sz w:val="20"/>
                <w:szCs w:val="20"/>
                <w:color w:val="auto"/>
              </w:rPr>
            </w:pPr>
            <w:r>
              <w:rPr>
                <w:rFonts w:ascii="Arial" w:cs="Arial" w:eastAsia="Arial" w:hAnsi="Arial"/>
                <w:sz w:val="16"/>
                <w:szCs w:val="16"/>
                <w:b w:val="1"/>
                <w:bCs w:val="1"/>
                <w:color w:val="auto"/>
              </w:rPr>
              <w:t> Adjusted EBITDA</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5080" w:type="dxa"/>
            <w:vAlign w:val="bottom"/>
            <w:gridSpan w:val="3"/>
          </w:tcPr>
          <w:p>
            <w:pPr>
              <w:ind w:left="140"/>
              <w:spacing w:after="0"/>
              <w:rPr>
                <w:sz w:val="20"/>
                <w:szCs w:val="20"/>
                <w:color w:val="auto"/>
              </w:rPr>
            </w:pPr>
            <w:r>
              <w:rPr>
                <w:rFonts w:ascii="Arial" w:cs="Arial" w:eastAsia="Arial" w:hAnsi="Arial"/>
                <w:sz w:val="16"/>
                <w:szCs w:val="16"/>
                <w:b w:val="1"/>
                <w:bCs w:val="1"/>
                <w:color w:val="auto"/>
              </w:rPr>
              <w:t> Legal Professionals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1,302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1,299</w:t>
            </w:r>
          </w:p>
        </w:tc>
        <w:tc>
          <w:tcPr>
            <w:tcW w:w="24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9"/>
        </w:trPr>
        <w:tc>
          <w:tcPr>
            <w:tcW w:w="20" w:type="dxa"/>
            <w:vAlign w:val="bottom"/>
          </w:tcPr>
          <w:p>
            <w:pPr>
              <w:spacing w:after="0"/>
              <w:rPr>
                <w:sz w:val="17"/>
                <w:szCs w:val="17"/>
                <w:color w:val="auto"/>
              </w:rPr>
            </w:pPr>
          </w:p>
        </w:tc>
        <w:tc>
          <w:tcPr>
            <w:tcW w:w="5080" w:type="dxa"/>
            <w:vAlign w:val="bottom"/>
            <w:gridSpan w:val="3"/>
          </w:tcPr>
          <w:p>
            <w:pPr>
              <w:ind w:left="140"/>
              <w:spacing w:after="0"/>
              <w:rPr>
                <w:sz w:val="20"/>
                <w:szCs w:val="20"/>
                <w:color w:val="auto"/>
              </w:rPr>
            </w:pPr>
            <w:r>
              <w:rPr>
                <w:rFonts w:ascii="Arial" w:cs="Arial" w:eastAsia="Arial" w:hAnsi="Arial"/>
                <w:sz w:val="16"/>
                <w:szCs w:val="16"/>
                <w:b w:val="1"/>
                <w:bCs w:val="1"/>
                <w:color w:val="auto"/>
              </w:rPr>
              <w:t> Corporates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671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619</w:t>
            </w:r>
          </w:p>
        </w:tc>
        <w:tc>
          <w:tcPr>
            <w:tcW w:w="240" w:type="dxa"/>
            <w:vAlign w:val="bottom"/>
          </w:tcPr>
          <w:p>
            <w:pPr>
              <w:spacing w:after="0"/>
              <w:rPr>
                <w:sz w:val="17"/>
                <w:szCs w:val="17"/>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20" w:type="dxa"/>
            <w:vAlign w:val="bottom"/>
            <w:tcBorders>
              <w:bottom w:val="single" w:sz="8" w:color="B2B2B2"/>
            </w:tcBorders>
          </w:tcPr>
          <w:p>
            <w:pPr>
              <w:spacing w:after="0"/>
              <w:rPr>
                <w:sz w:val="17"/>
                <w:szCs w:val="17"/>
                <w:color w:val="auto"/>
              </w:rPr>
            </w:pPr>
          </w:p>
        </w:tc>
        <w:tc>
          <w:tcPr>
            <w:tcW w:w="5080" w:type="dxa"/>
            <w:vAlign w:val="bottom"/>
            <w:tcBorders>
              <w:bottom w:val="single" w:sz="8" w:color="B2B2B2"/>
            </w:tcBorders>
            <w:gridSpan w:val="3"/>
          </w:tcPr>
          <w:p>
            <w:pPr>
              <w:ind w:left="140"/>
              <w:spacing w:after="0"/>
              <w:rPr>
                <w:sz w:val="20"/>
                <w:szCs w:val="20"/>
                <w:color w:val="auto"/>
              </w:rPr>
            </w:pPr>
            <w:r>
              <w:rPr>
                <w:rFonts w:ascii="Arial" w:cs="Arial" w:eastAsia="Arial" w:hAnsi="Arial"/>
                <w:sz w:val="16"/>
                <w:szCs w:val="16"/>
                <w:b w:val="1"/>
                <w:bCs w:val="1"/>
                <w:color w:val="auto"/>
              </w:rPr>
              <w:t> Tax &amp; Accounting Professionals</w:t>
            </w:r>
          </w:p>
        </w:tc>
        <w:tc>
          <w:tcPr>
            <w:tcW w:w="24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527</w:t>
            </w:r>
          </w:p>
        </w:tc>
        <w:tc>
          <w:tcPr>
            <w:tcW w:w="22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490</w:t>
            </w:r>
          </w:p>
        </w:tc>
        <w:tc>
          <w:tcPr>
            <w:tcW w:w="240" w:type="dxa"/>
            <w:vAlign w:val="bottom"/>
            <w:tcBorders>
              <w:bottom w:val="single" w:sz="8" w:color="B2B2B2"/>
            </w:tcBorders>
          </w:tcPr>
          <w:p>
            <w:pPr>
              <w:spacing w:after="0"/>
              <w:rPr>
                <w:sz w:val="17"/>
                <w:szCs w:val="17"/>
                <w:color w:val="auto"/>
              </w:rPr>
            </w:pPr>
          </w:p>
        </w:tc>
        <w:tc>
          <w:tcPr>
            <w:tcW w:w="740" w:type="dxa"/>
            <w:vAlign w:val="bottom"/>
            <w:tcBorders>
              <w:bottom w:val="single" w:sz="8" w:color="B2B2B2"/>
            </w:tcBorders>
          </w:tcPr>
          <w:p>
            <w:pPr>
              <w:jc w:val="right"/>
              <w:ind w:right="40"/>
              <w:spacing w:after="0"/>
              <w:rPr>
                <w:sz w:val="20"/>
                <w:szCs w:val="20"/>
                <w:color w:val="auto"/>
              </w:rPr>
            </w:pPr>
            <w:r>
              <w:rPr>
                <w:rFonts w:ascii="Arial" w:cs="Arial" w:eastAsia="Arial" w:hAnsi="Arial"/>
                <w:sz w:val="16"/>
                <w:szCs w:val="16"/>
                <w:color w:val="auto"/>
              </w:rPr>
              <w:t>8%</w:t>
            </w:r>
          </w:p>
        </w:tc>
        <w:tc>
          <w:tcPr>
            <w:tcW w:w="9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w:t>
            </w:r>
          </w:p>
        </w:tc>
        <w:tc>
          <w:tcPr>
            <w:tcW w:w="8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1"/>
        </w:trPr>
        <w:tc>
          <w:tcPr>
            <w:tcW w:w="5100" w:type="dxa"/>
            <w:vAlign w:val="bottom"/>
            <w:gridSpan w:val="4"/>
          </w:tcPr>
          <w:p>
            <w:pPr>
              <w:spacing w:after="0"/>
              <w:rPr>
                <w:sz w:val="20"/>
                <w:szCs w:val="20"/>
                <w:color w:val="auto"/>
              </w:rPr>
            </w:pPr>
            <w:r>
              <w:rPr>
                <w:rFonts w:ascii="Arial" w:cs="Arial" w:eastAsia="Arial" w:hAnsi="Arial"/>
                <w:sz w:val="16"/>
                <w:szCs w:val="16"/>
                <w:b w:val="1"/>
                <w:bCs w:val="1"/>
                <w:color w:val="auto"/>
              </w:rPr>
              <w:t> “Big 3” Segments Combined</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2,500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2,408</w:t>
            </w:r>
          </w:p>
        </w:tc>
        <w:tc>
          <w:tcPr>
            <w:tcW w:w="240" w:type="dxa"/>
            <w:vAlign w:val="bottom"/>
          </w:tcPr>
          <w:p>
            <w:pPr>
              <w:spacing w:after="0"/>
              <w:rPr>
                <w:sz w:val="16"/>
                <w:szCs w:val="16"/>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5080" w:type="dxa"/>
            <w:vAlign w:val="bottom"/>
            <w:gridSpan w:val="3"/>
          </w:tcPr>
          <w:p>
            <w:pPr>
              <w:ind w:left="140"/>
              <w:spacing w:after="0"/>
              <w:rPr>
                <w:sz w:val="20"/>
                <w:szCs w:val="20"/>
                <w:color w:val="auto"/>
              </w:rPr>
            </w:pPr>
            <w:r>
              <w:rPr>
                <w:rFonts w:ascii="Arial" w:cs="Arial" w:eastAsia="Arial" w:hAnsi="Arial"/>
                <w:sz w:val="16"/>
                <w:szCs w:val="16"/>
                <w:b w:val="1"/>
                <w:bCs w:val="1"/>
                <w:color w:val="auto"/>
              </w:rPr>
              <w:t> Reuters News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196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172</w:t>
            </w:r>
          </w:p>
        </w:tc>
        <w:tc>
          <w:tcPr>
            <w:tcW w:w="240" w:type="dxa"/>
            <w:vAlign w:val="bottom"/>
          </w:tcPr>
          <w:p>
            <w:pPr>
              <w:spacing w:after="0"/>
              <w:rPr>
                <w:sz w:val="17"/>
                <w:szCs w:val="17"/>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080" w:type="dxa"/>
            <w:vAlign w:val="bottom"/>
            <w:gridSpan w:val="3"/>
          </w:tcPr>
          <w:p>
            <w:pPr>
              <w:ind w:left="140"/>
              <w:spacing w:after="0"/>
              <w:rPr>
                <w:sz w:val="20"/>
                <w:szCs w:val="20"/>
                <w:color w:val="auto"/>
              </w:rPr>
            </w:pPr>
            <w:r>
              <w:rPr>
                <w:rFonts w:ascii="Arial" w:cs="Arial" w:eastAsia="Arial" w:hAnsi="Arial"/>
                <w:sz w:val="16"/>
                <w:szCs w:val="16"/>
                <w:b w:val="1"/>
                <w:bCs w:val="1"/>
                <w:color w:val="auto"/>
              </w:rPr>
              <w:t> Global Print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188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213</w:t>
            </w:r>
          </w:p>
        </w:tc>
        <w:tc>
          <w:tcPr>
            <w:tcW w:w="240" w:type="dxa"/>
            <w:vAlign w:val="bottom"/>
          </w:tcPr>
          <w:p>
            <w:pPr>
              <w:spacing w:after="0"/>
              <w:rPr>
                <w:sz w:val="17"/>
                <w:szCs w:val="17"/>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080" w:type="dxa"/>
            <w:vAlign w:val="bottom"/>
            <w:gridSpan w:val="3"/>
          </w:tcPr>
          <w:p>
            <w:pPr>
              <w:ind w:left="140"/>
              <w:spacing w:after="0"/>
              <w:rPr>
                <w:sz w:val="20"/>
                <w:szCs w:val="20"/>
                <w:color w:val="auto"/>
              </w:rPr>
            </w:pPr>
            <w:r>
              <w:rPr>
                <w:rFonts w:ascii="Arial" w:cs="Arial" w:eastAsia="Arial" w:hAnsi="Arial"/>
                <w:sz w:val="16"/>
                <w:szCs w:val="16"/>
                <w:b w:val="1"/>
                <w:bCs w:val="1"/>
                <w:color w:val="auto"/>
              </w:rPr>
              <w:t> Corporate costs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(105)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(115)</w:t>
            </w:r>
          </w:p>
        </w:tc>
        <w:tc>
          <w:tcPr>
            <w:tcW w:w="240" w:type="dxa"/>
            <w:vAlign w:val="bottom"/>
          </w:tcPr>
          <w:p>
            <w:pPr>
              <w:spacing w:after="0"/>
              <w:rPr>
                <w:sz w:val="17"/>
                <w:szCs w:val="17"/>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900" w:type="dxa"/>
            <w:vAlign w:val="bottom"/>
          </w:tcPr>
          <w:p>
            <w:pPr>
              <w:jc w:val="right"/>
              <w:spacing w:after="0"/>
              <w:rPr>
                <w:sz w:val="20"/>
                <w:szCs w:val="20"/>
                <w:color w:val="auto"/>
              </w:rPr>
            </w:pPr>
            <w:r>
              <w:rPr>
                <w:rFonts w:ascii="Arial" w:cs="Arial" w:eastAsia="Arial" w:hAnsi="Arial"/>
                <w:sz w:val="16"/>
                <w:szCs w:val="16"/>
                <w:color w:val="auto"/>
              </w:rPr>
              <w:t>n/a</w:t>
            </w:r>
          </w:p>
        </w:tc>
        <w:tc>
          <w:tcPr>
            <w:tcW w:w="1980" w:type="dxa"/>
            <w:vAlign w:val="bottom"/>
            <w:gridSpan w:val="3"/>
          </w:tcPr>
          <w:p>
            <w:pPr>
              <w:jc w:val="right"/>
              <w:ind w:right="1180"/>
              <w:spacing w:after="0"/>
              <w:rPr>
                <w:sz w:val="20"/>
                <w:szCs w:val="20"/>
                <w:color w:val="auto"/>
              </w:rPr>
            </w:pPr>
            <w:r>
              <w:rPr>
                <w:rFonts w:ascii="Arial" w:cs="Arial" w:eastAsia="Arial" w:hAnsi="Arial"/>
                <w:sz w:val="16"/>
                <w:szCs w:val="16"/>
                <w:color w:val="auto"/>
              </w:rPr>
              <w:t>n/a</w:t>
            </w:r>
          </w:p>
        </w:tc>
      </w:tr>
      <w:tr>
        <w:trPr>
          <w:trHeight w:val="192"/>
        </w:trPr>
        <w:tc>
          <w:tcPr>
            <w:tcW w:w="5100" w:type="dxa"/>
            <w:vAlign w:val="bottom"/>
            <w:tcBorders>
              <w:top w:val="single" w:sz="8" w:color="B2B2B2"/>
              <w:bottom w:val="single" w:sz="8" w:color="B2B2B2"/>
            </w:tcBorders>
            <w:gridSpan w:val="4"/>
          </w:tcPr>
          <w:p>
            <w:pPr>
              <w:spacing w:after="0"/>
              <w:rPr>
                <w:sz w:val="20"/>
                <w:szCs w:val="20"/>
                <w:color w:val="auto"/>
              </w:rPr>
            </w:pPr>
            <w:r>
              <w:rPr>
                <w:rFonts w:ascii="Arial" w:cs="Arial" w:eastAsia="Arial" w:hAnsi="Arial"/>
                <w:sz w:val="16"/>
                <w:szCs w:val="16"/>
                <w:b w:val="1"/>
                <w:bCs w:val="1"/>
                <w:color w:val="auto"/>
              </w:rPr>
              <w:t> Adjusted EBITDA</w:t>
            </w:r>
          </w:p>
        </w:tc>
        <w:tc>
          <w:tcPr>
            <w:tcW w:w="240" w:type="dxa"/>
            <w:vAlign w:val="bottom"/>
            <w:tcBorders>
              <w:top w:val="single" w:sz="8" w:color="B2B2B2"/>
              <w:bottom w:val="single" w:sz="8" w:color="B2B2B2"/>
            </w:tcBorders>
          </w:tcPr>
          <w:p>
            <w:pPr>
              <w:spacing w:after="0"/>
              <w:rPr>
                <w:sz w:val="16"/>
                <w:szCs w:val="16"/>
                <w:color w:val="auto"/>
              </w:rPr>
            </w:pPr>
          </w:p>
        </w:tc>
        <w:tc>
          <w:tcPr>
            <w:tcW w:w="140" w:type="dxa"/>
            <w:vAlign w:val="bottom"/>
            <w:tcBorders>
              <w:top w:val="single" w:sz="8" w:color="B2B2B2"/>
              <w:bottom w:val="single" w:sz="8" w:color="B2B2B2"/>
            </w:tcBorders>
          </w:tcPr>
          <w:p>
            <w:pPr>
              <w:spacing w:after="0"/>
              <w:rPr>
                <w:sz w:val="16"/>
                <w:szCs w:val="16"/>
                <w:color w:val="auto"/>
              </w:rPr>
            </w:pPr>
          </w:p>
        </w:tc>
        <w:tc>
          <w:tcPr>
            <w:tcW w:w="56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2,779</w:t>
            </w:r>
          </w:p>
        </w:tc>
        <w:tc>
          <w:tcPr>
            <w:tcW w:w="220" w:type="dxa"/>
            <w:vAlign w:val="bottom"/>
            <w:tcBorders>
              <w:top w:val="single" w:sz="8" w:color="B2B2B2"/>
              <w:bottom w:val="single" w:sz="8" w:color="B2B2B2"/>
            </w:tcBorders>
          </w:tcPr>
          <w:p>
            <w:pPr>
              <w:spacing w:after="0"/>
              <w:rPr>
                <w:sz w:val="16"/>
                <w:szCs w:val="16"/>
                <w:color w:val="auto"/>
              </w:rPr>
            </w:pPr>
          </w:p>
        </w:tc>
        <w:tc>
          <w:tcPr>
            <w:tcW w:w="140" w:type="dxa"/>
            <w:vAlign w:val="bottom"/>
            <w:tcBorders>
              <w:top w:val="single" w:sz="8" w:color="B2B2B2"/>
              <w:bottom w:val="single" w:sz="8" w:color="B2B2B2"/>
            </w:tcBorders>
          </w:tcPr>
          <w:p>
            <w:pPr>
              <w:spacing w:after="0"/>
              <w:rPr>
                <w:sz w:val="16"/>
                <w:szCs w:val="16"/>
                <w:color w:val="auto"/>
              </w:rPr>
            </w:pPr>
          </w:p>
        </w:tc>
        <w:tc>
          <w:tcPr>
            <w:tcW w:w="56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2,678</w:t>
            </w:r>
          </w:p>
        </w:tc>
        <w:tc>
          <w:tcPr>
            <w:tcW w:w="240" w:type="dxa"/>
            <w:vAlign w:val="bottom"/>
            <w:tcBorders>
              <w:top w:val="single" w:sz="8" w:color="B2B2B2"/>
              <w:bottom w:val="single" w:sz="8" w:color="B2B2B2"/>
            </w:tcBorders>
          </w:tcPr>
          <w:p>
            <w:pPr>
              <w:spacing w:after="0"/>
              <w:rPr>
                <w:sz w:val="16"/>
                <w:szCs w:val="16"/>
                <w:color w:val="auto"/>
              </w:rPr>
            </w:pPr>
          </w:p>
        </w:tc>
        <w:tc>
          <w:tcPr>
            <w:tcW w:w="740" w:type="dxa"/>
            <w:vAlign w:val="bottom"/>
            <w:tcBorders>
              <w:top w:val="single" w:sz="8" w:color="B2B2B2"/>
              <w:bottom w:val="single" w:sz="8" w:color="B2B2B2"/>
            </w:tcBorders>
          </w:tcPr>
          <w:p>
            <w:pPr>
              <w:jc w:val="right"/>
              <w:ind w:right="40"/>
              <w:spacing w:after="0"/>
              <w:rPr>
                <w:sz w:val="20"/>
                <w:szCs w:val="20"/>
                <w:color w:val="auto"/>
              </w:rPr>
            </w:pPr>
            <w:r>
              <w:rPr>
                <w:rFonts w:ascii="Arial" w:cs="Arial" w:eastAsia="Arial" w:hAnsi="Arial"/>
                <w:sz w:val="16"/>
                <w:szCs w:val="16"/>
                <w:color w:val="auto"/>
              </w:rPr>
              <w:t>4%</w:t>
            </w:r>
          </w:p>
        </w:tc>
        <w:tc>
          <w:tcPr>
            <w:tcW w:w="90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4%</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5"/>
        </w:trPr>
        <w:tc>
          <w:tcPr>
            <w:tcW w:w="5100" w:type="dxa"/>
            <w:vAlign w:val="bottom"/>
            <w:gridSpan w:val="4"/>
          </w:tcPr>
          <w:p>
            <w:pPr>
              <w:spacing w:after="0" w:line="165" w:lineRule="exact"/>
              <w:rPr>
                <w:sz w:val="20"/>
                <w:szCs w:val="20"/>
                <w:color w:val="auto"/>
              </w:rPr>
            </w:pPr>
            <w:r>
              <w:rPr>
                <w:rFonts w:ascii="Arial" w:cs="Arial" w:eastAsia="Arial" w:hAnsi="Arial"/>
                <w:sz w:val="16"/>
                <w:szCs w:val="16"/>
                <w:b w:val="1"/>
                <w:bCs w:val="1"/>
                <w:color w:val="auto"/>
              </w:rPr>
              <w:t> Adjusted EBITDA margin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190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 Legal Professionals</w:t>
            </w:r>
          </w:p>
        </w:tc>
        <w:tc>
          <w:tcPr>
            <w:tcW w:w="3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44.6%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46.2%</w:t>
            </w:r>
          </w:p>
        </w:tc>
        <w:tc>
          <w:tcPr>
            <w:tcW w:w="24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(160)bp</w:t>
            </w:r>
          </w:p>
        </w:tc>
        <w:tc>
          <w:tcPr>
            <w:tcW w:w="900" w:type="dxa"/>
            <w:vAlign w:val="bottom"/>
          </w:tcPr>
          <w:p>
            <w:pPr>
              <w:jc w:val="right"/>
              <w:spacing w:after="0"/>
              <w:rPr>
                <w:sz w:val="20"/>
                <w:szCs w:val="20"/>
                <w:color w:val="auto"/>
              </w:rPr>
            </w:pPr>
            <w:r>
              <w:rPr>
                <w:rFonts w:ascii="Arial" w:cs="Arial" w:eastAsia="Arial" w:hAnsi="Arial"/>
                <w:sz w:val="16"/>
                <w:szCs w:val="16"/>
                <w:color w:val="auto"/>
              </w:rPr>
              <w:t>20bp</w:t>
            </w:r>
          </w:p>
        </w:tc>
        <w:tc>
          <w:tcPr>
            <w:tcW w:w="1980" w:type="dxa"/>
            <w:vAlign w:val="bottom"/>
            <w:gridSpan w:val="3"/>
          </w:tcPr>
          <w:p>
            <w:pPr>
              <w:jc w:val="right"/>
              <w:ind w:right="1180"/>
              <w:spacing w:after="0"/>
              <w:rPr>
                <w:sz w:val="20"/>
                <w:szCs w:val="20"/>
                <w:color w:val="auto"/>
              </w:rPr>
            </w:pPr>
            <w:r>
              <w:rPr>
                <w:rFonts w:ascii="Arial" w:cs="Arial" w:eastAsia="Arial" w:hAnsi="Arial"/>
                <w:sz w:val="16"/>
                <w:szCs w:val="16"/>
                <w:color w:val="auto"/>
              </w:rPr>
              <w:t>(180)bp</w:t>
            </w:r>
          </w:p>
        </w:tc>
      </w:tr>
      <w:tr>
        <w:trPr>
          <w:trHeight w:val="199"/>
        </w:trPr>
        <w:tc>
          <w:tcPr>
            <w:tcW w:w="20" w:type="dxa"/>
            <w:vAlign w:val="bottom"/>
          </w:tcPr>
          <w:p>
            <w:pPr>
              <w:spacing w:after="0"/>
              <w:rPr>
                <w:sz w:val="17"/>
                <w:szCs w:val="17"/>
                <w:color w:val="auto"/>
              </w:rPr>
            </w:pPr>
          </w:p>
        </w:tc>
        <w:tc>
          <w:tcPr>
            <w:tcW w:w="5080" w:type="dxa"/>
            <w:vAlign w:val="bottom"/>
            <w:gridSpan w:val="3"/>
          </w:tcPr>
          <w:p>
            <w:pPr>
              <w:ind w:left="140"/>
              <w:spacing w:after="0"/>
              <w:rPr>
                <w:sz w:val="20"/>
                <w:szCs w:val="20"/>
                <w:color w:val="auto"/>
              </w:rPr>
            </w:pPr>
            <w:r>
              <w:rPr>
                <w:rFonts w:ascii="Arial" w:cs="Arial" w:eastAsia="Arial" w:hAnsi="Arial"/>
                <w:sz w:val="16"/>
                <w:szCs w:val="16"/>
                <w:b w:val="1"/>
                <w:bCs w:val="1"/>
                <w:color w:val="auto"/>
              </w:rPr>
              <w:t> Corporates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36.3%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38.1%</w:t>
            </w:r>
          </w:p>
        </w:tc>
        <w:tc>
          <w:tcPr>
            <w:tcW w:w="240" w:type="dxa"/>
            <w:vAlign w:val="bottom"/>
          </w:tcPr>
          <w:p>
            <w:pPr>
              <w:spacing w:after="0"/>
              <w:rPr>
                <w:sz w:val="17"/>
                <w:szCs w:val="17"/>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(180)bp</w:t>
            </w:r>
          </w:p>
        </w:tc>
        <w:tc>
          <w:tcPr>
            <w:tcW w:w="900" w:type="dxa"/>
            <w:vAlign w:val="bottom"/>
          </w:tcPr>
          <w:p>
            <w:pPr>
              <w:jc w:val="right"/>
              <w:spacing w:after="0"/>
              <w:rPr>
                <w:sz w:val="20"/>
                <w:szCs w:val="20"/>
                <w:color w:val="auto"/>
              </w:rPr>
            </w:pPr>
            <w:r>
              <w:rPr>
                <w:rFonts w:ascii="Arial" w:cs="Arial" w:eastAsia="Arial" w:hAnsi="Arial"/>
                <w:sz w:val="16"/>
                <w:szCs w:val="16"/>
                <w:color w:val="auto"/>
              </w:rPr>
              <w:t>40bp</w:t>
            </w:r>
          </w:p>
        </w:tc>
        <w:tc>
          <w:tcPr>
            <w:tcW w:w="1980" w:type="dxa"/>
            <w:vAlign w:val="bottom"/>
            <w:gridSpan w:val="3"/>
          </w:tcPr>
          <w:p>
            <w:pPr>
              <w:jc w:val="right"/>
              <w:ind w:right="1180"/>
              <w:spacing w:after="0"/>
              <w:rPr>
                <w:sz w:val="20"/>
                <w:szCs w:val="20"/>
                <w:color w:val="auto"/>
              </w:rPr>
            </w:pPr>
            <w:r>
              <w:rPr>
                <w:rFonts w:ascii="Arial" w:cs="Arial" w:eastAsia="Arial" w:hAnsi="Arial"/>
                <w:sz w:val="16"/>
                <w:szCs w:val="16"/>
                <w:color w:val="auto"/>
              </w:rPr>
              <w:t>(220)bp</w:t>
            </w:r>
          </w:p>
        </w:tc>
      </w:tr>
      <w:tr>
        <w:trPr>
          <w:trHeight w:val="200"/>
        </w:trPr>
        <w:tc>
          <w:tcPr>
            <w:tcW w:w="20" w:type="dxa"/>
            <w:vAlign w:val="bottom"/>
          </w:tcPr>
          <w:p>
            <w:pPr>
              <w:spacing w:after="0"/>
              <w:rPr>
                <w:sz w:val="17"/>
                <w:szCs w:val="17"/>
                <w:color w:val="auto"/>
              </w:rPr>
            </w:pPr>
          </w:p>
        </w:tc>
        <w:tc>
          <w:tcPr>
            <w:tcW w:w="5080" w:type="dxa"/>
            <w:vAlign w:val="bottom"/>
            <w:gridSpan w:val="3"/>
          </w:tcPr>
          <w:p>
            <w:pPr>
              <w:ind w:left="140"/>
              <w:spacing w:after="0"/>
              <w:rPr>
                <w:sz w:val="20"/>
                <w:szCs w:val="20"/>
                <w:color w:val="auto"/>
              </w:rPr>
            </w:pPr>
            <w:r>
              <w:rPr>
                <w:rFonts w:ascii="Arial" w:cs="Arial" w:eastAsia="Arial" w:hAnsi="Arial"/>
                <w:sz w:val="16"/>
                <w:szCs w:val="16"/>
                <w:b w:val="1"/>
                <w:bCs w:val="1"/>
                <w:color w:val="auto"/>
              </w:rPr>
              <w:t> Tax &amp; Accounting Professionals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45.2%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45.8%</w:t>
            </w:r>
          </w:p>
        </w:tc>
        <w:tc>
          <w:tcPr>
            <w:tcW w:w="240" w:type="dxa"/>
            <w:vAlign w:val="bottom"/>
          </w:tcPr>
          <w:p>
            <w:pPr>
              <w:spacing w:after="0"/>
              <w:rPr>
                <w:sz w:val="17"/>
                <w:szCs w:val="17"/>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(60)bp</w:t>
            </w:r>
          </w:p>
        </w:tc>
        <w:tc>
          <w:tcPr>
            <w:tcW w:w="900" w:type="dxa"/>
            <w:vAlign w:val="bottom"/>
          </w:tcPr>
          <w:p>
            <w:pPr>
              <w:jc w:val="right"/>
              <w:spacing w:after="0"/>
              <w:rPr>
                <w:sz w:val="20"/>
                <w:szCs w:val="20"/>
                <w:color w:val="auto"/>
              </w:rPr>
            </w:pPr>
            <w:r>
              <w:rPr>
                <w:rFonts w:ascii="Arial" w:cs="Arial" w:eastAsia="Arial" w:hAnsi="Arial"/>
                <w:sz w:val="16"/>
                <w:szCs w:val="16"/>
                <w:color w:val="auto"/>
              </w:rPr>
              <w:t>(10)bp</w:t>
            </w:r>
          </w:p>
        </w:tc>
        <w:tc>
          <w:tcPr>
            <w:tcW w:w="1980" w:type="dxa"/>
            <w:vAlign w:val="bottom"/>
            <w:gridSpan w:val="3"/>
          </w:tcPr>
          <w:p>
            <w:pPr>
              <w:jc w:val="right"/>
              <w:ind w:right="1180"/>
              <w:spacing w:after="0"/>
              <w:rPr>
                <w:sz w:val="20"/>
                <w:szCs w:val="20"/>
                <w:color w:val="auto"/>
              </w:rPr>
            </w:pPr>
            <w:r>
              <w:rPr>
                <w:rFonts w:ascii="Arial" w:cs="Arial" w:eastAsia="Arial" w:hAnsi="Arial"/>
                <w:sz w:val="16"/>
                <w:szCs w:val="16"/>
                <w:color w:val="auto"/>
              </w:rPr>
              <w:t>(50)bp</w:t>
            </w:r>
          </w:p>
        </w:tc>
      </w:tr>
      <w:tr>
        <w:trPr>
          <w:trHeight w:val="191"/>
        </w:trPr>
        <w:tc>
          <w:tcPr>
            <w:tcW w:w="5100" w:type="dxa"/>
            <w:vAlign w:val="bottom"/>
            <w:tcBorders>
              <w:top w:val="single" w:sz="8" w:color="B2B2B2"/>
            </w:tcBorders>
            <w:gridSpan w:val="4"/>
          </w:tcPr>
          <w:p>
            <w:pPr>
              <w:spacing w:after="0"/>
              <w:rPr>
                <w:sz w:val="20"/>
                <w:szCs w:val="20"/>
                <w:color w:val="auto"/>
              </w:rPr>
            </w:pPr>
            <w:r>
              <w:rPr>
                <w:rFonts w:ascii="Arial" w:cs="Arial" w:eastAsia="Arial" w:hAnsi="Arial"/>
                <w:sz w:val="16"/>
                <w:szCs w:val="16"/>
                <w:b w:val="1"/>
                <w:bCs w:val="1"/>
                <w:color w:val="auto"/>
              </w:rPr>
              <w:t> “Big 3” Segments Combined</w:t>
            </w:r>
          </w:p>
        </w:tc>
        <w:tc>
          <w:tcPr>
            <w:tcW w:w="240" w:type="dxa"/>
            <w:vAlign w:val="bottom"/>
            <w:tcBorders>
              <w:top w:val="single" w:sz="8" w:color="B2B2B2"/>
            </w:tcBorders>
          </w:tcPr>
          <w:p>
            <w:pPr>
              <w:spacing w:after="0"/>
              <w:rPr>
                <w:sz w:val="16"/>
                <w:szCs w:val="16"/>
                <w:color w:val="auto"/>
              </w:rPr>
            </w:pPr>
          </w:p>
        </w:tc>
        <w:tc>
          <w:tcPr>
            <w:tcW w:w="140" w:type="dxa"/>
            <w:vAlign w:val="bottom"/>
            <w:tcBorders>
              <w:top w:val="single" w:sz="8" w:color="B2B2B2"/>
            </w:tcBorders>
          </w:tcPr>
          <w:p>
            <w:pPr>
              <w:spacing w:after="0"/>
              <w:rPr>
                <w:sz w:val="16"/>
                <w:szCs w:val="16"/>
                <w:color w:val="auto"/>
              </w:rPr>
            </w:pPr>
          </w:p>
        </w:tc>
        <w:tc>
          <w:tcPr>
            <w:tcW w:w="560" w:type="dxa"/>
            <w:vAlign w:val="bottom"/>
            <w:tcBorders>
              <w:top w:val="single" w:sz="8" w:color="B2B2B2"/>
            </w:tcBorders>
          </w:tcPr>
          <w:p>
            <w:pPr>
              <w:jc w:val="right"/>
              <w:spacing w:after="0"/>
              <w:rPr>
                <w:sz w:val="20"/>
                <w:szCs w:val="20"/>
                <w:color w:val="auto"/>
              </w:rPr>
            </w:pPr>
            <w:r>
              <w:rPr>
                <w:rFonts w:ascii="Arial" w:cs="Arial" w:eastAsia="Arial" w:hAnsi="Arial"/>
                <w:sz w:val="16"/>
                <w:szCs w:val="16"/>
                <w:b w:val="1"/>
                <w:bCs w:val="1"/>
                <w:color w:val="auto"/>
              </w:rPr>
              <w:t>42.1%</w:t>
            </w:r>
          </w:p>
        </w:tc>
        <w:tc>
          <w:tcPr>
            <w:tcW w:w="220" w:type="dxa"/>
            <w:vAlign w:val="bottom"/>
            <w:tcBorders>
              <w:top w:val="single" w:sz="8" w:color="B2B2B2"/>
            </w:tcBorders>
          </w:tcPr>
          <w:p>
            <w:pPr>
              <w:spacing w:after="0"/>
              <w:rPr>
                <w:sz w:val="16"/>
                <w:szCs w:val="16"/>
                <w:color w:val="auto"/>
              </w:rPr>
            </w:pPr>
          </w:p>
        </w:tc>
        <w:tc>
          <w:tcPr>
            <w:tcW w:w="140" w:type="dxa"/>
            <w:vAlign w:val="bottom"/>
            <w:tcBorders>
              <w:top w:val="single" w:sz="8" w:color="B2B2B2"/>
            </w:tcBorders>
          </w:tcPr>
          <w:p>
            <w:pPr>
              <w:spacing w:after="0"/>
              <w:rPr>
                <w:sz w:val="16"/>
                <w:szCs w:val="16"/>
                <w:color w:val="auto"/>
              </w:rPr>
            </w:pPr>
          </w:p>
        </w:tc>
        <w:tc>
          <w:tcPr>
            <w:tcW w:w="56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43.8%</w:t>
            </w:r>
          </w:p>
        </w:tc>
        <w:tc>
          <w:tcPr>
            <w:tcW w:w="240" w:type="dxa"/>
            <w:vAlign w:val="bottom"/>
            <w:tcBorders>
              <w:top w:val="single" w:sz="8" w:color="B2B2B2"/>
            </w:tcBorders>
          </w:tcPr>
          <w:p>
            <w:pPr>
              <w:spacing w:after="0"/>
              <w:rPr>
                <w:sz w:val="16"/>
                <w:szCs w:val="16"/>
                <w:color w:val="auto"/>
              </w:rPr>
            </w:pPr>
          </w:p>
        </w:tc>
        <w:tc>
          <w:tcPr>
            <w:tcW w:w="740" w:type="dxa"/>
            <w:vAlign w:val="bottom"/>
            <w:tcBorders>
              <w:top w:val="single" w:sz="8" w:color="B2B2B2"/>
            </w:tcBorders>
          </w:tcPr>
          <w:p>
            <w:pPr>
              <w:jc w:val="right"/>
              <w:ind w:right="40"/>
              <w:spacing w:after="0"/>
              <w:rPr>
                <w:sz w:val="20"/>
                <w:szCs w:val="20"/>
                <w:color w:val="auto"/>
              </w:rPr>
            </w:pPr>
            <w:r>
              <w:rPr>
                <w:rFonts w:ascii="Arial" w:cs="Arial" w:eastAsia="Arial" w:hAnsi="Arial"/>
                <w:sz w:val="16"/>
                <w:szCs w:val="16"/>
                <w:color w:val="auto"/>
              </w:rPr>
              <w:t>(170)bp</w:t>
            </w:r>
          </w:p>
        </w:tc>
        <w:tc>
          <w:tcPr>
            <w:tcW w:w="90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10bp</w:t>
            </w:r>
          </w:p>
        </w:tc>
        <w:tc>
          <w:tcPr>
            <w:tcW w:w="880" w:type="dxa"/>
            <w:vAlign w:val="bottom"/>
            <w:tcBorders>
              <w:top w:val="single" w:sz="8" w:color="B2B2B2"/>
            </w:tcBorders>
          </w:tcPr>
          <w:p>
            <w:pPr>
              <w:jc w:val="right"/>
              <w:spacing w:after="0"/>
              <w:rPr>
                <w:sz w:val="20"/>
                <w:szCs w:val="20"/>
                <w:color w:val="auto"/>
              </w:rPr>
            </w:pPr>
            <w:r>
              <w:rPr>
                <w:rFonts w:ascii="Arial" w:cs="Arial" w:eastAsia="Arial" w:hAnsi="Arial"/>
                <w:sz w:val="16"/>
                <w:szCs w:val="16"/>
                <w:color w:val="auto"/>
              </w:rPr>
              <w:t>(180)bp</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5080" w:type="dxa"/>
            <w:vAlign w:val="bottom"/>
            <w:gridSpan w:val="3"/>
          </w:tcPr>
          <w:p>
            <w:pPr>
              <w:ind w:left="140"/>
              <w:spacing w:after="0"/>
              <w:rPr>
                <w:sz w:val="20"/>
                <w:szCs w:val="20"/>
                <w:color w:val="auto"/>
              </w:rPr>
            </w:pPr>
            <w:r>
              <w:rPr>
                <w:rFonts w:ascii="Arial" w:cs="Arial" w:eastAsia="Arial" w:hAnsi="Arial"/>
                <w:sz w:val="16"/>
                <w:szCs w:val="16"/>
                <w:b w:val="1"/>
                <w:bCs w:val="1"/>
                <w:color w:val="auto"/>
              </w:rPr>
              <w:t> Reuters News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23.6%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22.4%</w:t>
            </w:r>
          </w:p>
        </w:tc>
        <w:tc>
          <w:tcPr>
            <w:tcW w:w="240" w:type="dxa"/>
            <w:vAlign w:val="bottom"/>
          </w:tcPr>
          <w:p>
            <w:pPr>
              <w:spacing w:after="0"/>
              <w:rPr>
                <w:sz w:val="17"/>
                <w:szCs w:val="17"/>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120bp</w:t>
            </w:r>
          </w:p>
        </w:tc>
        <w:tc>
          <w:tcPr>
            <w:tcW w:w="900" w:type="dxa"/>
            <w:vAlign w:val="bottom"/>
          </w:tcPr>
          <w:p>
            <w:pPr>
              <w:jc w:val="right"/>
              <w:spacing w:after="0"/>
              <w:rPr>
                <w:sz w:val="20"/>
                <w:szCs w:val="20"/>
                <w:color w:val="auto"/>
              </w:rPr>
            </w:pPr>
            <w:r>
              <w:rPr>
                <w:rFonts w:ascii="Arial" w:cs="Arial" w:eastAsia="Arial" w:hAnsi="Arial"/>
                <w:sz w:val="16"/>
                <w:szCs w:val="16"/>
                <w:color w:val="auto"/>
              </w:rPr>
              <w:t>(30)bp</w:t>
            </w:r>
          </w:p>
        </w:tc>
        <w:tc>
          <w:tcPr>
            <w:tcW w:w="1980" w:type="dxa"/>
            <w:vAlign w:val="bottom"/>
            <w:gridSpan w:val="3"/>
          </w:tcPr>
          <w:p>
            <w:pPr>
              <w:jc w:val="right"/>
              <w:ind w:right="1180"/>
              <w:spacing w:after="0"/>
              <w:rPr>
                <w:sz w:val="20"/>
                <w:szCs w:val="20"/>
                <w:color w:val="auto"/>
              </w:rPr>
            </w:pPr>
            <w:r>
              <w:rPr>
                <w:rFonts w:ascii="Arial" w:cs="Arial" w:eastAsia="Arial" w:hAnsi="Arial"/>
                <w:sz w:val="16"/>
                <w:szCs w:val="16"/>
                <w:color w:val="auto"/>
              </w:rPr>
              <w:t>150bp</w:t>
            </w:r>
          </w:p>
        </w:tc>
      </w:tr>
      <w:tr>
        <w:trPr>
          <w:trHeight w:val="200"/>
        </w:trPr>
        <w:tc>
          <w:tcPr>
            <w:tcW w:w="20" w:type="dxa"/>
            <w:vAlign w:val="bottom"/>
          </w:tcPr>
          <w:p>
            <w:pPr>
              <w:spacing w:after="0"/>
              <w:rPr>
                <w:sz w:val="17"/>
                <w:szCs w:val="17"/>
                <w:color w:val="auto"/>
              </w:rPr>
            </w:pPr>
          </w:p>
        </w:tc>
        <w:tc>
          <w:tcPr>
            <w:tcW w:w="5080" w:type="dxa"/>
            <w:vAlign w:val="bottom"/>
            <w:gridSpan w:val="3"/>
          </w:tcPr>
          <w:p>
            <w:pPr>
              <w:ind w:left="140"/>
              <w:spacing w:after="0"/>
              <w:rPr>
                <w:sz w:val="20"/>
                <w:szCs w:val="20"/>
                <w:color w:val="auto"/>
              </w:rPr>
            </w:pPr>
            <w:r>
              <w:rPr>
                <w:rFonts w:ascii="Arial" w:cs="Arial" w:eastAsia="Arial" w:hAnsi="Arial"/>
                <w:sz w:val="16"/>
                <w:szCs w:val="16"/>
                <w:b w:val="1"/>
                <w:bCs w:val="1"/>
                <w:color w:val="auto"/>
              </w:rPr>
              <w:t> Global Print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36.2%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38.0%</w:t>
            </w:r>
          </w:p>
        </w:tc>
        <w:tc>
          <w:tcPr>
            <w:tcW w:w="240" w:type="dxa"/>
            <w:vAlign w:val="bottom"/>
          </w:tcPr>
          <w:p>
            <w:pPr>
              <w:spacing w:after="0"/>
              <w:rPr>
                <w:sz w:val="17"/>
                <w:szCs w:val="17"/>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(180)bp</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980" w:type="dxa"/>
            <w:vAlign w:val="bottom"/>
            <w:gridSpan w:val="3"/>
          </w:tcPr>
          <w:p>
            <w:pPr>
              <w:jc w:val="right"/>
              <w:ind w:right="1180"/>
              <w:spacing w:after="0"/>
              <w:rPr>
                <w:sz w:val="20"/>
                <w:szCs w:val="20"/>
                <w:color w:val="auto"/>
              </w:rPr>
            </w:pPr>
            <w:r>
              <w:rPr>
                <w:rFonts w:ascii="Arial" w:cs="Arial" w:eastAsia="Arial" w:hAnsi="Arial"/>
                <w:sz w:val="16"/>
                <w:szCs w:val="16"/>
                <w:color w:val="auto"/>
              </w:rPr>
              <w:t>(180)bp</w:t>
            </w:r>
          </w:p>
        </w:tc>
      </w:tr>
      <w:tr>
        <w:trPr>
          <w:trHeight w:val="192"/>
        </w:trPr>
        <w:tc>
          <w:tcPr>
            <w:tcW w:w="5100" w:type="dxa"/>
            <w:vAlign w:val="bottom"/>
            <w:tcBorders>
              <w:top w:val="single" w:sz="8" w:color="B2B2B2"/>
              <w:bottom w:val="single" w:sz="8" w:color="B2B2B2"/>
            </w:tcBorders>
            <w:gridSpan w:val="4"/>
          </w:tcPr>
          <w:p>
            <w:pPr>
              <w:spacing w:after="0"/>
              <w:rPr>
                <w:sz w:val="20"/>
                <w:szCs w:val="20"/>
                <w:color w:val="auto"/>
              </w:rPr>
            </w:pPr>
            <w:r>
              <w:rPr>
                <w:rFonts w:ascii="Arial" w:cs="Arial" w:eastAsia="Arial" w:hAnsi="Arial"/>
                <w:sz w:val="16"/>
                <w:szCs w:val="16"/>
                <w:b w:val="1"/>
                <w:bCs w:val="1"/>
                <w:color w:val="auto"/>
              </w:rPr>
              <w:t> Adjusted EBITDA margin</w:t>
            </w:r>
          </w:p>
        </w:tc>
        <w:tc>
          <w:tcPr>
            <w:tcW w:w="240" w:type="dxa"/>
            <w:vAlign w:val="bottom"/>
            <w:tcBorders>
              <w:top w:val="single" w:sz="8" w:color="B2B2B2"/>
              <w:bottom w:val="single" w:sz="8" w:color="B2B2B2"/>
            </w:tcBorders>
          </w:tcPr>
          <w:p>
            <w:pPr>
              <w:spacing w:after="0"/>
              <w:rPr>
                <w:sz w:val="16"/>
                <w:szCs w:val="16"/>
                <w:color w:val="auto"/>
              </w:rPr>
            </w:pPr>
          </w:p>
        </w:tc>
        <w:tc>
          <w:tcPr>
            <w:tcW w:w="140" w:type="dxa"/>
            <w:vAlign w:val="bottom"/>
            <w:tcBorders>
              <w:top w:val="single" w:sz="8" w:color="B2B2B2"/>
              <w:bottom w:val="single" w:sz="8" w:color="B2B2B2"/>
            </w:tcBorders>
          </w:tcPr>
          <w:p>
            <w:pPr>
              <w:spacing w:after="0"/>
              <w:rPr>
                <w:sz w:val="16"/>
                <w:szCs w:val="16"/>
                <w:color w:val="auto"/>
              </w:rPr>
            </w:pPr>
          </w:p>
        </w:tc>
        <w:tc>
          <w:tcPr>
            <w:tcW w:w="56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38.2%</w:t>
            </w:r>
          </w:p>
        </w:tc>
        <w:tc>
          <w:tcPr>
            <w:tcW w:w="220" w:type="dxa"/>
            <w:vAlign w:val="bottom"/>
            <w:tcBorders>
              <w:top w:val="single" w:sz="8" w:color="B2B2B2"/>
              <w:bottom w:val="single" w:sz="8" w:color="B2B2B2"/>
            </w:tcBorders>
          </w:tcPr>
          <w:p>
            <w:pPr>
              <w:spacing w:after="0"/>
              <w:rPr>
                <w:sz w:val="16"/>
                <w:szCs w:val="16"/>
                <w:color w:val="auto"/>
              </w:rPr>
            </w:pPr>
          </w:p>
        </w:tc>
        <w:tc>
          <w:tcPr>
            <w:tcW w:w="140" w:type="dxa"/>
            <w:vAlign w:val="bottom"/>
            <w:tcBorders>
              <w:top w:val="single" w:sz="8" w:color="B2B2B2"/>
              <w:bottom w:val="single" w:sz="8" w:color="B2B2B2"/>
            </w:tcBorders>
          </w:tcPr>
          <w:p>
            <w:pPr>
              <w:spacing w:after="0"/>
              <w:rPr>
                <w:sz w:val="16"/>
                <w:szCs w:val="16"/>
                <w:color w:val="auto"/>
              </w:rPr>
            </w:pPr>
          </w:p>
        </w:tc>
        <w:tc>
          <w:tcPr>
            <w:tcW w:w="56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39.3%</w:t>
            </w:r>
          </w:p>
        </w:tc>
        <w:tc>
          <w:tcPr>
            <w:tcW w:w="240" w:type="dxa"/>
            <w:vAlign w:val="bottom"/>
            <w:tcBorders>
              <w:top w:val="single" w:sz="8" w:color="B2B2B2"/>
              <w:bottom w:val="single" w:sz="8" w:color="B2B2B2"/>
            </w:tcBorders>
          </w:tcPr>
          <w:p>
            <w:pPr>
              <w:spacing w:after="0"/>
              <w:rPr>
                <w:sz w:val="16"/>
                <w:szCs w:val="16"/>
                <w:color w:val="auto"/>
              </w:rPr>
            </w:pPr>
          </w:p>
        </w:tc>
        <w:tc>
          <w:tcPr>
            <w:tcW w:w="740" w:type="dxa"/>
            <w:vAlign w:val="bottom"/>
            <w:tcBorders>
              <w:top w:val="single" w:sz="8" w:color="B2B2B2"/>
              <w:bottom w:val="single" w:sz="8" w:color="B2B2B2"/>
            </w:tcBorders>
          </w:tcPr>
          <w:p>
            <w:pPr>
              <w:jc w:val="right"/>
              <w:ind w:right="40"/>
              <w:spacing w:after="0"/>
              <w:rPr>
                <w:sz w:val="20"/>
                <w:szCs w:val="20"/>
                <w:color w:val="auto"/>
              </w:rPr>
            </w:pPr>
            <w:r>
              <w:rPr>
                <w:rFonts w:ascii="Arial" w:cs="Arial" w:eastAsia="Arial" w:hAnsi="Arial"/>
                <w:sz w:val="16"/>
                <w:szCs w:val="16"/>
                <w:color w:val="auto"/>
              </w:rPr>
              <w:t>(110)bp</w:t>
            </w:r>
          </w:p>
        </w:tc>
        <w:tc>
          <w:tcPr>
            <w:tcW w:w="90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20bp</w:t>
            </w:r>
          </w:p>
        </w:tc>
        <w:tc>
          <w:tcPr>
            <w:tcW w:w="880" w:type="dxa"/>
            <w:vAlign w:val="bottom"/>
            <w:tcBorders>
              <w:top w:val="single" w:sz="8" w:color="B2B2B2"/>
              <w:bottom w:val="single" w:sz="8" w:color="B2B2B2"/>
            </w:tcBorders>
          </w:tcPr>
          <w:p>
            <w:pPr>
              <w:jc w:val="right"/>
              <w:spacing w:after="0"/>
              <w:rPr>
                <w:sz w:val="20"/>
                <w:szCs w:val="20"/>
                <w:color w:val="auto"/>
              </w:rPr>
            </w:pPr>
            <w:r>
              <w:rPr>
                <w:rFonts w:ascii="Arial" w:cs="Arial" w:eastAsia="Arial" w:hAnsi="Arial"/>
                <w:sz w:val="16"/>
                <w:szCs w:val="16"/>
                <w:color w:val="auto"/>
              </w:rPr>
              <w:t>(130)bp</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5100" w:type="dxa"/>
            <w:vAlign w:val="bottom"/>
            <w:gridSpan w:val="4"/>
          </w:tcPr>
          <w:p>
            <w:pPr>
              <w:spacing w:after="0"/>
              <w:rPr>
                <w:sz w:val="20"/>
                <w:szCs w:val="20"/>
                <w:color w:val="auto"/>
              </w:rPr>
            </w:pPr>
            <w:r>
              <w:rPr>
                <w:rFonts w:ascii="Arial" w:cs="Arial" w:eastAsia="Arial" w:hAnsi="Arial"/>
                <w:sz w:val="16"/>
                <w:szCs w:val="16"/>
                <w:b w:val="1"/>
                <w:bCs w:val="1"/>
                <w:color w:val="auto"/>
              </w:rPr>
              <w:t> Operating expenses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4,471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4,134</w:t>
            </w:r>
          </w:p>
        </w:tc>
        <w:tc>
          <w:tcPr>
            <w:tcW w:w="240" w:type="dxa"/>
            <w:vAlign w:val="bottom"/>
          </w:tcPr>
          <w:p>
            <w:pPr>
              <w:spacing w:after="0"/>
              <w:rPr>
                <w:sz w:val="16"/>
                <w:szCs w:val="16"/>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5100" w:type="dxa"/>
            <w:vAlign w:val="bottom"/>
            <w:tcBorders>
              <w:bottom w:val="single" w:sz="8" w:color="D64000"/>
            </w:tcBorders>
            <w:gridSpan w:val="4"/>
          </w:tcPr>
          <w:p>
            <w:pPr>
              <w:spacing w:after="0"/>
              <w:rPr>
                <w:sz w:val="20"/>
                <w:szCs w:val="20"/>
                <w:color w:val="auto"/>
              </w:rPr>
            </w:pPr>
            <w:r>
              <w:rPr>
                <w:rFonts w:ascii="Arial" w:cs="Arial" w:eastAsia="Arial" w:hAnsi="Arial"/>
                <w:sz w:val="16"/>
                <w:szCs w:val="16"/>
                <w:b w:val="1"/>
                <w:bCs w:val="1"/>
                <w:color w:val="auto"/>
              </w:rPr>
              <w:t> Adjusted EPS</w:t>
            </w:r>
          </w:p>
        </w:tc>
        <w:tc>
          <w:tcPr>
            <w:tcW w:w="240" w:type="dxa"/>
            <w:vAlign w:val="bottom"/>
            <w:tcBorders>
              <w:bottom w:val="single" w:sz="8" w:color="D64000"/>
            </w:tcBorders>
          </w:tcPr>
          <w:p>
            <w:pPr>
              <w:spacing w:after="0"/>
              <w:rPr>
                <w:sz w:val="17"/>
                <w:szCs w:val="17"/>
                <w:color w:val="auto"/>
              </w:rPr>
            </w:pPr>
          </w:p>
        </w:tc>
        <w:tc>
          <w:tcPr>
            <w:tcW w:w="140" w:type="dxa"/>
            <w:vAlign w:val="bottom"/>
            <w:tcBorders>
              <w:bottom w:val="single" w:sz="8" w:color="D64000"/>
            </w:tcBorders>
          </w:tcPr>
          <w:p>
            <w:pPr>
              <w:spacing w:after="0"/>
              <w:rPr>
                <w:sz w:val="17"/>
                <w:szCs w:val="17"/>
                <w:color w:val="auto"/>
              </w:rPr>
            </w:pPr>
          </w:p>
        </w:tc>
        <w:tc>
          <w:tcPr>
            <w:tcW w:w="560" w:type="dxa"/>
            <w:vAlign w:val="bottom"/>
            <w:tcBorders>
              <w:bottom w:val="single" w:sz="8" w:color="D64000"/>
            </w:tcBorders>
          </w:tcPr>
          <w:p>
            <w:pPr>
              <w:jc w:val="right"/>
              <w:spacing w:after="0"/>
              <w:rPr>
                <w:sz w:val="20"/>
                <w:szCs w:val="20"/>
                <w:color w:val="auto"/>
              </w:rPr>
            </w:pPr>
            <w:r>
              <w:rPr>
                <w:rFonts w:ascii="Arial" w:cs="Arial" w:eastAsia="Arial" w:hAnsi="Arial"/>
                <w:sz w:val="16"/>
                <w:szCs w:val="16"/>
                <w:b w:val="1"/>
                <w:bCs w:val="1"/>
                <w:color w:val="auto"/>
              </w:rPr>
              <w:t>$3.77</w:t>
            </w:r>
          </w:p>
        </w:tc>
        <w:tc>
          <w:tcPr>
            <w:tcW w:w="220" w:type="dxa"/>
            <w:vAlign w:val="bottom"/>
            <w:tcBorders>
              <w:bottom w:val="single" w:sz="8" w:color="D64000"/>
            </w:tcBorders>
          </w:tcPr>
          <w:p>
            <w:pPr>
              <w:spacing w:after="0"/>
              <w:rPr>
                <w:sz w:val="17"/>
                <w:szCs w:val="17"/>
                <w:color w:val="auto"/>
              </w:rPr>
            </w:pPr>
          </w:p>
        </w:tc>
        <w:tc>
          <w:tcPr>
            <w:tcW w:w="140" w:type="dxa"/>
            <w:vAlign w:val="bottom"/>
            <w:tcBorders>
              <w:bottom w:val="single" w:sz="8" w:color="D64000"/>
            </w:tcBorders>
          </w:tcPr>
          <w:p>
            <w:pPr>
              <w:spacing w:after="0"/>
              <w:rPr>
                <w:sz w:val="17"/>
                <w:szCs w:val="17"/>
                <w:color w:val="auto"/>
              </w:rPr>
            </w:pPr>
          </w:p>
        </w:tc>
        <w:tc>
          <w:tcPr>
            <w:tcW w:w="560" w:type="dxa"/>
            <w:vAlign w:val="bottom"/>
            <w:tcBorders>
              <w:bottom w:val="single" w:sz="8" w:color="D64000"/>
            </w:tcBorders>
          </w:tcPr>
          <w:p>
            <w:pPr>
              <w:jc w:val="right"/>
              <w:spacing w:after="0"/>
              <w:rPr>
                <w:sz w:val="20"/>
                <w:szCs w:val="20"/>
                <w:color w:val="auto"/>
              </w:rPr>
            </w:pPr>
            <w:r>
              <w:rPr>
                <w:rFonts w:ascii="Arial" w:cs="Arial" w:eastAsia="Arial" w:hAnsi="Arial"/>
                <w:sz w:val="16"/>
                <w:szCs w:val="16"/>
                <w:color w:val="auto"/>
              </w:rPr>
              <w:t>$3.51</w:t>
            </w:r>
          </w:p>
        </w:tc>
        <w:tc>
          <w:tcPr>
            <w:tcW w:w="240" w:type="dxa"/>
            <w:vAlign w:val="bottom"/>
            <w:tcBorders>
              <w:bottom w:val="single" w:sz="8" w:color="D64000"/>
            </w:tcBorders>
          </w:tcPr>
          <w:p>
            <w:pPr>
              <w:spacing w:after="0"/>
              <w:rPr>
                <w:sz w:val="17"/>
                <w:szCs w:val="17"/>
                <w:color w:val="auto"/>
              </w:rPr>
            </w:pPr>
          </w:p>
        </w:tc>
        <w:tc>
          <w:tcPr>
            <w:tcW w:w="740" w:type="dxa"/>
            <w:vAlign w:val="bottom"/>
            <w:tcBorders>
              <w:bottom w:val="single" w:sz="8" w:color="D64000"/>
            </w:tcBorders>
          </w:tcPr>
          <w:p>
            <w:pPr>
              <w:jc w:val="right"/>
              <w:ind w:right="40"/>
              <w:spacing w:after="0"/>
              <w:rPr>
                <w:sz w:val="20"/>
                <w:szCs w:val="20"/>
                <w:color w:val="auto"/>
              </w:rPr>
            </w:pPr>
            <w:r>
              <w:rPr>
                <w:rFonts w:ascii="Arial" w:cs="Arial" w:eastAsia="Arial" w:hAnsi="Arial"/>
                <w:sz w:val="16"/>
                <w:szCs w:val="16"/>
                <w:color w:val="auto"/>
              </w:rPr>
              <w:t>7%</w:t>
            </w:r>
          </w:p>
        </w:tc>
        <w:tc>
          <w:tcPr>
            <w:tcW w:w="900" w:type="dxa"/>
            <w:vAlign w:val="bottom"/>
            <w:tcBorders>
              <w:bottom w:val="single" w:sz="8" w:color="D64000"/>
            </w:tcBorders>
          </w:tcPr>
          <w:p>
            <w:pPr>
              <w:jc w:val="right"/>
              <w:spacing w:after="0"/>
              <w:rPr>
                <w:sz w:val="20"/>
                <w:szCs w:val="20"/>
                <w:color w:val="auto"/>
              </w:rPr>
            </w:pPr>
            <w:r>
              <w:rPr>
                <w:rFonts w:ascii="Arial" w:cs="Arial" w:eastAsia="Arial" w:hAnsi="Arial"/>
                <w:sz w:val="16"/>
                <w:szCs w:val="16"/>
                <w:color w:val="auto"/>
              </w:rPr>
              <w:t>1%</w:t>
            </w:r>
          </w:p>
        </w:tc>
        <w:tc>
          <w:tcPr>
            <w:tcW w:w="880" w:type="dxa"/>
            <w:vAlign w:val="bottom"/>
            <w:tcBorders>
              <w:bottom w:val="single" w:sz="8" w:color="D64000"/>
            </w:tcBorders>
          </w:tcPr>
          <w:p>
            <w:pPr>
              <w:jc w:val="right"/>
              <w:spacing w:after="0"/>
              <w:rPr>
                <w:sz w:val="20"/>
                <w:szCs w:val="20"/>
                <w:color w:val="auto"/>
              </w:rPr>
            </w:pPr>
            <w:r>
              <w:rPr>
                <w:rFonts w:ascii="Arial" w:cs="Arial" w:eastAsia="Arial" w:hAnsi="Arial"/>
                <w:sz w:val="16"/>
                <w:szCs w:val="16"/>
                <w:color w:val="auto"/>
              </w:rPr>
              <w:t>7%</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9"/>
        </w:trPr>
        <w:tc>
          <w:tcPr>
            <w:tcW w:w="20" w:type="dxa"/>
            <w:vAlign w:val="bottom"/>
            <w:tcBorders>
              <w:bottom w:val="single" w:sz="8" w:color="7F7F7F"/>
            </w:tcBorders>
          </w:tcPr>
          <w:p>
            <w:pPr>
              <w:spacing w:after="0"/>
              <w:rPr>
                <w:sz w:val="13"/>
                <w:szCs w:val="13"/>
                <w:color w:val="auto"/>
              </w:rPr>
            </w:pPr>
          </w:p>
        </w:tc>
        <w:tc>
          <w:tcPr>
            <w:tcW w:w="1320" w:type="dxa"/>
            <w:vAlign w:val="bottom"/>
            <w:tcBorders>
              <w:bottom w:val="single" w:sz="8" w:color="7F7F7F"/>
            </w:tcBorders>
          </w:tcPr>
          <w:p>
            <w:pPr>
              <w:spacing w:after="0"/>
              <w:rPr>
                <w:sz w:val="13"/>
                <w:szCs w:val="13"/>
                <w:color w:val="auto"/>
              </w:rPr>
            </w:pPr>
          </w:p>
        </w:tc>
        <w:tc>
          <w:tcPr>
            <w:tcW w:w="580" w:type="dxa"/>
            <w:vAlign w:val="bottom"/>
            <w:tcBorders>
              <w:bottom w:val="single" w:sz="8" w:color="7F7F7F"/>
            </w:tcBorders>
          </w:tcPr>
          <w:p>
            <w:pPr>
              <w:spacing w:after="0"/>
              <w:rPr>
                <w:sz w:val="13"/>
                <w:szCs w:val="13"/>
                <w:color w:val="auto"/>
              </w:rPr>
            </w:pPr>
          </w:p>
        </w:tc>
        <w:tc>
          <w:tcPr>
            <w:tcW w:w="3180" w:type="dxa"/>
            <w:vAlign w:val="bottom"/>
            <w:tcBorders>
              <w:bottom w:val="single" w:sz="8" w:color="7F7F7F"/>
            </w:tcBorders>
          </w:tcPr>
          <w:p>
            <w:pPr>
              <w:spacing w:after="0"/>
              <w:rPr>
                <w:sz w:val="13"/>
                <w:szCs w:val="13"/>
                <w:color w:val="auto"/>
              </w:rPr>
            </w:pPr>
          </w:p>
        </w:tc>
        <w:tc>
          <w:tcPr>
            <w:tcW w:w="240" w:type="dxa"/>
            <w:vAlign w:val="bottom"/>
            <w:tcBorders>
              <w:bottom w:val="single" w:sz="8" w:color="7F7F7F"/>
            </w:tcBorders>
          </w:tcPr>
          <w:p>
            <w:pPr>
              <w:spacing w:after="0"/>
              <w:rPr>
                <w:sz w:val="13"/>
                <w:szCs w:val="13"/>
                <w:color w:val="auto"/>
              </w:rPr>
            </w:pPr>
          </w:p>
        </w:tc>
        <w:tc>
          <w:tcPr>
            <w:tcW w:w="140" w:type="dxa"/>
            <w:vAlign w:val="bottom"/>
            <w:tcBorders>
              <w:bottom w:val="single" w:sz="8" w:color="7F7F7F"/>
            </w:tcBorders>
          </w:tcPr>
          <w:p>
            <w:pPr>
              <w:spacing w:after="0"/>
              <w:rPr>
                <w:sz w:val="13"/>
                <w:szCs w:val="13"/>
                <w:color w:val="auto"/>
              </w:rPr>
            </w:pPr>
          </w:p>
        </w:tc>
        <w:tc>
          <w:tcPr>
            <w:tcW w:w="560" w:type="dxa"/>
            <w:vAlign w:val="bottom"/>
            <w:tcBorders>
              <w:bottom w:val="single" w:sz="8" w:color="7F7F7F"/>
            </w:tcBorders>
          </w:tcPr>
          <w:p>
            <w:pPr>
              <w:spacing w:after="0"/>
              <w:rPr>
                <w:sz w:val="13"/>
                <w:szCs w:val="13"/>
                <w:color w:val="auto"/>
              </w:rPr>
            </w:pPr>
          </w:p>
        </w:tc>
        <w:tc>
          <w:tcPr>
            <w:tcW w:w="220" w:type="dxa"/>
            <w:vAlign w:val="bottom"/>
            <w:tcBorders>
              <w:bottom w:val="single" w:sz="8" w:color="7F7F7F"/>
            </w:tcBorders>
          </w:tcPr>
          <w:p>
            <w:pPr>
              <w:spacing w:after="0"/>
              <w:rPr>
                <w:sz w:val="13"/>
                <w:szCs w:val="13"/>
                <w:color w:val="auto"/>
              </w:rPr>
            </w:pPr>
          </w:p>
        </w:tc>
        <w:tc>
          <w:tcPr>
            <w:tcW w:w="140" w:type="dxa"/>
            <w:vAlign w:val="bottom"/>
            <w:tcBorders>
              <w:bottom w:val="single" w:sz="8" w:color="7F7F7F"/>
            </w:tcBorders>
          </w:tcPr>
          <w:p>
            <w:pPr>
              <w:spacing w:after="0"/>
              <w:rPr>
                <w:sz w:val="13"/>
                <w:szCs w:val="13"/>
                <w:color w:val="auto"/>
              </w:rPr>
            </w:pPr>
          </w:p>
        </w:tc>
        <w:tc>
          <w:tcPr>
            <w:tcW w:w="560" w:type="dxa"/>
            <w:vAlign w:val="bottom"/>
            <w:tcBorders>
              <w:bottom w:val="single" w:sz="8" w:color="7F7F7F"/>
            </w:tcBorders>
          </w:tcPr>
          <w:p>
            <w:pPr>
              <w:spacing w:after="0"/>
              <w:rPr>
                <w:sz w:val="13"/>
                <w:szCs w:val="13"/>
                <w:color w:val="auto"/>
              </w:rPr>
            </w:pPr>
          </w:p>
        </w:tc>
        <w:tc>
          <w:tcPr>
            <w:tcW w:w="240" w:type="dxa"/>
            <w:vAlign w:val="bottom"/>
            <w:tcBorders>
              <w:bottom w:val="single" w:sz="8" w:color="7F7F7F"/>
            </w:tcBorders>
          </w:tcPr>
          <w:p>
            <w:pPr>
              <w:spacing w:after="0"/>
              <w:rPr>
                <w:sz w:val="13"/>
                <w:szCs w:val="13"/>
                <w:color w:val="auto"/>
              </w:rPr>
            </w:pPr>
          </w:p>
        </w:tc>
        <w:tc>
          <w:tcPr>
            <w:tcW w:w="3600" w:type="dxa"/>
            <w:vAlign w:val="bottom"/>
            <w:tcBorders>
              <w:bottom w:val="single" w:sz="8" w:color="7F7F7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41"/>
        </w:trPr>
        <w:tc>
          <w:tcPr>
            <w:tcW w:w="5100" w:type="dxa"/>
            <w:vAlign w:val="bottom"/>
            <w:gridSpan w:val="4"/>
          </w:tcPr>
          <w:p>
            <w:pPr>
              <w:spacing w:after="0"/>
              <w:rPr>
                <w:sz w:val="20"/>
                <w:szCs w:val="20"/>
                <w:color w:val="auto"/>
              </w:rPr>
            </w:pPr>
            <w:r>
              <w:rPr>
                <w:rFonts w:ascii="Arial" w:cs="Arial" w:eastAsia="Arial" w:hAnsi="Arial"/>
                <w:sz w:val="17"/>
                <w:szCs w:val="17"/>
                <w:color w:val="auto"/>
              </w:rPr>
              <w:t>Page 68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20" w:type="dxa"/>
            <w:vAlign w:val="bottom"/>
            <w:gridSpan w:val="5"/>
          </w:tcPr>
          <w:p>
            <w:pPr>
              <w:ind w:left="560"/>
              <w:spacing w:after="0"/>
              <w:rPr>
                <w:sz w:val="20"/>
                <w:szCs w:val="20"/>
                <w:color w:val="auto"/>
              </w:rPr>
            </w:pPr>
            <w:r>
              <w:rPr>
                <w:rFonts w:ascii="Arial" w:cs="Arial" w:eastAsia="Arial" w:hAnsi="Arial"/>
                <w:sz w:val="17"/>
                <w:szCs w:val="17"/>
                <w:b w:val="1"/>
                <w:bCs w:val="1"/>
                <w:color w:val="auto"/>
                <w:w w:val="98"/>
              </w:rPr>
              <w:t>Thomson Reuters Annual Report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-3295015</wp:posOffset>
            </wp:positionV>
            <wp:extent cx="617537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ectPr>
          <w:pgSz w:w="11900" w:h="16838" w:orient="portrait"/>
          <w:cols w:equalWidth="0" w:num="1">
            <w:col w:w="11040"/>
          </w:cols>
          <w:pgMar w:left="320" w:top="477" w:right="5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Reconciliation of Adjusted EBITDA Margin</w:t>
      </w:r>
    </w:p>
    <w:p>
      <w:pPr>
        <w:spacing w:after="0" w:line="84" w:lineRule="exact"/>
        <w:rPr>
          <w:sz w:val="20"/>
          <w:szCs w:val="20"/>
          <w:color w:val="auto"/>
        </w:rPr>
      </w:pPr>
    </w:p>
    <w:p>
      <w:pPr>
        <w:ind w:left="220" w:right="20"/>
        <w:spacing w:after="0" w:line="243" w:lineRule="auto"/>
        <w:rPr>
          <w:sz w:val="20"/>
          <w:szCs w:val="20"/>
          <w:color w:val="auto"/>
        </w:rPr>
      </w:pPr>
      <w:r>
        <w:rPr>
          <w:rFonts w:ascii="Arial" w:cs="Arial" w:eastAsia="Arial" w:hAnsi="Arial"/>
          <w:sz w:val="17"/>
          <w:szCs w:val="17"/>
          <w:color w:val="auto"/>
        </w:rPr>
        <w:t>To compute segment and consolidated adjusted EBITDA margin, we exclude fair value adjustments related to acquired deferred revenue from our IFRS revenues. The chart below reconciles IFRS revenues to revenues used in the calculation of adjusted EBITDA margin, which excludes fair value adjustments related to acquired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83185</wp:posOffset>
            </wp:positionV>
            <wp:extent cx="617537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111" w:lineRule="exact"/>
        <w:rPr>
          <w:sz w:val="20"/>
          <w:szCs w:val="20"/>
          <w:color w:val="auto"/>
        </w:rPr>
      </w:pPr>
    </w:p>
    <w:tbl>
      <w:tblPr>
        <w:tblLayout w:type="fixed"/>
        <w:tblInd w:w="22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120" w:type="dxa"/>
            <w:vAlign w:val="bottom"/>
            <w:tcBorders>
              <w:right w:val="single" w:sz="8" w:color="E3F3EE"/>
            </w:tcBorders>
          </w:tcPr>
          <w:p>
            <w:pPr>
              <w:spacing w:after="0"/>
              <w:rPr>
                <w:sz w:val="13"/>
                <w:szCs w:val="13"/>
                <w:color w:val="auto"/>
              </w:rPr>
            </w:pPr>
          </w:p>
        </w:tc>
        <w:tc>
          <w:tcPr>
            <w:tcW w:w="1120" w:type="dxa"/>
            <w:vAlign w:val="bottom"/>
            <w:shd w:val="clear" w:color="auto" w:fill="E3F3EE"/>
          </w:tcPr>
          <w:p>
            <w:pPr>
              <w:spacing w:after="0"/>
              <w:rPr>
                <w:sz w:val="13"/>
                <w:szCs w:val="13"/>
                <w:color w:val="auto"/>
              </w:rPr>
            </w:pPr>
          </w:p>
        </w:tc>
        <w:tc>
          <w:tcPr>
            <w:tcW w:w="3240" w:type="dxa"/>
            <w:vAlign w:val="bottom"/>
            <w:gridSpan w:val="2"/>
            <w:shd w:val="clear" w:color="auto" w:fill="E3F3EE"/>
          </w:tcPr>
          <w:p>
            <w:pPr>
              <w:jc w:val="right"/>
              <w:spacing w:after="0"/>
              <w:rPr>
                <w:sz w:val="20"/>
                <w:szCs w:val="20"/>
                <w:color w:val="auto"/>
              </w:rPr>
            </w:pPr>
            <w:r>
              <w:rPr>
                <w:rFonts w:ascii="Arial" w:cs="Arial" w:eastAsia="Arial" w:hAnsi="Arial"/>
                <w:sz w:val="13"/>
                <w:szCs w:val="13"/>
                <w:b w:val="1"/>
                <w:bCs w:val="1"/>
                <w:color w:val="auto"/>
              </w:rPr>
              <w:t>Three months ended December 31, 2024</w:t>
            </w:r>
          </w:p>
        </w:tc>
        <w:tc>
          <w:tcPr>
            <w:tcW w:w="740" w:type="dxa"/>
            <w:vAlign w:val="bottom"/>
            <w:shd w:val="clear" w:color="auto" w:fill="E3F3EE"/>
          </w:tcPr>
          <w:p>
            <w:pPr>
              <w:spacing w:after="0"/>
              <w:rPr>
                <w:sz w:val="13"/>
                <w:szCs w:val="13"/>
                <w:color w:val="auto"/>
              </w:rPr>
            </w:pPr>
          </w:p>
        </w:tc>
        <w:tc>
          <w:tcPr>
            <w:tcW w:w="840" w:type="dxa"/>
            <w:vAlign w:val="bottom"/>
            <w:shd w:val="clear" w:color="auto" w:fill="E3F3EE"/>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20" w:type="dxa"/>
            <w:vAlign w:val="bottom"/>
            <w:shd w:val="clear" w:color="auto" w:fill="1F473D"/>
          </w:tcPr>
          <w:p>
            <w:pPr>
              <w:spacing w:after="0"/>
              <w:rPr>
                <w:sz w:val="11"/>
                <w:szCs w:val="11"/>
                <w:color w:val="auto"/>
              </w:rPr>
            </w:pPr>
          </w:p>
        </w:tc>
        <w:tc>
          <w:tcPr>
            <w:tcW w:w="640" w:type="dxa"/>
            <w:vAlign w:val="bottom"/>
            <w:shd w:val="clear" w:color="auto" w:fill="1F473D"/>
          </w:tcPr>
          <w:p>
            <w:pPr>
              <w:spacing w:after="0"/>
              <w:rPr>
                <w:sz w:val="11"/>
                <w:szCs w:val="11"/>
                <w:color w:val="auto"/>
              </w:rPr>
            </w:pPr>
          </w:p>
        </w:tc>
        <w:tc>
          <w:tcPr>
            <w:tcW w:w="3120" w:type="dxa"/>
            <w:vAlign w:val="bottom"/>
            <w:tcBorders>
              <w:right w:val="single" w:sz="8" w:color="1F473D"/>
            </w:tcBorders>
            <w:shd w:val="clear" w:color="auto" w:fill="1F473D"/>
          </w:tcPr>
          <w:p>
            <w:pPr>
              <w:spacing w:after="0"/>
              <w:rPr>
                <w:sz w:val="11"/>
                <w:szCs w:val="11"/>
                <w:color w:val="auto"/>
              </w:rPr>
            </w:pPr>
          </w:p>
        </w:tc>
        <w:tc>
          <w:tcPr>
            <w:tcW w:w="1120" w:type="dxa"/>
            <w:vAlign w:val="bottom"/>
            <w:shd w:val="clear" w:color="auto" w:fill="1F473D"/>
          </w:tcPr>
          <w:p>
            <w:pPr>
              <w:spacing w:after="0"/>
              <w:rPr>
                <w:sz w:val="11"/>
                <w:szCs w:val="11"/>
                <w:color w:val="auto"/>
              </w:rPr>
            </w:pPr>
          </w:p>
        </w:tc>
        <w:tc>
          <w:tcPr>
            <w:tcW w:w="1480" w:type="dxa"/>
            <w:vAlign w:val="bottom"/>
            <w:shd w:val="clear" w:color="auto" w:fill="1F473D"/>
          </w:tcPr>
          <w:p>
            <w:pPr>
              <w:jc w:val="center"/>
              <w:spacing w:after="0" w:line="133" w:lineRule="exact"/>
              <w:rPr>
                <w:sz w:val="20"/>
                <w:szCs w:val="20"/>
                <w:color w:val="auto"/>
              </w:rPr>
            </w:pPr>
            <w:r>
              <w:rPr>
                <w:rFonts w:ascii="Arial" w:cs="Arial" w:eastAsia="Arial" w:hAnsi="Arial"/>
                <w:sz w:val="13"/>
                <w:szCs w:val="13"/>
                <w:b w:val="1"/>
                <w:bCs w:val="1"/>
                <w:color w:val="FFFFFF"/>
              </w:rPr>
              <w:t>Remove fair</w:t>
            </w:r>
          </w:p>
        </w:tc>
        <w:tc>
          <w:tcPr>
            <w:tcW w:w="1760" w:type="dxa"/>
            <w:vAlign w:val="bottom"/>
            <w:shd w:val="clear" w:color="auto" w:fill="1F473D"/>
          </w:tcPr>
          <w:p>
            <w:pPr>
              <w:jc w:val="center"/>
              <w:ind w:right="114"/>
              <w:spacing w:after="0" w:line="133" w:lineRule="exact"/>
              <w:rPr>
                <w:sz w:val="20"/>
                <w:szCs w:val="20"/>
                <w:color w:val="auto"/>
              </w:rPr>
            </w:pPr>
            <w:r>
              <w:rPr>
                <w:rFonts w:ascii="Arial" w:cs="Arial" w:eastAsia="Arial" w:hAnsi="Arial"/>
                <w:sz w:val="13"/>
                <w:szCs w:val="13"/>
                <w:b w:val="1"/>
                <w:bCs w:val="1"/>
                <w:color w:val="FFFFFF"/>
              </w:rPr>
              <w:t>Revenues</w:t>
            </w:r>
          </w:p>
        </w:tc>
        <w:tc>
          <w:tcPr>
            <w:tcW w:w="740" w:type="dxa"/>
            <w:vAlign w:val="bottom"/>
            <w:shd w:val="clear" w:color="auto" w:fill="1F473D"/>
          </w:tcPr>
          <w:p>
            <w:pPr>
              <w:spacing w:after="0"/>
              <w:rPr>
                <w:sz w:val="11"/>
                <w:szCs w:val="11"/>
                <w:color w:val="auto"/>
              </w:rPr>
            </w:pPr>
          </w:p>
        </w:tc>
        <w:tc>
          <w:tcPr>
            <w:tcW w:w="840" w:type="dxa"/>
            <w:vAlign w:val="bottom"/>
            <w:shd w:val="clear" w:color="auto" w:fill="1F473D"/>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6"/>
        </w:trPr>
        <w:tc>
          <w:tcPr>
            <w:tcW w:w="20" w:type="dxa"/>
            <w:vAlign w:val="bottom"/>
            <w:shd w:val="clear" w:color="auto" w:fill="1F473D"/>
          </w:tcPr>
          <w:p>
            <w:pPr>
              <w:spacing w:after="0"/>
              <w:rPr>
                <w:sz w:val="12"/>
                <w:szCs w:val="12"/>
                <w:color w:val="auto"/>
              </w:rPr>
            </w:pPr>
          </w:p>
        </w:tc>
        <w:tc>
          <w:tcPr>
            <w:tcW w:w="640" w:type="dxa"/>
            <w:vAlign w:val="bottom"/>
            <w:shd w:val="clear" w:color="auto" w:fill="1F473D"/>
          </w:tcPr>
          <w:p>
            <w:pPr>
              <w:spacing w:after="0"/>
              <w:rPr>
                <w:sz w:val="12"/>
                <w:szCs w:val="12"/>
                <w:color w:val="auto"/>
              </w:rPr>
            </w:pPr>
          </w:p>
        </w:tc>
        <w:tc>
          <w:tcPr>
            <w:tcW w:w="3120" w:type="dxa"/>
            <w:vAlign w:val="bottom"/>
            <w:tcBorders>
              <w:right w:val="single" w:sz="8" w:color="1F473D"/>
            </w:tcBorders>
            <w:shd w:val="clear" w:color="auto" w:fill="1F473D"/>
          </w:tcPr>
          <w:p>
            <w:pPr>
              <w:spacing w:after="0"/>
              <w:rPr>
                <w:sz w:val="12"/>
                <w:szCs w:val="12"/>
                <w:color w:val="auto"/>
              </w:rPr>
            </w:pPr>
          </w:p>
        </w:tc>
        <w:tc>
          <w:tcPr>
            <w:tcW w:w="1120" w:type="dxa"/>
            <w:vAlign w:val="bottom"/>
            <w:shd w:val="clear" w:color="auto" w:fill="1F473D"/>
          </w:tcPr>
          <w:p>
            <w:pPr>
              <w:spacing w:after="0"/>
              <w:rPr>
                <w:sz w:val="12"/>
                <w:szCs w:val="12"/>
                <w:color w:val="auto"/>
              </w:rPr>
            </w:pPr>
          </w:p>
        </w:tc>
        <w:tc>
          <w:tcPr>
            <w:tcW w:w="1480" w:type="dxa"/>
            <w:vAlign w:val="bottom"/>
            <w:shd w:val="clear" w:color="auto" w:fill="1F473D"/>
          </w:tcPr>
          <w:p>
            <w:pPr>
              <w:jc w:val="center"/>
              <w:spacing w:after="0" w:line="146" w:lineRule="exact"/>
              <w:rPr>
                <w:sz w:val="20"/>
                <w:szCs w:val="20"/>
                <w:color w:val="auto"/>
              </w:rPr>
            </w:pPr>
            <w:r>
              <w:rPr>
                <w:rFonts w:ascii="Arial" w:cs="Arial" w:eastAsia="Arial" w:hAnsi="Arial"/>
                <w:sz w:val="13"/>
                <w:szCs w:val="13"/>
                <w:b w:val="1"/>
                <w:bCs w:val="1"/>
                <w:color w:val="FFFFFF"/>
              </w:rPr>
              <w:t>value</w:t>
            </w:r>
          </w:p>
        </w:tc>
        <w:tc>
          <w:tcPr>
            <w:tcW w:w="1760" w:type="dxa"/>
            <w:vAlign w:val="bottom"/>
            <w:shd w:val="clear" w:color="auto" w:fill="1F473D"/>
          </w:tcPr>
          <w:p>
            <w:pPr>
              <w:jc w:val="center"/>
              <w:ind w:right="114"/>
              <w:spacing w:after="0" w:line="146" w:lineRule="exact"/>
              <w:rPr>
                <w:sz w:val="20"/>
                <w:szCs w:val="20"/>
                <w:color w:val="auto"/>
              </w:rPr>
            </w:pPr>
            <w:r>
              <w:rPr>
                <w:rFonts w:ascii="Arial" w:cs="Arial" w:eastAsia="Arial" w:hAnsi="Arial"/>
                <w:sz w:val="13"/>
                <w:szCs w:val="13"/>
                <w:b w:val="1"/>
                <w:bCs w:val="1"/>
                <w:color w:val="FFFFFF"/>
              </w:rPr>
              <w:t>excluding fair</w:t>
            </w:r>
          </w:p>
        </w:tc>
        <w:tc>
          <w:tcPr>
            <w:tcW w:w="740" w:type="dxa"/>
            <w:vAlign w:val="bottom"/>
            <w:shd w:val="clear" w:color="auto" w:fill="1F473D"/>
          </w:tcPr>
          <w:p>
            <w:pPr>
              <w:spacing w:after="0"/>
              <w:rPr>
                <w:sz w:val="12"/>
                <w:szCs w:val="12"/>
                <w:color w:val="auto"/>
              </w:rPr>
            </w:pPr>
          </w:p>
        </w:tc>
        <w:tc>
          <w:tcPr>
            <w:tcW w:w="840" w:type="dxa"/>
            <w:vAlign w:val="bottom"/>
            <w:shd w:val="clear" w:color="auto" w:fill="1F473D"/>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20" w:type="dxa"/>
            <w:vAlign w:val="bottom"/>
            <w:shd w:val="clear" w:color="auto" w:fill="1F473D"/>
          </w:tcPr>
          <w:p>
            <w:pPr>
              <w:spacing w:after="0"/>
              <w:rPr>
                <w:sz w:val="12"/>
                <w:szCs w:val="12"/>
                <w:color w:val="auto"/>
              </w:rPr>
            </w:pPr>
          </w:p>
        </w:tc>
        <w:tc>
          <w:tcPr>
            <w:tcW w:w="640" w:type="dxa"/>
            <w:vAlign w:val="bottom"/>
            <w:shd w:val="clear" w:color="auto" w:fill="1F473D"/>
          </w:tcPr>
          <w:p>
            <w:pPr>
              <w:spacing w:after="0"/>
              <w:rPr>
                <w:sz w:val="12"/>
                <w:szCs w:val="12"/>
                <w:color w:val="auto"/>
              </w:rPr>
            </w:pPr>
          </w:p>
        </w:tc>
        <w:tc>
          <w:tcPr>
            <w:tcW w:w="3120" w:type="dxa"/>
            <w:vAlign w:val="bottom"/>
            <w:tcBorders>
              <w:right w:val="single" w:sz="8" w:color="1F473D"/>
            </w:tcBorders>
            <w:shd w:val="clear" w:color="auto" w:fill="1F473D"/>
          </w:tcPr>
          <w:p>
            <w:pPr>
              <w:spacing w:after="0"/>
              <w:rPr>
                <w:sz w:val="12"/>
                <w:szCs w:val="12"/>
                <w:color w:val="auto"/>
              </w:rPr>
            </w:pPr>
          </w:p>
        </w:tc>
        <w:tc>
          <w:tcPr>
            <w:tcW w:w="1120" w:type="dxa"/>
            <w:vAlign w:val="bottom"/>
            <w:shd w:val="clear" w:color="auto" w:fill="1F473D"/>
          </w:tcPr>
          <w:p>
            <w:pPr>
              <w:spacing w:after="0"/>
              <w:rPr>
                <w:sz w:val="12"/>
                <w:szCs w:val="12"/>
                <w:color w:val="auto"/>
              </w:rPr>
            </w:pPr>
          </w:p>
        </w:tc>
        <w:tc>
          <w:tcPr>
            <w:tcW w:w="1480" w:type="dxa"/>
            <w:vAlign w:val="bottom"/>
            <w:shd w:val="clear" w:color="auto" w:fill="1F473D"/>
          </w:tcPr>
          <w:p>
            <w:pPr>
              <w:jc w:val="center"/>
              <w:spacing w:after="0" w:line="146" w:lineRule="exact"/>
              <w:rPr>
                <w:sz w:val="20"/>
                <w:szCs w:val="20"/>
                <w:color w:val="auto"/>
              </w:rPr>
            </w:pPr>
            <w:r>
              <w:rPr>
                <w:rFonts w:ascii="Arial" w:cs="Arial" w:eastAsia="Arial" w:hAnsi="Arial"/>
                <w:sz w:val="13"/>
                <w:szCs w:val="13"/>
                <w:b w:val="1"/>
                <w:bCs w:val="1"/>
                <w:color w:val="FFFFFF"/>
              </w:rPr>
              <w:t>adjustments to</w:t>
            </w:r>
          </w:p>
        </w:tc>
        <w:tc>
          <w:tcPr>
            <w:tcW w:w="1760" w:type="dxa"/>
            <w:vAlign w:val="bottom"/>
            <w:shd w:val="clear" w:color="auto" w:fill="1F473D"/>
          </w:tcPr>
          <w:p>
            <w:pPr>
              <w:jc w:val="center"/>
              <w:ind w:right="134"/>
              <w:spacing w:after="0" w:line="146" w:lineRule="exact"/>
              <w:rPr>
                <w:sz w:val="20"/>
                <w:szCs w:val="20"/>
                <w:color w:val="auto"/>
              </w:rPr>
            </w:pPr>
            <w:r>
              <w:rPr>
                <w:rFonts w:ascii="Arial" w:cs="Arial" w:eastAsia="Arial" w:hAnsi="Arial"/>
                <w:sz w:val="13"/>
                <w:szCs w:val="13"/>
                <w:b w:val="1"/>
                <w:bCs w:val="1"/>
                <w:color w:val="FFFFFF"/>
              </w:rPr>
              <w:t>value adjustments</w:t>
            </w:r>
          </w:p>
        </w:tc>
        <w:tc>
          <w:tcPr>
            <w:tcW w:w="740" w:type="dxa"/>
            <w:vAlign w:val="bottom"/>
            <w:shd w:val="clear" w:color="auto" w:fill="1F473D"/>
          </w:tcPr>
          <w:p>
            <w:pPr>
              <w:spacing w:after="0"/>
              <w:rPr>
                <w:sz w:val="12"/>
                <w:szCs w:val="12"/>
                <w:color w:val="auto"/>
              </w:rPr>
            </w:pPr>
          </w:p>
        </w:tc>
        <w:tc>
          <w:tcPr>
            <w:tcW w:w="840" w:type="dxa"/>
            <w:vAlign w:val="bottom"/>
            <w:shd w:val="clear" w:color="auto" w:fill="1F473D"/>
          </w:tcPr>
          <w:p>
            <w:pPr>
              <w:jc w:val="right"/>
              <w:ind w:right="74"/>
              <w:spacing w:after="0" w:line="146" w:lineRule="exact"/>
              <w:rPr>
                <w:sz w:val="20"/>
                <w:szCs w:val="20"/>
                <w:color w:val="auto"/>
              </w:rPr>
            </w:pPr>
            <w:r>
              <w:rPr>
                <w:rFonts w:ascii="Arial" w:cs="Arial" w:eastAsia="Arial" w:hAnsi="Arial"/>
                <w:sz w:val="13"/>
                <w:szCs w:val="13"/>
                <w:b w:val="1"/>
                <w:bCs w:val="1"/>
                <w:color w:val="FFFFFF"/>
              </w:rPr>
              <w:t>Adjusted</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20" w:type="dxa"/>
            <w:vAlign w:val="bottom"/>
            <w:shd w:val="clear" w:color="auto" w:fill="1F473D"/>
          </w:tcPr>
          <w:p>
            <w:pPr>
              <w:spacing w:after="0"/>
              <w:rPr>
                <w:sz w:val="12"/>
                <w:szCs w:val="12"/>
                <w:color w:val="auto"/>
              </w:rPr>
            </w:pPr>
          </w:p>
        </w:tc>
        <w:tc>
          <w:tcPr>
            <w:tcW w:w="640" w:type="dxa"/>
            <w:vAlign w:val="bottom"/>
            <w:shd w:val="clear" w:color="auto" w:fill="1F473D"/>
          </w:tcPr>
          <w:p>
            <w:pPr>
              <w:spacing w:after="0"/>
              <w:rPr>
                <w:sz w:val="12"/>
                <w:szCs w:val="12"/>
                <w:color w:val="auto"/>
              </w:rPr>
            </w:pPr>
          </w:p>
        </w:tc>
        <w:tc>
          <w:tcPr>
            <w:tcW w:w="3120" w:type="dxa"/>
            <w:vAlign w:val="bottom"/>
            <w:tcBorders>
              <w:right w:val="single" w:sz="8" w:color="1F473D"/>
            </w:tcBorders>
            <w:shd w:val="clear" w:color="auto" w:fill="1F473D"/>
          </w:tcPr>
          <w:p>
            <w:pPr>
              <w:spacing w:after="0"/>
              <w:rPr>
                <w:sz w:val="12"/>
                <w:szCs w:val="12"/>
                <w:color w:val="auto"/>
              </w:rPr>
            </w:pPr>
          </w:p>
        </w:tc>
        <w:tc>
          <w:tcPr>
            <w:tcW w:w="1120" w:type="dxa"/>
            <w:vAlign w:val="bottom"/>
            <w:shd w:val="clear" w:color="auto" w:fill="1F473D"/>
          </w:tcPr>
          <w:p>
            <w:pPr>
              <w:jc w:val="center"/>
              <w:ind w:left="74"/>
              <w:spacing w:after="0" w:line="146" w:lineRule="exact"/>
              <w:rPr>
                <w:sz w:val="20"/>
                <w:szCs w:val="20"/>
                <w:color w:val="auto"/>
              </w:rPr>
            </w:pPr>
            <w:r>
              <w:rPr>
                <w:rFonts w:ascii="Arial" w:cs="Arial" w:eastAsia="Arial" w:hAnsi="Arial"/>
                <w:sz w:val="13"/>
                <w:szCs w:val="13"/>
                <w:b w:val="1"/>
                <w:bCs w:val="1"/>
                <w:color w:val="FFFFFF"/>
              </w:rPr>
              <w:t>IFRS</w:t>
            </w:r>
          </w:p>
        </w:tc>
        <w:tc>
          <w:tcPr>
            <w:tcW w:w="1480" w:type="dxa"/>
            <w:vAlign w:val="bottom"/>
            <w:shd w:val="clear" w:color="auto" w:fill="1F473D"/>
          </w:tcPr>
          <w:p>
            <w:pPr>
              <w:jc w:val="center"/>
              <w:spacing w:after="0" w:line="146" w:lineRule="exact"/>
              <w:rPr>
                <w:sz w:val="20"/>
                <w:szCs w:val="20"/>
                <w:color w:val="auto"/>
              </w:rPr>
            </w:pPr>
            <w:r>
              <w:rPr>
                <w:rFonts w:ascii="Arial" w:cs="Arial" w:eastAsia="Arial" w:hAnsi="Arial"/>
                <w:sz w:val="13"/>
                <w:szCs w:val="13"/>
                <w:b w:val="1"/>
                <w:bCs w:val="1"/>
                <w:color w:val="FFFFFF"/>
              </w:rPr>
              <w:t>acquired</w:t>
            </w:r>
          </w:p>
        </w:tc>
        <w:tc>
          <w:tcPr>
            <w:tcW w:w="1760" w:type="dxa"/>
            <w:vAlign w:val="bottom"/>
            <w:shd w:val="clear" w:color="auto" w:fill="1F473D"/>
          </w:tcPr>
          <w:p>
            <w:pPr>
              <w:jc w:val="center"/>
              <w:ind w:right="134"/>
              <w:spacing w:after="0" w:line="146" w:lineRule="exact"/>
              <w:rPr>
                <w:sz w:val="20"/>
                <w:szCs w:val="20"/>
                <w:color w:val="auto"/>
              </w:rPr>
            </w:pPr>
            <w:r>
              <w:rPr>
                <w:rFonts w:ascii="Arial" w:cs="Arial" w:eastAsia="Arial" w:hAnsi="Arial"/>
                <w:sz w:val="13"/>
                <w:szCs w:val="13"/>
                <w:b w:val="1"/>
                <w:bCs w:val="1"/>
                <w:color w:val="FFFFFF"/>
              </w:rPr>
              <w:t>to acquired</w:t>
            </w:r>
          </w:p>
        </w:tc>
        <w:tc>
          <w:tcPr>
            <w:tcW w:w="740" w:type="dxa"/>
            <w:vAlign w:val="bottom"/>
            <w:shd w:val="clear" w:color="auto" w:fill="1F473D"/>
          </w:tcPr>
          <w:p>
            <w:pPr>
              <w:jc w:val="center"/>
              <w:ind w:right="74"/>
              <w:spacing w:after="0" w:line="146" w:lineRule="exact"/>
              <w:rPr>
                <w:sz w:val="20"/>
                <w:szCs w:val="20"/>
                <w:color w:val="auto"/>
              </w:rPr>
            </w:pPr>
            <w:r>
              <w:rPr>
                <w:rFonts w:ascii="Arial" w:cs="Arial" w:eastAsia="Arial" w:hAnsi="Arial"/>
                <w:sz w:val="13"/>
                <w:szCs w:val="13"/>
                <w:b w:val="1"/>
                <w:bCs w:val="1"/>
                <w:color w:val="FFFFFF"/>
              </w:rPr>
              <w:t>Adjusted</w:t>
            </w:r>
          </w:p>
        </w:tc>
        <w:tc>
          <w:tcPr>
            <w:tcW w:w="840" w:type="dxa"/>
            <w:vAlign w:val="bottom"/>
            <w:shd w:val="clear" w:color="auto" w:fill="1F473D"/>
          </w:tcPr>
          <w:p>
            <w:pPr>
              <w:jc w:val="center"/>
              <w:spacing w:after="0" w:line="146" w:lineRule="exact"/>
              <w:rPr>
                <w:sz w:val="20"/>
                <w:szCs w:val="20"/>
                <w:color w:val="auto"/>
              </w:rPr>
            </w:pPr>
            <w:r>
              <w:rPr>
                <w:rFonts w:ascii="Arial" w:cs="Arial" w:eastAsia="Arial" w:hAnsi="Arial"/>
                <w:sz w:val="13"/>
                <w:szCs w:val="13"/>
                <w:b w:val="1"/>
                <w:bCs w:val="1"/>
                <w:color w:val="FFFFFF"/>
              </w:rPr>
              <w:t>EBITDA</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5"/>
        </w:trPr>
        <w:tc>
          <w:tcPr>
            <w:tcW w:w="3780" w:type="dxa"/>
            <w:vAlign w:val="bottom"/>
            <w:tcBorders>
              <w:bottom w:val="single" w:sz="8" w:color="D64000"/>
              <w:right w:val="single" w:sz="8" w:color="1F473D"/>
            </w:tcBorders>
            <w:gridSpan w:val="3"/>
            <w:shd w:val="clear" w:color="auto" w:fill="1F473D"/>
          </w:tcPr>
          <w:p>
            <w:pPr>
              <w:spacing w:after="0"/>
              <w:rPr>
                <w:sz w:val="20"/>
                <w:szCs w:val="20"/>
                <w:color w:val="auto"/>
              </w:rPr>
            </w:pPr>
            <w:r>
              <w:rPr>
                <w:rFonts w:ascii="Arial" w:cs="Arial" w:eastAsia="Arial" w:hAnsi="Arial"/>
                <w:sz w:val="13"/>
                <w:szCs w:val="13"/>
                <w:b w:val="1"/>
                <w:bCs w:val="1"/>
                <w:color w:val="FFFFFF"/>
              </w:rPr>
              <w:t> (millions of U.S. dollars, except margins)</w:t>
            </w:r>
          </w:p>
        </w:tc>
        <w:tc>
          <w:tcPr>
            <w:tcW w:w="1120" w:type="dxa"/>
            <w:vAlign w:val="bottom"/>
            <w:tcBorders>
              <w:bottom w:val="single" w:sz="8" w:color="D64000"/>
            </w:tcBorders>
            <w:shd w:val="clear" w:color="auto" w:fill="1F473D"/>
          </w:tcPr>
          <w:p>
            <w:pPr>
              <w:jc w:val="center"/>
              <w:ind w:left="74"/>
              <w:spacing w:after="0"/>
              <w:rPr>
                <w:sz w:val="20"/>
                <w:szCs w:val="20"/>
                <w:color w:val="auto"/>
              </w:rPr>
            </w:pPr>
            <w:r>
              <w:rPr>
                <w:rFonts w:ascii="Arial" w:cs="Arial" w:eastAsia="Arial" w:hAnsi="Arial"/>
                <w:sz w:val="13"/>
                <w:szCs w:val="13"/>
                <w:b w:val="1"/>
                <w:bCs w:val="1"/>
                <w:color w:val="FFFFFF"/>
              </w:rPr>
              <w:t>revenues</w:t>
            </w:r>
          </w:p>
        </w:tc>
        <w:tc>
          <w:tcPr>
            <w:tcW w:w="1480" w:type="dxa"/>
            <w:vAlign w:val="bottom"/>
            <w:tcBorders>
              <w:bottom w:val="single" w:sz="8" w:color="D64000"/>
            </w:tcBorders>
            <w:shd w:val="clear" w:color="auto" w:fill="1F473D"/>
          </w:tcPr>
          <w:p>
            <w:pPr>
              <w:jc w:val="center"/>
              <w:spacing w:after="0"/>
              <w:rPr>
                <w:sz w:val="20"/>
                <w:szCs w:val="20"/>
                <w:color w:val="auto"/>
              </w:rPr>
            </w:pPr>
            <w:r>
              <w:rPr>
                <w:rFonts w:ascii="Arial" w:cs="Arial" w:eastAsia="Arial" w:hAnsi="Arial"/>
                <w:sz w:val="13"/>
                <w:szCs w:val="13"/>
                <w:b w:val="1"/>
                <w:bCs w:val="1"/>
                <w:color w:val="FFFFFF"/>
              </w:rPr>
              <w:t>deferred revenue</w:t>
            </w:r>
          </w:p>
        </w:tc>
        <w:tc>
          <w:tcPr>
            <w:tcW w:w="1760" w:type="dxa"/>
            <w:vAlign w:val="bottom"/>
            <w:tcBorders>
              <w:bottom w:val="single" w:sz="8" w:color="D64000"/>
            </w:tcBorders>
            <w:shd w:val="clear" w:color="auto" w:fill="1F473D"/>
          </w:tcPr>
          <w:p>
            <w:pPr>
              <w:jc w:val="center"/>
              <w:ind w:right="134"/>
              <w:spacing w:after="0"/>
              <w:rPr>
                <w:sz w:val="20"/>
                <w:szCs w:val="20"/>
                <w:color w:val="auto"/>
              </w:rPr>
            </w:pPr>
            <w:r>
              <w:rPr>
                <w:rFonts w:ascii="Arial" w:cs="Arial" w:eastAsia="Arial" w:hAnsi="Arial"/>
                <w:sz w:val="13"/>
                <w:szCs w:val="13"/>
                <w:b w:val="1"/>
                <w:bCs w:val="1"/>
                <w:color w:val="FFFFFF"/>
              </w:rPr>
              <w:t>deferred revenue</w:t>
            </w:r>
          </w:p>
        </w:tc>
        <w:tc>
          <w:tcPr>
            <w:tcW w:w="740" w:type="dxa"/>
            <w:vAlign w:val="bottom"/>
            <w:tcBorders>
              <w:bottom w:val="single" w:sz="8" w:color="D64000"/>
            </w:tcBorders>
            <w:shd w:val="clear" w:color="auto" w:fill="1F473D"/>
          </w:tcPr>
          <w:p>
            <w:pPr>
              <w:jc w:val="center"/>
              <w:ind w:right="54"/>
              <w:spacing w:after="0"/>
              <w:rPr>
                <w:sz w:val="20"/>
                <w:szCs w:val="20"/>
                <w:color w:val="auto"/>
              </w:rPr>
            </w:pPr>
            <w:r>
              <w:rPr>
                <w:rFonts w:ascii="Arial" w:cs="Arial" w:eastAsia="Arial" w:hAnsi="Arial"/>
                <w:sz w:val="13"/>
                <w:szCs w:val="13"/>
                <w:b w:val="1"/>
                <w:bCs w:val="1"/>
                <w:color w:val="FFFFFF"/>
              </w:rPr>
              <w:t>EBITDA</w:t>
            </w:r>
          </w:p>
        </w:tc>
        <w:tc>
          <w:tcPr>
            <w:tcW w:w="840" w:type="dxa"/>
            <w:vAlign w:val="bottom"/>
            <w:tcBorders>
              <w:bottom w:val="single" w:sz="8" w:color="D64000"/>
            </w:tcBorders>
            <w:shd w:val="clear" w:color="auto" w:fill="1F473D"/>
          </w:tcPr>
          <w:p>
            <w:pPr>
              <w:jc w:val="center"/>
              <w:spacing w:after="0"/>
              <w:rPr>
                <w:sz w:val="20"/>
                <w:szCs w:val="20"/>
                <w:color w:val="auto"/>
              </w:rPr>
            </w:pPr>
            <w:r>
              <w:rPr>
                <w:rFonts w:ascii="Arial" w:cs="Arial" w:eastAsia="Arial" w:hAnsi="Arial"/>
                <w:sz w:val="13"/>
                <w:szCs w:val="13"/>
                <w:b w:val="1"/>
                <w:bCs w:val="1"/>
                <w:color w:val="FFFFFF"/>
              </w:rPr>
              <w:t>margin</w:t>
            </w: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3"/>
        </w:trPr>
        <w:tc>
          <w:tcPr>
            <w:tcW w:w="3780" w:type="dxa"/>
            <w:vAlign w:val="bottom"/>
            <w:gridSpan w:val="3"/>
          </w:tcPr>
          <w:p>
            <w:pPr>
              <w:spacing w:after="0" w:line="133" w:lineRule="exact"/>
              <w:rPr>
                <w:sz w:val="20"/>
                <w:szCs w:val="20"/>
                <w:color w:val="auto"/>
              </w:rPr>
            </w:pPr>
            <w:r>
              <w:rPr>
                <w:rFonts w:ascii="Arial" w:cs="Arial" w:eastAsia="Arial" w:hAnsi="Arial"/>
                <w:sz w:val="13"/>
                <w:szCs w:val="13"/>
                <w:b w:val="1"/>
                <w:bCs w:val="1"/>
                <w:color w:val="auto"/>
              </w:rPr>
              <w:t> Revenues</w:t>
            </w:r>
          </w:p>
        </w:tc>
        <w:tc>
          <w:tcPr>
            <w:tcW w:w="1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3760" w:type="dxa"/>
            <w:vAlign w:val="bottom"/>
            <w:gridSpan w:val="2"/>
          </w:tcPr>
          <w:p>
            <w:pPr>
              <w:ind w:left="140"/>
              <w:spacing w:after="0"/>
              <w:rPr>
                <w:sz w:val="20"/>
                <w:szCs w:val="20"/>
                <w:color w:val="auto"/>
              </w:rPr>
            </w:pPr>
            <w:r>
              <w:rPr>
                <w:rFonts w:ascii="Arial" w:cs="Arial" w:eastAsia="Arial" w:hAnsi="Arial"/>
                <w:sz w:val="13"/>
                <w:szCs w:val="13"/>
                <w:b w:val="1"/>
                <w:bCs w:val="1"/>
                <w:color w:val="auto"/>
              </w:rPr>
              <w:t> Legal Professionals</w:t>
            </w:r>
          </w:p>
        </w:tc>
        <w:tc>
          <w:tcPr>
            <w:tcW w:w="1120" w:type="dxa"/>
            <w:vAlign w:val="bottom"/>
          </w:tcPr>
          <w:p>
            <w:pPr>
              <w:jc w:val="right"/>
              <w:ind w:right="134"/>
              <w:spacing w:after="0"/>
              <w:rPr>
                <w:sz w:val="20"/>
                <w:szCs w:val="20"/>
                <w:color w:val="auto"/>
              </w:rPr>
            </w:pPr>
            <w:r>
              <w:rPr>
                <w:rFonts w:ascii="Arial" w:cs="Arial" w:eastAsia="Arial" w:hAnsi="Arial"/>
                <w:sz w:val="13"/>
                <w:szCs w:val="13"/>
                <w:b w:val="1"/>
                <w:bCs w:val="1"/>
                <w:color w:val="auto"/>
              </w:rPr>
              <w:t>729</w:t>
            </w:r>
          </w:p>
        </w:tc>
        <w:tc>
          <w:tcPr>
            <w:tcW w:w="1480" w:type="dxa"/>
            <w:vAlign w:val="bottom"/>
          </w:tcPr>
          <w:p>
            <w:pPr>
              <w:jc w:val="right"/>
              <w:ind w:right="134"/>
              <w:spacing w:after="0"/>
              <w:rPr>
                <w:sz w:val="20"/>
                <w:szCs w:val="20"/>
                <w:color w:val="auto"/>
              </w:rPr>
            </w:pPr>
            <w:r>
              <w:rPr>
                <w:rFonts w:ascii="Arial" w:cs="Arial" w:eastAsia="Arial" w:hAnsi="Arial"/>
                <w:sz w:val="13"/>
                <w:szCs w:val="13"/>
                <w:b w:val="1"/>
                <w:bCs w:val="1"/>
                <w:color w:val="auto"/>
              </w:rPr>
              <w:t>-</w:t>
            </w:r>
          </w:p>
        </w:tc>
        <w:tc>
          <w:tcPr>
            <w:tcW w:w="1760" w:type="dxa"/>
            <w:vAlign w:val="bottom"/>
          </w:tcPr>
          <w:p>
            <w:pPr>
              <w:jc w:val="right"/>
              <w:ind w:right="334"/>
              <w:spacing w:after="0"/>
              <w:rPr>
                <w:sz w:val="20"/>
                <w:szCs w:val="20"/>
                <w:color w:val="auto"/>
              </w:rPr>
            </w:pPr>
            <w:r>
              <w:rPr>
                <w:rFonts w:ascii="Arial" w:cs="Arial" w:eastAsia="Arial" w:hAnsi="Arial"/>
                <w:sz w:val="13"/>
                <w:szCs w:val="13"/>
                <w:b w:val="1"/>
                <w:bCs w:val="1"/>
                <w:color w:val="auto"/>
              </w:rPr>
              <w:t>729</w:t>
            </w:r>
          </w:p>
        </w:tc>
        <w:tc>
          <w:tcPr>
            <w:tcW w:w="740" w:type="dxa"/>
            <w:vAlign w:val="bottom"/>
          </w:tcPr>
          <w:p>
            <w:pPr>
              <w:jc w:val="right"/>
              <w:ind w:right="94"/>
              <w:spacing w:after="0"/>
              <w:rPr>
                <w:sz w:val="20"/>
                <w:szCs w:val="20"/>
                <w:color w:val="auto"/>
              </w:rPr>
            </w:pPr>
            <w:r>
              <w:rPr>
                <w:rFonts w:ascii="Arial" w:cs="Arial" w:eastAsia="Arial" w:hAnsi="Arial"/>
                <w:sz w:val="13"/>
                <w:szCs w:val="13"/>
                <w:b w:val="1"/>
                <w:bCs w:val="1"/>
                <w:color w:val="auto"/>
              </w:rPr>
              <w:t>299</w:t>
            </w:r>
          </w:p>
        </w:tc>
        <w:tc>
          <w:tcPr>
            <w:tcW w:w="840" w:type="dxa"/>
            <w:vAlign w:val="bottom"/>
          </w:tcPr>
          <w:p>
            <w:pPr>
              <w:jc w:val="right"/>
              <w:ind w:right="54"/>
              <w:spacing w:after="0"/>
              <w:rPr>
                <w:sz w:val="20"/>
                <w:szCs w:val="20"/>
                <w:color w:val="auto"/>
              </w:rPr>
            </w:pPr>
            <w:r>
              <w:rPr>
                <w:rFonts w:ascii="Arial" w:cs="Arial" w:eastAsia="Arial" w:hAnsi="Arial"/>
                <w:sz w:val="13"/>
                <w:szCs w:val="13"/>
                <w:b w:val="1"/>
                <w:bCs w:val="1"/>
                <w:color w:val="auto"/>
              </w:rPr>
              <w:t>41.0%</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6"/>
        </w:trPr>
        <w:tc>
          <w:tcPr>
            <w:tcW w:w="20" w:type="dxa"/>
            <w:vAlign w:val="bottom"/>
          </w:tcPr>
          <w:p>
            <w:pPr>
              <w:spacing w:after="0"/>
              <w:rPr>
                <w:sz w:val="12"/>
                <w:szCs w:val="12"/>
                <w:color w:val="auto"/>
              </w:rPr>
            </w:pPr>
          </w:p>
        </w:tc>
        <w:tc>
          <w:tcPr>
            <w:tcW w:w="3760" w:type="dxa"/>
            <w:vAlign w:val="bottom"/>
            <w:gridSpan w:val="2"/>
          </w:tcPr>
          <w:p>
            <w:pPr>
              <w:ind w:left="140"/>
              <w:spacing w:after="0" w:line="146" w:lineRule="exact"/>
              <w:rPr>
                <w:sz w:val="20"/>
                <w:szCs w:val="20"/>
                <w:color w:val="auto"/>
              </w:rPr>
            </w:pPr>
            <w:r>
              <w:rPr>
                <w:rFonts w:ascii="Arial" w:cs="Arial" w:eastAsia="Arial" w:hAnsi="Arial"/>
                <w:sz w:val="13"/>
                <w:szCs w:val="13"/>
                <w:b w:val="1"/>
                <w:bCs w:val="1"/>
                <w:color w:val="auto"/>
              </w:rPr>
              <w:t> Corporates</w:t>
            </w:r>
          </w:p>
        </w:tc>
        <w:tc>
          <w:tcPr>
            <w:tcW w:w="1120" w:type="dxa"/>
            <w:vAlign w:val="bottom"/>
          </w:tcPr>
          <w:p>
            <w:pPr>
              <w:jc w:val="right"/>
              <w:ind w:right="134"/>
              <w:spacing w:after="0" w:line="146" w:lineRule="exact"/>
              <w:rPr>
                <w:sz w:val="20"/>
                <w:szCs w:val="20"/>
                <w:color w:val="auto"/>
              </w:rPr>
            </w:pPr>
            <w:r>
              <w:rPr>
                <w:rFonts w:ascii="Arial" w:cs="Arial" w:eastAsia="Arial" w:hAnsi="Arial"/>
                <w:sz w:val="13"/>
                <w:szCs w:val="13"/>
                <w:b w:val="1"/>
                <w:bCs w:val="1"/>
                <w:color w:val="auto"/>
              </w:rPr>
              <w:t>458</w:t>
            </w:r>
          </w:p>
        </w:tc>
        <w:tc>
          <w:tcPr>
            <w:tcW w:w="1480" w:type="dxa"/>
            <w:vAlign w:val="bottom"/>
          </w:tcPr>
          <w:p>
            <w:pPr>
              <w:jc w:val="right"/>
              <w:ind w:right="134"/>
              <w:spacing w:after="0" w:line="146" w:lineRule="exact"/>
              <w:rPr>
                <w:sz w:val="20"/>
                <w:szCs w:val="20"/>
                <w:color w:val="auto"/>
              </w:rPr>
            </w:pPr>
            <w:r>
              <w:rPr>
                <w:rFonts w:ascii="Arial" w:cs="Arial" w:eastAsia="Arial" w:hAnsi="Arial"/>
                <w:sz w:val="13"/>
                <w:szCs w:val="13"/>
                <w:b w:val="1"/>
                <w:bCs w:val="1"/>
                <w:color w:val="auto"/>
              </w:rPr>
              <w:t>1</w:t>
            </w:r>
          </w:p>
        </w:tc>
        <w:tc>
          <w:tcPr>
            <w:tcW w:w="1760" w:type="dxa"/>
            <w:vAlign w:val="bottom"/>
          </w:tcPr>
          <w:p>
            <w:pPr>
              <w:jc w:val="right"/>
              <w:ind w:right="334"/>
              <w:spacing w:after="0" w:line="146" w:lineRule="exact"/>
              <w:rPr>
                <w:sz w:val="20"/>
                <w:szCs w:val="20"/>
                <w:color w:val="auto"/>
              </w:rPr>
            </w:pPr>
            <w:r>
              <w:rPr>
                <w:rFonts w:ascii="Arial" w:cs="Arial" w:eastAsia="Arial" w:hAnsi="Arial"/>
                <w:sz w:val="13"/>
                <w:szCs w:val="13"/>
                <w:b w:val="1"/>
                <w:bCs w:val="1"/>
                <w:color w:val="auto"/>
              </w:rPr>
              <w:t>459</w:t>
            </w:r>
          </w:p>
        </w:tc>
        <w:tc>
          <w:tcPr>
            <w:tcW w:w="740" w:type="dxa"/>
            <w:vAlign w:val="bottom"/>
          </w:tcPr>
          <w:p>
            <w:pPr>
              <w:jc w:val="right"/>
              <w:ind w:right="94"/>
              <w:spacing w:after="0" w:line="146" w:lineRule="exact"/>
              <w:rPr>
                <w:sz w:val="20"/>
                <w:szCs w:val="20"/>
                <w:color w:val="auto"/>
              </w:rPr>
            </w:pPr>
            <w:r>
              <w:rPr>
                <w:rFonts w:ascii="Arial" w:cs="Arial" w:eastAsia="Arial" w:hAnsi="Arial"/>
                <w:sz w:val="13"/>
                <w:szCs w:val="13"/>
                <w:b w:val="1"/>
                <w:bCs w:val="1"/>
                <w:color w:val="auto"/>
              </w:rPr>
              <w:t>153</w:t>
            </w:r>
          </w:p>
        </w:tc>
        <w:tc>
          <w:tcPr>
            <w:tcW w:w="840" w:type="dxa"/>
            <w:vAlign w:val="bottom"/>
          </w:tcPr>
          <w:p>
            <w:pPr>
              <w:jc w:val="right"/>
              <w:ind w:right="54"/>
              <w:spacing w:after="0" w:line="146" w:lineRule="exact"/>
              <w:rPr>
                <w:sz w:val="20"/>
                <w:szCs w:val="20"/>
                <w:color w:val="auto"/>
              </w:rPr>
            </w:pPr>
            <w:r>
              <w:rPr>
                <w:rFonts w:ascii="Arial" w:cs="Arial" w:eastAsia="Arial" w:hAnsi="Arial"/>
                <w:sz w:val="13"/>
                <w:szCs w:val="13"/>
                <w:b w:val="1"/>
                <w:bCs w:val="1"/>
                <w:color w:val="auto"/>
              </w:rPr>
              <w:t>33.5%</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8"/>
        </w:trPr>
        <w:tc>
          <w:tcPr>
            <w:tcW w:w="20" w:type="dxa"/>
            <w:vAlign w:val="bottom"/>
            <w:tcBorders>
              <w:bottom w:val="single" w:sz="8" w:color="B2B2B2"/>
            </w:tcBorders>
          </w:tcPr>
          <w:p>
            <w:pPr>
              <w:spacing w:after="0"/>
              <w:rPr>
                <w:sz w:val="13"/>
                <w:szCs w:val="13"/>
                <w:color w:val="auto"/>
              </w:rPr>
            </w:pPr>
          </w:p>
        </w:tc>
        <w:tc>
          <w:tcPr>
            <w:tcW w:w="3760" w:type="dxa"/>
            <w:vAlign w:val="bottom"/>
            <w:tcBorders>
              <w:bottom w:val="single" w:sz="8" w:color="B2B2B2"/>
            </w:tcBorders>
            <w:gridSpan w:val="2"/>
          </w:tcPr>
          <w:p>
            <w:pPr>
              <w:ind w:left="140"/>
              <w:spacing w:after="0"/>
              <w:rPr>
                <w:sz w:val="20"/>
                <w:szCs w:val="20"/>
                <w:color w:val="auto"/>
              </w:rPr>
            </w:pPr>
            <w:r>
              <w:rPr>
                <w:rFonts w:ascii="Arial" w:cs="Arial" w:eastAsia="Arial" w:hAnsi="Arial"/>
                <w:sz w:val="13"/>
                <w:szCs w:val="13"/>
                <w:b w:val="1"/>
                <w:bCs w:val="1"/>
                <w:color w:val="auto"/>
              </w:rPr>
              <w:t> Tax &amp; Accounting Professionals</w:t>
            </w:r>
          </w:p>
        </w:tc>
        <w:tc>
          <w:tcPr>
            <w:tcW w:w="1120" w:type="dxa"/>
            <w:vAlign w:val="bottom"/>
            <w:tcBorders>
              <w:bottom w:val="single" w:sz="8" w:color="B2B2B2"/>
            </w:tcBorders>
          </w:tcPr>
          <w:p>
            <w:pPr>
              <w:jc w:val="right"/>
              <w:ind w:right="134"/>
              <w:spacing w:after="0"/>
              <w:rPr>
                <w:sz w:val="20"/>
                <w:szCs w:val="20"/>
                <w:color w:val="auto"/>
              </w:rPr>
            </w:pPr>
            <w:r>
              <w:rPr>
                <w:rFonts w:ascii="Arial" w:cs="Arial" w:eastAsia="Arial" w:hAnsi="Arial"/>
                <w:sz w:val="13"/>
                <w:szCs w:val="13"/>
                <w:b w:val="1"/>
                <w:bCs w:val="1"/>
                <w:color w:val="auto"/>
              </w:rPr>
              <w:t>366</w:t>
            </w:r>
          </w:p>
        </w:tc>
        <w:tc>
          <w:tcPr>
            <w:tcW w:w="1480" w:type="dxa"/>
            <w:vAlign w:val="bottom"/>
            <w:tcBorders>
              <w:bottom w:val="single" w:sz="8" w:color="B2B2B2"/>
            </w:tcBorders>
          </w:tcPr>
          <w:p>
            <w:pPr>
              <w:jc w:val="right"/>
              <w:ind w:right="134"/>
              <w:spacing w:after="0"/>
              <w:rPr>
                <w:sz w:val="20"/>
                <w:szCs w:val="20"/>
                <w:color w:val="auto"/>
              </w:rPr>
            </w:pPr>
            <w:r>
              <w:rPr>
                <w:rFonts w:ascii="Arial" w:cs="Arial" w:eastAsia="Arial" w:hAnsi="Arial"/>
                <w:sz w:val="13"/>
                <w:szCs w:val="13"/>
                <w:b w:val="1"/>
                <w:bCs w:val="1"/>
                <w:color w:val="auto"/>
              </w:rPr>
              <w:t>-</w:t>
            </w:r>
          </w:p>
        </w:tc>
        <w:tc>
          <w:tcPr>
            <w:tcW w:w="1760" w:type="dxa"/>
            <w:vAlign w:val="bottom"/>
            <w:tcBorders>
              <w:bottom w:val="single" w:sz="8" w:color="B2B2B2"/>
            </w:tcBorders>
          </w:tcPr>
          <w:p>
            <w:pPr>
              <w:jc w:val="right"/>
              <w:ind w:right="334"/>
              <w:spacing w:after="0"/>
              <w:rPr>
                <w:sz w:val="20"/>
                <w:szCs w:val="20"/>
                <w:color w:val="auto"/>
              </w:rPr>
            </w:pPr>
            <w:r>
              <w:rPr>
                <w:rFonts w:ascii="Arial" w:cs="Arial" w:eastAsia="Arial" w:hAnsi="Arial"/>
                <w:sz w:val="13"/>
                <w:szCs w:val="13"/>
                <w:b w:val="1"/>
                <w:bCs w:val="1"/>
                <w:color w:val="auto"/>
              </w:rPr>
              <w:t>366</w:t>
            </w:r>
          </w:p>
        </w:tc>
        <w:tc>
          <w:tcPr>
            <w:tcW w:w="740" w:type="dxa"/>
            <w:vAlign w:val="bottom"/>
            <w:tcBorders>
              <w:bottom w:val="single" w:sz="8" w:color="B2B2B2"/>
            </w:tcBorders>
          </w:tcPr>
          <w:p>
            <w:pPr>
              <w:jc w:val="right"/>
              <w:ind w:right="94"/>
              <w:spacing w:after="0"/>
              <w:rPr>
                <w:sz w:val="20"/>
                <w:szCs w:val="20"/>
                <w:color w:val="auto"/>
              </w:rPr>
            </w:pPr>
            <w:r>
              <w:rPr>
                <w:rFonts w:ascii="Arial" w:cs="Arial" w:eastAsia="Arial" w:hAnsi="Arial"/>
                <w:sz w:val="13"/>
                <w:szCs w:val="13"/>
                <w:b w:val="1"/>
                <w:bCs w:val="1"/>
                <w:color w:val="auto"/>
              </w:rPr>
              <w:t>196</w:t>
            </w:r>
          </w:p>
        </w:tc>
        <w:tc>
          <w:tcPr>
            <w:tcW w:w="840" w:type="dxa"/>
            <w:vAlign w:val="bottom"/>
            <w:tcBorders>
              <w:bottom w:val="single" w:sz="8" w:color="B2B2B2"/>
            </w:tcBorders>
          </w:tcPr>
          <w:p>
            <w:pPr>
              <w:jc w:val="right"/>
              <w:ind w:right="54"/>
              <w:spacing w:after="0"/>
              <w:rPr>
                <w:sz w:val="20"/>
                <w:szCs w:val="20"/>
                <w:color w:val="auto"/>
              </w:rPr>
            </w:pPr>
            <w:r>
              <w:rPr>
                <w:rFonts w:ascii="Arial" w:cs="Arial" w:eastAsia="Arial" w:hAnsi="Arial"/>
                <w:sz w:val="13"/>
                <w:szCs w:val="13"/>
                <w:b w:val="1"/>
                <w:bCs w:val="1"/>
                <w:color w:val="auto"/>
              </w:rPr>
              <w:t>53.4%</w:t>
            </w: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6"/>
        </w:trPr>
        <w:tc>
          <w:tcPr>
            <w:tcW w:w="378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 “Big 3” Segments Combined</w:t>
            </w:r>
          </w:p>
        </w:tc>
        <w:tc>
          <w:tcPr>
            <w:tcW w:w="1120" w:type="dxa"/>
            <w:vAlign w:val="bottom"/>
          </w:tcPr>
          <w:p>
            <w:pPr>
              <w:jc w:val="right"/>
              <w:ind w:right="134"/>
              <w:spacing w:after="0" w:line="126" w:lineRule="exact"/>
              <w:rPr>
                <w:sz w:val="20"/>
                <w:szCs w:val="20"/>
                <w:color w:val="auto"/>
              </w:rPr>
            </w:pPr>
            <w:r>
              <w:rPr>
                <w:rFonts w:ascii="Arial" w:cs="Arial" w:eastAsia="Arial" w:hAnsi="Arial"/>
                <w:sz w:val="13"/>
                <w:szCs w:val="13"/>
                <w:b w:val="1"/>
                <w:bCs w:val="1"/>
                <w:color w:val="auto"/>
              </w:rPr>
              <w:t>1,553</w:t>
            </w:r>
          </w:p>
        </w:tc>
        <w:tc>
          <w:tcPr>
            <w:tcW w:w="1480" w:type="dxa"/>
            <w:vAlign w:val="bottom"/>
          </w:tcPr>
          <w:p>
            <w:pPr>
              <w:jc w:val="right"/>
              <w:ind w:right="134"/>
              <w:spacing w:after="0" w:line="126" w:lineRule="exact"/>
              <w:rPr>
                <w:sz w:val="20"/>
                <w:szCs w:val="20"/>
                <w:color w:val="auto"/>
              </w:rPr>
            </w:pPr>
            <w:r>
              <w:rPr>
                <w:rFonts w:ascii="Arial" w:cs="Arial" w:eastAsia="Arial" w:hAnsi="Arial"/>
                <w:sz w:val="13"/>
                <w:szCs w:val="13"/>
                <w:b w:val="1"/>
                <w:bCs w:val="1"/>
                <w:color w:val="auto"/>
              </w:rPr>
              <w:t>1</w:t>
            </w:r>
          </w:p>
        </w:tc>
        <w:tc>
          <w:tcPr>
            <w:tcW w:w="1760" w:type="dxa"/>
            <w:vAlign w:val="bottom"/>
          </w:tcPr>
          <w:p>
            <w:pPr>
              <w:jc w:val="right"/>
              <w:ind w:right="334"/>
              <w:spacing w:after="0" w:line="126" w:lineRule="exact"/>
              <w:rPr>
                <w:sz w:val="20"/>
                <w:szCs w:val="20"/>
                <w:color w:val="auto"/>
              </w:rPr>
            </w:pPr>
            <w:r>
              <w:rPr>
                <w:rFonts w:ascii="Arial" w:cs="Arial" w:eastAsia="Arial" w:hAnsi="Arial"/>
                <w:sz w:val="13"/>
                <w:szCs w:val="13"/>
                <w:b w:val="1"/>
                <w:bCs w:val="1"/>
                <w:color w:val="auto"/>
              </w:rPr>
              <w:t>1,554</w:t>
            </w:r>
          </w:p>
        </w:tc>
        <w:tc>
          <w:tcPr>
            <w:tcW w:w="740" w:type="dxa"/>
            <w:vAlign w:val="bottom"/>
          </w:tcPr>
          <w:p>
            <w:pPr>
              <w:jc w:val="right"/>
              <w:ind w:right="94"/>
              <w:spacing w:after="0" w:line="126" w:lineRule="exact"/>
              <w:rPr>
                <w:sz w:val="20"/>
                <w:szCs w:val="20"/>
                <w:color w:val="auto"/>
              </w:rPr>
            </w:pPr>
            <w:r>
              <w:rPr>
                <w:rFonts w:ascii="Arial" w:cs="Arial" w:eastAsia="Arial" w:hAnsi="Arial"/>
                <w:sz w:val="13"/>
                <w:szCs w:val="13"/>
                <w:b w:val="1"/>
                <w:bCs w:val="1"/>
                <w:color w:val="auto"/>
              </w:rPr>
              <w:t>648</w:t>
            </w:r>
          </w:p>
        </w:tc>
        <w:tc>
          <w:tcPr>
            <w:tcW w:w="840" w:type="dxa"/>
            <w:vAlign w:val="bottom"/>
          </w:tcPr>
          <w:p>
            <w:pPr>
              <w:jc w:val="right"/>
              <w:ind w:right="54"/>
              <w:spacing w:after="0" w:line="126" w:lineRule="exact"/>
              <w:rPr>
                <w:sz w:val="20"/>
                <w:szCs w:val="20"/>
                <w:color w:val="auto"/>
              </w:rPr>
            </w:pPr>
            <w:r>
              <w:rPr>
                <w:rFonts w:ascii="Arial" w:cs="Arial" w:eastAsia="Arial" w:hAnsi="Arial"/>
                <w:sz w:val="13"/>
                <w:szCs w:val="13"/>
                <w:b w:val="1"/>
                <w:bCs w:val="1"/>
                <w:color w:val="auto"/>
              </w:rPr>
              <w:t>41.7%</w:t>
            </w: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6"/>
        </w:trPr>
        <w:tc>
          <w:tcPr>
            <w:tcW w:w="20" w:type="dxa"/>
            <w:vAlign w:val="bottom"/>
          </w:tcPr>
          <w:p>
            <w:pPr>
              <w:spacing w:after="0"/>
              <w:rPr>
                <w:sz w:val="12"/>
                <w:szCs w:val="12"/>
                <w:color w:val="auto"/>
              </w:rPr>
            </w:pPr>
          </w:p>
        </w:tc>
        <w:tc>
          <w:tcPr>
            <w:tcW w:w="3760" w:type="dxa"/>
            <w:vAlign w:val="bottom"/>
            <w:gridSpan w:val="2"/>
          </w:tcPr>
          <w:p>
            <w:pPr>
              <w:ind w:left="140"/>
              <w:spacing w:after="0" w:line="146" w:lineRule="exact"/>
              <w:rPr>
                <w:sz w:val="20"/>
                <w:szCs w:val="20"/>
                <w:color w:val="auto"/>
              </w:rPr>
            </w:pPr>
            <w:r>
              <w:rPr>
                <w:rFonts w:ascii="Arial" w:cs="Arial" w:eastAsia="Arial" w:hAnsi="Arial"/>
                <w:sz w:val="13"/>
                <w:szCs w:val="13"/>
                <w:b w:val="1"/>
                <w:bCs w:val="1"/>
                <w:color w:val="auto"/>
              </w:rPr>
              <w:t> Reuters News</w:t>
            </w:r>
          </w:p>
        </w:tc>
        <w:tc>
          <w:tcPr>
            <w:tcW w:w="1120" w:type="dxa"/>
            <w:vAlign w:val="bottom"/>
          </w:tcPr>
          <w:p>
            <w:pPr>
              <w:jc w:val="right"/>
              <w:ind w:right="134"/>
              <w:spacing w:after="0" w:line="146" w:lineRule="exact"/>
              <w:rPr>
                <w:sz w:val="20"/>
                <w:szCs w:val="20"/>
                <w:color w:val="auto"/>
              </w:rPr>
            </w:pPr>
            <w:r>
              <w:rPr>
                <w:rFonts w:ascii="Arial" w:cs="Arial" w:eastAsia="Arial" w:hAnsi="Arial"/>
                <w:sz w:val="13"/>
                <w:szCs w:val="13"/>
                <w:b w:val="1"/>
                <w:bCs w:val="1"/>
                <w:color w:val="auto"/>
              </w:rPr>
              <w:t>218</w:t>
            </w:r>
          </w:p>
        </w:tc>
        <w:tc>
          <w:tcPr>
            <w:tcW w:w="1480" w:type="dxa"/>
            <w:vAlign w:val="bottom"/>
          </w:tcPr>
          <w:p>
            <w:pPr>
              <w:jc w:val="right"/>
              <w:ind w:right="134"/>
              <w:spacing w:after="0" w:line="146" w:lineRule="exact"/>
              <w:rPr>
                <w:sz w:val="20"/>
                <w:szCs w:val="20"/>
                <w:color w:val="auto"/>
              </w:rPr>
            </w:pPr>
            <w:r>
              <w:rPr>
                <w:rFonts w:ascii="Arial" w:cs="Arial" w:eastAsia="Arial" w:hAnsi="Arial"/>
                <w:sz w:val="13"/>
                <w:szCs w:val="13"/>
                <w:b w:val="1"/>
                <w:bCs w:val="1"/>
                <w:color w:val="auto"/>
              </w:rPr>
              <w:t>-</w:t>
            </w:r>
          </w:p>
        </w:tc>
        <w:tc>
          <w:tcPr>
            <w:tcW w:w="1760" w:type="dxa"/>
            <w:vAlign w:val="bottom"/>
          </w:tcPr>
          <w:p>
            <w:pPr>
              <w:jc w:val="right"/>
              <w:ind w:right="334"/>
              <w:spacing w:after="0" w:line="146" w:lineRule="exact"/>
              <w:rPr>
                <w:sz w:val="20"/>
                <w:szCs w:val="20"/>
                <w:color w:val="auto"/>
              </w:rPr>
            </w:pPr>
            <w:r>
              <w:rPr>
                <w:rFonts w:ascii="Arial" w:cs="Arial" w:eastAsia="Arial" w:hAnsi="Arial"/>
                <w:sz w:val="13"/>
                <w:szCs w:val="13"/>
                <w:b w:val="1"/>
                <w:bCs w:val="1"/>
                <w:color w:val="auto"/>
              </w:rPr>
              <w:t>218</w:t>
            </w:r>
          </w:p>
        </w:tc>
        <w:tc>
          <w:tcPr>
            <w:tcW w:w="740" w:type="dxa"/>
            <w:vAlign w:val="bottom"/>
          </w:tcPr>
          <w:p>
            <w:pPr>
              <w:jc w:val="right"/>
              <w:ind w:right="94"/>
              <w:spacing w:after="0" w:line="146" w:lineRule="exact"/>
              <w:rPr>
                <w:sz w:val="20"/>
                <w:szCs w:val="20"/>
                <w:color w:val="auto"/>
              </w:rPr>
            </w:pPr>
            <w:r>
              <w:rPr>
                <w:rFonts w:ascii="Arial" w:cs="Arial" w:eastAsia="Arial" w:hAnsi="Arial"/>
                <w:sz w:val="13"/>
                <w:szCs w:val="13"/>
                <w:b w:val="1"/>
                <w:bCs w:val="1"/>
                <w:color w:val="auto"/>
              </w:rPr>
              <w:t>45</w:t>
            </w:r>
          </w:p>
        </w:tc>
        <w:tc>
          <w:tcPr>
            <w:tcW w:w="840" w:type="dxa"/>
            <w:vAlign w:val="bottom"/>
          </w:tcPr>
          <w:p>
            <w:pPr>
              <w:jc w:val="right"/>
              <w:ind w:right="54"/>
              <w:spacing w:after="0" w:line="146" w:lineRule="exact"/>
              <w:rPr>
                <w:sz w:val="20"/>
                <w:szCs w:val="20"/>
                <w:color w:val="auto"/>
              </w:rPr>
            </w:pPr>
            <w:r>
              <w:rPr>
                <w:rFonts w:ascii="Arial" w:cs="Arial" w:eastAsia="Arial" w:hAnsi="Arial"/>
                <w:sz w:val="13"/>
                <w:szCs w:val="13"/>
                <w:b w:val="1"/>
                <w:bCs w:val="1"/>
                <w:color w:val="auto"/>
              </w:rPr>
              <w:t>20.8%</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3760" w:type="dxa"/>
            <w:vAlign w:val="bottom"/>
            <w:gridSpan w:val="2"/>
          </w:tcPr>
          <w:p>
            <w:pPr>
              <w:ind w:left="140"/>
              <w:spacing w:after="0" w:line="146" w:lineRule="exact"/>
              <w:rPr>
                <w:sz w:val="20"/>
                <w:szCs w:val="20"/>
                <w:color w:val="auto"/>
              </w:rPr>
            </w:pPr>
            <w:r>
              <w:rPr>
                <w:rFonts w:ascii="Arial" w:cs="Arial" w:eastAsia="Arial" w:hAnsi="Arial"/>
                <w:sz w:val="13"/>
                <w:szCs w:val="13"/>
                <w:b w:val="1"/>
                <w:bCs w:val="1"/>
                <w:color w:val="auto"/>
              </w:rPr>
              <w:t> Global Print</w:t>
            </w:r>
          </w:p>
        </w:tc>
        <w:tc>
          <w:tcPr>
            <w:tcW w:w="1120" w:type="dxa"/>
            <w:vAlign w:val="bottom"/>
          </w:tcPr>
          <w:p>
            <w:pPr>
              <w:jc w:val="right"/>
              <w:ind w:right="134"/>
              <w:spacing w:after="0" w:line="146" w:lineRule="exact"/>
              <w:rPr>
                <w:sz w:val="20"/>
                <w:szCs w:val="20"/>
                <w:color w:val="auto"/>
              </w:rPr>
            </w:pPr>
            <w:r>
              <w:rPr>
                <w:rFonts w:ascii="Arial" w:cs="Arial" w:eastAsia="Arial" w:hAnsi="Arial"/>
                <w:sz w:val="13"/>
                <w:szCs w:val="13"/>
                <w:b w:val="1"/>
                <w:bCs w:val="1"/>
                <w:color w:val="auto"/>
              </w:rPr>
              <w:t>144</w:t>
            </w:r>
          </w:p>
        </w:tc>
        <w:tc>
          <w:tcPr>
            <w:tcW w:w="1480" w:type="dxa"/>
            <w:vAlign w:val="bottom"/>
          </w:tcPr>
          <w:p>
            <w:pPr>
              <w:jc w:val="right"/>
              <w:ind w:right="134"/>
              <w:spacing w:after="0" w:line="146" w:lineRule="exact"/>
              <w:rPr>
                <w:sz w:val="20"/>
                <w:szCs w:val="20"/>
                <w:color w:val="auto"/>
              </w:rPr>
            </w:pPr>
            <w:r>
              <w:rPr>
                <w:rFonts w:ascii="Arial" w:cs="Arial" w:eastAsia="Arial" w:hAnsi="Arial"/>
                <w:sz w:val="13"/>
                <w:szCs w:val="13"/>
                <w:b w:val="1"/>
                <w:bCs w:val="1"/>
                <w:color w:val="auto"/>
              </w:rPr>
              <w:t>-</w:t>
            </w:r>
          </w:p>
        </w:tc>
        <w:tc>
          <w:tcPr>
            <w:tcW w:w="1760" w:type="dxa"/>
            <w:vAlign w:val="bottom"/>
          </w:tcPr>
          <w:p>
            <w:pPr>
              <w:jc w:val="right"/>
              <w:ind w:right="334"/>
              <w:spacing w:after="0" w:line="146" w:lineRule="exact"/>
              <w:rPr>
                <w:sz w:val="20"/>
                <w:szCs w:val="20"/>
                <w:color w:val="auto"/>
              </w:rPr>
            </w:pPr>
            <w:r>
              <w:rPr>
                <w:rFonts w:ascii="Arial" w:cs="Arial" w:eastAsia="Arial" w:hAnsi="Arial"/>
                <w:sz w:val="13"/>
                <w:szCs w:val="13"/>
                <w:b w:val="1"/>
                <w:bCs w:val="1"/>
                <w:color w:val="auto"/>
              </w:rPr>
              <w:t>144</w:t>
            </w:r>
          </w:p>
        </w:tc>
        <w:tc>
          <w:tcPr>
            <w:tcW w:w="740" w:type="dxa"/>
            <w:vAlign w:val="bottom"/>
          </w:tcPr>
          <w:p>
            <w:pPr>
              <w:jc w:val="right"/>
              <w:ind w:right="94"/>
              <w:spacing w:after="0" w:line="146" w:lineRule="exact"/>
              <w:rPr>
                <w:sz w:val="20"/>
                <w:szCs w:val="20"/>
                <w:color w:val="auto"/>
              </w:rPr>
            </w:pPr>
            <w:r>
              <w:rPr>
                <w:rFonts w:ascii="Arial" w:cs="Arial" w:eastAsia="Arial" w:hAnsi="Arial"/>
                <w:sz w:val="13"/>
                <w:szCs w:val="13"/>
                <w:b w:val="1"/>
                <w:bCs w:val="1"/>
                <w:color w:val="auto"/>
              </w:rPr>
              <w:t>55</w:t>
            </w:r>
          </w:p>
        </w:tc>
        <w:tc>
          <w:tcPr>
            <w:tcW w:w="840" w:type="dxa"/>
            <w:vAlign w:val="bottom"/>
          </w:tcPr>
          <w:p>
            <w:pPr>
              <w:jc w:val="right"/>
              <w:ind w:right="54"/>
              <w:spacing w:after="0" w:line="146" w:lineRule="exact"/>
              <w:rPr>
                <w:sz w:val="20"/>
                <w:szCs w:val="20"/>
                <w:color w:val="auto"/>
              </w:rPr>
            </w:pPr>
            <w:r>
              <w:rPr>
                <w:rFonts w:ascii="Arial" w:cs="Arial" w:eastAsia="Arial" w:hAnsi="Arial"/>
                <w:sz w:val="13"/>
                <w:szCs w:val="13"/>
                <w:b w:val="1"/>
                <w:bCs w:val="1"/>
                <w:color w:val="auto"/>
              </w:rPr>
              <w:t>38.2%</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3760" w:type="dxa"/>
            <w:vAlign w:val="bottom"/>
            <w:gridSpan w:val="2"/>
          </w:tcPr>
          <w:p>
            <w:pPr>
              <w:ind w:left="140"/>
              <w:spacing w:after="0" w:line="146" w:lineRule="exact"/>
              <w:rPr>
                <w:sz w:val="20"/>
                <w:szCs w:val="20"/>
                <w:color w:val="auto"/>
              </w:rPr>
            </w:pPr>
            <w:r>
              <w:rPr>
                <w:rFonts w:ascii="Arial" w:cs="Arial" w:eastAsia="Arial" w:hAnsi="Arial"/>
                <w:sz w:val="13"/>
                <w:szCs w:val="13"/>
                <w:b w:val="1"/>
                <w:bCs w:val="1"/>
                <w:color w:val="auto"/>
              </w:rPr>
              <w:t> Eliminations/Rounding</w:t>
            </w:r>
          </w:p>
        </w:tc>
        <w:tc>
          <w:tcPr>
            <w:tcW w:w="1120" w:type="dxa"/>
            <w:vAlign w:val="bottom"/>
          </w:tcPr>
          <w:p>
            <w:pPr>
              <w:jc w:val="right"/>
              <w:ind w:right="134"/>
              <w:spacing w:after="0" w:line="146" w:lineRule="exact"/>
              <w:rPr>
                <w:sz w:val="20"/>
                <w:szCs w:val="20"/>
                <w:color w:val="auto"/>
              </w:rPr>
            </w:pPr>
            <w:r>
              <w:rPr>
                <w:rFonts w:ascii="Arial" w:cs="Arial" w:eastAsia="Arial" w:hAnsi="Arial"/>
                <w:sz w:val="13"/>
                <w:szCs w:val="13"/>
                <w:b w:val="1"/>
                <w:bCs w:val="1"/>
                <w:color w:val="auto"/>
              </w:rPr>
              <w:t>(6)</w:t>
            </w:r>
          </w:p>
        </w:tc>
        <w:tc>
          <w:tcPr>
            <w:tcW w:w="1480" w:type="dxa"/>
            <w:vAlign w:val="bottom"/>
          </w:tcPr>
          <w:p>
            <w:pPr>
              <w:jc w:val="right"/>
              <w:ind w:right="134"/>
              <w:spacing w:after="0" w:line="146" w:lineRule="exact"/>
              <w:rPr>
                <w:sz w:val="20"/>
                <w:szCs w:val="20"/>
                <w:color w:val="auto"/>
              </w:rPr>
            </w:pPr>
            <w:r>
              <w:rPr>
                <w:rFonts w:ascii="Arial" w:cs="Arial" w:eastAsia="Arial" w:hAnsi="Arial"/>
                <w:sz w:val="13"/>
                <w:szCs w:val="13"/>
                <w:b w:val="1"/>
                <w:bCs w:val="1"/>
                <w:color w:val="auto"/>
              </w:rPr>
              <w:t>-</w:t>
            </w:r>
          </w:p>
        </w:tc>
        <w:tc>
          <w:tcPr>
            <w:tcW w:w="1760" w:type="dxa"/>
            <w:vAlign w:val="bottom"/>
          </w:tcPr>
          <w:p>
            <w:pPr>
              <w:jc w:val="right"/>
              <w:ind w:right="334"/>
              <w:spacing w:after="0" w:line="146" w:lineRule="exact"/>
              <w:rPr>
                <w:sz w:val="20"/>
                <w:szCs w:val="20"/>
                <w:color w:val="auto"/>
              </w:rPr>
            </w:pPr>
            <w:r>
              <w:rPr>
                <w:rFonts w:ascii="Arial" w:cs="Arial" w:eastAsia="Arial" w:hAnsi="Arial"/>
                <w:sz w:val="13"/>
                <w:szCs w:val="13"/>
                <w:b w:val="1"/>
                <w:bCs w:val="1"/>
                <w:color w:val="auto"/>
              </w:rPr>
              <w:t>(6)</w:t>
            </w:r>
          </w:p>
        </w:tc>
        <w:tc>
          <w:tcPr>
            <w:tcW w:w="740" w:type="dxa"/>
            <w:vAlign w:val="bottom"/>
          </w:tcPr>
          <w:p>
            <w:pPr>
              <w:jc w:val="right"/>
              <w:ind w:right="94"/>
              <w:spacing w:after="0" w:line="146" w:lineRule="exact"/>
              <w:rPr>
                <w:sz w:val="20"/>
                <w:szCs w:val="20"/>
                <w:color w:val="auto"/>
              </w:rPr>
            </w:pPr>
            <w:r>
              <w:rPr>
                <w:rFonts w:ascii="Arial" w:cs="Arial" w:eastAsia="Arial" w:hAnsi="Arial"/>
                <w:sz w:val="13"/>
                <w:szCs w:val="13"/>
                <w:b w:val="1"/>
                <w:bCs w:val="1"/>
                <w:color w:val="auto"/>
              </w:rPr>
              <w:t>-</w:t>
            </w:r>
          </w:p>
        </w:tc>
        <w:tc>
          <w:tcPr>
            <w:tcW w:w="1940" w:type="dxa"/>
            <w:vAlign w:val="bottom"/>
            <w:gridSpan w:val="3"/>
          </w:tcPr>
          <w:p>
            <w:pPr>
              <w:jc w:val="right"/>
              <w:ind w:right="1220"/>
              <w:spacing w:after="0" w:line="146" w:lineRule="exact"/>
              <w:rPr>
                <w:sz w:val="20"/>
                <w:szCs w:val="20"/>
                <w:color w:val="auto"/>
              </w:rPr>
            </w:pPr>
            <w:r>
              <w:rPr>
                <w:rFonts w:ascii="Arial" w:cs="Arial" w:eastAsia="Arial" w:hAnsi="Arial"/>
                <w:sz w:val="13"/>
                <w:szCs w:val="13"/>
                <w:b w:val="1"/>
                <w:bCs w:val="1"/>
                <w:color w:val="auto"/>
              </w:rPr>
              <w:t>n/a</w:t>
            </w:r>
          </w:p>
        </w:tc>
      </w:tr>
      <w:tr>
        <w:trPr>
          <w:trHeight w:val="158"/>
        </w:trPr>
        <w:tc>
          <w:tcPr>
            <w:tcW w:w="20" w:type="dxa"/>
            <w:vAlign w:val="bottom"/>
          </w:tcPr>
          <w:p>
            <w:pPr>
              <w:spacing w:after="0"/>
              <w:rPr>
                <w:sz w:val="13"/>
                <w:szCs w:val="13"/>
                <w:color w:val="auto"/>
              </w:rPr>
            </w:pPr>
          </w:p>
        </w:tc>
        <w:tc>
          <w:tcPr>
            <w:tcW w:w="3760" w:type="dxa"/>
            <w:vAlign w:val="bottom"/>
            <w:gridSpan w:val="2"/>
          </w:tcPr>
          <w:p>
            <w:pPr>
              <w:ind w:left="140"/>
              <w:spacing w:after="0"/>
              <w:rPr>
                <w:sz w:val="20"/>
                <w:szCs w:val="20"/>
                <w:color w:val="auto"/>
              </w:rPr>
            </w:pPr>
            <w:r>
              <w:rPr>
                <w:rFonts w:ascii="Arial" w:cs="Arial" w:eastAsia="Arial" w:hAnsi="Arial"/>
                <w:sz w:val="13"/>
                <w:szCs w:val="13"/>
                <w:b w:val="1"/>
                <w:bCs w:val="1"/>
                <w:color w:val="auto"/>
              </w:rPr>
              <w:t> Corporate costs</w:t>
            </w:r>
          </w:p>
        </w:tc>
        <w:tc>
          <w:tcPr>
            <w:tcW w:w="1120" w:type="dxa"/>
            <w:vAlign w:val="bottom"/>
          </w:tcPr>
          <w:p>
            <w:pPr>
              <w:jc w:val="right"/>
              <w:ind w:right="134"/>
              <w:spacing w:after="0"/>
              <w:rPr>
                <w:sz w:val="20"/>
                <w:szCs w:val="20"/>
                <w:color w:val="auto"/>
              </w:rPr>
            </w:pPr>
            <w:r>
              <w:rPr>
                <w:rFonts w:ascii="Arial" w:cs="Arial" w:eastAsia="Arial" w:hAnsi="Arial"/>
                <w:sz w:val="13"/>
                <w:szCs w:val="13"/>
                <w:b w:val="1"/>
                <w:bCs w:val="1"/>
                <w:color w:val="auto"/>
              </w:rPr>
              <w:t>-</w:t>
            </w:r>
          </w:p>
        </w:tc>
        <w:tc>
          <w:tcPr>
            <w:tcW w:w="1480" w:type="dxa"/>
            <w:vAlign w:val="bottom"/>
          </w:tcPr>
          <w:p>
            <w:pPr>
              <w:jc w:val="right"/>
              <w:ind w:right="134"/>
              <w:spacing w:after="0"/>
              <w:rPr>
                <w:sz w:val="20"/>
                <w:szCs w:val="20"/>
                <w:color w:val="auto"/>
              </w:rPr>
            </w:pPr>
            <w:r>
              <w:rPr>
                <w:rFonts w:ascii="Arial" w:cs="Arial" w:eastAsia="Arial" w:hAnsi="Arial"/>
                <w:sz w:val="13"/>
                <w:szCs w:val="13"/>
                <w:b w:val="1"/>
                <w:bCs w:val="1"/>
                <w:color w:val="auto"/>
              </w:rPr>
              <w:t>-</w:t>
            </w:r>
          </w:p>
        </w:tc>
        <w:tc>
          <w:tcPr>
            <w:tcW w:w="1760" w:type="dxa"/>
            <w:vAlign w:val="bottom"/>
          </w:tcPr>
          <w:p>
            <w:pPr>
              <w:jc w:val="right"/>
              <w:ind w:right="334"/>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ind w:right="94"/>
              <w:spacing w:after="0"/>
              <w:rPr>
                <w:sz w:val="20"/>
                <w:szCs w:val="20"/>
                <w:color w:val="auto"/>
              </w:rPr>
            </w:pPr>
            <w:r>
              <w:rPr>
                <w:rFonts w:ascii="Arial" w:cs="Arial" w:eastAsia="Arial" w:hAnsi="Arial"/>
                <w:sz w:val="13"/>
                <w:szCs w:val="13"/>
                <w:b w:val="1"/>
                <w:bCs w:val="1"/>
                <w:color w:val="auto"/>
              </w:rPr>
              <w:t>(30)</w:t>
            </w:r>
          </w:p>
        </w:tc>
        <w:tc>
          <w:tcPr>
            <w:tcW w:w="1940" w:type="dxa"/>
            <w:vAlign w:val="bottom"/>
            <w:gridSpan w:val="3"/>
          </w:tcPr>
          <w:p>
            <w:pPr>
              <w:jc w:val="right"/>
              <w:ind w:right="1220"/>
              <w:spacing w:after="0"/>
              <w:rPr>
                <w:sz w:val="20"/>
                <w:szCs w:val="20"/>
                <w:color w:val="auto"/>
              </w:rPr>
            </w:pPr>
            <w:r>
              <w:rPr>
                <w:rFonts w:ascii="Arial" w:cs="Arial" w:eastAsia="Arial" w:hAnsi="Arial"/>
                <w:sz w:val="13"/>
                <w:szCs w:val="13"/>
                <w:b w:val="1"/>
                <w:bCs w:val="1"/>
                <w:color w:val="auto"/>
              </w:rPr>
              <w:t>n/a</w:t>
            </w:r>
          </w:p>
        </w:tc>
      </w:tr>
      <w:tr>
        <w:trPr>
          <w:trHeight w:val="145"/>
        </w:trPr>
        <w:tc>
          <w:tcPr>
            <w:tcW w:w="3780" w:type="dxa"/>
            <w:vAlign w:val="bottom"/>
            <w:tcBorders>
              <w:top w:val="single" w:sz="8" w:color="B2B2B2"/>
              <w:bottom w:val="single" w:sz="8" w:color="D64000"/>
            </w:tcBorders>
            <w:gridSpan w:val="3"/>
          </w:tcPr>
          <w:p>
            <w:pPr>
              <w:spacing w:after="0" w:line="139" w:lineRule="exact"/>
              <w:rPr>
                <w:sz w:val="20"/>
                <w:szCs w:val="20"/>
                <w:color w:val="auto"/>
              </w:rPr>
            </w:pPr>
            <w:r>
              <w:rPr>
                <w:rFonts w:ascii="Arial" w:cs="Arial" w:eastAsia="Arial" w:hAnsi="Arial"/>
                <w:sz w:val="13"/>
                <w:szCs w:val="13"/>
                <w:b w:val="1"/>
                <w:bCs w:val="1"/>
                <w:color w:val="auto"/>
              </w:rPr>
              <w:t> Consolidated totals</w:t>
            </w:r>
          </w:p>
        </w:tc>
        <w:tc>
          <w:tcPr>
            <w:tcW w:w="1120" w:type="dxa"/>
            <w:vAlign w:val="bottom"/>
            <w:tcBorders>
              <w:top w:val="single" w:sz="8" w:color="B2B2B2"/>
              <w:bottom w:val="single" w:sz="8" w:color="D64000"/>
            </w:tcBorders>
          </w:tcPr>
          <w:p>
            <w:pPr>
              <w:jc w:val="right"/>
              <w:ind w:right="134"/>
              <w:spacing w:after="0" w:line="139" w:lineRule="exact"/>
              <w:rPr>
                <w:sz w:val="20"/>
                <w:szCs w:val="20"/>
                <w:color w:val="auto"/>
              </w:rPr>
            </w:pPr>
            <w:r>
              <w:rPr>
                <w:rFonts w:ascii="Arial" w:cs="Arial" w:eastAsia="Arial" w:hAnsi="Arial"/>
                <w:sz w:val="13"/>
                <w:szCs w:val="13"/>
                <w:b w:val="1"/>
                <w:bCs w:val="1"/>
                <w:color w:val="auto"/>
              </w:rPr>
              <w:t>1,909</w:t>
            </w:r>
          </w:p>
        </w:tc>
        <w:tc>
          <w:tcPr>
            <w:tcW w:w="1480" w:type="dxa"/>
            <w:vAlign w:val="bottom"/>
            <w:tcBorders>
              <w:top w:val="single" w:sz="8" w:color="B2B2B2"/>
              <w:bottom w:val="single" w:sz="8" w:color="D64000"/>
            </w:tcBorders>
          </w:tcPr>
          <w:p>
            <w:pPr>
              <w:jc w:val="right"/>
              <w:ind w:right="134"/>
              <w:spacing w:after="0" w:line="139" w:lineRule="exact"/>
              <w:rPr>
                <w:sz w:val="20"/>
                <w:szCs w:val="20"/>
                <w:color w:val="auto"/>
              </w:rPr>
            </w:pPr>
            <w:r>
              <w:rPr>
                <w:rFonts w:ascii="Arial" w:cs="Arial" w:eastAsia="Arial" w:hAnsi="Arial"/>
                <w:sz w:val="13"/>
                <w:szCs w:val="13"/>
                <w:b w:val="1"/>
                <w:bCs w:val="1"/>
                <w:color w:val="auto"/>
              </w:rPr>
              <w:t>1</w:t>
            </w:r>
          </w:p>
        </w:tc>
        <w:tc>
          <w:tcPr>
            <w:tcW w:w="1760" w:type="dxa"/>
            <w:vAlign w:val="bottom"/>
            <w:tcBorders>
              <w:top w:val="single" w:sz="8" w:color="B2B2B2"/>
              <w:bottom w:val="single" w:sz="8" w:color="D64000"/>
            </w:tcBorders>
          </w:tcPr>
          <w:p>
            <w:pPr>
              <w:jc w:val="right"/>
              <w:ind w:right="334"/>
              <w:spacing w:after="0" w:line="139" w:lineRule="exact"/>
              <w:rPr>
                <w:sz w:val="20"/>
                <w:szCs w:val="20"/>
                <w:color w:val="auto"/>
              </w:rPr>
            </w:pPr>
            <w:r>
              <w:rPr>
                <w:rFonts w:ascii="Arial" w:cs="Arial" w:eastAsia="Arial" w:hAnsi="Arial"/>
                <w:sz w:val="13"/>
                <w:szCs w:val="13"/>
                <w:b w:val="1"/>
                <w:bCs w:val="1"/>
                <w:color w:val="auto"/>
              </w:rPr>
              <w:t>1,910</w:t>
            </w:r>
          </w:p>
        </w:tc>
        <w:tc>
          <w:tcPr>
            <w:tcW w:w="740" w:type="dxa"/>
            <w:vAlign w:val="bottom"/>
            <w:tcBorders>
              <w:top w:val="single" w:sz="8" w:color="B2B2B2"/>
              <w:bottom w:val="single" w:sz="8" w:color="D64000"/>
            </w:tcBorders>
          </w:tcPr>
          <w:p>
            <w:pPr>
              <w:jc w:val="right"/>
              <w:ind w:right="94"/>
              <w:spacing w:after="0" w:line="139" w:lineRule="exact"/>
              <w:rPr>
                <w:sz w:val="20"/>
                <w:szCs w:val="20"/>
                <w:color w:val="auto"/>
              </w:rPr>
            </w:pPr>
            <w:r>
              <w:rPr>
                <w:rFonts w:ascii="Arial" w:cs="Arial" w:eastAsia="Arial" w:hAnsi="Arial"/>
                <w:sz w:val="13"/>
                <w:szCs w:val="13"/>
                <w:b w:val="1"/>
                <w:bCs w:val="1"/>
                <w:color w:val="auto"/>
              </w:rPr>
              <w:t>718</w:t>
            </w:r>
          </w:p>
        </w:tc>
        <w:tc>
          <w:tcPr>
            <w:tcW w:w="840" w:type="dxa"/>
            <w:vAlign w:val="bottom"/>
            <w:tcBorders>
              <w:top w:val="single" w:sz="8" w:color="B2B2B2"/>
              <w:bottom w:val="single" w:sz="8" w:color="D64000"/>
            </w:tcBorders>
          </w:tcPr>
          <w:p>
            <w:pPr>
              <w:jc w:val="right"/>
              <w:ind w:right="54"/>
              <w:spacing w:after="0" w:line="139" w:lineRule="exact"/>
              <w:rPr>
                <w:sz w:val="20"/>
                <w:szCs w:val="20"/>
                <w:color w:val="auto"/>
              </w:rPr>
            </w:pPr>
            <w:r>
              <w:rPr>
                <w:rFonts w:ascii="Arial" w:cs="Arial" w:eastAsia="Arial" w:hAnsi="Arial"/>
                <w:sz w:val="13"/>
                <w:szCs w:val="13"/>
                <w:b w:val="1"/>
                <w:bCs w:val="1"/>
                <w:color w:val="auto"/>
              </w:rPr>
              <w:t>37.6%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6"/>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40" w:type="dxa"/>
            <w:vAlign w:val="bottom"/>
            <w:gridSpan w:val="2"/>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120" w:type="dxa"/>
            <w:vAlign w:val="bottom"/>
            <w:tcBorders>
              <w:right w:val="single" w:sz="8" w:color="E3F3EE"/>
            </w:tcBorders>
          </w:tcPr>
          <w:p>
            <w:pPr>
              <w:spacing w:after="0"/>
              <w:rPr>
                <w:sz w:val="13"/>
                <w:szCs w:val="13"/>
                <w:color w:val="auto"/>
              </w:rPr>
            </w:pPr>
          </w:p>
        </w:tc>
        <w:tc>
          <w:tcPr>
            <w:tcW w:w="1120" w:type="dxa"/>
            <w:vAlign w:val="bottom"/>
            <w:shd w:val="clear" w:color="auto" w:fill="E3F3EE"/>
          </w:tcPr>
          <w:p>
            <w:pPr>
              <w:spacing w:after="0"/>
              <w:rPr>
                <w:sz w:val="13"/>
                <w:szCs w:val="13"/>
                <w:color w:val="auto"/>
              </w:rPr>
            </w:pPr>
          </w:p>
        </w:tc>
        <w:tc>
          <w:tcPr>
            <w:tcW w:w="3240" w:type="dxa"/>
            <w:vAlign w:val="bottom"/>
            <w:gridSpan w:val="2"/>
            <w:shd w:val="clear" w:color="auto" w:fill="E3F3EE"/>
          </w:tcPr>
          <w:p>
            <w:pPr>
              <w:jc w:val="right"/>
              <w:ind w:right="274"/>
              <w:spacing w:after="0"/>
              <w:rPr>
                <w:sz w:val="20"/>
                <w:szCs w:val="20"/>
                <w:color w:val="auto"/>
              </w:rPr>
            </w:pPr>
            <w:r>
              <w:rPr>
                <w:rFonts w:ascii="Arial" w:cs="Arial" w:eastAsia="Arial" w:hAnsi="Arial"/>
                <w:sz w:val="13"/>
                <w:szCs w:val="13"/>
                <w:b w:val="1"/>
                <w:bCs w:val="1"/>
                <w:color w:val="auto"/>
              </w:rPr>
              <w:t>Year ended December 31, 2024</w:t>
            </w:r>
          </w:p>
        </w:tc>
        <w:tc>
          <w:tcPr>
            <w:tcW w:w="740" w:type="dxa"/>
            <w:vAlign w:val="bottom"/>
            <w:shd w:val="clear" w:color="auto" w:fill="E3F3EE"/>
          </w:tcPr>
          <w:p>
            <w:pPr>
              <w:spacing w:after="0"/>
              <w:rPr>
                <w:sz w:val="13"/>
                <w:szCs w:val="13"/>
                <w:color w:val="auto"/>
              </w:rPr>
            </w:pPr>
          </w:p>
        </w:tc>
        <w:tc>
          <w:tcPr>
            <w:tcW w:w="840" w:type="dxa"/>
            <w:vAlign w:val="bottom"/>
            <w:shd w:val="clear" w:color="auto" w:fill="E3F3EE"/>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20" w:type="dxa"/>
            <w:vAlign w:val="bottom"/>
            <w:shd w:val="clear" w:color="auto" w:fill="1F473D"/>
          </w:tcPr>
          <w:p>
            <w:pPr>
              <w:spacing w:after="0"/>
              <w:rPr>
                <w:sz w:val="11"/>
                <w:szCs w:val="11"/>
                <w:color w:val="auto"/>
              </w:rPr>
            </w:pPr>
          </w:p>
        </w:tc>
        <w:tc>
          <w:tcPr>
            <w:tcW w:w="640" w:type="dxa"/>
            <w:vAlign w:val="bottom"/>
            <w:shd w:val="clear" w:color="auto" w:fill="1F473D"/>
          </w:tcPr>
          <w:p>
            <w:pPr>
              <w:spacing w:after="0"/>
              <w:rPr>
                <w:sz w:val="11"/>
                <w:szCs w:val="11"/>
                <w:color w:val="auto"/>
              </w:rPr>
            </w:pPr>
          </w:p>
        </w:tc>
        <w:tc>
          <w:tcPr>
            <w:tcW w:w="3120" w:type="dxa"/>
            <w:vAlign w:val="bottom"/>
            <w:tcBorders>
              <w:right w:val="single" w:sz="8" w:color="1F473D"/>
            </w:tcBorders>
            <w:shd w:val="clear" w:color="auto" w:fill="1F473D"/>
          </w:tcPr>
          <w:p>
            <w:pPr>
              <w:spacing w:after="0"/>
              <w:rPr>
                <w:sz w:val="11"/>
                <w:szCs w:val="11"/>
                <w:color w:val="auto"/>
              </w:rPr>
            </w:pPr>
          </w:p>
        </w:tc>
        <w:tc>
          <w:tcPr>
            <w:tcW w:w="1120" w:type="dxa"/>
            <w:vAlign w:val="bottom"/>
            <w:shd w:val="clear" w:color="auto" w:fill="1F473D"/>
          </w:tcPr>
          <w:p>
            <w:pPr>
              <w:spacing w:after="0"/>
              <w:rPr>
                <w:sz w:val="11"/>
                <w:szCs w:val="11"/>
                <w:color w:val="auto"/>
              </w:rPr>
            </w:pPr>
          </w:p>
        </w:tc>
        <w:tc>
          <w:tcPr>
            <w:tcW w:w="1480" w:type="dxa"/>
            <w:vAlign w:val="bottom"/>
            <w:shd w:val="clear" w:color="auto" w:fill="1F473D"/>
          </w:tcPr>
          <w:p>
            <w:pPr>
              <w:jc w:val="center"/>
              <w:ind w:right="14"/>
              <w:spacing w:after="0" w:line="133" w:lineRule="exact"/>
              <w:rPr>
                <w:sz w:val="20"/>
                <w:szCs w:val="20"/>
                <w:color w:val="auto"/>
              </w:rPr>
            </w:pPr>
            <w:r>
              <w:rPr>
                <w:rFonts w:ascii="Arial" w:cs="Arial" w:eastAsia="Arial" w:hAnsi="Arial"/>
                <w:sz w:val="13"/>
                <w:szCs w:val="13"/>
                <w:b w:val="1"/>
                <w:bCs w:val="1"/>
                <w:color w:val="FFFFFF"/>
              </w:rPr>
              <w:t>Remove fair</w:t>
            </w:r>
          </w:p>
        </w:tc>
        <w:tc>
          <w:tcPr>
            <w:tcW w:w="1760" w:type="dxa"/>
            <w:vAlign w:val="bottom"/>
            <w:shd w:val="clear" w:color="auto" w:fill="1F473D"/>
          </w:tcPr>
          <w:p>
            <w:pPr>
              <w:jc w:val="center"/>
              <w:ind w:right="174"/>
              <w:spacing w:after="0" w:line="133" w:lineRule="exact"/>
              <w:rPr>
                <w:sz w:val="20"/>
                <w:szCs w:val="20"/>
                <w:color w:val="auto"/>
              </w:rPr>
            </w:pPr>
            <w:r>
              <w:rPr>
                <w:rFonts w:ascii="Arial" w:cs="Arial" w:eastAsia="Arial" w:hAnsi="Arial"/>
                <w:sz w:val="13"/>
                <w:szCs w:val="13"/>
                <w:b w:val="1"/>
                <w:bCs w:val="1"/>
                <w:color w:val="FFFFFF"/>
              </w:rPr>
              <w:t>Revenues</w:t>
            </w:r>
          </w:p>
        </w:tc>
        <w:tc>
          <w:tcPr>
            <w:tcW w:w="740" w:type="dxa"/>
            <w:vAlign w:val="bottom"/>
            <w:shd w:val="clear" w:color="auto" w:fill="1F473D"/>
          </w:tcPr>
          <w:p>
            <w:pPr>
              <w:spacing w:after="0"/>
              <w:rPr>
                <w:sz w:val="11"/>
                <w:szCs w:val="11"/>
                <w:color w:val="auto"/>
              </w:rPr>
            </w:pPr>
          </w:p>
        </w:tc>
        <w:tc>
          <w:tcPr>
            <w:tcW w:w="840" w:type="dxa"/>
            <w:vAlign w:val="bottom"/>
            <w:shd w:val="clear" w:color="auto" w:fill="1F473D"/>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6"/>
        </w:trPr>
        <w:tc>
          <w:tcPr>
            <w:tcW w:w="20" w:type="dxa"/>
            <w:vAlign w:val="bottom"/>
            <w:shd w:val="clear" w:color="auto" w:fill="1F473D"/>
          </w:tcPr>
          <w:p>
            <w:pPr>
              <w:spacing w:after="0"/>
              <w:rPr>
                <w:sz w:val="12"/>
                <w:szCs w:val="12"/>
                <w:color w:val="auto"/>
              </w:rPr>
            </w:pPr>
          </w:p>
        </w:tc>
        <w:tc>
          <w:tcPr>
            <w:tcW w:w="640" w:type="dxa"/>
            <w:vAlign w:val="bottom"/>
            <w:shd w:val="clear" w:color="auto" w:fill="1F473D"/>
          </w:tcPr>
          <w:p>
            <w:pPr>
              <w:spacing w:after="0"/>
              <w:rPr>
                <w:sz w:val="12"/>
                <w:szCs w:val="12"/>
                <w:color w:val="auto"/>
              </w:rPr>
            </w:pPr>
          </w:p>
        </w:tc>
        <w:tc>
          <w:tcPr>
            <w:tcW w:w="3120" w:type="dxa"/>
            <w:vAlign w:val="bottom"/>
            <w:tcBorders>
              <w:right w:val="single" w:sz="8" w:color="1F473D"/>
            </w:tcBorders>
            <w:shd w:val="clear" w:color="auto" w:fill="1F473D"/>
          </w:tcPr>
          <w:p>
            <w:pPr>
              <w:spacing w:after="0"/>
              <w:rPr>
                <w:sz w:val="12"/>
                <w:szCs w:val="12"/>
                <w:color w:val="auto"/>
              </w:rPr>
            </w:pPr>
          </w:p>
        </w:tc>
        <w:tc>
          <w:tcPr>
            <w:tcW w:w="1120" w:type="dxa"/>
            <w:vAlign w:val="bottom"/>
            <w:shd w:val="clear" w:color="auto" w:fill="1F473D"/>
          </w:tcPr>
          <w:p>
            <w:pPr>
              <w:spacing w:after="0"/>
              <w:rPr>
                <w:sz w:val="12"/>
                <w:szCs w:val="12"/>
                <w:color w:val="auto"/>
              </w:rPr>
            </w:pPr>
          </w:p>
        </w:tc>
        <w:tc>
          <w:tcPr>
            <w:tcW w:w="1480" w:type="dxa"/>
            <w:vAlign w:val="bottom"/>
            <w:shd w:val="clear" w:color="auto" w:fill="1F473D"/>
          </w:tcPr>
          <w:p>
            <w:pPr>
              <w:jc w:val="center"/>
              <w:spacing w:after="0" w:line="146" w:lineRule="exact"/>
              <w:rPr>
                <w:sz w:val="20"/>
                <w:szCs w:val="20"/>
                <w:color w:val="auto"/>
              </w:rPr>
            </w:pPr>
            <w:r>
              <w:rPr>
                <w:rFonts w:ascii="Arial" w:cs="Arial" w:eastAsia="Arial" w:hAnsi="Arial"/>
                <w:sz w:val="13"/>
                <w:szCs w:val="13"/>
                <w:b w:val="1"/>
                <w:bCs w:val="1"/>
                <w:color w:val="FFFFFF"/>
              </w:rPr>
              <w:t>value</w:t>
            </w:r>
          </w:p>
        </w:tc>
        <w:tc>
          <w:tcPr>
            <w:tcW w:w="1760" w:type="dxa"/>
            <w:vAlign w:val="bottom"/>
            <w:shd w:val="clear" w:color="auto" w:fill="1F473D"/>
          </w:tcPr>
          <w:p>
            <w:pPr>
              <w:jc w:val="center"/>
              <w:ind w:right="174"/>
              <w:spacing w:after="0" w:line="146" w:lineRule="exact"/>
              <w:rPr>
                <w:sz w:val="20"/>
                <w:szCs w:val="20"/>
                <w:color w:val="auto"/>
              </w:rPr>
            </w:pPr>
            <w:r>
              <w:rPr>
                <w:rFonts w:ascii="Arial" w:cs="Arial" w:eastAsia="Arial" w:hAnsi="Arial"/>
                <w:sz w:val="13"/>
                <w:szCs w:val="13"/>
                <w:b w:val="1"/>
                <w:bCs w:val="1"/>
                <w:color w:val="FFFFFF"/>
              </w:rPr>
              <w:t>excluding fair</w:t>
            </w:r>
          </w:p>
        </w:tc>
        <w:tc>
          <w:tcPr>
            <w:tcW w:w="740" w:type="dxa"/>
            <w:vAlign w:val="bottom"/>
            <w:shd w:val="clear" w:color="auto" w:fill="1F473D"/>
          </w:tcPr>
          <w:p>
            <w:pPr>
              <w:spacing w:after="0"/>
              <w:rPr>
                <w:sz w:val="12"/>
                <w:szCs w:val="12"/>
                <w:color w:val="auto"/>
              </w:rPr>
            </w:pPr>
          </w:p>
        </w:tc>
        <w:tc>
          <w:tcPr>
            <w:tcW w:w="840" w:type="dxa"/>
            <w:vAlign w:val="bottom"/>
            <w:shd w:val="clear" w:color="auto" w:fill="1F473D"/>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20" w:type="dxa"/>
            <w:vAlign w:val="bottom"/>
            <w:shd w:val="clear" w:color="auto" w:fill="1F473D"/>
          </w:tcPr>
          <w:p>
            <w:pPr>
              <w:spacing w:after="0"/>
              <w:rPr>
                <w:sz w:val="12"/>
                <w:szCs w:val="12"/>
                <w:color w:val="auto"/>
              </w:rPr>
            </w:pPr>
          </w:p>
        </w:tc>
        <w:tc>
          <w:tcPr>
            <w:tcW w:w="640" w:type="dxa"/>
            <w:vAlign w:val="bottom"/>
            <w:shd w:val="clear" w:color="auto" w:fill="1F473D"/>
          </w:tcPr>
          <w:p>
            <w:pPr>
              <w:spacing w:after="0"/>
              <w:rPr>
                <w:sz w:val="12"/>
                <w:szCs w:val="12"/>
                <w:color w:val="auto"/>
              </w:rPr>
            </w:pPr>
          </w:p>
        </w:tc>
        <w:tc>
          <w:tcPr>
            <w:tcW w:w="3120" w:type="dxa"/>
            <w:vAlign w:val="bottom"/>
            <w:tcBorders>
              <w:right w:val="single" w:sz="8" w:color="1F473D"/>
            </w:tcBorders>
            <w:shd w:val="clear" w:color="auto" w:fill="1F473D"/>
          </w:tcPr>
          <w:p>
            <w:pPr>
              <w:spacing w:after="0"/>
              <w:rPr>
                <w:sz w:val="12"/>
                <w:szCs w:val="12"/>
                <w:color w:val="auto"/>
              </w:rPr>
            </w:pPr>
          </w:p>
        </w:tc>
        <w:tc>
          <w:tcPr>
            <w:tcW w:w="1120" w:type="dxa"/>
            <w:vAlign w:val="bottom"/>
            <w:shd w:val="clear" w:color="auto" w:fill="1F473D"/>
          </w:tcPr>
          <w:p>
            <w:pPr>
              <w:spacing w:after="0"/>
              <w:rPr>
                <w:sz w:val="12"/>
                <w:szCs w:val="12"/>
                <w:color w:val="auto"/>
              </w:rPr>
            </w:pPr>
          </w:p>
        </w:tc>
        <w:tc>
          <w:tcPr>
            <w:tcW w:w="1480" w:type="dxa"/>
            <w:vAlign w:val="bottom"/>
            <w:shd w:val="clear" w:color="auto" w:fill="1F473D"/>
          </w:tcPr>
          <w:p>
            <w:pPr>
              <w:jc w:val="center"/>
              <w:spacing w:after="0" w:line="146" w:lineRule="exact"/>
              <w:rPr>
                <w:sz w:val="20"/>
                <w:szCs w:val="20"/>
                <w:color w:val="auto"/>
              </w:rPr>
            </w:pPr>
            <w:r>
              <w:rPr>
                <w:rFonts w:ascii="Arial" w:cs="Arial" w:eastAsia="Arial" w:hAnsi="Arial"/>
                <w:sz w:val="13"/>
                <w:szCs w:val="13"/>
                <w:b w:val="1"/>
                <w:bCs w:val="1"/>
                <w:color w:val="FFFFFF"/>
              </w:rPr>
              <w:t>adjustments to</w:t>
            </w:r>
          </w:p>
        </w:tc>
        <w:tc>
          <w:tcPr>
            <w:tcW w:w="1760" w:type="dxa"/>
            <w:vAlign w:val="bottom"/>
            <w:shd w:val="clear" w:color="auto" w:fill="1F473D"/>
          </w:tcPr>
          <w:p>
            <w:pPr>
              <w:jc w:val="center"/>
              <w:ind w:right="174"/>
              <w:spacing w:after="0" w:line="146" w:lineRule="exact"/>
              <w:rPr>
                <w:sz w:val="20"/>
                <w:szCs w:val="20"/>
                <w:color w:val="auto"/>
              </w:rPr>
            </w:pPr>
            <w:r>
              <w:rPr>
                <w:rFonts w:ascii="Arial" w:cs="Arial" w:eastAsia="Arial" w:hAnsi="Arial"/>
                <w:sz w:val="13"/>
                <w:szCs w:val="13"/>
                <w:b w:val="1"/>
                <w:bCs w:val="1"/>
                <w:color w:val="FFFFFF"/>
              </w:rPr>
              <w:t>value adjustments</w:t>
            </w:r>
          </w:p>
        </w:tc>
        <w:tc>
          <w:tcPr>
            <w:tcW w:w="740" w:type="dxa"/>
            <w:vAlign w:val="bottom"/>
            <w:shd w:val="clear" w:color="auto" w:fill="1F473D"/>
          </w:tcPr>
          <w:p>
            <w:pPr>
              <w:spacing w:after="0"/>
              <w:rPr>
                <w:sz w:val="12"/>
                <w:szCs w:val="12"/>
                <w:color w:val="auto"/>
              </w:rPr>
            </w:pPr>
          </w:p>
        </w:tc>
        <w:tc>
          <w:tcPr>
            <w:tcW w:w="840" w:type="dxa"/>
            <w:vAlign w:val="bottom"/>
            <w:shd w:val="clear" w:color="auto" w:fill="1F473D"/>
          </w:tcPr>
          <w:p>
            <w:pPr>
              <w:jc w:val="right"/>
              <w:ind w:right="74"/>
              <w:spacing w:after="0" w:line="146" w:lineRule="exact"/>
              <w:rPr>
                <w:sz w:val="20"/>
                <w:szCs w:val="20"/>
                <w:color w:val="auto"/>
              </w:rPr>
            </w:pPr>
            <w:r>
              <w:rPr>
                <w:rFonts w:ascii="Arial" w:cs="Arial" w:eastAsia="Arial" w:hAnsi="Arial"/>
                <w:sz w:val="13"/>
                <w:szCs w:val="13"/>
                <w:b w:val="1"/>
                <w:bCs w:val="1"/>
                <w:color w:val="FFFFFF"/>
              </w:rPr>
              <w:t>Adjusted</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20" w:type="dxa"/>
            <w:vAlign w:val="bottom"/>
            <w:shd w:val="clear" w:color="auto" w:fill="1F473D"/>
          </w:tcPr>
          <w:p>
            <w:pPr>
              <w:spacing w:after="0"/>
              <w:rPr>
                <w:sz w:val="12"/>
                <w:szCs w:val="12"/>
                <w:color w:val="auto"/>
              </w:rPr>
            </w:pPr>
          </w:p>
        </w:tc>
        <w:tc>
          <w:tcPr>
            <w:tcW w:w="640" w:type="dxa"/>
            <w:vAlign w:val="bottom"/>
            <w:shd w:val="clear" w:color="auto" w:fill="1F473D"/>
          </w:tcPr>
          <w:p>
            <w:pPr>
              <w:spacing w:after="0"/>
              <w:rPr>
                <w:sz w:val="12"/>
                <w:szCs w:val="12"/>
                <w:color w:val="auto"/>
              </w:rPr>
            </w:pPr>
          </w:p>
        </w:tc>
        <w:tc>
          <w:tcPr>
            <w:tcW w:w="3120" w:type="dxa"/>
            <w:vAlign w:val="bottom"/>
            <w:tcBorders>
              <w:right w:val="single" w:sz="8" w:color="1F473D"/>
            </w:tcBorders>
            <w:shd w:val="clear" w:color="auto" w:fill="1F473D"/>
          </w:tcPr>
          <w:p>
            <w:pPr>
              <w:spacing w:after="0"/>
              <w:rPr>
                <w:sz w:val="12"/>
                <w:szCs w:val="12"/>
                <w:color w:val="auto"/>
              </w:rPr>
            </w:pPr>
          </w:p>
        </w:tc>
        <w:tc>
          <w:tcPr>
            <w:tcW w:w="1120" w:type="dxa"/>
            <w:vAlign w:val="bottom"/>
            <w:shd w:val="clear" w:color="auto" w:fill="1F473D"/>
          </w:tcPr>
          <w:p>
            <w:pPr>
              <w:jc w:val="center"/>
              <w:spacing w:after="0" w:line="146" w:lineRule="exact"/>
              <w:rPr>
                <w:sz w:val="20"/>
                <w:szCs w:val="20"/>
                <w:color w:val="auto"/>
              </w:rPr>
            </w:pPr>
            <w:r>
              <w:rPr>
                <w:rFonts w:ascii="Arial" w:cs="Arial" w:eastAsia="Arial" w:hAnsi="Arial"/>
                <w:sz w:val="13"/>
                <w:szCs w:val="13"/>
                <w:b w:val="1"/>
                <w:bCs w:val="1"/>
                <w:color w:val="FFFFFF"/>
              </w:rPr>
              <w:t>IFRS</w:t>
            </w:r>
          </w:p>
        </w:tc>
        <w:tc>
          <w:tcPr>
            <w:tcW w:w="1480" w:type="dxa"/>
            <w:vAlign w:val="bottom"/>
            <w:shd w:val="clear" w:color="auto" w:fill="1F473D"/>
          </w:tcPr>
          <w:p>
            <w:pPr>
              <w:jc w:val="center"/>
              <w:ind w:right="14"/>
              <w:spacing w:after="0" w:line="146" w:lineRule="exact"/>
              <w:rPr>
                <w:sz w:val="20"/>
                <w:szCs w:val="20"/>
                <w:color w:val="auto"/>
              </w:rPr>
            </w:pPr>
            <w:r>
              <w:rPr>
                <w:rFonts w:ascii="Arial" w:cs="Arial" w:eastAsia="Arial" w:hAnsi="Arial"/>
                <w:sz w:val="13"/>
                <w:szCs w:val="13"/>
                <w:b w:val="1"/>
                <w:bCs w:val="1"/>
                <w:color w:val="FFFFFF"/>
              </w:rPr>
              <w:t>acquired</w:t>
            </w:r>
          </w:p>
        </w:tc>
        <w:tc>
          <w:tcPr>
            <w:tcW w:w="1760" w:type="dxa"/>
            <w:vAlign w:val="bottom"/>
            <w:shd w:val="clear" w:color="auto" w:fill="1F473D"/>
          </w:tcPr>
          <w:p>
            <w:pPr>
              <w:jc w:val="center"/>
              <w:ind w:right="174"/>
              <w:spacing w:after="0" w:line="146" w:lineRule="exact"/>
              <w:rPr>
                <w:sz w:val="20"/>
                <w:szCs w:val="20"/>
                <w:color w:val="auto"/>
              </w:rPr>
            </w:pPr>
            <w:r>
              <w:rPr>
                <w:rFonts w:ascii="Arial" w:cs="Arial" w:eastAsia="Arial" w:hAnsi="Arial"/>
                <w:sz w:val="13"/>
                <w:szCs w:val="13"/>
                <w:b w:val="1"/>
                <w:bCs w:val="1"/>
                <w:color w:val="FFFFFF"/>
              </w:rPr>
              <w:t>to acquired</w:t>
            </w:r>
          </w:p>
        </w:tc>
        <w:tc>
          <w:tcPr>
            <w:tcW w:w="740" w:type="dxa"/>
            <w:vAlign w:val="bottom"/>
            <w:shd w:val="clear" w:color="auto" w:fill="1F473D"/>
          </w:tcPr>
          <w:p>
            <w:pPr>
              <w:jc w:val="center"/>
              <w:ind w:right="94"/>
              <w:spacing w:after="0" w:line="146" w:lineRule="exact"/>
              <w:rPr>
                <w:sz w:val="20"/>
                <w:szCs w:val="20"/>
                <w:color w:val="auto"/>
              </w:rPr>
            </w:pPr>
            <w:r>
              <w:rPr>
                <w:rFonts w:ascii="Arial" w:cs="Arial" w:eastAsia="Arial" w:hAnsi="Arial"/>
                <w:sz w:val="13"/>
                <w:szCs w:val="13"/>
                <w:b w:val="1"/>
                <w:bCs w:val="1"/>
                <w:color w:val="FFFFFF"/>
              </w:rPr>
              <w:t>Adjusted</w:t>
            </w:r>
          </w:p>
        </w:tc>
        <w:tc>
          <w:tcPr>
            <w:tcW w:w="840" w:type="dxa"/>
            <w:vAlign w:val="bottom"/>
            <w:shd w:val="clear" w:color="auto" w:fill="1F473D"/>
          </w:tcPr>
          <w:p>
            <w:pPr>
              <w:jc w:val="center"/>
              <w:spacing w:after="0" w:line="146" w:lineRule="exact"/>
              <w:rPr>
                <w:sz w:val="20"/>
                <w:szCs w:val="20"/>
                <w:color w:val="auto"/>
              </w:rPr>
            </w:pPr>
            <w:r>
              <w:rPr>
                <w:rFonts w:ascii="Arial" w:cs="Arial" w:eastAsia="Arial" w:hAnsi="Arial"/>
                <w:sz w:val="13"/>
                <w:szCs w:val="13"/>
                <w:b w:val="1"/>
                <w:bCs w:val="1"/>
                <w:color w:val="FFFFFF"/>
              </w:rPr>
              <w:t>EBITDA</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5"/>
        </w:trPr>
        <w:tc>
          <w:tcPr>
            <w:tcW w:w="3780" w:type="dxa"/>
            <w:vAlign w:val="bottom"/>
            <w:tcBorders>
              <w:bottom w:val="single" w:sz="8" w:color="D64000"/>
              <w:right w:val="single" w:sz="8" w:color="1F473D"/>
            </w:tcBorders>
            <w:gridSpan w:val="3"/>
            <w:shd w:val="clear" w:color="auto" w:fill="1F473D"/>
          </w:tcPr>
          <w:p>
            <w:pPr>
              <w:spacing w:after="0"/>
              <w:rPr>
                <w:sz w:val="20"/>
                <w:szCs w:val="20"/>
                <w:color w:val="auto"/>
              </w:rPr>
            </w:pPr>
            <w:r>
              <w:rPr>
                <w:rFonts w:ascii="Arial" w:cs="Arial" w:eastAsia="Arial" w:hAnsi="Arial"/>
                <w:sz w:val="13"/>
                <w:szCs w:val="13"/>
                <w:b w:val="1"/>
                <w:bCs w:val="1"/>
                <w:color w:val="FFFFFF"/>
              </w:rPr>
              <w:t> (millions of U.S. dollars, except margins)</w:t>
            </w:r>
          </w:p>
        </w:tc>
        <w:tc>
          <w:tcPr>
            <w:tcW w:w="1120" w:type="dxa"/>
            <w:vAlign w:val="bottom"/>
            <w:tcBorders>
              <w:bottom w:val="single" w:sz="8" w:color="D64000"/>
            </w:tcBorders>
            <w:shd w:val="clear" w:color="auto" w:fill="1F473D"/>
          </w:tcPr>
          <w:p>
            <w:pPr>
              <w:jc w:val="center"/>
              <w:spacing w:after="0"/>
              <w:rPr>
                <w:sz w:val="20"/>
                <w:szCs w:val="20"/>
                <w:color w:val="auto"/>
              </w:rPr>
            </w:pPr>
            <w:r>
              <w:rPr>
                <w:rFonts w:ascii="Arial" w:cs="Arial" w:eastAsia="Arial" w:hAnsi="Arial"/>
                <w:sz w:val="13"/>
                <w:szCs w:val="13"/>
                <w:b w:val="1"/>
                <w:bCs w:val="1"/>
                <w:color w:val="FFFFFF"/>
              </w:rPr>
              <w:t>revenues</w:t>
            </w:r>
          </w:p>
        </w:tc>
        <w:tc>
          <w:tcPr>
            <w:tcW w:w="1480" w:type="dxa"/>
            <w:vAlign w:val="bottom"/>
            <w:tcBorders>
              <w:bottom w:val="single" w:sz="8" w:color="D64000"/>
            </w:tcBorders>
            <w:shd w:val="clear" w:color="auto" w:fill="1F473D"/>
          </w:tcPr>
          <w:p>
            <w:pPr>
              <w:jc w:val="center"/>
              <w:ind w:right="14"/>
              <w:spacing w:after="0"/>
              <w:rPr>
                <w:sz w:val="20"/>
                <w:szCs w:val="20"/>
                <w:color w:val="auto"/>
              </w:rPr>
            </w:pPr>
            <w:r>
              <w:rPr>
                <w:rFonts w:ascii="Arial" w:cs="Arial" w:eastAsia="Arial" w:hAnsi="Arial"/>
                <w:sz w:val="13"/>
                <w:szCs w:val="13"/>
                <w:b w:val="1"/>
                <w:bCs w:val="1"/>
                <w:color w:val="FFFFFF"/>
              </w:rPr>
              <w:t>deferred revenue</w:t>
            </w:r>
          </w:p>
        </w:tc>
        <w:tc>
          <w:tcPr>
            <w:tcW w:w="1760" w:type="dxa"/>
            <w:vAlign w:val="bottom"/>
            <w:tcBorders>
              <w:bottom w:val="single" w:sz="8" w:color="D64000"/>
            </w:tcBorders>
            <w:shd w:val="clear" w:color="auto" w:fill="1F473D"/>
          </w:tcPr>
          <w:p>
            <w:pPr>
              <w:jc w:val="center"/>
              <w:ind w:right="174"/>
              <w:spacing w:after="0"/>
              <w:rPr>
                <w:sz w:val="20"/>
                <w:szCs w:val="20"/>
                <w:color w:val="auto"/>
              </w:rPr>
            </w:pPr>
            <w:r>
              <w:rPr>
                <w:rFonts w:ascii="Arial" w:cs="Arial" w:eastAsia="Arial" w:hAnsi="Arial"/>
                <w:sz w:val="13"/>
                <w:szCs w:val="13"/>
                <w:b w:val="1"/>
                <w:bCs w:val="1"/>
                <w:color w:val="FFFFFF"/>
              </w:rPr>
              <w:t>deferred revenue</w:t>
            </w:r>
          </w:p>
        </w:tc>
        <w:tc>
          <w:tcPr>
            <w:tcW w:w="740" w:type="dxa"/>
            <w:vAlign w:val="bottom"/>
            <w:tcBorders>
              <w:bottom w:val="single" w:sz="8" w:color="D64000"/>
            </w:tcBorders>
            <w:shd w:val="clear" w:color="auto" w:fill="1F473D"/>
          </w:tcPr>
          <w:p>
            <w:pPr>
              <w:jc w:val="center"/>
              <w:ind w:right="94"/>
              <w:spacing w:after="0"/>
              <w:rPr>
                <w:sz w:val="20"/>
                <w:szCs w:val="20"/>
                <w:color w:val="auto"/>
              </w:rPr>
            </w:pPr>
            <w:r>
              <w:rPr>
                <w:rFonts w:ascii="Arial" w:cs="Arial" w:eastAsia="Arial" w:hAnsi="Arial"/>
                <w:sz w:val="13"/>
                <w:szCs w:val="13"/>
                <w:b w:val="1"/>
                <w:bCs w:val="1"/>
                <w:color w:val="FFFFFF"/>
              </w:rPr>
              <w:t>EBITDA</w:t>
            </w:r>
          </w:p>
        </w:tc>
        <w:tc>
          <w:tcPr>
            <w:tcW w:w="840" w:type="dxa"/>
            <w:vAlign w:val="bottom"/>
            <w:tcBorders>
              <w:bottom w:val="single" w:sz="8" w:color="D64000"/>
            </w:tcBorders>
            <w:shd w:val="clear" w:color="auto" w:fill="1F473D"/>
          </w:tcPr>
          <w:p>
            <w:pPr>
              <w:jc w:val="center"/>
              <w:spacing w:after="0"/>
              <w:rPr>
                <w:sz w:val="20"/>
                <w:szCs w:val="20"/>
                <w:color w:val="auto"/>
              </w:rPr>
            </w:pPr>
            <w:r>
              <w:rPr>
                <w:rFonts w:ascii="Arial" w:cs="Arial" w:eastAsia="Arial" w:hAnsi="Arial"/>
                <w:sz w:val="13"/>
                <w:szCs w:val="13"/>
                <w:b w:val="1"/>
                <w:bCs w:val="1"/>
                <w:color w:val="FFFFFF"/>
              </w:rPr>
              <w:t>margin</w:t>
            </w: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3"/>
        </w:trPr>
        <w:tc>
          <w:tcPr>
            <w:tcW w:w="3780" w:type="dxa"/>
            <w:vAlign w:val="bottom"/>
            <w:gridSpan w:val="3"/>
          </w:tcPr>
          <w:p>
            <w:pPr>
              <w:spacing w:after="0" w:line="133" w:lineRule="exact"/>
              <w:rPr>
                <w:sz w:val="20"/>
                <w:szCs w:val="20"/>
                <w:color w:val="auto"/>
              </w:rPr>
            </w:pPr>
            <w:r>
              <w:rPr>
                <w:rFonts w:ascii="Arial" w:cs="Arial" w:eastAsia="Arial" w:hAnsi="Arial"/>
                <w:sz w:val="13"/>
                <w:szCs w:val="13"/>
                <w:b w:val="1"/>
                <w:bCs w:val="1"/>
                <w:color w:val="auto"/>
              </w:rPr>
              <w:t> Revenues</w:t>
            </w:r>
          </w:p>
        </w:tc>
        <w:tc>
          <w:tcPr>
            <w:tcW w:w="1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3760" w:type="dxa"/>
            <w:vAlign w:val="bottom"/>
            <w:gridSpan w:val="2"/>
          </w:tcPr>
          <w:p>
            <w:pPr>
              <w:ind w:left="140"/>
              <w:spacing w:after="0"/>
              <w:rPr>
                <w:sz w:val="20"/>
                <w:szCs w:val="20"/>
                <w:color w:val="auto"/>
              </w:rPr>
            </w:pPr>
            <w:r>
              <w:rPr>
                <w:rFonts w:ascii="Arial" w:cs="Arial" w:eastAsia="Arial" w:hAnsi="Arial"/>
                <w:sz w:val="13"/>
                <w:szCs w:val="13"/>
                <w:b w:val="1"/>
                <w:bCs w:val="1"/>
                <w:color w:val="auto"/>
              </w:rPr>
              <w:t> Legal Professionals</w:t>
            </w:r>
          </w:p>
        </w:tc>
        <w:tc>
          <w:tcPr>
            <w:tcW w:w="1120" w:type="dxa"/>
            <w:vAlign w:val="bottom"/>
          </w:tcPr>
          <w:p>
            <w:pPr>
              <w:jc w:val="right"/>
              <w:ind w:right="194"/>
              <w:spacing w:after="0"/>
              <w:rPr>
                <w:sz w:val="20"/>
                <w:szCs w:val="20"/>
                <w:color w:val="auto"/>
              </w:rPr>
            </w:pPr>
            <w:r>
              <w:rPr>
                <w:rFonts w:ascii="Arial" w:cs="Arial" w:eastAsia="Arial" w:hAnsi="Arial"/>
                <w:sz w:val="13"/>
                <w:szCs w:val="13"/>
                <w:b w:val="1"/>
                <w:bCs w:val="1"/>
                <w:color w:val="auto"/>
              </w:rPr>
              <w:t>2,922</w:t>
            </w:r>
          </w:p>
        </w:tc>
        <w:tc>
          <w:tcPr>
            <w:tcW w:w="1480" w:type="dxa"/>
            <w:vAlign w:val="bottom"/>
          </w:tcPr>
          <w:p>
            <w:pPr>
              <w:jc w:val="right"/>
              <w:ind w:right="174"/>
              <w:spacing w:after="0"/>
              <w:rPr>
                <w:sz w:val="20"/>
                <w:szCs w:val="20"/>
                <w:color w:val="auto"/>
              </w:rPr>
            </w:pPr>
            <w:r>
              <w:rPr>
                <w:rFonts w:ascii="Arial" w:cs="Arial" w:eastAsia="Arial" w:hAnsi="Arial"/>
                <w:sz w:val="13"/>
                <w:szCs w:val="13"/>
                <w:b w:val="1"/>
                <w:bCs w:val="1"/>
                <w:color w:val="auto"/>
              </w:rPr>
              <w:t>1</w:t>
            </w:r>
          </w:p>
        </w:tc>
        <w:tc>
          <w:tcPr>
            <w:tcW w:w="1760" w:type="dxa"/>
            <w:vAlign w:val="bottom"/>
          </w:tcPr>
          <w:p>
            <w:pPr>
              <w:jc w:val="right"/>
              <w:ind w:right="354"/>
              <w:spacing w:after="0"/>
              <w:rPr>
                <w:sz w:val="20"/>
                <w:szCs w:val="20"/>
                <w:color w:val="auto"/>
              </w:rPr>
            </w:pPr>
            <w:r>
              <w:rPr>
                <w:rFonts w:ascii="Arial" w:cs="Arial" w:eastAsia="Arial" w:hAnsi="Arial"/>
                <w:sz w:val="13"/>
                <w:szCs w:val="13"/>
                <w:b w:val="1"/>
                <w:bCs w:val="1"/>
                <w:color w:val="auto"/>
              </w:rPr>
              <w:t>2,923</w:t>
            </w:r>
          </w:p>
        </w:tc>
        <w:tc>
          <w:tcPr>
            <w:tcW w:w="740" w:type="dxa"/>
            <w:vAlign w:val="bottom"/>
          </w:tcPr>
          <w:p>
            <w:pPr>
              <w:jc w:val="right"/>
              <w:ind w:right="94"/>
              <w:spacing w:after="0"/>
              <w:rPr>
                <w:sz w:val="20"/>
                <w:szCs w:val="20"/>
                <w:color w:val="auto"/>
              </w:rPr>
            </w:pPr>
            <w:r>
              <w:rPr>
                <w:rFonts w:ascii="Arial" w:cs="Arial" w:eastAsia="Arial" w:hAnsi="Arial"/>
                <w:sz w:val="13"/>
                <w:szCs w:val="13"/>
                <w:b w:val="1"/>
                <w:bCs w:val="1"/>
                <w:color w:val="auto"/>
              </w:rPr>
              <w:t>1,302</w:t>
            </w:r>
          </w:p>
        </w:tc>
        <w:tc>
          <w:tcPr>
            <w:tcW w:w="840" w:type="dxa"/>
            <w:vAlign w:val="bottom"/>
          </w:tcPr>
          <w:p>
            <w:pPr>
              <w:jc w:val="right"/>
              <w:ind w:right="54"/>
              <w:spacing w:after="0"/>
              <w:rPr>
                <w:sz w:val="20"/>
                <w:szCs w:val="20"/>
                <w:color w:val="auto"/>
              </w:rPr>
            </w:pPr>
            <w:r>
              <w:rPr>
                <w:rFonts w:ascii="Arial" w:cs="Arial" w:eastAsia="Arial" w:hAnsi="Arial"/>
                <w:sz w:val="13"/>
                <w:szCs w:val="13"/>
                <w:b w:val="1"/>
                <w:bCs w:val="1"/>
                <w:color w:val="auto"/>
              </w:rPr>
              <w:t>44.6%</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6"/>
        </w:trPr>
        <w:tc>
          <w:tcPr>
            <w:tcW w:w="20" w:type="dxa"/>
            <w:vAlign w:val="bottom"/>
          </w:tcPr>
          <w:p>
            <w:pPr>
              <w:spacing w:after="0"/>
              <w:rPr>
                <w:sz w:val="12"/>
                <w:szCs w:val="12"/>
                <w:color w:val="auto"/>
              </w:rPr>
            </w:pPr>
          </w:p>
        </w:tc>
        <w:tc>
          <w:tcPr>
            <w:tcW w:w="3760" w:type="dxa"/>
            <w:vAlign w:val="bottom"/>
            <w:gridSpan w:val="2"/>
          </w:tcPr>
          <w:p>
            <w:pPr>
              <w:ind w:left="140"/>
              <w:spacing w:after="0" w:line="146" w:lineRule="exact"/>
              <w:rPr>
                <w:sz w:val="20"/>
                <w:szCs w:val="20"/>
                <w:color w:val="auto"/>
              </w:rPr>
            </w:pPr>
            <w:r>
              <w:rPr>
                <w:rFonts w:ascii="Arial" w:cs="Arial" w:eastAsia="Arial" w:hAnsi="Arial"/>
                <w:sz w:val="13"/>
                <w:szCs w:val="13"/>
                <w:b w:val="1"/>
                <w:bCs w:val="1"/>
                <w:color w:val="auto"/>
              </w:rPr>
              <w:t> Corporates</w:t>
            </w:r>
          </w:p>
        </w:tc>
        <w:tc>
          <w:tcPr>
            <w:tcW w:w="1120" w:type="dxa"/>
            <w:vAlign w:val="bottom"/>
          </w:tcPr>
          <w:p>
            <w:pPr>
              <w:jc w:val="right"/>
              <w:ind w:right="194"/>
              <w:spacing w:after="0" w:line="146" w:lineRule="exact"/>
              <w:rPr>
                <w:sz w:val="20"/>
                <w:szCs w:val="20"/>
                <w:color w:val="auto"/>
              </w:rPr>
            </w:pPr>
            <w:r>
              <w:rPr>
                <w:rFonts w:ascii="Arial" w:cs="Arial" w:eastAsia="Arial" w:hAnsi="Arial"/>
                <w:sz w:val="13"/>
                <w:szCs w:val="13"/>
                <w:b w:val="1"/>
                <w:bCs w:val="1"/>
                <w:color w:val="auto"/>
              </w:rPr>
              <w:t>1,844</w:t>
            </w:r>
          </w:p>
        </w:tc>
        <w:tc>
          <w:tcPr>
            <w:tcW w:w="1480" w:type="dxa"/>
            <w:vAlign w:val="bottom"/>
          </w:tcPr>
          <w:p>
            <w:pPr>
              <w:jc w:val="right"/>
              <w:ind w:right="174"/>
              <w:spacing w:after="0" w:line="146" w:lineRule="exact"/>
              <w:rPr>
                <w:sz w:val="20"/>
                <w:szCs w:val="20"/>
                <w:color w:val="auto"/>
              </w:rPr>
            </w:pPr>
            <w:r>
              <w:rPr>
                <w:rFonts w:ascii="Arial" w:cs="Arial" w:eastAsia="Arial" w:hAnsi="Arial"/>
                <w:sz w:val="13"/>
                <w:szCs w:val="13"/>
                <w:b w:val="1"/>
                <w:bCs w:val="1"/>
                <w:color w:val="auto"/>
              </w:rPr>
              <w:t>6</w:t>
            </w:r>
          </w:p>
        </w:tc>
        <w:tc>
          <w:tcPr>
            <w:tcW w:w="1760" w:type="dxa"/>
            <w:vAlign w:val="bottom"/>
          </w:tcPr>
          <w:p>
            <w:pPr>
              <w:jc w:val="right"/>
              <w:ind w:right="354"/>
              <w:spacing w:after="0" w:line="146" w:lineRule="exact"/>
              <w:rPr>
                <w:sz w:val="20"/>
                <w:szCs w:val="20"/>
                <w:color w:val="auto"/>
              </w:rPr>
            </w:pPr>
            <w:r>
              <w:rPr>
                <w:rFonts w:ascii="Arial" w:cs="Arial" w:eastAsia="Arial" w:hAnsi="Arial"/>
                <w:sz w:val="13"/>
                <w:szCs w:val="13"/>
                <w:b w:val="1"/>
                <w:bCs w:val="1"/>
                <w:color w:val="auto"/>
              </w:rPr>
              <w:t>1,850</w:t>
            </w:r>
          </w:p>
        </w:tc>
        <w:tc>
          <w:tcPr>
            <w:tcW w:w="740" w:type="dxa"/>
            <w:vAlign w:val="bottom"/>
          </w:tcPr>
          <w:p>
            <w:pPr>
              <w:jc w:val="right"/>
              <w:ind w:right="94"/>
              <w:spacing w:after="0" w:line="146" w:lineRule="exact"/>
              <w:rPr>
                <w:sz w:val="20"/>
                <w:szCs w:val="20"/>
                <w:color w:val="auto"/>
              </w:rPr>
            </w:pPr>
            <w:r>
              <w:rPr>
                <w:rFonts w:ascii="Arial" w:cs="Arial" w:eastAsia="Arial" w:hAnsi="Arial"/>
                <w:sz w:val="13"/>
                <w:szCs w:val="13"/>
                <w:b w:val="1"/>
                <w:bCs w:val="1"/>
                <w:color w:val="auto"/>
              </w:rPr>
              <w:t>671</w:t>
            </w:r>
          </w:p>
        </w:tc>
        <w:tc>
          <w:tcPr>
            <w:tcW w:w="840" w:type="dxa"/>
            <w:vAlign w:val="bottom"/>
          </w:tcPr>
          <w:p>
            <w:pPr>
              <w:jc w:val="right"/>
              <w:ind w:right="54"/>
              <w:spacing w:after="0" w:line="146" w:lineRule="exact"/>
              <w:rPr>
                <w:sz w:val="20"/>
                <w:szCs w:val="20"/>
                <w:color w:val="auto"/>
              </w:rPr>
            </w:pPr>
            <w:r>
              <w:rPr>
                <w:rFonts w:ascii="Arial" w:cs="Arial" w:eastAsia="Arial" w:hAnsi="Arial"/>
                <w:sz w:val="13"/>
                <w:szCs w:val="13"/>
                <w:b w:val="1"/>
                <w:bCs w:val="1"/>
                <w:color w:val="auto"/>
              </w:rPr>
              <w:t>36.3%</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8"/>
        </w:trPr>
        <w:tc>
          <w:tcPr>
            <w:tcW w:w="20" w:type="dxa"/>
            <w:vAlign w:val="bottom"/>
            <w:tcBorders>
              <w:bottom w:val="single" w:sz="8" w:color="B2B2B2"/>
            </w:tcBorders>
          </w:tcPr>
          <w:p>
            <w:pPr>
              <w:spacing w:after="0"/>
              <w:rPr>
                <w:sz w:val="13"/>
                <w:szCs w:val="13"/>
                <w:color w:val="auto"/>
              </w:rPr>
            </w:pPr>
          </w:p>
        </w:tc>
        <w:tc>
          <w:tcPr>
            <w:tcW w:w="3760" w:type="dxa"/>
            <w:vAlign w:val="bottom"/>
            <w:tcBorders>
              <w:bottom w:val="single" w:sz="8" w:color="B2B2B2"/>
            </w:tcBorders>
            <w:gridSpan w:val="2"/>
          </w:tcPr>
          <w:p>
            <w:pPr>
              <w:ind w:left="140"/>
              <w:spacing w:after="0"/>
              <w:rPr>
                <w:sz w:val="20"/>
                <w:szCs w:val="20"/>
                <w:color w:val="auto"/>
              </w:rPr>
            </w:pPr>
            <w:r>
              <w:rPr>
                <w:rFonts w:ascii="Arial" w:cs="Arial" w:eastAsia="Arial" w:hAnsi="Arial"/>
                <w:sz w:val="13"/>
                <w:szCs w:val="13"/>
                <w:b w:val="1"/>
                <w:bCs w:val="1"/>
                <w:color w:val="auto"/>
              </w:rPr>
              <w:t> Tax &amp; Accounting Professionals</w:t>
            </w:r>
          </w:p>
        </w:tc>
        <w:tc>
          <w:tcPr>
            <w:tcW w:w="1120" w:type="dxa"/>
            <w:vAlign w:val="bottom"/>
            <w:tcBorders>
              <w:bottom w:val="single" w:sz="8" w:color="B2B2B2"/>
            </w:tcBorders>
          </w:tcPr>
          <w:p>
            <w:pPr>
              <w:jc w:val="right"/>
              <w:ind w:right="194"/>
              <w:spacing w:after="0"/>
              <w:rPr>
                <w:sz w:val="20"/>
                <w:szCs w:val="20"/>
                <w:color w:val="auto"/>
              </w:rPr>
            </w:pPr>
            <w:r>
              <w:rPr>
                <w:rFonts w:ascii="Arial" w:cs="Arial" w:eastAsia="Arial" w:hAnsi="Arial"/>
                <w:sz w:val="13"/>
                <w:szCs w:val="13"/>
                <w:b w:val="1"/>
                <w:bCs w:val="1"/>
                <w:color w:val="auto"/>
              </w:rPr>
              <w:t>1,165</w:t>
            </w:r>
          </w:p>
        </w:tc>
        <w:tc>
          <w:tcPr>
            <w:tcW w:w="1480" w:type="dxa"/>
            <w:vAlign w:val="bottom"/>
            <w:tcBorders>
              <w:bottom w:val="single" w:sz="8" w:color="B2B2B2"/>
            </w:tcBorders>
          </w:tcPr>
          <w:p>
            <w:pPr>
              <w:jc w:val="right"/>
              <w:ind w:right="174"/>
              <w:spacing w:after="0"/>
              <w:rPr>
                <w:sz w:val="20"/>
                <w:szCs w:val="20"/>
                <w:color w:val="auto"/>
              </w:rPr>
            </w:pPr>
            <w:r>
              <w:rPr>
                <w:rFonts w:ascii="Arial" w:cs="Arial" w:eastAsia="Arial" w:hAnsi="Arial"/>
                <w:sz w:val="13"/>
                <w:szCs w:val="13"/>
                <w:b w:val="1"/>
                <w:bCs w:val="1"/>
                <w:color w:val="auto"/>
              </w:rPr>
              <w:t>-</w:t>
            </w:r>
          </w:p>
        </w:tc>
        <w:tc>
          <w:tcPr>
            <w:tcW w:w="1760" w:type="dxa"/>
            <w:vAlign w:val="bottom"/>
            <w:tcBorders>
              <w:bottom w:val="single" w:sz="8" w:color="B2B2B2"/>
            </w:tcBorders>
          </w:tcPr>
          <w:p>
            <w:pPr>
              <w:jc w:val="right"/>
              <w:ind w:right="354"/>
              <w:spacing w:after="0"/>
              <w:rPr>
                <w:sz w:val="20"/>
                <w:szCs w:val="20"/>
                <w:color w:val="auto"/>
              </w:rPr>
            </w:pPr>
            <w:r>
              <w:rPr>
                <w:rFonts w:ascii="Arial" w:cs="Arial" w:eastAsia="Arial" w:hAnsi="Arial"/>
                <w:sz w:val="13"/>
                <w:szCs w:val="13"/>
                <w:b w:val="1"/>
                <w:bCs w:val="1"/>
                <w:color w:val="auto"/>
              </w:rPr>
              <w:t>1,165</w:t>
            </w:r>
          </w:p>
        </w:tc>
        <w:tc>
          <w:tcPr>
            <w:tcW w:w="740" w:type="dxa"/>
            <w:vAlign w:val="bottom"/>
            <w:tcBorders>
              <w:bottom w:val="single" w:sz="8" w:color="B2B2B2"/>
            </w:tcBorders>
          </w:tcPr>
          <w:p>
            <w:pPr>
              <w:jc w:val="right"/>
              <w:ind w:right="94"/>
              <w:spacing w:after="0"/>
              <w:rPr>
                <w:sz w:val="20"/>
                <w:szCs w:val="20"/>
                <w:color w:val="auto"/>
              </w:rPr>
            </w:pPr>
            <w:r>
              <w:rPr>
                <w:rFonts w:ascii="Arial" w:cs="Arial" w:eastAsia="Arial" w:hAnsi="Arial"/>
                <w:sz w:val="13"/>
                <w:szCs w:val="13"/>
                <w:b w:val="1"/>
                <w:bCs w:val="1"/>
                <w:color w:val="auto"/>
              </w:rPr>
              <w:t>527</w:t>
            </w:r>
          </w:p>
        </w:tc>
        <w:tc>
          <w:tcPr>
            <w:tcW w:w="840" w:type="dxa"/>
            <w:vAlign w:val="bottom"/>
            <w:tcBorders>
              <w:bottom w:val="single" w:sz="8" w:color="B2B2B2"/>
            </w:tcBorders>
          </w:tcPr>
          <w:p>
            <w:pPr>
              <w:jc w:val="right"/>
              <w:ind w:right="54"/>
              <w:spacing w:after="0"/>
              <w:rPr>
                <w:sz w:val="20"/>
                <w:szCs w:val="20"/>
                <w:color w:val="auto"/>
              </w:rPr>
            </w:pPr>
            <w:r>
              <w:rPr>
                <w:rFonts w:ascii="Arial" w:cs="Arial" w:eastAsia="Arial" w:hAnsi="Arial"/>
                <w:sz w:val="13"/>
                <w:szCs w:val="13"/>
                <w:b w:val="1"/>
                <w:bCs w:val="1"/>
                <w:color w:val="auto"/>
              </w:rPr>
              <w:t>45.2%</w:t>
            </w: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6"/>
        </w:trPr>
        <w:tc>
          <w:tcPr>
            <w:tcW w:w="378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 “Big 3” Segments Combined</w:t>
            </w:r>
          </w:p>
        </w:tc>
        <w:tc>
          <w:tcPr>
            <w:tcW w:w="1120" w:type="dxa"/>
            <w:vAlign w:val="bottom"/>
          </w:tcPr>
          <w:p>
            <w:pPr>
              <w:jc w:val="right"/>
              <w:ind w:right="194"/>
              <w:spacing w:after="0" w:line="126" w:lineRule="exact"/>
              <w:rPr>
                <w:sz w:val="20"/>
                <w:szCs w:val="20"/>
                <w:color w:val="auto"/>
              </w:rPr>
            </w:pPr>
            <w:r>
              <w:rPr>
                <w:rFonts w:ascii="Arial" w:cs="Arial" w:eastAsia="Arial" w:hAnsi="Arial"/>
                <w:sz w:val="13"/>
                <w:szCs w:val="13"/>
                <w:b w:val="1"/>
                <w:bCs w:val="1"/>
                <w:color w:val="auto"/>
              </w:rPr>
              <w:t>5,931</w:t>
            </w:r>
          </w:p>
        </w:tc>
        <w:tc>
          <w:tcPr>
            <w:tcW w:w="1480" w:type="dxa"/>
            <w:vAlign w:val="bottom"/>
          </w:tcPr>
          <w:p>
            <w:pPr>
              <w:jc w:val="right"/>
              <w:ind w:right="174"/>
              <w:spacing w:after="0" w:line="126" w:lineRule="exact"/>
              <w:rPr>
                <w:sz w:val="20"/>
                <w:szCs w:val="20"/>
                <w:color w:val="auto"/>
              </w:rPr>
            </w:pPr>
            <w:r>
              <w:rPr>
                <w:rFonts w:ascii="Arial" w:cs="Arial" w:eastAsia="Arial" w:hAnsi="Arial"/>
                <w:sz w:val="13"/>
                <w:szCs w:val="13"/>
                <w:b w:val="1"/>
                <w:bCs w:val="1"/>
                <w:color w:val="auto"/>
              </w:rPr>
              <w:t>7</w:t>
            </w:r>
          </w:p>
        </w:tc>
        <w:tc>
          <w:tcPr>
            <w:tcW w:w="1760" w:type="dxa"/>
            <w:vAlign w:val="bottom"/>
          </w:tcPr>
          <w:p>
            <w:pPr>
              <w:jc w:val="right"/>
              <w:ind w:right="354"/>
              <w:spacing w:after="0" w:line="126" w:lineRule="exact"/>
              <w:rPr>
                <w:sz w:val="20"/>
                <w:szCs w:val="20"/>
                <w:color w:val="auto"/>
              </w:rPr>
            </w:pPr>
            <w:r>
              <w:rPr>
                <w:rFonts w:ascii="Arial" w:cs="Arial" w:eastAsia="Arial" w:hAnsi="Arial"/>
                <w:sz w:val="13"/>
                <w:szCs w:val="13"/>
                <w:b w:val="1"/>
                <w:bCs w:val="1"/>
                <w:color w:val="auto"/>
              </w:rPr>
              <w:t>5,938</w:t>
            </w:r>
          </w:p>
        </w:tc>
        <w:tc>
          <w:tcPr>
            <w:tcW w:w="740" w:type="dxa"/>
            <w:vAlign w:val="bottom"/>
          </w:tcPr>
          <w:p>
            <w:pPr>
              <w:jc w:val="right"/>
              <w:ind w:right="94"/>
              <w:spacing w:after="0" w:line="126" w:lineRule="exact"/>
              <w:rPr>
                <w:sz w:val="20"/>
                <w:szCs w:val="20"/>
                <w:color w:val="auto"/>
              </w:rPr>
            </w:pPr>
            <w:r>
              <w:rPr>
                <w:rFonts w:ascii="Arial" w:cs="Arial" w:eastAsia="Arial" w:hAnsi="Arial"/>
                <w:sz w:val="13"/>
                <w:szCs w:val="13"/>
                <w:b w:val="1"/>
                <w:bCs w:val="1"/>
                <w:color w:val="auto"/>
              </w:rPr>
              <w:t>2,500</w:t>
            </w:r>
          </w:p>
        </w:tc>
        <w:tc>
          <w:tcPr>
            <w:tcW w:w="840" w:type="dxa"/>
            <w:vAlign w:val="bottom"/>
          </w:tcPr>
          <w:p>
            <w:pPr>
              <w:jc w:val="right"/>
              <w:ind w:right="54"/>
              <w:spacing w:after="0" w:line="126" w:lineRule="exact"/>
              <w:rPr>
                <w:sz w:val="20"/>
                <w:szCs w:val="20"/>
                <w:color w:val="auto"/>
              </w:rPr>
            </w:pPr>
            <w:r>
              <w:rPr>
                <w:rFonts w:ascii="Arial" w:cs="Arial" w:eastAsia="Arial" w:hAnsi="Arial"/>
                <w:sz w:val="13"/>
                <w:szCs w:val="13"/>
                <w:b w:val="1"/>
                <w:bCs w:val="1"/>
                <w:color w:val="auto"/>
              </w:rPr>
              <w:t>42.1%</w:t>
            </w: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6"/>
        </w:trPr>
        <w:tc>
          <w:tcPr>
            <w:tcW w:w="20" w:type="dxa"/>
            <w:vAlign w:val="bottom"/>
          </w:tcPr>
          <w:p>
            <w:pPr>
              <w:spacing w:after="0"/>
              <w:rPr>
                <w:sz w:val="12"/>
                <w:szCs w:val="12"/>
                <w:color w:val="auto"/>
              </w:rPr>
            </w:pPr>
          </w:p>
        </w:tc>
        <w:tc>
          <w:tcPr>
            <w:tcW w:w="3760" w:type="dxa"/>
            <w:vAlign w:val="bottom"/>
            <w:gridSpan w:val="2"/>
          </w:tcPr>
          <w:p>
            <w:pPr>
              <w:ind w:left="140"/>
              <w:spacing w:after="0" w:line="146" w:lineRule="exact"/>
              <w:rPr>
                <w:sz w:val="20"/>
                <w:szCs w:val="20"/>
                <w:color w:val="auto"/>
              </w:rPr>
            </w:pPr>
            <w:r>
              <w:rPr>
                <w:rFonts w:ascii="Arial" w:cs="Arial" w:eastAsia="Arial" w:hAnsi="Arial"/>
                <w:sz w:val="13"/>
                <w:szCs w:val="13"/>
                <w:b w:val="1"/>
                <w:bCs w:val="1"/>
                <w:color w:val="auto"/>
              </w:rPr>
              <w:t> Reuters News</w:t>
            </w:r>
          </w:p>
        </w:tc>
        <w:tc>
          <w:tcPr>
            <w:tcW w:w="1120" w:type="dxa"/>
            <w:vAlign w:val="bottom"/>
          </w:tcPr>
          <w:p>
            <w:pPr>
              <w:jc w:val="right"/>
              <w:ind w:right="194"/>
              <w:spacing w:after="0" w:line="146" w:lineRule="exact"/>
              <w:rPr>
                <w:sz w:val="20"/>
                <w:szCs w:val="20"/>
                <w:color w:val="auto"/>
              </w:rPr>
            </w:pPr>
            <w:r>
              <w:rPr>
                <w:rFonts w:ascii="Arial" w:cs="Arial" w:eastAsia="Arial" w:hAnsi="Arial"/>
                <w:sz w:val="13"/>
                <w:szCs w:val="13"/>
                <w:b w:val="1"/>
                <w:bCs w:val="1"/>
                <w:color w:val="auto"/>
              </w:rPr>
              <w:t>832</w:t>
            </w:r>
          </w:p>
        </w:tc>
        <w:tc>
          <w:tcPr>
            <w:tcW w:w="1480" w:type="dxa"/>
            <w:vAlign w:val="bottom"/>
          </w:tcPr>
          <w:p>
            <w:pPr>
              <w:jc w:val="right"/>
              <w:ind w:right="174"/>
              <w:spacing w:after="0" w:line="146" w:lineRule="exact"/>
              <w:rPr>
                <w:sz w:val="20"/>
                <w:szCs w:val="20"/>
                <w:color w:val="auto"/>
              </w:rPr>
            </w:pPr>
            <w:r>
              <w:rPr>
                <w:rFonts w:ascii="Arial" w:cs="Arial" w:eastAsia="Arial" w:hAnsi="Arial"/>
                <w:sz w:val="13"/>
                <w:szCs w:val="13"/>
                <w:b w:val="1"/>
                <w:bCs w:val="1"/>
                <w:color w:val="auto"/>
              </w:rPr>
              <w:t>2</w:t>
            </w:r>
          </w:p>
        </w:tc>
        <w:tc>
          <w:tcPr>
            <w:tcW w:w="1760" w:type="dxa"/>
            <w:vAlign w:val="bottom"/>
          </w:tcPr>
          <w:p>
            <w:pPr>
              <w:jc w:val="right"/>
              <w:ind w:right="354"/>
              <w:spacing w:after="0" w:line="146" w:lineRule="exact"/>
              <w:rPr>
                <w:sz w:val="20"/>
                <w:szCs w:val="20"/>
                <w:color w:val="auto"/>
              </w:rPr>
            </w:pPr>
            <w:r>
              <w:rPr>
                <w:rFonts w:ascii="Arial" w:cs="Arial" w:eastAsia="Arial" w:hAnsi="Arial"/>
                <w:sz w:val="13"/>
                <w:szCs w:val="13"/>
                <w:b w:val="1"/>
                <w:bCs w:val="1"/>
                <w:color w:val="auto"/>
              </w:rPr>
              <w:t>834</w:t>
            </w:r>
          </w:p>
        </w:tc>
        <w:tc>
          <w:tcPr>
            <w:tcW w:w="740" w:type="dxa"/>
            <w:vAlign w:val="bottom"/>
          </w:tcPr>
          <w:p>
            <w:pPr>
              <w:jc w:val="right"/>
              <w:ind w:right="94"/>
              <w:spacing w:after="0" w:line="146" w:lineRule="exact"/>
              <w:rPr>
                <w:sz w:val="20"/>
                <w:szCs w:val="20"/>
                <w:color w:val="auto"/>
              </w:rPr>
            </w:pPr>
            <w:r>
              <w:rPr>
                <w:rFonts w:ascii="Arial" w:cs="Arial" w:eastAsia="Arial" w:hAnsi="Arial"/>
                <w:sz w:val="13"/>
                <w:szCs w:val="13"/>
                <w:b w:val="1"/>
                <w:bCs w:val="1"/>
                <w:color w:val="auto"/>
              </w:rPr>
              <w:t>196</w:t>
            </w:r>
          </w:p>
        </w:tc>
        <w:tc>
          <w:tcPr>
            <w:tcW w:w="840" w:type="dxa"/>
            <w:vAlign w:val="bottom"/>
          </w:tcPr>
          <w:p>
            <w:pPr>
              <w:jc w:val="right"/>
              <w:ind w:right="54"/>
              <w:spacing w:after="0" w:line="146" w:lineRule="exact"/>
              <w:rPr>
                <w:sz w:val="20"/>
                <w:szCs w:val="20"/>
                <w:color w:val="auto"/>
              </w:rPr>
            </w:pPr>
            <w:r>
              <w:rPr>
                <w:rFonts w:ascii="Arial" w:cs="Arial" w:eastAsia="Arial" w:hAnsi="Arial"/>
                <w:sz w:val="13"/>
                <w:szCs w:val="13"/>
                <w:b w:val="1"/>
                <w:bCs w:val="1"/>
                <w:color w:val="auto"/>
              </w:rPr>
              <w:t>23.6%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3760" w:type="dxa"/>
            <w:vAlign w:val="bottom"/>
            <w:gridSpan w:val="2"/>
          </w:tcPr>
          <w:p>
            <w:pPr>
              <w:ind w:left="140"/>
              <w:spacing w:after="0" w:line="146" w:lineRule="exact"/>
              <w:rPr>
                <w:sz w:val="20"/>
                <w:szCs w:val="20"/>
                <w:color w:val="auto"/>
              </w:rPr>
            </w:pPr>
            <w:r>
              <w:rPr>
                <w:rFonts w:ascii="Arial" w:cs="Arial" w:eastAsia="Arial" w:hAnsi="Arial"/>
                <w:sz w:val="13"/>
                <w:szCs w:val="13"/>
                <w:b w:val="1"/>
                <w:bCs w:val="1"/>
                <w:color w:val="auto"/>
              </w:rPr>
              <w:t> Global Print</w:t>
            </w:r>
          </w:p>
        </w:tc>
        <w:tc>
          <w:tcPr>
            <w:tcW w:w="1120" w:type="dxa"/>
            <w:vAlign w:val="bottom"/>
          </w:tcPr>
          <w:p>
            <w:pPr>
              <w:jc w:val="right"/>
              <w:ind w:right="194"/>
              <w:spacing w:after="0" w:line="146" w:lineRule="exact"/>
              <w:rPr>
                <w:sz w:val="20"/>
                <w:szCs w:val="20"/>
                <w:color w:val="auto"/>
              </w:rPr>
            </w:pPr>
            <w:r>
              <w:rPr>
                <w:rFonts w:ascii="Arial" w:cs="Arial" w:eastAsia="Arial" w:hAnsi="Arial"/>
                <w:sz w:val="13"/>
                <w:szCs w:val="13"/>
                <w:b w:val="1"/>
                <w:bCs w:val="1"/>
                <w:color w:val="auto"/>
              </w:rPr>
              <w:t>519</w:t>
            </w:r>
          </w:p>
        </w:tc>
        <w:tc>
          <w:tcPr>
            <w:tcW w:w="1480" w:type="dxa"/>
            <w:vAlign w:val="bottom"/>
          </w:tcPr>
          <w:p>
            <w:pPr>
              <w:jc w:val="right"/>
              <w:ind w:right="174"/>
              <w:spacing w:after="0" w:line="146" w:lineRule="exact"/>
              <w:rPr>
                <w:sz w:val="20"/>
                <w:szCs w:val="20"/>
                <w:color w:val="auto"/>
              </w:rPr>
            </w:pPr>
            <w:r>
              <w:rPr>
                <w:rFonts w:ascii="Arial" w:cs="Arial" w:eastAsia="Arial" w:hAnsi="Arial"/>
                <w:sz w:val="13"/>
                <w:szCs w:val="13"/>
                <w:b w:val="1"/>
                <w:bCs w:val="1"/>
                <w:color w:val="auto"/>
              </w:rPr>
              <w:t>-</w:t>
            </w:r>
          </w:p>
        </w:tc>
        <w:tc>
          <w:tcPr>
            <w:tcW w:w="1760" w:type="dxa"/>
            <w:vAlign w:val="bottom"/>
          </w:tcPr>
          <w:p>
            <w:pPr>
              <w:jc w:val="right"/>
              <w:ind w:right="354"/>
              <w:spacing w:after="0" w:line="146" w:lineRule="exact"/>
              <w:rPr>
                <w:sz w:val="20"/>
                <w:szCs w:val="20"/>
                <w:color w:val="auto"/>
              </w:rPr>
            </w:pPr>
            <w:r>
              <w:rPr>
                <w:rFonts w:ascii="Arial" w:cs="Arial" w:eastAsia="Arial" w:hAnsi="Arial"/>
                <w:sz w:val="13"/>
                <w:szCs w:val="13"/>
                <w:b w:val="1"/>
                <w:bCs w:val="1"/>
                <w:color w:val="auto"/>
              </w:rPr>
              <w:t>519</w:t>
            </w:r>
          </w:p>
        </w:tc>
        <w:tc>
          <w:tcPr>
            <w:tcW w:w="740" w:type="dxa"/>
            <w:vAlign w:val="bottom"/>
          </w:tcPr>
          <w:p>
            <w:pPr>
              <w:jc w:val="right"/>
              <w:ind w:right="94"/>
              <w:spacing w:after="0" w:line="146" w:lineRule="exact"/>
              <w:rPr>
                <w:sz w:val="20"/>
                <w:szCs w:val="20"/>
                <w:color w:val="auto"/>
              </w:rPr>
            </w:pPr>
            <w:r>
              <w:rPr>
                <w:rFonts w:ascii="Arial" w:cs="Arial" w:eastAsia="Arial" w:hAnsi="Arial"/>
                <w:sz w:val="13"/>
                <w:szCs w:val="13"/>
                <w:b w:val="1"/>
                <w:bCs w:val="1"/>
                <w:color w:val="auto"/>
              </w:rPr>
              <w:t>188</w:t>
            </w:r>
          </w:p>
        </w:tc>
        <w:tc>
          <w:tcPr>
            <w:tcW w:w="840" w:type="dxa"/>
            <w:vAlign w:val="bottom"/>
          </w:tcPr>
          <w:p>
            <w:pPr>
              <w:jc w:val="right"/>
              <w:ind w:right="54"/>
              <w:spacing w:after="0" w:line="146" w:lineRule="exact"/>
              <w:rPr>
                <w:sz w:val="20"/>
                <w:szCs w:val="20"/>
                <w:color w:val="auto"/>
              </w:rPr>
            </w:pPr>
            <w:r>
              <w:rPr>
                <w:rFonts w:ascii="Arial" w:cs="Arial" w:eastAsia="Arial" w:hAnsi="Arial"/>
                <w:sz w:val="13"/>
                <w:szCs w:val="13"/>
                <w:b w:val="1"/>
                <w:bCs w:val="1"/>
                <w:color w:val="auto"/>
              </w:rPr>
              <w:t>36.2%</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3760" w:type="dxa"/>
            <w:vAlign w:val="bottom"/>
            <w:gridSpan w:val="2"/>
          </w:tcPr>
          <w:p>
            <w:pPr>
              <w:ind w:left="140"/>
              <w:spacing w:after="0" w:line="146" w:lineRule="exact"/>
              <w:rPr>
                <w:sz w:val="20"/>
                <w:szCs w:val="20"/>
                <w:color w:val="auto"/>
              </w:rPr>
            </w:pPr>
            <w:r>
              <w:rPr>
                <w:rFonts w:ascii="Arial" w:cs="Arial" w:eastAsia="Arial" w:hAnsi="Arial"/>
                <w:sz w:val="13"/>
                <w:szCs w:val="13"/>
                <w:b w:val="1"/>
                <w:bCs w:val="1"/>
                <w:color w:val="auto"/>
              </w:rPr>
              <w:t> Eliminations/Rounding</w:t>
            </w:r>
          </w:p>
        </w:tc>
        <w:tc>
          <w:tcPr>
            <w:tcW w:w="1120" w:type="dxa"/>
            <w:vAlign w:val="bottom"/>
          </w:tcPr>
          <w:p>
            <w:pPr>
              <w:jc w:val="right"/>
              <w:ind w:right="194"/>
              <w:spacing w:after="0" w:line="146" w:lineRule="exact"/>
              <w:rPr>
                <w:sz w:val="20"/>
                <w:szCs w:val="20"/>
                <w:color w:val="auto"/>
              </w:rPr>
            </w:pPr>
            <w:r>
              <w:rPr>
                <w:rFonts w:ascii="Arial" w:cs="Arial" w:eastAsia="Arial" w:hAnsi="Arial"/>
                <w:sz w:val="13"/>
                <w:szCs w:val="13"/>
                <w:b w:val="1"/>
                <w:bCs w:val="1"/>
                <w:color w:val="auto"/>
              </w:rPr>
              <w:t>(24)</w:t>
            </w:r>
          </w:p>
        </w:tc>
        <w:tc>
          <w:tcPr>
            <w:tcW w:w="1480" w:type="dxa"/>
            <w:vAlign w:val="bottom"/>
          </w:tcPr>
          <w:p>
            <w:pPr>
              <w:jc w:val="right"/>
              <w:ind w:right="174"/>
              <w:spacing w:after="0" w:line="146" w:lineRule="exact"/>
              <w:rPr>
                <w:sz w:val="20"/>
                <w:szCs w:val="20"/>
                <w:color w:val="auto"/>
              </w:rPr>
            </w:pPr>
            <w:r>
              <w:rPr>
                <w:rFonts w:ascii="Arial" w:cs="Arial" w:eastAsia="Arial" w:hAnsi="Arial"/>
                <w:sz w:val="13"/>
                <w:szCs w:val="13"/>
                <w:b w:val="1"/>
                <w:bCs w:val="1"/>
                <w:color w:val="auto"/>
              </w:rPr>
              <w:t>-</w:t>
            </w:r>
          </w:p>
        </w:tc>
        <w:tc>
          <w:tcPr>
            <w:tcW w:w="1760" w:type="dxa"/>
            <w:vAlign w:val="bottom"/>
          </w:tcPr>
          <w:p>
            <w:pPr>
              <w:jc w:val="right"/>
              <w:ind w:right="354"/>
              <w:spacing w:after="0" w:line="146" w:lineRule="exact"/>
              <w:rPr>
                <w:sz w:val="20"/>
                <w:szCs w:val="20"/>
                <w:color w:val="auto"/>
              </w:rPr>
            </w:pPr>
            <w:r>
              <w:rPr>
                <w:rFonts w:ascii="Arial" w:cs="Arial" w:eastAsia="Arial" w:hAnsi="Arial"/>
                <w:sz w:val="13"/>
                <w:szCs w:val="13"/>
                <w:b w:val="1"/>
                <w:bCs w:val="1"/>
                <w:color w:val="auto"/>
              </w:rPr>
              <w:t>(24)</w:t>
            </w:r>
          </w:p>
        </w:tc>
        <w:tc>
          <w:tcPr>
            <w:tcW w:w="740" w:type="dxa"/>
            <w:vAlign w:val="bottom"/>
          </w:tcPr>
          <w:p>
            <w:pPr>
              <w:jc w:val="right"/>
              <w:ind w:right="94"/>
              <w:spacing w:after="0" w:line="146" w:lineRule="exact"/>
              <w:rPr>
                <w:sz w:val="20"/>
                <w:szCs w:val="20"/>
                <w:color w:val="auto"/>
              </w:rPr>
            </w:pPr>
            <w:r>
              <w:rPr>
                <w:rFonts w:ascii="Arial" w:cs="Arial" w:eastAsia="Arial" w:hAnsi="Arial"/>
                <w:sz w:val="13"/>
                <w:szCs w:val="13"/>
                <w:b w:val="1"/>
                <w:bCs w:val="1"/>
                <w:color w:val="auto"/>
              </w:rPr>
              <w:t>-</w:t>
            </w:r>
          </w:p>
        </w:tc>
        <w:tc>
          <w:tcPr>
            <w:tcW w:w="1940" w:type="dxa"/>
            <w:vAlign w:val="bottom"/>
            <w:gridSpan w:val="3"/>
          </w:tcPr>
          <w:p>
            <w:pPr>
              <w:jc w:val="right"/>
              <w:ind w:right="1220"/>
              <w:spacing w:after="0" w:line="146" w:lineRule="exact"/>
              <w:rPr>
                <w:sz w:val="20"/>
                <w:szCs w:val="20"/>
                <w:color w:val="auto"/>
              </w:rPr>
            </w:pPr>
            <w:r>
              <w:rPr>
                <w:rFonts w:ascii="Arial" w:cs="Arial" w:eastAsia="Arial" w:hAnsi="Arial"/>
                <w:sz w:val="13"/>
                <w:szCs w:val="13"/>
                <w:b w:val="1"/>
                <w:bCs w:val="1"/>
                <w:color w:val="auto"/>
              </w:rPr>
              <w:t>n/a</w:t>
            </w:r>
          </w:p>
        </w:tc>
      </w:tr>
      <w:tr>
        <w:trPr>
          <w:trHeight w:val="158"/>
        </w:trPr>
        <w:tc>
          <w:tcPr>
            <w:tcW w:w="20" w:type="dxa"/>
            <w:vAlign w:val="bottom"/>
          </w:tcPr>
          <w:p>
            <w:pPr>
              <w:spacing w:after="0"/>
              <w:rPr>
                <w:sz w:val="13"/>
                <w:szCs w:val="13"/>
                <w:color w:val="auto"/>
              </w:rPr>
            </w:pPr>
          </w:p>
        </w:tc>
        <w:tc>
          <w:tcPr>
            <w:tcW w:w="3760" w:type="dxa"/>
            <w:vAlign w:val="bottom"/>
            <w:gridSpan w:val="2"/>
          </w:tcPr>
          <w:p>
            <w:pPr>
              <w:ind w:left="140"/>
              <w:spacing w:after="0"/>
              <w:rPr>
                <w:sz w:val="20"/>
                <w:szCs w:val="20"/>
                <w:color w:val="auto"/>
              </w:rPr>
            </w:pPr>
            <w:r>
              <w:rPr>
                <w:rFonts w:ascii="Arial" w:cs="Arial" w:eastAsia="Arial" w:hAnsi="Arial"/>
                <w:sz w:val="13"/>
                <w:szCs w:val="13"/>
                <w:b w:val="1"/>
                <w:bCs w:val="1"/>
                <w:color w:val="auto"/>
              </w:rPr>
              <w:t> Corporate costs</w:t>
            </w:r>
          </w:p>
        </w:tc>
        <w:tc>
          <w:tcPr>
            <w:tcW w:w="1120" w:type="dxa"/>
            <w:vAlign w:val="bottom"/>
          </w:tcPr>
          <w:p>
            <w:pPr>
              <w:jc w:val="right"/>
              <w:ind w:right="194"/>
              <w:spacing w:after="0"/>
              <w:rPr>
                <w:sz w:val="20"/>
                <w:szCs w:val="20"/>
                <w:color w:val="auto"/>
              </w:rPr>
            </w:pPr>
            <w:r>
              <w:rPr>
                <w:rFonts w:ascii="Arial" w:cs="Arial" w:eastAsia="Arial" w:hAnsi="Arial"/>
                <w:sz w:val="13"/>
                <w:szCs w:val="13"/>
                <w:b w:val="1"/>
                <w:bCs w:val="1"/>
                <w:color w:val="auto"/>
              </w:rPr>
              <w:t>-</w:t>
            </w:r>
          </w:p>
        </w:tc>
        <w:tc>
          <w:tcPr>
            <w:tcW w:w="1480" w:type="dxa"/>
            <w:vAlign w:val="bottom"/>
          </w:tcPr>
          <w:p>
            <w:pPr>
              <w:jc w:val="right"/>
              <w:ind w:right="174"/>
              <w:spacing w:after="0"/>
              <w:rPr>
                <w:sz w:val="20"/>
                <w:szCs w:val="20"/>
                <w:color w:val="auto"/>
              </w:rPr>
            </w:pPr>
            <w:r>
              <w:rPr>
                <w:rFonts w:ascii="Arial" w:cs="Arial" w:eastAsia="Arial" w:hAnsi="Arial"/>
                <w:sz w:val="13"/>
                <w:szCs w:val="13"/>
                <w:b w:val="1"/>
                <w:bCs w:val="1"/>
                <w:color w:val="auto"/>
              </w:rPr>
              <w:t>-</w:t>
            </w:r>
          </w:p>
        </w:tc>
        <w:tc>
          <w:tcPr>
            <w:tcW w:w="1760" w:type="dxa"/>
            <w:vAlign w:val="bottom"/>
          </w:tcPr>
          <w:p>
            <w:pPr>
              <w:jc w:val="right"/>
              <w:ind w:right="354"/>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ind w:right="94"/>
              <w:spacing w:after="0"/>
              <w:rPr>
                <w:sz w:val="20"/>
                <w:szCs w:val="20"/>
                <w:color w:val="auto"/>
              </w:rPr>
            </w:pPr>
            <w:r>
              <w:rPr>
                <w:rFonts w:ascii="Arial" w:cs="Arial" w:eastAsia="Arial" w:hAnsi="Arial"/>
                <w:sz w:val="13"/>
                <w:szCs w:val="13"/>
                <w:b w:val="1"/>
                <w:bCs w:val="1"/>
                <w:color w:val="auto"/>
              </w:rPr>
              <w:t>(105)</w:t>
            </w:r>
          </w:p>
        </w:tc>
        <w:tc>
          <w:tcPr>
            <w:tcW w:w="1940" w:type="dxa"/>
            <w:vAlign w:val="bottom"/>
            <w:gridSpan w:val="3"/>
          </w:tcPr>
          <w:p>
            <w:pPr>
              <w:jc w:val="right"/>
              <w:ind w:right="1220"/>
              <w:spacing w:after="0"/>
              <w:rPr>
                <w:sz w:val="20"/>
                <w:szCs w:val="20"/>
                <w:color w:val="auto"/>
              </w:rPr>
            </w:pPr>
            <w:r>
              <w:rPr>
                <w:rFonts w:ascii="Arial" w:cs="Arial" w:eastAsia="Arial" w:hAnsi="Arial"/>
                <w:sz w:val="13"/>
                <w:szCs w:val="13"/>
                <w:b w:val="1"/>
                <w:bCs w:val="1"/>
                <w:color w:val="auto"/>
              </w:rPr>
              <w:t>n/a</w:t>
            </w:r>
          </w:p>
        </w:tc>
      </w:tr>
      <w:tr>
        <w:trPr>
          <w:trHeight w:val="145"/>
        </w:trPr>
        <w:tc>
          <w:tcPr>
            <w:tcW w:w="3780" w:type="dxa"/>
            <w:vAlign w:val="bottom"/>
            <w:tcBorders>
              <w:top w:val="single" w:sz="8" w:color="B2B2B2"/>
              <w:bottom w:val="single" w:sz="8" w:color="D64000"/>
            </w:tcBorders>
            <w:gridSpan w:val="3"/>
          </w:tcPr>
          <w:p>
            <w:pPr>
              <w:spacing w:after="0" w:line="139" w:lineRule="exact"/>
              <w:rPr>
                <w:sz w:val="20"/>
                <w:szCs w:val="20"/>
                <w:color w:val="auto"/>
              </w:rPr>
            </w:pPr>
            <w:r>
              <w:rPr>
                <w:rFonts w:ascii="Arial" w:cs="Arial" w:eastAsia="Arial" w:hAnsi="Arial"/>
                <w:sz w:val="13"/>
                <w:szCs w:val="13"/>
                <w:b w:val="1"/>
                <w:bCs w:val="1"/>
                <w:color w:val="auto"/>
              </w:rPr>
              <w:t> Consolidated totals</w:t>
            </w:r>
          </w:p>
        </w:tc>
        <w:tc>
          <w:tcPr>
            <w:tcW w:w="1120" w:type="dxa"/>
            <w:vAlign w:val="bottom"/>
            <w:tcBorders>
              <w:top w:val="single" w:sz="8" w:color="B2B2B2"/>
              <w:bottom w:val="single" w:sz="8" w:color="D64000"/>
            </w:tcBorders>
          </w:tcPr>
          <w:p>
            <w:pPr>
              <w:jc w:val="right"/>
              <w:ind w:right="194"/>
              <w:spacing w:after="0" w:line="139" w:lineRule="exact"/>
              <w:rPr>
                <w:sz w:val="20"/>
                <w:szCs w:val="20"/>
                <w:color w:val="auto"/>
              </w:rPr>
            </w:pPr>
            <w:r>
              <w:rPr>
                <w:rFonts w:ascii="Arial" w:cs="Arial" w:eastAsia="Arial" w:hAnsi="Arial"/>
                <w:sz w:val="13"/>
                <w:szCs w:val="13"/>
                <w:b w:val="1"/>
                <w:bCs w:val="1"/>
                <w:color w:val="auto"/>
              </w:rPr>
              <w:t>7,258</w:t>
            </w:r>
          </w:p>
        </w:tc>
        <w:tc>
          <w:tcPr>
            <w:tcW w:w="1480" w:type="dxa"/>
            <w:vAlign w:val="bottom"/>
            <w:tcBorders>
              <w:top w:val="single" w:sz="8" w:color="B2B2B2"/>
              <w:bottom w:val="single" w:sz="8" w:color="D64000"/>
            </w:tcBorders>
          </w:tcPr>
          <w:p>
            <w:pPr>
              <w:jc w:val="right"/>
              <w:ind w:right="174"/>
              <w:spacing w:after="0" w:line="139" w:lineRule="exact"/>
              <w:rPr>
                <w:sz w:val="20"/>
                <w:szCs w:val="20"/>
                <w:color w:val="auto"/>
              </w:rPr>
            </w:pPr>
            <w:r>
              <w:rPr>
                <w:rFonts w:ascii="Arial" w:cs="Arial" w:eastAsia="Arial" w:hAnsi="Arial"/>
                <w:sz w:val="13"/>
                <w:szCs w:val="13"/>
                <w:b w:val="1"/>
                <w:bCs w:val="1"/>
                <w:color w:val="auto"/>
              </w:rPr>
              <w:t>9</w:t>
            </w:r>
          </w:p>
        </w:tc>
        <w:tc>
          <w:tcPr>
            <w:tcW w:w="1760" w:type="dxa"/>
            <w:vAlign w:val="bottom"/>
            <w:tcBorders>
              <w:top w:val="single" w:sz="8" w:color="B2B2B2"/>
              <w:bottom w:val="single" w:sz="8" w:color="D64000"/>
            </w:tcBorders>
          </w:tcPr>
          <w:p>
            <w:pPr>
              <w:jc w:val="right"/>
              <w:ind w:right="354"/>
              <w:spacing w:after="0" w:line="139" w:lineRule="exact"/>
              <w:rPr>
                <w:sz w:val="20"/>
                <w:szCs w:val="20"/>
                <w:color w:val="auto"/>
              </w:rPr>
            </w:pPr>
            <w:r>
              <w:rPr>
                <w:rFonts w:ascii="Arial" w:cs="Arial" w:eastAsia="Arial" w:hAnsi="Arial"/>
                <w:sz w:val="13"/>
                <w:szCs w:val="13"/>
                <w:b w:val="1"/>
                <w:bCs w:val="1"/>
                <w:color w:val="auto"/>
              </w:rPr>
              <w:t>7,267</w:t>
            </w:r>
          </w:p>
        </w:tc>
        <w:tc>
          <w:tcPr>
            <w:tcW w:w="740" w:type="dxa"/>
            <w:vAlign w:val="bottom"/>
            <w:tcBorders>
              <w:top w:val="single" w:sz="8" w:color="B2B2B2"/>
              <w:bottom w:val="single" w:sz="8" w:color="D64000"/>
            </w:tcBorders>
          </w:tcPr>
          <w:p>
            <w:pPr>
              <w:jc w:val="right"/>
              <w:ind w:right="94"/>
              <w:spacing w:after="0" w:line="139" w:lineRule="exact"/>
              <w:rPr>
                <w:sz w:val="20"/>
                <w:szCs w:val="20"/>
                <w:color w:val="auto"/>
              </w:rPr>
            </w:pPr>
            <w:r>
              <w:rPr>
                <w:rFonts w:ascii="Arial" w:cs="Arial" w:eastAsia="Arial" w:hAnsi="Arial"/>
                <w:sz w:val="13"/>
                <w:szCs w:val="13"/>
                <w:b w:val="1"/>
                <w:bCs w:val="1"/>
                <w:color w:val="auto"/>
              </w:rPr>
              <w:t>2,779</w:t>
            </w:r>
          </w:p>
        </w:tc>
        <w:tc>
          <w:tcPr>
            <w:tcW w:w="840" w:type="dxa"/>
            <w:vAlign w:val="bottom"/>
            <w:tcBorders>
              <w:top w:val="single" w:sz="8" w:color="B2B2B2"/>
              <w:bottom w:val="single" w:sz="8" w:color="D64000"/>
            </w:tcBorders>
          </w:tcPr>
          <w:p>
            <w:pPr>
              <w:jc w:val="right"/>
              <w:ind w:right="54"/>
              <w:spacing w:after="0" w:line="139" w:lineRule="exact"/>
              <w:rPr>
                <w:sz w:val="20"/>
                <w:szCs w:val="20"/>
                <w:color w:val="auto"/>
              </w:rPr>
            </w:pPr>
            <w:r>
              <w:rPr>
                <w:rFonts w:ascii="Arial" w:cs="Arial" w:eastAsia="Arial" w:hAnsi="Arial"/>
                <w:sz w:val="13"/>
                <w:szCs w:val="13"/>
                <w:b w:val="1"/>
                <w:bCs w:val="1"/>
                <w:color w:val="auto"/>
              </w:rPr>
              <w:t>38.2%</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93"/>
        </w:trPr>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4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120" w:type="dxa"/>
            <w:vAlign w:val="bottom"/>
            <w:shd w:val="clear" w:color="auto" w:fill="E3F3EE"/>
          </w:tcPr>
          <w:p>
            <w:pPr>
              <w:spacing w:after="0"/>
              <w:rPr>
                <w:sz w:val="13"/>
                <w:szCs w:val="13"/>
                <w:color w:val="auto"/>
              </w:rPr>
            </w:pPr>
          </w:p>
        </w:tc>
        <w:tc>
          <w:tcPr>
            <w:tcW w:w="3240" w:type="dxa"/>
            <w:vAlign w:val="bottom"/>
            <w:gridSpan w:val="2"/>
            <w:shd w:val="clear" w:color="auto" w:fill="E3F3EE"/>
          </w:tcPr>
          <w:p>
            <w:pPr>
              <w:jc w:val="right"/>
              <w:spacing w:after="0"/>
              <w:rPr>
                <w:sz w:val="20"/>
                <w:szCs w:val="20"/>
                <w:color w:val="auto"/>
              </w:rPr>
            </w:pPr>
            <w:r>
              <w:rPr>
                <w:rFonts w:ascii="Arial" w:cs="Arial" w:eastAsia="Arial" w:hAnsi="Arial"/>
                <w:sz w:val="13"/>
                <w:szCs w:val="13"/>
                <w:b w:val="1"/>
                <w:bCs w:val="1"/>
                <w:color w:val="auto"/>
              </w:rPr>
              <w:t>Three months ended December 31, 2023</w:t>
            </w:r>
          </w:p>
        </w:tc>
        <w:tc>
          <w:tcPr>
            <w:tcW w:w="740" w:type="dxa"/>
            <w:vAlign w:val="bottom"/>
            <w:shd w:val="clear" w:color="auto" w:fill="E3F3EE"/>
          </w:tcPr>
          <w:p>
            <w:pPr>
              <w:spacing w:after="0"/>
              <w:rPr>
                <w:sz w:val="13"/>
                <w:szCs w:val="13"/>
                <w:color w:val="auto"/>
              </w:rPr>
            </w:pPr>
          </w:p>
        </w:tc>
        <w:tc>
          <w:tcPr>
            <w:tcW w:w="840" w:type="dxa"/>
            <w:vAlign w:val="bottom"/>
            <w:shd w:val="clear" w:color="auto" w:fill="E3F3EE"/>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20" w:type="dxa"/>
            <w:vAlign w:val="bottom"/>
            <w:shd w:val="clear" w:color="auto" w:fill="1F473D"/>
          </w:tcPr>
          <w:p>
            <w:pPr>
              <w:spacing w:after="0"/>
              <w:rPr>
                <w:sz w:val="11"/>
                <w:szCs w:val="11"/>
                <w:color w:val="auto"/>
              </w:rPr>
            </w:pPr>
          </w:p>
        </w:tc>
        <w:tc>
          <w:tcPr>
            <w:tcW w:w="640" w:type="dxa"/>
            <w:vAlign w:val="bottom"/>
            <w:shd w:val="clear" w:color="auto" w:fill="1F473D"/>
          </w:tcPr>
          <w:p>
            <w:pPr>
              <w:spacing w:after="0"/>
              <w:rPr>
                <w:sz w:val="11"/>
                <w:szCs w:val="11"/>
                <w:color w:val="auto"/>
              </w:rPr>
            </w:pPr>
          </w:p>
        </w:tc>
        <w:tc>
          <w:tcPr>
            <w:tcW w:w="3120" w:type="dxa"/>
            <w:vAlign w:val="bottom"/>
            <w:tcBorders>
              <w:right w:val="single" w:sz="8" w:color="1F473D"/>
            </w:tcBorders>
            <w:shd w:val="clear" w:color="auto" w:fill="1F473D"/>
          </w:tcPr>
          <w:p>
            <w:pPr>
              <w:spacing w:after="0"/>
              <w:rPr>
                <w:sz w:val="11"/>
                <w:szCs w:val="11"/>
                <w:color w:val="auto"/>
              </w:rPr>
            </w:pPr>
          </w:p>
        </w:tc>
        <w:tc>
          <w:tcPr>
            <w:tcW w:w="1120" w:type="dxa"/>
            <w:vAlign w:val="bottom"/>
            <w:shd w:val="clear" w:color="auto" w:fill="1F473D"/>
          </w:tcPr>
          <w:p>
            <w:pPr>
              <w:spacing w:after="0"/>
              <w:rPr>
                <w:sz w:val="11"/>
                <w:szCs w:val="11"/>
                <w:color w:val="auto"/>
              </w:rPr>
            </w:pPr>
          </w:p>
        </w:tc>
        <w:tc>
          <w:tcPr>
            <w:tcW w:w="1480" w:type="dxa"/>
            <w:vAlign w:val="bottom"/>
            <w:shd w:val="clear" w:color="auto" w:fill="1F473D"/>
          </w:tcPr>
          <w:p>
            <w:pPr>
              <w:jc w:val="center"/>
              <w:spacing w:after="0" w:line="133" w:lineRule="exact"/>
              <w:rPr>
                <w:sz w:val="20"/>
                <w:szCs w:val="20"/>
                <w:color w:val="auto"/>
              </w:rPr>
            </w:pPr>
            <w:r>
              <w:rPr>
                <w:rFonts w:ascii="Arial" w:cs="Arial" w:eastAsia="Arial" w:hAnsi="Arial"/>
                <w:sz w:val="13"/>
                <w:szCs w:val="13"/>
                <w:b w:val="1"/>
                <w:bCs w:val="1"/>
                <w:color w:val="FFFFFF"/>
              </w:rPr>
              <w:t>Remove fair</w:t>
            </w:r>
          </w:p>
        </w:tc>
        <w:tc>
          <w:tcPr>
            <w:tcW w:w="1760" w:type="dxa"/>
            <w:vAlign w:val="bottom"/>
            <w:shd w:val="clear" w:color="auto" w:fill="1F473D"/>
          </w:tcPr>
          <w:p>
            <w:pPr>
              <w:jc w:val="center"/>
              <w:ind w:right="94"/>
              <w:spacing w:after="0" w:line="133" w:lineRule="exact"/>
              <w:rPr>
                <w:sz w:val="20"/>
                <w:szCs w:val="20"/>
                <w:color w:val="auto"/>
              </w:rPr>
            </w:pPr>
            <w:r>
              <w:rPr>
                <w:rFonts w:ascii="Arial" w:cs="Arial" w:eastAsia="Arial" w:hAnsi="Arial"/>
                <w:sz w:val="13"/>
                <w:szCs w:val="13"/>
                <w:b w:val="1"/>
                <w:bCs w:val="1"/>
                <w:color w:val="FFFFFF"/>
              </w:rPr>
              <w:t>Revenues</w:t>
            </w:r>
          </w:p>
        </w:tc>
        <w:tc>
          <w:tcPr>
            <w:tcW w:w="740" w:type="dxa"/>
            <w:vAlign w:val="bottom"/>
            <w:shd w:val="clear" w:color="auto" w:fill="1F473D"/>
          </w:tcPr>
          <w:p>
            <w:pPr>
              <w:spacing w:after="0"/>
              <w:rPr>
                <w:sz w:val="11"/>
                <w:szCs w:val="11"/>
                <w:color w:val="auto"/>
              </w:rPr>
            </w:pPr>
          </w:p>
        </w:tc>
        <w:tc>
          <w:tcPr>
            <w:tcW w:w="840" w:type="dxa"/>
            <w:vAlign w:val="bottom"/>
            <w:shd w:val="clear" w:color="auto" w:fill="1F473D"/>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6"/>
        </w:trPr>
        <w:tc>
          <w:tcPr>
            <w:tcW w:w="20" w:type="dxa"/>
            <w:vAlign w:val="bottom"/>
            <w:shd w:val="clear" w:color="auto" w:fill="1F473D"/>
          </w:tcPr>
          <w:p>
            <w:pPr>
              <w:spacing w:after="0"/>
              <w:rPr>
                <w:sz w:val="12"/>
                <w:szCs w:val="12"/>
                <w:color w:val="auto"/>
              </w:rPr>
            </w:pPr>
          </w:p>
        </w:tc>
        <w:tc>
          <w:tcPr>
            <w:tcW w:w="640" w:type="dxa"/>
            <w:vAlign w:val="bottom"/>
            <w:shd w:val="clear" w:color="auto" w:fill="1F473D"/>
          </w:tcPr>
          <w:p>
            <w:pPr>
              <w:spacing w:after="0"/>
              <w:rPr>
                <w:sz w:val="12"/>
                <w:szCs w:val="12"/>
                <w:color w:val="auto"/>
              </w:rPr>
            </w:pPr>
          </w:p>
        </w:tc>
        <w:tc>
          <w:tcPr>
            <w:tcW w:w="3120" w:type="dxa"/>
            <w:vAlign w:val="bottom"/>
            <w:tcBorders>
              <w:right w:val="single" w:sz="8" w:color="1F473D"/>
            </w:tcBorders>
            <w:shd w:val="clear" w:color="auto" w:fill="1F473D"/>
          </w:tcPr>
          <w:p>
            <w:pPr>
              <w:spacing w:after="0"/>
              <w:rPr>
                <w:sz w:val="12"/>
                <w:szCs w:val="12"/>
                <w:color w:val="auto"/>
              </w:rPr>
            </w:pPr>
          </w:p>
        </w:tc>
        <w:tc>
          <w:tcPr>
            <w:tcW w:w="1120" w:type="dxa"/>
            <w:vAlign w:val="bottom"/>
            <w:shd w:val="clear" w:color="auto" w:fill="1F473D"/>
          </w:tcPr>
          <w:p>
            <w:pPr>
              <w:spacing w:after="0"/>
              <w:rPr>
                <w:sz w:val="12"/>
                <w:szCs w:val="12"/>
                <w:color w:val="auto"/>
              </w:rPr>
            </w:pPr>
          </w:p>
        </w:tc>
        <w:tc>
          <w:tcPr>
            <w:tcW w:w="1480" w:type="dxa"/>
            <w:vAlign w:val="bottom"/>
            <w:shd w:val="clear" w:color="auto" w:fill="1F473D"/>
          </w:tcPr>
          <w:p>
            <w:pPr>
              <w:jc w:val="center"/>
              <w:spacing w:after="0" w:line="146" w:lineRule="exact"/>
              <w:rPr>
                <w:sz w:val="20"/>
                <w:szCs w:val="20"/>
                <w:color w:val="auto"/>
              </w:rPr>
            </w:pPr>
            <w:r>
              <w:rPr>
                <w:rFonts w:ascii="Arial" w:cs="Arial" w:eastAsia="Arial" w:hAnsi="Arial"/>
                <w:sz w:val="13"/>
                <w:szCs w:val="13"/>
                <w:b w:val="1"/>
                <w:bCs w:val="1"/>
                <w:color w:val="FFFFFF"/>
              </w:rPr>
              <w:t>value</w:t>
            </w:r>
          </w:p>
        </w:tc>
        <w:tc>
          <w:tcPr>
            <w:tcW w:w="1760" w:type="dxa"/>
            <w:vAlign w:val="bottom"/>
            <w:shd w:val="clear" w:color="auto" w:fill="1F473D"/>
          </w:tcPr>
          <w:p>
            <w:pPr>
              <w:jc w:val="center"/>
              <w:ind w:right="94"/>
              <w:spacing w:after="0" w:line="146" w:lineRule="exact"/>
              <w:rPr>
                <w:sz w:val="20"/>
                <w:szCs w:val="20"/>
                <w:color w:val="auto"/>
              </w:rPr>
            </w:pPr>
            <w:r>
              <w:rPr>
                <w:rFonts w:ascii="Arial" w:cs="Arial" w:eastAsia="Arial" w:hAnsi="Arial"/>
                <w:sz w:val="13"/>
                <w:szCs w:val="13"/>
                <w:b w:val="1"/>
                <w:bCs w:val="1"/>
                <w:color w:val="FFFFFF"/>
              </w:rPr>
              <w:t>excluding fair</w:t>
            </w:r>
          </w:p>
        </w:tc>
        <w:tc>
          <w:tcPr>
            <w:tcW w:w="740" w:type="dxa"/>
            <w:vAlign w:val="bottom"/>
            <w:shd w:val="clear" w:color="auto" w:fill="1F473D"/>
          </w:tcPr>
          <w:p>
            <w:pPr>
              <w:spacing w:after="0"/>
              <w:rPr>
                <w:sz w:val="12"/>
                <w:szCs w:val="12"/>
                <w:color w:val="auto"/>
              </w:rPr>
            </w:pPr>
          </w:p>
        </w:tc>
        <w:tc>
          <w:tcPr>
            <w:tcW w:w="840" w:type="dxa"/>
            <w:vAlign w:val="bottom"/>
            <w:shd w:val="clear" w:color="auto" w:fill="1F473D"/>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20" w:type="dxa"/>
            <w:vAlign w:val="bottom"/>
            <w:shd w:val="clear" w:color="auto" w:fill="1F473D"/>
          </w:tcPr>
          <w:p>
            <w:pPr>
              <w:spacing w:after="0"/>
              <w:rPr>
                <w:sz w:val="12"/>
                <w:szCs w:val="12"/>
                <w:color w:val="auto"/>
              </w:rPr>
            </w:pPr>
          </w:p>
        </w:tc>
        <w:tc>
          <w:tcPr>
            <w:tcW w:w="640" w:type="dxa"/>
            <w:vAlign w:val="bottom"/>
            <w:shd w:val="clear" w:color="auto" w:fill="1F473D"/>
          </w:tcPr>
          <w:p>
            <w:pPr>
              <w:spacing w:after="0"/>
              <w:rPr>
                <w:sz w:val="12"/>
                <w:szCs w:val="12"/>
                <w:color w:val="auto"/>
              </w:rPr>
            </w:pPr>
          </w:p>
        </w:tc>
        <w:tc>
          <w:tcPr>
            <w:tcW w:w="3120" w:type="dxa"/>
            <w:vAlign w:val="bottom"/>
            <w:tcBorders>
              <w:right w:val="single" w:sz="8" w:color="1F473D"/>
            </w:tcBorders>
            <w:shd w:val="clear" w:color="auto" w:fill="1F473D"/>
          </w:tcPr>
          <w:p>
            <w:pPr>
              <w:spacing w:after="0"/>
              <w:rPr>
                <w:sz w:val="12"/>
                <w:szCs w:val="12"/>
                <w:color w:val="auto"/>
              </w:rPr>
            </w:pPr>
          </w:p>
        </w:tc>
        <w:tc>
          <w:tcPr>
            <w:tcW w:w="1120" w:type="dxa"/>
            <w:vAlign w:val="bottom"/>
            <w:shd w:val="clear" w:color="auto" w:fill="1F473D"/>
          </w:tcPr>
          <w:p>
            <w:pPr>
              <w:spacing w:after="0"/>
              <w:rPr>
                <w:sz w:val="12"/>
                <w:szCs w:val="12"/>
                <w:color w:val="auto"/>
              </w:rPr>
            </w:pPr>
          </w:p>
        </w:tc>
        <w:tc>
          <w:tcPr>
            <w:tcW w:w="1480" w:type="dxa"/>
            <w:vAlign w:val="bottom"/>
            <w:shd w:val="clear" w:color="auto" w:fill="1F473D"/>
          </w:tcPr>
          <w:p>
            <w:pPr>
              <w:jc w:val="center"/>
              <w:spacing w:after="0" w:line="146" w:lineRule="exact"/>
              <w:rPr>
                <w:sz w:val="20"/>
                <w:szCs w:val="20"/>
                <w:color w:val="auto"/>
              </w:rPr>
            </w:pPr>
            <w:r>
              <w:rPr>
                <w:rFonts w:ascii="Arial" w:cs="Arial" w:eastAsia="Arial" w:hAnsi="Arial"/>
                <w:sz w:val="13"/>
                <w:szCs w:val="13"/>
                <w:b w:val="1"/>
                <w:bCs w:val="1"/>
                <w:color w:val="FFFFFF"/>
              </w:rPr>
              <w:t>adjustments to</w:t>
            </w:r>
          </w:p>
        </w:tc>
        <w:tc>
          <w:tcPr>
            <w:tcW w:w="1760" w:type="dxa"/>
            <w:vAlign w:val="bottom"/>
            <w:shd w:val="clear" w:color="auto" w:fill="1F473D"/>
          </w:tcPr>
          <w:p>
            <w:pPr>
              <w:jc w:val="center"/>
              <w:ind w:right="94"/>
              <w:spacing w:after="0" w:line="146" w:lineRule="exact"/>
              <w:rPr>
                <w:sz w:val="20"/>
                <w:szCs w:val="20"/>
                <w:color w:val="auto"/>
              </w:rPr>
            </w:pPr>
            <w:r>
              <w:rPr>
                <w:rFonts w:ascii="Arial" w:cs="Arial" w:eastAsia="Arial" w:hAnsi="Arial"/>
                <w:sz w:val="13"/>
                <w:szCs w:val="13"/>
                <w:b w:val="1"/>
                <w:bCs w:val="1"/>
                <w:color w:val="FFFFFF"/>
              </w:rPr>
              <w:t>value adjustments</w:t>
            </w:r>
          </w:p>
        </w:tc>
        <w:tc>
          <w:tcPr>
            <w:tcW w:w="740" w:type="dxa"/>
            <w:vAlign w:val="bottom"/>
            <w:shd w:val="clear" w:color="auto" w:fill="1F473D"/>
          </w:tcPr>
          <w:p>
            <w:pPr>
              <w:spacing w:after="0"/>
              <w:rPr>
                <w:sz w:val="12"/>
                <w:szCs w:val="12"/>
                <w:color w:val="auto"/>
              </w:rPr>
            </w:pPr>
          </w:p>
        </w:tc>
        <w:tc>
          <w:tcPr>
            <w:tcW w:w="840" w:type="dxa"/>
            <w:vAlign w:val="bottom"/>
            <w:shd w:val="clear" w:color="auto" w:fill="1F473D"/>
          </w:tcPr>
          <w:p>
            <w:pPr>
              <w:jc w:val="right"/>
              <w:ind w:right="74"/>
              <w:spacing w:after="0" w:line="146" w:lineRule="exact"/>
              <w:rPr>
                <w:sz w:val="20"/>
                <w:szCs w:val="20"/>
                <w:color w:val="auto"/>
              </w:rPr>
            </w:pPr>
            <w:r>
              <w:rPr>
                <w:rFonts w:ascii="Arial" w:cs="Arial" w:eastAsia="Arial" w:hAnsi="Arial"/>
                <w:sz w:val="13"/>
                <w:szCs w:val="13"/>
                <w:b w:val="1"/>
                <w:bCs w:val="1"/>
                <w:color w:val="FFFFFF"/>
              </w:rPr>
              <w:t>Adjusted</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20" w:type="dxa"/>
            <w:vAlign w:val="bottom"/>
            <w:shd w:val="clear" w:color="auto" w:fill="1F473D"/>
          </w:tcPr>
          <w:p>
            <w:pPr>
              <w:spacing w:after="0"/>
              <w:rPr>
                <w:sz w:val="12"/>
                <w:szCs w:val="12"/>
                <w:color w:val="auto"/>
              </w:rPr>
            </w:pPr>
          </w:p>
        </w:tc>
        <w:tc>
          <w:tcPr>
            <w:tcW w:w="640" w:type="dxa"/>
            <w:vAlign w:val="bottom"/>
            <w:shd w:val="clear" w:color="auto" w:fill="1F473D"/>
          </w:tcPr>
          <w:p>
            <w:pPr>
              <w:spacing w:after="0"/>
              <w:rPr>
                <w:sz w:val="12"/>
                <w:szCs w:val="12"/>
                <w:color w:val="auto"/>
              </w:rPr>
            </w:pPr>
          </w:p>
        </w:tc>
        <w:tc>
          <w:tcPr>
            <w:tcW w:w="3120" w:type="dxa"/>
            <w:vAlign w:val="bottom"/>
            <w:tcBorders>
              <w:right w:val="single" w:sz="8" w:color="1F473D"/>
            </w:tcBorders>
            <w:shd w:val="clear" w:color="auto" w:fill="1F473D"/>
          </w:tcPr>
          <w:p>
            <w:pPr>
              <w:spacing w:after="0"/>
              <w:rPr>
                <w:sz w:val="12"/>
                <w:szCs w:val="12"/>
                <w:color w:val="auto"/>
              </w:rPr>
            </w:pPr>
          </w:p>
        </w:tc>
        <w:tc>
          <w:tcPr>
            <w:tcW w:w="1120" w:type="dxa"/>
            <w:vAlign w:val="bottom"/>
            <w:shd w:val="clear" w:color="auto" w:fill="1F473D"/>
          </w:tcPr>
          <w:p>
            <w:pPr>
              <w:jc w:val="center"/>
              <w:ind w:left="114"/>
              <w:spacing w:after="0" w:line="146" w:lineRule="exact"/>
              <w:rPr>
                <w:sz w:val="20"/>
                <w:szCs w:val="20"/>
                <w:color w:val="auto"/>
              </w:rPr>
            </w:pPr>
            <w:r>
              <w:rPr>
                <w:rFonts w:ascii="Arial" w:cs="Arial" w:eastAsia="Arial" w:hAnsi="Arial"/>
                <w:sz w:val="13"/>
                <w:szCs w:val="13"/>
                <w:b w:val="1"/>
                <w:bCs w:val="1"/>
                <w:color w:val="FFFFFF"/>
              </w:rPr>
              <w:t>IFRS</w:t>
            </w:r>
          </w:p>
        </w:tc>
        <w:tc>
          <w:tcPr>
            <w:tcW w:w="1480" w:type="dxa"/>
            <w:vAlign w:val="bottom"/>
            <w:shd w:val="clear" w:color="auto" w:fill="1F473D"/>
          </w:tcPr>
          <w:p>
            <w:pPr>
              <w:jc w:val="center"/>
              <w:spacing w:after="0" w:line="146" w:lineRule="exact"/>
              <w:rPr>
                <w:sz w:val="20"/>
                <w:szCs w:val="20"/>
                <w:color w:val="auto"/>
              </w:rPr>
            </w:pPr>
            <w:r>
              <w:rPr>
                <w:rFonts w:ascii="Arial" w:cs="Arial" w:eastAsia="Arial" w:hAnsi="Arial"/>
                <w:sz w:val="13"/>
                <w:szCs w:val="13"/>
                <w:b w:val="1"/>
                <w:bCs w:val="1"/>
                <w:color w:val="FFFFFF"/>
              </w:rPr>
              <w:t>acquired</w:t>
            </w:r>
          </w:p>
        </w:tc>
        <w:tc>
          <w:tcPr>
            <w:tcW w:w="1760" w:type="dxa"/>
            <w:vAlign w:val="bottom"/>
            <w:shd w:val="clear" w:color="auto" w:fill="1F473D"/>
          </w:tcPr>
          <w:p>
            <w:pPr>
              <w:jc w:val="center"/>
              <w:ind w:right="94"/>
              <w:spacing w:after="0" w:line="146" w:lineRule="exact"/>
              <w:rPr>
                <w:sz w:val="20"/>
                <w:szCs w:val="20"/>
                <w:color w:val="auto"/>
              </w:rPr>
            </w:pPr>
            <w:r>
              <w:rPr>
                <w:rFonts w:ascii="Arial" w:cs="Arial" w:eastAsia="Arial" w:hAnsi="Arial"/>
                <w:sz w:val="13"/>
                <w:szCs w:val="13"/>
                <w:b w:val="1"/>
                <w:bCs w:val="1"/>
                <w:color w:val="FFFFFF"/>
              </w:rPr>
              <w:t>to acquired</w:t>
            </w:r>
          </w:p>
        </w:tc>
        <w:tc>
          <w:tcPr>
            <w:tcW w:w="740" w:type="dxa"/>
            <w:vAlign w:val="bottom"/>
            <w:shd w:val="clear" w:color="auto" w:fill="1F473D"/>
          </w:tcPr>
          <w:p>
            <w:pPr>
              <w:jc w:val="center"/>
              <w:ind w:right="74"/>
              <w:spacing w:after="0" w:line="146" w:lineRule="exact"/>
              <w:rPr>
                <w:sz w:val="20"/>
                <w:szCs w:val="20"/>
                <w:color w:val="auto"/>
              </w:rPr>
            </w:pPr>
            <w:r>
              <w:rPr>
                <w:rFonts w:ascii="Arial" w:cs="Arial" w:eastAsia="Arial" w:hAnsi="Arial"/>
                <w:sz w:val="13"/>
                <w:szCs w:val="13"/>
                <w:b w:val="1"/>
                <w:bCs w:val="1"/>
                <w:color w:val="FFFFFF"/>
              </w:rPr>
              <w:t>Adjusted</w:t>
            </w:r>
          </w:p>
        </w:tc>
        <w:tc>
          <w:tcPr>
            <w:tcW w:w="840" w:type="dxa"/>
            <w:vAlign w:val="bottom"/>
            <w:shd w:val="clear" w:color="auto" w:fill="1F473D"/>
          </w:tcPr>
          <w:p>
            <w:pPr>
              <w:jc w:val="center"/>
              <w:spacing w:after="0" w:line="146" w:lineRule="exact"/>
              <w:rPr>
                <w:sz w:val="20"/>
                <w:szCs w:val="20"/>
                <w:color w:val="auto"/>
              </w:rPr>
            </w:pPr>
            <w:r>
              <w:rPr>
                <w:rFonts w:ascii="Arial" w:cs="Arial" w:eastAsia="Arial" w:hAnsi="Arial"/>
                <w:sz w:val="13"/>
                <w:szCs w:val="13"/>
                <w:b w:val="1"/>
                <w:bCs w:val="1"/>
                <w:color w:val="FFFFFF"/>
              </w:rPr>
              <w:t>EBITDA</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5"/>
        </w:trPr>
        <w:tc>
          <w:tcPr>
            <w:tcW w:w="3780" w:type="dxa"/>
            <w:vAlign w:val="bottom"/>
            <w:tcBorders>
              <w:bottom w:val="single" w:sz="8" w:color="D64000"/>
              <w:right w:val="single" w:sz="8" w:color="1F473D"/>
            </w:tcBorders>
            <w:gridSpan w:val="3"/>
            <w:shd w:val="clear" w:color="auto" w:fill="1F473D"/>
          </w:tcPr>
          <w:p>
            <w:pPr>
              <w:spacing w:after="0"/>
              <w:rPr>
                <w:sz w:val="20"/>
                <w:szCs w:val="20"/>
                <w:color w:val="auto"/>
              </w:rPr>
            </w:pPr>
            <w:r>
              <w:rPr>
                <w:rFonts w:ascii="Arial" w:cs="Arial" w:eastAsia="Arial" w:hAnsi="Arial"/>
                <w:sz w:val="13"/>
                <w:szCs w:val="13"/>
                <w:b w:val="1"/>
                <w:bCs w:val="1"/>
                <w:color w:val="FFFFFF"/>
              </w:rPr>
              <w:t> (millions of U.S. dollars, except margins)</w:t>
            </w:r>
          </w:p>
        </w:tc>
        <w:tc>
          <w:tcPr>
            <w:tcW w:w="1120" w:type="dxa"/>
            <w:vAlign w:val="bottom"/>
            <w:tcBorders>
              <w:bottom w:val="single" w:sz="8" w:color="D64000"/>
            </w:tcBorders>
            <w:shd w:val="clear" w:color="auto" w:fill="1F473D"/>
          </w:tcPr>
          <w:p>
            <w:pPr>
              <w:jc w:val="center"/>
              <w:ind w:left="114"/>
              <w:spacing w:after="0"/>
              <w:rPr>
                <w:sz w:val="20"/>
                <w:szCs w:val="20"/>
                <w:color w:val="auto"/>
              </w:rPr>
            </w:pPr>
            <w:r>
              <w:rPr>
                <w:rFonts w:ascii="Arial" w:cs="Arial" w:eastAsia="Arial" w:hAnsi="Arial"/>
                <w:sz w:val="13"/>
                <w:szCs w:val="13"/>
                <w:b w:val="1"/>
                <w:bCs w:val="1"/>
                <w:color w:val="FFFFFF"/>
              </w:rPr>
              <w:t>revenues</w:t>
            </w:r>
          </w:p>
        </w:tc>
        <w:tc>
          <w:tcPr>
            <w:tcW w:w="1480" w:type="dxa"/>
            <w:vAlign w:val="bottom"/>
            <w:tcBorders>
              <w:bottom w:val="single" w:sz="8" w:color="D64000"/>
            </w:tcBorders>
            <w:shd w:val="clear" w:color="auto" w:fill="1F473D"/>
          </w:tcPr>
          <w:p>
            <w:pPr>
              <w:jc w:val="center"/>
              <w:spacing w:after="0"/>
              <w:rPr>
                <w:sz w:val="20"/>
                <w:szCs w:val="20"/>
                <w:color w:val="auto"/>
              </w:rPr>
            </w:pPr>
            <w:r>
              <w:rPr>
                <w:rFonts w:ascii="Arial" w:cs="Arial" w:eastAsia="Arial" w:hAnsi="Arial"/>
                <w:sz w:val="13"/>
                <w:szCs w:val="13"/>
                <w:b w:val="1"/>
                <w:bCs w:val="1"/>
                <w:color w:val="FFFFFF"/>
              </w:rPr>
              <w:t>deferred revenue</w:t>
            </w:r>
          </w:p>
        </w:tc>
        <w:tc>
          <w:tcPr>
            <w:tcW w:w="1760" w:type="dxa"/>
            <w:vAlign w:val="bottom"/>
            <w:tcBorders>
              <w:bottom w:val="single" w:sz="8" w:color="D64000"/>
            </w:tcBorders>
            <w:shd w:val="clear" w:color="auto" w:fill="1F473D"/>
          </w:tcPr>
          <w:p>
            <w:pPr>
              <w:jc w:val="center"/>
              <w:ind w:right="94"/>
              <w:spacing w:after="0"/>
              <w:rPr>
                <w:sz w:val="20"/>
                <w:szCs w:val="20"/>
                <w:color w:val="auto"/>
              </w:rPr>
            </w:pPr>
            <w:r>
              <w:rPr>
                <w:rFonts w:ascii="Arial" w:cs="Arial" w:eastAsia="Arial" w:hAnsi="Arial"/>
                <w:sz w:val="13"/>
                <w:szCs w:val="13"/>
                <w:b w:val="1"/>
                <w:bCs w:val="1"/>
                <w:color w:val="FFFFFF"/>
              </w:rPr>
              <w:t>deferred revenue</w:t>
            </w:r>
          </w:p>
        </w:tc>
        <w:tc>
          <w:tcPr>
            <w:tcW w:w="740" w:type="dxa"/>
            <w:vAlign w:val="bottom"/>
            <w:tcBorders>
              <w:bottom w:val="single" w:sz="8" w:color="D64000"/>
            </w:tcBorders>
            <w:shd w:val="clear" w:color="auto" w:fill="1F473D"/>
          </w:tcPr>
          <w:p>
            <w:pPr>
              <w:jc w:val="center"/>
              <w:ind w:right="54"/>
              <w:spacing w:after="0"/>
              <w:rPr>
                <w:sz w:val="20"/>
                <w:szCs w:val="20"/>
                <w:color w:val="auto"/>
              </w:rPr>
            </w:pPr>
            <w:r>
              <w:rPr>
                <w:rFonts w:ascii="Arial" w:cs="Arial" w:eastAsia="Arial" w:hAnsi="Arial"/>
                <w:sz w:val="13"/>
                <w:szCs w:val="13"/>
                <w:b w:val="1"/>
                <w:bCs w:val="1"/>
                <w:color w:val="FFFFFF"/>
              </w:rPr>
              <w:t>EBITDA</w:t>
            </w:r>
          </w:p>
        </w:tc>
        <w:tc>
          <w:tcPr>
            <w:tcW w:w="840" w:type="dxa"/>
            <w:vAlign w:val="bottom"/>
            <w:tcBorders>
              <w:bottom w:val="single" w:sz="8" w:color="D64000"/>
            </w:tcBorders>
            <w:shd w:val="clear" w:color="auto" w:fill="1F473D"/>
          </w:tcPr>
          <w:p>
            <w:pPr>
              <w:jc w:val="center"/>
              <w:spacing w:after="0"/>
              <w:rPr>
                <w:sz w:val="20"/>
                <w:szCs w:val="20"/>
                <w:color w:val="auto"/>
              </w:rPr>
            </w:pPr>
            <w:r>
              <w:rPr>
                <w:rFonts w:ascii="Arial" w:cs="Arial" w:eastAsia="Arial" w:hAnsi="Arial"/>
                <w:sz w:val="13"/>
                <w:szCs w:val="13"/>
                <w:b w:val="1"/>
                <w:bCs w:val="1"/>
                <w:color w:val="FFFFFF"/>
              </w:rPr>
              <w:t>margin</w:t>
            </w: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3"/>
        </w:trPr>
        <w:tc>
          <w:tcPr>
            <w:tcW w:w="3780" w:type="dxa"/>
            <w:vAlign w:val="bottom"/>
            <w:gridSpan w:val="3"/>
          </w:tcPr>
          <w:p>
            <w:pPr>
              <w:spacing w:after="0" w:line="133" w:lineRule="exact"/>
              <w:rPr>
                <w:sz w:val="20"/>
                <w:szCs w:val="20"/>
                <w:color w:val="auto"/>
              </w:rPr>
            </w:pPr>
            <w:r>
              <w:rPr>
                <w:rFonts w:ascii="Arial" w:cs="Arial" w:eastAsia="Arial" w:hAnsi="Arial"/>
                <w:sz w:val="13"/>
                <w:szCs w:val="13"/>
                <w:b w:val="1"/>
                <w:bCs w:val="1"/>
                <w:color w:val="auto"/>
              </w:rPr>
              <w:t> Revenues</w:t>
            </w:r>
          </w:p>
        </w:tc>
        <w:tc>
          <w:tcPr>
            <w:tcW w:w="1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3760" w:type="dxa"/>
            <w:vAlign w:val="bottom"/>
            <w:gridSpan w:val="2"/>
          </w:tcPr>
          <w:p>
            <w:pPr>
              <w:ind w:left="140"/>
              <w:spacing w:after="0"/>
              <w:rPr>
                <w:sz w:val="20"/>
                <w:szCs w:val="20"/>
                <w:color w:val="auto"/>
              </w:rPr>
            </w:pPr>
            <w:r>
              <w:rPr>
                <w:rFonts w:ascii="Arial" w:cs="Arial" w:eastAsia="Arial" w:hAnsi="Arial"/>
                <w:sz w:val="13"/>
                <w:szCs w:val="13"/>
                <w:b w:val="1"/>
                <w:bCs w:val="1"/>
                <w:color w:val="auto"/>
              </w:rPr>
              <w:t> Legal Professionals</w:t>
            </w:r>
          </w:p>
        </w:tc>
        <w:tc>
          <w:tcPr>
            <w:tcW w:w="1120" w:type="dxa"/>
            <w:vAlign w:val="bottom"/>
          </w:tcPr>
          <w:p>
            <w:pPr>
              <w:jc w:val="right"/>
              <w:ind w:right="114"/>
              <w:spacing w:after="0"/>
              <w:rPr>
                <w:sz w:val="20"/>
                <w:szCs w:val="20"/>
                <w:color w:val="auto"/>
              </w:rPr>
            </w:pPr>
            <w:r>
              <w:rPr>
                <w:rFonts w:ascii="Arial" w:cs="Arial" w:eastAsia="Arial" w:hAnsi="Arial"/>
                <w:sz w:val="13"/>
                <w:szCs w:val="13"/>
                <w:color w:val="auto"/>
              </w:rPr>
              <w:t>700</w:t>
            </w:r>
          </w:p>
        </w:tc>
        <w:tc>
          <w:tcPr>
            <w:tcW w:w="1480" w:type="dxa"/>
            <w:vAlign w:val="bottom"/>
          </w:tcPr>
          <w:p>
            <w:pPr>
              <w:jc w:val="right"/>
              <w:ind w:right="114"/>
              <w:spacing w:after="0"/>
              <w:rPr>
                <w:sz w:val="20"/>
                <w:szCs w:val="20"/>
                <w:color w:val="auto"/>
              </w:rPr>
            </w:pPr>
            <w:r>
              <w:rPr>
                <w:rFonts w:ascii="Arial" w:cs="Arial" w:eastAsia="Arial" w:hAnsi="Arial"/>
                <w:sz w:val="13"/>
                <w:szCs w:val="13"/>
                <w:color w:val="auto"/>
              </w:rPr>
              <w:t>1</w:t>
            </w:r>
          </w:p>
        </w:tc>
        <w:tc>
          <w:tcPr>
            <w:tcW w:w="1760" w:type="dxa"/>
            <w:vAlign w:val="bottom"/>
          </w:tcPr>
          <w:p>
            <w:pPr>
              <w:jc w:val="right"/>
              <w:ind w:right="314"/>
              <w:spacing w:after="0"/>
              <w:rPr>
                <w:sz w:val="20"/>
                <w:szCs w:val="20"/>
                <w:color w:val="auto"/>
              </w:rPr>
            </w:pPr>
            <w:r>
              <w:rPr>
                <w:rFonts w:ascii="Arial" w:cs="Arial" w:eastAsia="Arial" w:hAnsi="Arial"/>
                <w:sz w:val="13"/>
                <w:szCs w:val="13"/>
                <w:color w:val="auto"/>
              </w:rPr>
              <w:t>701</w:t>
            </w:r>
          </w:p>
        </w:tc>
        <w:tc>
          <w:tcPr>
            <w:tcW w:w="740" w:type="dxa"/>
            <w:vAlign w:val="bottom"/>
          </w:tcPr>
          <w:p>
            <w:pPr>
              <w:jc w:val="right"/>
              <w:ind w:right="94"/>
              <w:spacing w:after="0"/>
              <w:rPr>
                <w:sz w:val="20"/>
                <w:szCs w:val="20"/>
                <w:color w:val="auto"/>
              </w:rPr>
            </w:pPr>
            <w:r>
              <w:rPr>
                <w:rFonts w:ascii="Arial" w:cs="Arial" w:eastAsia="Arial" w:hAnsi="Arial"/>
                <w:sz w:val="13"/>
                <w:szCs w:val="13"/>
                <w:color w:val="auto"/>
              </w:rPr>
              <w:t>298</w:t>
            </w:r>
          </w:p>
        </w:tc>
        <w:tc>
          <w:tcPr>
            <w:tcW w:w="840" w:type="dxa"/>
            <w:vAlign w:val="bottom"/>
          </w:tcPr>
          <w:p>
            <w:pPr>
              <w:jc w:val="right"/>
              <w:ind w:right="54"/>
              <w:spacing w:after="0"/>
              <w:rPr>
                <w:sz w:val="20"/>
                <w:szCs w:val="20"/>
                <w:color w:val="auto"/>
              </w:rPr>
            </w:pPr>
            <w:r>
              <w:rPr>
                <w:rFonts w:ascii="Arial" w:cs="Arial" w:eastAsia="Arial" w:hAnsi="Arial"/>
                <w:sz w:val="13"/>
                <w:szCs w:val="13"/>
                <w:color w:val="auto"/>
              </w:rPr>
              <w:t>42.5%</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6"/>
        </w:trPr>
        <w:tc>
          <w:tcPr>
            <w:tcW w:w="20" w:type="dxa"/>
            <w:vAlign w:val="bottom"/>
          </w:tcPr>
          <w:p>
            <w:pPr>
              <w:spacing w:after="0"/>
              <w:rPr>
                <w:sz w:val="12"/>
                <w:szCs w:val="12"/>
                <w:color w:val="auto"/>
              </w:rPr>
            </w:pPr>
          </w:p>
        </w:tc>
        <w:tc>
          <w:tcPr>
            <w:tcW w:w="3760" w:type="dxa"/>
            <w:vAlign w:val="bottom"/>
            <w:gridSpan w:val="2"/>
          </w:tcPr>
          <w:p>
            <w:pPr>
              <w:ind w:left="140"/>
              <w:spacing w:after="0" w:line="146" w:lineRule="exact"/>
              <w:rPr>
                <w:sz w:val="20"/>
                <w:szCs w:val="20"/>
                <w:color w:val="auto"/>
              </w:rPr>
            </w:pPr>
            <w:r>
              <w:rPr>
                <w:rFonts w:ascii="Arial" w:cs="Arial" w:eastAsia="Arial" w:hAnsi="Arial"/>
                <w:sz w:val="13"/>
                <w:szCs w:val="13"/>
                <w:b w:val="1"/>
                <w:bCs w:val="1"/>
                <w:color w:val="auto"/>
              </w:rPr>
              <w:t> Corporates</w:t>
            </w:r>
          </w:p>
        </w:tc>
        <w:tc>
          <w:tcPr>
            <w:tcW w:w="112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402</w:t>
            </w:r>
          </w:p>
        </w:tc>
        <w:tc>
          <w:tcPr>
            <w:tcW w:w="148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w:t>
            </w:r>
          </w:p>
        </w:tc>
        <w:tc>
          <w:tcPr>
            <w:tcW w:w="1760" w:type="dxa"/>
            <w:vAlign w:val="bottom"/>
          </w:tcPr>
          <w:p>
            <w:pPr>
              <w:jc w:val="right"/>
              <w:ind w:right="314"/>
              <w:spacing w:after="0" w:line="146" w:lineRule="exact"/>
              <w:rPr>
                <w:sz w:val="20"/>
                <w:szCs w:val="20"/>
                <w:color w:val="auto"/>
              </w:rPr>
            </w:pPr>
            <w:r>
              <w:rPr>
                <w:rFonts w:ascii="Arial" w:cs="Arial" w:eastAsia="Arial" w:hAnsi="Arial"/>
                <w:sz w:val="13"/>
                <w:szCs w:val="13"/>
                <w:color w:val="auto"/>
              </w:rPr>
              <w:t>402</w:t>
            </w:r>
          </w:p>
        </w:tc>
        <w:tc>
          <w:tcPr>
            <w:tcW w:w="740" w:type="dxa"/>
            <w:vAlign w:val="bottom"/>
          </w:tcPr>
          <w:p>
            <w:pPr>
              <w:jc w:val="right"/>
              <w:ind w:right="94"/>
              <w:spacing w:after="0" w:line="146" w:lineRule="exact"/>
              <w:rPr>
                <w:sz w:val="20"/>
                <w:szCs w:val="20"/>
                <w:color w:val="auto"/>
              </w:rPr>
            </w:pPr>
            <w:r>
              <w:rPr>
                <w:rFonts w:ascii="Arial" w:cs="Arial" w:eastAsia="Arial" w:hAnsi="Arial"/>
                <w:sz w:val="13"/>
                <w:szCs w:val="13"/>
                <w:color w:val="auto"/>
              </w:rPr>
              <w:t>138</w:t>
            </w:r>
          </w:p>
        </w:tc>
        <w:tc>
          <w:tcPr>
            <w:tcW w:w="840" w:type="dxa"/>
            <w:vAlign w:val="bottom"/>
          </w:tcPr>
          <w:p>
            <w:pPr>
              <w:jc w:val="right"/>
              <w:ind w:right="54"/>
              <w:spacing w:after="0" w:line="146" w:lineRule="exact"/>
              <w:rPr>
                <w:sz w:val="20"/>
                <w:szCs w:val="20"/>
                <w:color w:val="auto"/>
              </w:rPr>
            </w:pPr>
            <w:r>
              <w:rPr>
                <w:rFonts w:ascii="Arial" w:cs="Arial" w:eastAsia="Arial" w:hAnsi="Arial"/>
                <w:sz w:val="13"/>
                <w:szCs w:val="13"/>
                <w:color w:val="auto"/>
              </w:rPr>
              <w:t>34.5%</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8"/>
        </w:trPr>
        <w:tc>
          <w:tcPr>
            <w:tcW w:w="20" w:type="dxa"/>
            <w:vAlign w:val="bottom"/>
            <w:tcBorders>
              <w:bottom w:val="single" w:sz="8" w:color="B2B2B2"/>
            </w:tcBorders>
          </w:tcPr>
          <w:p>
            <w:pPr>
              <w:spacing w:after="0"/>
              <w:rPr>
                <w:sz w:val="13"/>
                <w:szCs w:val="13"/>
                <w:color w:val="auto"/>
              </w:rPr>
            </w:pPr>
          </w:p>
        </w:tc>
        <w:tc>
          <w:tcPr>
            <w:tcW w:w="3760" w:type="dxa"/>
            <w:vAlign w:val="bottom"/>
            <w:tcBorders>
              <w:bottom w:val="single" w:sz="8" w:color="B2B2B2"/>
            </w:tcBorders>
            <w:gridSpan w:val="2"/>
          </w:tcPr>
          <w:p>
            <w:pPr>
              <w:ind w:left="140"/>
              <w:spacing w:after="0"/>
              <w:rPr>
                <w:sz w:val="20"/>
                <w:szCs w:val="20"/>
                <w:color w:val="auto"/>
              </w:rPr>
            </w:pPr>
            <w:r>
              <w:rPr>
                <w:rFonts w:ascii="Arial" w:cs="Arial" w:eastAsia="Arial" w:hAnsi="Arial"/>
                <w:sz w:val="13"/>
                <w:szCs w:val="13"/>
                <w:b w:val="1"/>
                <w:bCs w:val="1"/>
                <w:color w:val="auto"/>
              </w:rPr>
              <w:t> Tax &amp; Accounting Professionals</w:t>
            </w:r>
          </w:p>
        </w:tc>
        <w:tc>
          <w:tcPr>
            <w:tcW w:w="1120" w:type="dxa"/>
            <w:vAlign w:val="bottom"/>
            <w:tcBorders>
              <w:bottom w:val="single" w:sz="8" w:color="B2B2B2"/>
            </w:tcBorders>
          </w:tcPr>
          <w:p>
            <w:pPr>
              <w:jc w:val="right"/>
              <w:ind w:right="114"/>
              <w:spacing w:after="0"/>
              <w:rPr>
                <w:sz w:val="20"/>
                <w:szCs w:val="20"/>
                <w:color w:val="auto"/>
              </w:rPr>
            </w:pPr>
            <w:r>
              <w:rPr>
                <w:rFonts w:ascii="Arial" w:cs="Arial" w:eastAsia="Arial" w:hAnsi="Arial"/>
                <w:sz w:val="13"/>
                <w:szCs w:val="13"/>
                <w:color w:val="auto"/>
              </w:rPr>
              <w:t>344</w:t>
            </w:r>
          </w:p>
        </w:tc>
        <w:tc>
          <w:tcPr>
            <w:tcW w:w="1480" w:type="dxa"/>
            <w:vAlign w:val="bottom"/>
            <w:tcBorders>
              <w:bottom w:val="single" w:sz="8" w:color="B2B2B2"/>
            </w:tcBorders>
          </w:tcPr>
          <w:p>
            <w:pPr>
              <w:jc w:val="right"/>
              <w:ind w:right="114"/>
              <w:spacing w:after="0"/>
              <w:rPr>
                <w:sz w:val="20"/>
                <w:szCs w:val="20"/>
                <w:color w:val="auto"/>
              </w:rPr>
            </w:pPr>
            <w:r>
              <w:rPr>
                <w:rFonts w:ascii="Arial" w:cs="Arial" w:eastAsia="Arial" w:hAnsi="Arial"/>
                <w:sz w:val="13"/>
                <w:szCs w:val="13"/>
                <w:color w:val="auto"/>
              </w:rPr>
              <w:t>-</w:t>
            </w:r>
          </w:p>
        </w:tc>
        <w:tc>
          <w:tcPr>
            <w:tcW w:w="1760" w:type="dxa"/>
            <w:vAlign w:val="bottom"/>
            <w:tcBorders>
              <w:bottom w:val="single" w:sz="8" w:color="B2B2B2"/>
            </w:tcBorders>
          </w:tcPr>
          <w:p>
            <w:pPr>
              <w:jc w:val="right"/>
              <w:ind w:right="314"/>
              <w:spacing w:after="0"/>
              <w:rPr>
                <w:sz w:val="20"/>
                <w:szCs w:val="20"/>
                <w:color w:val="auto"/>
              </w:rPr>
            </w:pPr>
            <w:r>
              <w:rPr>
                <w:rFonts w:ascii="Arial" w:cs="Arial" w:eastAsia="Arial" w:hAnsi="Arial"/>
                <w:sz w:val="13"/>
                <w:szCs w:val="13"/>
                <w:color w:val="auto"/>
              </w:rPr>
              <w:t>344</w:t>
            </w:r>
          </w:p>
        </w:tc>
        <w:tc>
          <w:tcPr>
            <w:tcW w:w="740" w:type="dxa"/>
            <w:vAlign w:val="bottom"/>
            <w:tcBorders>
              <w:bottom w:val="single" w:sz="8" w:color="B2B2B2"/>
            </w:tcBorders>
          </w:tcPr>
          <w:p>
            <w:pPr>
              <w:jc w:val="right"/>
              <w:ind w:right="94"/>
              <w:spacing w:after="0"/>
              <w:rPr>
                <w:sz w:val="20"/>
                <w:szCs w:val="20"/>
                <w:color w:val="auto"/>
              </w:rPr>
            </w:pPr>
            <w:r>
              <w:rPr>
                <w:rFonts w:ascii="Arial" w:cs="Arial" w:eastAsia="Arial" w:hAnsi="Arial"/>
                <w:sz w:val="13"/>
                <w:szCs w:val="13"/>
                <w:color w:val="auto"/>
              </w:rPr>
              <w:t>188</w:t>
            </w:r>
          </w:p>
        </w:tc>
        <w:tc>
          <w:tcPr>
            <w:tcW w:w="840" w:type="dxa"/>
            <w:vAlign w:val="bottom"/>
            <w:tcBorders>
              <w:bottom w:val="single" w:sz="8" w:color="B2B2B2"/>
            </w:tcBorders>
          </w:tcPr>
          <w:p>
            <w:pPr>
              <w:jc w:val="right"/>
              <w:ind w:right="54"/>
              <w:spacing w:after="0"/>
              <w:rPr>
                <w:sz w:val="20"/>
                <w:szCs w:val="20"/>
                <w:color w:val="auto"/>
              </w:rPr>
            </w:pPr>
            <w:r>
              <w:rPr>
                <w:rFonts w:ascii="Arial" w:cs="Arial" w:eastAsia="Arial" w:hAnsi="Arial"/>
                <w:sz w:val="13"/>
                <w:szCs w:val="13"/>
                <w:color w:val="auto"/>
              </w:rPr>
              <w:t>54.6%</w:t>
            </w: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6"/>
        </w:trPr>
        <w:tc>
          <w:tcPr>
            <w:tcW w:w="378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 “Big 3” Segments Combined</w:t>
            </w:r>
          </w:p>
        </w:tc>
        <w:tc>
          <w:tcPr>
            <w:tcW w:w="1120" w:type="dxa"/>
            <w:vAlign w:val="bottom"/>
          </w:tcPr>
          <w:p>
            <w:pPr>
              <w:jc w:val="right"/>
              <w:ind w:right="114"/>
              <w:spacing w:after="0" w:line="126" w:lineRule="exact"/>
              <w:rPr>
                <w:sz w:val="20"/>
                <w:szCs w:val="20"/>
                <w:color w:val="auto"/>
              </w:rPr>
            </w:pPr>
            <w:r>
              <w:rPr>
                <w:rFonts w:ascii="Arial" w:cs="Arial" w:eastAsia="Arial" w:hAnsi="Arial"/>
                <w:sz w:val="13"/>
                <w:szCs w:val="13"/>
                <w:color w:val="auto"/>
              </w:rPr>
              <w:t>1,446</w:t>
            </w:r>
          </w:p>
        </w:tc>
        <w:tc>
          <w:tcPr>
            <w:tcW w:w="1480" w:type="dxa"/>
            <w:vAlign w:val="bottom"/>
          </w:tcPr>
          <w:p>
            <w:pPr>
              <w:jc w:val="right"/>
              <w:ind w:right="114"/>
              <w:spacing w:after="0" w:line="126" w:lineRule="exact"/>
              <w:rPr>
                <w:sz w:val="20"/>
                <w:szCs w:val="20"/>
                <w:color w:val="auto"/>
              </w:rPr>
            </w:pPr>
            <w:r>
              <w:rPr>
                <w:rFonts w:ascii="Arial" w:cs="Arial" w:eastAsia="Arial" w:hAnsi="Arial"/>
                <w:sz w:val="13"/>
                <w:szCs w:val="13"/>
                <w:color w:val="auto"/>
              </w:rPr>
              <w:t>1</w:t>
            </w:r>
          </w:p>
        </w:tc>
        <w:tc>
          <w:tcPr>
            <w:tcW w:w="1760" w:type="dxa"/>
            <w:vAlign w:val="bottom"/>
          </w:tcPr>
          <w:p>
            <w:pPr>
              <w:jc w:val="right"/>
              <w:ind w:right="314"/>
              <w:spacing w:after="0" w:line="126" w:lineRule="exact"/>
              <w:rPr>
                <w:sz w:val="20"/>
                <w:szCs w:val="20"/>
                <w:color w:val="auto"/>
              </w:rPr>
            </w:pPr>
            <w:r>
              <w:rPr>
                <w:rFonts w:ascii="Arial" w:cs="Arial" w:eastAsia="Arial" w:hAnsi="Arial"/>
                <w:sz w:val="13"/>
                <w:szCs w:val="13"/>
                <w:color w:val="auto"/>
              </w:rPr>
              <w:t>1,447</w:t>
            </w:r>
          </w:p>
        </w:tc>
        <w:tc>
          <w:tcPr>
            <w:tcW w:w="740" w:type="dxa"/>
            <w:vAlign w:val="bottom"/>
          </w:tcPr>
          <w:p>
            <w:pPr>
              <w:jc w:val="right"/>
              <w:ind w:right="94"/>
              <w:spacing w:after="0" w:line="126" w:lineRule="exact"/>
              <w:rPr>
                <w:sz w:val="20"/>
                <w:szCs w:val="20"/>
                <w:color w:val="auto"/>
              </w:rPr>
            </w:pPr>
            <w:r>
              <w:rPr>
                <w:rFonts w:ascii="Arial" w:cs="Arial" w:eastAsia="Arial" w:hAnsi="Arial"/>
                <w:sz w:val="13"/>
                <w:szCs w:val="13"/>
                <w:color w:val="auto"/>
              </w:rPr>
              <w:t>624</w:t>
            </w:r>
          </w:p>
        </w:tc>
        <w:tc>
          <w:tcPr>
            <w:tcW w:w="840" w:type="dxa"/>
            <w:vAlign w:val="bottom"/>
          </w:tcPr>
          <w:p>
            <w:pPr>
              <w:jc w:val="right"/>
              <w:ind w:right="54"/>
              <w:spacing w:after="0" w:line="126" w:lineRule="exact"/>
              <w:rPr>
                <w:sz w:val="20"/>
                <w:szCs w:val="20"/>
                <w:color w:val="auto"/>
              </w:rPr>
            </w:pPr>
            <w:r>
              <w:rPr>
                <w:rFonts w:ascii="Arial" w:cs="Arial" w:eastAsia="Arial" w:hAnsi="Arial"/>
                <w:sz w:val="13"/>
                <w:szCs w:val="13"/>
                <w:color w:val="auto"/>
              </w:rPr>
              <w:t>43.1%</w:t>
            </w: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6"/>
        </w:trPr>
        <w:tc>
          <w:tcPr>
            <w:tcW w:w="20" w:type="dxa"/>
            <w:vAlign w:val="bottom"/>
          </w:tcPr>
          <w:p>
            <w:pPr>
              <w:spacing w:after="0"/>
              <w:rPr>
                <w:sz w:val="12"/>
                <w:szCs w:val="12"/>
                <w:color w:val="auto"/>
              </w:rPr>
            </w:pPr>
          </w:p>
        </w:tc>
        <w:tc>
          <w:tcPr>
            <w:tcW w:w="3760" w:type="dxa"/>
            <w:vAlign w:val="bottom"/>
            <w:gridSpan w:val="2"/>
          </w:tcPr>
          <w:p>
            <w:pPr>
              <w:ind w:left="140"/>
              <w:spacing w:after="0" w:line="146" w:lineRule="exact"/>
              <w:rPr>
                <w:sz w:val="20"/>
                <w:szCs w:val="20"/>
                <w:color w:val="auto"/>
              </w:rPr>
            </w:pPr>
            <w:r>
              <w:rPr>
                <w:rFonts w:ascii="Arial" w:cs="Arial" w:eastAsia="Arial" w:hAnsi="Arial"/>
                <w:sz w:val="13"/>
                <w:szCs w:val="13"/>
                <w:b w:val="1"/>
                <w:bCs w:val="1"/>
                <w:color w:val="auto"/>
              </w:rPr>
              <w:t> Reuters News</w:t>
            </w:r>
          </w:p>
        </w:tc>
        <w:tc>
          <w:tcPr>
            <w:tcW w:w="112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220</w:t>
            </w:r>
          </w:p>
        </w:tc>
        <w:tc>
          <w:tcPr>
            <w:tcW w:w="148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w:t>
            </w:r>
          </w:p>
        </w:tc>
        <w:tc>
          <w:tcPr>
            <w:tcW w:w="1760" w:type="dxa"/>
            <w:vAlign w:val="bottom"/>
          </w:tcPr>
          <w:p>
            <w:pPr>
              <w:jc w:val="right"/>
              <w:ind w:right="314"/>
              <w:spacing w:after="0" w:line="146" w:lineRule="exact"/>
              <w:rPr>
                <w:sz w:val="20"/>
                <w:szCs w:val="20"/>
                <w:color w:val="auto"/>
              </w:rPr>
            </w:pPr>
            <w:r>
              <w:rPr>
                <w:rFonts w:ascii="Arial" w:cs="Arial" w:eastAsia="Arial" w:hAnsi="Arial"/>
                <w:sz w:val="13"/>
                <w:szCs w:val="13"/>
                <w:color w:val="auto"/>
              </w:rPr>
              <w:t>220</w:t>
            </w:r>
          </w:p>
        </w:tc>
        <w:tc>
          <w:tcPr>
            <w:tcW w:w="740" w:type="dxa"/>
            <w:vAlign w:val="bottom"/>
          </w:tcPr>
          <w:p>
            <w:pPr>
              <w:jc w:val="right"/>
              <w:ind w:right="94"/>
              <w:spacing w:after="0" w:line="146" w:lineRule="exact"/>
              <w:rPr>
                <w:sz w:val="20"/>
                <w:szCs w:val="20"/>
                <w:color w:val="auto"/>
              </w:rPr>
            </w:pPr>
            <w:r>
              <w:rPr>
                <w:rFonts w:ascii="Arial" w:cs="Arial" w:eastAsia="Arial" w:hAnsi="Arial"/>
                <w:sz w:val="13"/>
                <w:szCs w:val="13"/>
                <w:color w:val="auto"/>
              </w:rPr>
              <w:t>61</w:t>
            </w:r>
          </w:p>
        </w:tc>
        <w:tc>
          <w:tcPr>
            <w:tcW w:w="840" w:type="dxa"/>
            <w:vAlign w:val="bottom"/>
          </w:tcPr>
          <w:p>
            <w:pPr>
              <w:jc w:val="right"/>
              <w:ind w:right="54"/>
              <w:spacing w:after="0" w:line="146" w:lineRule="exact"/>
              <w:rPr>
                <w:sz w:val="20"/>
                <w:szCs w:val="20"/>
                <w:color w:val="auto"/>
              </w:rPr>
            </w:pPr>
            <w:r>
              <w:rPr>
                <w:rFonts w:ascii="Arial" w:cs="Arial" w:eastAsia="Arial" w:hAnsi="Arial"/>
                <w:sz w:val="13"/>
                <w:szCs w:val="13"/>
                <w:color w:val="auto"/>
              </w:rPr>
              <w:t>27.9%</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3760" w:type="dxa"/>
            <w:vAlign w:val="bottom"/>
            <w:gridSpan w:val="2"/>
          </w:tcPr>
          <w:p>
            <w:pPr>
              <w:ind w:left="140"/>
              <w:spacing w:after="0" w:line="146" w:lineRule="exact"/>
              <w:rPr>
                <w:sz w:val="20"/>
                <w:szCs w:val="20"/>
                <w:color w:val="auto"/>
              </w:rPr>
            </w:pPr>
            <w:r>
              <w:rPr>
                <w:rFonts w:ascii="Arial" w:cs="Arial" w:eastAsia="Arial" w:hAnsi="Arial"/>
                <w:sz w:val="13"/>
                <w:szCs w:val="13"/>
                <w:b w:val="1"/>
                <w:bCs w:val="1"/>
                <w:color w:val="auto"/>
              </w:rPr>
              <w:t> Global Print</w:t>
            </w:r>
          </w:p>
        </w:tc>
        <w:tc>
          <w:tcPr>
            <w:tcW w:w="112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154</w:t>
            </w:r>
          </w:p>
        </w:tc>
        <w:tc>
          <w:tcPr>
            <w:tcW w:w="148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w:t>
            </w:r>
          </w:p>
        </w:tc>
        <w:tc>
          <w:tcPr>
            <w:tcW w:w="1760" w:type="dxa"/>
            <w:vAlign w:val="bottom"/>
          </w:tcPr>
          <w:p>
            <w:pPr>
              <w:jc w:val="right"/>
              <w:ind w:right="314"/>
              <w:spacing w:after="0" w:line="146" w:lineRule="exact"/>
              <w:rPr>
                <w:sz w:val="20"/>
                <w:szCs w:val="20"/>
                <w:color w:val="auto"/>
              </w:rPr>
            </w:pPr>
            <w:r>
              <w:rPr>
                <w:rFonts w:ascii="Arial" w:cs="Arial" w:eastAsia="Arial" w:hAnsi="Arial"/>
                <w:sz w:val="13"/>
                <w:szCs w:val="13"/>
                <w:color w:val="auto"/>
              </w:rPr>
              <w:t>154</w:t>
            </w:r>
          </w:p>
        </w:tc>
        <w:tc>
          <w:tcPr>
            <w:tcW w:w="740" w:type="dxa"/>
            <w:vAlign w:val="bottom"/>
          </w:tcPr>
          <w:p>
            <w:pPr>
              <w:jc w:val="right"/>
              <w:ind w:right="94"/>
              <w:spacing w:after="0" w:line="146" w:lineRule="exact"/>
              <w:rPr>
                <w:sz w:val="20"/>
                <w:szCs w:val="20"/>
                <w:color w:val="auto"/>
              </w:rPr>
            </w:pPr>
            <w:r>
              <w:rPr>
                <w:rFonts w:ascii="Arial" w:cs="Arial" w:eastAsia="Arial" w:hAnsi="Arial"/>
                <w:sz w:val="13"/>
                <w:szCs w:val="13"/>
                <w:color w:val="auto"/>
              </w:rPr>
              <w:t>55</w:t>
            </w:r>
          </w:p>
        </w:tc>
        <w:tc>
          <w:tcPr>
            <w:tcW w:w="840" w:type="dxa"/>
            <w:vAlign w:val="bottom"/>
          </w:tcPr>
          <w:p>
            <w:pPr>
              <w:jc w:val="right"/>
              <w:ind w:right="54"/>
              <w:spacing w:after="0" w:line="146" w:lineRule="exact"/>
              <w:rPr>
                <w:sz w:val="20"/>
                <w:szCs w:val="20"/>
                <w:color w:val="auto"/>
              </w:rPr>
            </w:pPr>
            <w:r>
              <w:rPr>
                <w:rFonts w:ascii="Arial" w:cs="Arial" w:eastAsia="Arial" w:hAnsi="Arial"/>
                <w:sz w:val="13"/>
                <w:szCs w:val="13"/>
                <w:color w:val="auto"/>
              </w:rPr>
              <w:t>36.4%</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3760" w:type="dxa"/>
            <w:vAlign w:val="bottom"/>
            <w:gridSpan w:val="2"/>
          </w:tcPr>
          <w:p>
            <w:pPr>
              <w:ind w:left="140"/>
              <w:spacing w:after="0" w:line="146" w:lineRule="exact"/>
              <w:rPr>
                <w:sz w:val="20"/>
                <w:szCs w:val="20"/>
                <w:color w:val="auto"/>
              </w:rPr>
            </w:pPr>
            <w:r>
              <w:rPr>
                <w:rFonts w:ascii="Arial" w:cs="Arial" w:eastAsia="Arial" w:hAnsi="Arial"/>
                <w:sz w:val="13"/>
                <w:szCs w:val="13"/>
                <w:b w:val="1"/>
                <w:bCs w:val="1"/>
                <w:color w:val="auto"/>
              </w:rPr>
              <w:t> Eliminations/Rounding</w:t>
            </w:r>
          </w:p>
        </w:tc>
        <w:tc>
          <w:tcPr>
            <w:tcW w:w="112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(5)</w:t>
            </w:r>
          </w:p>
        </w:tc>
        <w:tc>
          <w:tcPr>
            <w:tcW w:w="148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w:t>
            </w:r>
          </w:p>
        </w:tc>
        <w:tc>
          <w:tcPr>
            <w:tcW w:w="1760" w:type="dxa"/>
            <w:vAlign w:val="bottom"/>
          </w:tcPr>
          <w:p>
            <w:pPr>
              <w:jc w:val="right"/>
              <w:ind w:right="314"/>
              <w:spacing w:after="0" w:line="146" w:lineRule="exact"/>
              <w:rPr>
                <w:sz w:val="20"/>
                <w:szCs w:val="20"/>
                <w:color w:val="auto"/>
              </w:rPr>
            </w:pPr>
            <w:r>
              <w:rPr>
                <w:rFonts w:ascii="Arial" w:cs="Arial" w:eastAsia="Arial" w:hAnsi="Arial"/>
                <w:sz w:val="13"/>
                <w:szCs w:val="13"/>
                <w:color w:val="auto"/>
              </w:rPr>
              <w:t>(5)</w:t>
            </w:r>
          </w:p>
        </w:tc>
        <w:tc>
          <w:tcPr>
            <w:tcW w:w="740" w:type="dxa"/>
            <w:vAlign w:val="bottom"/>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1940" w:type="dxa"/>
            <w:vAlign w:val="bottom"/>
            <w:gridSpan w:val="3"/>
          </w:tcPr>
          <w:p>
            <w:pPr>
              <w:jc w:val="right"/>
              <w:ind w:right="1220"/>
              <w:spacing w:after="0" w:line="146" w:lineRule="exact"/>
              <w:rPr>
                <w:sz w:val="20"/>
                <w:szCs w:val="20"/>
                <w:color w:val="auto"/>
              </w:rPr>
            </w:pPr>
            <w:r>
              <w:rPr>
                <w:rFonts w:ascii="Arial" w:cs="Arial" w:eastAsia="Arial" w:hAnsi="Arial"/>
                <w:sz w:val="13"/>
                <w:szCs w:val="13"/>
                <w:color w:val="auto"/>
              </w:rPr>
              <w:t>n/a</w:t>
            </w:r>
          </w:p>
        </w:tc>
      </w:tr>
      <w:tr>
        <w:trPr>
          <w:trHeight w:val="158"/>
        </w:trPr>
        <w:tc>
          <w:tcPr>
            <w:tcW w:w="20" w:type="dxa"/>
            <w:vAlign w:val="bottom"/>
          </w:tcPr>
          <w:p>
            <w:pPr>
              <w:spacing w:after="0"/>
              <w:rPr>
                <w:sz w:val="13"/>
                <w:szCs w:val="13"/>
                <w:color w:val="auto"/>
              </w:rPr>
            </w:pPr>
          </w:p>
        </w:tc>
        <w:tc>
          <w:tcPr>
            <w:tcW w:w="3760" w:type="dxa"/>
            <w:vAlign w:val="bottom"/>
            <w:gridSpan w:val="2"/>
          </w:tcPr>
          <w:p>
            <w:pPr>
              <w:ind w:left="140"/>
              <w:spacing w:after="0"/>
              <w:rPr>
                <w:sz w:val="20"/>
                <w:szCs w:val="20"/>
                <w:color w:val="auto"/>
              </w:rPr>
            </w:pPr>
            <w:r>
              <w:rPr>
                <w:rFonts w:ascii="Arial" w:cs="Arial" w:eastAsia="Arial" w:hAnsi="Arial"/>
                <w:sz w:val="13"/>
                <w:szCs w:val="13"/>
                <w:b w:val="1"/>
                <w:bCs w:val="1"/>
                <w:color w:val="auto"/>
              </w:rPr>
              <w:t> Corporate costs</w:t>
            </w:r>
          </w:p>
        </w:tc>
        <w:tc>
          <w:tcPr>
            <w:tcW w:w="112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1760" w:type="dxa"/>
            <w:vAlign w:val="bottom"/>
          </w:tcPr>
          <w:p>
            <w:pPr>
              <w:jc w:val="right"/>
              <w:ind w:right="314"/>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4"/>
              <w:spacing w:after="0"/>
              <w:rPr>
                <w:sz w:val="20"/>
                <w:szCs w:val="20"/>
                <w:color w:val="auto"/>
              </w:rPr>
            </w:pPr>
            <w:r>
              <w:rPr>
                <w:rFonts w:ascii="Arial" w:cs="Arial" w:eastAsia="Arial" w:hAnsi="Arial"/>
                <w:sz w:val="13"/>
                <w:szCs w:val="13"/>
                <w:color w:val="auto"/>
              </w:rPr>
              <w:t>(33)</w:t>
            </w:r>
          </w:p>
        </w:tc>
        <w:tc>
          <w:tcPr>
            <w:tcW w:w="1940" w:type="dxa"/>
            <w:vAlign w:val="bottom"/>
            <w:gridSpan w:val="3"/>
          </w:tcPr>
          <w:p>
            <w:pPr>
              <w:jc w:val="right"/>
              <w:ind w:right="1220"/>
              <w:spacing w:after="0"/>
              <w:rPr>
                <w:sz w:val="20"/>
                <w:szCs w:val="20"/>
                <w:color w:val="auto"/>
              </w:rPr>
            </w:pPr>
            <w:r>
              <w:rPr>
                <w:rFonts w:ascii="Arial" w:cs="Arial" w:eastAsia="Arial" w:hAnsi="Arial"/>
                <w:sz w:val="13"/>
                <w:szCs w:val="13"/>
                <w:color w:val="auto"/>
              </w:rPr>
              <w:t>n/a</w:t>
            </w:r>
          </w:p>
        </w:tc>
      </w:tr>
      <w:tr>
        <w:trPr>
          <w:trHeight w:val="145"/>
        </w:trPr>
        <w:tc>
          <w:tcPr>
            <w:tcW w:w="3780" w:type="dxa"/>
            <w:vAlign w:val="bottom"/>
            <w:tcBorders>
              <w:top w:val="single" w:sz="8" w:color="B2B2B2"/>
              <w:bottom w:val="single" w:sz="8" w:color="D64000"/>
            </w:tcBorders>
            <w:gridSpan w:val="3"/>
          </w:tcPr>
          <w:p>
            <w:pPr>
              <w:spacing w:after="0" w:line="139" w:lineRule="exact"/>
              <w:rPr>
                <w:sz w:val="20"/>
                <w:szCs w:val="20"/>
                <w:color w:val="auto"/>
              </w:rPr>
            </w:pPr>
            <w:r>
              <w:rPr>
                <w:rFonts w:ascii="Arial" w:cs="Arial" w:eastAsia="Arial" w:hAnsi="Arial"/>
                <w:sz w:val="13"/>
                <w:szCs w:val="13"/>
                <w:b w:val="1"/>
                <w:bCs w:val="1"/>
                <w:color w:val="auto"/>
              </w:rPr>
              <w:t> Consolidated totals</w:t>
            </w:r>
          </w:p>
        </w:tc>
        <w:tc>
          <w:tcPr>
            <w:tcW w:w="1120" w:type="dxa"/>
            <w:vAlign w:val="bottom"/>
            <w:tcBorders>
              <w:top w:val="single" w:sz="8" w:color="B2B2B2"/>
              <w:bottom w:val="single" w:sz="8" w:color="D64000"/>
            </w:tcBorders>
          </w:tcPr>
          <w:p>
            <w:pPr>
              <w:jc w:val="right"/>
              <w:ind w:right="114"/>
              <w:spacing w:after="0" w:line="139" w:lineRule="exact"/>
              <w:rPr>
                <w:sz w:val="20"/>
                <w:szCs w:val="20"/>
                <w:color w:val="auto"/>
              </w:rPr>
            </w:pPr>
            <w:r>
              <w:rPr>
                <w:rFonts w:ascii="Arial" w:cs="Arial" w:eastAsia="Arial" w:hAnsi="Arial"/>
                <w:sz w:val="13"/>
                <w:szCs w:val="13"/>
                <w:color w:val="auto"/>
              </w:rPr>
              <w:t>1,815</w:t>
            </w:r>
          </w:p>
        </w:tc>
        <w:tc>
          <w:tcPr>
            <w:tcW w:w="1480" w:type="dxa"/>
            <w:vAlign w:val="bottom"/>
            <w:tcBorders>
              <w:top w:val="single" w:sz="8" w:color="B2B2B2"/>
              <w:bottom w:val="single" w:sz="8" w:color="D64000"/>
            </w:tcBorders>
          </w:tcPr>
          <w:p>
            <w:pPr>
              <w:jc w:val="right"/>
              <w:ind w:right="114"/>
              <w:spacing w:after="0" w:line="139" w:lineRule="exact"/>
              <w:rPr>
                <w:sz w:val="20"/>
                <w:szCs w:val="20"/>
                <w:color w:val="auto"/>
              </w:rPr>
            </w:pPr>
            <w:r>
              <w:rPr>
                <w:rFonts w:ascii="Arial" w:cs="Arial" w:eastAsia="Arial" w:hAnsi="Arial"/>
                <w:sz w:val="13"/>
                <w:szCs w:val="13"/>
                <w:color w:val="auto"/>
              </w:rPr>
              <w:t>1</w:t>
            </w:r>
          </w:p>
        </w:tc>
        <w:tc>
          <w:tcPr>
            <w:tcW w:w="1760" w:type="dxa"/>
            <w:vAlign w:val="bottom"/>
            <w:tcBorders>
              <w:top w:val="single" w:sz="8" w:color="B2B2B2"/>
              <w:bottom w:val="single" w:sz="8" w:color="D64000"/>
            </w:tcBorders>
          </w:tcPr>
          <w:p>
            <w:pPr>
              <w:jc w:val="right"/>
              <w:ind w:right="314"/>
              <w:spacing w:after="0" w:line="139" w:lineRule="exact"/>
              <w:rPr>
                <w:sz w:val="20"/>
                <w:szCs w:val="20"/>
                <w:color w:val="auto"/>
              </w:rPr>
            </w:pPr>
            <w:r>
              <w:rPr>
                <w:rFonts w:ascii="Arial" w:cs="Arial" w:eastAsia="Arial" w:hAnsi="Arial"/>
                <w:sz w:val="13"/>
                <w:szCs w:val="13"/>
                <w:color w:val="auto"/>
              </w:rPr>
              <w:t>1,816</w:t>
            </w:r>
          </w:p>
        </w:tc>
        <w:tc>
          <w:tcPr>
            <w:tcW w:w="740" w:type="dxa"/>
            <w:vAlign w:val="bottom"/>
            <w:tcBorders>
              <w:top w:val="single" w:sz="8" w:color="B2B2B2"/>
              <w:bottom w:val="single" w:sz="8" w:color="D64000"/>
            </w:tcBorders>
          </w:tcPr>
          <w:p>
            <w:pPr>
              <w:jc w:val="right"/>
              <w:ind w:right="94"/>
              <w:spacing w:after="0" w:line="139" w:lineRule="exact"/>
              <w:rPr>
                <w:sz w:val="20"/>
                <w:szCs w:val="20"/>
                <w:color w:val="auto"/>
              </w:rPr>
            </w:pPr>
            <w:r>
              <w:rPr>
                <w:rFonts w:ascii="Arial" w:cs="Arial" w:eastAsia="Arial" w:hAnsi="Arial"/>
                <w:sz w:val="13"/>
                <w:szCs w:val="13"/>
                <w:color w:val="auto"/>
              </w:rPr>
              <w:t>707</w:t>
            </w:r>
          </w:p>
        </w:tc>
        <w:tc>
          <w:tcPr>
            <w:tcW w:w="840" w:type="dxa"/>
            <w:vAlign w:val="bottom"/>
            <w:tcBorders>
              <w:top w:val="single" w:sz="8" w:color="B2B2B2"/>
              <w:bottom w:val="single" w:sz="8" w:color="D64000"/>
            </w:tcBorders>
          </w:tcPr>
          <w:p>
            <w:pPr>
              <w:jc w:val="right"/>
              <w:ind w:right="54"/>
              <w:spacing w:after="0" w:line="139" w:lineRule="exact"/>
              <w:rPr>
                <w:sz w:val="20"/>
                <w:szCs w:val="20"/>
                <w:color w:val="auto"/>
              </w:rPr>
            </w:pPr>
            <w:r>
              <w:rPr>
                <w:rFonts w:ascii="Arial" w:cs="Arial" w:eastAsia="Arial" w:hAnsi="Arial"/>
                <w:sz w:val="13"/>
                <w:szCs w:val="13"/>
                <w:color w:val="auto"/>
              </w:rPr>
              <w:t>38.9%</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93"/>
        </w:trPr>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4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120" w:type="dxa"/>
            <w:vAlign w:val="bottom"/>
            <w:tcBorders>
              <w:right w:val="single" w:sz="8" w:color="E3F3EE"/>
            </w:tcBorders>
          </w:tcPr>
          <w:p>
            <w:pPr>
              <w:spacing w:after="0"/>
              <w:rPr>
                <w:sz w:val="13"/>
                <w:szCs w:val="13"/>
                <w:color w:val="auto"/>
              </w:rPr>
            </w:pPr>
          </w:p>
        </w:tc>
        <w:tc>
          <w:tcPr>
            <w:tcW w:w="1120" w:type="dxa"/>
            <w:vAlign w:val="bottom"/>
            <w:shd w:val="clear" w:color="auto" w:fill="E3F3EE"/>
          </w:tcPr>
          <w:p>
            <w:pPr>
              <w:spacing w:after="0"/>
              <w:rPr>
                <w:sz w:val="13"/>
                <w:szCs w:val="13"/>
                <w:color w:val="auto"/>
              </w:rPr>
            </w:pPr>
          </w:p>
        </w:tc>
        <w:tc>
          <w:tcPr>
            <w:tcW w:w="3240" w:type="dxa"/>
            <w:vAlign w:val="bottom"/>
            <w:gridSpan w:val="2"/>
            <w:shd w:val="clear" w:color="auto" w:fill="E3F3EE"/>
          </w:tcPr>
          <w:p>
            <w:pPr>
              <w:jc w:val="right"/>
              <w:ind w:right="274"/>
              <w:spacing w:after="0"/>
              <w:rPr>
                <w:sz w:val="20"/>
                <w:szCs w:val="20"/>
                <w:color w:val="auto"/>
              </w:rPr>
            </w:pPr>
            <w:r>
              <w:rPr>
                <w:rFonts w:ascii="Arial" w:cs="Arial" w:eastAsia="Arial" w:hAnsi="Arial"/>
                <w:sz w:val="13"/>
                <w:szCs w:val="13"/>
                <w:b w:val="1"/>
                <w:bCs w:val="1"/>
                <w:color w:val="auto"/>
              </w:rPr>
              <w:t>Year ended December 31, 2023</w:t>
            </w:r>
          </w:p>
        </w:tc>
        <w:tc>
          <w:tcPr>
            <w:tcW w:w="740" w:type="dxa"/>
            <w:vAlign w:val="bottom"/>
            <w:shd w:val="clear" w:color="auto" w:fill="E3F3EE"/>
          </w:tcPr>
          <w:p>
            <w:pPr>
              <w:spacing w:after="0"/>
              <w:rPr>
                <w:sz w:val="13"/>
                <w:szCs w:val="13"/>
                <w:color w:val="auto"/>
              </w:rPr>
            </w:pPr>
          </w:p>
        </w:tc>
        <w:tc>
          <w:tcPr>
            <w:tcW w:w="840" w:type="dxa"/>
            <w:vAlign w:val="bottom"/>
            <w:shd w:val="clear" w:color="auto" w:fill="E3F3EE"/>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20" w:type="dxa"/>
            <w:vAlign w:val="bottom"/>
            <w:shd w:val="clear" w:color="auto" w:fill="1F473D"/>
          </w:tcPr>
          <w:p>
            <w:pPr>
              <w:spacing w:after="0"/>
              <w:rPr>
                <w:sz w:val="11"/>
                <w:szCs w:val="11"/>
                <w:color w:val="auto"/>
              </w:rPr>
            </w:pPr>
          </w:p>
        </w:tc>
        <w:tc>
          <w:tcPr>
            <w:tcW w:w="640" w:type="dxa"/>
            <w:vAlign w:val="bottom"/>
            <w:shd w:val="clear" w:color="auto" w:fill="1F473D"/>
          </w:tcPr>
          <w:p>
            <w:pPr>
              <w:spacing w:after="0"/>
              <w:rPr>
                <w:sz w:val="11"/>
                <w:szCs w:val="11"/>
                <w:color w:val="auto"/>
              </w:rPr>
            </w:pPr>
          </w:p>
        </w:tc>
        <w:tc>
          <w:tcPr>
            <w:tcW w:w="3120" w:type="dxa"/>
            <w:vAlign w:val="bottom"/>
            <w:tcBorders>
              <w:right w:val="single" w:sz="8" w:color="1F473D"/>
            </w:tcBorders>
            <w:shd w:val="clear" w:color="auto" w:fill="1F473D"/>
          </w:tcPr>
          <w:p>
            <w:pPr>
              <w:spacing w:after="0"/>
              <w:rPr>
                <w:sz w:val="11"/>
                <w:szCs w:val="11"/>
                <w:color w:val="auto"/>
              </w:rPr>
            </w:pPr>
          </w:p>
        </w:tc>
        <w:tc>
          <w:tcPr>
            <w:tcW w:w="1120" w:type="dxa"/>
            <w:vAlign w:val="bottom"/>
            <w:shd w:val="clear" w:color="auto" w:fill="1F473D"/>
          </w:tcPr>
          <w:p>
            <w:pPr>
              <w:spacing w:after="0"/>
              <w:rPr>
                <w:sz w:val="11"/>
                <w:szCs w:val="11"/>
                <w:color w:val="auto"/>
              </w:rPr>
            </w:pPr>
          </w:p>
        </w:tc>
        <w:tc>
          <w:tcPr>
            <w:tcW w:w="1480" w:type="dxa"/>
            <w:vAlign w:val="bottom"/>
            <w:shd w:val="clear" w:color="auto" w:fill="1F473D"/>
          </w:tcPr>
          <w:p>
            <w:pPr>
              <w:jc w:val="center"/>
              <w:spacing w:after="0" w:line="133" w:lineRule="exact"/>
              <w:rPr>
                <w:sz w:val="20"/>
                <w:szCs w:val="20"/>
                <w:color w:val="auto"/>
              </w:rPr>
            </w:pPr>
            <w:r>
              <w:rPr>
                <w:rFonts w:ascii="Arial" w:cs="Arial" w:eastAsia="Arial" w:hAnsi="Arial"/>
                <w:sz w:val="13"/>
                <w:szCs w:val="13"/>
                <w:b w:val="1"/>
                <w:bCs w:val="1"/>
                <w:color w:val="FFFFFF"/>
              </w:rPr>
              <w:t>Remove fair</w:t>
            </w:r>
          </w:p>
        </w:tc>
        <w:tc>
          <w:tcPr>
            <w:tcW w:w="1760" w:type="dxa"/>
            <w:vAlign w:val="bottom"/>
            <w:shd w:val="clear" w:color="auto" w:fill="1F473D"/>
          </w:tcPr>
          <w:p>
            <w:pPr>
              <w:jc w:val="center"/>
              <w:ind w:right="154"/>
              <w:spacing w:after="0" w:line="133" w:lineRule="exact"/>
              <w:rPr>
                <w:sz w:val="20"/>
                <w:szCs w:val="20"/>
                <w:color w:val="auto"/>
              </w:rPr>
            </w:pPr>
            <w:r>
              <w:rPr>
                <w:rFonts w:ascii="Arial" w:cs="Arial" w:eastAsia="Arial" w:hAnsi="Arial"/>
                <w:sz w:val="13"/>
                <w:szCs w:val="13"/>
                <w:b w:val="1"/>
                <w:bCs w:val="1"/>
                <w:color w:val="FFFFFF"/>
              </w:rPr>
              <w:t>Revenues</w:t>
            </w:r>
          </w:p>
        </w:tc>
        <w:tc>
          <w:tcPr>
            <w:tcW w:w="740" w:type="dxa"/>
            <w:vAlign w:val="bottom"/>
            <w:shd w:val="clear" w:color="auto" w:fill="1F473D"/>
          </w:tcPr>
          <w:p>
            <w:pPr>
              <w:spacing w:after="0"/>
              <w:rPr>
                <w:sz w:val="11"/>
                <w:szCs w:val="11"/>
                <w:color w:val="auto"/>
              </w:rPr>
            </w:pPr>
          </w:p>
        </w:tc>
        <w:tc>
          <w:tcPr>
            <w:tcW w:w="840" w:type="dxa"/>
            <w:vAlign w:val="bottom"/>
            <w:shd w:val="clear" w:color="auto" w:fill="1F473D"/>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6"/>
        </w:trPr>
        <w:tc>
          <w:tcPr>
            <w:tcW w:w="20" w:type="dxa"/>
            <w:vAlign w:val="bottom"/>
            <w:shd w:val="clear" w:color="auto" w:fill="1F473D"/>
          </w:tcPr>
          <w:p>
            <w:pPr>
              <w:spacing w:after="0"/>
              <w:rPr>
                <w:sz w:val="12"/>
                <w:szCs w:val="12"/>
                <w:color w:val="auto"/>
              </w:rPr>
            </w:pPr>
          </w:p>
        </w:tc>
        <w:tc>
          <w:tcPr>
            <w:tcW w:w="640" w:type="dxa"/>
            <w:vAlign w:val="bottom"/>
            <w:shd w:val="clear" w:color="auto" w:fill="1F473D"/>
          </w:tcPr>
          <w:p>
            <w:pPr>
              <w:spacing w:after="0"/>
              <w:rPr>
                <w:sz w:val="12"/>
                <w:szCs w:val="12"/>
                <w:color w:val="auto"/>
              </w:rPr>
            </w:pPr>
          </w:p>
        </w:tc>
        <w:tc>
          <w:tcPr>
            <w:tcW w:w="3120" w:type="dxa"/>
            <w:vAlign w:val="bottom"/>
            <w:tcBorders>
              <w:right w:val="single" w:sz="8" w:color="1F473D"/>
            </w:tcBorders>
            <w:shd w:val="clear" w:color="auto" w:fill="1F473D"/>
          </w:tcPr>
          <w:p>
            <w:pPr>
              <w:spacing w:after="0"/>
              <w:rPr>
                <w:sz w:val="12"/>
                <w:szCs w:val="12"/>
                <w:color w:val="auto"/>
              </w:rPr>
            </w:pPr>
          </w:p>
        </w:tc>
        <w:tc>
          <w:tcPr>
            <w:tcW w:w="1120" w:type="dxa"/>
            <w:vAlign w:val="bottom"/>
            <w:shd w:val="clear" w:color="auto" w:fill="1F473D"/>
          </w:tcPr>
          <w:p>
            <w:pPr>
              <w:spacing w:after="0"/>
              <w:rPr>
                <w:sz w:val="12"/>
                <w:szCs w:val="12"/>
                <w:color w:val="auto"/>
              </w:rPr>
            </w:pPr>
          </w:p>
        </w:tc>
        <w:tc>
          <w:tcPr>
            <w:tcW w:w="1480" w:type="dxa"/>
            <w:vAlign w:val="bottom"/>
            <w:shd w:val="clear" w:color="auto" w:fill="1F473D"/>
          </w:tcPr>
          <w:p>
            <w:pPr>
              <w:jc w:val="center"/>
              <w:spacing w:after="0" w:line="146" w:lineRule="exact"/>
              <w:rPr>
                <w:sz w:val="20"/>
                <w:szCs w:val="20"/>
                <w:color w:val="auto"/>
              </w:rPr>
            </w:pPr>
            <w:r>
              <w:rPr>
                <w:rFonts w:ascii="Arial" w:cs="Arial" w:eastAsia="Arial" w:hAnsi="Arial"/>
                <w:sz w:val="13"/>
                <w:szCs w:val="13"/>
                <w:b w:val="1"/>
                <w:bCs w:val="1"/>
                <w:color w:val="FFFFFF"/>
              </w:rPr>
              <w:t>value</w:t>
            </w:r>
          </w:p>
        </w:tc>
        <w:tc>
          <w:tcPr>
            <w:tcW w:w="1760" w:type="dxa"/>
            <w:vAlign w:val="bottom"/>
            <w:shd w:val="clear" w:color="auto" w:fill="1F473D"/>
          </w:tcPr>
          <w:p>
            <w:pPr>
              <w:jc w:val="center"/>
              <w:ind w:right="154"/>
              <w:spacing w:after="0" w:line="146" w:lineRule="exact"/>
              <w:rPr>
                <w:sz w:val="20"/>
                <w:szCs w:val="20"/>
                <w:color w:val="auto"/>
              </w:rPr>
            </w:pPr>
            <w:r>
              <w:rPr>
                <w:rFonts w:ascii="Arial" w:cs="Arial" w:eastAsia="Arial" w:hAnsi="Arial"/>
                <w:sz w:val="13"/>
                <w:szCs w:val="13"/>
                <w:b w:val="1"/>
                <w:bCs w:val="1"/>
                <w:color w:val="FFFFFF"/>
              </w:rPr>
              <w:t>excluding fair</w:t>
            </w:r>
          </w:p>
        </w:tc>
        <w:tc>
          <w:tcPr>
            <w:tcW w:w="740" w:type="dxa"/>
            <w:vAlign w:val="bottom"/>
            <w:shd w:val="clear" w:color="auto" w:fill="1F473D"/>
          </w:tcPr>
          <w:p>
            <w:pPr>
              <w:spacing w:after="0"/>
              <w:rPr>
                <w:sz w:val="12"/>
                <w:szCs w:val="12"/>
                <w:color w:val="auto"/>
              </w:rPr>
            </w:pPr>
          </w:p>
        </w:tc>
        <w:tc>
          <w:tcPr>
            <w:tcW w:w="840" w:type="dxa"/>
            <w:vAlign w:val="bottom"/>
            <w:shd w:val="clear" w:color="auto" w:fill="1F473D"/>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20" w:type="dxa"/>
            <w:vAlign w:val="bottom"/>
            <w:shd w:val="clear" w:color="auto" w:fill="1F473D"/>
          </w:tcPr>
          <w:p>
            <w:pPr>
              <w:spacing w:after="0"/>
              <w:rPr>
                <w:sz w:val="12"/>
                <w:szCs w:val="12"/>
                <w:color w:val="auto"/>
              </w:rPr>
            </w:pPr>
          </w:p>
        </w:tc>
        <w:tc>
          <w:tcPr>
            <w:tcW w:w="640" w:type="dxa"/>
            <w:vAlign w:val="bottom"/>
            <w:shd w:val="clear" w:color="auto" w:fill="1F473D"/>
          </w:tcPr>
          <w:p>
            <w:pPr>
              <w:spacing w:after="0"/>
              <w:rPr>
                <w:sz w:val="12"/>
                <w:szCs w:val="12"/>
                <w:color w:val="auto"/>
              </w:rPr>
            </w:pPr>
          </w:p>
        </w:tc>
        <w:tc>
          <w:tcPr>
            <w:tcW w:w="3120" w:type="dxa"/>
            <w:vAlign w:val="bottom"/>
            <w:tcBorders>
              <w:right w:val="single" w:sz="8" w:color="1F473D"/>
            </w:tcBorders>
            <w:shd w:val="clear" w:color="auto" w:fill="1F473D"/>
          </w:tcPr>
          <w:p>
            <w:pPr>
              <w:spacing w:after="0"/>
              <w:rPr>
                <w:sz w:val="12"/>
                <w:szCs w:val="12"/>
                <w:color w:val="auto"/>
              </w:rPr>
            </w:pPr>
          </w:p>
        </w:tc>
        <w:tc>
          <w:tcPr>
            <w:tcW w:w="1120" w:type="dxa"/>
            <w:vAlign w:val="bottom"/>
            <w:shd w:val="clear" w:color="auto" w:fill="1F473D"/>
          </w:tcPr>
          <w:p>
            <w:pPr>
              <w:spacing w:after="0"/>
              <w:rPr>
                <w:sz w:val="12"/>
                <w:szCs w:val="12"/>
                <w:color w:val="auto"/>
              </w:rPr>
            </w:pPr>
          </w:p>
        </w:tc>
        <w:tc>
          <w:tcPr>
            <w:tcW w:w="1480" w:type="dxa"/>
            <w:vAlign w:val="bottom"/>
            <w:shd w:val="clear" w:color="auto" w:fill="1F473D"/>
          </w:tcPr>
          <w:p>
            <w:pPr>
              <w:jc w:val="center"/>
              <w:spacing w:after="0" w:line="146" w:lineRule="exact"/>
              <w:rPr>
                <w:sz w:val="20"/>
                <w:szCs w:val="20"/>
                <w:color w:val="auto"/>
              </w:rPr>
            </w:pPr>
            <w:r>
              <w:rPr>
                <w:rFonts w:ascii="Arial" w:cs="Arial" w:eastAsia="Arial" w:hAnsi="Arial"/>
                <w:sz w:val="13"/>
                <w:szCs w:val="13"/>
                <w:b w:val="1"/>
                <w:bCs w:val="1"/>
                <w:color w:val="FFFFFF"/>
              </w:rPr>
              <w:t>adjustments to</w:t>
            </w:r>
          </w:p>
        </w:tc>
        <w:tc>
          <w:tcPr>
            <w:tcW w:w="1760" w:type="dxa"/>
            <w:vAlign w:val="bottom"/>
            <w:shd w:val="clear" w:color="auto" w:fill="1F473D"/>
          </w:tcPr>
          <w:p>
            <w:pPr>
              <w:jc w:val="center"/>
              <w:ind w:right="134"/>
              <w:spacing w:after="0" w:line="146" w:lineRule="exact"/>
              <w:rPr>
                <w:sz w:val="20"/>
                <w:szCs w:val="20"/>
                <w:color w:val="auto"/>
              </w:rPr>
            </w:pPr>
            <w:r>
              <w:rPr>
                <w:rFonts w:ascii="Arial" w:cs="Arial" w:eastAsia="Arial" w:hAnsi="Arial"/>
                <w:sz w:val="13"/>
                <w:szCs w:val="13"/>
                <w:b w:val="1"/>
                <w:bCs w:val="1"/>
                <w:color w:val="FFFFFF"/>
              </w:rPr>
              <w:t>value adjustments</w:t>
            </w:r>
          </w:p>
        </w:tc>
        <w:tc>
          <w:tcPr>
            <w:tcW w:w="740" w:type="dxa"/>
            <w:vAlign w:val="bottom"/>
            <w:shd w:val="clear" w:color="auto" w:fill="1F473D"/>
          </w:tcPr>
          <w:p>
            <w:pPr>
              <w:spacing w:after="0"/>
              <w:rPr>
                <w:sz w:val="12"/>
                <w:szCs w:val="12"/>
                <w:color w:val="auto"/>
              </w:rPr>
            </w:pPr>
          </w:p>
        </w:tc>
        <w:tc>
          <w:tcPr>
            <w:tcW w:w="840" w:type="dxa"/>
            <w:vAlign w:val="bottom"/>
            <w:shd w:val="clear" w:color="auto" w:fill="1F473D"/>
          </w:tcPr>
          <w:p>
            <w:pPr>
              <w:jc w:val="right"/>
              <w:ind w:right="74"/>
              <w:spacing w:after="0" w:line="146" w:lineRule="exact"/>
              <w:rPr>
                <w:sz w:val="20"/>
                <w:szCs w:val="20"/>
                <w:color w:val="auto"/>
              </w:rPr>
            </w:pPr>
            <w:r>
              <w:rPr>
                <w:rFonts w:ascii="Arial" w:cs="Arial" w:eastAsia="Arial" w:hAnsi="Arial"/>
                <w:sz w:val="13"/>
                <w:szCs w:val="13"/>
                <w:b w:val="1"/>
                <w:bCs w:val="1"/>
                <w:color w:val="FFFFFF"/>
              </w:rPr>
              <w:t>Adjusted</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20" w:type="dxa"/>
            <w:vAlign w:val="bottom"/>
            <w:shd w:val="clear" w:color="auto" w:fill="1F473D"/>
          </w:tcPr>
          <w:p>
            <w:pPr>
              <w:spacing w:after="0"/>
              <w:rPr>
                <w:sz w:val="12"/>
                <w:szCs w:val="12"/>
                <w:color w:val="auto"/>
              </w:rPr>
            </w:pPr>
          </w:p>
        </w:tc>
        <w:tc>
          <w:tcPr>
            <w:tcW w:w="640" w:type="dxa"/>
            <w:vAlign w:val="bottom"/>
            <w:shd w:val="clear" w:color="auto" w:fill="1F473D"/>
          </w:tcPr>
          <w:p>
            <w:pPr>
              <w:spacing w:after="0"/>
              <w:rPr>
                <w:sz w:val="12"/>
                <w:szCs w:val="12"/>
                <w:color w:val="auto"/>
              </w:rPr>
            </w:pPr>
          </w:p>
        </w:tc>
        <w:tc>
          <w:tcPr>
            <w:tcW w:w="3120" w:type="dxa"/>
            <w:vAlign w:val="bottom"/>
            <w:tcBorders>
              <w:right w:val="single" w:sz="8" w:color="1F473D"/>
            </w:tcBorders>
            <w:shd w:val="clear" w:color="auto" w:fill="1F473D"/>
          </w:tcPr>
          <w:p>
            <w:pPr>
              <w:spacing w:after="0"/>
              <w:rPr>
                <w:sz w:val="12"/>
                <w:szCs w:val="12"/>
                <w:color w:val="auto"/>
              </w:rPr>
            </w:pPr>
          </w:p>
        </w:tc>
        <w:tc>
          <w:tcPr>
            <w:tcW w:w="1120" w:type="dxa"/>
            <w:vAlign w:val="bottom"/>
            <w:shd w:val="clear" w:color="auto" w:fill="1F473D"/>
          </w:tcPr>
          <w:p>
            <w:pPr>
              <w:jc w:val="center"/>
              <w:spacing w:after="0" w:line="146" w:lineRule="exact"/>
              <w:rPr>
                <w:sz w:val="20"/>
                <w:szCs w:val="20"/>
                <w:color w:val="auto"/>
              </w:rPr>
            </w:pPr>
            <w:r>
              <w:rPr>
                <w:rFonts w:ascii="Arial" w:cs="Arial" w:eastAsia="Arial" w:hAnsi="Arial"/>
                <w:sz w:val="13"/>
                <w:szCs w:val="13"/>
                <w:b w:val="1"/>
                <w:bCs w:val="1"/>
                <w:color w:val="FFFFFF"/>
              </w:rPr>
              <w:t>IFRS</w:t>
            </w:r>
          </w:p>
        </w:tc>
        <w:tc>
          <w:tcPr>
            <w:tcW w:w="1480" w:type="dxa"/>
            <w:vAlign w:val="bottom"/>
            <w:shd w:val="clear" w:color="auto" w:fill="1F473D"/>
          </w:tcPr>
          <w:p>
            <w:pPr>
              <w:jc w:val="center"/>
              <w:spacing w:after="0" w:line="146" w:lineRule="exact"/>
              <w:rPr>
                <w:sz w:val="20"/>
                <w:szCs w:val="20"/>
                <w:color w:val="auto"/>
              </w:rPr>
            </w:pPr>
            <w:r>
              <w:rPr>
                <w:rFonts w:ascii="Arial" w:cs="Arial" w:eastAsia="Arial" w:hAnsi="Arial"/>
                <w:sz w:val="13"/>
                <w:szCs w:val="13"/>
                <w:b w:val="1"/>
                <w:bCs w:val="1"/>
                <w:color w:val="FFFFFF"/>
              </w:rPr>
              <w:t>acquired</w:t>
            </w:r>
          </w:p>
        </w:tc>
        <w:tc>
          <w:tcPr>
            <w:tcW w:w="1760" w:type="dxa"/>
            <w:vAlign w:val="bottom"/>
            <w:shd w:val="clear" w:color="auto" w:fill="1F473D"/>
          </w:tcPr>
          <w:p>
            <w:pPr>
              <w:jc w:val="center"/>
              <w:ind w:right="134"/>
              <w:spacing w:after="0" w:line="146" w:lineRule="exact"/>
              <w:rPr>
                <w:sz w:val="20"/>
                <w:szCs w:val="20"/>
                <w:color w:val="auto"/>
              </w:rPr>
            </w:pPr>
            <w:r>
              <w:rPr>
                <w:rFonts w:ascii="Arial" w:cs="Arial" w:eastAsia="Arial" w:hAnsi="Arial"/>
                <w:sz w:val="13"/>
                <w:szCs w:val="13"/>
                <w:b w:val="1"/>
                <w:bCs w:val="1"/>
                <w:color w:val="FFFFFF"/>
              </w:rPr>
              <w:t>to acquired</w:t>
            </w:r>
          </w:p>
        </w:tc>
        <w:tc>
          <w:tcPr>
            <w:tcW w:w="740" w:type="dxa"/>
            <w:vAlign w:val="bottom"/>
            <w:shd w:val="clear" w:color="auto" w:fill="1F473D"/>
          </w:tcPr>
          <w:p>
            <w:pPr>
              <w:jc w:val="center"/>
              <w:ind w:right="94"/>
              <w:spacing w:after="0" w:line="146" w:lineRule="exact"/>
              <w:rPr>
                <w:sz w:val="20"/>
                <w:szCs w:val="20"/>
                <w:color w:val="auto"/>
              </w:rPr>
            </w:pPr>
            <w:r>
              <w:rPr>
                <w:rFonts w:ascii="Arial" w:cs="Arial" w:eastAsia="Arial" w:hAnsi="Arial"/>
                <w:sz w:val="13"/>
                <w:szCs w:val="13"/>
                <w:b w:val="1"/>
                <w:bCs w:val="1"/>
                <w:color w:val="FFFFFF"/>
              </w:rPr>
              <w:t>Adjusted</w:t>
            </w:r>
          </w:p>
        </w:tc>
        <w:tc>
          <w:tcPr>
            <w:tcW w:w="840" w:type="dxa"/>
            <w:vAlign w:val="bottom"/>
            <w:shd w:val="clear" w:color="auto" w:fill="1F473D"/>
          </w:tcPr>
          <w:p>
            <w:pPr>
              <w:jc w:val="center"/>
              <w:spacing w:after="0" w:line="146" w:lineRule="exact"/>
              <w:rPr>
                <w:sz w:val="20"/>
                <w:szCs w:val="20"/>
                <w:color w:val="auto"/>
              </w:rPr>
            </w:pPr>
            <w:r>
              <w:rPr>
                <w:rFonts w:ascii="Arial" w:cs="Arial" w:eastAsia="Arial" w:hAnsi="Arial"/>
                <w:sz w:val="13"/>
                <w:szCs w:val="13"/>
                <w:b w:val="1"/>
                <w:bCs w:val="1"/>
                <w:color w:val="FFFFFF"/>
              </w:rPr>
              <w:t>EBITDA</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5"/>
        </w:trPr>
        <w:tc>
          <w:tcPr>
            <w:tcW w:w="3780" w:type="dxa"/>
            <w:vAlign w:val="bottom"/>
            <w:tcBorders>
              <w:bottom w:val="single" w:sz="8" w:color="D64000"/>
              <w:right w:val="single" w:sz="8" w:color="1F473D"/>
            </w:tcBorders>
            <w:gridSpan w:val="3"/>
            <w:shd w:val="clear" w:color="auto" w:fill="1F473D"/>
          </w:tcPr>
          <w:p>
            <w:pPr>
              <w:spacing w:after="0"/>
              <w:rPr>
                <w:sz w:val="20"/>
                <w:szCs w:val="20"/>
                <w:color w:val="auto"/>
              </w:rPr>
            </w:pPr>
            <w:r>
              <w:rPr>
                <w:rFonts w:ascii="Arial" w:cs="Arial" w:eastAsia="Arial" w:hAnsi="Arial"/>
                <w:sz w:val="13"/>
                <w:szCs w:val="13"/>
                <w:b w:val="1"/>
                <w:bCs w:val="1"/>
                <w:color w:val="FFFFFF"/>
              </w:rPr>
              <w:t> (millions of U.S. dollars, except margins)</w:t>
            </w:r>
          </w:p>
        </w:tc>
        <w:tc>
          <w:tcPr>
            <w:tcW w:w="1120" w:type="dxa"/>
            <w:vAlign w:val="bottom"/>
            <w:tcBorders>
              <w:bottom w:val="single" w:sz="8" w:color="D64000"/>
            </w:tcBorders>
            <w:shd w:val="clear" w:color="auto" w:fill="1F473D"/>
          </w:tcPr>
          <w:p>
            <w:pPr>
              <w:jc w:val="center"/>
              <w:spacing w:after="0"/>
              <w:rPr>
                <w:sz w:val="20"/>
                <w:szCs w:val="20"/>
                <w:color w:val="auto"/>
              </w:rPr>
            </w:pPr>
            <w:r>
              <w:rPr>
                <w:rFonts w:ascii="Arial" w:cs="Arial" w:eastAsia="Arial" w:hAnsi="Arial"/>
                <w:sz w:val="13"/>
                <w:szCs w:val="13"/>
                <w:b w:val="1"/>
                <w:bCs w:val="1"/>
                <w:color w:val="FFFFFF"/>
              </w:rPr>
              <w:t>revenues</w:t>
            </w:r>
          </w:p>
        </w:tc>
        <w:tc>
          <w:tcPr>
            <w:tcW w:w="1480" w:type="dxa"/>
            <w:vAlign w:val="bottom"/>
            <w:tcBorders>
              <w:bottom w:val="single" w:sz="8" w:color="D64000"/>
            </w:tcBorders>
            <w:shd w:val="clear" w:color="auto" w:fill="1F473D"/>
          </w:tcPr>
          <w:p>
            <w:pPr>
              <w:jc w:val="center"/>
              <w:spacing w:after="0"/>
              <w:rPr>
                <w:sz w:val="20"/>
                <w:szCs w:val="20"/>
                <w:color w:val="auto"/>
              </w:rPr>
            </w:pPr>
            <w:r>
              <w:rPr>
                <w:rFonts w:ascii="Arial" w:cs="Arial" w:eastAsia="Arial" w:hAnsi="Arial"/>
                <w:sz w:val="13"/>
                <w:szCs w:val="13"/>
                <w:b w:val="1"/>
                <w:bCs w:val="1"/>
                <w:color w:val="FFFFFF"/>
              </w:rPr>
              <w:t>deferred revenue</w:t>
            </w:r>
          </w:p>
        </w:tc>
        <w:tc>
          <w:tcPr>
            <w:tcW w:w="1760" w:type="dxa"/>
            <w:vAlign w:val="bottom"/>
            <w:tcBorders>
              <w:bottom w:val="single" w:sz="8" w:color="D64000"/>
            </w:tcBorders>
            <w:shd w:val="clear" w:color="auto" w:fill="1F473D"/>
          </w:tcPr>
          <w:p>
            <w:pPr>
              <w:jc w:val="center"/>
              <w:ind w:right="134"/>
              <w:spacing w:after="0"/>
              <w:rPr>
                <w:sz w:val="20"/>
                <w:szCs w:val="20"/>
                <w:color w:val="auto"/>
              </w:rPr>
            </w:pPr>
            <w:r>
              <w:rPr>
                <w:rFonts w:ascii="Arial" w:cs="Arial" w:eastAsia="Arial" w:hAnsi="Arial"/>
                <w:sz w:val="13"/>
                <w:szCs w:val="13"/>
                <w:b w:val="1"/>
                <w:bCs w:val="1"/>
                <w:color w:val="FFFFFF"/>
              </w:rPr>
              <w:t>deferred revenue</w:t>
            </w:r>
          </w:p>
        </w:tc>
        <w:tc>
          <w:tcPr>
            <w:tcW w:w="740" w:type="dxa"/>
            <w:vAlign w:val="bottom"/>
            <w:tcBorders>
              <w:bottom w:val="single" w:sz="8" w:color="D64000"/>
            </w:tcBorders>
            <w:shd w:val="clear" w:color="auto" w:fill="1F473D"/>
          </w:tcPr>
          <w:p>
            <w:pPr>
              <w:jc w:val="center"/>
              <w:ind w:right="94"/>
              <w:spacing w:after="0"/>
              <w:rPr>
                <w:sz w:val="20"/>
                <w:szCs w:val="20"/>
                <w:color w:val="auto"/>
              </w:rPr>
            </w:pPr>
            <w:r>
              <w:rPr>
                <w:rFonts w:ascii="Arial" w:cs="Arial" w:eastAsia="Arial" w:hAnsi="Arial"/>
                <w:sz w:val="13"/>
                <w:szCs w:val="13"/>
                <w:b w:val="1"/>
                <w:bCs w:val="1"/>
                <w:color w:val="FFFFFF"/>
              </w:rPr>
              <w:t>EBITDA</w:t>
            </w:r>
          </w:p>
        </w:tc>
        <w:tc>
          <w:tcPr>
            <w:tcW w:w="840" w:type="dxa"/>
            <w:vAlign w:val="bottom"/>
            <w:tcBorders>
              <w:bottom w:val="single" w:sz="8" w:color="D64000"/>
            </w:tcBorders>
            <w:shd w:val="clear" w:color="auto" w:fill="1F473D"/>
          </w:tcPr>
          <w:p>
            <w:pPr>
              <w:jc w:val="center"/>
              <w:spacing w:after="0"/>
              <w:rPr>
                <w:sz w:val="20"/>
                <w:szCs w:val="20"/>
                <w:color w:val="auto"/>
              </w:rPr>
            </w:pPr>
            <w:r>
              <w:rPr>
                <w:rFonts w:ascii="Arial" w:cs="Arial" w:eastAsia="Arial" w:hAnsi="Arial"/>
                <w:sz w:val="13"/>
                <w:szCs w:val="13"/>
                <w:b w:val="1"/>
                <w:bCs w:val="1"/>
                <w:color w:val="FFFFFF"/>
              </w:rPr>
              <w:t>margin</w:t>
            </w: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3"/>
        </w:trPr>
        <w:tc>
          <w:tcPr>
            <w:tcW w:w="3780" w:type="dxa"/>
            <w:vAlign w:val="bottom"/>
            <w:gridSpan w:val="3"/>
          </w:tcPr>
          <w:p>
            <w:pPr>
              <w:spacing w:after="0" w:line="133" w:lineRule="exact"/>
              <w:rPr>
                <w:sz w:val="20"/>
                <w:szCs w:val="20"/>
                <w:color w:val="auto"/>
              </w:rPr>
            </w:pPr>
            <w:r>
              <w:rPr>
                <w:rFonts w:ascii="Arial" w:cs="Arial" w:eastAsia="Arial" w:hAnsi="Arial"/>
                <w:sz w:val="13"/>
                <w:szCs w:val="13"/>
                <w:b w:val="1"/>
                <w:bCs w:val="1"/>
                <w:color w:val="auto"/>
              </w:rPr>
              <w:t> Revenues</w:t>
            </w:r>
          </w:p>
        </w:tc>
        <w:tc>
          <w:tcPr>
            <w:tcW w:w="1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3760" w:type="dxa"/>
            <w:vAlign w:val="bottom"/>
            <w:gridSpan w:val="2"/>
          </w:tcPr>
          <w:p>
            <w:pPr>
              <w:ind w:left="140"/>
              <w:spacing w:after="0"/>
              <w:rPr>
                <w:sz w:val="20"/>
                <w:szCs w:val="20"/>
                <w:color w:val="auto"/>
              </w:rPr>
            </w:pPr>
            <w:r>
              <w:rPr>
                <w:rFonts w:ascii="Arial" w:cs="Arial" w:eastAsia="Arial" w:hAnsi="Arial"/>
                <w:sz w:val="13"/>
                <w:szCs w:val="13"/>
                <w:b w:val="1"/>
                <w:bCs w:val="1"/>
                <w:color w:val="auto"/>
              </w:rPr>
              <w:t> Legal Professionals</w:t>
            </w:r>
          </w:p>
        </w:tc>
        <w:tc>
          <w:tcPr>
            <w:tcW w:w="1120" w:type="dxa"/>
            <w:vAlign w:val="bottom"/>
          </w:tcPr>
          <w:p>
            <w:pPr>
              <w:jc w:val="right"/>
              <w:ind w:right="174"/>
              <w:spacing w:after="0"/>
              <w:rPr>
                <w:sz w:val="20"/>
                <w:szCs w:val="20"/>
                <w:color w:val="auto"/>
              </w:rPr>
            </w:pPr>
            <w:r>
              <w:rPr>
                <w:rFonts w:ascii="Arial" w:cs="Arial" w:eastAsia="Arial" w:hAnsi="Arial"/>
                <w:sz w:val="13"/>
                <w:szCs w:val="13"/>
                <w:color w:val="auto"/>
              </w:rPr>
              <w:t>2,807</w:t>
            </w:r>
          </w:p>
        </w:tc>
        <w:tc>
          <w:tcPr>
            <w:tcW w:w="1480" w:type="dxa"/>
            <w:vAlign w:val="bottom"/>
          </w:tcPr>
          <w:p>
            <w:pPr>
              <w:jc w:val="right"/>
              <w:ind w:right="154"/>
              <w:spacing w:after="0"/>
              <w:rPr>
                <w:sz w:val="20"/>
                <w:szCs w:val="20"/>
                <w:color w:val="auto"/>
              </w:rPr>
            </w:pPr>
            <w:r>
              <w:rPr>
                <w:rFonts w:ascii="Arial" w:cs="Arial" w:eastAsia="Arial" w:hAnsi="Arial"/>
                <w:sz w:val="13"/>
                <w:szCs w:val="13"/>
                <w:color w:val="auto"/>
              </w:rPr>
              <w:t>1</w:t>
            </w:r>
          </w:p>
        </w:tc>
        <w:tc>
          <w:tcPr>
            <w:tcW w:w="1760" w:type="dxa"/>
            <w:vAlign w:val="bottom"/>
          </w:tcPr>
          <w:p>
            <w:pPr>
              <w:jc w:val="right"/>
              <w:ind w:right="334"/>
              <w:spacing w:after="0"/>
              <w:rPr>
                <w:sz w:val="20"/>
                <w:szCs w:val="20"/>
                <w:color w:val="auto"/>
              </w:rPr>
            </w:pPr>
            <w:r>
              <w:rPr>
                <w:rFonts w:ascii="Arial" w:cs="Arial" w:eastAsia="Arial" w:hAnsi="Arial"/>
                <w:sz w:val="13"/>
                <w:szCs w:val="13"/>
                <w:color w:val="auto"/>
              </w:rPr>
              <w:t>2,808</w:t>
            </w:r>
          </w:p>
        </w:tc>
        <w:tc>
          <w:tcPr>
            <w:tcW w:w="740" w:type="dxa"/>
            <w:vAlign w:val="bottom"/>
          </w:tcPr>
          <w:p>
            <w:pPr>
              <w:jc w:val="right"/>
              <w:ind w:right="94"/>
              <w:spacing w:after="0"/>
              <w:rPr>
                <w:sz w:val="20"/>
                <w:szCs w:val="20"/>
                <w:color w:val="auto"/>
              </w:rPr>
            </w:pPr>
            <w:r>
              <w:rPr>
                <w:rFonts w:ascii="Arial" w:cs="Arial" w:eastAsia="Arial" w:hAnsi="Arial"/>
                <w:sz w:val="13"/>
                <w:szCs w:val="13"/>
                <w:color w:val="auto"/>
              </w:rPr>
              <w:t>1,299</w:t>
            </w:r>
          </w:p>
        </w:tc>
        <w:tc>
          <w:tcPr>
            <w:tcW w:w="840" w:type="dxa"/>
            <w:vAlign w:val="bottom"/>
          </w:tcPr>
          <w:p>
            <w:pPr>
              <w:jc w:val="right"/>
              <w:ind w:right="54"/>
              <w:spacing w:after="0"/>
              <w:rPr>
                <w:sz w:val="20"/>
                <w:szCs w:val="20"/>
                <w:color w:val="auto"/>
              </w:rPr>
            </w:pPr>
            <w:r>
              <w:rPr>
                <w:rFonts w:ascii="Arial" w:cs="Arial" w:eastAsia="Arial" w:hAnsi="Arial"/>
                <w:sz w:val="13"/>
                <w:szCs w:val="13"/>
                <w:color w:val="auto"/>
              </w:rPr>
              <w:t>46.2%</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6"/>
        </w:trPr>
        <w:tc>
          <w:tcPr>
            <w:tcW w:w="20" w:type="dxa"/>
            <w:vAlign w:val="bottom"/>
          </w:tcPr>
          <w:p>
            <w:pPr>
              <w:spacing w:after="0"/>
              <w:rPr>
                <w:sz w:val="12"/>
                <w:szCs w:val="12"/>
                <w:color w:val="auto"/>
              </w:rPr>
            </w:pPr>
          </w:p>
        </w:tc>
        <w:tc>
          <w:tcPr>
            <w:tcW w:w="3760" w:type="dxa"/>
            <w:vAlign w:val="bottom"/>
            <w:gridSpan w:val="2"/>
          </w:tcPr>
          <w:p>
            <w:pPr>
              <w:ind w:left="140"/>
              <w:spacing w:after="0" w:line="146" w:lineRule="exact"/>
              <w:rPr>
                <w:sz w:val="20"/>
                <w:szCs w:val="20"/>
                <w:color w:val="auto"/>
              </w:rPr>
            </w:pPr>
            <w:r>
              <w:rPr>
                <w:rFonts w:ascii="Arial" w:cs="Arial" w:eastAsia="Arial" w:hAnsi="Arial"/>
                <w:sz w:val="13"/>
                <w:szCs w:val="13"/>
                <w:b w:val="1"/>
                <w:bCs w:val="1"/>
                <w:color w:val="auto"/>
              </w:rPr>
              <w:t> Corporates</w:t>
            </w:r>
          </w:p>
        </w:tc>
        <w:tc>
          <w:tcPr>
            <w:tcW w:w="112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1,620</w:t>
            </w:r>
          </w:p>
        </w:tc>
        <w:tc>
          <w:tcPr>
            <w:tcW w:w="148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3</w:t>
            </w:r>
          </w:p>
        </w:tc>
        <w:tc>
          <w:tcPr>
            <w:tcW w:w="176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1,623</w:t>
            </w:r>
          </w:p>
        </w:tc>
        <w:tc>
          <w:tcPr>
            <w:tcW w:w="740" w:type="dxa"/>
            <w:vAlign w:val="bottom"/>
          </w:tcPr>
          <w:p>
            <w:pPr>
              <w:jc w:val="right"/>
              <w:ind w:right="94"/>
              <w:spacing w:after="0" w:line="146" w:lineRule="exact"/>
              <w:rPr>
                <w:sz w:val="20"/>
                <w:szCs w:val="20"/>
                <w:color w:val="auto"/>
              </w:rPr>
            </w:pPr>
            <w:r>
              <w:rPr>
                <w:rFonts w:ascii="Arial" w:cs="Arial" w:eastAsia="Arial" w:hAnsi="Arial"/>
                <w:sz w:val="13"/>
                <w:szCs w:val="13"/>
                <w:color w:val="auto"/>
              </w:rPr>
              <w:t>619</w:t>
            </w:r>
          </w:p>
        </w:tc>
        <w:tc>
          <w:tcPr>
            <w:tcW w:w="840" w:type="dxa"/>
            <w:vAlign w:val="bottom"/>
          </w:tcPr>
          <w:p>
            <w:pPr>
              <w:jc w:val="right"/>
              <w:ind w:right="54"/>
              <w:spacing w:after="0" w:line="146" w:lineRule="exact"/>
              <w:rPr>
                <w:sz w:val="20"/>
                <w:szCs w:val="20"/>
                <w:color w:val="auto"/>
              </w:rPr>
            </w:pPr>
            <w:r>
              <w:rPr>
                <w:rFonts w:ascii="Arial" w:cs="Arial" w:eastAsia="Arial" w:hAnsi="Arial"/>
                <w:sz w:val="13"/>
                <w:szCs w:val="13"/>
                <w:color w:val="auto"/>
              </w:rPr>
              <w:t>38.1%</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8"/>
        </w:trPr>
        <w:tc>
          <w:tcPr>
            <w:tcW w:w="20" w:type="dxa"/>
            <w:vAlign w:val="bottom"/>
            <w:tcBorders>
              <w:bottom w:val="single" w:sz="8" w:color="B2B2B2"/>
            </w:tcBorders>
          </w:tcPr>
          <w:p>
            <w:pPr>
              <w:spacing w:after="0"/>
              <w:rPr>
                <w:sz w:val="13"/>
                <w:szCs w:val="13"/>
                <w:color w:val="auto"/>
              </w:rPr>
            </w:pPr>
          </w:p>
        </w:tc>
        <w:tc>
          <w:tcPr>
            <w:tcW w:w="3760" w:type="dxa"/>
            <w:vAlign w:val="bottom"/>
            <w:tcBorders>
              <w:bottom w:val="single" w:sz="8" w:color="B2B2B2"/>
            </w:tcBorders>
            <w:gridSpan w:val="2"/>
          </w:tcPr>
          <w:p>
            <w:pPr>
              <w:ind w:left="140"/>
              <w:spacing w:after="0"/>
              <w:rPr>
                <w:sz w:val="20"/>
                <w:szCs w:val="20"/>
                <w:color w:val="auto"/>
              </w:rPr>
            </w:pPr>
            <w:r>
              <w:rPr>
                <w:rFonts w:ascii="Arial" w:cs="Arial" w:eastAsia="Arial" w:hAnsi="Arial"/>
                <w:sz w:val="13"/>
                <w:szCs w:val="13"/>
                <w:b w:val="1"/>
                <w:bCs w:val="1"/>
                <w:color w:val="auto"/>
              </w:rPr>
              <w:t> Tax &amp; Accounting Professionals</w:t>
            </w:r>
          </w:p>
        </w:tc>
        <w:tc>
          <w:tcPr>
            <w:tcW w:w="1120" w:type="dxa"/>
            <w:vAlign w:val="bottom"/>
            <w:tcBorders>
              <w:bottom w:val="single" w:sz="8" w:color="B2B2B2"/>
            </w:tcBorders>
          </w:tcPr>
          <w:p>
            <w:pPr>
              <w:jc w:val="right"/>
              <w:ind w:right="174"/>
              <w:spacing w:after="0"/>
              <w:rPr>
                <w:sz w:val="20"/>
                <w:szCs w:val="20"/>
                <w:color w:val="auto"/>
              </w:rPr>
            </w:pPr>
            <w:r>
              <w:rPr>
                <w:rFonts w:ascii="Arial" w:cs="Arial" w:eastAsia="Arial" w:hAnsi="Arial"/>
                <w:sz w:val="13"/>
                <w:szCs w:val="13"/>
                <w:color w:val="auto"/>
              </w:rPr>
              <w:t>1,058</w:t>
            </w:r>
          </w:p>
        </w:tc>
        <w:tc>
          <w:tcPr>
            <w:tcW w:w="1480" w:type="dxa"/>
            <w:vAlign w:val="bottom"/>
            <w:tcBorders>
              <w:bottom w:val="single" w:sz="8" w:color="B2B2B2"/>
            </w:tcBorders>
          </w:tcPr>
          <w:p>
            <w:pPr>
              <w:jc w:val="right"/>
              <w:ind w:right="154"/>
              <w:spacing w:after="0"/>
              <w:rPr>
                <w:sz w:val="20"/>
                <w:szCs w:val="20"/>
                <w:color w:val="auto"/>
              </w:rPr>
            </w:pPr>
            <w:r>
              <w:rPr>
                <w:rFonts w:ascii="Arial" w:cs="Arial" w:eastAsia="Arial" w:hAnsi="Arial"/>
                <w:sz w:val="13"/>
                <w:szCs w:val="13"/>
                <w:color w:val="auto"/>
              </w:rPr>
              <w:t>11</w:t>
            </w:r>
          </w:p>
        </w:tc>
        <w:tc>
          <w:tcPr>
            <w:tcW w:w="1760" w:type="dxa"/>
            <w:vAlign w:val="bottom"/>
            <w:tcBorders>
              <w:bottom w:val="single" w:sz="8" w:color="B2B2B2"/>
            </w:tcBorders>
          </w:tcPr>
          <w:p>
            <w:pPr>
              <w:jc w:val="right"/>
              <w:ind w:right="334"/>
              <w:spacing w:after="0"/>
              <w:rPr>
                <w:sz w:val="20"/>
                <w:szCs w:val="20"/>
                <w:color w:val="auto"/>
              </w:rPr>
            </w:pPr>
            <w:r>
              <w:rPr>
                <w:rFonts w:ascii="Arial" w:cs="Arial" w:eastAsia="Arial" w:hAnsi="Arial"/>
                <w:sz w:val="13"/>
                <w:szCs w:val="13"/>
                <w:color w:val="auto"/>
              </w:rPr>
              <w:t>1,069</w:t>
            </w:r>
          </w:p>
        </w:tc>
        <w:tc>
          <w:tcPr>
            <w:tcW w:w="740" w:type="dxa"/>
            <w:vAlign w:val="bottom"/>
            <w:tcBorders>
              <w:bottom w:val="single" w:sz="8" w:color="B2B2B2"/>
            </w:tcBorders>
          </w:tcPr>
          <w:p>
            <w:pPr>
              <w:jc w:val="right"/>
              <w:ind w:right="94"/>
              <w:spacing w:after="0"/>
              <w:rPr>
                <w:sz w:val="20"/>
                <w:szCs w:val="20"/>
                <w:color w:val="auto"/>
              </w:rPr>
            </w:pPr>
            <w:r>
              <w:rPr>
                <w:rFonts w:ascii="Arial" w:cs="Arial" w:eastAsia="Arial" w:hAnsi="Arial"/>
                <w:sz w:val="13"/>
                <w:szCs w:val="13"/>
                <w:color w:val="auto"/>
              </w:rPr>
              <w:t>490</w:t>
            </w:r>
          </w:p>
        </w:tc>
        <w:tc>
          <w:tcPr>
            <w:tcW w:w="840" w:type="dxa"/>
            <w:vAlign w:val="bottom"/>
            <w:tcBorders>
              <w:bottom w:val="single" w:sz="8" w:color="B2B2B2"/>
            </w:tcBorders>
          </w:tcPr>
          <w:p>
            <w:pPr>
              <w:jc w:val="right"/>
              <w:ind w:right="54"/>
              <w:spacing w:after="0"/>
              <w:rPr>
                <w:sz w:val="20"/>
                <w:szCs w:val="20"/>
                <w:color w:val="auto"/>
              </w:rPr>
            </w:pPr>
            <w:r>
              <w:rPr>
                <w:rFonts w:ascii="Arial" w:cs="Arial" w:eastAsia="Arial" w:hAnsi="Arial"/>
                <w:sz w:val="13"/>
                <w:szCs w:val="13"/>
                <w:color w:val="auto"/>
              </w:rPr>
              <w:t>45.8%</w:t>
            </w: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6"/>
        </w:trPr>
        <w:tc>
          <w:tcPr>
            <w:tcW w:w="378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 “Big 3” Segments Combined</w:t>
            </w:r>
          </w:p>
        </w:tc>
        <w:tc>
          <w:tcPr>
            <w:tcW w:w="1120" w:type="dxa"/>
            <w:vAlign w:val="bottom"/>
          </w:tcPr>
          <w:p>
            <w:pPr>
              <w:jc w:val="right"/>
              <w:ind w:right="174"/>
              <w:spacing w:after="0" w:line="126" w:lineRule="exact"/>
              <w:rPr>
                <w:sz w:val="20"/>
                <w:szCs w:val="20"/>
                <w:color w:val="auto"/>
              </w:rPr>
            </w:pPr>
            <w:r>
              <w:rPr>
                <w:rFonts w:ascii="Arial" w:cs="Arial" w:eastAsia="Arial" w:hAnsi="Arial"/>
                <w:sz w:val="13"/>
                <w:szCs w:val="13"/>
                <w:color w:val="auto"/>
              </w:rPr>
              <w:t>5,485</w:t>
            </w:r>
          </w:p>
        </w:tc>
        <w:tc>
          <w:tcPr>
            <w:tcW w:w="1480" w:type="dxa"/>
            <w:vAlign w:val="bottom"/>
          </w:tcPr>
          <w:p>
            <w:pPr>
              <w:jc w:val="right"/>
              <w:ind w:right="154"/>
              <w:spacing w:after="0" w:line="126" w:lineRule="exact"/>
              <w:rPr>
                <w:sz w:val="20"/>
                <w:szCs w:val="20"/>
                <w:color w:val="auto"/>
              </w:rPr>
            </w:pPr>
            <w:r>
              <w:rPr>
                <w:rFonts w:ascii="Arial" w:cs="Arial" w:eastAsia="Arial" w:hAnsi="Arial"/>
                <w:sz w:val="13"/>
                <w:szCs w:val="13"/>
                <w:color w:val="auto"/>
              </w:rPr>
              <w:t>15</w:t>
            </w:r>
          </w:p>
        </w:tc>
        <w:tc>
          <w:tcPr>
            <w:tcW w:w="1760" w:type="dxa"/>
            <w:vAlign w:val="bottom"/>
          </w:tcPr>
          <w:p>
            <w:pPr>
              <w:jc w:val="right"/>
              <w:ind w:right="334"/>
              <w:spacing w:after="0" w:line="126" w:lineRule="exact"/>
              <w:rPr>
                <w:sz w:val="20"/>
                <w:szCs w:val="20"/>
                <w:color w:val="auto"/>
              </w:rPr>
            </w:pPr>
            <w:r>
              <w:rPr>
                <w:rFonts w:ascii="Arial" w:cs="Arial" w:eastAsia="Arial" w:hAnsi="Arial"/>
                <w:sz w:val="13"/>
                <w:szCs w:val="13"/>
                <w:color w:val="auto"/>
              </w:rPr>
              <w:t>5,500</w:t>
            </w:r>
          </w:p>
        </w:tc>
        <w:tc>
          <w:tcPr>
            <w:tcW w:w="740" w:type="dxa"/>
            <w:vAlign w:val="bottom"/>
          </w:tcPr>
          <w:p>
            <w:pPr>
              <w:jc w:val="right"/>
              <w:ind w:right="94"/>
              <w:spacing w:after="0" w:line="126" w:lineRule="exact"/>
              <w:rPr>
                <w:sz w:val="20"/>
                <w:szCs w:val="20"/>
                <w:color w:val="auto"/>
              </w:rPr>
            </w:pPr>
            <w:r>
              <w:rPr>
                <w:rFonts w:ascii="Arial" w:cs="Arial" w:eastAsia="Arial" w:hAnsi="Arial"/>
                <w:sz w:val="13"/>
                <w:szCs w:val="13"/>
                <w:color w:val="auto"/>
              </w:rPr>
              <w:t>2,408</w:t>
            </w:r>
          </w:p>
        </w:tc>
        <w:tc>
          <w:tcPr>
            <w:tcW w:w="840" w:type="dxa"/>
            <w:vAlign w:val="bottom"/>
          </w:tcPr>
          <w:p>
            <w:pPr>
              <w:jc w:val="right"/>
              <w:ind w:right="54"/>
              <w:spacing w:after="0" w:line="126" w:lineRule="exact"/>
              <w:rPr>
                <w:sz w:val="20"/>
                <w:szCs w:val="20"/>
                <w:color w:val="auto"/>
              </w:rPr>
            </w:pPr>
            <w:r>
              <w:rPr>
                <w:rFonts w:ascii="Arial" w:cs="Arial" w:eastAsia="Arial" w:hAnsi="Arial"/>
                <w:sz w:val="13"/>
                <w:szCs w:val="13"/>
                <w:color w:val="auto"/>
              </w:rPr>
              <w:t>43.8%</w:t>
            </w: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6"/>
        </w:trPr>
        <w:tc>
          <w:tcPr>
            <w:tcW w:w="20" w:type="dxa"/>
            <w:vAlign w:val="bottom"/>
          </w:tcPr>
          <w:p>
            <w:pPr>
              <w:spacing w:after="0"/>
              <w:rPr>
                <w:sz w:val="12"/>
                <w:szCs w:val="12"/>
                <w:color w:val="auto"/>
              </w:rPr>
            </w:pPr>
          </w:p>
        </w:tc>
        <w:tc>
          <w:tcPr>
            <w:tcW w:w="3760" w:type="dxa"/>
            <w:vAlign w:val="bottom"/>
            <w:gridSpan w:val="2"/>
          </w:tcPr>
          <w:p>
            <w:pPr>
              <w:ind w:left="140"/>
              <w:spacing w:after="0" w:line="146" w:lineRule="exact"/>
              <w:rPr>
                <w:sz w:val="20"/>
                <w:szCs w:val="20"/>
                <w:color w:val="auto"/>
              </w:rPr>
            </w:pPr>
            <w:r>
              <w:rPr>
                <w:rFonts w:ascii="Arial" w:cs="Arial" w:eastAsia="Arial" w:hAnsi="Arial"/>
                <w:sz w:val="13"/>
                <w:szCs w:val="13"/>
                <w:b w:val="1"/>
                <w:bCs w:val="1"/>
                <w:color w:val="auto"/>
              </w:rPr>
              <w:t> Reuters News</w:t>
            </w:r>
          </w:p>
        </w:tc>
        <w:tc>
          <w:tcPr>
            <w:tcW w:w="112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769</w:t>
            </w:r>
          </w:p>
        </w:tc>
        <w:tc>
          <w:tcPr>
            <w:tcW w:w="148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1</w:t>
            </w:r>
          </w:p>
        </w:tc>
        <w:tc>
          <w:tcPr>
            <w:tcW w:w="176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770</w:t>
            </w:r>
          </w:p>
        </w:tc>
        <w:tc>
          <w:tcPr>
            <w:tcW w:w="740" w:type="dxa"/>
            <w:vAlign w:val="bottom"/>
          </w:tcPr>
          <w:p>
            <w:pPr>
              <w:jc w:val="right"/>
              <w:ind w:right="94"/>
              <w:spacing w:after="0" w:line="146" w:lineRule="exact"/>
              <w:rPr>
                <w:sz w:val="20"/>
                <w:szCs w:val="20"/>
                <w:color w:val="auto"/>
              </w:rPr>
            </w:pPr>
            <w:r>
              <w:rPr>
                <w:rFonts w:ascii="Arial" w:cs="Arial" w:eastAsia="Arial" w:hAnsi="Arial"/>
                <w:sz w:val="13"/>
                <w:szCs w:val="13"/>
                <w:color w:val="auto"/>
              </w:rPr>
              <w:t>172</w:t>
            </w:r>
          </w:p>
        </w:tc>
        <w:tc>
          <w:tcPr>
            <w:tcW w:w="840" w:type="dxa"/>
            <w:vAlign w:val="bottom"/>
          </w:tcPr>
          <w:p>
            <w:pPr>
              <w:jc w:val="right"/>
              <w:ind w:right="54"/>
              <w:spacing w:after="0" w:line="146" w:lineRule="exact"/>
              <w:rPr>
                <w:sz w:val="20"/>
                <w:szCs w:val="20"/>
                <w:color w:val="auto"/>
              </w:rPr>
            </w:pPr>
            <w:r>
              <w:rPr>
                <w:rFonts w:ascii="Arial" w:cs="Arial" w:eastAsia="Arial" w:hAnsi="Arial"/>
                <w:sz w:val="13"/>
                <w:szCs w:val="13"/>
                <w:color w:val="auto"/>
              </w:rPr>
              <w:t>22.4%</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3760" w:type="dxa"/>
            <w:vAlign w:val="bottom"/>
            <w:gridSpan w:val="2"/>
          </w:tcPr>
          <w:p>
            <w:pPr>
              <w:ind w:left="140"/>
              <w:spacing w:after="0" w:line="146" w:lineRule="exact"/>
              <w:rPr>
                <w:sz w:val="20"/>
                <w:szCs w:val="20"/>
                <w:color w:val="auto"/>
              </w:rPr>
            </w:pPr>
            <w:r>
              <w:rPr>
                <w:rFonts w:ascii="Arial" w:cs="Arial" w:eastAsia="Arial" w:hAnsi="Arial"/>
                <w:sz w:val="13"/>
                <w:szCs w:val="13"/>
                <w:b w:val="1"/>
                <w:bCs w:val="1"/>
                <w:color w:val="auto"/>
              </w:rPr>
              <w:t> Global Print</w:t>
            </w:r>
          </w:p>
        </w:tc>
        <w:tc>
          <w:tcPr>
            <w:tcW w:w="112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562</w:t>
            </w:r>
          </w:p>
        </w:tc>
        <w:tc>
          <w:tcPr>
            <w:tcW w:w="148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76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562</w:t>
            </w:r>
          </w:p>
        </w:tc>
        <w:tc>
          <w:tcPr>
            <w:tcW w:w="740" w:type="dxa"/>
            <w:vAlign w:val="bottom"/>
          </w:tcPr>
          <w:p>
            <w:pPr>
              <w:jc w:val="right"/>
              <w:ind w:right="94"/>
              <w:spacing w:after="0" w:line="146" w:lineRule="exact"/>
              <w:rPr>
                <w:sz w:val="20"/>
                <w:szCs w:val="20"/>
                <w:color w:val="auto"/>
              </w:rPr>
            </w:pPr>
            <w:r>
              <w:rPr>
                <w:rFonts w:ascii="Arial" w:cs="Arial" w:eastAsia="Arial" w:hAnsi="Arial"/>
                <w:sz w:val="13"/>
                <w:szCs w:val="13"/>
                <w:color w:val="auto"/>
              </w:rPr>
              <w:t>213</w:t>
            </w:r>
          </w:p>
        </w:tc>
        <w:tc>
          <w:tcPr>
            <w:tcW w:w="840" w:type="dxa"/>
            <w:vAlign w:val="bottom"/>
          </w:tcPr>
          <w:p>
            <w:pPr>
              <w:jc w:val="right"/>
              <w:ind w:right="54"/>
              <w:spacing w:after="0" w:line="146" w:lineRule="exact"/>
              <w:rPr>
                <w:sz w:val="20"/>
                <w:szCs w:val="20"/>
                <w:color w:val="auto"/>
              </w:rPr>
            </w:pPr>
            <w:r>
              <w:rPr>
                <w:rFonts w:ascii="Arial" w:cs="Arial" w:eastAsia="Arial" w:hAnsi="Arial"/>
                <w:sz w:val="13"/>
                <w:szCs w:val="13"/>
                <w:color w:val="auto"/>
              </w:rPr>
              <w:t>38.0%</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3760" w:type="dxa"/>
            <w:vAlign w:val="bottom"/>
            <w:gridSpan w:val="2"/>
          </w:tcPr>
          <w:p>
            <w:pPr>
              <w:ind w:left="140"/>
              <w:spacing w:after="0" w:line="146" w:lineRule="exact"/>
              <w:rPr>
                <w:sz w:val="20"/>
                <w:szCs w:val="20"/>
                <w:color w:val="auto"/>
              </w:rPr>
            </w:pPr>
            <w:r>
              <w:rPr>
                <w:rFonts w:ascii="Arial" w:cs="Arial" w:eastAsia="Arial" w:hAnsi="Arial"/>
                <w:sz w:val="13"/>
                <w:szCs w:val="13"/>
                <w:b w:val="1"/>
                <w:bCs w:val="1"/>
                <w:color w:val="auto"/>
              </w:rPr>
              <w:t> Eliminations/Rounding</w:t>
            </w:r>
          </w:p>
        </w:tc>
        <w:tc>
          <w:tcPr>
            <w:tcW w:w="112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(22)</w:t>
            </w:r>
          </w:p>
        </w:tc>
        <w:tc>
          <w:tcPr>
            <w:tcW w:w="148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176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(22)</w:t>
            </w:r>
          </w:p>
        </w:tc>
        <w:tc>
          <w:tcPr>
            <w:tcW w:w="740" w:type="dxa"/>
            <w:vAlign w:val="bottom"/>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1940" w:type="dxa"/>
            <w:vAlign w:val="bottom"/>
            <w:gridSpan w:val="3"/>
          </w:tcPr>
          <w:p>
            <w:pPr>
              <w:jc w:val="right"/>
              <w:ind w:right="1220"/>
              <w:spacing w:after="0" w:line="146" w:lineRule="exact"/>
              <w:rPr>
                <w:sz w:val="20"/>
                <w:szCs w:val="20"/>
                <w:color w:val="auto"/>
              </w:rPr>
            </w:pPr>
            <w:r>
              <w:rPr>
                <w:rFonts w:ascii="Arial" w:cs="Arial" w:eastAsia="Arial" w:hAnsi="Arial"/>
                <w:sz w:val="13"/>
                <w:szCs w:val="13"/>
                <w:color w:val="auto"/>
              </w:rPr>
              <w:t>n/a</w:t>
            </w:r>
          </w:p>
        </w:tc>
      </w:tr>
      <w:tr>
        <w:trPr>
          <w:trHeight w:val="158"/>
        </w:trPr>
        <w:tc>
          <w:tcPr>
            <w:tcW w:w="20" w:type="dxa"/>
            <w:vAlign w:val="bottom"/>
          </w:tcPr>
          <w:p>
            <w:pPr>
              <w:spacing w:after="0"/>
              <w:rPr>
                <w:sz w:val="13"/>
                <w:szCs w:val="13"/>
                <w:color w:val="auto"/>
              </w:rPr>
            </w:pPr>
          </w:p>
        </w:tc>
        <w:tc>
          <w:tcPr>
            <w:tcW w:w="3760" w:type="dxa"/>
            <w:vAlign w:val="bottom"/>
            <w:gridSpan w:val="2"/>
          </w:tcPr>
          <w:p>
            <w:pPr>
              <w:ind w:left="140"/>
              <w:spacing w:after="0"/>
              <w:rPr>
                <w:sz w:val="20"/>
                <w:szCs w:val="20"/>
                <w:color w:val="auto"/>
              </w:rPr>
            </w:pPr>
            <w:r>
              <w:rPr>
                <w:rFonts w:ascii="Arial" w:cs="Arial" w:eastAsia="Arial" w:hAnsi="Arial"/>
                <w:sz w:val="13"/>
                <w:szCs w:val="13"/>
                <w:b w:val="1"/>
                <w:bCs w:val="1"/>
                <w:color w:val="auto"/>
              </w:rPr>
              <w:t> Corporate costs</w:t>
            </w:r>
          </w:p>
        </w:tc>
        <w:tc>
          <w:tcPr>
            <w:tcW w:w="112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1760" w:type="dxa"/>
            <w:vAlign w:val="bottom"/>
          </w:tcPr>
          <w:p>
            <w:pPr>
              <w:jc w:val="right"/>
              <w:ind w:right="334"/>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4"/>
              <w:spacing w:after="0"/>
              <w:rPr>
                <w:sz w:val="20"/>
                <w:szCs w:val="20"/>
                <w:color w:val="auto"/>
              </w:rPr>
            </w:pPr>
            <w:r>
              <w:rPr>
                <w:rFonts w:ascii="Arial" w:cs="Arial" w:eastAsia="Arial" w:hAnsi="Arial"/>
                <w:sz w:val="13"/>
                <w:szCs w:val="13"/>
                <w:color w:val="auto"/>
              </w:rPr>
              <w:t>(115)</w:t>
            </w:r>
          </w:p>
        </w:tc>
        <w:tc>
          <w:tcPr>
            <w:tcW w:w="1940" w:type="dxa"/>
            <w:vAlign w:val="bottom"/>
            <w:gridSpan w:val="3"/>
          </w:tcPr>
          <w:p>
            <w:pPr>
              <w:jc w:val="right"/>
              <w:ind w:right="1220"/>
              <w:spacing w:after="0"/>
              <w:rPr>
                <w:sz w:val="20"/>
                <w:szCs w:val="20"/>
                <w:color w:val="auto"/>
              </w:rPr>
            </w:pPr>
            <w:r>
              <w:rPr>
                <w:rFonts w:ascii="Arial" w:cs="Arial" w:eastAsia="Arial" w:hAnsi="Arial"/>
                <w:sz w:val="13"/>
                <w:szCs w:val="13"/>
                <w:color w:val="auto"/>
              </w:rPr>
              <w:t>n/a</w:t>
            </w:r>
          </w:p>
        </w:tc>
      </w:tr>
      <w:tr>
        <w:trPr>
          <w:trHeight w:val="146"/>
        </w:trPr>
        <w:tc>
          <w:tcPr>
            <w:tcW w:w="3780" w:type="dxa"/>
            <w:vAlign w:val="bottom"/>
            <w:tcBorders>
              <w:top w:val="single" w:sz="8" w:color="B2B2B2"/>
              <w:bottom w:val="single" w:sz="8" w:color="D64000"/>
            </w:tcBorders>
            <w:gridSpan w:val="3"/>
          </w:tcPr>
          <w:p>
            <w:pPr>
              <w:spacing w:after="0" w:line="139" w:lineRule="exact"/>
              <w:rPr>
                <w:sz w:val="20"/>
                <w:szCs w:val="20"/>
                <w:color w:val="auto"/>
              </w:rPr>
            </w:pPr>
            <w:r>
              <w:rPr>
                <w:rFonts w:ascii="Arial" w:cs="Arial" w:eastAsia="Arial" w:hAnsi="Arial"/>
                <w:sz w:val="13"/>
                <w:szCs w:val="13"/>
                <w:b w:val="1"/>
                <w:bCs w:val="1"/>
                <w:color w:val="auto"/>
              </w:rPr>
              <w:t> Consolidated totals</w:t>
            </w:r>
          </w:p>
        </w:tc>
        <w:tc>
          <w:tcPr>
            <w:tcW w:w="1120" w:type="dxa"/>
            <w:vAlign w:val="bottom"/>
            <w:tcBorders>
              <w:top w:val="single" w:sz="8" w:color="B2B2B2"/>
              <w:bottom w:val="single" w:sz="8" w:color="D64000"/>
            </w:tcBorders>
          </w:tcPr>
          <w:p>
            <w:pPr>
              <w:jc w:val="right"/>
              <w:ind w:right="174"/>
              <w:spacing w:after="0" w:line="139" w:lineRule="exact"/>
              <w:rPr>
                <w:sz w:val="20"/>
                <w:szCs w:val="20"/>
                <w:color w:val="auto"/>
              </w:rPr>
            </w:pPr>
            <w:r>
              <w:rPr>
                <w:rFonts w:ascii="Arial" w:cs="Arial" w:eastAsia="Arial" w:hAnsi="Arial"/>
                <w:sz w:val="13"/>
                <w:szCs w:val="13"/>
                <w:color w:val="auto"/>
              </w:rPr>
              <w:t>6,794</w:t>
            </w:r>
          </w:p>
        </w:tc>
        <w:tc>
          <w:tcPr>
            <w:tcW w:w="1480" w:type="dxa"/>
            <w:vAlign w:val="bottom"/>
            <w:tcBorders>
              <w:top w:val="single" w:sz="8" w:color="B2B2B2"/>
              <w:bottom w:val="single" w:sz="8" w:color="D64000"/>
            </w:tcBorders>
          </w:tcPr>
          <w:p>
            <w:pPr>
              <w:jc w:val="right"/>
              <w:ind w:right="154"/>
              <w:spacing w:after="0" w:line="139" w:lineRule="exact"/>
              <w:rPr>
                <w:sz w:val="20"/>
                <w:szCs w:val="20"/>
                <w:color w:val="auto"/>
              </w:rPr>
            </w:pPr>
            <w:r>
              <w:rPr>
                <w:rFonts w:ascii="Arial" w:cs="Arial" w:eastAsia="Arial" w:hAnsi="Arial"/>
                <w:sz w:val="13"/>
                <w:szCs w:val="13"/>
                <w:color w:val="auto"/>
              </w:rPr>
              <w:t>16</w:t>
            </w:r>
          </w:p>
        </w:tc>
        <w:tc>
          <w:tcPr>
            <w:tcW w:w="1760" w:type="dxa"/>
            <w:vAlign w:val="bottom"/>
            <w:tcBorders>
              <w:top w:val="single" w:sz="8" w:color="B2B2B2"/>
              <w:bottom w:val="single" w:sz="8" w:color="D64000"/>
            </w:tcBorders>
          </w:tcPr>
          <w:p>
            <w:pPr>
              <w:jc w:val="right"/>
              <w:ind w:right="334"/>
              <w:spacing w:after="0" w:line="139" w:lineRule="exact"/>
              <w:rPr>
                <w:sz w:val="20"/>
                <w:szCs w:val="20"/>
                <w:color w:val="auto"/>
              </w:rPr>
            </w:pPr>
            <w:r>
              <w:rPr>
                <w:rFonts w:ascii="Arial" w:cs="Arial" w:eastAsia="Arial" w:hAnsi="Arial"/>
                <w:sz w:val="13"/>
                <w:szCs w:val="13"/>
                <w:color w:val="auto"/>
              </w:rPr>
              <w:t>6,810</w:t>
            </w:r>
          </w:p>
        </w:tc>
        <w:tc>
          <w:tcPr>
            <w:tcW w:w="740" w:type="dxa"/>
            <w:vAlign w:val="bottom"/>
            <w:tcBorders>
              <w:top w:val="single" w:sz="8" w:color="B2B2B2"/>
              <w:bottom w:val="single" w:sz="8" w:color="D64000"/>
            </w:tcBorders>
          </w:tcPr>
          <w:p>
            <w:pPr>
              <w:jc w:val="right"/>
              <w:ind w:right="94"/>
              <w:spacing w:after="0" w:line="139" w:lineRule="exact"/>
              <w:rPr>
                <w:sz w:val="20"/>
                <w:szCs w:val="20"/>
                <w:color w:val="auto"/>
              </w:rPr>
            </w:pPr>
            <w:r>
              <w:rPr>
                <w:rFonts w:ascii="Arial" w:cs="Arial" w:eastAsia="Arial" w:hAnsi="Arial"/>
                <w:sz w:val="13"/>
                <w:szCs w:val="13"/>
                <w:color w:val="auto"/>
              </w:rPr>
              <w:t>2,678</w:t>
            </w:r>
          </w:p>
        </w:tc>
        <w:tc>
          <w:tcPr>
            <w:tcW w:w="840" w:type="dxa"/>
            <w:vAlign w:val="bottom"/>
            <w:tcBorders>
              <w:top w:val="single" w:sz="8" w:color="B2B2B2"/>
              <w:bottom w:val="single" w:sz="8" w:color="D64000"/>
            </w:tcBorders>
          </w:tcPr>
          <w:p>
            <w:pPr>
              <w:jc w:val="right"/>
              <w:ind w:right="54"/>
              <w:spacing w:after="0" w:line="139" w:lineRule="exact"/>
              <w:rPr>
                <w:sz w:val="20"/>
                <w:szCs w:val="20"/>
                <w:color w:val="auto"/>
              </w:rPr>
            </w:pPr>
            <w:r>
              <w:rPr>
                <w:rFonts w:ascii="Arial" w:cs="Arial" w:eastAsia="Arial" w:hAnsi="Arial"/>
                <w:sz w:val="13"/>
                <w:szCs w:val="13"/>
                <w:color w:val="auto"/>
              </w:rPr>
              <w:t>39.3%</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2"/>
        </w:trPr>
        <w:tc>
          <w:tcPr>
            <w:tcW w:w="20" w:type="dxa"/>
            <w:vAlign w:val="bottom"/>
            <w:tcBorders>
              <w:bottom w:val="single" w:sz="8" w:color="7F7F7F"/>
            </w:tcBorders>
          </w:tcPr>
          <w:p>
            <w:pPr>
              <w:spacing w:after="0"/>
              <w:rPr>
                <w:sz w:val="14"/>
                <w:szCs w:val="14"/>
                <w:color w:val="auto"/>
              </w:rPr>
            </w:pPr>
          </w:p>
        </w:tc>
        <w:tc>
          <w:tcPr>
            <w:tcW w:w="640" w:type="dxa"/>
            <w:vAlign w:val="bottom"/>
            <w:tcBorders>
              <w:bottom w:val="single" w:sz="8" w:color="7F7F7F"/>
            </w:tcBorders>
          </w:tcPr>
          <w:p>
            <w:pPr>
              <w:spacing w:after="0"/>
              <w:rPr>
                <w:sz w:val="14"/>
                <w:szCs w:val="14"/>
                <w:color w:val="auto"/>
              </w:rPr>
            </w:pPr>
          </w:p>
        </w:tc>
        <w:tc>
          <w:tcPr>
            <w:tcW w:w="3120" w:type="dxa"/>
            <w:vAlign w:val="bottom"/>
            <w:tcBorders>
              <w:bottom w:val="single" w:sz="8" w:color="7F7F7F"/>
            </w:tcBorders>
          </w:tcPr>
          <w:p>
            <w:pPr>
              <w:spacing w:after="0"/>
              <w:rPr>
                <w:sz w:val="14"/>
                <w:szCs w:val="14"/>
                <w:color w:val="auto"/>
              </w:rPr>
            </w:pPr>
          </w:p>
        </w:tc>
        <w:tc>
          <w:tcPr>
            <w:tcW w:w="1120" w:type="dxa"/>
            <w:vAlign w:val="bottom"/>
            <w:tcBorders>
              <w:bottom w:val="single" w:sz="8" w:color="7F7F7F"/>
            </w:tcBorders>
          </w:tcPr>
          <w:p>
            <w:pPr>
              <w:spacing w:after="0"/>
              <w:rPr>
                <w:sz w:val="14"/>
                <w:szCs w:val="14"/>
                <w:color w:val="auto"/>
              </w:rPr>
            </w:pPr>
          </w:p>
        </w:tc>
        <w:tc>
          <w:tcPr>
            <w:tcW w:w="1480" w:type="dxa"/>
            <w:vAlign w:val="bottom"/>
            <w:tcBorders>
              <w:bottom w:val="single" w:sz="8" w:color="7F7F7F"/>
            </w:tcBorders>
          </w:tcPr>
          <w:p>
            <w:pPr>
              <w:spacing w:after="0"/>
              <w:rPr>
                <w:sz w:val="14"/>
                <w:szCs w:val="14"/>
                <w:color w:val="auto"/>
              </w:rPr>
            </w:pPr>
          </w:p>
        </w:tc>
        <w:tc>
          <w:tcPr>
            <w:tcW w:w="1760" w:type="dxa"/>
            <w:vAlign w:val="bottom"/>
            <w:tcBorders>
              <w:bottom w:val="single" w:sz="8" w:color="7F7F7F"/>
            </w:tcBorders>
          </w:tcPr>
          <w:p>
            <w:pPr>
              <w:spacing w:after="0"/>
              <w:rPr>
                <w:sz w:val="14"/>
                <w:szCs w:val="14"/>
                <w:color w:val="auto"/>
              </w:rPr>
            </w:pPr>
          </w:p>
        </w:tc>
        <w:tc>
          <w:tcPr>
            <w:tcW w:w="740" w:type="dxa"/>
            <w:vAlign w:val="bottom"/>
            <w:tcBorders>
              <w:bottom w:val="single" w:sz="8" w:color="7F7F7F"/>
            </w:tcBorders>
          </w:tcPr>
          <w:p>
            <w:pPr>
              <w:spacing w:after="0"/>
              <w:rPr>
                <w:sz w:val="14"/>
                <w:szCs w:val="14"/>
                <w:color w:val="auto"/>
              </w:rPr>
            </w:pPr>
          </w:p>
        </w:tc>
        <w:tc>
          <w:tcPr>
            <w:tcW w:w="840" w:type="dxa"/>
            <w:vAlign w:val="bottom"/>
            <w:tcBorders>
              <w:bottom w:val="single" w:sz="8" w:color="7F7F7F"/>
            </w:tcBorders>
          </w:tcPr>
          <w:p>
            <w:pPr>
              <w:spacing w:after="0"/>
              <w:rPr>
                <w:sz w:val="14"/>
                <w:szCs w:val="14"/>
                <w:color w:val="auto"/>
              </w:rPr>
            </w:pPr>
          </w:p>
        </w:tc>
        <w:tc>
          <w:tcPr>
            <w:tcW w:w="1080" w:type="dxa"/>
            <w:vAlign w:val="bottom"/>
            <w:tcBorders>
              <w:bottom w:val="single" w:sz="8" w:color="7F7F7F"/>
            </w:tcBorders>
          </w:tcPr>
          <w:p>
            <w:pPr>
              <w:spacing w:after="0"/>
              <w:rPr>
                <w:sz w:val="14"/>
                <w:szCs w:val="14"/>
                <w:color w:val="auto"/>
              </w:rPr>
            </w:pPr>
          </w:p>
        </w:tc>
        <w:tc>
          <w:tcPr>
            <w:tcW w:w="20" w:type="dxa"/>
            <w:vAlign w:val="bottom"/>
          </w:tcPr>
          <w:p>
            <w:pPr>
              <w:spacing w:after="0"/>
              <w:rPr>
                <w:sz w:val="14"/>
                <w:szCs w:val="14"/>
                <w:color w:val="auto"/>
              </w:rPr>
            </w:pPr>
          </w:p>
        </w:tc>
      </w:tr>
      <w:tr>
        <w:trPr>
          <w:trHeight w:val="228"/>
        </w:trPr>
        <w:tc>
          <w:tcPr>
            <w:tcW w:w="3780" w:type="dxa"/>
            <w:vAlign w:val="bottom"/>
            <w:gridSpan w:val="3"/>
          </w:tcPr>
          <w:p>
            <w:pPr>
              <w:spacing w:after="0"/>
              <w:rPr>
                <w:sz w:val="20"/>
                <w:szCs w:val="20"/>
                <w:color w:val="auto"/>
              </w:rPr>
            </w:pPr>
            <w:r>
              <w:rPr>
                <w:rFonts w:ascii="Arial" w:cs="Arial" w:eastAsia="Arial" w:hAnsi="Arial"/>
                <w:sz w:val="17"/>
                <w:szCs w:val="17"/>
                <w:b w:val="1"/>
                <w:bCs w:val="1"/>
                <w:color w:val="auto"/>
              </w:rPr>
              <w:t>Thomson Reuters Annual Report 2024</w:t>
            </w:r>
          </w:p>
        </w:tc>
        <w:tc>
          <w:tcPr>
            <w:tcW w:w="1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00" w:type="dxa"/>
            <w:vAlign w:val="bottom"/>
            <w:gridSpan w:val="2"/>
          </w:tcPr>
          <w:p>
            <w:pPr>
              <w:ind w:left="460"/>
              <w:spacing w:after="0"/>
              <w:rPr>
                <w:sz w:val="20"/>
                <w:szCs w:val="20"/>
                <w:color w:val="auto"/>
              </w:rPr>
            </w:pPr>
            <w:r>
              <w:rPr>
                <w:rFonts w:ascii="Arial" w:cs="Arial" w:eastAsia="Arial" w:hAnsi="Arial"/>
                <w:sz w:val="17"/>
                <w:szCs w:val="17"/>
                <w:color w:val="auto"/>
                <w:w w:val="97"/>
              </w:rPr>
              <w:t>Page 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-5103495</wp:posOffset>
            </wp:positionV>
            <wp:extent cx="617537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175375" cy="825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-3471545</wp:posOffset>
            </wp:positionV>
            <wp:extent cx="617537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175375" cy="825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-1838960</wp:posOffset>
            </wp:positionV>
            <wp:extent cx="617537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ectPr>
          <w:pgSz w:w="11900" w:h="16838" w:orient="portrait"/>
          <w:cols w:equalWidth="0" w:num="1">
            <w:col w:w="11040"/>
          </w:cols>
          <w:pgMar w:left="320" w:top="477" w:right="5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Appendix C</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Calculation of Return on Invested Capital (ROIC)</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calculate ROIC as adjusted operating profit after net taxes paid expressed as a percentage of the average invested capital during the period.</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Invested capital represents our net operating assets that contribute to, or arise from, our post-tax adjusted operating profit.</w:t>
      </w:r>
    </w:p>
    <w:p>
      <w:pPr>
        <w:spacing w:after="0" w:line="67" w:lineRule="exact"/>
        <w:rPr>
          <w:sz w:val="20"/>
          <w:szCs w:val="20"/>
          <w:color w:val="auto"/>
        </w:rPr>
      </w:pPr>
    </w:p>
    <w:p>
      <w:pPr>
        <w:ind w:left="220" w:right="240"/>
        <w:spacing w:after="0" w:line="243" w:lineRule="auto"/>
        <w:rPr>
          <w:sz w:val="20"/>
          <w:szCs w:val="20"/>
          <w:color w:val="auto"/>
        </w:rPr>
      </w:pPr>
      <w:r>
        <w:rPr>
          <w:rFonts w:ascii="Arial" w:cs="Arial" w:eastAsia="Arial" w:hAnsi="Arial"/>
          <w:sz w:val="17"/>
          <w:szCs w:val="17"/>
          <w:color w:val="auto"/>
        </w:rPr>
        <w:t>As of December 31, 2024, we amended our definition of ROIC to exclude amortization from acquired computer software in the calculation of adjusted operating profit. The related accumulated amortization is also removed from the calculation of invested capital. This change aligns the treatment of this item across all of our non-IFRS financial measures. Prior period amounts were revised for comparability.</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provides the calculation of our ROIC for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66675</wp:posOffset>
            </wp:positionV>
            <wp:extent cx="68656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85" w:lineRule="exact"/>
        <w:rPr>
          <w:sz w:val="20"/>
          <w:szCs w:val="20"/>
          <w:color w:val="auto"/>
        </w:rPr>
      </w:pPr>
    </w:p>
    <w:tbl>
      <w:tblPr>
        <w:tblLayout w:type="fixed"/>
        <w:tblInd w:w="220" w:type="dxa"/>
        <w:tblCellMar>
          <w:top w:w="0" w:type="dxa"/>
          <w:left w:w="0" w:type="dxa"/>
          <w:bottom w:w="0" w:type="dxa"/>
          <w:right w:w="0" w:type="dxa"/>
        </w:tblCellMar>
      </w:tblPr>
      <w:tr>
        <w:trPr>
          <w:trHeight w:val="258"/>
        </w:trPr>
        <w:tc>
          <w:tcPr>
            <w:tcW w:w="7480" w:type="dxa"/>
            <w:vAlign w:val="bottom"/>
          </w:tcPr>
          <w:p>
            <w:pPr>
              <w:spacing w:after="0"/>
              <w:rPr>
                <w:sz w:val="22"/>
                <w:szCs w:val="22"/>
                <w:color w:val="auto"/>
              </w:rPr>
            </w:pPr>
          </w:p>
        </w:tc>
        <w:tc>
          <w:tcPr>
            <w:tcW w:w="3320" w:type="dxa"/>
            <w:vAlign w:val="bottom"/>
            <w:tcBorders>
              <w:bottom w:val="single" w:sz="8" w:color="E3F3EE"/>
            </w:tcBorders>
            <w:gridSpan w:val="3"/>
            <w:shd w:val="clear" w:color="auto" w:fill="E3F3EE"/>
          </w:tcPr>
          <w:p>
            <w:pPr>
              <w:jc w:val="right"/>
              <w:spacing w:after="0"/>
              <w:rPr>
                <w:sz w:val="20"/>
                <w:szCs w:val="20"/>
                <w:color w:val="auto"/>
              </w:rPr>
            </w:pPr>
            <w:r>
              <w:rPr>
                <w:rFonts w:ascii="Arial" w:cs="Arial" w:eastAsia="Arial" w:hAnsi="Arial"/>
                <w:sz w:val="15"/>
                <w:szCs w:val="15"/>
                <w:b w:val="1"/>
                <w:bCs w:val="1"/>
                <w:color w:val="auto"/>
              </w:rPr>
              <w:t>For the years ended and as of December 31,</w:t>
            </w:r>
          </w:p>
        </w:tc>
        <w:tc>
          <w:tcPr>
            <w:tcW w:w="20" w:type="dxa"/>
            <w:vAlign w:val="bottom"/>
          </w:tcPr>
          <w:p>
            <w:pPr>
              <w:spacing w:after="0"/>
              <w:rPr>
                <w:sz w:val="22"/>
                <w:szCs w:val="22"/>
                <w:color w:val="auto"/>
              </w:rPr>
            </w:pPr>
          </w:p>
        </w:tc>
      </w:tr>
      <w:tr>
        <w:trPr>
          <w:trHeight w:val="290"/>
        </w:trPr>
        <w:tc>
          <w:tcPr>
            <w:tcW w:w="7480" w:type="dxa"/>
            <w:vAlign w:val="bottom"/>
            <w:tcBorders>
              <w:bottom w:val="single" w:sz="8" w:color="1F473D"/>
            </w:tcBorders>
            <w:shd w:val="clear" w:color="auto" w:fill="1F473D"/>
          </w:tcPr>
          <w:p>
            <w:pPr>
              <w:spacing w:after="0"/>
              <w:rPr>
                <w:sz w:val="20"/>
                <w:szCs w:val="20"/>
                <w:color w:val="auto"/>
              </w:rPr>
            </w:pPr>
            <w:r>
              <w:rPr>
                <w:rFonts w:ascii="Arial" w:cs="Arial" w:eastAsia="Arial" w:hAnsi="Arial"/>
                <w:sz w:val="15"/>
                <w:szCs w:val="15"/>
                <w:b w:val="1"/>
                <w:bCs w:val="1"/>
                <w:color w:val="FFFFFF"/>
              </w:rPr>
              <w:t>  (millions of U.S. dollars)</w:t>
            </w:r>
          </w:p>
        </w:tc>
        <w:tc>
          <w:tcPr>
            <w:tcW w:w="1120" w:type="dxa"/>
            <w:vAlign w:val="bottom"/>
            <w:tcBorders>
              <w:bottom w:val="single" w:sz="8" w:color="1F473D"/>
            </w:tcBorders>
            <w:shd w:val="clear" w:color="auto" w:fill="1F473D"/>
          </w:tcPr>
          <w:p>
            <w:pPr>
              <w:ind w:left="300"/>
              <w:spacing w:after="0"/>
              <w:rPr>
                <w:sz w:val="20"/>
                <w:szCs w:val="20"/>
                <w:color w:val="auto"/>
              </w:rPr>
            </w:pPr>
            <w:r>
              <w:rPr>
                <w:rFonts w:ascii="Arial" w:cs="Arial" w:eastAsia="Arial" w:hAnsi="Arial"/>
                <w:sz w:val="15"/>
                <w:szCs w:val="15"/>
                <w:b w:val="1"/>
                <w:bCs w:val="1"/>
                <w:color w:val="auto"/>
              </w:rPr>
              <w:t xml:space="preserve">      </w:t>
            </w:r>
          </w:p>
        </w:tc>
        <w:tc>
          <w:tcPr>
            <w:tcW w:w="1340" w:type="dxa"/>
            <w:vAlign w:val="bottom"/>
            <w:tcBorders>
              <w:bottom w:val="single" w:sz="8" w:color="1F473D"/>
            </w:tcBorders>
            <w:shd w:val="clear" w:color="auto" w:fill="1F473D"/>
          </w:tcPr>
          <w:p>
            <w:pPr>
              <w:jc w:val="right"/>
              <w:ind w:right="325"/>
              <w:spacing w:after="0"/>
              <w:rPr>
                <w:sz w:val="20"/>
                <w:szCs w:val="20"/>
                <w:color w:val="auto"/>
              </w:rPr>
            </w:pPr>
            <w:r>
              <w:rPr>
                <w:rFonts w:ascii="Arial" w:cs="Arial" w:eastAsia="Arial" w:hAnsi="Arial"/>
                <w:sz w:val="15"/>
                <w:szCs w:val="15"/>
                <w:b w:val="1"/>
                <w:bCs w:val="1"/>
                <w:color w:val="FFFFFF"/>
              </w:rPr>
              <w:t>2024</w:t>
            </w:r>
          </w:p>
        </w:tc>
        <w:tc>
          <w:tcPr>
            <w:tcW w:w="860" w:type="dxa"/>
            <w:vAlign w:val="bottom"/>
            <w:tcBorders>
              <w:bottom w:val="single" w:sz="8" w:color="1F473D"/>
            </w:tcBorders>
            <w:shd w:val="clear" w:color="auto" w:fill="1F473D"/>
          </w:tcPr>
          <w:p>
            <w:pPr>
              <w:jc w:val="right"/>
              <w:spacing w:after="0"/>
              <w:rPr>
                <w:sz w:val="20"/>
                <w:szCs w:val="20"/>
                <w:color w:val="auto"/>
              </w:rPr>
            </w:pPr>
            <w:r>
              <w:rPr>
                <w:rFonts w:ascii="Arial" w:cs="Arial" w:eastAsia="Arial" w:hAnsi="Arial"/>
                <w:sz w:val="15"/>
                <w:szCs w:val="15"/>
                <w:color w:val="FFFFFF"/>
              </w:rPr>
              <w:t>2023</w:t>
            </w:r>
          </w:p>
        </w:tc>
        <w:tc>
          <w:tcPr>
            <w:tcW w:w="20" w:type="dxa"/>
            <w:vAlign w:val="bottom"/>
          </w:tcPr>
          <w:p>
            <w:pPr>
              <w:spacing w:after="0"/>
              <w:rPr>
                <w:sz w:val="24"/>
                <w:szCs w:val="24"/>
                <w:color w:val="auto"/>
              </w:rPr>
            </w:pPr>
          </w:p>
        </w:tc>
      </w:tr>
      <w:tr>
        <w:trPr>
          <w:trHeight w:val="228"/>
        </w:trPr>
        <w:tc>
          <w:tcPr>
            <w:tcW w:w="7480" w:type="dxa"/>
            <w:vAlign w:val="bottom"/>
            <w:tcBorders>
              <w:top w:val="single" w:sz="8" w:color="D64000"/>
            </w:tcBorders>
          </w:tcPr>
          <w:p>
            <w:pPr>
              <w:spacing w:after="0"/>
              <w:rPr>
                <w:sz w:val="20"/>
                <w:szCs w:val="20"/>
                <w:color w:val="auto"/>
              </w:rPr>
            </w:pPr>
            <w:r>
              <w:rPr>
                <w:rFonts w:ascii="Arial" w:cs="Arial" w:eastAsia="Arial" w:hAnsi="Arial"/>
                <w:sz w:val="15"/>
                <w:szCs w:val="15"/>
                <w:b w:val="1"/>
                <w:bCs w:val="1"/>
                <w:color w:val="auto"/>
              </w:rPr>
              <w:t>  Calculation of adjusted operating profit after taxes</w:t>
            </w:r>
          </w:p>
        </w:tc>
        <w:tc>
          <w:tcPr>
            <w:tcW w:w="1120" w:type="dxa"/>
            <w:vAlign w:val="bottom"/>
            <w:tcBorders>
              <w:top w:val="single" w:sz="8" w:color="D64000"/>
            </w:tcBorders>
          </w:tcPr>
          <w:p>
            <w:pPr>
              <w:spacing w:after="0"/>
              <w:rPr>
                <w:sz w:val="19"/>
                <w:szCs w:val="19"/>
                <w:color w:val="auto"/>
              </w:rPr>
            </w:pPr>
          </w:p>
        </w:tc>
        <w:tc>
          <w:tcPr>
            <w:tcW w:w="1340" w:type="dxa"/>
            <w:vAlign w:val="bottom"/>
            <w:tcBorders>
              <w:top w:val="single" w:sz="8" w:color="D64000"/>
            </w:tcBorders>
          </w:tcPr>
          <w:p>
            <w:pPr>
              <w:spacing w:after="0"/>
              <w:rPr>
                <w:sz w:val="19"/>
                <w:szCs w:val="19"/>
                <w:color w:val="auto"/>
              </w:rPr>
            </w:pPr>
          </w:p>
        </w:tc>
        <w:tc>
          <w:tcPr>
            <w:tcW w:w="860" w:type="dxa"/>
            <w:vAlign w:val="bottom"/>
            <w:tcBorders>
              <w:top w:val="single" w:sz="8" w:color="D64000"/>
            </w:tcBorders>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7480" w:type="dxa"/>
            <w:vAlign w:val="bottom"/>
          </w:tcPr>
          <w:p>
            <w:pPr>
              <w:spacing w:after="0"/>
              <w:rPr>
                <w:sz w:val="20"/>
                <w:szCs w:val="20"/>
                <w:color w:val="auto"/>
              </w:rPr>
            </w:pPr>
            <w:r>
              <w:rPr>
                <w:rFonts w:ascii="Arial" w:cs="Arial" w:eastAsia="Arial" w:hAnsi="Arial"/>
                <w:sz w:val="15"/>
                <w:szCs w:val="15"/>
                <w:color w:val="auto"/>
              </w:rPr>
              <w:t>  Operating profit</w:t>
            </w:r>
          </w:p>
        </w:tc>
        <w:tc>
          <w:tcPr>
            <w:tcW w:w="1120" w:type="dxa"/>
            <w:vAlign w:val="bottom"/>
          </w:tcPr>
          <w:p>
            <w:pPr>
              <w:spacing w:after="0"/>
              <w:rPr>
                <w:sz w:val="23"/>
                <w:szCs w:val="23"/>
                <w:color w:val="auto"/>
              </w:rPr>
            </w:pPr>
          </w:p>
        </w:tc>
        <w:tc>
          <w:tcPr>
            <w:tcW w:w="1340" w:type="dxa"/>
            <w:vAlign w:val="bottom"/>
          </w:tcPr>
          <w:p>
            <w:pPr>
              <w:jc w:val="right"/>
              <w:ind w:right="325"/>
              <w:spacing w:after="0"/>
              <w:rPr>
                <w:sz w:val="20"/>
                <w:szCs w:val="20"/>
                <w:color w:val="auto"/>
              </w:rPr>
            </w:pPr>
            <w:r>
              <w:rPr>
                <w:rFonts w:ascii="Arial" w:cs="Arial" w:eastAsia="Arial" w:hAnsi="Arial"/>
                <w:sz w:val="15"/>
                <w:szCs w:val="15"/>
                <w:b w:val="1"/>
                <w:bCs w:val="1"/>
                <w:color w:val="auto"/>
              </w:rPr>
              <w:t>2,109</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2,332</w:t>
            </w:r>
          </w:p>
        </w:tc>
      </w:tr>
      <w:tr>
        <w:trPr>
          <w:trHeight w:val="257"/>
        </w:trPr>
        <w:tc>
          <w:tcPr>
            <w:tcW w:w="7480" w:type="dxa"/>
            <w:vAlign w:val="bottom"/>
          </w:tcPr>
          <w:p>
            <w:pPr>
              <w:spacing w:after="0"/>
              <w:rPr>
                <w:sz w:val="20"/>
                <w:szCs w:val="20"/>
                <w:color w:val="auto"/>
              </w:rPr>
            </w:pPr>
            <w:r>
              <w:rPr>
                <w:rFonts w:ascii="Arial" w:cs="Arial" w:eastAsia="Arial" w:hAnsi="Arial"/>
                <w:sz w:val="15"/>
                <w:szCs w:val="15"/>
                <w:color w:val="auto"/>
              </w:rPr>
              <w:t>  Adjustments to remove:</w:t>
            </w:r>
          </w:p>
        </w:tc>
        <w:tc>
          <w:tcPr>
            <w:tcW w:w="1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3"/>
        </w:trPr>
        <w:tc>
          <w:tcPr>
            <w:tcW w:w="7480" w:type="dxa"/>
            <w:vAlign w:val="bottom"/>
          </w:tcPr>
          <w:p>
            <w:pPr>
              <w:spacing w:after="0"/>
              <w:rPr>
                <w:sz w:val="20"/>
                <w:szCs w:val="20"/>
                <w:color w:val="auto"/>
              </w:rPr>
            </w:pPr>
            <w:r>
              <w:rPr>
                <w:rFonts w:ascii="Arial" w:cs="Arial" w:eastAsia="Arial" w:hAnsi="Arial"/>
                <w:sz w:val="15"/>
                <w:szCs w:val="15"/>
                <w:color w:val="auto"/>
              </w:rPr>
              <w:t>     Amortization of acquired computer software</w:t>
            </w:r>
          </w:p>
        </w:tc>
        <w:tc>
          <w:tcPr>
            <w:tcW w:w="1120" w:type="dxa"/>
            <w:vAlign w:val="bottom"/>
          </w:tcPr>
          <w:p>
            <w:pPr>
              <w:spacing w:after="0"/>
              <w:rPr>
                <w:sz w:val="23"/>
                <w:szCs w:val="23"/>
                <w:color w:val="auto"/>
              </w:rPr>
            </w:pPr>
          </w:p>
        </w:tc>
        <w:tc>
          <w:tcPr>
            <w:tcW w:w="1340" w:type="dxa"/>
            <w:vAlign w:val="bottom"/>
          </w:tcPr>
          <w:p>
            <w:pPr>
              <w:jc w:val="right"/>
              <w:ind w:right="325"/>
              <w:spacing w:after="0"/>
              <w:rPr>
                <w:sz w:val="20"/>
                <w:szCs w:val="20"/>
                <w:color w:val="auto"/>
              </w:rPr>
            </w:pPr>
            <w:r>
              <w:rPr>
                <w:rFonts w:ascii="Arial" w:cs="Arial" w:eastAsia="Arial" w:hAnsi="Arial"/>
                <w:sz w:val="15"/>
                <w:szCs w:val="15"/>
                <w:b w:val="1"/>
                <w:bCs w:val="1"/>
                <w:color w:val="auto"/>
              </w:rPr>
              <w:t>147</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72</w:t>
            </w:r>
          </w:p>
        </w:tc>
      </w:tr>
      <w:tr>
        <w:trPr>
          <w:trHeight w:val="265"/>
        </w:trPr>
        <w:tc>
          <w:tcPr>
            <w:tcW w:w="7480" w:type="dxa"/>
            <w:vAlign w:val="bottom"/>
          </w:tcPr>
          <w:p>
            <w:pPr>
              <w:spacing w:after="0"/>
              <w:rPr>
                <w:sz w:val="20"/>
                <w:szCs w:val="20"/>
                <w:color w:val="auto"/>
              </w:rPr>
            </w:pPr>
            <w:r>
              <w:rPr>
                <w:rFonts w:ascii="Arial" w:cs="Arial" w:eastAsia="Arial" w:hAnsi="Arial"/>
                <w:sz w:val="15"/>
                <w:szCs w:val="15"/>
                <w:color w:val="auto"/>
              </w:rPr>
              <w:t>     Amortization of other identifiable intangible assets</w:t>
            </w:r>
          </w:p>
        </w:tc>
        <w:tc>
          <w:tcPr>
            <w:tcW w:w="1120" w:type="dxa"/>
            <w:vAlign w:val="bottom"/>
          </w:tcPr>
          <w:p>
            <w:pPr>
              <w:spacing w:after="0"/>
              <w:rPr>
                <w:sz w:val="23"/>
                <w:szCs w:val="23"/>
                <w:color w:val="auto"/>
              </w:rPr>
            </w:pPr>
          </w:p>
        </w:tc>
        <w:tc>
          <w:tcPr>
            <w:tcW w:w="1340" w:type="dxa"/>
            <w:vAlign w:val="bottom"/>
          </w:tcPr>
          <w:p>
            <w:pPr>
              <w:jc w:val="right"/>
              <w:ind w:right="325"/>
              <w:spacing w:after="0"/>
              <w:rPr>
                <w:sz w:val="20"/>
                <w:szCs w:val="20"/>
                <w:color w:val="auto"/>
              </w:rPr>
            </w:pPr>
            <w:r>
              <w:rPr>
                <w:rFonts w:ascii="Arial" w:cs="Arial" w:eastAsia="Arial" w:hAnsi="Arial"/>
                <w:sz w:val="15"/>
                <w:szCs w:val="15"/>
                <w:b w:val="1"/>
                <w:bCs w:val="1"/>
                <w:color w:val="auto"/>
              </w:rPr>
              <w:t>91</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97</w:t>
            </w:r>
          </w:p>
        </w:tc>
      </w:tr>
      <w:tr>
        <w:trPr>
          <w:trHeight w:val="265"/>
        </w:trPr>
        <w:tc>
          <w:tcPr>
            <w:tcW w:w="7480" w:type="dxa"/>
            <w:vAlign w:val="bottom"/>
          </w:tcPr>
          <w:p>
            <w:pPr>
              <w:spacing w:after="0"/>
              <w:rPr>
                <w:sz w:val="20"/>
                <w:szCs w:val="20"/>
                <w:color w:val="auto"/>
              </w:rPr>
            </w:pPr>
            <w:r>
              <w:rPr>
                <w:rFonts w:ascii="Arial" w:cs="Arial" w:eastAsia="Arial" w:hAnsi="Arial"/>
                <w:sz w:val="15"/>
                <w:szCs w:val="15"/>
                <w:color w:val="auto"/>
              </w:rPr>
              <w:t>     Fair value adjustments</w:t>
            </w:r>
          </w:p>
        </w:tc>
        <w:tc>
          <w:tcPr>
            <w:tcW w:w="1120" w:type="dxa"/>
            <w:vAlign w:val="bottom"/>
          </w:tcPr>
          <w:p>
            <w:pPr>
              <w:spacing w:after="0"/>
              <w:rPr>
                <w:sz w:val="23"/>
                <w:szCs w:val="23"/>
                <w:color w:val="auto"/>
              </w:rPr>
            </w:pPr>
          </w:p>
        </w:tc>
        <w:tc>
          <w:tcPr>
            <w:tcW w:w="1340" w:type="dxa"/>
            <w:vAlign w:val="bottom"/>
          </w:tcPr>
          <w:p>
            <w:pPr>
              <w:jc w:val="right"/>
              <w:ind w:right="325"/>
              <w:spacing w:after="0"/>
              <w:rPr>
                <w:sz w:val="20"/>
                <w:szCs w:val="20"/>
                <w:color w:val="auto"/>
              </w:rPr>
            </w:pPr>
            <w:r>
              <w:rPr>
                <w:rFonts w:ascii="Arial" w:cs="Arial" w:eastAsia="Arial" w:hAnsi="Arial"/>
                <w:sz w:val="15"/>
                <w:szCs w:val="15"/>
                <w:b w:val="1"/>
                <w:bCs w:val="1"/>
                <w:color w:val="auto"/>
              </w:rPr>
              <w:t>(8)</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18</w:t>
            </w:r>
          </w:p>
        </w:tc>
      </w:tr>
      <w:tr>
        <w:trPr>
          <w:trHeight w:val="265"/>
        </w:trPr>
        <w:tc>
          <w:tcPr>
            <w:tcW w:w="7480" w:type="dxa"/>
            <w:vAlign w:val="bottom"/>
          </w:tcPr>
          <w:p>
            <w:pPr>
              <w:spacing w:after="0"/>
              <w:rPr>
                <w:sz w:val="20"/>
                <w:szCs w:val="20"/>
                <w:color w:val="auto"/>
              </w:rPr>
            </w:pPr>
            <w:r>
              <w:rPr>
                <w:rFonts w:ascii="Arial" w:cs="Arial" w:eastAsia="Arial" w:hAnsi="Arial"/>
                <w:sz w:val="15"/>
                <w:szCs w:val="15"/>
                <w:color w:val="auto"/>
              </w:rPr>
              <w:t>     Other operating gains, net</w:t>
            </w:r>
          </w:p>
        </w:tc>
        <w:tc>
          <w:tcPr>
            <w:tcW w:w="1120" w:type="dxa"/>
            <w:vAlign w:val="bottom"/>
          </w:tcPr>
          <w:p>
            <w:pPr>
              <w:spacing w:after="0"/>
              <w:rPr>
                <w:sz w:val="23"/>
                <w:szCs w:val="23"/>
                <w:color w:val="auto"/>
              </w:rPr>
            </w:pPr>
          </w:p>
        </w:tc>
        <w:tc>
          <w:tcPr>
            <w:tcW w:w="1340" w:type="dxa"/>
            <w:vAlign w:val="bottom"/>
          </w:tcPr>
          <w:p>
            <w:pPr>
              <w:jc w:val="right"/>
              <w:ind w:right="325"/>
              <w:spacing w:after="0"/>
              <w:rPr>
                <w:sz w:val="20"/>
                <w:szCs w:val="20"/>
                <w:color w:val="auto"/>
              </w:rPr>
            </w:pPr>
            <w:r>
              <w:rPr>
                <w:rFonts w:ascii="Arial" w:cs="Arial" w:eastAsia="Arial" w:hAnsi="Arial"/>
                <w:sz w:val="15"/>
                <w:szCs w:val="15"/>
                <w:b w:val="1"/>
                <w:bCs w:val="1"/>
                <w:color w:val="auto"/>
              </w:rPr>
              <w:t>(144)</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(397)</w:t>
            </w:r>
          </w:p>
        </w:tc>
      </w:tr>
      <w:tr>
        <w:trPr>
          <w:trHeight w:val="24"/>
        </w:trPr>
        <w:tc>
          <w:tcPr>
            <w:tcW w:w="7480" w:type="dxa"/>
            <w:vAlign w:val="bottom"/>
            <w:tcBorders>
              <w:bottom w:val="single" w:sz="8" w:color="B2B2B2"/>
            </w:tcBorders>
          </w:tcPr>
          <w:p>
            <w:pPr>
              <w:spacing w:after="0"/>
              <w:rPr>
                <w:sz w:val="2"/>
                <w:szCs w:val="2"/>
                <w:color w:val="auto"/>
              </w:rPr>
            </w:pPr>
          </w:p>
        </w:tc>
        <w:tc>
          <w:tcPr>
            <w:tcW w:w="1120" w:type="dxa"/>
            <w:vAlign w:val="bottom"/>
            <w:tcBorders>
              <w:bottom w:val="single" w:sz="8" w:color="B2B2B2"/>
            </w:tcBorders>
          </w:tcPr>
          <w:p>
            <w:pPr>
              <w:spacing w:after="0"/>
              <w:rPr>
                <w:sz w:val="2"/>
                <w:szCs w:val="2"/>
                <w:color w:val="auto"/>
              </w:rPr>
            </w:pPr>
          </w:p>
        </w:tc>
        <w:tc>
          <w:tcPr>
            <w:tcW w:w="1340" w:type="dxa"/>
            <w:vAlign w:val="bottom"/>
            <w:tcBorders>
              <w:bottom w:val="single" w:sz="8" w:color="B2B2B2"/>
            </w:tcBorders>
          </w:tcPr>
          <w:p>
            <w:pPr>
              <w:spacing w:after="0"/>
              <w:rPr>
                <w:sz w:val="2"/>
                <w:szCs w:val="2"/>
                <w:color w:val="auto"/>
              </w:rPr>
            </w:pPr>
          </w:p>
        </w:tc>
        <w:tc>
          <w:tcPr>
            <w:tcW w:w="880" w:type="dxa"/>
            <w:vAlign w:val="bottom"/>
            <w:tcBorders>
              <w:bottom w:val="single" w:sz="8" w:color="B2B2B2"/>
            </w:tcBorders>
            <w:gridSpan w:val="2"/>
          </w:tcPr>
          <w:p>
            <w:pPr>
              <w:spacing w:after="0"/>
              <w:rPr>
                <w:sz w:val="2"/>
                <w:szCs w:val="2"/>
                <w:color w:val="auto"/>
              </w:rPr>
            </w:pPr>
          </w:p>
        </w:tc>
      </w:tr>
      <w:tr>
        <w:trPr>
          <w:trHeight w:val="221"/>
        </w:trPr>
        <w:tc>
          <w:tcPr>
            <w:tcW w:w="7480" w:type="dxa"/>
            <w:vAlign w:val="bottom"/>
          </w:tcPr>
          <w:p>
            <w:pPr>
              <w:spacing w:after="0"/>
              <w:rPr>
                <w:sz w:val="20"/>
                <w:szCs w:val="20"/>
                <w:color w:val="auto"/>
              </w:rPr>
            </w:pPr>
            <w:r>
              <w:rPr>
                <w:rFonts w:ascii="Arial" w:cs="Arial" w:eastAsia="Arial" w:hAnsi="Arial"/>
                <w:sz w:val="15"/>
                <w:szCs w:val="15"/>
                <w:color w:val="auto"/>
              </w:rPr>
              <w:t>  Adjusted operating profit – continuing operations</w:t>
            </w:r>
          </w:p>
        </w:tc>
        <w:tc>
          <w:tcPr>
            <w:tcW w:w="1120" w:type="dxa"/>
            <w:vAlign w:val="bottom"/>
          </w:tcPr>
          <w:p>
            <w:pPr>
              <w:spacing w:after="0"/>
              <w:rPr>
                <w:sz w:val="19"/>
                <w:szCs w:val="19"/>
                <w:color w:val="auto"/>
              </w:rPr>
            </w:pPr>
          </w:p>
        </w:tc>
        <w:tc>
          <w:tcPr>
            <w:tcW w:w="1340" w:type="dxa"/>
            <w:vAlign w:val="bottom"/>
          </w:tcPr>
          <w:p>
            <w:pPr>
              <w:jc w:val="right"/>
              <w:ind w:right="325"/>
              <w:spacing w:after="0"/>
              <w:rPr>
                <w:sz w:val="20"/>
                <w:szCs w:val="20"/>
                <w:color w:val="auto"/>
              </w:rPr>
            </w:pPr>
            <w:r>
              <w:rPr>
                <w:rFonts w:ascii="Arial" w:cs="Arial" w:eastAsia="Arial" w:hAnsi="Arial"/>
                <w:sz w:val="15"/>
                <w:szCs w:val="15"/>
                <w:b w:val="1"/>
                <w:bCs w:val="1"/>
                <w:color w:val="auto"/>
              </w:rPr>
              <w:t>2,195</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2,122</w:t>
            </w:r>
          </w:p>
        </w:tc>
      </w:tr>
      <w:tr>
        <w:trPr>
          <w:trHeight w:val="265"/>
        </w:trPr>
        <w:tc>
          <w:tcPr>
            <w:tcW w:w="7480" w:type="dxa"/>
            <w:vAlign w:val="bottom"/>
          </w:tcPr>
          <w:p>
            <w:pPr>
              <w:spacing w:after="0"/>
              <w:rPr>
                <w:sz w:val="20"/>
                <w:szCs w:val="20"/>
                <w:color w:val="auto"/>
              </w:rPr>
            </w:pPr>
            <w:r>
              <w:rPr>
                <w:rFonts w:ascii="Arial" w:cs="Arial" w:eastAsia="Arial" w:hAnsi="Arial"/>
                <w:sz w:val="15"/>
                <w:szCs w:val="15"/>
                <w:color w:val="auto"/>
              </w:rPr>
              <w:t>  Net cash taxes paid on continuing operations</w:t>
            </w:r>
          </w:p>
        </w:tc>
        <w:tc>
          <w:tcPr>
            <w:tcW w:w="1120" w:type="dxa"/>
            <w:vAlign w:val="bottom"/>
          </w:tcPr>
          <w:p>
            <w:pPr>
              <w:spacing w:after="0"/>
              <w:rPr>
                <w:sz w:val="23"/>
                <w:szCs w:val="23"/>
                <w:color w:val="auto"/>
              </w:rPr>
            </w:pPr>
          </w:p>
        </w:tc>
        <w:tc>
          <w:tcPr>
            <w:tcW w:w="1340" w:type="dxa"/>
            <w:vAlign w:val="bottom"/>
          </w:tcPr>
          <w:p>
            <w:pPr>
              <w:jc w:val="right"/>
              <w:ind w:right="325"/>
              <w:spacing w:after="0"/>
              <w:rPr>
                <w:sz w:val="20"/>
                <w:szCs w:val="20"/>
                <w:color w:val="auto"/>
              </w:rPr>
            </w:pPr>
            <w:r>
              <w:rPr>
                <w:rFonts w:ascii="Arial" w:cs="Arial" w:eastAsia="Arial" w:hAnsi="Arial"/>
                <w:sz w:val="15"/>
                <w:szCs w:val="15"/>
                <w:b w:val="1"/>
                <w:bCs w:val="1"/>
                <w:color w:val="auto"/>
              </w:rPr>
              <w:t>(234)</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(163)</w:t>
            </w:r>
          </w:p>
        </w:tc>
      </w:tr>
      <w:tr>
        <w:trPr>
          <w:trHeight w:val="24"/>
        </w:trPr>
        <w:tc>
          <w:tcPr>
            <w:tcW w:w="7480" w:type="dxa"/>
            <w:vAlign w:val="bottom"/>
            <w:tcBorders>
              <w:bottom w:val="single" w:sz="8" w:color="B2B2B2"/>
            </w:tcBorders>
          </w:tcPr>
          <w:p>
            <w:pPr>
              <w:spacing w:after="0"/>
              <w:rPr>
                <w:sz w:val="2"/>
                <w:szCs w:val="2"/>
                <w:color w:val="auto"/>
              </w:rPr>
            </w:pPr>
          </w:p>
        </w:tc>
        <w:tc>
          <w:tcPr>
            <w:tcW w:w="1120" w:type="dxa"/>
            <w:vAlign w:val="bottom"/>
            <w:tcBorders>
              <w:bottom w:val="single" w:sz="8" w:color="B2B2B2"/>
            </w:tcBorders>
          </w:tcPr>
          <w:p>
            <w:pPr>
              <w:spacing w:after="0"/>
              <w:rPr>
                <w:sz w:val="2"/>
                <w:szCs w:val="2"/>
                <w:color w:val="auto"/>
              </w:rPr>
            </w:pPr>
          </w:p>
        </w:tc>
        <w:tc>
          <w:tcPr>
            <w:tcW w:w="1340" w:type="dxa"/>
            <w:vAlign w:val="bottom"/>
            <w:tcBorders>
              <w:bottom w:val="single" w:sz="8" w:color="B2B2B2"/>
            </w:tcBorders>
          </w:tcPr>
          <w:p>
            <w:pPr>
              <w:spacing w:after="0"/>
              <w:rPr>
                <w:sz w:val="2"/>
                <w:szCs w:val="2"/>
                <w:color w:val="auto"/>
              </w:rPr>
            </w:pPr>
          </w:p>
        </w:tc>
        <w:tc>
          <w:tcPr>
            <w:tcW w:w="880" w:type="dxa"/>
            <w:vAlign w:val="bottom"/>
            <w:tcBorders>
              <w:bottom w:val="single" w:sz="8" w:color="B2B2B2"/>
            </w:tcBorders>
            <w:gridSpan w:val="2"/>
          </w:tcPr>
          <w:p>
            <w:pPr>
              <w:spacing w:after="0"/>
              <w:rPr>
                <w:sz w:val="2"/>
                <w:szCs w:val="2"/>
                <w:color w:val="auto"/>
              </w:rPr>
            </w:pPr>
          </w:p>
        </w:tc>
      </w:tr>
      <w:tr>
        <w:trPr>
          <w:trHeight w:val="221"/>
        </w:trPr>
        <w:tc>
          <w:tcPr>
            <w:tcW w:w="7480" w:type="dxa"/>
            <w:vAlign w:val="bottom"/>
          </w:tcPr>
          <w:p>
            <w:pPr>
              <w:spacing w:after="0"/>
              <w:rPr>
                <w:sz w:val="20"/>
                <w:szCs w:val="20"/>
                <w:color w:val="auto"/>
              </w:rPr>
            </w:pPr>
            <w:r>
              <w:rPr>
                <w:rFonts w:ascii="Arial" w:cs="Arial" w:eastAsia="Arial" w:hAnsi="Arial"/>
                <w:sz w:val="15"/>
                <w:szCs w:val="15"/>
                <w:color w:val="auto"/>
              </w:rPr>
              <w:t>  Post-tax adjusted operating profit- continuing operations</w:t>
            </w:r>
          </w:p>
        </w:tc>
        <w:tc>
          <w:tcPr>
            <w:tcW w:w="1120" w:type="dxa"/>
            <w:vAlign w:val="bottom"/>
          </w:tcPr>
          <w:p>
            <w:pPr>
              <w:spacing w:after="0"/>
              <w:rPr>
                <w:sz w:val="19"/>
                <w:szCs w:val="19"/>
                <w:color w:val="auto"/>
              </w:rPr>
            </w:pPr>
          </w:p>
        </w:tc>
        <w:tc>
          <w:tcPr>
            <w:tcW w:w="1340" w:type="dxa"/>
            <w:vAlign w:val="bottom"/>
          </w:tcPr>
          <w:p>
            <w:pPr>
              <w:jc w:val="right"/>
              <w:ind w:right="325"/>
              <w:spacing w:after="0"/>
              <w:rPr>
                <w:sz w:val="20"/>
                <w:szCs w:val="20"/>
                <w:color w:val="auto"/>
              </w:rPr>
            </w:pPr>
            <w:r>
              <w:rPr>
                <w:rFonts w:ascii="Arial" w:cs="Arial" w:eastAsia="Arial" w:hAnsi="Arial"/>
                <w:sz w:val="15"/>
                <w:szCs w:val="15"/>
                <w:b w:val="1"/>
                <w:bCs w:val="1"/>
                <w:color w:val="auto"/>
              </w:rPr>
              <w:t>1,961</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1,959</w:t>
            </w:r>
          </w:p>
        </w:tc>
      </w:tr>
      <w:tr>
        <w:trPr>
          <w:trHeight w:val="289"/>
        </w:trPr>
        <w:tc>
          <w:tcPr>
            <w:tcW w:w="7480" w:type="dxa"/>
            <w:vAlign w:val="bottom"/>
            <w:tcBorders>
              <w:bottom w:val="single" w:sz="8" w:color="B2B2B2"/>
            </w:tcBorders>
          </w:tcPr>
          <w:p>
            <w:pPr>
              <w:spacing w:after="0"/>
              <w:rPr>
                <w:sz w:val="20"/>
                <w:szCs w:val="20"/>
                <w:color w:val="auto"/>
              </w:rPr>
            </w:pPr>
            <w:r>
              <w:rPr>
                <w:rFonts w:ascii="Arial" w:cs="Arial" w:eastAsia="Arial" w:hAnsi="Arial"/>
                <w:sz w:val="15"/>
                <w:szCs w:val="15"/>
                <w:color w:val="auto"/>
              </w:rPr>
              <w:t>  Post–tax adjusted operating loss- discontinued operations</w:t>
            </w:r>
            <w:r>
              <w:rPr>
                <w:rFonts w:ascii="Arial" w:cs="Arial" w:eastAsia="Arial" w:hAnsi="Arial"/>
                <w:sz w:val="18"/>
                <w:szCs w:val="18"/>
                <w:color w:val="auto"/>
                <w:vertAlign w:val="superscript"/>
              </w:rPr>
              <w:t>(1)</w:t>
            </w:r>
          </w:p>
        </w:tc>
        <w:tc>
          <w:tcPr>
            <w:tcW w:w="1120" w:type="dxa"/>
            <w:vAlign w:val="bottom"/>
            <w:tcBorders>
              <w:bottom w:val="single" w:sz="8" w:color="B2B2B2"/>
            </w:tcBorders>
          </w:tcPr>
          <w:p>
            <w:pPr>
              <w:spacing w:after="0"/>
              <w:rPr>
                <w:sz w:val="24"/>
                <w:szCs w:val="24"/>
                <w:color w:val="auto"/>
              </w:rPr>
            </w:pPr>
          </w:p>
        </w:tc>
        <w:tc>
          <w:tcPr>
            <w:tcW w:w="1340" w:type="dxa"/>
            <w:vAlign w:val="bottom"/>
            <w:tcBorders>
              <w:bottom w:val="single" w:sz="8" w:color="B2B2B2"/>
            </w:tcBorders>
          </w:tcPr>
          <w:p>
            <w:pPr>
              <w:jc w:val="right"/>
              <w:ind w:right="325"/>
              <w:spacing w:after="0"/>
              <w:rPr>
                <w:sz w:val="20"/>
                <w:szCs w:val="20"/>
                <w:color w:val="auto"/>
              </w:rPr>
            </w:pPr>
            <w:r>
              <w:rPr>
                <w:rFonts w:ascii="Arial" w:cs="Arial" w:eastAsia="Arial" w:hAnsi="Arial"/>
                <w:sz w:val="15"/>
                <w:szCs w:val="15"/>
                <w:b w:val="1"/>
                <w:bCs w:val="1"/>
                <w:color w:val="auto"/>
              </w:rPr>
              <w:t>(4)</w:t>
            </w:r>
          </w:p>
        </w:tc>
        <w:tc>
          <w:tcPr>
            <w:tcW w:w="880" w:type="dxa"/>
            <w:vAlign w:val="bottom"/>
            <w:tcBorders>
              <w:bottom w:val="single" w:sz="8" w:color="B2B2B2"/>
            </w:tcBorders>
            <w:gridSpan w:val="2"/>
          </w:tcPr>
          <w:p>
            <w:pPr>
              <w:jc w:val="right"/>
              <w:spacing w:after="0"/>
              <w:rPr>
                <w:sz w:val="20"/>
                <w:szCs w:val="20"/>
                <w:color w:val="auto"/>
              </w:rPr>
            </w:pPr>
            <w:r>
              <w:rPr>
                <w:rFonts w:ascii="Arial" w:cs="Arial" w:eastAsia="Arial" w:hAnsi="Arial"/>
                <w:sz w:val="15"/>
                <w:szCs w:val="15"/>
                <w:color w:val="auto"/>
              </w:rPr>
              <w:t>(5)</w:t>
            </w:r>
          </w:p>
        </w:tc>
      </w:tr>
      <w:tr>
        <w:trPr>
          <w:trHeight w:val="221"/>
        </w:trPr>
        <w:tc>
          <w:tcPr>
            <w:tcW w:w="7480" w:type="dxa"/>
            <w:vAlign w:val="bottom"/>
          </w:tcPr>
          <w:p>
            <w:pPr>
              <w:spacing w:after="0"/>
              <w:rPr>
                <w:sz w:val="20"/>
                <w:szCs w:val="20"/>
                <w:color w:val="auto"/>
              </w:rPr>
            </w:pPr>
            <w:r>
              <w:rPr>
                <w:rFonts w:ascii="Arial" w:cs="Arial" w:eastAsia="Arial" w:hAnsi="Arial"/>
                <w:sz w:val="15"/>
                <w:szCs w:val="15"/>
                <w:color w:val="auto"/>
              </w:rPr>
              <w:t>  Consolidated post-tax adjusted operating profit</w:t>
            </w:r>
          </w:p>
        </w:tc>
        <w:tc>
          <w:tcPr>
            <w:tcW w:w="1120" w:type="dxa"/>
            <w:vAlign w:val="bottom"/>
          </w:tcPr>
          <w:p>
            <w:pPr>
              <w:spacing w:after="0"/>
              <w:rPr>
                <w:sz w:val="19"/>
                <w:szCs w:val="19"/>
                <w:color w:val="auto"/>
              </w:rPr>
            </w:pPr>
          </w:p>
        </w:tc>
        <w:tc>
          <w:tcPr>
            <w:tcW w:w="1340" w:type="dxa"/>
            <w:vAlign w:val="bottom"/>
          </w:tcPr>
          <w:p>
            <w:pPr>
              <w:jc w:val="right"/>
              <w:ind w:right="325"/>
              <w:spacing w:after="0"/>
              <w:rPr>
                <w:sz w:val="20"/>
                <w:szCs w:val="20"/>
                <w:color w:val="auto"/>
              </w:rPr>
            </w:pPr>
            <w:r>
              <w:rPr>
                <w:rFonts w:ascii="Arial" w:cs="Arial" w:eastAsia="Arial" w:hAnsi="Arial"/>
                <w:sz w:val="15"/>
                <w:szCs w:val="15"/>
                <w:b w:val="1"/>
                <w:bCs w:val="1"/>
                <w:color w:val="auto"/>
              </w:rPr>
              <w:t>1,957</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1,954</w:t>
            </w:r>
          </w:p>
        </w:tc>
      </w:tr>
      <w:tr>
        <w:trPr>
          <w:trHeight w:val="23"/>
        </w:trPr>
        <w:tc>
          <w:tcPr>
            <w:tcW w:w="7480" w:type="dxa"/>
            <w:vAlign w:val="bottom"/>
            <w:tcBorders>
              <w:bottom w:val="single" w:sz="8" w:color="B2B2B2"/>
            </w:tcBorders>
          </w:tcPr>
          <w:p>
            <w:pPr>
              <w:spacing w:after="0"/>
              <w:rPr>
                <w:sz w:val="2"/>
                <w:szCs w:val="2"/>
                <w:color w:val="auto"/>
              </w:rPr>
            </w:pPr>
          </w:p>
        </w:tc>
        <w:tc>
          <w:tcPr>
            <w:tcW w:w="1120" w:type="dxa"/>
            <w:vAlign w:val="bottom"/>
            <w:tcBorders>
              <w:bottom w:val="single" w:sz="8" w:color="B2B2B2"/>
            </w:tcBorders>
          </w:tcPr>
          <w:p>
            <w:pPr>
              <w:spacing w:after="0"/>
              <w:rPr>
                <w:sz w:val="2"/>
                <w:szCs w:val="2"/>
                <w:color w:val="auto"/>
              </w:rPr>
            </w:pPr>
          </w:p>
        </w:tc>
        <w:tc>
          <w:tcPr>
            <w:tcW w:w="1340" w:type="dxa"/>
            <w:vAlign w:val="bottom"/>
            <w:tcBorders>
              <w:bottom w:val="single" w:sz="8" w:color="B2B2B2"/>
            </w:tcBorders>
          </w:tcPr>
          <w:p>
            <w:pPr>
              <w:spacing w:after="0"/>
              <w:rPr>
                <w:sz w:val="2"/>
                <w:szCs w:val="2"/>
                <w:color w:val="auto"/>
              </w:rPr>
            </w:pPr>
          </w:p>
        </w:tc>
        <w:tc>
          <w:tcPr>
            <w:tcW w:w="860" w:type="dxa"/>
            <w:vAlign w:val="bottom"/>
            <w:tcBorders>
              <w:bottom w:val="single" w:sz="8" w:color="B2B2B2"/>
            </w:tcBorders>
          </w:tcPr>
          <w:p>
            <w:pPr>
              <w:spacing w:after="0"/>
              <w:rPr>
                <w:sz w:val="2"/>
                <w:szCs w:val="2"/>
                <w:color w:val="auto"/>
              </w:rPr>
            </w:pPr>
          </w:p>
        </w:tc>
        <w:tc>
          <w:tcPr>
            <w:tcW w:w="20" w:type="dxa"/>
            <w:vAlign w:val="bottom"/>
          </w:tcPr>
          <w:p>
            <w:pPr>
              <w:spacing w:after="0"/>
              <w:rPr>
                <w:sz w:val="2"/>
                <w:szCs w:val="2"/>
                <w:color w:val="auto"/>
              </w:rPr>
            </w:pPr>
          </w:p>
        </w:tc>
      </w:tr>
      <w:tr>
        <w:trPr>
          <w:trHeight w:val="222"/>
        </w:trPr>
        <w:tc>
          <w:tcPr>
            <w:tcW w:w="7480" w:type="dxa"/>
            <w:vAlign w:val="bottom"/>
          </w:tcPr>
          <w:p>
            <w:pPr>
              <w:spacing w:after="0"/>
              <w:rPr>
                <w:sz w:val="20"/>
                <w:szCs w:val="20"/>
                <w:color w:val="auto"/>
              </w:rPr>
            </w:pPr>
            <w:r>
              <w:rPr>
                <w:rFonts w:ascii="Arial" w:cs="Arial" w:eastAsia="Arial" w:hAnsi="Arial"/>
                <w:sz w:val="15"/>
                <w:szCs w:val="15"/>
                <w:b w:val="1"/>
                <w:bCs w:val="1"/>
                <w:color w:val="auto"/>
              </w:rPr>
              <w:t>  Calculation of invested capital</w:t>
            </w:r>
          </w:p>
        </w:tc>
        <w:tc>
          <w:tcPr>
            <w:tcW w:w="1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5"/>
        </w:trPr>
        <w:tc>
          <w:tcPr>
            <w:tcW w:w="7480" w:type="dxa"/>
            <w:vAlign w:val="bottom"/>
          </w:tcPr>
          <w:p>
            <w:pPr>
              <w:spacing w:after="0"/>
              <w:rPr>
                <w:sz w:val="20"/>
                <w:szCs w:val="20"/>
                <w:color w:val="auto"/>
              </w:rPr>
            </w:pPr>
            <w:r>
              <w:rPr>
                <w:rFonts w:ascii="Arial" w:cs="Arial" w:eastAsia="Arial" w:hAnsi="Arial"/>
                <w:sz w:val="15"/>
                <w:szCs w:val="15"/>
                <w:color w:val="auto"/>
              </w:rPr>
              <w:t>  Trade and other receivables</w:t>
            </w:r>
          </w:p>
        </w:tc>
        <w:tc>
          <w:tcPr>
            <w:tcW w:w="1120" w:type="dxa"/>
            <w:vAlign w:val="bottom"/>
          </w:tcPr>
          <w:p>
            <w:pPr>
              <w:spacing w:after="0"/>
              <w:rPr>
                <w:sz w:val="23"/>
                <w:szCs w:val="23"/>
                <w:color w:val="auto"/>
              </w:rPr>
            </w:pPr>
          </w:p>
        </w:tc>
        <w:tc>
          <w:tcPr>
            <w:tcW w:w="1340" w:type="dxa"/>
            <w:vAlign w:val="bottom"/>
          </w:tcPr>
          <w:p>
            <w:pPr>
              <w:jc w:val="right"/>
              <w:ind w:right="325"/>
              <w:spacing w:after="0"/>
              <w:rPr>
                <w:sz w:val="20"/>
                <w:szCs w:val="20"/>
                <w:color w:val="auto"/>
              </w:rPr>
            </w:pPr>
            <w:r>
              <w:rPr>
                <w:rFonts w:ascii="Arial" w:cs="Arial" w:eastAsia="Arial" w:hAnsi="Arial"/>
                <w:sz w:val="15"/>
                <w:szCs w:val="15"/>
                <w:b w:val="1"/>
                <w:bCs w:val="1"/>
                <w:color w:val="auto"/>
              </w:rPr>
              <w:t>1,087</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1,122</w:t>
            </w:r>
          </w:p>
        </w:tc>
      </w:tr>
      <w:tr>
        <w:trPr>
          <w:trHeight w:val="265"/>
        </w:trPr>
        <w:tc>
          <w:tcPr>
            <w:tcW w:w="7480" w:type="dxa"/>
            <w:vAlign w:val="bottom"/>
          </w:tcPr>
          <w:p>
            <w:pPr>
              <w:spacing w:after="0"/>
              <w:rPr>
                <w:sz w:val="20"/>
                <w:szCs w:val="20"/>
                <w:color w:val="auto"/>
              </w:rPr>
            </w:pPr>
            <w:r>
              <w:rPr>
                <w:rFonts w:ascii="Arial" w:cs="Arial" w:eastAsia="Arial" w:hAnsi="Arial"/>
                <w:sz w:val="15"/>
                <w:szCs w:val="15"/>
                <w:color w:val="auto"/>
              </w:rPr>
              <w:t>  Prepaid expenses and other current assets</w:t>
            </w:r>
          </w:p>
        </w:tc>
        <w:tc>
          <w:tcPr>
            <w:tcW w:w="1120" w:type="dxa"/>
            <w:vAlign w:val="bottom"/>
          </w:tcPr>
          <w:p>
            <w:pPr>
              <w:spacing w:after="0"/>
              <w:rPr>
                <w:sz w:val="23"/>
                <w:szCs w:val="23"/>
                <w:color w:val="auto"/>
              </w:rPr>
            </w:pPr>
          </w:p>
        </w:tc>
        <w:tc>
          <w:tcPr>
            <w:tcW w:w="1340" w:type="dxa"/>
            <w:vAlign w:val="bottom"/>
          </w:tcPr>
          <w:p>
            <w:pPr>
              <w:jc w:val="right"/>
              <w:ind w:right="325"/>
              <w:spacing w:after="0"/>
              <w:rPr>
                <w:sz w:val="20"/>
                <w:szCs w:val="20"/>
                <w:color w:val="auto"/>
              </w:rPr>
            </w:pPr>
            <w:r>
              <w:rPr>
                <w:rFonts w:ascii="Arial" w:cs="Arial" w:eastAsia="Arial" w:hAnsi="Arial"/>
                <w:sz w:val="15"/>
                <w:szCs w:val="15"/>
                <w:b w:val="1"/>
                <w:bCs w:val="1"/>
                <w:color w:val="auto"/>
              </w:rPr>
              <w:t>400</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435</w:t>
            </w:r>
          </w:p>
        </w:tc>
      </w:tr>
      <w:tr>
        <w:trPr>
          <w:trHeight w:val="265"/>
        </w:trPr>
        <w:tc>
          <w:tcPr>
            <w:tcW w:w="7480" w:type="dxa"/>
            <w:vAlign w:val="bottom"/>
          </w:tcPr>
          <w:p>
            <w:pPr>
              <w:spacing w:after="0"/>
              <w:rPr>
                <w:sz w:val="20"/>
                <w:szCs w:val="20"/>
                <w:color w:val="auto"/>
              </w:rPr>
            </w:pPr>
            <w:r>
              <w:rPr>
                <w:rFonts w:ascii="Arial" w:cs="Arial" w:eastAsia="Arial" w:hAnsi="Arial"/>
                <w:sz w:val="15"/>
                <w:szCs w:val="15"/>
                <w:color w:val="auto"/>
              </w:rPr>
              <w:t>  Property and equipment, net</w:t>
            </w:r>
          </w:p>
        </w:tc>
        <w:tc>
          <w:tcPr>
            <w:tcW w:w="1120" w:type="dxa"/>
            <w:vAlign w:val="bottom"/>
          </w:tcPr>
          <w:p>
            <w:pPr>
              <w:spacing w:after="0"/>
              <w:rPr>
                <w:sz w:val="23"/>
                <w:szCs w:val="23"/>
                <w:color w:val="auto"/>
              </w:rPr>
            </w:pPr>
          </w:p>
        </w:tc>
        <w:tc>
          <w:tcPr>
            <w:tcW w:w="1340" w:type="dxa"/>
            <w:vAlign w:val="bottom"/>
          </w:tcPr>
          <w:p>
            <w:pPr>
              <w:jc w:val="right"/>
              <w:ind w:right="325"/>
              <w:spacing w:after="0"/>
              <w:rPr>
                <w:sz w:val="20"/>
                <w:szCs w:val="20"/>
                <w:color w:val="auto"/>
              </w:rPr>
            </w:pPr>
            <w:r>
              <w:rPr>
                <w:rFonts w:ascii="Arial" w:cs="Arial" w:eastAsia="Arial" w:hAnsi="Arial"/>
                <w:sz w:val="15"/>
                <w:szCs w:val="15"/>
                <w:b w:val="1"/>
                <w:bCs w:val="1"/>
                <w:color w:val="auto"/>
              </w:rPr>
              <w:t>386</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447</w:t>
            </w:r>
          </w:p>
        </w:tc>
      </w:tr>
      <w:tr>
        <w:trPr>
          <w:trHeight w:val="314"/>
        </w:trPr>
        <w:tc>
          <w:tcPr>
            <w:tcW w:w="7480" w:type="dxa"/>
            <w:vAlign w:val="bottom"/>
          </w:tcPr>
          <w:p>
            <w:pPr>
              <w:spacing w:after="0"/>
              <w:rPr>
                <w:sz w:val="20"/>
                <w:szCs w:val="20"/>
                <w:color w:val="auto"/>
              </w:rPr>
            </w:pPr>
            <w:r>
              <w:rPr>
                <w:rFonts w:ascii="Arial" w:cs="Arial" w:eastAsia="Arial" w:hAnsi="Arial"/>
                <w:sz w:val="15"/>
                <w:szCs w:val="15"/>
                <w:color w:val="auto"/>
              </w:rPr>
              <w:t>  Computer software (excludes accumulated amortization of acquired software)</w:t>
            </w:r>
            <w:r>
              <w:rPr>
                <w:rFonts w:ascii="Arial" w:cs="Arial" w:eastAsia="Arial" w:hAnsi="Arial"/>
                <w:sz w:val="18"/>
                <w:szCs w:val="18"/>
                <w:color w:val="auto"/>
                <w:vertAlign w:val="superscript"/>
              </w:rPr>
              <w:t>(2)</w:t>
            </w:r>
          </w:p>
        </w:tc>
        <w:tc>
          <w:tcPr>
            <w:tcW w:w="1120" w:type="dxa"/>
            <w:vAlign w:val="bottom"/>
          </w:tcPr>
          <w:p>
            <w:pPr>
              <w:spacing w:after="0"/>
              <w:rPr>
                <w:sz w:val="24"/>
                <w:szCs w:val="24"/>
                <w:color w:val="auto"/>
              </w:rPr>
            </w:pPr>
          </w:p>
        </w:tc>
        <w:tc>
          <w:tcPr>
            <w:tcW w:w="1340" w:type="dxa"/>
            <w:vAlign w:val="bottom"/>
          </w:tcPr>
          <w:p>
            <w:pPr>
              <w:jc w:val="right"/>
              <w:ind w:right="325"/>
              <w:spacing w:after="0"/>
              <w:rPr>
                <w:sz w:val="20"/>
                <w:szCs w:val="20"/>
                <w:color w:val="auto"/>
              </w:rPr>
            </w:pPr>
            <w:r>
              <w:rPr>
                <w:rFonts w:ascii="Arial" w:cs="Arial" w:eastAsia="Arial" w:hAnsi="Arial"/>
                <w:sz w:val="15"/>
                <w:szCs w:val="15"/>
                <w:b w:val="1"/>
                <w:bCs w:val="1"/>
                <w:color w:val="auto"/>
              </w:rPr>
              <w:t>1,857</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1,492</w:t>
            </w:r>
          </w:p>
        </w:tc>
      </w:tr>
      <w:tr>
        <w:trPr>
          <w:trHeight w:val="216"/>
        </w:trPr>
        <w:tc>
          <w:tcPr>
            <w:tcW w:w="7480" w:type="dxa"/>
            <w:vAlign w:val="bottom"/>
          </w:tcPr>
          <w:p>
            <w:pPr>
              <w:spacing w:after="0"/>
              <w:rPr>
                <w:sz w:val="20"/>
                <w:szCs w:val="20"/>
                <w:color w:val="auto"/>
              </w:rPr>
            </w:pPr>
            <w:r>
              <w:rPr>
                <w:rFonts w:ascii="Arial" w:cs="Arial" w:eastAsia="Arial" w:hAnsi="Arial"/>
                <w:sz w:val="15"/>
                <w:szCs w:val="15"/>
                <w:color w:val="auto"/>
              </w:rPr>
              <w:t>  Other identifiable intangible assets (excludes accumulated amortization)</w:t>
            </w:r>
          </w:p>
        </w:tc>
        <w:tc>
          <w:tcPr>
            <w:tcW w:w="1120" w:type="dxa"/>
            <w:vAlign w:val="bottom"/>
          </w:tcPr>
          <w:p>
            <w:pPr>
              <w:spacing w:after="0"/>
              <w:rPr>
                <w:sz w:val="18"/>
                <w:szCs w:val="18"/>
                <w:color w:val="auto"/>
              </w:rPr>
            </w:pPr>
          </w:p>
        </w:tc>
        <w:tc>
          <w:tcPr>
            <w:tcW w:w="1340" w:type="dxa"/>
            <w:vAlign w:val="bottom"/>
          </w:tcPr>
          <w:p>
            <w:pPr>
              <w:jc w:val="right"/>
              <w:ind w:right="325"/>
              <w:spacing w:after="0"/>
              <w:rPr>
                <w:sz w:val="20"/>
                <w:szCs w:val="20"/>
                <w:color w:val="auto"/>
              </w:rPr>
            </w:pPr>
            <w:r>
              <w:rPr>
                <w:rFonts w:ascii="Arial" w:cs="Arial" w:eastAsia="Arial" w:hAnsi="Arial"/>
                <w:sz w:val="15"/>
                <w:szCs w:val="15"/>
                <w:b w:val="1"/>
                <w:bCs w:val="1"/>
                <w:color w:val="auto"/>
              </w:rPr>
              <w:t>5,957</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5,942</w:t>
            </w:r>
          </w:p>
        </w:tc>
      </w:tr>
      <w:tr>
        <w:trPr>
          <w:trHeight w:val="314"/>
        </w:trPr>
        <w:tc>
          <w:tcPr>
            <w:tcW w:w="7480" w:type="dxa"/>
            <w:vAlign w:val="bottom"/>
          </w:tcPr>
          <w:p>
            <w:pPr>
              <w:spacing w:after="0"/>
              <w:rPr>
                <w:sz w:val="20"/>
                <w:szCs w:val="20"/>
                <w:color w:val="auto"/>
              </w:rPr>
            </w:pPr>
            <w:r>
              <w:rPr>
                <w:rFonts w:ascii="Arial" w:cs="Arial" w:eastAsia="Arial" w:hAnsi="Arial"/>
                <w:sz w:val="15"/>
                <w:szCs w:val="15"/>
                <w:color w:val="auto"/>
              </w:rPr>
              <w:t>  Goodwill</w:t>
            </w:r>
            <w:r>
              <w:rPr>
                <w:rFonts w:ascii="Arial" w:cs="Arial" w:eastAsia="Arial" w:hAnsi="Arial"/>
                <w:sz w:val="18"/>
                <w:szCs w:val="18"/>
                <w:color w:val="auto"/>
                <w:vertAlign w:val="superscript"/>
              </w:rPr>
              <w:t>(3)</w:t>
            </w:r>
          </w:p>
        </w:tc>
        <w:tc>
          <w:tcPr>
            <w:tcW w:w="1120" w:type="dxa"/>
            <w:vAlign w:val="bottom"/>
          </w:tcPr>
          <w:p>
            <w:pPr>
              <w:spacing w:after="0"/>
              <w:rPr>
                <w:sz w:val="24"/>
                <w:szCs w:val="24"/>
                <w:color w:val="auto"/>
              </w:rPr>
            </w:pPr>
          </w:p>
        </w:tc>
        <w:tc>
          <w:tcPr>
            <w:tcW w:w="1340" w:type="dxa"/>
            <w:vAlign w:val="bottom"/>
          </w:tcPr>
          <w:p>
            <w:pPr>
              <w:jc w:val="right"/>
              <w:ind w:right="325"/>
              <w:spacing w:after="0"/>
              <w:rPr>
                <w:sz w:val="20"/>
                <w:szCs w:val="20"/>
                <w:color w:val="auto"/>
              </w:rPr>
            </w:pPr>
            <w:r>
              <w:rPr>
                <w:rFonts w:ascii="Arial" w:cs="Arial" w:eastAsia="Arial" w:hAnsi="Arial"/>
                <w:sz w:val="15"/>
                <w:szCs w:val="15"/>
                <w:b w:val="1"/>
                <w:bCs w:val="1"/>
                <w:color w:val="auto"/>
              </w:rPr>
              <w:t>6,195</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5,685</w:t>
            </w:r>
          </w:p>
        </w:tc>
      </w:tr>
      <w:tr>
        <w:trPr>
          <w:trHeight w:val="216"/>
        </w:trPr>
        <w:tc>
          <w:tcPr>
            <w:tcW w:w="7480" w:type="dxa"/>
            <w:vAlign w:val="bottom"/>
          </w:tcPr>
          <w:p>
            <w:pPr>
              <w:spacing w:after="0"/>
              <w:rPr>
                <w:sz w:val="20"/>
                <w:szCs w:val="20"/>
                <w:color w:val="auto"/>
              </w:rPr>
            </w:pPr>
            <w:r>
              <w:rPr>
                <w:rFonts w:ascii="Arial" w:cs="Arial" w:eastAsia="Arial" w:hAnsi="Arial"/>
                <w:sz w:val="15"/>
                <w:szCs w:val="15"/>
                <w:color w:val="auto"/>
              </w:rPr>
              <w:t>  Payables, accruals and provisions</w:t>
            </w:r>
          </w:p>
        </w:tc>
        <w:tc>
          <w:tcPr>
            <w:tcW w:w="1120" w:type="dxa"/>
            <w:vAlign w:val="bottom"/>
          </w:tcPr>
          <w:p>
            <w:pPr>
              <w:spacing w:after="0"/>
              <w:rPr>
                <w:sz w:val="18"/>
                <w:szCs w:val="18"/>
                <w:color w:val="auto"/>
              </w:rPr>
            </w:pPr>
          </w:p>
        </w:tc>
        <w:tc>
          <w:tcPr>
            <w:tcW w:w="1340" w:type="dxa"/>
            <w:vAlign w:val="bottom"/>
          </w:tcPr>
          <w:p>
            <w:pPr>
              <w:jc w:val="right"/>
              <w:ind w:right="325"/>
              <w:spacing w:after="0"/>
              <w:rPr>
                <w:sz w:val="20"/>
                <w:szCs w:val="20"/>
                <w:color w:val="auto"/>
              </w:rPr>
            </w:pPr>
            <w:r>
              <w:rPr>
                <w:rFonts w:ascii="Arial" w:cs="Arial" w:eastAsia="Arial" w:hAnsi="Arial"/>
                <w:sz w:val="15"/>
                <w:szCs w:val="15"/>
                <w:b w:val="1"/>
                <w:bCs w:val="1"/>
                <w:color w:val="auto"/>
              </w:rPr>
              <w:t>(1,091)</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(1,114)</w:t>
            </w:r>
          </w:p>
        </w:tc>
      </w:tr>
      <w:tr>
        <w:trPr>
          <w:trHeight w:val="265"/>
        </w:trPr>
        <w:tc>
          <w:tcPr>
            <w:tcW w:w="7480" w:type="dxa"/>
            <w:vAlign w:val="bottom"/>
          </w:tcPr>
          <w:p>
            <w:pPr>
              <w:spacing w:after="0"/>
              <w:rPr>
                <w:sz w:val="20"/>
                <w:szCs w:val="20"/>
                <w:color w:val="auto"/>
              </w:rPr>
            </w:pPr>
            <w:r>
              <w:rPr>
                <w:rFonts w:ascii="Arial" w:cs="Arial" w:eastAsia="Arial" w:hAnsi="Arial"/>
                <w:sz w:val="15"/>
                <w:szCs w:val="15"/>
                <w:color w:val="auto"/>
              </w:rPr>
              <w:t>  Current tax liabilities</w:t>
            </w:r>
          </w:p>
        </w:tc>
        <w:tc>
          <w:tcPr>
            <w:tcW w:w="1120" w:type="dxa"/>
            <w:vAlign w:val="bottom"/>
          </w:tcPr>
          <w:p>
            <w:pPr>
              <w:spacing w:after="0"/>
              <w:rPr>
                <w:sz w:val="23"/>
                <w:szCs w:val="23"/>
                <w:color w:val="auto"/>
              </w:rPr>
            </w:pPr>
          </w:p>
        </w:tc>
        <w:tc>
          <w:tcPr>
            <w:tcW w:w="1340" w:type="dxa"/>
            <w:vAlign w:val="bottom"/>
          </w:tcPr>
          <w:p>
            <w:pPr>
              <w:jc w:val="right"/>
              <w:ind w:right="325"/>
              <w:spacing w:after="0"/>
              <w:rPr>
                <w:sz w:val="20"/>
                <w:szCs w:val="20"/>
                <w:color w:val="auto"/>
              </w:rPr>
            </w:pPr>
            <w:r>
              <w:rPr>
                <w:rFonts w:ascii="Arial" w:cs="Arial" w:eastAsia="Arial" w:hAnsi="Arial"/>
                <w:sz w:val="15"/>
                <w:szCs w:val="15"/>
                <w:b w:val="1"/>
                <w:bCs w:val="1"/>
                <w:color w:val="auto"/>
              </w:rPr>
              <w:t>(197)</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(248)</w:t>
            </w:r>
          </w:p>
        </w:tc>
      </w:tr>
      <w:tr>
        <w:trPr>
          <w:trHeight w:val="265"/>
        </w:trPr>
        <w:tc>
          <w:tcPr>
            <w:tcW w:w="7480" w:type="dxa"/>
            <w:vAlign w:val="bottom"/>
          </w:tcPr>
          <w:p>
            <w:pPr>
              <w:spacing w:after="0"/>
              <w:rPr>
                <w:sz w:val="20"/>
                <w:szCs w:val="20"/>
                <w:color w:val="auto"/>
              </w:rPr>
            </w:pPr>
            <w:r>
              <w:rPr>
                <w:rFonts w:ascii="Arial" w:cs="Arial" w:eastAsia="Arial" w:hAnsi="Arial"/>
                <w:sz w:val="15"/>
                <w:szCs w:val="15"/>
                <w:color w:val="auto"/>
              </w:rPr>
              <w:t>  Deferred revenue</w:t>
            </w:r>
          </w:p>
        </w:tc>
        <w:tc>
          <w:tcPr>
            <w:tcW w:w="1120" w:type="dxa"/>
            <w:vAlign w:val="bottom"/>
          </w:tcPr>
          <w:p>
            <w:pPr>
              <w:spacing w:after="0"/>
              <w:rPr>
                <w:sz w:val="23"/>
                <w:szCs w:val="23"/>
                <w:color w:val="auto"/>
              </w:rPr>
            </w:pPr>
          </w:p>
        </w:tc>
        <w:tc>
          <w:tcPr>
            <w:tcW w:w="1340" w:type="dxa"/>
            <w:vAlign w:val="bottom"/>
          </w:tcPr>
          <w:p>
            <w:pPr>
              <w:jc w:val="right"/>
              <w:ind w:right="325"/>
              <w:spacing w:after="0"/>
              <w:rPr>
                <w:sz w:val="20"/>
                <w:szCs w:val="20"/>
                <w:color w:val="auto"/>
              </w:rPr>
            </w:pPr>
            <w:r>
              <w:rPr>
                <w:rFonts w:ascii="Arial" w:cs="Arial" w:eastAsia="Arial" w:hAnsi="Arial"/>
                <w:sz w:val="15"/>
                <w:szCs w:val="15"/>
                <w:b w:val="1"/>
                <w:bCs w:val="1"/>
                <w:color w:val="auto"/>
              </w:rPr>
              <w:t>(1,062)</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(992)</w:t>
            </w:r>
          </w:p>
        </w:tc>
      </w:tr>
      <w:tr>
        <w:trPr>
          <w:trHeight w:val="24"/>
        </w:trPr>
        <w:tc>
          <w:tcPr>
            <w:tcW w:w="7480" w:type="dxa"/>
            <w:vAlign w:val="bottom"/>
            <w:tcBorders>
              <w:bottom w:val="single" w:sz="8" w:color="B2B2B2"/>
            </w:tcBorders>
          </w:tcPr>
          <w:p>
            <w:pPr>
              <w:spacing w:after="0"/>
              <w:rPr>
                <w:sz w:val="2"/>
                <w:szCs w:val="2"/>
                <w:color w:val="auto"/>
              </w:rPr>
            </w:pPr>
          </w:p>
        </w:tc>
        <w:tc>
          <w:tcPr>
            <w:tcW w:w="1120" w:type="dxa"/>
            <w:vAlign w:val="bottom"/>
            <w:tcBorders>
              <w:bottom w:val="single" w:sz="8" w:color="B2B2B2"/>
            </w:tcBorders>
          </w:tcPr>
          <w:p>
            <w:pPr>
              <w:spacing w:after="0"/>
              <w:rPr>
                <w:sz w:val="2"/>
                <w:szCs w:val="2"/>
                <w:color w:val="auto"/>
              </w:rPr>
            </w:pPr>
          </w:p>
        </w:tc>
        <w:tc>
          <w:tcPr>
            <w:tcW w:w="1340" w:type="dxa"/>
            <w:vAlign w:val="bottom"/>
            <w:tcBorders>
              <w:bottom w:val="single" w:sz="8" w:color="B2B2B2"/>
            </w:tcBorders>
          </w:tcPr>
          <w:p>
            <w:pPr>
              <w:spacing w:after="0"/>
              <w:rPr>
                <w:sz w:val="2"/>
                <w:szCs w:val="2"/>
                <w:color w:val="auto"/>
              </w:rPr>
            </w:pPr>
          </w:p>
        </w:tc>
        <w:tc>
          <w:tcPr>
            <w:tcW w:w="880" w:type="dxa"/>
            <w:vAlign w:val="bottom"/>
            <w:tcBorders>
              <w:bottom w:val="single" w:sz="8" w:color="B2B2B2"/>
            </w:tcBorders>
            <w:gridSpan w:val="2"/>
          </w:tcPr>
          <w:p>
            <w:pPr>
              <w:spacing w:after="0"/>
              <w:rPr>
                <w:sz w:val="2"/>
                <w:szCs w:val="2"/>
                <w:color w:val="auto"/>
              </w:rPr>
            </w:pPr>
          </w:p>
        </w:tc>
      </w:tr>
      <w:tr>
        <w:trPr>
          <w:trHeight w:val="245"/>
        </w:trPr>
        <w:tc>
          <w:tcPr>
            <w:tcW w:w="7480" w:type="dxa"/>
            <w:vAlign w:val="bottom"/>
            <w:tcBorders>
              <w:bottom w:val="single" w:sz="8" w:color="B2B2B2"/>
            </w:tcBorders>
          </w:tcPr>
          <w:p>
            <w:pPr>
              <w:spacing w:after="0"/>
              <w:rPr>
                <w:sz w:val="20"/>
                <w:szCs w:val="20"/>
                <w:color w:val="auto"/>
              </w:rPr>
            </w:pPr>
            <w:r>
              <w:rPr>
                <w:rFonts w:ascii="Arial" w:cs="Arial" w:eastAsia="Arial" w:hAnsi="Arial"/>
                <w:sz w:val="15"/>
                <w:szCs w:val="15"/>
                <w:b w:val="1"/>
                <w:bCs w:val="1"/>
                <w:color w:val="auto"/>
              </w:rPr>
              <w:t>  Total invested capital</w:t>
            </w:r>
            <w:r>
              <w:rPr>
                <w:rFonts w:ascii="Arial" w:cs="Arial" w:eastAsia="Arial" w:hAnsi="Arial"/>
                <w:sz w:val="18"/>
                <w:szCs w:val="18"/>
                <w:b w:val="1"/>
                <w:bCs w:val="1"/>
                <w:color w:val="auto"/>
                <w:vertAlign w:val="superscript"/>
              </w:rPr>
              <w:t>(4)</w:t>
            </w:r>
          </w:p>
        </w:tc>
        <w:tc>
          <w:tcPr>
            <w:tcW w:w="1120" w:type="dxa"/>
            <w:vAlign w:val="bottom"/>
            <w:tcBorders>
              <w:bottom w:val="single" w:sz="8" w:color="B2B2B2"/>
            </w:tcBorders>
          </w:tcPr>
          <w:p>
            <w:pPr>
              <w:spacing w:after="0"/>
              <w:rPr>
                <w:sz w:val="21"/>
                <w:szCs w:val="21"/>
                <w:color w:val="auto"/>
              </w:rPr>
            </w:pPr>
          </w:p>
        </w:tc>
        <w:tc>
          <w:tcPr>
            <w:tcW w:w="1340" w:type="dxa"/>
            <w:vAlign w:val="bottom"/>
            <w:tcBorders>
              <w:bottom w:val="single" w:sz="8" w:color="B2B2B2"/>
            </w:tcBorders>
          </w:tcPr>
          <w:p>
            <w:pPr>
              <w:jc w:val="right"/>
              <w:ind w:right="325"/>
              <w:spacing w:after="0"/>
              <w:rPr>
                <w:sz w:val="20"/>
                <w:szCs w:val="20"/>
                <w:color w:val="auto"/>
              </w:rPr>
            </w:pPr>
            <w:r>
              <w:rPr>
                <w:rFonts w:ascii="Arial" w:cs="Arial" w:eastAsia="Arial" w:hAnsi="Arial"/>
                <w:sz w:val="15"/>
                <w:szCs w:val="15"/>
                <w:b w:val="1"/>
                <w:bCs w:val="1"/>
                <w:color w:val="auto"/>
              </w:rPr>
              <w:t>13,532</w:t>
            </w:r>
          </w:p>
        </w:tc>
        <w:tc>
          <w:tcPr>
            <w:tcW w:w="880" w:type="dxa"/>
            <w:vAlign w:val="bottom"/>
            <w:tcBorders>
              <w:bottom w:val="single" w:sz="8" w:color="B2B2B2"/>
            </w:tcBorders>
            <w:gridSpan w:val="2"/>
          </w:tcPr>
          <w:p>
            <w:pPr>
              <w:jc w:val="right"/>
              <w:spacing w:after="0"/>
              <w:rPr>
                <w:sz w:val="20"/>
                <w:szCs w:val="20"/>
                <w:color w:val="auto"/>
              </w:rPr>
            </w:pPr>
            <w:r>
              <w:rPr>
                <w:rFonts w:ascii="Arial" w:cs="Arial" w:eastAsia="Arial" w:hAnsi="Arial"/>
                <w:sz w:val="15"/>
                <w:szCs w:val="15"/>
                <w:color w:val="auto"/>
              </w:rPr>
              <w:t>12,769</w:t>
            </w:r>
          </w:p>
        </w:tc>
      </w:tr>
      <w:tr>
        <w:trPr>
          <w:trHeight w:val="221"/>
        </w:trPr>
        <w:tc>
          <w:tcPr>
            <w:tcW w:w="7480" w:type="dxa"/>
            <w:vAlign w:val="bottom"/>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Average invested capital</w:t>
            </w:r>
          </w:p>
        </w:tc>
        <w:tc>
          <w:tcPr>
            <w:tcW w:w="1120" w:type="dxa"/>
            <w:vAlign w:val="bottom"/>
          </w:tcPr>
          <w:p>
            <w:pPr>
              <w:spacing w:after="0"/>
              <w:rPr>
                <w:sz w:val="19"/>
                <w:szCs w:val="19"/>
                <w:color w:val="auto"/>
              </w:rPr>
            </w:pPr>
          </w:p>
        </w:tc>
        <w:tc>
          <w:tcPr>
            <w:tcW w:w="1340" w:type="dxa"/>
            <w:vAlign w:val="bottom"/>
          </w:tcPr>
          <w:p>
            <w:pPr>
              <w:jc w:val="right"/>
              <w:ind w:right="325"/>
              <w:spacing w:after="0"/>
              <w:rPr>
                <w:sz w:val="20"/>
                <w:szCs w:val="20"/>
                <w:color w:val="auto"/>
              </w:rPr>
            </w:pPr>
            <w:r>
              <w:rPr>
                <w:rFonts w:ascii="Arial" w:cs="Arial" w:eastAsia="Arial" w:hAnsi="Arial"/>
                <w:sz w:val="15"/>
                <w:szCs w:val="15"/>
                <w:b w:val="1"/>
                <w:bCs w:val="1"/>
                <w:color w:val="auto"/>
              </w:rPr>
              <w:t>13,151</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12,109</w:t>
            </w:r>
          </w:p>
        </w:tc>
      </w:tr>
      <w:tr>
        <w:trPr>
          <w:trHeight w:val="265"/>
        </w:trPr>
        <w:tc>
          <w:tcPr>
            <w:tcW w:w="7480" w:type="dxa"/>
            <w:vAlign w:val="bottom"/>
          </w:tcPr>
          <w:p>
            <w:pPr>
              <w:spacing w:after="0"/>
              <w:rPr>
                <w:sz w:val="20"/>
                <w:szCs w:val="20"/>
                <w:color w:val="auto"/>
              </w:rPr>
            </w:pPr>
            <w:r>
              <w:rPr>
                <w:rFonts w:ascii="Arial" w:cs="Arial" w:eastAsia="Arial" w:hAnsi="Arial"/>
                <w:sz w:val="15"/>
                <w:szCs w:val="15"/>
                <w:b w:val="1"/>
                <w:bCs w:val="1"/>
                <w:color w:val="auto"/>
              </w:rPr>
              <w:t>  Return on invested capital</w:t>
            </w:r>
          </w:p>
        </w:tc>
        <w:tc>
          <w:tcPr>
            <w:tcW w:w="1120" w:type="dxa"/>
            <w:vAlign w:val="bottom"/>
          </w:tcPr>
          <w:p>
            <w:pPr>
              <w:spacing w:after="0"/>
              <w:rPr>
                <w:sz w:val="23"/>
                <w:szCs w:val="23"/>
                <w:color w:val="auto"/>
              </w:rPr>
            </w:pPr>
          </w:p>
        </w:tc>
        <w:tc>
          <w:tcPr>
            <w:tcW w:w="1340" w:type="dxa"/>
            <w:vAlign w:val="bottom"/>
          </w:tcPr>
          <w:p>
            <w:pPr>
              <w:jc w:val="right"/>
              <w:ind w:right="325"/>
              <w:spacing w:after="0"/>
              <w:rPr>
                <w:sz w:val="20"/>
                <w:szCs w:val="20"/>
                <w:color w:val="auto"/>
              </w:rPr>
            </w:pPr>
            <w:r>
              <w:rPr>
                <w:rFonts w:ascii="Arial" w:cs="Arial" w:eastAsia="Arial" w:hAnsi="Arial"/>
                <w:sz w:val="15"/>
                <w:szCs w:val="15"/>
                <w:b w:val="1"/>
                <w:bCs w:val="1"/>
                <w:color w:val="auto"/>
              </w:rPr>
              <w:t>14.9%</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16.1%</w:t>
            </w:r>
          </w:p>
        </w:tc>
      </w:tr>
      <w:tr>
        <w:trPr>
          <w:trHeight w:val="30"/>
        </w:trPr>
        <w:tc>
          <w:tcPr>
            <w:tcW w:w="7480" w:type="dxa"/>
            <w:vAlign w:val="bottom"/>
            <w:tcBorders>
              <w:bottom w:val="single" w:sz="8" w:color="D64000"/>
            </w:tcBorders>
          </w:tcPr>
          <w:p>
            <w:pPr>
              <w:spacing w:after="0"/>
              <w:rPr>
                <w:sz w:val="2"/>
                <w:szCs w:val="2"/>
                <w:color w:val="auto"/>
              </w:rPr>
            </w:pPr>
          </w:p>
        </w:tc>
        <w:tc>
          <w:tcPr>
            <w:tcW w:w="1120" w:type="dxa"/>
            <w:vAlign w:val="bottom"/>
            <w:tcBorders>
              <w:bottom w:val="single" w:sz="8" w:color="D64000"/>
            </w:tcBorders>
          </w:tcPr>
          <w:p>
            <w:pPr>
              <w:spacing w:after="0"/>
              <w:rPr>
                <w:sz w:val="2"/>
                <w:szCs w:val="2"/>
                <w:color w:val="auto"/>
              </w:rPr>
            </w:pPr>
          </w:p>
        </w:tc>
        <w:tc>
          <w:tcPr>
            <w:tcW w:w="1340" w:type="dxa"/>
            <w:vAlign w:val="bottom"/>
            <w:tcBorders>
              <w:bottom w:val="single" w:sz="8" w:color="D64000"/>
            </w:tcBorders>
          </w:tcPr>
          <w:p>
            <w:pPr>
              <w:spacing w:after="0"/>
              <w:rPr>
                <w:sz w:val="2"/>
                <w:szCs w:val="2"/>
                <w:color w:val="auto"/>
              </w:rPr>
            </w:pPr>
          </w:p>
        </w:tc>
        <w:tc>
          <w:tcPr>
            <w:tcW w:w="860" w:type="dxa"/>
            <w:vAlign w:val="bottom"/>
            <w:tcBorders>
              <w:bottom w:val="single" w:sz="8" w:color="D64000"/>
            </w:tcBorders>
          </w:tcPr>
          <w:p>
            <w:pPr>
              <w:spacing w:after="0"/>
              <w:rPr>
                <w:sz w:val="2"/>
                <w:szCs w:val="2"/>
                <w:color w:val="auto"/>
              </w:rPr>
            </w:pPr>
          </w:p>
        </w:tc>
        <w:tc>
          <w:tcPr>
            <w:tcW w:w="20" w:type="dxa"/>
            <w:vAlign w:val="bottom"/>
            <w:tcBorders>
              <w:bottom w:val="single" w:sz="8" w:color="D64000"/>
            </w:tcBorders>
          </w:tcPr>
          <w:p>
            <w:pPr>
              <w:spacing w:after="0"/>
              <w:rPr>
                <w:sz w:val="2"/>
                <w:szCs w:val="2"/>
                <w:color w:val="auto"/>
              </w:rPr>
            </w:pPr>
          </w:p>
        </w:tc>
      </w:tr>
    </w:tbl>
    <w:p>
      <w:pPr>
        <w:spacing w:after="0" w:line="110" w:lineRule="exact"/>
        <w:rPr>
          <w:sz w:val="20"/>
          <w:szCs w:val="20"/>
          <w:color w:val="auto"/>
        </w:rPr>
      </w:pPr>
    </w:p>
    <w:p>
      <w:pPr>
        <w:ind w:left="540" w:right="100" w:hanging="322"/>
        <w:spacing w:after="0" w:line="247" w:lineRule="auto"/>
        <w:tabs>
          <w:tab w:leader="none" w:pos="5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Excludes $8 million of other operating gains and $11 million related to the release of tax and interest reserves in 2024 (2023 - $54 million of other operating gains) from discontinued operations.</w:t>
      </w:r>
    </w:p>
    <w:p>
      <w:pPr>
        <w:ind w:left="540" w:hanging="322"/>
        <w:spacing w:after="0" w:line="237" w:lineRule="auto"/>
        <w:tabs>
          <w:tab w:leader="none" w:pos="5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Computer software excludes accumulated amortization of acquired software of $404 million and $256 million in 2024 and 2023, respectively.</w:t>
      </w:r>
    </w:p>
    <w:p>
      <w:pPr>
        <w:ind w:left="540" w:hanging="322"/>
        <w:spacing w:after="0" w:line="237" w:lineRule="auto"/>
        <w:tabs>
          <w:tab w:leader="none" w:pos="5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Goodwill excludes deferred tax impacts of $1,067 million and $1,034 million in 2024 and 2023, respectively, arising from acquisition accounting.</w:t>
      </w:r>
    </w:p>
    <w:p>
      <w:pPr>
        <w:ind w:left="540" w:right="200" w:hanging="322"/>
        <w:spacing w:after="0" w:line="253" w:lineRule="auto"/>
        <w:tabs>
          <w:tab w:leader="none" w:pos="5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Invested capital excludes other financial assets and liabilities, including cash, debt and lease liabilities, equity method investments, other non-current assets, deferred taxes, and provisions and other non-current liabilities.</w:t>
      </w:r>
    </w:p>
    <w:p>
      <w:pPr>
        <w:spacing w:after="0" w:line="45" w:lineRule="exact"/>
        <w:rPr>
          <w:sz w:val="20"/>
          <w:szCs w:val="20"/>
          <w:color w:val="auto"/>
        </w:rPr>
      </w:pPr>
    </w:p>
    <w:p>
      <w:pPr>
        <w:ind w:left="220" w:right="560"/>
        <w:spacing w:after="0" w:line="260" w:lineRule="auto"/>
        <w:rPr>
          <w:sz w:val="20"/>
          <w:szCs w:val="20"/>
          <w:color w:val="auto"/>
        </w:rPr>
      </w:pPr>
      <w:r>
        <w:rPr>
          <w:rFonts w:ascii="Arial" w:cs="Arial" w:eastAsia="Arial" w:hAnsi="Arial"/>
          <w:sz w:val="17"/>
          <w:szCs w:val="17"/>
          <w:color w:val="auto"/>
        </w:rPr>
        <w:t>ROIC decreased to 14.9% in 2024 from 16.1% in 2023 due to higher average invested capital resulting from net acquisition and divestiture activity as well as continued investments in the business.</w:t>
      </w:r>
    </w:p>
    <w:p>
      <w:pPr>
        <w:spacing w:after="0" w:line="27" w:lineRule="exact"/>
        <w:rPr>
          <w:sz w:val="20"/>
          <w:szCs w:val="20"/>
          <w:color w:val="auto"/>
        </w:rPr>
      </w:pPr>
    </w:p>
    <w:p>
      <w:pPr>
        <w:ind w:left="220" w:right="200"/>
        <w:spacing w:after="0" w:line="260" w:lineRule="auto"/>
        <w:rPr>
          <w:sz w:val="20"/>
          <w:szCs w:val="20"/>
          <w:color w:val="auto"/>
        </w:rPr>
      </w:pPr>
      <w:r>
        <w:rPr>
          <w:rFonts w:ascii="Arial" w:cs="Arial" w:eastAsia="Arial" w:hAnsi="Arial"/>
          <w:sz w:val="17"/>
          <w:szCs w:val="17"/>
          <w:color w:val="auto"/>
        </w:rPr>
        <w:t>We measure our ROIC to assess, over the long term, our ability to create value for our shareholders. Our goal is to increase this return over the long term by using our capital to invest in areas with high returns and realizing operating efficiencies to further enhance our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90170</wp:posOffset>
            </wp:positionV>
            <wp:extent cx="68656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9"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70</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Appendix D</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Critical Accounting Estimates and Judgments</w:t>
      </w:r>
    </w:p>
    <w:p>
      <w:pPr>
        <w:spacing w:after="0" w:line="97" w:lineRule="exact"/>
        <w:rPr>
          <w:sz w:val="20"/>
          <w:szCs w:val="20"/>
          <w:color w:val="auto"/>
        </w:rPr>
      </w:pPr>
    </w:p>
    <w:p>
      <w:pPr>
        <w:ind w:left="220" w:right="200"/>
        <w:spacing w:after="0" w:line="243" w:lineRule="auto"/>
        <w:rPr>
          <w:sz w:val="20"/>
          <w:szCs w:val="20"/>
          <w:color w:val="auto"/>
        </w:rPr>
      </w:pPr>
      <w:r>
        <w:rPr>
          <w:rFonts w:ascii="Arial" w:cs="Arial" w:eastAsia="Arial" w:hAnsi="Arial"/>
          <w:sz w:val="17"/>
          <w:szCs w:val="17"/>
          <w:color w:val="auto"/>
        </w:rPr>
        <w:t>The preparation of financial statements requires management to make estimates and judgments about the future. Estimates and judgments are continually evaluated and are based on historical experience and other factors, including expectations of future events that are believed to be reasonable under the circumstances. Accounting estimates will, by definition, seldom equal the actual results.</w:t>
      </w:r>
    </w:p>
    <w:p>
      <w:pPr>
        <w:spacing w:after="0" w:line="42" w:lineRule="exact"/>
        <w:rPr>
          <w:sz w:val="20"/>
          <w:szCs w:val="20"/>
          <w:color w:val="auto"/>
        </w:rPr>
      </w:pPr>
    </w:p>
    <w:p>
      <w:pPr>
        <w:ind w:left="220" w:right="120"/>
        <w:spacing w:after="0" w:line="238" w:lineRule="auto"/>
        <w:rPr>
          <w:sz w:val="20"/>
          <w:szCs w:val="20"/>
          <w:color w:val="auto"/>
        </w:rPr>
      </w:pPr>
      <w:r>
        <w:rPr>
          <w:rFonts w:ascii="Arial" w:cs="Arial" w:eastAsia="Arial" w:hAnsi="Arial"/>
          <w:sz w:val="17"/>
          <w:szCs w:val="17"/>
          <w:color w:val="auto"/>
        </w:rPr>
        <w:t>We continue to operate in an uncertain macroeconomic environment, reflecting ongoing geopolitical risk, uneven economic growth, and an evolving interest rate and inflationary backdrop, among other factors. While we are closely monitoring these conditions to assess potential impacts on our businesses, some of management’s estimates and judgments may be more variable and may change materially in the future due to the significant uncertainty created by these circumstances.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discussion sets forth management’s:</w:t>
      </w:r>
    </w:p>
    <w:p>
      <w:pPr>
        <w:spacing w:after="0" w:line="83" w:lineRule="exact"/>
        <w:rPr>
          <w:sz w:val="20"/>
          <w:szCs w:val="20"/>
          <w:color w:val="auto"/>
        </w:rPr>
      </w:pPr>
    </w:p>
    <w:p>
      <w:pPr>
        <w:ind w:left="440" w:hanging="222"/>
        <w:spacing w:after="0"/>
        <w:tabs>
          <w:tab w:leader="none" w:pos="440" w:val="left"/>
        </w:tabs>
        <w:numPr>
          <w:ilvl w:val="0"/>
          <w:numId w:val="71"/>
        </w:numPr>
        <w:rPr>
          <w:rFonts w:ascii="Arial" w:cs="Arial" w:eastAsia="Arial" w:hAnsi="Arial"/>
          <w:sz w:val="17"/>
          <w:szCs w:val="17"/>
          <w:color w:val="D64000"/>
        </w:rPr>
      </w:pPr>
      <w:r>
        <w:rPr>
          <w:rFonts w:ascii="Arial" w:cs="Arial" w:eastAsia="Arial" w:hAnsi="Arial"/>
          <w:sz w:val="17"/>
          <w:szCs w:val="17"/>
          <w:color w:val="auto"/>
        </w:rPr>
        <w:t>Most critical estimates and assumptions in determining the value of assets and liabilities; and</w:t>
      </w:r>
    </w:p>
    <w:p>
      <w:pPr>
        <w:spacing w:after="0" w:line="6" w:lineRule="exact"/>
        <w:rPr>
          <w:rFonts w:ascii="Arial" w:cs="Arial" w:eastAsia="Arial" w:hAnsi="Arial"/>
          <w:sz w:val="17"/>
          <w:szCs w:val="17"/>
          <w:color w:val="D64000"/>
        </w:rPr>
      </w:pPr>
    </w:p>
    <w:p>
      <w:pPr>
        <w:ind w:left="440" w:hanging="222"/>
        <w:spacing w:after="0"/>
        <w:tabs>
          <w:tab w:leader="none" w:pos="440" w:val="left"/>
        </w:tabs>
        <w:numPr>
          <w:ilvl w:val="0"/>
          <w:numId w:val="71"/>
        </w:numPr>
        <w:rPr>
          <w:rFonts w:ascii="Arial" w:cs="Arial" w:eastAsia="Arial" w:hAnsi="Arial"/>
          <w:sz w:val="17"/>
          <w:szCs w:val="17"/>
          <w:color w:val="D64000"/>
        </w:rPr>
      </w:pPr>
      <w:r>
        <w:rPr>
          <w:rFonts w:ascii="Arial" w:cs="Arial" w:eastAsia="Arial" w:hAnsi="Arial"/>
          <w:sz w:val="17"/>
          <w:szCs w:val="17"/>
          <w:color w:val="auto"/>
        </w:rPr>
        <w:t>Most critical judgments in applying accounting policies.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Critical accounting estimates and assumptions</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Allowance for expected credit losses and sales adjustments</w:t>
      </w:r>
    </w:p>
    <w:p>
      <w:pPr>
        <w:spacing w:after="0" w:line="33" w:lineRule="exact"/>
        <w:rPr>
          <w:sz w:val="20"/>
          <w:szCs w:val="20"/>
          <w:color w:val="auto"/>
        </w:rPr>
      </w:pPr>
    </w:p>
    <w:p>
      <w:pPr>
        <w:ind w:left="220" w:right="120"/>
        <w:spacing w:after="0" w:line="249" w:lineRule="auto"/>
        <w:rPr>
          <w:sz w:val="20"/>
          <w:szCs w:val="20"/>
          <w:color w:val="auto"/>
        </w:rPr>
      </w:pPr>
      <w:r>
        <w:rPr>
          <w:rFonts w:ascii="Arial" w:cs="Arial" w:eastAsia="Arial" w:hAnsi="Arial"/>
          <w:sz w:val="16"/>
          <w:szCs w:val="16"/>
          <w:color w:val="auto"/>
        </w:rPr>
        <w:t>We must assess whether accounts receivable are collectible from customers. Accordingly, we establish an allowance for expected losses arising from non-payment and other sales adjustments, taking into consideration customer creditworthiness, current economic trends, experience and expected credit losses. If future collections differ from estimates, future earnings would be affected. As of December 31, 2024, the combined allowances were $55 million, or 5%, of the gross trade accounts receivable balance of $1,113 million. An increase to the reserve based on 1% of accounts receivable would have decreased pre-tax earnings by approximately $11 million for the year ended December 31, 2024.</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Computer software</w:t>
      </w:r>
    </w:p>
    <w:p>
      <w:pPr>
        <w:spacing w:after="0" w:line="34" w:lineRule="exact"/>
        <w:rPr>
          <w:sz w:val="20"/>
          <w:szCs w:val="20"/>
          <w:color w:val="auto"/>
        </w:rPr>
      </w:pPr>
    </w:p>
    <w:p>
      <w:pPr>
        <w:ind w:left="220" w:right="300"/>
        <w:spacing w:after="0" w:line="254" w:lineRule="auto"/>
        <w:rPr>
          <w:sz w:val="20"/>
          <w:szCs w:val="20"/>
          <w:color w:val="auto"/>
        </w:rPr>
      </w:pPr>
      <w:r>
        <w:rPr>
          <w:rFonts w:ascii="Arial" w:cs="Arial" w:eastAsia="Arial" w:hAnsi="Arial"/>
          <w:sz w:val="17"/>
          <w:szCs w:val="17"/>
          <w:color w:val="auto"/>
        </w:rPr>
        <w:t>Computer software represented $1,453 million of total assets in the consolidated statement of financial position as of December 31, 2024, and included internally developed computer software as well as computer software acquired in business combinations.</w:t>
      </w:r>
    </w:p>
    <w:p>
      <w:pPr>
        <w:spacing w:after="0" w:line="32" w:lineRule="exact"/>
        <w:rPr>
          <w:sz w:val="20"/>
          <w:szCs w:val="20"/>
          <w:color w:val="auto"/>
        </w:rPr>
      </w:pPr>
    </w:p>
    <w:p>
      <w:pPr>
        <w:ind w:left="220" w:right="20"/>
        <w:spacing w:after="0" w:line="238" w:lineRule="auto"/>
        <w:rPr>
          <w:sz w:val="20"/>
          <w:szCs w:val="20"/>
          <w:color w:val="auto"/>
        </w:rPr>
      </w:pPr>
      <w:r>
        <w:rPr>
          <w:rFonts w:ascii="Arial" w:cs="Arial" w:eastAsia="Arial" w:hAnsi="Arial"/>
          <w:sz w:val="17"/>
          <w:szCs w:val="17"/>
          <w:color w:val="auto"/>
        </w:rPr>
        <w:t>Most expenditures for internally developed computer software relate to product development and enhancements. Management exercises judgment in determining the development activities that meet capitalization criteria. Software acquired through business combinations is recorded at fair value, which is estimated at the acquisition date, based on, among other factors, cash flow projections from the use or sale of the asset, the weighted-average cost of capital and the remaining useful life, all of which require judgment.</w:t>
      </w:r>
    </w:p>
    <w:p>
      <w:pPr>
        <w:spacing w:after="0" w:line="59" w:lineRule="exact"/>
        <w:rPr>
          <w:sz w:val="20"/>
          <w:szCs w:val="20"/>
          <w:color w:val="auto"/>
        </w:rPr>
      </w:pPr>
    </w:p>
    <w:p>
      <w:pPr>
        <w:ind w:left="220" w:right="160"/>
        <w:spacing w:after="0" w:line="238" w:lineRule="auto"/>
        <w:rPr>
          <w:sz w:val="20"/>
          <w:szCs w:val="20"/>
          <w:color w:val="auto"/>
        </w:rPr>
      </w:pPr>
      <w:r>
        <w:rPr>
          <w:rFonts w:ascii="Arial" w:cs="Arial" w:eastAsia="Arial" w:hAnsi="Arial"/>
          <w:sz w:val="17"/>
          <w:szCs w:val="17"/>
          <w:color w:val="auto"/>
        </w:rPr>
        <w:t>For all software, management must estimate the expected period of benefit over which amounts recognized as assets should be amortized. The basis of these estimates includes the timing of technological obsolescence, economic and competitive pressures, historical experience and internal business plans for the use of the software. Due to rapidly changing technology and the uncertainty of the software development process itself, future results could be affected if management’s current assessment of its software projects differs from actual performance.</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Other identifiable intangible assets and goodwill</w:t>
      </w:r>
    </w:p>
    <w:p>
      <w:pPr>
        <w:spacing w:after="0" w:line="33" w:lineRule="exact"/>
        <w:rPr>
          <w:sz w:val="20"/>
          <w:szCs w:val="20"/>
          <w:color w:val="auto"/>
        </w:rPr>
      </w:pPr>
    </w:p>
    <w:p>
      <w:pPr>
        <w:ind w:left="220" w:right="200"/>
        <w:spacing w:after="0" w:line="231" w:lineRule="auto"/>
        <w:rPr>
          <w:sz w:val="20"/>
          <w:szCs w:val="20"/>
          <w:color w:val="auto"/>
        </w:rPr>
      </w:pPr>
      <w:r>
        <w:rPr>
          <w:rFonts w:ascii="Arial" w:cs="Arial" w:eastAsia="Arial" w:hAnsi="Arial"/>
          <w:sz w:val="17"/>
          <w:szCs w:val="17"/>
          <w:color w:val="auto"/>
        </w:rPr>
        <w:t>Other identifiable intangible assets and goodwill represented $3,134 million and $7,262 million, respectively, of total assets in the consolidated statement of financial position as of December 31, 2024. Other identifiable intangible assets and goodwill arise out of business combinations. Business combinations are accounted for under the acquisition method of accounting, which requires us to identify and attribute values to the intangible assets acquired based on their estimated fair value as well as to estimate their useful lives. These determinations involve significant estimates and assumptions regarding cash flow projections, economic risk and weighted-average cost of capital. The excess of acquisition cost over the fair value of identifiable net assets acquired is recorded as goodwill.</w:t>
      </w:r>
    </w:p>
    <w:p>
      <w:pPr>
        <w:spacing w:after="0" w:line="61" w:lineRule="exact"/>
        <w:rPr>
          <w:sz w:val="20"/>
          <w:szCs w:val="20"/>
          <w:color w:val="auto"/>
        </w:rPr>
      </w:pPr>
    </w:p>
    <w:p>
      <w:pPr>
        <w:ind w:left="220" w:right="100"/>
        <w:spacing w:after="0" w:line="235" w:lineRule="auto"/>
        <w:rPr>
          <w:sz w:val="20"/>
          <w:szCs w:val="20"/>
          <w:color w:val="auto"/>
        </w:rPr>
      </w:pPr>
      <w:r>
        <w:rPr>
          <w:rFonts w:ascii="Arial" w:cs="Arial" w:eastAsia="Arial" w:hAnsi="Arial"/>
          <w:sz w:val="17"/>
          <w:szCs w:val="17"/>
          <w:color w:val="auto"/>
        </w:rPr>
        <w:t>Subsequent to acquisition, we test other identifiable intangible assets and goodwill for impairment as required. The outcome of these tests is highly dependent on our latest estimates and assumptions regarding cash flow projections, economic risk and weighted-average cost of capital. Specifically, cash flow projections could be impacted by deterioration in macroeconomic conditions, including potential impacts of regulation on customers, changes in customer buying patterns or competitive pressures. Our assumption of perpetual growth could be impacted by changes in long-term outlooks for global inflation. Additionally, the discount rate, tax rate and EBITDA multiples used in various impairment tests are based on those for comparable companies, which are driven by market conditions and prevailing tax laws.</w:t>
      </w:r>
    </w:p>
    <w:p>
      <w:pPr>
        <w:spacing w:after="0" w:line="57" w:lineRule="exact"/>
        <w:rPr>
          <w:sz w:val="20"/>
          <w:szCs w:val="20"/>
          <w:color w:val="auto"/>
        </w:rPr>
      </w:pPr>
    </w:p>
    <w:p>
      <w:pPr>
        <w:ind w:left="220" w:right="120"/>
        <w:spacing w:after="0" w:line="260" w:lineRule="auto"/>
        <w:rPr>
          <w:sz w:val="20"/>
          <w:szCs w:val="20"/>
          <w:color w:val="auto"/>
        </w:rPr>
      </w:pPr>
      <w:r>
        <w:rPr>
          <w:rFonts w:ascii="Arial" w:cs="Arial" w:eastAsia="Arial" w:hAnsi="Arial"/>
          <w:sz w:val="17"/>
          <w:szCs w:val="17"/>
          <w:color w:val="auto"/>
        </w:rPr>
        <w:t>If future events or results differ adversely from the estimates and assumptions made at acquisition or as part of subsequent impairment tests, we could record increased amortization or impairment charges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81915</wp:posOffset>
            </wp:positionV>
            <wp:extent cx="68656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9"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71</w:t>
      </w:r>
    </w:p>
    <w:p>
      <w:pPr>
        <w:sectPr>
          <w:pgSz w:w="11900" w:h="16838" w:orient="portrait"/>
          <w:cols w:equalWidth="0" w:num="1">
            <w:col w:w="11040"/>
          </w:cols>
          <w:pgMar w:left="320" w:top="477" w:right="5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180"/>
        <w:spacing w:after="0" w:line="238" w:lineRule="auto"/>
        <w:rPr>
          <w:sz w:val="20"/>
          <w:szCs w:val="20"/>
          <w:color w:val="auto"/>
        </w:rPr>
      </w:pPr>
      <w:r>
        <w:rPr>
          <w:rFonts w:ascii="Arial" w:cs="Arial" w:eastAsia="Arial" w:hAnsi="Arial"/>
          <w:sz w:val="17"/>
          <w:szCs w:val="17"/>
          <w:color w:val="auto"/>
        </w:rPr>
        <w:t>We performed our annual goodwill impairment test as of October 1, 2024. No goodwill impairment was recorded as the estimated fair value less costs of disposal of each cash-generating unit (CGU) exceeded their carrying values by a substantial amount. We performed the test for each CGU to which goodwill was allocated and monitored by management at the date of the test. The valuation techniques, significant assumptions and sensitivities applied in the goodwill impairment test are described below.</w:t>
      </w:r>
    </w:p>
    <w:p>
      <w:pPr>
        <w:spacing w:after="0" w:line="46" w:lineRule="exact"/>
        <w:rPr>
          <w:sz w:val="20"/>
          <w:szCs w:val="20"/>
          <w:color w:val="auto"/>
        </w:rPr>
      </w:pPr>
    </w:p>
    <w:p>
      <w:pPr>
        <w:ind w:left="220" w:right="140"/>
        <w:spacing w:after="0" w:line="236" w:lineRule="auto"/>
        <w:rPr>
          <w:sz w:val="20"/>
          <w:szCs w:val="20"/>
          <w:color w:val="auto"/>
        </w:rPr>
      </w:pPr>
      <w:r>
        <w:rPr>
          <w:rFonts w:ascii="Arial" w:cs="Arial" w:eastAsia="Arial" w:hAnsi="Arial"/>
          <w:sz w:val="17"/>
          <w:szCs w:val="17"/>
          <w:color w:val="auto"/>
        </w:rPr>
        <w:t xml:space="preserve">As allowed under IAS 36, </w:t>
      </w:r>
      <w:r>
        <w:rPr>
          <w:rFonts w:ascii="Arial" w:cs="Arial" w:eastAsia="Arial" w:hAnsi="Arial"/>
          <w:sz w:val="17"/>
          <w:szCs w:val="17"/>
          <w:i w:val="1"/>
          <w:iCs w:val="1"/>
          <w:color w:val="auto"/>
        </w:rPr>
        <w:t>Impairment of Assets</w:t>
      </w:r>
      <w:r>
        <w:rPr>
          <w:rFonts w:ascii="Arial" w:cs="Arial" w:eastAsia="Arial" w:hAnsi="Arial"/>
          <w:sz w:val="17"/>
          <w:szCs w:val="17"/>
          <w:color w:val="auto"/>
        </w:rPr>
        <w:t>, we did not re-estimate the recoverable value of these CGUs for the 2024 impairment test but rather carried forward the recoverable value from 2023 because management concluded that no events or changes in circumstances indicated that the carrying value of these CGUs might not be recoverable. In the 2023 impairment test, the fair value less costs of disposal for each CGU exceeded their respective carrying values by a substantial amount. The valuation techniques, significant assumptions and sensitivities described below relate to the recoverable values determined in the 2023 impairment test.</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Valuation Techniques</w:t>
      </w:r>
    </w:p>
    <w:p>
      <w:pPr>
        <w:spacing w:after="0" w:line="34" w:lineRule="exact"/>
        <w:rPr>
          <w:sz w:val="20"/>
          <w:szCs w:val="20"/>
          <w:color w:val="auto"/>
        </w:rPr>
      </w:pPr>
    </w:p>
    <w:p>
      <w:pPr>
        <w:ind w:left="220" w:right="40"/>
        <w:spacing w:after="0" w:line="232" w:lineRule="auto"/>
        <w:rPr>
          <w:sz w:val="20"/>
          <w:szCs w:val="20"/>
          <w:color w:val="auto"/>
        </w:rPr>
      </w:pPr>
      <w:r>
        <w:rPr>
          <w:rFonts w:ascii="Arial" w:cs="Arial" w:eastAsia="Arial" w:hAnsi="Arial"/>
          <w:sz w:val="17"/>
          <w:szCs w:val="17"/>
          <w:color w:val="auto"/>
        </w:rPr>
        <w:t xml:space="preserve">The selection and application of valuation techniques and the determination of significant assumptions requires judgment. An impairment of goodwill occurs when the recoverable amount of a CGU is below the carrying value of the CGU. The recoverable amount is the higher of a CGU’s fair value less costs of disposal or its value in use. As with previous impairment tests, the recoverable value of each CGU was based on fair value less costs of disposal, using a weighted average of the income approach and market approach. IFRS 13, </w:t>
      </w:r>
      <w:r>
        <w:rPr>
          <w:rFonts w:ascii="Arial" w:cs="Arial" w:eastAsia="Arial" w:hAnsi="Arial"/>
          <w:sz w:val="17"/>
          <w:szCs w:val="17"/>
          <w:i w:val="1"/>
          <w:iCs w:val="1"/>
          <w:color w:val="auto"/>
        </w:rPr>
        <w:t>Fair Value Measurement</w:t>
      </w:r>
      <w:r>
        <w:rPr>
          <w:rFonts w:ascii="Arial" w:cs="Arial" w:eastAsia="Arial" w:hAnsi="Arial"/>
          <w:sz w:val="17"/>
          <w:szCs w:val="17"/>
          <w:color w:val="auto"/>
        </w:rPr>
        <w:t>, defines fair value as a market-based measurement rather than an entity-specific measurement. Therefore, the fair value of the CGU must be measured using the assumptions that market participants would use rather than those related specifically to us. To calculate market participant assumptions, publicly available data was gathered from companies operating in businesses similar to each CGU, which includes key competitors. As certain inputs to the valuation are not based on observable market data, the recoverable value of each CGU is categorized in Level 3 of the fair value measurement hierarchy.</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Income approach</w:t>
      </w:r>
    </w:p>
    <w:p>
      <w:pPr>
        <w:spacing w:after="0" w:line="34" w:lineRule="exact"/>
        <w:rPr>
          <w:sz w:val="20"/>
          <w:szCs w:val="20"/>
          <w:color w:val="auto"/>
        </w:rPr>
      </w:pPr>
    </w:p>
    <w:p>
      <w:pPr>
        <w:ind w:left="220" w:right="300"/>
        <w:spacing w:after="0" w:line="237" w:lineRule="auto"/>
        <w:rPr>
          <w:sz w:val="20"/>
          <w:szCs w:val="20"/>
          <w:color w:val="auto"/>
        </w:rPr>
      </w:pPr>
      <w:r>
        <w:rPr>
          <w:rFonts w:ascii="Arial" w:cs="Arial" w:eastAsia="Arial" w:hAnsi="Arial"/>
          <w:sz w:val="17"/>
          <w:szCs w:val="17"/>
          <w:color w:val="auto"/>
        </w:rPr>
        <w:t>The income approach is predicated upon the value of the future cash flows that a business will generate. We used the discounted cash flow (DCF) method, which involves projecting cash flows and converting them into a present value equivalent through discounting. The discounting process uses a rate of return that is commensurate with the risk associated with the business and the time value of money. This approach requires assumptions about revenue growth rates, operating margins, capital expenditures, tax rates and discount rates.</w:t>
      </w:r>
    </w:p>
    <w:p>
      <w:pPr>
        <w:spacing w:after="0" w:line="9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Market approach</w:t>
      </w:r>
    </w:p>
    <w:p>
      <w:pPr>
        <w:spacing w:after="0" w:line="34" w:lineRule="exact"/>
        <w:rPr>
          <w:sz w:val="20"/>
          <w:szCs w:val="20"/>
          <w:color w:val="auto"/>
        </w:rPr>
      </w:pPr>
    </w:p>
    <w:p>
      <w:pPr>
        <w:ind w:left="220" w:right="180"/>
        <w:spacing w:after="0" w:line="256" w:lineRule="auto"/>
        <w:rPr>
          <w:sz w:val="20"/>
          <w:szCs w:val="20"/>
          <w:color w:val="auto"/>
        </w:rPr>
      </w:pPr>
      <w:r>
        <w:rPr>
          <w:rFonts w:ascii="Arial" w:cs="Arial" w:eastAsia="Arial" w:hAnsi="Arial"/>
          <w:sz w:val="16"/>
          <w:szCs w:val="16"/>
          <w:color w:val="auto"/>
        </w:rPr>
        <w:t>The market approach assumes that companies operating in the same industry will share similar characteristics and that company values will correlate to those characteristics. Therefore, a comparison of a CGU to similar companies whose financial information is publicly available may provide a reasonable basis to estimate fair value. Under the market approach, fair value is calculated based on EBITDA multiples of benchmark companies comparable to the businesses in each CGU. Data for the benchmark companies was obtained from publicly available information.</w:t>
      </w:r>
    </w:p>
    <w:p>
      <w:pPr>
        <w:spacing w:after="0" w:line="9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Significant Assumptions</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Weighting of Valuation Techniques</w:t>
      </w:r>
    </w:p>
    <w:p>
      <w:pPr>
        <w:spacing w:after="0" w:line="34" w:lineRule="exact"/>
        <w:rPr>
          <w:sz w:val="20"/>
          <w:szCs w:val="20"/>
          <w:color w:val="auto"/>
        </w:rPr>
      </w:pPr>
    </w:p>
    <w:p>
      <w:pPr>
        <w:ind w:left="220" w:right="180"/>
        <w:spacing w:after="0" w:line="285" w:lineRule="auto"/>
        <w:rPr>
          <w:sz w:val="20"/>
          <w:szCs w:val="20"/>
          <w:color w:val="auto"/>
        </w:rPr>
      </w:pPr>
      <w:r>
        <w:rPr>
          <w:rFonts w:ascii="Arial" w:cs="Arial" w:eastAsia="Arial" w:hAnsi="Arial"/>
          <w:sz w:val="16"/>
          <w:szCs w:val="16"/>
          <w:color w:val="auto"/>
        </w:rPr>
        <w:t>We weighted the results of the two valuation techniques noted above, consistently applied to each CGU, as follows: 60% income approach/40% market approach. We believe that given volatility in capital markets, it is appropriate to apply a heavier weighting to the income approach.</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Cash Flow Projections</w:t>
      </w:r>
    </w:p>
    <w:p>
      <w:pPr>
        <w:spacing w:after="0" w:line="33" w:lineRule="exact"/>
        <w:rPr>
          <w:sz w:val="20"/>
          <w:szCs w:val="20"/>
          <w:color w:val="auto"/>
        </w:rPr>
      </w:pPr>
    </w:p>
    <w:p>
      <w:pPr>
        <w:jc w:val="both"/>
        <w:ind w:left="220" w:right="20"/>
        <w:spacing w:after="0" w:line="232" w:lineRule="auto"/>
        <w:rPr>
          <w:sz w:val="20"/>
          <w:szCs w:val="20"/>
          <w:color w:val="auto"/>
        </w:rPr>
      </w:pPr>
      <w:r>
        <w:rPr>
          <w:rFonts w:ascii="Arial" w:cs="Arial" w:eastAsia="Arial" w:hAnsi="Arial"/>
          <w:sz w:val="17"/>
          <w:szCs w:val="17"/>
          <w:color w:val="auto"/>
        </w:rPr>
        <w:t>Cash flow projections were based on our internal budget. We projected cash flows for a period of three years and applied a perpetual growth rate thereafter, as prescribed by IAS 36. To project cash flows for the three-year period, we considered growth in revenues and costs as well as capital expenditures. In preparing our projections, we considered experience, economic trends such as GDP growth and inflation as well as industry and market trends. The projections also considered the expected impact from efficiency initiatives, new product launches, customer retention, as well as the maturity of the markets in which each business operates.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Discount Rate</w:t>
      </w:r>
    </w:p>
    <w:p>
      <w:pPr>
        <w:spacing w:after="0" w:line="34" w:lineRule="exact"/>
        <w:rPr>
          <w:sz w:val="20"/>
          <w:szCs w:val="20"/>
          <w:color w:val="auto"/>
        </w:rPr>
      </w:pPr>
    </w:p>
    <w:p>
      <w:pPr>
        <w:ind w:left="220" w:right="40"/>
        <w:spacing w:after="0" w:line="234" w:lineRule="auto"/>
        <w:rPr>
          <w:sz w:val="20"/>
          <w:szCs w:val="20"/>
          <w:color w:val="auto"/>
        </w:rPr>
      </w:pPr>
      <w:r>
        <w:rPr>
          <w:rFonts w:ascii="Arial" w:cs="Arial" w:eastAsia="Arial" w:hAnsi="Arial"/>
          <w:sz w:val="17"/>
          <w:szCs w:val="17"/>
          <w:color w:val="auto"/>
        </w:rPr>
        <w:t>We assumed a discount rate to calculate the present value of our projected cash flows. The discount rate represented a weighted-average cost of capital (WACC) for comparable companies operating in similar industries as the applicable CGU, based on publicly available information. The WACC is an estimate of the overall required rate of return on an investment for both debt and equity owners and serves as the basis for developing an appropriate discount rate. Determination of the WACC requires separate analysis of the cost of equity and the cost of debt. The cost of equity reflects the long-term risk-free interest rate associated with U.S. Treasury bonds and considers a risk premium based on an assessment of risks related to the projected cash flows of each CGU.</w:t>
      </w:r>
    </w:p>
    <w:p>
      <w:pPr>
        <w:spacing w:after="0" w:line="44" w:lineRule="exact"/>
        <w:rPr>
          <w:sz w:val="20"/>
          <w:szCs w:val="20"/>
          <w:color w:val="auto"/>
        </w:rPr>
      </w:pPr>
    </w:p>
    <w:p>
      <w:pPr>
        <w:ind w:left="220" w:right="240"/>
        <w:spacing w:after="0" w:line="243" w:lineRule="auto"/>
        <w:rPr>
          <w:sz w:val="20"/>
          <w:szCs w:val="20"/>
          <w:color w:val="auto"/>
        </w:rPr>
      </w:pPr>
      <w:r>
        <w:rPr>
          <w:rFonts w:ascii="Arial" w:cs="Arial" w:eastAsia="Arial" w:hAnsi="Arial"/>
          <w:sz w:val="17"/>
          <w:szCs w:val="17"/>
          <w:color w:val="auto"/>
        </w:rPr>
        <w:t>Lower discount rates were applied to CGUs whose cash flows are expected to be less volatile due to factors such as the maturity of the market they serve and their market position. Higher discount rates were applied to CGUs whose cash flows are expected to be more volatile due to competition or participation in less stable geographic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99695</wp:posOffset>
            </wp:positionV>
            <wp:extent cx="68656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5"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72</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Tax Rate</w:t>
      </w:r>
    </w:p>
    <w:p>
      <w:pPr>
        <w:spacing w:after="0" w:line="33" w:lineRule="exact"/>
        <w:rPr>
          <w:sz w:val="20"/>
          <w:szCs w:val="20"/>
          <w:color w:val="auto"/>
        </w:rPr>
      </w:pPr>
    </w:p>
    <w:p>
      <w:pPr>
        <w:ind w:left="220" w:right="460"/>
        <w:spacing w:after="0" w:line="236" w:lineRule="auto"/>
        <w:rPr>
          <w:sz w:val="20"/>
          <w:szCs w:val="20"/>
          <w:color w:val="auto"/>
        </w:rPr>
      </w:pPr>
      <w:r>
        <w:rPr>
          <w:rFonts w:ascii="Arial" w:cs="Arial" w:eastAsia="Arial" w:hAnsi="Arial"/>
          <w:sz w:val="17"/>
          <w:szCs w:val="17"/>
          <w:color w:val="auto"/>
        </w:rPr>
        <w:t>The tax rates applied to the projections were based on effective tax rates of comparable companies operating in similar industries as the applicable CGU, based on publicly available information or statutory tax rates. Tax assumptions are sensitive to changes in tax laws and the jurisdictions in which profits are earned.</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key assumptions used in performing the impairment test, by CGU, are presented below:</w:t>
      </w:r>
    </w:p>
    <w:p>
      <w:pPr>
        <w:spacing w:after="0" w:line="158" w:lineRule="exact"/>
        <w:rPr>
          <w:sz w:val="20"/>
          <w:szCs w:val="20"/>
          <w:color w:val="auto"/>
        </w:rPr>
      </w:pPr>
    </w:p>
    <w:tbl>
      <w:tblPr>
        <w:tblLayout w:type="fixed"/>
        <w:tblInd w:w="220" w:type="dxa"/>
        <w:tblCellMar>
          <w:top w:w="0" w:type="dxa"/>
          <w:left w:w="0" w:type="dxa"/>
          <w:bottom w:w="0" w:type="dxa"/>
          <w:right w:w="0" w:type="dxa"/>
        </w:tblCellMar>
      </w:tblPr>
      <w:tr>
        <w:trPr>
          <w:trHeight w:val="305"/>
        </w:trPr>
        <w:tc>
          <w:tcPr>
            <w:tcW w:w="4140" w:type="dxa"/>
            <w:vAlign w:val="bottom"/>
            <w:shd w:val="clear" w:color="auto" w:fill="1F473D"/>
          </w:tcPr>
          <w:p>
            <w:pPr>
              <w:spacing w:after="0"/>
              <w:rPr>
                <w:sz w:val="20"/>
                <w:szCs w:val="20"/>
                <w:color w:val="auto"/>
              </w:rPr>
            </w:pPr>
            <w:r>
              <w:rPr>
                <w:rFonts w:ascii="Arial" w:cs="Arial" w:eastAsia="Arial" w:hAnsi="Arial"/>
                <w:sz w:val="16"/>
                <w:szCs w:val="16"/>
                <w:b w:val="1"/>
                <w:bCs w:val="1"/>
                <w:color w:val="FFFFFF"/>
              </w:rPr>
              <w:t>  Cash-Generating Unit</w:t>
            </w:r>
          </w:p>
        </w:tc>
        <w:tc>
          <w:tcPr>
            <w:tcW w:w="3120" w:type="dxa"/>
            <w:vAlign w:val="bottom"/>
            <w:shd w:val="clear" w:color="auto" w:fill="1F473D"/>
          </w:tcPr>
          <w:p>
            <w:pPr>
              <w:jc w:val="right"/>
              <w:ind w:right="361"/>
              <w:spacing w:after="0"/>
              <w:rPr>
                <w:sz w:val="20"/>
                <w:szCs w:val="20"/>
                <w:color w:val="auto"/>
              </w:rPr>
            </w:pPr>
            <w:r>
              <w:rPr>
                <w:rFonts w:ascii="Arial" w:cs="Arial" w:eastAsia="Arial" w:hAnsi="Arial"/>
                <w:sz w:val="16"/>
                <w:szCs w:val="16"/>
                <w:b w:val="1"/>
                <w:bCs w:val="1"/>
                <w:color w:val="FFFFFF"/>
              </w:rPr>
              <w:t>Perpetual growth rate</w:t>
            </w:r>
            <w:r>
              <w:rPr>
                <w:rFonts w:ascii="Arial" w:cs="Arial" w:eastAsia="Arial" w:hAnsi="Arial"/>
                <w:sz w:val="19"/>
                <w:szCs w:val="19"/>
                <w:b w:val="1"/>
                <w:bCs w:val="1"/>
                <w:color w:val="FFFFFF"/>
                <w:vertAlign w:val="superscript"/>
              </w:rPr>
              <w:t>(1)</w:t>
            </w:r>
          </w:p>
        </w:tc>
        <w:tc>
          <w:tcPr>
            <w:tcW w:w="2160" w:type="dxa"/>
            <w:vAlign w:val="bottom"/>
            <w:shd w:val="clear" w:color="auto" w:fill="1F473D"/>
          </w:tcPr>
          <w:p>
            <w:pPr>
              <w:jc w:val="right"/>
              <w:ind w:right="561"/>
              <w:spacing w:after="0"/>
              <w:rPr>
                <w:sz w:val="20"/>
                <w:szCs w:val="20"/>
                <w:color w:val="auto"/>
              </w:rPr>
            </w:pPr>
            <w:r>
              <w:rPr>
                <w:rFonts w:ascii="Arial" w:cs="Arial" w:eastAsia="Arial" w:hAnsi="Arial"/>
                <w:sz w:val="16"/>
                <w:szCs w:val="16"/>
                <w:b w:val="1"/>
                <w:bCs w:val="1"/>
                <w:color w:val="FFFFFF"/>
              </w:rPr>
              <w:t>Discount rate </w:t>
            </w:r>
          </w:p>
        </w:tc>
        <w:tc>
          <w:tcPr>
            <w:tcW w:w="1380" w:type="dxa"/>
            <w:vAlign w:val="bottom"/>
            <w:shd w:val="clear" w:color="auto" w:fill="1F473D"/>
          </w:tcPr>
          <w:p>
            <w:pPr>
              <w:jc w:val="right"/>
              <w:ind w:right="81"/>
              <w:spacing w:after="0"/>
              <w:rPr>
                <w:sz w:val="20"/>
                <w:szCs w:val="20"/>
                <w:color w:val="auto"/>
              </w:rPr>
            </w:pPr>
            <w:r>
              <w:rPr>
                <w:rFonts w:ascii="Arial" w:cs="Arial" w:eastAsia="Arial" w:hAnsi="Arial"/>
                <w:sz w:val="16"/>
                <w:szCs w:val="16"/>
                <w:b w:val="1"/>
                <w:bCs w:val="1"/>
                <w:color w:val="FFFFFF"/>
              </w:rPr>
              <w:t>Tax rate</w:t>
            </w:r>
          </w:p>
        </w:tc>
      </w:tr>
      <w:tr>
        <w:trPr>
          <w:trHeight w:val="249"/>
        </w:trPr>
        <w:tc>
          <w:tcPr>
            <w:tcW w:w="4140" w:type="dxa"/>
            <w:vAlign w:val="bottom"/>
          </w:tcPr>
          <w:p>
            <w:pPr>
              <w:spacing w:after="0"/>
              <w:rPr>
                <w:sz w:val="20"/>
                <w:szCs w:val="20"/>
                <w:color w:val="auto"/>
              </w:rPr>
            </w:pPr>
            <w:r>
              <w:rPr>
                <w:rFonts w:ascii="Arial" w:cs="Arial" w:eastAsia="Arial" w:hAnsi="Arial"/>
                <w:sz w:val="16"/>
                <w:szCs w:val="16"/>
                <w:color w:val="auto"/>
              </w:rPr>
              <w:t>  Legal Professionals</w:t>
            </w:r>
          </w:p>
        </w:tc>
        <w:tc>
          <w:tcPr>
            <w:tcW w:w="3120" w:type="dxa"/>
            <w:vAlign w:val="bottom"/>
          </w:tcPr>
          <w:p>
            <w:pPr>
              <w:jc w:val="right"/>
              <w:ind w:right="361"/>
              <w:spacing w:after="0"/>
              <w:rPr>
                <w:sz w:val="20"/>
                <w:szCs w:val="20"/>
                <w:color w:val="auto"/>
              </w:rPr>
            </w:pPr>
            <w:r>
              <w:rPr>
                <w:rFonts w:ascii="Arial" w:cs="Arial" w:eastAsia="Arial" w:hAnsi="Arial"/>
                <w:sz w:val="16"/>
                <w:szCs w:val="16"/>
                <w:color w:val="auto"/>
              </w:rPr>
              <w:t>2.5%</w:t>
            </w:r>
          </w:p>
        </w:tc>
        <w:tc>
          <w:tcPr>
            <w:tcW w:w="2160" w:type="dxa"/>
            <w:vAlign w:val="bottom"/>
          </w:tcPr>
          <w:p>
            <w:pPr>
              <w:jc w:val="right"/>
              <w:ind w:right="561"/>
              <w:spacing w:after="0"/>
              <w:rPr>
                <w:sz w:val="20"/>
                <w:szCs w:val="20"/>
                <w:color w:val="auto"/>
              </w:rPr>
            </w:pPr>
            <w:r>
              <w:rPr>
                <w:rFonts w:ascii="Arial" w:cs="Arial" w:eastAsia="Arial" w:hAnsi="Arial"/>
                <w:sz w:val="16"/>
                <w:szCs w:val="16"/>
                <w:color w:val="auto"/>
              </w:rPr>
              <w:t>11.0% </w:t>
            </w:r>
          </w:p>
        </w:tc>
        <w:tc>
          <w:tcPr>
            <w:tcW w:w="1380" w:type="dxa"/>
            <w:vAlign w:val="bottom"/>
          </w:tcPr>
          <w:p>
            <w:pPr>
              <w:jc w:val="right"/>
              <w:ind w:right="61"/>
              <w:spacing w:after="0"/>
              <w:rPr>
                <w:sz w:val="20"/>
                <w:szCs w:val="20"/>
                <w:color w:val="auto"/>
              </w:rPr>
            </w:pPr>
            <w:r>
              <w:rPr>
                <w:rFonts w:ascii="Arial" w:cs="Arial" w:eastAsia="Arial" w:hAnsi="Arial"/>
                <w:sz w:val="16"/>
                <w:szCs w:val="16"/>
                <w:color w:val="auto"/>
              </w:rPr>
              <w:t>26.6%</w:t>
            </w:r>
          </w:p>
        </w:tc>
      </w:tr>
      <w:tr>
        <w:trPr>
          <w:trHeight w:val="291"/>
        </w:trPr>
        <w:tc>
          <w:tcPr>
            <w:tcW w:w="4140" w:type="dxa"/>
            <w:vAlign w:val="bottom"/>
          </w:tcPr>
          <w:p>
            <w:pPr>
              <w:spacing w:after="0"/>
              <w:rPr>
                <w:sz w:val="20"/>
                <w:szCs w:val="20"/>
                <w:color w:val="auto"/>
              </w:rPr>
            </w:pPr>
            <w:r>
              <w:rPr>
                <w:rFonts w:ascii="Arial" w:cs="Arial" w:eastAsia="Arial" w:hAnsi="Arial"/>
                <w:sz w:val="16"/>
                <w:szCs w:val="16"/>
                <w:color w:val="auto"/>
              </w:rPr>
              <w:t>  Corporates</w:t>
            </w:r>
          </w:p>
        </w:tc>
        <w:tc>
          <w:tcPr>
            <w:tcW w:w="3120" w:type="dxa"/>
            <w:vAlign w:val="bottom"/>
          </w:tcPr>
          <w:p>
            <w:pPr>
              <w:jc w:val="right"/>
              <w:ind w:right="361"/>
              <w:spacing w:after="0"/>
              <w:rPr>
                <w:sz w:val="20"/>
                <w:szCs w:val="20"/>
                <w:color w:val="auto"/>
              </w:rPr>
            </w:pPr>
            <w:r>
              <w:rPr>
                <w:rFonts w:ascii="Arial" w:cs="Arial" w:eastAsia="Arial" w:hAnsi="Arial"/>
                <w:sz w:val="16"/>
                <w:szCs w:val="16"/>
                <w:color w:val="auto"/>
              </w:rPr>
              <w:t>2.5%</w:t>
            </w:r>
          </w:p>
        </w:tc>
        <w:tc>
          <w:tcPr>
            <w:tcW w:w="2160" w:type="dxa"/>
            <w:vAlign w:val="bottom"/>
          </w:tcPr>
          <w:p>
            <w:pPr>
              <w:jc w:val="right"/>
              <w:ind w:right="561"/>
              <w:spacing w:after="0"/>
              <w:rPr>
                <w:sz w:val="20"/>
                <w:szCs w:val="20"/>
                <w:color w:val="auto"/>
              </w:rPr>
            </w:pPr>
            <w:r>
              <w:rPr>
                <w:rFonts w:ascii="Arial" w:cs="Arial" w:eastAsia="Arial" w:hAnsi="Arial"/>
                <w:sz w:val="16"/>
                <w:szCs w:val="16"/>
                <w:color w:val="auto"/>
              </w:rPr>
              <w:t>11.0% </w:t>
            </w:r>
          </w:p>
        </w:tc>
        <w:tc>
          <w:tcPr>
            <w:tcW w:w="1380" w:type="dxa"/>
            <w:vAlign w:val="bottom"/>
          </w:tcPr>
          <w:p>
            <w:pPr>
              <w:jc w:val="right"/>
              <w:ind w:right="61"/>
              <w:spacing w:after="0"/>
              <w:rPr>
                <w:sz w:val="20"/>
                <w:szCs w:val="20"/>
                <w:color w:val="auto"/>
              </w:rPr>
            </w:pPr>
            <w:r>
              <w:rPr>
                <w:rFonts w:ascii="Arial" w:cs="Arial" w:eastAsia="Arial" w:hAnsi="Arial"/>
                <w:sz w:val="16"/>
                <w:szCs w:val="16"/>
                <w:color w:val="auto"/>
              </w:rPr>
              <w:t>26.8%</w:t>
            </w:r>
          </w:p>
        </w:tc>
      </w:tr>
      <w:tr>
        <w:trPr>
          <w:trHeight w:val="292"/>
        </w:trPr>
        <w:tc>
          <w:tcPr>
            <w:tcW w:w="4140" w:type="dxa"/>
            <w:vAlign w:val="bottom"/>
          </w:tcPr>
          <w:p>
            <w:pPr>
              <w:spacing w:after="0"/>
              <w:rPr>
                <w:sz w:val="20"/>
                <w:szCs w:val="20"/>
                <w:color w:val="auto"/>
              </w:rPr>
            </w:pPr>
            <w:r>
              <w:rPr>
                <w:rFonts w:ascii="Arial" w:cs="Arial" w:eastAsia="Arial" w:hAnsi="Arial"/>
                <w:sz w:val="16"/>
                <w:szCs w:val="16"/>
                <w:color w:val="auto"/>
              </w:rPr>
              <w:t>  Tax &amp; Accounting Professionals</w:t>
            </w:r>
          </w:p>
        </w:tc>
        <w:tc>
          <w:tcPr>
            <w:tcW w:w="3120" w:type="dxa"/>
            <w:vAlign w:val="bottom"/>
          </w:tcPr>
          <w:p>
            <w:pPr>
              <w:jc w:val="right"/>
              <w:ind w:right="361"/>
              <w:spacing w:after="0"/>
              <w:rPr>
                <w:sz w:val="20"/>
                <w:szCs w:val="20"/>
                <w:color w:val="auto"/>
              </w:rPr>
            </w:pPr>
            <w:r>
              <w:rPr>
                <w:rFonts w:ascii="Arial" w:cs="Arial" w:eastAsia="Arial" w:hAnsi="Arial"/>
                <w:sz w:val="16"/>
                <w:szCs w:val="16"/>
                <w:color w:val="auto"/>
              </w:rPr>
              <w:t>3.0%</w:t>
            </w:r>
          </w:p>
        </w:tc>
        <w:tc>
          <w:tcPr>
            <w:tcW w:w="2160" w:type="dxa"/>
            <w:vAlign w:val="bottom"/>
          </w:tcPr>
          <w:p>
            <w:pPr>
              <w:jc w:val="right"/>
              <w:ind w:right="561"/>
              <w:spacing w:after="0"/>
              <w:rPr>
                <w:sz w:val="20"/>
                <w:szCs w:val="20"/>
                <w:color w:val="auto"/>
              </w:rPr>
            </w:pPr>
            <w:r>
              <w:rPr>
                <w:rFonts w:ascii="Arial" w:cs="Arial" w:eastAsia="Arial" w:hAnsi="Arial"/>
                <w:sz w:val="16"/>
                <w:szCs w:val="16"/>
                <w:color w:val="auto"/>
              </w:rPr>
              <w:t>11.5% </w:t>
            </w:r>
          </w:p>
        </w:tc>
        <w:tc>
          <w:tcPr>
            <w:tcW w:w="1380" w:type="dxa"/>
            <w:vAlign w:val="bottom"/>
          </w:tcPr>
          <w:p>
            <w:pPr>
              <w:jc w:val="right"/>
              <w:ind w:right="61"/>
              <w:spacing w:after="0"/>
              <w:rPr>
                <w:sz w:val="20"/>
                <w:szCs w:val="20"/>
                <w:color w:val="auto"/>
              </w:rPr>
            </w:pPr>
            <w:r>
              <w:rPr>
                <w:rFonts w:ascii="Arial" w:cs="Arial" w:eastAsia="Arial" w:hAnsi="Arial"/>
                <w:sz w:val="16"/>
                <w:szCs w:val="16"/>
                <w:color w:val="auto"/>
              </w:rPr>
              <w:t>27.6%</w:t>
            </w:r>
          </w:p>
        </w:tc>
      </w:tr>
      <w:tr>
        <w:trPr>
          <w:trHeight w:val="292"/>
        </w:trPr>
        <w:tc>
          <w:tcPr>
            <w:tcW w:w="4140" w:type="dxa"/>
            <w:vAlign w:val="bottom"/>
          </w:tcPr>
          <w:p>
            <w:pPr>
              <w:spacing w:after="0"/>
              <w:rPr>
                <w:sz w:val="20"/>
                <w:szCs w:val="20"/>
                <w:color w:val="auto"/>
              </w:rPr>
            </w:pPr>
            <w:r>
              <w:rPr>
                <w:rFonts w:ascii="Arial" w:cs="Arial" w:eastAsia="Arial" w:hAnsi="Arial"/>
                <w:sz w:val="16"/>
                <w:szCs w:val="16"/>
                <w:color w:val="auto"/>
              </w:rPr>
              <w:t>  Reuters News</w:t>
            </w:r>
          </w:p>
        </w:tc>
        <w:tc>
          <w:tcPr>
            <w:tcW w:w="3120" w:type="dxa"/>
            <w:vAlign w:val="bottom"/>
          </w:tcPr>
          <w:p>
            <w:pPr>
              <w:jc w:val="right"/>
              <w:ind w:right="361"/>
              <w:spacing w:after="0"/>
              <w:rPr>
                <w:sz w:val="20"/>
                <w:szCs w:val="20"/>
                <w:color w:val="auto"/>
              </w:rPr>
            </w:pPr>
            <w:r>
              <w:rPr>
                <w:rFonts w:ascii="Arial" w:cs="Arial" w:eastAsia="Arial" w:hAnsi="Arial"/>
                <w:sz w:val="16"/>
                <w:szCs w:val="16"/>
                <w:color w:val="auto"/>
              </w:rPr>
              <w:t>2.5%</w:t>
            </w:r>
          </w:p>
        </w:tc>
        <w:tc>
          <w:tcPr>
            <w:tcW w:w="2160" w:type="dxa"/>
            <w:vAlign w:val="bottom"/>
          </w:tcPr>
          <w:p>
            <w:pPr>
              <w:jc w:val="right"/>
              <w:ind w:right="561"/>
              <w:spacing w:after="0"/>
              <w:rPr>
                <w:sz w:val="20"/>
                <w:szCs w:val="20"/>
                <w:color w:val="auto"/>
              </w:rPr>
            </w:pPr>
            <w:r>
              <w:rPr>
                <w:rFonts w:ascii="Arial" w:cs="Arial" w:eastAsia="Arial" w:hAnsi="Arial"/>
                <w:sz w:val="16"/>
                <w:szCs w:val="16"/>
                <w:color w:val="auto"/>
              </w:rPr>
              <w:t>13.0% </w:t>
            </w:r>
          </w:p>
        </w:tc>
        <w:tc>
          <w:tcPr>
            <w:tcW w:w="1380" w:type="dxa"/>
            <w:vAlign w:val="bottom"/>
          </w:tcPr>
          <w:p>
            <w:pPr>
              <w:jc w:val="right"/>
              <w:ind w:right="61"/>
              <w:spacing w:after="0"/>
              <w:rPr>
                <w:sz w:val="20"/>
                <w:szCs w:val="20"/>
                <w:color w:val="auto"/>
              </w:rPr>
            </w:pPr>
            <w:r>
              <w:rPr>
                <w:rFonts w:ascii="Arial" w:cs="Arial" w:eastAsia="Arial" w:hAnsi="Arial"/>
                <w:sz w:val="16"/>
                <w:szCs w:val="16"/>
                <w:color w:val="auto"/>
              </w:rPr>
              <w:t>25.0%</w:t>
            </w:r>
          </w:p>
        </w:tc>
      </w:tr>
      <w:tr>
        <w:trPr>
          <w:trHeight w:val="292"/>
        </w:trPr>
        <w:tc>
          <w:tcPr>
            <w:tcW w:w="4140" w:type="dxa"/>
            <w:vAlign w:val="bottom"/>
          </w:tcPr>
          <w:p>
            <w:pPr>
              <w:spacing w:after="0"/>
              <w:rPr>
                <w:sz w:val="20"/>
                <w:szCs w:val="20"/>
                <w:color w:val="auto"/>
              </w:rPr>
            </w:pPr>
            <w:r>
              <w:rPr>
                <w:rFonts w:ascii="Arial" w:cs="Arial" w:eastAsia="Arial" w:hAnsi="Arial"/>
                <w:sz w:val="16"/>
                <w:szCs w:val="16"/>
                <w:color w:val="auto"/>
              </w:rPr>
              <w:t>  Global Print</w:t>
            </w:r>
          </w:p>
        </w:tc>
        <w:tc>
          <w:tcPr>
            <w:tcW w:w="3120" w:type="dxa"/>
            <w:vAlign w:val="bottom"/>
          </w:tcPr>
          <w:p>
            <w:pPr>
              <w:jc w:val="right"/>
              <w:ind w:right="361"/>
              <w:spacing w:after="0"/>
              <w:rPr>
                <w:sz w:val="20"/>
                <w:szCs w:val="20"/>
                <w:color w:val="auto"/>
              </w:rPr>
            </w:pPr>
            <w:r>
              <w:rPr>
                <w:rFonts w:ascii="Arial" w:cs="Arial" w:eastAsia="Arial" w:hAnsi="Arial"/>
                <w:sz w:val="16"/>
                <w:szCs w:val="16"/>
                <w:color w:val="auto"/>
              </w:rPr>
              <w:t>(5.5%)</w:t>
            </w:r>
          </w:p>
        </w:tc>
        <w:tc>
          <w:tcPr>
            <w:tcW w:w="2160" w:type="dxa"/>
            <w:vAlign w:val="bottom"/>
          </w:tcPr>
          <w:p>
            <w:pPr>
              <w:jc w:val="right"/>
              <w:ind w:right="561"/>
              <w:spacing w:after="0"/>
              <w:rPr>
                <w:sz w:val="20"/>
                <w:szCs w:val="20"/>
                <w:color w:val="auto"/>
              </w:rPr>
            </w:pPr>
            <w:r>
              <w:rPr>
                <w:rFonts w:ascii="Arial" w:cs="Arial" w:eastAsia="Arial" w:hAnsi="Arial"/>
                <w:sz w:val="16"/>
                <w:szCs w:val="16"/>
                <w:color w:val="auto"/>
              </w:rPr>
              <w:t>11.5% </w:t>
            </w:r>
          </w:p>
        </w:tc>
        <w:tc>
          <w:tcPr>
            <w:tcW w:w="1380" w:type="dxa"/>
            <w:vAlign w:val="bottom"/>
          </w:tcPr>
          <w:p>
            <w:pPr>
              <w:jc w:val="right"/>
              <w:ind w:right="61"/>
              <w:spacing w:after="0"/>
              <w:rPr>
                <w:sz w:val="20"/>
                <w:szCs w:val="20"/>
                <w:color w:val="auto"/>
              </w:rPr>
            </w:pPr>
            <w:r>
              <w:rPr>
                <w:rFonts w:ascii="Arial" w:cs="Arial" w:eastAsia="Arial" w:hAnsi="Arial"/>
                <w:sz w:val="16"/>
                <w:szCs w:val="16"/>
                <w:color w:val="auto"/>
              </w:rPr>
              <w:t>26.8%</w:t>
            </w:r>
          </w:p>
        </w:tc>
      </w:tr>
      <w:tr>
        <w:trPr>
          <w:trHeight w:val="63"/>
        </w:trPr>
        <w:tc>
          <w:tcPr>
            <w:tcW w:w="4140" w:type="dxa"/>
            <w:vAlign w:val="bottom"/>
            <w:tcBorders>
              <w:bottom w:val="single" w:sz="8" w:color="D64000"/>
            </w:tcBorders>
          </w:tcPr>
          <w:p>
            <w:pPr>
              <w:spacing w:after="0"/>
              <w:rPr>
                <w:sz w:val="5"/>
                <w:szCs w:val="5"/>
                <w:color w:val="auto"/>
              </w:rPr>
            </w:pPr>
          </w:p>
        </w:tc>
        <w:tc>
          <w:tcPr>
            <w:tcW w:w="3120" w:type="dxa"/>
            <w:vAlign w:val="bottom"/>
            <w:tcBorders>
              <w:bottom w:val="single" w:sz="8" w:color="D64000"/>
            </w:tcBorders>
          </w:tcPr>
          <w:p>
            <w:pPr>
              <w:spacing w:after="0"/>
              <w:rPr>
                <w:sz w:val="5"/>
                <w:szCs w:val="5"/>
                <w:color w:val="auto"/>
              </w:rPr>
            </w:pPr>
          </w:p>
        </w:tc>
        <w:tc>
          <w:tcPr>
            <w:tcW w:w="2160" w:type="dxa"/>
            <w:vAlign w:val="bottom"/>
            <w:tcBorders>
              <w:bottom w:val="single" w:sz="8" w:color="D64000"/>
            </w:tcBorders>
          </w:tcPr>
          <w:p>
            <w:pPr>
              <w:spacing w:after="0"/>
              <w:rPr>
                <w:sz w:val="5"/>
                <w:szCs w:val="5"/>
                <w:color w:val="auto"/>
              </w:rPr>
            </w:pPr>
          </w:p>
        </w:tc>
        <w:tc>
          <w:tcPr>
            <w:tcW w:w="1380" w:type="dxa"/>
            <w:vAlign w:val="bottom"/>
            <w:tcBorders>
              <w:bottom w:val="single" w:sz="8" w:color="D64000"/>
            </w:tcBorders>
          </w:tcPr>
          <w:p>
            <w:pPr>
              <w:spacing w:after="0"/>
              <w:rPr>
                <w:sz w:val="5"/>
                <w:szCs w:val="5"/>
                <w:color w:val="auto"/>
              </w:rPr>
            </w:pPr>
          </w:p>
        </w:tc>
      </w:tr>
    </w:tbl>
    <w:p>
      <w:pPr>
        <w:spacing w:after="0" w:line="8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(1) The perpetual growth rate is applied to the final year of cash flow projections.</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Results and Sensitivities</w:t>
      </w:r>
    </w:p>
    <w:p>
      <w:pPr>
        <w:spacing w:after="0" w:line="33" w:lineRule="exact"/>
        <w:rPr>
          <w:sz w:val="20"/>
          <w:szCs w:val="20"/>
          <w:color w:val="auto"/>
        </w:rPr>
      </w:pPr>
    </w:p>
    <w:p>
      <w:pPr>
        <w:ind w:left="220" w:right="140"/>
        <w:spacing w:after="0" w:line="236" w:lineRule="auto"/>
        <w:rPr>
          <w:sz w:val="20"/>
          <w:szCs w:val="20"/>
          <w:color w:val="auto"/>
        </w:rPr>
      </w:pPr>
      <w:r>
        <w:rPr>
          <w:rFonts w:ascii="Arial" w:cs="Arial" w:eastAsia="Arial" w:hAnsi="Arial"/>
          <w:sz w:val="17"/>
          <w:szCs w:val="17"/>
          <w:color w:val="auto"/>
        </w:rPr>
        <w:t>As the fair value for each CGU exceeded its carrying value by a substantial amount, the sensitivity analysis demonstrated that no reasonably possible change in the perpetual growth rate, discount rate or income tax assumptions would cause the carrying amounts of any CGU to exceed its recoverable amount.</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Employee future benefits</w:t>
      </w:r>
    </w:p>
    <w:p>
      <w:pPr>
        <w:spacing w:after="0" w:line="33" w:lineRule="exact"/>
        <w:rPr>
          <w:sz w:val="20"/>
          <w:szCs w:val="20"/>
          <w:color w:val="auto"/>
        </w:rPr>
      </w:pPr>
    </w:p>
    <w:p>
      <w:pPr>
        <w:ind w:left="220" w:right="20"/>
        <w:spacing w:after="0" w:line="230" w:lineRule="auto"/>
        <w:rPr>
          <w:sz w:val="20"/>
          <w:szCs w:val="20"/>
          <w:color w:val="auto"/>
        </w:rPr>
      </w:pPr>
      <w:r>
        <w:rPr>
          <w:rFonts w:ascii="Arial" w:cs="Arial" w:eastAsia="Arial" w:hAnsi="Arial"/>
          <w:sz w:val="17"/>
          <w:szCs w:val="17"/>
          <w:color w:val="auto"/>
        </w:rPr>
        <w:t>We sponsor defined benefit plans providing pension and other post-employment benefits to covered employees. Our most significant defined benefit plans no longer accrue benefits to active employees. The determination of benefit costs associated with employee future benefits requires assumptions such as the discount rate, which is used to measure benefit plan obligations and the net interest income (expense) on the net benefit plan assets (obligations). Other significant assumptions include expected mortality and the expected rate of increase with respect to certain future pension payments. In the third quarter of 2024, retiree medical benefits in the U.S. were amended with effect from January 1, 2025 to transition to a health reimbursement arrangement (HRA) where we provide a fixed subsidy to plan participants that may be used to purchase healthcare insurance on the individual marketplace. This amendment eliminates the need for management to estimate healthcare cost inflation trends and claims frequency. Because the determination of the cost and obligations associated with employee future benefits requires the use of various assumptions, there is measurement uncertainty inherent in the actuarial valuation process. Actual results will differ from results which are estimated based on assumptions.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Discount rate</w:t>
      </w:r>
    </w:p>
    <w:p>
      <w:pPr>
        <w:spacing w:after="0" w:line="34" w:lineRule="exact"/>
        <w:rPr>
          <w:sz w:val="20"/>
          <w:szCs w:val="20"/>
          <w:color w:val="auto"/>
        </w:rPr>
      </w:pPr>
    </w:p>
    <w:p>
      <w:pPr>
        <w:ind w:left="220" w:right="80"/>
        <w:spacing w:after="0" w:line="252" w:lineRule="auto"/>
        <w:rPr>
          <w:sz w:val="20"/>
          <w:szCs w:val="20"/>
          <w:color w:val="auto"/>
        </w:rPr>
      </w:pPr>
      <w:r>
        <w:rPr>
          <w:rFonts w:ascii="Arial" w:cs="Arial" w:eastAsia="Arial" w:hAnsi="Arial"/>
          <w:sz w:val="16"/>
          <w:szCs w:val="16"/>
          <w:color w:val="auto"/>
        </w:rPr>
        <w:t>The discount rate was based on current market interest rates of high-quality, fixed-rate debt securities adjusted to reflect the duration of expected future cash outflows for pension benefit payments. To estimate the discount rate, we used a hypothetical yield curve that represented yields on high quality zero-coupon bonds with durations that mirrored the expected payment stream of the benefit obligation. For the Thomson Reuters Group Pension Plan (TRGP) and The Thomson Corporation PLC Pension Scheme (TTC) plans combined, a 0.25% increase or decrease in the discount rate would have decreased or increased the defined benefit obligation by approximately $67 million as of December 31, 2024.</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Rates of inflation and pension payments</w:t>
      </w:r>
    </w:p>
    <w:p>
      <w:pPr>
        <w:spacing w:after="0" w:line="34" w:lineRule="exact"/>
        <w:rPr>
          <w:sz w:val="20"/>
          <w:szCs w:val="20"/>
          <w:color w:val="auto"/>
        </w:rPr>
      </w:pPr>
    </w:p>
    <w:p>
      <w:pPr>
        <w:ind w:left="220" w:right="400"/>
        <w:spacing w:after="0" w:line="241" w:lineRule="auto"/>
        <w:rPr>
          <w:sz w:val="20"/>
          <w:szCs w:val="20"/>
          <w:color w:val="auto"/>
        </w:rPr>
      </w:pPr>
      <w:r>
        <w:rPr>
          <w:rFonts w:ascii="Arial" w:cs="Arial" w:eastAsia="Arial" w:hAnsi="Arial"/>
          <w:sz w:val="17"/>
          <w:szCs w:val="17"/>
          <w:color w:val="auto"/>
        </w:rPr>
        <w:t>The rate of inflation, which impacts increases in eligible U.K. pension payments, was determined by reference to consumer and retail price indices. For the TTC plan, a 0.25% increase or decrease in the rate of increase in pension payments would have increased or decreased the defined benefit obligation by approximately $12 million as of December 31, 2024.</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Mortality assumptions</w:t>
      </w:r>
    </w:p>
    <w:p>
      <w:pPr>
        <w:spacing w:after="0" w:line="3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mortality assumptions used to assess the defined benefit obligation as of December 31, 2024 are based on the following:</w:t>
      </w:r>
    </w:p>
    <w:p>
      <w:pPr>
        <w:spacing w:after="0" w:line="67" w:lineRule="exact"/>
        <w:rPr>
          <w:sz w:val="20"/>
          <w:szCs w:val="20"/>
          <w:color w:val="auto"/>
        </w:rPr>
      </w:pPr>
    </w:p>
    <w:p>
      <w:pPr>
        <w:ind w:left="440" w:hanging="222"/>
        <w:spacing w:after="0"/>
        <w:tabs>
          <w:tab w:leader="none" w:pos="440" w:val="left"/>
        </w:tabs>
        <w:numPr>
          <w:ilvl w:val="0"/>
          <w:numId w:val="72"/>
        </w:numPr>
        <w:rPr>
          <w:rFonts w:ascii="Arial" w:cs="Arial" w:eastAsia="Arial" w:hAnsi="Arial"/>
          <w:sz w:val="17"/>
          <w:szCs w:val="17"/>
          <w:color w:val="D64000"/>
        </w:rPr>
      </w:pPr>
      <w:r>
        <w:rPr>
          <w:rFonts w:ascii="Arial" w:cs="Arial" w:eastAsia="Arial" w:hAnsi="Arial"/>
          <w:sz w:val="17"/>
          <w:szCs w:val="17"/>
          <w:color w:val="auto"/>
        </w:rPr>
        <w:t>TRGP: Pri-2012/MP-2021 Generational Table; and</w:t>
      </w:r>
    </w:p>
    <w:p>
      <w:pPr>
        <w:spacing w:after="0" w:line="6" w:lineRule="exact"/>
        <w:rPr>
          <w:rFonts w:ascii="Arial" w:cs="Arial" w:eastAsia="Arial" w:hAnsi="Arial"/>
          <w:sz w:val="17"/>
          <w:szCs w:val="17"/>
          <w:color w:val="D64000"/>
        </w:rPr>
      </w:pPr>
    </w:p>
    <w:p>
      <w:pPr>
        <w:ind w:left="440" w:hanging="222"/>
        <w:spacing w:after="0"/>
        <w:tabs>
          <w:tab w:leader="none" w:pos="440" w:val="left"/>
        </w:tabs>
        <w:numPr>
          <w:ilvl w:val="0"/>
          <w:numId w:val="72"/>
        </w:numPr>
        <w:rPr>
          <w:rFonts w:ascii="Arial" w:cs="Arial" w:eastAsia="Arial" w:hAnsi="Arial"/>
          <w:sz w:val="17"/>
          <w:szCs w:val="17"/>
          <w:color w:val="D64000"/>
        </w:rPr>
      </w:pPr>
      <w:r>
        <w:rPr>
          <w:rFonts w:ascii="Arial" w:cs="Arial" w:eastAsia="Arial" w:hAnsi="Arial"/>
          <w:sz w:val="17"/>
          <w:szCs w:val="17"/>
          <w:color w:val="auto"/>
        </w:rPr>
        <w:t>TTC plan: SAPS S3 Light Tables with allowances for plan demographic specifics and longevity improvements.</w:t>
      </w:r>
    </w:p>
    <w:p>
      <w:pPr>
        <w:spacing w:after="0" w:line="67" w:lineRule="exact"/>
        <w:rPr>
          <w:sz w:val="20"/>
          <w:szCs w:val="20"/>
          <w:color w:val="auto"/>
        </w:rPr>
      </w:pPr>
    </w:p>
    <w:p>
      <w:pPr>
        <w:ind w:left="220" w:right="220"/>
        <w:spacing w:after="0" w:line="260" w:lineRule="auto"/>
        <w:rPr>
          <w:sz w:val="20"/>
          <w:szCs w:val="20"/>
          <w:color w:val="auto"/>
        </w:rPr>
      </w:pPr>
      <w:r>
        <w:rPr>
          <w:rFonts w:ascii="Arial" w:cs="Arial" w:eastAsia="Arial" w:hAnsi="Arial"/>
          <w:sz w:val="17"/>
          <w:szCs w:val="17"/>
          <w:color w:val="auto"/>
        </w:rPr>
        <w:t>For the TRGP and the TTC plans combined, an increase in life expectancy of one year across all age groups would have increased the defined benefit obligation by approximately $48 million as of December 31, 2024.</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Income taxes</w:t>
      </w:r>
    </w:p>
    <w:p>
      <w:pPr>
        <w:spacing w:after="0" w:line="33" w:lineRule="exact"/>
        <w:rPr>
          <w:sz w:val="20"/>
          <w:szCs w:val="20"/>
          <w:color w:val="auto"/>
        </w:rPr>
      </w:pPr>
    </w:p>
    <w:p>
      <w:pPr>
        <w:ind w:left="220" w:right="40"/>
        <w:spacing w:after="0" w:line="233" w:lineRule="auto"/>
        <w:rPr>
          <w:sz w:val="20"/>
          <w:szCs w:val="20"/>
          <w:color w:val="auto"/>
        </w:rPr>
      </w:pPr>
      <w:r>
        <w:rPr>
          <w:rFonts w:ascii="Arial" w:cs="Arial" w:eastAsia="Arial" w:hAnsi="Arial"/>
          <w:sz w:val="17"/>
          <w:szCs w:val="17"/>
          <w:color w:val="auto"/>
        </w:rPr>
        <w:t>We compute an income tax provision in each of the jurisdictions in which we operate. These income tax provisions include amounts that are based upon our estimates and assumptions regarding prices and values used to record intercompany transactions. Actual amounts of income tax expense only become final upon filing and acceptance of the tax return by the relevant authorities, which occurs after the issuance of the financial statements.</w:t>
      </w:r>
    </w:p>
    <w:p>
      <w:pPr>
        <w:spacing w:after="0" w:line="73" w:lineRule="exact"/>
        <w:rPr>
          <w:sz w:val="20"/>
          <w:szCs w:val="20"/>
          <w:color w:val="auto"/>
        </w:rPr>
      </w:pPr>
    </w:p>
    <w:p>
      <w:pPr>
        <w:ind w:left="220" w:right="100"/>
        <w:spacing w:after="0" w:line="266" w:lineRule="auto"/>
        <w:rPr>
          <w:sz w:val="20"/>
          <w:szCs w:val="20"/>
          <w:color w:val="auto"/>
        </w:rPr>
      </w:pPr>
      <w:r>
        <w:rPr>
          <w:rFonts w:ascii="Arial" w:cs="Arial" w:eastAsia="Arial" w:hAnsi="Arial"/>
          <w:sz w:val="16"/>
          <w:szCs w:val="16"/>
          <w:color w:val="auto"/>
        </w:rPr>
        <w:t>Additionally, estimation of income taxes includes evaluating the recoverability of deferred tax assets based on an assessment of the ability to use the underlying future tax deductions before they expire against future taxable income. The assessment is based upon existing tax laws and estimates of future taxable income. To the extent estimates differ from the final tax return, earnings would be affected in a subsequent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88265</wp:posOffset>
            </wp:positionV>
            <wp:extent cx="68656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7"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73</w:t>
      </w:r>
    </w:p>
    <w:p>
      <w:pPr>
        <w:sectPr>
          <w:pgSz w:w="11900" w:h="16838" w:orient="portrait"/>
          <w:cols w:equalWidth="0" w:num="1">
            <w:col w:w="11040"/>
          </w:cols>
          <w:pgMar w:left="320" w:top="477" w:right="5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280"/>
        <w:spacing w:after="0" w:line="243" w:lineRule="auto"/>
        <w:rPr>
          <w:sz w:val="20"/>
          <w:szCs w:val="20"/>
          <w:color w:val="auto"/>
        </w:rPr>
      </w:pPr>
      <w:r>
        <w:rPr>
          <w:rFonts w:ascii="Arial" w:cs="Arial" w:eastAsia="Arial" w:hAnsi="Arial"/>
          <w:sz w:val="17"/>
          <w:szCs w:val="17"/>
          <w:color w:val="auto"/>
        </w:rPr>
        <w:t>In interim periods, the income tax provision is based on estimates of full-year earnings by jurisdiction. The average annual effective income tax rates are re-estimated at each interim reporting date. To the extent that forecasts differ from actual results, adjustments are recorded in subsequent periods.</w:t>
      </w:r>
    </w:p>
    <w:p>
      <w:pPr>
        <w:spacing w:after="0" w:line="42" w:lineRule="exact"/>
        <w:rPr>
          <w:sz w:val="20"/>
          <w:szCs w:val="20"/>
          <w:color w:val="auto"/>
        </w:rPr>
      </w:pPr>
    </w:p>
    <w:p>
      <w:pPr>
        <w:ind w:left="220" w:right="160"/>
        <w:spacing w:after="0" w:line="233" w:lineRule="auto"/>
        <w:rPr>
          <w:sz w:val="20"/>
          <w:szCs w:val="20"/>
          <w:color w:val="auto"/>
        </w:rPr>
      </w:pPr>
      <w:r>
        <w:rPr>
          <w:rFonts w:ascii="Arial" w:cs="Arial" w:eastAsia="Arial" w:hAnsi="Arial"/>
          <w:sz w:val="17"/>
          <w:szCs w:val="17"/>
          <w:color w:val="auto"/>
        </w:rPr>
        <w:t>We have deferred tax assets in connection with the intercompany transfer of certain operations. The determination of these assets requires management to make significant estimates and assumptions about the fair value of the related operations. Critical estimates include, but are not limited to, internal revenue and expense forecasts and discount rates, while critical assumptions include those regarding macroeconomic conditions and prevailing tax laws. The discount rates used in the income method to reduce expected future cash flows to present value are derived from a weighted-average cost of capital analysis and are adjusted to reflect the inherent risks related to the cash flow. Although we believe our assumptions and estimates are reasonable and appropriate, they are based in part on historical experience and are inherently uncertain. Unanticipated events and circumstances may occur that could differ adversely from our assumptions and estimates, which could require the Company to reduce its deferred tax assets in future periods.</w:t>
      </w:r>
    </w:p>
    <w:p>
      <w:pPr>
        <w:spacing w:after="0" w:line="59" w:lineRule="exact"/>
        <w:rPr>
          <w:sz w:val="20"/>
          <w:szCs w:val="20"/>
          <w:color w:val="auto"/>
        </w:rPr>
      </w:pPr>
    </w:p>
    <w:p>
      <w:pPr>
        <w:ind w:left="220" w:right="260"/>
        <w:spacing w:after="0" w:line="238" w:lineRule="auto"/>
        <w:rPr>
          <w:sz w:val="20"/>
          <w:szCs w:val="20"/>
          <w:color w:val="auto"/>
        </w:rPr>
      </w:pPr>
      <w:r>
        <w:rPr>
          <w:rFonts w:ascii="Arial" w:cs="Arial" w:eastAsia="Arial" w:hAnsi="Arial"/>
          <w:sz w:val="17"/>
          <w:szCs w:val="17"/>
          <w:color w:val="auto"/>
        </w:rPr>
        <w:t>Our 2024 effective income tax rate on earnings from continuing operations was not meaningful due to the impact of the $468 million tax benefit discussed in the “Tax (benefit) expense” section within the “Results of Operations” section of this management’s discussion and analysis. Our 2023 effective income tax rate on earnings from continuing operations was 13.6%. A 1% increase in the effective income tax rate would have decreased 2024 income tax benefit and decreased earnings from continuing operations by approximately $21 million.</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Critical judgments in applying accounting policies</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Revenue recognition</w:t>
      </w:r>
    </w:p>
    <w:p>
      <w:pPr>
        <w:spacing w:after="0" w:line="34" w:lineRule="exact"/>
        <w:rPr>
          <w:sz w:val="20"/>
          <w:szCs w:val="20"/>
          <w:color w:val="auto"/>
        </w:rPr>
      </w:pPr>
    </w:p>
    <w:p>
      <w:pPr>
        <w:ind w:left="220" w:right="60"/>
        <w:spacing w:after="0" w:line="231" w:lineRule="auto"/>
        <w:rPr>
          <w:sz w:val="20"/>
          <w:szCs w:val="20"/>
          <w:color w:val="auto"/>
        </w:rPr>
      </w:pPr>
      <w:r>
        <w:rPr>
          <w:rFonts w:ascii="Arial" w:cs="Arial" w:eastAsia="Arial" w:hAnsi="Arial"/>
          <w:sz w:val="17"/>
          <w:szCs w:val="17"/>
          <w:color w:val="auto"/>
        </w:rPr>
        <w:t>To determine the appropriate revenue recognition for our products and services, management must assess whether multiple products and services in customer contracts are distinct performance obligations that should be accounted for separately, or whether they must be accounted for together. In making the determination, management considers, for example, whether we regularly sell a product or service separately, or whether the products or services are highly interrelated. Management must also determine the standalone selling price (SSP) for each distinct performance obligation. We typically have more than one SSP for individual products and services due to the stratification of our offerings by customer. As a result, management determines the SSP taking into consideration market conditions and other factors, including the value of our contracts, the product or service sold, the customer’s market, geographic location and the number and types of users in each contract. Finally, management must also estimate the period over which to amortize assets arising from incremental costs of obtaining a contract. As management estimates that this period corresponds to the period over which a customer benefits from existing technology in the underlying product or service, this judgment is closely linked with the determination of software amortization periods.</w:t>
      </w:r>
    </w:p>
    <w:p>
      <w:pPr>
        <w:spacing w:after="0" w:line="10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Uncertain tax positions</w:t>
      </w:r>
    </w:p>
    <w:p>
      <w:pPr>
        <w:spacing w:after="0" w:line="34" w:lineRule="exact"/>
        <w:rPr>
          <w:sz w:val="20"/>
          <w:szCs w:val="20"/>
          <w:color w:val="auto"/>
        </w:rPr>
      </w:pPr>
    </w:p>
    <w:p>
      <w:pPr>
        <w:ind w:left="220" w:right="40"/>
        <w:spacing w:after="0" w:line="231" w:lineRule="auto"/>
        <w:rPr>
          <w:sz w:val="20"/>
          <w:szCs w:val="20"/>
          <w:color w:val="auto"/>
        </w:rPr>
      </w:pPr>
      <w:r>
        <w:rPr>
          <w:rFonts w:ascii="Arial" w:cs="Arial" w:eastAsia="Arial" w:hAnsi="Arial"/>
          <w:sz w:val="17"/>
          <w:szCs w:val="17"/>
          <w:color w:val="auto"/>
        </w:rPr>
        <w:t>We are subject to taxation in numerous jurisdictions and we are routinely under audit by many different taxing authorities in the ordinary course of business. There are many transactions and calculations in the course of business for which the ultimate tax determination is uncertain, as taxing authorities may challenge some of our positions and propose adjustments or changes to our tax filings. As a result, we maintain provisions for uncertain tax positions that we believe appropriately reflect our risk. These provisions are made using our best estimates of the amount expected to be paid based on a qualitative assessment of all relevant factors. When appropriate, we perform an expected value calculation to determine our provisions. We review the adequacy of these provisions at the end of each reporting period and adjust them based on changing facts and circumstances. Due to the uncertainty associated with tax audits, it is possible that at some future date, liabilities resulting from such audits or related litigation could vary significantly from our provisions. Where the outcome of these tax-related matters is different from the amounts that were initially recorded, such differences will affect the tax provisions in the period in which such determination is made. As of December 31, 2024, we have recorded an aggregate provision of $294 million for uncertain tax positions (excluding interest) within our current and deferred tax accounts as appropriate, in the consolidated statement of financial position.</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Deferred Tax Assets</w:t>
      </w:r>
    </w:p>
    <w:p>
      <w:pPr>
        <w:spacing w:after="0" w:line="33" w:lineRule="exact"/>
        <w:rPr>
          <w:sz w:val="20"/>
          <w:szCs w:val="20"/>
          <w:color w:val="auto"/>
        </w:rPr>
      </w:pPr>
    </w:p>
    <w:p>
      <w:pPr>
        <w:ind w:left="220" w:right="100"/>
        <w:spacing w:after="0" w:line="232" w:lineRule="auto"/>
        <w:rPr>
          <w:sz w:val="20"/>
          <w:szCs w:val="20"/>
          <w:color w:val="auto"/>
        </w:rPr>
      </w:pPr>
      <w:r>
        <w:rPr>
          <w:rFonts w:ascii="Arial" w:cs="Arial" w:eastAsia="Arial" w:hAnsi="Arial"/>
          <w:sz w:val="17"/>
          <w:szCs w:val="17"/>
          <w:color w:val="auto"/>
        </w:rPr>
        <w:t>Deferred tax assets are recognized to the extent it is probable that taxable profits will be available against which the deductible temporary differences can be utilized, and are reduced to the extent that it is not probable that sufficient taxable profits will be available to allow all or part of the asset to be recovered. In evaluating deferred tax assets, management must make judgments to assess the future taxable profits and likely outcomes of unresolved tax audits associated with the relevant jurisdictions. As of December 31, 2024, we had deferred tax assets of $1,832 million and unrecognized deferred tax assets of $681 million. See note 24 of our 2024 annual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102235</wp:posOffset>
            </wp:positionV>
            <wp:extent cx="68656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9"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74</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Appendix E</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Selected Annual Information</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selected annual information for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83185</wp:posOffset>
            </wp:positionV>
            <wp:extent cx="68656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11"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6060" w:type="dxa"/>
            <w:vAlign w:val="bottom"/>
          </w:tcPr>
          <w:p>
            <w:pPr>
              <w:spacing w:after="0"/>
              <w:rPr>
                <w:sz w:val="17"/>
                <w:szCs w:val="17"/>
                <w:color w:val="auto"/>
              </w:rPr>
            </w:pPr>
          </w:p>
        </w:tc>
        <w:tc>
          <w:tcPr>
            <w:tcW w:w="4740" w:type="dxa"/>
            <w:vAlign w:val="bottom"/>
            <w:gridSpan w:val="3"/>
            <w:shd w:val="clear" w:color="auto" w:fill="E3F3EE"/>
          </w:tcPr>
          <w:p>
            <w:pPr>
              <w:jc w:val="right"/>
              <w:ind w:right="1"/>
              <w:spacing w:after="0"/>
              <w:rPr>
                <w:sz w:val="20"/>
                <w:szCs w:val="20"/>
                <w:color w:val="auto"/>
              </w:rPr>
            </w:pPr>
            <w:r>
              <w:rPr>
                <w:rFonts w:ascii="Arial" w:cs="Arial" w:eastAsia="Arial" w:hAnsi="Arial"/>
                <w:sz w:val="16"/>
                <w:szCs w:val="16"/>
                <w:b w:val="1"/>
                <w:bCs w:val="1"/>
                <w:color w:val="auto"/>
              </w:rPr>
              <w:t>For the years ended and as of December 31, </w:t>
            </w:r>
          </w:p>
        </w:tc>
      </w:tr>
      <w:tr>
        <w:trPr>
          <w:trHeight w:val="192"/>
        </w:trPr>
        <w:tc>
          <w:tcPr>
            <w:tcW w:w="606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color w:val="FFFFFF"/>
              </w:rPr>
              <w:t>  (millions of U.S. dollars, except per share amounts)</w:t>
            </w:r>
          </w:p>
        </w:tc>
        <w:tc>
          <w:tcPr>
            <w:tcW w:w="2040" w:type="dxa"/>
            <w:vAlign w:val="bottom"/>
            <w:tcBorders>
              <w:bottom w:val="single" w:sz="8" w:color="D64000"/>
            </w:tcBorders>
            <w:shd w:val="clear" w:color="auto" w:fill="1F473D"/>
          </w:tcPr>
          <w:p>
            <w:pPr>
              <w:jc w:val="right"/>
              <w:ind w:right="401"/>
              <w:spacing w:after="0"/>
              <w:rPr>
                <w:sz w:val="20"/>
                <w:szCs w:val="20"/>
                <w:color w:val="auto"/>
              </w:rPr>
            </w:pPr>
            <w:r>
              <w:rPr>
                <w:rFonts w:ascii="Arial" w:cs="Arial" w:eastAsia="Arial" w:hAnsi="Arial"/>
                <w:sz w:val="16"/>
                <w:szCs w:val="16"/>
                <w:b w:val="1"/>
                <w:bCs w:val="1"/>
                <w:color w:val="FFFFFF"/>
              </w:rPr>
              <w:t>2024</w:t>
            </w:r>
          </w:p>
        </w:tc>
        <w:tc>
          <w:tcPr>
            <w:tcW w:w="1520" w:type="dxa"/>
            <w:vAlign w:val="bottom"/>
            <w:tcBorders>
              <w:bottom w:val="single" w:sz="8" w:color="D64000"/>
            </w:tcBorders>
            <w:shd w:val="clear" w:color="auto" w:fill="1F473D"/>
          </w:tcPr>
          <w:p>
            <w:pPr>
              <w:jc w:val="right"/>
              <w:ind w:right="461"/>
              <w:spacing w:after="0"/>
              <w:rPr>
                <w:sz w:val="20"/>
                <w:szCs w:val="20"/>
                <w:color w:val="auto"/>
              </w:rPr>
            </w:pPr>
            <w:r>
              <w:rPr>
                <w:rFonts w:ascii="Arial" w:cs="Arial" w:eastAsia="Arial" w:hAnsi="Arial"/>
                <w:sz w:val="16"/>
                <w:szCs w:val="16"/>
                <w:color w:val="FFFFFF"/>
              </w:rPr>
              <w:t>2023</w:t>
            </w:r>
          </w:p>
        </w:tc>
        <w:tc>
          <w:tcPr>
            <w:tcW w:w="1180" w:type="dxa"/>
            <w:vAlign w:val="bottom"/>
            <w:tcBorders>
              <w:bottom w:val="single" w:sz="8" w:color="D64000"/>
            </w:tcBorders>
            <w:shd w:val="clear" w:color="auto" w:fill="1F473D"/>
          </w:tcPr>
          <w:p>
            <w:pPr>
              <w:jc w:val="right"/>
              <w:ind w:right="1"/>
              <w:spacing w:after="0"/>
              <w:rPr>
                <w:sz w:val="20"/>
                <w:szCs w:val="20"/>
                <w:color w:val="auto"/>
              </w:rPr>
            </w:pPr>
            <w:r>
              <w:rPr>
                <w:rFonts w:ascii="Arial" w:cs="Arial" w:eastAsia="Arial" w:hAnsi="Arial"/>
                <w:sz w:val="16"/>
                <w:szCs w:val="16"/>
                <w:color w:val="FFFFFF"/>
              </w:rPr>
              <w:t>2022</w:t>
            </w:r>
            <w:r>
              <w:rPr>
                <w:rFonts w:ascii="Arial" w:cs="Arial" w:eastAsia="Arial" w:hAnsi="Arial"/>
                <w:sz w:val="16"/>
                <w:szCs w:val="16"/>
                <w:b w:val="1"/>
                <w:bCs w:val="1"/>
                <w:color w:val="FFFFFF"/>
              </w:rPr>
              <w:t xml:space="preserve"> </w:t>
            </w:r>
          </w:p>
        </w:tc>
      </w:tr>
      <w:tr>
        <w:trPr>
          <w:trHeight w:val="211"/>
        </w:trPr>
        <w:tc>
          <w:tcPr>
            <w:tcW w:w="6060" w:type="dxa"/>
            <w:vAlign w:val="bottom"/>
          </w:tcPr>
          <w:p>
            <w:pPr>
              <w:spacing w:after="0"/>
              <w:rPr>
                <w:sz w:val="20"/>
                <w:szCs w:val="20"/>
                <w:color w:val="auto"/>
              </w:rPr>
            </w:pPr>
            <w:r>
              <w:rPr>
                <w:rFonts w:ascii="Arial" w:cs="Arial" w:eastAsia="Arial" w:hAnsi="Arial"/>
                <w:sz w:val="16"/>
                <w:szCs w:val="16"/>
                <w:b w:val="1"/>
                <w:bCs w:val="1"/>
                <w:color w:val="auto"/>
              </w:rPr>
              <w:t>  IFRS Consolidated Income Statement Data</w:t>
            </w:r>
          </w:p>
        </w:tc>
        <w:tc>
          <w:tcPr>
            <w:tcW w:w="2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2"/>
        </w:trPr>
        <w:tc>
          <w:tcPr>
            <w:tcW w:w="6060" w:type="dxa"/>
            <w:vAlign w:val="bottom"/>
          </w:tcPr>
          <w:p>
            <w:pPr>
              <w:ind w:left="160"/>
              <w:spacing w:after="0"/>
              <w:rPr>
                <w:sz w:val="20"/>
                <w:szCs w:val="20"/>
                <w:color w:val="auto"/>
              </w:rPr>
            </w:pPr>
            <w:r>
              <w:rPr>
                <w:rFonts w:ascii="Arial" w:cs="Arial" w:eastAsia="Arial" w:hAnsi="Arial"/>
                <w:sz w:val="16"/>
                <w:szCs w:val="16"/>
                <w:color w:val="auto"/>
              </w:rPr>
              <w:t>  Revenues</w:t>
            </w:r>
          </w:p>
        </w:tc>
        <w:tc>
          <w:tcPr>
            <w:tcW w:w="2040" w:type="dxa"/>
            <w:vAlign w:val="bottom"/>
          </w:tcPr>
          <w:p>
            <w:pPr>
              <w:jc w:val="right"/>
              <w:ind w:right="401"/>
              <w:spacing w:after="0"/>
              <w:rPr>
                <w:sz w:val="20"/>
                <w:szCs w:val="20"/>
                <w:color w:val="auto"/>
              </w:rPr>
            </w:pPr>
            <w:r>
              <w:rPr>
                <w:rFonts w:ascii="Arial" w:cs="Arial" w:eastAsia="Arial" w:hAnsi="Arial"/>
                <w:sz w:val="16"/>
                <w:szCs w:val="16"/>
                <w:b w:val="1"/>
                <w:bCs w:val="1"/>
                <w:color w:val="auto"/>
              </w:rPr>
              <w:t>7,258</w:t>
            </w:r>
          </w:p>
        </w:tc>
        <w:tc>
          <w:tcPr>
            <w:tcW w:w="1520" w:type="dxa"/>
            <w:vAlign w:val="bottom"/>
          </w:tcPr>
          <w:p>
            <w:pPr>
              <w:jc w:val="right"/>
              <w:ind w:right="461"/>
              <w:spacing w:after="0"/>
              <w:rPr>
                <w:sz w:val="20"/>
                <w:szCs w:val="20"/>
                <w:color w:val="auto"/>
              </w:rPr>
            </w:pPr>
            <w:r>
              <w:rPr>
                <w:rFonts w:ascii="Arial" w:cs="Arial" w:eastAsia="Arial" w:hAnsi="Arial"/>
                <w:sz w:val="16"/>
                <w:szCs w:val="16"/>
                <w:color w:val="auto"/>
              </w:rPr>
              <w:t>6,794</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6,627 </w:t>
            </w:r>
          </w:p>
        </w:tc>
      </w:tr>
      <w:tr>
        <w:trPr>
          <w:trHeight w:val="212"/>
        </w:trPr>
        <w:tc>
          <w:tcPr>
            <w:tcW w:w="6060" w:type="dxa"/>
            <w:vAlign w:val="bottom"/>
          </w:tcPr>
          <w:p>
            <w:pPr>
              <w:ind w:left="160"/>
              <w:spacing w:after="0"/>
              <w:rPr>
                <w:sz w:val="20"/>
                <w:szCs w:val="20"/>
                <w:color w:val="auto"/>
              </w:rPr>
            </w:pPr>
            <w:r>
              <w:rPr>
                <w:rFonts w:ascii="Arial" w:cs="Arial" w:eastAsia="Arial" w:hAnsi="Arial"/>
                <w:sz w:val="16"/>
                <w:szCs w:val="16"/>
                <w:color w:val="auto"/>
              </w:rPr>
              <w:t>  Operating profit</w:t>
            </w:r>
          </w:p>
        </w:tc>
        <w:tc>
          <w:tcPr>
            <w:tcW w:w="2040" w:type="dxa"/>
            <w:vAlign w:val="bottom"/>
          </w:tcPr>
          <w:p>
            <w:pPr>
              <w:jc w:val="right"/>
              <w:ind w:right="401"/>
              <w:spacing w:after="0"/>
              <w:rPr>
                <w:sz w:val="20"/>
                <w:szCs w:val="20"/>
                <w:color w:val="auto"/>
              </w:rPr>
            </w:pPr>
            <w:r>
              <w:rPr>
                <w:rFonts w:ascii="Arial" w:cs="Arial" w:eastAsia="Arial" w:hAnsi="Arial"/>
                <w:sz w:val="16"/>
                <w:szCs w:val="16"/>
                <w:b w:val="1"/>
                <w:bCs w:val="1"/>
                <w:color w:val="auto"/>
              </w:rPr>
              <w:t>2,109</w:t>
            </w:r>
          </w:p>
        </w:tc>
        <w:tc>
          <w:tcPr>
            <w:tcW w:w="1520" w:type="dxa"/>
            <w:vAlign w:val="bottom"/>
          </w:tcPr>
          <w:p>
            <w:pPr>
              <w:jc w:val="right"/>
              <w:ind w:right="461"/>
              <w:spacing w:after="0"/>
              <w:rPr>
                <w:sz w:val="20"/>
                <w:szCs w:val="20"/>
                <w:color w:val="auto"/>
              </w:rPr>
            </w:pPr>
            <w:r>
              <w:rPr>
                <w:rFonts w:ascii="Arial" w:cs="Arial" w:eastAsia="Arial" w:hAnsi="Arial"/>
                <w:sz w:val="16"/>
                <w:szCs w:val="16"/>
                <w:color w:val="auto"/>
              </w:rPr>
              <w:t>2,332</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1,834 </w:t>
            </w:r>
          </w:p>
        </w:tc>
      </w:tr>
      <w:tr>
        <w:trPr>
          <w:trHeight w:val="212"/>
        </w:trPr>
        <w:tc>
          <w:tcPr>
            <w:tcW w:w="6060" w:type="dxa"/>
            <w:vAlign w:val="bottom"/>
          </w:tcPr>
          <w:p>
            <w:pPr>
              <w:ind w:left="160"/>
              <w:spacing w:after="0"/>
              <w:rPr>
                <w:sz w:val="20"/>
                <w:szCs w:val="20"/>
                <w:color w:val="auto"/>
              </w:rPr>
            </w:pPr>
            <w:r>
              <w:rPr>
                <w:rFonts w:ascii="Arial" w:cs="Arial" w:eastAsia="Arial" w:hAnsi="Arial"/>
                <w:sz w:val="16"/>
                <w:szCs w:val="16"/>
                <w:color w:val="auto"/>
              </w:rPr>
              <w:t>  Earnings from continuing operations</w:t>
            </w:r>
          </w:p>
        </w:tc>
        <w:tc>
          <w:tcPr>
            <w:tcW w:w="2040" w:type="dxa"/>
            <w:vAlign w:val="bottom"/>
          </w:tcPr>
          <w:p>
            <w:pPr>
              <w:jc w:val="right"/>
              <w:ind w:right="401"/>
              <w:spacing w:after="0"/>
              <w:rPr>
                <w:sz w:val="20"/>
                <w:szCs w:val="20"/>
                <w:color w:val="auto"/>
              </w:rPr>
            </w:pPr>
            <w:r>
              <w:rPr>
                <w:rFonts w:ascii="Arial" w:cs="Arial" w:eastAsia="Arial" w:hAnsi="Arial"/>
                <w:sz w:val="16"/>
                <w:szCs w:val="16"/>
                <w:b w:val="1"/>
                <w:bCs w:val="1"/>
                <w:color w:val="auto"/>
              </w:rPr>
              <w:t>2,192</w:t>
            </w:r>
          </w:p>
        </w:tc>
        <w:tc>
          <w:tcPr>
            <w:tcW w:w="1520" w:type="dxa"/>
            <w:vAlign w:val="bottom"/>
          </w:tcPr>
          <w:p>
            <w:pPr>
              <w:jc w:val="right"/>
              <w:ind w:right="461"/>
              <w:spacing w:after="0"/>
              <w:rPr>
                <w:sz w:val="20"/>
                <w:szCs w:val="20"/>
                <w:color w:val="auto"/>
              </w:rPr>
            </w:pPr>
            <w:r>
              <w:rPr>
                <w:rFonts w:ascii="Arial" w:cs="Arial" w:eastAsia="Arial" w:hAnsi="Arial"/>
                <w:sz w:val="16"/>
                <w:szCs w:val="16"/>
                <w:color w:val="auto"/>
              </w:rPr>
              <w:t>2,646</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1,391 </w:t>
            </w:r>
          </w:p>
        </w:tc>
      </w:tr>
      <w:tr>
        <w:trPr>
          <w:trHeight w:val="212"/>
        </w:trPr>
        <w:tc>
          <w:tcPr>
            <w:tcW w:w="6060" w:type="dxa"/>
            <w:vAlign w:val="bottom"/>
          </w:tcPr>
          <w:p>
            <w:pPr>
              <w:ind w:left="160"/>
              <w:spacing w:after="0"/>
              <w:rPr>
                <w:sz w:val="20"/>
                <w:szCs w:val="20"/>
                <w:color w:val="auto"/>
              </w:rPr>
            </w:pPr>
            <w:r>
              <w:rPr>
                <w:rFonts w:ascii="Arial" w:cs="Arial" w:eastAsia="Arial" w:hAnsi="Arial"/>
                <w:sz w:val="16"/>
                <w:szCs w:val="16"/>
                <w:color w:val="auto"/>
              </w:rPr>
              <w:t>  Earnings (loss) from discontinued operations, net of tax</w:t>
            </w:r>
          </w:p>
        </w:tc>
        <w:tc>
          <w:tcPr>
            <w:tcW w:w="2040" w:type="dxa"/>
            <w:vAlign w:val="bottom"/>
          </w:tcPr>
          <w:p>
            <w:pPr>
              <w:jc w:val="right"/>
              <w:ind w:right="401"/>
              <w:spacing w:after="0"/>
              <w:rPr>
                <w:sz w:val="20"/>
                <w:szCs w:val="20"/>
                <w:color w:val="auto"/>
              </w:rPr>
            </w:pPr>
            <w:r>
              <w:rPr>
                <w:rFonts w:ascii="Arial" w:cs="Arial" w:eastAsia="Arial" w:hAnsi="Arial"/>
                <w:sz w:val="16"/>
                <w:szCs w:val="16"/>
                <w:b w:val="1"/>
                <w:bCs w:val="1"/>
                <w:color w:val="auto"/>
              </w:rPr>
              <w:t>15</w:t>
            </w:r>
          </w:p>
        </w:tc>
        <w:tc>
          <w:tcPr>
            <w:tcW w:w="1520" w:type="dxa"/>
            <w:vAlign w:val="bottom"/>
          </w:tcPr>
          <w:p>
            <w:pPr>
              <w:jc w:val="right"/>
              <w:ind w:right="461"/>
              <w:spacing w:after="0"/>
              <w:rPr>
                <w:sz w:val="20"/>
                <w:szCs w:val="20"/>
                <w:color w:val="auto"/>
              </w:rPr>
            </w:pPr>
            <w:r>
              <w:rPr>
                <w:rFonts w:ascii="Arial" w:cs="Arial" w:eastAsia="Arial" w:hAnsi="Arial"/>
                <w:sz w:val="16"/>
                <w:szCs w:val="16"/>
                <w:color w:val="auto"/>
              </w:rPr>
              <w:t>49</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 xml:space="preserve">(53) </w:t>
            </w:r>
          </w:p>
        </w:tc>
      </w:tr>
      <w:tr>
        <w:trPr>
          <w:trHeight w:val="212"/>
        </w:trPr>
        <w:tc>
          <w:tcPr>
            <w:tcW w:w="6060" w:type="dxa"/>
            <w:vAlign w:val="bottom"/>
          </w:tcPr>
          <w:p>
            <w:pPr>
              <w:ind w:left="160"/>
              <w:spacing w:after="0"/>
              <w:rPr>
                <w:sz w:val="20"/>
                <w:szCs w:val="20"/>
                <w:color w:val="auto"/>
              </w:rPr>
            </w:pPr>
            <w:r>
              <w:rPr>
                <w:rFonts w:ascii="Arial" w:cs="Arial" w:eastAsia="Arial" w:hAnsi="Arial"/>
                <w:sz w:val="16"/>
                <w:szCs w:val="16"/>
                <w:color w:val="auto"/>
              </w:rPr>
              <w:t>  Net earnings</w:t>
            </w:r>
          </w:p>
        </w:tc>
        <w:tc>
          <w:tcPr>
            <w:tcW w:w="2040" w:type="dxa"/>
            <w:vAlign w:val="bottom"/>
          </w:tcPr>
          <w:p>
            <w:pPr>
              <w:jc w:val="right"/>
              <w:ind w:right="401"/>
              <w:spacing w:after="0"/>
              <w:rPr>
                <w:sz w:val="20"/>
                <w:szCs w:val="20"/>
                <w:color w:val="auto"/>
              </w:rPr>
            </w:pPr>
            <w:r>
              <w:rPr>
                <w:rFonts w:ascii="Arial" w:cs="Arial" w:eastAsia="Arial" w:hAnsi="Arial"/>
                <w:sz w:val="16"/>
                <w:szCs w:val="16"/>
                <w:b w:val="1"/>
                <w:bCs w:val="1"/>
                <w:color w:val="auto"/>
              </w:rPr>
              <w:t>2,207</w:t>
            </w:r>
          </w:p>
        </w:tc>
        <w:tc>
          <w:tcPr>
            <w:tcW w:w="1520" w:type="dxa"/>
            <w:vAlign w:val="bottom"/>
          </w:tcPr>
          <w:p>
            <w:pPr>
              <w:jc w:val="right"/>
              <w:ind w:right="461"/>
              <w:spacing w:after="0"/>
              <w:rPr>
                <w:sz w:val="20"/>
                <w:szCs w:val="20"/>
                <w:color w:val="auto"/>
              </w:rPr>
            </w:pPr>
            <w:r>
              <w:rPr>
                <w:rFonts w:ascii="Arial" w:cs="Arial" w:eastAsia="Arial" w:hAnsi="Arial"/>
                <w:sz w:val="16"/>
                <w:szCs w:val="16"/>
                <w:color w:val="auto"/>
              </w:rPr>
              <w:t>2,695</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1,338 </w:t>
            </w:r>
          </w:p>
        </w:tc>
      </w:tr>
      <w:tr>
        <w:trPr>
          <w:trHeight w:val="212"/>
        </w:trPr>
        <w:tc>
          <w:tcPr>
            <w:tcW w:w="6060" w:type="dxa"/>
            <w:vAlign w:val="bottom"/>
          </w:tcPr>
          <w:p>
            <w:pPr>
              <w:ind w:left="160"/>
              <w:spacing w:after="0"/>
              <w:rPr>
                <w:sz w:val="20"/>
                <w:szCs w:val="20"/>
                <w:color w:val="auto"/>
              </w:rPr>
            </w:pPr>
            <w:r>
              <w:rPr>
                <w:rFonts w:ascii="Arial" w:cs="Arial" w:eastAsia="Arial" w:hAnsi="Arial"/>
                <w:sz w:val="16"/>
                <w:szCs w:val="16"/>
                <w:color w:val="auto"/>
              </w:rPr>
              <w:t>  Earnings attributable to common shareholders</w:t>
            </w:r>
          </w:p>
        </w:tc>
        <w:tc>
          <w:tcPr>
            <w:tcW w:w="2040" w:type="dxa"/>
            <w:vAlign w:val="bottom"/>
          </w:tcPr>
          <w:p>
            <w:pPr>
              <w:jc w:val="right"/>
              <w:ind w:right="401"/>
              <w:spacing w:after="0"/>
              <w:rPr>
                <w:sz w:val="20"/>
                <w:szCs w:val="20"/>
                <w:color w:val="auto"/>
              </w:rPr>
            </w:pPr>
            <w:r>
              <w:rPr>
                <w:rFonts w:ascii="Arial" w:cs="Arial" w:eastAsia="Arial" w:hAnsi="Arial"/>
                <w:sz w:val="16"/>
                <w:szCs w:val="16"/>
                <w:b w:val="1"/>
                <w:bCs w:val="1"/>
                <w:color w:val="auto"/>
              </w:rPr>
              <w:t>2,210</w:t>
            </w:r>
          </w:p>
        </w:tc>
        <w:tc>
          <w:tcPr>
            <w:tcW w:w="1520" w:type="dxa"/>
            <w:vAlign w:val="bottom"/>
          </w:tcPr>
          <w:p>
            <w:pPr>
              <w:jc w:val="right"/>
              <w:ind w:right="461"/>
              <w:spacing w:after="0"/>
              <w:rPr>
                <w:sz w:val="20"/>
                <w:szCs w:val="20"/>
                <w:color w:val="auto"/>
              </w:rPr>
            </w:pPr>
            <w:r>
              <w:rPr>
                <w:rFonts w:ascii="Arial" w:cs="Arial" w:eastAsia="Arial" w:hAnsi="Arial"/>
                <w:sz w:val="16"/>
                <w:szCs w:val="16"/>
                <w:color w:val="auto"/>
              </w:rPr>
              <w:t>2,695</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1,338 </w:t>
            </w:r>
          </w:p>
        </w:tc>
      </w:tr>
      <w:tr>
        <w:trPr>
          <w:trHeight w:val="212"/>
        </w:trPr>
        <w:tc>
          <w:tcPr>
            <w:tcW w:w="6060" w:type="dxa"/>
            <w:vAlign w:val="bottom"/>
          </w:tcPr>
          <w:p>
            <w:pPr>
              <w:ind w:left="160"/>
              <w:spacing w:after="0"/>
              <w:rPr>
                <w:sz w:val="20"/>
                <w:szCs w:val="20"/>
                <w:color w:val="auto"/>
              </w:rPr>
            </w:pPr>
            <w:r>
              <w:rPr>
                <w:rFonts w:ascii="Arial" w:cs="Arial" w:eastAsia="Arial" w:hAnsi="Arial"/>
                <w:sz w:val="16"/>
                <w:szCs w:val="16"/>
                <w:color w:val="auto"/>
              </w:rPr>
              <w:t>  Loss attributable to non-controlling interests</w:t>
            </w:r>
          </w:p>
        </w:tc>
        <w:tc>
          <w:tcPr>
            <w:tcW w:w="2040" w:type="dxa"/>
            <w:vAlign w:val="bottom"/>
          </w:tcPr>
          <w:p>
            <w:pPr>
              <w:jc w:val="right"/>
              <w:ind w:right="401"/>
              <w:spacing w:after="0"/>
              <w:rPr>
                <w:sz w:val="20"/>
                <w:szCs w:val="20"/>
                <w:color w:val="auto"/>
              </w:rPr>
            </w:pPr>
            <w:r>
              <w:rPr>
                <w:rFonts w:ascii="Arial" w:cs="Arial" w:eastAsia="Arial" w:hAnsi="Arial"/>
                <w:sz w:val="16"/>
                <w:szCs w:val="16"/>
                <w:b w:val="1"/>
                <w:bCs w:val="1"/>
                <w:color w:val="auto"/>
              </w:rPr>
              <w:t>(3)</w:t>
            </w:r>
          </w:p>
        </w:tc>
        <w:tc>
          <w:tcPr>
            <w:tcW w:w="1520" w:type="dxa"/>
            <w:vAlign w:val="bottom"/>
          </w:tcPr>
          <w:p>
            <w:pPr>
              <w:jc w:val="right"/>
              <w:ind w:right="461"/>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 xml:space="preserve">- </w:t>
            </w:r>
          </w:p>
        </w:tc>
      </w:tr>
      <w:tr>
        <w:trPr>
          <w:trHeight w:val="212"/>
        </w:trPr>
        <w:tc>
          <w:tcPr>
            <w:tcW w:w="6060" w:type="dxa"/>
            <w:vAlign w:val="bottom"/>
          </w:tcPr>
          <w:p>
            <w:pPr>
              <w:ind w:left="160"/>
              <w:spacing w:after="0"/>
              <w:rPr>
                <w:sz w:val="20"/>
                <w:szCs w:val="20"/>
                <w:color w:val="auto"/>
              </w:rPr>
            </w:pPr>
            <w:r>
              <w:rPr>
                <w:rFonts w:ascii="Arial" w:cs="Arial" w:eastAsia="Arial" w:hAnsi="Arial"/>
                <w:sz w:val="16"/>
                <w:szCs w:val="16"/>
                <w:color w:val="auto"/>
              </w:rPr>
              <w:t>  Basic earnings per share from continuing operations</w:t>
            </w:r>
          </w:p>
        </w:tc>
        <w:tc>
          <w:tcPr>
            <w:tcW w:w="2040" w:type="dxa"/>
            <w:vAlign w:val="bottom"/>
          </w:tcPr>
          <w:p>
            <w:pPr>
              <w:jc w:val="right"/>
              <w:ind w:right="401"/>
              <w:spacing w:after="0"/>
              <w:rPr>
                <w:sz w:val="20"/>
                <w:szCs w:val="20"/>
                <w:color w:val="auto"/>
              </w:rPr>
            </w:pPr>
            <w:r>
              <w:rPr>
                <w:rFonts w:ascii="Arial" w:cs="Arial" w:eastAsia="Arial" w:hAnsi="Arial"/>
                <w:sz w:val="16"/>
                <w:szCs w:val="16"/>
                <w:b w:val="1"/>
                <w:bCs w:val="1"/>
                <w:color w:val="auto"/>
              </w:rPr>
              <w:t>$4.86</w:t>
            </w:r>
          </w:p>
        </w:tc>
        <w:tc>
          <w:tcPr>
            <w:tcW w:w="1520" w:type="dxa"/>
            <w:vAlign w:val="bottom"/>
          </w:tcPr>
          <w:p>
            <w:pPr>
              <w:jc w:val="right"/>
              <w:ind w:right="461"/>
              <w:spacing w:after="0"/>
              <w:rPr>
                <w:sz w:val="20"/>
                <w:szCs w:val="20"/>
                <w:color w:val="auto"/>
              </w:rPr>
            </w:pPr>
            <w:r>
              <w:rPr>
                <w:rFonts w:ascii="Arial" w:cs="Arial" w:eastAsia="Arial" w:hAnsi="Arial"/>
                <w:sz w:val="16"/>
                <w:szCs w:val="16"/>
                <w:color w:val="auto"/>
              </w:rPr>
              <w:t>$5.70</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$2.87 </w:t>
            </w:r>
          </w:p>
        </w:tc>
      </w:tr>
      <w:tr>
        <w:trPr>
          <w:trHeight w:val="212"/>
        </w:trPr>
        <w:tc>
          <w:tcPr>
            <w:tcW w:w="6060" w:type="dxa"/>
            <w:vAlign w:val="bottom"/>
          </w:tcPr>
          <w:p>
            <w:pPr>
              <w:ind w:left="160"/>
              <w:spacing w:after="0"/>
              <w:rPr>
                <w:sz w:val="20"/>
                <w:szCs w:val="20"/>
                <w:color w:val="auto"/>
              </w:rPr>
            </w:pPr>
            <w:r>
              <w:rPr>
                <w:rFonts w:ascii="Arial" w:cs="Arial" w:eastAsia="Arial" w:hAnsi="Arial"/>
                <w:sz w:val="16"/>
                <w:szCs w:val="16"/>
                <w:color w:val="auto"/>
              </w:rPr>
              <w:t>  Basic earnings (loss) per share from discontinued operations</w:t>
            </w:r>
          </w:p>
        </w:tc>
        <w:tc>
          <w:tcPr>
            <w:tcW w:w="2040" w:type="dxa"/>
            <w:vAlign w:val="bottom"/>
          </w:tcPr>
          <w:p>
            <w:pPr>
              <w:jc w:val="right"/>
              <w:ind w:right="401"/>
              <w:spacing w:after="0"/>
              <w:rPr>
                <w:sz w:val="20"/>
                <w:szCs w:val="20"/>
                <w:color w:val="auto"/>
              </w:rPr>
            </w:pPr>
            <w:r>
              <w:rPr>
                <w:rFonts w:ascii="Arial" w:cs="Arial" w:eastAsia="Arial" w:hAnsi="Arial"/>
                <w:sz w:val="16"/>
                <w:szCs w:val="16"/>
                <w:b w:val="1"/>
                <w:bCs w:val="1"/>
                <w:color w:val="auto"/>
              </w:rPr>
              <w:t>$0.03</w:t>
            </w:r>
          </w:p>
        </w:tc>
        <w:tc>
          <w:tcPr>
            <w:tcW w:w="1520" w:type="dxa"/>
            <w:vAlign w:val="bottom"/>
          </w:tcPr>
          <w:p>
            <w:pPr>
              <w:jc w:val="right"/>
              <w:ind w:right="461"/>
              <w:spacing w:after="0"/>
              <w:rPr>
                <w:sz w:val="20"/>
                <w:szCs w:val="20"/>
                <w:color w:val="auto"/>
              </w:rPr>
            </w:pPr>
            <w:r>
              <w:rPr>
                <w:rFonts w:ascii="Arial" w:cs="Arial" w:eastAsia="Arial" w:hAnsi="Arial"/>
                <w:sz w:val="16"/>
                <w:szCs w:val="16"/>
                <w:color w:val="auto"/>
              </w:rPr>
              <w:t>$0.11</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 xml:space="preserve">$(0.11) </w:t>
            </w:r>
          </w:p>
        </w:tc>
      </w:tr>
      <w:tr>
        <w:trPr>
          <w:trHeight w:val="212"/>
        </w:trPr>
        <w:tc>
          <w:tcPr>
            <w:tcW w:w="6060" w:type="dxa"/>
            <w:vAlign w:val="bottom"/>
          </w:tcPr>
          <w:p>
            <w:pPr>
              <w:ind w:left="160"/>
              <w:spacing w:after="0"/>
              <w:rPr>
                <w:sz w:val="20"/>
                <w:szCs w:val="20"/>
                <w:color w:val="auto"/>
              </w:rPr>
            </w:pPr>
            <w:r>
              <w:rPr>
                <w:rFonts w:ascii="Arial" w:cs="Arial" w:eastAsia="Arial" w:hAnsi="Arial"/>
                <w:sz w:val="16"/>
                <w:szCs w:val="16"/>
                <w:color w:val="auto"/>
              </w:rPr>
              <w:t>  Basic earnings per share</w:t>
            </w:r>
          </w:p>
        </w:tc>
        <w:tc>
          <w:tcPr>
            <w:tcW w:w="2040" w:type="dxa"/>
            <w:vAlign w:val="bottom"/>
          </w:tcPr>
          <w:p>
            <w:pPr>
              <w:jc w:val="right"/>
              <w:ind w:right="401"/>
              <w:spacing w:after="0"/>
              <w:rPr>
                <w:sz w:val="20"/>
                <w:szCs w:val="20"/>
                <w:color w:val="auto"/>
              </w:rPr>
            </w:pPr>
            <w:r>
              <w:rPr>
                <w:rFonts w:ascii="Arial" w:cs="Arial" w:eastAsia="Arial" w:hAnsi="Arial"/>
                <w:sz w:val="16"/>
                <w:szCs w:val="16"/>
                <w:b w:val="1"/>
                <w:bCs w:val="1"/>
                <w:color w:val="auto"/>
              </w:rPr>
              <w:t>$4.89</w:t>
            </w:r>
          </w:p>
        </w:tc>
        <w:tc>
          <w:tcPr>
            <w:tcW w:w="1520" w:type="dxa"/>
            <w:vAlign w:val="bottom"/>
          </w:tcPr>
          <w:p>
            <w:pPr>
              <w:jc w:val="right"/>
              <w:ind w:right="461"/>
              <w:spacing w:after="0"/>
              <w:rPr>
                <w:sz w:val="20"/>
                <w:szCs w:val="20"/>
                <w:color w:val="auto"/>
              </w:rPr>
            </w:pPr>
            <w:r>
              <w:rPr>
                <w:rFonts w:ascii="Arial" w:cs="Arial" w:eastAsia="Arial" w:hAnsi="Arial"/>
                <w:sz w:val="16"/>
                <w:szCs w:val="16"/>
                <w:color w:val="auto"/>
              </w:rPr>
              <w:t>$5.81</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$2.76 </w:t>
            </w:r>
          </w:p>
        </w:tc>
      </w:tr>
      <w:tr>
        <w:trPr>
          <w:trHeight w:val="212"/>
        </w:trPr>
        <w:tc>
          <w:tcPr>
            <w:tcW w:w="6060" w:type="dxa"/>
            <w:vAlign w:val="bottom"/>
          </w:tcPr>
          <w:p>
            <w:pPr>
              <w:ind w:left="160"/>
              <w:spacing w:after="0"/>
              <w:rPr>
                <w:sz w:val="20"/>
                <w:szCs w:val="20"/>
                <w:color w:val="auto"/>
              </w:rPr>
            </w:pPr>
            <w:r>
              <w:rPr>
                <w:rFonts w:ascii="Arial" w:cs="Arial" w:eastAsia="Arial" w:hAnsi="Arial"/>
                <w:sz w:val="16"/>
                <w:szCs w:val="16"/>
                <w:color w:val="auto"/>
              </w:rPr>
              <w:t>  Diluted earnings per share from continuing operations</w:t>
            </w:r>
          </w:p>
        </w:tc>
        <w:tc>
          <w:tcPr>
            <w:tcW w:w="2040" w:type="dxa"/>
            <w:vAlign w:val="bottom"/>
          </w:tcPr>
          <w:p>
            <w:pPr>
              <w:jc w:val="right"/>
              <w:ind w:right="401"/>
              <w:spacing w:after="0"/>
              <w:rPr>
                <w:sz w:val="20"/>
                <w:szCs w:val="20"/>
                <w:color w:val="auto"/>
              </w:rPr>
            </w:pPr>
            <w:r>
              <w:rPr>
                <w:rFonts w:ascii="Arial" w:cs="Arial" w:eastAsia="Arial" w:hAnsi="Arial"/>
                <w:sz w:val="16"/>
                <w:szCs w:val="16"/>
                <w:b w:val="1"/>
                <w:bCs w:val="1"/>
                <w:color w:val="auto"/>
              </w:rPr>
              <w:t>$4.85</w:t>
            </w:r>
          </w:p>
        </w:tc>
        <w:tc>
          <w:tcPr>
            <w:tcW w:w="1520" w:type="dxa"/>
            <w:vAlign w:val="bottom"/>
          </w:tcPr>
          <w:p>
            <w:pPr>
              <w:jc w:val="right"/>
              <w:ind w:right="461"/>
              <w:spacing w:after="0"/>
              <w:rPr>
                <w:sz w:val="20"/>
                <w:szCs w:val="20"/>
                <w:color w:val="auto"/>
              </w:rPr>
            </w:pPr>
            <w:r>
              <w:rPr>
                <w:rFonts w:ascii="Arial" w:cs="Arial" w:eastAsia="Arial" w:hAnsi="Arial"/>
                <w:sz w:val="16"/>
                <w:szCs w:val="16"/>
                <w:color w:val="auto"/>
              </w:rPr>
              <w:t>$5.69</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$2.86 </w:t>
            </w:r>
          </w:p>
        </w:tc>
      </w:tr>
      <w:tr>
        <w:trPr>
          <w:trHeight w:val="212"/>
        </w:trPr>
        <w:tc>
          <w:tcPr>
            <w:tcW w:w="6060" w:type="dxa"/>
            <w:vAlign w:val="bottom"/>
          </w:tcPr>
          <w:p>
            <w:pPr>
              <w:ind w:left="160"/>
              <w:spacing w:after="0"/>
              <w:rPr>
                <w:sz w:val="20"/>
                <w:szCs w:val="20"/>
                <w:color w:val="auto"/>
              </w:rPr>
            </w:pPr>
            <w:r>
              <w:rPr>
                <w:rFonts w:ascii="Arial" w:cs="Arial" w:eastAsia="Arial" w:hAnsi="Arial"/>
                <w:sz w:val="16"/>
                <w:szCs w:val="16"/>
                <w:color w:val="auto"/>
              </w:rPr>
              <w:t>  Diluted earnings (loss) per share from discontinued operations</w:t>
            </w:r>
          </w:p>
        </w:tc>
        <w:tc>
          <w:tcPr>
            <w:tcW w:w="2040" w:type="dxa"/>
            <w:vAlign w:val="bottom"/>
          </w:tcPr>
          <w:p>
            <w:pPr>
              <w:jc w:val="right"/>
              <w:ind w:right="401"/>
              <w:spacing w:after="0"/>
              <w:rPr>
                <w:sz w:val="20"/>
                <w:szCs w:val="20"/>
                <w:color w:val="auto"/>
              </w:rPr>
            </w:pPr>
            <w:r>
              <w:rPr>
                <w:rFonts w:ascii="Arial" w:cs="Arial" w:eastAsia="Arial" w:hAnsi="Arial"/>
                <w:sz w:val="16"/>
                <w:szCs w:val="16"/>
                <w:b w:val="1"/>
                <w:bCs w:val="1"/>
                <w:color w:val="auto"/>
              </w:rPr>
              <w:t>$0.04</w:t>
            </w:r>
          </w:p>
        </w:tc>
        <w:tc>
          <w:tcPr>
            <w:tcW w:w="1520" w:type="dxa"/>
            <w:vAlign w:val="bottom"/>
          </w:tcPr>
          <w:p>
            <w:pPr>
              <w:jc w:val="right"/>
              <w:ind w:right="461"/>
              <w:spacing w:after="0"/>
              <w:rPr>
                <w:sz w:val="20"/>
                <w:szCs w:val="20"/>
                <w:color w:val="auto"/>
              </w:rPr>
            </w:pPr>
            <w:r>
              <w:rPr>
                <w:rFonts w:ascii="Arial" w:cs="Arial" w:eastAsia="Arial" w:hAnsi="Arial"/>
                <w:sz w:val="16"/>
                <w:szCs w:val="16"/>
                <w:color w:val="auto"/>
              </w:rPr>
              <w:t>$0.11</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 xml:space="preserve">$(0.11) </w:t>
            </w:r>
          </w:p>
        </w:tc>
      </w:tr>
      <w:tr>
        <w:trPr>
          <w:trHeight w:val="200"/>
        </w:trPr>
        <w:tc>
          <w:tcPr>
            <w:tcW w:w="6060" w:type="dxa"/>
            <w:vAlign w:val="bottom"/>
            <w:tcBorders>
              <w:bottom w:val="single" w:sz="8" w:color="B2B2B2"/>
            </w:tcBorders>
          </w:tcPr>
          <w:p>
            <w:pPr>
              <w:ind w:left="160"/>
              <w:spacing w:after="0"/>
              <w:rPr>
                <w:sz w:val="20"/>
                <w:szCs w:val="20"/>
                <w:color w:val="auto"/>
              </w:rPr>
            </w:pPr>
            <w:r>
              <w:rPr>
                <w:rFonts w:ascii="Arial" w:cs="Arial" w:eastAsia="Arial" w:hAnsi="Arial"/>
                <w:sz w:val="16"/>
                <w:szCs w:val="16"/>
                <w:color w:val="auto"/>
              </w:rPr>
              <w:t>  Diluted earnings per share</w:t>
            </w:r>
          </w:p>
        </w:tc>
        <w:tc>
          <w:tcPr>
            <w:tcW w:w="2040" w:type="dxa"/>
            <w:vAlign w:val="bottom"/>
            <w:tcBorders>
              <w:bottom w:val="single" w:sz="8" w:color="B2B2B2"/>
            </w:tcBorders>
          </w:tcPr>
          <w:p>
            <w:pPr>
              <w:jc w:val="right"/>
              <w:ind w:right="401"/>
              <w:spacing w:after="0"/>
              <w:rPr>
                <w:sz w:val="20"/>
                <w:szCs w:val="20"/>
                <w:color w:val="auto"/>
              </w:rPr>
            </w:pPr>
            <w:r>
              <w:rPr>
                <w:rFonts w:ascii="Arial" w:cs="Arial" w:eastAsia="Arial" w:hAnsi="Arial"/>
                <w:sz w:val="16"/>
                <w:szCs w:val="16"/>
                <w:b w:val="1"/>
                <w:bCs w:val="1"/>
                <w:color w:val="auto"/>
              </w:rPr>
              <w:t>$4.89</w:t>
            </w:r>
          </w:p>
        </w:tc>
        <w:tc>
          <w:tcPr>
            <w:tcW w:w="1520" w:type="dxa"/>
            <w:vAlign w:val="bottom"/>
            <w:tcBorders>
              <w:bottom w:val="single" w:sz="8" w:color="B2B2B2"/>
            </w:tcBorders>
          </w:tcPr>
          <w:p>
            <w:pPr>
              <w:jc w:val="right"/>
              <w:ind w:right="461"/>
              <w:spacing w:after="0"/>
              <w:rPr>
                <w:sz w:val="20"/>
                <w:szCs w:val="20"/>
                <w:color w:val="auto"/>
              </w:rPr>
            </w:pPr>
            <w:r>
              <w:rPr>
                <w:rFonts w:ascii="Arial" w:cs="Arial" w:eastAsia="Arial" w:hAnsi="Arial"/>
                <w:sz w:val="16"/>
                <w:szCs w:val="16"/>
                <w:color w:val="auto"/>
              </w:rPr>
              <w:t>$5.80</w:t>
            </w:r>
          </w:p>
        </w:tc>
        <w:tc>
          <w:tcPr>
            <w:tcW w:w="118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$2.75 </w:t>
            </w:r>
          </w:p>
        </w:tc>
      </w:tr>
      <w:tr>
        <w:trPr>
          <w:trHeight w:val="204"/>
        </w:trPr>
        <w:tc>
          <w:tcPr>
            <w:tcW w:w="6060" w:type="dxa"/>
            <w:vAlign w:val="bottom"/>
          </w:tcPr>
          <w:p>
            <w:pPr>
              <w:spacing w:after="0"/>
              <w:rPr>
                <w:sz w:val="20"/>
                <w:szCs w:val="20"/>
                <w:color w:val="auto"/>
              </w:rPr>
            </w:pPr>
            <w:r>
              <w:rPr>
                <w:rFonts w:ascii="Arial" w:cs="Arial" w:eastAsia="Arial" w:hAnsi="Arial"/>
                <w:sz w:val="16"/>
                <w:szCs w:val="16"/>
                <w:b w:val="1"/>
                <w:bCs w:val="1"/>
                <w:color w:val="auto"/>
              </w:rPr>
              <w:t>  IFRS Consolidated Statement of Financial Position Data:</w:t>
            </w:r>
          </w:p>
        </w:tc>
        <w:tc>
          <w:tcPr>
            <w:tcW w:w="2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2"/>
        </w:trPr>
        <w:tc>
          <w:tcPr>
            <w:tcW w:w="6060" w:type="dxa"/>
            <w:vAlign w:val="bottom"/>
          </w:tcPr>
          <w:p>
            <w:pPr>
              <w:ind w:left="160"/>
              <w:spacing w:after="0"/>
              <w:rPr>
                <w:sz w:val="20"/>
                <w:szCs w:val="20"/>
                <w:color w:val="auto"/>
              </w:rPr>
            </w:pPr>
            <w:r>
              <w:rPr>
                <w:rFonts w:ascii="Arial" w:cs="Arial" w:eastAsia="Arial" w:hAnsi="Arial"/>
                <w:sz w:val="16"/>
                <w:szCs w:val="16"/>
                <w:color w:val="auto"/>
              </w:rPr>
              <w:t>  Total assets</w:t>
            </w:r>
          </w:p>
        </w:tc>
        <w:tc>
          <w:tcPr>
            <w:tcW w:w="2040" w:type="dxa"/>
            <w:vAlign w:val="bottom"/>
          </w:tcPr>
          <w:p>
            <w:pPr>
              <w:jc w:val="right"/>
              <w:ind w:right="401"/>
              <w:spacing w:after="0"/>
              <w:rPr>
                <w:sz w:val="20"/>
                <w:szCs w:val="20"/>
                <w:color w:val="auto"/>
              </w:rPr>
            </w:pPr>
            <w:r>
              <w:rPr>
                <w:rFonts w:ascii="Arial" w:cs="Arial" w:eastAsia="Arial" w:hAnsi="Arial"/>
                <w:sz w:val="16"/>
                <w:szCs w:val="16"/>
                <w:b w:val="1"/>
                <w:bCs w:val="1"/>
                <w:color w:val="auto"/>
              </w:rPr>
              <w:t>18,437</w:t>
            </w:r>
          </w:p>
        </w:tc>
        <w:tc>
          <w:tcPr>
            <w:tcW w:w="1520" w:type="dxa"/>
            <w:vAlign w:val="bottom"/>
          </w:tcPr>
          <w:p>
            <w:pPr>
              <w:jc w:val="right"/>
              <w:ind w:right="461"/>
              <w:spacing w:after="0"/>
              <w:rPr>
                <w:sz w:val="20"/>
                <w:szCs w:val="20"/>
                <w:color w:val="auto"/>
              </w:rPr>
            </w:pPr>
            <w:r>
              <w:rPr>
                <w:rFonts w:ascii="Arial" w:cs="Arial" w:eastAsia="Arial" w:hAnsi="Arial"/>
                <w:sz w:val="16"/>
                <w:szCs w:val="16"/>
                <w:color w:val="auto"/>
              </w:rPr>
              <w:t>18,684</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21,711 </w:t>
            </w:r>
          </w:p>
        </w:tc>
      </w:tr>
      <w:tr>
        <w:trPr>
          <w:trHeight w:val="200"/>
        </w:trPr>
        <w:tc>
          <w:tcPr>
            <w:tcW w:w="6060" w:type="dxa"/>
            <w:vAlign w:val="bottom"/>
            <w:tcBorders>
              <w:bottom w:val="single" w:sz="8" w:color="B2B2B2"/>
            </w:tcBorders>
          </w:tcPr>
          <w:p>
            <w:pPr>
              <w:ind w:left="160"/>
              <w:spacing w:after="0" w:line="200" w:lineRule="exact"/>
              <w:rPr>
                <w:sz w:val="20"/>
                <w:szCs w:val="20"/>
                <w:color w:val="auto"/>
              </w:rPr>
            </w:pPr>
            <w:r>
              <w:rPr>
                <w:rFonts w:ascii="Arial" w:cs="Arial" w:eastAsia="Arial" w:hAnsi="Arial"/>
                <w:sz w:val="16"/>
                <w:szCs w:val="16"/>
                <w:color w:val="auto"/>
              </w:rPr>
              <w:t>  Total long-term financial liabilities</w:t>
            </w:r>
            <w:r>
              <w:rPr>
                <w:rFonts w:ascii="Arial" w:cs="Arial" w:eastAsia="Arial" w:hAnsi="Arial"/>
                <w:sz w:val="19"/>
                <w:szCs w:val="19"/>
                <w:color w:val="auto"/>
                <w:vertAlign w:val="superscript"/>
              </w:rPr>
              <w:t>(1)</w:t>
            </w:r>
          </w:p>
        </w:tc>
        <w:tc>
          <w:tcPr>
            <w:tcW w:w="2040" w:type="dxa"/>
            <w:vAlign w:val="bottom"/>
            <w:tcBorders>
              <w:bottom w:val="single" w:sz="8" w:color="B2B2B2"/>
            </w:tcBorders>
          </w:tcPr>
          <w:p>
            <w:pPr>
              <w:jc w:val="right"/>
              <w:ind w:right="401"/>
              <w:spacing w:after="0"/>
              <w:rPr>
                <w:sz w:val="20"/>
                <w:szCs w:val="20"/>
                <w:color w:val="auto"/>
              </w:rPr>
            </w:pPr>
            <w:r>
              <w:rPr>
                <w:rFonts w:ascii="Arial" w:cs="Arial" w:eastAsia="Arial" w:hAnsi="Arial"/>
                <w:sz w:val="16"/>
                <w:szCs w:val="16"/>
                <w:b w:val="1"/>
                <w:bCs w:val="1"/>
                <w:color w:val="auto"/>
              </w:rPr>
              <w:t>2,079</w:t>
            </w:r>
          </w:p>
        </w:tc>
        <w:tc>
          <w:tcPr>
            <w:tcW w:w="1520" w:type="dxa"/>
            <w:vAlign w:val="bottom"/>
            <w:tcBorders>
              <w:bottom w:val="single" w:sz="8" w:color="B2B2B2"/>
            </w:tcBorders>
          </w:tcPr>
          <w:p>
            <w:pPr>
              <w:jc w:val="right"/>
              <w:ind w:right="461"/>
              <w:spacing w:after="0"/>
              <w:rPr>
                <w:sz w:val="20"/>
                <w:szCs w:val="20"/>
                <w:color w:val="auto"/>
              </w:rPr>
            </w:pPr>
            <w:r>
              <w:rPr>
                <w:rFonts w:ascii="Arial" w:cs="Arial" w:eastAsia="Arial" w:hAnsi="Arial"/>
                <w:sz w:val="16"/>
                <w:szCs w:val="16"/>
                <w:color w:val="auto"/>
              </w:rPr>
              <w:t>3,142</w:t>
            </w:r>
          </w:p>
        </w:tc>
        <w:tc>
          <w:tcPr>
            <w:tcW w:w="118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3,347 </w:t>
            </w:r>
          </w:p>
        </w:tc>
      </w:tr>
      <w:tr>
        <w:trPr>
          <w:trHeight w:val="204"/>
        </w:trPr>
        <w:tc>
          <w:tcPr>
            <w:tcW w:w="6060" w:type="dxa"/>
            <w:vAlign w:val="bottom"/>
          </w:tcPr>
          <w:p>
            <w:pPr>
              <w:spacing w:after="0"/>
              <w:rPr>
                <w:sz w:val="20"/>
                <w:szCs w:val="20"/>
                <w:color w:val="auto"/>
              </w:rPr>
            </w:pPr>
            <w:r>
              <w:rPr>
                <w:rFonts w:ascii="Arial" w:cs="Arial" w:eastAsia="Arial" w:hAnsi="Arial"/>
                <w:sz w:val="16"/>
                <w:szCs w:val="16"/>
                <w:b w:val="1"/>
                <w:bCs w:val="1"/>
                <w:color w:val="auto"/>
              </w:rPr>
              <w:t>  Dividend Data:</w:t>
            </w:r>
          </w:p>
        </w:tc>
        <w:tc>
          <w:tcPr>
            <w:tcW w:w="2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2"/>
        </w:trPr>
        <w:tc>
          <w:tcPr>
            <w:tcW w:w="6060" w:type="dxa"/>
            <w:vAlign w:val="bottom"/>
          </w:tcPr>
          <w:p>
            <w:pPr>
              <w:ind w:left="160"/>
              <w:spacing w:after="0"/>
              <w:rPr>
                <w:sz w:val="20"/>
                <w:szCs w:val="20"/>
                <w:color w:val="auto"/>
              </w:rPr>
            </w:pPr>
            <w:r>
              <w:rPr>
                <w:rFonts w:ascii="Arial" w:cs="Arial" w:eastAsia="Arial" w:hAnsi="Arial"/>
                <w:sz w:val="16"/>
                <w:szCs w:val="16"/>
                <w:color w:val="auto"/>
              </w:rPr>
              <w:t>  Dividends per Thomson Reuters Corporation common share (US$)</w:t>
            </w:r>
          </w:p>
        </w:tc>
        <w:tc>
          <w:tcPr>
            <w:tcW w:w="2040" w:type="dxa"/>
            <w:vAlign w:val="bottom"/>
          </w:tcPr>
          <w:p>
            <w:pPr>
              <w:jc w:val="right"/>
              <w:ind w:right="401"/>
              <w:spacing w:after="0"/>
              <w:rPr>
                <w:sz w:val="20"/>
                <w:szCs w:val="20"/>
                <w:color w:val="auto"/>
              </w:rPr>
            </w:pPr>
            <w:r>
              <w:rPr>
                <w:rFonts w:ascii="Arial" w:cs="Arial" w:eastAsia="Arial" w:hAnsi="Arial"/>
                <w:sz w:val="16"/>
                <w:szCs w:val="16"/>
                <w:b w:val="1"/>
                <w:bCs w:val="1"/>
                <w:color w:val="auto"/>
              </w:rPr>
              <w:t>$2.16</w:t>
            </w:r>
          </w:p>
        </w:tc>
        <w:tc>
          <w:tcPr>
            <w:tcW w:w="1520" w:type="dxa"/>
            <w:vAlign w:val="bottom"/>
          </w:tcPr>
          <w:p>
            <w:pPr>
              <w:jc w:val="right"/>
              <w:ind w:right="461"/>
              <w:spacing w:after="0"/>
              <w:rPr>
                <w:sz w:val="20"/>
                <w:szCs w:val="20"/>
                <w:color w:val="auto"/>
              </w:rPr>
            </w:pPr>
            <w:r>
              <w:rPr>
                <w:rFonts w:ascii="Arial" w:cs="Arial" w:eastAsia="Arial" w:hAnsi="Arial"/>
                <w:sz w:val="16"/>
                <w:szCs w:val="16"/>
                <w:color w:val="auto"/>
              </w:rPr>
              <w:t>$1.96</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$1.78 </w:t>
            </w:r>
          </w:p>
        </w:tc>
      </w:tr>
      <w:tr>
        <w:trPr>
          <w:trHeight w:val="206"/>
        </w:trPr>
        <w:tc>
          <w:tcPr>
            <w:tcW w:w="6060" w:type="dxa"/>
            <w:vAlign w:val="bottom"/>
            <w:tcBorders>
              <w:bottom w:val="single" w:sz="8" w:color="D64000"/>
            </w:tcBorders>
          </w:tcPr>
          <w:p>
            <w:pPr>
              <w:ind w:left="160"/>
              <w:spacing w:after="0"/>
              <w:rPr>
                <w:sz w:val="20"/>
                <w:szCs w:val="20"/>
                <w:color w:val="auto"/>
              </w:rPr>
            </w:pPr>
            <w:r>
              <w:rPr>
                <w:rFonts w:ascii="Arial" w:cs="Arial" w:eastAsia="Arial" w:hAnsi="Arial"/>
                <w:sz w:val="16"/>
                <w:szCs w:val="16"/>
                <w:color w:val="auto"/>
              </w:rPr>
              <w:t>  Dividends per Thomson Reuters Corporation Series II preference share (C$)</w:t>
            </w:r>
          </w:p>
        </w:tc>
        <w:tc>
          <w:tcPr>
            <w:tcW w:w="2040" w:type="dxa"/>
            <w:vAlign w:val="bottom"/>
            <w:tcBorders>
              <w:bottom w:val="single" w:sz="8" w:color="D64000"/>
            </w:tcBorders>
          </w:tcPr>
          <w:p>
            <w:pPr>
              <w:jc w:val="right"/>
              <w:ind w:right="401"/>
              <w:spacing w:after="0"/>
              <w:rPr>
                <w:sz w:val="20"/>
                <w:szCs w:val="20"/>
                <w:color w:val="auto"/>
              </w:rPr>
            </w:pPr>
            <w:r>
              <w:rPr>
                <w:rFonts w:ascii="Arial" w:cs="Arial" w:eastAsia="Arial" w:hAnsi="Arial"/>
                <w:sz w:val="16"/>
                <w:szCs w:val="16"/>
                <w:b w:val="1"/>
                <w:bCs w:val="1"/>
                <w:color w:val="auto"/>
              </w:rPr>
              <w:t>C$1.19</w:t>
            </w:r>
          </w:p>
        </w:tc>
        <w:tc>
          <w:tcPr>
            <w:tcW w:w="1520" w:type="dxa"/>
            <w:vAlign w:val="bottom"/>
            <w:tcBorders>
              <w:bottom w:val="single" w:sz="8" w:color="D64000"/>
            </w:tcBorders>
          </w:tcPr>
          <w:p>
            <w:pPr>
              <w:jc w:val="right"/>
              <w:ind w:right="461"/>
              <w:spacing w:after="0"/>
              <w:rPr>
                <w:sz w:val="20"/>
                <w:szCs w:val="20"/>
                <w:color w:val="auto"/>
              </w:rPr>
            </w:pPr>
            <w:r>
              <w:rPr>
                <w:rFonts w:ascii="Arial" w:cs="Arial" w:eastAsia="Arial" w:hAnsi="Arial"/>
                <w:sz w:val="16"/>
                <w:szCs w:val="16"/>
                <w:color w:val="auto"/>
              </w:rPr>
              <w:t>C$1.21</w:t>
            </w:r>
          </w:p>
        </w:tc>
        <w:tc>
          <w:tcPr>
            <w:tcW w:w="1180" w:type="dxa"/>
            <w:vAlign w:val="bottom"/>
            <w:tcBorders>
              <w:bottom w:val="single" w:sz="8" w:color="D64000"/>
            </w:tcBorders>
          </w:tcPr>
          <w:p>
            <w:pPr>
              <w:jc w:val="right"/>
              <w:ind w:right="1"/>
              <w:spacing w:after="0"/>
              <w:rPr>
                <w:sz w:val="20"/>
                <w:szCs w:val="20"/>
                <w:color w:val="auto"/>
              </w:rPr>
            </w:pPr>
            <w:r>
              <w:rPr>
                <w:rFonts w:ascii="Arial" w:cs="Arial" w:eastAsia="Arial" w:hAnsi="Arial"/>
                <w:sz w:val="16"/>
                <w:szCs w:val="16"/>
                <w:color w:val="auto"/>
              </w:rPr>
              <w:t>C$0.71 </w:t>
            </w:r>
          </w:p>
        </w:tc>
      </w:tr>
    </w:tbl>
    <w:p>
      <w:pPr>
        <w:spacing w:after="0" w:line="8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(1) Comprised of “Long-term indebtedness” and “Other financial liabilities – non-current”.</w:t>
      </w:r>
    </w:p>
    <w:p>
      <w:pPr>
        <w:spacing w:after="0" w:line="131" w:lineRule="exact"/>
        <w:rPr>
          <w:sz w:val="20"/>
          <w:szCs w:val="20"/>
          <w:color w:val="auto"/>
        </w:rPr>
      </w:pPr>
    </w:p>
    <w:p>
      <w:pPr>
        <w:ind w:left="220" w:right="240"/>
        <w:spacing w:after="0" w:line="243" w:lineRule="auto"/>
        <w:rPr>
          <w:sz w:val="20"/>
          <w:szCs w:val="20"/>
          <w:color w:val="auto"/>
        </w:rPr>
      </w:pPr>
      <w:r>
        <w:rPr>
          <w:rFonts w:ascii="Arial" w:cs="Arial" w:eastAsia="Arial" w:hAnsi="Arial"/>
          <w:sz w:val="17"/>
          <w:szCs w:val="17"/>
          <w:b w:val="1"/>
          <w:bCs w:val="1"/>
          <w:color w:val="auto"/>
        </w:rPr>
        <w:t xml:space="preserve">Revenues </w:t>
      </w:r>
      <w:r>
        <w:rPr>
          <w:rFonts w:ascii="Arial" w:cs="Arial" w:eastAsia="Arial" w:hAnsi="Arial"/>
          <w:sz w:val="17"/>
          <w:szCs w:val="17"/>
          <w:color w:val="auto"/>
        </w:rPr>
        <w:t>increased over the three-year period due to growth in recurring and transactions revenues, including acquisitions. These revenue</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increases were partially offset by the loss of revenues from divestitures, primarily the Elite business in June of 2023. As most of our business is conducted in U.S. dollars, foreign currency had a minimal impact on our revenues over the three-year period.</w:t>
      </w:r>
    </w:p>
    <w:p>
      <w:pPr>
        <w:spacing w:after="0" w:line="95" w:lineRule="exact"/>
        <w:rPr>
          <w:sz w:val="20"/>
          <w:szCs w:val="20"/>
          <w:color w:val="auto"/>
        </w:rPr>
      </w:pPr>
    </w:p>
    <w:p>
      <w:pPr>
        <w:ind w:left="220" w:right="340"/>
        <w:spacing w:after="0" w:line="260" w:lineRule="auto"/>
        <w:rPr>
          <w:sz w:val="20"/>
          <w:szCs w:val="20"/>
          <w:color w:val="auto"/>
        </w:rPr>
      </w:pPr>
      <w:r>
        <w:rPr>
          <w:rFonts w:ascii="Arial" w:cs="Arial" w:eastAsia="Arial" w:hAnsi="Arial"/>
          <w:sz w:val="17"/>
          <w:szCs w:val="17"/>
          <w:b w:val="1"/>
          <w:bCs w:val="1"/>
          <w:color w:val="auto"/>
        </w:rPr>
        <w:t xml:space="preserve">Operating profit </w:t>
      </w:r>
      <w:r>
        <w:rPr>
          <w:rFonts w:ascii="Arial" w:cs="Arial" w:eastAsia="Arial" w:hAnsi="Arial"/>
          <w:sz w:val="17"/>
          <w:szCs w:val="17"/>
          <w:color w:val="auto"/>
        </w:rPr>
        <w:t>was higher in 2023, compared to the other two years, primarily due to the gain on sale of a majority stake in Elite. Operating</w:t>
      </w:r>
      <w:r>
        <w:rPr>
          <w:rFonts w:ascii="Arial" w:cs="Arial" w:eastAsia="Arial" w:hAnsi="Arial"/>
          <w:sz w:val="17"/>
          <w:szCs w:val="17"/>
          <w:b w:val="1"/>
          <w:bCs w:val="1"/>
          <w:color w:val="auto"/>
        </w:rPr>
        <w:t xml:space="preserve"> </w:t>
      </w:r>
      <w:r>
        <w:rPr>
          <w:rFonts w:ascii="Arial" w:cs="Arial" w:eastAsia="Arial" w:hAnsi="Arial"/>
          <w:sz w:val="17"/>
          <w:szCs w:val="17"/>
          <w:color w:val="auto"/>
        </w:rPr>
        <w:t>profit in 2022 included costs associated with our two-year Change Program that we completed in December of 2022.</w:t>
      </w:r>
    </w:p>
    <w:p>
      <w:pPr>
        <w:spacing w:after="0" w:line="93" w:lineRule="exact"/>
        <w:rPr>
          <w:sz w:val="20"/>
          <w:szCs w:val="20"/>
          <w:color w:val="auto"/>
        </w:rPr>
      </w:pPr>
    </w:p>
    <w:p>
      <w:pPr>
        <w:ind w:left="220" w:right="380"/>
        <w:spacing w:after="0" w:line="260" w:lineRule="auto"/>
        <w:rPr>
          <w:sz w:val="20"/>
          <w:szCs w:val="20"/>
          <w:color w:val="auto"/>
        </w:rPr>
      </w:pPr>
      <w:r>
        <w:rPr>
          <w:rFonts w:ascii="Arial" w:cs="Arial" w:eastAsia="Arial" w:hAnsi="Arial"/>
          <w:sz w:val="17"/>
          <w:szCs w:val="17"/>
          <w:b w:val="1"/>
          <w:bCs w:val="1"/>
          <w:color w:val="auto"/>
        </w:rPr>
        <w:t xml:space="preserve">Earnings from continuing operations </w:t>
      </w:r>
      <w:r>
        <w:rPr>
          <w:rFonts w:ascii="Arial" w:cs="Arial" w:eastAsia="Arial" w:hAnsi="Arial"/>
          <w:sz w:val="17"/>
          <w:szCs w:val="17"/>
          <w:color w:val="auto"/>
        </w:rPr>
        <w:t>was higher in 2023, compared to the other two years, due to a significant increase in the value of our</w:t>
      </w:r>
      <w:r>
        <w:rPr>
          <w:rFonts w:ascii="Arial" w:cs="Arial" w:eastAsia="Arial" w:hAnsi="Arial"/>
          <w:sz w:val="17"/>
          <w:szCs w:val="17"/>
          <w:b w:val="1"/>
          <w:bCs w:val="1"/>
          <w:color w:val="auto"/>
        </w:rPr>
        <w:t xml:space="preserve"> </w:t>
      </w:r>
      <w:r>
        <w:rPr>
          <w:rFonts w:ascii="Arial" w:cs="Arial" w:eastAsia="Arial" w:hAnsi="Arial"/>
          <w:sz w:val="17"/>
          <w:szCs w:val="17"/>
          <w:color w:val="auto"/>
        </w:rPr>
        <w:t>previously-held investment in LSEG, net of changes in the value of related foreign exchange contracts.</w:t>
      </w:r>
    </w:p>
    <w:p>
      <w:pPr>
        <w:spacing w:after="0" w:line="80" w:lineRule="exact"/>
        <w:rPr>
          <w:sz w:val="20"/>
          <w:szCs w:val="20"/>
          <w:color w:val="auto"/>
        </w:rPr>
      </w:pPr>
    </w:p>
    <w:p>
      <w:pPr>
        <w:ind w:left="220" w:right="520"/>
        <w:spacing w:after="0" w:line="291" w:lineRule="auto"/>
        <w:rPr>
          <w:sz w:val="20"/>
          <w:szCs w:val="20"/>
          <w:color w:val="auto"/>
        </w:rPr>
      </w:pPr>
      <w:r>
        <w:rPr>
          <w:rFonts w:ascii="Arial" w:cs="Arial" w:eastAsia="Arial" w:hAnsi="Arial"/>
          <w:sz w:val="16"/>
          <w:szCs w:val="16"/>
          <w:b w:val="1"/>
          <w:bCs w:val="1"/>
          <w:color w:val="auto"/>
        </w:rPr>
        <w:t xml:space="preserve">Earnings (loss) from discontinued operations, net of tax </w:t>
      </w:r>
      <w:r>
        <w:rPr>
          <w:rFonts w:ascii="Arial" w:cs="Arial" w:eastAsia="Arial" w:hAnsi="Arial"/>
          <w:sz w:val="16"/>
          <w:szCs w:val="16"/>
          <w:color w:val="auto"/>
        </w:rPr>
        <w:t>in all years were primarily comprised of gains or losses arising on a receivable</w:t>
      </w:r>
      <w:r>
        <w:rPr>
          <w:rFonts w:ascii="Arial" w:cs="Arial" w:eastAsia="Arial" w:hAnsi="Arial"/>
          <w:sz w:val="16"/>
          <w:szCs w:val="16"/>
          <w:b w:val="1"/>
          <w:bCs w:val="1"/>
          <w:color w:val="auto"/>
        </w:rPr>
        <w:t xml:space="preserve"> </w:t>
      </w:r>
      <w:r>
        <w:rPr>
          <w:rFonts w:ascii="Arial" w:cs="Arial" w:eastAsia="Arial" w:hAnsi="Arial"/>
          <w:sz w:val="16"/>
          <w:szCs w:val="16"/>
          <w:color w:val="auto"/>
        </w:rPr>
        <w:t>balance from LSEG relating to a tax indemnity. The gains or losses were primarily due to changes in foreign exchange and interest rates.</w:t>
      </w:r>
    </w:p>
    <w:p>
      <w:pPr>
        <w:spacing w:after="0" w:line="71" w:lineRule="exact"/>
        <w:rPr>
          <w:sz w:val="20"/>
          <w:szCs w:val="20"/>
          <w:color w:val="auto"/>
        </w:rPr>
      </w:pPr>
    </w:p>
    <w:p>
      <w:pPr>
        <w:ind w:left="220" w:right="200"/>
        <w:spacing w:after="0" w:line="260" w:lineRule="auto"/>
        <w:rPr>
          <w:sz w:val="20"/>
          <w:szCs w:val="20"/>
          <w:color w:val="auto"/>
        </w:rPr>
      </w:pPr>
      <w:r>
        <w:rPr>
          <w:rFonts w:ascii="Arial" w:cs="Arial" w:eastAsia="Arial" w:hAnsi="Arial"/>
          <w:sz w:val="17"/>
          <w:szCs w:val="17"/>
          <w:b w:val="1"/>
          <w:bCs w:val="1"/>
          <w:color w:val="auto"/>
        </w:rPr>
        <w:t xml:space="preserve">Total assets </w:t>
      </w:r>
      <w:r>
        <w:rPr>
          <w:rFonts w:ascii="Arial" w:cs="Arial" w:eastAsia="Arial" w:hAnsi="Arial"/>
          <w:sz w:val="17"/>
          <w:szCs w:val="17"/>
          <w:color w:val="auto"/>
        </w:rPr>
        <w:t>did not significantly change in 2024 compared to 2023. Total assets decreased significantly in 2023, compared to 2022, due to our</w:t>
      </w:r>
      <w:r>
        <w:rPr>
          <w:rFonts w:ascii="Arial" w:cs="Arial" w:eastAsia="Arial" w:hAnsi="Arial"/>
          <w:sz w:val="17"/>
          <w:szCs w:val="17"/>
          <w:b w:val="1"/>
          <w:bCs w:val="1"/>
          <w:color w:val="auto"/>
        </w:rPr>
        <w:t xml:space="preserve"> </w:t>
      </w:r>
      <w:r>
        <w:rPr>
          <w:rFonts w:ascii="Arial" w:cs="Arial" w:eastAsia="Arial" w:hAnsi="Arial"/>
          <w:sz w:val="17"/>
          <w:szCs w:val="17"/>
          <w:color w:val="auto"/>
        </w:rPr>
        <w:t>return of capital transaction as well as repayments of debt and commercial paper.</w:t>
      </w:r>
    </w:p>
    <w:p>
      <w:pPr>
        <w:spacing w:after="0" w:line="93" w:lineRule="exact"/>
        <w:rPr>
          <w:sz w:val="20"/>
          <w:szCs w:val="20"/>
          <w:color w:val="auto"/>
        </w:rPr>
      </w:pPr>
    </w:p>
    <w:p>
      <w:pPr>
        <w:ind w:left="220" w:right="480"/>
        <w:spacing w:after="0" w:line="291" w:lineRule="auto"/>
        <w:rPr>
          <w:sz w:val="20"/>
          <w:szCs w:val="20"/>
          <w:color w:val="auto"/>
        </w:rPr>
      </w:pPr>
      <w:r>
        <w:rPr>
          <w:rFonts w:ascii="Arial" w:cs="Arial" w:eastAsia="Arial" w:hAnsi="Arial"/>
          <w:sz w:val="16"/>
          <w:szCs w:val="16"/>
          <w:b w:val="1"/>
          <w:bCs w:val="1"/>
          <w:color w:val="auto"/>
        </w:rPr>
        <w:t xml:space="preserve">Total long-term financial liabilities </w:t>
      </w:r>
      <w:r>
        <w:rPr>
          <w:rFonts w:ascii="Arial" w:cs="Arial" w:eastAsia="Arial" w:hAnsi="Arial"/>
          <w:sz w:val="16"/>
          <w:szCs w:val="16"/>
          <w:color w:val="auto"/>
        </w:rPr>
        <w:t>decreased over the three-year period due a reclassification of our C$1.4 billion (U.S. dollar $1.0 billion)</w:t>
      </w:r>
      <w:r>
        <w:rPr>
          <w:rFonts w:ascii="Arial" w:cs="Arial" w:eastAsia="Arial" w:hAnsi="Arial"/>
          <w:sz w:val="16"/>
          <w:szCs w:val="16"/>
          <w:b w:val="1"/>
          <w:bCs w:val="1"/>
          <w:color w:val="auto"/>
        </w:rPr>
        <w:t xml:space="preserve"> </w:t>
      </w:r>
      <w:r>
        <w:rPr>
          <w:rFonts w:ascii="Arial" w:cs="Arial" w:eastAsia="Arial" w:hAnsi="Arial"/>
          <w:sz w:val="16"/>
          <w:szCs w:val="16"/>
          <w:color w:val="auto"/>
        </w:rPr>
        <w:t>2.239% notes, which are due to mature in May 2025, from long-term to current, as well as debt repayments in both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67310</wp:posOffset>
            </wp:positionV>
            <wp:extent cx="68656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17"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75</w:t>
      </w:r>
    </w:p>
    <w:p>
      <w:pPr>
        <w:sectPr>
          <w:pgSz w:w="11900" w:h="16838" w:orient="portrait"/>
          <w:cols w:equalWidth="0" w:num="1">
            <w:col w:w="11040"/>
          </w:cols>
          <w:pgMar w:left="320" w:top="477" w:right="5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Appendix F</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Quarterly Information (unaudited)</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presents a summary of our consolidated operating results for the eight most recent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83185</wp:posOffset>
            </wp:positionV>
            <wp:extent cx="6865620" cy="30454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65620" cy="3045460"/>
                    </a:xfrm>
                    <a:prstGeom prst="rect">
                      <a:avLst/>
                    </a:prstGeom>
                    <a:noFill/>
                  </pic:spPr>
                </pic:pic>
              </a:graphicData>
            </a:graphic>
          </wp:anchor>
        </w:drawing>
      </w:r>
    </w:p>
    <w:p>
      <w:pPr>
        <w:spacing w:after="0" w:line="111"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3800" w:type="dxa"/>
            <w:vAlign w:val="bottom"/>
          </w:tcPr>
          <w:p>
            <w:pPr>
              <w:spacing w:after="0"/>
              <w:rPr>
                <w:sz w:val="17"/>
                <w:szCs w:val="17"/>
                <w:color w:val="auto"/>
              </w:rPr>
            </w:pPr>
          </w:p>
        </w:tc>
        <w:tc>
          <w:tcPr>
            <w:tcW w:w="1100" w:type="dxa"/>
            <w:vAlign w:val="bottom"/>
            <w:shd w:val="clear" w:color="auto" w:fill="E3F3EE"/>
          </w:tcPr>
          <w:p>
            <w:pPr>
              <w:spacing w:after="0"/>
              <w:rPr>
                <w:sz w:val="17"/>
                <w:szCs w:val="17"/>
                <w:color w:val="auto"/>
              </w:rPr>
            </w:pPr>
          </w:p>
        </w:tc>
        <w:tc>
          <w:tcPr>
            <w:tcW w:w="1100" w:type="dxa"/>
            <w:vAlign w:val="bottom"/>
            <w:shd w:val="clear" w:color="auto" w:fill="E3F3EE"/>
          </w:tcPr>
          <w:p>
            <w:pPr>
              <w:spacing w:after="0"/>
              <w:rPr>
                <w:sz w:val="17"/>
                <w:szCs w:val="17"/>
                <w:color w:val="auto"/>
              </w:rPr>
            </w:pPr>
          </w:p>
        </w:tc>
        <w:tc>
          <w:tcPr>
            <w:tcW w:w="680" w:type="dxa"/>
            <w:vAlign w:val="bottom"/>
            <w:shd w:val="clear" w:color="auto" w:fill="E3F3EE"/>
          </w:tcPr>
          <w:p>
            <w:pPr>
              <w:spacing w:after="0"/>
              <w:rPr>
                <w:sz w:val="17"/>
                <w:szCs w:val="17"/>
                <w:color w:val="auto"/>
              </w:rPr>
            </w:pPr>
          </w:p>
        </w:tc>
        <w:tc>
          <w:tcPr>
            <w:tcW w:w="1700" w:type="dxa"/>
            <w:vAlign w:val="bottom"/>
            <w:gridSpan w:val="2"/>
            <w:shd w:val="clear" w:color="auto" w:fill="E3F3EE"/>
          </w:tcPr>
          <w:p>
            <w:pPr>
              <w:jc w:val="right"/>
              <w:ind w:right="341"/>
              <w:spacing w:after="0"/>
              <w:rPr>
                <w:sz w:val="20"/>
                <w:szCs w:val="20"/>
                <w:color w:val="auto"/>
              </w:rPr>
            </w:pPr>
            <w:r>
              <w:rPr>
                <w:rFonts w:ascii="Arial" w:cs="Arial" w:eastAsia="Arial" w:hAnsi="Arial"/>
                <w:sz w:val="16"/>
                <w:szCs w:val="16"/>
                <w:b w:val="1"/>
                <w:bCs w:val="1"/>
                <w:color w:val="auto"/>
              </w:rPr>
              <w:t>Quarters ended</w:t>
            </w:r>
          </w:p>
        </w:tc>
        <w:tc>
          <w:tcPr>
            <w:tcW w:w="1040" w:type="dxa"/>
            <w:vAlign w:val="bottom"/>
            <w:shd w:val="clear" w:color="auto" w:fill="E3F3EE"/>
          </w:tcPr>
          <w:p>
            <w:pPr>
              <w:spacing w:after="0"/>
              <w:rPr>
                <w:sz w:val="17"/>
                <w:szCs w:val="17"/>
                <w:color w:val="auto"/>
              </w:rPr>
            </w:pPr>
          </w:p>
        </w:tc>
        <w:tc>
          <w:tcPr>
            <w:tcW w:w="680" w:type="dxa"/>
            <w:vAlign w:val="bottom"/>
            <w:shd w:val="clear" w:color="auto" w:fill="E3F3EE"/>
          </w:tcPr>
          <w:p>
            <w:pPr>
              <w:spacing w:after="0"/>
              <w:rPr>
                <w:sz w:val="17"/>
                <w:szCs w:val="17"/>
                <w:color w:val="auto"/>
              </w:rPr>
            </w:pPr>
          </w:p>
        </w:tc>
        <w:tc>
          <w:tcPr>
            <w:tcW w:w="700" w:type="dxa"/>
            <w:vAlign w:val="bottom"/>
            <w:shd w:val="clear" w:color="auto" w:fill="E3F3EE"/>
          </w:tcPr>
          <w:p>
            <w:pPr>
              <w:spacing w:after="0"/>
              <w:rPr>
                <w:sz w:val="17"/>
                <w:szCs w:val="17"/>
                <w:color w:val="auto"/>
              </w:rPr>
            </w:pPr>
          </w:p>
        </w:tc>
      </w:tr>
      <w:tr>
        <w:trPr>
          <w:trHeight w:val="171"/>
        </w:trPr>
        <w:tc>
          <w:tcPr>
            <w:tcW w:w="3800" w:type="dxa"/>
            <w:vAlign w:val="bottom"/>
            <w:shd w:val="clear" w:color="auto" w:fill="1F473D"/>
          </w:tcPr>
          <w:p>
            <w:pPr>
              <w:spacing w:after="0"/>
              <w:rPr>
                <w:sz w:val="14"/>
                <w:szCs w:val="14"/>
                <w:color w:val="auto"/>
              </w:rPr>
            </w:pPr>
          </w:p>
        </w:tc>
        <w:tc>
          <w:tcPr>
            <w:tcW w:w="1100" w:type="dxa"/>
            <w:vAlign w:val="bottom"/>
            <w:shd w:val="clear" w:color="auto" w:fill="1F473D"/>
          </w:tcPr>
          <w:p>
            <w:pPr>
              <w:jc w:val="right"/>
              <w:ind w:right="61"/>
              <w:spacing w:after="0" w:line="171" w:lineRule="exact"/>
              <w:rPr>
                <w:sz w:val="20"/>
                <w:szCs w:val="20"/>
                <w:color w:val="auto"/>
              </w:rPr>
            </w:pPr>
            <w:r>
              <w:rPr>
                <w:rFonts w:ascii="Arial" w:cs="Arial" w:eastAsia="Arial" w:hAnsi="Arial"/>
                <w:sz w:val="16"/>
                <w:szCs w:val="16"/>
                <w:b w:val="1"/>
                <w:bCs w:val="1"/>
                <w:color w:val="FFFFFF"/>
              </w:rPr>
              <w:t>December</w:t>
            </w:r>
          </w:p>
        </w:tc>
        <w:tc>
          <w:tcPr>
            <w:tcW w:w="1100" w:type="dxa"/>
            <w:vAlign w:val="bottom"/>
            <w:shd w:val="clear" w:color="auto" w:fill="1F473D"/>
          </w:tcPr>
          <w:p>
            <w:pPr>
              <w:jc w:val="right"/>
              <w:ind w:right="81"/>
              <w:spacing w:after="0" w:line="171" w:lineRule="exact"/>
              <w:rPr>
                <w:sz w:val="20"/>
                <w:szCs w:val="20"/>
                <w:color w:val="auto"/>
              </w:rPr>
            </w:pPr>
            <w:r>
              <w:rPr>
                <w:rFonts w:ascii="Arial" w:cs="Arial" w:eastAsia="Arial" w:hAnsi="Arial"/>
                <w:sz w:val="16"/>
                <w:szCs w:val="16"/>
                <w:b w:val="1"/>
                <w:bCs w:val="1"/>
                <w:color w:val="FFFFFF"/>
              </w:rPr>
              <w:t>September</w:t>
            </w:r>
          </w:p>
        </w:tc>
        <w:tc>
          <w:tcPr>
            <w:tcW w:w="680" w:type="dxa"/>
            <w:vAlign w:val="bottom"/>
            <w:shd w:val="clear" w:color="auto" w:fill="1F473D"/>
          </w:tcPr>
          <w:p>
            <w:pPr>
              <w:jc w:val="right"/>
              <w:ind w:right="41"/>
              <w:spacing w:after="0" w:line="171" w:lineRule="exact"/>
              <w:rPr>
                <w:sz w:val="20"/>
                <w:szCs w:val="20"/>
                <w:color w:val="auto"/>
              </w:rPr>
            </w:pPr>
            <w:r>
              <w:rPr>
                <w:rFonts w:ascii="Arial" w:cs="Arial" w:eastAsia="Arial" w:hAnsi="Arial"/>
                <w:sz w:val="16"/>
                <w:szCs w:val="16"/>
                <w:b w:val="1"/>
                <w:bCs w:val="1"/>
                <w:color w:val="FFFFFF"/>
              </w:rPr>
              <w:t>June</w:t>
            </w:r>
          </w:p>
        </w:tc>
        <w:tc>
          <w:tcPr>
            <w:tcW w:w="720" w:type="dxa"/>
            <w:vAlign w:val="bottom"/>
            <w:shd w:val="clear" w:color="auto" w:fill="1F473D"/>
          </w:tcPr>
          <w:p>
            <w:pPr>
              <w:jc w:val="right"/>
              <w:ind w:right="41"/>
              <w:spacing w:after="0" w:line="171" w:lineRule="exact"/>
              <w:rPr>
                <w:sz w:val="20"/>
                <w:szCs w:val="20"/>
                <w:color w:val="auto"/>
              </w:rPr>
            </w:pPr>
            <w:r>
              <w:rPr>
                <w:rFonts w:ascii="Arial" w:cs="Arial" w:eastAsia="Arial" w:hAnsi="Arial"/>
                <w:sz w:val="16"/>
                <w:szCs w:val="16"/>
                <w:b w:val="1"/>
                <w:bCs w:val="1"/>
                <w:color w:val="FFFFFF"/>
              </w:rPr>
              <w:t>March</w:t>
            </w:r>
          </w:p>
        </w:tc>
        <w:tc>
          <w:tcPr>
            <w:tcW w:w="980" w:type="dxa"/>
            <w:vAlign w:val="bottom"/>
            <w:shd w:val="clear" w:color="auto" w:fill="1F473D"/>
          </w:tcPr>
          <w:p>
            <w:pPr>
              <w:jc w:val="right"/>
              <w:ind w:right="41"/>
              <w:spacing w:after="0" w:line="171" w:lineRule="exact"/>
              <w:rPr>
                <w:sz w:val="20"/>
                <w:szCs w:val="20"/>
                <w:color w:val="auto"/>
              </w:rPr>
            </w:pPr>
            <w:r>
              <w:rPr>
                <w:rFonts w:ascii="Arial" w:cs="Arial" w:eastAsia="Arial" w:hAnsi="Arial"/>
                <w:sz w:val="16"/>
                <w:szCs w:val="16"/>
                <w:color w:val="FFFFFF"/>
              </w:rPr>
              <w:t>December</w:t>
            </w:r>
          </w:p>
        </w:tc>
        <w:tc>
          <w:tcPr>
            <w:tcW w:w="1040" w:type="dxa"/>
            <w:vAlign w:val="bottom"/>
            <w:shd w:val="clear" w:color="auto" w:fill="1F473D"/>
          </w:tcPr>
          <w:p>
            <w:pPr>
              <w:jc w:val="right"/>
              <w:ind w:right="61"/>
              <w:spacing w:after="0" w:line="171" w:lineRule="exact"/>
              <w:rPr>
                <w:sz w:val="20"/>
                <w:szCs w:val="20"/>
                <w:color w:val="auto"/>
              </w:rPr>
            </w:pPr>
            <w:r>
              <w:rPr>
                <w:rFonts w:ascii="Arial" w:cs="Arial" w:eastAsia="Arial" w:hAnsi="Arial"/>
                <w:sz w:val="16"/>
                <w:szCs w:val="16"/>
                <w:color w:val="FFFFFF"/>
              </w:rPr>
              <w:t>September</w:t>
            </w:r>
          </w:p>
        </w:tc>
        <w:tc>
          <w:tcPr>
            <w:tcW w:w="680" w:type="dxa"/>
            <w:vAlign w:val="bottom"/>
            <w:shd w:val="clear" w:color="auto" w:fill="1F473D"/>
          </w:tcPr>
          <w:p>
            <w:pPr>
              <w:jc w:val="right"/>
              <w:ind w:right="41"/>
              <w:spacing w:after="0" w:line="171" w:lineRule="exact"/>
              <w:rPr>
                <w:sz w:val="20"/>
                <w:szCs w:val="20"/>
                <w:color w:val="auto"/>
              </w:rPr>
            </w:pPr>
            <w:r>
              <w:rPr>
                <w:rFonts w:ascii="Arial" w:cs="Arial" w:eastAsia="Arial" w:hAnsi="Arial"/>
                <w:sz w:val="16"/>
                <w:szCs w:val="16"/>
                <w:color w:val="FFFFFF"/>
              </w:rPr>
              <w:t>June</w:t>
            </w:r>
          </w:p>
        </w:tc>
        <w:tc>
          <w:tcPr>
            <w:tcW w:w="700" w:type="dxa"/>
            <w:vAlign w:val="bottom"/>
            <w:shd w:val="clear" w:color="auto" w:fill="1F473D"/>
          </w:tcPr>
          <w:p>
            <w:pPr>
              <w:jc w:val="right"/>
              <w:ind w:right="61"/>
              <w:spacing w:after="0" w:line="171" w:lineRule="exact"/>
              <w:rPr>
                <w:sz w:val="20"/>
                <w:szCs w:val="20"/>
                <w:color w:val="auto"/>
              </w:rPr>
            </w:pPr>
            <w:r>
              <w:rPr>
                <w:rFonts w:ascii="Arial" w:cs="Arial" w:eastAsia="Arial" w:hAnsi="Arial"/>
                <w:sz w:val="16"/>
                <w:szCs w:val="16"/>
                <w:color w:val="FFFFFF"/>
              </w:rPr>
              <w:t>March</w:t>
            </w:r>
          </w:p>
        </w:tc>
      </w:tr>
      <w:tr>
        <w:trPr>
          <w:trHeight w:val="186"/>
        </w:trPr>
        <w:tc>
          <w:tcPr>
            <w:tcW w:w="3800" w:type="dxa"/>
            <w:vAlign w:val="bottom"/>
            <w:shd w:val="clear" w:color="auto" w:fill="1F473D"/>
          </w:tcPr>
          <w:p>
            <w:pPr>
              <w:ind w:left="160"/>
              <w:spacing w:after="0"/>
              <w:rPr>
                <w:sz w:val="20"/>
                <w:szCs w:val="20"/>
                <w:color w:val="auto"/>
              </w:rPr>
            </w:pPr>
            <w:r>
              <w:rPr>
                <w:rFonts w:ascii="Arial" w:cs="Arial" w:eastAsia="Arial" w:hAnsi="Arial"/>
                <w:sz w:val="16"/>
                <w:szCs w:val="16"/>
                <w:color w:val="FFFFFF"/>
              </w:rPr>
              <w:t>  (millions of U.S. dollars, except per</w:t>
            </w:r>
          </w:p>
        </w:tc>
        <w:tc>
          <w:tcPr>
            <w:tcW w:w="1100" w:type="dxa"/>
            <w:vAlign w:val="bottom"/>
            <w:shd w:val="clear" w:color="auto" w:fill="1F473D"/>
          </w:tcPr>
          <w:p>
            <w:pPr>
              <w:jc w:val="right"/>
              <w:ind w:right="61"/>
              <w:spacing w:after="0"/>
              <w:rPr>
                <w:sz w:val="20"/>
                <w:szCs w:val="20"/>
                <w:color w:val="auto"/>
              </w:rPr>
            </w:pPr>
            <w:r>
              <w:rPr>
                <w:rFonts w:ascii="Arial" w:cs="Arial" w:eastAsia="Arial" w:hAnsi="Arial"/>
                <w:sz w:val="16"/>
                <w:szCs w:val="16"/>
                <w:b w:val="1"/>
                <w:bCs w:val="1"/>
                <w:color w:val="FFFFFF"/>
              </w:rPr>
              <w:t>31,</w:t>
            </w:r>
          </w:p>
        </w:tc>
        <w:tc>
          <w:tcPr>
            <w:tcW w:w="1100" w:type="dxa"/>
            <w:vAlign w:val="bottom"/>
            <w:shd w:val="clear" w:color="auto" w:fill="1F473D"/>
          </w:tcPr>
          <w:p>
            <w:pPr>
              <w:jc w:val="right"/>
              <w:ind w:right="81"/>
              <w:spacing w:after="0"/>
              <w:rPr>
                <w:sz w:val="20"/>
                <w:szCs w:val="20"/>
                <w:color w:val="auto"/>
              </w:rPr>
            </w:pPr>
            <w:r>
              <w:rPr>
                <w:rFonts w:ascii="Arial" w:cs="Arial" w:eastAsia="Arial" w:hAnsi="Arial"/>
                <w:sz w:val="16"/>
                <w:szCs w:val="16"/>
                <w:b w:val="1"/>
                <w:bCs w:val="1"/>
                <w:color w:val="FFFFFF"/>
              </w:rPr>
              <w:t>30,</w:t>
            </w:r>
          </w:p>
        </w:tc>
        <w:tc>
          <w:tcPr>
            <w:tcW w:w="680" w:type="dxa"/>
            <w:vAlign w:val="bottom"/>
            <w:shd w:val="clear" w:color="auto" w:fill="1F473D"/>
          </w:tcPr>
          <w:p>
            <w:pPr>
              <w:jc w:val="right"/>
              <w:ind w:right="41"/>
              <w:spacing w:after="0"/>
              <w:rPr>
                <w:sz w:val="20"/>
                <w:szCs w:val="20"/>
                <w:color w:val="auto"/>
              </w:rPr>
            </w:pPr>
            <w:r>
              <w:rPr>
                <w:rFonts w:ascii="Arial" w:cs="Arial" w:eastAsia="Arial" w:hAnsi="Arial"/>
                <w:sz w:val="16"/>
                <w:szCs w:val="16"/>
                <w:b w:val="1"/>
                <w:bCs w:val="1"/>
                <w:color w:val="FFFFFF"/>
              </w:rPr>
              <w:t>30,</w:t>
            </w:r>
          </w:p>
        </w:tc>
        <w:tc>
          <w:tcPr>
            <w:tcW w:w="720" w:type="dxa"/>
            <w:vAlign w:val="bottom"/>
            <w:shd w:val="clear" w:color="auto" w:fill="1F473D"/>
          </w:tcPr>
          <w:p>
            <w:pPr>
              <w:jc w:val="right"/>
              <w:ind w:right="41"/>
              <w:spacing w:after="0"/>
              <w:rPr>
                <w:sz w:val="20"/>
                <w:szCs w:val="20"/>
                <w:color w:val="auto"/>
              </w:rPr>
            </w:pPr>
            <w:r>
              <w:rPr>
                <w:rFonts w:ascii="Arial" w:cs="Arial" w:eastAsia="Arial" w:hAnsi="Arial"/>
                <w:sz w:val="16"/>
                <w:szCs w:val="16"/>
                <w:b w:val="1"/>
                <w:bCs w:val="1"/>
                <w:color w:val="FFFFFF"/>
              </w:rPr>
              <w:t>31,</w:t>
            </w:r>
          </w:p>
        </w:tc>
        <w:tc>
          <w:tcPr>
            <w:tcW w:w="980" w:type="dxa"/>
            <w:vAlign w:val="bottom"/>
            <w:shd w:val="clear" w:color="auto" w:fill="1F473D"/>
          </w:tcPr>
          <w:p>
            <w:pPr>
              <w:jc w:val="right"/>
              <w:ind w:right="41"/>
              <w:spacing w:after="0"/>
              <w:rPr>
                <w:sz w:val="20"/>
                <w:szCs w:val="20"/>
                <w:color w:val="auto"/>
              </w:rPr>
            </w:pPr>
            <w:r>
              <w:rPr>
                <w:rFonts w:ascii="Arial" w:cs="Arial" w:eastAsia="Arial" w:hAnsi="Arial"/>
                <w:sz w:val="16"/>
                <w:szCs w:val="16"/>
                <w:color w:val="FFFFFF"/>
              </w:rPr>
              <w:t>31,</w:t>
            </w:r>
          </w:p>
        </w:tc>
        <w:tc>
          <w:tcPr>
            <w:tcW w:w="1040" w:type="dxa"/>
            <w:vAlign w:val="bottom"/>
            <w:shd w:val="clear" w:color="auto" w:fill="1F473D"/>
          </w:tcPr>
          <w:p>
            <w:pPr>
              <w:jc w:val="right"/>
              <w:ind w:right="61"/>
              <w:spacing w:after="0"/>
              <w:rPr>
                <w:sz w:val="20"/>
                <w:szCs w:val="20"/>
                <w:color w:val="auto"/>
              </w:rPr>
            </w:pPr>
            <w:r>
              <w:rPr>
                <w:rFonts w:ascii="Arial" w:cs="Arial" w:eastAsia="Arial" w:hAnsi="Arial"/>
                <w:sz w:val="16"/>
                <w:szCs w:val="16"/>
                <w:color w:val="FFFFFF"/>
              </w:rPr>
              <w:t>30,</w:t>
            </w:r>
          </w:p>
        </w:tc>
        <w:tc>
          <w:tcPr>
            <w:tcW w:w="680" w:type="dxa"/>
            <w:vAlign w:val="bottom"/>
            <w:shd w:val="clear" w:color="auto" w:fill="1F473D"/>
          </w:tcPr>
          <w:p>
            <w:pPr>
              <w:jc w:val="right"/>
              <w:ind w:right="41"/>
              <w:spacing w:after="0"/>
              <w:rPr>
                <w:sz w:val="20"/>
                <w:szCs w:val="20"/>
                <w:color w:val="auto"/>
              </w:rPr>
            </w:pPr>
            <w:r>
              <w:rPr>
                <w:rFonts w:ascii="Arial" w:cs="Arial" w:eastAsia="Arial" w:hAnsi="Arial"/>
                <w:sz w:val="16"/>
                <w:szCs w:val="16"/>
                <w:color w:val="FFFFFF"/>
              </w:rPr>
              <w:t>30,</w:t>
            </w:r>
          </w:p>
        </w:tc>
        <w:tc>
          <w:tcPr>
            <w:tcW w:w="700" w:type="dxa"/>
            <w:vAlign w:val="bottom"/>
            <w:shd w:val="clear" w:color="auto" w:fill="1F473D"/>
          </w:tcPr>
          <w:p>
            <w:pPr>
              <w:jc w:val="right"/>
              <w:ind w:right="61"/>
              <w:spacing w:after="0"/>
              <w:rPr>
                <w:sz w:val="20"/>
                <w:szCs w:val="20"/>
                <w:color w:val="auto"/>
              </w:rPr>
            </w:pPr>
            <w:r>
              <w:rPr>
                <w:rFonts w:ascii="Arial" w:cs="Arial" w:eastAsia="Arial" w:hAnsi="Arial"/>
                <w:sz w:val="16"/>
                <w:szCs w:val="16"/>
                <w:color w:val="FFFFFF"/>
              </w:rPr>
              <w:t>31,</w:t>
            </w:r>
          </w:p>
        </w:tc>
      </w:tr>
      <w:tr>
        <w:trPr>
          <w:trHeight w:val="219"/>
        </w:trPr>
        <w:tc>
          <w:tcPr>
            <w:tcW w:w="3800" w:type="dxa"/>
            <w:vAlign w:val="bottom"/>
            <w:tcBorders>
              <w:bottom w:val="single" w:sz="8" w:color="D64000"/>
            </w:tcBorders>
            <w:shd w:val="clear" w:color="auto" w:fill="1F473D"/>
          </w:tcPr>
          <w:p>
            <w:pPr>
              <w:ind w:left="160"/>
              <w:spacing w:after="0"/>
              <w:rPr>
                <w:sz w:val="20"/>
                <w:szCs w:val="20"/>
                <w:color w:val="auto"/>
              </w:rPr>
            </w:pPr>
            <w:r>
              <w:rPr>
                <w:rFonts w:ascii="Arial" w:cs="Arial" w:eastAsia="Arial" w:hAnsi="Arial"/>
                <w:sz w:val="16"/>
                <w:szCs w:val="16"/>
                <w:color w:val="FFFFFF"/>
              </w:rPr>
              <w:t>    share amounts)</w:t>
            </w:r>
          </w:p>
        </w:tc>
        <w:tc>
          <w:tcPr>
            <w:tcW w:w="1100" w:type="dxa"/>
            <w:vAlign w:val="bottom"/>
            <w:tcBorders>
              <w:bottom w:val="single" w:sz="8" w:color="D64000"/>
            </w:tcBorders>
            <w:shd w:val="clear" w:color="auto" w:fill="1F473D"/>
          </w:tcPr>
          <w:p>
            <w:pPr>
              <w:jc w:val="right"/>
              <w:ind w:right="61"/>
              <w:spacing w:after="0"/>
              <w:rPr>
                <w:sz w:val="20"/>
                <w:szCs w:val="20"/>
                <w:color w:val="auto"/>
              </w:rPr>
            </w:pPr>
            <w:r>
              <w:rPr>
                <w:rFonts w:ascii="Arial" w:cs="Arial" w:eastAsia="Arial" w:hAnsi="Arial"/>
                <w:sz w:val="16"/>
                <w:szCs w:val="16"/>
                <w:b w:val="1"/>
                <w:bCs w:val="1"/>
                <w:color w:val="FFFFFF"/>
              </w:rPr>
              <w:t>2024</w:t>
            </w:r>
          </w:p>
        </w:tc>
        <w:tc>
          <w:tcPr>
            <w:tcW w:w="1100" w:type="dxa"/>
            <w:vAlign w:val="bottom"/>
            <w:tcBorders>
              <w:bottom w:val="single" w:sz="8" w:color="D64000"/>
            </w:tcBorders>
            <w:shd w:val="clear" w:color="auto" w:fill="1F473D"/>
          </w:tcPr>
          <w:p>
            <w:pPr>
              <w:jc w:val="right"/>
              <w:ind w:right="81"/>
              <w:spacing w:after="0"/>
              <w:rPr>
                <w:sz w:val="20"/>
                <w:szCs w:val="20"/>
                <w:color w:val="auto"/>
              </w:rPr>
            </w:pPr>
            <w:r>
              <w:rPr>
                <w:rFonts w:ascii="Arial" w:cs="Arial" w:eastAsia="Arial" w:hAnsi="Arial"/>
                <w:sz w:val="16"/>
                <w:szCs w:val="16"/>
                <w:b w:val="1"/>
                <w:bCs w:val="1"/>
                <w:color w:val="FFFFFF"/>
              </w:rPr>
              <w:t>2024</w:t>
            </w:r>
          </w:p>
        </w:tc>
        <w:tc>
          <w:tcPr>
            <w:tcW w:w="680" w:type="dxa"/>
            <w:vAlign w:val="bottom"/>
            <w:tcBorders>
              <w:bottom w:val="single" w:sz="8" w:color="D64000"/>
            </w:tcBorders>
            <w:shd w:val="clear" w:color="auto" w:fill="1F473D"/>
          </w:tcPr>
          <w:p>
            <w:pPr>
              <w:jc w:val="right"/>
              <w:ind w:right="41"/>
              <w:spacing w:after="0"/>
              <w:rPr>
                <w:sz w:val="20"/>
                <w:szCs w:val="20"/>
                <w:color w:val="auto"/>
              </w:rPr>
            </w:pPr>
            <w:r>
              <w:rPr>
                <w:rFonts w:ascii="Arial" w:cs="Arial" w:eastAsia="Arial" w:hAnsi="Arial"/>
                <w:sz w:val="16"/>
                <w:szCs w:val="16"/>
                <w:b w:val="1"/>
                <w:bCs w:val="1"/>
                <w:color w:val="FFFFFF"/>
              </w:rPr>
              <w:t>2024</w:t>
            </w:r>
          </w:p>
        </w:tc>
        <w:tc>
          <w:tcPr>
            <w:tcW w:w="720" w:type="dxa"/>
            <w:vAlign w:val="bottom"/>
            <w:tcBorders>
              <w:bottom w:val="single" w:sz="8" w:color="D64000"/>
            </w:tcBorders>
            <w:shd w:val="clear" w:color="auto" w:fill="1F473D"/>
          </w:tcPr>
          <w:p>
            <w:pPr>
              <w:jc w:val="right"/>
              <w:ind w:right="41"/>
              <w:spacing w:after="0"/>
              <w:rPr>
                <w:sz w:val="20"/>
                <w:szCs w:val="20"/>
                <w:color w:val="auto"/>
              </w:rPr>
            </w:pPr>
            <w:r>
              <w:rPr>
                <w:rFonts w:ascii="Arial" w:cs="Arial" w:eastAsia="Arial" w:hAnsi="Arial"/>
                <w:sz w:val="16"/>
                <w:szCs w:val="16"/>
                <w:b w:val="1"/>
                <w:bCs w:val="1"/>
                <w:color w:val="FFFFFF"/>
              </w:rPr>
              <w:t>2024</w:t>
            </w:r>
          </w:p>
        </w:tc>
        <w:tc>
          <w:tcPr>
            <w:tcW w:w="980" w:type="dxa"/>
            <w:vAlign w:val="bottom"/>
            <w:tcBorders>
              <w:bottom w:val="single" w:sz="8" w:color="D64000"/>
            </w:tcBorders>
            <w:shd w:val="clear" w:color="auto" w:fill="1F473D"/>
          </w:tcPr>
          <w:p>
            <w:pPr>
              <w:jc w:val="right"/>
              <w:ind w:right="41"/>
              <w:spacing w:after="0"/>
              <w:rPr>
                <w:sz w:val="20"/>
                <w:szCs w:val="20"/>
                <w:color w:val="auto"/>
              </w:rPr>
            </w:pPr>
            <w:r>
              <w:rPr>
                <w:rFonts w:ascii="Arial" w:cs="Arial" w:eastAsia="Arial" w:hAnsi="Arial"/>
                <w:sz w:val="16"/>
                <w:szCs w:val="16"/>
                <w:color w:val="FFFFFF"/>
              </w:rPr>
              <w:t>2023</w:t>
            </w:r>
          </w:p>
        </w:tc>
        <w:tc>
          <w:tcPr>
            <w:tcW w:w="1040" w:type="dxa"/>
            <w:vAlign w:val="bottom"/>
            <w:tcBorders>
              <w:bottom w:val="single" w:sz="8" w:color="D64000"/>
            </w:tcBorders>
            <w:shd w:val="clear" w:color="auto" w:fill="1F473D"/>
          </w:tcPr>
          <w:p>
            <w:pPr>
              <w:jc w:val="right"/>
              <w:ind w:right="61"/>
              <w:spacing w:after="0"/>
              <w:rPr>
                <w:sz w:val="20"/>
                <w:szCs w:val="20"/>
                <w:color w:val="auto"/>
              </w:rPr>
            </w:pPr>
            <w:r>
              <w:rPr>
                <w:rFonts w:ascii="Arial" w:cs="Arial" w:eastAsia="Arial" w:hAnsi="Arial"/>
                <w:sz w:val="16"/>
                <w:szCs w:val="16"/>
                <w:color w:val="FFFFFF"/>
              </w:rPr>
              <w:t>2023</w:t>
            </w:r>
          </w:p>
        </w:tc>
        <w:tc>
          <w:tcPr>
            <w:tcW w:w="680" w:type="dxa"/>
            <w:vAlign w:val="bottom"/>
            <w:tcBorders>
              <w:bottom w:val="single" w:sz="8" w:color="D64000"/>
            </w:tcBorders>
            <w:shd w:val="clear" w:color="auto" w:fill="1F473D"/>
          </w:tcPr>
          <w:p>
            <w:pPr>
              <w:jc w:val="right"/>
              <w:ind w:right="41"/>
              <w:spacing w:after="0"/>
              <w:rPr>
                <w:sz w:val="20"/>
                <w:szCs w:val="20"/>
                <w:color w:val="auto"/>
              </w:rPr>
            </w:pPr>
            <w:r>
              <w:rPr>
                <w:rFonts w:ascii="Arial" w:cs="Arial" w:eastAsia="Arial" w:hAnsi="Arial"/>
                <w:sz w:val="16"/>
                <w:szCs w:val="16"/>
                <w:color w:val="FFFFFF"/>
              </w:rPr>
              <w:t>2023</w:t>
            </w:r>
          </w:p>
        </w:tc>
        <w:tc>
          <w:tcPr>
            <w:tcW w:w="700" w:type="dxa"/>
            <w:vAlign w:val="bottom"/>
            <w:tcBorders>
              <w:bottom w:val="single" w:sz="8" w:color="D64000"/>
            </w:tcBorders>
            <w:shd w:val="clear" w:color="auto" w:fill="1F473D"/>
          </w:tcPr>
          <w:p>
            <w:pPr>
              <w:jc w:val="right"/>
              <w:ind w:right="1"/>
              <w:spacing w:after="0"/>
              <w:rPr>
                <w:sz w:val="20"/>
                <w:szCs w:val="20"/>
                <w:color w:val="auto"/>
              </w:rPr>
            </w:pPr>
            <w:r>
              <w:rPr>
                <w:rFonts w:ascii="Arial" w:cs="Arial" w:eastAsia="Arial" w:hAnsi="Arial"/>
                <w:sz w:val="16"/>
                <w:szCs w:val="16"/>
                <w:color w:val="FFFFFF"/>
              </w:rPr>
              <w:t>2023 </w:t>
            </w:r>
          </w:p>
        </w:tc>
      </w:tr>
      <w:tr>
        <w:trPr>
          <w:trHeight w:val="218"/>
        </w:trPr>
        <w:tc>
          <w:tcPr>
            <w:tcW w:w="3800" w:type="dxa"/>
            <w:vAlign w:val="bottom"/>
          </w:tcPr>
          <w:p>
            <w:pPr>
              <w:ind w:left="160"/>
              <w:spacing w:after="0"/>
              <w:rPr>
                <w:sz w:val="20"/>
                <w:szCs w:val="20"/>
                <w:color w:val="auto"/>
              </w:rPr>
            </w:pPr>
            <w:r>
              <w:rPr>
                <w:rFonts w:ascii="Arial" w:cs="Arial" w:eastAsia="Arial" w:hAnsi="Arial"/>
                <w:sz w:val="16"/>
                <w:szCs w:val="16"/>
                <w:color w:val="auto"/>
              </w:rPr>
              <w:t>  Revenues</w:t>
            </w: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1,909</w:t>
            </w:r>
          </w:p>
        </w:tc>
        <w:tc>
          <w:tcPr>
            <w:tcW w:w="1100" w:type="dxa"/>
            <w:vAlign w:val="bottom"/>
          </w:tcPr>
          <w:p>
            <w:pPr>
              <w:jc w:val="right"/>
              <w:ind w:right="81"/>
              <w:spacing w:after="0"/>
              <w:rPr>
                <w:sz w:val="20"/>
                <w:szCs w:val="20"/>
                <w:color w:val="auto"/>
              </w:rPr>
            </w:pPr>
            <w:r>
              <w:rPr>
                <w:rFonts w:ascii="Arial" w:cs="Arial" w:eastAsia="Arial" w:hAnsi="Arial"/>
                <w:sz w:val="16"/>
                <w:szCs w:val="16"/>
                <w:b w:val="1"/>
                <w:bCs w:val="1"/>
                <w:color w:val="auto"/>
              </w:rPr>
              <w:t>1,724</w:t>
            </w:r>
          </w:p>
        </w:tc>
        <w:tc>
          <w:tcPr>
            <w:tcW w:w="680" w:type="dxa"/>
            <w:vAlign w:val="bottom"/>
          </w:tcPr>
          <w:p>
            <w:pPr>
              <w:jc w:val="right"/>
              <w:ind w:right="41"/>
              <w:spacing w:after="0"/>
              <w:rPr>
                <w:sz w:val="20"/>
                <w:szCs w:val="20"/>
                <w:color w:val="auto"/>
              </w:rPr>
            </w:pPr>
            <w:r>
              <w:rPr>
                <w:rFonts w:ascii="Arial" w:cs="Arial" w:eastAsia="Arial" w:hAnsi="Arial"/>
                <w:sz w:val="16"/>
                <w:szCs w:val="16"/>
                <w:b w:val="1"/>
                <w:bCs w:val="1"/>
                <w:color w:val="auto"/>
              </w:rPr>
              <w:t>1,740</w:t>
            </w:r>
          </w:p>
        </w:tc>
        <w:tc>
          <w:tcPr>
            <w:tcW w:w="720" w:type="dxa"/>
            <w:vAlign w:val="bottom"/>
          </w:tcPr>
          <w:p>
            <w:pPr>
              <w:jc w:val="right"/>
              <w:ind w:right="41"/>
              <w:spacing w:after="0"/>
              <w:rPr>
                <w:sz w:val="20"/>
                <w:szCs w:val="20"/>
                <w:color w:val="auto"/>
              </w:rPr>
            </w:pPr>
            <w:r>
              <w:rPr>
                <w:rFonts w:ascii="Arial" w:cs="Arial" w:eastAsia="Arial" w:hAnsi="Arial"/>
                <w:sz w:val="16"/>
                <w:szCs w:val="16"/>
                <w:b w:val="1"/>
                <w:bCs w:val="1"/>
                <w:color w:val="auto"/>
              </w:rPr>
              <w:t>1,885</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1,815</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1,594</w:t>
            </w: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1,647</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1,738 </w:t>
            </w:r>
          </w:p>
        </w:tc>
      </w:tr>
      <w:tr>
        <w:trPr>
          <w:trHeight w:val="238"/>
        </w:trPr>
        <w:tc>
          <w:tcPr>
            <w:tcW w:w="3800" w:type="dxa"/>
            <w:vAlign w:val="bottom"/>
          </w:tcPr>
          <w:p>
            <w:pPr>
              <w:ind w:left="160"/>
              <w:spacing w:after="0"/>
              <w:rPr>
                <w:sz w:val="20"/>
                <w:szCs w:val="20"/>
                <w:color w:val="auto"/>
              </w:rPr>
            </w:pPr>
            <w:r>
              <w:rPr>
                <w:rFonts w:ascii="Arial" w:cs="Arial" w:eastAsia="Arial" w:hAnsi="Arial"/>
                <w:sz w:val="16"/>
                <w:szCs w:val="16"/>
                <w:color w:val="auto"/>
              </w:rPr>
              <w:t>  Operating profit</w:t>
            </w: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722</w:t>
            </w:r>
          </w:p>
        </w:tc>
        <w:tc>
          <w:tcPr>
            <w:tcW w:w="1100" w:type="dxa"/>
            <w:vAlign w:val="bottom"/>
          </w:tcPr>
          <w:p>
            <w:pPr>
              <w:jc w:val="right"/>
              <w:ind w:right="81"/>
              <w:spacing w:after="0"/>
              <w:rPr>
                <w:sz w:val="20"/>
                <w:szCs w:val="20"/>
                <w:color w:val="auto"/>
              </w:rPr>
            </w:pPr>
            <w:r>
              <w:rPr>
                <w:rFonts w:ascii="Arial" w:cs="Arial" w:eastAsia="Arial" w:hAnsi="Arial"/>
                <w:sz w:val="16"/>
                <w:szCs w:val="16"/>
                <w:b w:val="1"/>
                <w:bCs w:val="1"/>
                <w:color w:val="auto"/>
              </w:rPr>
              <w:t>415</w:t>
            </w:r>
          </w:p>
        </w:tc>
        <w:tc>
          <w:tcPr>
            <w:tcW w:w="680" w:type="dxa"/>
            <w:vAlign w:val="bottom"/>
          </w:tcPr>
          <w:p>
            <w:pPr>
              <w:jc w:val="right"/>
              <w:ind w:right="41"/>
              <w:spacing w:after="0"/>
              <w:rPr>
                <w:sz w:val="20"/>
                <w:szCs w:val="20"/>
                <w:color w:val="auto"/>
              </w:rPr>
            </w:pPr>
            <w:r>
              <w:rPr>
                <w:rFonts w:ascii="Arial" w:cs="Arial" w:eastAsia="Arial" w:hAnsi="Arial"/>
                <w:sz w:val="16"/>
                <w:szCs w:val="16"/>
                <w:b w:val="1"/>
                <w:bCs w:val="1"/>
                <w:color w:val="auto"/>
              </w:rPr>
              <w:t>415</w:t>
            </w:r>
          </w:p>
        </w:tc>
        <w:tc>
          <w:tcPr>
            <w:tcW w:w="720" w:type="dxa"/>
            <w:vAlign w:val="bottom"/>
          </w:tcPr>
          <w:p>
            <w:pPr>
              <w:jc w:val="right"/>
              <w:ind w:right="41"/>
              <w:spacing w:after="0"/>
              <w:rPr>
                <w:sz w:val="20"/>
                <w:szCs w:val="20"/>
                <w:color w:val="auto"/>
              </w:rPr>
            </w:pPr>
            <w:r>
              <w:rPr>
                <w:rFonts w:ascii="Arial" w:cs="Arial" w:eastAsia="Arial" w:hAnsi="Arial"/>
                <w:sz w:val="16"/>
                <w:szCs w:val="16"/>
                <w:b w:val="1"/>
                <w:bCs w:val="1"/>
                <w:color w:val="auto"/>
              </w:rPr>
              <w:t>557</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558</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441</w:t>
            </w: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825</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508 </w:t>
            </w:r>
          </w:p>
        </w:tc>
      </w:tr>
      <w:tr>
        <w:trPr>
          <w:trHeight w:val="238"/>
        </w:trPr>
        <w:tc>
          <w:tcPr>
            <w:tcW w:w="3800" w:type="dxa"/>
            <w:vAlign w:val="bottom"/>
          </w:tcPr>
          <w:p>
            <w:pPr>
              <w:ind w:left="160"/>
              <w:spacing w:after="0"/>
              <w:rPr>
                <w:sz w:val="20"/>
                <w:szCs w:val="20"/>
                <w:color w:val="auto"/>
              </w:rPr>
            </w:pPr>
            <w:r>
              <w:rPr>
                <w:rFonts w:ascii="Arial" w:cs="Arial" w:eastAsia="Arial" w:hAnsi="Arial"/>
                <w:sz w:val="16"/>
                <w:szCs w:val="16"/>
                <w:color w:val="auto"/>
              </w:rPr>
              <w:t>  Earnings from continuing operations</w:t>
            </w: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607</w:t>
            </w:r>
          </w:p>
        </w:tc>
        <w:tc>
          <w:tcPr>
            <w:tcW w:w="1100" w:type="dxa"/>
            <w:vAlign w:val="bottom"/>
          </w:tcPr>
          <w:p>
            <w:pPr>
              <w:jc w:val="right"/>
              <w:ind w:right="81"/>
              <w:spacing w:after="0"/>
              <w:rPr>
                <w:sz w:val="20"/>
                <w:szCs w:val="20"/>
                <w:color w:val="auto"/>
              </w:rPr>
            </w:pPr>
            <w:r>
              <w:rPr>
                <w:rFonts w:ascii="Arial" w:cs="Arial" w:eastAsia="Arial" w:hAnsi="Arial"/>
                <w:sz w:val="16"/>
                <w:szCs w:val="16"/>
                <w:b w:val="1"/>
                <w:bCs w:val="1"/>
                <w:color w:val="auto"/>
              </w:rPr>
              <w:t>277</w:t>
            </w:r>
          </w:p>
        </w:tc>
        <w:tc>
          <w:tcPr>
            <w:tcW w:w="680" w:type="dxa"/>
            <w:vAlign w:val="bottom"/>
          </w:tcPr>
          <w:p>
            <w:pPr>
              <w:jc w:val="right"/>
              <w:ind w:right="41"/>
              <w:spacing w:after="0"/>
              <w:rPr>
                <w:sz w:val="20"/>
                <w:szCs w:val="20"/>
                <w:color w:val="auto"/>
              </w:rPr>
            </w:pPr>
            <w:r>
              <w:rPr>
                <w:rFonts w:ascii="Arial" w:cs="Arial" w:eastAsia="Arial" w:hAnsi="Arial"/>
                <w:sz w:val="16"/>
                <w:szCs w:val="16"/>
                <w:b w:val="1"/>
                <w:bCs w:val="1"/>
                <w:color w:val="auto"/>
              </w:rPr>
              <w:t>844</w:t>
            </w:r>
          </w:p>
        </w:tc>
        <w:tc>
          <w:tcPr>
            <w:tcW w:w="720" w:type="dxa"/>
            <w:vAlign w:val="bottom"/>
          </w:tcPr>
          <w:p>
            <w:pPr>
              <w:jc w:val="right"/>
              <w:ind w:right="41"/>
              <w:spacing w:after="0"/>
              <w:rPr>
                <w:sz w:val="20"/>
                <w:szCs w:val="20"/>
                <w:color w:val="auto"/>
              </w:rPr>
            </w:pPr>
            <w:r>
              <w:rPr>
                <w:rFonts w:ascii="Arial" w:cs="Arial" w:eastAsia="Arial" w:hAnsi="Arial"/>
                <w:sz w:val="16"/>
                <w:szCs w:val="16"/>
                <w:b w:val="1"/>
                <w:bCs w:val="1"/>
                <w:color w:val="auto"/>
              </w:rPr>
              <w:t>464</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650</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370</w:t>
            </w: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889</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737 </w:t>
            </w:r>
          </w:p>
        </w:tc>
      </w:tr>
      <w:tr>
        <w:trPr>
          <w:trHeight w:val="206"/>
        </w:trPr>
        <w:tc>
          <w:tcPr>
            <w:tcW w:w="3800" w:type="dxa"/>
            <w:vAlign w:val="bottom"/>
          </w:tcPr>
          <w:p>
            <w:pPr>
              <w:ind w:left="160"/>
              <w:spacing w:after="0"/>
              <w:rPr>
                <w:sz w:val="20"/>
                <w:szCs w:val="20"/>
                <w:color w:val="auto"/>
              </w:rPr>
            </w:pPr>
            <w:r>
              <w:rPr>
                <w:rFonts w:ascii="Arial" w:cs="Arial" w:eastAsia="Arial" w:hAnsi="Arial"/>
                <w:sz w:val="16"/>
                <w:szCs w:val="16"/>
                <w:color w:val="auto"/>
                <w:w w:val="99"/>
              </w:rPr>
              <w:t>  (Loss) earnings from discontinued operations, net</w:t>
            </w: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8"/>
        </w:trPr>
        <w:tc>
          <w:tcPr>
            <w:tcW w:w="3800" w:type="dxa"/>
            <w:vAlign w:val="bottom"/>
          </w:tcPr>
          <w:p>
            <w:pPr>
              <w:ind w:left="400"/>
              <w:spacing w:after="0"/>
              <w:rPr>
                <w:sz w:val="20"/>
                <w:szCs w:val="20"/>
                <w:color w:val="auto"/>
              </w:rPr>
            </w:pPr>
            <w:r>
              <w:rPr>
                <w:rFonts w:ascii="Arial" w:cs="Arial" w:eastAsia="Arial" w:hAnsi="Arial"/>
                <w:sz w:val="16"/>
                <w:szCs w:val="16"/>
                <w:color w:val="auto"/>
              </w:rPr>
              <w:t>of tax</w:t>
            </w: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(20)</w:t>
            </w:r>
          </w:p>
        </w:tc>
        <w:tc>
          <w:tcPr>
            <w:tcW w:w="1100" w:type="dxa"/>
            <w:vAlign w:val="bottom"/>
          </w:tcPr>
          <w:p>
            <w:pPr>
              <w:jc w:val="right"/>
              <w:ind w:right="81"/>
              <w:spacing w:after="0"/>
              <w:rPr>
                <w:sz w:val="20"/>
                <w:szCs w:val="20"/>
                <w:color w:val="auto"/>
              </w:rPr>
            </w:pPr>
            <w:r>
              <w:rPr>
                <w:rFonts w:ascii="Arial" w:cs="Arial" w:eastAsia="Arial" w:hAnsi="Arial"/>
                <w:sz w:val="16"/>
                <w:szCs w:val="16"/>
                <w:b w:val="1"/>
                <w:bCs w:val="1"/>
                <w:color w:val="auto"/>
              </w:rPr>
              <w:t>24</w:t>
            </w:r>
          </w:p>
        </w:tc>
        <w:tc>
          <w:tcPr>
            <w:tcW w:w="680" w:type="dxa"/>
            <w:vAlign w:val="bottom"/>
          </w:tcPr>
          <w:p>
            <w:pPr>
              <w:jc w:val="right"/>
              <w:ind w:right="41"/>
              <w:spacing w:after="0"/>
              <w:rPr>
                <w:sz w:val="20"/>
                <w:szCs w:val="20"/>
                <w:color w:val="auto"/>
              </w:rPr>
            </w:pPr>
            <w:r>
              <w:rPr>
                <w:rFonts w:ascii="Arial" w:cs="Arial" w:eastAsia="Arial" w:hAnsi="Arial"/>
                <w:sz w:val="16"/>
                <w:szCs w:val="16"/>
                <w:b w:val="1"/>
                <w:bCs w:val="1"/>
                <w:color w:val="auto"/>
              </w:rPr>
              <w:t>(3)</w:t>
            </w:r>
          </w:p>
        </w:tc>
        <w:tc>
          <w:tcPr>
            <w:tcW w:w="720" w:type="dxa"/>
            <w:vAlign w:val="bottom"/>
          </w:tcPr>
          <w:p>
            <w:pPr>
              <w:jc w:val="right"/>
              <w:ind w:right="41"/>
              <w:spacing w:after="0"/>
              <w:rPr>
                <w:sz w:val="20"/>
                <w:szCs w:val="20"/>
                <w:color w:val="auto"/>
              </w:rPr>
            </w:pPr>
            <w:r>
              <w:rPr>
                <w:rFonts w:ascii="Arial" w:cs="Arial" w:eastAsia="Arial" w:hAnsi="Arial"/>
                <w:sz w:val="16"/>
                <w:szCs w:val="16"/>
                <w:b w:val="1"/>
                <w:bCs w:val="1"/>
                <w:color w:val="auto"/>
              </w:rPr>
              <w:t>14</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28</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(3)</w:t>
            </w: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19 </w:t>
            </w:r>
          </w:p>
        </w:tc>
      </w:tr>
      <w:tr>
        <w:trPr>
          <w:trHeight w:val="48"/>
        </w:trPr>
        <w:tc>
          <w:tcPr>
            <w:tcW w:w="3800" w:type="dxa"/>
            <w:vAlign w:val="bottom"/>
            <w:tcBorders>
              <w:bottom w:val="single" w:sz="8" w:color="B2B2B2"/>
            </w:tcBorders>
          </w:tcPr>
          <w:p>
            <w:pPr>
              <w:spacing w:after="0"/>
              <w:rPr>
                <w:sz w:val="4"/>
                <w:szCs w:val="4"/>
                <w:color w:val="auto"/>
              </w:rPr>
            </w:pPr>
          </w:p>
        </w:tc>
        <w:tc>
          <w:tcPr>
            <w:tcW w:w="1100" w:type="dxa"/>
            <w:vAlign w:val="bottom"/>
            <w:tcBorders>
              <w:bottom w:val="single" w:sz="8" w:color="B2B2B2"/>
            </w:tcBorders>
          </w:tcPr>
          <w:p>
            <w:pPr>
              <w:spacing w:after="0"/>
              <w:rPr>
                <w:sz w:val="4"/>
                <w:szCs w:val="4"/>
                <w:color w:val="auto"/>
              </w:rPr>
            </w:pPr>
          </w:p>
        </w:tc>
        <w:tc>
          <w:tcPr>
            <w:tcW w:w="110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980" w:type="dxa"/>
            <w:vAlign w:val="bottom"/>
            <w:tcBorders>
              <w:bottom w:val="single" w:sz="8" w:color="B2B2B2"/>
            </w:tcBorders>
          </w:tcPr>
          <w:p>
            <w:pPr>
              <w:spacing w:after="0"/>
              <w:rPr>
                <w:sz w:val="4"/>
                <w:szCs w:val="4"/>
                <w:color w:val="auto"/>
              </w:rPr>
            </w:pPr>
          </w:p>
        </w:tc>
        <w:tc>
          <w:tcPr>
            <w:tcW w:w="104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00" w:type="dxa"/>
            <w:vAlign w:val="bottom"/>
            <w:tcBorders>
              <w:bottom w:val="single" w:sz="8" w:color="B2B2B2"/>
            </w:tcBorders>
          </w:tcPr>
          <w:p>
            <w:pPr>
              <w:spacing w:after="0"/>
              <w:rPr>
                <w:sz w:val="4"/>
                <w:szCs w:val="4"/>
                <w:color w:val="auto"/>
              </w:rPr>
            </w:pPr>
          </w:p>
        </w:tc>
      </w:tr>
      <w:tr>
        <w:trPr>
          <w:trHeight w:val="211"/>
        </w:trPr>
        <w:tc>
          <w:tcPr>
            <w:tcW w:w="3800" w:type="dxa"/>
            <w:vAlign w:val="bottom"/>
          </w:tcPr>
          <w:p>
            <w:pPr>
              <w:ind w:left="160"/>
              <w:spacing w:after="0"/>
              <w:rPr>
                <w:sz w:val="20"/>
                <w:szCs w:val="20"/>
                <w:color w:val="auto"/>
              </w:rPr>
            </w:pPr>
            <w:r>
              <w:rPr>
                <w:rFonts w:ascii="Arial" w:cs="Arial" w:eastAsia="Arial" w:hAnsi="Arial"/>
                <w:sz w:val="16"/>
                <w:szCs w:val="16"/>
                <w:b w:val="1"/>
                <w:bCs w:val="1"/>
                <w:color w:val="auto"/>
              </w:rPr>
              <w:t>  Net earnings</w:t>
            </w: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587</w:t>
            </w:r>
          </w:p>
        </w:tc>
        <w:tc>
          <w:tcPr>
            <w:tcW w:w="1100" w:type="dxa"/>
            <w:vAlign w:val="bottom"/>
          </w:tcPr>
          <w:p>
            <w:pPr>
              <w:jc w:val="right"/>
              <w:ind w:right="81"/>
              <w:spacing w:after="0"/>
              <w:rPr>
                <w:sz w:val="20"/>
                <w:szCs w:val="20"/>
                <w:color w:val="auto"/>
              </w:rPr>
            </w:pPr>
            <w:r>
              <w:rPr>
                <w:rFonts w:ascii="Arial" w:cs="Arial" w:eastAsia="Arial" w:hAnsi="Arial"/>
                <w:sz w:val="16"/>
                <w:szCs w:val="16"/>
                <w:b w:val="1"/>
                <w:bCs w:val="1"/>
                <w:color w:val="auto"/>
              </w:rPr>
              <w:t>301</w:t>
            </w:r>
          </w:p>
        </w:tc>
        <w:tc>
          <w:tcPr>
            <w:tcW w:w="680" w:type="dxa"/>
            <w:vAlign w:val="bottom"/>
          </w:tcPr>
          <w:p>
            <w:pPr>
              <w:jc w:val="right"/>
              <w:ind w:right="41"/>
              <w:spacing w:after="0"/>
              <w:rPr>
                <w:sz w:val="20"/>
                <w:szCs w:val="20"/>
                <w:color w:val="auto"/>
              </w:rPr>
            </w:pPr>
            <w:r>
              <w:rPr>
                <w:rFonts w:ascii="Arial" w:cs="Arial" w:eastAsia="Arial" w:hAnsi="Arial"/>
                <w:sz w:val="16"/>
                <w:szCs w:val="16"/>
                <w:b w:val="1"/>
                <w:bCs w:val="1"/>
                <w:color w:val="auto"/>
              </w:rPr>
              <w:t>841</w:t>
            </w:r>
          </w:p>
        </w:tc>
        <w:tc>
          <w:tcPr>
            <w:tcW w:w="720" w:type="dxa"/>
            <w:vAlign w:val="bottom"/>
          </w:tcPr>
          <w:p>
            <w:pPr>
              <w:jc w:val="right"/>
              <w:ind w:right="41"/>
              <w:spacing w:after="0"/>
              <w:rPr>
                <w:sz w:val="20"/>
                <w:szCs w:val="20"/>
                <w:color w:val="auto"/>
              </w:rPr>
            </w:pPr>
            <w:r>
              <w:rPr>
                <w:rFonts w:ascii="Arial" w:cs="Arial" w:eastAsia="Arial" w:hAnsi="Arial"/>
                <w:sz w:val="16"/>
                <w:szCs w:val="16"/>
                <w:b w:val="1"/>
                <w:bCs w:val="1"/>
                <w:color w:val="auto"/>
              </w:rPr>
              <w:t>478</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678</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367</w:t>
            </w: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894</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756 </w:t>
            </w:r>
          </w:p>
        </w:tc>
      </w:tr>
      <w:tr>
        <w:trPr>
          <w:trHeight w:val="47"/>
        </w:trPr>
        <w:tc>
          <w:tcPr>
            <w:tcW w:w="3800" w:type="dxa"/>
            <w:vAlign w:val="bottom"/>
            <w:tcBorders>
              <w:bottom w:val="single" w:sz="8" w:color="B2B2B2"/>
            </w:tcBorders>
          </w:tcPr>
          <w:p>
            <w:pPr>
              <w:spacing w:after="0"/>
              <w:rPr>
                <w:sz w:val="4"/>
                <w:szCs w:val="4"/>
                <w:color w:val="auto"/>
              </w:rPr>
            </w:pPr>
          </w:p>
        </w:tc>
        <w:tc>
          <w:tcPr>
            <w:tcW w:w="1100" w:type="dxa"/>
            <w:vAlign w:val="bottom"/>
            <w:tcBorders>
              <w:bottom w:val="single" w:sz="8" w:color="B2B2B2"/>
            </w:tcBorders>
          </w:tcPr>
          <w:p>
            <w:pPr>
              <w:spacing w:after="0"/>
              <w:rPr>
                <w:sz w:val="4"/>
                <w:szCs w:val="4"/>
                <w:color w:val="auto"/>
              </w:rPr>
            </w:pPr>
          </w:p>
        </w:tc>
        <w:tc>
          <w:tcPr>
            <w:tcW w:w="110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980" w:type="dxa"/>
            <w:vAlign w:val="bottom"/>
            <w:tcBorders>
              <w:bottom w:val="single" w:sz="8" w:color="B2B2B2"/>
            </w:tcBorders>
          </w:tcPr>
          <w:p>
            <w:pPr>
              <w:spacing w:after="0"/>
              <w:rPr>
                <w:sz w:val="4"/>
                <w:szCs w:val="4"/>
                <w:color w:val="auto"/>
              </w:rPr>
            </w:pPr>
          </w:p>
        </w:tc>
        <w:tc>
          <w:tcPr>
            <w:tcW w:w="104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00" w:type="dxa"/>
            <w:vAlign w:val="bottom"/>
            <w:tcBorders>
              <w:bottom w:val="single" w:sz="8" w:color="B2B2B2"/>
            </w:tcBorders>
          </w:tcPr>
          <w:p>
            <w:pPr>
              <w:spacing w:after="0"/>
              <w:rPr>
                <w:sz w:val="4"/>
                <w:szCs w:val="4"/>
                <w:color w:val="auto"/>
              </w:rPr>
            </w:pPr>
          </w:p>
        </w:tc>
      </w:tr>
      <w:tr>
        <w:trPr>
          <w:trHeight w:val="203"/>
        </w:trPr>
        <w:tc>
          <w:tcPr>
            <w:tcW w:w="3800" w:type="dxa"/>
            <w:vAlign w:val="bottom"/>
          </w:tcPr>
          <w:p>
            <w:pPr>
              <w:ind w:left="160"/>
              <w:spacing w:after="0"/>
              <w:rPr>
                <w:sz w:val="20"/>
                <w:szCs w:val="20"/>
                <w:color w:val="auto"/>
              </w:rPr>
            </w:pPr>
            <w:r>
              <w:rPr>
                <w:rFonts w:ascii="Arial" w:cs="Arial" w:eastAsia="Arial" w:hAnsi="Arial"/>
                <w:sz w:val="16"/>
                <w:szCs w:val="16"/>
                <w:color w:val="auto"/>
              </w:rPr>
              <w:t>  Earnings (loss) attributable to</w:t>
            </w: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46"/>
        </w:trPr>
        <w:tc>
          <w:tcPr>
            <w:tcW w:w="3800" w:type="dxa"/>
            <w:vAlign w:val="bottom"/>
          </w:tcPr>
          <w:p>
            <w:pPr>
              <w:ind w:left="160"/>
              <w:spacing w:after="0"/>
              <w:rPr>
                <w:sz w:val="20"/>
                <w:szCs w:val="20"/>
                <w:color w:val="auto"/>
              </w:rPr>
            </w:pPr>
            <w:r>
              <w:rPr>
                <w:rFonts w:ascii="Arial" w:cs="Arial" w:eastAsia="Arial" w:hAnsi="Arial"/>
                <w:sz w:val="16"/>
                <w:szCs w:val="16"/>
                <w:color w:val="auto"/>
              </w:rPr>
              <w:t>  Common shareholders</w:t>
            </w: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587</w:t>
            </w:r>
          </w:p>
        </w:tc>
        <w:tc>
          <w:tcPr>
            <w:tcW w:w="1100" w:type="dxa"/>
            <w:vAlign w:val="bottom"/>
          </w:tcPr>
          <w:p>
            <w:pPr>
              <w:jc w:val="right"/>
              <w:ind w:right="81"/>
              <w:spacing w:after="0"/>
              <w:rPr>
                <w:sz w:val="20"/>
                <w:szCs w:val="20"/>
                <w:color w:val="auto"/>
              </w:rPr>
            </w:pPr>
            <w:r>
              <w:rPr>
                <w:rFonts w:ascii="Arial" w:cs="Arial" w:eastAsia="Arial" w:hAnsi="Arial"/>
                <w:sz w:val="16"/>
                <w:szCs w:val="16"/>
                <w:b w:val="1"/>
                <w:bCs w:val="1"/>
                <w:color w:val="auto"/>
              </w:rPr>
              <w:t>301</w:t>
            </w:r>
          </w:p>
        </w:tc>
        <w:tc>
          <w:tcPr>
            <w:tcW w:w="680" w:type="dxa"/>
            <w:vAlign w:val="bottom"/>
          </w:tcPr>
          <w:p>
            <w:pPr>
              <w:jc w:val="right"/>
              <w:ind w:right="41"/>
              <w:spacing w:after="0"/>
              <w:rPr>
                <w:sz w:val="20"/>
                <w:szCs w:val="20"/>
                <w:color w:val="auto"/>
              </w:rPr>
            </w:pPr>
            <w:r>
              <w:rPr>
                <w:rFonts w:ascii="Arial" w:cs="Arial" w:eastAsia="Arial" w:hAnsi="Arial"/>
                <w:sz w:val="16"/>
                <w:szCs w:val="16"/>
                <w:b w:val="1"/>
                <w:bCs w:val="1"/>
                <w:color w:val="auto"/>
              </w:rPr>
              <w:t>841</w:t>
            </w:r>
          </w:p>
        </w:tc>
        <w:tc>
          <w:tcPr>
            <w:tcW w:w="720" w:type="dxa"/>
            <w:vAlign w:val="bottom"/>
          </w:tcPr>
          <w:p>
            <w:pPr>
              <w:jc w:val="right"/>
              <w:ind w:right="41"/>
              <w:spacing w:after="0"/>
              <w:rPr>
                <w:sz w:val="20"/>
                <w:szCs w:val="20"/>
                <w:color w:val="auto"/>
              </w:rPr>
            </w:pPr>
            <w:r>
              <w:rPr>
                <w:rFonts w:ascii="Arial" w:cs="Arial" w:eastAsia="Arial" w:hAnsi="Arial"/>
                <w:sz w:val="16"/>
                <w:szCs w:val="16"/>
                <w:b w:val="1"/>
                <w:bCs w:val="1"/>
                <w:color w:val="auto"/>
              </w:rPr>
              <w:t>481</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678</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367</w:t>
            </w: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894</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756 </w:t>
            </w:r>
          </w:p>
        </w:tc>
      </w:tr>
      <w:tr>
        <w:trPr>
          <w:trHeight w:val="238"/>
        </w:trPr>
        <w:tc>
          <w:tcPr>
            <w:tcW w:w="3800" w:type="dxa"/>
            <w:vAlign w:val="bottom"/>
          </w:tcPr>
          <w:p>
            <w:pPr>
              <w:ind w:left="160"/>
              <w:spacing w:after="0"/>
              <w:rPr>
                <w:sz w:val="20"/>
                <w:szCs w:val="20"/>
                <w:color w:val="auto"/>
              </w:rPr>
            </w:pPr>
            <w:r>
              <w:rPr>
                <w:rFonts w:ascii="Arial" w:cs="Arial" w:eastAsia="Arial" w:hAnsi="Arial"/>
                <w:sz w:val="16"/>
                <w:szCs w:val="16"/>
                <w:color w:val="auto"/>
              </w:rPr>
              <w:t>  Non-controlling interests</w:t>
            </w: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41"/>
              <w:spacing w:after="0"/>
              <w:rPr>
                <w:sz w:val="20"/>
                <w:szCs w:val="20"/>
                <w:color w:val="auto"/>
              </w:rPr>
            </w:pPr>
            <w:r>
              <w:rPr>
                <w:rFonts w:ascii="Arial" w:cs="Arial" w:eastAsia="Arial" w:hAnsi="Arial"/>
                <w:sz w:val="16"/>
                <w:szCs w:val="16"/>
                <w:b w:val="1"/>
                <w:bCs w:val="1"/>
                <w:color w:val="auto"/>
              </w:rPr>
              <w:t>(3)</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 xml:space="preserve">- </w:t>
            </w:r>
          </w:p>
        </w:tc>
      </w:tr>
      <w:tr>
        <w:trPr>
          <w:trHeight w:val="48"/>
        </w:trPr>
        <w:tc>
          <w:tcPr>
            <w:tcW w:w="3800" w:type="dxa"/>
            <w:vAlign w:val="bottom"/>
            <w:tcBorders>
              <w:bottom w:val="single" w:sz="8" w:color="B2B2B2"/>
            </w:tcBorders>
          </w:tcPr>
          <w:p>
            <w:pPr>
              <w:spacing w:after="0"/>
              <w:rPr>
                <w:sz w:val="4"/>
                <w:szCs w:val="4"/>
                <w:color w:val="auto"/>
              </w:rPr>
            </w:pPr>
          </w:p>
        </w:tc>
        <w:tc>
          <w:tcPr>
            <w:tcW w:w="1100" w:type="dxa"/>
            <w:vAlign w:val="bottom"/>
            <w:tcBorders>
              <w:bottom w:val="single" w:sz="8" w:color="B2B2B2"/>
            </w:tcBorders>
          </w:tcPr>
          <w:p>
            <w:pPr>
              <w:spacing w:after="0"/>
              <w:rPr>
                <w:sz w:val="4"/>
                <w:szCs w:val="4"/>
                <w:color w:val="auto"/>
              </w:rPr>
            </w:pPr>
          </w:p>
        </w:tc>
        <w:tc>
          <w:tcPr>
            <w:tcW w:w="110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980" w:type="dxa"/>
            <w:vAlign w:val="bottom"/>
            <w:tcBorders>
              <w:bottom w:val="single" w:sz="8" w:color="B2B2B2"/>
            </w:tcBorders>
          </w:tcPr>
          <w:p>
            <w:pPr>
              <w:spacing w:after="0"/>
              <w:rPr>
                <w:sz w:val="4"/>
                <w:szCs w:val="4"/>
                <w:color w:val="auto"/>
              </w:rPr>
            </w:pPr>
          </w:p>
        </w:tc>
        <w:tc>
          <w:tcPr>
            <w:tcW w:w="104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00" w:type="dxa"/>
            <w:vAlign w:val="bottom"/>
            <w:tcBorders>
              <w:bottom w:val="single" w:sz="8" w:color="B2B2B2"/>
            </w:tcBorders>
          </w:tcPr>
          <w:p>
            <w:pPr>
              <w:spacing w:after="0"/>
              <w:rPr>
                <w:sz w:val="4"/>
                <w:szCs w:val="4"/>
                <w:color w:val="auto"/>
              </w:rPr>
            </w:pPr>
          </w:p>
        </w:tc>
      </w:tr>
      <w:tr>
        <w:trPr>
          <w:trHeight w:val="211"/>
        </w:trPr>
        <w:tc>
          <w:tcPr>
            <w:tcW w:w="3800" w:type="dxa"/>
            <w:vAlign w:val="bottom"/>
          </w:tcPr>
          <w:p>
            <w:pPr>
              <w:ind w:left="160"/>
              <w:spacing w:after="0"/>
              <w:rPr>
                <w:sz w:val="20"/>
                <w:szCs w:val="20"/>
                <w:color w:val="auto"/>
              </w:rPr>
            </w:pPr>
            <w:r>
              <w:rPr>
                <w:rFonts w:ascii="Arial" w:cs="Arial" w:eastAsia="Arial" w:hAnsi="Arial"/>
                <w:sz w:val="16"/>
                <w:szCs w:val="16"/>
                <w:b w:val="1"/>
                <w:bCs w:val="1"/>
                <w:color w:val="auto"/>
              </w:rPr>
              <w:t>  Basic earnings (loss) per share</w:t>
            </w: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8"/>
        </w:trPr>
        <w:tc>
          <w:tcPr>
            <w:tcW w:w="3800" w:type="dxa"/>
            <w:vAlign w:val="bottom"/>
          </w:tcPr>
          <w:p>
            <w:pPr>
              <w:ind w:left="160"/>
              <w:spacing w:after="0"/>
              <w:rPr>
                <w:sz w:val="20"/>
                <w:szCs w:val="20"/>
                <w:color w:val="auto"/>
              </w:rPr>
            </w:pPr>
            <w:r>
              <w:rPr>
                <w:rFonts w:ascii="Arial" w:cs="Arial" w:eastAsia="Arial" w:hAnsi="Arial"/>
                <w:sz w:val="16"/>
                <w:szCs w:val="16"/>
                <w:color w:val="auto"/>
              </w:rPr>
              <w:t>  From continuing operations</w:t>
            </w: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$1.35</w:t>
            </w:r>
          </w:p>
        </w:tc>
        <w:tc>
          <w:tcPr>
            <w:tcW w:w="1100" w:type="dxa"/>
            <w:vAlign w:val="bottom"/>
          </w:tcPr>
          <w:p>
            <w:pPr>
              <w:jc w:val="right"/>
              <w:ind w:right="81"/>
              <w:spacing w:after="0"/>
              <w:rPr>
                <w:sz w:val="20"/>
                <w:szCs w:val="20"/>
                <w:color w:val="auto"/>
              </w:rPr>
            </w:pPr>
            <w:r>
              <w:rPr>
                <w:rFonts w:ascii="Arial" w:cs="Arial" w:eastAsia="Arial" w:hAnsi="Arial"/>
                <w:sz w:val="16"/>
                <w:szCs w:val="16"/>
                <w:b w:val="1"/>
                <w:bCs w:val="1"/>
                <w:color w:val="auto"/>
              </w:rPr>
              <w:t>$0.61</w:t>
            </w:r>
          </w:p>
        </w:tc>
        <w:tc>
          <w:tcPr>
            <w:tcW w:w="680" w:type="dxa"/>
            <w:vAlign w:val="bottom"/>
          </w:tcPr>
          <w:p>
            <w:pPr>
              <w:jc w:val="right"/>
              <w:ind w:right="41"/>
              <w:spacing w:after="0"/>
              <w:rPr>
                <w:sz w:val="20"/>
                <w:szCs w:val="20"/>
                <w:color w:val="auto"/>
              </w:rPr>
            </w:pPr>
            <w:r>
              <w:rPr>
                <w:rFonts w:ascii="Arial" w:cs="Arial" w:eastAsia="Arial" w:hAnsi="Arial"/>
                <w:sz w:val="16"/>
                <w:szCs w:val="16"/>
                <w:b w:val="1"/>
                <w:bCs w:val="1"/>
                <w:color w:val="auto"/>
              </w:rPr>
              <w:t>$1.87</w:t>
            </w:r>
          </w:p>
        </w:tc>
        <w:tc>
          <w:tcPr>
            <w:tcW w:w="720" w:type="dxa"/>
            <w:vAlign w:val="bottom"/>
          </w:tcPr>
          <w:p>
            <w:pPr>
              <w:jc w:val="right"/>
              <w:ind w:right="41"/>
              <w:spacing w:after="0"/>
              <w:rPr>
                <w:sz w:val="20"/>
                <w:szCs w:val="20"/>
                <w:color w:val="auto"/>
              </w:rPr>
            </w:pPr>
            <w:r>
              <w:rPr>
                <w:rFonts w:ascii="Arial" w:cs="Arial" w:eastAsia="Arial" w:hAnsi="Arial"/>
                <w:sz w:val="16"/>
                <w:szCs w:val="16"/>
                <w:b w:val="1"/>
                <w:bCs w:val="1"/>
                <w:color w:val="auto"/>
              </w:rPr>
              <w:t>$1.03</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$1.43</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$0.81</w:t>
            </w: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$1.89</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$1.56 </w:t>
            </w:r>
          </w:p>
        </w:tc>
      </w:tr>
      <w:tr>
        <w:trPr>
          <w:trHeight w:val="238"/>
        </w:trPr>
        <w:tc>
          <w:tcPr>
            <w:tcW w:w="3800" w:type="dxa"/>
            <w:vAlign w:val="bottom"/>
          </w:tcPr>
          <w:p>
            <w:pPr>
              <w:ind w:left="160"/>
              <w:spacing w:after="0"/>
              <w:rPr>
                <w:sz w:val="20"/>
                <w:szCs w:val="20"/>
                <w:color w:val="auto"/>
              </w:rPr>
            </w:pPr>
            <w:r>
              <w:rPr>
                <w:rFonts w:ascii="Arial" w:cs="Arial" w:eastAsia="Arial" w:hAnsi="Arial"/>
                <w:sz w:val="16"/>
                <w:szCs w:val="16"/>
                <w:color w:val="auto"/>
              </w:rPr>
              <w:t>  From discontinued operations</w:t>
            </w: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(0.05)</w:t>
            </w:r>
          </w:p>
        </w:tc>
        <w:tc>
          <w:tcPr>
            <w:tcW w:w="1100" w:type="dxa"/>
            <w:vAlign w:val="bottom"/>
          </w:tcPr>
          <w:p>
            <w:pPr>
              <w:jc w:val="right"/>
              <w:ind w:right="81"/>
              <w:spacing w:after="0"/>
              <w:rPr>
                <w:sz w:val="20"/>
                <w:szCs w:val="20"/>
                <w:color w:val="auto"/>
              </w:rPr>
            </w:pPr>
            <w:r>
              <w:rPr>
                <w:rFonts w:ascii="Arial" w:cs="Arial" w:eastAsia="Arial" w:hAnsi="Arial"/>
                <w:sz w:val="16"/>
                <w:szCs w:val="16"/>
                <w:b w:val="1"/>
                <w:bCs w:val="1"/>
                <w:color w:val="auto"/>
              </w:rPr>
              <w:t>0.06</w:t>
            </w:r>
          </w:p>
        </w:tc>
        <w:tc>
          <w:tcPr>
            <w:tcW w:w="680" w:type="dxa"/>
            <w:vAlign w:val="bottom"/>
          </w:tcPr>
          <w:p>
            <w:pPr>
              <w:jc w:val="right"/>
              <w:ind w:right="41"/>
              <w:spacing w:after="0"/>
              <w:rPr>
                <w:sz w:val="20"/>
                <w:szCs w:val="20"/>
                <w:color w:val="auto"/>
              </w:rPr>
            </w:pPr>
            <w:r>
              <w:rPr>
                <w:rFonts w:ascii="Arial" w:cs="Arial" w:eastAsia="Arial" w:hAnsi="Arial"/>
                <w:sz w:val="16"/>
                <w:szCs w:val="16"/>
                <w:b w:val="1"/>
                <w:bCs w:val="1"/>
                <w:color w:val="auto"/>
              </w:rPr>
              <w:t>(0.01)</w:t>
            </w:r>
          </w:p>
        </w:tc>
        <w:tc>
          <w:tcPr>
            <w:tcW w:w="720" w:type="dxa"/>
            <w:vAlign w:val="bottom"/>
          </w:tcPr>
          <w:p>
            <w:pPr>
              <w:jc w:val="right"/>
              <w:ind w:right="41"/>
              <w:spacing w:after="0"/>
              <w:rPr>
                <w:sz w:val="20"/>
                <w:szCs w:val="20"/>
                <w:color w:val="auto"/>
              </w:rPr>
            </w:pPr>
            <w:r>
              <w:rPr>
                <w:rFonts w:ascii="Arial" w:cs="Arial" w:eastAsia="Arial" w:hAnsi="Arial"/>
                <w:sz w:val="16"/>
                <w:szCs w:val="16"/>
                <w:b w:val="1"/>
                <w:bCs w:val="1"/>
                <w:color w:val="auto"/>
              </w:rPr>
              <w:t>0.03</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0.06</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(0.01)</w:t>
            </w: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0.01</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0.04 </w:t>
            </w:r>
          </w:p>
        </w:tc>
      </w:tr>
      <w:tr>
        <w:trPr>
          <w:trHeight w:val="48"/>
        </w:trPr>
        <w:tc>
          <w:tcPr>
            <w:tcW w:w="3800" w:type="dxa"/>
            <w:vAlign w:val="bottom"/>
            <w:tcBorders>
              <w:bottom w:val="single" w:sz="8" w:color="B2B2B2"/>
            </w:tcBorders>
          </w:tcPr>
          <w:p>
            <w:pPr>
              <w:spacing w:after="0"/>
              <w:rPr>
                <w:sz w:val="4"/>
                <w:szCs w:val="4"/>
                <w:color w:val="auto"/>
              </w:rPr>
            </w:pPr>
          </w:p>
        </w:tc>
        <w:tc>
          <w:tcPr>
            <w:tcW w:w="1100" w:type="dxa"/>
            <w:vAlign w:val="bottom"/>
            <w:tcBorders>
              <w:bottom w:val="single" w:sz="8" w:color="B2B2B2"/>
            </w:tcBorders>
          </w:tcPr>
          <w:p>
            <w:pPr>
              <w:spacing w:after="0"/>
              <w:rPr>
                <w:sz w:val="4"/>
                <w:szCs w:val="4"/>
                <w:color w:val="auto"/>
              </w:rPr>
            </w:pPr>
          </w:p>
        </w:tc>
        <w:tc>
          <w:tcPr>
            <w:tcW w:w="110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980" w:type="dxa"/>
            <w:vAlign w:val="bottom"/>
            <w:tcBorders>
              <w:bottom w:val="single" w:sz="8" w:color="B2B2B2"/>
            </w:tcBorders>
          </w:tcPr>
          <w:p>
            <w:pPr>
              <w:spacing w:after="0"/>
              <w:rPr>
                <w:sz w:val="4"/>
                <w:szCs w:val="4"/>
                <w:color w:val="auto"/>
              </w:rPr>
            </w:pPr>
          </w:p>
        </w:tc>
        <w:tc>
          <w:tcPr>
            <w:tcW w:w="104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00" w:type="dxa"/>
            <w:vAlign w:val="bottom"/>
            <w:tcBorders>
              <w:bottom w:val="single" w:sz="8" w:color="B2B2B2"/>
            </w:tcBorders>
          </w:tcPr>
          <w:p>
            <w:pPr>
              <w:spacing w:after="0"/>
              <w:rPr>
                <w:sz w:val="4"/>
                <w:szCs w:val="4"/>
                <w:color w:val="auto"/>
              </w:rPr>
            </w:pPr>
          </w:p>
        </w:tc>
      </w:tr>
      <w:tr>
        <w:trPr>
          <w:trHeight w:val="211"/>
        </w:trPr>
        <w:tc>
          <w:tcPr>
            <w:tcW w:w="3800" w:type="dxa"/>
            <w:vAlign w:val="bottom"/>
          </w:tcPr>
          <w:p>
            <w:pPr>
              <w:spacing w:after="0"/>
              <w:rPr>
                <w:sz w:val="18"/>
                <w:szCs w:val="18"/>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$1.30</w:t>
            </w:r>
          </w:p>
        </w:tc>
        <w:tc>
          <w:tcPr>
            <w:tcW w:w="1100" w:type="dxa"/>
            <w:vAlign w:val="bottom"/>
          </w:tcPr>
          <w:p>
            <w:pPr>
              <w:jc w:val="right"/>
              <w:ind w:right="81"/>
              <w:spacing w:after="0"/>
              <w:rPr>
                <w:sz w:val="20"/>
                <w:szCs w:val="20"/>
                <w:color w:val="auto"/>
              </w:rPr>
            </w:pPr>
            <w:r>
              <w:rPr>
                <w:rFonts w:ascii="Arial" w:cs="Arial" w:eastAsia="Arial" w:hAnsi="Arial"/>
                <w:sz w:val="16"/>
                <w:szCs w:val="16"/>
                <w:b w:val="1"/>
                <w:bCs w:val="1"/>
                <w:color w:val="auto"/>
              </w:rPr>
              <w:t>$0.67</w:t>
            </w:r>
          </w:p>
        </w:tc>
        <w:tc>
          <w:tcPr>
            <w:tcW w:w="680" w:type="dxa"/>
            <w:vAlign w:val="bottom"/>
          </w:tcPr>
          <w:p>
            <w:pPr>
              <w:jc w:val="right"/>
              <w:ind w:right="41"/>
              <w:spacing w:after="0"/>
              <w:rPr>
                <w:sz w:val="20"/>
                <w:szCs w:val="20"/>
                <w:color w:val="auto"/>
              </w:rPr>
            </w:pPr>
            <w:r>
              <w:rPr>
                <w:rFonts w:ascii="Arial" w:cs="Arial" w:eastAsia="Arial" w:hAnsi="Arial"/>
                <w:sz w:val="16"/>
                <w:szCs w:val="16"/>
                <w:b w:val="1"/>
                <w:bCs w:val="1"/>
                <w:color w:val="auto"/>
              </w:rPr>
              <w:t>$1.86</w:t>
            </w:r>
          </w:p>
        </w:tc>
        <w:tc>
          <w:tcPr>
            <w:tcW w:w="720" w:type="dxa"/>
            <w:vAlign w:val="bottom"/>
          </w:tcPr>
          <w:p>
            <w:pPr>
              <w:jc w:val="right"/>
              <w:ind w:right="41"/>
              <w:spacing w:after="0"/>
              <w:rPr>
                <w:sz w:val="20"/>
                <w:szCs w:val="20"/>
                <w:color w:val="auto"/>
              </w:rPr>
            </w:pPr>
            <w:r>
              <w:rPr>
                <w:rFonts w:ascii="Arial" w:cs="Arial" w:eastAsia="Arial" w:hAnsi="Arial"/>
                <w:sz w:val="16"/>
                <w:szCs w:val="16"/>
                <w:b w:val="1"/>
                <w:bCs w:val="1"/>
                <w:color w:val="auto"/>
              </w:rPr>
              <w:t>$1.06</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$1.49</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$0.80</w:t>
            </w: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$1.90</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$1.60 </w:t>
            </w:r>
          </w:p>
        </w:tc>
      </w:tr>
      <w:tr>
        <w:trPr>
          <w:trHeight w:val="47"/>
        </w:trPr>
        <w:tc>
          <w:tcPr>
            <w:tcW w:w="3800" w:type="dxa"/>
            <w:vAlign w:val="bottom"/>
            <w:tcBorders>
              <w:bottom w:val="single" w:sz="8" w:color="B2B2B2"/>
            </w:tcBorders>
          </w:tcPr>
          <w:p>
            <w:pPr>
              <w:spacing w:after="0"/>
              <w:rPr>
                <w:sz w:val="4"/>
                <w:szCs w:val="4"/>
                <w:color w:val="auto"/>
              </w:rPr>
            </w:pPr>
          </w:p>
        </w:tc>
        <w:tc>
          <w:tcPr>
            <w:tcW w:w="1100" w:type="dxa"/>
            <w:vAlign w:val="bottom"/>
            <w:tcBorders>
              <w:bottom w:val="single" w:sz="8" w:color="B2B2B2"/>
            </w:tcBorders>
          </w:tcPr>
          <w:p>
            <w:pPr>
              <w:spacing w:after="0"/>
              <w:rPr>
                <w:sz w:val="4"/>
                <w:szCs w:val="4"/>
                <w:color w:val="auto"/>
              </w:rPr>
            </w:pPr>
          </w:p>
        </w:tc>
        <w:tc>
          <w:tcPr>
            <w:tcW w:w="110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980" w:type="dxa"/>
            <w:vAlign w:val="bottom"/>
            <w:tcBorders>
              <w:bottom w:val="single" w:sz="8" w:color="B2B2B2"/>
            </w:tcBorders>
          </w:tcPr>
          <w:p>
            <w:pPr>
              <w:spacing w:after="0"/>
              <w:rPr>
                <w:sz w:val="4"/>
                <w:szCs w:val="4"/>
                <w:color w:val="auto"/>
              </w:rPr>
            </w:pPr>
          </w:p>
        </w:tc>
        <w:tc>
          <w:tcPr>
            <w:tcW w:w="104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00" w:type="dxa"/>
            <w:vAlign w:val="bottom"/>
            <w:tcBorders>
              <w:bottom w:val="single" w:sz="8" w:color="B2B2B2"/>
            </w:tcBorders>
          </w:tcPr>
          <w:p>
            <w:pPr>
              <w:spacing w:after="0"/>
              <w:rPr>
                <w:sz w:val="4"/>
                <w:szCs w:val="4"/>
                <w:color w:val="auto"/>
              </w:rPr>
            </w:pPr>
          </w:p>
        </w:tc>
      </w:tr>
      <w:tr>
        <w:trPr>
          <w:trHeight w:val="211"/>
        </w:trPr>
        <w:tc>
          <w:tcPr>
            <w:tcW w:w="3800" w:type="dxa"/>
            <w:vAlign w:val="bottom"/>
          </w:tcPr>
          <w:p>
            <w:pPr>
              <w:ind w:left="160"/>
              <w:spacing w:after="0"/>
              <w:rPr>
                <w:sz w:val="20"/>
                <w:szCs w:val="20"/>
                <w:color w:val="auto"/>
              </w:rPr>
            </w:pPr>
            <w:r>
              <w:rPr>
                <w:rFonts w:ascii="Arial" w:cs="Arial" w:eastAsia="Arial" w:hAnsi="Arial"/>
                <w:sz w:val="16"/>
                <w:szCs w:val="16"/>
                <w:b w:val="1"/>
                <w:bCs w:val="1"/>
                <w:color w:val="auto"/>
              </w:rPr>
              <w:t>  Diluted earnings (loss) per share</w:t>
            </w: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8"/>
        </w:trPr>
        <w:tc>
          <w:tcPr>
            <w:tcW w:w="3800" w:type="dxa"/>
            <w:vAlign w:val="bottom"/>
          </w:tcPr>
          <w:p>
            <w:pPr>
              <w:ind w:left="160"/>
              <w:spacing w:after="0"/>
              <w:rPr>
                <w:sz w:val="20"/>
                <w:szCs w:val="20"/>
                <w:color w:val="auto"/>
              </w:rPr>
            </w:pPr>
            <w:r>
              <w:rPr>
                <w:rFonts w:ascii="Arial" w:cs="Arial" w:eastAsia="Arial" w:hAnsi="Arial"/>
                <w:sz w:val="16"/>
                <w:szCs w:val="16"/>
                <w:color w:val="auto"/>
              </w:rPr>
              <w:t>  From continuing operations</w:t>
            </w: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$1.34</w:t>
            </w:r>
          </w:p>
        </w:tc>
        <w:tc>
          <w:tcPr>
            <w:tcW w:w="1100" w:type="dxa"/>
            <w:vAlign w:val="bottom"/>
          </w:tcPr>
          <w:p>
            <w:pPr>
              <w:jc w:val="right"/>
              <w:ind w:right="81"/>
              <w:spacing w:after="0"/>
              <w:rPr>
                <w:sz w:val="20"/>
                <w:szCs w:val="20"/>
                <w:color w:val="auto"/>
              </w:rPr>
            </w:pPr>
            <w:r>
              <w:rPr>
                <w:rFonts w:ascii="Arial" w:cs="Arial" w:eastAsia="Arial" w:hAnsi="Arial"/>
                <w:sz w:val="16"/>
                <w:szCs w:val="16"/>
                <w:b w:val="1"/>
                <w:bCs w:val="1"/>
                <w:color w:val="auto"/>
              </w:rPr>
              <w:t>$0.61</w:t>
            </w:r>
          </w:p>
        </w:tc>
        <w:tc>
          <w:tcPr>
            <w:tcW w:w="680" w:type="dxa"/>
            <w:vAlign w:val="bottom"/>
          </w:tcPr>
          <w:p>
            <w:pPr>
              <w:jc w:val="right"/>
              <w:ind w:right="41"/>
              <w:spacing w:after="0"/>
              <w:rPr>
                <w:sz w:val="20"/>
                <w:szCs w:val="20"/>
                <w:color w:val="auto"/>
              </w:rPr>
            </w:pPr>
            <w:r>
              <w:rPr>
                <w:rFonts w:ascii="Arial" w:cs="Arial" w:eastAsia="Arial" w:hAnsi="Arial"/>
                <w:sz w:val="16"/>
                <w:szCs w:val="16"/>
                <w:b w:val="1"/>
                <w:bCs w:val="1"/>
                <w:color w:val="auto"/>
              </w:rPr>
              <w:t>$1.87</w:t>
            </w:r>
          </w:p>
        </w:tc>
        <w:tc>
          <w:tcPr>
            <w:tcW w:w="720" w:type="dxa"/>
            <w:vAlign w:val="bottom"/>
          </w:tcPr>
          <w:p>
            <w:pPr>
              <w:jc w:val="right"/>
              <w:ind w:right="41"/>
              <w:spacing w:after="0"/>
              <w:rPr>
                <w:sz w:val="20"/>
                <w:szCs w:val="20"/>
                <w:color w:val="auto"/>
              </w:rPr>
            </w:pPr>
            <w:r>
              <w:rPr>
                <w:rFonts w:ascii="Arial" w:cs="Arial" w:eastAsia="Arial" w:hAnsi="Arial"/>
                <w:sz w:val="16"/>
                <w:szCs w:val="16"/>
                <w:b w:val="1"/>
                <w:bCs w:val="1"/>
                <w:color w:val="auto"/>
              </w:rPr>
              <w:t>$1.03</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$1.43</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$0.81</w:t>
            </w: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$1.89</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$1.55 </w:t>
            </w:r>
          </w:p>
        </w:tc>
      </w:tr>
      <w:tr>
        <w:trPr>
          <w:trHeight w:val="238"/>
        </w:trPr>
        <w:tc>
          <w:tcPr>
            <w:tcW w:w="3800" w:type="dxa"/>
            <w:vAlign w:val="bottom"/>
          </w:tcPr>
          <w:p>
            <w:pPr>
              <w:ind w:left="160"/>
              <w:spacing w:after="0"/>
              <w:rPr>
                <w:sz w:val="20"/>
                <w:szCs w:val="20"/>
                <w:color w:val="auto"/>
              </w:rPr>
            </w:pPr>
            <w:r>
              <w:rPr>
                <w:rFonts w:ascii="Arial" w:cs="Arial" w:eastAsia="Arial" w:hAnsi="Arial"/>
                <w:sz w:val="16"/>
                <w:szCs w:val="16"/>
                <w:color w:val="auto"/>
              </w:rPr>
              <w:t>  From discontinued operations</w:t>
            </w: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(0.04)</w:t>
            </w:r>
          </w:p>
        </w:tc>
        <w:tc>
          <w:tcPr>
            <w:tcW w:w="1100" w:type="dxa"/>
            <w:vAlign w:val="bottom"/>
          </w:tcPr>
          <w:p>
            <w:pPr>
              <w:jc w:val="right"/>
              <w:ind w:right="81"/>
              <w:spacing w:after="0"/>
              <w:rPr>
                <w:sz w:val="20"/>
                <w:szCs w:val="20"/>
                <w:color w:val="auto"/>
              </w:rPr>
            </w:pPr>
            <w:r>
              <w:rPr>
                <w:rFonts w:ascii="Arial" w:cs="Arial" w:eastAsia="Arial" w:hAnsi="Arial"/>
                <w:sz w:val="16"/>
                <w:szCs w:val="16"/>
                <w:b w:val="1"/>
                <w:bCs w:val="1"/>
                <w:color w:val="auto"/>
              </w:rPr>
              <w:t>0.06</w:t>
            </w:r>
          </w:p>
        </w:tc>
        <w:tc>
          <w:tcPr>
            <w:tcW w:w="680" w:type="dxa"/>
            <w:vAlign w:val="bottom"/>
          </w:tcPr>
          <w:p>
            <w:pPr>
              <w:jc w:val="right"/>
              <w:ind w:right="41"/>
              <w:spacing w:after="0"/>
              <w:rPr>
                <w:sz w:val="20"/>
                <w:szCs w:val="20"/>
                <w:color w:val="auto"/>
              </w:rPr>
            </w:pPr>
            <w:r>
              <w:rPr>
                <w:rFonts w:ascii="Arial" w:cs="Arial" w:eastAsia="Arial" w:hAnsi="Arial"/>
                <w:sz w:val="16"/>
                <w:szCs w:val="16"/>
                <w:b w:val="1"/>
                <w:bCs w:val="1"/>
                <w:color w:val="auto"/>
              </w:rPr>
              <w:t>(0.01)</w:t>
            </w:r>
          </w:p>
        </w:tc>
        <w:tc>
          <w:tcPr>
            <w:tcW w:w="720" w:type="dxa"/>
            <w:vAlign w:val="bottom"/>
          </w:tcPr>
          <w:p>
            <w:pPr>
              <w:jc w:val="right"/>
              <w:ind w:right="41"/>
              <w:spacing w:after="0"/>
              <w:rPr>
                <w:sz w:val="20"/>
                <w:szCs w:val="20"/>
                <w:color w:val="auto"/>
              </w:rPr>
            </w:pPr>
            <w:r>
              <w:rPr>
                <w:rFonts w:ascii="Arial" w:cs="Arial" w:eastAsia="Arial" w:hAnsi="Arial"/>
                <w:sz w:val="16"/>
                <w:szCs w:val="16"/>
                <w:b w:val="1"/>
                <w:bCs w:val="1"/>
                <w:color w:val="auto"/>
              </w:rPr>
              <w:t>0.03</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0.06</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(0.01)</w:t>
            </w: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0.01</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0.04 </w:t>
            </w:r>
          </w:p>
        </w:tc>
      </w:tr>
      <w:tr>
        <w:trPr>
          <w:trHeight w:val="48"/>
        </w:trPr>
        <w:tc>
          <w:tcPr>
            <w:tcW w:w="3800" w:type="dxa"/>
            <w:vAlign w:val="bottom"/>
            <w:tcBorders>
              <w:bottom w:val="single" w:sz="8" w:color="B2B2B2"/>
            </w:tcBorders>
          </w:tcPr>
          <w:p>
            <w:pPr>
              <w:spacing w:after="0"/>
              <w:rPr>
                <w:sz w:val="4"/>
                <w:szCs w:val="4"/>
                <w:color w:val="auto"/>
              </w:rPr>
            </w:pPr>
          </w:p>
        </w:tc>
        <w:tc>
          <w:tcPr>
            <w:tcW w:w="1100" w:type="dxa"/>
            <w:vAlign w:val="bottom"/>
            <w:tcBorders>
              <w:bottom w:val="single" w:sz="8" w:color="B2B2B2"/>
            </w:tcBorders>
          </w:tcPr>
          <w:p>
            <w:pPr>
              <w:spacing w:after="0"/>
              <w:rPr>
                <w:sz w:val="4"/>
                <w:szCs w:val="4"/>
                <w:color w:val="auto"/>
              </w:rPr>
            </w:pPr>
          </w:p>
        </w:tc>
        <w:tc>
          <w:tcPr>
            <w:tcW w:w="110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980" w:type="dxa"/>
            <w:vAlign w:val="bottom"/>
            <w:tcBorders>
              <w:bottom w:val="single" w:sz="8" w:color="B2B2B2"/>
            </w:tcBorders>
          </w:tcPr>
          <w:p>
            <w:pPr>
              <w:spacing w:after="0"/>
              <w:rPr>
                <w:sz w:val="4"/>
                <w:szCs w:val="4"/>
                <w:color w:val="auto"/>
              </w:rPr>
            </w:pPr>
          </w:p>
        </w:tc>
        <w:tc>
          <w:tcPr>
            <w:tcW w:w="104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00" w:type="dxa"/>
            <w:vAlign w:val="bottom"/>
            <w:tcBorders>
              <w:bottom w:val="single" w:sz="8" w:color="B2B2B2"/>
            </w:tcBorders>
          </w:tcPr>
          <w:p>
            <w:pPr>
              <w:spacing w:after="0"/>
              <w:rPr>
                <w:sz w:val="4"/>
                <w:szCs w:val="4"/>
                <w:color w:val="auto"/>
              </w:rPr>
            </w:pPr>
          </w:p>
        </w:tc>
      </w:tr>
      <w:tr>
        <w:trPr>
          <w:trHeight w:val="211"/>
        </w:trPr>
        <w:tc>
          <w:tcPr>
            <w:tcW w:w="3800" w:type="dxa"/>
            <w:vAlign w:val="bottom"/>
          </w:tcPr>
          <w:p>
            <w:pPr>
              <w:spacing w:after="0"/>
              <w:rPr>
                <w:sz w:val="18"/>
                <w:szCs w:val="18"/>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$1.30</w:t>
            </w:r>
          </w:p>
        </w:tc>
        <w:tc>
          <w:tcPr>
            <w:tcW w:w="1100" w:type="dxa"/>
            <w:vAlign w:val="bottom"/>
          </w:tcPr>
          <w:p>
            <w:pPr>
              <w:jc w:val="right"/>
              <w:ind w:right="81"/>
              <w:spacing w:after="0"/>
              <w:rPr>
                <w:sz w:val="20"/>
                <w:szCs w:val="20"/>
                <w:color w:val="auto"/>
              </w:rPr>
            </w:pPr>
            <w:r>
              <w:rPr>
                <w:rFonts w:ascii="Arial" w:cs="Arial" w:eastAsia="Arial" w:hAnsi="Arial"/>
                <w:sz w:val="16"/>
                <w:szCs w:val="16"/>
                <w:b w:val="1"/>
                <w:bCs w:val="1"/>
                <w:color w:val="auto"/>
              </w:rPr>
              <w:t>$0.67</w:t>
            </w:r>
          </w:p>
        </w:tc>
        <w:tc>
          <w:tcPr>
            <w:tcW w:w="680" w:type="dxa"/>
            <w:vAlign w:val="bottom"/>
          </w:tcPr>
          <w:p>
            <w:pPr>
              <w:jc w:val="right"/>
              <w:ind w:right="41"/>
              <w:spacing w:after="0"/>
              <w:rPr>
                <w:sz w:val="20"/>
                <w:szCs w:val="20"/>
                <w:color w:val="auto"/>
              </w:rPr>
            </w:pPr>
            <w:r>
              <w:rPr>
                <w:rFonts w:ascii="Arial" w:cs="Arial" w:eastAsia="Arial" w:hAnsi="Arial"/>
                <w:sz w:val="16"/>
                <w:szCs w:val="16"/>
                <w:b w:val="1"/>
                <w:bCs w:val="1"/>
                <w:color w:val="auto"/>
              </w:rPr>
              <w:t>$1.86</w:t>
            </w:r>
          </w:p>
        </w:tc>
        <w:tc>
          <w:tcPr>
            <w:tcW w:w="720" w:type="dxa"/>
            <w:vAlign w:val="bottom"/>
          </w:tcPr>
          <w:p>
            <w:pPr>
              <w:jc w:val="right"/>
              <w:ind w:right="41"/>
              <w:spacing w:after="0"/>
              <w:rPr>
                <w:sz w:val="20"/>
                <w:szCs w:val="20"/>
                <w:color w:val="auto"/>
              </w:rPr>
            </w:pPr>
            <w:r>
              <w:rPr>
                <w:rFonts w:ascii="Arial" w:cs="Arial" w:eastAsia="Arial" w:hAnsi="Arial"/>
                <w:sz w:val="16"/>
                <w:szCs w:val="16"/>
                <w:b w:val="1"/>
                <w:bCs w:val="1"/>
                <w:color w:val="auto"/>
              </w:rPr>
              <w:t>$1.06</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$1.49</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$0.80</w:t>
            </w: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$1.90</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$1.59 </w:t>
            </w:r>
          </w:p>
        </w:tc>
      </w:tr>
      <w:tr>
        <w:trPr>
          <w:trHeight w:val="54"/>
        </w:trPr>
        <w:tc>
          <w:tcPr>
            <w:tcW w:w="3800" w:type="dxa"/>
            <w:vAlign w:val="bottom"/>
            <w:tcBorders>
              <w:bottom w:val="single" w:sz="8" w:color="D64000"/>
            </w:tcBorders>
          </w:tcPr>
          <w:p>
            <w:pPr>
              <w:spacing w:after="0"/>
              <w:rPr>
                <w:sz w:val="4"/>
                <w:szCs w:val="4"/>
                <w:color w:val="auto"/>
              </w:rPr>
            </w:pPr>
          </w:p>
        </w:tc>
        <w:tc>
          <w:tcPr>
            <w:tcW w:w="1100" w:type="dxa"/>
            <w:vAlign w:val="bottom"/>
            <w:tcBorders>
              <w:bottom w:val="single" w:sz="8" w:color="D64000"/>
            </w:tcBorders>
          </w:tcPr>
          <w:p>
            <w:pPr>
              <w:spacing w:after="0"/>
              <w:rPr>
                <w:sz w:val="4"/>
                <w:szCs w:val="4"/>
                <w:color w:val="auto"/>
              </w:rPr>
            </w:pPr>
          </w:p>
        </w:tc>
        <w:tc>
          <w:tcPr>
            <w:tcW w:w="1100" w:type="dxa"/>
            <w:vAlign w:val="bottom"/>
            <w:tcBorders>
              <w:bottom w:val="single" w:sz="8" w:color="D64000"/>
            </w:tcBorders>
          </w:tcPr>
          <w:p>
            <w:pPr>
              <w:spacing w:after="0"/>
              <w:rPr>
                <w:sz w:val="4"/>
                <w:szCs w:val="4"/>
                <w:color w:val="auto"/>
              </w:rPr>
            </w:pPr>
          </w:p>
        </w:tc>
        <w:tc>
          <w:tcPr>
            <w:tcW w:w="680" w:type="dxa"/>
            <w:vAlign w:val="bottom"/>
            <w:tcBorders>
              <w:bottom w:val="single" w:sz="8" w:color="D64000"/>
            </w:tcBorders>
          </w:tcPr>
          <w:p>
            <w:pPr>
              <w:spacing w:after="0"/>
              <w:rPr>
                <w:sz w:val="4"/>
                <w:szCs w:val="4"/>
                <w:color w:val="auto"/>
              </w:rPr>
            </w:pPr>
          </w:p>
        </w:tc>
        <w:tc>
          <w:tcPr>
            <w:tcW w:w="720" w:type="dxa"/>
            <w:vAlign w:val="bottom"/>
            <w:tcBorders>
              <w:bottom w:val="single" w:sz="8" w:color="D64000"/>
            </w:tcBorders>
          </w:tcPr>
          <w:p>
            <w:pPr>
              <w:spacing w:after="0"/>
              <w:rPr>
                <w:sz w:val="4"/>
                <w:szCs w:val="4"/>
                <w:color w:val="auto"/>
              </w:rPr>
            </w:pPr>
          </w:p>
        </w:tc>
        <w:tc>
          <w:tcPr>
            <w:tcW w:w="980" w:type="dxa"/>
            <w:vAlign w:val="bottom"/>
            <w:tcBorders>
              <w:bottom w:val="single" w:sz="8" w:color="D64000"/>
            </w:tcBorders>
          </w:tcPr>
          <w:p>
            <w:pPr>
              <w:spacing w:after="0"/>
              <w:rPr>
                <w:sz w:val="4"/>
                <w:szCs w:val="4"/>
                <w:color w:val="auto"/>
              </w:rPr>
            </w:pPr>
          </w:p>
        </w:tc>
        <w:tc>
          <w:tcPr>
            <w:tcW w:w="1040" w:type="dxa"/>
            <w:vAlign w:val="bottom"/>
            <w:tcBorders>
              <w:bottom w:val="single" w:sz="8" w:color="D64000"/>
            </w:tcBorders>
          </w:tcPr>
          <w:p>
            <w:pPr>
              <w:spacing w:after="0"/>
              <w:rPr>
                <w:sz w:val="4"/>
                <w:szCs w:val="4"/>
                <w:color w:val="auto"/>
              </w:rPr>
            </w:pPr>
          </w:p>
        </w:tc>
        <w:tc>
          <w:tcPr>
            <w:tcW w:w="680" w:type="dxa"/>
            <w:vAlign w:val="bottom"/>
            <w:tcBorders>
              <w:bottom w:val="single" w:sz="8" w:color="D64000"/>
            </w:tcBorders>
          </w:tcPr>
          <w:p>
            <w:pPr>
              <w:spacing w:after="0"/>
              <w:rPr>
                <w:sz w:val="4"/>
                <w:szCs w:val="4"/>
                <w:color w:val="auto"/>
              </w:rPr>
            </w:pPr>
          </w:p>
        </w:tc>
        <w:tc>
          <w:tcPr>
            <w:tcW w:w="700" w:type="dxa"/>
            <w:vAlign w:val="bottom"/>
            <w:tcBorders>
              <w:bottom w:val="single" w:sz="8" w:color="D64000"/>
            </w:tcBorders>
          </w:tcPr>
          <w:p>
            <w:pPr>
              <w:spacing w:after="0"/>
              <w:rPr>
                <w:sz w:val="4"/>
                <w:szCs w:val="4"/>
                <w:color w:val="auto"/>
              </w:rPr>
            </w:pPr>
          </w:p>
        </w:tc>
      </w:tr>
    </w:tbl>
    <w:p>
      <w:pPr>
        <w:spacing w:after="0" w:line="71" w:lineRule="exact"/>
        <w:rPr>
          <w:sz w:val="20"/>
          <w:szCs w:val="20"/>
          <w:color w:val="auto"/>
        </w:rPr>
      </w:pPr>
    </w:p>
    <w:p>
      <w:pPr>
        <w:ind w:left="220" w:right="100"/>
        <w:spacing w:after="0" w:line="235" w:lineRule="auto"/>
        <w:rPr>
          <w:sz w:val="20"/>
          <w:szCs w:val="20"/>
          <w:color w:val="auto"/>
        </w:rPr>
      </w:pPr>
      <w:r>
        <w:rPr>
          <w:rFonts w:ascii="Arial" w:cs="Arial" w:eastAsia="Arial" w:hAnsi="Arial"/>
          <w:sz w:val="17"/>
          <w:szCs w:val="17"/>
          <w:b w:val="1"/>
          <w:bCs w:val="1"/>
          <w:color w:val="auto"/>
        </w:rPr>
        <w:t xml:space="preserve">Revenues </w:t>
      </w:r>
      <w:r>
        <w:rPr>
          <w:rFonts w:ascii="Arial" w:cs="Arial" w:eastAsia="Arial" w:hAnsi="Arial"/>
          <w:sz w:val="17"/>
          <w:szCs w:val="17"/>
          <w:color w:val="auto"/>
        </w:rPr>
        <w:t>– Our firmwide revenues do not tend to be significantly impacted by seasonality as we record a large portion of our revenues ratably</w:t>
      </w:r>
      <w:r>
        <w:rPr>
          <w:rFonts w:ascii="Arial" w:cs="Arial" w:eastAsia="Arial" w:hAnsi="Arial"/>
          <w:sz w:val="17"/>
          <w:szCs w:val="17"/>
          <w:b w:val="1"/>
          <w:bCs w:val="1"/>
          <w:color w:val="auto"/>
        </w:rPr>
        <w:t xml:space="preserve"> </w:t>
      </w:r>
      <w:r>
        <w:rPr>
          <w:rFonts w:ascii="Arial" w:cs="Arial" w:eastAsia="Arial" w:hAnsi="Arial"/>
          <w:sz w:val="17"/>
          <w:szCs w:val="17"/>
          <w:color w:val="auto"/>
        </w:rPr>
        <w:t>over a contract term. However, at the segment level, revenues on a consecutive quarter basis can be impacted by seasonality, most notably in our Tax &amp; Accounting Professionals business, where revenues tend to be concentrated in the first and fourth quarters. As most of our business is conducted in U.S. dollars, foreign currency had a minimal impact on our revenues. Our 2024 quarterly revenues grew over each comparable quarter of 2023 primarily due to growth in recurring and transactions revenues, including acquisitions. These revenue increases were partially offset by the loss of revenues from divestitures, primarily the Elite business in June of 2023.</w:t>
      </w:r>
    </w:p>
    <w:p>
      <w:pPr>
        <w:spacing w:after="0" w:line="97" w:lineRule="exact"/>
        <w:rPr>
          <w:sz w:val="20"/>
          <w:szCs w:val="20"/>
          <w:color w:val="auto"/>
        </w:rPr>
      </w:pPr>
    </w:p>
    <w:p>
      <w:pPr>
        <w:ind w:left="220" w:right="200"/>
        <w:spacing w:after="0" w:line="238" w:lineRule="auto"/>
        <w:rPr>
          <w:sz w:val="20"/>
          <w:szCs w:val="20"/>
          <w:color w:val="auto"/>
        </w:rPr>
      </w:pPr>
      <w:r>
        <w:rPr>
          <w:rFonts w:ascii="Arial" w:cs="Arial" w:eastAsia="Arial" w:hAnsi="Arial"/>
          <w:sz w:val="17"/>
          <w:szCs w:val="17"/>
          <w:b w:val="1"/>
          <w:bCs w:val="1"/>
          <w:color w:val="auto"/>
        </w:rPr>
        <w:t xml:space="preserve">Operating profit – </w:t>
      </w:r>
      <w:r>
        <w:rPr>
          <w:rFonts w:ascii="Arial" w:cs="Arial" w:eastAsia="Arial" w:hAnsi="Arial"/>
          <w:sz w:val="17"/>
          <w:szCs w:val="17"/>
          <w:color w:val="auto"/>
        </w:rPr>
        <w:t>Our operating profit does not tend to be significantly impacted by seasonality. As most of our operating expenses are fixed</w:t>
      </w:r>
      <w:r>
        <w:rPr>
          <w:rFonts w:ascii="Arial" w:cs="Arial" w:eastAsia="Arial" w:hAnsi="Arial"/>
          <w:sz w:val="17"/>
          <w:szCs w:val="17"/>
          <w:b w:val="1"/>
          <w:bCs w:val="1"/>
          <w:color w:val="auto"/>
        </w:rPr>
        <w:t xml:space="preserve"> </w:t>
      </w:r>
      <w:r>
        <w:rPr>
          <w:rFonts w:ascii="Arial" w:cs="Arial" w:eastAsia="Arial" w:hAnsi="Arial"/>
          <w:sz w:val="17"/>
          <w:szCs w:val="17"/>
          <w:color w:val="auto"/>
        </w:rPr>
        <w:t>over the short-to-medium term, we generally become more profitable when our revenues increase. When our revenues decline, we generally become less profitable. The increases in operating profit in the fourth quarter of 2024 reflected the gains on sale of FindLaw and other non-core businesses, and the second quarter of 2023 reflected the gain on sale of Elite.</w:t>
      </w:r>
    </w:p>
    <w:p>
      <w:pPr>
        <w:spacing w:after="0" w:line="112" w:lineRule="exact"/>
        <w:rPr>
          <w:sz w:val="20"/>
          <w:szCs w:val="20"/>
          <w:color w:val="auto"/>
        </w:rPr>
      </w:pPr>
    </w:p>
    <w:p>
      <w:pPr>
        <w:ind w:left="220" w:right="160"/>
        <w:spacing w:after="0" w:line="238" w:lineRule="auto"/>
        <w:rPr>
          <w:sz w:val="20"/>
          <w:szCs w:val="20"/>
          <w:color w:val="auto"/>
        </w:rPr>
      </w:pPr>
      <w:r>
        <w:rPr>
          <w:rFonts w:ascii="Arial" w:cs="Arial" w:eastAsia="Arial" w:hAnsi="Arial"/>
          <w:sz w:val="17"/>
          <w:szCs w:val="17"/>
          <w:b w:val="1"/>
          <w:bCs w:val="1"/>
          <w:color w:val="auto"/>
        </w:rPr>
        <w:t xml:space="preserve">Net earnings </w:t>
      </w:r>
      <w:r>
        <w:rPr>
          <w:rFonts w:ascii="Arial" w:cs="Arial" w:eastAsia="Arial" w:hAnsi="Arial"/>
          <w:sz w:val="17"/>
          <w:szCs w:val="17"/>
          <w:color w:val="auto"/>
        </w:rPr>
        <w:t>– Our net earnings have been significantly impacted by our former investment in LSEG in certain periods. The first, second and</w:t>
      </w:r>
      <w:r>
        <w:rPr>
          <w:rFonts w:ascii="Arial" w:cs="Arial" w:eastAsia="Arial" w:hAnsi="Arial"/>
          <w:sz w:val="17"/>
          <w:szCs w:val="17"/>
          <w:b w:val="1"/>
          <w:bCs w:val="1"/>
          <w:color w:val="auto"/>
        </w:rPr>
        <w:t xml:space="preserve"> </w:t>
      </w:r>
      <w:r>
        <w:rPr>
          <w:rFonts w:ascii="Arial" w:cs="Arial" w:eastAsia="Arial" w:hAnsi="Arial"/>
          <w:sz w:val="17"/>
          <w:szCs w:val="17"/>
          <w:color w:val="auto"/>
        </w:rPr>
        <w:t>fourth quarters of 2023 reflected increases in the value of our LSEG investment, while the third quarter of 2023 reflected a decrease in the value of our LSEG investment. The second quarter of 2024 included a $468 million tax benefit from the recognition of a deferred tax asset relating to new tax legislation enacted in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93980</wp:posOffset>
            </wp:positionV>
            <wp:extent cx="68656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9"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76</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Appendix G</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Guarantor Supplemental Financial Information</w:t>
      </w:r>
    </w:p>
    <w:p>
      <w:pPr>
        <w:spacing w:after="0" w:line="150" w:lineRule="exact"/>
        <w:rPr>
          <w:sz w:val="20"/>
          <w:szCs w:val="20"/>
          <w:color w:val="auto"/>
        </w:rPr>
      </w:pPr>
    </w:p>
    <w:p>
      <w:pPr>
        <w:ind w:left="220" w:right="20"/>
        <w:spacing w:after="0" w:line="230" w:lineRule="auto"/>
        <w:rPr>
          <w:sz w:val="20"/>
          <w:szCs w:val="20"/>
          <w:color w:val="auto"/>
        </w:rPr>
      </w:pPr>
      <w:r>
        <w:rPr>
          <w:rFonts w:ascii="Arial" w:cs="Arial" w:eastAsia="Arial" w:hAnsi="Arial"/>
          <w:sz w:val="17"/>
          <w:szCs w:val="17"/>
          <w:color w:val="auto"/>
        </w:rPr>
        <w:t>The following tables set forth consolidating summary financial information in connection with the full and unconditional guarantee by Thomson Reuters Corporation and three U.S. subsidiary guarantors, which are also indirect 100%-owned and consolidated subsidiaries of Thomson Reuters Corporation (referred to as the Subsidiary Guarantors), of any debt securities issued by TR Finance LLC under a trust indenture to be entered into between Thomson Reuters Corporation, TR Finance LLC, the Subsidiary Guarantors, Computershare Trust Company of Canada and Deutsche Bank Trust Company Americas. TR Finance LLC is an indirect 100%-owned subsidiary of Thomson Reuters Corporation and was formed with the sole purpose of issuing debt securities. TR Finance LLC has no significant assets or liabilities, as well as no subsidiaries or ongoing business operations of its own. In the event debt securities are issued by TR Finance LLC, TR Finance LLC expects that the proceeds will be loaned to the Subsidiary Guarantors, and/or U.S. affiliates that are direct or indirect shareholders of the Subsidiary Guarantors. TR Finance LLC expects to be able to pay interest, premiums, operating expenses and to meet its debt obligations using interest income from the affiliate loans and will be further supported by Guarantees provided by the Subsidiary Guarantors and Thomson Reuters Corporation. However, the ability of TR Finance LLC to pay interest, premiums, operating expenses and to meet its debt obligations will depend upon the ability of the Subsidiary Guarantors and/or such other U.S. affiliates to pay interest and meet debt obligations under the affiliate loans and upon the credit support of the Subsidiary Guarantors and Thomson Reuters Corporation. See the “Liquidity and Capital Resources” section of this management’s discussion and analysis for additional information.</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tables below contain condensed consolidating financial information for the following:</w:t>
      </w:r>
    </w:p>
    <w:p>
      <w:pPr>
        <w:spacing w:after="0" w:line="136" w:lineRule="exact"/>
        <w:rPr>
          <w:sz w:val="20"/>
          <w:szCs w:val="20"/>
          <w:color w:val="auto"/>
        </w:rPr>
      </w:pPr>
    </w:p>
    <w:p>
      <w:pPr>
        <w:ind w:left="540" w:hanging="322"/>
        <w:spacing w:after="0"/>
        <w:tabs>
          <w:tab w:leader="none" w:pos="540" w:val="left"/>
        </w:tabs>
        <w:numPr>
          <w:ilvl w:val="0"/>
          <w:numId w:val="73"/>
        </w:numPr>
        <w:rPr>
          <w:rFonts w:ascii="Arial" w:cs="Arial" w:eastAsia="Arial" w:hAnsi="Arial"/>
          <w:sz w:val="17"/>
          <w:szCs w:val="17"/>
          <w:color w:val="D64000"/>
        </w:rPr>
      </w:pPr>
      <w:r>
        <w:rPr>
          <w:rFonts w:ascii="Arial" w:cs="Arial" w:eastAsia="Arial" w:hAnsi="Arial"/>
          <w:sz w:val="17"/>
          <w:szCs w:val="17"/>
          <w:color w:val="auto"/>
        </w:rPr>
        <w:t>Parent – Thomson Reuters Corporation, the direct or indirect owner of all of its subsidiaries</w:t>
      </w:r>
    </w:p>
    <w:p>
      <w:pPr>
        <w:spacing w:after="0" w:line="29" w:lineRule="exact"/>
        <w:rPr>
          <w:rFonts w:ascii="Arial" w:cs="Arial" w:eastAsia="Arial" w:hAnsi="Arial"/>
          <w:sz w:val="17"/>
          <w:szCs w:val="17"/>
          <w:color w:val="D64000"/>
        </w:rPr>
      </w:pPr>
    </w:p>
    <w:p>
      <w:pPr>
        <w:ind w:left="540" w:hanging="322"/>
        <w:spacing w:after="0"/>
        <w:tabs>
          <w:tab w:leader="none" w:pos="540" w:val="left"/>
        </w:tabs>
        <w:numPr>
          <w:ilvl w:val="0"/>
          <w:numId w:val="73"/>
        </w:numPr>
        <w:rPr>
          <w:rFonts w:ascii="Arial" w:cs="Arial" w:eastAsia="Arial" w:hAnsi="Arial"/>
          <w:sz w:val="17"/>
          <w:szCs w:val="17"/>
          <w:color w:val="D64000"/>
        </w:rPr>
      </w:pPr>
      <w:r>
        <w:rPr>
          <w:rFonts w:ascii="Arial" w:cs="Arial" w:eastAsia="Arial" w:hAnsi="Arial"/>
          <w:sz w:val="17"/>
          <w:szCs w:val="17"/>
          <w:color w:val="auto"/>
        </w:rPr>
        <w:t>Subsidiary Issuer – TR Finance LLC</w:t>
      </w:r>
    </w:p>
    <w:p>
      <w:pPr>
        <w:spacing w:after="0" w:line="29" w:lineRule="exact"/>
        <w:rPr>
          <w:rFonts w:ascii="Arial" w:cs="Arial" w:eastAsia="Arial" w:hAnsi="Arial"/>
          <w:sz w:val="17"/>
          <w:szCs w:val="17"/>
          <w:color w:val="D64000"/>
        </w:rPr>
      </w:pPr>
    </w:p>
    <w:p>
      <w:pPr>
        <w:ind w:left="540" w:hanging="322"/>
        <w:spacing w:after="0"/>
        <w:tabs>
          <w:tab w:leader="none" w:pos="540" w:val="left"/>
        </w:tabs>
        <w:numPr>
          <w:ilvl w:val="0"/>
          <w:numId w:val="73"/>
        </w:numPr>
        <w:rPr>
          <w:rFonts w:ascii="Arial" w:cs="Arial" w:eastAsia="Arial" w:hAnsi="Arial"/>
          <w:sz w:val="17"/>
          <w:szCs w:val="17"/>
          <w:color w:val="D64000"/>
        </w:rPr>
      </w:pPr>
      <w:r>
        <w:rPr>
          <w:rFonts w:ascii="Arial" w:cs="Arial" w:eastAsia="Arial" w:hAnsi="Arial"/>
          <w:sz w:val="17"/>
          <w:szCs w:val="17"/>
          <w:color w:val="auto"/>
        </w:rPr>
        <w:t>Subsidiary Guarantors on a combined basis</w:t>
      </w:r>
    </w:p>
    <w:p>
      <w:pPr>
        <w:spacing w:after="0" w:line="29" w:lineRule="exact"/>
        <w:rPr>
          <w:rFonts w:ascii="Arial" w:cs="Arial" w:eastAsia="Arial" w:hAnsi="Arial"/>
          <w:sz w:val="17"/>
          <w:szCs w:val="17"/>
          <w:color w:val="D64000"/>
        </w:rPr>
      </w:pPr>
    </w:p>
    <w:p>
      <w:pPr>
        <w:ind w:left="540" w:right="220" w:hanging="322"/>
        <w:spacing w:after="0" w:line="252" w:lineRule="auto"/>
        <w:tabs>
          <w:tab w:leader="none" w:pos="540" w:val="left"/>
        </w:tabs>
        <w:numPr>
          <w:ilvl w:val="0"/>
          <w:numId w:val="73"/>
        </w:numPr>
        <w:rPr>
          <w:rFonts w:ascii="Arial" w:cs="Arial" w:eastAsia="Arial" w:hAnsi="Arial"/>
          <w:sz w:val="17"/>
          <w:szCs w:val="17"/>
          <w:color w:val="D64000"/>
        </w:rPr>
      </w:pPr>
      <w:r>
        <w:rPr>
          <w:rFonts w:ascii="Arial" w:cs="Arial" w:eastAsia="Arial" w:hAnsi="Arial"/>
          <w:sz w:val="17"/>
          <w:szCs w:val="17"/>
          <w:color w:val="auto"/>
        </w:rPr>
        <w:t>Non-Guarantor Subsidiaries – Other subsidiaries of Thomson Reuters Corporation on a combined basis that will not guarantee TR Finance LLC debt securities</w:t>
      </w:r>
    </w:p>
    <w:p>
      <w:pPr>
        <w:ind w:left="540" w:hanging="322"/>
        <w:spacing w:after="0"/>
        <w:tabs>
          <w:tab w:leader="none" w:pos="540" w:val="left"/>
        </w:tabs>
        <w:numPr>
          <w:ilvl w:val="0"/>
          <w:numId w:val="73"/>
        </w:numPr>
        <w:rPr>
          <w:rFonts w:ascii="Arial" w:cs="Arial" w:eastAsia="Arial" w:hAnsi="Arial"/>
          <w:sz w:val="17"/>
          <w:szCs w:val="17"/>
          <w:color w:val="D64000"/>
        </w:rPr>
      </w:pPr>
      <w:r>
        <w:rPr>
          <w:rFonts w:ascii="Arial" w:cs="Arial" w:eastAsia="Arial" w:hAnsi="Arial"/>
          <w:sz w:val="17"/>
          <w:szCs w:val="17"/>
          <w:color w:val="auto"/>
        </w:rPr>
        <w:t>Eliminations – Consolidating adjustments</w:t>
      </w:r>
    </w:p>
    <w:p>
      <w:pPr>
        <w:spacing w:after="0" w:line="29" w:lineRule="exact"/>
        <w:rPr>
          <w:rFonts w:ascii="Arial" w:cs="Arial" w:eastAsia="Arial" w:hAnsi="Arial"/>
          <w:sz w:val="17"/>
          <w:szCs w:val="17"/>
          <w:color w:val="D64000"/>
        </w:rPr>
      </w:pPr>
    </w:p>
    <w:p>
      <w:pPr>
        <w:ind w:left="540" w:hanging="322"/>
        <w:spacing w:after="0"/>
        <w:tabs>
          <w:tab w:leader="none" w:pos="540" w:val="left"/>
        </w:tabs>
        <w:numPr>
          <w:ilvl w:val="0"/>
          <w:numId w:val="73"/>
        </w:numPr>
        <w:rPr>
          <w:rFonts w:ascii="Arial" w:cs="Arial" w:eastAsia="Arial" w:hAnsi="Arial"/>
          <w:sz w:val="17"/>
          <w:szCs w:val="17"/>
          <w:color w:val="D64000"/>
        </w:rPr>
      </w:pPr>
      <w:r>
        <w:rPr>
          <w:rFonts w:ascii="Arial" w:cs="Arial" w:eastAsia="Arial" w:hAnsi="Arial"/>
          <w:sz w:val="17"/>
          <w:szCs w:val="17"/>
          <w:color w:val="auto"/>
        </w:rPr>
        <w:t>Thomson Reuters on a consolidated basis</w:t>
      </w:r>
    </w:p>
    <w:p>
      <w:pPr>
        <w:spacing w:after="0" w:line="123" w:lineRule="exact"/>
        <w:rPr>
          <w:sz w:val="20"/>
          <w:szCs w:val="20"/>
          <w:color w:val="auto"/>
        </w:rPr>
      </w:pPr>
    </w:p>
    <w:p>
      <w:pPr>
        <w:ind w:left="220" w:right="420"/>
        <w:spacing w:after="0" w:line="260" w:lineRule="auto"/>
        <w:rPr>
          <w:sz w:val="20"/>
          <w:szCs w:val="20"/>
          <w:color w:val="auto"/>
        </w:rPr>
      </w:pPr>
      <w:r>
        <w:rPr>
          <w:rFonts w:ascii="Arial" w:cs="Arial" w:eastAsia="Arial" w:hAnsi="Arial"/>
          <w:sz w:val="17"/>
          <w:szCs w:val="17"/>
          <w:color w:val="auto"/>
        </w:rPr>
        <w:t>The Subsidiary Guarantors referred to above are comprised of the following indirect 100%-owned and consolidated subsidiaries of Thomson Reuters Corporation:</w:t>
      </w:r>
    </w:p>
    <w:p>
      <w:pPr>
        <w:spacing w:after="0" w:line="93" w:lineRule="exact"/>
        <w:rPr>
          <w:sz w:val="20"/>
          <w:szCs w:val="20"/>
          <w:color w:val="auto"/>
        </w:rPr>
      </w:pPr>
    </w:p>
    <w:p>
      <w:pPr>
        <w:ind w:left="540" w:right="720" w:hanging="322"/>
        <w:spacing w:after="0" w:line="252" w:lineRule="auto"/>
        <w:tabs>
          <w:tab w:leader="none" w:pos="540" w:val="left"/>
        </w:tabs>
        <w:numPr>
          <w:ilvl w:val="0"/>
          <w:numId w:val="74"/>
        </w:numPr>
        <w:rPr>
          <w:rFonts w:ascii="Arial" w:cs="Arial" w:eastAsia="Arial" w:hAnsi="Arial"/>
          <w:sz w:val="17"/>
          <w:szCs w:val="17"/>
          <w:color w:val="D64000"/>
        </w:rPr>
      </w:pPr>
      <w:r>
        <w:rPr>
          <w:rFonts w:ascii="Arial" w:cs="Arial" w:eastAsia="Arial" w:hAnsi="Arial"/>
          <w:sz w:val="17"/>
          <w:szCs w:val="17"/>
          <w:color w:val="auto"/>
        </w:rPr>
        <w:t>Thomson Reuters Applications Inc., which operates part of the Company’s Legal Professionals, Tax &amp; Accounting Professionals and Corporates businesses;</w:t>
      </w:r>
    </w:p>
    <w:p>
      <w:pPr>
        <w:ind w:left="540" w:right="900" w:hanging="322"/>
        <w:spacing w:after="0" w:line="252" w:lineRule="auto"/>
        <w:tabs>
          <w:tab w:leader="none" w:pos="540" w:val="left"/>
        </w:tabs>
        <w:numPr>
          <w:ilvl w:val="0"/>
          <w:numId w:val="74"/>
        </w:numPr>
        <w:rPr>
          <w:rFonts w:ascii="Arial" w:cs="Arial" w:eastAsia="Arial" w:hAnsi="Arial"/>
          <w:sz w:val="17"/>
          <w:szCs w:val="17"/>
          <w:color w:val="D64000"/>
        </w:rPr>
      </w:pPr>
      <w:r>
        <w:rPr>
          <w:rFonts w:ascii="Arial" w:cs="Arial" w:eastAsia="Arial" w:hAnsi="Arial"/>
          <w:sz w:val="17"/>
          <w:szCs w:val="17"/>
          <w:color w:val="auto"/>
        </w:rPr>
        <w:t>Thomson Reuters (Tax &amp; Accounting) Inc., which operates part of the Company’s Tax &amp; Accounting Professionals and Corporates businesses; and</w:t>
      </w:r>
    </w:p>
    <w:p>
      <w:pPr>
        <w:ind w:left="540" w:hanging="322"/>
        <w:spacing w:after="0"/>
        <w:tabs>
          <w:tab w:leader="none" w:pos="540" w:val="left"/>
        </w:tabs>
        <w:numPr>
          <w:ilvl w:val="0"/>
          <w:numId w:val="74"/>
        </w:numPr>
        <w:rPr>
          <w:rFonts w:ascii="Arial" w:cs="Arial" w:eastAsia="Arial" w:hAnsi="Arial"/>
          <w:sz w:val="17"/>
          <w:szCs w:val="17"/>
          <w:color w:val="D64000"/>
        </w:rPr>
      </w:pPr>
      <w:r>
        <w:rPr>
          <w:rFonts w:ascii="Arial" w:cs="Arial" w:eastAsia="Arial" w:hAnsi="Arial"/>
          <w:sz w:val="17"/>
          <w:szCs w:val="17"/>
          <w:color w:val="auto"/>
        </w:rPr>
        <w:t>West Publishing Corporation, which operates part of the Company’s Legal Professionals, Corporates and Global Print businesses.</w:t>
      </w:r>
    </w:p>
    <w:p>
      <w:pPr>
        <w:spacing w:after="0" w:line="136" w:lineRule="exact"/>
        <w:rPr>
          <w:sz w:val="20"/>
          <w:szCs w:val="20"/>
          <w:color w:val="auto"/>
        </w:rPr>
      </w:pPr>
    </w:p>
    <w:p>
      <w:pPr>
        <w:ind w:left="220" w:right="20"/>
        <w:spacing w:after="0" w:line="235" w:lineRule="auto"/>
        <w:rPr>
          <w:sz w:val="20"/>
          <w:szCs w:val="20"/>
          <w:color w:val="auto"/>
        </w:rPr>
      </w:pPr>
      <w:r>
        <w:rPr>
          <w:rFonts w:ascii="Arial" w:cs="Arial" w:eastAsia="Arial" w:hAnsi="Arial"/>
          <w:sz w:val="17"/>
          <w:szCs w:val="17"/>
          <w:color w:val="auto"/>
        </w:rPr>
        <w:t>Thomson Reuters Corporation accounts for its investments in subsidiaries using the equity method for purposes of the condensed consolidating financial information. Where subsidiaries are members of a consolidated tax filing group, Thomson Reuters Corporation allocates income tax expense pursuant to the tax sharing agreement among the members of the group, including application of the percentage method whereby members of the consolidated group are reimbursed for losses when they occur, regardless of the ability to use such losses on a standalone basis. We believe that this allocation is a systematic, rational approach for allocation of income tax balances. Adjustments necessary to consolidate the Parent, Subsidiary Guarantors and Non-Guarantor Subsidiaries are reflected in the “Eliminations” column.</w:t>
      </w:r>
    </w:p>
    <w:p>
      <w:pPr>
        <w:spacing w:after="0" w:line="97" w:lineRule="exact"/>
        <w:rPr>
          <w:sz w:val="20"/>
          <w:szCs w:val="20"/>
          <w:color w:val="auto"/>
        </w:rPr>
      </w:pPr>
    </w:p>
    <w:p>
      <w:pPr>
        <w:ind w:left="220" w:right="100"/>
        <w:spacing w:after="0" w:line="238" w:lineRule="auto"/>
        <w:rPr>
          <w:sz w:val="20"/>
          <w:szCs w:val="20"/>
          <w:color w:val="auto"/>
        </w:rPr>
      </w:pPr>
      <w:r>
        <w:rPr>
          <w:rFonts w:ascii="Arial" w:cs="Arial" w:eastAsia="Arial" w:hAnsi="Arial"/>
          <w:sz w:val="17"/>
          <w:szCs w:val="17"/>
          <w:color w:val="auto"/>
        </w:rPr>
        <w:t>This basis of presentation is not intended to present the financial position of Thomson Reuters Corporation and the results of its operations for any purpose other than to comply with the specific requirements for guarantor reporting and should be read in conjunction with our consolidated financial statements for the year ended December 31, 2024 and 2023, as well as this management’s discussion and analysis, which are included in this annual report.</w:t>
      </w:r>
    </w:p>
    <w:p>
      <w:pPr>
        <w:spacing w:after="0" w:line="112" w:lineRule="exact"/>
        <w:rPr>
          <w:sz w:val="20"/>
          <w:szCs w:val="20"/>
          <w:color w:val="auto"/>
        </w:rPr>
      </w:pPr>
    </w:p>
    <w:p>
      <w:pPr>
        <w:ind w:left="220" w:right="540"/>
        <w:spacing w:after="0" w:line="238" w:lineRule="auto"/>
        <w:rPr>
          <w:sz w:val="20"/>
          <w:szCs w:val="20"/>
          <w:color w:val="auto"/>
        </w:rPr>
      </w:pPr>
      <w:r>
        <w:rPr>
          <w:rFonts w:ascii="Arial" w:cs="Arial" w:eastAsia="Arial" w:hAnsi="Arial"/>
          <w:sz w:val="17"/>
          <w:szCs w:val="17"/>
          <w:color w:val="auto"/>
        </w:rPr>
        <w:t xml:space="preserve">The following condensed consolidating financial information is provided in compliance with the requirements of Section 13.4 of National Instrument 51-102 - </w:t>
      </w:r>
      <w:r>
        <w:rPr>
          <w:rFonts w:ascii="Arial" w:cs="Arial" w:eastAsia="Arial" w:hAnsi="Arial"/>
          <w:sz w:val="17"/>
          <w:szCs w:val="17"/>
          <w:i w:val="1"/>
          <w:iCs w:val="1"/>
          <w:color w:val="auto"/>
        </w:rPr>
        <w:t>Continuous Disclosure Obligations</w:t>
      </w:r>
      <w:r>
        <w:rPr>
          <w:rFonts w:ascii="Arial" w:cs="Arial" w:eastAsia="Arial" w:hAnsi="Arial"/>
          <w:sz w:val="17"/>
          <w:szCs w:val="17"/>
          <w:color w:val="auto"/>
        </w:rPr>
        <w:t xml:space="preserve"> providing for an exemption for certain credit support issuers. Thomson Reuters Corporation has also elected to provide the following supplemental financial information in accordance with Article 13 of Regulation S-X, as adopted by the SEC and set forth in SEC Release No. 33-10762.</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condensed consolidating financial information has been prepared in accordance with IFRS, as issued by the IASB and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116205</wp:posOffset>
            </wp:positionV>
            <wp:extent cx="68656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94"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77</w:t>
      </w:r>
    </w:p>
    <w:p>
      <w:pPr>
        <w:sectPr>
          <w:pgSz w:w="11900" w:h="16838" w:orient="portrait"/>
          <w:cols w:equalWidth="0" w:num="1">
            <w:col w:w="11040"/>
          </w:cols>
          <w:pgMar w:left="320" w:top="477" w:right="5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CONDENSED CONSOLIDATING INCOME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83185</wp:posOffset>
            </wp:positionV>
            <wp:extent cx="65881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588125" cy="8255"/>
                    </a:xfrm>
                    <a:prstGeom prst="rect">
                      <a:avLst/>
                    </a:prstGeom>
                    <a:noFill/>
                  </pic:spPr>
                </pic:pic>
              </a:graphicData>
            </a:graphic>
          </wp:anchor>
        </w:drawing>
      </w:r>
    </w:p>
    <w:p>
      <w:pPr>
        <w:spacing w:after="0" w:line="111"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4600" w:type="dxa"/>
            <w:vAlign w:val="bottom"/>
          </w:tcPr>
          <w:p>
            <w:pPr>
              <w:spacing w:after="0"/>
              <w:rPr>
                <w:sz w:val="14"/>
                <w:szCs w:val="14"/>
                <w:color w:val="auto"/>
              </w:rPr>
            </w:pPr>
          </w:p>
        </w:tc>
        <w:tc>
          <w:tcPr>
            <w:tcW w:w="720" w:type="dxa"/>
            <w:vAlign w:val="bottom"/>
            <w:shd w:val="clear" w:color="auto" w:fill="E3F3EE"/>
          </w:tcPr>
          <w:p>
            <w:pPr>
              <w:spacing w:after="0"/>
              <w:rPr>
                <w:sz w:val="14"/>
                <w:szCs w:val="14"/>
                <w:color w:val="auto"/>
              </w:rPr>
            </w:pPr>
          </w:p>
        </w:tc>
        <w:tc>
          <w:tcPr>
            <w:tcW w:w="920" w:type="dxa"/>
            <w:vAlign w:val="bottom"/>
            <w:shd w:val="clear" w:color="auto" w:fill="E3F3EE"/>
          </w:tcPr>
          <w:p>
            <w:pPr>
              <w:spacing w:after="0"/>
              <w:rPr>
                <w:sz w:val="14"/>
                <w:szCs w:val="14"/>
                <w:color w:val="auto"/>
              </w:rPr>
            </w:pPr>
          </w:p>
        </w:tc>
        <w:tc>
          <w:tcPr>
            <w:tcW w:w="3060" w:type="dxa"/>
            <w:vAlign w:val="bottom"/>
            <w:gridSpan w:val="3"/>
            <w:shd w:val="clear" w:color="auto" w:fill="E3F3EE"/>
          </w:tcPr>
          <w:p>
            <w:pPr>
              <w:jc w:val="right"/>
              <w:ind w:right="649"/>
              <w:spacing w:after="0"/>
              <w:rPr>
                <w:sz w:val="20"/>
                <w:szCs w:val="20"/>
                <w:color w:val="auto"/>
              </w:rPr>
            </w:pPr>
            <w:r>
              <w:rPr>
                <w:rFonts w:ascii="Arial" w:cs="Arial" w:eastAsia="Arial" w:hAnsi="Arial"/>
                <w:sz w:val="14"/>
                <w:szCs w:val="14"/>
                <w:b w:val="1"/>
                <w:bCs w:val="1"/>
                <w:color w:val="auto"/>
              </w:rPr>
              <w:t>Year ended December 31, 2024</w:t>
            </w:r>
          </w:p>
        </w:tc>
        <w:tc>
          <w:tcPr>
            <w:tcW w:w="1080" w:type="dxa"/>
            <w:vAlign w:val="bottom"/>
            <w:shd w:val="clear" w:color="auto" w:fill="E3F3EE"/>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0"/>
        </w:trPr>
        <w:tc>
          <w:tcPr>
            <w:tcW w:w="4600" w:type="dxa"/>
            <w:vAlign w:val="bottom"/>
            <w:shd w:val="clear" w:color="auto" w:fill="1F473D"/>
          </w:tcPr>
          <w:p>
            <w:pPr>
              <w:spacing w:after="0"/>
              <w:rPr>
                <w:sz w:val="13"/>
                <w:szCs w:val="13"/>
                <w:color w:val="auto"/>
              </w:rPr>
            </w:pPr>
          </w:p>
        </w:tc>
        <w:tc>
          <w:tcPr>
            <w:tcW w:w="720" w:type="dxa"/>
            <w:vAlign w:val="bottom"/>
            <w:shd w:val="clear" w:color="auto" w:fill="1F473D"/>
          </w:tcPr>
          <w:p>
            <w:pPr>
              <w:spacing w:after="0"/>
              <w:rPr>
                <w:sz w:val="13"/>
                <w:szCs w:val="13"/>
                <w:color w:val="auto"/>
              </w:rPr>
            </w:pPr>
          </w:p>
        </w:tc>
        <w:tc>
          <w:tcPr>
            <w:tcW w:w="920" w:type="dxa"/>
            <w:vAlign w:val="bottom"/>
            <w:shd w:val="clear" w:color="auto" w:fill="1F473D"/>
          </w:tcPr>
          <w:p>
            <w:pPr>
              <w:spacing w:after="0"/>
              <w:rPr>
                <w:sz w:val="13"/>
                <w:szCs w:val="13"/>
                <w:color w:val="auto"/>
              </w:rPr>
            </w:pPr>
          </w:p>
        </w:tc>
        <w:tc>
          <w:tcPr>
            <w:tcW w:w="980" w:type="dxa"/>
            <w:vAlign w:val="bottom"/>
            <w:shd w:val="clear" w:color="auto" w:fill="1F473D"/>
          </w:tcPr>
          <w:p>
            <w:pPr>
              <w:spacing w:after="0"/>
              <w:rPr>
                <w:sz w:val="13"/>
                <w:szCs w:val="13"/>
                <w:color w:val="auto"/>
              </w:rPr>
            </w:pPr>
          </w:p>
        </w:tc>
        <w:tc>
          <w:tcPr>
            <w:tcW w:w="1040" w:type="dxa"/>
            <w:vAlign w:val="bottom"/>
            <w:shd w:val="clear" w:color="auto" w:fill="1F473D"/>
          </w:tcPr>
          <w:p>
            <w:pPr>
              <w:jc w:val="right"/>
              <w:ind w:right="29"/>
              <w:spacing w:after="0" w:line="150" w:lineRule="exact"/>
              <w:rPr>
                <w:sz w:val="20"/>
                <w:szCs w:val="20"/>
                <w:color w:val="auto"/>
              </w:rPr>
            </w:pPr>
            <w:r>
              <w:rPr>
                <w:rFonts w:ascii="Arial" w:cs="Arial" w:eastAsia="Arial" w:hAnsi="Arial"/>
                <w:sz w:val="14"/>
                <w:szCs w:val="14"/>
                <w:b w:val="1"/>
                <w:bCs w:val="1"/>
                <w:color w:val="FFFFFF"/>
              </w:rPr>
              <w:t>Non-</w:t>
            </w:r>
          </w:p>
        </w:tc>
        <w:tc>
          <w:tcPr>
            <w:tcW w:w="1040" w:type="dxa"/>
            <w:vAlign w:val="bottom"/>
            <w:shd w:val="clear" w:color="auto" w:fill="1F473D"/>
          </w:tcPr>
          <w:p>
            <w:pPr>
              <w:spacing w:after="0"/>
              <w:rPr>
                <w:sz w:val="13"/>
                <w:szCs w:val="13"/>
                <w:color w:val="auto"/>
              </w:rPr>
            </w:pPr>
          </w:p>
        </w:tc>
        <w:tc>
          <w:tcPr>
            <w:tcW w:w="1080" w:type="dxa"/>
            <w:vAlign w:val="bottom"/>
            <w:shd w:val="clear" w:color="auto" w:fill="1F473D"/>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4600" w:type="dxa"/>
            <w:vAlign w:val="bottom"/>
            <w:shd w:val="clear" w:color="auto" w:fill="1F473D"/>
          </w:tcPr>
          <w:p>
            <w:pPr>
              <w:spacing w:after="0"/>
              <w:rPr>
                <w:sz w:val="13"/>
                <w:szCs w:val="13"/>
                <w:color w:val="auto"/>
              </w:rPr>
            </w:pPr>
          </w:p>
        </w:tc>
        <w:tc>
          <w:tcPr>
            <w:tcW w:w="720" w:type="dxa"/>
            <w:vAlign w:val="bottom"/>
            <w:shd w:val="clear" w:color="auto" w:fill="1F473D"/>
          </w:tcPr>
          <w:p>
            <w:pPr>
              <w:spacing w:after="0"/>
              <w:rPr>
                <w:sz w:val="13"/>
                <w:szCs w:val="13"/>
                <w:color w:val="auto"/>
              </w:rPr>
            </w:pPr>
          </w:p>
        </w:tc>
        <w:tc>
          <w:tcPr>
            <w:tcW w:w="920" w:type="dxa"/>
            <w:vAlign w:val="bottom"/>
            <w:shd w:val="clear" w:color="auto" w:fill="1F473D"/>
          </w:tcPr>
          <w:p>
            <w:pPr>
              <w:jc w:val="right"/>
              <w:ind w:right="29"/>
              <w:spacing w:after="0" w:line="159" w:lineRule="exact"/>
              <w:rPr>
                <w:sz w:val="20"/>
                <w:szCs w:val="20"/>
                <w:color w:val="auto"/>
              </w:rPr>
            </w:pPr>
            <w:r>
              <w:rPr>
                <w:rFonts w:ascii="Arial" w:cs="Arial" w:eastAsia="Arial" w:hAnsi="Arial"/>
                <w:sz w:val="14"/>
                <w:szCs w:val="14"/>
                <w:b w:val="1"/>
                <w:bCs w:val="1"/>
                <w:color w:val="FFFFFF"/>
              </w:rPr>
              <w:t>Subsidiary</w:t>
            </w:r>
          </w:p>
        </w:tc>
        <w:tc>
          <w:tcPr>
            <w:tcW w:w="980" w:type="dxa"/>
            <w:vAlign w:val="bottom"/>
            <w:shd w:val="clear" w:color="auto" w:fill="1F473D"/>
          </w:tcPr>
          <w:p>
            <w:pPr>
              <w:jc w:val="right"/>
              <w:ind w:right="29"/>
              <w:spacing w:after="0" w:line="159" w:lineRule="exact"/>
              <w:rPr>
                <w:sz w:val="20"/>
                <w:szCs w:val="20"/>
                <w:color w:val="auto"/>
              </w:rPr>
            </w:pPr>
            <w:r>
              <w:rPr>
                <w:rFonts w:ascii="Arial" w:cs="Arial" w:eastAsia="Arial" w:hAnsi="Arial"/>
                <w:sz w:val="14"/>
                <w:szCs w:val="14"/>
                <w:b w:val="1"/>
                <w:bCs w:val="1"/>
                <w:color w:val="FFFFFF"/>
              </w:rPr>
              <w:t>Subsidiary</w:t>
            </w:r>
          </w:p>
        </w:tc>
        <w:tc>
          <w:tcPr>
            <w:tcW w:w="1040" w:type="dxa"/>
            <w:vAlign w:val="bottom"/>
            <w:shd w:val="clear" w:color="auto" w:fill="1F473D"/>
          </w:tcPr>
          <w:p>
            <w:pPr>
              <w:jc w:val="right"/>
              <w:ind w:right="29"/>
              <w:spacing w:after="0" w:line="159" w:lineRule="exact"/>
              <w:rPr>
                <w:sz w:val="20"/>
                <w:szCs w:val="20"/>
                <w:color w:val="auto"/>
              </w:rPr>
            </w:pPr>
            <w:r>
              <w:rPr>
                <w:rFonts w:ascii="Arial" w:cs="Arial" w:eastAsia="Arial" w:hAnsi="Arial"/>
                <w:sz w:val="14"/>
                <w:szCs w:val="14"/>
                <w:b w:val="1"/>
                <w:bCs w:val="1"/>
                <w:color w:val="FFFFFF"/>
              </w:rPr>
              <w:t>Guarantor</w:t>
            </w:r>
          </w:p>
        </w:tc>
        <w:tc>
          <w:tcPr>
            <w:tcW w:w="1040" w:type="dxa"/>
            <w:vAlign w:val="bottom"/>
            <w:shd w:val="clear" w:color="auto" w:fill="1F473D"/>
          </w:tcPr>
          <w:p>
            <w:pPr>
              <w:spacing w:after="0"/>
              <w:rPr>
                <w:sz w:val="13"/>
                <w:szCs w:val="13"/>
                <w:color w:val="auto"/>
              </w:rPr>
            </w:pPr>
          </w:p>
        </w:tc>
        <w:tc>
          <w:tcPr>
            <w:tcW w:w="1080" w:type="dxa"/>
            <w:vAlign w:val="bottom"/>
            <w:shd w:val="clear" w:color="auto" w:fill="1F473D"/>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5"/>
        </w:trPr>
        <w:tc>
          <w:tcPr>
            <w:tcW w:w="460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4"/>
                <w:szCs w:val="14"/>
                <w:color w:val="FFFFFF"/>
              </w:rPr>
              <w:t>(millions of U.S. dollars)</w:t>
            </w:r>
          </w:p>
        </w:tc>
        <w:tc>
          <w:tcPr>
            <w:tcW w:w="720" w:type="dxa"/>
            <w:vAlign w:val="bottom"/>
            <w:tcBorders>
              <w:bottom w:val="single" w:sz="8" w:color="D64000"/>
            </w:tcBorders>
            <w:shd w:val="clear" w:color="auto" w:fill="1F473D"/>
          </w:tcPr>
          <w:p>
            <w:pPr>
              <w:jc w:val="right"/>
              <w:ind w:right="29"/>
              <w:spacing w:after="0"/>
              <w:rPr>
                <w:sz w:val="20"/>
                <w:szCs w:val="20"/>
                <w:color w:val="auto"/>
              </w:rPr>
            </w:pPr>
            <w:r>
              <w:rPr>
                <w:rFonts w:ascii="Arial" w:cs="Arial" w:eastAsia="Arial" w:hAnsi="Arial"/>
                <w:sz w:val="14"/>
                <w:szCs w:val="14"/>
                <w:b w:val="1"/>
                <w:bCs w:val="1"/>
                <w:color w:val="FFFFFF"/>
              </w:rPr>
              <w:t>Parent</w:t>
            </w:r>
          </w:p>
        </w:tc>
        <w:tc>
          <w:tcPr>
            <w:tcW w:w="920" w:type="dxa"/>
            <w:vAlign w:val="bottom"/>
            <w:tcBorders>
              <w:bottom w:val="single" w:sz="8" w:color="D64000"/>
            </w:tcBorders>
            <w:shd w:val="clear" w:color="auto" w:fill="1F473D"/>
          </w:tcPr>
          <w:p>
            <w:pPr>
              <w:jc w:val="right"/>
              <w:ind w:right="29"/>
              <w:spacing w:after="0"/>
              <w:rPr>
                <w:sz w:val="20"/>
                <w:szCs w:val="20"/>
                <w:color w:val="auto"/>
              </w:rPr>
            </w:pPr>
            <w:r>
              <w:rPr>
                <w:rFonts w:ascii="Arial" w:cs="Arial" w:eastAsia="Arial" w:hAnsi="Arial"/>
                <w:sz w:val="14"/>
                <w:szCs w:val="14"/>
                <w:b w:val="1"/>
                <w:bCs w:val="1"/>
                <w:color w:val="FFFFFF"/>
              </w:rPr>
              <w:t>Issuer</w:t>
            </w:r>
          </w:p>
        </w:tc>
        <w:tc>
          <w:tcPr>
            <w:tcW w:w="980" w:type="dxa"/>
            <w:vAlign w:val="bottom"/>
            <w:tcBorders>
              <w:bottom w:val="single" w:sz="8" w:color="D64000"/>
            </w:tcBorders>
            <w:shd w:val="clear" w:color="auto" w:fill="1F473D"/>
          </w:tcPr>
          <w:p>
            <w:pPr>
              <w:jc w:val="right"/>
              <w:ind w:right="29"/>
              <w:spacing w:after="0"/>
              <w:rPr>
                <w:sz w:val="20"/>
                <w:szCs w:val="20"/>
                <w:color w:val="auto"/>
              </w:rPr>
            </w:pPr>
            <w:r>
              <w:rPr>
                <w:rFonts w:ascii="Arial" w:cs="Arial" w:eastAsia="Arial" w:hAnsi="Arial"/>
                <w:sz w:val="14"/>
                <w:szCs w:val="14"/>
                <w:b w:val="1"/>
                <w:bCs w:val="1"/>
                <w:color w:val="FFFFFF"/>
              </w:rPr>
              <w:t>Guarantors</w:t>
            </w:r>
          </w:p>
        </w:tc>
        <w:tc>
          <w:tcPr>
            <w:tcW w:w="1040" w:type="dxa"/>
            <w:vAlign w:val="bottom"/>
            <w:tcBorders>
              <w:bottom w:val="single" w:sz="8" w:color="D64000"/>
            </w:tcBorders>
            <w:shd w:val="clear" w:color="auto" w:fill="1F473D"/>
          </w:tcPr>
          <w:p>
            <w:pPr>
              <w:jc w:val="right"/>
              <w:ind w:right="29"/>
              <w:spacing w:after="0"/>
              <w:rPr>
                <w:sz w:val="20"/>
                <w:szCs w:val="20"/>
                <w:color w:val="auto"/>
              </w:rPr>
            </w:pPr>
            <w:r>
              <w:rPr>
                <w:rFonts w:ascii="Arial" w:cs="Arial" w:eastAsia="Arial" w:hAnsi="Arial"/>
                <w:sz w:val="14"/>
                <w:szCs w:val="14"/>
                <w:b w:val="1"/>
                <w:bCs w:val="1"/>
                <w:color w:val="FFFFFF"/>
              </w:rPr>
              <w:t>Subsidiaries</w:t>
            </w:r>
          </w:p>
        </w:tc>
        <w:tc>
          <w:tcPr>
            <w:tcW w:w="1040" w:type="dxa"/>
            <w:vAlign w:val="bottom"/>
            <w:tcBorders>
              <w:bottom w:val="single" w:sz="8" w:color="D64000"/>
            </w:tcBorders>
            <w:shd w:val="clear" w:color="auto" w:fill="1F473D"/>
          </w:tcPr>
          <w:p>
            <w:pPr>
              <w:jc w:val="right"/>
              <w:ind w:right="29"/>
              <w:spacing w:after="0"/>
              <w:rPr>
                <w:sz w:val="20"/>
                <w:szCs w:val="20"/>
                <w:color w:val="auto"/>
              </w:rPr>
            </w:pPr>
            <w:r>
              <w:rPr>
                <w:rFonts w:ascii="Arial" w:cs="Arial" w:eastAsia="Arial" w:hAnsi="Arial"/>
                <w:sz w:val="14"/>
                <w:szCs w:val="14"/>
                <w:b w:val="1"/>
                <w:bCs w:val="1"/>
                <w:color w:val="FFFFFF"/>
              </w:rPr>
              <w:t>Eliminations</w:t>
            </w:r>
          </w:p>
        </w:tc>
        <w:tc>
          <w:tcPr>
            <w:tcW w:w="108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4"/>
                <w:szCs w:val="14"/>
                <w:b w:val="1"/>
                <w:bCs w:val="1"/>
                <w:color w:val="FFFFFF"/>
              </w:rPr>
              <w:t>Consolidated </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0"/>
        </w:trPr>
        <w:tc>
          <w:tcPr>
            <w:tcW w:w="4600" w:type="dxa"/>
            <w:vAlign w:val="bottom"/>
          </w:tcPr>
          <w:p>
            <w:pPr>
              <w:spacing w:after="0" w:line="150" w:lineRule="exact"/>
              <w:rPr>
                <w:sz w:val="20"/>
                <w:szCs w:val="20"/>
                <w:color w:val="auto"/>
              </w:rPr>
            </w:pPr>
            <w:r>
              <w:rPr>
                <w:rFonts w:ascii="Arial" w:cs="Arial" w:eastAsia="Arial" w:hAnsi="Arial"/>
                <w:sz w:val="14"/>
                <w:szCs w:val="14"/>
                <w:b w:val="1"/>
                <w:bCs w:val="1"/>
                <w:color w:val="auto"/>
              </w:rPr>
              <w:t>CONTINUING OPERATIONS</w:t>
            </w: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4600" w:type="dxa"/>
            <w:vAlign w:val="bottom"/>
          </w:tcPr>
          <w:p>
            <w:pPr>
              <w:spacing w:after="0" w:line="159" w:lineRule="exact"/>
              <w:rPr>
                <w:sz w:val="20"/>
                <w:szCs w:val="20"/>
                <w:color w:val="auto"/>
              </w:rPr>
            </w:pPr>
            <w:r>
              <w:rPr>
                <w:rFonts w:ascii="Arial" w:cs="Arial" w:eastAsia="Arial" w:hAnsi="Arial"/>
                <w:sz w:val="14"/>
                <w:szCs w:val="14"/>
                <w:color w:val="auto"/>
              </w:rPr>
              <w:t>Revenues</w:t>
            </w:r>
          </w:p>
        </w:tc>
        <w:tc>
          <w:tcPr>
            <w:tcW w:w="7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2,122</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5,679</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(543)</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b w:val="1"/>
                <w:bCs w:val="1"/>
                <w:color w:val="auto"/>
              </w:rPr>
              <w:t>7,258  </w:t>
            </w:r>
          </w:p>
        </w:tc>
      </w:tr>
      <w:tr>
        <w:trPr>
          <w:trHeight w:val="159"/>
        </w:trPr>
        <w:tc>
          <w:tcPr>
            <w:tcW w:w="4600" w:type="dxa"/>
            <w:vAlign w:val="bottom"/>
          </w:tcPr>
          <w:p>
            <w:pPr>
              <w:spacing w:after="0" w:line="159" w:lineRule="exact"/>
              <w:rPr>
                <w:sz w:val="20"/>
                <w:szCs w:val="20"/>
                <w:color w:val="auto"/>
              </w:rPr>
            </w:pPr>
            <w:r>
              <w:rPr>
                <w:rFonts w:ascii="Arial" w:cs="Arial" w:eastAsia="Arial" w:hAnsi="Arial"/>
                <w:sz w:val="14"/>
                <w:szCs w:val="14"/>
                <w:color w:val="auto"/>
              </w:rPr>
              <w:t>Operating expenses</w:t>
            </w:r>
          </w:p>
        </w:tc>
        <w:tc>
          <w:tcPr>
            <w:tcW w:w="7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(15)</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(1,575)</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(3,424)</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543</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b w:val="1"/>
                <w:bCs w:val="1"/>
                <w:color w:val="auto"/>
              </w:rPr>
              <w:t>(4,471)  </w:t>
            </w:r>
          </w:p>
        </w:tc>
      </w:tr>
      <w:tr>
        <w:trPr>
          <w:trHeight w:val="159"/>
        </w:trPr>
        <w:tc>
          <w:tcPr>
            <w:tcW w:w="4600" w:type="dxa"/>
            <w:vAlign w:val="bottom"/>
          </w:tcPr>
          <w:p>
            <w:pPr>
              <w:spacing w:after="0" w:line="159" w:lineRule="exact"/>
              <w:rPr>
                <w:sz w:val="20"/>
                <w:szCs w:val="20"/>
                <w:color w:val="auto"/>
              </w:rPr>
            </w:pPr>
            <w:r>
              <w:rPr>
                <w:rFonts w:ascii="Arial" w:cs="Arial" w:eastAsia="Arial" w:hAnsi="Arial"/>
                <w:sz w:val="14"/>
                <w:szCs w:val="14"/>
                <w:color w:val="auto"/>
              </w:rPr>
              <w:t>Depreciation</w:t>
            </w:r>
          </w:p>
        </w:tc>
        <w:tc>
          <w:tcPr>
            <w:tcW w:w="7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(36)</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(77)</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b w:val="1"/>
                <w:bCs w:val="1"/>
                <w:color w:val="auto"/>
              </w:rPr>
              <w:t>(113)  </w:t>
            </w:r>
          </w:p>
        </w:tc>
      </w:tr>
      <w:tr>
        <w:trPr>
          <w:trHeight w:val="159"/>
        </w:trPr>
        <w:tc>
          <w:tcPr>
            <w:tcW w:w="4600" w:type="dxa"/>
            <w:vAlign w:val="bottom"/>
          </w:tcPr>
          <w:p>
            <w:pPr>
              <w:spacing w:after="0" w:line="159" w:lineRule="exact"/>
              <w:rPr>
                <w:sz w:val="20"/>
                <w:szCs w:val="20"/>
                <w:color w:val="auto"/>
              </w:rPr>
            </w:pPr>
            <w:r>
              <w:rPr>
                <w:rFonts w:ascii="Arial" w:cs="Arial" w:eastAsia="Arial" w:hAnsi="Arial"/>
                <w:sz w:val="14"/>
                <w:szCs w:val="14"/>
                <w:color w:val="auto"/>
              </w:rPr>
              <w:t>Amortization of computer software</w:t>
            </w:r>
          </w:p>
        </w:tc>
        <w:tc>
          <w:tcPr>
            <w:tcW w:w="7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(16)</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(602)</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b w:val="1"/>
                <w:bCs w:val="1"/>
                <w:color w:val="auto"/>
              </w:rPr>
              <w:t>(618)  </w:t>
            </w:r>
          </w:p>
        </w:tc>
      </w:tr>
      <w:tr>
        <w:trPr>
          <w:trHeight w:val="159"/>
        </w:trPr>
        <w:tc>
          <w:tcPr>
            <w:tcW w:w="4600" w:type="dxa"/>
            <w:vAlign w:val="bottom"/>
          </w:tcPr>
          <w:p>
            <w:pPr>
              <w:spacing w:after="0" w:line="159" w:lineRule="exact"/>
              <w:rPr>
                <w:sz w:val="20"/>
                <w:szCs w:val="20"/>
                <w:color w:val="auto"/>
              </w:rPr>
            </w:pPr>
            <w:r>
              <w:rPr>
                <w:rFonts w:ascii="Arial" w:cs="Arial" w:eastAsia="Arial" w:hAnsi="Arial"/>
                <w:sz w:val="14"/>
                <w:szCs w:val="14"/>
                <w:color w:val="auto"/>
              </w:rPr>
              <w:t>Amortization of other identifiable intangible assets</w:t>
            </w:r>
          </w:p>
        </w:tc>
        <w:tc>
          <w:tcPr>
            <w:tcW w:w="7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(40)</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(51)</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b w:val="1"/>
                <w:bCs w:val="1"/>
                <w:color w:val="auto"/>
              </w:rPr>
              <w:t>(91)  </w:t>
            </w:r>
          </w:p>
        </w:tc>
      </w:tr>
      <w:tr>
        <w:trPr>
          <w:trHeight w:val="168"/>
        </w:trPr>
        <w:tc>
          <w:tcPr>
            <w:tcW w:w="4600" w:type="dxa"/>
            <w:vAlign w:val="bottom"/>
          </w:tcPr>
          <w:p>
            <w:pPr>
              <w:spacing w:after="0"/>
              <w:rPr>
                <w:sz w:val="20"/>
                <w:szCs w:val="20"/>
                <w:color w:val="auto"/>
              </w:rPr>
            </w:pPr>
            <w:r>
              <w:rPr>
                <w:rFonts w:ascii="Arial" w:cs="Arial" w:eastAsia="Arial" w:hAnsi="Arial"/>
                <w:sz w:val="14"/>
                <w:szCs w:val="14"/>
                <w:color w:val="auto"/>
              </w:rPr>
              <w:t>Other operating (losses) gains, net</w:t>
            </w:r>
          </w:p>
        </w:tc>
        <w:tc>
          <w:tcPr>
            <w:tcW w:w="720" w:type="dxa"/>
            <w:vAlign w:val="bottom"/>
          </w:tcPr>
          <w:p>
            <w:pPr>
              <w:jc w:val="right"/>
              <w:ind w:right="29"/>
              <w:spacing w:after="0"/>
              <w:rPr>
                <w:sz w:val="20"/>
                <w:szCs w:val="20"/>
                <w:color w:val="auto"/>
              </w:rPr>
            </w:pPr>
            <w:r>
              <w:rPr>
                <w:rFonts w:ascii="Arial" w:cs="Arial" w:eastAsia="Arial" w:hAnsi="Arial"/>
                <w:sz w:val="14"/>
                <w:szCs w:val="14"/>
                <w:b w:val="1"/>
                <w:bCs w:val="1"/>
                <w:color w:val="auto"/>
              </w:rPr>
              <w:t>(1)</w:t>
            </w:r>
          </w:p>
        </w:tc>
        <w:tc>
          <w:tcPr>
            <w:tcW w:w="92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b w:val="1"/>
                <w:bCs w:val="1"/>
                <w:color w:val="auto"/>
              </w:rPr>
              <w:t>56</w:t>
            </w:r>
          </w:p>
        </w:tc>
        <w:tc>
          <w:tcPr>
            <w:tcW w:w="1040" w:type="dxa"/>
            <w:vAlign w:val="bottom"/>
          </w:tcPr>
          <w:p>
            <w:pPr>
              <w:jc w:val="right"/>
              <w:ind w:right="29"/>
              <w:spacing w:after="0"/>
              <w:rPr>
                <w:sz w:val="20"/>
                <w:szCs w:val="20"/>
                <w:color w:val="auto"/>
              </w:rPr>
            </w:pPr>
            <w:r>
              <w:rPr>
                <w:rFonts w:ascii="Arial" w:cs="Arial" w:eastAsia="Arial" w:hAnsi="Arial"/>
                <w:sz w:val="14"/>
                <w:szCs w:val="14"/>
                <w:b w:val="1"/>
                <w:bCs w:val="1"/>
                <w:color w:val="auto"/>
              </w:rPr>
              <w:t>89</w:t>
            </w:r>
          </w:p>
        </w:tc>
        <w:tc>
          <w:tcPr>
            <w:tcW w:w="104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144  </w:t>
            </w:r>
          </w:p>
        </w:tc>
      </w:tr>
      <w:tr>
        <w:trPr>
          <w:trHeight w:val="143"/>
        </w:trPr>
        <w:tc>
          <w:tcPr>
            <w:tcW w:w="4600" w:type="dxa"/>
            <w:vAlign w:val="bottom"/>
            <w:tcBorders>
              <w:top w:val="single" w:sz="8" w:color="B2B2B2"/>
            </w:tcBorders>
          </w:tcPr>
          <w:p>
            <w:pPr>
              <w:spacing w:after="0" w:line="143" w:lineRule="exact"/>
              <w:rPr>
                <w:sz w:val="20"/>
                <w:szCs w:val="20"/>
                <w:color w:val="auto"/>
              </w:rPr>
            </w:pPr>
            <w:r>
              <w:rPr>
                <w:rFonts w:ascii="Arial" w:cs="Arial" w:eastAsia="Arial" w:hAnsi="Arial"/>
                <w:sz w:val="14"/>
                <w:szCs w:val="14"/>
                <w:color w:val="auto"/>
              </w:rPr>
              <w:t>Operating (loss) profit</w:t>
            </w:r>
          </w:p>
        </w:tc>
        <w:tc>
          <w:tcPr>
            <w:tcW w:w="72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b w:val="1"/>
                <w:bCs w:val="1"/>
                <w:color w:val="auto"/>
              </w:rPr>
              <w:t>(16)</w:t>
            </w:r>
          </w:p>
        </w:tc>
        <w:tc>
          <w:tcPr>
            <w:tcW w:w="92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b w:val="1"/>
                <w:bCs w:val="1"/>
                <w:color w:val="auto"/>
              </w:rPr>
              <w:t>511</w:t>
            </w:r>
          </w:p>
        </w:tc>
        <w:tc>
          <w:tcPr>
            <w:tcW w:w="104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b w:val="1"/>
                <w:bCs w:val="1"/>
                <w:color w:val="auto"/>
              </w:rPr>
              <w:t>1,614</w:t>
            </w:r>
          </w:p>
        </w:tc>
        <w:tc>
          <w:tcPr>
            <w:tcW w:w="104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B2B2B2"/>
            </w:tcBorders>
          </w:tcPr>
          <w:p>
            <w:pPr>
              <w:jc w:val="right"/>
              <w:spacing w:after="0" w:line="143" w:lineRule="exact"/>
              <w:rPr>
                <w:sz w:val="20"/>
                <w:szCs w:val="20"/>
                <w:color w:val="auto"/>
              </w:rPr>
            </w:pPr>
            <w:r>
              <w:rPr>
                <w:rFonts w:ascii="Arial" w:cs="Arial" w:eastAsia="Arial" w:hAnsi="Arial"/>
                <w:sz w:val="14"/>
                <w:szCs w:val="14"/>
                <w:b w:val="1"/>
                <w:bCs w:val="1"/>
                <w:color w:val="auto"/>
              </w:rPr>
              <w:t>2,109  </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4600" w:type="dxa"/>
            <w:vAlign w:val="bottom"/>
          </w:tcPr>
          <w:p>
            <w:pPr>
              <w:spacing w:after="0" w:line="159" w:lineRule="exact"/>
              <w:rPr>
                <w:sz w:val="20"/>
                <w:szCs w:val="20"/>
                <w:color w:val="auto"/>
              </w:rPr>
            </w:pPr>
            <w:r>
              <w:rPr>
                <w:rFonts w:ascii="Arial" w:cs="Arial" w:eastAsia="Arial" w:hAnsi="Arial"/>
                <w:sz w:val="14"/>
                <w:szCs w:val="14"/>
                <w:color w:val="auto"/>
              </w:rPr>
              <w:t>Finance (costs) income, net:</w:t>
            </w: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b w:val="1"/>
                <w:bCs w:val="1"/>
                <w:color w:val="auto"/>
              </w:rPr>
              <w:t>  </w:t>
            </w:r>
          </w:p>
        </w:tc>
      </w:tr>
      <w:tr>
        <w:trPr>
          <w:trHeight w:val="159"/>
        </w:trPr>
        <w:tc>
          <w:tcPr>
            <w:tcW w:w="4600" w:type="dxa"/>
            <w:vAlign w:val="bottom"/>
          </w:tcPr>
          <w:p>
            <w:pPr>
              <w:ind w:left="160"/>
              <w:spacing w:after="0" w:line="159" w:lineRule="exact"/>
              <w:rPr>
                <w:sz w:val="20"/>
                <w:szCs w:val="20"/>
                <w:color w:val="auto"/>
              </w:rPr>
            </w:pPr>
            <w:r>
              <w:rPr>
                <w:rFonts w:ascii="Arial" w:cs="Arial" w:eastAsia="Arial" w:hAnsi="Arial"/>
                <w:sz w:val="14"/>
                <w:szCs w:val="14"/>
                <w:color w:val="auto"/>
              </w:rPr>
              <w:t>Net interest (expense) income</w:t>
            </w:r>
          </w:p>
        </w:tc>
        <w:tc>
          <w:tcPr>
            <w:tcW w:w="7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(137)</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6</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6</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b w:val="1"/>
                <w:bCs w:val="1"/>
                <w:color w:val="auto"/>
              </w:rPr>
              <w:t>(125)  </w:t>
            </w:r>
          </w:p>
        </w:tc>
      </w:tr>
      <w:tr>
        <w:trPr>
          <w:trHeight w:val="159"/>
        </w:trPr>
        <w:tc>
          <w:tcPr>
            <w:tcW w:w="4600" w:type="dxa"/>
            <w:vAlign w:val="bottom"/>
          </w:tcPr>
          <w:p>
            <w:pPr>
              <w:ind w:left="160"/>
              <w:spacing w:after="0" w:line="159" w:lineRule="exact"/>
              <w:rPr>
                <w:sz w:val="20"/>
                <w:szCs w:val="20"/>
                <w:color w:val="auto"/>
              </w:rPr>
            </w:pPr>
            <w:r>
              <w:rPr>
                <w:rFonts w:ascii="Arial" w:cs="Arial" w:eastAsia="Arial" w:hAnsi="Arial"/>
                <w:sz w:val="14"/>
                <w:szCs w:val="14"/>
                <w:color w:val="auto"/>
              </w:rPr>
              <w:t>Other finance (costs) income</w:t>
            </w:r>
          </w:p>
        </w:tc>
        <w:tc>
          <w:tcPr>
            <w:tcW w:w="7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(30)</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1</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74</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b w:val="1"/>
                <w:bCs w:val="1"/>
                <w:color w:val="auto"/>
              </w:rPr>
              <w:t>45  </w:t>
            </w:r>
          </w:p>
        </w:tc>
      </w:tr>
      <w:tr>
        <w:trPr>
          <w:trHeight w:val="168"/>
        </w:trPr>
        <w:tc>
          <w:tcPr>
            <w:tcW w:w="4600" w:type="dxa"/>
            <w:vAlign w:val="bottom"/>
          </w:tcPr>
          <w:p>
            <w:pPr>
              <w:ind w:left="160"/>
              <w:spacing w:after="0"/>
              <w:rPr>
                <w:sz w:val="20"/>
                <w:szCs w:val="20"/>
                <w:color w:val="auto"/>
              </w:rPr>
            </w:pPr>
            <w:r>
              <w:rPr>
                <w:rFonts w:ascii="Arial" w:cs="Arial" w:eastAsia="Arial" w:hAnsi="Arial"/>
                <w:sz w:val="14"/>
                <w:szCs w:val="14"/>
                <w:color w:val="auto"/>
              </w:rPr>
              <w:t>Intercompany net interest income (expense)</w:t>
            </w:r>
          </w:p>
        </w:tc>
        <w:tc>
          <w:tcPr>
            <w:tcW w:w="720" w:type="dxa"/>
            <w:vAlign w:val="bottom"/>
          </w:tcPr>
          <w:p>
            <w:pPr>
              <w:jc w:val="right"/>
              <w:ind w:right="29"/>
              <w:spacing w:after="0"/>
              <w:rPr>
                <w:sz w:val="20"/>
                <w:szCs w:val="20"/>
                <w:color w:val="auto"/>
              </w:rPr>
            </w:pPr>
            <w:r>
              <w:rPr>
                <w:rFonts w:ascii="Arial" w:cs="Arial" w:eastAsia="Arial" w:hAnsi="Arial"/>
                <w:sz w:val="14"/>
                <w:szCs w:val="14"/>
                <w:b w:val="1"/>
                <w:bCs w:val="1"/>
                <w:color w:val="auto"/>
              </w:rPr>
              <w:t>116</w:t>
            </w:r>
          </w:p>
        </w:tc>
        <w:tc>
          <w:tcPr>
            <w:tcW w:w="92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b w:val="1"/>
                <w:bCs w:val="1"/>
                <w:color w:val="auto"/>
              </w:rPr>
              <w:t>(59)</w:t>
            </w:r>
          </w:p>
        </w:tc>
        <w:tc>
          <w:tcPr>
            <w:tcW w:w="1040" w:type="dxa"/>
            <w:vAlign w:val="bottom"/>
          </w:tcPr>
          <w:p>
            <w:pPr>
              <w:jc w:val="right"/>
              <w:ind w:right="29"/>
              <w:spacing w:after="0"/>
              <w:rPr>
                <w:sz w:val="20"/>
                <w:szCs w:val="20"/>
                <w:color w:val="auto"/>
              </w:rPr>
            </w:pPr>
            <w:r>
              <w:rPr>
                <w:rFonts w:ascii="Arial" w:cs="Arial" w:eastAsia="Arial" w:hAnsi="Arial"/>
                <w:sz w:val="14"/>
                <w:szCs w:val="14"/>
                <w:b w:val="1"/>
                <w:bCs w:val="1"/>
                <w:color w:val="auto"/>
              </w:rPr>
              <w:t>(57)</w:t>
            </w:r>
          </w:p>
        </w:tc>
        <w:tc>
          <w:tcPr>
            <w:tcW w:w="104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  </w:t>
            </w:r>
          </w:p>
        </w:tc>
      </w:tr>
      <w:tr>
        <w:trPr>
          <w:trHeight w:val="143"/>
        </w:trPr>
        <w:tc>
          <w:tcPr>
            <w:tcW w:w="4600" w:type="dxa"/>
            <w:vAlign w:val="bottom"/>
            <w:tcBorders>
              <w:top w:val="single" w:sz="8" w:color="B2B2B2"/>
            </w:tcBorders>
          </w:tcPr>
          <w:p>
            <w:pPr>
              <w:spacing w:after="0" w:line="143" w:lineRule="exact"/>
              <w:rPr>
                <w:sz w:val="20"/>
                <w:szCs w:val="20"/>
                <w:color w:val="auto"/>
              </w:rPr>
            </w:pPr>
            <w:r>
              <w:rPr>
                <w:rFonts w:ascii="Arial" w:cs="Arial" w:eastAsia="Arial" w:hAnsi="Arial"/>
                <w:sz w:val="14"/>
                <w:szCs w:val="14"/>
                <w:color w:val="auto"/>
              </w:rPr>
              <w:t>(Loss) income before tax and equity method investments</w:t>
            </w:r>
          </w:p>
        </w:tc>
        <w:tc>
          <w:tcPr>
            <w:tcW w:w="72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b w:val="1"/>
                <w:bCs w:val="1"/>
                <w:color w:val="auto"/>
              </w:rPr>
              <w:t>(67)</w:t>
            </w:r>
          </w:p>
        </w:tc>
        <w:tc>
          <w:tcPr>
            <w:tcW w:w="92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b w:val="1"/>
                <w:bCs w:val="1"/>
                <w:color w:val="auto"/>
              </w:rPr>
              <w:t>459</w:t>
            </w:r>
          </w:p>
        </w:tc>
        <w:tc>
          <w:tcPr>
            <w:tcW w:w="104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b w:val="1"/>
                <w:bCs w:val="1"/>
                <w:color w:val="auto"/>
              </w:rPr>
              <w:t>1,637</w:t>
            </w:r>
          </w:p>
        </w:tc>
        <w:tc>
          <w:tcPr>
            <w:tcW w:w="104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B2B2B2"/>
            </w:tcBorders>
          </w:tcPr>
          <w:p>
            <w:pPr>
              <w:jc w:val="right"/>
              <w:spacing w:after="0" w:line="143" w:lineRule="exact"/>
              <w:rPr>
                <w:sz w:val="20"/>
                <w:szCs w:val="20"/>
                <w:color w:val="auto"/>
              </w:rPr>
            </w:pPr>
            <w:r>
              <w:rPr>
                <w:rFonts w:ascii="Arial" w:cs="Arial" w:eastAsia="Arial" w:hAnsi="Arial"/>
                <w:sz w:val="14"/>
                <w:szCs w:val="14"/>
                <w:b w:val="1"/>
                <w:bCs w:val="1"/>
                <w:color w:val="auto"/>
              </w:rPr>
              <w:t>2,029  </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4600" w:type="dxa"/>
            <w:vAlign w:val="bottom"/>
          </w:tcPr>
          <w:p>
            <w:pPr>
              <w:spacing w:after="0" w:line="159" w:lineRule="exact"/>
              <w:rPr>
                <w:sz w:val="20"/>
                <w:szCs w:val="20"/>
                <w:color w:val="auto"/>
              </w:rPr>
            </w:pPr>
            <w:r>
              <w:rPr>
                <w:rFonts w:ascii="Arial" w:cs="Arial" w:eastAsia="Arial" w:hAnsi="Arial"/>
                <w:sz w:val="14"/>
                <w:szCs w:val="14"/>
                <w:color w:val="auto"/>
              </w:rPr>
              <w:t>Share of post-tax earnings in equity method investments</w:t>
            </w:r>
          </w:p>
        </w:tc>
        <w:tc>
          <w:tcPr>
            <w:tcW w:w="7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40</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b w:val="1"/>
                <w:bCs w:val="1"/>
                <w:color w:val="auto"/>
              </w:rPr>
              <w:t>40  </w:t>
            </w:r>
          </w:p>
        </w:tc>
      </w:tr>
      <w:tr>
        <w:trPr>
          <w:trHeight w:val="159"/>
        </w:trPr>
        <w:tc>
          <w:tcPr>
            <w:tcW w:w="4600" w:type="dxa"/>
            <w:vAlign w:val="bottom"/>
          </w:tcPr>
          <w:p>
            <w:pPr>
              <w:spacing w:after="0" w:line="159" w:lineRule="exact"/>
              <w:rPr>
                <w:sz w:val="20"/>
                <w:szCs w:val="20"/>
                <w:color w:val="auto"/>
              </w:rPr>
            </w:pPr>
            <w:r>
              <w:rPr>
                <w:rFonts w:ascii="Arial" w:cs="Arial" w:eastAsia="Arial" w:hAnsi="Arial"/>
                <w:sz w:val="14"/>
                <w:szCs w:val="14"/>
                <w:color w:val="auto"/>
              </w:rPr>
              <w:t>Share of post-tax earnings (losses) in subsidiaries</w:t>
            </w:r>
          </w:p>
        </w:tc>
        <w:tc>
          <w:tcPr>
            <w:tcW w:w="7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2,034</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(2)</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340</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(2,372)</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b w:val="1"/>
                <w:bCs w:val="1"/>
                <w:color w:val="auto"/>
              </w:rPr>
              <w:t>-  </w:t>
            </w:r>
          </w:p>
        </w:tc>
      </w:tr>
      <w:tr>
        <w:trPr>
          <w:trHeight w:val="168"/>
        </w:trPr>
        <w:tc>
          <w:tcPr>
            <w:tcW w:w="4600" w:type="dxa"/>
            <w:vAlign w:val="bottom"/>
          </w:tcPr>
          <w:p>
            <w:pPr>
              <w:spacing w:after="0"/>
              <w:rPr>
                <w:sz w:val="20"/>
                <w:szCs w:val="20"/>
                <w:color w:val="auto"/>
              </w:rPr>
            </w:pPr>
            <w:r>
              <w:rPr>
                <w:rFonts w:ascii="Arial" w:cs="Arial" w:eastAsia="Arial" w:hAnsi="Arial"/>
                <w:sz w:val="14"/>
                <w:szCs w:val="14"/>
                <w:color w:val="auto"/>
              </w:rPr>
              <w:t>Tax benefit (expense)</w:t>
            </w:r>
          </w:p>
        </w:tc>
        <w:tc>
          <w:tcPr>
            <w:tcW w:w="720" w:type="dxa"/>
            <w:vAlign w:val="bottom"/>
          </w:tcPr>
          <w:p>
            <w:pPr>
              <w:jc w:val="right"/>
              <w:ind w:right="29"/>
              <w:spacing w:after="0"/>
              <w:rPr>
                <w:sz w:val="20"/>
                <w:szCs w:val="20"/>
                <w:color w:val="auto"/>
              </w:rPr>
            </w:pPr>
            <w:r>
              <w:rPr>
                <w:rFonts w:ascii="Arial" w:cs="Arial" w:eastAsia="Arial" w:hAnsi="Arial"/>
                <w:sz w:val="14"/>
                <w:szCs w:val="14"/>
                <w:b w:val="1"/>
                <w:bCs w:val="1"/>
                <w:color w:val="auto"/>
              </w:rPr>
              <w:t>240</w:t>
            </w:r>
          </w:p>
        </w:tc>
        <w:tc>
          <w:tcPr>
            <w:tcW w:w="92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b w:val="1"/>
                <w:bCs w:val="1"/>
                <w:color w:val="auto"/>
              </w:rPr>
              <w:t>(119)</w:t>
            </w:r>
          </w:p>
        </w:tc>
        <w:tc>
          <w:tcPr>
            <w:tcW w:w="1040" w:type="dxa"/>
            <w:vAlign w:val="bottom"/>
          </w:tcPr>
          <w:p>
            <w:pPr>
              <w:jc w:val="right"/>
              <w:ind w:right="29"/>
              <w:spacing w:after="0"/>
              <w:rPr>
                <w:sz w:val="20"/>
                <w:szCs w:val="20"/>
                <w:color w:val="auto"/>
              </w:rPr>
            </w:pPr>
            <w:r>
              <w:rPr>
                <w:rFonts w:ascii="Arial" w:cs="Arial" w:eastAsia="Arial" w:hAnsi="Arial"/>
                <w:sz w:val="14"/>
                <w:szCs w:val="14"/>
                <w:b w:val="1"/>
                <w:bCs w:val="1"/>
                <w:color w:val="auto"/>
              </w:rPr>
              <w:t>2</w:t>
            </w:r>
          </w:p>
        </w:tc>
        <w:tc>
          <w:tcPr>
            <w:tcW w:w="104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123  </w:t>
            </w:r>
          </w:p>
        </w:tc>
      </w:tr>
      <w:tr>
        <w:trPr>
          <w:trHeight w:val="143"/>
        </w:trPr>
        <w:tc>
          <w:tcPr>
            <w:tcW w:w="4600" w:type="dxa"/>
            <w:vAlign w:val="bottom"/>
            <w:tcBorders>
              <w:top w:val="single" w:sz="8" w:color="B2B2B2"/>
            </w:tcBorders>
          </w:tcPr>
          <w:p>
            <w:pPr>
              <w:spacing w:after="0" w:line="143" w:lineRule="exact"/>
              <w:rPr>
                <w:sz w:val="20"/>
                <w:szCs w:val="20"/>
                <w:color w:val="auto"/>
              </w:rPr>
            </w:pPr>
            <w:r>
              <w:rPr>
                <w:rFonts w:ascii="Arial" w:cs="Arial" w:eastAsia="Arial" w:hAnsi="Arial"/>
                <w:sz w:val="14"/>
                <w:szCs w:val="14"/>
                <w:b w:val="1"/>
                <w:bCs w:val="1"/>
                <w:color w:val="auto"/>
              </w:rPr>
              <w:t>Earnings from continuing operations</w:t>
            </w:r>
          </w:p>
        </w:tc>
        <w:tc>
          <w:tcPr>
            <w:tcW w:w="72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b w:val="1"/>
                <w:bCs w:val="1"/>
                <w:color w:val="auto"/>
              </w:rPr>
              <w:t>2,207</w:t>
            </w:r>
          </w:p>
        </w:tc>
        <w:tc>
          <w:tcPr>
            <w:tcW w:w="92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b w:val="1"/>
                <w:bCs w:val="1"/>
                <w:color w:val="auto"/>
              </w:rPr>
              <w:t>338</w:t>
            </w:r>
          </w:p>
        </w:tc>
        <w:tc>
          <w:tcPr>
            <w:tcW w:w="104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b w:val="1"/>
                <w:bCs w:val="1"/>
                <w:color w:val="auto"/>
              </w:rPr>
              <w:t>2,019</w:t>
            </w:r>
          </w:p>
        </w:tc>
        <w:tc>
          <w:tcPr>
            <w:tcW w:w="104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b w:val="1"/>
                <w:bCs w:val="1"/>
                <w:color w:val="auto"/>
              </w:rPr>
              <w:t>(2,372)</w:t>
            </w:r>
          </w:p>
        </w:tc>
        <w:tc>
          <w:tcPr>
            <w:tcW w:w="1080" w:type="dxa"/>
            <w:vAlign w:val="bottom"/>
            <w:tcBorders>
              <w:top w:val="single" w:sz="8" w:color="B2B2B2"/>
            </w:tcBorders>
          </w:tcPr>
          <w:p>
            <w:pPr>
              <w:jc w:val="right"/>
              <w:spacing w:after="0" w:line="143" w:lineRule="exact"/>
              <w:rPr>
                <w:sz w:val="20"/>
                <w:szCs w:val="20"/>
                <w:color w:val="auto"/>
              </w:rPr>
            </w:pPr>
            <w:r>
              <w:rPr>
                <w:rFonts w:ascii="Arial" w:cs="Arial" w:eastAsia="Arial" w:hAnsi="Arial"/>
                <w:sz w:val="14"/>
                <w:szCs w:val="14"/>
                <w:b w:val="1"/>
                <w:bCs w:val="1"/>
                <w:color w:val="auto"/>
              </w:rPr>
              <w:t>2,192  </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8"/>
        </w:trPr>
        <w:tc>
          <w:tcPr>
            <w:tcW w:w="4600" w:type="dxa"/>
            <w:vAlign w:val="bottom"/>
          </w:tcPr>
          <w:p>
            <w:pPr>
              <w:spacing w:after="0"/>
              <w:rPr>
                <w:sz w:val="20"/>
                <w:szCs w:val="20"/>
                <w:color w:val="auto"/>
              </w:rPr>
            </w:pPr>
            <w:r>
              <w:rPr>
                <w:rFonts w:ascii="Arial" w:cs="Arial" w:eastAsia="Arial" w:hAnsi="Arial"/>
                <w:sz w:val="14"/>
                <w:szCs w:val="14"/>
                <w:color w:val="auto"/>
              </w:rPr>
              <w:t>Earnings from discontinued operations, net of tax</w:t>
            </w:r>
          </w:p>
        </w:tc>
        <w:tc>
          <w:tcPr>
            <w:tcW w:w="72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29"/>
              <w:spacing w:after="0"/>
              <w:rPr>
                <w:sz w:val="20"/>
                <w:szCs w:val="20"/>
                <w:color w:val="auto"/>
              </w:rPr>
            </w:pPr>
            <w:r>
              <w:rPr>
                <w:rFonts w:ascii="Arial" w:cs="Arial" w:eastAsia="Arial" w:hAnsi="Arial"/>
                <w:sz w:val="14"/>
                <w:szCs w:val="14"/>
                <w:b w:val="1"/>
                <w:bCs w:val="1"/>
                <w:color w:val="auto"/>
              </w:rPr>
              <w:t>15</w:t>
            </w:r>
          </w:p>
        </w:tc>
        <w:tc>
          <w:tcPr>
            <w:tcW w:w="104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15  </w:t>
            </w:r>
          </w:p>
        </w:tc>
      </w:tr>
      <w:tr>
        <w:trPr>
          <w:trHeight w:val="152"/>
        </w:trPr>
        <w:tc>
          <w:tcPr>
            <w:tcW w:w="4600" w:type="dxa"/>
            <w:vAlign w:val="bottom"/>
            <w:tcBorders>
              <w:top w:val="single" w:sz="8" w:color="B2B2B2"/>
              <w:bottom w:val="single" w:sz="8" w:color="B2B2B2"/>
            </w:tcBorders>
          </w:tcPr>
          <w:p>
            <w:pPr>
              <w:spacing w:after="0" w:line="152" w:lineRule="exact"/>
              <w:rPr>
                <w:sz w:val="20"/>
                <w:szCs w:val="20"/>
                <w:color w:val="auto"/>
              </w:rPr>
            </w:pPr>
            <w:r>
              <w:rPr>
                <w:rFonts w:ascii="Arial" w:cs="Arial" w:eastAsia="Arial" w:hAnsi="Arial"/>
                <w:sz w:val="14"/>
                <w:szCs w:val="14"/>
                <w:color w:val="auto"/>
              </w:rPr>
              <w:t>Net earnings</w:t>
            </w:r>
          </w:p>
        </w:tc>
        <w:tc>
          <w:tcPr>
            <w:tcW w:w="720" w:type="dxa"/>
            <w:vAlign w:val="bottom"/>
            <w:tcBorders>
              <w:top w:val="single" w:sz="8" w:color="B2B2B2"/>
              <w:bottom w:val="single" w:sz="8" w:color="B2B2B2"/>
            </w:tcBorders>
          </w:tcPr>
          <w:p>
            <w:pPr>
              <w:jc w:val="right"/>
              <w:ind w:right="29"/>
              <w:spacing w:after="0" w:line="152" w:lineRule="exact"/>
              <w:rPr>
                <w:sz w:val="20"/>
                <w:szCs w:val="20"/>
                <w:color w:val="auto"/>
              </w:rPr>
            </w:pPr>
            <w:r>
              <w:rPr>
                <w:rFonts w:ascii="Arial" w:cs="Arial" w:eastAsia="Arial" w:hAnsi="Arial"/>
                <w:sz w:val="14"/>
                <w:szCs w:val="14"/>
                <w:b w:val="1"/>
                <w:bCs w:val="1"/>
                <w:color w:val="auto"/>
              </w:rPr>
              <w:t>2,207</w:t>
            </w:r>
          </w:p>
        </w:tc>
        <w:tc>
          <w:tcPr>
            <w:tcW w:w="920" w:type="dxa"/>
            <w:vAlign w:val="bottom"/>
            <w:tcBorders>
              <w:top w:val="single" w:sz="8" w:color="B2B2B2"/>
              <w:bottom w:val="single" w:sz="8" w:color="B2B2B2"/>
            </w:tcBorders>
          </w:tcPr>
          <w:p>
            <w:pPr>
              <w:jc w:val="right"/>
              <w:ind w:right="29"/>
              <w:spacing w:after="0" w:line="152" w:lineRule="exact"/>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B2B2B2"/>
              <w:bottom w:val="single" w:sz="8" w:color="B2B2B2"/>
            </w:tcBorders>
          </w:tcPr>
          <w:p>
            <w:pPr>
              <w:jc w:val="right"/>
              <w:ind w:right="29"/>
              <w:spacing w:after="0" w:line="152" w:lineRule="exact"/>
              <w:rPr>
                <w:sz w:val="20"/>
                <w:szCs w:val="20"/>
                <w:color w:val="auto"/>
              </w:rPr>
            </w:pPr>
            <w:r>
              <w:rPr>
                <w:rFonts w:ascii="Arial" w:cs="Arial" w:eastAsia="Arial" w:hAnsi="Arial"/>
                <w:sz w:val="14"/>
                <w:szCs w:val="14"/>
                <w:b w:val="1"/>
                <w:bCs w:val="1"/>
                <w:color w:val="auto"/>
              </w:rPr>
              <w:t>338</w:t>
            </w:r>
          </w:p>
        </w:tc>
        <w:tc>
          <w:tcPr>
            <w:tcW w:w="1040" w:type="dxa"/>
            <w:vAlign w:val="bottom"/>
            <w:tcBorders>
              <w:top w:val="single" w:sz="8" w:color="B2B2B2"/>
              <w:bottom w:val="single" w:sz="8" w:color="B2B2B2"/>
            </w:tcBorders>
          </w:tcPr>
          <w:p>
            <w:pPr>
              <w:jc w:val="right"/>
              <w:ind w:right="29"/>
              <w:spacing w:after="0" w:line="152" w:lineRule="exact"/>
              <w:rPr>
                <w:sz w:val="20"/>
                <w:szCs w:val="20"/>
                <w:color w:val="auto"/>
              </w:rPr>
            </w:pPr>
            <w:r>
              <w:rPr>
                <w:rFonts w:ascii="Arial" w:cs="Arial" w:eastAsia="Arial" w:hAnsi="Arial"/>
                <w:sz w:val="14"/>
                <w:szCs w:val="14"/>
                <w:b w:val="1"/>
                <w:bCs w:val="1"/>
                <w:color w:val="auto"/>
              </w:rPr>
              <w:t>2,034</w:t>
            </w:r>
          </w:p>
        </w:tc>
        <w:tc>
          <w:tcPr>
            <w:tcW w:w="1040" w:type="dxa"/>
            <w:vAlign w:val="bottom"/>
            <w:tcBorders>
              <w:top w:val="single" w:sz="8" w:color="B2B2B2"/>
              <w:bottom w:val="single" w:sz="8" w:color="B2B2B2"/>
            </w:tcBorders>
          </w:tcPr>
          <w:p>
            <w:pPr>
              <w:jc w:val="right"/>
              <w:ind w:right="29"/>
              <w:spacing w:after="0" w:line="152" w:lineRule="exact"/>
              <w:rPr>
                <w:sz w:val="20"/>
                <w:szCs w:val="20"/>
                <w:color w:val="auto"/>
              </w:rPr>
            </w:pPr>
            <w:r>
              <w:rPr>
                <w:rFonts w:ascii="Arial" w:cs="Arial" w:eastAsia="Arial" w:hAnsi="Arial"/>
                <w:sz w:val="14"/>
                <w:szCs w:val="14"/>
                <w:b w:val="1"/>
                <w:bCs w:val="1"/>
                <w:color w:val="auto"/>
              </w:rPr>
              <w:t>(2,372)</w:t>
            </w:r>
          </w:p>
        </w:tc>
        <w:tc>
          <w:tcPr>
            <w:tcW w:w="1080" w:type="dxa"/>
            <w:vAlign w:val="bottom"/>
            <w:tcBorders>
              <w:top w:val="single" w:sz="8" w:color="B2B2B2"/>
              <w:bottom w:val="single" w:sz="8" w:color="B2B2B2"/>
            </w:tcBorders>
          </w:tcPr>
          <w:p>
            <w:pPr>
              <w:jc w:val="right"/>
              <w:spacing w:after="0" w:line="152" w:lineRule="exact"/>
              <w:rPr>
                <w:sz w:val="20"/>
                <w:szCs w:val="20"/>
                <w:color w:val="auto"/>
              </w:rPr>
            </w:pPr>
            <w:r>
              <w:rPr>
                <w:rFonts w:ascii="Arial" w:cs="Arial" w:eastAsia="Arial" w:hAnsi="Arial"/>
                <w:sz w:val="14"/>
                <w:szCs w:val="14"/>
                <w:b w:val="1"/>
                <w:bCs w:val="1"/>
                <w:color w:val="auto"/>
              </w:rPr>
              <w:t>2,207  </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3"/>
        </w:trPr>
        <w:tc>
          <w:tcPr>
            <w:tcW w:w="4600" w:type="dxa"/>
            <w:vAlign w:val="bottom"/>
          </w:tcPr>
          <w:p>
            <w:pPr>
              <w:spacing w:after="0" w:line="143" w:lineRule="exact"/>
              <w:rPr>
                <w:sz w:val="20"/>
                <w:szCs w:val="20"/>
                <w:color w:val="auto"/>
              </w:rPr>
            </w:pPr>
            <w:r>
              <w:rPr>
                <w:rFonts w:ascii="Arial" w:cs="Arial" w:eastAsia="Arial" w:hAnsi="Arial"/>
                <w:sz w:val="14"/>
                <w:szCs w:val="14"/>
                <w:color w:val="auto"/>
              </w:rPr>
              <w:t>Earnings (loss) attributable to:</w:t>
            </w: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  </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4600" w:type="dxa"/>
            <w:vAlign w:val="bottom"/>
          </w:tcPr>
          <w:p>
            <w:pPr>
              <w:spacing w:after="0" w:line="159" w:lineRule="exact"/>
              <w:rPr>
                <w:sz w:val="20"/>
                <w:szCs w:val="20"/>
                <w:color w:val="auto"/>
              </w:rPr>
            </w:pPr>
            <w:r>
              <w:rPr>
                <w:rFonts w:ascii="Arial" w:cs="Arial" w:eastAsia="Arial" w:hAnsi="Arial"/>
                <w:sz w:val="14"/>
                <w:szCs w:val="14"/>
                <w:color w:val="auto"/>
              </w:rPr>
              <w:t>Common shareholders</w:t>
            </w:r>
          </w:p>
        </w:tc>
        <w:tc>
          <w:tcPr>
            <w:tcW w:w="7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2,207</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338</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2,037</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(2,372)</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b w:val="1"/>
                <w:bCs w:val="1"/>
                <w:color w:val="auto"/>
              </w:rPr>
              <w:t>2,210  </w:t>
            </w:r>
          </w:p>
        </w:tc>
      </w:tr>
      <w:tr>
        <w:trPr>
          <w:trHeight w:val="175"/>
        </w:trPr>
        <w:tc>
          <w:tcPr>
            <w:tcW w:w="4600" w:type="dxa"/>
            <w:vAlign w:val="bottom"/>
          </w:tcPr>
          <w:p>
            <w:pPr>
              <w:spacing w:after="0"/>
              <w:rPr>
                <w:sz w:val="20"/>
                <w:szCs w:val="20"/>
                <w:color w:val="auto"/>
              </w:rPr>
            </w:pPr>
            <w:r>
              <w:rPr>
                <w:rFonts w:ascii="Arial" w:cs="Arial" w:eastAsia="Arial" w:hAnsi="Arial"/>
                <w:sz w:val="14"/>
                <w:szCs w:val="14"/>
                <w:color w:val="auto"/>
              </w:rPr>
              <w:t>Non-controlling interests</w:t>
            </w:r>
          </w:p>
        </w:tc>
        <w:tc>
          <w:tcPr>
            <w:tcW w:w="72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29"/>
              <w:spacing w:after="0"/>
              <w:rPr>
                <w:sz w:val="20"/>
                <w:szCs w:val="20"/>
                <w:color w:val="auto"/>
              </w:rPr>
            </w:pPr>
            <w:r>
              <w:rPr>
                <w:rFonts w:ascii="Arial" w:cs="Arial" w:eastAsia="Arial" w:hAnsi="Arial"/>
                <w:sz w:val="14"/>
                <w:szCs w:val="14"/>
                <w:b w:val="1"/>
                <w:bCs w:val="1"/>
                <w:color w:val="auto"/>
              </w:rPr>
              <w:t>(3)</w:t>
            </w:r>
          </w:p>
        </w:tc>
        <w:tc>
          <w:tcPr>
            <w:tcW w:w="104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(3)  </w:t>
            </w:r>
          </w:p>
        </w:tc>
      </w:tr>
      <w:tr>
        <w:trPr>
          <w:trHeight w:val="238"/>
        </w:trPr>
        <w:tc>
          <w:tcPr>
            <w:tcW w:w="4600" w:type="dxa"/>
            <w:vAlign w:val="bottom"/>
            <w:tcBorders>
              <w:top w:val="single" w:sz="8" w:color="D64000"/>
            </w:tcBorders>
          </w:tcPr>
          <w:p>
            <w:pPr>
              <w:spacing w:after="0"/>
              <w:rPr>
                <w:sz w:val="20"/>
                <w:szCs w:val="20"/>
                <w:color w:val="auto"/>
              </w:rPr>
            </w:pPr>
          </w:p>
        </w:tc>
        <w:tc>
          <w:tcPr>
            <w:tcW w:w="720" w:type="dxa"/>
            <w:vAlign w:val="bottom"/>
            <w:tcBorders>
              <w:top w:val="single" w:sz="8" w:color="D64000"/>
            </w:tcBorders>
          </w:tcPr>
          <w:p>
            <w:pPr>
              <w:spacing w:after="0"/>
              <w:rPr>
                <w:sz w:val="20"/>
                <w:szCs w:val="20"/>
                <w:color w:val="auto"/>
              </w:rPr>
            </w:pPr>
          </w:p>
        </w:tc>
        <w:tc>
          <w:tcPr>
            <w:tcW w:w="920" w:type="dxa"/>
            <w:vAlign w:val="bottom"/>
            <w:tcBorders>
              <w:top w:val="single" w:sz="8" w:color="D64000"/>
            </w:tcBorders>
          </w:tcPr>
          <w:p>
            <w:pPr>
              <w:spacing w:after="0"/>
              <w:rPr>
                <w:sz w:val="20"/>
                <w:szCs w:val="20"/>
                <w:color w:val="auto"/>
              </w:rPr>
            </w:pPr>
          </w:p>
        </w:tc>
        <w:tc>
          <w:tcPr>
            <w:tcW w:w="3060" w:type="dxa"/>
            <w:vAlign w:val="bottom"/>
            <w:tcBorders>
              <w:top w:val="single" w:sz="8" w:color="D64000"/>
            </w:tcBorders>
            <w:gridSpan w:val="3"/>
          </w:tcPr>
          <w:p>
            <w:pPr>
              <w:spacing w:after="0"/>
              <w:rPr>
                <w:sz w:val="20"/>
                <w:szCs w:val="20"/>
                <w:color w:val="auto"/>
              </w:rPr>
            </w:pPr>
          </w:p>
        </w:tc>
        <w:tc>
          <w:tcPr>
            <w:tcW w:w="1080" w:type="dxa"/>
            <w:vAlign w:val="bottom"/>
            <w:tcBorders>
              <w:top w:val="single" w:sz="8" w:color="D64000"/>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2"/>
        </w:trPr>
        <w:tc>
          <w:tcPr>
            <w:tcW w:w="4600" w:type="dxa"/>
            <w:vAlign w:val="bottom"/>
          </w:tcPr>
          <w:p>
            <w:pPr>
              <w:spacing w:after="0"/>
              <w:rPr>
                <w:sz w:val="14"/>
                <w:szCs w:val="14"/>
                <w:color w:val="auto"/>
              </w:rPr>
            </w:pPr>
          </w:p>
        </w:tc>
        <w:tc>
          <w:tcPr>
            <w:tcW w:w="720" w:type="dxa"/>
            <w:vAlign w:val="bottom"/>
            <w:shd w:val="clear" w:color="auto" w:fill="E3F3EE"/>
          </w:tcPr>
          <w:p>
            <w:pPr>
              <w:spacing w:after="0"/>
              <w:rPr>
                <w:sz w:val="14"/>
                <w:szCs w:val="14"/>
                <w:color w:val="auto"/>
              </w:rPr>
            </w:pPr>
          </w:p>
        </w:tc>
        <w:tc>
          <w:tcPr>
            <w:tcW w:w="920" w:type="dxa"/>
            <w:vAlign w:val="bottom"/>
            <w:shd w:val="clear" w:color="auto" w:fill="E3F3EE"/>
          </w:tcPr>
          <w:p>
            <w:pPr>
              <w:spacing w:after="0"/>
              <w:rPr>
                <w:sz w:val="14"/>
                <w:szCs w:val="14"/>
                <w:color w:val="auto"/>
              </w:rPr>
            </w:pPr>
          </w:p>
        </w:tc>
        <w:tc>
          <w:tcPr>
            <w:tcW w:w="3060" w:type="dxa"/>
            <w:vAlign w:val="bottom"/>
            <w:gridSpan w:val="3"/>
            <w:shd w:val="clear" w:color="auto" w:fill="E3F3EE"/>
          </w:tcPr>
          <w:p>
            <w:pPr>
              <w:jc w:val="right"/>
              <w:ind w:right="649"/>
              <w:spacing w:after="0"/>
              <w:rPr>
                <w:sz w:val="20"/>
                <w:szCs w:val="20"/>
                <w:color w:val="auto"/>
              </w:rPr>
            </w:pPr>
            <w:r>
              <w:rPr>
                <w:rFonts w:ascii="Arial" w:cs="Arial" w:eastAsia="Arial" w:hAnsi="Arial"/>
                <w:sz w:val="14"/>
                <w:szCs w:val="14"/>
                <w:b w:val="1"/>
                <w:bCs w:val="1"/>
                <w:color w:val="auto"/>
              </w:rPr>
              <w:t>Year ended December 31, 2023</w:t>
            </w:r>
          </w:p>
        </w:tc>
        <w:tc>
          <w:tcPr>
            <w:tcW w:w="1080" w:type="dxa"/>
            <w:vAlign w:val="bottom"/>
            <w:shd w:val="clear" w:color="auto" w:fill="E3F3EE"/>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0"/>
        </w:trPr>
        <w:tc>
          <w:tcPr>
            <w:tcW w:w="4600" w:type="dxa"/>
            <w:vAlign w:val="bottom"/>
            <w:shd w:val="clear" w:color="auto" w:fill="1F473D"/>
          </w:tcPr>
          <w:p>
            <w:pPr>
              <w:spacing w:after="0"/>
              <w:rPr>
                <w:sz w:val="13"/>
                <w:szCs w:val="13"/>
                <w:color w:val="auto"/>
              </w:rPr>
            </w:pPr>
          </w:p>
        </w:tc>
        <w:tc>
          <w:tcPr>
            <w:tcW w:w="720" w:type="dxa"/>
            <w:vAlign w:val="bottom"/>
            <w:shd w:val="clear" w:color="auto" w:fill="1F473D"/>
          </w:tcPr>
          <w:p>
            <w:pPr>
              <w:spacing w:after="0"/>
              <w:rPr>
                <w:sz w:val="13"/>
                <w:szCs w:val="13"/>
                <w:color w:val="auto"/>
              </w:rPr>
            </w:pPr>
          </w:p>
        </w:tc>
        <w:tc>
          <w:tcPr>
            <w:tcW w:w="920" w:type="dxa"/>
            <w:vAlign w:val="bottom"/>
            <w:shd w:val="clear" w:color="auto" w:fill="1F473D"/>
          </w:tcPr>
          <w:p>
            <w:pPr>
              <w:spacing w:after="0"/>
              <w:rPr>
                <w:sz w:val="13"/>
                <w:szCs w:val="13"/>
                <w:color w:val="auto"/>
              </w:rPr>
            </w:pPr>
          </w:p>
        </w:tc>
        <w:tc>
          <w:tcPr>
            <w:tcW w:w="980" w:type="dxa"/>
            <w:vAlign w:val="bottom"/>
            <w:shd w:val="clear" w:color="auto" w:fill="1F473D"/>
          </w:tcPr>
          <w:p>
            <w:pPr>
              <w:spacing w:after="0"/>
              <w:rPr>
                <w:sz w:val="13"/>
                <w:szCs w:val="13"/>
                <w:color w:val="auto"/>
              </w:rPr>
            </w:pPr>
          </w:p>
        </w:tc>
        <w:tc>
          <w:tcPr>
            <w:tcW w:w="1040" w:type="dxa"/>
            <w:vAlign w:val="bottom"/>
            <w:shd w:val="clear" w:color="auto" w:fill="1F473D"/>
          </w:tcPr>
          <w:p>
            <w:pPr>
              <w:jc w:val="right"/>
              <w:ind w:right="29"/>
              <w:spacing w:after="0" w:line="150" w:lineRule="exact"/>
              <w:rPr>
                <w:sz w:val="20"/>
                <w:szCs w:val="20"/>
                <w:color w:val="auto"/>
              </w:rPr>
            </w:pPr>
            <w:r>
              <w:rPr>
                <w:rFonts w:ascii="Arial" w:cs="Arial" w:eastAsia="Arial" w:hAnsi="Arial"/>
                <w:sz w:val="14"/>
                <w:szCs w:val="14"/>
                <w:b w:val="1"/>
                <w:bCs w:val="1"/>
                <w:color w:val="FFFFFF"/>
              </w:rPr>
              <w:t>Non-</w:t>
            </w:r>
          </w:p>
        </w:tc>
        <w:tc>
          <w:tcPr>
            <w:tcW w:w="1040" w:type="dxa"/>
            <w:vAlign w:val="bottom"/>
            <w:shd w:val="clear" w:color="auto" w:fill="1F473D"/>
          </w:tcPr>
          <w:p>
            <w:pPr>
              <w:spacing w:after="0"/>
              <w:rPr>
                <w:sz w:val="13"/>
                <w:szCs w:val="13"/>
                <w:color w:val="auto"/>
              </w:rPr>
            </w:pPr>
          </w:p>
        </w:tc>
        <w:tc>
          <w:tcPr>
            <w:tcW w:w="1080" w:type="dxa"/>
            <w:vAlign w:val="bottom"/>
            <w:shd w:val="clear" w:color="auto" w:fill="1F473D"/>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4600" w:type="dxa"/>
            <w:vAlign w:val="bottom"/>
            <w:shd w:val="clear" w:color="auto" w:fill="1F473D"/>
          </w:tcPr>
          <w:p>
            <w:pPr>
              <w:spacing w:after="0"/>
              <w:rPr>
                <w:sz w:val="13"/>
                <w:szCs w:val="13"/>
                <w:color w:val="auto"/>
              </w:rPr>
            </w:pPr>
          </w:p>
        </w:tc>
        <w:tc>
          <w:tcPr>
            <w:tcW w:w="720" w:type="dxa"/>
            <w:vAlign w:val="bottom"/>
            <w:shd w:val="clear" w:color="auto" w:fill="1F473D"/>
          </w:tcPr>
          <w:p>
            <w:pPr>
              <w:spacing w:after="0"/>
              <w:rPr>
                <w:sz w:val="13"/>
                <w:szCs w:val="13"/>
                <w:color w:val="auto"/>
              </w:rPr>
            </w:pPr>
          </w:p>
        </w:tc>
        <w:tc>
          <w:tcPr>
            <w:tcW w:w="920" w:type="dxa"/>
            <w:vAlign w:val="bottom"/>
            <w:shd w:val="clear" w:color="auto" w:fill="1F473D"/>
          </w:tcPr>
          <w:p>
            <w:pPr>
              <w:jc w:val="right"/>
              <w:ind w:right="29"/>
              <w:spacing w:after="0" w:line="159" w:lineRule="exact"/>
              <w:rPr>
                <w:sz w:val="20"/>
                <w:szCs w:val="20"/>
                <w:color w:val="auto"/>
              </w:rPr>
            </w:pPr>
            <w:r>
              <w:rPr>
                <w:rFonts w:ascii="Arial" w:cs="Arial" w:eastAsia="Arial" w:hAnsi="Arial"/>
                <w:sz w:val="14"/>
                <w:szCs w:val="14"/>
                <w:b w:val="1"/>
                <w:bCs w:val="1"/>
                <w:color w:val="FFFFFF"/>
              </w:rPr>
              <w:t>Subsidiary</w:t>
            </w:r>
          </w:p>
        </w:tc>
        <w:tc>
          <w:tcPr>
            <w:tcW w:w="980" w:type="dxa"/>
            <w:vAlign w:val="bottom"/>
            <w:shd w:val="clear" w:color="auto" w:fill="1F473D"/>
          </w:tcPr>
          <w:p>
            <w:pPr>
              <w:jc w:val="right"/>
              <w:ind w:right="29"/>
              <w:spacing w:after="0" w:line="159" w:lineRule="exact"/>
              <w:rPr>
                <w:sz w:val="20"/>
                <w:szCs w:val="20"/>
                <w:color w:val="auto"/>
              </w:rPr>
            </w:pPr>
            <w:r>
              <w:rPr>
                <w:rFonts w:ascii="Arial" w:cs="Arial" w:eastAsia="Arial" w:hAnsi="Arial"/>
                <w:sz w:val="14"/>
                <w:szCs w:val="14"/>
                <w:b w:val="1"/>
                <w:bCs w:val="1"/>
                <w:color w:val="FFFFFF"/>
              </w:rPr>
              <w:t>Subsidiary</w:t>
            </w:r>
          </w:p>
        </w:tc>
        <w:tc>
          <w:tcPr>
            <w:tcW w:w="1040" w:type="dxa"/>
            <w:vAlign w:val="bottom"/>
            <w:shd w:val="clear" w:color="auto" w:fill="1F473D"/>
          </w:tcPr>
          <w:p>
            <w:pPr>
              <w:jc w:val="right"/>
              <w:ind w:right="29"/>
              <w:spacing w:after="0" w:line="159" w:lineRule="exact"/>
              <w:rPr>
                <w:sz w:val="20"/>
                <w:szCs w:val="20"/>
                <w:color w:val="auto"/>
              </w:rPr>
            </w:pPr>
            <w:r>
              <w:rPr>
                <w:rFonts w:ascii="Arial" w:cs="Arial" w:eastAsia="Arial" w:hAnsi="Arial"/>
                <w:sz w:val="14"/>
                <w:szCs w:val="14"/>
                <w:b w:val="1"/>
                <w:bCs w:val="1"/>
                <w:color w:val="FFFFFF"/>
              </w:rPr>
              <w:t>Guarantor</w:t>
            </w:r>
          </w:p>
        </w:tc>
        <w:tc>
          <w:tcPr>
            <w:tcW w:w="1040" w:type="dxa"/>
            <w:vAlign w:val="bottom"/>
            <w:shd w:val="clear" w:color="auto" w:fill="1F473D"/>
          </w:tcPr>
          <w:p>
            <w:pPr>
              <w:spacing w:after="0"/>
              <w:rPr>
                <w:sz w:val="13"/>
                <w:szCs w:val="13"/>
                <w:color w:val="auto"/>
              </w:rPr>
            </w:pPr>
          </w:p>
        </w:tc>
        <w:tc>
          <w:tcPr>
            <w:tcW w:w="1080" w:type="dxa"/>
            <w:vAlign w:val="bottom"/>
            <w:shd w:val="clear" w:color="auto" w:fill="1F473D"/>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5"/>
        </w:trPr>
        <w:tc>
          <w:tcPr>
            <w:tcW w:w="460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4"/>
                <w:szCs w:val="14"/>
                <w:color w:val="FFFFFF"/>
              </w:rPr>
              <w:t>(millions of U.S. dollars)</w:t>
            </w:r>
          </w:p>
        </w:tc>
        <w:tc>
          <w:tcPr>
            <w:tcW w:w="720" w:type="dxa"/>
            <w:vAlign w:val="bottom"/>
            <w:tcBorders>
              <w:bottom w:val="single" w:sz="8" w:color="D64000"/>
            </w:tcBorders>
            <w:shd w:val="clear" w:color="auto" w:fill="1F473D"/>
          </w:tcPr>
          <w:p>
            <w:pPr>
              <w:jc w:val="right"/>
              <w:ind w:right="29"/>
              <w:spacing w:after="0"/>
              <w:rPr>
                <w:sz w:val="20"/>
                <w:szCs w:val="20"/>
                <w:color w:val="auto"/>
              </w:rPr>
            </w:pPr>
            <w:r>
              <w:rPr>
                <w:rFonts w:ascii="Arial" w:cs="Arial" w:eastAsia="Arial" w:hAnsi="Arial"/>
                <w:sz w:val="14"/>
                <w:szCs w:val="14"/>
                <w:b w:val="1"/>
                <w:bCs w:val="1"/>
                <w:color w:val="FFFFFF"/>
              </w:rPr>
              <w:t>Parent</w:t>
            </w:r>
          </w:p>
        </w:tc>
        <w:tc>
          <w:tcPr>
            <w:tcW w:w="920" w:type="dxa"/>
            <w:vAlign w:val="bottom"/>
            <w:tcBorders>
              <w:bottom w:val="single" w:sz="8" w:color="D64000"/>
            </w:tcBorders>
            <w:shd w:val="clear" w:color="auto" w:fill="1F473D"/>
          </w:tcPr>
          <w:p>
            <w:pPr>
              <w:jc w:val="right"/>
              <w:ind w:right="29"/>
              <w:spacing w:after="0"/>
              <w:rPr>
                <w:sz w:val="20"/>
                <w:szCs w:val="20"/>
                <w:color w:val="auto"/>
              </w:rPr>
            </w:pPr>
            <w:r>
              <w:rPr>
                <w:rFonts w:ascii="Arial" w:cs="Arial" w:eastAsia="Arial" w:hAnsi="Arial"/>
                <w:sz w:val="14"/>
                <w:szCs w:val="14"/>
                <w:b w:val="1"/>
                <w:bCs w:val="1"/>
                <w:color w:val="FFFFFF"/>
              </w:rPr>
              <w:t>Issuer</w:t>
            </w:r>
          </w:p>
        </w:tc>
        <w:tc>
          <w:tcPr>
            <w:tcW w:w="980" w:type="dxa"/>
            <w:vAlign w:val="bottom"/>
            <w:tcBorders>
              <w:bottom w:val="single" w:sz="8" w:color="D64000"/>
            </w:tcBorders>
            <w:shd w:val="clear" w:color="auto" w:fill="1F473D"/>
          </w:tcPr>
          <w:p>
            <w:pPr>
              <w:jc w:val="right"/>
              <w:ind w:right="29"/>
              <w:spacing w:after="0"/>
              <w:rPr>
                <w:sz w:val="20"/>
                <w:szCs w:val="20"/>
                <w:color w:val="auto"/>
              </w:rPr>
            </w:pPr>
            <w:r>
              <w:rPr>
                <w:rFonts w:ascii="Arial" w:cs="Arial" w:eastAsia="Arial" w:hAnsi="Arial"/>
                <w:sz w:val="14"/>
                <w:szCs w:val="14"/>
                <w:b w:val="1"/>
                <w:bCs w:val="1"/>
                <w:color w:val="FFFFFF"/>
              </w:rPr>
              <w:t>Guarantors</w:t>
            </w:r>
          </w:p>
        </w:tc>
        <w:tc>
          <w:tcPr>
            <w:tcW w:w="1040" w:type="dxa"/>
            <w:vAlign w:val="bottom"/>
            <w:tcBorders>
              <w:bottom w:val="single" w:sz="8" w:color="D64000"/>
            </w:tcBorders>
            <w:shd w:val="clear" w:color="auto" w:fill="1F473D"/>
          </w:tcPr>
          <w:p>
            <w:pPr>
              <w:jc w:val="right"/>
              <w:ind w:right="29"/>
              <w:spacing w:after="0"/>
              <w:rPr>
                <w:sz w:val="20"/>
                <w:szCs w:val="20"/>
                <w:color w:val="auto"/>
              </w:rPr>
            </w:pPr>
            <w:r>
              <w:rPr>
                <w:rFonts w:ascii="Arial" w:cs="Arial" w:eastAsia="Arial" w:hAnsi="Arial"/>
                <w:sz w:val="14"/>
                <w:szCs w:val="14"/>
                <w:b w:val="1"/>
                <w:bCs w:val="1"/>
                <w:color w:val="FFFFFF"/>
              </w:rPr>
              <w:t>Subsidiaries</w:t>
            </w:r>
          </w:p>
        </w:tc>
        <w:tc>
          <w:tcPr>
            <w:tcW w:w="1040" w:type="dxa"/>
            <w:vAlign w:val="bottom"/>
            <w:tcBorders>
              <w:bottom w:val="single" w:sz="8" w:color="D64000"/>
            </w:tcBorders>
            <w:shd w:val="clear" w:color="auto" w:fill="1F473D"/>
          </w:tcPr>
          <w:p>
            <w:pPr>
              <w:jc w:val="right"/>
              <w:ind w:right="29"/>
              <w:spacing w:after="0"/>
              <w:rPr>
                <w:sz w:val="20"/>
                <w:szCs w:val="20"/>
                <w:color w:val="auto"/>
              </w:rPr>
            </w:pPr>
            <w:r>
              <w:rPr>
                <w:rFonts w:ascii="Arial" w:cs="Arial" w:eastAsia="Arial" w:hAnsi="Arial"/>
                <w:sz w:val="14"/>
                <w:szCs w:val="14"/>
                <w:b w:val="1"/>
                <w:bCs w:val="1"/>
                <w:color w:val="FFFFFF"/>
              </w:rPr>
              <w:t>Eliminations</w:t>
            </w:r>
          </w:p>
        </w:tc>
        <w:tc>
          <w:tcPr>
            <w:tcW w:w="108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4"/>
                <w:szCs w:val="14"/>
                <w:b w:val="1"/>
                <w:bCs w:val="1"/>
                <w:color w:val="FFFFFF"/>
              </w:rPr>
              <w:t>Consolidated </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0"/>
        </w:trPr>
        <w:tc>
          <w:tcPr>
            <w:tcW w:w="4600" w:type="dxa"/>
            <w:vAlign w:val="bottom"/>
          </w:tcPr>
          <w:p>
            <w:pPr>
              <w:spacing w:after="0" w:line="150" w:lineRule="exact"/>
              <w:rPr>
                <w:sz w:val="20"/>
                <w:szCs w:val="20"/>
                <w:color w:val="auto"/>
              </w:rPr>
            </w:pPr>
            <w:r>
              <w:rPr>
                <w:rFonts w:ascii="Arial" w:cs="Arial" w:eastAsia="Arial" w:hAnsi="Arial"/>
                <w:sz w:val="14"/>
                <w:szCs w:val="14"/>
                <w:b w:val="1"/>
                <w:bCs w:val="1"/>
                <w:color w:val="auto"/>
              </w:rPr>
              <w:t>CONTINUING OPERATIONS</w:t>
            </w: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4600" w:type="dxa"/>
            <w:vAlign w:val="bottom"/>
          </w:tcPr>
          <w:p>
            <w:pPr>
              <w:spacing w:after="0" w:line="159" w:lineRule="exact"/>
              <w:rPr>
                <w:sz w:val="20"/>
                <w:szCs w:val="20"/>
                <w:color w:val="auto"/>
              </w:rPr>
            </w:pPr>
            <w:r>
              <w:rPr>
                <w:rFonts w:ascii="Arial" w:cs="Arial" w:eastAsia="Arial" w:hAnsi="Arial"/>
                <w:sz w:val="14"/>
                <w:szCs w:val="14"/>
                <w:color w:val="auto"/>
              </w:rPr>
              <w:t>Revenues</w:t>
            </w:r>
          </w:p>
        </w:tc>
        <w:tc>
          <w:tcPr>
            <w:tcW w:w="72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2,165</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color w:val="auto"/>
              </w:rPr>
              <w:t>5,411</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color w:val="auto"/>
              </w:rPr>
              <w:t>(782)</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color w:val="auto"/>
              </w:rPr>
              <w:t>6,794  </w:t>
            </w:r>
          </w:p>
        </w:tc>
      </w:tr>
      <w:tr>
        <w:trPr>
          <w:trHeight w:val="159"/>
        </w:trPr>
        <w:tc>
          <w:tcPr>
            <w:tcW w:w="4600" w:type="dxa"/>
            <w:vAlign w:val="bottom"/>
          </w:tcPr>
          <w:p>
            <w:pPr>
              <w:spacing w:after="0" w:line="159" w:lineRule="exact"/>
              <w:rPr>
                <w:sz w:val="20"/>
                <w:szCs w:val="20"/>
                <w:color w:val="auto"/>
              </w:rPr>
            </w:pPr>
            <w:r>
              <w:rPr>
                <w:rFonts w:ascii="Arial" w:cs="Arial" w:eastAsia="Arial" w:hAnsi="Arial"/>
                <w:sz w:val="14"/>
                <w:szCs w:val="14"/>
                <w:color w:val="auto"/>
              </w:rPr>
              <w:t>Operating expenses</w:t>
            </w:r>
          </w:p>
        </w:tc>
        <w:tc>
          <w:tcPr>
            <w:tcW w:w="720" w:type="dxa"/>
            <w:vAlign w:val="bottom"/>
          </w:tcPr>
          <w:p>
            <w:pPr>
              <w:jc w:val="right"/>
              <w:ind w:right="29"/>
              <w:spacing w:after="0" w:line="159" w:lineRule="exact"/>
              <w:rPr>
                <w:sz w:val="20"/>
                <w:szCs w:val="20"/>
                <w:color w:val="auto"/>
              </w:rPr>
            </w:pPr>
            <w:r>
              <w:rPr>
                <w:rFonts w:ascii="Arial" w:cs="Arial" w:eastAsia="Arial" w:hAnsi="Arial"/>
                <w:sz w:val="14"/>
                <w:szCs w:val="14"/>
                <w:color w:val="auto"/>
              </w:rPr>
              <w:t>(13)</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(1,607)</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color w:val="auto"/>
              </w:rPr>
              <w:t>(3,296)</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color w:val="auto"/>
              </w:rPr>
              <w:t>782</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color w:val="auto"/>
              </w:rPr>
              <w:t>(4,134)  </w:t>
            </w:r>
          </w:p>
        </w:tc>
      </w:tr>
      <w:tr>
        <w:trPr>
          <w:trHeight w:val="159"/>
        </w:trPr>
        <w:tc>
          <w:tcPr>
            <w:tcW w:w="4600" w:type="dxa"/>
            <w:vAlign w:val="bottom"/>
          </w:tcPr>
          <w:p>
            <w:pPr>
              <w:spacing w:after="0" w:line="159" w:lineRule="exact"/>
              <w:rPr>
                <w:sz w:val="20"/>
                <w:szCs w:val="20"/>
                <w:color w:val="auto"/>
              </w:rPr>
            </w:pPr>
            <w:r>
              <w:rPr>
                <w:rFonts w:ascii="Arial" w:cs="Arial" w:eastAsia="Arial" w:hAnsi="Arial"/>
                <w:sz w:val="14"/>
                <w:szCs w:val="14"/>
                <w:color w:val="auto"/>
              </w:rPr>
              <w:t>Depreciation</w:t>
            </w:r>
          </w:p>
        </w:tc>
        <w:tc>
          <w:tcPr>
            <w:tcW w:w="72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(39)</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color w:val="auto"/>
              </w:rPr>
              <w:t>(77)</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color w:val="auto"/>
              </w:rPr>
              <w:t>(116)  </w:t>
            </w:r>
          </w:p>
        </w:tc>
      </w:tr>
      <w:tr>
        <w:trPr>
          <w:trHeight w:val="159"/>
        </w:trPr>
        <w:tc>
          <w:tcPr>
            <w:tcW w:w="4600" w:type="dxa"/>
            <w:vAlign w:val="bottom"/>
          </w:tcPr>
          <w:p>
            <w:pPr>
              <w:spacing w:after="0" w:line="159" w:lineRule="exact"/>
              <w:rPr>
                <w:sz w:val="20"/>
                <w:szCs w:val="20"/>
                <w:color w:val="auto"/>
              </w:rPr>
            </w:pPr>
            <w:r>
              <w:rPr>
                <w:rFonts w:ascii="Arial" w:cs="Arial" w:eastAsia="Arial" w:hAnsi="Arial"/>
                <w:sz w:val="14"/>
                <w:szCs w:val="14"/>
                <w:color w:val="auto"/>
              </w:rPr>
              <w:t>Amortization of computer software</w:t>
            </w:r>
          </w:p>
        </w:tc>
        <w:tc>
          <w:tcPr>
            <w:tcW w:w="72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(17)</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color w:val="auto"/>
              </w:rPr>
              <w:t>(495)</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color w:val="auto"/>
              </w:rPr>
              <w:t>(512)  </w:t>
            </w:r>
          </w:p>
        </w:tc>
      </w:tr>
      <w:tr>
        <w:trPr>
          <w:trHeight w:val="159"/>
        </w:trPr>
        <w:tc>
          <w:tcPr>
            <w:tcW w:w="4600" w:type="dxa"/>
            <w:vAlign w:val="bottom"/>
          </w:tcPr>
          <w:p>
            <w:pPr>
              <w:spacing w:after="0" w:line="159" w:lineRule="exact"/>
              <w:rPr>
                <w:sz w:val="20"/>
                <w:szCs w:val="20"/>
                <w:color w:val="auto"/>
              </w:rPr>
            </w:pPr>
            <w:r>
              <w:rPr>
                <w:rFonts w:ascii="Arial" w:cs="Arial" w:eastAsia="Arial" w:hAnsi="Arial"/>
                <w:sz w:val="14"/>
                <w:szCs w:val="14"/>
                <w:color w:val="auto"/>
              </w:rPr>
              <w:t>Amortization of other identifiable intangible assets</w:t>
            </w:r>
          </w:p>
        </w:tc>
        <w:tc>
          <w:tcPr>
            <w:tcW w:w="72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(45)</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color w:val="auto"/>
              </w:rPr>
              <w:t>(52)</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color w:val="auto"/>
              </w:rPr>
              <w:t>(97)  </w:t>
            </w:r>
          </w:p>
        </w:tc>
      </w:tr>
      <w:tr>
        <w:trPr>
          <w:trHeight w:val="168"/>
        </w:trPr>
        <w:tc>
          <w:tcPr>
            <w:tcW w:w="4600" w:type="dxa"/>
            <w:vAlign w:val="bottom"/>
          </w:tcPr>
          <w:p>
            <w:pPr>
              <w:spacing w:after="0"/>
              <w:rPr>
                <w:sz w:val="20"/>
                <w:szCs w:val="20"/>
                <w:color w:val="auto"/>
              </w:rPr>
            </w:pPr>
            <w:r>
              <w:rPr>
                <w:rFonts w:ascii="Arial" w:cs="Arial" w:eastAsia="Arial" w:hAnsi="Arial"/>
                <w:sz w:val="14"/>
                <w:szCs w:val="14"/>
                <w:color w:val="auto"/>
              </w:rPr>
              <w:t>Other operating gains, net</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42</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20</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335</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40"/>
              <w:spacing w:after="0"/>
              <w:rPr>
                <w:sz w:val="20"/>
                <w:szCs w:val="20"/>
                <w:color w:val="auto"/>
              </w:rPr>
            </w:pPr>
            <w:r>
              <w:rPr>
                <w:rFonts w:ascii="Arial" w:cs="Arial" w:eastAsia="Arial" w:hAnsi="Arial"/>
                <w:sz w:val="14"/>
                <w:szCs w:val="14"/>
                <w:color w:val="auto"/>
              </w:rPr>
              <w:t>397  </w:t>
            </w:r>
          </w:p>
        </w:tc>
      </w:tr>
      <w:tr>
        <w:trPr>
          <w:trHeight w:val="143"/>
        </w:trPr>
        <w:tc>
          <w:tcPr>
            <w:tcW w:w="4600" w:type="dxa"/>
            <w:vAlign w:val="bottom"/>
            <w:tcBorders>
              <w:top w:val="single" w:sz="8" w:color="B2B2B2"/>
            </w:tcBorders>
          </w:tcPr>
          <w:p>
            <w:pPr>
              <w:spacing w:after="0" w:line="143" w:lineRule="exact"/>
              <w:rPr>
                <w:sz w:val="20"/>
                <w:szCs w:val="20"/>
                <w:color w:val="auto"/>
              </w:rPr>
            </w:pPr>
            <w:r>
              <w:rPr>
                <w:rFonts w:ascii="Arial" w:cs="Arial" w:eastAsia="Arial" w:hAnsi="Arial"/>
                <w:sz w:val="14"/>
                <w:szCs w:val="14"/>
                <w:color w:val="auto"/>
              </w:rPr>
              <w:t>Operating profit</w:t>
            </w:r>
          </w:p>
        </w:tc>
        <w:tc>
          <w:tcPr>
            <w:tcW w:w="72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color w:val="auto"/>
              </w:rPr>
              <w:t>29</w:t>
            </w:r>
          </w:p>
        </w:tc>
        <w:tc>
          <w:tcPr>
            <w:tcW w:w="92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color w:val="auto"/>
              </w:rPr>
              <w:t>477</w:t>
            </w:r>
          </w:p>
        </w:tc>
        <w:tc>
          <w:tcPr>
            <w:tcW w:w="104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color w:val="auto"/>
              </w:rPr>
              <w:t>1,826</w:t>
            </w:r>
          </w:p>
        </w:tc>
        <w:tc>
          <w:tcPr>
            <w:tcW w:w="104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B2B2B2"/>
            </w:tcBorders>
          </w:tcPr>
          <w:p>
            <w:pPr>
              <w:jc w:val="right"/>
              <w:spacing w:after="0" w:line="143" w:lineRule="exact"/>
              <w:rPr>
                <w:sz w:val="20"/>
                <w:szCs w:val="20"/>
                <w:color w:val="auto"/>
              </w:rPr>
            </w:pPr>
            <w:r>
              <w:rPr>
                <w:rFonts w:ascii="Arial" w:cs="Arial" w:eastAsia="Arial" w:hAnsi="Arial"/>
                <w:sz w:val="14"/>
                <w:szCs w:val="14"/>
                <w:color w:val="auto"/>
              </w:rPr>
              <w:t>2,332  </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4600" w:type="dxa"/>
            <w:vAlign w:val="bottom"/>
          </w:tcPr>
          <w:p>
            <w:pPr>
              <w:spacing w:after="0" w:line="159" w:lineRule="exact"/>
              <w:rPr>
                <w:sz w:val="20"/>
                <w:szCs w:val="20"/>
                <w:color w:val="auto"/>
              </w:rPr>
            </w:pPr>
            <w:r>
              <w:rPr>
                <w:rFonts w:ascii="Arial" w:cs="Arial" w:eastAsia="Arial" w:hAnsi="Arial"/>
                <w:sz w:val="14"/>
                <w:szCs w:val="14"/>
                <w:color w:val="auto"/>
              </w:rPr>
              <w:t>Finance (costs) income, net:</w:t>
            </w: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color w:val="auto"/>
              </w:rPr>
              <w:t>  </w:t>
            </w:r>
          </w:p>
        </w:tc>
      </w:tr>
      <w:tr>
        <w:trPr>
          <w:trHeight w:val="159"/>
        </w:trPr>
        <w:tc>
          <w:tcPr>
            <w:tcW w:w="4600" w:type="dxa"/>
            <w:vAlign w:val="bottom"/>
          </w:tcPr>
          <w:p>
            <w:pPr>
              <w:ind w:left="160"/>
              <w:spacing w:after="0" w:line="159" w:lineRule="exact"/>
              <w:rPr>
                <w:sz w:val="20"/>
                <w:szCs w:val="20"/>
                <w:color w:val="auto"/>
              </w:rPr>
            </w:pPr>
            <w:r>
              <w:rPr>
                <w:rFonts w:ascii="Arial" w:cs="Arial" w:eastAsia="Arial" w:hAnsi="Arial"/>
                <w:sz w:val="14"/>
                <w:szCs w:val="14"/>
                <w:color w:val="auto"/>
              </w:rPr>
              <w:t>Net interest (expense) income</w:t>
            </w:r>
          </w:p>
        </w:tc>
        <w:tc>
          <w:tcPr>
            <w:tcW w:w="720" w:type="dxa"/>
            <w:vAlign w:val="bottom"/>
          </w:tcPr>
          <w:p>
            <w:pPr>
              <w:jc w:val="right"/>
              <w:ind w:right="29"/>
              <w:spacing w:after="0" w:line="159" w:lineRule="exact"/>
              <w:rPr>
                <w:sz w:val="20"/>
                <w:szCs w:val="20"/>
                <w:color w:val="auto"/>
              </w:rPr>
            </w:pPr>
            <w:r>
              <w:rPr>
                <w:rFonts w:ascii="Arial" w:cs="Arial" w:eastAsia="Arial" w:hAnsi="Arial"/>
                <w:sz w:val="14"/>
                <w:szCs w:val="14"/>
                <w:color w:val="auto"/>
              </w:rPr>
              <w:t>(190)</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14</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color w:val="auto"/>
              </w:rPr>
              <w:t>24</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color w:val="auto"/>
              </w:rPr>
              <w:t>(152)  </w:t>
            </w:r>
          </w:p>
        </w:tc>
      </w:tr>
      <w:tr>
        <w:trPr>
          <w:trHeight w:val="159"/>
        </w:trPr>
        <w:tc>
          <w:tcPr>
            <w:tcW w:w="4600" w:type="dxa"/>
            <w:vAlign w:val="bottom"/>
          </w:tcPr>
          <w:p>
            <w:pPr>
              <w:ind w:left="160"/>
              <w:spacing w:after="0" w:line="159" w:lineRule="exact"/>
              <w:rPr>
                <w:sz w:val="20"/>
                <w:szCs w:val="20"/>
                <w:color w:val="auto"/>
              </w:rPr>
            </w:pPr>
            <w:r>
              <w:rPr>
                <w:rFonts w:ascii="Arial" w:cs="Arial" w:eastAsia="Arial" w:hAnsi="Arial"/>
                <w:sz w:val="14"/>
                <w:szCs w:val="14"/>
                <w:color w:val="auto"/>
              </w:rPr>
              <w:t>Other finance (costs) income</w:t>
            </w:r>
          </w:p>
        </w:tc>
        <w:tc>
          <w:tcPr>
            <w:tcW w:w="720" w:type="dxa"/>
            <w:vAlign w:val="bottom"/>
          </w:tcPr>
          <w:p>
            <w:pPr>
              <w:jc w:val="right"/>
              <w:ind w:right="29"/>
              <w:spacing w:after="0" w:line="159" w:lineRule="exact"/>
              <w:rPr>
                <w:sz w:val="20"/>
                <w:szCs w:val="20"/>
                <w:color w:val="auto"/>
              </w:rPr>
            </w:pPr>
            <w:r>
              <w:rPr>
                <w:rFonts w:ascii="Arial" w:cs="Arial" w:eastAsia="Arial" w:hAnsi="Arial"/>
                <w:sz w:val="14"/>
                <w:szCs w:val="14"/>
                <w:color w:val="auto"/>
              </w:rPr>
              <w:t>(18)</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2</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color w:val="auto"/>
              </w:rPr>
              <w:t>(176)</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color w:val="auto"/>
              </w:rPr>
              <w:t>(192)  </w:t>
            </w:r>
          </w:p>
        </w:tc>
      </w:tr>
      <w:tr>
        <w:trPr>
          <w:trHeight w:val="168"/>
        </w:trPr>
        <w:tc>
          <w:tcPr>
            <w:tcW w:w="4600" w:type="dxa"/>
            <w:vAlign w:val="bottom"/>
          </w:tcPr>
          <w:p>
            <w:pPr>
              <w:ind w:left="160"/>
              <w:spacing w:after="0"/>
              <w:rPr>
                <w:sz w:val="20"/>
                <w:szCs w:val="20"/>
                <w:color w:val="auto"/>
              </w:rPr>
            </w:pPr>
            <w:r>
              <w:rPr>
                <w:rFonts w:ascii="Arial" w:cs="Arial" w:eastAsia="Arial" w:hAnsi="Arial"/>
                <w:sz w:val="14"/>
                <w:szCs w:val="14"/>
                <w:color w:val="auto"/>
              </w:rPr>
              <w:t>Intercompany net interest income (expense)</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203</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(54)</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(149)</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40"/>
              <w:spacing w:after="0"/>
              <w:rPr>
                <w:sz w:val="20"/>
                <w:szCs w:val="20"/>
                <w:color w:val="auto"/>
              </w:rPr>
            </w:pPr>
            <w:r>
              <w:rPr>
                <w:rFonts w:ascii="Arial" w:cs="Arial" w:eastAsia="Arial" w:hAnsi="Arial"/>
                <w:sz w:val="14"/>
                <w:szCs w:val="14"/>
                <w:color w:val="auto"/>
              </w:rPr>
              <w:t>-  </w:t>
            </w:r>
          </w:p>
        </w:tc>
      </w:tr>
      <w:tr>
        <w:trPr>
          <w:trHeight w:val="143"/>
        </w:trPr>
        <w:tc>
          <w:tcPr>
            <w:tcW w:w="4600" w:type="dxa"/>
            <w:vAlign w:val="bottom"/>
            <w:tcBorders>
              <w:top w:val="single" w:sz="8" w:color="B2B2B2"/>
            </w:tcBorders>
          </w:tcPr>
          <w:p>
            <w:pPr>
              <w:spacing w:after="0" w:line="143" w:lineRule="exact"/>
              <w:rPr>
                <w:sz w:val="20"/>
                <w:szCs w:val="20"/>
                <w:color w:val="auto"/>
              </w:rPr>
            </w:pPr>
            <w:r>
              <w:rPr>
                <w:rFonts w:ascii="Arial" w:cs="Arial" w:eastAsia="Arial" w:hAnsi="Arial"/>
                <w:sz w:val="14"/>
                <w:szCs w:val="14"/>
                <w:color w:val="auto"/>
              </w:rPr>
              <w:t>Income before tax and equity method investments</w:t>
            </w:r>
          </w:p>
        </w:tc>
        <w:tc>
          <w:tcPr>
            <w:tcW w:w="72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color w:val="auto"/>
              </w:rPr>
              <w:t>24</w:t>
            </w:r>
          </w:p>
        </w:tc>
        <w:tc>
          <w:tcPr>
            <w:tcW w:w="92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color w:val="auto"/>
              </w:rPr>
              <w:t>439</w:t>
            </w:r>
          </w:p>
        </w:tc>
        <w:tc>
          <w:tcPr>
            <w:tcW w:w="104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color w:val="auto"/>
              </w:rPr>
              <w:t>1,525</w:t>
            </w:r>
          </w:p>
        </w:tc>
        <w:tc>
          <w:tcPr>
            <w:tcW w:w="104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B2B2B2"/>
            </w:tcBorders>
          </w:tcPr>
          <w:p>
            <w:pPr>
              <w:jc w:val="right"/>
              <w:spacing w:after="0" w:line="143" w:lineRule="exact"/>
              <w:rPr>
                <w:sz w:val="20"/>
                <w:szCs w:val="20"/>
                <w:color w:val="auto"/>
              </w:rPr>
            </w:pPr>
            <w:r>
              <w:rPr>
                <w:rFonts w:ascii="Arial" w:cs="Arial" w:eastAsia="Arial" w:hAnsi="Arial"/>
                <w:sz w:val="14"/>
                <w:szCs w:val="14"/>
                <w:color w:val="auto"/>
              </w:rPr>
              <w:t>1,988  </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4600" w:type="dxa"/>
            <w:vAlign w:val="bottom"/>
          </w:tcPr>
          <w:p>
            <w:pPr>
              <w:spacing w:after="0" w:line="159" w:lineRule="exact"/>
              <w:rPr>
                <w:sz w:val="20"/>
                <w:szCs w:val="20"/>
                <w:color w:val="auto"/>
              </w:rPr>
            </w:pPr>
            <w:r>
              <w:rPr>
                <w:rFonts w:ascii="Arial" w:cs="Arial" w:eastAsia="Arial" w:hAnsi="Arial"/>
                <w:sz w:val="14"/>
                <w:szCs w:val="14"/>
                <w:color w:val="auto"/>
              </w:rPr>
              <w:t>Share of post-tax earnings in equity method investments</w:t>
            </w:r>
          </w:p>
        </w:tc>
        <w:tc>
          <w:tcPr>
            <w:tcW w:w="72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color w:val="auto"/>
              </w:rPr>
              <w:t>1,075</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color w:val="auto"/>
              </w:rPr>
              <w:t>1,075  </w:t>
            </w:r>
          </w:p>
        </w:tc>
      </w:tr>
      <w:tr>
        <w:trPr>
          <w:trHeight w:val="159"/>
        </w:trPr>
        <w:tc>
          <w:tcPr>
            <w:tcW w:w="4600" w:type="dxa"/>
            <w:vAlign w:val="bottom"/>
          </w:tcPr>
          <w:p>
            <w:pPr>
              <w:spacing w:after="0" w:line="159" w:lineRule="exact"/>
              <w:rPr>
                <w:sz w:val="20"/>
                <w:szCs w:val="20"/>
                <w:color w:val="auto"/>
              </w:rPr>
            </w:pPr>
            <w:r>
              <w:rPr>
                <w:rFonts w:ascii="Arial" w:cs="Arial" w:eastAsia="Arial" w:hAnsi="Arial"/>
                <w:sz w:val="14"/>
                <w:szCs w:val="14"/>
                <w:color w:val="auto"/>
              </w:rPr>
              <w:t>Share of post-tax earnings in subsidiaries</w:t>
            </w:r>
          </w:p>
        </w:tc>
        <w:tc>
          <w:tcPr>
            <w:tcW w:w="720" w:type="dxa"/>
            <w:vAlign w:val="bottom"/>
          </w:tcPr>
          <w:p>
            <w:pPr>
              <w:jc w:val="right"/>
              <w:ind w:right="29"/>
              <w:spacing w:after="0" w:line="159" w:lineRule="exact"/>
              <w:rPr>
                <w:sz w:val="20"/>
                <w:szCs w:val="20"/>
                <w:color w:val="auto"/>
              </w:rPr>
            </w:pPr>
            <w:r>
              <w:rPr>
                <w:rFonts w:ascii="Arial" w:cs="Arial" w:eastAsia="Arial" w:hAnsi="Arial"/>
                <w:sz w:val="14"/>
                <w:szCs w:val="14"/>
                <w:color w:val="auto"/>
              </w:rPr>
              <w:t>2,673</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57</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color w:val="auto"/>
              </w:rPr>
              <w:t>337</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color w:val="auto"/>
              </w:rPr>
              <w:t>(3,067)</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color w:val="auto"/>
              </w:rPr>
              <w:t>-  </w:t>
            </w:r>
          </w:p>
        </w:tc>
      </w:tr>
      <w:tr>
        <w:trPr>
          <w:trHeight w:val="168"/>
        </w:trPr>
        <w:tc>
          <w:tcPr>
            <w:tcW w:w="4600" w:type="dxa"/>
            <w:vAlign w:val="bottom"/>
          </w:tcPr>
          <w:p>
            <w:pPr>
              <w:spacing w:after="0"/>
              <w:rPr>
                <w:sz w:val="20"/>
                <w:szCs w:val="20"/>
                <w:color w:val="auto"/>
              </w:rPr>
            </w:pPr>
            <w:r>
              <w:rPr>
                <w:rFonts w:ascii="Arial" w:cs="Arial" w:eastAsia="Arial" w:hAnsi="Arial"/>
                <w:sz w:val="14"/>
                <w:szCs w:val="14"/>
                <w:color w:val="auto"/>
              </w:rPr>
              <w:t>Tax expense</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(102)</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(315)</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40"/>
              <w:spacing w:after="0"/>
              <w:rPr>
                <w:sz w:val="20"/>
                <w:szCs w:val="20"/>
                <w:color w:val="auto"/>
              </w:rPr>
            </w:pPr>
            <w:r>
              <w:rPr>
                <w:rFonts w:ascii="Arial" w:cs="Arial" w:eastAsia="Arial" w:hAnsi="Arial"/>
                <w:sz w:val="14"/>
                <w:szCs w:val="14"/>
                <w:color w:val="auto"/>
              </w:rPr>
              <w:t>(417)  </w:t>
            </w:r>
          </w:p>
        </w:tc>
      </w:tr>
      <w:tr>
        <w:trPr>
          <w:trHeight w:val="143"/>
        </w:trPr>
        <w:tc>
          <w:tcPr>
            <w:tcW w:w="4600" w:type="dxa"/>
            <w:vAlign w:val="bottom"/>
            <w:tcBorders>
              <w:top w:val="single" w:sz="8" w:color="B2B2B2"/>
            </w:tcBorders>
          </w:tcPr>
          <w:p>
            <w:pPr>
              <w:spacing w:after="0" w:line="143" w:lineRule="exact"/>
              <w:rPr>
                <w:sz w:val="20"/>
                <w:szCs w:val="20"/>
                <w:color w:val="auto"/>
              </w:rPr>
            </w:pPr>
            <w:r>
              <w:rPr>
                <w:rFonts w:ascii="Arial" w:cs="Arial" w:eastAsia="Arial" w:hAnsi="Arial"/>
                <w:sz w:val="14"/>
                <w:szCs w:val="14"/>
                <w:b w:val="1"/>
                <w:bCs w:val="1"/>
                <w:color w:val="auto"/>
              </w:rPr>
              <w:t>Earnings from continuing operations</w:t>
            </w:r>
          </w:p>
        </w:tc>
        <w:tc>
          <w:tcPr>
            <w:tcW w:w="72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color w:val="auto"/>
              </w:rPr>
              <w:t>2,697</w:t>
            </w:r>
          </w:p>
        </w:tc>
        <w:tc>
          <w:tcPr>
            <w:tcW w:w="92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color w:val="auto"/>
              </w:rPr>
              <w:t>394</w:t>
            </w:r>
          </w:p>
        </w:tc>
        <w:tc>
          <w:tcPr>
            <w:tcW w:w="104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color w:val="auto"/>
              </w:rPr>
              <w:t>2,622</w:t>
            </w:r>
          </w:p>
        </w:tc>
        <w:tc>
          <w:tcPr>
            <w:tcW w:w="104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color w:val="auto"/>
              </w:rPr>
              <w:t>(3,067)</w:t>
            </w:r>
          </w:p>
        </w:tc>
        <w:tc>
          <w:tcPr>
            <w:tcW w:w="1080" w:type="dxa"/>
            <w:vAlign w:val="bottom"/>
            <w:tcBorders>
              <w:top w:val="single" w:sz="8" w:color="B2B2B2"/>
            </w:tcBorders>
          </w:tcPr>
          <w:p>
            <w:pPr>
              <w:jc w:val="right"/>
              <w:spacing w:after="0" w:line="143" w:lineRule="exact"/>
              <w:rPr>
                <w:sz w:val="20"/>
                <w:szCs w:val="20"/>
                <w:color w:val="auto"/>
              </w:rPr>
            </w:pPr>
            <w:r>
              <w:rPr>
                <w:rFonts w:ascii="Arial" w:cs="Arial" w:eastAsia="Arial" w:hAnsi="Arial"/>
                <w:sz w:val="14"/>
                <w:szCs w:val="14"/>
                <w:color w:val="auto"/>
              </w:rPr>
              <w:t>2,646  </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8"/>
        </w:trPr>
        <w:tc>
          <w:tcPr>
            <w:tcW w:w="4600" w:type="dxa"/>
            <w:vAlign w:val="bottom"/>
          </w:tcPr>
          <w:p>
            <w:pPr>
              <w:spacing w:after="0"/>
              <w:rPr>
                <w:sz w:val="20"/>
                <w:szCs w:val="20"/>
                <w:color w:val="auto"/>
              </w:rPr>
            </w:pPr>
            <w:r>
              <w:rPr>
                <w:rFonts w:ascii="Arial" w:cs="Arial" w:eastAsia="Arial" w:hAnsi="Arial"/>
                <w:sz w:val="14"/>
                <w:szCs w:val="14"/>
                <w:color w:val="auto"/>
              </w:rPr>
              <w:t>(Loss) earnings from discontinued operations, net of tax</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51</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440"/>
              <w:spacing w:after="0"/>
              <w:rPr>
                <w:sz w:val="20"/>
                <w:szCs w:val="20"/>
                <w:color w:val="auto"/>
              </w:rPr>
            </w:pPr>
            <w:r>
              <w:rPr>
                <w:rFonts w:ascii="Arial" w:cs="Arial" w:eastAsia="Arial" w:hAnsi="Arial"/>
                <w:sz w:val="14"/>
                <w:szCs w:val="14"/>
                <w:color w:val="auto"/>
              </w:rPr>
              <w:t>49  </w:t>
            </w:r>
          </w:p>
        </w:tc>
      </w:tr>
      <w:tr>
        <w:trPr>
          <w:trHeight w:val="152"/>
        </w:trPr>
        <w:tc>
          <w:tcPr>
            <w:tcW w:w="4600" w:type="dxa"/>
            <w:vAlign w:val="bottom"/>
            <w:tcBorders>
              <w:top w:val="single" w:sz="8" w:color="B2B2B2"/>
              <w:bottom w:val="single" w:sz="8" w:color="B2B2B2"/>
            </w:tcBorders>
          </w:tcPr>
          <w:p>
            <w:pPr>
              <w:spacing w:after="0" w:line="152" w:lineRule="exact"/>
              <w:rPr>
                <w:sz w:val="20"/>
                <w:szCs w:val="20"/>
                <w:color w:val="auto"/>
              </w:rPr>
            </w:pPr>
            <w:r>
              <w:rPr>
                <w:rFonts w:ascii="Arial" w:cs="Arial" w:eastAsia="Arial" w:hAnsi="Arial"/>
                <w:sz w:val="14"/>
                <w:szCs w:val="14"/>
                <w:color w:val="auto"/>
              </w:rPr>
              <w:t>Net earnings</w:t>
            </w:r>
          </w:p>
        </w:tc>
        <w:tc>
          <w:tcPr>
            <w:tcW w:w="720" w:type="dxa"/>
            <w:vAlign w:val="bottom"/>
            <w:tcBorders>
              <w:top w:val="single" w:sz="8" w:color="B2B2B2"/>
              <w:bottom w:val="single" w:sz="8" w:color="B2B2B2"/>
            </w:tcBorders>
          </w:tcPr>
          <w:p>
            <w:pPr>
              <w:jc w:val="right"/>
              <w:ind w:right="29"/>
              <w:spacing w:after="0" w:line="152" w:lineRule="exact"/>
              <w:rPr>
                <w:sz w:val="20"/>
                <w:szCs w:val="20"/>
                <w:color w:val="auto"/>
              </w:rPr>
            </w:pPr>
            <w:r>
              <w:rPr>
                <w:rFonts w:ascii="Arial" w:cs="Arial" w:eastAsia="Arial" w:hAnsi="Arial"/>
                <w:sz w:val="14"/>
                <w:szCs w:val="14"/>
                <w:color w:val="auto"/>
              </w:rPr>
              <w:t>2,695</w:t>
            </w:r>
          </w:p>
        </w:tc>
        <w:tc>
          <w:tcPr>
            <w:tcW w:w="920" w:type="dxa"/>
            <w:vAlign w:val="bottom"/>
            <w:tcBorders>
              <w:top w:val="single" w:sz="8" w:color="B2B2B2"/>
              <w:bottom w:val="single" w:sz="8" w:color="B2B2B2"/>
            </w:tcBorders>
          </w:tcPr>
          <w:p>
            <w:pPr>
              <w:jc w:val="right"/>
              <w:ind w:right="29"/>
              <w:spacing w:after="0" w:line="152"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B2B2B2"/>
              <w:bottom w:val="single" w:sz="8" w:color="B2B2B2"/>
            </w:tcBorders>
          </w:tcPr>
          <w:p>
            <w:pPr>
              <w:jc w:val="right"/>
              <w:ind w:right="29"/>
              <w:spacing w:after="0" w:line="152" w:lineRule="exact"/>
              <w:rPr>
                <w:sz w:val="20"/>
                <w:szCs w:val="20"/>
                <w:color w:val="auto"/>
              </w:rPr>
            </w:pPr>
            <w:r>
              <w:rPr>
                <w:rFonts w:ascii="Arial" w:cs="Arial" w:eastAsia="Arial" w:hAnsi="Arial"/>
                <w:sz w:val="14"/>
                <w:szCs w:val="14"/>
                <w:color w:val="auto"/>
              </w:rPr>
              <w:t>394</w:t>
            </w:r>
          </w:p>
        </w:tc>
        <w:tc>
          <w:tcPr>
            <w:tcW w:w="1040" w:type="dxa"/>
            <w:vAlign w:val="bottom"/>
            <w:tcBorders>
              <w:top w:val="single" w:sz="8" w:color="B2B2B2"/>
              <w:bottom w:val="single" w:sz="8" w:color="B2B2B2"/>
            </w:tcBorders>
          </w:tcPr>
          <w:p>
            <w:pPr>
              <w:jc w:val="right"/>
              <w:ind w:right="29"/>
              <w:spacing w:after="0" w:line="152" w:lineRule="exact"/>
              <w:rPr>
                <w:sz w:val="20"/>
                <w:szCs w:val="20"/>
                <w:color w:val="auto"/>
              </w:rPr>
            </w:pPr>
            <w:r>
              <w:rPr>
                <w:rFonts w:ascii="Arial" w:cs="Arial" w:eastAsia="Arial" w:hAnsi="Arial"/>
                <w:sz w:val="14"/>
                <w:szCs w:val="14"/>
                <w:color w:val="auto"/>
              </w:rPr>
              <w:t>2,673</w:t>
            </w:r>
          </w:p>
        </w:tc>
        <w:tc>
          <w:tcPr>
            <w:tcW w:w="1040" w:type="dxa"/>
            <w:vAlign w:val="bottom"/>
            <w:tcBorders>
              <w:top w:val="single" w:sz="8" w:color="B2B2B2"/>
              <w:bottom w:val="single" w:sz="8" w:color="B2B2B2"/>
            </w:tcBorders>
          </w:tcPr>
          <w:p>
            <w:pPr>
              <w:jc w:val="right"/>
              <w:ind w:right="29"/>
              <w:spacing w:after="0" w:line="152" w:lineRule="exact"/>
              <w:rPr>
                <w:sz w:val="20"/>
                <w:szCs w:val="20"/>
                <w:color w:val="auto"/>
              </w:rPr>
            </w:pPr>
            <w:r>
              <w:rPr>
                <w:rFonts w:ascii="Arial" w:cs="Arial" w:eastAsia="Arial" w:hAnsi="Arial"/>
                <w:sz w:val="14"/>
                <w:szCs w:val="14"/>
                <w:color w:val="auto"/>
              </w:rPr>
              <w:t>(3,067)</w:t>
            </w:r>
          </w:p>
        </w:tc>
        <w:tc>
          <w:tcPr>
            <w:tcW w:w="1080" w:type="dxa"/>
            <w:vAlign w:val="bottom"/>
            <w:tcBorders>
              <w:top w:val="single" w:sz="8" w:color="B2B2B2"/>
              <w:bottom w:val="single" w:sz="8" w:color="B2B2B2"/>
            </w:tcBorders>
          </w:tcPr>
          <w:p>
            <w:pPr>
              <w:jc w:val="right"/>
              <w:spacing w:after="0" w:line="152" w:lineRule="exact"/>
              <w:rPr>
                <w:sz w:val="20"/>
                <w:szCs w:val="20"/>
                <w:color w:val="auto"/>
              </w:rPr>
            </w:pPr>
            <w:r>
              <w:rPr>
                <w:rFonts w:ascii="Arial" w:cs="Arial" w:eastAsia="Arial" w:hAnsi="Arial"/>
                <w:sz w:val="14"/>
                <w:szCs w:val="14"/>
                <w:color w:val="auto"/>
              </w:rPr>
              <w:t>2,695  </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3"/>
        </w:trPr>
        <w:tc>
          <w:tcPr>
            <w:tcW w:w="4600" w:type="dxa"/>
            <w:vAlign w:val="bottom"/>
          </w:tcPr>
          <w:p>
            <w:pPr>
              <w:spacing w:after="0" w:line="143" w:lineRule="exact"/>
              <w:rPr>
                <w:sz w:val="20"/>
                <w:szCs w:val="20"/>
                <w:color w:val="auto"/>
              </w:rPr>
            </w:pPr>
            <w:r>
              <w:rPr>
                <w:rFonts w:ascii="Arial" w:cs="Arial" w:eastAsia="Arial" w:hAnsi="Arial"/>
                <w:sz w:val="14"/>
                <w:szCs w:val="14"/>
                <w:color w:val="auto"/>
              </w:rPr>
              <w:t>Earnings attributable to:</w:t>
            </w: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4600" w:type="dxa"/>
            <w:vAlign w:val="bottom"/>
          </w:tcPr>
          <w:p>
            <w:pPr>
              <w:spacing w:after="0" w:line="159" w:lineRule="exact"/>
              <w:rPr>
                <w:sz w:val="20"/>
                <w:szCs w:val="20"/>
                <w:color w:val="auto"/>
              </w:rPr>
            </w:pPr>
            <w:r>
              <w:rPr>
                <w:rFonts w:ascii="Arial" w:cs="Arial" w:eastAsia="Arial" w:hAnsi="Arial"/>
                <w:sz w:val="14"/>
                <w:szCs w:val="14"/>
                <w:color w:val="auto"/>
              </w:rPr>
              <w:t>Common shareholders</w:t>
            </w:r>
          </w:p>
        </w:tc>
        <w:tc>
          <w:tcPr>
            <w:tcW w:w="720" w:type="dxa"/>
            <w:vAlign w:val="bottom"/>
          </w:tcPr>
          <w:p>
            <w:pPr>
              <w:jc w:val="right"/>
              <w:ind w:right="29"/>
              <w:spacing w:after="0" w:line="159" w:lineRule="exact"/>
              <w:rPr>
                <w:sz w:val="20"/>
                <w:szCs w:val="20"/>
                <w:color w:val="auto"/>
              </w:rPr>
            </w:pPr>
            <w:r>
              <w:rPr>
                <w:rFonts w:ascii="Arial" w:cs="Arial" w:eastAsia="Arial" w:hAnsi="Arial"/>
                <w:sz w:val="14"/>
                <w:szCs w:val="14"/>
                <w:color w:val="auto"/>
              </w:rPr>
              <w:t>2,695</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394</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color w:val="auto"/>
              </w:rPr>
              <w:t>2,673</w:t>
            </w:r>
          </w:p>
        </w:tc>
        <w:tc>
          <w:tcPr>
            <w:tcW w:w="1040" w:type="dxa"/>
            <w:vAlign w:val="bottom"/>
          </w:tcPr>
          <w:p>
            <w:pPr>
              <w:jc w:val="right"/>
              <w:ind w:right="29"/>
              <w:spacing w:after="0" w:line="159" w:lineRule="exact"/>
              <w:rPr>
                <w:sz w:val="20"/>
                <w:szCs w:val="20"/>
                <w:color w:val="auto"/>
              </w:rPr>
            </w:pPr>
            <w:r>
              <w:rPr>
                <w:rFonts w:ascii="Arial" w:cs="Arial" w:eastAsia="Arial" w:hAnsi="Arial"/>
                <w:sz w:val="14"/>
                <w:szCs w:val="14"/>
                <w:color w:val="auto"/>
              </w:rPr>
              <w:t>(3,067)</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color w:val="auto"/>
              </w:rPr>
              <w:t>2,695  </w:t>
            </w:r>
          </w:p>
        </w:tc>
      </w:tr>
      <w:tr>
        <w:trPr>
          <w:trHeight w:val="175"/>
        </w:trPr>
        <w:tc>
          <w:tcPr>
            <w:tcW w:w="4600" w:type="dxa"/>
            <w:vAlign w:val="bottom"/>
            <w:tcBorders>
              <w:bottom w:val="single" w:sz="8" w:color="D64000"/>
            </w:tcBorders>
          </w:tcPr>
          <w:p>
            <w:pPr>
              <w:spacing w:after="0"/>
              <w:rPr>
                <w:sz w:val="20"/>
                <w:szCs w:val="20"/>
                <w:color w:val="auto"/>
              </w:rPr>
            </w:pPr>
            <w:r>
              <w:rPr>
                <w:rFonts w:ascii="Arial" w:cs="Arial" w:eastAsia="Arial" w:hAnsi="Arial"/>
                <w:sz w:val="14"/>
                <w:szCs w:val="14"/>
                <w:color w:val="auto"/>
              </w:rPr>
              <w:t>Non-controlling interests</w:t>
            </w:r>
          </w:p>
        </w:tc>
        <w:tc>
          <w:tcPr>
            <w:tcW w:w="720" w:type="dxa"/>
            <w:vAlign w:val="bottom"/>
            <w:tcBorders>
              <w:bottom w:val="single" w:sz="8" w:color="D64000"/>
            </w:tcBorders>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64000"/>
            </w:tcBorders>
          </w:tcPr>
          <w:p>
            <w:pPr>
              <w:jc w:val="right"/>
              <w:ind w:right="2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64000"/>
            </w:tcBorders>
          </w:tcPr>
          <w:p>
            <w:pPr>
              <w:jc w:val="right"/>
              <w:ind w:right="2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D64000"/>
            </w:tcBorders>
          </w:tcPr>
          <w:p>
            <w:pPr>
              <w:jc w:val="right"/>
              <w:ind w:right="2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D64000"/>
            </w:tcBorders>
          </w:tcPr>
          <w:p>
            <w:pPr>
              <w:jc w:val="right"/>
              <w:ind w:right="2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D64000"/>
            </w:tcBorders>
          </w:tcPr>
          <w:p>
            <w:pPr>
              <w:jc w:val="right"/>
              <w:spacing w:after="0"/>
              <w:rPr>
                <w:sz w:val="20"/>
                <w:szCs w:val="20"/>
                <w:color w:val="auto"/>
              </w:rPr>
            </w:pPr>
            <w:r>
              <w:rPr>
                <w:rFonts w:ascii="Arial" w:cs="Arial" w:eastAsia="Arial" w:hAnsi="Arial"/>
                <w:sz w:val="14"/>
                <w:szCs w:val="14"/>
                <w:color w:val="auto"/>
              </w:rPr>
              <w:t>-  </w:t>
            </w:r>
          </w:p>
        </w:tc>
        <w:tc>
          <w:tcPr>
            <w:tcW w:w="440" w:type="dxa"/>
            <w:vAlign w:val="bottom"/>
            <w:gridSpan w:val="2"/>
          </w:tcPr>
          <w:p>
            <w:pPr>
              <w:spacing w:after="0"/>
              <w:rPr>
                <w:sz w:val="15"/>
                <w:szCs w:val="15"/>
                <w:color w:val="auto"/>
              </w:rPr>
            </w:pPr>
          </w:p>
        </w:tc>
      </w:tr>
      <w:tr>
        <w:trPr>
          <w:trHeight w:val="159"/>
        </w:trPr>
        <w:tc>
          <w:tcPr>
            <w:tcW w:w="4600" w:type="dxa"/>
            <w:vAlign w:val="bottom"/>
            <w:tcBorders>
              <w:bottom w:val="single" w:sz="8" w:color="7F7F7F"/>
            </w:tcBorders>
          </w:tcPr>
          <w:p>
            <w:pPr>
              <w:spacing w:after="0"/>
              <w:rPr>
                <w:sz w:val="13"/>
                <w:szCs w:val="13"/>
                <w:color w:val="auto"/>
              </w:rPr>
            </w:pPr>
          </w:p>
        </w:tc>
        <w:tc>
          <w:tcPr>
            <w:tcW w:w="720" w:type="dxa"/>
            <w:vAlign w:val="bottom"/>
            <w:tcBorders>
              <w:bottom w:val="single" w:sz="8" w:color="7F7F7F"/>
            </w:tcBorders>
          </w:tcPr>
          <w:p>
            <w:pPr>
              <w:spacing w:after="0"/>
              <w:rPr>
                <w:sz w:val="13"/>
                <w:szCs w:val="13"/>
                <w:color w:val="auto"/>
              </w:rPr>
            </w:pPr>
          </w:p>
        </w:tc>
        <w:tc>
          <w:tcPr>
            <w:tcW w:w="920" w:type="dxa"/>
            <w:vAlign w:val="bottom"/>
            <w:tcBorders>
              <w:bottom w:val="single" w:sz="8" w:color="7F7F7F"/>
            </w:tcBorders>
          </w:tcPr>
          <w:p>
            <w:pPr>
              <w:spacing w:after="0"/>
              <w:rPr>
                <w:sz w:val="13"/>
                <w:szCs w:val="13"/>
                <w:color w:val="auto"/>
              </w:rPr>
            </w:pPr>
          </w:p>
        </w:tc>
        <w:tc>
          <w:tcPr>
            <w:tcW w:w="980" w:type="dxa"/>
            <w:vAlign w:val="bottom"/>
            <w:tcBorders>
              <w:bottom w:val="single" w:sz="8" w:color="7F7F7F"/>
            </w:tcBorders>
          </w:tcPr>
          <w:p>
            <w:pPr>
              <w:spacing w:after="0"/>
              <w:rPr>
                <w:sz w:val="13"/>
                <w:szCs w:val="13"/>
                <w:color w:val="auto"/>
              </w:rPr>
            </w:pPr>
          </w:p>
        </w:tc>
        <w:tc>
          <w:tcPr>
            <w:tcW w:w="3580" w:type="dxa"/>
            <w:vAlign w:val="bottom"/>
            <w:tcBorders>
              <w:bottom w:val="single" w:sz="8" w:color="7F7F7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41"/>
        </w:trPr>
        <w:tc>
          <w:tcPr>
            <w:tcW w:w="4600" w:type="dxa"/>
            <w:vAlign w:val="bottom"/>
          </w:tcPr>
          <w:p>
            <w:pPr>
              <w:spacing w:after="0"/>
              <w:rPr>
                <w:sz w:val="20"/>
                <w:szCs w:val="20"/>
                <w:color w:val="auto"/>
              </w:rPr>
            </w:pPr>
            <w:r>
              <w:rPr>
                <w:rFonts w:ascii="Arial" w:cs="Arial" w:eastAsia="Arial" w:hAnsi="Arial"/>
                <w:sz w:val="17"/>
                <w:szCs w:val="17"/>
                <w:color w:val="auto"/>
              </w:rPr>
              <w:t>Page 78</w:t>
            </w: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0" w:type="dxa"/>
            <w:vAlign w:val="bottom"/>
            <w:gridSpan w:val="5"/>
          </w:tcPr>
          <w:p>
            <w:pPr>
              <w:ind w:left="540"/>
              <w:spacing w:after="0"/>
              <w:rPr>
                <w:sz w:val="20"/>
                <w:szCs w:val="20"/>
                <w:color w:val="auto"/>
              </w:rPr>
            </w:pPr>
            <w:r>
              <w:rPr>
                <w:rFonts w:ascii="Arial" w:cs="Arial" w:eastAsia="Arial" w:hAnsi="Arial"/>
                <w:sz w:val="17"/>
                <w:szCs w:val="17"/>
                <w:b w:val="1"/>
                <w:bCs w:val="1"/>
                <w:color w:val="auto"/>
                <w:w w:val="98"/>
              </w:rPr>
              <w:t>Thomson Reuters Annual Report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-2974975</wp:posOffset>
            </wp:positionV>
            <wp:extent cx="65881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588125" cy="8255"/>
                    </a:xfrm>
                    <a:prstGeom prst="rect">
                      <a:avLst/>
                    </a:prstGeom>
                    <a:noFill/>
                  </pic:spPr>
                </pic:pic>
              </a:graphicData>
            </a:graphic>
          </wp:anchor>
        </w:drawing>
      </w:r>
    </w:p>
    <w:p>
      <w:pPr>
        <w:sectPr>
          <w:pgSz w:w="11900" w:h="16838" w:orient="portrait"/>
          <w:cols w:equalWidth="0" w:num="1">
            <w:col w:w="11040"/>
          </w:cols>
          <w:pgMar w:left="320" w:top="477" w:right="5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CONDENSED CONSOLIDATING STATEMENT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83185</wp:posOffset>
            </wp:positionV>
            <wp:extent cx="65881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588125" cy="8255"/>
                    </a:xfrm>
                    <a:prstGeom prst="rect">
                      <a:avLst/>
                    </a:prstGeom>
                    <a:noFill/>
                  </pic:spPr>
                </pic:pic>
              </a:graphicData>
            </a:graphic>
          </wp:anchor>
        </w:drawing>
      </w:r>
    </w:p>
    <w:p>
      <w:pPr>
        <w:spacing w:after="0" w:line="111"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4580" w:type="dxa"/>
            <w:vAlign w:val="bottom"/>
          </w:tcPr>
          <w:p>
            <w:pPr>
              <w:spacing w:after="0"/>
              <w:rPr>
                <w:sz w:val="14"/>
                <w:szCs w:val="14"/>
                <w:color w:val="auto"/>
              </w:rPr>
            </w:pPr>
          </w:p>
        </w:tc>
        <w:tc>
          <w:tcPr>
            <w:tcW w:w="740" w:type="dxa"/>
            <w:vAlign w:val="bottom"/>
            <w:shd w:val="clear" w:color="auto" w:fill="E3F3EE"/>
          </w:tcPr>
          <w:p>
            <w:pPr>
              <w:spacing w:after="0"/>
              <w:rPr>
                <w:sz w:val="14"/>
                <w:szCs w:val="14"/>
                <w:color w:val="auto"/>
              </w:rPr>
            </w:pPr>
          </w:p>
        </w:tc>
        <w:tc>
          <w:tcPr>
            <w:tcW w:w="920" w:type="dxa"/>
            <w:vAlign w:val="bottom"/>
            <w:shd w:val="clear" w:color="auto" w:fill="E3F3EE"/>
          </w:tcPr>
          <w:p>
            <w:pPr>
              <w:spacing w:after="0"/>
              <w:rPr>
                <w:sz w:val="14"/>
                <w:szCs w:val="14"/>
                <w:color w:val="auto"/>
              </w:rPr>
            </w:pPr>
          </w:p>
        </w:tc>
        <w:tc>
          <w:tcPr>
            <w:tcW w:w="2040" w:type="dxa"/>
            <w:vAlign w:val="bottom"/>
            <w:gridSpan w:val="2"/>
            <w:shd w:val="clear" w:color="auto" w:fill="E3F3EE"/>
          </w:tcPr>
          <w:p>
            <w:pPr>
              <w:jc w:val="right"/>
              <w:ind w:right="29"/>
              <w:spacing w:after="0"/>
              <w:rPr>
                <w:sz w:val="20"/>
                <w:szCs w:val="20"/>
                <w:color w:val="auto"/>
              </w:rPr>
            </w:pPr>
            <w:r>
              <w:rPr>
                <w:rFonts w:ascii="Arial" w:cs="Arial" w:eastAsia="Arial" w:hAnsi="Arial"/>
                <w:sz w:val="14"/>
                <w:szCs w:val="14"/>
                <w:b w:val="1"/>
                <w:bCs w:val="1"/>
                <w:color w:val="auto"/>
              </w:rPr>
              <w:t>December 31, 2024</w:t>
            </w:r>
          </w:p>
        </w:tc>
        <w:tc>
          <w:tcPr>
            <w:tcW w:w="1020" w:type="dxa"/>
            <w:vAlign w:val="bottom"/>
            <w:shd w:val="clear" w:color="auto" w:fill="E3F3EE"/>
          </w:tcPr>
          <w:p>
            <w:pPr>
              <w:spacing w:after="0"/>
              <w:rPr>
                <w:sz w:val="14"/>
                <w:szCs w:val="14"/>
                <w:color w:val="auto"/>
              </w:rPr>
            </w:pPr>
          </w:p>
        </w:tc>
        <w:tc>
          <w:tcPr>
            <w:tcW w:w="1080" w:type="dxa"/>
            <w:vAlign w:val="bottom"/>
            <w:shd w:val="clear" w:color="auto" w:fill="E3F3EE"/>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0"/>
        </w:trPr>
        <w:tc>
          <w:tcPr>
            <w:tcW w:w="4580" w:type="dxa"/>
            <w:vAlign w:val="bottom"/>
            <w:shd w:val="clear" w:color="auto" w:fill="1F473D"/>
          </w:tcPr>
          <w:p>
            <w:pPr>
              <w:spacing w:after="0"/>
              <w:rPr>
                <w:sz w:val="13"/>
                <w:szCs w:val="13"/>
                <w:color w:val="auto"/>
              </w:rPr>
            </w:pPr>
          </w:p>
        </w:tc>
        <w:tc>
          <w:tcPr>
            <w:tcW w:w="740" w:type="dxa"/>
            <w:vAlign w:val="bottom"/>
            <w:shd w:val="clear" w:color="auto" w:fill="1F473D"/>
          </w:tcPr>
          <w:p>
            <w:pPr>
              <w:spacing w:after="0"/>
              <w:rPr>
                <w:sz w:val="13"/>
                <w:szCs w:val="13"/>
                <w:color w:val="auto"/>
              </w:rPr>
            </w:pPr>
          </w:p>
        </w:tc>
        <w:tc>
          <w:tcPr>
            <w:tcW w:w="920" w:type="dxa"/>
            <w:vAlign w:val="bottom"/>
            <w:shd w:val="clear" w:color="auto" w:fill="1F473D"/>
          </w:tcPr>
          <w:p>
            <w:pPr>
              <w:spacing w:after="0"/>
              <w:rPr>
                <w:sz w:val="13"/>
                <w:szCs w:val="13"/>
                <w:color w:val="auto"/>
              </w:rPr>
            </w:pPr>
          </w:p>
        </w:tc>
        <w:tc>
          <w:tcPr>
            <w:tcW w:w="980" w:type="dxa"/>
            <w:vAlign w:val="bottom"/>
            <w:shd w:val="clear" w:color="auto" w:fill="1F473D"/>
          </w:tcPr>
          <w:p>
            <w:pPr>
              <w:spacing w:after="0"/>
              <w:rPr>
                <w:sz w:val="13"/>
                <w:szCs w:val="13"/>
                <w:color w:val="auto"/>
              </w:rPr>
            </w:pPr>
          </w:p>
        </w:tc>
        <w:tc>
          <w:tcPr>
            <w:tcW w:w="1060" w:type="dxa"/>
            <w:vAlign w:val="bottom"/>
            <w:shd w:val="clear" w:color="auto" w:fill="1F473D"/>
          </w:tcPr>
          <w:p>
            <w:pPr>
              <w:jc w:val="right"/>
              <w:ind w:right="49"/>
              <w:spacing w:after="0" w:line="150" w:lineRule="exact"/>
              <w:rPr>
                <w:sz w:val="20"/>
                <w:szCs w:val="20"/>
                <w:color w:val="auto"/>
              </w:rPr>
            </w:pPr>
            <w:r>
              <w:rPr>
                <w:rFonts w:ascii="Arial" w:cs="Arial" w:eastAsia="Arial" w:hAnsi="Arial"/>
                <w:sz w:val="14"/>
                <w:szCs w:val="14"/>
                <w:b w:val="1"/>
                <w:bCs w:val="1"/>
                <w:color w:val="FFFFFF"/>
              </w:rPr>
              <w:t>Non-</w:t>
            </w:r>
          </w:p>
        </w:tc>
        <w:tc>
          <w:tcPr>
            <w:tcW w:w="1020" w:type="dxa"/>
            <w:vAlign w:val="bottom"/>
            <w:shd w:val="clear" w:color="auto" w:fill="1F473D"/>
          </w:tcPr>
          <w:p>
            <w:pPr>
              <w:spacing w:after="0"/>
              <w:rPr>
                <w:sz w:val="13"/>
                <w:szCs w:val="13"/>
                <w:color w:val="auto"/>
              </w:rPr>
            </w:pPr>
          </w:p>
        </w:tc>
        <w:tc>
          <w:tcPr>
            <w:tcW w:w="1080" w:type="dxa"/>
            <w:vAlign w:val="bottom"/>
            <w:shd w:val="clear" w:color="auto" w:fill="1F473D"/>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4580" w:type="dxa"/>
            <w:vAlign w:val="bottom"/>
            <w:shd w:val="clear" w:color="auto" w:fill="1F473D"/>
          </w:tcPr>
          <w:p>
            <w:pPr>
              <w:spacing w:after="0"/>
              <w:rPr>
                <w:sz w:val="13"/>
                <w:szCs w:val="13"/>
                <w:color w:val="auto"/>
              </w:rPr>
            </w:pPr>
          </w:p>
        </w:tc>
        <w:tc>
          <w:tcPr>
            <w:tcW w:w="740" w:type="dxa"/>
            <w:vAlign w:val="bottom"/>
            <w:shd w:val="clear" w:color="auto" w:fill="1F473D"/>
          </w:tcPr>
          <w:p>
            <w:pPr>
              <w:spacing w:after="0"/>
              <w:rPr>
                <w:sz w:val="13"/>
                <w:szCs w:val="13"/>
                <w:color w:val="auto"/>
              </w:rPr>
            </w:pPr>
          </w:p>
        </w:tc>
        <w:tc>
          <w:tcPr>
            <w:tcW w:w="920" w:type="dxa"/>
            <w:vAlign w:val="bottom"/>
            <w:shd w:val="clear" w:color="auto" w:fill="1F473D"/>
          </w:tcPr>
          <w:p>
            <w:pPr>
              <w:jc w:val="right"/>
              <w:ind w:right="29"/>
              <w:spacing w:after="0" w:line="159" w:lineRule="exact"/>
              <w:rPr>
                <w:sz w:val="20"/>
                <w:szCs w:val="20"/>
                <w:color w:val="auto"/>
              </w:rPr>
            </w:pPr>
            <w:r>
              <w:rPr>
                <w:rFonts w:ascii="Arial" w:cs="Arial" w:eastAsia="Arial" w:hAnsi="Arial"/>
                <w:sz w:val="14"/>
                <w:szCs w:val="14"/>
                <w:b w:val="1"/>
                <w:bCs w:val="1"/>
                <w:color w:val="FFFFFF"/>
              </w:rPr>
              <w:t>Subsidiary</w:t>
            </w:r>
          </w:p>
        </w:tc>
        <w:tc>
          <w:tcPr>
            <w:tcW w:w="980" w:type="dxa"/>
            <w:vAlign w:val="bottom"/>
            <w:shd w:val="clear" w:color="auto" w:fill="1F473D"/>
          </w:tcPr>
          <w:p>
            <w:pPr>
              <w:jc w:val="right"/>
              <w:ind w:right="29"/>
              <w:spacing w:after="0" w:line="159" w:lineRule="exact"/>
              <w:rPr>
                <w:sz w:val="20"/>
                <w:szCs w:val="20"/>
                <w:color w:val="auto"/>
              </w:rPr>
            </w:pPr>
            <w:r>
              <w:rPr>
                <w:rFonts w:ascii="Arial" w:cs="Arial" w:eastAsia="Arial" w:hAnsi="Arial"/>
                <w:sz w:val="14"/>
                <w:szCs w:val="14"/>
                <w:b w:val="1"/>
                <w:bCs w:val="1"/>
                <w:color w:val="FFFFFF"/>
              </w:rPr>
              <w:t>Subsidiary</w:t>
            </w:r>
          </w:p>
        </w:tc>
        <w:tc>
          <w:tcPr>
            <w:tcW w:w="1060" w:type="dxa"/>
            <w:vAlign w:val="bottom"/>
            <w:shd w:val="clear" w:color="auto" w:fill="1F473D"/>
          </w:tcPr>
          <w:p>
            <w:pPr>
              <w:jc w:val="right"/>
              <w:ind w:right="49"/>
              <w:spacing w:after="0" w:line="159" w:lineRule="exact"/>
              <w:rPr>
                <w:sz w:val="20"/>
                <w:szCs w:val="20"/>
                <w:color w:val="auto"/>
              </w:rPr>
            </w:pPr>
            <w:r>
              <w:rPr>
                <w:rFonts w:ascii="Arial" w:cs="Arial" w:eastAsia="Arial" w:hAnsi="Arial"/>
                <w:sz w:val="14"/>
                <w:szCs w:val="14"/>
                <w:b w:val="1"/>
                <w:bCs w:val="1"/>
                <w:color w:val="FFFFFF"/>
              </w:rPr>
              <w:t>Guarantor</w:t>
            </w:r>
          </w:p>
        </w:tc>
        <w:tc>
          <w:tcPr>
            <w:tcW w:w="1020" w:type="dxa"/>
            <w:vAlign w:val="bottom"/>
            <w:shd w:val="clear" w:color="auto" w:fill="1F473D"/>
          </w:tcPr>
          <w:p>
            <w:pPr>
              <w:spacing w:after="0"/>
              <w:rPr>
                <w:sz w:val="13"/>
                <w:szCs w:val="13"/>
                <w:color w:val="auto"/>
              </w:rPr>
            </w:pPr>
          </w:p>
        </w:tc>
        <w:tc>
          <w:tcPr>
            <w:tcW w:w="1080" w:type="dxa"/>
            <w:vAlign w:val="bottom"/>
            <w:shd w:val="clear" w:color="auto" w:fill="1F473D"/>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5"/>
        </w:trPr>
        <w:tc>
          <w:tcPr>
            <w:tcW w:w="458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4"/>
                <w:szCs w:val="14"/>
                <w:color w:val="FFFFFF"/>
              </w:rPr>
              <w:t>(millions of U.S. dollars)</w:t>
            </w:r>
          </w:p>
        </w:tc>
        <w:tc>
          <w:tcPr>
            <w:tcW w:w="740" w:type="dxa"/>
            <w:vAlign w:val="bottom"/>
            <w:tcBorders>
              <w:bottom w:val="single" w:sz="8" w:color="D64000"/>
            </w:tcBorders>
            <w:shd w:val="clear" w:color="auto" w:fill="1F473D"/>
          </w:tcPr>
          <w:p>
            <w:pPr>
              <w:jc w:val="right"/>
              <w:ind w:right="29"/>
              <w:spacing w:after="0"/>
              <w:rPr>
                <w:sz w:val="20"/>
                <w:szCs w:val="20"/>
                <w:color w:val="auto"/>
              </w:rPr>
            </w:pPr>
            <w:r>
              <w:rPr>
                <w:rFonts w:ascii="Arial" w:cs="Arial" w:eastAsia="Arial" w:hAnsi="Arial"/>
                <w:sz w:val="14"/>
                <w:szCs w:val="14"/>
                <w:b w:val="1"/>
                <w:bCs w:val="1"/>
                <w:color w:val="FFFFFF"/>
              </w:rPr>
              <w:t>Parent</w:t>
            </w:r>
          </w:p>
        </w:tc>
        <w:tc>
          <w:tcPr>
            <w:tcW w:w="920" w:type="dxa"/>
            <w:vAlign w:val="bottom"/>
            <w:tcBorders>
              <w:bottom w:val="single" w:sz="8" w:color="D64000"/>
            </w:tcBorders>
            <w:shd w:val="clear" w:color="auto" w:fill="1F473D"/>
          </w:tcPr>
          <w:p>
            <w:pPr>
              <w:jc w:val="right"/>
              <w:ind w:right="29"/>
              <w:spacing w:after="0"/>
              <w:rPr>
                <w:sz w:val="20"/>
                <w:szCs w:val="20"/>
                <w:color w:val="auto"/>
              </w:rPr>
            </w:pPr>
            <w:r>
              <w:rPr>
                <w:rFonts w:ascii="Arial" w:cs="Arial" w:eastAsia="Arial" w:hAnsi="Arial"/>
                <w:sz w:val="14"/>
                <w:szCs w:val="14"/>
                <w:b w:val="1"/>
                <w:bCs w:val="1"/>
                <w:color w:val="FFFFFF"/>
              </w:rPr>
              <w:t>Issuer</w:t>
            </w:r>
          </w:p>
        </w:tc>
        <w:tc>
          <w:tcPr>
            <w:tcW w:w="980" w:type="dxa"/>
            <w:vAlign w:val="bottom"/>
            <w:tcBorders>
              <w:bottom w:val="single" w:sz="8" w:color="D64000"/>
            </w:tcBorders>
            <w:shd w:val="clear" w:color="auto" w:fill="1F473D"/>
          </w:tcPr>
          <w:p>
            <w:pPr>
              <w:jc w:val="right"/>
              <w:ind w:right="29"/>
              <w:spacing w:after="0"/>
              <w:rPr>
                <w:sz w:val="20"/>
                <w:szCs w:val="20"/>
                <w:color w:val="auto"/>
              </w:rPr>
            </w:pPr>
            <w:r>
              <w:rPr>
                <w:rFonts w:ascii="Arial" w:cs="Arial" w:eastAsia="Arial" w:hAnsi="Arial"/>
                <w:sz w:val="14"/>
                <w:szCs w:val="14"/>
                <w:b w:val="1"/>
                <w:bCs w:val="1"/>
                <w:color w:val="FFFFFF"/>
              </w:rPr>
              <w:t>Guarantors</w:t>
            </w:r>
          </w:p>
        </w:tc>
        <w:tc>
          <w:tcPr>
            <w:tcW w:w="1060" w:type="dxa"/>
            <w:vAlign w:val="bottom"/>
            <w:tcBorders>
              <w:bottom w:val="single" w:sz="8" w:color="D64000"/>
            </w:tcBorders>
            <w:shd w:val="clear" w:color="auto" w:fill="1F473D"/>
          </w:tcPr>
          <w:p>
            <w:pPr>
              <w:jc w:val="right"/>
              <w:ind w:right="49"/>
              <w:spacing w:after="0"/>
              <w:rPr>
                <w:sz w:val="20"/>
                <w:szCs w:val="20"/>
                <w:color w:val="auto"/>
              </w:rPr>
            </w:pPr>
            <w:r>
              <w:rPr>
                <w:rFonts w:ascii="Arial" w:cs="Arial" w:eastAsia="Arial" w:hAnsi="Arial"/>
                <w:sz w:val="14"/>
                <w:szCs w:val="14"/>
                <w:b w:val="1"/>
                <w:bCs w:val="1"/>
                <w:color w:val="FFFFFF"/>
              </w:rPr>
              <w:t>Subsidiaries</w:t>
            </w:r>
          </w:p>
        </w:tc>
        <w:tc>
          <w:tcPr>
            <w:tcW w:w="1020" w:type="dxa"/>
            <w:vAlign w:val="bottom"/>
            <w:tcBorders>
              <w:bottom w:val="single" w:sz="8" w:color="D64000"/>
            </w:tcBorders>
            <w:shd w:val="clear" w:color="auto" w:fill="1F473D"/>
          </w:tcPr>
          <w:p>
            <w:pPr>
              <w:jc w:val="right"/>
              <w:ind w:right="29"/>
              <w:spacing w:after="0"/>
              <w:rPr>
                <w:sz w:val="20"/>
                <w:szCs w:val="20"/>
                <w:color w:val="auto"/>
              </w:rPr>
            </w:pPr>
            <w:r>
              <w:rPr>
                <w:rFonts w:ascii="Arial" w:cs="Arial" w:eastAsia="Arial" w:hAnsi="Arial"/>
                <w:sz w:val="14"/>
                <w:szCs w:val="14"/>
                <w:b w:val="1"/>
                <w:bCs w:val="1"/>
                <w:color w:val="FFFFFF"/>
              </w:rPr>
              <w:t>Eliminations</w:t>
            </w:r>
          </w:p>
        </w:tc>
        <w:tc>
          <w:tcPr>
            <w:tcW w:w="108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4"/>
                <w:szCs w:val="14"/>
                <w:b w:val="1"/>
                <w:bCs w:val="1"/>
                <w:color w:val="FFFFFF"/>
              </w:rPr>
              <w:t>Consolidated </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0"/>
        </w:trPr>
        <w:tc>
          <w:tcPr>
            <w:tcW w:w="4580" w:type="dxa"/>
            <w:vAlign w:val="bottom"/>
          </w:tcPr>
          <w:p>
            <w:pPr>
              <w:spacing w:after="0" w:line="150" w:lineRule="exact"/>
              <w:rPr>
                <w:sz w:val="20"/>
                <w:szCs w:val="20"/>
                <w:color w:val="auto"/>
              </w:rPr>
            </w:pPr>
            <w:r>
              <w:rPr>
                <w:rFonts w:ascii="Arial" w:cs="Arial" w:eastAsia="Arial" w:hAnsi="Arial"/>
                <w:sz w:val="14"/>
                <w:szCs w:val="14"/>
                <w:color w:val="auto"/>
              </w:rPr>
              <w:t>Cash and cash equivalents</w:t>
            </w:r>
          </w:p>
        </w:tc>
        <w:tc>
          <w:tcPr>
            <w:tcW w:w="740" w:type="dxa"/>
            <w:vAlign w:val="bottom"/>
          </w:tcPr>
          <w:p>
            <w:pPr>
              <w:jc w:val="right"/>
              <w:ind w:right="29"/>
              <w:spacing w:after="0" w:line="150" w:lineRule="exact"/>
              <w:rPr>
                <w:sz w:val="20"/>
                <w:szCs w:val="20"/>
                <w:color w:val="auto"/>
              </w:rPr>
            </w:pPr>
            <w:r>
              <w:rPr>
                <w:rFonts w:ascii="Arial" w:cs="Arial" w:eastAsia="Arial" w:hAnsi="Arial"/>
                <w:sz w:val="14"/>
                <w:szCs w:val="14"/>
                <w:b w:val="1"/>
                <w:bCs w:val="1"/>
                <w:color w:val="auto"/>
              </w:rPr>
              <w:t>14</w:t>
            </w:r>
          </w:p>
        </w:tc>
        <w:tc>
          <w:tcPr>
            <w:tcW w:w="920" w:type="dxa"/>
            <w:vAlign w:val="bottom"/>
          </w:tcPr>
          <w:p>
            <w:pPr>
              <w:jc w:val="right"/>
              <w:ind w:right="29"/>
              <w:spacing w:after="0" w:line="150"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line="150" w:lineRule="exact"/>
              <w:rPr>
                <w:sz w:val="20"/>
                <w:szCs w:val="20"/>
                <w:color w:val="auto"/>
              </w:rPr>
            </w:pPr>
            <w:r>
              <w:rPr>
                <w:rFonts w:ascii="Arial" w:cs="Arial" w:eastAsia="Arial" w:hAnsi="Arial"/>
                <w:sz w:val="14"/>
                <w:szCs w:val="14"/>
                <w:b w:val="1"/>
                <w:bCs w:val="1"/>
                <w:color w:val="auto"/>
              </w:rPr>
              <w:t>230</w:t>
            </w:r>
          </w:p>
        </w:tc>
        <w:tc>
          <w:tcPr>
            <w:tcW w:w="1060" w:type="dxa"/>
            <w:vAlign w:val="bottom"/>
          </w:tcPr>
          <w:p>
            <w:pPr>
              <w:jc w:val="right"/>
              <w:ind w:right="49"/>
              <w:spacing w:after="0" w:line="150" w:lineRule="exact"/>
              <w:rPr>
                <w:sz w:val="20"/>
                <w:szCs w:val="20"/>
                <w:color w:val="auto"/>
              </w:rPr>
            </w:pPr>
            <w:r>
              <w:rPr>
                <w:rFonts w:ascii="Arial" w:cs="Arial" w:eastAsia="Arial" w:hAnsi="Arial"/>
                <w:sz w:val="14"/>
                <w:szCs w:val="14"/>
                <w:b w:val="1"/>
                <w:bCs w:val="1"/>
                <w:color w:val="auto"/>
              </w:rPr>
              <w:t>1,724</w:t>
            </w:r>
          </w:p>
        </w:tc>
        <w:tc>
          <w:tcPr>
            <w:tcW w:w="1020" w:type="dxa"/>
            <w:vAlign w:val="bottom"/>
          </w:tcPr>
          <w:p>
            <w:pPr>
              <w:jc w:val="right"/>
              <w:ind w:right="29"/>
              <w:spacing w:after="0" w:line="150" w:lineRule="exact"/>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line="150" w:lineRule="exact"/>
              <w:rPr>
                <w:sz w:val="20"/>
                <w:szCs w:val="20"/>
                <w:color w:val="auto"/>
              </w:rPr>
            </w:pPr>
            <w:r>
              <w:rPr>
                <w:rFonts w:ascii="Arial" w:cs="Arial" w:eastAsia="Arial" w:hAnsi="Arial"/>
                <w:sz w:val="14"/>
                <w:szCs w:val="14"/>
                <w:b w:val="1"/>
                <w:bCs w:val="1"/>
                <w:color w:val="auto"/>
              </w:rPr>
              <w:t>1,968  </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4580" w:type="dxa"/>
            <w:vAlign w:val="bottom"/>
          </w:tcPr>
          <w:p>
            <w:pPr>
              <w:spacing w:after="0" w:line="159" w:lineRule="exact"/>
              <w:rPr>
                <w:sz w:val="20"/>
                <w:szCs w:val="20"/>
                <w:color w:val="auto"/>
              </w:rPr>
            </w:pPr>
            <w:r>
              <w:rPr>
                <w:rFonts w:ascii="Arial" w:cs="Arial" w:eastAsia="Arial" w:hAnsi="Arial"/>
                <w:sz w:val="14"/>
                <w:szCs w:val="14"/>
                <w:color w:val="auto"/>
              </w:rPr>
              <w:t>Trade and other receivables</w:t>
            </w:r>
          </w:p>
        </w:tc>
        <w:tc>
          <w:tcPr>
            <w:tcW w:w="7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257</w:t>
            </w:r>
          </w:p>
        </w:tc>
        <w:tc>
          <w:tcPr>
            <w:tcW w:w="1060" w:type="dxa"/>
            <w:vAlign w:val="bottom"/>
          </w:tcPr>
          <w:p>
            <w:pPr>
              <w:jc w:val="right"/>
              <w:ind w:right="49"/>
              <w:spacing w:after="0" w:line="159" w:lineRule="exact"/>
              <w:rPr>
                <w:sz w:val="20"/>
                <w:szCs w:val="20"/>
                <w:color w:val="auto"/>
              </w:rPr>
            </w:pPr>
            <w:r>
              <w:rPr>
                <w:rFonts w:ascii="Arial" w:cs="Arial" w:eastAsia="Arial" w:hAnsi="Arial"/>
                <w:sz w:val="14"/>
                <w:szCs w:val="14"/>
                <w:b w:val="1"/>
                <w:bCs w:val="1"/>
                <w:color w:val="auto"/>
              </w:rPr>
              <w:t>830</w:t>
            </w:r>
          </w:p>
        </w:tc>
        <w:tc>
          <w:tcPr>
            <w:tcW w:w="10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b w:val="1"/>
                <w:bCs w:val="1"/>
                <w:color w:val="auto"/>
              </w:rPr>
              <w:t>1,087  </w:t>
            </w:r>
          </w:p>
        </w:tc>
      </w:tr>
      <w:tr>
        <w:trPr>
          <w:trHeight w:val="159"/>
        </w:trPr>
        <w:tc>
          <w:tcPr>
            <w:tcW w:w="4580" w:type="dxa"/>
            <w:vAlign w:val="bottom"/>
          </w:tcPr>
          <w:p>
            <w:pPr>
              <w:spacing w:after="0" w:line="159" w:lineRule="exact"/>
              <w:rPr>
                <w:sz w:val="20"/>
                <w:szCs w:val="20"/>
                <w:color w:val="auto"/>
              </w:rPr>
            </w:pPr>
            <w:r>
              <w:rPr>
                <w:rFonts w:ascii="Arial" w:cs="Arial" w:eastAsia="Arial" w:hAnsi="Arial"/>
                <w:sz w:val="14"/>
                <w:szCs w:val="14"/>
                <w:color w:val="auto"/>
              </w:rPr>
              <w:t>Intercompany receivables</w:t>
            </w:r>
          </w:p>
        </w:tc>
        <w:tc>
          <w:tcPr>
            <w:tcW w:w="7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1,032</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505</w:t>
            </w:r>
          </w:p>
        </w:tc>
        <w:tc>
          <w:tcPr>
            <w:tcW w:w="1060" w:type="dxa"/>
            <w:vAlign w:val="bottom"/>
          </w:tcPr>
          <w:p>
            <w:pPr>
              <w:jc w:val="right"/>
              <w:ind w:right="49"/>
              <w:spacing w:after="0" w:line="159" w:lineRule="exact"/>
              <w:rPr>
                <w:sz w:val="20"/>
                <w:szCs w:val="20"/>
                <w:color w:val="auto"/>
              </w:rPr>
            </w:pPr>
            <w:r>
              <w:rPr>
                <w:rFonts w:ascii="Arial" w:cs="Arial" w:eastAsia="Arial" w:hAnsi="Arial"/>
                <w:sz w:val="14"/>
                <w:szCs w:val="14"/>
                <w:b w:val="1"/>
                <w:bCs w:val="1"/>
                <w:color w:val="auto"/>
              </w:rPr>
              <w:t>1,674</w:t>
            </w:r>
          </w:p>
        </w:tc>
        <w:tc>
          <w:tcPr>
            <w:tcW w:w="10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(3,211)</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b w:val="1"/>
                <w:bCs w:val="1"/>
                <w:color w:val="auto"/>
              </w:rPr>
              <w:t>-  </w:t>
            </w:r>
          </w:p>
        </w:tc>
      </w:tr>
      <w:tr>
        <w:trPr>
          <w:trHeight w:val="159"/>
        </w:trPr>
        <w:tc>
          <w:tcPr>
            <w:tcW w:w="4580" w:type="dxa"/>
            <w:vAlign w:val="bottom"/>
          </w:tcPr>
          <w:p>
            <w:pPr>
              <w:spacing w:after="0" w:line="159" w:lineRule="exact"/>
              <w:rPr>
                <w:sz w:val="20"/>
                <w:szCs w:val="20"/>
                <w:color w:val="auto"/>
              </w:rPr>
            </w:pPr>
            <w:r>
              <w:rPr>
                <w:rFonts w:ascii="Arial" w:cs="Arial" w:eastAsia="Arial" w:hAnsi="Arial"/>
                <w:sz w:val="14"/>
                <w:szCs w:val="14"/>
                <w:color w:val="auto"/>
              </w:rPr>
              <w:t>Other financial assets</w:t>
            </w:r>
          </w:p>
        </w:tc>
        <w:tc>
          <w:tcPr>
            <w:tcW w:w="7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23</w:t>
            </w:r>
          </w:p>
        </w:tc>
        <w:tc>
          <w:tcPr>
            <w:tcW w:w="1060" w:type="dxa"/>
            <w:vAlign w:val="bottom"/>
          </w:tcPr>
          <w:p>
            <w:pPr>
              <w:jc w:val="right"/>
              <w:ind w:right="49"/>
              <w:spacing w:after="0" w:line="159" w:lineRule="exact"/>
              <w:rPr>
                <w:sz w:val="20"/>
                <w:szCs w:val="20"/>
                <w:color w:val="auto"/>
              </w:rPr>
            </w:pPr>
            <w:r>
              <w:rPr>
                <w:rFonts w:ascii="Arial" w:cs="Arial" w:eastAsia="Arial" w:hAnsi="Arial"/>
                <w:sz w:val="14"/>
                <w:szCs w:val="14"/>
                <w:b w:val="1"/>
                <w:bCs w:val="1"/>
                <w:color w:val="auto"/>
              </w:rPr>
              <w:t>12</w:t>
            </w:r>
          </w:p>
        </w:tc>
        <w:tc>
          <w:tcPr>
            <w:tcW w:w="10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b w:val="1"/>
                <w:bCs w:val="1"/>
                <w:color w:val="auto"/>
              </w:rPr>
              <w:t>35  </w:t>
            </w:r>
          </w:p>
        </w:tc>
      </w:tr>
      <w:tr>
        <w:trPr>
          <w:trHeight w:val="168"/>
        </w:trPr>
        <w:tc>
          <w:tcPr>
            <w:tcW w:w="4580" w:type="dxa"/>
            <w:vAlign w:val="bottom"/>
          </w:tcPr>
          <w:p>
            <w:pPr>
              <w:spacing w:after="0"/>
              <w:rPr>
                <w:sz w:val="20"/>
                <w:szCs w:val="20"/>
                <w:color w:val="auto"/>
              </w:rPr>
            </w:pPr>
            <w:r>
              <w:rPr>
                <w:rFonts w:ascii="Arial" w:cs="Arial" w:eastAsia="Arial" w:hAnsi="Arial"/>
                <w:sz w:val="14"/>
                <w:szCs w:val="14"/>
                <w:color w:val="auto"/>
              </w:rPr>
              <w:t>Prepaid expenses and other current assets</w:t>
            </w:r>
          </w:p>
        </w:tc>
        <w:tc>
          <w:tcPr>
            <w:tcW w:w="74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b w:val="1"/>
                <w:bCs w:val="1"/>
                <w:color w:val="auto"/>
              </w:rPr>
              <w:t>170</w:t>
            </w:r>
          </w:p>
        </w:tc>
        <w:tc>
          <w:tcPr>
            <w:tcW w:w="1060" w:type="dxa"/>
            <w:vAlign w:val="bottom"/>
          </w:tcPr>
          <w:p>
            <w:pPr>
              <w:jc w:val="right"/>
              <w:ind w:right="49"/>
              <w:spacing w:after="0"/>
              <w:rPr>
                <w:sz w:val="20"/>
                <w:szCs w:val="20"/>
                <w:color w:val="auto"/>
              </w:rPr>
            </w:pPr>
            <w:r>
              <w:rPr>
                <w:rFonts w:ascii="Arial" w:cs="Arial" w:eastAsia="Arial" w:hAnsi="Arial"/>
                <w:sz w:val="14"/>
                <w:szCs w:val="14"/>
                <w:b w:val="1"/>
                <w:bCs w:val="1"/>
                <w:color w:val="auto"/>
              </w:rPr>
              <w:t>230</w:t>
            </w:r>
          </w:p>
        </w:tc>
        <w:tc>
          <w:tcPr>
            <w:tcW w:w="102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400  </w:t>
            </w:r>
          </w:p>
        </w:tc>
      </w:tr>
      <w:tr>
        <w:trPr>
          <w:trHeight w:val="143"/>
        </w:trPr>
        <w:tc>
          <w:tcPr>
            <w:tcW w:w="4580" w:type="dxa"/>
            <w:vAlign w:val="bottom"/>
            <w:tcBorders>
              <w:top w:val="single" w:sz="8" w:color="B2B2B2"/>
            </w:tcBorders>
          </w:tcPr>
          <w:p>
            <w:pPr>
              <w:spacing w:after="0" w:line="143" w:lineRule="exact"/>
              <w:rPr>
                <w:sz w:val="20"/>
                <w:szCs w:val="20"/>
                <w:color w:val="auto"/>
              </w:rPr>
            </w:pPr>
            <w:r>
              <w:rPr>
                <w:rFonts w:ascii="Arial" w:cs="Arial" w:eastAsia="Arial" w:hAnsi="Arial"/>
                <w:sz w:val="14"/>
                <w:szCs w:val="14"/>
                <w:color w:val="auto"/>
              </w:rPr>
              <w:t>Current assets</w:t>
            </w:r>
          </w:p>
        </w:tc>
        <w:tc>
          <w:tcPr>
            <w:tcW w:w="74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b w:val="1"/>
                <w:bCs w:val="1"/>
                <w:color w:val="auto"/>
              </w:rPr>
              <w:t>1,046</w:t>
            </w:r>
          </w:p>
        </w:tc>
        <w:tc>
          <w:tcPr>
            <w:tcW w:w="92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b w:val="1"/>
                <w:bCs w:val="1"/>
                <w:color w:val="auto"/>
              </w:rPr>
              <w:t>1,185</w:t>
            </w:r>
          </w:p>
        </w:tc>
        <w:tc>
          <w:tcPr>
            <w:tcW w:w="1060" w:type="dxa"/>
            <w:vAlign w:val="bottom"/>
            <w:tcBorders>
              <w:top w:val="single" w:sz="8" w:color="B2B2B2"/>
            </w:tcBorders>
          </w:tcPr>
          <w:p>
            <w:pPr>
              <w:jc w:val="right"/>
              <w:ind w:right="49"/>
              <w:spacing w:after="0" w:line="143" w:lineRule="exact"/>
              <w:rPr>
                <w:sz w:val="20"/>
                <w:szCs w:val="20"/>
                <w:color w:val="auto"/>
              </w:rPr>
            </w:pPr>
            <w:r>
              <w:rPr>
                <w:rFonts w:ascii="Arial" w:cs="Arial" w:eastAsia="Arial" w:hAnsi="Arial"/>
                <w:sz w:val="14"/>
                <w:szCs w:val="14"/>
                <w:b w:val="1"/>
                <w:bCs w:val="1"/>
                <w:color w:val="auto"/>
              </w:rPr>
              <w:t>4,470</w:t>
            </w:r>
          </w:p>
        </w:tc>
        <w:tc>
          <w:tcPr>
            <w:tcW w:w="102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b w:val="1"/>
                <w:bCs w:val="1"/>
                <w:color w:val="auto"/>
              </w:rPr>
              <w:t>(3,211)</w:t>
            </w:r>
          </w:p>
        </w:tc>
        <w:tc>
          <w:tcPr>
            <w:tcW w:w="1080" w:type="dxa"/>
            <w:vAlign w:val="bottom"/>
            <w:tcBorders>
              <w:top w:val="single" w:sz="8" w:color="B2B2B2"/>
            </w:tcBorders>
          </w:tcPr>
          <w:p>
            <w:pPr>
              <w:jc w:val="right"/>
              <w:spacing w:after="0" w:line="143" w:lineRule="exact"/>
              <w:rPr>
                <w:sz w:val="20"/>
                <w:szCs w:val="20"/>
                <w:color w:val="auto"/>
              </w:rPr>
            </w:pPr>
            <w:r>
              <w:rPr>
                <w:rFonts w:ascii="Arial" w:cs="Arial" w:eastAsia="Arial" w:hAnsi="Arial"/>
                <w:sz w:val="14"/>
                <w:szCs w:val="14"/>
                <w:b w:val="1"/>
                <w:bCs w:val="1"/>
                <w:color w:val="auto"/>
              </w:rPr>
              <w:t>3,490  </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4580" w:type="dxa"/>
            <w:vAlign w:val="bottom"/>
          </w:tcPr>
          <w:p>
            <w:pPr>
              <w:spacing w:after="0" w:line="159" w:lineRule="exact"/>
              <w:rPr>
                <w:sz w:val="20"/>
                <w:szCs w:val="20"/>
                <w:color w:val="auto"/>
              </w:rPr>
            </w:pPr>
            <w:r>
              <w:rPr>
                <w:rFonts w:ascii="Arial" w:cs="Arial" w:eastAsia="Arial" w:hAnsi="Arial"/>
                <w:sz w:val="14"/>
                <w:szCs w:val="14"/>
                <w:color w:val="auto"/>
              </w:rPr>
              <w:t>Property and equipment, net</w:t>
            </w:r>
          </w:p>
        </w:tc>
        <w:tc>
          <w:tcPr>
            <w:tcW w:w="7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158</w:t>
            </w:r>
          </w:p>
        </w:tc>
        <w:tc>
          <w:tcPr>
            <w:tcW w:w="1060" w:type="dxa"/>
            <w:vAlign w:val="bottom"/>
          </w:tcPr>
          <w:p>
            <w:pPr>
              <w:jc w:val="right"/>
              <w:ind w:right="49"/>
              <w:spacing w:after="0" w:line="159" w:lineRule="exact"/>
              <w:rPr>
                <w:sz w:val="20"/>
                <w:szCs w:val="20"/>
                <w:color w:val="auto"/>
              </w:rPr>
            </w:pPr>
            <w:r>
              <w:rPr>
                <w:rFonts w:ascii="Arial" w:cs="Arial" w:eastAsia="Arial" w:hAnsi="Arial"/>
                <w:sz w:val="14"/>
                <w:szCs w:val="14"/>
                <w:b w:val="1"/>
                <w:bCs w:val="1"/>
                <w:color w:val="auto"/>
              </w:rPr>
              <w:t>228</w:t>
            </w:r>
          </w:p>
        </w:tc>
        <w:tc>
          <w:tcPr>
            <w:tcW w:w="10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b w:val="1"/>
                <w:bCs w:val="1"/>
                <w:color w:val="auto"/>
              </w:rPr>
              <w:t>386  </w:t>
            </w:r>
          </w:p>
        </w:tc>
      </w:tr>
      <w:tr>
        <w:trPr>
          <w:trHeight w:val="159"/>
        </w:trPr>
        <w:tc>
          <w:tcPr>
            <w:tcW w:w="4580" w:type="dxa"/>
            <w:vAlign w:val="bottom"/>
          </w:tcPr>
          <w:p>
            <w:pPr>
              <w:spacing w:after="0" w:line="159" w:lineRule="exact"/>
              <w:rPr>
                <w:sz w:val="20"/>
                <w:szCs w:val="20"/>
                <w:color w:val="auto"/>
              </w:rPr>
            </w:pPr>
            <w:r>
              <w:rPr>
                <w:rFonts w:ascii="Arial" w:cs="Arial" w:eastAsia="Arial" w:hAnsi="Arial"/>
                <w:sz w:val="14"/>
                <w:szCs w:val="14"/>
                <w:color w:val="auto"/>
              </w:rPr>
              <w:t>Computer software, net</w:t>
            </w:r>
          </w:p>
        </w:tc>
        <w:tc>
          <w:tcPr>
            <w:tcW w:w="7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34</w:t>
            </w:r>
          </w:p>
        </w:tc>
        <w:tc>
          <w:tcPr>
            <w:tcW w:w="1060" w:type="dxa"/>
            <w:vAlign w:val="bottom"/>
          </w:tcPr>
          <w:p>
            <w:pPr>
              <w:jc w:val="right"/>
              <w:ind w:right="49"/>
              <w:spacing w:after="0" w:line="159" w:lineRule="exact"/>
              <w:rPr>
                <w:sz w:val="20"/>
                <w:szCs w:val="20"/>
                <w:color w:val="auto"/>
              </w:rPr>
            </w:pPr>
            <w:r>
              <w:rPr>
                <w:rFonts w:ascii="Arial" w:cs="Arial" w:eastAsia="Arial" w:hAnsi="Arial"/>
                <w:sz w:val="14"/>
                <w:szCs w:val="14"/>
                <w:b w:val="1"/>
                <w:bCs w:val="1"/>
                <w:color w:val="auto"/>
              </w:rPr>
              <w:t>1,419</w:t>
            </w:r>
          </w:p>
        </w:tc>
        <w:tc>
          <w:tcPr>
            <w:tcW w:w="10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b w:val="1"/>
                <w:bCs w:val="1"/>
                <w:color w:val="auto"/>
              </w:rPr>
              <w:t>1,453  </w:t>
            </w:r>
          </w:p>
        </w:tc>
      </w:tr>
      <w:tr>
        <w:trPr>
          <w:trHeight w:val="159"/>
        </w:trPr>
        <w:tc>
          <w:tcPr>
            <w:tcW w:w="4580" w:type="dxa"/>
            <w:vAlign w:val="bottom"/>
          </w:tcPr>
          <w:p>
            <w:pPr>
              <w:spacing w:after="0" w:line="159" w:lineRule="exact"/>
              <w:rPr>
                <w:sz w:val="20"/>
                <w:szCs w:val="20"/>
                <w:color w:val="auto"/>
              </w:rPr>
            </w:pPr>
            <w:r>
              <w:rPr>
                <w:rFonts w:ascii="Arial" w:cs="Arial" w:eastAsia="Arial" w:hAnsi="Arial"/>
                <w:sz w:val="14"/>
                <w:szCs w:val="14"/>
                <w:color w:val="auto"/>
              </w:rPr>
              <w:t>Other identifiable intangible assets, net</w:t>
            </w:r>
          </w:p>
        </w:tc>
        <w:tc>
          <w:tcPr>
            <w:tcW w:w="7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981</w:t>
            </w:r>
          </w:p>
        </w:tc>
        <w:tc>
          <w:tcPr>
            <w:tcW w:w="1060" w:type="dxa"/>
            <w:vAlign w:val="bottom"/>
          </w:tcPr>
          <w:p>
            <w:pPr>
              <w:jc w:val="right"/>
              <w:ind w:right="49"/>
              <w:spacing w:after="0" w:line="159" w:lineRule="exact"/>
              <w:rPr>
                <w:sz w:val="20"/>
                <w:szCs w:val="20"/>
                <w:color w:val="auto"/>
              </w:rPr>
            </w:pPr>
            <w:r>
              <w:rPr>
                <w:rFonts w:ascii="Arial" w:cs="Arial" w:eastAsia="Arial" w:hAnsi="Arial"/>
                <w:sz w:val="14"/>
                <w:szCs w:val="14"/>
                <w:b w:val="1"/>
                <w:bCs w:val="1"/>
                <w:color w:val="auto"/>
              </w:rPr>
              <w:t>2,153</w:t>
            </w:r>
          </w:p>
        </w:tc>
        <w:tc>
          <w:tcPr>
            <w:tcW w:w="10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3,134</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4580" w:type="dxa"/>
            <w:vAlign w:val="bottom"/>
          </w:tcPr>
          <w:p>
            <w:pPr>
              <w:spacing w:after="0" w:line="159" w:lineRule="exact"/>
              <w:rPr>
                <w:sz w:val="20"/>
                <w:szCs w:val="20"/>
                <w:color w:val="auto"/>
              </w:rPr>
            </w:pPr>
            <w:r>
              <w:rPr>
                <w:rFonts w:ascii="Arial" w:cs="Arial" w:eastAsia="Arial" w:hAnsi="Arial"/>
                <w:sz w:val="14"/>
                <w:szCs w:val="14"/>
                <w:color w:val="auto"/>
              </w:rPr>
              <w:t>Goodwill</w:t>
            </w:r>
          </w:p>
        </w:tc>
        <w:tc>
          <w:tcPr>
            <w:tcW w:w="7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3,727</w:t>
            </w:r>
          </w:p>
        </w:tc>
        <w:tc>
          <w:tcPr>
            <w:tcW w:w="1060" w:type="dxa"/>
            <w:vAlign w:val="bottom"/>
          </w:tcPr>
          <w:p>
            <w:pPr>
              <w:jc w:val="right"/>
              <w:ind w:right="49"/>
              <w:spacing w:after="0" w:line="159" w:lineRule="exact"/>
              <w:rPr>
                <w:sz w:val="20"/>
                <w:szCs w:val="20"/>
                <w:color w:val="auto"/>
              </w:rPr>
            </w:pPr>
            <w:r>
              <w:rPr>
                <w:rFonts w:ascii="Arial" w:cs="Arial" w:eastAsia="Arial" w:hAnsi="Arial"/>
                <w:sz w:val="14"/>
                <w:szCs w:val="14"/>
                <w:b w:val="1"/>
                <w:bCs w:val="1"/>
                <w:color w:val="auto"/>
              </w:rPr>
              <w:t>3,535</w:t>
            </w:r>
          </w:p>
        </w:tc>
        <w:tc>
          <w:tcPr>
            <w:tcW w:w="10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b w:val="1"/>
                <w:bCs w:val="1"/>
                <w:color w:val="auto"/>
              </w:rPr>
              <w:t>7,262  </w:t>
            </w:r>
          </w:p>
        </w:tc>
      </w:tr>
      <w:tr>
        <w:trPr>
          <w:trHeight w:val="159"/>
        </w:trPr>
        <w:tc>
          <w:tcPr>
            <w:tcW w:w="4580" w:type="dxa"/>
            <w:vAlign w:val="bottom"/>
          </w:tcPr>
          <w:p>
            <w:pPr>
              <w:spacing w:after="0" w:line="159" w:lineRule="exact"/>
              <w:rPr>
                <w:sz w:val="20"/>
                <w:szCs w:val="20"/>
                <w:color w:val="auto"/>
              </w:rPr>
            </w:pPr>
            <w:r>
              <w:rPr>
                <w:rFonts w:ascii="Arial" w:cs="Arial" w:eastAsia="Arial" w:hAnsi="Arial"/>
                <w:sz w:val="14"/>
                <w:szCs w:val="14"/>
                <w:color w:val="auto"/>
              </w:rPr>
              <w:t>Equity method investments</w:t>
            </w:r>
          </w:p>
        </w:tc>
        <w:tc>
          <w:tcPr>
            <w:tcW w:w="7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9"/>
              <w:spacing w:after="0" w:line="159" w:lineRule="exact"/>
              <w:rPr>
                <w:sz w:val="20"/>
                <w:szCs w:val="20"/>
                <w:color w:val="auto"/>
              </w:rPr>
            </w:pPr>
            <w:r>
              <w:rPr>
                <w:rFonts w:ascii="Arial" w:cs="Arial" w:eastAsia="Arial" w:hAnsi="Arial"/>
                <w:sz w:val="14"/>
                <w:szCs w:val="14"/>
                <w:b w:val="1"/>
                <w:bCs w:val="1"/>
                <w:color w:val="auto"/>
              </w:rPr>
              <w:t>269</w:t>
            </w:r>
          </w:p>
        </w:tc>
        <w:tc>
          <w:tcPr>
            <w:tcW w:w="10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b w:val="1"/>
                <w:bCs w:val="1"/>
                <w:color w:val="auto"/>
              </w:rPr>
              <w:t>269  </w:t>
            </w:r>
          </w:p>
        </w:tc>
      </w:tr>
      <w:tr>
        <w:trPr>
          <w:trHeight w:val="159"/>
        </w:trPr>
        <w:tc>
          <w:tcPr>
            <w:tcW w:w="4580" w:type="dxa"/>
            <w:vAlign w:val="bottom"/>
          </w:tcPr>
          <w:p>
            <w:pPr>
              <w:spacing w:after="0" w:line="159" w:lineRule="exact"/>
              <w:rPr>
                <w:sz w:val="20"/>
                <w:szCs w:val="20"/>
                <w:color w:val="auto"/>
              </w:rPr>
            </w:pPr>
            <w:r>
              <w:rPr>
                <w:rFonts w:ascii="Arial" w:cs="Arial" w:eastAsia="Arial" w:hAnsi="Arial"/>
                <w:sz w:val="14"/>
                <w:szCs w:val="14"/>
                <w:color w:val="auto"/>
              </w:rPr>
              <w:t>Other financial assets</w:t>
            </w:r>
          </w:p>
        </w:tc>
        <w:tc>
          <w:tcPr>
            <w:tcW w:w="7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82</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46</w:t>
            </w:r>
          </w:p>
        </w:tc>
        <w:tc>
          <w:tcPr>
            <w:tcW w:w="1060" w:type="dxa"/>
            <w:vAlign w:val="bottom"/>
          </w:tcPr>
          <w:p>
            <w:pPr>
              <w:jc w:val="right"/>
              <w:ind w:right="49"/>
              <w:spacing w:after="0" w:line="159" w:lineRule="exact"/>
              <w:rPr>
                <w:sz w:val="20"/>
                <w:szCs w:val="20"/>
                <w:color w:val="auto"/>
              </w:rPr>
            </w:pPr>
            <w:r>
              <w:rPr>
                <w:rFonts w:ascii="Arial" w:cs="Arial" w:eastAsia="Arial" w:hAnsi="Arial"/>
                <w:sz w:val="14"/>
                <w:szCs w:val="14"/>
                <w:b w:val="1"/>
                <w:bCs w:val="1"/>
                <w:color w:val="auto"/>
              </w:rPr>
              <w:t>314</w:t>
            </w:r>
          </w:p>
        </w:tc>
        <w:tc>
          <w:tcPr>
            <w:tcW w:w="10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b w:val="1"/>
                <w:bCs w:val="1"/>
                <w:color w:val="auto"/>
              </w:rPr>
              <w:t>442  </w:t>
            </w:r>
          </w:p>
        </w:tc>
      </w:tr>
      <w:tr>
        <w:trPr>
          <w:trHeight w:val="159"/>
        </w:trPr>
        <w:tc>
          <w:tcPr>
            <w:tcW w:w="4580" w:type="dxa"/>
            <w:vAlign w:val="bottom"/>
          </w:tcPr>
          <w:p>
            <w:pPr>
              <w:spacing w:after="0" w:line="159" w:lineRule="exact"/>
              <w:rPr>
                <w:sz w:val="20"/>
                <w:szCs w:val="20"/>
                <w:color w:val="auto"/>
              </w:rPr>
            </w:pPr>
            <w:r>
              <w:rPr>
                <w:rFonts w:ascii="Arial" w:cs="Arial" w:eastAsia="Arial" w:hAnsi="Arial"/>
                <w:sz w:val="14"/>
                <w:szCs w:val="14"/>
                <w:color w:val="auto"/>
              </w:rPr>
              <w:t>Other non-current assets</w:t>
            </w:r>
          </w:p>
        </w:tc>
        <w:tc>
          <w:tcPr>
            <w:tcW w:w="7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105</w:t>
            </w:r>
          </w:p>
        </w:tc>
        <w:tc>
          <w:tcPr>
            <w:tcW w:w="1060" w:type="dxa"/>
            <w:vAlign w:val="bottom"/>
          </w:tcPr>
          <w:p>
            <w:pPr>
              <w:jc w:val="right"/>
              <w:ind w:right="49"/>
              <w:spacing w:after="0" w:line="159" w:lineRule="exact"/>
              <w:rPr>
                <w:sz w:val="20"/>
                <w:szCs w:val="20"/>
                <w:color w:val="auto"/>
              </w:rPr>
            </w:pPr>
            <w:r>
              <w:rPr>
                <w:rFonts w:ascii="Arial" w:cs="Arial" w:eastAsia="Arial" w:hAnsi="Arial"/>
                <w:sz w:val="14"/>
                <w:szCs w:val="14"/>
                <w:b w:val="1"/>
                <w:bCs w:val="1"/>
                <w:color w:val="auto"/>
              </w:rPr>
              <w:t>520</w:t>
            </w:r>
          </w:p>
        </w:tc>
        <w:tc>
          <w:tcPr>
            <w:tcW w:w="10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b w:val="1"/>
                <w:bCs w:val="1"/>
                <w:color w:val="auto"/>
              </w:rPr>
              <w:t>625  </w:t>
            </w:r>
          </w:p>
        </w:tc>
      </w:tr>
      <w:tr>
        <w:trPr>
          <w:trHeight w:val="159"/>
        </w:trPr>
        <w:tc>
          <w:tcPr>
            <w:tcW w:w="4580" w:type="dxa"/>
            <w:vAlign w:val="bottom"/>
          </w:tcPr>
          <w:p>
            <w:pPr>
              <w:spacing w:after="0" w:line="159" w:lineRule="exact"/>
              <w:rPr>
                <w:sz w:val="20"/>
                <w:szCs w:val="20"/>
                <w:color w:val="auto"/>
              </w:rPr>
            </w:pPr>
            <w:r>
              <w:rPr>
                <w:rFonts w:ascii="Arial" w:cs="Arial" w:eastAsia="Arial" w:hAnsi="Arial"/>
                <w:sz w:val="14"/>
                <w:szCs w:val="14"/>
                <w:color w:val="auto"/>
              </w:rPr>
              <w:t>Intercompany receivables</w:t>
            </w:r>
          </w:p>
        </w:tc>
        <w:tc>
          <w:tcPr>
            <w:tcW w:w="7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160</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2</w:t>
            </w:r>
          </w:p>
        </w:tc>
        <w:tc>
          <w:tcPr>
            <w:tcW w:w="1060" w:type="dxa"/>
            <w:vAlign w:val="bottom"/>
          </w:tcPr>
          <w:p>
            <w:pPr>
              <w:jc w:val="right"/>
              <w:ind w:right="49"/>
              <w:spacing w:after="0" w:line="159" w:lineRule="exact"/>
              <w:rPr>
                <w:sz w:val="20"/>
                <w:szCs w:val="20"/>
                <w:color w:val="auto"/>
              </w:rPr>
            </w:pPr>
            <w:r>
              <w:rPr>
                <w:rFonts w:ascii="Arial" w:cs="Arial" w:eastAsia="Arial" w:hAnsi="Arial"/>
                <w:sz w:val="14"/>
                <w:szCs w:val="14"/>
                <w:b w:val="1"/>
                <w:bCs w:val="1"/>
                <w:color w:val="auto"/>
              </w:rPr>
              <w:t>778</w:t>
            </w:r>
          </w:p>
        </w:tc>
        <w:tc>
          <w:tcPr>
            <w:tcW w:w="10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(940)</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b w:val="1"/>
                <w:bCs w:val="1"/>
                <w:color w:val="auto"/>
              </w:rPr>
              <w:t>-  </w:t>
            </w:r>
          </w:p>
        </w:tc>
      </w:tr>
      <w:tr>
        <w:trPr>
          <w:trHeight w:val="159"/>
        </w:trPr>
        <w:tc>
          <w:tcPr>
            <w:tcW w:w="4580" w:type="dxa"/>
            <w:vAlign w:val="bottom"/>
          </w:tcPr>
          <w:p>
            <w:pPr>
              <w:spacing w:after="0" w:line="159" w:lineRule="exact"/>
              <w:rPr>
                <w:sz w:val="20"/>
                <w:szCs w:val="20"/>
                <w:color w:val="auto"/>
              </w:rPr>
            </w:pPr>
            <w:r>
              <w:rPr>
                <w:rFonts w:ascii="Arial" w:cs="Arial" w:eastAsia="Arial" w:hAnsi="Arial"/>
                <w:sz w:val="14"/>
                <w:szCs w:val="14"/>
                <w:color w:val="auto"/>
              </w:rPr>
              <w:t>Investments in subsidiaries</w:t>
            </w:r>
          </w:p>
        </w:tc>
        <w:tc>
          <w:tcPr>
            <w:tcW w:w="7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14,584</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465</w:t>
            </w:r>
          </w:p>
        </w:tc>
        <w:tc>
          <w:tcPr>
            <w:tcW w:w="1060" w:type="dxa"/>
            <w:vAlign w:val="bottom"/>
          </w:tcPr>
          <w:p>
            <w:pPr>
              <w:jc w:val="right"/>
              <w:ind w:right="49"/>
              <w:spacing w:after="0" w:line="159" w:lineRule="exact"/>
              <w:rPr>
                <w:sz w:val="20"/>
                <w:szCs w:val="20"/>
                <w:color w:val="auto"/>
              </w:rPr>
            </w:pPr>
            <w:r>
              <w:rPr>
                <w:rFonts w:ascii="Arial" w:cs="Arial" w:eastAsia="Arial" w:hAnsi="Arial"/>
                <w:sz w:val="14"/>
                <w:szCs w:val="14"/>
                <w:b w:val="1"/>
                <w:bCs w:val="1"/>
                <w:color w:val="auto"/>
              </w:rPr>
              <w:t>4,041</w:t>
            </w:r>
          </w:p>
        </w:tc>
        <w:tc>
          <w:tcPr>
            <w:tcW w:w="10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(19,090)</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b w:val="1"/>
                <w:bCs w:val="1"/>
                <w:color w:val="auto"/>
              </w:rPr>
              <w:t>-  </w:t>
            </w:r>
          </w:p>
        </w:tc>
      </w:tr>
      <w:tr>
        <w:trPr>
          <w:trHeight w:val="168"/>
        </w:trPr>
        <w:tc>
          <w:tcPr>
            <w:tcW w:w="4580" w:type="dxa"/>
            <w:vAlign w:val="bottom"/>
          </w:tcPr>
          <w:p>
            <w:pPr>
              <w:spacing w:after="0"/>
              <w:rPr>
                <w:sz w:val="20"/>
                <w:szCs w:val="20"/>
                <w:color w:val="auto"/>
              </w:rPr>
            </w:pPr>
            <w:r>
              <w:rPr>
                <w:rFonts w:ascii="Arial" w:cs="Arial" w:eastAsia="Arial" w:hAnsi="Arial"/>
                <w:sz w:val="14"/>
                <w:szCs w:val="14"/>
                <w:color w:val="auto"/>
              </w:rPr>
              <w:t>Deferred tax</w:t>
            </w:r>
          </w:p>
        </w:tc>
        <w:tc>
          <w:tcPr>
            <w:tcW w:w="740" w:type="dxa"/>
            <w:vAlign w:val="bottom"/>
          </w:tcPr>
          <w:p>
            <w:pPr>
              <w:jc w:val="right"/>
              <w:ind w:right="29"/>
              <w:spacing w:after="0"/>
              <w:rPr>
                <w:sz w:val="20"/>
                <w:szCs w:val="20"/>
                <w:color w:val="auto"/>
              </w:rPr>
            </w:pPr>
            <w:r>
              <w:rPr>
                <w:rFonts w:ascii="Arial" w:cs="Arial" w:eastAsia="Arial" w:hAnsi="Arial"/>
                <w:sz w:val="14"/>
                <w:szCs w:val="14"/>
                <w:b w:val="1"/>
                <w:bCs w:val="1"/>
                <w:color w:val="auto"/>
              </w:rPr>
              <w:t>243</w:t>
            </w:r>
          </w:p>
        </w:tc>
        <w:tc>
          <w:tcPr>
            <w:tcW w:w="92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9"/>
              <w:spacing w:after="0"/>
              <w:rPr>
                <w:sz w:val="20"/>
                <w:szCs w:val="20"/>
                <w:color w:val="auto"/>
              </w:rPr>
            </w:pPr>
            <w:r>
              <w:rPr>
                <w:rFonts w:ascii="Arial" w:cs="Arial" w:eastAsia="Arial" w:hAnsi="Arial"/>
                <w:sz w:val="14"/>
                <w:szCs w:val="14"/>
                <w:b w:val="1"/>
                <w:bCs w:val="1"/>
                <w:color w:val="auto"/>
              </w:rPr>
              <w:t>1,133</w:t>
            </w:r>
          </w:p>
        </w:tc>
        <w:tc>
          <w:tcPr>
            <w:tcW w:w="102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1,376  </w:t>
            </w:r>
          </w:p>
        </w:tc>
      </w:tr>
      <w:tr>
        <w:trPr>
          <w:trHeight w:val="152"/>
        </w:trPr>
        <w:tc>
          <w:tcPr>
            <w:tcW w:w="4580" w:type="dxa"/>
            <w:vAlign w:val="bottom"/>
            <w:tcBorders>
              <w:top w:val="single" w:sz="8" w:color="B2B2B2"/>
              <w:bottom w:val="single" w:sz="8" w:color="B2B2B2"/>
            </w:tcBorders>
          </w:tcPr>
          <w:p>
            <w:pPr>
              <w:spacing w:after="0" w:line="152" w:lineRule="exact"/>
              <w:rPr>
                <w:sz w:val="20"/>
                <w:szCs w:val="20"/>
                <w:color w:val="auto"/>
              </w:rPr>
            </w:pPr>
            <w:r>
              <w:rPr>
                <w:rFonts w:ascii="Arial" w:cs="Arial" w:eastAsia="Arial" w:hAnsi="Arial"/>
                <w:sz w:val="14"/>
                <w:szCs w:val="14"/>
                <w:color w:val="auto"/>
              </w:rPr>
              <w:t>Total assets</w:t>
            </w:r>
          </w:p>
        </w:tc>
        <w:tc>
          <w:tcPr>
            <w:tcW w:w="740" w:type="dxa"/>
            <w:vAlign w:val="bottom"/>
            <w:tcBorders>
              <w:top w:val="single" w:sz="8" w:color="B2B2B2"/>
              <w:bottom w:val="single" w:sz="8" w:color="B2B2B2"/>
            </w:tcBorders>
          </w:tcPr>
          <w:p>
            <w:pPr>
              <w:jc w:val="right"/>
              <w:ind w:right="29"/>
              <w:spacing w:after="0" w:line="152" w:lineRule="exact"/>
              <w:rPr>
                <w:sz w:val="20"/>
                <w:szCs w:val="20"/>
                <w:color w:val="auto"/>
              </w:rPr>
            </w:pPr>
            <w:r>
              <w:rPr>
                <w:rFonts w:ascii="Arial" w:cs="Arial" w:eastAsia="Arial" w:hAnsi="Arial"/>
                <w:sz w:val="14"/>
                <w:szCs w:val="14"/>
                <w:b w:val="1"/>
                <w:bCs w:val="1"/>
                <w:color w:val="auto"/>
              </w:rPr>
              <w:t>16,115</w:t>
            </w:r>
          </w:p>
        </w:tc>
        <w:tc>
          <w:tcPr>
            <w:tcW w:w="920" w:type="dxa"/>
            <w:vAlign w:val="bottom"/>
            <w:tcBorders>
              <w:top w:val="single" w:sz="8" w:color="B2B2B2"/>
              <w:bottom w:val="single" w:sz="8" w:color="B2B2B2"/>
            </w:tcBorders>
          </w:tcPr>
          <w:p>
            <w:pPr>
              <w:jc w:val="right"/>
              <w:ind w:right="29"/>
              <w:spacing w:after="0" w:line="152" w:lineRule="exact"/>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B2B2B2"/>
              <w:bottom w:val="single" w:sz="8" w:color="B2B2B2"/>
            </w:tcBorders>
          </w:tcPr>
          <w:p>
            <w:pPr>
              <w:jc w:val="right"/>
              <w:ind w:right="29"/>
              <w:spacing w:after="0" w:line="152" w:lineRule="exact"/>
              <w:rPr>
                <w:sz w:val="20"/>
                <w:szCs w:val="20"/>
                <w:color w:val="auto"/>
              </w:rPr>
            </w:pPr>
            <w:r>
              <w:rPr>
                <w:rFonts w:ascii="Arial" w:cs="Arial" w:eastAsia="Arial" w:hAnsi="Arial"/>
                <w:sz w:val="14"/>
                <w:szCs w:val="14"/>
                <w:b w:val="1"/>
                <w:bCs w:val="1"/>
                <w:color w:val="auto"/>
              </w:rPr>
              <w:t>6,703</w:t>
            </w:r>
          </w:p>
        </w:tc>
        <w:tc>
          <w:tcPr>
            <w:tcW w:w="1060" w:type="dxa"/>
            <w:vAlign w:val="bottom"/>
            <w:tcBorders>
              <w:top w:val="single" w:sz="8" w:color="B2B2B2"/>
              <w:bottom w:val="single" w:sz="8" w:color="B2B2B2"/>
            </w:tcBorders>
          </w:tcPr>
          <w:p>
            <w:pPr>
              <w:jc w:val="right"/>
              <w:ind w:right="49"/>
              <w:spacing w:after="0" w:line="152" w:lineRule="exact"/>
              <w:rPr>
                <w:sz w:val="20"/>
                <w:szCs w:val="20"/>
                <w:color w:val="auto"/>
              </w:rPr>
            </w:pPr>
            <w:r>
              <w:rPr>
                <w:rFonts w:ascii="Arial" w:cs="Arial" w:eastAsia="Arial" w:hAnsi="Arial"/>
                <w:sz w:val="14"/>
                <w:szCs w:val="14"/>
                <w:b w:val="1"/>
                <w:bCs w:val="1"/>
                <w:color w:val="auto"/>
              </w:rPr>
              <w:t>18,860</w:t>
            </w:r>
          </w:p>
        </w:tc>
        <w:tc>
          <w:tcPr>
            <w:tcW w:w="1020" w:type="dxa"/>
            <w:vAlign w:val="bottom"/>
            <w:tcBorders>
              <w:top w:val="single" w:sz="8" w:color="B2B2B2"/>
              <w:bottom w:val="single" w:sz="8" w:color="B2B2B2"/>
            </w:tcBorders>
          </w:tcPr>
          <w:p>
            <w:pPr>
              <w:jc w:val="right"/>
              <w:ind w:right="29"/>
              <w:spacing w:after="0" w:line="152" w:lineRule="exact"/>
              <w:rPr>
                <w:sz w:val="20"/>
                <w:szCs w:val="20"/>
                <w:color w:val="auto"/>
              </w:rPr>
            </w:pPr>
            <w:r>
              <w:rPr>
                <w:rFonts w:ascii="Arial" w:cs="Arial" w:eastAsia="Arial" w:hAnsi="Arial"/>
                <w:sz w:val="14"/>
                <w:szCs w:val="14"/>
                <w:b w:val="1"/>
                <w:bCs w:val="1"/>
                <w:color w:val="auto"/>
              </w:rPr>
              <w:t>(23,241)</w:t>
            </w:r>
          </w:p>
        </w:tc>
        <w:tc>
          <w:tcPr>
            <w:tcW w:w="1080" w:type="dxa"/>
            <w:vAlign w:val="bottom"/>
            <w:tcBorders>
              <w:top w:val="single" w:sz="8" w:color="B2B2B2"/>
              <w:bottom w:val="single" w:sz="8" w:color="B2B2B2"/>
            </w:tcBorders>
          </w:tcPr>
          <w:p>
            <w:pPr>
              <w:jc w:val="right"/>
              <w:spacing w:after="0" w:line="152" w:lineRule="exact"/>
              <w:rPr>
                <w:sz w:val="20"/>
                <w:szCs w:val="20"/>
                <w:color w:val="auto"/>
              </w:rPr>
            </w:pPr>
            <w:r>
              <w:rPr>
                <w:rFonts w:ascii="Arial" w:cs="Arial" w:eastAsia="Arial" w:hAnsi="Arial"/>
                <w:sz w:val="14"/>
                <w:szCs w:val="14"/>
                <w:b w:val="1"/>
                <w:bCs w:val="1"/>
                <w:color w:val="auto"/>
              </w:rPr>
              <w:t>18,437  </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2"/>
        </w:trPr>
        <w:tc>
          <w:tcPr>
            <w:tcW w:w="4580" w:type="dxa"/>
            <w:vAlign w:val="bottom"/>
          </w:tcPr>
          <w:p>
            <w:pPr>
              <w:spacing w:after="0"/>
              <w:rPr>
                <w:sz w:val="20"/>
                <w:szCs w:val="20"/>
                <w:color w:val="auto"/>
              </w:rPr>
            </w:pPr>
            <w:r>
              <w:rPr>
                <w:rFonts w:ascii="Arial" w:cs="Arial" w:eastAsia="Arial" w:hAnsi="Arial"/>
                <w:sz w:val="14"/>
                <w:szCs w:val="14"/>
                <w:b w:val="1"/>
                <w:bCs w:val="1"/>
                <w:color w:val="auto"/>
              </w:rPr>
              <w:t>LIABILITIES AND EQUITY</w:t>
            </w:r>
          </w:p>
        </w:tc>
        <w:tc>
          <w:tcPr>
            <w:tcW w:w="7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5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  </w:t>
            </w:r>
          </w:p>
        </w:tc>
      </w:tr>
      <w:tr>
        <w:trPr>
          <w:trHeight w:val="159"/>
        </w:trPr>
        <w:tc>
          <w:tcPr>
            <w:tcW w:w="4580" w:type="dxa"/>
            <w:vAlign w:val="bottom"/>
          </w:tcPr>
          <w:p>
            <w:pPr>
              <w:spacing w:after="0" w:line="159" w:lineRule="exact"/>
              <w:rPr>
                <w:sz w:val="20"/>
                <w:szCs w:val="20"/>
                <w:color w:val="auto"/>
              </w:rPr>
            </w:pPr>
            <w:r>
              <w:rPr>
                <w:rFonts w:ascii="Arial" w:cs="Arial" w:eastAsia="Arial" w:hAnsi="Arial"/>
                <w:sz w:val="14"/>
                <w:szCs w:val="14"/>
                <w:b w:val="1"/>
                <w:bCs w:val="1"/>
                <w:color w:val="auto"/>
              </w:rPr>
              <w:t>Liabilities</w:t>
            </w: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b w:val="1"/>
                <w:bCs w:val="1"/>
                <w:color w:val="auto"/>
              </w:rPr>
              <w:t>  </w:t>
            </w:r>
          </w:p>
        </w:tc>
      </w:tr>
      <w:tr>
        <w:trPr>
          <w:trHeight w:val="159"/>
        </w:trPr>
        <w:tc>
          <w:tcPr>
            <w:tcW w:w="4580" w:type="dxa"/>
            <w:vAlign w:val="bottom"/>
          </w:tcPr>
          <w:p>
            <w:pPr>
              <w:spacing w:after="0" w:line="159" w:lineRule="exact"/>
              <w:rPr>
                <w:sz w:val="20"/>
                <w:szCs w:val="20"/>
                <w:color w:val="auto"/>
              </w:rPr>
            </w:pPr>
            <w:r>
              <w:rPr>
                <w:rFonts w:ascii="Arial" w:cs="Arial" w:eastAsia="Arial" w:hAnsi="Arial"/>
                <w:sz w:val="14"/>
                <w:szCs w:val="14"/>
                <w:color w:val="auto"/>
              </w:rPr>
              <w:t>Current indebtedness</w:t>
            </w:r>
          </w:p>
        </w:tc>
        <w:tc>
          <w:tcPr>
            <w:tcW w:w="7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973</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9"/>
              <w:spacing w:after="0" w:line="159" w:lineRule="exact"/>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b w:val="1"/>
                <w:bCs w:val="1"/>
                <w:color w:val="auto"/>
              </w:rPr>
              <w:t>973  </w:t>
            </w:r>
          </w:p>
        </w:tc>
      </w:tr>
      <w:tr>
        <w:trPr>
          <w:trHeight w:val="159"/>
        </w:trPr>
        <w:tc>
          <w:tcPr>
            <w:tcW w:w="4580" w:type="dxa"/>
            <w:vAlign w:val="bottom"/>
          </w:tcPr>
          <w:p>
            <w:pPr>
              <w:spacing w:after="0" w:line="159" w:lineRule="exact"/>
              <w:rPr>
                <w:sz w:val="20"/>
                <w:szCs w:val="20"/>
                <w:color w:val="auto"/>
              </w:rPr>
            </w:pPr>
            <w:r>
              <w:rPr>
                <w:rFonts w:ascii="Arial" w:cs="Arial" w:eastAsia="Arial" w:hAnsi="Arial"/>
                <w:sz w:val="14"/>
                <w:szCs w:val="14"/>
                <w:color w:val="auto"/>
              </w:rPr>
              <w:t>Payables, accruals and provisions</w:t>
            </w:r>
          </w:p>
        </w:tc>
        <w:tc>
          <w:tcPr>
            <w:tcW w:w="7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52</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276</w:t>
            </w:r>
          </w:p>
        </w:tc>
        <w:tc>
          <w:tcPr>
            <w:tcW w:w="1060" w:type="dxa"/>
            <w:vAlign w:val="bottom"/>
          </w:tcPr>
          <w:p>
            <w:pPr>
              <w:jc w:val="right"/>
              <w:ind w:right="49"/>
              <w:spacing w:after="0" w:line="159" w:lineRule="exact"/>
              <w:rPr>
                <w:sz w:val="20"/>
                <w:szCs w:val="20"/>
                <w:color w:val="auto"/>
              </w:rPr>
            </w:pPr>
            <w:r>
              <w:rPr>
                <w:rFonts w:ascii="Arial" w:cs="Arial" w:eastAsia="Arial" w:hAnsi="Arial"/>
                <w:sz w:val="14"/>
                <w:szCs w:val="14"/>
                <w:b w:val="1"/>
                <w:bCs w:val="1"/>
                <w:color w:val="auto"/>
              </w:rPr>
              <w:t>763</w:t>
            </w:r>
          </w:p>
        </w:tc>
        <w:tc>
          <w:tcPr>
            <w:tcW w:w="10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b w:val="1"/>
                <w:bCs w:val="1"/>
                <w:color w:val="auto"/>
              </w:rPr>
              <w:t>1,091  </w:t>
            </w:r>
          </w:p>
        </w:tc>
      </w:tr>
      <w:tr>
        <w:trPr>
          <w:trHeight w:val="159"/>
        </w:trPr>
        <w:tc>
          <w:tcPr>
            <w:tcW w:w="4580" w:type="dxa"/>
            <w:vAlign w:val="bottom"/>
          </w:tcPr>
          <w:p>
            <w:pPr>
              <w:spacing w:after="0" w:line="159" w:lineRule="exact"/>
              <w:rPr>
                <w:sz w:val="20"/>
                <w:szCs w:val="20"/>
                <w:color w:val="auto"/>
              </w:rPr>
            </w:pPr>
            <w:r>
              <w:rPr>
                <w:rFonts w:ascii="Arial" w:cs="Arial" w:eastAsia="Arial" w:hAnsi="Arial"/>
                <w:sz w:val="14"/>
                <w:szCs w:val="14"/>
                <w:color w:val="auto"/>
              </w:rPr>
              <w:t>Current tax liabilities</w:t>
            </w:r>
          </w:p>
        </w:tc>
        <w:tc>
          <w:tcPr>
            <w:tcW w:w="7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9"/>
              <w:spacing w:after="0" w:line="159" w:lineRule="exact"/>
              <w:rPr>
                <w:sz w:val="20"/>
                <w:szCs w:val="20"/>
                <w:color w:val="auto"/>
              </w:rPr>
            </w:pPr>
            <w:r>
              <w:rPr>
                <w:rFonts w:ascii="Arial" w:cs="Arial" w:eastAsia="Arial" w:hAnsi="Arial"/>
                <w:sz w:val="14"/>
                <w:szCs w:val="14"/>
                <w:b w:val="1"/>
                <w:bCs w:val="1"/>
                <w:color w:val="auto"/>
              </w:rPr>
              <w:t>197</w:t>
            </w:r>
          </w:p>
        </w:tc>
        <w:tc>
          <w:tcPr>
            <w:tcW w:w="10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b w:val="1"/>
                <w:bCs w:val="1"/>
                <w:color w:val="auto"/>
              </w:rPr>
              <w:t>197  </w:t>
            </w:r>
          </w:p>
        </w:tc>
      </w:tr>
      <w:tr>
        <w:trPr>
          <w:trHeight w:val="159"/>
        </w:trPr>
        <w:tc>
          <w:tcPr>
            <w:tcW w:w="4580" w:type="dxa"/>
            <w:vAlign w:val="bottom"/>
          </w:tcPr>
          <w:p>
            <w:pPr>
              <w:spacing w:after="0" w:line="159" w:lineRule="exact"/>
              <w:rPr>
                <w:sz w:val="20"/>
                <w:szCs w:val="20"/>
                <w:color w:val="auto"/>
              </w:rPr>
            </w:pPr>
            <w:r>
              <w:rPr>
                <w:rFonts w:ascii="Arial" w:cs="Arial" w:eastAsia="Arial" w:hAnsi="Arial"/>
                <w:sz w:val="14"/>
                <w:szCs w:val="14"/>
                <w:color w:val="auto"/>
              </w:rPr>
              <w:t>Deferred revenue</w:t>
            </w:r>
          </w:p>
        </w:tc>
        <w:tc>
          <w:tcPr>
            <w:tcW w:w="7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350</w:t>
            </w:r>
          </w:p>
        </w:tc>
        <w:tc>
          <w:tcPr>
            <w:tcW w:w="1060" w:type="dxa"/>
            <w:vAlign w:val="bottom"/>
          </w:tcPr>
          <w:p>
            <w:pPr>
              <w:jc w:val="right"/>
              <w:ind w:right="49"/>
              <w:spacing w:after="0" w:line="159" w:lineRule="exact"/>
              <w:rPr>
                <w:sz w:val="20"/>
                <w:szCs w:val="20"/>
                <w:color w:val="auto"/>
              </w:rPr>
            </w:pPr>
            <w:r>
              <w:rPr>
                <w:rFonts w:ascii="Arial" w:cs="Arial" w:eastAsia="Arial" w:hAnsi="Arial"/>
                <w:sz w:val="14"/>
                <w:szCs w:val="14"/>
                <w:b w:val="1"/>
                <w:bCs w:val="1"/>
                <w:color w:val="auto"/>
              </w:rPr>
              <w:t>712</w:t>
            </w:r>
          </w:p>
        </w:tc>
        <w:tc>
          <w:tcPr>
            <w:tcW w:w="10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b w:val="1"/>
                <w:bCs w:val="1"/>
                <w:color w:val="auto"/>
              </w:rPr>
              <w:t>1,062  </w:t>
            </w:r>
          </w:p>
        </w:tc>
      </w:tr>
      <w:tr>
        <w:trPr>
          <w:trHeight w:val="159"/>
        </w:trPr>
        <w:tc>
          <w:tcPr>
            <w:tcW w:w="4580" w:type="dxa"/>
            <w:vAlign w:val="bottom"/>
          </w:tcPr>
          <w:p>
            <w:pPr>
              <w:spacing w:after="0" w:line="159" w:lineRule="exact"/>
              <w:rPr>
                <w:sz w:val="20"/>
                <w:szCs w:val="20"/>
                <w:color w:val="auto"/>
              </w:rPr>
            </w:pPr>
            <w:r>
              <w:rPr>
                <w:rFonts w:ascii="Arial" w:cs="Arial" w:eastAsia="Arial" w:hAnsi="Arial"/>
                <w:sz w:val="14"/>
                <w:szCs w:val="14"/>
                <w:color w:val="auto"/>
              </w:rPr>
              <w:t>Intercompany payables</w:t>
            </w:r>
          </w:p>
        </w:tc>
        <w:tc>
          <w:tcPr>
            <w:tcW w:w="7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1,214</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461</w:t>
            </w:r>
          </w:p>
        </w:tc>
        <w:tc>
          <w:tcPr>
            <w:tcW w:w="1060" w:type="dxa"/>
            <w:vAlign w:val="bottom"/>
          </w:tcPr>
          <w:p>
            <w:pPr>
              <w:jc w:val="right"/>
              <w:ind w:right="49"/>
              <w:spacing w:after="0" w:line="159" w:lineRule="exact"/>
              <w:rPr>
                <w:sz w:val="20"/>
                <w:szCs w:val="20"/>
                <w:color w:val="auto"/>
              </w:rPr>
            </w:pPr>
            <w:r>
              <w:rPr>
                <w:rFonts w:ascii="Arial" w:cs="Arial" w:eastAsia="Arial" w:hAnsi="Arial"/>
                <w:sz w:val="14"/>
                <w:szCs w:val="14"/>
                <w:b w:val="1"/>
                <w:bCs w:val="1"/>
                <w:color w:val="auto"/>
              </w:rPr>
              <w:t>1,536</w:t>
            </w:r>
          </w:p>
        </w:tc>
        <w:tc>
          <w:tcPr>
            <w:tcW w:w="10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(3,211)</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b w:val="1"/>
                <w:bCs w:val="1"/>
                <w:color w:val="auto"/>
              </w:rPr>
              <w:t>-  </w:t>
            </w:r>
          </w:p>
        </w:tc>
      </w:tr>
      <w:tr>
        <w:trPr>
          <w:trHeight w:val="168"/>
        </w:trPr>
        <w:tc>
          <w:tcPr>
            <w:tcW w:w="4580" w:type="dxa"/>
            <w:vAlign w:val="bottom"/>
          </w:tcPr>
          <w:p>
            <w:pPr>
              <w:spacing w:after="0"/>
              <w:rPr>
                <w:sz w:val="20"/>
                <w:szCs w:val="20"/>
                <w:color w:val="auto"/>
              </w:rPr>
            </w:pPr>
            <w:r>
              <w:rPr>
                <w:rFonts w:ascii="Arial" w:cs="Arial" w:eastAsia="Arial" w:hAnsi="Arial"/>
                <w:sz w:val="14"/>
                <w:szCs w:val="14"/>
                <w:color w:val="auto"/>
              </w:rPr>
              <w:t>Other financial liabilities</w:t>
            </w:r>
          </w:p>
        </w:tc>
        <w:tc>
          <w:tcPr>
            <w:tcW w:w="740" w:type="dxa"/>
            <w:vAlign w:val="bottom"/>
          </w:tcPr>
          <w:p>
            <w:pPr>
              <w:jc w:val="right"/>
              <w:ind w:right="29"/>
              <w:spacing w:after="0"/>
              <w:rPr>
                <w:sz w:val="20"/>
                <w:szCs w:val="20"/>
                <w:color w:val="auto"/>
              </w:rPr>
            </w:pPr>
            <w:r>
              <w:rPr>
                <w:rFonts w:ascii="Arial" w:cs="Arial" w:eastAsia="Arial" w:hAnsi="Arial"/>
                <w:sz w:val="14"/>
                <w:szCs w:val="14"/>
                <w:b w:val="1"/>
                <w:bCs w:val="1"/>
                <w:color w:val="auto"/>
              </w:rPr>
              <w:t>20</w:t>
            </w:r>
          </w:p>
        </w:tc>
        <w:tc>
          <w:tcPr>
            <w:tcW w:w="92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b w:val="1"/>
                <w:bCs w:val="1"/>
                <w:color w:val="auto"/>
              </w:rPr>
              <w:t>11</w:t>
            </w:r>
          </w:p>
        </w:tc>
        <w:tc>
          <w:tcPr>
            <w:tcW w:w="1060" w:type="dxa"/>
            <w:vAlign w:val="bottom"/>
          </w:tcPr>
          <w:p>
            <w:pPr>
              <w:jc w:val="right"/>
              <w:ind w:right="49"/>
              <w:spacing w:after="0"/>
              <w:rPr>
                <w:sz w:val="20"/>
                <w:szCs w:val="20"/>
                <w:color w:val="auto"/>
              </w:rPr>
            </w:pPr>
            <w:r>
              <w:rPr>
                <w:rFonts w:ascii="Arial" w:cs="Arial" w:eastAsia="Arial" w:hAnsi="Arial"/>
                <w:sz w:val="14"/>
                <w:szCs w:val="14"/>
                <w:b w:val="1"/>
                <w:bCs w:val="1"/>
                <w:color w:val="auto"/>
              </w:rPr>
              <w:t>82</w:t>
            </w:r>
          </w:p>
        </w:tc>
        <w:tc>
          <w:tcPr>
            <w:tcW w:w="102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113  </w:t>
            </w:r>
          </w:p>
        </w:tc>
      </w:tr>
      <w:tr>
        <w:trPr>
          <w:trHeight w:val="143"/>
        </w:trPr>
        <w:tc>
          <w:tcPr>
            <w:tcW w:w="4580" w:type="dxa"/>
            <w:vAlign w:val="bottom"/>
            <w:tcBorders>
              <w:top w:val="single" w:sz="8" w:color="B2B2B2"/>
            </w:tcBorders>
          </w:tcPr>
          <w:p>
            <w:pPr>
              <w:spacing w:after="0" w:line="143" w:lineRule="exact"/>
              <w:rPr>
                <w:sz w:val="20"/>
                <w:szCs w:val="20"/>
                <w:color w:val="auto"/>
              </w:rPr>
            </w:pPr>
            <w:r>
              <w:rPr>
                <w:rFonts w:ascii="Arial" w:cs="Arial" w:eastAsia="Arial" w:hAnsi="Arial"/>
                <w:sz w:val="14"/>
                <w:szCs w:val="14"/>
                <w:color w:val="auto"/>
              </w:rPr>
              <w:t>Current liabilities</w:t>
            </w:r>
          </w:p>
        </w:tc>
        <w:tc>
          <w:tcPr>
            <w:tcW w:w="74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b w:val="1"/>
                <w:bCs w:val="1"/>
                <w:color w:val="auto"/>
              </w:rPr>
              <w:t>2,259</w:t>
            </w:r>
          </w:p>
        </w:tc>
        <w:tc>
          <w:tcPr>
            <w:tcW w:w="92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b w:val="1"/>
                <w:bCs w:val="1"/>
                <w:color w:val="auto"/>
              </w:rPr>
              <w:t>1,098</w:t>
            </w:r>
          </w:p>
        </w:tc>
        <w:tc>
          <w:tcPr>
            <w:tcW w:w="1060" w:type="dxa"/>
            <w:vAlign w:val="bottom"/>
            <w:tcBorders>
              <w:top w:val="single" w:sz="8" w:color="B2B2B2"/>
            </w:tcBorders>
          </w:tcPr>
          <w:p>
            <w:pPr>
              <w:jc w:val="right"/>
              <w:ind w:right="49"/>
              <w:spacing w:after="0" w:line="143" w:lineRule="exact"/>
              <w:rPr>
                <w:sz w:val="20"/>
                <w:szCs w:val="20"/>
                <w:color w:val="auto"/>
              </w:rPr>
            </w:pPr>
            <w:r>
              <w:rPr>
                <w:rFonts w:ascii="Arial" w:cs="Arial" w:eastAsia="Arial" w:hAnsi="Arial"/>
                <w:sz w:val="14"/>
                <w:szCs w:val="14"/>
                <w:b w:val="1"/>
                <w:bCs w:val="1"/>
                <w:color w:val="auto"/>
              </w:rPr>
              <w:t>3,290</w:t>
            </w:r>
          </w:p>
        </w:tc>
        <w:tc>
          <w:tcPr>
            <w:tcW w:w="102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b w:val="1"/>
                <w:bCs w:val="1"/>
                <w:color w:val="auto"/>
              </w:rPr>
              <w:t>(3,211)</w:t>
            </w:r>
          </w:p>
        </w:tc>
        <w:tc>
          <w:tcPr>
            <w:tcW w:w="1080" w:type="dxa"/>
            <w:vAlign w:val="bottom"/>
            <w:tcBorders>
              <w:top w:val="single" w:sz="8" w:color="B2B2B2"/>
            </w:tcBorders>
          </w:tcPr>
          <w:p>
            <w:pPr>
              <w:jc w:val="right"/>
              <w:spacing w:after="0" w:line="143" w:lineRule="exact"/>
              <w:rPr>
                <w:sz w:val="20"/>
                <w:szCs w:val="20"/>
                <w:color w:val="auto"/>
              </w:rPr>
            </w:pPr>
            <w:r>
              <w:rPr>
                <w:rFonts w:ascii="Arial" w:cs="Arial" w:eastAsia="Arial" w:hAnsi="Arial"/>
                <w:sz w:val="14"/>
                <w:szCs w:val="14"/>
                <w:b w:val="1"/>
                <w:bCs w:val="1"/>
                <w:color w:val="auto"/>
              </w:rPr>
              <w:t>3,436  </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4580" w:type="dxa"/>
            <w:vAlign w:val="bottom"/>
          </w:tcPr>
          <w:p>
            <w:pPr>
              <w:spacing w:after="0" w:line="159" w:lineRule="exact"/>
              <w:rPr>
                <w:sz w:val="20"/>
                <w:szCs w:val="20"/>
                <w:color w:val="auto"/>
              </w:rPr>
            </w:pPr>
            <w:r>
              <w:rPr>
                <w:rFonts w:ascii="Arial" w:cs="Arial" w:eastAsia="Arial" w:hAnsi="Arial"/>
                <w:sz w:val="14"/>
                <w:szCs w:val="14"/>
                <w:color w:val="auto"/>
              </w:rPr>
              <w:t>Long-term indebtedness</w:t>
            </w:r>
          </w:p>
        </w:tc>
        <w:tc>
          <w:tcPr>
            <w:tcW w:w="7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1,847</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9"/>
              <w:spacing w:after="0" w:line="159" w:lineRule="exact"/>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b w:val="1"/>
                <w:bCs w:val="1"/>
                <w:color w:val="auto"/>
              </w:rPr>
              <w:t>1,847  </w:t>
            </w:r>
          </w:p>
        </w:tc>
      </w:tr>
      <w:tr>
        <w:trPr>
          <w:trHeight w:val="159"/>
        </w:trPr>
        <w:tc>
          <w:tcPr>
            <w:tcW w:w="4580" w:type="dxa"/>
            <w:vAlign w:val="bottom"/>
          </w:tcPr>
          <w:p>
            <w:pPr>
              <w:spacing w:after="0" w:line="159" w:lineRule="exact"/>
              <w:rPr>
                <w:sz w:val="20"/>
                <w:szCs w:val="20"/>
                <w:color w:val="auto"/>
              </w:rPr>
            </w:pPr>
            <w:r>
              <w:rPr>
                <w:rFonts w:ascii="Arial" w:cs="Arial" w:eastAsia="Arial" w:hAnsi="Arial"/>
                <w:sz w:val="14"/>
                <w:szCs w:val="14"/>
                <w:color w:val="auto"/>
              </w:rPr>
              <w:t>Provisions and other non-current liabilities</w:t>
            </w:r>
          </w:p>
        </w:tc>
        <w:tc>
          <w:tcPr>
            <w:tcW w:w="7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3</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4</w:t>
            </w:r>
          </w:p>
        </w:tc>
        <w:tc>
          <w:tcPr>
            <w:tcW w:w="1060" w:type="dxa"/>
            <w:vAlign w:val="bottom"/>
          </w:tcPr>
          <w:p>
            <w:pPr>
              <w:jc w:val="right"/>
              <w:ind w:right="49"/>
              <w:spacing w:after="0" w:line="159" w:lineRule="exact"/>
              <w:rPr>
                <w:sz w:val="20"/>
                <w:szCs w:val="20"/>
                <w:color w:val="auto"/>
              </w:rPr>
            </w:pPr>
            <w:r>
              <w:rPr>
                <w:rFonts w:ascii="Arial" w:cs="Arial" w:eastAsia="Arial" w:hAnsi="Arial"/>
                <w:sz w:val="14"/>
                <w:szCs w:val="14"/>
                <w:b w:val="1"/>
                <w:bCs w:val="1"/>
                <w:color w:val="auto"/>
              </w:rPr>
              <w:t>668</w:t>
            </w:r>
          </w:p>
        </w:tc>
        <w:tc>
          <w:tcPr>
            <w:tcW w:w="10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b w:val="1"/>
                <w:bCs w:val="1"/>
                <w:color w:val="auto"/>
              </w:rPr>
              <w:t>675  </w:t>
            </w:r>
          </w:p>
        </w:tc>
      </w:tr>
      <w:tr>
        <w:trPr>
          <w:trHeight w:val="159"/>
        </w:trPr>
        <w:tc>
          <w:tcPr>
            <w:tcW w:w="4580" w:type="dxa"/>
            <w:vAlign w:val="bottom"/>
          </w:tcPr>
          <w:p>
            <w:pPr>
              <w:spacing w:after="0" w:line="159" w:lineRule="exact"/>
              <w:rPr>
                <w:sz w:val="20"/>
                <w:szCs w:val="20"/>
                <w:color w:val="auto"/>
              </w:rPr>
            </w:pPr>
            <w:r>
              <w:rPr>
                <w:rFonts w:ascii="Arial" w:cs="Arial" w:eastAsia="Arial" w:hAnsi="Arial"/>
                <w:sz w:val="14"/>
                <w:szCs w:val="14"/>
                <w:color w:val="auto"/>
              </w:rPr>
              <w:t>Other financial liabilities</w:t>
            </w:r>
          </w:p>
        </w:tc>
        <w:tc>
          <w:tcPr>
            <w:tcW w:w="7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80</w:t>
            </w:r>
          </w:p>
        </w:tc>
        <w:tc>
          <w:tcPr>
            <w:tcW w:w="1060" w:type="dxa"/>
            <w:vAlign w:val="bottom"/>
          </w:tcPr>
          <w:p>
            <w:pPr>
              <w:jc w:val="right"/>
              <w:ind w:right="49"/>
              <w:spacing w:after="0" w:line="159" w:lineRule="exact"/>
              <w:rPr>
                <w:sz w:val="20"/>
                <w:szCs w:val="20"/>
                <w:color w:val="auto"/>
              </w:rPr>
            </w:pPr>
            <w:r>
              <w:rPr>
                <w:rFonts w:ascii="Arial" w:cs="Arial" w:eastAsia="Arial" w:hAnsi="Arial"/>
                <w:sz w:val="14"/>
                <w:szCs w:val="14"/>
                <w:b w:val="1"/>
                <w:bCs w:val="1"/>
                <w:color w:val="auto"/>
              </w:rPr>
              <w:t>152</w:t>
            </w:r>
          </w:p>
        </w:tc>
        <w:tc>
          <w:tcPr>
            <w:tcW w:w="10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b w:val="1"/>
                <w:bCs w:val="1"/>
                <w:color w:val="auto"/>
              </w:rPr>
              <w:t>232  </w:t>
            </w:r>
          </w:p>
        </w:tc>
      </w:tr>
      <w:tr>
        <w:trPr>
          <w:trHeight w:val="159"/>
        </w:trPr>
        <w:tc>
          <w:tcPr>
            <w:tcW w:w="4580" w:type="dxa"/>
            <w:vAlign w:val="bottom"/>
          </w:tcPr>
          <w:p>
            <w:pPr>
              <w:spacing w:after="0" w:line="159" w:lineRule="exact"/>
              <w:rPr>
                <w:sz w:val="20"/>
                <w:szCs w:val="20"/>
                <w:color w:val="auto"/>
              </w:rPr>
            </w:pPr>
            <w:r>
              <w:rPr>
                <w:rFonts w:ascii="Arial" w:cs="Arial" w:eastAsia="Arial" w:hAnsi="Arial"/>
                <w:sz w:val="14"/>
                <w:szCs w:val="14"/>
                <w:color w:val="auto"/>
              </w:rPr>
              <w:t>Intercompany payables</w:t>
            </w:r>
          </w:p>
        </w:tc>
        <w:tc>
          <w:tcPr>
            <w:tcW w:w="74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778</w:t>
            </w:r>
          </w:p>
        </w:tc>
        <w:tc>
          <w:tcPr>
            <w:tcW w:w="1060" w:type="dxa"/>
            <w:vAlign w:val="bottom"/>
          </w:tcPr>
          <w:p>
            <w:pPr>
              <w:jc w:val="right"/>
              <w:ind w:right="49"/>
              <w:spacing w:after="0" w:line="159" w:lineRule="exact"/>
              <w:rPr>
                <w:sz w:val="20"/>
                <w:szCs w:val="20"/>
                <w:color w:val="auto"/>
              </w:rPr>
            </w:pPr>
            <w:r>
              <w:rPr>
                <w:rFonts w:ascii="Arial" w:cs="Arial" w:eastAsia="Arial" w:hAnsi="Arial"/>
                <w:sz w:val="14"/>
                <w:szCs w:val="14"/>
                <w:b w:val="1"/>
                <w:bCs w:val="1"/>
                <w:color w:val="auto"/>
              </w:rPr>
              <w:t>162</w:t>
            </w:r>
          </w:p>
        </w:tc>
        <w:tc>
          <w:tcPr>
            <w:tcW w:w="102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(940)</w:t>
            </w: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b w:val="1"/>
                <w:bCs w:val="1"/>
                <w:color w:val="auto"/>
              </w:rPr>
              <w:t>-  </w:t>
            </w:r>
          </w:p>
        </w:tc>
      </w:tr>
      <w:tr>
        <w:trPr>
          <w:trHeight w:val="168"/>
        </w:trPr>
        <w:tc>
          <w:tcPr>
            <w:tcW w:w="4580" w:type="dxa"/>
            <w:vAlign w:val="bottom"/>
          </w:tcPr>
          <w:p>
            <w:pPr>
              <w:spacing w:after="0"/>
              <w:rPr>
                <w:sz w:val="20"/>
                <w:szCs w:val="20"/>
                <w:color w:val="auto"/>
              </w:rPr>
            </w:pPr>
            <w:r>
              <w:rPr>
                <w:rFonts w:ascii="Arial" w:cs="Arial" w:eastAsia="Arial" w:hAnsi="Arial"/>
                <w:sz w:val="14"/>
                <w:szCs w:val="14"/>
                <w:color w:val="auto"/>
              </w:rPr>
              <w:t>Deferred tax</w:t>
            </w:r>
          </w:p>
        </w:tc>
        <w:tc>
          <w:tcPr>
            <w:tcW w:w="74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b w:val="1"/>
                <w:bCs w:val="1"/>
                <w:color w:val="auto"/>
              </w:rPr>
              <w:t>237</w:t>
            </w:r>
          </w:p>
        </w:tc>
        <w:tc>
          <w:tcPr>
            <w:tcW w:w="1060" w:type="dxa"/>
            <w:vAlign w:val="bottom"/>
          </w:tcPr>
          <w:p>
            <w:pPr>
              <w:jc w:val="right"/>
              <w:ind w:right="49"/>
              <w:spacing w:after="0"/>
              <w:rPr>
                <w:sz w:val="20"/>
                <w:szCs w:val="20"/>
                <w:color w:val="auto"/>
              </w:rPr>
            </w:pPr>
            <w:r>
              <w:rPr>
                <w:rFonts w:ascii="Arial" w:cs="Arial" w:eastAsia="Arial" w:hAnsi="Arial"/>
                <w:sz w:val="14"/>
                <w:szCs w:val="14"/>
                <w:b w:val="1"/>
                <w:bCs w:val="1"/>
                <w:color w:val="auto"/>
              </w:rPr>
              <w:t>4</w:t>
            </w:r>
          </w:p>
        </w:tc>
        <w:tc>
          <w:tcPr>
            <w:tcW w:w="102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241  </w:t>
            </w:r>
          </w:p>
        </w:tc>
      </w:tr>
      <w:tr>
        <w:trPr>
          <w:trHeight w:val="143"/>
        </w:trPr>
        <w:tc>
          <w:tcPr>
            <w:tcW w:w="4580" w:type="dxa"/>
            <w:vAlign w:val="bottom"/>
            <w:tcBorders>
              <w:top w:val="single" w:sz="8" w:color="B2B2B2"/>
            </w:tcBorders>
          </w:tcPr>
          <w:p>
            <w:pPr>
              <w:spacing w:after="0" w:line="143" w:lineRule="exact"/>
              <w:rPr>
                <w:sz w:val="20"/>
                <w:szCs w:val="20"/>
                <w:color w:val="auto"/>
              </w:rPr>
            </w:pPr>
            <w:r>
              <w:rPr>
                <w:rFonts w:ascii="Arial" w:cs="Arial" w:eastAsia="Arial" w:hAnsi="Arial"/>
                <w:sz w:val="14"/>
                <w:szCs w:val="14"/>
                <w:color w:val="auto"/>
              </w:rPr>
              <w:t>Total liabilities</w:t>
            </w:r>
          </w:p>
        </w:tc>
        <w:tc>
          <w:tcPr>
            <w:tcW w:w="74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b w:val="1"/>
                <w:bCs w:val="1"/>
                <w:color w:val="auto"/>
              </w:rPr>
              <w:t>4,109</w:t>
            </w:r>
          </w:p>
        </w:tc>
        <w:tc>
          <w:tcPr>
            <w:tcW w:w="92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b w:val="1"/>
                <w:bCs w:val="1"/>
                <w:color w:val="auto"/>
              </w:rPr>
              <w:t>2,197</w:t>
            </w:r>
          </w:p>
        </w:tc>
        <w:tc>
          <w:tcPr>
            <w:tcW w:w="1060" w:type="dxa"/>
            <w:vAlign w:val="bottom"/>
            <w:tcBorders>
              <w:top w:val="single" w:sz="8" w:color="B2B2B2"/>
            </w:tcBorders>
          </w:tcPr>
          <w:p>
            <w:pPr>
              <w:jc w:val="right"/>
              <w:ind w:right="49"/>
              <w:spacing w:after="0" w:line="143" w:lineRule="exact"/>
              <w:rPr>
                <w:sz w:val="20"/>
                <w:szCs w:val="20"/>
                <w:color w:val="auto"/>
              </w:rPr>
            </w:pPr>
            <w:r>
              <w:rPr>
                <w:rFonts w:ascii="Arial" w:cs="Arial" w:eastAsia="Arial" w:hAnsi="Arial"/>
                <w:sz w:val="14"/>
                <w:szCs w:val="14"/>
                <w:b w:val="1"/>
                <w:bCs w:val="1"/>
                <w:color w:val="auto"/>
              </w:rPr>
              <w:t>4,276</w:t>
            </w:r>
          </w:p>
        </w:tc>
        <w:tc>
          <w:tcPr>
            <w:tcW w:w="1020" w:type="dxa"/>
            <w:vAlign w:val="bottom"/>
            <w:tcBorders>
              <w:top w:val="single" w:sz="8" w:color="B2B2B2"/>
            </w:tcBorders>
          </w:tcPr>
          <w:p>
            <w:pPr>
              <w:jc w:val="right"/>
              <w:ind w:right="29"/>
              <w:spacing w:after="0" w:line="143" w:lineRule="exact"/>
              <w:rPr>
                <w:sz w:val="20"/>
                <w:szCs w:val="20"/>
                <w:color w:val="auto"/>
              </w:rPr>
            </w:pPr>
            <w:r>
              <w:rPr>
                <w:rFonts w:ascii="Arial" w:cs="Arial" w:eastAsia="Arial" w:hAnsi="Arial"/>
                <w:sz w:val="14"/>
                <w:szCs w:val="14"/>
                <w:b w:val="1"/>
                <w:bCs w:val="1"/>
                <w:color w:val="auto"/>
              </w:rPr>
              <w:t>(4,151)</w:t>
            </w:r>
          </w:p>
        </w:tc>
        <w:tc>
          <w:tcPr>
            <w:tcW w:w="1080" w:type="dxa"/>
            <w:vAlign w:val="bottom"/>
            <w:tcBorders>
              <w:top w:val="single" w:sz="8" w:color="B2B2B2"/>
            </w:tcBorders>
          </w:tcPr>
          <w:p>
            <w:pPr>
              <w:jc w:val="right"/>
              <w:spacing w:after="0" w:line="143" w:lineRule="exact"/>
              <w:rPr>
                <w:sz w:val="20"/>
                <w:szCs w:val="20"/>
                <w:color w:val="auto"/>
              </w:rPr>
            </w:pPr>
            <w:r>
              <w:rPr>
                <w:rFonts w:ascii="Arial" w:cs="Arial" w:eastAsia="Arial" w:hAnsi="Arial"/>
                <w:sz w:val="14"/>
                <w:szCs w:val="14"/>
                <w:b w:val="1"/>
                <w:bCs w:val="1"/>
                <w:color w:val="auto"/>
              </w:rPr>
              <w:t>6,431  </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4580" w:type="dxa"/>
            <w:vAlign w:val="bottom"/>
          </w:tcPr>
          <w:p>
            <w:pPr>
              <w:spacing w:after="0" w:line="159" w:lineRule="exact"/>
              <w:rPr>
                <w:sz w:val="20"/>
                <w:szCs w:val="20"/>
                <w:color w:val="auto"/>
              </w:rPr>
            </w:pPr>
            <w:r>
              <w:rPr>
                <w:rFonts w:ascii="Arial" w:cs="Arial" w:eastAsia="Arial" w:hAnsi="Arial"/>
                <w:sz w:val="14"/>
                <w:szCs w:val="14"/>
                <w:b w:val="1"/>
                <w:bCs w:val="1"/>
                <w:color w:val="auto"/>
              </w:rPr>
              <w:t>Equity</w:t>
            </w: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20" w:type="dxa"/>
            <w:vAlign w:val="bottom"/>
            <w:gridSpan w:val="3"/>
          </w:tcPr>
          <w:p>
            <w:pPr>
              <w:jc w:val="right"/>
              <w:ind w:right="440"/>
              <w:spacing w:after="0" w:line="159" w:lineRule="exact"/>
              <w:rPr>
                <w:sz w:val="20"/>
                <w:szCs w:val="20"/>
                <w:color w:val="auto"/>
              </w:rPr>
            </w:pPr>
            <w:r>
              <w:rPr>
                <w:rFonts w:ascii="Arial" w:cs="Arial" w:eastAsia="Arial" w:hAnsi="Arial"/>
                <w:sz w:val="14"/>
                <w:szCs w:val="14"/>
                <w:b w:val="1"/>
                <w:bCs w:val="1"/>
                <w:color w:val="auto"/>
              </w:rPr>
              <w:t>  </w:t>
            </w:r>
          </w:p>
        </w:tc>
      </w:tr>
      <w:tr>
        <w:trPr>
          <w:trHeight w:val="168"/>
        </w:trPr>
        <w:tc>
          <w:tcPr>
            <w:tcW w:w="4580" w:type="dxa"/>
            <w:vAlign w:val="bottom"/>
          </w:tcPr>
          <w:p>
            <w:pPr>
              <w:spacing w:after="0"/>
              <w:rPr>
                <w:sz w:val="20"/>
                <w:szCs w:val="20"/>
                <w:color w:val="auto"/>
              </w:rPr>
            </w:pPr>
            <w:r>
              <w:rPr>
                <w:rFonts w:ascii="Arial" w:cs="Arial" w:eastAsia="Arial" w:hAnsi="Arial"/>
                <w:sz w:val="14"/>
                <w:szCs w:val="14"/>
                <w:color w:val="auto"/>
              </w:rPr>
              <w:t>Total equity</w:t>
            </w:r>
          </w:p>
        </w:tc>
        <w:tc>
          <w:tcPr>
            <w:tcW w:w="740" w:type="dxa"/>
            <w:vAlign w:val="bottom"/>
          </w:tcPr>
          <w:p>
            <w:pPr>
              <w:jc w:val="right"/>
              <w:ind w:right="29"/>
              <w:spacing w:after="0"/>
              <w:rPr>
                <w:sz w:val="20"/>
                <w:szCs w:val="20"/>
                <w:color w:val="auto"/>
              </w:rPr>
            </w:pPr>
            <w:r>
              <w:rPr>
                <w:rFonts w:ascii="Arial" w:cs="Arial" w:eastAsia="Arial" w:hAnsi="Arial"/>
                <w:sz w:val="14"/>
                <w:szCs w:val="14"/>
                <w:b w:val="1"/>
                <w:bCs w:val="1"/>
                <w:color w:val="auto"/>
              </w:rPr>
              <w:t>12,006</w:t>
            </w:r>
          </w:p>
        </w:tc>
        <w:tc>
          <w:tcPr>
            <w:tcW w:w="92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b w:val="1"/>
                <w:bCs w:val="1"/>
                <w:color w:val="auto"/>
              </w:rPr>
              <w:t>4,506</w:t>
            </w:r>
          </w:p>
        </w:tc>
        <w:tc>
          <w:tcPr>
            <w:tcW w:w="1060" w:type="dxa"/>
            <w:vAlign w:val="bottom"/>
          </w:tcPr>
          <w:p>
            <w:pPr>
              <w:jc w:val="right"/>
              <w:ind w:right="49"/>
              <w:spacing w:after="0"/>
              <w:rPr>
                <w:sz w:val="20"/>
                <w:szCs w:val="20"/>
                <w:color w:val="auto"/>
              </w:rPr>
            </w:pPr>
            <w:r>
              <w:rPr>
                <w:rFonts w:ascii="Arial" w:cs="Arial" w:eastAsia="Arial" w:hAnsi="Arial"/>
                <w:sz w:val="14"/>
                <w:szCs w:val="14"/>
                <w:b w:val="1"/>
                <w:bCs w:val="1"/>
                <w:color w:val="auto"/>
              </w:rPr>
              <w:t>14,584</w:t>
            </w:r>
          </w:p>
        </w:tc>
        <w:tc>
          <w:tcPr>
            <w:tcW w:w="1020" w:type="dxa"/>
            <w:vAlign w:val="bottom"/>
          </w:tcPr>
          <w:p>
            <w:pPr>
              <w:jc w:val="right"/>
              <w:ind w:right="29"/>
              <w:spacing w:after="0"/>
              <w:rPr>
                <w:sz w:val="20"/>
                <w:szCs w:val="20"/>
                <w:color w:val="auto"/>
              </w:rPr>
            </w:pPr>
            <w:r>
              <w:rPr>
                <w:rFonts w:ascii="Arial" w:cs="Arial" w:eastAsia="Arial" w:hAnsi="Arial"/>
                <w:sz w:val="14"/>
                <w:szCs w:val="14"/>
                <w:b w:val="1"/>
                <w:bCs w:val="1"/>
                <w:color w:val="auto"/>
              </w:rPr>
              <w:t>(19,090)</w:t>
            </w:r>
          </w:p>
        </w:tc>
        <w:tc>
          <w:tcPr>
            <w:tcW w:w="15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12,006  </w:t>
            </w:r>
          </w:p>
        </w:tc>
      </w:tr>
      <w:tr>
        <w:trPr>
          <w:trHeight w:val="159"/>
        </w:trPr>
        <w:tc>
          <w:tcPr>
            <w:tcW w:w="4580" w:type="dxa"/>
            <w:vAlign w:val="bottom"/>
            <w:tcBorders>
              <w:top w:val="single" w:sz="8" w:color="B2B2B2"/>
              <w:bottom w:val="single" w:sz="8" w:color="D64000"/>
            </w:tcBorders>
          </w:tcPr>
          <w:p>
            <w:pPr>
              <w:spacing w:after="0" w:line="152" w:lineRule="exact"/>
              <w:rPr>
                <w:sz w:val="20"/>
                <w:szCs w:val="20"/>
                <w:color w:val="auto"/>
              </w:rPr>
            </w:pPr>
            <w:r>
              <w:rPr>
                <w:rFonts w:ascii="Arial" w:cs="Arial" w:eastAsia="Arial" w:hAnsi="Arial"/>
                <w:sz w:val="14"/>
                <w:szCs w:val="14"/>
                <w:color w:val="auto"/>
              </w:rPr>
              <w:t>Total liabilities and equity</w:t>
            </w:r>
          </w:p>
        </w:tc>
        <w:tc>
          <w:tcPr>
            <w:tcW w:w="740" w:type="dxa"/>
            <w:vAlign w:val="bottom"/>
            <w:tcBorders>
              <w:top w:val="single" w:sz="8" w:color="B2B2B2"/>
              <w:bottom w:val="single" w:sz="8" w:color="D64000"/>
            </w:tcBorders>
          </w:tcPr>
          <w:p>
            <w:pPr>
              <w:jc w:val="right"/>
              <w:ind w:right="29"/>
              <w:spacing w:after="0" w:line="152" w:lineRule="exact"/>
              <w:rPr>
                <w:sz w:val="20"/>
                <w:szCs w:val="20"/>
                <w:color w:val="auto"/>
              </w:rPr>
            </w:pPr>
            <w:r>
              <w:rPr>
                <w:rFonts w:ascii="Arial" w:cs="Arial" w:eastAsia="Arial" w:hAnsi="Arial"/>
                <w:sz w:val="14"/>
                <w:szCs w:val="14"/>
                <w:b w:val="1"/>
                <w:bCs w:val="1"/>
                <w:color w:val="auto"/>
              </w:rPr>
              <w:t>16,115</w:t>
            </w:r>
          </w:p>
        </w:tc>
        <w:tc>
          <w:tcPr>
            <w:tcW w:w="920" w:type="dxa"/>
            <w:vAlign w:val="bottom"/>
            <w:tcBorders>
              <w:top w:val="single" w:sz="8" w:color="B2B2B2"/>
              <w:bottom w:val="single" w:sz="8" w:color="D64000"/>
            </w:tcBorders>
          </w:tcPr>
          <w:p>
            <w:pPr>
              <w:jc w:val="right"/>
              <w:ind w:right="29"/>
              <w:spacing w:after="0" w:line="152" w:lineRule="exact"/>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B2B2B2"/>
              <w:bottom w:val="single" w:sz="8" w:color="D64000"/>
            </w:tcBorders>
          </w:tcPr>
          <w:p>
            <w:pPr>
              <w:jc w:val="right"/>
              <w:ind w:right="29"/>
              <w:spacing w:after="0" w:line="152" w:lineRule="exact"/>
              <w:rPr>
                <w:sz w:val="20"/>
                <w:szCs w:val="20"/>
                <w:color w:val="auto"/>
              </w:rPr>
            </w:pPr>
            <w:r>
              <w:rPr>
                <w:rFonts w:ascii="Arial" w:cs="Arial" w:eastAsia="Arial" w:hAnsi="Arial"/>
                <w:sz w:val="14"/>
                <w:szCs w:val="14"/>
                <w:b w:val="1"/>
                <w:bCs w:val="1"/>
                <w:color w:val="auto"/>
              </w:rPr>
              <w:t>6,703</w:t>
            </w:r>
          </w:p>
        </w:tc>
        <w:tc>
          <w:tcPr>
            <w:tcW w:w="1060" w:type="dxa"/>
            <w:vAlign w:val="bottom"/>
            <w:tcBorders>
              <w:top w:val="single" w:sz="8" w:color="B2B2B2"/>
              <w:bottom w:val="single" w:sz="8" w:color="D64000"/>
            </w:tcBorders>
          </w:tcPr>
          <w:p>
            <w:pPr>
              <w:jc w:val="right"/>
              <w:ind w:right="49"/>
              <w:spacing w:after="0" w:line="152" w:lineRule="exact"/>
              <w:rPr>
                <w:sz w:val="20"/>
                <w:szCs w:val="20"/>
                <w:color w:val="auto"/>
              </w:rPr>
            </w:pPr>
            <w:r>
              <w:rPr>
                <w:rFonts w:ascii="Arial" w:cs="Arial" w:eastAsia="Arial" w:hAnsi="Arial"/>
                <w:sz w:val="14"/>
                <w:szCs w:val="14"/>
                <w:b w:val="1"/>
                <w:bCs w:val="1"/>
                <w:color w:val="auto"/>
              </w:rPr>
              <w:t>18,860</w:t>
            </w:r>
          </w:p>
        </w:tc>
        <w:tc>
          <w:tcPr>
            <w:tcW w:w="1020" w:type="dxa"/>
            <w:vAlign w:val="bottom"/>
            <w:tcBorders>
              <w:top w:val="single" w:sz="8" w:color="B2B2B2"/>
              <w:bottom w:val="single" w:sz="8" w:color="D64000"/>
            </w:tcBorders>
          </w:tcPr>
          <w:p>
            <w:pPr>
              <w:jc w:val="right"/>
              <w:ind w:right="29"/>
              <w:spacing w:after="0" w:line="152" w:lineRule="exact"/>
              <w:rPr>
                <w:sz w:val="20"/>
                <w:szCs w:val="20"/>
                <w:color w:val="auto"/>
              </w:rPr>
            </w:pPr>
            <w:r>
              <w:rPr>
                <w:rFonts w:ascii="Arial" w:cs="Arial" w:eastAsia="Arial" w:hAnsi="Arial"/>
                <w:sz w:val="14"/>
                <w:szCs w:val="14"/>
                <w:b w:val="1"/>
                <w:bCs w:val="1"/>
                <w:color w:val="auto"/>
              </w:rPr>
              <w:t>(23,241)</w:t>
            </w:r>
          </w:p>
        </w:tc>
        <w:tc>
          <w:tcPr>
            <w:tcW w:w="1080" w:type="dxa"/>
            <w:vAlign w:val="bottom"/>
            <w:tcBorders>
              <w:top w:val="single" w:sz="8" w:color="B2B2B2"/>
              <w:bottom w:val="single" w:sz="8" w:color="D64000"/>
            </w:tcBorders>
          </w:tcPr>
          <w:p>
            <w:pPr>
              <w:jc w:val="right"/>
              <w:spacing w:after="0" w:line="152" w:lineRule="exact"/>
              <w:rPr>
                <w:sz w:val="20"/>
                <w:szCs w:val="20"/>
                <w:color w:val="auto"/>
              </w:rPr>
            </w:pPr>
            <w:r>
              <w:rPr>
                <w:rFonts w:ascii="Arial" w:cs="Arial" w:eastAsia="Arial" w:hAnsi="Arial"/>
                <w:sz w:val="14"/>
                <w:szCs w:val="14"/>
                <w:b w:val="1"/>
                <w:bCs w:val="1"/>
                <w:color w:val="auto"/>
              </w:rPr>
              <w:t>18,437  </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4580" w:type="dxa"/>
            <w:vAlign w:val="bottom"/>
            <w:tcBorders>
              <w:bottom w:val="single" w:sz="8" w:color="7F7F7F"/>
            </w:tcBorders>
          </w:tcPr>
          <w:p>
            <w:pPr>
              <w:spacing w:after="0"/>
              <w:rPr>
                <w:sz w:val="13"/>
                <w:szCs w:val="13"/>
                <w:color w:val="auto"/>
              </w:rPr>
            </w:pPr>
          </w:p>
        </w:tc>
        <w:tc>
          <w:tcPr>
            <w:tcW w:w="740" w:type="dxa"/>
            <w:vAlign w:val="bottom"/>
            <w:tcBorders>
              <w:bottom w:val="single" w:sz="8" w:color="7F7F7F"/>
            </w:tcBorders>
          </w:tcPr>
          <w:p>
            <w:pPr>
              <w:spacing w:after="0"/>
              <w:rPr>
                <w:sz w:val="13"/>
                <w:szCs w:val="13"/>
                <w:color w:val="auto"/>
              </w:rPr>
            </w:pPr>
          </w:p>
        </w:tc>
        <w:tc>
          <w:tcPr>
            <w:tcW w:w="920" w:type="dxa"/>
            <w:vAlign w:val="bottom"/>
            <w:tcBorders>
              <w:bottom w:val="single" w:sz="8" w:color="7F7F7F"/>
            </w:tcBorders>
          </w:tcPr>
          <w:p>
            <w:pPr>
              <w:spacing w:after="0"/>
              <w:rPr>
                <w:sz w:val="13"/>
                <w:szCs w:val="13"/>
                <w:color w:val="auto"/>
              </w:rPr>
            </w:pPr>
          </w:p>
        </w:tc>
        <w:tc>
          <w:tcPr>
            <w:tcW w:w="980" w:type="dxa"/>
            <w:vAlign w:val="bottom"/>
            <w:tcBorders>
              <w:bottom w:val="single" w:sz="8" w:color="7F7F7F"/>
            </w:tcBorders>
          </w:tcPr>
          <w:p>
            <w:pPr>
              <w:spacing w:after="0"/>
              <w:rPr>
                <w:sz w:val="13"/>
                <w:szCs w:val="13"/>
                <w:color w:val="auto"/>
              </w:rPr>
            </w:pPr>
          </w:p>
        </w:tc>
        <w:tc>
          <w:tcPr>
            <w:tcW w:w="1060" w:type="dxa"/>
            <w:vAlign w:val="bottom"/>
            <w:tcBorders>
              <w:bottom w:val="single" w:sz="8" w:color="7F7F7F"/>
            </w:tcBorders>
          </w:tcPr>
          <w:p>
            <w:pPr>
              <w:spacing w:after="0"/>
              <w:rPr>
                <w:sz w:val="13"/>
                <w:szCs w:val="13"/>
                <w:color w:val="auto"/>
              </w:rPr>
            </w:pPr>
          </w:p>
        </w:tc>
        <w:tc>
          <w:tcPr>
            <w:tcW w:w="1020" w:type="dxa"/>
            <w:vAlign w:val="bottom"/>
            <w:tcBorders>
              <w:bottom w:val="single" w:sz="8" w:color="7F7F7F"/>
            </w:tcBorders>
          </w:tcPr>
          <w:p>
            <w:pPr>
              <w:spacing w:after="0"/>
              <w:rPr>
                <w:sz w:val="13"/>
                <w:szCs w:val="13"/>
                <w:color w:val="auto"/>
              </w:rPr>
            </w:pPr>
          </w:p>
        </w:tc>
        <w:tc>
          <w:tcPr>
            <w:tcW w:w="1500" w:type="dxa"/>
            <w:vAlign w:val="bottom"/>
            <w:tcBorders>
              <w:bottom w:val="single" w:sz="8" w:color="7F7F7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41"/>
        </w:trPr>
        <w:tc>
          <w:tcPr>
            <w:tcW w:w="4580" w:type="dxa"/>
            <w:vAlign w:val="bottom"/>
          </w:tcPr>
          <w:p>
            <w:pPr>
              <w:spacing w:after="0"/>
              <w:rPr>
                <w:sz w:val="20"/>
                <w:szCs w:val="20"/>
                <w:color w:val="auto"/>
              </w:rPr>
            </w:pPr>
            <w:r>
              <w:rPr>
                <w:rFonts w:ascii="Arial" w:cs="Arial" w:eastAsia="Arial" w:hAnsi="Arial"/>
                <w:sz w:val="17"/>
                <w:szCs w:val="17"/>
                <w:b w:val="1"/>
                <w:bCs w:val="1"/>
                <w:color w:val="auto"/>
              </w:rPr>
              <w:t>Thomson Reuters Annual Report 2024</w:t>
            </w: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20" w:type="dxa"/>
            <w:vAlign w:val="bottom"/>
            <w:gridSpan w:val="3"/>
          </w:tcPr>
          <w:p>
            <w:pPr>
              <w:ind w:left="880"/>
              <w:spacing w:after="0"/>
              <w:rPr>
                <w:sz w:val="20"/>
                <w:szCs w:val="20"/>
                <w:color w:val="auto"/>
              </w:rPr>
            </w:pPr>
            <w:r>
              <w:rPr>
                <w:rFonts w:ascii="Arial" w:cs="Arial" w:eastAsia="Arial" w:hAnsi="Arial"/>
                <w:sz w:val="17"/>
                <w:szCs w:val="17"/>
                <w:color w:val="auto"/>
                <w:w w:val="97"/>
              </w:rPr>
              <w:t>Page 79</w:t>
            </w:r>
          </w:p>
        </w:tc>
      </w:tr>
    </w:tbl>
    <w:p>
      <w:pPr>
        <w:sectPr>
          <w:pgSz w:w="11900" w:h="16838" w:orient="portrait"/>
          <w:cols w:equalWidth="0" w:num="1">
            <w:col w:w="11040"/>
          </w:cols>
          <w:pgMar w:left="320" w:top="477" w:right="5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CONDENSED CONSOLIDATING STATEMENT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83185</wp:posOffset>
            </wp:positionV>
            <wp:extent cx="65881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588125" cy="8255"/>
                    </a:xfrm>
                    <a:prstGeom prst="rect">
                      <a:avLst/>
                    </a:prstGeom>
                    <a:noFill/>
                  </pic:spPr>
                </pic:pic>
              </a:graphicData>
            </a:graphic>
          </wp:anchor>
        </w:drawing>
      </w:r>
    </w:p>
    <w:p>
      <w:pPr>
        <w:spacing w:after="0" w:line="111"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3660" w:type="dxa"/>
            <w:vAlign w:val="bottom"/>
          </w:tcPr>
          <w:p>
            <w:pPr>
              <w:spacing w:after="0"/>
              <w:rPr>
                <w:sz w:val="14"/>
                <w:szCs w:val="14"/>
                <w:color w:val="auto"/>
              </w:rPr>
            </w:pPr>
          </w:p>
        </w:tc>
        <w:tc>
          <w:tcPr>
            <w:tcW w:w="980" w:type="dxa"/>
            <w:vAlign w:val="bottom"/>
            <w:shd w:val="clear" w:color="auto" w:fill="E3F3EE"/>
          </w:tcPr>
          <w:p>
            <w:pPr>
              <w:spacing w:after="0"/>
              <w:rPr>
                <w:sz w:val="14"/>
                <w:szCs w:val="14"/>
                <w:color w:val="auto"/>
              </w:rPr>
            </w:pPr>
          </w:p>
        </w:tc>
        <w:tc>
          <w:tcPr>
            <w:tcW w:w="1100" w:type="dxa"/>
            <w:vAlign w:val="bottom"/>
            <w:shd w:val="clear" w:color="auto" w:fill="E3F3EE"/>
          </w:tcPr>
          <w:p>
            <w:pPr>
              <w:spacing w:after="0"/>
              <w:rPr>
                <w:sz w:val="14"/>
                <w:szCs w:val="14"/>
                <w:color w:val="auto"/>
              </w:rPr>
            </w:pPr>
          </w:p>
        </w:tc>
        <w:tc>
          <w:tcPr>
            <w:tcW w:w="2320" w:type="dxa"/>
            <w:vAlign w:val="bottom"/>
            <w:gridSpan w:val="2"/>
            <w:shd w:val="clear" w:color="auto" w:fill="E3F3EE"/>
          </w:tcPr>
          <w:p>
            <w:pPr>
              <w:jc w:val="right"/>
              <w:ind w:right="169"/>
              <w:spacing w:after="0"/>
              <w:rPr>
                <w:sz w:val="20"/>
                <w:szCs w:val="20"/>
                <w:color w:val="auto"/>
              </w:rPr>
            </w:pPr>
            <w:r>
              <w:rPr>
                <w:rFonts w:ascii="Arial" w:cs="Arial" w:eastAsia="Arial" w:hAnsi="Arial"/>
                <w:sz w:val="14"/>
                <w:szCs w:val="14"/>
                <w:b w:val="1"/>
                <w:bCs w:val="1"/>
                <w:color w:val="auto"/>
              </w:rPr>
              <w:t>December 31, 2023</w:t>
            </w:r>
          </w:p>
        </w:tc>
        <w:tc>
          <w:tcPr>
            <w:tcW w:w="1200" w:type="dxa"/>
            <w:vAlign w:val="bottom"/>
            <w:shd w:val="clear" w:color="auto" w:fill="E3F3EE"/>
          </w:tcPr>
          <w:p>
            <w:pPr>
              <w:spacing w:after="0"/>
              <w:rPr>
                <w:sz w:val="14"/>
                <w:szCs w:val="14"/>
                <w:color w:val="auto"/>
              </w:rPr>
            </w:pPr>
          </w:p>
        </w:tc>
        <w:tc>
          <w:tcPr>
            <w:tcW w:w="1120" w:type="dxa"/>
            <w:vAlign w:val="bottom"/>
            <w:shd w:val="clear" w:color="auto" w:fill="E3F3EE"/>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0"/>
        </w:trPr>
        <w:tc>
          <w:tcPr>
            <w:tcW w:w="3660" w:type="dxa"/>
            <w:vAlign w:val="bottom"/>
            <w:shd w:val="clear" w:color="auto" w:fill="1F473D"/>
          </w:tcPr>
          <w:p>
            <w:pPr>
              <w:spacing w:after="0"/>
              <w:rPr>
                <w:sz w:val="13"/>
                <w:szCs w:val="13"/>
                <w:color w:val="auto"/>
              </w:rPr>
            </w:pPr>
          </w:p>
        </w:tc>
        <w:tc>
          <w:tcPr>
            <w:tcW w:w="980" w:type="dxa"/>
            <w:vAlign w:val="bottom"/>
            <w:shd w:val="clear" w:color="auto" w:fill="1F473D"/>
          </w:tcPr>
          <w:p>
            <w:pPr>
              <w:spacing w:after="0"/>
              <w:rPr>
                <w:sz w:val="13"/>
                <w:szCs w:val="13"/>
                <w:color w:val="auto"/>
              </w:rPr>
            </w:pPr>
          </w:p>
        </w:tc>
        <w:tc>
          <w:tcPr>
            <w:tcW w:w="1100" w:type="dxa"/>
            <w:vAlign w:val="bottom"/>
            <w:shd w:val="clear" w:color="auto" w:fill="1F473D"/>
          </w:tcPr>
          <w:p>
            <w:pPr>
              <w:spacing w:after="0"/>
              <w:rPr>
                <w:sz w:val="13"/>
                <w:szCs w:val="13"/>
                <w:color w:val="auto"/>
              </w:rPr>
            </w:pPr>
          </w:p>
        </w:tc>
        <w:tc>
          <w:tcPr>
            <w:tcW w:w="1120" w:type="dxa"/>
            <w:vAlign w:val="bottom"/>
            <w:shd w:val="clear" w:color="auto" w:fill="1F473D"/>
          </w:tcPr>
          <w:p>
            <w:pPr>
              <w:spacing w:after="0"/>
              <w:rPr>
                <w:sz w:val="13"/>
                <w:szCs w:val="13"/>
                <w:color w:val="auto"/>
              </w:rPr>
            </w:pPr>
          </w:p>
        </w:tc>
        <w:tc>
          <w:tcPr>
            <w:tcW w:w="1200" w:type="dxa"/>
            <w:vAlign w:val="bottom"/>
            <w:shd w:val="clear" w:color="auto" w:fill="1F473D"/>
          </w:tcPr>
          <w:p>
            <w:pPr>
              <w:jc w:val="right"/>
              <w:ind w:right="109"/>
              <w:spacing w:after="0" w:line="150" w:lineRule="exact"/>
              <w:rPr>
                <w:sz w:val="20"/>
                <w:szCs w:val="20"/>
                <w:color w:val="auto"/>
              </w:rPr>
            </w:pPr>
            <w:r>
              <w:rPr>
                <w:rFonts w:ascii="Arial" w:cs="Arial" w:eastAsia="Arial" w:hAnsi="Arial"/>
                <w:sz w:val="14"/>
                <w:szCs w:val="14"/>
                <w:b w:val="1"/>
                <w:bCs w:val="1"/>
                <w:color w:val="FFFFFF"/>
              </w:rPr>
              <w:t>Non-</w:t>
            </w:r>
          </w:p>
        </w:tc>
        <w:tc>
          <w:tcPr>
            <w:tcW w:w="1200" w:type="dxa"/>
            <w:vAlign w:val="bottom"/>
            <w:shd w:val="clear" w:color="auto" w:fill="1F473D"/>
          </w:tcPr>
          <w:p>
            <w:pPr>
              <w:spacing w:after="0"/>
              <w:rPr>
                <w:sz w:val="13"/>
                <w:szCs w:val="13"/>
                <w:color w:val="auto"/>
              </w:rPr>
            </w:pPr>
          </w:p>
        </w:tc>
        <w:tc>
          <w:tcPr>
            <w:tcW w:w="1120" w:type="dxa"/>
            <w:vAlign w:val="bottom"/>
            <w:shd w:val="clear" w:color="auto" w:fill="1F473D"/>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3660" w:type="dxa"/>
            <w:vAlign w:val="bottom"/>
            <w:shd w:val="clear" w:color="auto" w:fill="1F473D"/>
          </w:tcPr>
          <w:p>
            <w:pPr>
              <w:spacing w:after="0"/>
              <w:rPr>
                <w:sz w:val="13"/>
                <w:szCs w:val="13"/>
                <w:color w:val="auto"/>
              </w:rPr>
            </w:pPr>
          </w:p>
        </w:tc>
        <w:tc>
          <w:tcPr>
            <w:tcW w:w="980" w:type="dxa"/>
            <w:vAlign w:val="bottom"/>
            <w:shd w:val="clear" w:color="auto" w:fill="1F473D"/>
          </w:tcPr>
          <w:p>
            <w:pPr>
              <w:spacing w:after="0"/>
              <w:rPr>
                <w:sz w:val="13"/>
                <w:szCs w:val="13"/>
                <w:color w:val="auto"/>
              </w:rPr>
            </w:pPr>
          </w:p>
        </w:tc>
        <w:tc>
          <w:tcPr>
            <w:tcW w:w="1100" w:type="dxa"/>
            <w:vAlign w:val="bottom"/>
            <w:shd w:val="clear" w:color="auto" w:fill="1F473D"/>
          </w:tcPr>
          <w:p>
            <w:pPr>
              <w:jc w:val="right"/>
              <w:ind w:right="109"/>
              <w:spacing w:after="0" w:line="159" w:lineRule="exact"/>
              <w:rPr>
                <w:sz w:val="20"/>
                <w:szCs w:val="20"/>
                <w:color w:val="auto"/>
              </w:rPr>
            </w:pPr>
            <w:r>
              <w:rPr>
                <w:rFonts w:ascii="Arial" w:cs="Arial" w:eastAsia="Arial" w:hAnsi="Arial"/>
                <w:sz w:val="14"/>
                <w:szCs w:val="14"/>
                <w:b w:val="1"/>
                <w:bCs w:val="1"/>
                <w:color w:val="FFFFFF"/>
              </w:rPr>
              <w:t>Subsidiary</w:t>
            </w:r>
          </w:p>
        </w:tc>
        <w:tc>
          <w:tcPr>
            <w:tcW w:w="1120" w:type="dxa"/>
            <w:vAlign w:val="bottom"/>
            <w:shd w:val="clear" w:color="auto" w:fill="1F473D"/>
          </w:tcPr>
          <w:p>
            <w:pPr>
              <w:jc w:val="right"/>
              <w:ind w:right="109"/>
              <w:spacing w:after="0" w:line="159" w:lineRule="exact"/>
              <w:rPr>
                <w:sz w:val="20"/>
                <w:szCs w:val="20"/>
                <w:color w:val="auto"/>
              </w:rPr>
            </w:pPr>
            <w:r>
              <w:rPr>
                <w:rFonts w:ascii="Arial" w:cs="Arial" w:eastAsia="Arial" w:hAnsi="Arial"/>
                <w:sz w:val="14"/>
                <w:szCs w:val="14"/>
                <w:b w:val="1"/>
                <w:bCs w:val="1"/>
                <w:color w:val="FFFFFF"/>
              </w:rPr>
              <w:t>Subsidiary</w:t>
            </w:r>
          </w:p>
        </w:tc>
        <w:tc>
          <w:tcPr>
            <w:tcW w:w="1200" w:type="dxa"/>
            <w:vAlign w:val="bottom"/>
            <w:shd w:val="clear" w:color="auto" w:fill="1F473D"/>
          </w:tcPr>
          <w:p>
            <w:pPr>
              <w:jc w:val="right"/>
              <w:ind w:right="109"/>
              <w:spacing w:after="0" w:line="159" w:lineRule="exact"/>
              <w:rPr>
                <w:sz w:val="20"/>
                <w:szCs w:val="20"/>
                <w:color w:val="auto"/>
              </w:rPr>
            </w:pPr>
            <w:r>
              <w:rPr>
                <w:rFonts w:ascii="Arial" w:cs="Arial" w:eastAsia="Arial" w:hAnsi="Arial"/>
                <w:sz w:val="14"/>
                <w:szCs w:val="14"/>
                <w:b w:val="1"/>
                <w:bCs w:val="1"/>
                <w:color w:val="FFFFFF"/>
              </w:rPr>
              <w:t>Guarantor</w:t>
            </w:r>
          </w:p>
        </w:tc>
        <w:tc>
          <w:tcPr>
            <w:tcW w:w="1200" w:type="dxa"/>
            <w:vAlign w:val="bottom"/>
            <w:shd w:val="clear" w:color="auto" w:fill="1F473D"/>
          </w:tcPr>
          <w:p>
            <w:pPr>
              <w:spacing w:after="0"/>
              <w:rPr>
                <w:sz w:val="13"/>
                <w:szCs w:val="13"/>
                <w:color w:val="auto"/>
              </w:rPr>
            </w:pPr>
          </w:p>
        </w:tc>
        <w:tc>
          <w:tcPr>
            <w:tcW w:w="1120" w:type="dxa"/>
            <w:vAlign w:val="bottom"/>
            <w:shd w:val="clear" w:color="auto" w:fill="1F473D"/>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5"/>
        </w:trPr>
        <w:tc>
          <w:tcPr>
            <w:tcW w:w="366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4"/>
                <w:szCs w:val="14"/>
                <w:color w:val="FFFFFF"/>
              </w:rPr>
              <w:t>(millions of U.S. dollars)</w:t>
            </w:r>
          </w:p>
        </w:tc>
        <w:tc>
          <w:tcPr>
            <w:tcW w:w="980" w:type="dxa"/>
            <w:vAlign w:val="bottom"/>
            <w:tcBorders>
              <w:bottom w:val="single" w:sz="8" w:color="D64000"/>
            </w:tcBorders>
            <w:shd w:val="clear" w:color="auto" w:fill="1F473D"/>
          </w:tcPr>
          <w:p>
            <w:pPr>
              <w:jc w:val="right"/>
              <w:ind w:right="109"/>
              <w:spacing w:after="0"/>
              <w:rPr>
                <w:sz w:val="20"/>
                <w:szCs w:val="20"/>
                <w:color w:val="auto"/>
              </w:rPr>
            </w:pPr>
            <w:r>
              <w:rPr>
                <w:rFonts w:ascii="Arial" w:cs="Arial" w:eastAsia="Arial" w:hAnsi="Arial"/>
                <w:sz w:val="14"/>
                <w:szCs w:val="14"/>
                <w:b w:val="1"/>
                <w:bCs w:val="1"/>
                <w:color w:val="FFFFFF"/>
              </w:rPr>
              <w:t>Parent</w:t>
            </w:r>
          </w:p>
        </w:tc>
        <w:tc>
          <w:tcPr>
            <w:tcW w:w="1100" w:type="dxa"/>
            <w:vAlign w:val="bottom"/>
            <w:tcBorders>
              <w:bottom w:val="single" w:sz="8" w:color="D64000"/>
            </w:tcBorders>
            <w:shd w:val="clear" w:color="auto" w:fill="1F473D"/>
          </w:tcPr>
          <w:p>
            <w:pPr>
              <w:jc w:val="right"/>
              <w:ind w:right="129"/>
              <w:spacing w:after="0"/>
              <w:rPr>
                <w:sz w:val="20"/>
                <w:szCs w:val="20"/>
                <w:color w:val="auto"/>
              </w:rPr>
            </w:pPr>
            <w:r>
              <w:rPr>
                <w:rFonts w:ascii="Arial" w:cs="Arial" w:eastAsia="Arial" w:hAnsi="Arial"/>
                <w:sz w:val="14"/>
                <w:szCs w:val="14"/>
                <w:b w:val="1"/>
                <w:bCs w:val="1"/>
                <w:color w:val="FFFFFF"/>
              </w:rPr>
              <w:t>Issuer</w:t>
            </w:r>
          </w:p>
        </w:tc>
        <w:tc>
          <w:tcPr>
            <w:tcW w:w="1120" w:type="dxa"/>
            <w:vAlign w:val="bottom"/>
            <w:tcBorders>
              <w:bottom w:val="single" w:sz="8" w:color="D64000"/>
            </w:tcBorders>
            <w:shd w:val="clear" w:color="auto" w:fill="1F473D"/>
          </w:tcPr>
          <w:p>
            <w:pPr>
              <w:jc w:val="right"/>
              <w:ind w:right="109"/>
              <w:spacing w:after="0"/>
              <w:rPr>
                <w:sz w:val="20"/>
                <w:szCs w:val="20"/>
                <w:color w:val="auto"/>
              </w:rPr>
            </w:pPr>
            <w:r>
              <w:rPr>
                <w:rFonts w:ascii="Arial" w:cs="Arial" w:eastAsia="Arial" w:hAnsi="Arial"/>
                <w:sz w:val="14"/>
                <w:szCs w:val="14"/>
                <w:b w:val="1"/>
                <w:bCs w:val="1"/>
                <w:color w:val="FFFFFF"/>
              </w:rPr>
              <w:t>Guarantors</w:t>
            </w:r>
          </w:p>
        </w:tc>
        <w:tc>
          <w:tcPr>
            <w:tcW w:w="1200" w:type="dxa"/>
            <w:vAlign w:val="bottom"/>
            <w:tcBorders>
              <w:bottom w:val="single" w:sz="8" w:color="D64000"/>
            </w:tcBorders>
            <w:shd w:val="clear" w:color="auto" w:fill="1F473D"/>
          </w:tcPr>
          <w:p>
            <w:pPr>
              <w:jc w:val="right"/>
              <w:ind w:right="109"/>
              <w:spacing w:after="0"/>
              <w:rPr>
                <w:sz w:val="20"/>
                <w:szCs w:val="20"/>
                <w:color w:val="auto"/>
              </w:rPr>
            </w:pPr>
            <w:r>
              <w:rPr>
                <w:rFonts w:ascii="Arial" w:cs="Arial" w:eastAsia="Arial" w:hAnsi="Arial"/>
                <w:sz w:val="14"/>
                <w:szCs w:val="14"/>
                <w:b w:val="1"/>
                <w:bCs w:val="1"/>
                <w:color w:val="FFFFFF"/>
              </w:rPr>
              <w:t>Subsidiaries</w:t>
            </w:r>
          </w:p>
        </w:tc>
        <w:tc>
          <w:tcPr>
            <w:tcW w:w="1200" w:type="dxa"/>
            <w:vAlign w:val="bottom"/>
            <w:tcBorders>
              <w:bottom w:val="single" w:sz="8" w:color="D64000"/>
            </w:tcBorders>
            <w:shd w:val="clear" w:color="auto" w:fill="1F473D"/>
          </w:tcPr>
          <w:p>
            <w:pPr>
              <w:jc w:val="right"/>
              <w:ind w:right="109"/>
              <w:spacing w:after="0"/>
              <w:rPr>
                <w:sz w:val="20"/>
                <w:szCs w:val="20"/>
                <w:color w:val="auto"/>
              </w:rPr>
            </w:pPr>
            <w:r>
              <w:rPr>
                <w:rFonts w:ascii="Arial" w:cs="Arial" w:eastAsia="Arial" w:hAnsi="Arial"/>
                <w:sz w:val="14"/>
                <w:szCs w:val="14"/>
                <w:b w:val="1"/>
                <w:bCs w:val="1"/>
                <w:color w:val="FFFFFF"/>
              </w:rPr>
              <w:t>Eliminations</w:t>
            </w:r>
          </w:p>
        </w:tc>
        <w:tc>
          <w:tcPr>
            <w:tcW w:w="112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4"/>
                <w:szCs w:val="14"/>
                <w:b w:val="1"/>
                <w:bCs w:val="1"/>
                <w:color w:val="FFFFFF"/>
              </w:rPr>
              <w:t>Consolidated</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0"/>
        </w:trPr>
        <w:tc>
          <w:tcPr>
            <w:tcW w:w="3660" w:type="dxa"/>
            <w:vAlign w:val="bottom"/>
          </w:tcPr>
          <w:p>
            <w:pPr>
              <w:spacing w:after="0" w:line="150" w:lineRule="exact"/>
              <w:rPr>
                <w:sz w:val="20"/>
                <w:szCs w:val="20"/>
                <w:color w:val="auto"/>
              </w:rPr>
            </w:pPr>
            <w:r>
              <w:rPr>
                <w:rFonts w:ascii="Arial" w:cs="Arial" w:eastAsia="Arial" w:hAnsi="Arial"/>
                <w:sz w:val="14"/>
                <w:szCs w:val="14"/>
                <w:color w:val="auto"/>
              </w:rPr>
              <w:t>Cash and cash equivalents</w:t>
            </w:r>
          </w:p>
        </w:tc>
        <w:tc>
          <w:tcPr>
            <w:tcW w:w="980" w:type="dxa"/>
            <w:vAlign w:val="bottom"/>
          </w:tcPr>
          <w:p>
            <w:pPr>
              <w:jc w:val="right"/>
              <w:ind w:right="109"/>
              <w:spacing w:after="0" w:line="150" w:lineRule="exact"/>
              <w:rPr>
                <w:sz w:val="20"/>
                <w:szCs w:val="20"/>
                <w:color w:val="auto"/>
              </w:rPr>
            </w:pPr>
            <w:r>
              <w:rPr>
                <w:rFonts w:ascii="Arial" w:cs="Arial" w:eastAsia="Arial" w:hAnsi="Arial"/>
                <w:sz w:val="14"/>
                <w:szCs w:val="14"/>
                <w:color w:val="auto"/>
              </w:rPr>
              <w:t>24</w:t>
            </w:r>
          </w:p>
        </w:tc>
        <w:tc>
          <w:tcPr>
            <w:tcW w:w="1100" w:type="dxa"/>
            <w:vAlign w:val="bottom"/>
          </w:tcPr>
          <w:p>
            <w:pPr>
              <w:jc w:val="right"/>
              <w:ind w:right="129"/>
              <w:spacing w:after="0" w:line="150"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09"/>
              <w:spacing w:after="0" w:line="150" w:lineRule="exact"/>
              <w:rPr>
                <w:sz w:val="20"/>
                <w:szCs w:val="20"/>
                <w:color w:val="auto"/>
              </w:rPr>
            </w:pPr>
            <w:r>
              <w:rPr>
                <w:rFonts w:ascii="Arial" w:cs="Arial" w:eastAsia="Arial" w:hAnsi="Arial"/>
                <w:sz w:val="14"/>
                <w:szCs w:val="14"/>
                <w:color w:val="auto"/>
              </w:rPr>
              <w:t>182</w:t>
            </w:r>
          </w:p>
        </w:tc>
        <w:tc>
          <w:tcPr>
            <w:tcW w:w="1200" w:type="dxa"/>
            <w:vAlign w:val="bottom"/>
          </w:tcPr>
          <w:p>
            <w:pPr>
              <w:jc w:val="right"/>
              <w:ind w:right="109"/>
              <w:spacing w:after="0" w:line="150" w:lineRule="exact"/>
              <w:rPr>
                <w:sz w:val="20"/>
                <w:szCs w:val="20"/>
                <w:color w:val="auto"/>
              </w:rPr>
            </w:pPr>
            <w:r>
              <w:rPr>
                <w:rFonts w:ascii="Arial" w:cs="Arial" w:eastAsia="Arial" w:hAnsi="Arial"/>
                <w:sz w:val="14"/>
                <w:szCs w:val="14"/>
                <w:color w:val="auto"/>
              </w:rPr>
              <w:t>1,092</w:t>
            </w:r>
          </w:p>
        </w:tc>
        <w:tc>
          <w:tcPr>
            <w:tcW w:w="1200" w:type="dxa"/>
            <w:vAlign w:val="bottom"/>
          </w:tcPr>
          <w:p>
            <w:pPr>
              <w:jc w:val="right"/>
              <w:ind w:right="109"/>
              <w:spacing w:after="0" w:line="150"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50" w:lineRule="exact"/>
              <w:rPr>
                <w:sz w:val="20"/>
                <w:szCs w:val="20"/>
                <w:color w:val="auto"/>
              </w:rPr>
            </w:pPr>
            <w:r>
              <w:rPr>
                <w:rFonts w:ascii="Arial" w:cs="Arial" w:eastAsia="Arial" w:hAnsi="Arial"/>
                <w:sz w:val="14"/>
                <w:szCs w:val="14"/>
                <w:color w:val="auto"/>
              </w:rPr>
              <w:t>1,298</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3660" w:type="dxa"/>
            <w:vAlign w:val="bottom"/>
          </w:tcPr>
          <w:p>
            <w:pPr>
              <w:spacing w:after="0" w:line="159" w:lineRule="exact"/>
              <w:rPr>
                <w:sz w:val="20"/>
                <w:szCs w:val="20"/>
                <w:color w:val="auto"/>
              </w:rPr>
            </w:pPr>
            <w:r>
              <w:rPr>
                <w:rFonts w:ascii="Arial" w:cs="Arial" w:eastAsia="Arial" w:hAnsi="Arial"/>
                <w:sz w:val="14"/>
                <w:szCs w:val="14"/>
                <w:color w:val="auto"/>
              </w:rPr>
              <w:t>Trade and other receivables</w:t>
            </w:r>
          </w:p>
        </w:tc>
        <w:tc>
          <w:tcPr>
            <w:tcW w:w="98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276</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846</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59" w:lineRule="exact"/>
              <w:rPr>
                <w:sz w:val="20"/>
                <w:szCs w:val="20"/>
                <w:color w:val="auto"/>
              </w:rPr>
            </w:pPr>
            <w:r>
              <w:rPr>
                <w:rFonts w:ascii="Arial" w:cs="Arial" w:eastAsia="Arial" w:hAnsi="Arial"/>
                <w:sz w:val="14"/>
                <w:szCs w:val="14"/>
                <w:color w:val="auto"/>
              </w:rPr>
              <w:t>1,122</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3660" w:type="dxa"/>
            <w:vAlign w:val="bottom"/>
          </w:tcPr>
          <w:p>
            <w:pPr>
              <w:spacing w:after="0" w:line="159" w:lineRule="exact"/>
              <w:rPr>
                <w:sz w:val="20"/>
                <w:szCs w:val="20"/>
                <w:color w:val="auto"/>
              </w:rPr>
            </w:pPr>
            <w:r>
              <w:rPr>
                <w:rFonts w:ascii="Arial" w:cs="Arial" w:eastAsia="Arial" w:hAnsi="Arial"/>
                <w:sz w:val="14"/>
                <w:szCs w:val="14"/>
                <w:color w:val="auto"/>
              </w:rPr>
              <w:t>Intercompany receivables</w:t>
            </w:r>
          </w:p>
        </w:tc>
        <w:tc>
          <w:tcPr>
            <w:tcW w:w="98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2,666</w:t>
            </w:r>
          </w:p>
        </w:tc>
        <w:tc>
          <w:tcPr>
            <w:tcW w:w="11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465</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3,402</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(6,533)</w:t>
            </w:r>
          </w:p>
        </w:tc>
        <w:tc>
          <w:tcPr>
            <w:tcW w:w="1560" w:type="dxa"/>
            <w:vAlign w:val="bottom"/>
            <w:gridSpan w:val="3"/>
          </w:tcPr>
          <w:p>
            <w:pPr>
              <w:jc w:val="right"/>
              <w:ind w:right="440"/>
              <w:spacing w:after="0" w:line="159" w:lineRule="exact"/>
              <w:rPr>
                <w:sz w:val="20"/>
                <w:szCs w:val="20"/>
                <w:color w:val="auto"/>
              </w:rPr>
            </w:pPr>
            <w:r>
              <w:rPr>
                <w:rFonts w:ascii="Arial" w:cs="Arial" w:eastAsia="Arial" w:hAnsi="Arial"/>
                <w:sz w:val="14"/>
                <w:szCs w:val="14"/>
                <w:color w:val="auto"/>
              </w:rPr>
              <w:t xml:space="preserve">- </w:t>
            </w:r>
          </w:p>
        </w:tc>
      </w:tr>
      <w:tr>
        <w:trPr>
          <w:trHeight w:val="159"/>
        </w:trPr>
        <w:tc>
          <w:tcPr>
            <w:tcW w:w="3660" w:type="dxa"/>
            <w:vAlign w:val="bottom"/>
          </w:tcPr>
          <w:p>
            <w:pPr>
              <w:spacing w:after="0" w:line="159" w:lineRule="exact"/>
              <w:rPr>
                <w:sz w:val="20"/>
                <w:szCs w:val="20"/>
                <w:color w:val="auto"/>
              </w:rPr>
            </w:pPr>
            <w:r>
              <w:rPr>
                <w:rFonts w:ascii="Arial" w:cs="Arial" w:eastAsia="Arial" w:hAnsi="Arial"/>
                <w:sz w:val="14"/>
                <w:szCs w:val="14"/>
                <w:color w:val="auto"/>
              </w:rPr>
              <w:t>Other financial assets</w:t>
            </w:r>
          </w:p>
        </w:tc>
        <w:tc>
          <w:tcPr>
            <w:tcW w:w="98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6</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60</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59" w:lineRule="exact"/>
              <w:rPr>
                <w:sz w:val="20"/>
                <w:szCs w:val="20"/>
                <w:color w:val="auto"/>
              </w:rPr>
            </w:pPr>
            <w:r>
              <w:rPr>
                <w:rFonts w:ascii="Arial" w:cs="Arial" w:eastAsia="Arial" w:hAnsi="Arial"/>
                <w:sz w:val="14"/>
                <w:szCs w:val="14"/>
                <w:color w:val="auto"/>
              </w:rPr>
              <w:t>66</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3660" w:type="dxa"/>
            <w:vAlign w:val="bottom"/>
            <w:tcBorders>
              <w:bottom w:val="single" w:sz="8" w:color="B2B2B2"/>
            </w:tcBorders>
          </w:tcPr>
          <w:p>
            <w:pPr>
              <w:spacing w:after="0"/>
              <w:rPr>
                <w:sz w:val="20"/>
                <w:szCs w:val="20"/>
                <w:color w:val="auto"/>
              </w:rPr>
            </w:pPr>
            <w:r>
              <w:rPr>
                <w:rFonts w:ascii="Arial" w:cs="Arial" w:eastAsia="Arial" w:hAnsi="Arial"/>
                <w:sz w:val="14"/>
                <w:szCs w:val="14"/>
                <w:color w:val="auto"/>
              </w:rPr>
              <w:t>Prepaid expenses and other current assets</w:t>
            </w:r>
          </w:p>
        </w:tc>
        <w:tc>
          <w:tcPr>
            <w:tcW w:w="980" w:type="dxa"/>
            <w:vAlign w:val="bottom"/>
            <w:tcBorders>
              <w:bottom w:val="single" w:sz="8" w:color="B2B2B2"/>
            </w:tcBorders>
          </w:tcPr>
          <w:p>
            <w:pPr>
              <w:jc w:val="right"/>
              <w:ind w:right="10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B2B2B2"/>
            </w:tcBorders>
          </w:tcPr>
          <w:p>
            <w:pPr>
              <w:jc w:val="right"/>
              <w:ind w:right="12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B2B2B2"/>
            </w:tcBorders>
          </w:tcPr>
          <w:p>
            <w:pPr>
              <w:jc w:val="right"/>
              <w:ind w:right="109"/>
              <w:spacing w:after="0"/>
              <w:rPr>
                <w:sz w:val="20"/>
                <w:szCs w:val="20"/>
                <w:color w:val="auto"/>
              </w:rPr>
            </w:pPr>
            <w:r>
              <w:rPr>
                <w:rFonts w:ascii="Arial" w:cs="Arial" w:eastAsia="Arial" w:hAnsi="Arial"/>
                <w:sz w:val="14"/>
                <w:szCs w:val="14"/>
                <w:color w:val="auto"/>
              </w:rPr>
              <w:t>212</w:t>
            </w:r>
          </w:p>
        </w:tc>
        <w:tc>
          <w:tcPr>
            <w:tcW w:w="1200" w:type="dxa"/>
            <w:vAlign w:val="bottom"/>
            <w:tcBorders>
              <w:bottom w:val="single" w:sz="8" w:color="B2B2B2"/>
            </w:tcBorders>
          </w:tcPr>
          <w:p>
            <w:pPr>
              <w:jc w:val="right"/>
              <w:ind w:right="109"/>
              <w:spacing w:after="0"/>
              <w:rPr>
                <w:sz w:val="20"/>
                <w:szCs w:val="20"/>
                <w:color w:val="auto"/>
              </w:rPr>
            </w:pPr>
            <w:r>
              <w:rPr>
                <w:rFonts w:ascii="Arial" w:cs="Arial" w:eastAsia="Arial" w:hAnsi="Arial"/>
                <w:sz w:val="14"/>
                <w:szCs w:val="14"/>
                <w:color w:val="auto"/>
              </w:rPr>
              <w:t>223</w:t>
            </w:r>
          </w:p>
        </w:tc>
        <w:tc>
          <w:tcPr>
            <w:tcW w:w="1200" w:type="dxa"/>
            <w:vAlign w:val="bottom"/>
            <w:tcBorders>
              <w:bottom w:val="single" w:sz="8" w:color="B2B2B2"/>
            </w:tcBorders>
          </w:tcPr>
          <w:p>
            <w:pPr>
              <w:jc w:val="right"/>
              <w:ind w:right="10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435</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3"/>
        </w:trPr>
        <w:tc>
          <w:tcPr>
            <w:tcW w:w="3660" w:type="dxa"/>
            <w:vAlign w:val="bottom"/>
          </w:tcPr>
          <w:p>
            <w:pPr>
              <w:spacing w:after="0" w:line="143" w:lineRule="exact"/>
              <w:rPr>
                <w:sz w:val="20"/>
                <w:szCs w:val="20"/>
                <w:color w:val="auto"/>
              </w:rPr>
            </w:pPr>
            <w:r>
              <w:rPr>
                <w:rFonts w:ascii="Arial" w:cs="Arial" w:eastAsia="Arial" w:hAnsi="Arial"/>
                <w:sz w:val="14"/>
                <w:szCs w:val="14"/>
                <w:color w:val="auto"/>
              </w:rPr>
              <w:t>Current assets</w:t>
            </w:r>
          </w:p>
        </w:tc>
        <w:tc>
          <w:tcPr>
            <w:tcW w:w="980" w:type="dxa"/>
            <w:vAlign w:val="bottom"/>
          </w:tcPr>
          <w:p>
            <w:pPr>
              <w:jc w:val="right"/>
              <w:ind w:right="109"/>
              <w:spacing w:after="0" w:line="143" w:lineRule="exact"/>
              <w:rPr>
                <w:sz w:val="20"/>
                <w:szCs w:val="20"/>
                <w:color w:val="auto"/>
              </w:rPr>
            </w:pPr>
            <w:r>
              <w:rPr>
                <w:rFonts w:ascii="Arial" w:cs="Arial" w:eastAsia="Arial" w:hAnsi="Arial"/>
                <w:sz w:val="14"/>
                <w:szCs w:val="14"/>
                <w:color w:val="auto"/>
              </w:rPr>
              <w:t>2,690</w:t>
            </w:r>
          </w:p>
        </w:tc>
        <w:tc>
          <w:tcPr>
            <w:tcW w:w="1100" w:type="dxa"/>
            <w:vAlign w:val="bottom"/>
          </w:tcPr>
          <w:p>
            <w:pPr>
              <w:jc w:val="right"/>
              <w:ind w:right="129"/>
              <w:spacing w:after="0" w:line="143"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09"/>
              <w:spacing w:after="0" w:line="143" w:lineRule="exact"/>
              <w:rPr>
                <w:sz w:val="20"/>
                <w:szCs w:val="20"/>
                <w:color w:val="auto"/>
              </w:rPr>
            </w:pPr>
            <w:r>
              <w:rPr>
                <w:rFonts w:ascii="Arial" w:cs="Arial" w:eastAsia="Arial" w:hAnsi="Arial"/>
                <w:sz w:val="14"/>
                <w:szCs w:val="14"/>
                <w:color w:val="auto"/>
              </w:rPr>
              <w:t>1,141</w:t>
            </w:r>
          </w:p>
        </w:tc>
        <w:tc>
          <w:tcPr>
            <w:tcW w:w="1200" w:type="dxa"/>
            <w:vAlign w:val="bottom"/>
          </w:tcPr>
          <w:p>
            <w:pPr>
              <w:jc w:val="right"/>
              <w:ind w:right="109"/>
              <w:spacing w:after="0" w:line="143" w:lineRule="exact"/>
              <w:rPr>
                <w:sz w:val="20"/>
                <w:szCs w:val="20"/>
                <w:color w:val="auto"/>
              </w:rPr>
            </w:pPr>
            <w:r>
              <w:rPr>
                <w:rFonts w:ascii="Arial" w:cs="Arial" w:eastAsia="Arial" w:hAnsi="Arial"/>
                <w:sz w:val="14"/>
                <w:szCs w:val="14"/>
                <w:color w:val="auto"/>
              </w:rPr>
              <w:t>5,623</w:t>
            </w:r>
          </w:p>
        </w:tc>
        <w:tc>
          <w:tcPr>
            <w:tcW w:w="1200" w:type="dxa"/>
            <w:vAlign w:val="bottom"/>
          </w:tcPr>
          <w:p>
            <w:pPr>
              <w:jc w:val="right"/>
              <w:ind w:right="109"/>
              <w:spacing w:after="0" w:line="143" w:lineRule="exact"/>
              <w:rPr>
                <w:sz w:val="20"/>
                <w:szCs w:val="20"/>
                <w:color w:val="auto"/>
              </w:rPr>
            </w:pPr>
            <w:r>
              <w:rPr>
                <w:rFonts w:ascii="Arial" w:cs="Arial" w:eastAsia="Arial" w:hAnsi="Arial"/>
                <w:sz w:val="14"/>
                <w:szCs w:val="14"/>
                <w:color w:val="auto"/>
              </w:rPr>
              <w:t>(6,533)</w:t>
            </w:r>
          </w:p>
        </w:tc>
        <w:tc>
          <w:tcPr>
            <w:tcW w:w="1120" w:type="dxa"/>
            <w:vAlign w:val="bottom"/>
          </w:tcPr>
          <w:p>
            <w:pPr>
              <w:jc w:val="right"/>
              <w:spacing w:after="0" w:line="143" w:lineRule="exact"/>
              <w:rPr>
                <w:sz w:val="20"/>
                <w:szCs w:val="20"/>
                <w:color w:val="auto"/>
              </w:rPr>
            </w:pPr>
            <w:r>
              <w:rPr>
                <w:rFonts w:ascii="Arial" w:cs="Arial" w:eastAsia="Arial" w:hAnsi="Arial"/>
                <w:sz w:val="14"/>
                <w:szCs w:val="14"/>
                <w:color w:val="auto"/>
              </w:rPr>
              <w:t>2,921</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3660" w:type="dxa"/>
            <w:vAlign w:val="bottom"/>
          </w:tcPr>
          <w:p>
            <w:pPr>
              <w:spacing w:after="0" w:line="159" w:lineRule="exact"/>
              <w:rPr>
                <w:sz w:val="20"/>
                <w:szCs w:val="20"/>
                <w:color w:val="auto"/>
              </w:rPr>
            </w:pPr>
            <w:r>
              <w:rPr>
                <w:rFonts w:ascii="Arial" w:cs="Arial" w:eastAsia="Arial" w:hAnsi="Arial"/>
                <w:sz w:val="14"/>
                <w:szCs w:val="14"/>
                <w:color w:val="auto"/>
              </w:rPr>
              <w:t>Property and equipment, net</w:t>
            </w:r>
          </w:p>
        </w:tc>
        <w:tc>
          <w:tcPr>
            <w:tcW w:w="98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200</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247</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59" w:lineRule="exact"/>
              <w:rPr>
                <w:sz w:val="20"/>
                <w:szCs w:val="20"/>
                <w:color w:val="auto"/>
              </w:rPr>
            </w:pPr>
            <w:r>
              <w:rPr>
                <w:rFonts w:ascii="Arial" w:cs="Arial" w:eastAsia="Arial" w:hAnsi="Arial"/>
                <w:sz w:val="14"/>
                <w:szCs w:val="14"/>
                <w:color w:val="auto"/>
              </w:rPr>
              <w:t>447</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3660" w:type="dxa"/>
            <w:vAlign w:val="bottom"/>
          </w:tcPr>
          <w:p>
            <w:pPr>
              <w:spacing w:after="0" w:line="159" w:lineRule="exact"/>
              <w:rPr>
                <w:sz w:val="20"/>
                <w:szCs w:val="20"/>
                <w:color w:val="auto"/>
              </w:rPr>
            </w:pPr>
            <w:r>
              <w:rPr>
                <w:rFonts w:ascii="Arial" w:cs="Arial" w:eastAsia="Arial" w:hAnsi="Arial"/>
                <w:sz w:val="14"/>
                <w:szCs w:val="14"/>
                <w:color w:val="auto"/>
              </w:rPr>
              <w:t>Computer software, net</w:t>
            </w:r>
          </w:p>
        </w:tc>
        <w:tc>
          <w:tcPr>
            <w:tcW w:w="98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49</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1,187</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59" w:lineRule="exact"/>
              <w:rPr>
                <w:sz w:val="20"/>
                <w:szCs w:val="20"/>
                <w:color w:val="auto"/>
              </w:rPr>
            </w:pPr>
            <w:r>
              <w:rPr>
                <w:rFonts w:ascii="Arial" w:cs="Arial" w:eastAsia="Arial" w:hAnsi="Arial"/>
                <w:sz w:val="14"/>
                <w:szCs w:val="14"/>
                <w:color w:val="auto"/>
              </w:rPr>
              <w:t>1,236</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3660" w:type="dxa"/>
            <w:vAlign w:val="bottom"/>
          </w:tcPr>
          <w:p>
            <w:pPr>
              <w:spacing w:after="0" w:line="159" w:lineRule="exact"/>
              <w:rPr>
                <w:sz w:val="20"/>
                <w:szCs w:val="20"/>
                <w:color w:val="auto"/>
              </w:rPr>
            </w:pPr>
            <w:r>
              <w:rPr>
                <w:rFonts w:ascii="Arial" w:cs="Arial" w:eastAsia="Arial" w:hAnsi="Arial"/>
                <w:sz w:val="14"/>
                <w:szCs w:val="14"/>
                <w:color w:val="auto"/>
              </w:rPr>
              <w:t>Other identifiable intangible assets, net</w:t>
            </w:r>
          </w:p>
        </w:tc>
        <w:tc>
          <w:tcPr>
            <w:tcW w:w="98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1,021</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2,144</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59" w:lineRule="exact"/>
              <w:rPr>
                <w:sz w:val="20"/>
                <w:szCs w:val="20"/>
                <w:color w:val="auto"/>
              </w:rPr>
            </w:pPr>
            <w:r>
              <w:rPr>
                <w:rFonts w:ascii="Arial" w:cs="Arial" w:eastAsia="Arial" w:hAnsi="Arial"/>
                <w:sz w:val="14"/>
                <w:szCs w:val="14"/>
                <w:color w:val="auto"/>
              </w:rPr>
              <w:t>3,165</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3660" w:type="dxa"/>
            <w:vAlign w:val="bottom"/>
          </w:tcPr>
          <w:p>
            <w:pPr>
              <w:spacing w:after="0" w:line="159" w:lineRule="exact"/>
              <w:rPr>
                <w:sz w:val="20"/>
                <w:szCs w:val="20"/>
                <w:color w:val="auto"/>
              </w:rPr>
            </w:pPr>
            <w:r>
              <w:rPr>
                <w:rFonts w:ascii="Arial" w:cs="Arial" w:eastAsia="Arial" w:hAnsi="Arial"/>
                <w:sz w:val="14"/>
                <w:szCs w:val="14"/>
                <w:color w:val="auto"/>
              </w:rPr>
              <w:t>Goodwill</w:t>
            </w:r>
          </w:p>
        </w:tc>
        <w:tc>
          <w:tcPr>
            <w:tcW w:w="98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3,803</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2,916</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59" w:lineRule="exact"/>
              <w:rPr>
                <w:sz w:val="20"/>
                <w:szCs w:val="20"/>
                <w:color w:val="auto"/>
              </w:rPr>
            </w:pPr>
            <w:r>
              <w:rPr>
                <w:rFonts w:ascii="Arial" w:cs="Arial" w:eastAsia="Arial" w:hAnsi="Arial"/>
                <w:sz w:val="14"/>
                <w:szCs w:val="14"/>
                <w:color w:val="auto"/>
              </w:rPr>
              <w:t>6,719</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3660" w:type="dxa"/>
            <w:vAlign w:val="bottom"/>
          </w:tcPr>
          <w:p>
            <w:pPr>
              <w:spacing w:after="0" w:line="159" w:lineRule="exact"/>
              <w:rPr>
                <w:sz w:val="20"/>
                <w:szCs w:val="20"/>
                <w:color w:val="auto"/>
              </w:rPr>
            </w:pPr>
            <w:r>
              <w:rPr>
                <w:rFonts w:ascii="Arial" w:cs="Arial" w:eastAsia="Arial" w:hAnsi="Arial"/>
                <w:sz w:val="14"/>
                <w:szCs w:val="14"/>
                <w:color w:val="auto"/>
              </w:rPr>
              <w:t>Equity method investments</w:t>
            </w:r>
          </w:p>
        </w:tc>
        <w:tc>
          <w:tcPr>
            <w:tcW w:w="98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2,030</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59" w:lineRule="exact"/>
              <w:rPr>
                <w:sz w:val="20"/>
                <w:szCs w:val="20"/>
                <w:color w:val="auto"/>
              </w:rPr>
            </w:pPr>
            <w:r>
              <w:rPr>
                <w:rFonts w:ascii="Arial" w:cs="Arial" w:eastAsia="Arial" w:hAnsi="Arial"/>
                <w:sz w:val="14"/>
                <w:szCs w:val="14"/>
                <w:color w:val="auto"/>
              </w:rPr>
              <w:t>2,030</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3660" w:type="dxa"/>
            <w:vAlign w:val="bottom"/>
          </w:tcPr>
          <w:p>
            <w:pPr>
              <w:spacing w:after="0" w:line="159" w:lineRule="exact"/>
              <w:rPr>
                <w:sz w:val="20"/>
                <w:szCs w:val="20"/>
                <w:color w:val="auto"/>
              </w:rPr>
            </w:pPr>
            <w:r>
              <w:rPr>
                <w:rFonts w:ascii="Arial" w:cs="Arial" w:eastAsia="Arial" w:hAnsi="Arial"/>
                <w:sz w:val="14"/>
                <w:szCs w:val="14"/>
                <w:color w:val="auto"/>
              </w:rPr>
              <w:t>Other financial assets</w:t>
            </w:r>
          </w:p>
        </w:tc>
        <w:tc>
          <w:tcPr>
            <w:tcW w:w="98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116</w:t>
            </w:r>
          </w:p>
        </w:tc>
        <w:tc>
          <w:tcPr>
            <w:tcW w:w="11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6</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322</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59" w:lineRule="exact"/>
              <w:rPr>
                <w:sz w:val="20"/>
                <w:szCs w:val="20"/>
                <w:color w:val="auto"/>
              </w:rPr>
            </w:pPr>
            <w:r>
              <w:rPr>
                <w:rFonts w:ascii="Arial" w:cs="Arial" w:eastAsia="Arial" w:hAnsi="Arial"/>
                <w:sz w:val="14"/>
                <w:szCs w:val="14"/>
                <w:color w:val="auto"/>
              </w:rPr>
              <w:t>444</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3660" w:type="dxa"/>
            <w:vAlign w:val="bottom"/>
          </w:tcPr>
          <w:p>
            <w:pPr>
              <w:spacing w:after="0" w:line="159" w:lineRule="exact"/>
              <w:rPr>
                <w:sz w:val="20"/>
                <w:szCs w:val="20"/>
                <w:color w:val="auto"/>
              </w:rPr>
            </w:pPr>
            <w:r>
              <w:rPr>
                <w:rFonts w:ascii="Arial" w:cs="Arial" w:eastAsia="Arial" w:hAnsi="Arial"/>
                <w:sz w:val="14"/>
                <w:szCs w:val="14"/>
                <w:color w:val="auto"/>
              </w:rPr>
              <w:t>Other non-current assets</w:t>
            </w:r>
          </w:p>
        </w:tc>
        <w:tc>
          <w:tcPr>
            <w:tcW w:w="98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116</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502</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59" w:lineRule="exact"/>
              <w:rPr>
                <w:sz w:val="20"/>
                <w:szCs w:val="20"/>
                <w:color w:val="auto"/>
              </w:rPr>
            </w:pPr>
            <w:r>
              <w:rPr>
                <w:rFonts w:ascii="Arial" w:cs="Arial" w:eastAsia="Arial" w:hAnsi="Arial"/>
                <w:sz w:val="14"/>
                <w:szCs w:val="14"/>
                <w:color w:val="auto"/>
              </w:rPr>
              <w:t>618</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3660" w:type="dxa"/>
            <w:vAlign w:val="bottom"/>
          </w:tcPr>
          <w:p>
            <w:pPr>
              <w:spacing w:after="0" w:line="159" w:lineRule="exact"/>
              <w:rPr>
                <w:sz w:val="20"/>
                <w:szCs w:val="20"/>
                <w:color w:val="auto"/>
              </w:rPr>
            </w:pPr>
            <w:r>
              <w:rPr>
                <w:rFonts w:ascii="Arial" w:cs="Arial" w:eastAsia="Arial" w:hAnsi="Arial"/>
                <w:sz w:val="14"/>
                <w:szCs w:val="14"/>
                <w:color w:val="auto"/>
              </w:rPr>
              <w:t>Intercompany receivables</w:t>
            </w:r>
          </w:p>
        </w:tc>
        <w:tc>
          <w:tcPr>
            <w:tcW w:w="98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188</w:t>
            </w:r>
          </w:p>
        </w:tc>
        <w:tc>
          <w:tcPr>
            <w:tcW w:w="11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2</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778</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(968)</w:t>
            </w:r>
          </w:p>
        </w:tc>
        <w:tc>
          <w:tcPr>
            <w:tcW w:w="1560" w:type="dxa"/>
            <w:vAlign w:val="bottom"/>
            <w:gridSpan w:val="3"/>
          </w:tcPr>
          <w:p>
            <w:pPr>
              <w:jc w:val="right"/>
              <w:ind w:right="440"/>
              <w:spacing w:after="0" w:line="159" w:lineRule="exact"/>
              <w:rPr>
                <w:sz w:val="20"/>
                <w:szCs w:val="20"/>
                <w:color w:val="auto"/>
              </w:rPr>
            </w:pPr>
            <w:r>
              <w:rPr>
                <w:rFonts w:ascii="Arial" w:cs="Arial" w:eastAsia="Arial" w:hAnsi="Arial"/>
                <w:sz w:val="14"/>
                <w:szCs w:val="14"/>
                <w:color w:val="auto"/>
              </w:rPr>
              <w:t xml:space="preserve">- </w:t>
            </w:r>
          </w:p>
        </w:tc>
      </w:tr>
      <w:tr>
        <w:trPr>
          <w:trHeight w:val="159"/>
        </w:trPr>
        <w:tc>
          <w:tcPr>
            <w:tcW w:w="3660" w:type="dxa"/>
            <w:vAlign w:val="bottom"/>
          </w:tcPr>
          <w:p>
            <w:pPr>
              <w:spacing w:after="0" w:line="159" w:lineRule="exact"/>
              <w:rPr>
                <w:sz w:val="20"/>
                <w:szCs w:val="20"/>
                <w:color w:val="auto"/>
              </w:rPr>
            </w:pPr>
            <w:r>
              <w:rPr>
                <w:rFonts w:ascii="Arial" w:cs="Arial" w:eastAsia="Arial" w:hAnsi="Arial"/>
                <w:sz w:val="14"/>
                <w:szCs w:val="14"/>
                <w:color w:val="auto"/>
              </w:rPr>
              <w:t>Investments in subsidiaries</w:t>
            </w:r>
          </w:p>
        </w:tc>
        <w:tc>
          <w:tcPr>
            <w:tcW w:w="98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14,572</w:t>
            </w:r>
          </w:p>
        </w:tc>
        <w:tc>
          <w:tcPr>
            <w:tcW w:w="11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489</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3,943</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(19,004)</w:t>
            </w:r>
          </w:p>
        </w:tc>
        <w:tc>
          <w:tcPr>
            <w:tcW w:w="1560" w:type="dxa"/>
            <w:vAlign w:val="bottom"/>
            <w:gridSpan w:val="3"/>
          </w:tcPr>
          <w:p>
            <w:pPr>
              <w:jc w:val="right"/>
              <w:ind w:right="440"/>
              <w:spacing w:after="0" w:line="159" w:lineRule="exact"/>
              <w:rPr>
                <w:sz w:val="20"/>
                <w:szCs w:val="20"/>
                <w:color w:val="auto"/>
              </w:rPr>
            </w:pPr>
            <w:r>
              <w:rPr>
                <w:rFonts w:ascii="Arial" w:cs="Arial" w:eastAsia="Arial" w:hAnsi="Arial"/>
                <w:sz w:val="14"/>
                <w:szCs w:val="14"/>
                <w:color w:val="auto"/>
              </w:rPr>
              <w:t xml:space="preserve">- </w:t>
            </w:r>
          </w:p>
        </w:tc>
      </w:tr>
      <w:tr>
        <w:trPr>
          <w:trHeight w:val="168"/>
        </w:trPr>
        <w:tc>
          <w:tcPr>
            <w:tcW w:w="3660" w:type="dxa"/>
            <w:vAlign w:val="bottom"/>
            <w:tcBorders>
              <w:bottom w:val="single" w:sz="8" w:color="B2B2B2"/>
            </w:tcBorders>
          </w:tcPr>
          <w:p>
            <w:pPr>
              <w:spacing w:after="0"/>
              <w:rPr>
                <w:sz w:val="20"/>
                <w:szCs w:val="20"/>
                <w:color w:val="auto"/>
              </w:rPr>
            </w:pPr>
            <w:r>
              <w:rPr>
                <w:rFonts w:ascii="Arial" w:cs="Arial" w:eastAsia="Arial" w:hAnsi="Arial"/>
                <w:sz w:val="14"/>
                <w:szCs w:val="14"/>
                <w:color w:val="auto"/>
              </w:rPr>
              <w:t>Deferred tax</w:t>
            </w:r>
          </w:p>
        </w:tc>
        <w:tc>
          <w:tcPr>
            <w:tcW w:w="980" w:type="dxa"/>
            <w:vAlign w:val="bottom"/>
            <w:tcBorders>
              <w:bottom w:val="single" w:sz="8" w:color="B2B2B2"/>
            </w:tcBorders>
          </w:tcPr>
          <w:p>
            <w:pPr>
              <w:jc w:val="right"/>
              <w:ind w:right="10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B2B2B2"/>
            </w:tcBorders>
          </w:tcPr>
          <w:p>
            <w:pPr>
              <w:jc w:val="right"/>
              <w:ind w:right="12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B2B2B2"/>
            </w:tcBorders>
          </w:tcPr>
          <w:p>
            <w:pPr>
              <w:jc w:val="right"/>
              <w:ind w:right="10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B2B2B2"/>
            </w:tcBorders>
          </w:tcPr>
          <w:p>
            <w:pPr>
              <w:jc w:val="right"/>
              <w:ind w:right="109"/>
              <w:spacing w:after="0"/>
              <w:rPr>
                <w:sz w:val="20"/>
                <w:szCs w:val="20"/>
                <w:color w:val="auto"/>
              </w:rPr>
            </w:pPr>
            <w:r>
              <w:rPr>
                <w:rFonts w:ascii="Arial" w:cs="Arial" w:eastAsia="Arial" w:hAnsi="Arial"/>
                <w:sz w:val="14"/>
                <w:szCs w:val="14"/>
                <w:color w:val="auto"/>
              </w:rPr>
              <w:t>1,104</w:t>
            </w:r>
          </w:p>
        </w:tc>
        <w:tc>
          <w:tcPr>
            <w:tcW w:w="1200" w:type="dxa"/>
            <w:vAlign w:val="bottom"/>
            <w:tcBorders>
              <w:bottom w:val="single" w:sz="8" w:color="B2B2B2"/>
            </w:tcBorders>
          </w:tcPr>
          <w:p>
            <w:pPr>
              <w:jc w:val="right"/>
              <w:ind w:right="10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1,104</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2"/>
        </w:trPr>
        <w:tc>
          <w:tcPr>
            <w:tcW w:w="3660" w:type="dxa"/>
            <w:vAlign w:val="bottom"/>
            <w:tcBorders>
              <w:bottom w:val="single" w:sz="8" w:color="B2B2B2"/>
            </w:tcBorders>
          </w:tcPr>
          <w:p>
            <w:pPr>
              <w:spacing w:after="0" w:line="152" w:lineRule="exact"/>
              <w:rPr>
                <w:sz w:val="20"/>
                <w:szCs w:val="20"/>
                <w:color w:val="auto"/>
              </w:rPr>
            </w:pPr>
            <w:r>
              <w:rPr>
                <w:rFonts w:ascii="Arial" w:cs="Arial" w:eastAsia="Arial" w:hAnsi="Arial"/>
                <w:sz w:val="14"/>
                <w:szCs w:val="14"/>
                <w:color w:val="auto"/>
              </w:rPr>
              <w:t>Total assets</w:t>
            </w:r>
          </w:p>
        </w:tc>
        <w:tc>
          <w:tcPr>
            <w:tcW w:w="980" w:type="dxa"/>
            <w:vAlign w:val="bottom"/>
            <w:tcBorders>
              <w:bottom w:val="single" w:sz="8" w:color="B2B2B2"/>
            </w:tcBorders>
          </w:tcPr>
          <w:p>
            <w:pPr>
              <w:jc w:val="right"/>
              <w:ind w:right="109"/>
              <w:spacing w:after="0" w:line="152" w:lineRule="exact"/>
              <w:rPr>
                <w:sz w:val="20"/>
                <w:szCs w:val="20"/>
                <w:color w:val="auto"/>
              </w:rPr>
            </w:pPr>
            <w:r>
              <w:rPr>
                <w:rFonts w:ascii="Arial" w:cs="Arial" w:eastAsia="Arial" w:hAnsi="Arial"/>
                <w:sz w:val="14"/>
                <w:szCs w:val="14"/>
                <w:color w:val="auto"/>
              </w:rPr>
              <w:t>17,566</w:t>
            </w:r>
          </w:p>
        </w:tc>
        <w:tc>
          <w:tcPr>
            <w:tcW w:w="1100" w:type="dxa"/>
            <w:vAlign w:val="bottom"/>
            <w:tcBorders>
              <w:bottom w:val="single" w:sz="8" w:color="B2B2B2"/>
            </w:tcBorders>
          </w:tcPr>
          <w:p>
            <w:pPr>
              <w:jc w:val="right"/>
              <w:ind w:right="129"/>
              <w:spacing w:after="0" w:line="15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B2B2B2"/>
            </w:tcBorders>
          </w:tcPr>
          <w:p>
            <w:pPr>
              <w:jc w:val="right"/>
              <w:ind w:right="109"/>
              <w:spacing w:after="0" w:line="152" w:lineRule="exact"/>
              <w:rPr>
                <w:sz w:val="20"/>
                <w:szCs w:val="20"/>
                <w:color w:val="auto"/>
              </w:rPr>
            </w:pPr>
            <w:r>
              <w:rPr>
                <w:rFonts w:ascii="Arial" w:cs="Arial" w:eastAsia="Arial" w:hAnsi="Arial"/>
                <w:sz w:val="14"/>
                <w:szCs w:val="14"/>
                <w:color w:val="auto"/>
              </w:rPr>
              <w:t>6,827</w:t>
            </w:r>
          </w:p>
        </w:tc>
        <w:tc>
          <w:tcPr>
            <w:tcW w:w="1200" w:type="dxa"/>
            <w:vAlign w:val="bottom"/>
            <w:tcBorders>
              <w:bottom w:val="single" w:sz="8" w:color="B2B2B2"/>
            </w:tcBorders>
          </w:tcPr>
          <w:p>
            <w:pPr>
              <w:jc w:val="right"/>
              <w:ind w:right="109"/>
              <w:spacing w:after="0" w:line="152" w:lineRule="exact"/>
              <w:rPr>
                <w:sz w:val="20"/>
                <w:szCs w:val="20"/>
                <w:color w:val="auto"/>
              </w:rPr>
            </w:pPr>
            <w:r>
              <w:rPr>
                <w:rFonts w:ascii="Arial" w:cs="Arial" w:eastAsia="Arial" w:hAnsi="Arial"/>
                <w:sz w:val="14"/>
                <w:szCs w:val="14"/>
                <w:color w:val="auto"/>
              </w:rPr>
              <w:t>20,796</w:t>
            </w:r>
          </w:p>
        </w:tc>
        <w:tc>
          <w:tcPr>
            <w:tcW w:w="1200" w:type="dxa"/>
            <w:vAlign w:val="bottom"/>
            <w:tcBorders>
              <w:bottom w:val="single" w:sz="8" w:color="B2B2B2"/>
            </w:tcBorders>
          </w:tcPr>
          <w:p>
            <w:pPr>
              <w:jc w:val="right"/>
              <w:ind w:right="109"/>
              <w:spacing w:after="0" w:line="152" w:lineRule="exact"/>
              <w:rPr>
                <w:sz w:val="20"/>
                <w:szCs w:val="20"/>
                <w:color w:val="auto"/>
              </w:rPr>
            </w:pPr>
            <w:r>
              <w:rPr>
                <w:rFonts w:ascii="Arial" w:cs="Arial" w:eastAsia="Arial" w:hAnsi="Arial"/>
                <w:sz w:val="14"/>
                <w:szCs w:val="14"/>
                <w:color w:val="auto"/>
              </w:rPr>
              <w:t>(26,505)</w:t>
            </w:r>
          </w:p>
        </w:tc>
        <w:tc>
          <w:tcPr>
            <w:tcW w:w="1120" w:type="dxa"/>
            <w:vAlign w:val="bottom"/>
            <w:tcBorders>
              <w:bottom w:val="single" w:sz="8" w:color="B2B2B2"/>
            </w:tcBorders>
          </w:tcPr>
          <w:p>
            <w:pPr>
              <w:jc w:val="right"/>
              <w:spacing w:after="0" w:line="152" w:lineRule="exact"/>
              <w:rPr>
                <w:sz w:val="20"/>
                <w:szCs w:val="20"/>
                <w:color w:val="auto"/>
              </w:rPr>
            </w:pPr>
            <w:r>
              <w:rPr>
                <w:rFonts w:ascii="Arial" w:cs="Arial" w:eastAsia="Arial" w:hAnsi="Arial"/>
                <w:sz w:val="14"/>
                <w:szCs w:val="14"/>
                <w:color w:val="auto"/>
              </w:rPr>
              <w:t>18,684</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2"/>
        </w:trPr>
        <w:tc>
          <w:tcPr>
            <w:tcW w:w="3660" w:type="dxa"/>
            <w:vAlign w:val="bottom"/>
          </w:tcPr>
          <w:p>
            <w:pPr>
              <w:spacing w:after="0"/>
              <w:rPr>
                <w:sz w:val="20"/>
                <w:szCs w:val="20"/>
                <w:color w:val="auto"/>
              </w:rPr>
            </w:pPr>
            <w:r>
              <w:rPr>
                <w:rFonts w:ascii="Arial" w:cs="Arial" w:eastAsia="Arial" w:hAnsi="Arial"/>
                <w:sz w:val="14"/>
                <w:szCs w:val="14"/>
                <w:b w:val="1"/>
                <w:bCs w:val="1"/>
                <w:color w:val="auto"/>
              </w:rPr>
              <w:t>LIABILITIES AND EQUITY</w:t>
            </w:r>
          </w:p>
        </w:tc>
        <w:tc>
          <w:tcPr>
            <w:tcW w:w="9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59"/>
        </w:trPr>
        <w:tc>
          <w:tcPr>
            <w:tcW w:w="3660" w:type="dxa"/>
            <w:vAlign w:val="bottom"/>
          </w:tcPr>
          <w:p>
            <w:pPr>
              <w:spacing w:after="0" w:line="159" w:lineRule="exact"/>
              <w:rPr>
                <w:sz w:val="20"/>
                <w:szCs w:val="20"/>
                <w:color w:val="auto"/>
              </w:rPr>
            </w:pPr>
            <w:r>
              <w:rPr>
                <w:rFonts w:ascii="Arial" w:cs="Arial" w:eastAsia="Arial" w:hAnsi="Arial"/>
                <w:sz w:val="14"/>
                <w:szCs w:val="14"/>
                <w:b w:val="1"/>
                <w:bCs w:val="1"/>
                <w:color w:val="auto"/>
              </w:rPr>
              <w:t>Liabilities</w:t>
            </w: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3660" w:type="dxa"/>
            <w:vAlign w:val="bottom"/>
          </w:tcPr>
          <w:p>
            <w:pPr>
              <w:spacing w:after="0" w:line="159" w:lineRule="exact"/>
              <w:rPr>
                <w:sz w:val="20"/>
                <w:szCs w:val="20"/>
                <w:color w:val="auto"/>
              </w:rPr>
            </w:pPr>
            <w:r>
              <w:rPr>
                <w:rFonts w:ascii="Arial" w:cs="Arial" w:eastAsia="Arial" w:hAnsi="Arial"/>
                <w:sz w:val="14"/>
                <w:szCs w:val="14"/>
                <w:color w:val="auto"/>
              </w:rPr>
              <w:t>Current indebtedness</w:t>
            </w:r>
          </w:p>
        </w:tc>
        <w:tc>
          <w:tcPr>
            <w:tcW w:w="98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372</w:t>
            </w:r>
          </w:p>
        </w:tc>
        <w:tc>
          <w:tcPr>
            <w:tcW w:w="11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59" w:lineRule="exact"/>
              <w:rPr>
                <w:sz w:val="20"/>
                <w:szCs w:val="20"/>
                <w:color w:val="auto"/>
              </w:rPr>
            </w:pPr>
            <w:r>
              <w:rPr>
                <w:rFonts w:ascii="Arial" w:cs="Arial" w:eastAsia="Arial" w:hAnsi="Arial"/>
                <w:sz w:val="14"/>
                <w:szCs w:val="14"/>
                <w:color w:val="auto"/>
              </w:rPr>
              <w:t>372</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3660" w:type="dxa"/>
            <w:vAlign w:val="bottom"/>
          </w:tcPr>
          <w:p>
            <w:pPr>
              <w:spacing w:after="0" w:line="159" w:lineRule="exact"/>
              <w:rPr>
                <w:sz w:val="20"/>
                <w:szCs w:val="20"/>
                <w:color w:val="auto"/>
              </w:rPr>
            </w:pPr>
            <w:r>
              <w:rPr>
                <w:rFonts w:ascii="Arial" w:cs="Arial" w:eastAsia="Arial" w:hAnsi="Arial"/>
                <w:sz w:val="14"/>
                <w:szCs w:val="14"/>
                <w:color w:val="auto"/>
              </w:rPr>
              <w:t>Payables, accruals and provisions</w:t>
            </w:r>
          </w:p>
        </w:tc>
        <w:tc>
          <w:tcPr>
            <w:tcW w:w="98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55</w:t>
            </w:r>
          </w:p>
        </w:tc>
        <w:tc>
          <w:tcPr>
            <w:tcW w:w="11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317</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742</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59" w:lineRule="exact"/>
              <w:rPr>
                <w:sz w:val="20"/>
                <w:szCs w:val="20"/>
                <w:color w:val="auto"/>
              </w:rPr>
            </w:pPr>
            <w:r>
              <w:rPr>
                <w:rFonts w:ascii="Arial" w:cs="Arial" w:eastAsia="Arial" w:hAnsi="Arial"/>
                <w:sz w:val="14"/>
                <w:szCs w:val="14"/>
                <w:color w:val="auto"/>
              </w:rPr>
              <w:t>1,114</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3660" w:type="dxa"/>
            <w:vAlign w:val="bottom"/>
          </w:tcPr>
          <w:p>
            <w:pPr>
              <w:spacing w:after="0" w:line="159" w:lineRule="exact"/>
              <w:rPr>
                <w:sz w:val="20"/>
                <w:szCs w:val="20"/>
                <w:color w:val="auto"/>
              </w:rPr>
            </w:pPr>
            <w:r>
              <w:rPr>
                <w:rFonts w:ascii="Arial" w:cs="Arial" w:eastAsia="Arial" w:hAnsi="Arial"/>
                <w:sz w:val="14"/>
                <w:szCs w:val="14"/>
                <w:color w:val="auto"/>
              </w:rPr>
              <w:t>Current tax liabilities</w:t>
            </w:r>
          </w:p>
        </w:tc>
        <w:tc>
          <w:tcPr>
            <w:tcW w:w="98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248</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59" w:lineRule="exact"/>
              <w:rPr>
                <w:sz w:val="20"/>
                <w:szCs w:val="20"/>
                <w:color w:val="auto"/>
              </w:rPr>
            </w:pPr>
            <w:r>
              <w:rPr>
                <w:rFonts w:ascii="Arial" w:cs="Arial" w:eastAsia="Arial" w:hAnsi="Arial"/>
                <w:sz w:val="14"/>
                <w:szCs w:val="14"/>
                <w:color w:val="auto"/>
              </w:rPr>
              <w:t>248</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3660" w:type="dxa"/>
            <w:vAlign w:val="bottom"/>
          </w:tcPr>
          <w:p>
            <w:pPr>
              <w:spacing w:after="0" w:line="159" w:lineRule="exact"/>
              <w:rPr>
                <w:sz w:val="20"/>
                <w:szCs w:val="20"/>
                <w:color w:val="auto"/>
              </w:rPr>
            </w:pPr>
            <w:r>
              <w:rPr>
                <w:rFonts w:ascii="Arial" w:cs="Arial" w:eastAsia="Arial" w:hAnsi="Arial"/>
                <w:sz w:val="14"/>
                <w:szCs w:val="14"/>
                <w:color w:val="auto"/>
              </w:rPr>
              <w:t>Deferred revenue</w:t>
            </w:r>
          </w:p>
        </w:tc>
        <w:tc>
          <w:tcPr>
            <w:tcW w:w="98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337</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655</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59" w:lineRule="exact"/>
              <w:rPr>
                <w:sz w:val="20"/>
                <w:szCs w:val="20"/>
                <w:color w:val="auto"/>
              </w:rPr>
            </w:pPr>
            <w:r>
              <w:rPr>
                <w:rFonts w:ascii="Arial" w:cs="Arial" w:eastAsia="Arial" w:hAnsi="Arial"/>
                <w:sz w:val="14"/>
                <w:szCs w:val="14"/>
                <w:color w:val="auto"/>
              </w:rPr>
              <w:t>992</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3660" w:type="dxa"/>
            <w:vAlign w:val="bottom"/>
          </w:tcPr>
          <w:p>
            <w:pPr>
              <w:spacing w:after="0" w:line="159" w:lineRule="exact"/>
              <w:rPr>
                <w:sz w:val="20"/>
                <w:szCs w:val="20"/>
                <w:color w:val="auto"/>
              </w:rPr>
            </w:pPr>
            <w:r>
              <w:rPr>
                <w:rFonts w:ascii="Arial" w:cs="Arial" w:eastAsia="Arial" w:hAnsi="Arial"/>
                <w:sz w:val="14"/>
                <w:szCs w:val="14"/>
                <w:color w:val="auto"/>
              </w:rPr>
              <w:t>Intercompany payables</w:t>
            </w:r>
          </w:p>
        </w:tc>
        <w:tc>
          <w:tcPr>
            <w:tcW w:w="98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2,768</w:t>
            </w:r>
          </w:p>
        </w:tc>
        <w:tc>
          <w:tcPr>
            <w:tcW w:w="11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634</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3,131</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(6,533)</w:t>
            </w:r>
          </w:p>
        </w:tc>
        <w:tc>
          <w:tcPr>
            <w:tcW w:w="1560" w:type="dxa"/>
            <w:vAlign w:val="bottom"/>
            <w:gridSpan w:val="3"/>
          </w:tcPr>
          <w:p>
            <w:pPr>
              <w:jc w:val="right"/>
              <w:ind w:right="440"/>
              <w:spacing w:after="0" w:line="159" w:lineRule="exact"/>
              <w:rPr>
                <w:sz w:val="20"/>
                <w:szCs w:val="20"/>
                <w:color w:val="auto"/>
              </w:rPr>
            </w:pPr>
            <w:r>
              <w:rPr>
                <w:rFonts w:ascii="Arial" w:cs="Arial" w:eastAsia="Arial" w:hAnsi="Arial"/>
                <w:sz w:val="14"/>
                <w:szCs w:val="14"/>
                <w:color w:val="auto"/>
              </w:rPr>
              <w:t xml:space="preserve">- </w:t>
            </w:r>
          </w:p>
        </w:tc>
      </w:tr>
      <w:tr>
        <w:trPr>
          <w:trHeight w:val="168"/>
        </w:trPr>
        <w:tc>
          <w:tcPr>
            <w:tcW w:w="3660" w:type="dxa"/>
            <w:vAlign w:val="bottom"/>
            <w:tcBorders>
              <w:bottom w:val="single" w:sz="8" w:color="B2B2B2"/>
            </w:tcBorders>
          </w:tcPr>
          <w:p>
            <w:pPr>
              <w:spacing w:after="0"/>
              <w:rPr>
                <w:sz w:val="20"/>
                <w:szCs w:val="20"/>
                <w:color w:val="auto"/>
              </w:rPr>
            </w:pPr>
            <w:r>
              <w:rPr>
                <w:rFonts w:ascii="Arial" w:cs="Arial" w:eastAsia="Arial" w:hAnsi="Arial"/>
                <w:sz w:val="14"/>
                <w:szCs w:val="14"/>
                <w:color w:val="auto"/>
              </w:rPr>
              <w:t>Other financial liabilities</w:t>
            </w:r>
          </w:p>
        </w:tc>
        <w:tc>
          <w:tcPr>
            <w:tcW w:w="980" w:type="dxa"/>
            <w:vAlign w:val="bottom"/>
            <w:tcBorders>
              <w:bottom w:val="single" w:sz="8" w:color="B2B2B2"/>
            </w:tcBorders>
          </w:tcPr>
          <w:p>
            <w:pPr>
              <w:jc w:val="right"/>
              <w:ind w:right="109"/>
              <w:spacing w:after="0"/>
              <w:rPr>
                <w:sz w:val="20"/>
                <w:szCs w:val="20"/>
                <w:color w:val="auto"/>
              </w:rPr>
            </w:pPr>
            <w:r>
              <w:rPr>
                <w:rFonts w:ascii="Arial" w:cs="Arial" w:eastAsia="Arial" w:hAnsi="Arial"/>
                <w:sz w:val="14"/>
                <w:szCs w:val="14"/>
                <w:color w:val="auto"/>
              </w:rPr>
              <w:t>400</w:t>
            </w:r>
          </w:p>
        </w:tc>
        <w:tc>
          <w:tcPr>
            <w:tcW w:w="1100" w:type="dxa"/>
            <w:vAlign w:val="bottom"/>
            <w:tcBorders>
              <w:bottom w:val="single" w:sz="8" w:color="B2B2B2"/>
            </w:tcBorders>
          </w:tcPr>
          <w:p>
            <w:pPr>
              <w:jc w:val="right"/>
              <w:ind w:right="12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B2B2B2"/>
            </w:tcBorders>
          </w:tcPr>
          <w:p>
            <w:pPr>
              <w:jc w:val="right"/>
              <w:ind w:right="109"/>
              <w:spacing w:after="0"/>
              <w:rPr>
                <w:sz w:val="20"/>
                <w:szCs w:val="20"/>
                <w:color w:val="auto"/>
              </w:rPr>
            </w:pPr>
            <w:r>
              <w:rPr>
                <w:rFonts w:ascii="Arial" w:cs="Arial" w:eastAsia="Arial" w:hAnsi="Arial"/>
                <w:sz w:val="14"/>
                <w:szCs w:val="14"/>
                <w:color w:val="auto"/>
              </w:rPr>
              <w:t>15</w:t>
            </w:r>
          </w:p>
        </w:tc>
        <w:tc>
          <w:tcPr>
            <w:tcW w:w="1200" w:type="dxa"/>
            <w:vAlign w:val="bottom"/>
            <w:tcBorders>
              <w:bottom w:val="single" w:sz="8" w:color="B2B2B2"/>
            </w:tcBorders>
          </w:tcPr>
          <w:p>
            <w:pPr>
              <w:jc w:val="right"/>
              <w:ind w:right="109"/>
              <w:spacing w:after="0"/>
              <w:rPr>
                <w:sz w:val="20"/>
                <w:szCs w:val="20"/>
                <w:color w:val="auto"/>
              </w:rPr>
            </w:pPr>
            <w:r>
              <w:rPr>
                <w:rFonts w:ascii="Arial" w:cs="Arial" w:eastAsia="Arial" w:hAnsi="Arial"/>
                <w:sz w:val="14"/>
                <w:szCs w:val="14"/>
                <w:color w:val="auto"/>
              </w:rPr>
              <w:t>92</w:t>
            </w:r>
          </w:p>
        </w:tc>
        <w:tc>
          <w:tcPr>
            <w:tcW w:w="1200" w:type="dxa"/>
            <w:vAlign w:val="bottom"/>
            <w:tcBorders>
              <w:bottom w:val="single" w:sz="8" w:color="B2B2B2"/>
            </w:tcBorders>
          </w:tcPr>
          <w:p>
            <w:pPr>
              <w:jc w:val="right"/>
              <w:ind w:right="10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507</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3"/>
        </w:trPr>
        <w:tc>
          <w:tcPr>
            <w:tcW w:w="3660" w:type="dxa"/>
            <w:vAlign w:val="bottom"/>
          </w:tcPr>
          <w:p>
            <w:pPr>
              <w:spacing w:after="0" w:line="143" w:lineRule="exact"/>
              <w:rPr>
                <w:sz w:val="20"/>
                <w:szCs w:val="20"/>
                <w:color w:val="auto"/>
              </w:rPr>
            </w:pPr>
            <w:r>
              <w:rPr>
                <w:rFonts w:ascii="Arial" w:cs="Arial" w:eastAsia="Arial" w:hAnsi="Arial"/>
                <w:sz w:val="14"/>
                <w:szCs w:val="14"/>
                <w:color w:val="auto"/>
              </w:rPr>
              <w:t>Current liabilities</w:t>
            </w:r>
          </w:p>
        </w:tc>
        <w:tc>
          <w:tcPr>
            <w:tcW w:w="980" w:type="dxa"/>
            <w:vAlign w:val="bottom"/>
          </w:tcPr>
          <w:p>
            <w:pPr>
              <w:jc w:val="right"/>
              <w:ind w:right="109"/>
              <w:spacing w:after="0" w:line="143" w:lineRule="exact"/>
              <w:rPr>
                <w:sz w:val="20"/>
                <w:szCs w:val="20"/>
                <w:color w:val="auto"/>
              </w:rPr>
            </w:pPr>
            <w:r>
              <w:rPr>
                <w:rFonts w:ascii="Arial" w:cs="Arial" w:eastAsia="Arial" w:hAnsi="Arial"/>
                <w:sz w:val="14"/>
                <w:szCs w:val="14"/>
                <w:color w:val="auto"/>
              </w:rPr>
              <w:t>3,595</w:t>
            </w:r>
          </w:p>
        </w:tc>
        <w:tc>
          <w:tcPr>
            <w:tcW w:w="1100" w:type="dxa"/>
            <w:vAlign w:val="bottom"/>
          </w:tcPr>
          <w:p>
            <w:pPr>
              <w:jc w:val="right"/>
              <w:ind w:right="129"/>
              <w:spacing w:after="0" w:line="143"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09"/>
              <w:spacing w:after="0" w:line="143" w:lineRule="exact"/>
              <w:rPr>
                <w:sz w:val="20"/>
                <w:szCs w:val="20"/>
                <w:color w:val="auto"/>
              </w:rPr>
            </w:pPr>
            <w:r>
              <w:rPr>
                <w:rFonts w:ascii="Arial" w:cs="Arial" w:eastAsia="Arial" w:hAnsi="Arial"/>
                <w:sz w:val="14"/>
                <w:szCs w:val="14"/>
                <w:color w:val="auto"/>
              </w:rPr>
              <w:t>1,303</w:t>
            </w:r>
          </w:p>
        </w:tc>
        <w:tc>
          <w:tcPr>
            <w:tcW w:w="1200" w:type="dxa"/>
            <w:vAlign w:val="bottom"/>
          </w:tcPr>
          <w:p>
            <w:pPr>
              <w:jc w:val="right"/>
              <w:ind w:right="109"/>
              <w:spacing w:after="0" w:line="143" w:lineRule="exact"/>
              <w:rPr>
                <w:sz w:val="20"/>
                <w:szCs w:val="20"/>
                <w:color w:val="auto"/>
              </w:rPr>
            </w:pPr>
            <w:r>
              <w:rPr>
                <w:rFonts w:ascii="Arial" w:cs="Arial" w:eastAsia="Arial" w:hAnsi="Arial"/>
                <w:sz w:val="14"/>
                <w:szCs w:val="14"/>
                <w:color w:val="auto"/>
              </w:rPr>
              <w:t>4,868</w:t>
            </w:r>
          </w:p>
        </w:tc>
        <w:tc>
          <w:tcPr>
            <w:tcW w:w="1200" w:type="dxa"/>
            <w:vAlign w:val="bottom"/>
          </w:tcPr>
          <w:p>
            <w:pPr>
              <w:jc w:val="right"/>
              <w:ind w:right="109"/>
              <w:spacing w:after="0" w:line="143" w:lineRule="exact"/>
              <w:rPr>
                <w:sz w:val="20"/>
                <w:szCs w:val="20"/>
                <w:color w:val="auto"/>
              </w:rPr>
            </w:pPr>
            <w:r>
              <w:rPr>
                <w:rFonts w:ascii="Arial" w:cs="Arial" w:eastAsia="Arial" w:hAnsi="Arial"/>
                <w:sz w:val="14"/>
                <w:szCs w:val="14"/>
                <w:color w:val="auto"/>
              </w:rPr>
              <w:t>(6,533)</w:t>
            </w:r>
          </w:p>
        </w:tc>
        <w:tc>
          <w:tcPr>
            <w:tcW w:w="1120" w:type="dxa"/>
            <w:vAlign w:val="bottom"/>
          </w:tcPr>
          <w:p>
            <w:pPr>
              <w:jc w:val="right"/>
              <w:spacing w:after="0" w:line="143" w:lineRule="exact"/>
              <w:rPr>
                <w:sz w:val="20"/>
                <w:szCs w:val="20"/>
                <w:color w:val="auto"/>
              </w:rPr>
            </w:pPr>
            <w:r>
              <w:rPr>
                <w:rFonts w:ascii="Arial" w:cs="Arial" w:eastAsia="Arial" w:hAnsi="Arial"/>
                <w:sz w:val="14"/>
                <w:szCs w:val="14"/>
                <w:color w:val="auto"/>
              </w:rPr>
              <w:t>3,233</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3660" w:type="dxa"/>
            <w:vAlign w:val="bottom"/>
          </w:tcPr>
          <w:p>
            <w:pPr>
              <w:spacing w:after="0" w:line="159" w:lineRule="exact"/>
              <w:rPr>
                <w:sz w:val="20"/>
                <w:szCs w:val="20"/>
                <w:color w:val="auto"/>
              </w:rPr>
            </w:pPr>
            <w:r>
              <w:rPr>
                <w:rFonts w:ascii="Arial" w:cs="Arial" w:eastAsia="Arial" w:hAnsi="Arial"/>
                <w:sz w:val="14"/>
                <w:szCs w:val="14"/>
                <w:color w:val="auto"/>
              </w:rPr>
              <w:t>Long-term indebtedness</w:t>
            </w:r>
          </w:p>
        </w:tc>
        <w:tc>
          <w:tcPr>
            <w:tcW w:w="98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2,905</w:t>
            </w:r>
          </w:p>
        </w:tc>
        <w:tc>
          <w:tcPr>
            <w:tcW w:w="11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59" w:lineRule="exact"/>
              <w:rPr>
                <w:sz w:val="20"/>
                <w:szCs w:val="20"/>
                <w:color w:val="auto"/>
              </w:rPr>
            </w:pPr>
            <w:r>
              <w:rPr>
                <w:rFonts w:ascii="Arial" w:cs="Arial" w:eastAsia="Arial" w:hAnsi="Arial"/>
                <w:sz w:val="14"/>
                <w:szCs w:val="14"/>
                <w:color w:val="auto"/>
              </w:rPr>
              <w:t>2,905</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3660" w:type="dxa"/>
            <w:vAlign w:val="bottom"/>
          </w:tcPr>
          <w:p>
            <w:pPr>
              <w:spacing w:after="0" w:line="159" w:lineRule="exact"/>
              <w:rPr>
                <w:sz w:val="20"/>
                <w:szCs w:val="20"/>
                <w:color w:val="auto"/>
              </w:rPr>
            </w:pPr>
            <w:r>
              <w:rPr>
                <w:rFonts w:ascii="Arial" w:cs="Arial" w:eastAsia="Arial" w:hAnsi="Arial"/>
                <w:sz w:val="14"/>
                <w:szCs w:val="14"/>
                <w:color w:val="auto"/>
              </w:rPr>
              <w:t>Provisions and other non-current liabilities</w:t>
            </w:r>
          </w:p>
        </w:tc>
        <w:tc>
          <w:tcPr>
            <w:tcW w:w="98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2</w:t>
            </w:r>
          </w:p>
        </w:tc>
        <w:tc>
          <w:tcPr>
            <w:tcW w:w="11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6</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684</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59" w:lineRule="exact"/>
              <w:rPr>
                <w:sz w:val="20"/>
                <w:szCs w:val="20"/>
                <w:color w:val="auto"/>
              </w:rPr>
            </w:pPr>
            <w:r>
              <w:rPr>
                <w:rFonts w:ascii="Arial" w:cs="Arial" w:eastAsia="Arial" w:hAnsi="Arial"/>
                <w:sz w:val="14"/>
                <w:szCs w:val="14"/>
                <w:color w:val="auto"/>
              </w:rPr>
              <w:t>692</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3660" w:type="dxa"/>
            <w:vAlign w:val="bottom"/>
          </w:tcPr>
          <w:p>
            <w:pPr>
              <w:spacing w:after="0" w:line="159" w:lineRule="exact"/>
              <w:rPr>
                <w:sz w:val="20"/>
                <w:szCs w:val="20"/>
                <w:color w:val="auto"/>
              </w:rPr>
            </w:pPr>
            <w:r>
              <w:rPr>
                <w:rFonts w:ascii="Arial" w:cs="Arial" w:eastAsia="Arial" w:hAnsi="Arial"/>
                <w:sz w:val="14"/>
                <w:szCs w:val="14"/>
                <w:color w:val="auto"/>
              </w:rPr>
              <w:t>Other financial liabilities</w:t>
            </w:r>
          </w:p>
        </w:tc>
        <w:tc>
          <w:tcPr>
            <w:tcW w:w="98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76</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161</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59" w:lineRule="exact"/>
              <w:rPr>
                <w:sz w:val="20"/>
                <w:szCs w:val="20"/>
                <w:color w:val="auto"/>
              </w:rPr>
            </w:pPr>
            <w:r>
              <w:rPr>
                <w:rFonts w:ascii="Arial" w:cs="Arial" w:eastAsia="Arial" w:hAnsi="Arial"/>
                <w:sz w:val="14"/>
                <w:szCs w:val="14"/>
                <w:color w:val="auto"/>
              </w:rPr>
              <w:t>237</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3660" w:type="dxa"/>
            <w:vAlign w:val="bottom"/>
          </w:tcPr>
          <w:p>
            <w:pPr>
              <w:spacing w:after="0" w:line="159" w:lineRule="exact"/>
              <w:rPr>
                <w:sz w:val="20"/>
                <w:szCs w:val="20"/>
                <w:color w:val="auto"/>
              </w:rPr>
            </w:pPr>
            <w:r>
              <w:rPr>
                <w:rFonts w:ascii="Arial" w:cs="Arial" w:eastAsia="Arial" w:hAnsi="Arial"/>
                <w:sz w:val="14"/>
                <w:szCs w:val="14"/>
                <w:color w:val="auto"/>
              </w:rPr>
              <w:t>Intercompany payables</w:t>
            </w:r>
          </w:p>
        </w:tc>
        <w:tc>
          <w:tcPr>
            <w:tcW w:w="98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778</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190</w:t>
            </w: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color w:val="auto"/>
              </w:rPr>
              <w:t>(968)</w:t>
            </w:r>
          </w:p>
        </w:tc>
        <w:tc>
          <w:tcPr>
            <w:tcW w:w="1560" w:type="dxa"/>
            <w:vAlign w:val="bottom"/>
            <w:gridSpan w:val="3"/>
          </w:tcPr>
          <w:p>
            <w:pPr>
              <w:jc w:val="right"/>
              <w:ind w:right="440"/>
              <w:spacing w:after="0" w:line="159" w:lineRule="exact"/>
              <w:rPr>
                <w:sz w:val="20"/>
                <w:szCs w:val="20"/>
                <w:color w:val="auto"/>
              </w:rPr>
            </w:pPr>
            <w:r>
              <w:rPr>
                <w:rFonts w:ascii="Arial" w:cs="Arial" w:eastAsia="Arial" w:hAnsi="Arial"/>
                <w:sz w:val="14"/>
                <w:szCs w:val="14"/>
                <w:color w:val="auto"/>
              </w:rPr>
              <w:t xml:space="preserve">- </w:t>
            </w:r>
          </w:p>
        </w:tc>
      </w:tr>
      <w:tr>
        <w:trPr>
          <w:trHeight w:val="168"/>
        </w:trPr>
        <w:tc>
          <w:tcPr>
            <w:tcW w:w="3660" w:type="dxa"/>
            <w:vAlign w:val="bottom"/>
            <w:tcBorders>
              <w:bottom w:val="single" w:sz="8" w:color="B2B2B2"/>
            </w:tcBorders>
          </w:tcPr>
          <w:p>
            <w:pPr>
              <w:spacing w:after="0"/>
              <w:rPr>
                <w:sz w:val="20"/>
                <w:szCs w:val="20"/>
                <w:color w:val="auto"/>
              </w:rPr>
            </w:pPr>
            <w:r>
              <w:rPr>
                <w:rFonts w:ascii="Arial" w:cs="Arial" w:eastAsia="Arial" w:hAnsi="Arial"/>
                <w:sz w:val="14"/>
                <w:szCs w:val="14"/>
                <w:color w:val="auto"/>
              </w:rPr>
              <w:t>Deferred tax</w:t>
            </w:r>
          </w:p>
        </w:tc>
        <w:tc>
          <w:tcPr>
            <w:tcW w:w="980" w:type="dxa"/>
            <w:vAlign w:val="bottom"/>
            <w:tcBorders>
              <w:bottom w:val="single" w:sz="8" w:color="B2B2B2"/>
            </w:tcBorders>
          </w:tcPr>
          <w:p>
            <w:pPr>
              <w:jc w:val="right"/>
              <w:ind w:right="10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B2B2B2"/>
            </w:tcBorders>
          </w:tcPr>
          <w:p>
            <w:pPr>
              <w:jc w:val="right"/>
              <w:ind w:right="12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B2B2B2"/>
            </w:tcBorders>
          </w:tcPr>
          <w:p>
            <w:pPr>
              <w:jc w:val="right"/>
              <w:ind w:right="109"/>
              <w:spacing w:after="0"/>
              <w:rPr>
                <w:sz w:val="20"/>
                <w:szCs w:val="20"/>
                <w:color w:val="auto"/>
              </w:rPr>
            </w:pPr>
            <w:r>
              <w:rPr>
                <w:rFonts w:ascii="Arial" w:cs="Arial" w:eastAsia="Arial" w:hAnsi="Arial"/>
                <w:sz w:val="14"/>
                <w:szCs w:val="14"/>
                <w:color w:val="auto"/>
              </w:rPr>
              <w:t>232</w:t>
            </w:r>
          </w:p>
        </w:tc>
        <w:tc>
          <w:tcPr>
            <w:tcW w:w="1200" w:type="dxa"/>
            <w:vAlign w:val="bottom"/>
            <w:tcBorders>
              <w:bottom w:val="single" w:sz="8" w:color="B2B2B2"/>
            </w:tcBorders>
          </w:tcPr>
          <w:p>
            <w:pPr>
              <w:jc w:val="right"/>
              <w:ind w:right="109"/>
              <w:spacing w:after="0"/>
              <w:rPr>
                <w:sz w:val="20"/>
                <w:szCs w:val="20"/>
                <w:color w:val="auto"/>
              </w:rPr>
            </w:pPr>
            <w:r>
              <w:rPr>
                <w:rFonts w:ascii="Arial" w:cs="Arial" w:eastAsia="Arial" w:hAnsi="Arial"/>
                <w:sz w:val="14"/>
                <w:szCs w:val="14"/>
                <w:color w:val="auto"/>
              </w:rPr>
              <w:t>321</w:t>
            </w:r>
          </w:p>
        </w:tc>
        <w:tc>
          <w:tcPr>
            <w:tcW w:w="1200" w:type="dxa"/>
            <w:vAlign w:val="bottom"/>
            <w:tcBorders>
              <w:bottom w:val="single" w:sz="8" w:color="B2B2B2"/>
            </w:tcBorders>
          </w:tcPr>
          <w:p>
            <w:pPr>
              <w:jc w:val="right"/>
              <w:ind w:right="10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553</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3"/>
        </w:trPr>
        <w:tc>
          <w:tcPr>
            <w:tcW w:w="3660" w:type="dxa"/>
            <w:vAlign w:val="bottom"/>
          </w:tcPr>
          <w:p>
            <w:pPr>
              <w:spacing w:after="0" w:line="143" w:lineRule="exact"/>
              <w:rPr>
                <w:sz w:val="20"/>
                <w:szCs w:val="20"/>
                <w:color w:val="auto"/>
              </w:rPr>
            </w:pPr>
            <w:r>
              <w:rPr>
                <w:rFonts w:ascii="Arial" w:cs="Arial" w:eastAsia="Arial" w:hAnsi="Arial"/>
                <w:sz w:val="14"/>
                <w:szCs w:val="14"/>
                <w:color w:val="auto"/>
              </w:rPr>
              <w:t>Total liabilities</w:t>
            </w:r>
          </w:p>
        </w:tc>
        <w:tc>
          <w:tcPr>
            <w:tcW w:w="980" w:type="dxa"/>
            <w:vAlign w:val="bottom"/>
          </w:tcPr>
          <w:p>
            <w:pPr>
              <w:jc w:val="right"/>
              <w:ind w:right="109"/>
              <w:spacing w:after="0" w:line="143" w:lineRule="exact"/>
              <w:rPr>
                <w:sz w:val="20"/>
                <w:szCs w:val="20"/>
                <w:color w:val="auto"/>
              </w:rPr>
            </w:pPr>
            <w:r>
              <w:rPr>
                <w:rFonts w:ascii="Arial" w:cs="Arial" w:eastAsia="Arial" w:hAnsi="Arial"/>
                <w:sz w:val="14"/>
                <w:szCs w:val="14"/>
                <w:color w:val="auto"/>
              </w:rPr>
              <w:t>6,502</w:t>
            </w:r>
          </w:p>
        </w:tc>
        <w:tc>
          <w:tcPr>
            <w:tcW w:w="1100" w:type="dxa"/>
            <w:vAlign w:val="bottom"/>
          </w:tcPr>
          <w:p>
            <w:pPr>
              <w:jc w:val="right"/>
              <w:ind w:right="129"/>
              <w:spacing w:after="0" w:line="143"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09"/>
              <w:spacing w:after="0" w:line="143" w:lineRule="exact"/>
              <w:rPr>
                <w:sz w:val="20"/>
                <w:szCs w:val="20"/>
                <w:color w:val="auto"/>
              </w:rPr>
            </w:pPr>
            <w:r>
              <w:rPr>
                <w:rFonts w:ascii="Arial" w:cs="Arial" w:eastAsia="Arial" w:hAnsi="Arial"/>
                <w:sz w:val="14"/>
                <w:szCs w:val="14"/>
                <w:color w:val="auto"/>
              </w:rPr>
              <w:t>2,395</w:t>
            </w:r>
          </w:p>
        </w:tc>
        <w:tc>
          <w:tcPr>
            <w:tcW w:w="1200" w:type="dxa"/>
            <w:vAlign w:val="bottom"/>
          </w:tcPr>
          <w:p>
            <w:pPr>
              <w:jc w:val="right"/>
              <w:ind w:right="109"/>
              <w:spacing w:after="0" w:line="143" w:lineRule="exact"/>
              <w:rPr>
                <w:sz w:val="20"/>
                <w:szCs w:val="20"/>
                <w:color w:val="auto"/>
              </w:rPr>
            </w:pPr>
            <w:r>
              <w:rPr>
                <w:rFonts w:ascii="Arial" w:cs="Arial" w:eastAsia="Arial" w:hAnsi="Arial"/>
                <w:sz w:val="14"/>
                <w:szCs w:val="14"/>
                <w:color w:val="auto"/>
              </w:rPr>
              <w:t>6,224</w:t>
            </w:r>
          </w:p>
        </w:tc>
        <w:tc>
          <w:tcPr>
            <w:tcW w:w="1200" w:type="dxa"/>
            <w:vAlign w:val="bottom"/>
          </w:tcPr>
          <w:p>
            <w:pPr>
              <w:jc w:val="right"/>
              <w:ind w:right="109"/>
              <w:spacing w:after="0" w:line="143" w:lineRule="exact"/>
              <w:rPr>
                <w:sz w:val="20"/>
                <w:szCs w:val="20"/>
                <w:color w:val="auto"/>
              </w:rPr>
            </w:pPr>
            <w:r>
              <w:rPr>
                <w:rFonts w:ascii="Arial" w:cs="Arial" w:eastAsia="Arial" w:hAnsi="Arial"/>
                <w:sz w:val="14"/>
                <w:szCs w:val="14"/>
                <w:color w:val="auto"/>
              </w:rPr>
              <w:t>(7,501)</w:t>
            </w:r>
          </w:p>
        </w:tc>
        <w:tc>
          <w:tcPr>
            <w:tcW w:w="1120" w:type="dxa"/>
            <w:vAlign w:val="bottom"/>
          </w:tcPr>
          <w:p>
            <w:pPr>
              <w:jc w:val="right"/>
              <w:spacing w:after="0" w:line="143" w:lineRule="exact"/>
              <w:rPr>
                <w:sz w:val="20"/>
                <w:szCs w:val="20"/>
                <w:color w:val="auto"/>
              </w:rPr>
            </w:pPr>
            <w:r>
              <w:rPr>
                <w:rFonts w:ascii="Arial" w:cs="Arial" w:eastAsia="Arial" w:hAnsi="Arial"/>
                <w:sz w:val="14"/>
                <w:szCs w:val="14"/>
                <w:color w:val="auto"/>
              </w:rPr>
              <w:t>7,620</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3660" w:type="dxa"/>
            <w:vAlign w:val="bottom"/>
          </w:tcPr>
          <w:p>
            <w:pPr>
              <w:spacing w:after="0" w:line="159" w:lineRule="exact"/>
              <w:rPr>
                <w:sz w:val="20"/>
                <w:szCs w:val="20"/>
                <w:color w:val="auto"/>
              </w:rPr>
            </w:pPr>
            <w:r>
              <w:rPr>
                <w:rFonts w:ascii="Arial" w:cs="Arial" w:eastAsia="Arial" w:hAnsi="Arial"/>
                <w:sz w:val="14"/>
                <w:szCs w:val="14"/>
                <w:b w:val="1"/>
                <w:bCs w:val="1"/>
                <w:color w:val="auto"/>
              </w:rPr>
              <w:t>Equity</w:t>
            </w: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560" w:type="dxa"/>
            <w:vAlign w:val="bottom"/>
            <w:gridSpan w:val="3"/>
          </w:tcPr>
          <w:p>
            <w:pPr>
              <w:jc w:val="right"/>
              <w:ind w:right="440"/>
              <w:spacing w:after="0" w:line="159" w:lineRule="exact"/>
              <w:rPr>
                <w:sz w:val="20"/>
                <w:szCs w:val="20"/>
                <w:color w:val="auto"/>
              </w:rPr>
            </w:pPr>
            <w:r>
              <w:rPr>
                <w:rFonts w:ascii="Arial" w:cs="Arial" w:eastAsia="Arial" w:hAnsi="Arial"/>
                <w:sz w:val="14"/>
                <w:szCs w:val="14"/>
                <w:color w:val="auto"/>
              </w:rPr>
              <w:t> </w:t>
            </w:r>
          </w:p>
        </w:tc>
      </w:tr>
      <w:tr>
        <w:trPr>
          <w:trHeight w:val="168"/>
        </w:trPr>
        <w:tc>
          <w:tcPr>
            <w:tcW w:w="3660" w:type="dxa"/>
            <w:vAlign w:val="bottom"/>
            <w:tcBorders>
              <w:bottom w:val="single" w:sz="8" w:color="B2B2B2"/>
            </w:tcBorders>
          </w:tcPr>
          <w:p>
            <w:pPr>
              <w:spacing w:after="0"/>
              <w:rPr>
                <w:sz w:val="20"/>
                <w:szCs w:val="20"/>
                <w:color w:val="auto"/>
              </w:rPr>
            </w:pPr>
            <w:r>
              <w:rPr>
                <w:rFonts w:ascii="Arial" w:cs="Arial" w:eastAsia="Arial" w:hAnsi="Arial"/>
                <w:sz w:val="14"/>
                <w:szCs w:val="14"/>
                <w:color w:val="auto"/>
              </w:rPr>
              <w:t>Total equity</w:t>
            </w:r>
          </w:p>
        </w:tc>
        <w:tc>
          <w:tcPr>
            <w:tcW w:w="980" w:type="dxa"/>
            <w:vAlign w:val="bottom"/>
            <w:tcBorders>
              <w:bottom w:val="single" w:sz="8" w:color="B2B2B2"/>
            </w:tcBorders>
          </w:tcPr>
          <w:p>
            <w:pPr>
              <w:jc w:val="right"/>
              <w:ind w:right="109"/>
              <w:spacing w:after="0"/>
              <w:rPr>
                <w:sz w:val="20"/>
                <w:szCs w:val="20"/>
                <w:color w:val="auto"/>
              </w:rPr>
            </w:pPr>
            <w:r>
              <w:rPr>
                <w:rFonts w:ascii="Arial" w:cs="Arial" w:eastAsia="Arial" w:hAnsi="Arial"/>
                <w:sz w:val="14"/>
                <w:szCs w:val="14"/>
                <w:color w:val="auto"/>
              </w:rPr>
              <w:t>11,064</w:t>
            </w:r>
          </w:p>
        </w:tc>
        <w:tc>
          <w:tcPr>
            <w:tcW w:w="1100" w:type="dxa"/>
            <w:vAlign w:val="bottom"/>
            <w:tcBorders>
              <w:bottom w:val="single" w:sz="8" w:color="B2B2B2"/>
            </w:tcBorders>
          </w:tcPr>
          <w:p>
            <w:pPr>
              <w:jc w:val="right"/>
              <w:ind w:right="12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B2B2B2"/>
            </w:tcBorders>
          </w:tcPr>
          <w:p>
            <w:pPr>
              <w:jc w:val="right"/>
              <w:ind w:right="109"/>
              <w:spacing w:after="0"/>
              <w:rPr>
                <w:sz w:val="20"/>
                <w:szCs w:val="20"/>
                <w:color w:val="auto"/>
              </w:rPr>
            </w:pPr>
            <w:r>
              <w:rPr>
                <w:rFonts w:ascii="Arial" w:cs="Arial" w:eastAsia="Arial" w:hAnsi="Arial"/>
                <w:sz w:val="14"/>
                <w:szCs w:val="14"/>
                <w:color w:val="auto"/>
              </w:rPr>
              <w:t>4,432</w:t>
            </w:r>
          </w:p>
        </w:tc>
        <w:tc>
          <w:tcPr>
            <w:tcW w:w="1200" w:type="dxa"/>
            <w:vAlign w:val="bottom"/>
            <w:tcBorders>
              <w:bottom w:val="single" w:sz="8" w:color="B2B2B2"/>
            </w:tcBorders>
          </w:tcPr>
          <w:p>
            <w:pPr>
              <w:jc w:val="right"/>
              <w:ind w:right="109"/>
              <w:spacing w:after="0"/>
              <w:rPr>
                <w:sz w:val="20"/>
                <w:szCs w:val="20"/>
                <w:color w:val="auto"/>
              </w:rPr>
            </w:pPr>
            <w:r>
              <w:rPr>
                <w:rFonts w:ascii="Arial" w:cs="Arial" w:eastAsia="Arial" w:hAnsi="Arial"/>
                <w:sz w:val="14"/>
                <w:szCs w:val="14"/>
                <w:color w:val="auto"/>
              </w:rPr>
              <w:t>14,572</w:t>
            </w:r>
          </w:p>
        </w:tc>
        <w:tc>
          <w:tcPr>
            <w:tcW w:w="1200" w:type="dxa"/>
            <w:vAlign w:val="bottom"/>
            <w:tcBorders>
              <w:bottom w:val="single" w:sz="8" w:color="B2B2B2"/>
            </w:tcBorders>
          </w:tcPr>
          <w:p>
            <w:pPr>
              <w:jc w:val="right"/>
              <w:ind w:right="109"/>
              <w:spacing w:after="0"/>
              <w:rPr>
                <w:sz w:val="20"/>
                <w:szCs w:val="20"/>
                <w:color w:val="auto"/>
              </w:rPr>
            </w:pPr>
            <w:r>
              <w:rPr>
                <w:rFonts w:ascii="Arial" w:cs="Arial" w:eastAsia="Arial" w:hAnsi="Arial"/>
                <w:sz w:val="14"/>
                <w:szCs w:val="14"/>
                <w:color w:val="auto"/>
              </w:rPr>
              <w:t>(19,004)</w:t>
            </w:r>
          </w:p>
        </w:tc>
        <w:tc>
          <w:tcPr>
            <w:tcW w:w="11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11,064</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9"/>
        </w:trPr>
        <w:tc>
          <w:tcPr>
            <w:tcW w:w="3660" w:type="dxa"/>
            <w:vAlign w:val="bottom"/>
            <w:tcBorders>
              <w:bottom w:val="single" w:sz="8" w:color="D64000"/>
            </w:tcBorders>
          </w:tcPr>
          <w:p>
            <w:pPr>
              <w:spacing w:after="0" w:line="152" w:lineRule="exact"/>
              <w:rPr>
                <w:sz w:val="20"/>
                <w:szCs w:val="20"/>
                <w:color w:val="auto"/>
              </w:rPr>
            </w:pPr>
            <w:r>
              <w:rPr>
                <w:rFonts w:ascii="Arial" w:cs="Arial" w:eastAsia="Arial" w:hAnsi="Arial"/>
                <w:sz w:val="14"/>
                <w:szCs w:val="14"/>
                <w:color w:val="auto"/>
              </w:rPr>
              <w:t>Total liabilities and equity</w:t>
            </w:r>
          </w:p>
        </w:tc>
        <w:tc>
          <w:tcPr>
            <w:tcW w:w="980" w:type="dxa"/>
            <w:vAlign w:val="bottom"/>
            <w:tcBorders>
              <w:bottom w:val="single" w:sz="8" w:color="D64000"/>
            </w:tcBorders>
          </w:tcPr>
          <w:p>
            <w:pPr>
              <w:jc w:val="right"/>
              <w:ind w:right="109"/>
              <w:spacing w:after="0" w:line="152" w:lineRule="exact"/>
              <w:rPr>
                <w:sz w:val="20"/>
                <w:szCs w:val="20"/>
                <w:color w:val="auto"/>
              </w:rPr>
            </w:pPr>
            <w:r>
              <w:rPr>
                <w:rFonts w:ascii="Arial" w:cs="Arial" w:eastAsia="Arial" w:hAnsi="Arial"/>
                <w:sz w:val="14"/>
                <w:szCs w:val="14"/>
                <w:color w:val="auto"/>
              </w:rPr>
              <w:t>17,566</w:t>
            </w:r>
          </w:p>
        </w:tc>
        <w:tc>
          <w:tcPr>
            <w:tcW w:w="1100" w:type="dxa"/>
            <w:vAlign w:val="bottom"/>
            <w:tcBorders>
              <w:bottom w:val="single" w:sz="8" w:color="D64000"/>
            </w:tcBorders>
          </w:tcPr>
          <w:p>
            <w:pPr>
              <w:jc w:val="right"/>
              <w:ind w:right="129"/>
              <w:spacing w:after="0" w:line="15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D64000"/>
            </w:tcBorders>
          </w:tcPr>
          <w:p>
            <w:pPr>
              <w:jc w:val="right"/>
              <w:ind w:right="109"/>
              <w:spacing w:after="0" w:line="152" w:lineRule="exact"/>
              <w:rPr>
                <w:sz w:val="20"/>
                <w:szCs w:val="20"/>
                <w:color w:val="auto"/>
              </w:rPr>
            </w:pPr>
            <w:r>
              <w:rPr>
                <w:rFonts w:ascii="Arial" w:cs="Arial" w:eastAsia="Arial" w:hAnsi="Arial"/>
                <w:sz w:val="14"/>
                <w:szCs w:val="14"/>
                <w:color w:val="auto"/>
              </w:rPr>
              <w:t>6,827</w:t>
            </w:r>
          </w:p>
        </w:tc>
        <w:tc>
          <w:tcPr>
            <w:tcW w:w="1200" w:type="dxa"/>
            <w:vAlign w:val="bottom"/>
            <w:tcBorders>
              <w:bottom w:val="single" w:sz="8" w:color="D64000"/>
            </w:tcBorders>
          </w:tcPr>
          <w:p>
            <w:pPr>
              <w:jc w:val="right"/>
              <w:ind w:right="109"/>
              <w:spacing w:after="0" w:line="152" w:lineRule="exact"/>
              <w:rPr>
                <w:sz w:val="20"/>
                <w:szCs w:val="20"/>
                <w:color w:val="auto"/>
              </w:rPr>
            </w:pPr>
            <w:r>
              <w:rPr>
                <w:rFonts w:ascii="Arial" w:cs="Arial" w:eastAsia="Arial" w:hAnsi="Arial"/>
                <w:sz w:val="14"/>
                <w:szCs w:val="14"/>
                <w:color w:val="auto"/>
              </w:rPr>
              <w:t>20,796</w:t>
            </w:r>
          </w:p>
        </w:tc>
        <w:tc>
          <w:tcPr>
            <w:tcW w:w="1200" w:type="dxa"/>
            <w:vAlign w:val="bottom"/>
            <w:tcBorders>
              <w:bottom w:val="single" w:sz="8" w:color="D64000"/>
            </w:tcBorders>
          </w:tcPr>
          <w:p>
            <w:pPr>
              <w:jc w:val="right"/>
              <w:ind w:right="109"/>
              <w:spacing w:after="0" w:line="152" w:lineRule="exact"/>
              <w:rPr>
                <w:sz w:val="20"/>
                <w:szCs w:val="20"/>
                <w:color w:val="auto"/>
              </w:rPr>
            </w:pPr>
            <w:r>
              <w:rPr>
                <w:rFonts w:ascii="Arial" w:cs="Arial" w:eastAsia="Arial" w:hAnsi="Arial"/>
                <w:sz w:val="14"/>
                <w:szCs w:val="14"/>
                <w:color w:val="auto"/>
              </w:rPr>
              <w:t>(26,505)</w:t>
            </w:r>
          </w:p>
        </w:tc>
        <w:tc>
          <w:tcPr>
            <w:tcW w:w="1120" w:type="dxa"/>
            <w:vAlign w:val="bottom"/>
            <w:tcBorders>
              <w:bottom w:val="single" w:sz="8" w:color="D64000"/>
            </w:tcBorders>
          </w:tcPr>
          <w:p>
            <w:pPr>
              <w:jc w:val="right"/>
              <w:spacing w:after="0" w:line="152" w:lineRule="exact"/>
              <w:rPr>
                <w:sz w:val="20"/>
                <w:szCs w:val="20"/>
                <w:color w:val="auto"/>
              </w:rPr>
            </w:pPr>
            <w:r>
              <w:rPr>
                <w:rFonts w:ascii="Arial" w:cs="Arial" w:eastAsia="Arial" w:hAnsi="Arial"/>
                <w:sz w:val="14"/>
                <w:szCs w:val="14"/>
                <w:color w:val="auto"/>
              </w:rPr>
              <w:t>18,684</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3660" w:type="dxa"/>
            <w:vAlign w:val="bottom"/>
            <w:tcBorders>
              <w:bottom w:val="single" w:sz="8" w:color="7F7F7F"/>
            </w:tcBorders>
          </w:tcPr>
          <w:p>
            <w:pPr>
              <w:spacing w:after="0"/>
              <w:rPr>
                <w:sz w:val="13"/>
                <w:szCs w:val="13"/>
                <w:color w:val="auto"/>
              </w:rPr>
            </w:pPr>
          </w:p>
        </w:tc>
        <w:tc>
          <w:tcPr>
            <w:tcW w:w="980" w:type="dxa"/>
            <w:vAlign w:val="bottom"/>
            <w:tcBorders>
              <w:bottom w:val="single" w:sz="8" w:color="7F7F7F"/>
            </w:tcBorders>
          </w:tcPr>
          <w:p>
            <w:pPr>
              <w:spacing w:after="0"/>
              <w:rPr>
                <w:sz w:val="13"/>
                <w:szCs w:val="13"/>
                <w:color w:val="auto"/>
              </w:rPr>
            </w:pPr>
          </w:p>
        </w:tc>
        <w:tc>
          <w:tcPr>
            <w:tcW w:w="1100" w:type="dxa"/>
            <w:vAlign w:val="bottom"/>
            <w:tcBorders>
              <w:bottom w:val="single" w:sz="8" w:color="7F7F7F"/>
            </w:tcBorders>
          </w:tcPr>
          <w:p>
            <w:pPr>
              <w:spacing w:after="0"/>
              <w:rPr>
                <w:sz w:val="13"/>
                <w:szCs w:val="13"/>
                <w:color w:val="auto"/>
              </w:rPr>
            </w:pPr>
          </w:p>
        </w:tc>
        <w:tc>
          <w:tcPr>
            <w:tcW w:w="1120" w:type="dxa"/>
            <w:vAlign w:val="bottom"/>
            <w:tcBorders>
              <w:bottom w:val="single" w:sz="8" w:color="7F7F7F"/>
            </w:tcBorders>
          </w:tcPr>
          <w:p>
            <w:pPr>
              <w:spacing w:after="0"/>
              <w:rPr>
                <w:sz w:val="13"/>
                <w:szCs w:val="13"/>
                <w:color w:val="auto"/>
              </w:rPr>
            </w:pPr>
          </w:p>
        </w:tc>
        <w:tc>
          <w:tcPr>
            <w:tcW w:w="3940" w:type="dxa"/>
            <w:vAlign w:val="bottom"/>
            <w:tcBorders>
              <w:bottom w:val="single" w:sz="8" w:color="7F7F7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41"/>
        </w:trPr>
        <w:tc>
          <w:tcPr>
            <w:tcW w:w="3660" w:type="dxa"/>
            <w:vAlign w:val="bottom"/>
          </w:tcPr>
          <w:p>
            <w:pPr>
              <w:spacing w:after="0"/>
              <w:rPr>
                <w:sz w:val="20"/>
                <w:szCs w:val="20"/>
                <w:color w:val="auto"/>
              </w:rPr>
            </w:pPr>
            <w:r>
              <w:rPr>
                <w:rFonts w:ascii="Arial" w:cs="Arial" w:eastAsia="Arial" w:hAnsi="Arial"/>
                <w:sz w:val="17"/>
                <w:szCs w:val="17"/>
                <w:color w:val="auto"/>
              </w:rPr>
              <w:t>Page 80</w:t>
            </w:r>
          </w:p>
        </w:tc>
        <w:tc>
          <w:tcPr>
            <w:tcW w:w="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960" w:type="dxa"/>
            <w:vAlign w:val="bottom"/>
            <w:gridSpan w:val="5"/>
          </w:tcPr>
          <w:p>
            <w:pPr>
              <w:ind w:left="900"/>
              <w:spacing w:after="0"/>
              <w:rPr>
                <w:sz w:val="20"/>
                <w:szCs w:val="20"/>
                <w:color w:val="auto"/>
              </w:rPr>
            </w:pPr>
            <w:r>
              <w:rPr>
                <w:rFonts w:ascii="Arial" w:cs="Arial" w:eastAsia="Arial" w:hAnsi="Arial"/>
                <w:sz w:val="17"/>
                <w:szCs w:val="17"/>
                <w:b w:val="1"/>
                <w:bCs w:val="1"/>
                <w:color w:val="auto"/>
                <w:w w:val="98"/>
              </w:rPr>
              <w:t>Thomson Reuters Annual Report 2024</w:t>
            </w:r>
          </w:p>
        </w:tc>
      </w:tr>
    </w:tbl>
    <w:p>
      <w:pPr>
        <w:sectPr>
          <w:pgSz w:w="11900" w:h="16838" w:orient="portrait"/>
          <w:cols w:equalWidth="0" w:num="1">
            <w:col w:w="11040"/>
          </w:cols>
          <w:pgMar w:left="320" w:top="477" w:right="5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298" w:lineRule="exact"/>
        <w:rPr>
          <w:sz w:val="20"/>
          <w:szCs w:val="20"/>
          <w:color w:val="auto"/>
        </w:rPr>
      </w:pPr>
    </w:p>
    <w:p>
      <w:pPr>
        <w:ind w:left="220"/>
        <w:spacing w:after="0"/>
        <w:rPr>
          <w:sz w:val="20"/>
          <w:szCs w:val="20"/>
          <w:color w:val="auto"/>
        </w:rPr>
      </w:pPr>
      <w:r>
        <w:rPr>
          <w:rFonts w:ascii="Arial" w:cs="Arial" w:eastAsia="Arial" w:hAnsi="Arial"/>
          <w:sz w:val="28"/>
          <w:szCs w:val="28"/>
          <w:b w:val="1"/>
          <w:bCs w:val="1"/>
          <w:color w:val="1F473D"/>
        </w:rPr>
        <w:t>Consolidated Financial Statements</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Management’s Responsibility for the Consolidated Financial Statements</w:t>
      </w:r>
    </w:p>
    <w:p>
      <w:pPr>
        <w:spacing w:after="0" w:line="52" w:lineRule="exact"/>
        <w:rPr>
          <w:sz w:val="20"/>
          <w:szCs w:val="20"/>
          <w:color w:val="auto"/>
        </w:rPr>
      </w:pPr>
    </w:p>
    <w:p>
      <w:pPr>
        <w:ind w:left="220" w:right="40"/>
        <w:spacing w:after="0" w:line="237" w:lineRule="auto"/>
        <w:rPr>
          <w:sz w:val="20"/>
          <w:szCs w:val="20"/>
          <w:color w:val="auto"/>
        </w:rPr>
      </w:pPr>
      <w:r>
        <w:rPr>
          <w:rFonts w:ascii="Arial" w:cs="Arial" w:eastAsia="Arial" w:hAnsi="Arial"/>
          <w:sz w:val="18"/>
          <w:szCs w:val="18"/>
          <w:color w:val="auto"/>
        </w:rPr>
        <w:t>The management of Thomson Reuters Corporation (the “Company”) is responsible for the accompanying consolidated financial statements and other information included in this annual report. The financial statements have been prepared in conformity with International Financial Reporting Standards, as issued by the International Accounting Standards Board, using the best estimates and judgments of management, where appropriate. Information presented elsewhere in this annual report is consistent with that in the financial statements.</w:t>
      </w:r>
    </w:p>
    <w:p>
      <w:pPr>
        <w:spacing w:after="0" w:line="181" w:lineRule="exact"/>
        <w:rPr>
          <w:sz w:val="20"/>
          <w:szCs w:val="20"/>
          <w:color w:val="auto"/>
        </w:rPr>
      </w:pPr>
    </w:p>
    <w:p>
      <w:pPr>
        <w:ind w:left="220" w:right="160"/>
        <w:spacing w:after="0" w:line="236" w:lineRule="auto"/>
        <w:rPr>
          <w:sz w:val="20"/>
          <w:szCs w:val="20"/>
          <w:color w:val="auto"/>
        </w:rPr>
      </w:pPr>
      <w:r>
        <w:rPr>
          <w:rFonts w:ascii="Arial" w:cs="Arial" w:eastAsia="Arial" w:hAnsi="Arial"/>
          <w:sz w:val="18"/>
          <w:szCs w:val="18"/>
          <w:color w:val="auto"/>
        </w:rPr>
        <w:t>The Company’s board of directors is responsible for ensuring that management fulfills its responsibilities in respect of financial reporting and internal control. The Audit Committee of the board of directors meets periodically with management and the Company’s independent auditor to discuss auditing matters and financial reporting issues. In addition, the Audit Committee approves the interim consolidated financial statements and recommends to the board of directors the approval of the annual consolidated financial statements and the annual appointment of the independent auditor. The board of directors has approved the information contained in the accompanying consolidated financial statements.</w:t>
      </w:r>
    </w:p>
    <w:p>
      <w:pPr>
        <w:sectPr>
          <w:pgSz w:w="11900" w:h="16838" w:orient="portrait"/>
          <w:cols w:equalWidth="0" w:num="1">
            <w:col w:w="11040"/>
          </w:cols>
          <w:pgMar w:left="320" w:top="477" w:right="539" w:bottom="1440" w:gutter="0" w:footer="0" w:header="0"/>
        </w:sectPr>
      </w:pPr>
    </w:p>
    <w:p>
      <w:pPr>
        <w:spacing w:after="0" w:line="25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 Steve Hasker</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/s/ Michael Eastwood</w:t>
      </w:r>
    </w:p>
    <w:p>
      <w:pPr>
        <w:spacing w:after="0" w:line="134" w:lineRule="exact"/>
        <w:rPr>
          <w:sz w:val="20"/>
          <w:szCs w:val="20"/>
          <w:color w:val="auto"/>
        </w:rPr>
      </w:pPr>
    </w:p>
    <w:p>
      <w:pPr>
        <w:sectPr>
          <w:pgSz w:w="11900" w:h="16838" w:orient="portrait"/>
          <w:cols w:equalWidth="0" w:num="2">
            <w:col w:w="5020" w:space="720"/>
            <w:col w:w="5300"/>
          </w:cols>
          <w:pgMar w:left="320" w:top="477" w:right="539" w:bottom="1440" w:gutter="0" w:footer="0" w:header="0"/>
          <w:type w:val="continuous"/>
        </w:sectPr>
      </w:pPr>
    </w:p>
    <w:p>
      <w:pPr>
        <w:ind w:left="220"/>
        <w:spacing w:after="0"/>
        <w:rPr>
          <w:sz w:val="20"/>
          <w:szCs w:val="20"/>
          <w:color w:val="auto"/>
        </w:rPr>
      </w:pPr>
      <w:r>
        <w:rPr>
          <w:rFonts w:ascii="Arial" w:cs="Arial" w:eastAsia="Arial" w:hAnsi="Arial"/>
          <w:sz w:val="16"/>
          <w:szCs w:val="16"/>
          <w:b w:val="1"/>
          <w:bCs w:val="1"/>
          <w:color w:val="auto"/>
        </w:rPr>
        <w:t>Steve Hasker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Michael Eastwood</w:t>
      </w:r>
    </w:p>
    <w:p>
      <w:pPr>
        <w:spacing w:after="0" w:line="39" w:lineRule="exact"/>
        <w:rPr>
          <w:sz w:val="20"/>
          <w:szCs w:val="20"/>
          <w:color w:val="auto"/>
        </w:rPr>
      </w:pPr>
    </w:p>
    <w:p>
      <w:pPr>
        <w:sectPr>
          <w:pgSz w:w="11900" w:h="16838" w:orient="portrait"/>
          <w:cols w:equalWidth="0" w:num="2">
            <w:col w:w="5020" w:space="720"/>
            <w:col w:w="5300"/>
          </w:cols>
          <w:pgMar w:left="320" w:top="477" w:right="539"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Financial Officer</w:t>
      </w:r>
    </w:p>
    <w:p>
      <w:pPr>
        <w:spacing w:after="0" w:line="200" w:lineRule="exact"/>
        <w:rPr>
          <w:sz w:val="20"/>
          <w:szCs w:val="20"/>
          <w:color w:val="auto"/>
        </w:rPr>
      </w:pPr>
    </w:p>
    <w:p>
      <w:pPr>
        <w:sectPr>
          <w:pgSz w:w="11900" w:h="16838" w:orient="portrait"/>
          <w:cols w:equalWidth="0" w:num="2">
            <w:col w:w="5020" w:space="720"/>
            <w:col w:w="5300"/>
          </w:cols>
          <w:pgMar w:left="320" w:top="477" w:right="539" w:bottom="1440" w:gutter="0" w:footer="0" w:header="0"/>
          <w:type w:val="continuous"/>
        </w:sectPr>
      </w:pPr>
    </w:p>
    <w:p>
      <w:pPr>
        <w:spacing w:after="0" w:line="3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March 6, 2025</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Management’s Report on Internal Control Over Financial Reporting</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Management is responsible for establishing and maintaining adequate internal control over financial reporting.</w:t>
      </w:r>
    </w:p>
    <w:p>
      <w:pPr>
        <w:ind w:left="220" w:right="80"/>
        <w:spacing w:after="0" w:line="232" w:lineRule="auto"/>
        <w:rPr>
          <w:sz w:val="20"/>
          <w:szCs w:val="20"/>
          <w:color w:val="auto"/>
        </w:rPr>
      </w:pPr>
      <w:r>
        <w:rPr>
          <w:rFonts w:ascii="Arial" w:cs="Arial" w:eastAsia="Arial" w:hAnsi="Arial"/>
          <w:sz w:val="18"/>
          <w:szCs w:val="18"/>
          <w:color w:val="auto"/>
        </w:rPr>
        <w:t>Internal control over financial reporting is a process that is designed to provide reasonable assurance regarding the reliability of financial reporting and the preparation of financial statements for external purposes in accordance with International Financial Reporting Standards (“IFRS”), as issued by the International Accounting Standards Board. Internal control over financial reporting includes those policies and procedures that (i) pertain to the maintenance of records that, in reasonable detail, accurately and fairly reflect the transactions and dispositions of the assets of Thomson Reuters Corporation (the “Company”); (ii) provide reasonable assurance that transactions are recorded as necessary to permit preparation of financial statements in accordance with IFRS,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3" w:lineRule="exact"/>
        <w:rPr>
          <w:sz w:val="20"/>
          <w:szCs w:val="20"/>
          <w:color w:val="auto"/>
        </w:rPr>
      </w:pPr>
    </w:p>
    <w:p>
      <w:pPr>
        <w:ind w:left="220" w:right="20"/>
        <w:spacing w:after="0" w:line="24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69" w:lineRule="exact"/>
        <w:rPr>
          <w:sz w:val="20"/>
          <w:szCs w:val="20"/>
          <w:color w:val="auto"/>
        </w:rPr>
      </w:pPr>
    </w:p>
    <w:p>
      <w:pPr>
        <w:ind w:left="220" w:right="260"/>
        <w:spacing w:after="0" w:line="238" w:lineRule="auto"/>
        <w:rPr>
          <w:sz w:val="20"/>
          <w:szCs w:val="20"/>
          <w:color w:val="auto"/>
        </w:rPr>
      </w:pPr>
      <w:r>
        <w:rPr>
          <w:rFonts w:ascii="Arial" w:cs="Arial" w:eastAsia="Arial" w:hAnsi="Arial"/>
          <w:sz w:val="17"/>
          <w:szCs w:val="17"/>
          <w:color w:val="auto"/>
        </w:rPr>
        <w:t xml:space="preserve">Management conducted an evaluation of the effectiveness of its system of internal control over financial reporting based on the framework and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Based on this evaluation, management concluded that the Company’s internal control over financial reporting was effective as of December 31, 2024.</w:t>
      </w:r>
    </w:p>
    <w:p>
      <w:pPr>
        <w:spacing w:after="0" w:line="73" w:lineRule="exact"/>
        <w:rPr>
          <w:sz w:val="20"/>
          <w:szCs w:val="20"/>
          <w:color w:val="auto"/>
        </w:rPr>
      </w:pPr>
    </w:p>
    <w:p>
      <w:pPr>
        <w:jc w:val="both"/>
        <w:ind w:left="220" w:right="1780"/>
        <w:spacing w:after="0" w:line="291" w:lineRule="auto"/>
        <w:rPr>
          <w:sz w:val="20"/>
          <w:szCs w:val="20"/>
          <w:color w:val="auto"/>
        </w:rPr>
      </w:pPr>
      <w:r>
        <w:rPr>
          <w:rFonts w:ascii="Arial" w:cs="Arial" w:eastAsia="Arial" w:hAnsi="Arial"/>
          <w:sz w:val="16"/>
          <w:szCs w:val="16"/>
          <w:color w:val="auto"/>
        </w:rPr>
        <w:t>The effectiveness of the Company’s internal control over financial reporting as of December 31, 2024 has been audited by PricewaterhouseCoopers LLP, independent registered public accounting firm, as stated in its report which appears herein.</w:t>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222"/>
        </w:trPr>
        <w:tc>
          <w:tcPr>
            <w:tcW w:w="4280" w:type="dxa"/>
            <w:vAlign w:val="bottom"/>
          </w:tcPr>
          <w:p>
            <w:pPr>
              <w:spacing w:after="0"/>
              <w:rPr>
                <w:sz w:val="20"/>
                <w:szCs w:val="20"/>
                <w:color w:val="auto"/>
              </w:rPr>
            </w:pPr>
            <w:r>
              <w:rPr>
                <w:rFonts w:ascii="Arial" w:cs="Arial" w:eastAsia="Arial" w:hAnsi="Arial"/>
                <w:sz w:val="17"/>
                <w:szCs w:val="17"/>
                <w:color w:val="auto"/>
              </w:rPr>
              <w:t>/s/ Steve Hasker</w:t>
            </w:r>
          </w:p>
        </w:tc>
        <w:tc>
          <w:tcPr>
            <w:tcW w:w="6540" w:type="dxa"/>
            <w:vAlign w:val="bottom"/>
            <w:gridSpan w:val="2"/>
          </w:tcPr>
          <w:p>
            <w:pPr>
              <w:ind w:left="1240"/>
              <w:spacing w:after="0"/>
              <w:rPr>
                <w:sz w:val="20"/>
                <w:szCs w:val="20"/>
                <w:color w:val="auto"/>
              </w:rPr>
            </w:pPr>
            <w:r>
              <w:rPr>
                <w:rFonts w:ascii="Arial" w:cs="Arial" w:eastAsia="Arial" w:hAnsi="Arial"/>
                <w:sz w:val="17"/>
                <w:szCs w:val="17"/>
                <w:color w:val="auto"/>
              </w:rPr>
              <w:t>/s/ Michael Eastwood</w:t>
            </w:r>
          </w:p>
        </w:tc>
      </w:tr>
      <w:tr>
        <w:trPr>
          <w:trHeight w:val="282"/>
        </w:trPr>
        <w:tc>
          <w:tcPr>
            <w:tcW w:w="4280" w:type="dxa"/>
            <w:vAlign w:val="bottom"/>
          </w:tcPr>
          <w:p>
            <w:pPr>
              <w:spacing w:after="0"/>
              <w:rPr>
                <w:sz w:val="20"/>
                <w:szCs w:val="20"/>
                <w:color w:val="auto"/>
              </w:rPr>
            </w:pPr>
            <w:r>
              <w:rPr>
                <w:rFonts w:ascii="Arial" w:cs="Arial" w:eastAsia="Arial" w:hAnsi="Arial"/>
                <w:sz w:val="17"/>
                <w:szCs w:val="17"/>
                <w:b w:val="1"/>
                <w:bCs w:val="1"/>
                <w:color w:val="auto"/>
              </w:rPr>
              <w:t>Steve Hasker</w:t>
            </w:r>
          </w:p>
        </w:tc>
        <w:tc>
          <w:tcPr>
            <w:tcW w:w="6540" w:type="dxa"/>
            <w:vAlign w:val="bottom"/>
            <w:gridSpan w:val="2"/>
          </w:tcPr>
          <w:p>
            <w:pPr>
              <w:ind w:left="1240"/>
              <w:spacing w:after="0"/>
              <w:rPr>
                <w:sz w:val="20"/>
                <w:szCs w:val="20"/>
                <w:color w:val="auto"/>
              </w:rPr>
            </w:pPr>
            <w:r>
              <w:rPr>
                <w:rFonts w:ascii="Arial" w:cs="Arial" w:eastAsia="Arial" w:hAnsi="Arial"/>
                <w:sz w:val="17"/>
                <w:szCs w:val="17"/>
                <w:b w:val="1"/>
                <w:bCs w:val="1"/>
                <w:color w:val="auto"/>
              </w:rPr>
              <w:t>Michael Eastwood</w:t>
            </w:r>
          </w:p>
        </w:tc>
      </w:tr>
      <w:tr>
        <w:trPr>
          <w:trHeight w:val="235"/>
        </w:trPr>
        <w:tc>
          <w:tcPr>
            <w:tcW w:w="4280" w:type="dxa"/>
            <w:vAlign w:val="bottom"/>
          </w:tcPr>
          <w:p>
            <w:pPr>
              <w:spacing w:after="0"/>
              <w:rPr>
                <w:sz w:val="20"/>
                <w:szCs w:val="20"/>
                <w:color w:val="auto"/>
              </w:rPr>
            </w:pPr>
            <w:r>
              <w:rPr>
                <w:rFonts w:ascii="Arial" w:cs="Arial" w:eastAsia="Arial" w:hAnsi="Arial"/>
                <w:sz w:val="17"/>
                <w:szCs w:val="17"/>
                <w:color w:val="auto"/>
              </w:rPr>
              <w:t>President and Chief Executive Officer</w:t>
            </w:r>
          </w:p>
        </w:tc>
        <w:tc>
          <w:tcPr>
            <w:tcW w:w="6540" w:type="dxa"/>
            <w:vAlign w:val="bottom"/>
            <w:gridSpan w:val="2"/>
          </w:tcPr>
          <w:p>
            <w:pPr>
              <w:ind w:left="1240"/>
              <w:spacing w:after="0"/>
              <w:rPr>
                <w:sz w:val="20"/>
                <w:szCs w:val="20"/>
                <w:color w:val="auto"/>
              </w:rPr>
            </w:pPr>
            <w:r>
              <w:rPr>
                <w:rFonts w:ascii="Arial" w:cs="Arial" w:eastAsia="Arial" w:hAnsi="Arial"/>
                <w:sz w:val="17"/>
                <w:szCs w:val="17"/>
                <w:color w:val="auto"/>
              </w:rPr>
              <w:t>Chief Financial Officer</w:t>
            </w:r>
          </w:p>
        </w:tc>
      </w:tr>
      <w:tr>
        <w:trPr>
          <w:trHeight w:val="570"/>
        </w:trPr>
        <w:tc>
          <w:tcPr>
            <w:tcW w:w="4280" w:type="dxa"/>
            <w:vAlign w:val="bottom"/>
          </w:tcPr>
          <w:p>
            <w:pPr>
              <w:spacing w:after="0"/>
              <w:rPr>
                <w:sz w:val="20"/>
                <w:szCs w:val="20"/>
                <w:color w:val="auto"/>
              </w:rPr>
            </w:pPr>
            <w:r>
              <w:rPr>
                <w:rFonts w:ascii="Arial" w:cs="Arial" w:eastAsia="Arial" w:hAnsi="Arial"/>
                <w:sz w:val="17"/>
                <w:szCs w:val="17"/>
                <w:color w:val="auto"/>
              </w:rPr>
              <w:t>March 6, 2025</w:t>
            </w:r>
          </w:p>
        </w:tc>
        <w:tc>
          <w:tcPr>
            <w:tcW w:w="6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5"/>
        </w:trPr>
        <w:tc>
          <w:tcPr>
            <w:tcW w:w="4280" w:type="dxa"/>
            <w:vAlign w:val="bottom"/>
            <w:tcBorders>
              <w:bottom w:val="single" w:sz="8" w:color="7F7F7F"/>
            </w:tcBorders>
          </w:tcPr>
          <w:p>
            <w:pPr>
              <w:spacing w:after="0"/>
              <w:rPr>
                <w:sz w:val="12"/>
                <w:szCs w:val="12"/>
                <w:color w:val="auto"/>
              </w:rPr>
            </w:pPr>
          </w:p>
        </w:tc>
        <w:tc>
          <w:tcPr>
            <w:tcW w:w="6520" w:type="dxa"/>
            <w:vAlign w:val="bottom"/>
            <w:tcBorders>
              <w:bottom w:val="single" w:sz="8" w:color="7F7F7F"/>
            </w:tcBorders>
          </w:tcPr>
          <w:p>
            <w:pPr>
              <w:spacing w:after="0"/>
              <w:rPr>
                <w:sz w:val="12"/>
                <w:szCs w:val="12"/>
                <w:color w:val="auto"/>
              </w:rPr>
            </w:pPr>
          </w:p>
        </w:tc>
        <w:tc>
          <w:tcPr>
            <w:tcW w:w="20" w:type="dxa"/>
            <w:vAlign w:val="bottom"/>
          </w:tcPr>
          <w:p>
            <w:pPr>
              <w:spacing w:after="0"/>
              <w:rPr>
                <w:sz w:val="12"/>
                <w:szCs w:val="12"/>
                <w:color w:val="auto"/>
              </w:rPr>
            </w:pPr>
          </w:p>
        </w:tc>
      </w:tr>
      <w:tr>
        <w:trPr>
          <w:trHeight w:val="241"/>
        </w:trPr>
        <w:tc>
          <w:tcPr>
            <w:tcW w:w="4280" w:type="dxa"/>
            <w:vAlign w:val="bottom"/>
          </w:tcPr>
          <w:p>
            <w:pPr>
              <w:spacing w:after="0"/>
              <w:rPr>
                <w:sz w:val="20"/>
                <w:szCs w:val="20"/>
                <w:color w:val="auto"/>
              </w:rPr>
            </w:pPr>
            <w:r>
              <w:rPr>
                <w:rFonts w:ascii="Arial" w:cs="Arial" w:eastAsia="Arial" w:hAnsi="Arial"/>
                <w:sz w:val="17"/>
                <w:szCs w:val="17"/>
                <w:b w:val="1"/>
                <w:bCs w:val="1"/>
                <w:color w:val="auto"/>
              </w:rPr>
              <w:t>Thomson Reuters Annual Report 2024</w:t>
            </w:r>
          </w:p>
        </w:tc>
        <w:tc>
          <w:tcPr>
            <w:tcW w:w="6540" w:type="dxa"/>
            <w:vAlign w:val="bottom"/>
            <w:gridSpan w:val="2"/>
          </w:tcPr>
          <w:p>
            <w:pPr>
              <w:ind w:left="5900"/>
              <w:spacing w:after="0"/>
              <w:rPr>
                <w:sz w:val="20"/>
                <w:szCs w:val="20"/>
                <w:color w:val="auto"/>
              </w:rPr>
            </w:pPr>
            <w:r>
              <w:rPr>
                <w:rFonts w:ascii="Arial" w:cs="Arial" w:eastAsia="Arial" w:hAnsi="Arial"/>
                <w:sz w:val="17"/>
                <w:szCs w:val="17"/>
                <w:color w:val="auto"/>
                <w:w w:val="97"/>
              </w:rPr>
              <w:t>Page 81</w:t>
            </w:r>
          </w:p>
        </w:tc>
      </w:tr>
    </w:tbl>
    <w:p>
      <w:pPr>
        <w:sectPr>
          <w:pgSz w:w="11900" w:h="16838" w:orient="portrait"/>
          <w:cols w:equalWidth="0" w:num="1">
            <w:col w:w="11040"/>
          </w:cols>
          <w:pgMar w:left="320" w:top="477" w:right="5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1740" w:firstLine="1993"/>
        <w:spacing w:after="0" w:line="329" w:lineRule="auto"/>
        <w:rPr>
          <w:sz w:val="20"/>
          <w:szCs w:val="20"/>
          <w:color w:val="auto"/>
        </w:rPr>
      </w:pPr>
      <w:r>
        <w:rPr>
          <w:rFonts w:ascii="Arial" w:cs="Arial" w:eastAsia="Arial" w:hAnsi="Arial"/>
          <w:sz w:val="24"/>
          <w:szCs w:val="24"/>
          <w:b w:val="1"/>
          <w:bCs w:val="1"/>
          <w:color w:val="auto"/>
        </w:rPr>
        <w:t xml:space="preserve">Report of Independent Registered Public Accounting Firm </w:t>
      </w:r>
      <w:r>
        <w:rPr>
          <w:rFonts w:ascii="Arial" w:cs="Arial" w:eastAsia="Arial" w:hAnsi="Arial"/>
          <w:sz w:val="24"/>
          <w:szCs w:val="24"/>
          <w:b w:val="1"/>
          <w:bCs w:val="1"/>
          <w:color w:val="D64000"/>
        </w:rPr>
        <w:t>To the Board of Directors and Shareholders of Thomson Reuters Corporation</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Opinions on the Financial Statements and Internal Control over Financial Reporting</w:t>
      </w:r>
    </w:p>
    <w:p>
      <w:pPr>
        <w:spacing w:after="0" w:line="81" w:lineRule="exact"/>
        <w:rPr>
          <w:sz w:val="20"/>
          <w:szCs w:val="20"/>
          <w:color w:val="auto"/>
        </w:rPr>
      </w:pPr>
    </w:p>
    <w:p>
      <w:pPr>
        <w:ind w:left="220" w:right="220"/>
        <w:spacing w:after="0" w:line="254" w:lineRule="auto"/>
        <w:rPr>
          <w:sz w:val="20"/>
          <w:szCs w:val="20"/>
          <w:color w:val="auto"/>
        </w:rPr>
      </w:pPr>
      <w:r>
        <w:rPr>
          <w:rFonts w:ascii="Arial" w:cs="Arial" w:eastAsia="Arial" w:hAnsi="Arial"/>
          <w:sz w:val="16"/>
          <w:szCs w:val="16"/>
          <w:color w:val="auto"/>
        </w:rPr>
        <w:t xml:space="preserve">We have audited the accompanying consolidated statement of financial position of Thomson Reuters Corporation and its subsidiaries (the “Company”) as of December 31, 2024 and 2023, and the related consolidated statements of income, of comprehensive income, of changes in equity and of cash flow for the years then ended, including the related notes (collectively referred to as the “consolidated financial statements”). We also have audited the Company’s internal control over financial reporting as of December 31, 2024,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(2013) </w:t>
      </w:r>
      <w:r>
        <w:rPr>
          <w:rFonts w:ascii="Arial" w:cs="Arial" w:eastAsia="Arial" w:hAnsi="Arial"/>
          <w:sz w:val="16"/>
          <w:szCs w:val="16"/>
          <w:color w:val="auto"/>
        </w:rPr>
        <w:t>issued by the Committee of Sponsoring Organizations of the Treadway Commission (COSO).</w:t>
      </w:r>
    </w:p>
    <w:p>
      <w:pPr>
        <w:spacing w:after="0" w:line="166" w:lineRule="exact"/>
        <w:rPr>
          <w:sz w:val="20"/>
          <w:szCs w:val="20"/>
          <w:color w:val="auto"/>
        </w:rPr>
      </w:pPr>
    </w:p>
    <w:p>
      <w:pPr>
        <w:ind w:left="220" w:right="40"/>
        <w:spacing w:after="0" w:line="236"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the Company as of December 31, 2024 and 2023, and the results of its operations and its cash flows for the years then ended in conformity with International Financial Reporting Standards as issued by the International Accounting Standards Board. Also in our opinion, the Company maintained, in all material respects, effective internal control over financial reporting as of December 31, 2024, based on criteria established in </w:t>
      </w:r>
      <w:r>
        <w:rPr>
          <w:rFonts w:ascii="Arial" w:cs="Arial" w:eastAsia="Arial" w:hAnsi="Arial"/>
          <w:sz w:val="17"/>
          <w:szCs w:val="17"/>
          <w:i w:val="1"/>
          <w:iCs w:val="1"/>
          <w:color w:val="auto"/>
        </w:rPr>
        <w:t>Internal Control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(2013) </w:t>
      </w:r>
      <w:r>
        <w:rPr>
          <w:rFonts w:ascii="Arial" w:cs="Arial" w:eastAsia="Arial" w:hAnsi="Arial"/>
          <w:sz w:val="17"/>
          <w:szCs w:val="17"/>
          <w:color w:val="auto"/>
        </w:rPr>
        <w:t>issued by the COSO.</w:t>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Basis for Opinions</w:t>
      </w:r>
    </w:p>
    <w:p>
      <w:pPr>
        <w:spacing w:after="0" w:line="134" w:lineRule="exact"/>
        <w:rPr>
          <w:sz w:val="20"/>
          <w:szCs w:val="20"/>
          <w:color w:val="auto"/>
        </w:rPr>
      </w:pPr>
    </w:p>
    <w:p>
      <w:pPr>
        <w:ind w:left="220" w:right="40"/>
        <w:spacing w:after="0" w:line="251"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8" w:lineRule="exact"/>
        <w:rPr>
          <w:sz w:val="20"/>
          <w:szCs w:val="20"/>
          <w:color w:val="auto"/>
        </w:rPr>
      </w:pPr>
    </w:p>
    <w:p>
      <w:pPr>
        <w:jc w:val="both"/>
        <w:ind w:left="220" w:right="100"/>
        <w:spacing w:after="0" w:line="24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55" w:lineRule="exact"/>
        <w:rPr>
          <w:sz w:val="20"/>
          <w:szCs w:val="20"/>
          <w:color w:val="auto"/>
        </w:rPr>
      </w:pPr>
    </w:p>
    <w:p>
      <w:pPr>
        <w:ind w:left="220" w:right="60"/>
        <w:spacing w:after="0" w:line="233" w:lineRule="auto"/>
        <w:rPr>
          <w:sz w:val="20"/>
          <w:szCs w:val="20"/>
          <w:color w:val="auto"/>
        </w:rPr>
      </w:pPr>
      <w:r>
        <w:rPr>
          <w:rFonts w:ascii="Arial" w:cs="Arial" w:eastAsia="Arial" w:hAnsi="Arial"/>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121" w:lineRule="exact"/>
        <w:rPr>
          <w:sz w:val="20"/>
          <w:szCs w:val="20"/>
          <w:color w:val="auto"/>
        </w:rPr>
      </w:pPr>
    </w:p>
    <w:p>
      <w:pPr>
        <w:ind w:left="220" w:right="220"/>
        <w:spacing w:after="0" w:line="233"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2" w:lineRule="exact"/>
        <w:rPr>
          <w:sz w:val="20"/>
          <w:szCs w:val="20"/>
          <w:color w:val="auto"/>
        </w:rPr>
      </w:pPr>
    </w:p>
    <w:p>
      <w:pPr>
        <w:ind w:left="220" w:right="20"/>
        <w:spacing w:after="0" w:line="24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Critical Audit Matters</w:t>
      </w:r>
    </w:p>
    <w:p>
      <w:pPr>
        <w:spacing w:after="0" w:line="134" w:lineRule="exact"/>
        <w:rPr>
          <w:sz w:val="20"/>
          <w:szCs w:val="20"/>
          <w:color w:val="auto"/>
        </w:rPr>
      </w:pPr>
    </w:p>
    <w:p>
      <w:pPr>
        <w:ind w:left="220" w:right="40"/>
        <w:spacing w:after="0" w:line="254"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85725</wp:posOffset>
            </wp:positionV>
            <wp:extent cx="68656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46"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82</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10"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Recognition of the Canadian Deferred Tax Asset</w:t>
      </w:r>
    </w:p>
    <w:p>
      <w:pPr>
        <w:spacing w:after="0" w:line="121" w:lineRule="exact"/>
        <w:rPr>
          <w:sz w:val="20"/>
          <w:szCs w:val="20"/>
          <w:color w:val="auto"/>
        </w:rPr>
      </w:pPr>
    </w:p>
    <w:p>
      <w:pPr>
        <w:ind w:left="220" w:right="80"/>
        <w:spacing w:after="0" w:line="233" w:lineRule="auto"/>
        <w:rPr>
          <w:sz w:val="20"/>
          <w:szCs w:val="20"/>
          <w:color w:val="auto"/>
        </w:rPr>
      </w:pPr>
      <w:r>
        <w:rPr>
          <w:rFonts w:ascii="Arial" w:cs="Arial" w:eastAsia="Arial" w:hAnsi="Arial"/>
          <w:sz w:val="17"/>
          <w:szCs w:val="17"/>
          <w:color w:val="auto"/>
        </w:rPr>
        <w:t>As described in Notes 2 and 10 to the consolidated financial statements, deferred tax assets are recognized to the extent it is probable that taxable profits will be available against which the deductible temporary differences can be utilized, and are reduced to the extent that it is not probable that sufficient taxable profits will be available to allow all or part of the asset to be recovered. In evaluating deferred tax assets, management must make judgments to assess the future taxable profits and likely outcomes of unresolved tax audits associated with the relevant jurisdictions. In the year ended December 31, 2024, the Company recorded a $468 million tax benefit from the recognition of a deferred tax asset relating to new tax legislation enacted in Canada. The new legislation reduced the Company’s ability to deduct interest expense against its Canadian taxable income, thereby increasing Canadian taxable profits such that the Company now expects to utilize tax loss carryforwards and other tax attributes, which it had not previously recognized as a deferred tax asset.</w:t>
      </w:r>
    </w:p>
    <w:p>
      <w:pPr>
        <w:spacing w:after="0" w:line="59" w:lineRule="exact"/>
        <w:rPr>
          <w:sz w:val="20"/>
          <w:szCs w:val="20"/>
          <w:color w:val="auto"/>
        </w:rPr>
      </w:pPr>
    </w:p>
    <w:p>
      <w:pPr>
        <w:ind w:left="220" w:right="100"/>
        <w:spacing w:after="0" w:line="238" w:lineRule="auto"/>
        <w:rPr>
          <w:sz w:val="20"/>
          <w:szCs w:val="20"/>
          <w:color w:val="auto"/>
        </w:rPr>
      </w:pPr>
      <w:r>
        <w:rPr>
          <w:rFonts w:ascii="Arial" w:cs="Arial" w:eastAsia="Arial" w:hAnsi="Arial"/>
          <w:sz w:val="17"/>
          <w:szCs w:val="17"/>
          <w:color w:val="auto"/>
        </w:rPr>
        <w:t>The principal considerations for our determination that performing procedures relating to the recognition of the Canadian deferred tax asset is a critical audit matter are (i) the significant judgment by management when determining whether the deferred tax asset is more likely than not to be realized in the future and (ii) a high degree of auditor judgment, subjectivity and effort in performing procedures and evaluating audit evidence relating to the future taxable profits of the Canadian entities.</w:t>
      </w:r>
    </w:p>
    <w:p>
      <w:pPr>
        <w:spacing w:after="0" w:line="59" w:lineRule="exact"/>
        <w:rPr>
          <w:sz w:val="20"/>
          <w:szCs w:val="20"/>
          <w:color w:val="auto"/>
        </w:rPr>
      </w:pPr>
    </w:p>
    <w:p>
      <w:pPr>
        <w:ind w:left="220" w:right="100"/>
        <w:spacing w:after="0" w:line="236"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establishment of the deferred tax asset. These procedures also included, among others, (i) evaluating the available evidence of future taxable profits of the Canadian entities; (ii) understanding and assessing management’s plans for these entities; and (iii) testing the completeness and accuracy of underlying data used in measuring and recognizing the deferred tax asset.</w:t>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Uncertain Tax Positions</w:t>
      </w:r>
    </w:p>
    <w:p>
      <w:pPr>
        <w:spacing w:after="0" w:line="134" w:lineRule="exact"/>
        <w:rPr>
          <w:sz w:val="20"/>
          <w:szCs w:val="20"/>
          <w:color w:val="auto"/>
        </w:rPr>
      </w:pPr>
    </w:p>
    <w:p>
      <w:pPr>
        <w:ind w:left="220" w:right="80"/>
        <w:spacing w:after="0" w:line="233" w:lineRule="auto"/>
        <w:rPr>
          <w:sz w:val="20"/>
          <w:szCs w:val="20"/>
          <w:color w:val="auto"/>
        </w:rPr>
      </w:pPr>
      <w:r>
        <w:rPr>
          <w:rFonts w:ascii="Arial" w:cs="Arial" w:eastAsia="Arial" w:hAnsi="Arial"/>
          <w:sz w:val="17"/>
          <w:szCs w:val="17"/>
          <w:color w:val="auto"/>
        </w:rPr>
        <w:t>As described in Note 2 to the consolidated financial statements, the Company is subject to taxation in numerous jurisdictions and there are transactions within those jurisdictions for which the ultimate tax determination is uncertain. The Company maintains provisions for uncertain tax positions that it believes appropriately reflect its risk. These provisions are made using management’s best estimates of the amount expected to be paid based on a qualitative assessment of all relevant factors. When appropriate, management performs an expected value calculation to determine its provisions. Management reviews the adequacy of these provisions at the end of each reporting period and adjusts them based on changing facts and circumstances. The estimate of uncertain tax positions includes estimates and assumptions regarding prices and values used to record intercompany transactions. As of December 31, 2024, the Company has recorded an aggregate provision of $294 million for uncertain tax positions (excluding interest) within its current and deferred tax accounts.</w:t>
      </w:r>
    </w:p>
    <w:p>
      <w:pPr>
        <w:spacing w:after="0" w:line="45" w:lineRule="exact"/>
        <w:rPr>
          <w:sz w:val="20"/>
          <w:szCs w:val="20"/>
          <w:color w:val="auto"/>
        </w:rPr>
      </w:pPr>
    </w:p>
    <w:p>
      <w:pPr>
        <w:ind w:left="220" w:right="100"/>
        <w:spacing w:after="0" w:line="236" w:lineRule="auto"/>
        <w:rPr>
          <w:sz w:val="20"/>
          <w:szCs w:val="20"/>
          <w:color w:val="auto"/>
        </w:rPr>
      </w:pPr>
      <w:r>
        <w:rPr>
          <w:rFonts w:ascii="Arial" w:cs="Arial" w:eastAsia="Arial" w:hAnsi="Arial"/>
          <w:sz w:val="17"/>
          <w:szCs w:val="17"/>
          <w:color w:val="auto"/>
        </w:rPr>
        <w:t>The principal considerations for our determination that performing procedures relating to the Company’s uncertain tax positions is a critical audit matter are (i) the significant judgment by management when determining the liability for uncertain tax positions; (ii) a high degree of auditor judgment, subjectivity and effort in performing procedures and in evaluating audit evidence related to prices and values used to record intercompany transactions and the timely identification and accurate measurement of uncertain tax positions; and (iii) the audit effort involved the use of professionals with specialized skill and knowledge.</w:t>
      </w:r>
    </w:p>
    <w:p>
      <w:pPr>
        <w:spacing w:after="0" w:line="59" w:lineRule="exact"/>
        <w:rPr>
          <w:sz w:val="20"/>
          <w:szCs w:val="20"/>
          <w:color w:val="auto"/>
        </w:rPr>
      </w:pPr>
    </w:p>
    <w:p>
      <w:pPr>
        <w:ind w:left="220" w:right="60"/>
        <w:spacing w:after="0" w:line="231"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identification, recognition, and measurement of the liability for uncertain tax positions and controls addressing completeness of the uncertain tax positions. These procedures also included, among others (i) testing the information used in the calculation of the liability for uncertain tax positions, including intercompany agreements, international and Canadian domestic filing positions, and the related final tax returns; (ii) testing the calculation of the liability for uncertain tax positions by jurisdiction, including management’s assessment of the technical merits of tax positions and estimates of the amount of tax benefit expected to be sustained; (iii) testing management’s assessment of the identification of uncertain tax positions and possible outcomes of selected uncertain tax positions; and (iv) evaluating the status and results of income tax audits with the relevant tax authorities. Professionals with specialized skill and knowledge were used to assist in (i) evaluating the completeness of the identification and possible outcomes of the uncertain tax positions, including evaluating the reasonableness of management’s assessment of whether tax positions are probable to be sustained and the amount of potential benefit to be realized; and (ii) the application of relevant tax laws.</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 PricewaterhouseCoopers LLP</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New York, New York</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March 6, 2025</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have served as the Company’s auditor since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116840</wp:posOffset>
            </wp:positionV>
            <wp:extent cx="68656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82"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83</w:t>
      </w:r>
    </w:p>
    <w:p>
      <w:pPr>
        <w:sectPr>
          <w:pgSz w:w="11900" w:h="16838" w:orient="portrait"/>
          <w:cols w:equalWidth="0" w:num="1">
            <w:col w:w="11040"/>
          </w:cols>
          <w:pgMar w:left="320" w:top="477" w:right="5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THOMSON REUTERS CORPORATION</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CONSOLIDATED INCOME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73025</wp:posOffset>
            </wp:positionV>
            <wp:extent cx="68656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95"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56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20" w:type="dxa"/>
            <w:vAlign w:val="bottom"/>
            <w:shd w:val="clear" w:color="auto" w:fill="E3F3EE"/>
          </w:tcPr>
          <w:p>
            <w:pPr>
              <w:ind w:left="120"/>
              <w:spacing w:after="0"/>
              <w:rPr>
                <w:sz w:val="20"/>
                <w:szCs w:val="20"/>
                <w:color w:val="auto"/>
              </w:rPr>
            </w:pPr>
            <w:r>
              <w:rPr>
                <w:rFonts w:ascii="Arial" w:cs="Arial" w:eastAsia="Arial" w:hAnsi="Arial"/>
                <w:sz w:val="11"/>
                <w:szCs w:val="11"/>
                <w:b w:val="1"/>
                <w:bCs w:val="1"/>
                <w:color w:val="auto"/>
                <w:w w:val="72"/>
              </w:rPr>
              <w:t> </w:t>
            </w:r>
          </w:p>
        </w:tc>
        <w:tc>
          <w:tcPr>
            <w:tcW w:w="160" w:type="dxa"/>
            <w:vAlign w:val="bottom"/>
            <w:shd w:val="clear" w:color="auto" w:fill="E3F3EE"/>
          </w:tcPr>
          <w:p>
            <w:pPr>
              <w:ind w:left="60"/>
              <w:spacing w:after="0"/>
              <w:rPr>
                <w:sz w:val="20"/>
                <w:szCs w:val="20"/>
                <w:color w:val="auto"/>
              </w:rPr>
            </w:pPr>
            <w:r>
              <w:rPr>
                <w:rFonts w:ascii="Arial" w:cs="Arial" w:eastAsia="Arial" w:hAnsi="Arial"/>
                <w:sz w:val="11"/>
                <w:szCs w:val="11"/>
                <w:b w:val="1"/>
                <w:bCs w:val="1"/>
                <w:color w:val="auto"/>
                <w:w w:val="72"/>
              </w:rPr>
              <w:t> </w:t>
            </w:r>
          </w:p>
        </w:tc>
        <w:tc>
          <w:tcPr>
            <w:tcW w:w="2360" w:type="dxa"/>
            <w:vAlign w:val="bottom"/>
            <w:gridSpan w:val="2"/>
            <w:shd w:val="clear" w:color="auto" w:fill="E3F3EE"/>
          </w:tcPr>
          <w:p>
            <w:pPr>
              <w:jc w:val="right"/>
              <w:ind w:right="101"/>
              <w:spacing w:after="0"/>
              <w:rPr>
                <w:sz w:val="20"/>
                <w:szCs w:val="20"/>
                <w:color w:val="auto"/>
              </w:rPr>
            </w:pPr>
            <w:r>
              <w:rPr>
                <w:rFonts w:ascii="Arial" w:cs="Arial" w:eastAsia="Arial" w:hAnsi="Arial"/>
                <w:sz w:val="16"/>
                <w:szCs w:val="16"/>
                <w:b w:val="1"/>
                <w:bCs w:val="1"/>
                <w:color w:val="auto"/>
                <w:w w:val="96"/>
              </w:rPr>
              <w:t>  Year ended December 31, </w:t>
            </w:r>
          </w:p>
        </w:tc>
      </w:tr>
      <w:tr>
        <w:trPr>
          <w:trHeight w:val="192"/>
        </w:trPr>
        <w:tc>
          <w:tcPr>
            <w:tcW w:w="562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b w:val="1"/>
                <w:bCs w:val="1"/>
                <w:color w:val="FFFFFF"/>
              </w:rPr>
              <w:t> (millions of U.S. dollars, except per share amounts)</w:t>
            </w:r>
          </w:p>
        </w:tc>
        <w:tc>
          <w:tcPr>
            <w:tcW w:w="2440" w:type="dxa"/>
            <w:vAlign w:val="bottom"/>
            <w:tcBorders>
              <w:bottom w:val="single" w:sz="8" w:color="D64000"/>
            </w:tcBorders>
            <w:shd w:val="clear" w:color="auto" w:fill="1F473D"/>
          </w:tcPr>
          <w:p>
            <w:pPr>
              <w:ind w:left="1640"/>
              <w:spacing w:after="0"/>
              <w:rPr>
                <w:sz w:val="20"/>
                <w:szCs w:val="20"/>
                <w:color w:val="auto"/>
              </w:rPr>
            </w:pPr>
            <w:r>
              <w:rPr>
                <w:rFonts w:ascii="Arial" w:cs="Arial" w:eastAsia="Arial" w:hAnsi="Arial"/>
                <w:sz w:val="16"/>
                <w:szCs w:val="16"/>
                <w:b w:val="1"/>
                <w:bCs w:val="1"/>
                <w:color w:val="FFFFFF"/>
                <w:w w:val="91"/>
              </w:rPr>
              <w:t>   Notes </w:t>
            </w:r>
          </w:p>
        </w:tc>
        <w:tc>
          <w:tcPr>
            <w:tcW w:w="220" w:type="dxa"/>
            <w:vAlign w:val="bottom"/>
            <w:tcBorders>
              <w:bottom w:val="single" w:sz="8" w:color="D64000"/>
            </w:tcBorders>
            <w:shd w:val="clear" w:color="auto" w:fill="1F473D"/>
          </w:tcPr>
          <w:p>
            <w:pPr>
              <w:spacing w:after="0"/>
              <w:rPr>
                <w:sz w:val="16"/>
                <w:szCs w:val="16"/>
                <w:color w:val="auto"/>
              </w:rPr>
            </w:pPr>
          </w:p>
        </w:tc>
        <w:tc>
          <w:tcPr>
            <w:tcW w:w="160" w:type="dxa"/>
            <w:vAlign w:val="bottom"/>
            <w:tcBorders>
              <w:bottom w:val="single" w:sz="8" w:color="D64000"/>
            </w:tcBorders>
            <w:shd w:val="clear" w:color="auto" w:fill="1F473D"/>
          </w:tcPr>
          <w:p>
            <w:pPr>
              <w:ind w:left="40"/>
              <w:spacing w:after="0"/>
              <w:rPr>
                <w:sz w:val="20"/>
                <w:szCs w:val="20"/>
                <w:color w:val="auto"/>
              </w:rPr>
            </w:pPr>
            <w:r>
              <w:rPr>
                <w:rFonts w:ascii="Arial" w:cs="Arial" w:eastAsia="Arial" w:hAnsi="Arial"/>
                <w:sz w:val="14"/>
                <w:szCs w:val="14"/>
                <w:b w:val="1"/>
                <w:bCs w:val="1"/>
                <w:color w:val="FFFFFF"/>
                <w:w w:val="71"/>
              </w:rPr>
              <w:t> </w:t>
            </w:r>
          </w:p>
        </w:tc>
        <w:tc>
          <w:tcPr>
            <w:tcW w:w="1060" w:type="dxa"/>
            <w:vAlign w:val="bottom"/>
            <w:tcBorders>
              <w:bottom w:val="single" w:sz="8" w:color="D64000"/>
            </w:tcBorders>
            <w:shd w:val="clear" w:color="auto" w:fill="1F473D"/>
          </w:tcPr>
          <w:p>
            <w:pPr>
              <w:jc w:val="right"/>
              <w:ind w:right="101"/>
              <w:spacing w:after="0"/>
              <w:rPr>
                <w:sz w:val="20"/>
                <w:szCs w:val="20"/>
                <w:color w:val="auto"/>
              </w:rPr>
            </w:pPr>
            <w:r>
              <w:rPr>
                <w:rFonts w:ascii="Arial" w:cs="Arial" w:eastAsia="Arial" w:hAnsi="Arial"/>
                <w:sz w:val="16"/>
                <w:szCs w:val="16"/>
                <w:b w:val="1"/>
                <w:bCs w:val="1"/>
                <w:color w:val="FFFFFF"/>
                <w:w w:val="98"/>
              </w:rPr>
              <w:t>         2024</w:t>
            </w:r>
          </w:p>
        </w:tc>
        <w:tc>
          <w:tcPr>
            <w:tcW w:w="1300" w:type="dxa"/>
            <w:vAlign w:val="bottom"/>
            <w:tcBorders>
              <w:bottom w:val="single" w:sz="8" w:color="D64000"/>
            </w:tcBorders>
            <w:shd w:val="clear" w:color="auto" w:fill="1F473D"/>
          </w:tcPr>
          <w:p>
            <w:pPr>
              <w:jc w:val="right"/>
              <w:ind w:right="1"/>
              <w:spacing w:after="0"/>
              <w:rPr>
                <w:sz w:val="20"/>
                <w:szCs w:val="20"/>
                <w:color w:val="auto"/>
              </w:rPr>
            </w:pPr>
            <w:r>
              <w:rPr>
                <w:rFonts w:ascii="Arial" w:cs="Arial" w:eastAsia="Arial" w:hAnsi="Arial"/>
                <w:sz w:val="16"/>
                <w:szCs w:val="16"/>
                <w:color w:val="FFFFFF"/>
              </w:rPr>
              <w:t>              2023</w:t>
            </w:r>
          </w:p>
        </w:tc>
      </w:tr>
      <w:tr>
        <w:trPr>
          <w:trHeight w:val="171"/>
        </w:trPr>
        <w:tc>
          <w:tcPr>
            <w:tcW w:w="5620" w:type="dxa"/>
            <w:vAlign w:val="bottom"/>
          </w:tcPr>
          <w:p>
            <w:pPr>
              <w:spacing w:after="0" w:line="171" w:lineRule="exact"/>
              <w:rPr>
                <w:sz w:val="20"/>
                <w:szCs w:val="20"/>
                <w:color w:val="auto"/>
              </w:rPr>
            </w:pPr>
            <w:r>
              <w:rPr>
                <w:rFonts w:ascii="Arial" w:cs="Arial" w:eastAsia="Arial" w:hAnsi="Arial"/>
                <w:sz w:val="16"/>
                <w:szCs w:val="16"/>
                <w:b w:val="1"/>
                <w:bCs w:val="1"/>
                <w:color w:val="auto"/>
              </w:rPr>
              <w:t> CONTINUING OPERATIONS</w:t>
            </w:r>
          </w:p>
        </w:tc>
        <w:tc>
          <w:tcPr>
            <w:tcW w:w="2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5"/>
        </w:trPr>
        <w:tc>
          <w:tcPr>
            <w:tcW w:w="5620" w:type="dxa"/>
            <w:vAlign w:val="bottom"/>
          </w:tcPr>
          <w:p>
            <w:pPr>
              <w:spacing w:after="0"/>
              <w:rPr>
                <w:sz w:val="20"/>
                <w:szCs w:val="20"/>
                <w:color w:val="auto"/>
              </w:rPr>
            </w:pPr>
            <w:r>
              <w:rPr>
                <w:rFonts w:ascii="Arial" w:cs="Arial" w:eastAsia="Arial" w:hAnsi="Arial"/>
                <w:sz w:val="16"/>
                <w:szCs w:val="16"/>
                <w:color w:val="auto"/>
              </w:rPr>
              <w:t> Revenues</w:t>
            </w:r>
          </w:p>
        </w:tc>
        <w:tc>
          <w:tcPr>
            <w:tcW w:w="2440" w:type="dxa"/>
            <w:vAlign w:val="bottom"/>
          </w:tcPr>
          <w:p>
            <w:pPr>
              <w:jc w:val="center"/>
              <w:ind w:left="1661"/>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b w:val="1"/>
                <w:bCs w:val="1"/>
                <w:color w:val="auto"/>
              </w:rPr>
              <w:t>7,258</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6,794</w:t>
            </w:r>
          </w:p>
        </w:tc>
      </w:tr>
      <w:tr>
        <w:trPr>
          <w:trHeight w:val="186"/>
        </w:trPr>
        <w:tc>
          <w:tcPr>
            <w:tcW w:w="5620" w:type="dxa"/>
            <w:vAlign w:val="bottom"/>
          </w:tcPr>
          <w:p>
            <w:pPr>
              <w:spacing w:after="0"/>
              <w:rPr>
                <w:sz w:val="20"/>
                <w:szCs w:val="20"/>
                <w:color w:val="auto"/>
              </w:rPr>
            </w:pPr>
            <w:r>
              <w:rPr>
                <w:rFonts w:ascii="Arial" w:cs="Arial" w:eastAsia="Arial" w:hAnsi="Arial"/>
                <w:sz w:val="16"/>
                <w:szCs w:val="16"/>
                <w:color w:val="auto"/>
              </w:rPr>
              <w:t> Operating expenses</w:t>
            </w:r>
          </w:p>
        </w:tc>
        <w:tc>
          <w:tcPr>
            <w:tcW w:w="2440" w:type="dxa"/>
            <w:vAlign w:val="bottom"/>
          </w:tcPr>
          <w:p>
            <w:pPr>
              <w:jc w:val="center"/>
              <w:ind w:left="1661"/>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b w:val="1"/>
                <w:bCs w:val="1"/>
                <w:color w:val="auto"/>
              </w:rPr>
              <w:t>(4,471)</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(4,134)</w:t>
            </w:r>
          </w:p>
        </w:tc>
      </w:tr>
      <w:tr>
        <w:trPr>
          <w:trHeight w:val="185"/>
        </w:trPr>
        <w:tc>
          <w:tcPr>
            <w:tcW w:w="5620" w:type="dxa"/>
            <w:vAlign w:val="bottom"/>
          </w:tcPr>
          <w:p>
            <w:pPr>
              <w:spacing w:after="0"/>
              <w:rPr>
                <w:sz w:val="20"/>
                <w:szCs w:val="20"/>
                <w:color w:val="auto"/>
              </w:rPr>
            </w:pPr>
            <w:r>
              <w:rPr>
                <w:rFonts w:ascii="Arial" w:cs="Arial" w:eastAsia="Arial" w:hAnsi="Arial"/>
                <w:sz w:val="16"/>
                <w:szCs w:val="16"/>
                <w:color w:val="auto"/>
              </w:rPr>
              <w:t> Depreciation</w:t>
            </w:r>
          </w:p>
        </w:tc>
        <w:tc>
          <w:tcPr>
            <w:tcW w:w="2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b w:val="1"/>
                <w:bCs w:val="1"/>
                <w:color w:val="auto"/>
              </w:rPr>
              <w:t>(113)</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(116)</w:t>
            </w:r>
          </w:p>
        </w:tc>
      </w:tr>
      <w:tr>
        <w:trPr>
          <w:trHeight w:val="186"/>
        </w:trPr>
        <w:tc>
          <w:tcPr>
            <w:tcW w:w="5620" w:type="dxa"/>
            <w:vAlign w:val="bottom"/>
          </w:tcPr>
          <w:p>
            <w:pPr>
              <w:spacing w:after="0"/>
              <w:rPr>
                <w:sz w:val="20"/>
                <w:szCs w:val="20"/>
                <w:color w:val="auto"/>
              </w:rPr>
            </w:pPr>
            <w:r>
              <w:rPr>
                <w:rFonts w:ascii="Arial" w:cs="Arial" w:eastAsia="Arial" w:hAnsi="Arial"/>
                <w:sz w:val="16"/>
                <w:szCs w:val="16"/>
                <w:color w:val="auto"/>
              </w:rPr>
              <w:t> Amortization of computer software</w:t>
            </w:r>
          </w:p>
        </w:tc>
        <w:tc>
          <w:tcPr>
            <w:tcW w:w="2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b w:val="1"/>
                <w:bCs w:val="1"/>
                <w:color w:val="auto"/>
              </w:rPr>
              <w:t>(618)</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(512)</w:t>
            </w:r>
          </w:p>
        </w:tc>
      </w:tr>
      <w:tr>
        <w:trPr>
          <w:trHeight w:val="186"/>
        </w:trPr>
        <w:tc>
          <w:tcPr>
            <w:tcW w:w="5620" w:type="dxa"/>
            <w:vAlign w:val="bottom"/>
          </w:tcPr>
          <w:p>
            <w:pPr>
              <w:spacing w:after="0"/>
              <w:rPr>
                <w:sz w:val="20"/>
                <w:szCs w:val="20"/>
                <w:color w:val="auto"/>
              </w:rPr>
            </w:pPr>
            <w:r>
              <w:rPr>
                <w:rFonts w:ascii="Arial" w:cs="Arial" w:eastAsia="Arial" w:hAnsi="Arial"/>
                <w:sz w:val="16"/>
                <w:szCs w:val="16"/>
                <w:color w:val="auto"/>
              </w:rPr>
              <w:t> Amortization of other identifiable intangible assets</w:t>
            </w:r>
          </w:p>
        </w:tc>
        <w:tc>
          <w:tcPr>
            <w:tcW w:w="2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b w:val="1"/>
                <w:bCs w:val="1"/>
                <w:color w:val="auto"/>
              </w:rPr>
              <w:t>(91)</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(97)</w:t>
            </w:r>
          </w:p>
        </w:tc>
      </w:tr>
      <w:tr>
        <w:trPr>
          <w:trHeight w:val="200"/>
        </w:trPr>
        <w:tc>
          <w:tcPr>
            <w:tcW w:w="562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Other operating gains, net</w:t>
            </w:r>
          </w:p>
        </w:tc>
        <w:tc>
          <w:tcPr>
            <w:tcW w:w="2440" w:type="dxa"/>
            <w:vAlign w:val="bottom"/>
            <w:tcBorders>
              <w:bottom w:val="single" w:sz="8" w:color="B2B2B2"/>
            </w:tcBorders>
          </w:tcPr>
          <w:p>
            <w:pPr>
              <w:jc w:val="center"/>
              <w:ind w:left="1661"/>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B2B2B2"/>
            </w:tcBorders>
          </w:tcPr>
          <w:p>
            <w:pPr>
              <w:spacing w:after="0"/>
              <w:rPr>
                <w:sz w:val="17"/>
                <w:szCs w:val="17"/>
                <w:color w:val="auto"/>
              </w:rPr>
            </w:pPr>
          </w:p>
        </w:tc>
        <w:tc>
          <w:tcPr>
            <w:tcW w:w="160" w:type="dxa"/>
            <w:vAlign w:val="bottom"/>
            <w:tcBorders>
              <w:bottom w:val="single" w:sz="8" w:color="B2B2B2"/>
            </w:tcBorders>
          </w:tcPr>
          <w:p>
            <w:pPr>
              <w:spacing w:after="0"/>
              <w:rPr>
                <w:sz w:val="17"/>
                <w:szCs w:val="17"/>
                <w:color w:val="auto"/>
              </w:rPr>
            </w:pPr>
          </w:p>
        </w:tc>
        <w:tc>
          <w:tcPr>
            <w:tcW w:w="1060" w:type="dxa"/>
            <w:vAlign w:val="bottom"/>
            <w:tcBorders>
              <w:bottom w:val="single" w:sz="8" w:color="B2B2B2"/>
            </w:tcBorders>
          </w:tcPr>
          <w:p>
            <w:pPr>
              <w:jc w:val="right"/>
              <w:ind w:right="61"/>
              <w:spacing w:after="0"/>
              <w:rPr>
                <w:sz w:val="20"/>
                <w:szCs w:val="20"/>
                <w:color w:val="auto"/>
              </w:rPr>
            </w:pPr>
            <w:r>
              <w:rPr>
                <w:rFonts w:ascii="Arial" w:cs="Arial" w:eastAsia="Arial" w:hAnsi="Arial"/>
                <w:sz w:val="16"/>
                <w:szCs w:val="16"/>
                <w:b w:val="1"/>
                <w:bCs w:val="1"/>
                <w:color w:val="auto"/>
              </w:rPr>
              <w:t>144</w:t>
            </w:r>
          </w:p>
        </w:tc>
        <w:tc>
          <w:tcPr>
            <w:tcW w:w="130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397</w:t>
            </w:r>
          </w:p>
        </w:tc>
      </w:tr>
      <w:tr>
        <w:trPr>
          <w:trHeight w:val="165"/>
        </w:trPr>
        <w:tc>
          <w:tcPr>
            <w:tcW w:w="5620" w:type="dxa"/>
            <w:vAlign w:val="bottom"/>
          </w:tcPr>
          <w:p>
            <w:pPr>
              <w:spacing w:after="0" w:line="165" w:lineRule="exact"/>
              <w:rPr>
                <w:sz w:val="20"/>
                <w:szCs w:val="20"/>
                <w:color w:val="auto"/>
              </w:rPr>
            </w:pPr>
            <w:r>
              <w:rPr>
                <w:rFonts w:ascii="Arial" w:cs="Arial" w:eastAsia="Arial" w:hAnsi="Arial"/>
                <w:sz w:val="16"/>
                <w:szCs w:val="16"/>
                <w:color w:val="auto"/>
              </w:rPr>
              <w:t> Operating profit</w:t>
            </w:r>
          </w:p>
        </w:tc>
        <w:tc>
          <w:tcPr>
            <w:tcW w:w="2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61"/>
              <w:spacing w:after="0" w:line="165" w:lineRule="exact"/>
              <w:rPr>
                <w:sz w:val="20"/>
                <w:szCs w:val="20"/>
                <w:color w:val="auto"/>
              </w:rPr>
            </w:pPr>
            <w:r>
              <w:rPr>
                <w:rFonts w:ascii="Arial" w:cs="Arial" w:eastAsia="Arial" w:hAnsi="Arial"/>
                <w:sz w:val="16"/>
                <w:szCs w:val="16"/>
                <w:b w:val="1"/>
                <w:bCs w:val="1"/>
                <w:color w:val="auto"/>
              </w:rPr>
              <w:t>2,109</w:t>
            </w:r>
          </w:p>
        </w:tc>
        <w:tc>
          <w:tcPr>
            <w:tcW w:w="1300" w:type="dxa"/>
            <w:vAlign w:val="bottom"/>
          </w:tcPr>
          <w:p>
            <w:pPr>
              <w:jc w:val="right"/>
              <w:ind w:right="1"/>
              <w:spacing w:after="0" w:line="165" w:lineRule="exact"/>
              <w:rPr>
                <w:sz w:val="20"/>
                <w:szCs w:val="20"/>
                <w:color w:val="auto"/>
              </w:rPr>
            </w:pPr>
            <w:r>
              <w:rPr>
                <w:rFonts w:ascii="Arial" w:cs="Arial" w:eastAsia="Arial" w:hAnsi="Arial"/>
                <w:sz w:val="16"/>
                <w:szCs w:val="16"/>
                <w:color w:val="auto"/>
              </w:rPr>
              <w:t>2,332</w:t>
            </w:r>
          </w:p>
        </w:tc>
      </w:tr>
      <w:tr>
        <w:trPr>
          <w:trHeight w:val="186"/>
        </w:trPr>
        <w:tc>
          <w:tcPr>
            <w:tcW w:w="5620" w:type="dxa"/>
            <w:vAlign w:val="bottom"/>
          </w:tcPr>
          <w:p>
            <w:pPr>
              <w:spacing w:after="0"/>
              <w:rPr>
                <w:sz w:val="20"/>
                <w:szCs w:val="20"/>
                <w:color w:val="auto"/>
              </w:rPr>
            </w:pPr>
            <w:r>
              <w:rPr>
                <w:rFonts w:ascii="Arial" w:cs="Arial" w:eastAsia="Arial" w:hAnsi="Arial"/>
                <w:sz w:val="16"/>
                <w:szCs w:val="16"/>
                <w:color w:val="auto"/>
              </w:rPr>
              <w:t> Finance costs, net:</w:t>
            </w:r>
          </w:p>
        </w:tc>
        <w:tc>
          <w:tcPr>
            <w:tcW w:w="2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5620" w:type="dxa"/>
            <w:vAlign w:val="bottom"/>
          </w:tcPr>
          <w:p>
            <w:pPr>
              <w:ind w:left="80"/>
              <w:spacing w:after="0"/>
              <w:rPr>
                <w:sz w:val="20"/>
                <w:szCs w:val="20"/>
                <w:color w:val="auto"/>
              </w:rPr>
            </w:pPr>
            <w:r>
              <w:rPr>
                <w:rFonts w:ascii="Arial" w:cs="Arial" w:eastAsia="Arial" w:hAnsi="Arial"/>
                <w:sz w:val="16"/>
                <w:szCs w:val="16"/>
                <w:color w:val="auto"/>
              </w:rPr>
              <w:t>  Net interest expense</w:t>
            </w:r>
          </w:p>
        </w:tc>
        <w:tc>
          <w:tcPr>
            <w:tcW w:w="2440" w:type="dxa"/>
            <w:vAlign w:val="bottom"/>
          </w:tcPr>
          <w:p>
            <w:pPr>
              <w:jc w:val="center"/>
              <w:ind w:left="1661"/>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b w:val="1"/>
                <w:bCs w:val="1"/>
                <w:color w:val="auto"/>
              </w:rPr>
              <w:t>(125)</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(152)</w:t>
            </w:r>
          </w:p>
        </w:tc>
      </w:tr>
      <w:tr>
        <w:trPr>
          <w:trHeight w:val="200"/>
        </w:trPr>
        <w:tc>
          <w:tcPr>
            <w:tcW w:w="5620" w:type="dxa"/>
            <w:vAlign w:val="bottom"/>
            <w:tcBorders>
              <w:bottom w:val="single" w:sz="8" w:color="B2B2B2"/>
            </w:tcBorders>
          </w:tcPr>
          <w:p>
            <w:pPr>
              <w:ind w:left="80"/>
              <w:spacing w:after="0"/>
              <w:rPr>
                <w:sz w:val="20"/>
                <w:szCs w:val="20"/>
                <w:color w:val="auto"/>
              </w:rPr>
            </w:pPr>
            <w:r>
              <w:rPr>
                <w:rFonts w:ascii="Arial" w:cs="Arial" w:eastAsia="Arial" w:hAnsi="Arial"/>
                <w:sz w:val="16"/>
                <w:szCs w:val="16"/>
                <w:color w:val="auto"/>
              </w:rPr>
              <w:t>  Other finance income (costs)</w:t>
            </w:r>
          </w:p>
        </w:tc>
        <w:tc>
          <w:tcPr>
            <w:tcW w:w="2440" w:type="dxa"/>
            <w:vAlign w:val="bottom"/>
            <w:tcBorders>
              <w:bottom w:val="single" w:sz="8" w:color="B2B2B2"/>
            </w:tcBorders>
          </w:tcPr>
          <w:p>
            <w:pPr>
              <w:jc w:val="center"/>
              <w:ind w:left="1661"/>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B2B2B2"/>
            </w:tcBorders>
          </w:tcPr>
          <w:p>
            <w:pPr>
              <w:spacing w:after="0"/>
              <w:rPr>
                <w:sz w:val="17"/>
                <w:szCs w:val="17"/>
                <w:color w:val="auto"/>
              </w:rPr>
            </w:pPr>
          </w:p>
        </w:tc>
        <w:tc>
          <w:tcPr>
            <w:tcW w:w="160" w:type="dxa"/>
            <w:vAlign w:val="bottom"/>
            <w:tcBorders>
              <w:bottom w:val="single" w:sz="8" w:color="B2B2B2"/>
            </w:tcBorders>
          </w:tcPr>
          <w:p>
            <w:pPr>
              <w:spacing w:after="0"/>
              <w:rPr>
                <w:sz w:val="17"/>
                <w:szCs w:val="17"/>
                <w:color w:val="auto"/>
              </w:rPr>
            </w:pPr>
          </w:p>
        </w:tc>
        <w:tc>
          <w:tcPr>
            <w:tcW w:w="1060" w:type="dxa"/>
            <w:vAlign w:val="bottom"/>
            <w:tcBorders>
              <w:bottom w:val="single" w:sz="8" w:color="B2B2B2"/>
            </w:tcBorders>
          </w:tcPr>
          <w:p>
            <w:pPr>
              <w:jc w:val="right"/>
              <w:ind w:right="61"/>
              <w:spacing w:after="0"/>
              <w:rPr>
                <w:sz w:val="20"/>
                <w:szCs w:val="20"/>
                <w:color w:val="auto"/>
              </w:rPr>
            </w:pPr>
            <w:r>
              <w:rPr>
                <w:rFonts w:ascii="Arial" w:cs="Arial" w:eastAsia="Arial" w:hAnsi="Arial"/>
                <w:sz w:val="16"/>
                <w:szCs w:val="16"/>
                <w:b w:val="1"/>
                <w:bCs w:val="1"/>
                <w:color w:val="auto"/>
              </w:rPr>
              <w:t>45</w:t>
            </w:r>
          </w:p>
        </w:tc>
        <w:tc>
          <w:tcPr>
            <w:tcW w:w="130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(192)</w:t>
            </w:r>
          </w:p>
        </w:tc>
      </w:tr>
      <w:tr>
        <w:trPr>
          <w:trHeight w:val="165"/>
        </w:trPr>
        <w:tc>
          <w:tcPr>
            <w:tcW w:w="5620" w:type="dxa"/>
            <w:vAlign w:val="bottom"/>
          </w:tcPr>
          <w:p>
            <w:pPr>
              <w:spacing w:after="0" w:line="165" w:lineRule="exact"/>
              <w:rPr>
                <w:sz w:val="20"/>
                <w:szCs w:val="20"/>
                <w:color w:val="auto"/>
              </w:rPr>
            </w:pPr>
            <w:r>
              <w:rPr>
                <w:rFonts w:ascii="Arial" w:cs="Arial" w:eastAsia="Arial" w:hAnsi="Arial"/>
                <w:sz w:val="16"/>
                <w:szCs w:val="16"/>
                <w:color w:val="auto"/>
              </w:rPr>
              <w:t> Income before tax and equity method investments</w:t>
            </w:r>
          </w:p>
        </w:tc>
        <w:tc>
          <w:tcPr>
            <w:tcW w:w="2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61"/>
              <w:spacing w:after="0" w:line="165" w:lineRule="exact"/>
              <w:rPr>
                <w:sz w:val="20"/>
                <w:szCs w:val="20"/>
                <w:color w:val="auto"/>
              </w:rPr>
            </w:pPr>
            <w:r>
              <w:rPr>
                <w:rFonts w:ascii="Arial" w:cs="Arial" w:eastAsia="Arial" w:hAnsi="Arial"/>
                <w:sz w:val="16"/>
                <w:szCs w:val="16"/>
                <w:b w:val="1"/>
                <w:bCs w:val="1"/>
                <w:color w:val="auto"/>
              </w:rPr>
              <w:t>2,029</w:t>
            </w:r>
          </w:p>
        </w:tc>
        <w:tc>
          <w:tcPr>
            <w:tcW w:w="1300" w:type="dxa"/>
            <w:vAlign w:val="bottom"/>
          </w:tcPr>
          <w:p>
            <w:pPr>
              <w:jc w:val="right"/>
              <w:ind w:right="1"/>
              <w:spacing w:after="0" w:line="165" w:lineRule="exact"/>
              <w:rPr>
                <w:sz w:val="20"/>
                <w:szCs w:val="20"/>
                <w:color w:val="auto"/>
              </w:rPr>
            </w:pPr>
            <w:r>
              <w:rPr>
                <w:rFonts w:ascii="Arial" w:cs="Arial" w:eastAsia="Arial" w:hAnsi="Arial"/>
                <w:sz w:val="16"/>
                <w:szCs w:val="16"/>
                <w:color w:val="auto"/>
              </w:rPr>
              <w:t>1,988</w:t>
            </w:r>
          </w:p>
        </w:tc>
      </w:tr>
      <w:tr>
        <w:trPr>
          <w:trHeight w:val="185"/>
        </w:trPr>
        <w:tc>
          <w:tcPr>
            <w:tcW w:w="5620" w:type="dxa"/>
            <w:vAlign w:val="bottom"/>
          </w:tcPr>
          <w:p>
            <w:pPr>
              <w:spacing w:after="0"/>
              <w:rPr>
                <w:sz w:val="20"/>
                <w:szCs w:val="20"/>
                <w:color w:val="auto"/>
              </w:rPr>
            </w:pPr>
            <w:r>
              <w:rPr>
                <w:rFonts w:ascii="Arial" w:cs="Arial" w:eastAsia="Arial" w:hAnsi="Arial"/>
                <w:sz w:val="16"/>
                <w:szCs w:val="16"/>
                <w:color w:val="auto"/>
              </w:rPr>
              <w:t> Share of post-tax earnings in equity method investments</w:t>
            </w:r>
          </w:p>
        </w:tc>
        <w:tc>
          <w:tcPr>
            <w:tcW w:w="2440" w:type="dxa"/>
            <w:vAlign w:val="bottom"/>
          </w:tcPr>
          <w:p>
            <w:pPr>
              <w:jc w:val="center"/>
              <w:ind w:left="1661"/>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b w:val="1"/>
                <w:bCs w:val="1"/>
                <w:color w:val="auto"/>
              </w:rPr>
              <w:t>40</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1,075</w:t>
            </w:r>
          </w:p>
        </w:tc>
      </w:tr>
      <w:tr>
        <w:trPr>
          <w:trHeight w:val="200"/>
        </w:trPr>
        <w:tc>
          <w:tcPr>
            <w:tcW w:w="562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Tax benefit (expense)</w:t>
            </w:r>
          </w:p>
        </w:tc>
        <w:tc>
          <w:tcPr>
            <w:tcW w:w="2440" w:type="dxa"/>
            <w:vAlign w:val="bottom"/>
            <w:tcBorders>
              <w:bottom w:val="single" w:sz="8" w:color="B2B2B2"/>
            </w:tcBorders>
          </w:tcPr>
          <w:p>
            <w:pPr>
              <w:jc w:val="center"/>
              <w:ind w:left="1661"/>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B2B2B2"/>
            </w:tcBorders>
          </w:tcPr>
          <w:p>
            <w:pPr>
              <w:spacing w:after="0"/>
              <w:rPr>
                <w:sz w:val="17"/>
                <w:szCs w:val="17"/>
                <w:color w:val="auto"/>
              </w:rPr>
            </w:pPr>
          </w:p>
        </w:tc>
        <w:tc>
          <w:tcPr>
            <w:tcW w:w="160" w:type="dxa"/>
            <w:vAlign w:val="bottom"/>
            <w:tcBorders>
              <w:bottom w:val="single" w:sz="8" w:color="B2B2B2"/>
            </w:tcBorders>
          </w:tcPr>
          <w:p>
            <w:pPr>
              <w:spacing w:after="0"/>
              <w:rPr>
                <w:sz w:val="17"/>
                <w:szCs w:val="17"/>
                <w:color w:val="auto"/>
              </w:rPr>
            </w:pPr>
          </w:p>
        </w:tc>
        <w:tc>
          <w:tcPr>
            <w:tcW w:w="1060" w:type="dxa"/>
            <w:vAlign w:val="bottom"/>
            <w:tcBorders>
              <w:bottom w:val="single" w:sz="8" w:color="B2B2B2"/>
            </w:tcBorders>
          </w:tcPr>
          <w:p>
            <w:pPr>
              <w:jc w:val="right"/>
              <w:ind w:right="61"/>
              <w:spacing w:after="0"/>
              <w:rPr>
                <w:sz w:val="20"/>
                <w:szCs w:val="20"/>
                <w:color w:val="auto"/>
              </w:rPr>
            </w:pPr>
            <w:r>
              <w:rPr>
                <w:rFonts w:ascii="Arial" w:cs="Arial" w:eastAsia="Arial" w:hAnsi="Arial"/>
                <w:sz w:val="16"/>
                <w:szCs w:val="16"/>
                <w:b w:val="1"/>
                <w:bCs w:val="1"/>
                <w:color w:val="auto"/>
              </w:rPr>
              <w:t>123</w:t>
            </w:r>
          </w:p>
        </w:tc>
        <w:tc>
          <w:tcPr>
            <w:tcW w:w="130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(417)</w:t>
            </w:r>
          </w:p>
        </w:tc>
      </w:tr>
      <w:tr>
        <w:trPr>
          <w:trHeight w:val="165"/>
        </w:trPr>
        <w:tc>
          <w:tcPr>
            <w:tcW w:w="5620" w:type="dxa"/>
            <w:vAlign w:val="bottom"/>
          </w:tcPr>
          <w:p>
            <w:pPr>
              <w:spacing w:after="0" w:line="165" w:lineRule="exact"/>
              <w:rPr>
                <w:sz w:val="20"/>
                <w:szCs w:val="20"/>
                <w:color w:val="auto"/>
              </w:rPr>
            </w:pPr>
            <w:r>
              <w:rPr>
                <w:rFonts w:ascii="Arial" w:cs="Arial" w:eastAsia="Arial" w:hAnsi="Arial"/>
                <w:sz w:val="16"/>
                <w:szCs w:val="16"/>
                <w:b w:val="1"/>
                <w:bCs w:val="1"/>
                <w:color w:val="auto"/>
              </w:rPr>
              <w:t> Earnings from continuing operations</w:t>
            </w:r>
          </w:p>
        </w:tc>
        <w:tc>
          <w:tcPr>
            <w:tcW w:w="2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61"/>
              <w:spacing w:after="0" w:line="165" w:lineRule="exact"/>
              <w:rPr>
                <w:sz w:val="20"/>
                <w:szCs w:val="20"/>
                <w:color w:val="auto"/>
              </w:rPr>
            </w:pPr>
            <w:r>
              <w:rPr>
                <w:rFonts w:ascii="Arial" w:cs="Arial" w:eastAsia="Arial" w:hAnsi="Arial"/>
                <w:sz w:val="16"/>
                <w:szCs w:val="16"/>
                <w:b w:val="1"/>
                <w:bCs w:val="1"/>
                <w:color w:val="auto"/>
              </w:rPr>
              <w:t>2,192</w:t>
            </w:r>
          </w:p>
        </w:tc>
        <w:tc>
          <w:tcPr>
            <w:tcW w:w="1300" w:type="dxa"/>
            <w:vAlign w:val="bottom"/>
          </w:tcPr>
          <w:p>
            <w:pPr>
              <w:jc w:val="right"/>
              <w:ind w:right="1"/>
              <w:spacing w:after="0" w:line="165" w:lineRule="exact"/>
              <w:rPr>
                <w:sz w:val="20"/>
                <w:szCs w:val="20"/>
                <w:color w:val="auto"/>
              </w:rPr>
            </w:pPr>
            <w:r>
              <w:rPr>
                <w:rFonts w:ascii="Arial" w:cs="Arial" w:eastAsia="Arial" w:hAnsi="Arial"/>
                <w:sz w:val="16"/>
                <w:szCs w:val="16"/>
                <w:color w:val="auto"/>
              </w:rPr>
              <w:t>2,646</w:t>
            </w:r>
          </w:p>
        </w:tc>
      </w:tr>
      <w:tr>
        <w:trPr>
          <w:trHeight w:val="200"/>
        </w:trPr>
        <w:tc>
          <w:tcPr>
            <w:tcW w:w="562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Earnings from discontinued operations, net of tax</w:t>
            </w:r>
          </w:p>
        </w:tc>
        <w:tc>
          <w:tcPr>
            <w:tcW w:w="2440" w:type="dxa"/>
            <w:vAlign w:val="bottom"/>
            <w:tcBorders>
              <w:bottom w:val="single" w:sz="8" w:color="B2B2B2"/>
            </w:tcBorders>
          </w:tcPr>
          <w:p>
            <w:pPr>
              <w:jc w:val="center"/>
              <w:ind w:left="1661"/>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B2B2B2"/>
            </w:tcBorders>
          </w:tcPr>
          <w:p>
            <w:pPr>
              <w:spacing w:after="0"/>
              <w:rPr>
                <w:sz w:val="17"/>
                <w:szCs w:val="17"/>
                <w:color w:val="auto"/>
              </w:rPr>
            </w:pPr>
          </w:p>
        </w:tc>
        <w:tc>
          <w:tcPr>
            <w:tcW w:w="160" w:type="dxa"/>
            <w:vAlign w:val="bottom"/>
            <w:tcBorders>
              <w:bottom w:val="single" w:sz="8" w:color="B2B2B2"/>
            </w:tcBorders>
          </w:tcPr>
          <w:p>
            <w:pPr>
              <w:spacing w:after="0"/>
              <w:rPr>
                <w:sz w:val="17"/>
                <w:szCs w:val="17"/>
                <w:color w:val="auto"/>
              </w:rPr>
            </w:pPr>
          </w:p>
        </w:tc>
        <w:tc>
          <w:tcPr>
            <w:tcW w:w="1060" w:type="dxa"/>
            <w:vAlign w:val="bottom"/>
            <w:tcBorders>
              <w:bottom w:val="single" w:sz="8" w:color="B2B2B2"/>
            </w:tcBorders>
          </w:tcPr>
          <w:p>
            <w:pPr>
              <w:jc w:val="right"/>
              <w:ind w:right="61"/>
              <w:spacing w:after="0"/>
              <w:rPr>
                <w:sz w:val="20"/>
                <w:szCs w:val="20"/>
                <w:color w:val="auto"/>
              </w:rPr>
            </w:pPr>
            <w:r>
              <w:rPr>
                <w:rFonts w:ascii="Arial" w:cs="Arial" w:eastAsia="Arial" w:hAnsi="Arial"/>
                <w:sz w:val="16"/>
                <w:szCs w:val="16"/>
                <w:b w:val="1"/>
                <w:bCs w:val="1"/>
                <w:color w:val="auto"/>
              </w:rPr>
              <w:t>15</w:t>
            </w:r>
          </w:p>
        </w:tc>
        <w:tc>
          <w:tcPr>
            <w:tcW w:w="130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49</w:t>
            </w:r>
          </w:p>
        </w:tc>
      </w:tr>
      <w:tr>
        <w:trPr>
          <w:trHeight w:val="179"/>
        </w:trPr>
        <w:tc>
          <w:tcPr>
            <w:tcW w:w="562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Net earnings</w:t>
            </w:r>
          </w:p>
        </w:tc>
        <w:tc>
          <w:tcPr>
            <w:tcW w:w="2440" w:type="dxa"/>
            <w:vAlign w:val="bottom"/>
            <w:tcBorders>
              <w:bottom w:val="single" w:sz="8" w:color="B2B2B2"/>
            </w:tcBorders>
          </w:tcPr>
          <w:p>
            <w:pPr>
              <w:spacing w:after="0"/>
              <w:rPr>
                <w:sz w:val="15"/>
                <w:szCs w:val="15"/>
                <w:color w:val="auto"/>
              </w:rPr>
            </w:pPr>
          </w:p>
        </w:tc>
        <w:tc>
          <w:tcPr>
            <w:tcW w:w="220" w:type="dxa"/>
            <w:vAlign w:val="bottom"/>
            <w:tcBorders>
              <w:bottom w:val="single" w:sz="8" w:color="B2B2B2"/>
            </w:tcBorders>
          </w:tcPr>
          <w:p>
            <w:pPr>
              <w:spacing w:after="0"/>
              <w:rPr>
                <w:sz w:val="15"/>
                <w:szCs w:val="15"/>
                <w:color w:val="auto"/>
              </w:rPr>
            </w:pPr>
          </w:p>
        </w:tc>
        <w:tc>
          <w:tcPr>
            <w:tcW w:w="160" w:type="dxa"/>
            <w:vAlign w:val="bottom"/>
            <w:tcBorders>
              <w:bottom w:val="single" w:sz="8" w:color="B2B2B2"/>
            </w:tcBorders>
          </w:tcPr>
          <w:p>
            <w:pPr>
              <w:spacing w:after="0"/>
              <w:rPr>
                <w:sz w:val="15"/>
                <w:szCs w:val="15"/>
                <w:color w:val="auto"/>
              </w:rPr>
            </w:pPr>
          </w:p>
        </w:tc>
        <w:tc>
          <w:tcPr>
            <w:tcW w:w="1060" w:type="dxa"/>
            <w:vAlign w:val="bottom"/>
            <w:tcBorders>
              <w:bottom w:val="single" w:sz="8" w:color="B2B2B2"/>
            </w:tcBorders>
          </w:tcPr>
          <w:p>
            <w:pPr>
              <w:jc w:val="right"/>
              <w:ind w:right="61"/>
              <w:spacing w:after="0" w:line="179" w:lineRule="exact"/>
              <w:rPr>
                <w:sz w:val="20"/>
                <w:szCs w:val="20"/>
                <w:color w:val="auto"/>
              </w:rPr>
            </w:pPr>
            <w:r>
              <w:rPr>
                <w:rFonts w:ascii="Arial" w:cs="Arial" w:eastAsia="Arial" w:hAnsi="Arial"/>
                <w:sz w:val="16"/>
                <w:szCs w:val="16"/>
                <w:b w:val="1"/>
                <w:bCs w:val="1"/>
                <w:color w:val="auto"/>
              </w:rPr>
              <w:t>2,207</w:t>
            </w:r>
          </w:p>
        </w:tc>
        <w:tc>
          <w:tcPr>
            <w:tcW w:w="1300" w:type="dxa"/>
            <w:vAlign w:val="bottom"/>
            <w:tcBorders>
              <w:bottom w:val="single" w:sz="8" w:color="B2B2B2"/>
            </w:tcBorders>
          </w:tcPr>
          <w:p>
            <w:pPr>
              <w:jc w:val="right"/>
              <w:ind w:right="1"/>
              <w:spacing w:after="0" w:line="179" w:lineRule="exact"/>
              <w:rPr>
                <w:sz w:val="20"/>
                <w:szCs w:val="20"/>
                <w:color w:val="auto"/>
              </w:rPr>
            </w:pPr>
            <w:r>
              <w:rPr>
                <w:rFonts w:ascii="Arial" w:cs="Arial" w:eastAsia="Arial" w:hAnsi="Arial"/>
                <w:sz w:val="16"/>
                <w:szCs w:val="16"/>
                <w:color w:val="auto"/>
              </w:rPr>
              <w:t>2,695</w:t>
            </w:r>
          </w:p>
        </w:tc>
      </w:tr>
      <w:tr>
        <w:trPr>
          <w:trHeight w:val="165"/>
        </w:trPr>
        <w:tc>
          <w:tcPr>
            <w:tcW w:w="5620" w:type="dxa"/>
            <w:vAlign w:val="bottom"/>
          </w:tcPr>
          <w:p>
            <w:pPr>
              <w:spacing w:after="0" w:line="165" w:lineRule="exact"/>
              <w:rPr>
                <w:sz w:val="20"/>
                <w:szCs w:val="20"/>
                <w:color w:val="auto"/>
              </w:rPr>
            </w:pPr>
            <w:r>
              <w:rPr>
                <w:rFonts w:ascii="Arial" w:cs="Arial" w:eastAsia="Arial" w:hAnsi="Arial"/>
                <w:sz w:val="16"/>
                <w:szCs w:val="16"/>
                <w:color w:val="auto"/>
              </w:rPr>
              <w:t> Earnings (loss) attributable to:</w:t>
            </w:r>
          </w:p>
        </w:tc>
        <w:tc>
          <w:tcPr>
            <w:tcW w:w="2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5"/>
        </w:trPr>
        <w:tc>
          <w:tcPr>
            <w:tcW w:w="5620" w:type="dxa"/>
            <w:vAlign w:val="bottom"/>
          </w:tcPr>
          <w:p>
            <w:pPr>
              <w:ind w:left="80"/>
              <w:spacing w:after="0"/>
              <w:rPr>
                <w:sz w:val="20"/>
                <w:szCs w:val="20"/>
                <w:color w:val="auto"/>
              </w:rPr>
            </w:pPr>
            <w:r>
              <w:rPr>
                <w:rFonts w:ascii="Arial" w:cs="Arial" w:eastAsia="Arial" w:hAnsi="Arial"/>
                <w:sz w:val="16"/>
                <w:szCs w:val="16"/>
                <w:color w:val="auto"/>
              </w:rPr>
              <w:t>  Common shareholders</w:t>
            </w:r>
          </w:p>
        </w:tc>
        <w:tc>
          <w:tcPr>
            <w:tcW w:w="2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b w:val="1"/>
                <w:bCs w:val="1"/>
                <w:color w:val="auto"/>
              </w:rPr>
              <w:t>2,210</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2,695</w:t>
            </w:r>
          </w:p>
        </w:tc>
      </w:tr>
      <w:tr>
        <w:trPr>
          <w:trHeight w:val="218"/>
        </w:trPr>
        <w:tc>
          <w:tcPr>
            <w:tcW w:w="5620" w:type="dxa"/>
            <w:vAlign w:val="bottom"/>
          </w:tcPr>
          <w:p>
            <w:pPr>
              <w:ind w:left="80"/>
              <w:spacing w:after="0"/>
              <w:rPr>
                <w:sz w:val="20"/>
                <w:szCs w:val="20"/>
                <w:color w:val="auto"/>
              </w:rPr>
            </w:pPr>
            <w:r>
              <w:rPr>
                <w:rFonts w:ascii="Arial" w:cs="Arial" w:eastAsia="Arial" w:hAnsi="Arial"/>
                <w:sz w:val="16"/>
                <w:szCs w:val="16"/>
                <w:color w:val="auto"/>
              </w:rPr>
              <w:t>  Non-controlling interests</w:t>
            </w: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b w:val="1"/>
                <w:bCs w:val="1"/>
                <w:color w:val="auto"/>
              </w:rPr>
              <w:t>(3)</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59"/>
        </w:trPr>
        <w:tc>
          <w:tcPr>
            <w:tcW w:w="5620" w:type="dxa"/>
            <w:vAlign w:val="bottom"/>
          </w:tcPr>
          <w:p>
            <w:pPr>
              <w:spacing w:after="0"/>
              <w:rPr>
                <w:sz w:val="20"/>
                <w:szCs w:val="20"/>
                <w:color w:val="auto"/>
              </w:rPr>
            </w:pPr>
            <w:r>
              <w:rPr>
                <w:rFonts w:ascii="Arial" w:cs="Arial" w:eastAsia="Arial" w:hAnsi="Arial"/>
                <w:sz w:val="16"/>
                <w:szCs w:val="16"/>
                <w:b w:val="1"/>
                <w:bCs w:val="1"/>
                <w:color w:val="auto"/>
              </w:rPr>
              <w:t> Earnings per share</w:t>
            </w:r>
          </w:p>
        </w:tc>
        <w:tc>
          <w:tcPr>
            <w:tcW w:w="2440" w:type="dxa"/>
            <w:vAlign w:val="bottom"/>
          </w:tcPr>
          <w:p>
            <w:pPr>
              <w:jc w:val="center"/>
              <w:ind w:left="1661"/>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185"/>
        </w:trPr>
        <w:tc>
          <w:tcPr>
            <w:tcW w:w="5620" w:type="dxa"/>
            <w:vAlign w:val="bottom"/>
          </w:tcPr>
          <w:p>
            <w:pPr>
              <w:spacing w:after="0"/>
              <w:rPr>
                <w:sz w:val="20"/>
                <w:szCs w:val="20"/>
                <w:color w:val="auto"/>
              </w:rPr>
            </w:pPr>
            <w:r>
              <w:rPr>
                <w:rFonts w:ascii="Arial" w:cs="Arial" w:eastAsia="Arial" w:hAnsi="Arial"/>
                <w:sz w:val="16"/>
                <w:szCs w:val="16"/>
                <w:color w:val="auto"/>
              </w:rPr>
              <w:t> Basic earnings per share:</w:t>
            </w:r>
          </w:p>
        </w:tc>
        <w:tc>
          <w:tcPr>
            <w:tcW w:w="2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6"/>
        </w:trPr>
        <w:tc>
          <w:tcPr>
            <w:tcW w:w="5620" w:type="dxa"/>
            <w:vAlign w:val="bottom"/>
          </w:tcPr>
          <w:p>
            <w:pPr>
              <w:ind w:left="80"/>
              <w:spacing w:after="0"/>
              <w:rPr>
                <w:sz w:val="20"/>
                <w:szCs w:val="20"/>
                <w:color w:val="auto"/>
              </w:rPr>
            </w:pPr>
            <w:r>
              <w:rPr>
                <w:rFonts w:ascii="Arial" w:cs="Arial" w:eastAsia="Arial" w:hAnsi="Arial"/>
                <w:sz w:val="16"/>
                <w:szCs w:val="16"/>
                <w:color w:val="auto"/>
              </w:rPr>
              <w:t>  From continuing operations</w:t>
            </w:r>
          </w:p>
        </w:tc>
        <w:tc>
          <w:tcPr>
            <w:tcW w:w="2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b w:val="1"/>
                <w:bCs w:val="1"/>
                <w:color w:val="auto"/>
              </w:rPr>
              <w:t>$4.86</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$5.70</w:t>
            </w:r>
          </w:p>
        </w:tc>
      </w:tr>
      <w:tr>
        <w:trPr>
          <w:trHeight w:val="200"/>
        </w:trPr>
        <w:tc>
          <w:tcPr>
            <w:tcW w:w="5620" w:type="dxa"/>
            <w:vAlign w:val="bottom"/>
            <w:tcBorders>
              <w:bottom w:val="single" w:sz="8" w:color="B2B2B2"/>
            </w:tcBorders>
          </w:tcPr>
          <w:p>
            <w:pPr>
              <w:ind w:left="80"/>
              <w:spacing w:after="0"/>
              <w:rPr>
                <w:sz w:val="20"/>
                <w:szCs w:val="20"/>
                <w:color w:val="auto"/>
              </w:rPr>
            </w:pPr>
            <w:r>
              <w:rPr>
                <w:rFonts w:ascii="Arial" w:cs="Arial" w:eastAsia="Arial" w:hAnsi="Arial"/>
                <w:sz w:val="16"/>
                <w:szCs w:val="16"/>
                <w:color w:val="auto"/>
              </w:rPr>
              <w:t>  From discontinued operations</w:t>
            </w:r>
          </w:p>
        </w:tc>
        <w:tc>
          <w:tcPr>
            <w:tcW w:w="2440" w:type="dxa"/>
            <w:vAlign w:val="bottom"/>
            <w:tcBorders>
              <w:bottom w:val="single" w:sz="8" w:color="B2B2B2"/>
            </w:tcBorders>
          </w:tcPr>
          <w:p>
            <w:pPr>
              <w:spacing w:after="0"/>
              <w:rPr>
                <w:sz w:val="17"/>
                <w:szCs w:val="17"/>
                <w:color w:val="auto"/>
              </w:rPr>
            </w:pPr>
          </w:p>
        </w:tc>
        <w:tc>
          <w:tcPr>
            <w:tcW w:w="220" w:type="dxa"/>
            <w:vAlign w:val="bottom"/>
            <w:tcBorders>
              <w:bottom w:val="single" w:sz="8" w:color="B2B2B2"/>
            </w:tcBorders>
          </w:tcPr>
          <w:p>
            <w:pPr>
              <w:spacing w:after="0"/>
              <w:rPr>
                <w:sz w:val="17"/>
                <w:szCs w:val="17"/>
                <w:color w:val="auto"/>
              </w:rPr>
            </w:pPr>
          </w:p>
        </w:tc>
        <w:tc>
          <w:tcPr>
            <w:tcW w:w="160" w:type="dxa"/>
            <w:vAlign w:val="bottom"/>
            <w:tcBorders>
              <w:bottom w:val="single" w:sz="8" w:color="B2B2B2"/>
            </w:tcBorders>
          </w:tcPr>
          <w:p>
            <w:pPr>
              <w:spacing w:after="0"/>
              <w:rPr>
                <w:sz w:val="17"/>
                <w:szCs w:val="17"/>
                <w:color w:val="auto"/>
              </w:rPr>
            </w:pPr>
          </w:p>
        </w:tc>
        <w:tc>
          <w:tcPr>
            <w:tcW w:w="1060" w:type="dxa"/>
            <w:vAlign w:val="bottom"/>
            <w:tcBorders>
              <w:bottom w:val="single" w:sz="8" w:color="B2B2B2"/>
            </w:tcBorders>
          </w:tcPr>
          <w:p>
            <w:pPr>
              <w:jc w:val="right"/>
              <w:ind w:right="61"/>
              <w:spacing w:after="0"/>
              <w:rPr>
                <w:sz w:val="20"/>
                <w:szCs w:val="20"/>
                <w:color w:val="auto"/>
              </w:rPr>
            </w:pPr>
            <w:r>
              <w:rPr>
                <w:rFonts w:ascii="Arial" w:cs="Arial" w:eastAsia="Arial" w:hAnsi="Arial"/>
                <w:sz w:val="16"/>
                <w:szCs w:val="16"/>
                <w:b w:val="1"/>
                <w:bCs w:val="1"/>
                <w:color w:val="auto"/>
              </w:rPr>
              <w:t>0.03</w:t>
            </w:r>
          </w:p>
        </w:tc>
        <w:tc>
          <w:tcPr>
            <w:tcW w:w="130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0.11</w:t>
            </w:r>
          </w:p>
        </w:tc>
      </w:tr>
      <w:tr>
        <w:trPr>
          <w:trHeight w:val="179"/>
        </w:trPr>
        <w:tc>
          <w:tcPr>
            <w:tcW w:w="562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Basic earnings per share</w:t>
            </w:r>
          </w:p>
        </w:tc>
        <w:tc>
          <w:tcPr>
            <w:tcW w:w="2440" w:type="dxa"/>
            <w:vAlign w:val="bottom"/>
            <w:tcBorders>
              <w:bottom w:val="single" w:sz="8" w:color="B2B2B2"/>
            </w:tcBorders>
          </w:tcPr>
          <w:p>
            <w:pPr>
              <w:spacing w:after="0"/>
              <w:rPr>
                <w:sz w:val="15"/>
                <w:szCs w:val="15"/>
                <w:color w:val="auto"/>
              </w:rPr>
            </w:pPr>
          </w:p>
        </w:tc>
        <w:tc>
          <w:tcPr>
            <w:tcW w:w="220" w:type="dxa"/>
            <w:vAlign w:val="bottom"/>
            <w:tcBorders>
              <w:bottom w:val="single" w:sz="8" w:color="B2B2B2"/>
            </w:tcBorders>
          </w:tcPr>
          <w:p>
            <w:pPr>
              <w:spacing w:after="0"/>
              <w:rPr>
                <w:sz w:val="15"/>
                <w:szCs w:val="15"/>
                <w:color w:val="auto"/>
              </w:rPr>
            </w:pPr>
          </w:p>
        </w:tc>
        <w:tc>
          <w:tcPr>
            <w:tcW w:w="160" w:type="dxa"/>
            <w:vAlign w:val="bottom"/>
            <w:tcBorders>
              <w:bottom w:val="single" w:sz="8" w:color="B2B2B2"/>
            </w:tcBorders>
          </w:tcPr>
          <w:p>
            <w:pPr>
              <w:spacing w:after="0"/>
              <w:rPr>
                <w:sz w:val="15"/>
                <w:szCs w:val="15"/>
                <w:color w:val="auto"/>
              </w:rPr>
            </w:pPr>
          </w:p>
        </w:tc>
        <w:tc>
          <w:tcPr>
            <w:tcW w:w="1060" w:type="dxa"/>
            <w:vAlign w:val="bottom"/>
            <w:tcBorders>
              <w:bottom w:val="single" w:sz="8" w:color="B2B2B2"/>
            </w:tcBorders>
          </w:tcPr>
          <w:p>
            <w:pPr>
              <w:jc w:val="right"/>
              <w:ind w:right="61"/>
              <w:spacing w:after="0" w:line="179" w:lineRule="exact"/>
              <w:rPr>
                <w:sz w:val="20"/>
                <w:szCs w:val="20"/>
                <w:color w:val="auto"/>
              </w:rPr>
            </w:pPr>
            <w:r>
              <w:rPr>
                <w:rFonts w:ascii="Arial" w:cs="Arial" w:eastAsia="Arial" w:hAnsi="Arial"/>
                <w:sz w:val="16"/>
                <w:szCs w:val="16"/>
                <w:b w:val="1"/>
                <w:bCs w:val="1"/>
                <w:color w:val="auto"/>
              </w:rPr>
              <w:t>$4.89</w:t>
            </w:r>
          </w:p>
        </w:tc>
        <w:tc>
          <w:tcPr>
            <w:tcW w:w="1300" w:type="dxa"/>
            <w:vAlign w:val="bottom"/>
            <w:tcBorders>
              <w:bottom w:val="single" w:sz="8" w:color="B2B2B2"/>
            </w:tcBorders>
          </w:tcPr>
          <w:p>
            <w:pPr>
              <w:jc w:val="right"/>
              <w:ind w:right="1"/>
              <w:spacing w:after="0" w:line="179" w:lineRule="exact"/>
              <w:rPr>
                <w:sz w:val="20"/>
                <w:szCs w:val="20"/>
                <w:color w:val="auto"/>
              </w:rPr>
            </w:pPr>
            <w:r>
              <w:rPr>
                <w:rFonts w:ascii="Arial" w:cs="Arial" w:eastAsia="Arial" w:hAnsi="Arial"/>
                <w:sz w:val="16"/>
                <w:szCs w:val="16"/>
                <w:color w:val="auto"/>
              </w:rPr>
              <w:t>$5.81</w:t>
            </w:r>
          </w:p>
        </w:tc>
      </w:tr>
      <w:tr>
        <w:trPr>
          <w:trHeight w:val="204"/>
        </w:trPr>
        <w:tc>
          <w:tcPr>
            <w:tcW w:w="5620" w:type="dxa"/>
            <w:vAlign w:val="bottom"/>
          </w:tcPr>
          <w:p>
            <w:pPr>
              <w:spacing w:after="0"/>
              <w:rPr>
                <w:sz w:val="20"/>
                <w:szCs w:val="20"/>
                <w:color w:val="auto"/>
              </w:rPr>
            </w:pPr>
            <w:r>
              <w:rPr>
                <w:rFonts w:ascii="Arial" w:cs="Arial" w:eastAsia="Arial" w:hAnsi="Arial"/>
                <w:sz w:val="16"/>
                <w:szCs w:val="16"/>
                <w:color w:val="auto"/>
              </w:rPr>
              <w:t> Diluted earnings per share:</w:t>
            </w:r>
          </w:p>
        </w:tc>
        <w:tc>
          <w:tcPr>
            <w:tcW w:w="2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85"/>
        </w:trPr>
        <w:tc>
          <w:tcPr>
            <w:tcW w:w="5620" w:type="dxa"/>
            <w:vAlign w:val="bottom"/>
          </w:tcPr>
          <w:p>
            <w:pPr>
              <w:ind w:left="80"/>
              <w:spacing w:after="0"/>
              <w:rPr>
                <w:sz w:val="20"/>
                <w:szCs w:val="20"/>
                <w:color w:val="auto"/>
              </w:rPr>
            </w:pPr>
            <w:r>
              <w:rPr>
                <w:rFonts w:ascii="Arial" w:cs="Arial" w:eastAsia="Arial" w:hAnsi="Arial"/>
                <w:sz w:val="16"/>
                <w:szCs w:val="16"/>
                <w:color w:val="auto"/>
              </w:rPr>
              <w:t>  From continuing operations</w:t>
            </w:r>
          </w:p>
        </w:tc>
        <w:tc>
          <w:tcPr>
            <w:tcW w:w="2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b w:val="1"/>
                <w:bCs w:val="1"/>
                <w:color w:val="auto"/>
              </w:rPr>
              <w:t>$4.85</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$5.69</w:t>
            </w:r>
          </w:p>
        </w:tc>
      </w:tr>
      <w:tr>
        <w:trPr>
          <w:trHeight w:val="200"/>
        </w:trPr>
        <w:tc>
          <w:tcPr>
            <w:tcW w:w="5620" w:type="dxa"/>
            <w:vAlign w:val="bottom"/>
            <w:tcBorders>
              <w:bottom w:val="single" w:sz="8" w:color="B2B2B2"/>
            </w:tcBorders>
          </w:tcPr>
          <w:p>
            <w:pPr>
              <w:ind w:left="80"/>
              <w:spacing w:after="0"/>
              <w:rPr>
                <w:sz w:val="20"/>
                <w:szCs w:val="20"/>
                <w:color w:val="auto"/>
              </w:rPr>
            </w:pPr>
            <w:r>
              <w:rPr>
                <w:rFonts w:ascii="Arial" w:cs="Arial" w:eastAsia="Arial" w:hAnsi="Arial"/>
                <w:sz w:val="16"/>
                <w:szCs w:val="16"/>
                <w:color w:val="auto"/>
              </w:rPr>
              <w:t>  From discontinued operations</w:t>
            </w:r>
          </w:p>
        </w:tc>
        <w:tc>
          <w:tcPr>
            <w:tcW w:w="2440" w:type="dxa"/>
            <w:vAlign w:val="bottom"/>
            <w:tcBorders>
              <w:bottom w:val="single" w:sz="8" w:color="B2B2B2"/>
            </w:tcBorders>
          </w:tcPr>
          <w:p>
            <w:pPr>
              <w:spacing w:after="0"/>
              <w:rPr>
                <w:sz w:val="17"/>
                <w:szCs w:val="17"/>
                <w:color w:val="auto"/>
              </w:rPr>
            </w:pPr>
          </w:p>
        </w:tc>
        <w:tc>
          <w:tcPr>
            <w:tcW w:w="220" w:type="dxa"/>
            <w:vAlign w:val="bottom"/>
            <w:tcBorders>
              <w:bottom w:val="single" w:sz="8" w:color="B2B2B2"/>
            </w:tcBorders>
          </w:tcPr>
          <w:p>
            <w:pPr>
              <w:spacing w:after="0"/>
              <w:rPr>
                <w:sz w:val="17"/>
                <w:szCs w:val="17"/>
                <w:color w:val="auto"/>
              </w:rPr>
            </w:pPr>
          </w:p>
        </w:tc>
        <w:tc>
          <w:tcPr>
            <w:tcW w:w="160" w:type="dxa"/>
            <w:vAlign w:val="bottom"/>
            <w:tcBorders>
              <w:bottom w:val="single" w:sz="8" w:color="B2B2B2"/>
            </w:tcBorders>
          </w:tcPr>
          <w:p>
            <w:pPr>
              <w:spacing w:after="0"/>
              <w:rPr>
                <w:sz w:val="17"/>
                <w:szCs w:val="17"/>
                <w:color w:val="auto"/>
              </w:rPr>
            </w:pPr>
          </w:p>
        </w:tc>
        <w:tc>
          <w:tcPr>
            <w:tcW w:w="1060" w:type="dxa"/>
            <w:vAlign w:val="bottom"/>
            <w:tcBorders>
              <w:bottom w:val="single" w:sz="8" w:color="B2B2B2"/>
            </w:tcBorders>
          </w:tcPr>
          <w:p>
            <w:pPr>
              <w:jc w:val="right"/>
              <w:ind w:right="61"/>
              <w:spacing w:after="0"/>
              <w:rPr>
                <w:sz w:val="20"/>
                <w:szCs w:val="20"/>
                <w:color w:val="auto"/>
              </w:rPr>
            </w:pPr>
            <w:r>
              <w:rPr>
                <w:rFonts w:ascii="Arial" w:cs="Arial" w:eastAsia="Arial" w:hAnsi="Arial"/>
                <w:sz w:val="16"/>
                <w:szCs w:val="16"/>
                <w:b w:val="1"/>
                <w:bCs w:val="1"/>
                <w:color w:val="auto"/>
              </w:rPr>
              <w:t>0.04</w:t>
            </w:r>
          </w:p>
        </w:tc>
        <w:tc>
          <w:tcPr>
            <w:tcW w:w="130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0.11</w:t>
            </w:r>
          </w:p>
        </w:tc>
      </w:tr>
      <w:tr>
        <w:trPr>
          <w:trHeight w:val="185"/>
        </w:trPr>
        <w:tc>
          <w:tcPr>
            <w:tcW w:w="562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color w:val="auto"/>
              </w:rPr>
              <w:t> Diluted earnings per share</w:t>
            </w:r>
          </w:p>
        </w:tc>
        <w:tc>
          <w:tcPr>
            <w:tcW w:w="2440" w:type="dxa"/>
            <w:vAlign w:val="bottom"/>
            <w:tcBorders>
              <w:bottom w:val="single" w:sz="8" w:color="D64000"/>
            </w:tcBorders>
          </w:tcPr>
          <w:p>
            <w:pPr>
              <w:spacing w:after="0"/>
              <w:rPr>
                <w:sz w:val="16"/>
                <w:szCs w:val="16"/>
                <w:color w:val="auto"/>
              </w:rPr>
            </w:pPr>
          </w:p>
        </w:tc>
        <w:tc>
          <w:tcPr>
            <w:tcW w:w="220" w:type="dxa"/>
            <w:vAlign w:val="bottom"/>
            <w:tcBorders>
              <w:bottom w:val="single" w:sz="8" w:color="D64000"/>
            </w:tcBorders>
          </w:tcPr>
          <w:p>
            <w:pPr>
              <w:spacing w:after="0"/>
              <w:rPr>
                <w:sz w:val="16"/>
                <w:szCs w:val="16"/>
                <w:color w:val="auto"/>
              </w:rPr>
            </w:pPr>
          </w:p>
        </w:tc>
        <w:tc>
          <w:tcPr>
            <w:tcW w:w="160" w:type="dxa"/>
            <w:vAlign w:val="bottom"/>
            <w:tcBorders>
              <w:bottom w:val="single" w:sz="8" w:color="D64000"/>
            </w:tcBorders>
          </w:tcPr>
          <w:p>
            <w:pPr>
              <w:spacing w:after="0"/>
              <w:rPr>
                <w:sz w:val="16"/>
                <w:szCs w:val="16"/>
                <w:color w:val="auto"/>
              </w:rPr>
            </w:pPr>
          </w:p>
        </w:tc>
        <w:tc>
          <w:tcPr>
            <w:tcW w:w="1060" w:type="dxa"/>
            <w:vAlign w:val="bottom"/>
            <w:tcBorders>
              <w:bottom w:val="single" w:sz="8" w:color="D64000"/>
            </w:tcBorders>
          </w:tcPr>
          <w:p>
            <w:pPr>
              <w:jc w:val="right"/>
              <w:ind w:right="61"/>
              <w:spacing w:after="0" w:line="179" w:lineRule="exact"/>
              <w:rPr>
                <w:sz w:val="20"/>
                <w:szCs w:val="20"/>
                <w:color w:val="auto"/>
              </w:rPr>
            </w:pPr>
            <w:r>
              <w:rPr>
                <w:rFonts w:ascii="Arial" w:cs="Arial" w:eastAsia="Arial" w:hAnsi="Arial"/>
                <w:sz w:val="16"/>
                <w:szCs w:val="16"/>
                <w:b w:val="1"/>
                <w:bCs w:val="1"/>
                <w:color w:val="auto"/>
              </w:rPr>
              <w:t>$4.89</w:t>
            </w:r>
          </w:p>
        </w:tc>
        <w:tc>
          <w:tcPr>
            <w:tcW w:w="1300" w:type="dxa"/>
            <w:vAlign w:val="bottom"/>
            <w:tcBorders>
              <w:bottom w:val="single" w:sz="8" w:color="D64000"/>
            </w:tcBorders>
          </w:tcPr>
          <w:p>
            <w:pPr>
              <w:jc w:val="right"/>
              <w:ind w:right="1"/>
              <w:spacing w:after="0" w:line="179" w:lineRule="exact"/>
              <w:rPr>
                <w:sz w:val="20"/>
                <w:szCs w:val="20"/>
                <w:color w:val="auto"/>
              </w:rPr>
            </w:pPr>
            <w:r>
              <w:rPr>
                <w:rFonts w:ascii="Arial" w:cs="Arial" w:eastAsia="Arial" w:hAnsi="Arial"/>
                <w:sz w:val="16"/>
                <w:szCs w:val="16"/>
                <w:color w:val="auto"/>
              </w:rPr>
              <w:t>$5.80</w:t>
            </w:r>
          </w:p>
        </w:tc>
      </w:tr>
    </w:tbl>
    <w:p>
      <w:pPr>
        <w:spacing w:after="0" w:line="8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related notes form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108585</wp:posOffset>
            </wp:positionV>
            <wp:extent cx="68656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82"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84</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THOMSON REUTERS CORPORATION</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CONSOLIDATED STATEMENT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73025</wp:posOffset>
            </wp:positionV>
            <wp:extent cx="68656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95"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6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520" w:type="dxa"/>
            <w:vAlign w:val="bottom"/>
            <w:gridSpan w:val="2"/>
            <w:shd w:val="clear" w:color="auto" w:fill="E3F3EE"/>
          </w:tcPr>
          <w:p>
            <w:pPr>
              <w:jc w:val="right"/>
              <w:ind w:right="41"/>
              <w:spacing w:after="0"/>
              <w:rPr>
                <w:sz w:val="20"/>
                <w:szCs w:val="20"/>
                <w:color w:val="auto"/>
              </w:rPr>
            </w:pPr>
            <w:r>
              <w:rPr>
                <w:rFonts w:ascii="Arial" w:cs="Arial" w:eastAsia="Arial" w:hAnsi="Arial"/>
                <w:sz w:val="16"/>
                <w:szCs w:val="16"/>
                <w:b w:val="1"/>
                <w:bCs w:val="1"/>
                <w:color w:val="auto"/>
              </w:rPr>
              <w:t>Year ended December 31, </w:t>
            </w:r>
          </w:p>
        </w:tc>
        <w:tc>
          <w:tcPr>
            <w:tcW w:w="0" w:type="dxa"/>
            <w:vAlign w:val="bottom"/>
          </w:tcPr>
          <w:p>
            <w:pPr>
              <w:spacing w:after="0"/>
              <w:rPr>
                <w:sz w:val="1"/>
                <w:szCs w:val="1"/>
                <w:color w:val="auto"/>
              </w:rPr>
            </w:pPr>
          </w:p>
        </w:tc>
      </w:tr>
      <w:tr>
        <w:trPr>
          <w:trHeight w:val="192"/>
        </w:trPr>
        <w:tc>
          <w:tcPr>
            <w:tcW w:w="634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b w:val="1"/>
                <w:bCs w:val="1"/>
                <w:color w:val="FFFFFF"/>
              </w:rPr>
              <w:t> (millions of U.S. dollars)</w:t>
            </w:r>
          </w:p>
        </w:tc>
        <w:tc>
          <w:tcPr>
            <w:tcW w:w="1940" w:type="dxa"/>
            <w:vAlign w:val="bottom"/>
            <w:tcBorders>
              <w:bottom w:val="single" w:sz="8" w:color="D64000"/>
            </w:tcBorders>
            <w:shd w:val="clear" w:color="auto" w:fill="1F473D"/>
          </w:tcPr>
          <w:p>
            <w:pPr>
              <w:jc w:val="right"/>
              <w:ind w:right="101"/>
              <w:spacing w:after="0"/>
              <w:rPr>
                <w:sz w:val="20"/>
                <w:szCs w:val="20"/>
                <w:color w:val="auto"/>
              </w:rPr>
            </w:pPr>
            <w:r>
              <w:rPr>
                <w:rFonts w:ascii="Arial" w:cs="Arial" w:eastAsia="Arial" w:hAnsi="Arial"/>
                <w:sz w:val="16"/>
                <w:szCs w:val="16"/>
                <w:b w:val="1"/>
                <w:bCs w:val="1"/>
                <w:color w:val="FFFFFF"/>
              </w:rPr>
              <w:t>   Notes </w:t>
            </w:r>
          </w:p>
        </w:tc>
        <w:tc>
          <w:tcPr>
            <w:tcW w:w="130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b w:val="1"/>
                <w:bCs w:val="1"/>
                <w:color w:val="FFFFFF"/>
              </w:rPr>
              <w:t xml:space="preserve">            2024 </w:t>
            </w:r>
            <w:r>
              <w:rPr>
                <w:rFonts w:ascii="Arial" w:cs="Arial" w:eastAsia="Arial" w:hAnsi="Arial"/>
                <w:sz w:val="16"/>
                <w:szCs w:val="16"/>
                <w:color w:val="FFFFFF"/>
              </w:rPr>
              <w:t xml:space="preserve"> </w:t>
            </w:r>
          </w:p>
        </w:tc>
        <w:tc>
          <w:tcPr>
            <w:tcW w:w="1220" w:type="dxa"/>
            <w:vAlign w:val="bottom"/>
            <w:tcBorders>
              <w:bottom w:val="single" w:sz="8" w:color="D64000"/>
            </w:tcBorders>
            <w:shd w:val="clear" w:color="auto" w:fill="1F473D"/>
          </w:tcPr>
          <w:p>
            <w:pPr>
              <w:jc w:val="right"/>
              <w:ind w:right="1"/>
              <w:spacing w:after="0"/>
              <w:rPr>
                <w:sz w:val="20"/>
                <w:szCs w:val="20"/>
                <w:color w:val="auto"/>
              </w:rPr>
            </w:pPr>
            <w:r>
              <w:rPr>
                <w:rFonts w:ascii="Arial" w:cs="Arial" w:eastAsia="Arial" w:hAnsi="Arial"/>
                <w:sz w:val="16"/>
                <w:szCs w:val="16"/>
                <w:color w:val="FFFFFF"/>
              </w:rPr>
              <w:t>              2023</w:t>
            </w:r>
          </w:p>
        </w:tc>
        <w:tc>
          <w:tcPr>
            <w:tcW w:w="0" w:type="dxa"/>
            <w:vAlign w:val="bottom"/>
          </w:tcPr>
          <w:p>
            <w:pPr>
              <w:spacing w:after="0"/>
              <w:rPr>
                <w:sz w:val="1"/>
                <w:szCs w:val="1"/>
                <w:color w:val="auto"/>
              </w:rPr>
            </w:pPr>
          </w:p>
        </w:tc>
      </w:tr>
      <w:tr>
        <w:trPr>
          <w:trHeight w:val="185"/>
        </w:trPr>
        <w:tc>
          <w:tcPr>
            <w:tcW w:w="634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Net earnings</w:t>
            </w:r>
          </w:p>
        </w:tc>
        <w:tc>
          <w:tcPr>
            <w:tcW w:w="1940" w:type="dxa"/>
            <w:vAlign w:val="bottom"/>
            <w:tcBorders>
              <w:bottom w:val="single" w:sz="8" w:color="B2B2B2"/>
            </w:tcBorders>
          </w:tcPr>
          <w:p>
            <w:pPr>
              <w:spacing w:after="0"/>
              <w:rPr>
                <w:sz w:val="16"/>
                <w:szCs w:val="16"/>
                <w:color w:val="auto"/>
              </w:rPr>
            </w:pPr>
          </w:p>
        </w:tc>
        <w:tc>
          <w:tcPr>
            <w:tcW w:w="1300" w:type="dxa"/>
            <w:vAlign w:val="bottom"/>
            <w:tcBorders>
              <w:bottom w:val="single" w:sz="8" w:color="B2B2B2"/>
            </w:tcBorders>
          </w:tcPr>
          <w:p>
            <w:pPr>
              <w:jc w:val="right"/>
              <w:ind w:right="121"/>
              <w:spacing w:after="0"/>
              <w:rPr>
                <w:sz w:val="20"/>
                <w:szCs w:val="20"/>
                <w:color w:val="auto"/>
              </w:rPr>
            </w:pPr>
            <w:r>
              <w:rPr>
                <w:rFonts w:ascii="Arial" w:cs="Arial" w:eastAsia="Arial" w:hAnsi="Arial"/>
                <w:sz w:val="16"/>
                <w:szCs w:val="16"/>
                <w:b w:val="1"/>
                <w:bCs w:val="1"/>
                <w:color w:val="auto"/>
              </w:rPr>
              <w:t>2,207</w:t>
            </w:r>
          </w:p>
        </w:tc>
        <w:tc>
          <w:tcPr>
            <w:tcW w:w="122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2,695</w:t>
            </w:r>
          </w:p>
        </w:tc>
        <w:tc>
          <w:tcPr>
            <w:tcW w:w="0" w:type="dxa"/>
            <w:vAlign w:val="bottom"/>
          </w:tcPr>
          <w:p>
            <w:pPr>
              <w:spacing w:after="0"/>
              <w:rPr>
                <w:sz w:val="1"/>
                <w:szCs w:val="1"/>
                <w:color w:val="auto"/>
              </w:rPr>
            </w:pPr>
          </w:p>
        </w:tc>
      </w:tr>
      <w:tr>
        <w:trPr>
          <w:trHeight w:val="165"/>
        </w:trPr>
        <w:tc>
          <w:tcPr>
            <w:tcW w:w="6340" w:type="dxa"/>
            <w:vAlign w:val="bottom"/>
          </w:tcPr>
          <w:p>
            <w:pPr>
              <w:spacing w:after="0" w:line="165" w:lineRule="exact"/>
              <w:rPr>
                <w:sz w:val="20"/>
                <w:szCs w:val="20"/>
                <w:color w:val="auto"/>
              </w:rPr>
            </w:pPr>
            <w:r>
              <w:rPr>
                <w:rFonts w:ascii="Arial" w:cs="Arial" w:eastAsia="Arial" w:hAnsi="Arial"/>
                <w:sz w:val="16"/>
                <w:szCs w:val="16"/>
                <w:color w:val="auto"/>
              </w:rPr>
              <w:t> Other comprehensive (loss) income</w:t>
            </w:r>
          </w:p>
        </w:tc>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340" w:type="dxa"/>
            <w:vAlign w:val="bottom"/>
          </w:tcPr>
          <w:p>
            <w:pPr>
              <w:spacing w:after="0"/>
              <w:rPr>
                <w:sz w:val="20"/>
                <w:szCs w:val="20"/>
                <w:color w:val="auto"/>
              </w:rPr>
            </w:pPr>
            <w:r>
              <w:rPr>
                <w:rFonts w:ascii="Arial" w:cs="Arial" w:eastAsia="Arial" w:hAnsi="Arial"/>
                <w:sz w:val="16"/>
                <w:szCs w:val="16"/>
                <w:color w:val="auto"/>
              </w:rPr>
              <w:t> Items that have been or may be subsequently reclassified to net earnings:</w:t>
            </w:r>
          </w:p>
        </w:tc>
        <w:tc>
          <w:tcPr>
            <w:tcW w:w="19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40" w:type="dxa"/>
            <w:vAlign w:val="bottom"/>
          </w:tcPr>
          <w:p>
            <w:pPr>
              <w:ind w:left="180"/>
              <w:spacing w:after="0"/>
              <w:rPr>
                <w:sz w:val="20"/>
                <w:szCs w:val="20"/>
                <w:color w:val="auto"/>
              </w:rPr>
            </w:pPr>
            <w:r>
              <w:rPr>
                <w:rFonts w:ascii="Arial" w:cs="Arial" w:eastAsia="Arial" w:hAnsi="Arial"/>
                <w:sz w:val="16"/>
                <w:szCs w:val="16"/>
                <w:color w:val="auto"/>
              </w:rPr>
              <w:t> Cash flow hedges adjustments to net earnings</w:t>
            </w:r>
          </w:p>
        </w:tc>
        <w:tc>
          <w:tcPr>
            <w:tcW w:w="1940" w:type="dxa"/>
            <w:vAlign w:val="bottom"/>
          </w:tcPr>
          <w:p>
            <w:pPr>
              <w:jc w:val="right"/>
              <w:ind w:right="181"/>
              <w:spacing w:after="0"/>
              <w:rPr>
                <w:sz w:val="20"/>
                <w:szCs w:val="20"/>
                <w:color w:val="auto"/>
              </w:rPr>
            </w:pPr>
            <w:r>
              <w:rPr>
                <w:rFonts w:ascii="Arial" w:cs="Arial" w:eastAsia="Arial" w:hAnsi="Arial"/>
                <w:sz w:val="16"/>
                <w:szCs w:val="16"/>
                <w:color w:val="auto"/>
              </w:rPr>
              <w:t>20</w:t>
            </w:r>
          </w:p>
        </w:tc>
        <w:tc>
          <w:tcPr>
            <w:tcW w:w="1300" w:type="dxa"/>
            <w:vAlign w:val="bottom"/>
          </w:tcPr>
          <w:p>
            <w:pPr>
              <w:jc w:val="right"/>
              <w:ind w:right="121"/>
              <w:spacing w:after="0"/>
              <w:rPr>
                <w:sz w:val="20"/>
                <w:szCs w:val="20"/>
                <w:color w:val="auto"/>
              </w:rPr>
            </w:pPr>
            <w:r>
              <w:rPr>
                <w:rFonts w:ascii="Arial" w:cs="Arial" w:eastAsia="Arial" w:hAnsi="Arial"/>
                <w:sz w:val="16"/>
                <w:szCs w:val="16"/>
                <w:b w:val="1"/>
                <w:bCs w:val="1"/>
                <w:color w:val="auto"/>
              </w:rPr>
              <w:t>97</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85"/>
        </w:trPr>
        <w:tc>
          <w:tcPr>
            <w:tcW w:w="6340" w:type="dxa"/>
            <w:vAlign w:val="bottom"/>
          </w:tcPr>
          <w:p>
            <w:pPr>
              <w:ind w:left="180"/>
              <w:spacing w:after="0"/>
              <w:rPr>
                <w:sz w:val="20"/>
                <w:szCs w:val="20"/>
                <w:color w:val="auto"/>
              </w:rPr>
            </w:pPr>
            <w:r>
              <w:rPr>
                <w:rFonts w:ascii="Arial" w:cs="Arial" w:eastAsia="Arial" w:hAnsi="Arial"/>
                <w:sz w:val="16"/>
                <w:szCs w:val="16"/>
                <w:color w:val="auto"/>
              </w:rPr>
              <w:t> Cash flow hedges adjustments to equity</w:t>
            </w:r>
          </w:p>
        </w:tc>
        <w:tc>
          <w:tcPr>
            <w:tcW w:w="1940" w:type="dxa"/>
            <w:vAlign w:val="bottom"/>
          </w:tcPr>
          <w:p>
            <w:pPr>
              <w:jc w:val="right"/>
              <w:ind w:right="181"/>
              <w:spacing w:after="0"/>
              <w:rPr>
                <w:sz w:val="20"/>
                <w:szCs w:val="20"/>
                <w:color w:val="auto"/>
              </w:rPr>
            </w:pPr>
            <w:r>
              <w:rPr>
                <w:rFonts w:ascii="Arial" w:cs="Arial" w:eastAsia="Arial" w:hAnsi="Arial"/>
                <w:sz w:val="16"/>
                <w:szCs w:val="16"/>
                <w:color w:val="auto"/>
              </w:rPr>
              <w:t>20</w:t>
            </w:r>
          </w:p>
        </w:tc>
        <w:tc>
          <w:tcPr>
            <w:tcW w:w="1300" w:type="dxa"/>
            <w:vAlign w:val="bottom"/>
          </w:tcPr>
          <w:p>
            <w:pPr>
              <w:jc w:val="right"/>
              <w:ind w:right="121"/>
              <w:spacing w:after="0"/>
              <w:rPr>
                <w:sz w:val="20"/>
                <w:szCs w:val="20"/>
                <w:color w:val="auto"/>
              </w:rPr>
            </w:pPr>
            <w:r>
              <w:rPr>
                <w:rFonts w:ascii="Arial" w:cs="Arial" w:eastAsia="Arial" w:hAnsi="Arial"/>
                <w:sz w:val="16"/>
                <w:szCs w:val="16"/>
                <w:b w:val="1"/>
                <w:bCs w:val="1"/>
                <w:color w:val="auto"/>
              </w:rPr>
              <w:t>(84)</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6"/>
        </w:trPr>
        <w:tc>
          <w:tcPr>
            <w:tcW w:w="6340" w:type="dxa"/>
            <w:vAlign w:val="bottom"/>
          </w:tcPr>
          <w:p>
            <w:pPr>
              <w:ind w:left="180"/>
              <w:spacing w:after="0"/>
              <w:rPr>
                <w:sz w:val="20"/>
                <w:szCs w:val="20"/>
                <w:color w:val="auto"/>
              </w:rPr>
            </w:pPr>
            <w:r>
              <w:rPr>
                <w:rFonts w:ascii="Arial" w:cs="Arial" w:eastAsia="Arial" w:hAnsi="Arial"/>
                <w:sz w:val="16"/>
                <w:szCs w:val="16"/>
                <w:color w:val="auto"/>
              </w:rPr>
              <w:t> Related tax expense on cash flow hedges adjustments to equity</w:t>
            </w:r>
          </w:p>
        </w:tc>
        <w:tc>
          <w:tcPr>
            <w:tcW w:w="1940" w:type="dxa"/>
            <w:vAlign w:val="bottom"/>
          </w:tcPr>
          <w:p>
            <w:pPr>
              <w:jc w:val="right"/>
              <w:ind w:right="181"/>
              <w:spacing w:after="0"/>
              <w:rPr>
                <w:sz w:val="20"/>
                <w:szCs w:val="20"/>
                <w:color w:val="auto"/>
              </w:rPr>
            </w:pPr>
            <w:r>
              <w:rPr>
                <w:rFonts w:ascii="Arial" w:cs="Arial" w:eastAsia="Arial" w:hAnsi="Arial"/>
                <w:sz w:val="16"/>
                <w:szCs w:val="16"/>
                <w:color w:val="auto"/>
              </w:rPr>
              <w:t>10</w:t>
            </w:r>
          </w:p>
        </w:tc>
        <w:tc>
          <w:tcPr>
            <w:tcW w:w="1300" w:type="dxa"/>
            <w:vAlign w:val="bottom"/>
          </w:tcPr>
          <w:p>
            <w:pPr>
              <w:jc w:val="right"/>
              <w:ind w:right="121"/>
              <w:spacing w:after="0"/>
              <w:rPr>
                <w:sz w:val="20"/>
                <w:szCs w:val="20"/>
                <w:color w:val="auto"/>
              </w:rPr>
            </w:pPr>
            <w:r>
              <w:rPr>
                <w:rFonts w:ascii="Arial" w:cs="Arial" w:eastAsia="Arial" w:hAnsi="Arial"/>
                <w:sz w:val="16"/>
                <w:szCs w:val="16"/>
                <w:b w:val="1"/>
                <w:bCs w:val="1"/>
                <w:color w:val="auto"/>
              </w:rPr>
              <w:t>(1)</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6340" w:type="dxa"/>
            <w:vAlign w:val="bottom"/>
            <w:tcBorders>
              <w:bottom w:val="single" w:sz="8" w:color="B2B2B2"/>
            </w:tcBorders>
          </w:tcPr>
          <w:p>
            <w:pPr>
              <w:ind w:left="180"/>
              <w:spacing w:after="0"/>
              <w:rPr>
                <w:sz w:val="20"/>
                <w:szCs w:val="20"/>
                <w:color w:val="auto"/>
              </w:rPr>
            </w:pPr>
            <w:r>
              <w:rPr>
                <w:rFonts w:ascii="Arial" w:cs="Arial" w:eastAsia="Arial" w:hAnsi="Arial"/>
                <w:sz w:val="16"/>
                <w:szCs w:val="16"/>
                <w:color w:val="auto"/>
              </w:rPr>
              <w:t> Foreign currency translation adjustments to equity</w:t>
            </w:r>
          </w:p>
        </w:tc>
        <w:tc>
          <w:tcPr>
            <w:tcW w:w="194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color w:val="auto"/>
              </w:rPr>
              <w:t>20</w:t>
            </w:r>
          </w:p>
        </w:tc>
        <w:tc>
          <w:tcPr>
            <w:tcW w:w="1300" w:type="dxa"/>
            <w:vAlign w:val="bottom"/>
            <w:tcBorders>
              <w:bottom w:val="single" w:sz="8" w:color="B2B2B2"/>
            </w:tcBorders>
          </w:tcPr>
          <w:p>
            <w:pPr>
              <w:jc w:val="right"/>
              <w:ind w:right="121"/>
              <w:spacing w:after="0"/>
              <w:rPr>
                <w:sz w:val="20"/>
                <w:szCs w:val="20"/>
                <w:color w:val="auto"/>
              </w:rPr>
            </w:pPr>
            <w:r>
              <w:rPr>
                <w:rFonts w:ascii="Arial" w:cs="Arial" w:eastAsia="Arial" w:hAnsi="Arial"/>
                <w:sz w:val="16"/>
                <w:szCs w:val="16"/>
                <w:b w:val="1"/>
                <w:bCs w:val="1"/>
                <w:color w:val="auto"/>
              </w:rPr>
              <w:t>(173)</w:t>
            </w:r>
          </w:p>
        </w:tc>
        <w:tc>
          <w:tcPr>
            <w:tcW w:w="122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1"/>
        </w:trPr>
        <w:tc>
          <w:tcPr>
            <w:tcW w:w="6340" w:type="dxa"/>
            <w:vAlign w:val="bottom"/>
            <w:vMerge w:val="restart"/>
          </w:tcPr>
          <w:p>
            <w:pPr>
              <w:spacing w:after="0"/>
              <w:rPr>
                <w:sz w:val="20"/>
                <w:szCs w:val="20"/>
                <w:color w:val="auto"/>
              </w:rPr>
            </w:pPr>
            <w:r>
              <w:rPr>
                <w:rFonts w:ascii="Arial" w:cs="Arial" w:eastAsia="Arial" w:hAnsi="Arial"/>
                <w:sz w:val="16"/>
                <w:szCs w:val="16"/>
                <w:color w:val="auto"/>
              </w:rPr>
              <w:t> Items that will not be reclassified to net earnings:</w:t>
            </w:r>
          </w:p>
        </w:tc>
        <w:tc>
          <w:tcPr>
            <w:tcW w:w="1940" w:type="dxa"/>
            <w:vAlign w:val="bottom"/>
          </w:tcPr>
          <w:p>
            <w:pPr>
              <w:spacing w:after="0"/>
              <w:rPr>
                <w:sz w:val="18"/>
                <w:szCs w:val="18"/>
                <w:color w:val="auto"/>
              </w:rPr>
            </w:pPr>
          </w:p>
        </w:tc>
        <w:tc>
          <w:tcPr>
            <w:tcW w:w="1300" w:type="dxa"/>
            <w:vAlign w:val="bottom"/>
          </w:tcPr>
          <w:p>
            <w:pPr>
              <w:jc w:val="right"/>
              <w:ind w:right="121"/>
              <w:spacing w:after="0"/>
              <w:rPr>
                <w:sz w:val="20"/>
                <w:szCs w:val="20"/>
                <w:color w:val="auto"/>
              </w:rPr>
            </w:pPr>
            <w:r>
              <w:rPr>
                <w:rFonts w:ascii="Arial" w:cs="Arial" w:eastAsia="Arial" w:hAnsi="Arial"/>
                <w:sz w:val="16"/>
                <w:szCs w:val="16"/>
                <w:b w:val="1"/>
                <w:bCs w:val="1"/>
                <w:color w:val="auto"/>
              </w:rPr>
              <w:t>(161)</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39"/>
        </w:trPr>
        <w:tc>
          <w:tcPr>
            <w:tcW w:w="6340" w:type="dxa"/>
            <w:vAlign w:val="bottom"/>
            <w:vMerge w:val="continue"/>
          </w:tcPr>
          <w:p>
            <w:pPr>
              <w:spacing w:after="0"/>
              <w:rPr>
                <w:sz w:val="12"/>
                <w:szCs w:val="12"/>
                <w:color w:val="auto"/>
              </w:rPr>
            </w:pPr>
          </w:p>
        </w:tc>
        <w:tc>
          <w:tcPr>
            <w:tcW w:w="1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340" w:type="dxa"/>
            <w:vAlign w:val="bottom"/>
          </w:tcPr>
          <w:p>
            <w:pPr>
              <w:ind w:left="180"/>
              <w:spacing w:after="0"/>
              <w:rPr>
                <w:sz w:val="20"/>
                <w:szCs w:val="20"/>
                <w:color w:val="auto"/>
              </w:rPr>
            </w:pPr>
            <w:r>
              <w:rPr>
                <w:rFonts w:ascii="Arial" w:cs="Arial" w:eastAsia="Arial" w:hAnsi="Arial"/>
                <w:sz w:val="16"/>
                <w:szCs w:val="16"/>
                <w:color w:val="auto"/>
              </w:rPr>
              <w:t> Fair value adjustments on financial assets</w:t>
            </w:r>
          </w:p>
        </w:tc>
        <w:tc>
          <w:tcPr>
            <w:tcW w:w="1940" w:type="dxa"/>
            <w:vAlign w:val="bottom"/>
          </w:tcPr>
          <w:p>
            <w:pPr>
              <w:jc w:val="right"/>
              <w:ind w:right="181"/>
              <w:spacing w:after="0"/>
              <w:rPr>
                <w:sz w:val="20"/>
                <w:szCs w:val="20"/>
                <w:color w:val="auto"/>
              </w:rPr>
            </w:pPr>
            <w:r>
              <w:rPr>
                <w:rFonts w:ascii="Arial" w:cs="Arial" w:eastAsia="Arial" w:hAnsi="Arial"/>
                <w:sz w:val="16"/>
                <w:szCs w:val="16"/>
                <w:color w:val="auto"/>
              </w:rPr>
              <w:t>20</w:t>
            </w:r>
          </w:p>
        </w:tc>
        <w:tc>
          <w:tcPr>
            <w:tcW w:w="1300" w:type="dxa"/>
            <w:vAlign w:val="bottom"/>
          </w:tcPr>
          <w:p>
            <w:pPr>
              <w:jc w:val="right"/>
              <w:ind w:right="121"/>
              <w:spacing w:after="0"/>
              <w:rPr>
                <w:sz w:val="20"/>
                <w:szCs w:val="20"/>
                <w:color w:val="auto"/>
              </w:rPr>
            </w:pPr>
            <w:r>
              <w:rPr>
                <w:rFonts w:ascii="Arial" w:cs="Arial" w:eastAsia="Arial" w:hAnsi="Arial"/>
                <w:sz w:val="16"/>
                <w:szCs w:val="16"/>
                <w:b w:val="1"/>
                <w:bCs w:val="1"/>
                <w:color w:val="auto"/>
              </w:rPr>
              <w:t>13</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5"/>
        </w:trPr>
        <w:tc>
          <w:tcPr>
            <w:tcW w:w="6340" w:type="dxa"/>
            <w:vAlign w:val="bottom"/>
          </w:tcPr>
          <w:p>
            <w:pPr>
              <w:ind w:left="180"/>
              <w:spacing w:after="0"/>
              <w:rPr>
                <w:sz w:val="20"/>
                <w:szCs w:val="20"/>
                <w:color w:val="auto"/>
              </w:rPr>
            </w:pPr>
            <w:r>
              <w:rPr>
                <w:rFonts w:ascii="Arial" w:cs="Arial" w:eastAsia="Arial" w:hAnsi="Arial"/>
                <w:sz w:val="16"/>
                <w:szCs w:val="16"/>
                <w:color w:val="auto"/>
              </w:rPr>
              <w:t> Related tax expense on fair value adjustments on financial assets</w:t>
            </w:r>
          </w:p>
        </w:tc>
        <w:tc>
          <w:tcPr>
            <w:tcW w:w="1940" w:type="dxa"/>
            <w:vAlign w:val="bottom"/>
          </w:tcPr>
          <w:p>
            <w:pPr>
              <w:jc w:val="right"/>
              <w:ind w:right="181"/>
              <w:spacing w:after="0"/>
              <w:rPr>
                <w:sz w:val="20"/>
                <w:szCs w:val="20"/>
                <w:color w:val="auto"/>
              </w:rPr>
            </w:pPr>
            <w:r>
              <w:rPr>
                <w:rFonts w:ascii="Arial" w:cs="Arial" w:eastAsia="Arial" w:hAnsi="Arial"/>
                <w:sz w:val="16"/>
                <w:szCs w:val="16"/>
                <w:color w:val="auto"/>
              </w:rPr>
              <w:t>10</w:t>
            </w:r>
          </w:p>
        </w:tc>
        <w:tc>
          <w:tcPr>
            <w:tcW w:w="1300" w:type="dxa"/>
            <w:vAlign w:val="bottom"/>
          </w:tcPr>
          <w:p>
            <w:pPr>
              <w:jc w:val="right"/>
              <w:ind w:right="121"/>
              <w:spacing w:after="0"/>
              <w:rPr>
                <w:sz w:val="20"/>
                <w:szCs w:val="20"/>
                <w:color w:val="auto"/>
              </w:rPr>
            </w:pPr>
            <w:r>
              <w:rPr>
                <w:rFonts w:ascii="Arial" w:cs="Arial" w:eastAsia="Arial" w:hAnsi="Arial"/>
                <w:sz w:val="16"/>
                <w:szCs w:val="16"/>
                <w:b w:val="1"/>
                <w:bCs w:val="1"/>
                <w:color w:val="auto"/>
              </w:rPr>
              <w:t>(2)</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6340" w:type="dxa"/>
            <w:vAlign w:val="bottom"/>
          </w:tcPr>
          <w:p>
            <w:pPr>
              <w:ind w:left="180"/>
              <w:spacing w:after="0"/>
              <w:rPr>
                <w:sz w:val="20"/>
                <w:szCs w:val="20"/>
                <w:color w:val="auto"/>
              </w:rPr>
            </w:pPr>
            <w:r>
              <w:rPr>
                <w:rFonts w:ascii="Arial" w:cs="Arial" w:eastAsia="Arial" w:hAnsi="Arial"/>
                <w:sz w:val="16"/>
                <w:szCs w:val="16"/>
                <w:color w:val="auto"/>
              </w:rPr>
              <w:t> Remeasurement on defined benefit pension plans</w:t>
            </w:r>
          </w:p>
        </w:tc>
        <w:tc>
          <w:tcPr>
            <w:tcW w:w="1940" w:type="dxa"/>
            <w:vAlign w:val="bottom"/>
          </w:tcPr>
          <w:p>
            <w:pPr>
              <w:jc w:val="right"/>
              <w:ind w:right="181"/>
              <w:spacing w:after="0"/>
              <w:rPr>
                <w:sz w:val="20"/>
                <w:szCs w:val="20"/>
                <w:color w:val="auto"/>
              </w:rPr>
            </w:pPr>
            <w:r>
              <w:rPr>
                <w:rFonts w:ascii="Arial" w:cs="Arial" w:eastAsia="Arial" w:hAnsi="Arial"/>
                <w:sz w:val="16"/>
                <w:szCs w:val="16"/>
                <w:color w:val="auto"/>
              </w:rPr>
              <w:t>27</w:t>
            </w:r>
          </w:p>
        </w:tc>
        <w:tc>
          <w:tcPr>
            <w:tcW w:w="1300" w:type="dxa"/>
            <w:vAlign w:val="bottom"/>
          </w:tcPr>
          <w:p>
            <w:pPr>
              <w:jc w:val="right"/>
              <w:ind w:right="121"/>
              <w:spacing w:after="0"/>
              <w:rPr>
                <w:sz w:val="20"/>
                <w:szCs w:val="20"/>
                <w:color w:val="auto"/>
              </w:rPr>
            </w:pPr>
            <w:r>
              <w:rPr>
                <w:rFonts w:ascii="Arial" w:cs="Arial" w:eastAsia="Arial" w:hAnsi="Arial"/>
                <w:sz w:val="16"/>
                <w:szCs w:val="16"/>
                <w:b w:val="1"/>
                <w:bCs w:val="1"/>
                <w:color w:val="auto"/>
              </w:rPr>
              <w:t>5</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6340" w:type="dxa"/>
            <w:vAlign w:val="bottom"/>
          </w:tcPr>
          <w:p>
            <w:pPr>
              <w:ind w:left="180"/>
              <w:spacing w:after="0"/>
              <w:rPr>
                <w:sz w:val="20"/>
                <w:szCs w:val="20"/>
                <w:color w:val="auto"/>
              </w:rPr>
            </w:pPr>
            <w:r>
              <w:rPr>
                <w:rFonts w:ascii="Arial" w:cs="Arial" w:eastAsia="Arial" w:hAnsi="Arial"/>
                <w:sz w:val="16"/>
                <w:szCs w:val="16"/>
                <w:color w:val="auto"/>
              </w:rPr>
              <w:t> Related tax expense on remeasurement on defined benefit pension</w:t>
            </w:r>
          </w:p>
        </w:tc>
        <w:tc>
          <w:tcPr>
            <w:tcW w:w="19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340" w:type="dxa"/>
            <w:vAlign w:val="bottom"/>
            <w:tcBorders>
              <w:bottom w:val="single" w:sz="8" w:color="B2B2B2"/>
            </w:tcBorders>
          </w:tcPr>
          <w:p>
            <w:pPr>
              <w:ind w:left="440"/>
              <w:spacing w:after="0"/>
              <w:rPr>
                <w:sz w:val="20"/>
                <w:szCs w:val="20"/>
                <w:color w:val="auto"/>
              </w:rPr>
            </w:pPr>
            <w:r>
              <w:rPr>
                <w:rFonts w:ascii="Arial" w:cs="Arial" w:eastAsia="Arial" w:hAnsi="Arial"/>
                <w:sz w:val="16"/>
                <w:szCs w:val="16"/>
                <w:color w:val="auto"/>
              </w:rPr>
              <w:t>plans</w:t>
            </w:r>
          </w:p>
        </w:tc>
        <w:tc>
          <w:tcPr>
            <w:tcW w:w="194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color w:val="auto"/>
              </w:rPr>
              <w:t>10</w:t>
            </w:r>
          </w:p>
        </w:tc>
        <w:tc>
          <w:tcPr>
            <w:tcW w:w="1300" w:type="dxa"/>
            <w:vAlign w:val="bottom"/>
            <w:tcBorders>
              <w:bottom w:val="single" w:sz="8" w:color="B2B2B2"/>
            </w:tcBorders>
          </w:tcPr>
          <w:p>
            <w:pPr>
              <w:jc w:val="right"/>
              <w:ind w:right="121"/>
              <w:spacing w:after="0"/>
              <w:rPr>
                <w:sz w:val="20"/>
                <w:szCs w:val="20"/>
                <w:color w:val="auto"/>
              </w:rPr>
            </w:pPr>
            <w:r>
              <w:rPr>
                <w:rFonts w:ascii="Arial" w:cs="Arial" w:eastAsia="Arial" w:hAnsi="Arial"/>
                <w:sz w:val="16"/>
                <w:szCs w:val="16"/>
                <w:b w:val="1"/>
                <w:bCs w:val="1"/>
                <w:color w:val="auto"/>
              </w:rPr>
              <w:t>(5)</w:t>
            </w:r>
          </w:p>
        </w:tc>
        <w:tc>
          <w:tcPr>
            <w:tcW w:w="122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6340" w:type="dxa"/>
            <w:vAlign w:val="bottom"/>
            <w:tcBorders>
              <w:bottom w:val="single" w:sz="8" w:color="B2B2B2"/>
            </w:tcBorders>
          </w:tcPr>
          <w:p>
            <w:pPr>
              <w:spacing w:after="0"/>
              <w:rPr>
                <w:sz w:val="15"/>
                <w:szCs w:val="15"/>
                <w:color w:val="auto"/>
              </w:rPr>
            </w:pPr>
          </w:p>
        </w:tc>
        <w:tc>
          <w:tcPr>
            <w:tcW w:w="1940" w:type="dxa"/>
            <w:vAlign w:val="bottom"/>
            <w:tcBorders>
              <w:bottom w:val="single" w:sz="8" w:color="B2B2B2"/>
            </w:tcBorders>
          </w:tcPr>
          <w:p>
            <w:pPr>
              <w:spacing w:after="0"/>
              <w:rPr>
                <w:sz w:val="15"/>
                <w:szCs w:val="15"/>
                <w:color w:val="auto"/>
              </w:rPr>
            </w:pPr>
          </w:p>
        </w:tc>
        <w:tc>
          <w:tcPr>
            <w:tcW w:w="1300" w:type="dxa"/>
            <w:vAlign w:val="bottom"/>
            <w:tcBorders>
              <w:bottom w:val="single" w:sz="8" w:color="B2B2B2"/>
            </w:tcBorders>
          </w:tcPr>
          <w:p>
            <w:pPr>
              <w:jc w:val="right"/>
              <w:ind w:right="121"/>
              <w:spacing w:after="0" w:line="179" w:lineRule="exact"/>
              <w:rPr>
                <w:sz w:val="20"/>
                <w:szCs w:val="20"/>
                <w:color w:val="auto"/>
              </w:rPr>
            </w:pPr>
            <w:r>
              <w:rPr>
                <w:rFonts w:ascii="Arial" w:cs="Arial" w:eastAsia="Arial" w:hAnsi="Arial"/>
                <w:sz w:val="16"/>
                <w:szCs w:val="16"/>
                <w:b w:val="1"/>
                <w:bCs w:val="1"/>
                <w:color w:val="auto"/>
              </w:rPr>
              <w:t>11</w:t>
            </w:r>
          </w:p>
        </w:tc>
        <w:tc>
          <w:tcPr>
            <w:tcW w:w="1220" w:type="dxa"/>
            <w:vAlign w:val="bottom"/>
            <w:tcBorders>
              <w:bottom w:val="single" w:sz="8" w:color="B2B2B2"/>
            </w:tcBorders>
          </w:tcPr>
          <w:p>
            <w:pPr>
              <w:jc w:val="right"/>
              <w:ind w:right="1"/>
              <w:spacing w:after="0" w:line="179"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79"/>
        </w:trPr>
        <w:tc>
          <w:tcPr>
            <w:tcW w:w="634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Other comprehensive (loss) income</w:t>
            </w:r>
          </w:p>
        </w:tc>
        <w:tc>
          <w:tcPr>
            <w:tcW w:w="1940" w:type="dxa"/>
            <w:vAlign w:val="bottom"/>
            <w:tcBorders>
              <w:bottom w:val="single" w:sz="8" w:color="B2B2B2"/>
            </w:tcBorders>
          </w:tcPr>
          <w:p>
            <w:pPr>
              <w:spacing w:after="0"/>
              <w:rPr>
                <w:sz w:val="15"/>
                <w:szCs w:val="15"/>
                <w:color w:val="auto"/>
              </w:rPr>
            </w:pPr>
          </w:p>
        </w:tc>
        <w:tc>
          <w:tcPr>
            <w:tcW w:w="1300" w:type="dxa"/>
            <w:vAlign w:val="bottom"/>
            <w:tcBorders>
              <w:bottom w:val="single" w:sz="8" w:color="B2B2B2"/>
            </w:tcBorders>
          </w:tcPr>
          <w:p>
            <w:pPr>
              <w:jc w:val="right"/>
              <w:ind w:right="121"/>
              <w:spacing w:after="0" w:line="179" w:lineRule="exact"/>
              <w:rPr>
                <w:sz w:val="20"/>
                <w:szCs w:val="20"/>
                <w:color w:val="auto"/>
              </w:rPr>
            </w:pPr>
            <w:r>
              <w:rPr>
                <w:rFonts w:ascii="Arial" w:cs="Arial" w:eastAsia="Arial" w:hAnsi="Arial"/>
                <w:sz w:val="16"/>
                <w:szCs w:val="16"/>
                <w:b w:val="1"/>
                <w:bCs w:val="1"/>
                <w:color w:val="auto"/>
              </w:rPr>
              <w:t>(150)</w:t>
            </w:r>
          </w:p>
        </w:tc>
        <w:tc>
          <w:tcPr>
            <w:tcW w:w="1220" w:type="dxa"/>
            <w:vAlign w:val="bottom"/>
            <w:tcBorders>
              <w:bottom w:val="single" w:sz="8" w:color="B2B2B2"/>
            </w:tcBorders>
          </w:tcPr>
          <w:p>
            <w:pPr>
              <w:jc w:val="right"/>
              <w:ind w:right="1"/>
              <w:spacing w:after="0" w:line="179" w:lineRule="exact"/>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179"/>
        </w:trPr>
        <w:tc>
          <w:tcPr>
            <w:tcW w:w="634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Total comprehensive income</w:t>
            </w:r>
          </w:p>
        </w:tc>
        <w:tc>
          <w:tcPr>
            <w:tcW w:w="1940" w:type="dxa"/>
            <w:vAlign w:val="bottom"/>
            <w:tcBorders>
              <w:bottom w:val="single" w:sz="8" w:color="B2B2B2"/>
            </w:tcBorders>
          </w:tcPr>
          <w:p>
            <w:pPr>
              <w:spacing w:after="0"/>
              <w:rPr>
                <w:sz w:val="15"/>
                <w:szCs w:val="15"/>
                <w:color w:val="auto"/>
              </w:rPr>
            </w:pPr>
          </w:p>
        </w:tc>
        <w:tc>
          <w:tcPr>
            <w:tcW w:w="1300" w:type="dxa"/>
            <w:vAlign w:val="bottom"/>
            <w:tcBorders>
              <w:bottom w:val="single" w:sz="8" w:color="B2B2B2"/>
            </w:tcBorders>
          </w:tcPr>
          <w:p>
            <w:pPr>
              <w:jc w:val="right"/>
              <w:ind w:right="121"/>
              <w:spacing w:after="0" w:line="179" w:lineRule="exact"/>
              <w:rPr>
                <w:sz w:val="20"/>
                <w:szCs w:val="20"/>
                <w:color w:val="auto"/>
              </w:rPr>
            </w:pPr>
            <w:r>
              <w:rPr>
                <w:rFonts w:ascii="Arial" w:cs="Arial" w:eastAsia="Arial" w:hAnsi="Arial"/>
                <w:sz w:val="16"/>
                <w:szCs w:val="16"/>
                <w:b w:val="1"/>
                <w:bCs w:val="1"/>
                <w:color w:val="auto"/>
              </w:rPr>
              <w:t>2,057</w:t>
            </w:r>
          </w:p>
        </w:tc>
        <w:tc>
          <w:tcPr>
            <w:tcW w:w="1220" w:type="dxa"/>
            <w:vAlign w:val="bottom"/>
            <w:tcBorders>
              <w:bottom w:val="single" w:sz="8" w:color="B2B2B2"/>
            </w:tcBorders>
          </w:tcPr>
          <w:p>
            <w:pPr>
              <w:jc w:val="right"/>
              <w:ind w:right="1"/>
              <w:spacing w:after="0" w:line="179" w:lineRule="exact"/>
              <w:rPr>
                <w:sz w:val="20"/>
                <w:szCs w:val="20"/>
                <w:color w:val="auto"/>
              </w:rPr>
            </w:pPr>
            <w:r>
              <w:rPr>
                <w:rFonts w:ascii="Arial" w:cs="Arial" w:eastAsia="Arial" w:hAnsi="Arial"/>
                <w:sz w:val="16"/>
                <w:szCs w:val="16"/>
                <w:color w:val="auto"/>
              </w:rPr>
              <w:t>2,829</w:t>
            </w:r>
          </w:p>
        </w:tc>
        <w:tc>
          <w:tcPr>
            <w:tcW w:w="0" w:type="dxa"/>
            <w:vAlign w:val="bottom"/>
          </w:tcPr>
          <w:p>
            <w:pPr>
              <w:spacing w:after="0"/>
              <w:rPr>
                <w:sz w:val="1"/>
                <w:szCs w:val="1"/>
                <w:color w:val="auto"/>
              </w:rPr>
            </w:pPr>
          </w:p>
        </w:tc>
      </w:tr>
      <w:tr>
        <w:trPr>
          <w:trHeight w:val="165"/>
        </w:trPr>
        <w:tc>
          <w:tcPr>
            <w:tcW w:w="6340" w:type="dxa"/>
            <w:vAlign w:val="bottom"/>
          </w:tcPr>
          <w:p>
            <w:pPr>
              <w:spacing w:after="0" w:line="165" w:lineRule="exact"/>
              <w:rPr>
                <w:sz w:val="20"/>
                <w:szCs w:val="20"/>
                <w:color w:val="auto"/>
              </w:rPr>
            </w:pPr>
            <w:r>
              <w:rPr>
                <w:rFonts w:ascii="Arial" w:cs="Arial" w:eastAsia="Arial" w:hAnsi="Arial"/>
                <w:sz w:val="16"/>
                <w:szCs w:val="16"/>
                <w:color w:val="auto"/>
              </w:rPr>
              <w:t> Comprehensive income (loss) for the period attributable to:</w:t>
            </w:r>
          </w:p>
        </w:tc>
        <w:tc>
          <w:tcPr>
            <w:tcW w:w="1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340" w:type="dxa"/>
            <w:vAlign w:val="bottom"/>
          </w:tcPr>
          <w:p>
            <w:pPr>
              <w:spacing w:after="0"/>
              <w:rPr>
                <w:sz w:val="20"/>
                <w:szCs w:val="20"/>
                <w:color w:val="auto"/>
              </w:rPr>
            </w:pPr>
            <w:r>
              <w:rPr>
                <w:rFonts w:ascii="Arial" w:cs="Arial" w:eastAsia="Arial" w:hAnsi="Arial"/>
                <w:sz w:val="16"/>
                <w:szCs w:val="16"/>
                <w:color w:val="auto"/>
              </w:rPr>
              <w:t> Common shareholders:</w:t>
            </w:r>
          </w:p>
        </w:tc>
        <w:tc>
          <w:tcPr>
            <w:tcW w:w="19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340" w:type="dxa"/>
            <w:vAlign w:val="bottom"/>
          </w:tcPr>
          <w:p>
            <w:pPr>
              <w:ind w:left="180"/>
              <w:spacing w:after="0"/>
              <w:rPr>
                <w:sz w:val="20"/>
                <w:szCs w:val="20"/>
                <w:color w:val="auto"/>
              </w:rPr>
            </w:pPr>
            <w:r>
              <w:rPr>
                <w:rFonts w:ascii="Arial" w:cs="Arial" w:eastAsia="Arial" w:hAnsi="Arial"/>
                <w:sz w:val="16"/>
                <w:szCs w:val="16"/>
                <w:color w:val="auto"/>
              </w:rPr>
              <w:t> Continuing operations</w:t>
            </w:r>
          </w:p>
        </w:tc>
        <w:tc>
          <w:tcPr>
            <w:tcW w:w="1940" w:type="dxa"/>
            <w:vAlign w:val="bottom"/>
          </w:tcPr>
          <w:p>
            <w:pPr>
              <w:spacing w:after="0"/>
              <w:rPr>
                <w:sz w:val="16"/>
                <w:szCs w:val="16"/>
                <w:color w:val="auto"/>
              </w:rPr>
            </w:pPr>
          </w:p>
        </w:tc>
        <w:tc>
          <w:tcPr>
            <w:tcW w:w="1300" w:type="dxa"/>
            <w:vAlign w:val="bottom"/>
          </w:tcPr>
          <w:p>
            <w:pPr>
              <w:jc w:val="right"/>
              <w:ind w:right="121"/>
              <w:spacing w:after="0"/>
              <w:rPr>
                <w:sz w:val="20"/>
                <w:szCs w:val="20"/>
                <w:color w:val="auto"/>
              </w:rPr>
            </w:pPr>
            <w:r>
              <w:rPr>
                <w:rFonts w:ascii="Arial" w:cs="Arial" w:eastAsia="Arial" w:hAnsi="Arial"/>
                <w:sz w:val="16"/>
                <w:szCs w:val="16"/>
                <w:b w:val="1"/>
                <w:bCs w:val="1"/>
                <w:color w:val="auto"/>
              </w:rPr>
              <w:t>2,050</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2,780</w:t>
            </w:r>
          </w:p>
        </w:tc>
        <w:tc>
          <w:tcPr>
            <w:tcW w:w="0" w:type="dxa"/>
            <w:vAlign w:val="bottom"/>
          </w:tcPr>
          <w:p>
            <w:pPr>
              <w:spacing w:after="0"/>
              <w:rPr>
                <w:sz w:val="1"/>
                <w:szCs w:val="1"/>
                <w:color w:val="auto"/>
              </w:rPr>
            </w:pPr>
          </w:p>
        </w:tc>
      </w:tr>
      <w:tr>
        <w:trPr>
          <w:trHeight w:val="186"/>
        </w:trPr>
        <w:tc>
          <w:tcPr>
            <w:tcW w:w="6340" w:type="dxa"/>
            <w:vAlign w:val="bottom"/>
          </w:tcPr>
          <w:p>
            <w:pPr>
              <w:ind w:left="180"/>
              <w:spacing w:after="0"/>
              <w:rPr>
                <w:sz w:val="20"/>
                <w:szCs w:val="20"/>
                <w:color w:val="auto"/>
              </w:rPr>
            </w:pPr>
            <w:r>
              <w:rPr>
                <w:rFonts w:ascii="Arial" w:cs="Arial" w:eastAsia="Arial" w:hAnsi="Arial"/>
                <w:sz w:val="16"/>
                <w:szCs w:val="16"/>
                <w:color w:val="auto"/>
              </w:rPr>
              <w:t> Discontinued operations</w:t>
            </w:r>
          </w:p>
        </w:tc>
        <w:tc>
          <w:tcPr>
            <w:tcW w:w="1940" w:type="dxa"/>
            <w:vAlign w:val="bottom"/>
          </w:tcPr>
          <w:p>
            <w:pPr>
              <w:spacing w:after="0"/>
              <w:rPr>
                <w:sz w:val="16"/>
                <w:szCs w:val="16"/>
                <w:color w:val="auto"/>
              </w:rPr>
            </w:pPr>
          </w:p>
        </w:tc>
        <w:tc>
          <w:tcPr>
            <w:tcW w:w="1300" w:type="dxa"/>
            <w:vAlign w:val="bottom"/>
          </w:tcPr>
          <w:p>
            <w:pPr>
              <w:jc w:val="right"/>
              <w:ind w:right="121"/>
              <w:spacing w:after="0"/>
              <w:rPr>
                <w:sz w:val="20"/>
                <w:szCs w:val="20"/>
                <w:color w:val="auto"/>
              </w:rPr>
            </w:pPr>
            <w:r>
              <w:rPr>
                <w:rFonts w:ascii="Arial" w:cs="Arial" w:eastAsia="Arial" w:hAnsi="Arial"/>
                <w:sz w:val="16"/>
                <w:szCs w:val="16"/>
                <w:b w:val="1"/>
                <w:bCs w:val="1"/>
                <w:color w:val="auto"/>
              </w:rPr>
              <w:t>15</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0"/>
        </w:trPr>
        <w:tc>
          <w:tcPr>
            <w:tcW w:w="634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Non-controlling interests</w:t>
            </w:r>
          </w:p>
        </w:tc>
        <w:tc>
          <w:tcPr>
            <w:tcW w:w="1940" w:type="dxa"/>
            <w:vAlign w:val="bottom"/>
            <w:tcBorders>
              <w:bottom w:val="single" w:sz="8" w:color="B2B2B2"/>
            </w:tcBorders>
          </w:tcPr>
          <w:p>
            <w:pPr>
              <w:spacing w:after="0"/>
              <w:rPr>
                <w:sz w:val="17"/>
                <w:szCs w:val="17"/>
                <w:color w:val="auto"/>
              </w:rPr>
            </w:pPr>
          </w:p>
        </w:tc>
        <w:tc>
          <w:tcPr>
            <w:tcW w:w="1300" w:type="dxa"/>
            <w:vAlign w:val="bottom"/>
            <w:tcBorders>
              <w:bottom w:val="single" w:sz="8" w:color="B2B2B2"/>
            </w:tcBorders>
          </w:tcPr>
          <w:p>
            <w:pPr>
              <w:jc w:val="right"/>
              <w:ind w:right="121"/>
              <w:spacing w:after="0"/>
              <w:rPr>
                <w:sz w:val="20"/>
                <w:szCs w:val="20"/>
                <w:color w:val="auto"/>
              </w:rPr>
            </w:pPr>
            <w:r>
              <w:rPr>
                <w:rFonts w:ascii="Arial" w:cs="Arial" w:eastAsia="Arial" w:hAnsi="Arial"/>
                <w:sz w:val="16"/>
                <w:szCs w:val="16"/>
                <w:b w:val="1"/>
                <w:bCs w:val="1"/>
                <w:color w:val="auto"/>
              </w:rPr>
              <w:t>(8)</w:t>
            </w:r>
          </w:p>
        </w:tc>
        <w:tc>
          <w:tcPr>
            <w:tcW w:w="122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634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color w:val="auto"/>
              </w:rPr>
              <w:t> Total comprehensive income</w:t>
            </w:r>
          </w:p>
        </w:tc>
        <w:tc>
          <w:tcPr>
            <w:tcW w:w="1940" w:type="dxa"/>
            <w:vAlign w:val="bottom"/>
            <w:tcBorders>
              <w:bottom w:val="single" w:sz="8" w:color="D64000"/>
            </w:tcBorders>
          </w:tcPr>
          <w:p>
            <w:pPr>
              <w:spacing w:after="0"/>
              <w:rPr>
                <w:sz w:val="16"/>
                <w:szCs w:val="16"/>
                <w:color w:val="auto"/>
              </w:rPr>
            </w:pPr>
          </w:p>
        </w:tc>
        <w:tc>
          <w:tcPr>
            <w:tcW w:w="1300" w:type="dxa"/>
            <w:vAlign w:val="bottom"/>
            <w:tcBorders>
              <w:bottom w:val="single" w:sz="8" w:color="D64000"/>
            </w:tcBorders>
          </w:tcPr>
          <w:p>
            <w:pPr>
              <w:jc w:val="right"/>
              <w:ind w:right="121"/>
              <w:spacing w:after="0" w:line="179" w:lineRule="exact"/>
              <w:rPr>
                <w:sz w:val="20"/>
                <w:szCs w:val="20"/>
                <w:color w:val="auto"/>
              </w:rPr>
            </w:pPr>
            <w:r>
              <w:rPr>
                <w:rFonts w:ascii="Arial" w:cs="Arial" w:eastAsia="Arial" w:hAnsi="Arial"/>
                <w:sz w:val="16"/>
                <w:szCs w:val="16"/>
                <w:b w:val="1"/>
                <w:bCs w:val="1"/>
                <w:color w:val="auto"/>
              </w:rPr>
              <w:t>2,057</w:t>
            </w:r>
          </w:p>
        </w:tc>
        <w:tc>
          <w:tcPr>
            <w:tcW w:w="1220" w:type="dxa"/>
            <w:vAlign w:val="bottom"/>
            <w:tcBorders>
              <w:bottom w:val="single" w:sz="8" w:color="D64000"/>
            </w:tcBorders>
          </w:tcPr>
          <w:p>
            <w:pPr>
              <w:jc w:val="right"/>
              <w:ind w:right="1"/>
              <w:spacing w:after="0" w:line="179" w:lineRule="exact"/>
              <w:rPr>
                <w:sz w:val="20"/>
                <w:szCs w:val="20"/>
                <w:color w:val="auto"/>
              </w:rPr>
            </w:pPr>
            <w:r>
              <w:rPr>
                <w:rFonts w:ascii="Arial" w:cs="Arial" w:eastAsia="Arial" w:hAnsi="Arial"/>
                <w:sz w:val="16"/>
                <w:szCs w:val="16"/>
                <w:color w:val="auto"/>
              </w:rPr>
              <w:t>2,829</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related notes form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108585</wp:posOffset>
            </wp:positionV>
            <wp:extent cx="68656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82"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85</w:t>
      </w:r>
    </w:p>
    <w:p>
      <w:pPr>
        <w:sectPr>
          <w:pgSz w:w="11900" w:h="16838" w:orient="portrait"/>
          <w:cols w:equalWidth="0" w:num="1">
            <w:col w:w="11040"/>
          </w:cols>
          <w:pgMar w:left="320" w:top="477" w:right="5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THOMSON REUTERS CORPORATION</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CONSOLIDATED STATEMENT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73025</wp:posOffset>
            </wp:positionV>
            <wp:extent cx="68656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95"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52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660" w:type="dxa"/>
            <w:vAlign w:val="bottom"/>
            <w:gridSpan w:val="2"/>
            <w:shd w:val="clear" w:color="auto" w:fill="E3F3EE"/>
          </w:tcPr>
          <w:p>
            <w:pPr>
              <w:jc w:val="right"/>
              <w:ind w:right="161"/>
              <w:spacing w:after="0"/>
              <w:rPr>
                <w:sz w:val="20"/>
                <w:szCs w:val="20"/>
                <w:color w:val="auto"/>
              </w:rPr>
            </w:pPr>
            <w:r>
              <w:rPr>
                <w:rFonts w:ascii="Arial" w:cs="Arial" w:eastAsia="Arial" w:hAnsi="Arial"/>
                <w:sz w:val="16"/>
                <w:szCs w:val="16"/>
                <w:b w:val="1"/>
                <w:bCs w:val="1"/>
                <w:color w:val="auto"/>
              </w:rPr>
              <w:t xml:space="preserve">December 31,      </w:t>
            </w:r>
          </w:p>
        </w:tc>
      </w:tr>
      <w:tr>
        <w:trPr>
          <w:trHeight w:val="192"/>
        </w:trPr>
        <w:tc>
          <w:tcPr>
            <w:tcW w:w="520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b w:val="1"/>
                <w:bCs w:val="1"/>
                <w:color w:val="FFFFFF"/>
              </w:rPr>
              <w:t> (millions of U.S. dollars)</w:t>
            </w:r>
          </w:p>
        </w:tc>
        <w:tc>
          <w:tcPr>
            <w:tcW w:w="2940" w:type="dxa"/>
            <w:vAlign w:val="bottom"/>
            <w:tcBorders>
              <w:bottom w:val="single" w:sz="8" w:color="D64000"/>
            </w:tcBorders>
            <w:shd w:val="clear" w:color="auto" w:fill="1F473D"/>
          </w:tcPr>
          <w:p>
            <w:pPr>
              <w:ind w:left="2120"/>
              <w:spacing w:after="0"/>
              <w:rPr>
                <w:sz w:val="20"/>
                <w:szCs w:val="20"/>
                <w:color w:val="auto"/>
              </w:rPr>
            </w:pPr>
            <w:r>
              <w:rPr>
                <w:rFonts w:ascii="Arial" w:cs="Arial" w:eastAsia="Arial" w:hAnsi="Arial"/>
                <w:sz w:val="16"/>
                <w:szCs w:val="16"/>
                <w:b w:val="1"/>
                <w:bCs w:val="1"/>
                <w:color w:val="FFFFFF"/>
                <w:w w:val="93"/>
              </w:rPr>
              <w:t>   Notes </w:t>
            </w:r>
          </w:p>
        </w:tc>
        <w:tc>
          <w:tcPr>
            <w:tcW w:w="1300" w:type="dxa"/>
            <w:vAlign w:val="bottom"/>
            <w:tcBorders>
              <w:bottom w:val="single" w:sz="8" w:color="D64000"/>
            </w:tcBorders>
            <w:shd w:val="clear" w:color="auto" w:fill="1F473D"/>
          </w:tcPr>
          <w:p>
            <w:pPr>
              <w:jc w:val="right"/>
              <w:ind w:right="41"/>
              <w:spacing w:after="0"/>
              <w:rPr>
                <w:sz w:val="20"/>
                <w:szCs w:val="20"/>
                <w:color w:val="auto"/>
              </w:rPr>
            </w:pPr>
            <w:r>
              <w:rPr>
                <w:rFonts w:ascii="Arial" w:cs="Arial" w:eastAsia="Arial" w:hAnsi="Arial"/>
                <w:sz w:val="16"/>
                <w:szCs w:val="16"/>
                <w:b w:val="1"/>
                <w:bCs w:val="1"/>
                <w:color w:val="FFFFFF"/>
              </w:rPr>
              <w:t>              2024</w:t>
            </w:r>
          </w:p>
        </w:tc>
        <w:tc>
          <w:tcPr>
            <w:tcW w:w="1360" w:type="dxa"/>
            <w:vAlign w:val="bottom"/>
            <w:tcBorders>
              <w:bottom w:val="single" w:sz="8" w:color="D64000"/>
            </w:tcBorders>
            <w:shd w:val="clear" w:color="auto" w:fill="1F473D"/>
          </w:tcPr>
          <w:p>
            <w:pPr>
              <w:jc w:val="right"/>
              <w:ind w:right="1"/>
              <w:spacing w:after="0"/>
              <w:rPr>
                <w:sz w:val="20"/>
                <w:szCs w:val="20"/>
                <w:color w:val="auto"/>
              </w:rPr>
            </w:pPr>
            <w:r>
              <w:rPr>
                <w:rFonts w:ascii="Arial" w:cs="Arial" w:eastAsia="Arial" w:hAnsi="Arial"/>
                <w:sz w:val="16"/>
                <w:szCs w:val="16"/>
                <w:color w:val="FFFFFF"/>
              </w:rPr>
              <w:t>                 2023</w:t>
            </w:r>
          </w:p>
        </w:tc>
      </w:tr>
      <w:tr>
        <w:trPr>
          <w:trHeight w:val="171"/>
        </w:trPr>
        <w:tc>
          <w:tcPr>
            <w:tcW w:w="5200" w:type="dxa"/>
            <w:vAlign w:val="bottom"/>
          </w:tcPr>
          <w:p>
            <w:pPr>
              <w:spacing w:after="0" w:line="171" w:lineRule="exact"/>
              <w:rPr>
                <w:sz w:val="20"/>
                <w:szCs w:val="20"/>
                <w:color w:val="auto"/>
              </w:rPr>
            </w:pPr>
            <w:r>
              <w:rPr>
                <w:rFonts w:ascii="Arial" w:cs="Arial" w:eastAsia="Arial" w:hAnsi="Arial"/>
                <w:sz w:val="16"/>
                <w:szCs w:val="16"/>
                <w:b w:val="1"/>
                <w:bCs w:val="1"/>
                <w:color w:val="auto"/>
              </w:rPr>
              <w:t> ASSETS</w:t>
            </w:r>
          </w:p>
        </w:tc>
        <w:tc>
          <w:tcPr>
            <w:tcW w:w="2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85"/>
        </w:trPr>
        <w:tc>
          <w:tcPr>
            <w:tcW w:w="5200" w:type="dxa"/>
            <w:vAlign w:val="bottom"/>
          </w:tcPr>
          <w:p>
            <w:pPr>
              <w:spacing w:after="0"/>
              <w:rPr>
                <w:sz w:val="20"/>
                <w:szCs w:val="20"/>
                <w:color w:val="auto"/>
              </w:rPr>
            </w:pPr>
            <w:r>
              <w:rPr>
                <w:rFonts w:ascii="Arial" w:cs="Arial" w:eastAsia="Arial" w:hAnsi="Arial"/>
                <w:sz w:val="16"/>
                <w:szCs w:val="16"/>
                <w:color w:val="auto"/>
              </w:rPr>
              <w:t> Cash and cash equivalents</w:t>
            </w:r>
          </w:p>
        </w:tc>
        <w:tc>
          <w:tcPr>
            <w:tcW w:w="2940" w:type="dxa"/>
            <w:vAlign w:val="bottom"/>
          </w:tcPr>
          <w:p>
            <w:pPr>
              <w:jc w:val="center"/>
              <w:ind w:left="2161"/>
              <w:spacing w:after="0"/>
              <w:rPr>
                <w:sz w:val="20"/>
                <w:szCs w:val="20"/>
                <w:color w:val="auto"/>
              </w:rPr>
            </w:pPr>
            <w:r>
              <w:rPr>
                <w:rFonts w:ascii="Arial" w:cs="Arial" w:eastAsia="Arial" w:hAnsi="Arial"/>
                <w:sz w:val="16"/>
                <w:szCs w:val="16"/>
                <w:color w:val="auto"/>
              </w:rPr>
              <w:t>13</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1,968</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1,298</w:t>
            </w:r>
          </w:p>
        </w:tc>
      </w:tr>
      <w:tr>
        <w:trPr>
          <w:trHeight w:val="186"/>
        </w:trPr>
        <w:tc>
          <w:tcPr>
            <w:tcW w:w="5200" w:type="dxa"/>
            <w:vAlign w:val="bottom"/>
          </w:tcPr>
          <w:p>
            <w:pPr>
              <w:spacing w:after="0"/>
              <w:rPr>
                <w:sz w:val="20"/>
                <w:szCs w:val="20"/>
                <w:color w:val="auto"/>
              </w:rPr>
            </w:pPr>
            <w:r>
              <w:rPr>
                <w:rFonts w:ascii="Arial" w:cs="Arial" w:eastAsia="Arial" w:hAnsi="Arial"/>
                <w:sz w:val="16"/>
                <w:szCs w:val="16"/>
                <w:color w:val="auto"/>
              </w:rPr>
              <w:t> Trade and other receivables</w:t>
            </w:r>
          </w:p>
        </w:tc>
        <w:tc>
          <w:tcPr>
            <w:tcW w:w="2940" w:type="dxa"/>
            <w:vAlign w:val="bottom"/>
          </w:tcPr>
          <w:p>
            <w:pPr>
              <w:jc w:val="center"/>
              <w:ind w:left="2161"/>
              <w:spacing w:after="0"/>
              <w:rPr>
                <w:sz w:val="20"/>
                <w:szCs w:val="20"/>
                <w:color w:val="auto"/>
              </w:rPr>
            </w:pPr>
            <w:r>
              <w:rPr>
                <w:rFonts w:ascii="Arial" w:cs="Arial" w:eastAsia="Arial" w:hAnsi="Arial"/>
                <w:sz w:val="16"/>
                <w:szCs w:val="16"/>
                <w:color w:val="auto"/>
              </w:rPr>
              <w:t>14</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1,087</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1,122</w:t>
            </w:r>
          </w:p>
        </w:tc>
      </w:tr>
      <w:tr>
        <w:trPr>
          <w:trHeight w:val="186"/>
        </w:trPr>
        <w:tc>
          <w:tcPr>
            <w:tcW w:w="5200" w:type="dxa"/>
            <w:vAlign w:val="bottom"/>
          </w:tcPr>
          <w:p>
            <w:pPr>
              <w:spacing w:after="0"/>
              <w:rPr>
                <w:sz w:val="20"/>
                <w:szCs w:val="20"/>
                <w:color w:val="auto"/>
              </w:rPr>
            </w:pPr>
            <w:r>
              <w:rPr>
                <w:rFonts w:ascii="Arial" w:cs="Arial" w:eastAsia="Arial" w:hAnsi="Arial"/>
                <w:sz w:val="16"/>
                <w:szCs w:val="16"/>
                <w:color w:val="auto"/>
              </w:rPr>
              <w:t> Other financial assets</w:t>
            </w:r>
          </w:p>
        </w:tc>
        <w:tc>
          <w:tcPr>
            <w:tcW w:w="2940" w:type="dxa"/>
            <w:vAlign w:val="bottom"/>
          </w:tcPr>
          <w:p>
            <w:pPr>
              <w:jc w:val="center"/>
              <w:ind w:left="2161"/>
              <w:spacing w:after="0"/>
              <w:rPr>
                <w:sz w:val="20"/>
                <w:szCs w:val="20"/>
                <w:color w:val="auto"/>
              </w:rPr>
            </w:pPr>
            <w:r>
              <w:rPr>
                <w:rFonts w:ascii="Arial" w:cs="Arial" w:eastAsia="Arial" w:hAnsi="Arial"/>
                <w:sz w:val="16"/>
                <w:szCs w:val="16"/>
                <w:color w:val="auto"/>
              </w:rPr>
              <w:t>20</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35</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66</w:t>
            </w:r>
          </w:p>
        </w:tc>
      </w:tr>
      <w:tr>
        <w:trPr>
          <w:trHeight w:val="200"/>
        </w:trPr>
        <w:tc>
          <w:tcPr>
            <w:tcW w:w="52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Prepaid expenses and other current assets</w:t>
            </w:r>
          </w:p>
        </w:tc>
        <w:tc>
          <w:tcPr>
            <w:tcW w:w="2940" w:type="dxa"/>
            <w:vAlign w:val="bottom"/>
            <w:tcBorders>
              <w:bottom w:val="single" w:sz="8" w:color="B2B2B2"/>
            </w:tcBorders>
          </w:tcPr>
          <w:p>
            <w:pPr>
              <w:jc w:val="center"/>
              <w:ind w:left="2161"/>
              <w:spacing w:after="0"/>
              <w:rPr>
                <w:sz w:val="20"/>
                <w:szCs w:val="20"/>
                <w:color w:val="auto"/>
              </w:rPr>
            </w:pPr>
            <w:r>
              <w:rPr>
                <w:rFonts w:ascii="Arial" w:cs="Arial" w:eastAsia="Arial" w:hAnsi="Arial"/>
                <w:sz w:val="16"/>
                <w:szCs w:val="16"/>
                <w:color w:val="auto"/>
              </w:rPr>
              <w:t>15</w:t>
            </w:r>
          </w:p>
        </w:tc>
        <w:tc>
          <w:tcPr>
            <w:tcW w:w="13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400</w:t>
            </w:r>
          </w:p>
        </w:tc>
        <w:tc>
          <w:tcPr>
            <w:tcW w:w="136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435</w:t>
            </w:r>
          </w:p>
        </w:tc>
      </w:tr>
      <w:tr>
        <w:trPr>
          <w:trHeight w:val="165"/>
        </w:trPr>
        <w:tc>
          <w:tcPr>
            <w:tcW w:w="5200" w:type="dxa"/>
            <w:vAlign w:val="bottom"/>
          </w:tcPr>
          <w:p>
            <w:pPr>
              <w:spacing w:after="0" w:line="165" w:lineRule="exact"/>
              <w:rPr>
                <w:sz w:val="20"/>
                <w:szCs w:val="20"/>
                <w:color w:val="auto"/>
              </w:rPr>
            </w:pPr>
            <w:r>
              <w:rPr>
                <w:rFonts w:ascii="Arial" w:cs="Arial" w:eastAsia="Arial" w:hAnsi="Arial"/>
                <w:sz w:val="16"/>
                <w:szCs w:val="16"/>
                <w:color w:val="auto"/>
              </w:rPr>
              <w:t> Current assets</w:t>
            </w:r>
          </w:p>
        </w:tc>
        <w:tc>
          <w:tcPr>
            <w:tcW w:w="2940" w:type="dxa"/>
            <w:vAlign w:val="bottom"/>
          </w:tcPr>
          <w:p>
            <w:pPr>
              <w:spacing w:after="0"/>
              <w:rPr>
                <w:sz w:val="14"/>
                <w:szCs w:val="14"/>
                <w:color w:val="auto"/>
              </w:rPr>
            </w:pPr>
          </w:p>
        </w:tc>
        <w:tc>
          <w:tcPr>
            <w:tcW w:w="130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3,490</w:t>
            </w:r>
          </w:p>
        </w:tc>
        <w:tc>
          <w:tcPr>
            <w:tcW w:w="1360" w:type="dxa"/>
            <w:vAlign w:val="bottom"/>
          </w:tcPr>
          <w:p>
            <w:pPr>
              <w:jc w:val="right"/>
              <w:ind w:right="1"/>
              <w:spacing w:after="0" w:line="165" w:lineRule="exact"/>
              <w:rPr>
                <w:sz w:val="20"/>
                <w:szCs w:val="20"/>
                <w:color w:val="auto"/>
              </w:rPr>
            </w:pPr>
            <w:r>
              <w:rPr>
                <w:rFonts w:ascii="Arial" w:cs="Arial" w:eastAsia="Arial" w:hAnsi="Arial"/>
                <w:sz w:val="16"/>
                <w:szCs w:val="16"/>
                <w:color w:val="auto"/>
              </w:rPr>
              <w:t>2,921</w:t>
            </w:r>
          </w:p>
        </w:tc>
      </w:tr>
      <w:tr>
        <w:trPr>
          <w:trHeight w:val="186"/>
        </w:trPr>
        <w:tc>
          <w:tcPr>
            <w:tcW w:w="5200" w:type="dxa"/>
            <w:vAlign w:val="bottom"/>
          </w:tcPr>
          <w:p>
            <w:pPr>
              <w:spacing w:after="0"/>
              <w:rPr>
                <w:sz w:val="20"/>
                <w:szCs w:val="20"/>
                <w:color w:val="auto"/>
              </w:rPr>
            </w:pPr>
            <w:r>
              <w:rPr>
                <w:rFonts w:ascii="Arial" w:cs="Arial" w:eastAsia="Arial" w:hAnsi="Arial"/>
                <w:sz w:val="16"/>
                <w:szCs w:val="16"/>
                <w:color w:val="auto"/>
              </w:rPr>
              <w:t> Property and equipment, net</w:t>
            </w:r>
          </w:p>
        </w:tc>
        <w:tc>
          <w:tcPr>
            <w:tcW w:w="2940" w:type="dxa"/>
            <w:vAlign w:val="bottom"/>
          </w:tcPr>
          <w:p>
            <w:pPr>
              <w:jc w:val="center"/>
              <w:ind w:left="2161"/>
              <w:spacing w:after="0"/>
              <w:rPr>
                <w:sz w:val="20"/>
                <w:szCs w:val="20"/>
                <w:color w:val="auto"/>
              </w:rPr>
            </w:pPr>
            <w:r>
              <w:rPr>
                <w:rFonts w:ascii="Arial" w:cs="Arial" w:eastAsia="Arial" w:hAnsi="Arial"/>
                <w:sz w:val="16"/>
                <w:szCs w:val="16"/>
                <w:color w:val="auto"/>
              </w:rPr>
              <w:t>16</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386</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447</w:t>
            </w:r>
          </w:p>
        </w:tc>
      </w:tr>
      <w:tr>
        <w:trPr>
          <w:trHeight w:val="185"/>
        </w:trPr>
        <w:tc>
          <w:tcPr>
            <w:tcW w:w="5200" w:type="dxa"/>
            <w:vAlign w:val="bottom"/>
          </w:tcPr>
          <w:p>
            <w:pPr>
              <w:spacing w:after="0"/>
              <w:rPr>
                <w:sz w:val="20"/>
                <w:szCs w:val="20"/>
                <w:color w:val="auto"/>
              </w:rPr>
            </w:pPr>
            <w:r>
              <w:rPr>
                <w:rFonts w:ascii="Arial" w:cs="Arial" w:eastAsia="Arial" w:hAnsi="Arial"/>
                <w:sz w:val="16"/>
                <w:szCs w:val="16"/>
                <w:color w:val="auto"/>
              </w:rPr>
              <w:t> Computer software, net</w:t>
            </w:r>
          </w:p>
        </w:tc>
        <w:tc>
          <w:tcPr>
            <w:tcW w:w="2940" w:type="dxa"/>
            <w:vAlign w:val="bottom"/>
          </w:tcPr>
          <w:p>
            <w:pPr>
              <w:jc w:val="center"/>
              <w:ind w:left="2161"/>
              <w:spacing w:after="0"/>
              <w:rPr>
                <w:sz w:val="20"/>
                <w:szCs w:val="20"/>
                <w:color w:val="auto"/>
              </w:rPr>
            </w:pPr>
            <w:r>
              <w:rPr>
                <w:rFonts w:ascii="Arial" w:cs="Arial" w:eastAsia="Arial" w:hAnsi="Arial"/>
                <w:sz w:val="16"/>
                <w:szCs w:val="16"/>
                <w:color w:val="auto"/>
              </w:rPr>
              <w:t>17</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1,453</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1,236</w:t>
            </w:r>
          </w:p>
        </w:tc>
      </w:tr>
      <w:tr>
        <w:trPr>
          <w:trHeight w:val="186"/>
        </w:trPr>
        <w:tc>
          <w:tcPr>
            <w:tcW w:w="5200" w:type="dxa"/>
            <w:vAlign w:val="bottom"/>
          </w:tcPr>
          <w:p>
            <w:pPr>
              <w:spacing w:after="0"/>
              <w:rPr>
                <w:sz w:val="20"/>
                <w:szCs w:val="20"/>
                <w:color w:val="auto"/>
              </w:rPr>
            </w:pPr>
            <w:r>
              <w:rPr>
                <w:rFonts w:ascii="Arial" w:cs="Arial" w:eastAsia="Arial" w:hAnsi="Arial"/>
                <w:sz w:val="16"/>
                <w:szCs w:val="16"/>
                <w:color w:val="auto"/>
              </w:rPr>
              <w:t> Other identifiable intangible assets, net</w:t>
            </w:r>
          </w:p>
        </w:tc>
        <w:tc>
          <w:tcPr>
            <w:tcW w:w="2940" w:type="dxa"/>
            <w:vAlign w:val="bottom"/>
          </w:tcPr>
          <w:p>
            <w:pPr>
              <w:jc w:val="center"/>
              <w:ind w:left="2161"/>
              <w:spacing w:after="0"/>
              <w:rPr>
                <w:sz w:val="20"/>
                <w:szCs w:val="20"/>
                <w:color w:val="auto"/>
              </w:rPr>
            </w:pPr>
            <w:r>
              <w:rPr>
                <w:rFonts w:ascii="Arial" w:cs="Arial" w:eastAsia="Arial" w:hAnsi="Arial"/>
                <w:sz w:val="16"/>
                <w:szCs w:val="16"/>
                <w:color w:val="auto"/>
              </w:rPr>
              <w:t>18</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3,134</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3,165</w:t>
            </w:r>
          </w:p>
        </w:tc>
      </w:tr>
      <w:tr>
        <w:trPr>
          <w:trHeight w:val="185"/>
        </w:trPr>
        <w:tc>
          <w:tcPr>
            <w:tcW w:w="5200" w:type="dxa"/>
            <w:vAlign w:val="bottom"/>
          </w:tcPr>
          <w:p>
            <w:pPr>
              <w:spacing w:after="0"/>
              <w:rPr>
                <w:sz w:val="20"/>
                <w:szCs w:val="20"/>
                <w:color w:val="auto"/>
              </w:rPr>
            </w:pPr>
            <w:r>
              <w:rPr>
                <w:rFonts w:ascii="Arial" w:cs="Arial" w:eastAsia="Arial" w:hAnsi="Arial"/>
                <w:sz w:val="16"/>
                <w:szCs w:val="16"/>
                <w:color w:val="auto"/>
              </w:rPr>
              <w:t> Goodwill</w:t>
            </w:r>
          </w:p>
        </w:tc>
        <w:tc>
          <w:tcPr>
            <w:tcW w:w="2940" w:type="dxa"/>
            <w:vAlign w:val="bottom"/>
          </w:tcPr>
          <w:p>
            <w:pPr>
              <w:jc w:val="center"/>
              <w:ind w:left="2161"/>
              <w:spacing w:after="0"/>
              <w:rPr>
                <w:sz w:val="20"/>
                <w:szCs w:val="20"/>
                <w:color w:val="auto"/>
              </w:rPr>
            </w:pPr>
            <w:r>
              <w:rPr>
                <w:rFonts w:ascii="Arial" w:cs="Arial" w:eastAsia="Arial" w:hAnsi="Arial"/>
                <w:sz w:val="16"/>
                <w:szCs w:val="16"/>
                <w:color w:val="auto"/>
              </w:rPr>
              <w:t>19</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7,262</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6,719</w:t>
            </w:r>
          </w:p>
        </w:tc>
      </w:tr>
      <w:tr>
        <w:trPr>
          <w:trHeight w:val="186"/>
        </w:trPr>
        <w:tc>
          <w:tcPr>
            <w:tcW w:w="5200" w:type="dxa"/>
            <w:vAlign w:val="bottom"/>
          </w:tcPr>
          <w:p>
            <w:pPr>
              <w:spacing w:after="0"/>
              <w:rPr>
                <w:sz w:val="20"/>
                <w:szCs w:val="20"/>
                <w:color w:val="auto"/>
              </w:rPr>
            </w:pPr>
            <w:r>
              <w:rPr>
                <w:rFonts w:ascii="Arial" w:cs="Arial" w:eastAsia="Arial" w:hAnsi="Arial"/>
                <w:sz w:val="16"/>
                <w:szCs w:val="16"/>
                <w:color w:val="auto"/>
              </w:rPr>
              <w:t> Equity method investments</w:t>
            </w:r>
          </w:p>
        </w:tc>
        <w:tc>
          <w:tcPr>
            <w:tcW w:w="2940" w:type="dxa"/>
            <w:vAlign w:val="bottom"/>
          </w:tcPr>
          <w:p>
            <w:pPr>
              <w:jc w:val="center"/>
              <w:ind w:left="2161"/>
              <w:spacing w:after="0"/>
              <w:rPr>
                <w:sz w:val="20"/>
                <w:szCs w:val="20"/>
                <w:color w:val="auto"/>
              </w:rPr>
            </w:pPr>
            <w:r>
              <w:rPr>
                <w:rFonts w:ascii="Arial" w:cs="Arial" w:eastAsia="Arial" w:hAnsi="Arial"/>
                <w:sz w:val="16"/>
                <w:szCs w:val="16"/>
                <w:color w:val="auto"/>
              </w:rPr>
              <w:t>9</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269</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2,030</w:t>
            </w:r>
          </w:p>
        </w:tc>
      </w:tr>
      <w:tr>
        <w:trPr>
          <w:trHeight w:val="186"/>
        </w:trPr>
        <w:tc>
          <w:tcPr>
            <w:tcW w:w="5200" w:type="dxa"/>
            <w:vAlign w:val="bottom"/>
          </w:tcPr>
          <w:p>
            <w:pPr>
              <w:spacing w:after="0"/>
              <w:rPr>
                <w:sz w:val="20"/>
                <w:szCs w:val="20"/>
                <w:color w:val="auto"/>
              </w:rPr>
            </w:pPr>
            <w:r>
              <w:rPr>
                <w:rFonts w:ascii="Arial" w:cs="Arial" w:eastAsia="Arial" w:hAnsi="Arial"/>
                <w:sz w:val="16"/>
                <w:szCs w:val="16"/>
                <w:color w:val="auto"/>
              </w:rPr>
              <w:t> Other financial assets</w:t>
            </w:r>
          </w:p>
        </w:tc>
        <w:tc>
          <w:tcPr>
            <w:tcW w:w="2940" w:type="dxa"/>
            <w:vAlign w:val="bottom"/>
          </w:tcPr>
          <w:p>
            <w:pPr>
              <w:jc w:val="center"/>
              <w:ind w:left="2161"/>
              <w:spacing w:after="0"/>
              <w:rPr>
                <w:sz w:val="20"/>
                <w:szCs w:val="20"/>
                <w:color w:val="auto"/>
              </w:rPr>
            </w:pPr>
            <w:r>
              <w:rPr>
                <w:rFonts w:ascii="Arial" w:cs="Arial" w:eastAsia="Arial" w:hAnsi="Arial"/>
                <w:sz w:val="16"/>
                <w:szCs w:val="16"/>
                <w:color w:val="auto"/>
              </w:rPr>
              <w:t>20</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442</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444</w:t>
            </w:r>
          </w:p>
        </w:tc>
      </w:tr>
      <w:tr>
        <w:trPr>
          <w:trHeight w:val="185"/>
        </w:trPr>
        <w:tc>
          <w:tcPr>
            <w:tcW w:w="5200" w:type="dxa"/>
            <w:vAlign w:val="bottom"/>
          </w:tcPr>
          <w:p>
            <w:pPr>
              <w:spacing w:after="0"/>
              <w:rPr>
                <w:sz w:val="20"/>
                <w:szCs w:val="20"/>
                <w:color w:val="auto"/>
              </w:rPr>
            </w:pPr>
            <w:r>
              <w:rPr>
                <w:rFonts w:ascii="Arial" w:cs="Arial" w:eastAsia="Arial" w:hAnsi="Arial"/>
                <w:sz w:val="16"/>
                <w:szCs w:val="16"/>
                <w:color w:val="auto"/>
              </w:rPr>
              <w:t> Other non-current assets</w:t>
            </w:r>
          </w:p>
        </w:tc>
        <w:tc>
          <w:tcPr>
            <w:tcW w:w="2940" w:type="dxa"/>
            <w:vAlign w:val="bottom"/>
          </w:tcPr>
          <w:p>
            <w:pPr>
              <w:jc w:val="center"/>
              <w:ind w:left="2161"/>
              <w:spacing w:after="0"/>
              <w:rPr>
                <w:sz w:val="20"/>
                <w:szCs w:val="20"/>
                <w:color w:val="auto"/>
              </w:rPr>
            </w:pPr>
            <w:r>
              <w:rPr>
                <w:rFonts w:ascii="Arial" w:cs="Arial" w:eastAsia="Arial" w:hAnsi="Arial"/>
                <w:sz w:val="16"/>
                <w:szCs w:val="16"/>
                <w:color w:val="auto"/>
              </w:rPr>
              <w:t>21</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625</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618</w:t>
            </w:r>
          </w:p>
        </w:tc>
      </w:tr>
      <w:tr>
        <w:trPr>
          <w:trHeight w:val="200"/>
        </w:trPr>
        <w:tc>
          <w:tcPr>
            <w:tcW w:w="52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Deferred tax</w:t>
            </w:r>
          </w:p>
        </w:tc>
        <w:tc>
          <w:tcPr>
            <w:tcW w:w="2940" w:type="dxa"/>
            <w:vAlign w:val="bottom"/>
            <w:tcBorders>
              <w:bottom w:val="single" w:sz="8" w:color="B2B2B2"/>
            </w:tcBorders>
          </w:tcPr>
          <w:p>
            <w:pPr>
              <w:jc w:val="center"/>
              <w:ind w:left="2161"/>
              <w:spacing w:after="0"/>
              <w:rPr>
                <w:sz w:val="20"/>
                <w:szCs w:val="20"/>
                <w:color w:val="auto"/>
              </w:rPr>
            </w:pPr>
            <w:r>
              <w:rPr>
                <w:rFonts w:ascii="Arial" w:cs="Arial" w:eastAsia="Arial" w:hAnsi="Arial"/>
                <w:sz w:val="16"/>
                <w:szCs w:val="16"/>
                <w:color w:val="auto"/>
              </w:rPr>
              <w:t>24</w:t>
            </w:r>
          </w:p>
        </w:tc>
        <w:tc>
          <w:tcPr>
            <w:tcW w:w="13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1,376</w:t>
            </w:r>
          </w:p>
        </w:tc>
        <w:tc>
          <w:tcPr>
            <w:tcW w:w="136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1,104</w:t>
            </w:r>
          </w:p>
        </w:tc>
      </w:tr>
      <w:tr>
        <w:trPr>
          <w:trHeight w:val="179"/>
        </w:trPr>
        <w:tc>
          <w:tcPr>
            <w:tcW w:w="520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Total assets</w:t>
            </w:r>
          </w:p>
        </w:tc>
        <w:tc>
          <w:tcPr>
            <w:tcW w:w="2940" w:type="dxa"/>
            <w:vAlign w:val="bottom"/>
            <w:tcBorders>
              <w:bottom w:val="single" w:sz="8" w:color="B2B2B2"/>
            </w:tcBorders>
          </w:tcPr>
          <w:p>
            <w:pPr>
              <w:spacing w:after="0"/>
              <w:rPr>
                <w:sz w:val="15"/>
                <w:szCs w:val="15"/>
                <w:color w:val="auto"/>
              </w:rPr>
            </w:pPr>
          </w:p>
        </w:tc>
        <w:tc>
          <w:tcPr>
            <w:tcW w:w="130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b w:val="1"/>
                <w:bCs w:val="1"/>
                <w:color w:val="auto"/>
              </w:rPr>
              <w:t>18,437</w:t>
            </w:r>
          </w:p>
        </w:tc>
        <w:tc>
          <w:tcPr>
            <w:tcW w:w="1360" w:type="dxa"/>
            <w:vAlign w:val="bottom"/>
            <w:tcBorders>
              <w:bottom w:val="single" w:sz="8" w:color="B2B2B2"/>
            </w:tcBorders>
          </w:tcPr>
          <w:p>
            <w:pPr>
              <w:jc w:val="right"/>
              <w:ind w:right="1"/>
              <w:spacing w:after="0" w:line="179" w:lineRule="exact"/>
              <w:rPr>
                <w:sz w:val="20"/>
                <w:szCs w:val="20"/>
                <w:color w:val="auto"/>
              </w:rPr>
            </w:pPr>
            <w:r>
              <w:rPr>
                <w:rFonts w:ascii="Arial" w:cs="Arial" w:eastAsia="Arial" w:hAnsi="Arial"/>
                <w:sz w:val="16"/>
                <w:szCs w:val="16"/>
                <w:color w:val="auto"/>
              </w:rPr>
              <w:t>18,684</w:t>
            </w:r>
          </w:p>
        </w:tc>
      </w:tr>
      <w:tr>
        <w:trPr>
          <w:trHeight w:val="324"/>
        </w:trPr>
        <w:tc>
          <w:tcPr>
            <w:tcW w:w="5200" w:type="dxa"/>
            <w:vAlign w:val="bottom"/>
          </w:tcPr>
          <w:p>
            <w:pPr>
              <w:spacing w:after="0"/>
              <w:rPr>
                <w:sz w:val="20"/>
                <w:szCs w:val="20"/>
                <w:color w:val="auto"/>
              </w:rPr>
            </w:pPr>
            <w:r>
              <w:rPr>
                <w:rFonts w:ascii="Arial" w:cs="Arial" w:eastAsia="Arial" w:hAnsi="Arial"/>
                <w:sz w:val="16"/>
                <w:szCs w:val="16"/>
                <w:b w:val="1"/>
                <w:bCs w:val="1"/>
                <w:color w:val="auto"/>
              </w:rPr>
              <w:t> LIABILITIES AND EQUITY</w:t>
            </w:r>
          </w:p>
        </w:tc>
        <w:tc>
          <w:tcPr>
            <w:tcW w:w="2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5"/>
        </w:trPr>
        <w:tc>
          <w:tcPr>
            <w:tcW w:w="5200" w:type="dxa"/>
            <w:vAlign w:val="bottom"/>
          </w:tcPr>
          <w:p>
            <w:pPr>
              <w:spacing w:after="0"/>
              <w:rPr>
                <w:sz w:val="20"/>
                <w:szCs w:val="20"/>
                <w:color w:val="auto"/>
              </w:rPr>
            </w:pPr>
            <w:r>
              <w:rPr>
                <w:rFonts w:ascii="Arial" w:cs="Arial" w:eastAsia="Arial" w:hAnsi="Arial"/>
                <w:sz w:val="16"/>
                <w:szCs w:val="16"/>
                <w:b w:val="1"/>
                <w:bCs w:val="1"/>
                <w:color w:val="auto"/>
              </w:rPr>
              <w:t> Liabilities</w:t>
            </w:r>
          </w:p>
        </w:tc>
        <w:tc>
          <w:tcPr>
            <w:tcW w:w="29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5200" w:type="dxa"/>
            <w:vAlign w:val="bottom"/>
          </w:tcPr>
          <w:p>
            <w:pPr>
              <w:spacing w:after="0"/>
              <w:rPr>
                <w:sz w:val="20"/>
                <w:szCs w:val="20"/>
                <w:color w:val="auto"/>
              </w:rPr>
            </w:pPr>
            <w:r>
              <w:rPr>
                <w:rFonts w:ascii="Arial" w:cs="Arial" w:eastAsia="Arial" w:hAnsi="Arial"/>
                <w:sz w:val="16"/>
                <w:szCs w:val="16"/>
                <w:color w:val="auto"/>
              </w:rPr>
              <w:t> Current indebtedness</w:t>
            </w:r>
          </w:p>
        </w:tc>
        <w:tc>
          <w:tcPr>
            <w:tcW w:w="2940" w:type="dxa"/>
            <w:vAlign w:val="bottom"/>
          </w:tcPr>
          <w:p>
            <w:pPr>
              <w:jc w:val="center"/>
              <w:ind w:left="2161"/>
              <w:spacing w:after="0"/>
              <w:rPr>
                <w:sz w:val="20"/>
                <w:szCs w:val="20"/>
                <w:color w:val="auto"/>
              </w:rPr>
            </w:pPr>
            <w:r>
              <w:rPr>
                <w:rFonts w:ascii="Arial" w:cs="Arial" w:eastAsia="Arial" w:hAnsi="Arial"/>
                <w:sz w:val="16"/>
                <w:szCs w:val="16"/>
                <w:color w:val="auto"/>
              </w:rPr>
              <w:t>20</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973</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372</w:t>
            </w:r>
          </w:p>
        </w:tc>
      </w:tr>
      <w:tr>
        <w:trPr>
          <w:trHeight w:val="185"/>
        </w:trPr>
        <w:tc>
          <w:tcPr>
            <w:tcW w:w="5200" w:type="dxa"/>
            <w:vAlign w:val="bottom"/>
          </w:tcPr>
          <w:p>
            <w:pPr>
              <w:spacing w:after="0"/>
              <w:rPr>
                <w:sz w:val="20"/>
                <w:szCs w:val="20"/>
                <w:color w:val="auto"/>
              </w:rPr>
            </w:pPr>
            <w:r>
              <w:rPr>
                <w:rFonts w:ascii="Arial" w:cs="Arial" w:eastAsia="Arial" w:hAnsi="Arial"/>
                <w:sz w:val="16"/>
                <w:szCs w:val="16"/>
                <w:color w:val="auto"/>
              </w:rPr>
              <w:t> Payables, accruals and provisions</w:t>
            </w:r>
          </w:p>
        </w:tc>
        <w:tc>
          <w:tcPr>
            <w:tcW w:w="2940" w:type="dxa"/>
            <w:vAlign w:val="bottom"/>
          </w:tcPr>
          <w:p>
            <w:pPr>
              <w:jc w:val="center"/>
              <w:ind w:left="2161"/>
              <w:spacing w:after="0"/>
              <w:rPr>
                <w:sz w:val="20"/>
                <w:szCs w:val="20"/>
                <w:color w:val="auto"/>
              </w:rPr>
            </w:pPr>
            <w:r>
              <w:rPr>
                <w:rFonts w:ascii="Arial" w:cs="Arial" w:eastAsia="Arial" w:hAnsi="Arial"/>
                <w:sz w:val="16"/>
                <w:szCs w:val="16"/>
                <w:color w:val="auto"/>
              </w:rPr>
              <w:t>22</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1,091</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1,114</w:t>
            </w:r>
          </w:p>
        </w:tc>
      </w:tr>
      <w:tr>
        <w:trPr>
          <w:trHeight w:val="186"/>
        </w:trPr>
        <w:tc>
          <w:tcPr>
            <w:tcW w:w="5200" w:type="dxa"/>
            <w:vAlign w:val="bottom"/>
          </w:tcPr>
          <w:p>
            <w:pPr>
              <w:spacing w:after="0"/>
              <w:rPr>
                <w:sz w:val="20"/>
                <w:szCs w:val="20"/>
                <w:color w:val="auto"/>
              </w:rPr>
            </w:pPr>
            <w:r>
              <w:rPr>
                <w:rFonts w:ascii="Arial" w:cs="Arial" w:eastAsia="Arial" w:hAnsi="Arial"/>
                <w:sz w:val="16"/>
                <w:szCs w:val="16"/>
                <w:color w:val="auto"/>
              </w:rPr>
              <w:t> Current tax liabilities</w:t>
            </w:r>
          </w:p>
        </w:tc>
        <w:tc>
          <w:tcPr>
            <w:tcW w:w="29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197</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248</w:t>
            </w:r>
          </w:p>
        </w:tc>
      </w:tr>
      <w:tr>
        <w:trPr>
          <w:trHeight w:val="186"/>
        </w:trPr>
        <w:tc>
          <w:tcPr>
            <w:tcW w:w="5200" w:type="dxa"/>
            <w:vAlign w:val="bottom"/>
          </w:tcPr>
          <w:p>
            <w:pPr>
              <w:spacing w:after="0"/>
              <w:rPr>
                <w:sz w:val="20"/>
                <w:szCs w:val="20"/>
                <w:color w:val="auto"/>
              </w:rPr>
            </w:pPr>
            <w:r>
              <w:rPr>
                <w:rFonts w:ascii="Arial" w:cs="Arial" w:eastAsia="Arial" w:hAnsi="Arial"/>
                <w:sz w:val="16"/>
                <w:szCs w:val="16"/>
                <w:color w:val="auto"/>
              </w:rPr>
              <w:t> Deferred revenue</w:t>
            </w:r>
          </w:p>
        </w:tc>
        <w:tc>
          <w:tcPr>
            <w:tcW w:w="2940" w:type="dxa"/>
            <w:vAlign w:val="bottom"/>
          </w:tcPr>
          <w:p>
            <w:pPr>
              <w:jc w:val="center"/>
              <w:ind w:left="2161"/>
              <w:spacing w:after="0"/>
              <w:rPr>
                <w:sz w:val="20"/>
                <w:szCs w:val="20"/>
                <w:color w:val="auto"/>
              </w:rPr>
            </w:pPr>
            <w:r>
              <w:rPr>
                <w:rFonts w:ascii="Arial" w:cs="Arial" w:eastAsia="Arial" w:hAnsi="Arial"/>
                <w:sz w:val="16"/>
                <w:szCs w:val="16"/>
                <w:color w:val="auto"/>
              </w:rPr>
              <w:t>3</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1,062</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992</w:t>
            </w:r>
          </w:p>
        </w:tc>
      </w:tr>
      <w:tr>
        <w:trPr>
          <w:trHeight w:val="200"/>
        </w:trPr>
        <w:tc>
          <w:tcPr>
            <w:tcW w:w="52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Other financial liabilities</w:t>
            </w:r>
          </w:p>
        </w:tc>
        <w:tc>
          <w:tcPr>
            <w:tcW w:w="2940" w:type="dxa"/>
            <w:vAlign w:val="bottom"/>
            <w:tcBorders>
              <w:bottom w:val="single" w:sz="8" w:color="B2B2B2"/>
            </w:tcBorders>
          </w:tcPr>
          <w:p>
            <w:pPr>
              <w:jc w:val="center"/>
              <w:ind w:left="2161"/>
              <w:spacing w:after="0"/>
              <w:rPr>
                <w:sz w:val="20"/>
                <w:szCs w:val="20"/>
                <w:color w:val="auto"/>
              </w:rPr>
            </w:pPr>
            <w:r>
              <w:rPr>
                <w:rFonts w:ascii="Arial" w:cs="Arial" w:eastAsia="Arial" w:hAnsi="Arial"/>
                <w:sz w:val="16"/>
                <w:szCs w:val="16"/>
                <w:color w:val="auto"/>
              </w:rPr>
              <w:t>20</w:t>
            </w:r>
          </w:p>
        </w:tc>
        <w:tc>
          <w:tcPr>
            <w:tcW w:w="13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113</w:t>
            </w:r>
          </w:p>
        </w:tc>
        <w:tc>
          <w:tcPr>
            <w:tcW w:w="136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507</w:t>
            </w:r>
          </w:p>
        </w:tc>
      </w:tr>
      <w:tr>
        <w:trPr>
          <w:trHeight w:val="165"/>
        </w:trPr>
        <w:tc>
          <w:tcPr>
            <w:tcW w:w="5200" w:type="dxa"/>
            <w:vAlign w:val="bottom"/>
          </w:tcPr>
          <w:p>
            <w:pPr>
              <w:spacing w:after="0" w:line="165" w:lineRule="exact"/>
              <w:rPr>
                <w:sz w:val="20"/>
                <w:szCs w:val="20"/>
                <w:color w:val="auto"/>
              </w:rPr>
            </w:pPr>
            <w:r>
              <w:rPr>
                <w:rFonts w:ascii="Arial" w:cs="Arial" w:eastAsia="Arial" w:hAnsi="Arial"/>
                <w:sz w:val="16"/>
                <w:szCs w:val="16"/>
                <w:color w:val="auto"/>
              </w:rPr>
              <w:t> Current liabilities</w:t>
            </w:r>
          </w:p>
        </w:tc>
        <w:tc>
          <w:tcPr>
            <w:tcW w:w="2940" w:type="dxa"/>
            <w:vAlign w:val="bottom"/>
          </w:tcPr>
          <w:p>
            <w:pPr>
              <w:spacing w:after="0"/>
              <w:rPr>
                <w:sz w:val="14"/>
                <w:szCs w:val="14"/>
                <w:color w:val="auto"/>
              </w:rPr>
            </w:pPr>
          </w:p>
        </w:tc>
        <w:tc>
          <w:tcPr>
            <w:tcW w:w="130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3,436</w:t>
            </w:r>
          </w:p>
        </w:tc>
        <w:tc>
          <w:tcPr>
            <w:tcW w:w="1360" w:type="dxa"/>
            <w:vAlign w:val="bottom"/>
          </w:tcPr>
          <w:p>
            <w:pPr>
              <w:jc w:val="right"/>
              <w:ind w:right="1"/>
              <w:spacing w:after="0" w:line="165" w:lineRule="exact"/>
              <w:rPr>
                <w:sz w:val="20"/>
                <w:szCs w:val="20"/>
                <w:color w:val="auto"/>
              </w:rPr>
            </w:pPr>
            <w:r>
              <w:rPr>
                <w:rFonts w:ascii="Arial" w:cs="Arial" w:eastAsia="Arial" w:hAnsi="Arial"/>
                <w:sz w:val="16"/>
                <w:szCs w:val="16"/>
                <w:color w:val="auto"/>
              </w:rPr>
              <w:t>3,233</w:t>
            </w:r>
          </w:p>
        </w:tc>
      </w:tr>
      <w:tr>
        <w:trPr>
          <w:trHeight w:val="186"/>
        </w:trPr>
        <w:tc>
          <w:tcPr>
            <w:tcW w:w="5200" w:type="dxa"/>
            <w:vAlign w:val="bottom"/>
          </w:tcPr>
          <w:p>
            <w:pPr>
              <w:spacing w:after="0"/>
              <w:rPr>
                <w:sz w:val="20"/>
                <w:szCs w:val="20"/>
                <w:color w:val="auto"/>
              </w:rPr>
            </w:pPr>
            <w:r>
              <w:rPr>
                <w:rFonts w:ascii="Arial" w:cs="Arial" w:eastAsia="Arial" w:hAnsi="Arial"/>
                <w:sz w:val="16"/>
                <w:szCs w:val="16"/>
                <w:color w:val="auto"/>
              </w:rPr>
              <w:t> Long-term indebtedness</w:t>
            </w:r>
          </w:p>
        </w:tc>
        <w:tc>
          <w:tcPr>
            <w:tcW w:w="2940" w:type="dxa"/>
            <w:vAlign w:val="bottom"/>
          </w:tcPr>
          <w:p>
            <w:pPr>
              <w:jc w:val="center"/>
              <w:ind w:left="2161"/>
              <w:spacing w:after="0"/>
              <w:rPr>
                <w:sz w:val="20"/>
                <w:szCs w:val="20"/>
                <w:color w:val="auto"/>
              </w:rPr>
            </w:pPr>
            <w:r>
              <w:rPr>
                <w:rFonts w:ascii="Arial" w:cs="Arial" w:eastAsia="Arial" w:hAnsi="Arial"/>
                <w:sz w:val="16"/>
                <w:szCs w:val="16"/>
                <w:color w:val="auto"/>
              </w:rPr>
              <w:t>20</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1,847</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2,905</w:t>
            </w:r>
          </w:p>
        </w:tc>
      </w:tr>
      <w:tr>
        <w:trPr>
          <w:trHeight w:val="185"/>
        </w:trPr>
        <w:tc>
          <w:tcPr>
            <w:tcW w:w="5200" w:type="dxa"/>
            <w:vAlign w:val="bottom"/>
          </w:tcPr>
          <w:p>
            <w:pPr>
              <w:spacing w:after="0"/>
              <w:rPr>
                <w:sz w:val="20"/>
                <w:szCs w:val="20"/>
                <w:color w:val="auto"/>
              </w:rPr>
            </w:pPr>
            <w:r>
              <w:rPr>
                <w:rFonts w:ascii="Arial" w:cs="Arial" w:eastAsia="Arial" w:hAnsi="Arial"/>
                <w:sz w:val="16"/>
                <w:szCs w:val="16"/>
                <w:color w:val="auto"/>
              </w:rPr>
              <w:t> Provisions and other non-current liabilities</w:t>
            </w:r>
          </w:p>
        </w:tc>
        <w:tc>
          <w:tcPr>
            <w:tcW w:w="2940" w:type="dxa"/>
            <w:vAlign w:val="bottom"/>
          </w:tcPr>
          <w:p>
            <w:pPr>
              <w:jc w:val="center"/>
              <w:ind w:left="2161"/>
              <w:spacing w:after="0"/>
              <w:rPr>
                <w:sz w:val="20"/>
                <w:szCs w:val="20"/>
                <w:color w:val="auto"/>
              </w:rPr>
            </w:pPr>
            <w:r>
              <w:rPr>
                <w:rFonts w:ascii="Arial" w:cs="Arial" w:eastAsia="Arial" w:hAnsi="Arial"/>
                <w:sz w:val="16"/>
                <w:szCs w:val="16"/>
                <w:color w:val="auto"/>
              </w:rPr>
              <w:t>23</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675</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692</w:t>
            </w:r>
          </w:p>
        </w:tc>
      </w:tr>
      <w:tr>
        <w:trPr>
          <w:trHeight w:val="186"/>
        </w:trPr>
        <w:tc>
          <w:tcPr>
            <w:tcW w:w="5200" w:type="dxa"/>
            <w:vAlign w:val="bottom"/>
          </w:tcPr>
          <w:p>
            <w:pPr>
              <w:spacing w:after="0"/>
              <w:rPr>
                <w:sz w:val="20"/>
                <w:szCs w:val="20"/>
                <w:color w:val="auto"/>
              </w:rPr>
            </w:pPr>
            <w:r>
              <w:rPr>
                <w:rFonts w:ascii="Arial" w:cs="Arial" w:eastAsia="Arial" w:hAnsi="Arial"/>
                <w:sz w:val="16"/>
                <w:szCs w:val="16"/>
                <w:color w:val="auto"/>
              </w:rPr>
              <w:t> Other financial liabilities</w:t>
            </w:r>
          </w:p>
        </w:tc>
        <w:tc>
          <w:tcPr>
            <w:tcW w:w="2940" w:type="dxa"/>
            <w:vAlign w:val="bottom"/>
          </w:tcPr>
          <w:p>
            <w:pPr>
              <w:jc w:val="center"/>
              <w:ind w:left="2161"/>
              <w:spacing w:after="0"/>
              <w:rPr>
                <w:sz w:val="20"/>
                <w:szCs w:val="20"/>
                <w:color w:val="auto"/>
              </w:rPr>
            </w:pPr>
            <w:r>
              <w:rPr>
                <w:rFonts w:ascii="Arial" w:cs="Arial" w:eastAsia="Arial" w:hAnsi="Arial"/>
                <w:sz w:val="16"/>
                <w:szCs w:val="16"/>
                <w:color w:val="auto"/>
              </w:rPr>
              <w:t>20</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232</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237</w:t>
            </w:r>
          </w:p>
        </w:tc>
      </w:tr>
      <w:tr>
        <w:trPr>
          <w:trHeight w:val="200"/>
        </w:trPr>
        <w:tc>
          <w:tcPr>
            <w:tcW w:w="52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Deferred tax</w:t>
            </w:r>
          </w:p>
        </w:tc>
        <w:tc>
          <w:tcPr>
            <w:tcW w:w="2940" w:type="dxa"/>
            <w:vAlign w:val="bottom"/>
            <w:tcBorders>
              <w:bottom w:val="single" w:sz="8" w:color="B2B2B2"/>
            </w:tcBorders>
          </w:tcPr>
          <w:p>
            <w:pPr>
              <w:jc w:val="center"/>
              <w:ind w:left="2161"/>
              <w:spacing w:after="0"/>
              <w:rPr>
                <w:sz w:val="20"/>
                <w:szCs w:val="20"/>
                <w:color w:val="auto"/>
              </w:rPr>
            </w:pPr>
            <w:r>
              <w:rPr>
                <w:rFonts w:ascii="Arial" w:cs="Arial" w:eastAsia="Arial" w:hAnsi="Arial"/>
                <w:sz w:val="16"/>
                <w:szCs w:val="16"/>
                <w:color w:val="auto"/>
              </w:rPr>
              <w:t>24</w:t>
            </w:r>
          </w:p>
        </w:tc>
        <w:tc>
          <w:tcPr>
            <w:tcW w:w="13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241</w:t>
            </w:r>
          </w:p>
        </w:tc>
        <w:tc>
          <w:tcPr>
            <w:tcW w:w="136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553</w:t>
            </w:r>
          </w:p>
        </w:tc>
      </w:tr>
      <w:tr>
        <w:trPr>
          <w:trHeight w:val="165"/>
        </w:trPr>
        <w:tc>
          <w:tcPr>
            <w:tcW w:w="5200" w:type="dxa"/>
            <w:vAlign w:val="bottom"/>
          </w:tcPr>
          <w:p>
            <w:pPr>
              <w:spacing w:after="0" w:line="165" w:lineRule="exact"/>
              <w:rPr>
                <w:sz w:val="20"/>
                <w:szCs w:val="20"/>
                <w:color w:val="auto"/>
              </w:rPr>
            </w:pPr>
            <w:r>
              <w:rPr>
                <w:rFonts w:ascii="Arial" w:cs="Arial" w:eastAsia="Arial" w:hAnsi="Arial"/>
                <w:sz w:val="16"/>
                <w:szCs w:val="16"/>
                <w:color w:val="auto"/>
              </w:rPr>
              <w:t> Total liabilities</w:t>
            </w:r>
          </w:p>
        </w:tc>
        <w:tc>
          <w:tcPr>
            <w:tcW w:w="2940" w:type="dxa"/>
            <w:vAlign w:val="bottom"/>
          </w:tcPr>
          <w:p>
            <w:pPr>
              <w:spacing w:after="0"/>
              <w:rPr>
                <w:sz w:val="14"/>
                <w:szCs w:val="14"/>
                <w:color w:val="auto"/>
              </w:rPr>
            </w:pPr>
          </w:p>
        </w:tc>
        <w:tc>
          <w:tcPr>
            <w:tcW w:w="130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6,431</w:t>
            </w:r>
          </w:p>
        </w:tc>
        <w:tc>
          <w:tcPr>
            <w:tcW w:w="1360" w:type="dxa"/>
            <w:vAlign w:val="bottom"/>
          </w:tcPr>
          <w:p>
            <w:pPr>
              <w:jc w:val="right"/>
              <w:ind w:right="1"/>
              <w:spacing w:after="0" w:line="165" w:lineRule="exact"/>
              <w:rPr>
                <w:sz w:val="20"/>
                <w:szCs w:val="20"/>
                <w:color w:val="auto"/>
              </w:rPr>
            </w:pPr>
            <w:r>
              <w:rPr>
                <w:rFonts w:ascii="Arial" w:cs="Arial" w:eastAsia="Arial" w:hAnsi="Arial"/>
                <w:sz w:val="16"/>
                <w:szCs w:val="16"/>
                <w:color w:val="auto"/>
              </w:rPr>
              <w:t>7,620</w:t>
            </w:r>
          </w:p>
        </w:tc>
      </w:tr>
      <w:tr>
        <w:trPr>
          <w:trHeight w:val="185"/>
        </w:trPr>
        <w:tc>
          <w:tcPr>
            <w:tcW w:w="5200" w:type="dxa"/>
            <w:vAlign w:val="bottom"/>
          </w:tcPr>
          <w:p>
            <w:pPr>
              <w:spacing w:after="0"/>
              <w:rPr>
                <w:sz w:val="20"/>
                <w:szCs w:val="20"/>
                <w:color w:val="auto"/>
              </w:rPr>
            </w:pPr>
            <w:r>
              <w:rPr>
                <w:rFonts w:ascii="Arial" w:cs="Arial" w:eastAsia="Arial" w:hAnsi="Arial"/>
                <w:sz w:val="16"/>
                <w:szCs w:val="16"/>
                <w:b w:val="1"/>
                <w:bCs w:val="1"/>
                <w:color w:val="auto"/>
              </w:rPr>
              <w:t> Equity</w:t>
            </w:r>
          </w:p>
        </w:tc>
        <w:tc>
          <w:tcPr>
            <w:tcW w:w="29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5"/>
        </w:trPr>
        <w:tc>
          <w:tcPr>
            <w:tcW w:w="5200" w:type="dxa"/>
            <w:vAlign w:val="bottom"/>
          </w:tcPr>
          <w:p>
            <w:pPr>
              <w:spacing w:after="0"/>
              <w:rPr>
                <w:sz w:val="20"/>
                <w:szCs w:val="20"/>
                <w:color w:val="auto"/>
              </w:rPr>
            </w:pPr>
            <w:r>
              <w:rPr>
                <w:rFonts w:ascii="Arial" w:cs="Arial" w:eastAsia="Arial" w:hAnsi="Arial"/>
                <w:sz w:val="16"/>
                <w:szCs w:val="16"/>
                <w:color w:val="auto"/>
              </w:rPr>
              <w:t> Capital</w:t>
            </w:r>
          </w:p>
        </w:tc>
        <w:tc>
          <w:tcPr>
            <w:tcW w:w="2940" w:type="dxa"/>
            <w:vAlign w:val="bottom"/>
          </w:tcPr>
          <w:p>
            <w:pPr>
              <w:jc w:val="center"/>
              <w:ind w:left="2161"/>
              <w:spacing w:after="0"/>
              <w:rPr>
                <w:sz w:val="20"/>
                <w:szCs w:val="20"/>
                <w:color w:val="auto"/>
              </w:rPr>
            </w:pPr>
            <w:r>
              <w:rPr>
                <w:rFonts w:ascii="Arial" w:cs="Arial" w:eastAsia="Arial" w:hAnsi="Arial"/>
                <w:sz w:val="16"/>
                <w:szCs w:val="16"/>
                <w:color w:val="auto"/>
              </w:rPr>
              <w:t>25</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3,498</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3,405</w:t>
            </w:r>
          </w:p>
        </w:tc>
      </w:tr>
      <w:tr>
        <w:trPr>
          <w:trHeight w:val="185"/>
        </w:trPr>
        <w:tc>
          <w:tcPr>
            <w:tcW w:w="5200" w:type="dxa"/>
            <w:vAlign w:val="bottom"/>
          </w:tcPr>
          <w:p>
            <w:pPr>
              <w:spacing w:after="0"/>
              <w:rPr>
                <w:sz w:val="20"/>
                <w:szCs w:val="20"/>
                <w:color w:val="auto"/>
              </w:rPr>
            </w:pPr>
            <w:r>
              <w:rPr>
                <w:rFonts w:ascii="Arial" w:cs="Arial" w:eastAsia="Arial" w:hAnsi="Arial"/>
                <w:sz w:val="16"/>
                <w:szCs w:val="16"/>
                <w:color w:val="auto"/>
              </w:rPr>
              <w:t> Retained earnings</w:t>
            </w:r>
          </w:p>
        </w:tc>
        <w:tc>
          <w:tcPr>
            <w:tcW w:w="29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9,699</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8,680</w:t>
            </w:r>
          </w:p>
        </w:tc>
      </w:tr>
      <w:tr>
        <w:trPr>
          <w:trHeight w:val="200"/>
        </w:trPr>
        <w:tc>
          <w:tcPr>
            <w:tcW w:w="52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Accumulated other comprehensive loss</w:t>
            </w:r>
          </w:p>
        </w:tc>
        <w:tc>
          <w:tcPr>
            <w:tcW w:w="2940" w:type="dxa"/>
            <w:vAlign w:val="bottom"/>
            <w:tcBorders>
              <w:bottom w:val="single" w:sz="8" w:color="B2B2B2"/>
            </w:tcBorders>
          </w:tcPr>
          <w:p>
            <w:pPr>
              <w:spacing w:after="0"/>
              <w:rPr>
                <w:sz w:val="17"/>
                <w:szCs w:val="17"/>
                <w:color w:val="auto"/>
              </w:rPr>
            </w:pPr>
          </w:p>
        </w:tc>
        <w:tc>
          <w:tcPr>
            <w:tcW w:w="13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(1,191)</w:t>
            </w:r>
          </w:p>
        </w:tc>
        <w:tc>
          <w:tcPr>
            <w:tcW w:w="136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(1,021)</w:t>
            </w:r>
          </w:p>
        </w:tc>
      </w:tr>
      <w:tr>
        <w:trPr>
          <w:trHeight w:val="179"/>
        </w:trPr>
        <w:tc>
          <w:tcPr>
            <w:tcW w:w="520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Total equity</w:t>
            </w:r>
          </w:p>
        </w:tc>
        <w:tc>
          <w:tcPr>
            <w:tcW w:w="2940" w:type="dxa"/>
            <w:vAlign w:val="bottom"/>
            <w:tcBorders>
              <w:bottom w:val="single" w:sz="8" w:color="B2B2B2"/>
            </w:tcBorders>
          </w:tcPr>
          <w:p>
            <w:pPr>
              <w:spacing w:after="0"/>
              <w:rPr>
                <w:sz w:val="15"/>
                <w:szCs w:val="15"/>
                <w:color w:val="auto"/>
              </w:rPr>
            </w:pPr>
          </w:p>
        </w:tc>
        <w:tc>
          <w:tcPr>
            <w:tcW w:w="130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b w:val="1"/>
                <w:bCs w:val="1"/>
                <w:color w:val="auto"/>
              </w:rPr>
              <w:t>12,006</w:t>
            </w:r>
          </w:p>
        </w:tc>
        <w:tc>
          <w:tcPr>
            <w:tcW w:w="1360" w:type="dxa"/>
            <w:vAlign w:val="bottom"/>
            <w:tcBorders>
              <w:bottom w:val="single" w:sz="8" w:color="B2B2B2"/>
            </w:tcBorders>
          </w:tcPr>
          <w:p>
            <w:pPr>
              <w:jc w:val="right"/>
              <w:ind w:right="1"/>
              <w:spacing w:after="0" w:line="179" w:lineRule="exact"/>
              <w:rPr>
                <w:sz w:val="20"/>
                <w:szCs w:val="20"/>
                <w:color w:val="auto"/>
              </w:rPr>
            </w:pPr>
            <w:r>
              <w:rPr>
                <w:rFonts w:ascii="Arial" w:cs="Arial" w:eastAsia="Arial" w:hAnsi="Arial"/>
                <w:sz w:val="16"/>
                <w:szCs w:val="16"/>
                <w:color w:val="auto"/>
              </w:rPr>
              <w:t>11,064</w:t>
            </w:r>
          </w:p>
        </w:tc>
      </w:tr>
      <w:tr>
        <w:trPr>
          <w:trHeight w:val="185"/>
        </w:trPr>
        <w:tc>
          <w:tcPr>
            <w:tcW w:w="520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color w:val="auto"/>
              </w:rPr>
              <w:t> Total liabilities and equity</w:t>
            </w:r>
          </w:p>
        </w:tc>
        <w:tc>
          <w:tcPr>
            <w:tcW w:w="2940" w:type="dxa"/>
            <w:vAlign w:val="bottom"/>
            <w:tcBorders>
              <w:bottom w:val="single" w:sz="8" w:color="D64000"/>
            </w:tcBorders>
          </w:tcPr>
          <w:p>
            <w:pPr>
              <w:spacing w:after="0"/>
              <w:rPr>
                <w:sz w:val="16"/>
                <w:szCs w:val="16"/>
                <w:color w:val="auto"/>
              </w:rPr>
            </w:pPr>
          </w:p>
        </w:tc>
        <w:tc>
          <w:tcPr>
            <w:tcW w:w="130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b w:val="1"/>
                <w:bCs w:val="1"/>
                <w:color w:val="auto"/>
              </w:rPr>
              <w:t>18,437</w:t>
            </w:r>
          </w:p>
        </w:tc>
        <w:tc>
          <w:tcPr>
            <w:tcW w:w="1360" w:type="dxa"/>
            <w:vAlign w:val="bottom"/>
            <w:tcBorders>
              <w:bottom w:val="single" w:sz="8" w:color="D64000"/>
            </w:tcBorders>
          </w:tcPr>
          <w:p>
            <w:pPr>
              <w:jc w:val="right"/>
              <w:ind w:right="1"/>
              <w:spacing w:after="0" w:line="179" w:lineRule="exact"/>
              <w:rPr>
                <w:sz w:val="20"/>
                <w:szCs w:val="20"/>
                <w:color w:val="auto"/>
              </w:rPr>
            </w:pPr>
            <w:r>
              <w:rPr>
                <w:rFonts w:ascii="Arial" w:cs="Arial" w:eastAsia="Arial" w:hAnsi="Arial"/>
                <w:sz w:val="16"/>
                <w:szCs w:val="16"/>
                <w:color w:val="auto"/>
              </w:rPr>
              <w:t>18,684</w:t>
            </w:r>
          </w:p>
        </w:tc>
      </w:tr>
    </w:tbl>
    <w:p>
      <w:pPr>
        <w:spacing w:after="0" w:line="9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Contingencies (note 31)</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related notes form an integral part of these consolidated financial statements.</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These consolidated financial statements were approved by the Company’s board of directors on March 5, 2025.</w:t>
      </w:r>
    </w:p>
    <w:p>
      <w:pPr>
        <w:spacing w:after="0" w:line="234" w:lineRule="exact"/>
        <w:rPr>
          <w:sz w:val="20"/>
          <w:szCs w:val="20"/>
          <w:color w:val="auto"/>
        </w:rPr>
      </w:pPr>
    </w:p>
    <w:tbl>
      <w:tblPr>
        <w:tblLayout w:type="fixed"/>
        <w:tblInd w:w="220" w:type="dxa"/>
        <w:tblCellMar>
          <w:top w:w="0" w:type="dxa"/>
          <w:left w:w="0" w:type="dxa"/>
          <w:bottom w:w="0" w:type="dxa"/>
          <w:right w:w="0" w:type="dxa"/>
        </w:tblCellMar>
      </w:tblPr>
      <w:tr>
        <w:trPr>
          <w:trHeight w:val="232"/>
        </w:trPr>
        <w:tc>
          <w:tcPr>
            <w:tcW w:w="3540" w:type="dxa"/>
            <w:vAlign w:val="bottom"/>
          </w:tcPr>
          <w:p>
            <w:pPr>
              <w:spacing w:after="0"/>
              <w:rPr>
                <w:sz w:val="20"/>
                <w:szCs w:val="20"/>
                <w:color w:val="auto"/>
              </w:rPr>
            </w:pPr>
            <w:r>
              <w:rPr>
                <w:rFonts w:ascii="Arial" w:cs="Arial" w:eastAsia="Arial" w:hAnsi="Arial"/>
                <w:sz w:val="18"/>
                <w:szCs w:val="18"/>
                <w:color w:val="auto"/>
              </w:rPr>
              <w:t>/s/ David Thomson</w:t>
            </w:r>
          </w:p>
        </w:tc>
        <w:tc>
          <w:tcPr>
            <w:tcW w:w="7280" w:type="dxa"/>
            <w:vAlign w:val="bottom"/>
            <w:gridSpan w:val="2"/>
          </w:tcPr>
          <w:p>
            <w:pPr>
              <w:ind w:left="2080"/>
              <w:spacing w:after="0"/>
              <w:rPr>
                <w:sz w:val="20"/>
                <w:szCs w:val="20"/>
                <w:color w:val="auto"/>
              </w:rPr>
            </w:pPr>
            <w:r>
              <w:rPr>
                <w:rFonts w:ascii="Arial" w:cs="Arial" w:eastAsia="Arial" w:hAnsi="Arial"/>
                <w:sz w:val="18"/>
                <w:szCs w:val="18"/>
                <w:color w:val="auto"/>
              </w:rPr>
              <w:t>/s/ Steve Hasker</w:t>
            </w:r>
          </w:p>
        </w:tc>
      </w:tr>
      <w:tr>
        <w:trPr>
          <w:trHeight w:val="261"/>
        </w:trPr>
        <w:tc>
          <w:tcPr>
            <w:tcW w:w="3540" w:type="dxa"/>
            <w:vAlign w:val="bottom"/>
          </w:tcPr>
          <w:p>
            <w:pPr>
              <w:spacing w:after="0"/>
              <w:rPr>
                <w:sz w:val="20"/>
                <w:szCs w:val="20"/>
                <w:color w:val="auto"/>
              </w:rPr>
            </w:pPr>
            <w:r>
              <w:rPr>
                <w:rFonts w:ascii="Arial" w:cs="Arial" w:eastAsia="Arial" w:hAnsi="Arial"/>
                <w:sz w:val="16"/>
                <w:szCs w:val="16"/>
                <w:b w:val="1"/>
                <w:bCs w:val="1"/>
                <w:color w:val="auto"/>
              </w:rPr>
              <w:t>David Thomson</w:t>
            </w:r>
          </w:p>
        </w:tc>
        <w:tc>
          <w:tcPr>
            <w:tcW w:w="7280" w:type="dxa"/>
            <w:vAlign w:val="bottom"/>
            <w:gridSpan w:val="2"/>
          </w:tcPr>
          <w:p>
            <w:pPr>
              <w:ind w:left="2080"/>
              <w:spacing w:after="0"/>
              <w:rPr>
                <w:sz w:val="20"/>
                <w:szCs w:val="20"/>
                <w:color w:val="auto"/>
              </w:rPr>
            </w:pPr>
            <w:r>
              <w:rPr>
                <w:rFonts w:ascii="Arial" w:cs="Arial" w:eastAsia="Arial" w:hAnsi="Arial"/>
                <w:sz w:val="16"/>
                <w:szCs w:val="16"/>
                <w:b w:val="1"/>
                <w:bCs w:val="1"/>
                <w:color w:val="auto"/>
              </w:rPr>
              <w:t>Steve Hasker</w:t>
            </w:r>
          </w:p>
        </w:tc>
      </w:tr>
      <w:tr>
        <w:trPr>
          <w:trHeight w:val="210"/>
        </w:trPr>
        <w:tc>
          <w:tcPr>
            <w:tcW w:w="3540" w:type="dxa"/>
            <w:vAlign w:val="bottom"/>
          </w:tcPr>
          <w:p>
            <w:pPr>
              <w:spacing w:after="0"/>
              <w:rPr>
                <w:sz w:val="20"/>
                <w:szCs w:val="20"/>
                <w:color w:val="auto"/>
              </w:rPr>
            </w:pPr>
            <w:r>
              <w:rPr>
                <w:rFonts w:ascii="Arial" w:cs="Arial" w:eastAsia="Arial" w:hAnsi="Arial"/>
                <w:sz w:val="16"/>
                <w:szCs w:val="16"/>
                <w:color w:val="auto"/>
              </w:rPr>
              <w:t>Director</w:t>
            </w:r>
          </w:p>
        </w:tc>
        <w:tc>
          <w:tcPr>
            <w:tcW w:w="7280" w:type="dxa"/>
            <w:vAlign w:val="bottom"/>
            <w:gridSpan w:val="2"/>
          </w:tcPr>
          <w:p>
            <w:pPr>
              <w:ind w:left="2080"/>
              <w:spacing w:after="0"/>
              <w:rPr>
                <w:sz w:val="20"/>
                <w:szCs w:val="20"/>
                <w:color w:val="auto"/>
              </w:rPr>
            </w:pPr>
            <w:r>
              <w:rPr>
                <w:rFonts w:ascii="Arial" w:cs="Arial" w:eastAsia="Arial" w:hAnsi="Arial"/>
                <w:sz w:val="16"/>
                <w:szCs w:val="16"/>
                <w:color w:val="auto"/>
              </w:rPr>
              <w:t>Director</w:t>
            </w:r>
          </w:p>
        </w:tc>
      </w:tr>
      <w:tr>
        <w:trPr>
          <w:trHeight w:val="149"/>
        </w:trPr>
        <w:tc>
          <w:tcPr>
            <w:tcW w:w="3540" w:type="dxa"/>
            <w:vAlign w:val="bottom"/>
            <w:tcBorders>
              <w:bottom w:val="single" w:sz="8" w:color="7F7F7F"/>
            </w:tcBorders>
          </w:tcPr>
          <w:p>
            <w:pPr>
              <w:spacing w:after="0"/>
              <w:rPr>
                <w:sz w:val="12"/>
                <w:szCs w:val="12"/>
                <w:color w:val="auto"/>
              </w:rPr>
            </w:pPr>
          </w:p>
        </w:tc>
        <w:tc>
          <w:tcPr>
            <w:tcW w:w="7260" w:type="dxa"/>
            <w:vAlign w:val="bottom"/>
            <w:tcBorders>
              <w:bottom w:val="single" w:sz="8" w:color="7F7F7F"/>
            </w:tcBorders>
          </w:tcPr>
          <w:p>
            <w:pPr>
              <w:spacing w:after="0"/>
              <w:rPr>
                <w:sz w:val="12"/>
                <w:szCs w:val="12"/>
                <w:color w:val="auto"/>
              </w:rPr>
            </w:pPr>
          </w:p>
        </w:tc>
        <w:tc>
          <w:tcPr>
            <w:tcW w:w="20" w:type="dxa"/>
            <w:vAlign w:val="bottom"/>
          </w:tcPr>
          <w:p>
            <w:pPr>
              <w:spacing w:after="0"/>
              <w:rPr>
                <w:sz w:val="12"/>
                <w:szCs w:val="12"/>
                <w:color w:val="auto"/>
              </w:rPr>
            </w:pPr>
          </w:p>
        </w:tc>
      </w:tr>
      <w:tr>
        <w:trPr>
          <w:trHeight w:val="241"/>
        </w:trPr>
        <w:tc>
          <w:tcPr>
            <w:tcW w:w="3540" w:type="dxa"/>
            <w:vAlign w:val="bottom"/>
          </w:tcPr>
          <w:p>
            <w:pPr>
              <w:spacing w:after="0"/>
              <w:rPr>
                <w:sz w:val="20"/>
                <w:szCs w:val="20"/>
                <w:color w:val="auto"/>
              </w:rPr>
            </w:pPr>
            <w:r>
              <w:rPr>
                <w:rFonts w:ascii="Arial" w:cs="Arial" w:eastAsia="Arial" w:hAnsi="Arial"/>
                <w:sz w:val="17"/>
                <w:szCs w:val="17"/>
                <w:color w:val="auto"/>
              </w:rPr>
              <w:t>Page 86</w:t>
            </w:r>
          </w:p>
        </w:tc>
        <w:tc>
          <w:tcPr>
            <w:tcW w:w="7280" w:type="dxa"/>
            <w:vAlign w:val="bottom"/>
            <w:gridSpan w:val="2"/>
          </w:tcPr>
          <w:p>
            <w:pPr>
              <w:ind w:left="4220"/>
              <w:spacing w:after="0"/>
              <w:rPr>
                <w:sz w:val="20"/>
                <w:szCs w:val="20"/>
                <w:color w:val="auto"/>
              </w:rPr>
            </w:pPr>
            <w:r>
              <w:rPr>
                <w:rFonts w:ascii="Arial" w:cs="Arial" w:eastAsia="Arial" w:hAnsi="Arial"/>
                <w:sz w:val="17"/>
                <w:szCs w:val="17"/>
                <w:b w:val="1"/>
                <w:bCs w:val="1"/>
                <w:color w:val="auto"/>
                <w:w w:val="98"/>
              </w:rPr>
              <w:t>Thomson Reuters Annual Report 2024</w:t>
            </w:r>
          </w:p>
        </w:tc>
      </w:tr>
    </w:tbl>
    <w:p>
      <w:pPr>
        <w:sectPr>
          <w:pgSz w:w="11900" w:h="16838" w:orient="portrait"/>
          <w:cols w:equalWidth="0" w:num="1">
            <w:col w:w="11040"/>
          </w:cols>
          <w:pgMar w:left="320" w:top="477" w:right="5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1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THOMSON REUTERS CORPORATION</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CONSOLIDATED STATEMENT OF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71120</wp:posOffset>
            </wp:positionV>
            <wp:extent cx="68656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92"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59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60" w:type="dxa"/>
            <w:vAlign w:val="bottom"/>
            <w:gridSpan w:val="2"/>
            <w:shd w:val="clear" w:color="auto" w:fill="E3F3EE"/>
          </w:tcPr>
          <w:p>
            <w:pPr>
              <w:jc w:val="right"/>
              <w:ind w:right="100"/>
              <w:spacing w:after="0"/>
              <w:rPr>
                <w:sz w:val="20"/>
                <w:szCs w:val="20"/>
                <w:color w:val="auto"/>
              </w:rPr>
            </w:pPr>
            <w:r>
              <w:rPr>
                <w:rFonts w:ascii="Arial" w:cs="Arial" w:eastAsia="Arial" w:hAnsi="Arial"/>
                <w:sz w:val="16"/>
                <w:szCs w:val="16"/>
                <w:b w:val="1"/>
                <w:bCs w:val="1"/>
                <w:color w:val="auto"/>
              </w:rPr>
              <w:t>Year ended December 31, </w:t>
            </w:r>
          </w:p>
        </w:tc>
      </w:tr>
      <w:tr>
        <w:trPr>
          <w:trHeight w:val="192"/>
        </w:trPr>
        <w:tc>
          <w:tcPr>
            <w:tcW w:w="598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b w:val="1"/>
                <w:bCs w:val="1"/>
                <w:color w:val="FFFFFF"/>
              </w:rPr>
              <w:t> (millions of U.S. dollars)</w:t>
            </w:r>
          </w:p>
        </w:tc>
        <w:tc>
          <w:tcPr>
            <w:tcW w:w="2160" w:type="dxa"/>
            <w:vAlign w:val="bottom"/>
            <w:tcBorders>
              <w:bottom w:val="single" w:sz="8" w:color="D64000"/>
            </w:tcBorders>
            <w:shd w:val="clear" w:color="auto" w:fill="1F473D"/>
          </w:tcPr>
          <w:p>
            <w:pPr>
              <w:ind w:left="1340"/>
              <w:spacing w:after="0"/>
              <w:rPr>
                <w:sz w:val="20"/>
                <w:szCs w:val="20"/>
                <w:color w:val="auto"/>
              </w:rPr>
            </w:pPr>
            <w:r>
              <w:rPr>
                <w:rFonts w:ascii="Arial" w:cs="Arial" w:eastAsia="Arial" w:hAnsi="Arial"/>
                <w:sz w:val="16"/>
                <w:szCs w:val="16"/>
                <w:b w:val="1"/>
                <w:bCs w:val="1"/>
                <w:color w:val="FFFFFF"/>
                <w:w w:val="93"/>
              </w:rPr>
              <w:t>   Notes </w:t>
            </w:r>
          </w:p>
        </w:tc>
        <w:tc>
          <w:tcPr>
            <w:tcW w:w="1380" w:type="dxa"/>
            <w:vAlign w:val="bottom"/>
            <w:tcBorders>
              <w:bottom w:val="single" w:sz="8" w:color="D64000"/>
            </w:tcBorders>
            <w:shd w:val="clear" w:color="auto" w:fill="1F473D"/>
          </w:tcPr>
          <w:p>
            <w:pPr>
              <w:jc w:val="right"/>
              <w:ind w:right="40"/>
              <w:spacing w:after="0"/>
              <w:rPr>
                <w:sz w:val="20"/>
                <w:szCs w:val="20"/>
                <w:color w:val="auto"/>
              </w:rPr>
            </w:pPr>
            <w:r>
              <w:rPr>
                <w:rFonts w:ascii="Arial" w:cs="Arial" w:eastAsia="Arial" w:hAnsi="Arial"/>
                <w:sz w:val="16"/>
                <w:szCs w:val="16"/>
                <w:b w:val="1"/>
                <w:bCs w:val="1"/>
                <w:color w:val="FFFFFF"/>
              </w:rPr>
              <w:t>               2024</w:t>
            </w:r>
          </w:p>
        </w:tc>
        <w:tc>
          <w:tcPr>
            <w:tcW w:w="128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               2023</w:t>
            </w:r>
          </w:p>
        </w:tc>
      </w:tr>
      <w:tr>
        <w:trPr>
          <w:trHeight w:val="171"/>
        </w:trPr>
        <w:tc>
          <w:tcPr>
            <w:tcW w:w="5980" w:type="dxa"/>
            <w:vAlign w:val="bottom"/>
          </w:tcPr>
          <w:p>
            <w:pPr>
              <w:spacing w:after="0" w:line="171" w:lineRule="exact"/>
              <w:rPr>
                <w:sz w:val="20"/>
                <w:szCs w:val="20"/>
                <w:color w:val="auto"/>
              </w:rPr>
            </w:pPr>
            <w:r>
              <w:rPr>
                <w:rFonts w:ascii="Arial" w:cs="Arial" w:eastAsia="Arial" w:hAnsi="Arial"/>
                <w:sz w:val="16"/>
                <w:szCs w:val="16"/>
                <w:b w:val="1"/>
                <w:bCs w:val="1"/>
                <w:color w:val="auto"/>
              </w:rPr>
              <w:t> Cash provided by (used in):</w:t>
            </w:r>
          </w:p>
        </w:tc>
        <w:tc>
          <w:tcPr>
            <w:tcW w:w="2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6"/>
        </w:trPr>
        <w:tc>
          <w:tcPr>
            <w:tcW w:w="5980" w:type="dxa"/>
            <w:vAlign w:val="bottom"/>
          </w:tcPr>
          <w:p>
            <w:pPr>
              <w:spacing w:after="0"/>
              <w:rPr>
                <w:sz w:val="20"/>
                <w:szCs w:val="20"/>
                <w:color w:val="auto"/>
              </w:rPr>
            </w:pPr>
            <w:r>
              <w:rPr>
                <w:rFonts w:ascii="Arial" w:cs="Arial" w:eastAsia="Arial" w:hAnsi="Arial"/>
                <w:sz w:val="16"/>
                <w:szCs w:val="16"/>
                <w:b w:val="1"/>
                <w:bCs w:val="1"/>
                <w:color w:val="auto"/>
              </w:rPr>
              <w:t> OPERATING ACTIVITIES</w:t>
            </w:r>
          </w:p>
        </w:tc>
        <w:tc>
          <w:tcPr>
            <w:tcW w:w="2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6"/>
        </w:trPr>
        <w:tc>
          <w:tcPr>
            <w:tcW w:w="5980" w:type="dxa"/>
            <w:vAlign w:val="bottom"/>
          </w:tcPr>
          <w:p>
            <w:pPr>
              <w:spacing w:after="0"/>
              <w:rPr>
                <w:sz w:val="20"/>
                <w:szCs w:val="20"/>
                <w:color w:val="auto"/>
              </w:rPr>
            </w:pPr>
            <w:r>
              <w:rPr>
                <w:rFonts w:ascii="Arial" w:cs="Arial" w:eastAsia="Arial" w:hAnsi="Arial"/>
                <w:sz w:val="16"/>
                <w:szCs w:val="16"/>
                <w:color w:val="auto"/>
              </w:rPr>
              <w:t> Earnings from continuing operations</w:t>
            </w:r>
          </w:p>
        </w:tc>
        <w:tc>
          <w:tcPr>
            <w:tcW w:w="2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2,192</w:t>
            </w:r>
          </w:p>
        </w:tc>
        <w:tc>
          <w:tcPr>
            <w:tcW w:w="1280" w:type="dxa"/>
            <w:vAlign w:val="bottom"/>
          </w:tcPr>
          <w:p>
            <w:pPr>
              <w:jc w:val="right"/>
              <w:spacing w:after="0"/>
              <w:rPr>
                <w:sz w:val="20"/>
                <w:szCs w:val="20"/>
                <w:color w:val="auto"/>
              </w:rPr>
            </w:pPr>
            <w:r>
              <w:rPr>
                <w:rFonts w:ascii="Arial" w:cs="Arial" w:eastAsia="Arial" w:hAnsi="Arial"/>
                <w:sz w:val="16"/>
                <w:szCs w:val="16"/>
                <w:color w:val="auto"/>
              </w:rPr>
              <w:t>2,646</w:t>
            </w:r>
          </w:p>
        </w:tc>
      </w:tr>
      <w:tr>
        <w:trPr>
          <w:trHeight w:val="185"/>
        </w:trPr>
        <w:tc>
          <w:tcPr>
            <w:tcW w:w="5980" w:type="dxa"/>
            <w:vAlign w:val="bottom"/>
          </w:tcPr>
          <w:p>
            <w:pPr>
              <w:spacing w:after="0"/>
              <w:rPr>
                <w:sz w:val="20"/>
                <w:szCs w:val="20"/>
                <w:color w:val="auto"/>
              </w:rPr>
            </w:pPr>
            <w:r>
              <w:rPr>
                <w:rFonts w:ascii="Arial" w:cs="Arial" w:eastAsia="Arial" w:hAnsi="Arial"/>
                <w:sz w:val="16"/>
                <w:szCs w:val="16"/>
                <w:color w:val="auto"/>
              </w:rPr>
              <w:t> Adjustments for:</w:t>
            </w:r>
          </w:p>
        </w:tc>
        <w:tc>
          <w:tcPr>
            <w:tcW w:w="2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6"/>
        </w:trPr>
        <w:tc>
          <w:tcPr>
            <w:tcW w:w="5980" w:type="dxa"/>
            <w:vAlign w:val="bottom"/>
          </w:tcPr>
          <w:p>
            <w:pPr>
              <w:ind w:left="180"/>
              <w:spacing w:after="0"/>
              <w:rPr>
                <w:sz w:val="20"/>
                <w:szCs w:val="20"/>
                <w:color w:val="auto"/>
              </w:rPr>
            </w:pPr>
            <w:r>
              <w:rPr>
                <w:rFonts w:ascii="Arial" w:cs="Arial" w:eastAsia="Arial" w:hAnsi="Arial"/>
                <w:sz w:val="16"/>
                <w:szCs w:val="16"/>
                <w:color w:val="auto"/>
              </w:rPr>
              <w:t> Depreciation</w:t>
            </w:r>
          </w:p>
        </w:tc>
        <w:tc>
          <w:tcPr>
            <w:tcW w:w="2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113</w:t>
            </w:r>
          </w:p>
        </w:tc>
        <w:tc>
          <w:tcPr>
            <w:tcW w:w="128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185"/>
        </w:trPr>
        <w:tc>
          <w:tcPr>
            <w:tcW w:w="5980" w:type="dxa"/>
            <w:vAlign w:val="bottom"/>
          </w:tcPr>
          <w:p>
            <w:pPr>
              <w:ind w:left="180"/>
              <w:spacing w:after="0"/>
              <w:rPr>
                <w:sz w:val="20"/>
                <w:szCs w:val="20"/>
                <w:color w:val="auto"/>
              </w:rPr>
            </w:pPr>
            <w:r>
              <w:rPr>
                <w:rFonts w:ascii="Arial" w:cs="Arial" w:eastAsia="Arial" w:hAnsi="Arial"/>
                <w:sz w:val="16"/>
                <w:szCs w:val="16"/>
                <w:color w:val="auto"/>
              </w:rPr>
              <w:t> Amortization of computer software</w:t>
            </w:r>
          </w:p>
        </w:tc>
        <w:tc>
          <w:tcPr>
            <w:tcW w:w="2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618</w:t>
            </w:r>
          </w:p>
        </w:tc>
        <w:tc>
          <w:tcPr>
            <w:tcW w:w="1280" w:type="dxa"/>
            <w:vAlign w:val="bottom"/>
          </w:tcPr>
          <w:p>
            <w:pPr>
              <w:jc w:val="right"/>
              <w:spacing w:after="0"/>
              <w:rPr>
                <w:sz w:val="20"/>
                <w:szCs w:val="20"/>
                <w:color w:val="auto"/>
              </w:rPr>
            </w:pPr>
            <w:r>
              <w:rPr>
                <w:rFonts w:ascii="Arial" w:cs="Arial" w:eastAsia="Arial" w:hAnsi="Arial"/>
                <w:sz w:val="16"/>
                <w:szCs w:val="16"/>
                <w:color w:val="auto"/>
              </w:rPr>
              <w:t>512</w:t>
            </w:r>
          </w:p>
        </w:tc>
      </w:tr>
      <w:tr>
        <w:trPr>
          <w:trHeight w:val="186"/>
        </w:trPr>
        <w:tc>
          <w:tcPr>
            <w:tcW w:w="5980" w:type="dxa"/>
            <w:vAlign w:val="bottom"/>
          </w:tcPr>
          <w:p>
            <w:pPr>
              <w:ind w:left="180"/>
              <w:spacing w:after="0"/>
              <w:rPr>
                <w:sz w:val="20"/>
                <w:szCs w:val="20"/>
                <w:color w:val="auto"/>
              </w:rPr>
            </w:pPr>
            <w:r>
              <w:rPr>
                <w:rFonts w:ascii="Arial" w:cs="Arial" w:eastAsia="Arial" w:hAnsi="Arial"/>
                <w:sz w:val="16"/>
                <w:szCs w:val="16"/>
                <w:color w:val="auto"/>
              </w:rPr>
              <w:t> Amortization of other identifiable intangible assets</w:t>
            </w:r>
          </w:p>
        </w:tc>
        <w:tc>
          <w:tcPr>
            <w:tcW w:w="2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91</w:t>
            </w:r>
          </w:p>
        </w:tc>
        <w:tc>
          <w:tcPr>
            <w:tcW w:w="128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185"/>
        </w:trPr>
        <w:tc>
          <w:tcPr>
            <w:tcW w:w="5980" w:type="dxa"/>
            <w:vAlign w:val="bottom"/>
          </w:tcPr>
          <w:p>
            <w:pPr>
              <w:ind w:left="180"/>
              <w:spacing w:after="0"/>
              <w:rPr>
                <w:sz w:val="20"/>
                <w:szCs w:val="20"/>
                <w:color w:val="auto"/>
              </w:rPr>
            </w:pPr>
            <w:r>
              <w:rPr>
                <w:rFonts w:ascii="Arial" w:cs="Arial" w:eastAsia="Arial" w:hAnsi="Arial"/>
                <w:sz w:val="16"/>
                <w:szCs w:val="16"/>
                <w:color w:val="auto"/>
              </w:rPr>
              <w:t> Share of post-tax earnings in equity method investments</w:t>
            </w:r>
          </w:p>
        </w:tc>
        <w:tc>
          <w:tcPr>
            <w:tcW w:w="2160" w:type="dxa"/>
            <w:vAlign w:val="bottom"/>
          </w:tcPr>
          <w:p>
            <w:pPr>
              <w:jc w:val="center"/>
              <w:ind w:left="1381"/>
              <w:spacing w:after="0"/>
              <w:rPr>
                <w:sz w:val="20"/>
                <w:szCs w:val="20"/>
                <w:color w:val="auto"/>
              </w:rPr>
            </w:pPr>
            <w:r>
              <w:rPr>
                <w:rFonts w:ascii="Arial" w:cs="Arial" w:eastAsia="Arial" w:hAnsi="Arial"/>
                <w:sz w:val="16"/>
                <w:szCs w:val="16"/>
                <w:color w:val="auto"/>
              </w:rPr>
              <w:t>9</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(40)</w:t>
            </w:r>
          </w:p>
        </w:tc>
        <w:tc>
          <w:tcPr>
            <w:tcW w:w="1280" w:type="dxa"/>
            <w:vAlign w:val="bottom"/>
          </w:tcPr>
          <w:p>
            <w:pPr>
              <w:jc w:val="right"/>
              <w:spacing w:after="0"/>
              <w:rPr>
                <w:sz w:val="20"/>
                <w:szCs w:val="20"/>
                <w:color w:val="auto"/>
              </w:rPr>
            </w:pPr>
            <w:r>
              <w:rPr>
                <w:rFonts w:ascii="Arial" w:cs="Arial" w:eastAsia="Arial" w:hAnsi="Arial"/>
                <w:sz w:val="16"/>
                <w:szCs w:val="16"/>
                <w:color w:val="auto"/>
              </w:rPr>
              <w:t>(1,075)</w:t>
            </w:r>
          </w:p>
        </w:tc>
      </w:tr>
      <w:tr>
        <w:trPr>
          <w:trHeight w:val="186"/>
        </w:trPr>
        <w:tc>
          <w:tcPr>
            <w:tcW w:w="5980" w:type="dxa"/>
            <w:vAlign w:val="bottom"/>
          </w:tcPr>
          <w:p>
            <w:pPr>
              <w:ind w:left="180"/>
              <w:spacing w:after="0"/>
              <w:rPr>
                <w:sz w:val="20"/>
                <w:szCs w:val="20"/>
                <w:color w:val="auto"/>
              </w:rPr>
            </w:pPr>
            <w:r>
              <w:rPr>
                <w:rFonts w:ascii="Arial" w:cs="Arial" w:eastAsia="Arial" w:hAnsi="Arial"/>
                <w:sz w:val="16"/>
                <w:szCs w:val="16"/>
                <w:color w:val="auto"/>
              </w:rPr>
              <w:t> Net gains on disposals of businesses and investments</w:t>
            </w:r>
          </w:p>
        </w:tc>
        <w:tc>
          <w:tcPr>
            <w:tcW w:w="2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(192)</w:t>
            </w:r>
          </w:p>
        </w:tc>
        <w:tc>
          <w:tcPr>
            <w:tcW w:w="1280" w:type="dxa"/>
            <w:vAlign w:val="bottom"/>
          </w:tcPr>
          <w:p>
            <w:pPr>
              <w:jc w:val="right"/>
              <w:spacing w:after="0"/>
              <w:rPr>
                <w:sz w:val="20"/>
                <w:szCs w:val="20"/>
                <w:color w:val="auto"/>
              </w:rPr>
            </w:pPr>
            <w:r>
              <w:rPr>
                <w:rFonts w:ascii="Arial" w:cs="Arial" w:eastAsia="Arial" w:hAnsi="Arial"/>
                <w:sz w:val="16"/>
                <w:szCs w:val="16"/>
                <w:color w:val="auto"/>
              </w:rPr>
              <w:t>(336)</w:t>
            </w:r>
          </w:p>
        </w:tc>
      </w:tr>
      <w:tr>
        <w:trPr>
          <w:trHeight w:val="186"/>
        </w:trPr>
        <w:tc>
          <w:tcPr>
            <w:tcW w:w="5980" w:type="dxa"/>
            <w:vAlign w:val="bottom"/>
          </w:tcPr>
          <w:p>
            <w:pPr>
              <w:ind w:left="180"/>
              <w:spacing w:after="0"/>
              <w:rPr>
                <w:sz w:val="20"/>
                <w:szCs w:val="20"/>
                <w:color w:val="auto"/>
              </w:rPr>
            </w:pPr>
            <w:r>
              <w:rPr>
                <w:rFonts w:ascii="Arial" w:cs="Arial" w:eastAsia="Arial" w:hAnsi="Arial"/>
                <w:sz w:val="16"/>
                <w:szCs w:val="16"/>
                <w:color w:val="auto"/>
              </w:rPr>
              <w:t> Deferred tax</w:t>
            </w:r>
          </w:p>
        </w:tc>
        <w:tc>
          <w:tcPr>
            <w:tcW w:w="2160" w:type="dxa"/>
            <w:vAlign w:val="bottom"/>
          </w:tcPr>
          <w:p>
            <w:pPr>
              <w:jc w:val="center"/>
              <w:ind w:left="1381"/>
              <w:spacing w:after="0"/>
              <w:rPr>
                <w:sz w:val="20"/>
                <w:szCs w:val="20"/>
                <w:color w:val="auto"/>
              </w:rPr>
            </w:pPr>
            <w:r>
              <w:rPr>
                <w:rFonts w:ascii="Arial" w:cs="Arial" w:eastAsia="Arial" w:hAnsi="Arial"/>
                <w:sz w:val="16"/>
                <w:szCs w:val="16"/>
                <w:color w:val="auto"/>
              </w:rPr>
              <w:t>24</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(640)</w:t>
            </w:r>
          </w:p>
        </w:tc>
        <w:tc>
          <w:tcPr>
            <w:tcW w:w="1280" w:type="dxa"/>
            <w:vAlign w:val="bottom"/>
          </w:tcPr>
          <w:p>
            <w:pPr>
              <w:jc w:val="right"/>
              <w:spacing w:after="0"/>
              <w:rPr>
                <w:sz w:val="20"/>
                <w:szCs w:val="20"/>
                <w:color w:val="auto"/>
              </w:rPr>
            </w:pPr>
            <w:r>
              <w:rPr>
                <w:rFonts w:ascii="Arial" w:cs="Arial" w:eastAsia="Arial" w:hAnsi="Arial"/>
                <w:sz w:val="16"/>
                <w:szCs w:val="16"/>
                <w:color w:val="auto"/>
              </w:rPr>
              <w:t>(388)</w:t>
            </w:r>
          </w:p>
        </w:tc>
      </w:tr>
      <w:tr>
        <w:trPr>
          <w:trHeight w:val="185"/>
        </w:trPr>
        <w:tc>
          <w:tcPr>
            <w:tcW w:w="5980" w:type="dxa"/>
            <w:vAlign w:val="bottom"/>
          </w:tcPr>
          <w:p>
            <w:pPr>
              <w:ind w:left="180"/>
              <w:spacing w:after="0"/>
              <w:rPr>
                <w:sz w:val="20"/>
                <w:szCs w:val="20"/>
                <w:color w:val="auto"/>
              </w:rPr>
            </w:pPr>
            <w:r>
              <w:rPr>
                <w:rFonts w:ascii="Arial" w:cs="Arial" w:eastAsia="Arial" w:hAnsi="Arial"/>
                <w:sz w:val="16"/>
                <w:szCs w:val="16"/>
                <w:color w:val="auto"/>
              </w:rPr>
              <w:t> Other</w:t>
            </w:r>
          </w:p>
        </w:tc>
        <w:tc>
          <w:tcPr>
            <w:tcW w:w="2160" w:type="dxa"/>
            <w:vAlign w:val="bottom"/>
          </w:tcPr>
          <w:p>
            <w:pPr>
              <w:jc w:val="center"/>
              <w:ind w:left="1381"/>
              <w:spacing w:after="0"/>
              <w:rPr>
                <w:sz w:val="20"/>
                <w:szCs w:val="20"/>
                <w:color w:val="auto"/>
              </w:rPr>
            </w:pPr>
            <w:r>
              <w:rPr>
                <w:rFonts w:ascii="Arial" w:cs="Arial" w:eastAsia="Arial" w:hAnsi="Arial"/>
                <w:sz w:val="16"/>
                <w:szCs w:val="16"/>
                <w:color w:val="auto"/>
              </w:rPr>
              <w:t>29</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151</w:t>
            </w:r>
          </w:p>
        </w:tc>
        <w:tc>
          <w:tcPr>
            <w:tcW w:w="1280" w:type="dxa"/>
            <w:vAlign w:val="bottom"/>
          </w:tcPr>
          <w:p>
            <w:pPr>
              <w:jc w:val="right"/>
              <w:spacing w:after="0"/>
              <w:rPr>
                <w:sz w:val="20"/>
                <w:szCs w:val="20"/>
                <w:color w:val="auto"/>
              </w:rPr>
            </w:pPr>
            <w:r>
              <w:rPr>
                <w:rFonts w:ascii="Arial" w:cs="Arial" w:eastAsia="Arial" w:hAnsi="Arial"/>
                <w:sz w:val="16"/>
                <w:szCs w:val="16"/>
                <w:color w:val="auto"/>
              </w:rPr>
              <w:t>298</w:t>
            </w:r>
          </w:p>
        </w:tc>
      </w:tr>
      <w:tr>
        <w:trPr>
          <w:trHeight w:val="200"/>
        </w:trPr>
        <w:tc>
          <w:tcPr>
            <w:tcW w:w="598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Changes in working capital and other items</w:t>
            </w:r>
          </w:p>
        </w:tc>
        <w:tc>
          <w:tcPr>
            <w:tcW w:w="2160" w:type="dxa"/>
            <w:vAlign w:val="bottom"/>
            <w:tcBorders>
              <w:bottom w:val="single" w:sz="8" w:color="B2B2B2"/>
            </w:tcBorders>
          </w:tcPr>
          <w:p>
            <w:pPr>
              <w:jc w:val="center"/>
              <w:ind w:left="1381"/>
              <w:spacing w:after="0"/>
              <w:rPr>
                <w:sz w:val="20"/>
                <w:szCs w:val="20"/>
                <w:color w:val="auto"/>
              </w:rPr>
            </w:pPr>
            <w:r>
              <w:rPr>
                <w:rFonts w:ascii="Arial" w:cs="Arial" w:eastAsia="Arial" w:hAnsi="Arial"/>
                <w:sz w:val="16"/>
                <w:szCs w:val="16"/>
                <w:color w:val="auto"/>
              </w:rPr>
              <w:t>29</w:t>
            </w:r>
          </w:p>
        </w:tc>
        <w:tc>
          <w:tcPr>
            <w:tcW w:w="13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176</w:t>
            </w:r>
          </w:p>
        </w:tc>
        <w:tc>
          <w:tcPr>
            <w:tcW w:w="12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457</w:t>
            </w:r>
          </w:p>
        </w:tc>
      </w:tr>
      <w:tr>
        <w:trPr>
          <w:trHeight w:val="165"/>
        </w:trPr>
        <w:tc>
          <w:tcPr>
            <w:tcW w:w="5980" w:type="dxa"/>
            <w:vAlign w:val="bottom"/>
          </w:tcPr>
          <w:p>
            <w:pPr>
              <w:spacing w:after="0" w:line="165" w:lineRule="exact"/>
              <w:rPr>
                <w:sz w:val="20"/>
                <w:szCs w:val="20"/>
                <w:color w:val="auto"/>
              </w:rPr>
            </w:pPr>
            <w:r>
              <w:rPr>
                <w:rFonts w:ascii="Arial" w:cs="Arial" w:eastAsia="Arial" w:hAnsi="Arial"/>
                <w:sz w:val="16"/>
                <w:szCs w:val="16"/>
                <w:color w:val="auto"/>
              </w:rPr>
              <w:t> Operating cash flows from continuing operations</w:t>
            </w:r>
          </w:p>
        </w:tc>
        <w:tc>
          <w:tcPr>
            <w:tcW w:w="2160" w:type="dxa"/>
            <w:vAlign w:val="bottom"/>
          </w:tcPr>
          <w:p>
            <w:pPr>
              <w:spacing w:after="0"/>
              <w:rPr>
                <w:sz w:val="14"/>
                <w:szCs w:val="14"/>
                <w:color w:val="auto"/>
              </w:rPr>
            </w:pPr>
          </w:p>
        </w:tc>
        <w:tc>
          <w:tcPr>
            <w:tcW w:w="138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2,469</w:t>
            </w:r>
          </w:p>
        </w:tc>
        <w:tc>
          <w:tcPr>
            <w:tcW w:w="1280" w:type="dxa"/>
            <w:vAlign w:val="bottom"/>
          </w:tcPr>
          <w:p>
            <w:pPr>
              <w:jc w:val="right"/>
              <w:spacing w:after="0" w:line="165" w:lineRule="exact"/>
              <w:rPr>
                <w:sz w:val="20"/>
                <w:szCs w:val="20"/>
                <w:color w:val="auto"/>
              </w:rPr>
            </w:pPr>
            <w:r>
              <w:rPr>
                <w:rFonts w:ascii="Arial" w:cs="Arial" w:eastAsia="Arial" w:hAnsi="Arial"/>
                <w:sz w:val="16"/>
                <w:szCs w:val="16"/>
                <w:color w:val="auto"/>
              </w:rPr>
              <w:t>2,327</w:t>
            </w:r>
          </w:p>
        </w:tc>
      </w:tr>
      <w:tr>
        <w:trPr>
          <w:trHeight w:val="200"/>
        </w:trPr>
        <w:tc>
          <w:tcPr>
            <w:tcW w:w="598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Operating cash flows from discontinued operations</w:t>
            </w:r>
          </w:p>
        </w:tc>
        <w:tc>
          <w:tcPr>
            <w:tcW w:w="2160" w:type="dxa"/>
            <w:vAlign w:val="bottom"/>
            <w:tcBorders>
              <w:bottom w:val="single" w:sz="8" w:color="B2B2B2"/>
            </w:tcBorders>
          </w:tcPr>
          <w:p>
            <w:pPr>
              <w:spacing w:after="0"/>
              <w:rPr>
                <w:sz w:val="17"/>
                <w:szCs w:val="17"/>
                <w:color w:val="auto"/>
              </w:rPr>
            </w:pPr>
          </w:p>
        </w:tc>
        <w:tc>
          <w:tcPr>
            <w:tcW w:w="13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(12)</w:t>
            </w:r>
          </w:p>
        </w:tc>
        <w:tc>
          <w:tcPr>
            <w:tcW w:w="12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14</w:t>
            </w:r>
          </w:p>
        </w:tc>
      </w:tr>
      <w:tr>
        <w:trPr>
          <w:trHeight w:val="179"/>
        </w:trPr>
        <w:tc>
          <w:tcPr>
            <w:tcW w:w="598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Net cash provided by operating activities</w:t>
            </w:r>
          </w:p>
        </w:tc>
        <w:tc>
          <w:tcPr>
            <w:tcW w:w="2160" w:type="dxa"/>
            <w:vAlign w:val="bottom"/>
            <w:tcBorders>
              <w:bottom w:val="single" w:sz="8" w:color="B2B2B2"/>
            </w:tcBorders>
          </w:tcPr>
          <w:p>
            <w:pPr>
              <w:spacing w:after="0"/>
              <w:rPr>
                <w:sz w:val="15"/>
                <w:szCs w:val="15"/>
                <w:color w:val="auto"/>
              </w:rPr>
            </w:pPr>
          </w:p>
        </w:tc>
        <w:tc>
          <w:tcPr>
            <w:tcW w:w="138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b w:val="1"/>
                <w:bCs w:val="1"/>
                <w:color w:val="auto"/>
              </w:rPr>
              <w:t>2,457</w:t>
            </w:r>
          </w:p>
        </w:tc>
        <w:tc>
          <w:tcPr>
            <w:tcW w:w="128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color w:val="auto"/>
              </w:rPr>
              <w:t>2,341</w:t>
            </w:r>
          </w:p>
        </w:tc>
      </w:tr>
      <w:tr>
        <w:trPr>
          <w:trHeight w:val="165"/>
        </w:trPr>
        <w:tc>
          <w:tcPr>
            <w:tcW w:w="5980" w:type="dxa"/>
            <w:vAlign w:val="bottom"/>
          </w:tcPr>
          <w:p>
            <w:pPr>
              <w:spacing w:after="0" w:line="165" w:lineRule="exact"/>
              <w:rPr>
                <w:sz w:val="20"/>
                <w:szCs w:val="20"/>
                <w:color w:val="auto"/>
              </w:rPr>
            </w:pPr>
            <w:r>
              <w:rPr>
                <w:rFonts w:ascii="Arial" w:cs="Arial" w:eastAsia="Arial" w:hAnsi="Arial"/>
                <w:sz w:val="16"/>
                <w:szCs w:val="16"/>
                <w:b w:val="1"/>
                <w:bCs w:val="1"/>
                <w:color w:val="auto"/>
              </w:rPr>
              <w:t> INVESTING ACTIVITIES</w:t>
            </w:r>
          </w:p>
        </w:tc>
        <w:tc>
          <w:tcPr>
            <w:tcW w:w="2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6"/>
        </w:trPr>
        <w:tc>
          <w:tcPr>
            <w:tcW w:w="5980" w:type="dxa"/>
            <w:vAlign w:val="bottom"/>
          </w:tcPr>
          <w:p>
            <w:pPr>
              <w:spacing w:after="0"/>
              <w:rPr>
                <w:sz w:val="20"/>
                <w:szCs w:val="20"/>
                <w:color w:val="auto"/>
              </w:rPr>
            </w:pPr>
            <w:r>
              <w:rPr>
                <w:rFonts w:ascii="Arial" w:cs="Arial" w:eastAsia="Arial" w:hAnsi="Arial"/>
                <w:sz w:val="16"/>
                <w:szCs w:val="16"/>
                <w:color w:val="auto"/>
              </w:rPr>
              <w:t> Acquisitions, net of cash acquired</w:t>
            </w:r>
          </w:p>
        </w:tc>
        <w:tc>
          <w:tcPr>
            <w:tcW w:w="2160" w:type="dxa"/>
            <w:vAlign w:val="bottom"/>
          </w:tcPr>
          <w:p>
            <w:pPr>
              <w:jc w:val="center"/>
              <w:ind w:left="1381"/>
              <w:spacing w:after="0"/>
              <w:rPr>
                <w:sz w:val="20"/>
                <w:szCs w:val="20"/>
                <w:color w:val="auto"/>
              </w:rPr>
            </w:pPr>
            <w:r>
              <w:rPr>
                <w:rFonts w:ascii="Arial" w:cs="Arial" w:eastAsia="Arial" w:hAnsi="Arial"/>
                <w:sz w:val="16"/>
                <w:szCs w:val="16"/>
                <w:color w:val="auto"/>
              </w:rPr>
              <w:t>30</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(622)</w:t>
            </w:r>
          </w:p>
        </w:tc>
        <w:tc>
          <w:tcPr>
            <w:tcW w:w="1280" w:type="dxa"/>
            <w:vAlign w:val="bottom"/>
          </w:tcPr>
          <w:p>
            <w:pPr>
              <w:jc w:val="right"/>
              <w:spacing w:after="0"/>
              <w:rPr>
                <w:sz w:val="20"/>
                <w:szCs w:val="20"/>
                <w:color w:val="auto"/>
              </w:rPr>
            </w:pPr>
            <w:r>
              <w:rPr>
                <w:rFonts w:ascii="Arial" w:cs="Arial" w:eastAsia="Arial" w:hAnsi="Arial"/>
                <w:sz w:val="16"/>
                <w:szCs w:val="16"/>
                <w:color w:val="auto"/>
              </w:rPr>
              <w:t>(1,216)</w:t>
            </w:r>
          </w:p>
        </w:tc>
      </w:tr>
      <w:tr>
        <w:trPr>
          <w:trHeight w:val="186"/>
        </w:trPr>
        <w:tc>
          <w:tcPr>
            <w:tcW w:w="5980" w:type="dxa"/>
            <w:vAlign w:val="bottom"/>
          </w:tcPr>
          <w:p>
            <w:pPr>
              <w:spacing w:after="0"/>
              <w:rPr>
                <w:sz w:val="20"/>
                <w:szCs w:val="20"/>
                <w:color w:val="auto"/>
              </w:rPr>
            </w:pPr>
            <w:r>
              <w:rPr>
                <w:rFonts w:ascii="Arial" w:cs="Arial" w:eastAsia="Arial" w:hAnsi="Arial"/>
                <w:sz w:val="16"/>
                <w:szCs w:val="16"/>
                <w:color w:val="auto"/>
              </w:rPr>
              <w:t> Proceeds related to disposals of businesses and investments</w:t>
            </w:r>
          </w:p>
        </w:tc>
        <w:tc>
          <w:tcPr>
            <w:tcW w:w="2160" w:type="dxa"/>
            <w:vAlign w:val="bottom"/>
          </w:tcPr>
          <w:p>
            <w:pPr>
              <w:jc w:val="center"/>
              <w:ind w:left="1381"/>
              <w:spacing w:after="0"/>
              <w:rPr>
                <w:sz w:val="20"/>
                <w:szCs w:val="20"/>
                <w:color w:val="auto"/>
              </w:rPr>
            </w:pPr>
            <w:r>
              <w:rPr>
                <w:rFonts w:ascii="Arial" w:cs="Arial" w:eastAsia="Arial" w:hAnsi="Arial"/>
                <w:sz w:val="16"/>
                <w:szCs w:val="16"/>
                <w:color w:val="auto"/>
              </w:rPr>
              <w:t>7</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326</w:t>
            </w:r>
          </w:p>
        </w:tc>
        <w:tc>
          <w:tcPr>
            <w:tcW w:w="1280" w:type="dxa"/>
            <w:vAlign w:val="bottom"/>
          </w:tcPr>
          <w:p>
            <w:pPr>
              <w:jc w:val="right"/>
              <w:spacing w:after="0"/>
              <w:rPr>
                <w:sz w:val="20"/>
                <w:szCs w:val="20"/>
                <w:color w:val="auto"/>
              </w:rPr>
            </w:pPr>
            <w:r>
              <w:rPr>
                <w:rFonts w:ascii="Arial" w:cs="Arial" w:eastAsia="Arial" w:hAnsi="Arial"/>
                <w:sz w:val="16"/>
                <w:szCs w:val="16"/>
                <w:color w:val="auto"/>
              </w:rPr>
              <w:t>418</w:t>
            </w:r>
          </w:p>
        </w:tc>
      </w:tr>
      <w:tr>
        <w:trPr>
          <w:trHeight w:val="185"/>
        </w:trPr>
        <w:tc>
          <w:tcPr>
            <w:tcW w:w="5980" w:type="dxa"/>
            <w:vAlign w:val="bottom"/>
          </w:tcPr>
          <w:p>
            <w:pPr>
              <w:spacing w:after="0"/>
              <w:rPr>
                <w:sz w:val="20"/>
                <w:szCs w:val="20"/>
                <w:color w:val="auto"/>
              </w:rPr>
            </w:pPr>
            <w:r>
              <w:rPr>
                <w:rFonts w:ascii="Arial" w:cs="Arial" w:eastAsia="Arial" w:hAnsi="Arial"/>
                <w:sz w:val="16"/>
                <w:szCs w:val="16"/>
                <w:color w:val="auto"/>
              </w:rPr>
              <w:t> Proceeds from sales of LSEG shares</w:t>
            </w:r>
          </w:p>
        </w:tc>
        <w:tc>
          <w:tcPr>
            <w:tcW w:w="2160" w:type="dxa"/>
            <w:vAlign w:val="bottom"/>
          </w:tcPr>
          <w:p>
            <w:pPr>
              <w:jc w:val="center"/>
              <w:ind w:left="1381"/>
              <w:spacing w:after="0"/>
              <w:rPr>
                <w:sz w:val="20"/>
                <w:szCs w:val="20"/>
                <w:color w:val="auto"/>
              </w:rPr>
            </w:pPr>
            <w:r>
              <w:rPr>
                <w:rFonts w:ascii="Arial" w:cs="Arial" w:eastAsia="Arial" w:hAnsi="Arial"/>
                <w:sz w:val="16"/>
                <w:szCs w:val="16"/>
                <w:color w:val="auto"/>
              </w:rPr>
              <w:t>9</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1,854</w:t>
            </w:r>
          </w:p>
        </w:tc>
        <w:tc>
          <w:tcPr>
            <w:tcW w:w="1280" w:type="dxa"/>
            <w:vAlign w:val="bottom"/>
          </w:tcPr>
          <w:p>
            <w:pPr>
              <w:jc w:val="right"/>
              <w:spacing w:after="0"/>
              <w:rPr>
                <w:sz w:val="20"/>
                <w:szCs w:val="20"/>
                <w:color w:val="auto"/>
              </w:rPr>
            </w:pPr>
            <w:r>
              <w:rPr>
                <w:rFonts w:ascii="Arial" w:cs="Arial" w:eastAsia="Arial" w:hAnsi="Arial"/>
                <w:sz w:val="16"/>
                <w:szCs w:val="16"/>
                <w:color w:val="auto"/>
              </w:rPr>
              <w:t>5,424</w:t>
            </w:r>
          </w:p>
        </w:tc>
      </w:tr>
      <w:tr>
        <w:trPr>
          <w:trHeight w:val="186"/>
        </w:trPr>
        <w:tc>
          <w:tcPr>
            <w:tcW w:w="5980" w:type="dxa"/>
            <w:vAlign w:val="bottom"/>
          </w:tcPr>
          <w:p>
            <w:pPr>
              <w:spacing w:after="0"/>
              <w:rPr>
                <w:sz w:val="20"/>
                <w:szCs w:val="20"/>
                <w:color w:val="auto"/>
              </w:rPr>
            </w:pPr>
            <w:r>
              <w:rPr>
                <w:rFonts w:ascii="Arial" w:cs="Arial" w:eastAsia="Arial" w:hAnsi="Arial"/>
                <w:sz w:val="16"/>
                <w:szCs w:val="16"/>
                <w:color w:val="auto"/>
              </w:rPr>
              <w:t> Capital expenditures</w:t>
            </w:r>
          </w:p>
        </w:tc>
        <w:tc>
          <w:tcPr>
            <w:tcW w:w="2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(607)</w:t>
            </w:r>
          </w:p>
        </w:tc>
        <w:tc>
          <w:tcPr>
            <w:tcW w:w="1280" w:type="dxa"/>
            <w:vAlign w:val="bottom"/>
          </w:tcPr>
          <w:p>
            <w:pPr>
              <w:jc w:val="right"/>
              <w:spacing w:after="0"/>
              <w:rPr>
                <w:sz w:val="20"/>
                <w:szCs w:val="20"/>
                <w:color w:val="auto"/>
              </w:rPr>
            </w:pPr>
            <w:r>
              <w:rPr>
                <w:rFonts w:ascii="Arial" w:cs="Arial" w:eastAsia="Arial" w:hAnsi="Arial"/>
                <w:sz w:val="16"/>
                <w:szCs w:val="16"/>
                <w:color w:val="auto"/>
              </w:rPr>
              <w:t>(544)</w:t>
            </w:r>
          </w:p>
        </w:tc>
      </w:tr>
      <w:tr>
        <w:trPr>
          <w:trHeight w:val="185"/>
        </w:trPr>
        <w:tc>
          <w:tcPr>
            <w:tcW w:w="5980" w:type="dxa"/>
            <w:vAlign w:val="bottom"/>
          </w:tcPr>
          <w:p>
            <w:pPr>
              <w:spacing w:after="0"/>
              <w:rPr>
                <w:sz w:val="20"/>
                <w:szCs w:val="20"/>
                <w:color w:val="auto"/>
              </w:rPr>
            </w:pPr>
            <w:r>
              <w:rPr>
                <w:rFonts w:ascii="Arial" w:cs="Arial" w:eastAsia="Arial" w:hAnsi="Arial"/>
                <w:sz w:val="16"/>
                <w:szCs w:val="16"/>
                <w:color w:val="auto"/>
              </w:rPr>
              <w:t> Other investing activities</w:t>
            </w:r>
          </w:p>
        </w:tc>
        <w:tc>
          <w:tcPr>
            <w:tcW w:w="2160" w:type="dxa"/>
            <w:vAlign w:val="bottom"/>
          </w:tcPr>
          <w:p>
            <w:pPr>
              <w:jc w:val="center"/>
              <w:ind w:left="1381"/>
              <w:spacing w:after="0"/>
              <w:rPr>
                <w:sz w:val="20"/>
                <w:szCs w:val="20"/>
                <w:color w:val="auto"/>
              </w:rPr>
            </w:pPr>
            <w:r>
              <w:rPr>
                <w:rFonts w:ascii="Arial" w:cs="Arial" w:eastAsia="Arial" w:hAnsi="Arial"/>
                <w:sz w:val="16"/>
                <w:szCs w:val="16"/>
                <w:color w:val="auto"/>
              </w:rPr>
              <w:t>9</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46</w:t>
            </w:r>
          </w:p>
        </w:tc>
        <w:tc>
          <w:tcPr>
            <w:tcW w:w="128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00"/>
        </w:trPr>
        <w:tc>
          <w:tcPr>
            <w:tcW w:w="598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Taxes paid on sales of LSEG shares and disposals of businesses</w:t>
            </w:r>
          </w:p>
        </w:tc>
        <w:tc>
          <w:tcPr>
            <w:tcW w:w="2160" w:type="dxa"/>
            <w:vAlign w:val="bottom"/>
            <w:tcBorders>
              <w:bottom w:val="single" w:sz="8" w:color="B2B2B2"/>
            </w:tcBorders>
          </w:tcPr>
          <w:p>
            <w:pPr>
              <w:spacing w:after="0"/>
              <w:rPr>
                <w:sz w:val="17"/>
                <w:szCs w:val="17"/>
                <w:color w:val="auto"/>
              </w:rPr>
            </w:pPr>
          </w:p>
        </w:tc>
        <w:tc>
          <w:tcPr>
            <w:tcW w:w="13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(317)</w:t>
            </w:r>
          </w:p>
        </w:tc>
        <w:tc>
          <w:tcPr>
            <w:tcW w:w="12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(705)</w:t>
            </w:r>
          </w:p>
        </w:tc>
      </w:tr>
      <w:tr>
        <w:trPr>
          <w:trHeight w:val="165"/>
        </w:trPr>
        <w:tc>
          <w:tcPr>
            <w:tcW w:w="5980" w:type="dxa"/>
            <w:vAlign w:val="bottom"/>
          </w:tcPr>
          <w:p>
            <w:pPr>
              <w:spacing w:after="0" w:line="165" w:lineRule="exact"/>
              <w:rPr>
                <w:sz w:val="20"/>
                <w:szCs w:val="20"/>
                <w:color w:val="auto"/>
              </w:rPr>
            </w:pPr>
            <w:r>
              <w:rPr>
                <w:rFonts w:ascii="Arial" w:cs="Arial" w:eastAsia="Arial" w:hAnsi="Arial"/>
                <w:sz w:val="16"/>
                <w:szCs w:val="16"/>
                <w:color w:val="auto"/>
              </w:rPr>
              <w:t> Investing cash flows from continuing operations</w:t>
            </w:r>
          </w:p>
        </w:tc>
        <w:tc>
          <w:tcPr>
            <w:tcW w:w="2160" w:type="dxa"/>
            <w:vAlign w:val="bottom"/>
          </w:tcPr>
          <w:p>
            <w:pPr>
              <w:spacing w:after="0"/>
              <w:rPr>
                <w:sz w:val="14"/>
                <w:szCs w:val="14"/>
                <w:color w:val="auto"/>
              </w:rPr>
            </w:pPr>
          </w:p>
        </w:tc>
        <w:tc>
          <w:tcPr>
            <w:tcW w:w="138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680</w:t>
            </w:r>
          </w:p>
        </w:tc>
        <w:tc>
          <w:tcPr>
            <w:tcW w:w="1280" w:type="dxa"/>
            <w:vAlign w:val="bottom"/>
          </w:tcPr>
          <w:p>
            <w:pPr>
              <w:jc w:val="right"/>
              <w:spacing w:after="0" w:line="165" w:lineRule="exact"/>
              <w:rPr>
                <w:sz w:val="20"/>
                <w:szCs w:val="20"/>
                <w:color w:val="auto"/>
              </w:rPr>
            </w:pPr>
            <w:r>
              <w:rPr>
                <w:rFonts w:ascii="Arial" w:cs="Arial" w:eastAsia="Arial" w:hAnsi="Arial"/>
                <w:sz w:val="16"/>
                <w:szCs w:val="16"/>
                <w:color w:val="auto"/>
              </w:rPr>
              <w:t>3,514</w:t>
            </w:r>
          </w:p>
        </w:tc>
      </w:tr>
      <w:tr>
        <w:trPr>
          <w:trHeight w:val="200"/>
        </w:trPr>
        <w:tc>
          <w:tcPr>
            <w:tcW w:w="598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Investing cash flows from discontinued operations</w:t>
            </w:r>
          </w:p>
        </w:tc>
        <w:tc>
          <w:tcPr>
            <w:tcW w:w="2160" w:type="dxa"/>
            <w:vAlign w:val="bottom"/>
            <w:tcBorders>
              <w:bottom w:val="single" w:sz="8" w:color="B2B2B2"/>
            </w:tcBorders>
          </w:tcPr>
          <w:p>
            <w:pPr>
              <w:spacing w:after="0"/>
              <w:rPr>
                <w:sz w:val="17"/>
                <w:szCs w:val="17"/>
                <w:color w:val="auto"/>
              </w:rPr>
            </w:pPr>
          </w:p>
        </w:tc>
        <w:tc>
          <w:tcPr>
            <w:tcW w:w="13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w:t>
            </w:r>
          </w:p>
        </w:tc>
      </w:tr>
      <w:tr>
        <w:trPr>
          <w:trHeight w:val="179"/>
        </w:trPr>
        <w:tc>
          <w:tcPr>
            <w:tcW w:w="598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Net cash provided by investing activities</w:t>
            </w:r>
          </w:p>
        </w:tc>
        <w:tc>
          <w:tcPr>
            <w:tcW w:w="2160" w:type="dxa"/>
            <w:vAlign w:val="bottom"/>
            <w:tcBorders>
              <w:bottom w:val="single" w:sz="8" w:color="B2B2B2"/>
            </w:tcBorders>
          </w:tcPr>
          <w:p>
            <w:pPr>
              <w:spacing w:after="0"/>
              <w:rPr>
                <w:sz w:val="15"/>
                <w:szCs w:val="15"/>
                <w:color w:val="auto"/>
              </w:rPr>
            </w:pPr>
          </w:p>
        </w:tc>
        <w:tc>
          <w:tcPr>
            <w:tcW w:w="138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b w:val="1"/>
                <w:bCs w:val="1"/>
                <w:color w:val="auto"/>
              </w:rPr>
              <w:t>680</w:t>
            </w:r>
          </w:p>
        </w:tc>
        <w:tc>
          <w:tcPr>
            <w:tcW w:w="128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color w:val="auto"/>
              </w:rPr>
              <w:t>3,513</w:t>
            </w:r>
          </w:p>
        </w:tc>
      </w:tr>
      <w:tr>
        <w:trPr>
          <w:trHeight w:val="165"/>
        </w:trPr>
        <w:tc>
          <w:tcPr>
            <w:tcW w:w="5980" w:type="dxa"/>
            <w:vAlign w:val="bottom"/>
          </w:tcPr>
          <w:p>
            <w:pPr>
              <w:spacing w:after="0" w:line="165" w:lineRule="exact"/>
              <w:rPr>
                <w:sz w:val="20"/>
                <w:szCs w:val="20"/>
                <w:color w:val="auto"/>
              </w:rPr>
            </w:pPr>
            <w:r>
              <w:rPr>
                <w:rFonts w:ascii="Arial" w:cs="Arial" w:eastAsia="Arial" w:hAnsi="Arial"/>
                <w:sz w:val="16"/>
                <w:szCs w:val="16"/>
                <w:b w:val="1"/>
                <w:bCs w:val="1"/>
                <w:color w:val="auto"/>
              </w:rPr>
              <w:t> FINANCING ACTIVITIES</w:t>
            </w:r>
          </w:p>
        </w:tc>
        <w:tc>
          <w:tcPr>
            <w:tcW w:w="2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5"/>
        </w:trPr>
        <w:tc>
          <w:tcPr>
            <w:tcW w:w="5980" w:type="dxa"/>
            <w:vAlign w:val="bottom"/>
          </w:tcPr>
          <w:p>
            <w:pPr>
              <w:spacing w:after="0"/>
              <w:rPr>
                <w:sz w:val="20"/>
                <w:szCs w:val="20"/>
                <w:color w:val="auto"/>
              </w:rPr>
            </w:pPr>
            <w:r>
              <w:rPr>
                <w:rFonts w:ascii="Arial" w:cs="Arial" w:eastAsia="Arial" w:hAnsi="Arial"/>
                <w:sz w:val="16"/>
                <w:szCs w:val="16"/>
                <w:color w:val="auto"/>
              </w:rPr>
              <w:t> Repayments of debt</w:t>
            </w:r>
          </w:p>
        </w:tc>
        <w:tc>
          <w:tcPr>
            <w:tcW w:w="2160" w:type="dxa"/>
            <w:vAlign w:val="bottom"/>
          </w:tcPr>
          <w:p>
            <w:pPr>
              <w:jc w:val="center"/>
              <w:ind w:left="1381"/>
              <w:spacing w:after="0"/>
              <w:rPr>
                <w:sz w:val="20"/>
                <w:szCs w:val="20"/>
                <w:color w:val="auto"/>
              </w:rPr>
            </w:pPr>
            <w:r>
              <w:rPr>
                <w:rFonts w:ascii="Arial" w:cs="Arial" w:eastAsia="Arial" w:hAnsi="Arial"/>
                <w:sz w:val="16"/>
                <w:szCs w:val="16"/>
                <w:color w:val="auto"/>
              </w:rPr>
              <w:t>20</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(290)</w:t>
            </w:r>
          </w:p>
        </w:tc>
        <w:tc>
          <w:tcPr>
            <w:tcW w:w="128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185"/>
        </w:trPr>
        <w:tc>
          <w:tcPr>
            <w:tcW w:w="5980" w:type="dxa"/>
            <w:vAlign w:val="bottom"/>
          </w:tcPr>
          <w:p>
            <w:pPr>
              <w:spacing w:after="0"/>
              <w:rPr>
                <w:sz w:val="20"/>
                <w:szCs w:val="20"/>
                <w:color w:val="auto"/>
              </w:rPr>
            </w:pPr>
            <w:r>
              <w:rPr>
                <w:rFonts w:ascii="Arial" w:cs="Arial" w:eastAsia="Arial" w:hAnsi="Arial"/>
                <w:sz w:val="16"/>
                <w:szCs w:val="16"/>
                <w:color w:val="auto"/>
              </w:rPr>
              <w:t> Net repayments under short-term loan facilities</w:t>
            </w:r>
          </w:p>
        </w:tc>
        <w:tc>
          <w:tcPr>
            <w:tcW w:w="2160" w:type="dxa"/>
            <w:vAlign w:val="bottom"/>
          </w:tcPr>
          <w:p>
            <w:pPr>
              <w:jc w:val="center"/>
              <w:ind w:left="1381"/>
              <w:spacing w:after="0"/>
              <w:rPr>
                <w:sz w:val="20"/>
                <w:szCs w:val="20"/>
                <w:color w:val="auto"/>
              </w:rPr>
            </w:pPr>
            <w:r>
              <w:rPr>
                <w:rFonts w:ascii="Arial" w:cs="Arial" w:eastAsia="Arial" w:hAnsi="Arial"/>
                <w:sz w:val="16"/>
                <w:szCs w:val="16"/>
                <w:color w:val="auto"/>
              </w:rPr>
              <w:t>20</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(139)</w:t>
            </w:r>
          </w:p>
        </w:tc>
        <w:tc>
          <w:tcPr>
            <w:tcW w:w="1280" w:type="dxa"/>
            <w:vAlign w:val="bottom"/>
          </w:tcPr>
          <w:p>
            <w:pPr>
              <w:jc w:val="right"/>
              <w:spacing w:after="0"/>
              <w:rPr>
                <w:sz w:val="20"/>
                <w:szCs w:val="20"/>
                <w:color w:val="auto"/>
              </w:rPr>
            </w:pPr>
            <w:r>
              <w:rPr>
                <w:rFonts w:ascii="Arial" w:cs="Arial" w:eastAsia="Arial" w:hAnsi="Arial"/>
                <w:sz w:val="16"/>
                <w:szCs w:val="16"/>
                <w:color w:val="auto"/>
              </w:rPr>
              <w:t>(956)</w:t>
            </w:r>
          </w:p>
        </w:tc>
      </w:tr>
      <w:tr>
        <w:trPr>
          <w:trHeight w:val="185"/>
        </w:trPr>
        <w:tc>
          <w:tcPr>
            <w:tcW w:w="5980" w:type="dxa"/>
            <w:vAlign w:val="bottom"/>
          </w:tcPr>
          <w:p>
            <w:pPr>
              <w:spacing w:after="0"/>
              <w:rPr>
                <w:sz w:val="20"/>
                <w:szCs w:val="20"/>
                <w:color w:val="auto"/>
              </w:rPr>
            </w:pPr>
            <w:r>
              <w:rPr>
                <w:rFonts w:ascii="Arial" w:cs="Arial" w:eastAsia="Arial" w:hAnsi="Arial"/>
                <w:sz w:val="16"/>
                <w:szCs w:val="16"/>
                <w:color w:val="auto"/>
              </w:rPr>
              <w:t> Payments of lease principal</w:t>
            </w:r>
          </w:p>
        </w:tc>
        <w:tc>
          <w:tcPr>
            <w:tcW w:w="2160" w:type="dxa"/>
            <w:vAlign w:val="bottom"/>
          </w:tcPr>
          <w:p>
            <w:pPr>
              <w:jc w:val="center"/>
              <w:ind w:left="1381"/>
              <w:spacing w:after="0"/>
              <w:rPr>
                <w:sz w:val="20"/>
                <w:szCs w:val="20"/>
                <w:color w:val="auto"/>
              </w:rPr>
            </w:pPr>
            <w:r>
              <w:rPr>
                <w:rFonts w:ascii="Arial" w:cs="Arial" w:eastAsia="Arial" w:hAnsi="Arial"/>
                <w:sz w:val="16"/>
                <w:szCs w:val="16"/>
                <w:color w:val="auto"/>
              </w:rPr>
              <w:t>28</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(63)</w:t>
            </w:r>
          </w:p>
        </w:tc>
        <w:tc>
          <w:tcPr>
            <w:tcW w:w="12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185"/>
        </w:trPr>
        <w:tc>
          <w:tcPr>
            <w:tcW w:w="5980" w:type="dxa"/>
            <w:vAlign w:val="bottom"/>
          </w:tcPr>
          <w:p>
            <w:pPr>
              <w:spacing w:after="0"/>
              <w:rPr>
                <w:sz w:val="20"/>
                <w:szCs w:val="20"/>
                <w:color w:val="auto"/>
              </w:rPr>
            </w:pPr>
            <w:r>
              <w:rPr>
                <w:rFonts w:ascii="Arial" w:cs="Arial" w:eastAsia="Arial" w:hAnsi="Arial"/>
                <w:sz w:val="16"/>
                <w:szCs w:val="16"/>
                <w:color w:val="auto"/>
              </w:rPr>
              <w:t> Payments for return of capital on common shares</w:t>
            </w:r>
          </w:p>
        </w:tc>
        <w:tc>
          <w:tcPr>
            <w:tcW w:w="2160" w:type="dxa"/>
            <w:vAlign w:val="bottom"/>
          </w:tcPr>
          <w:p>
            <w:pPr>
              <w:jc w:val="center"/>
              <w:ind w:left="1381"/>
              <w:spacing w:after="0"/>
              <w:rPr>
                <w:sz w:val="20"/>
                <w:szCs w:val="20"/>
                <w:color w:val="auto"/>
              </w:rPr>
            </w:pPr>
            <w:r>
              <w:rPr>
                <w:rFonts w:ascii="Arial" w:cs="Arial" w:eastAsia="Arial" w:hAnsi="Arial"/>
                <w:sz w:val="16"/>
                <w:szCs w:val="16"/>
                <w:color w:val="auto"/>
              </w:rPr>
              <w:t>25</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(2,045)</w:t>
            </w:r>
          </w:p>
        </w:tc>
      </w:tr>
      <w:tr>
        <w:trPr>
          <w:trHeight w:val="186"/>
        </w:trPr>
        <w:tc>
          <w:tcPr>
            <w:tcW w:w="5980" w:type="dxa"/>
            <w:vAlign w:val="bottom"/>
          </w:tcPr>
          <w:p>
            <w:pPr>
              <w:spacing w:after="0"/>
              <w:rPr>
                <w:sz w:val="20"/>
                <w:szCs w:val="20"/>
                <w:color w:val="auto"/>
              </w:rPr>
            </w:pPr>
            <w:r>
              <w:rPr>
                <w:rFonts w:ascii="Arial" w:cs="Arial" w:eastAsia="Arial" w:hAnsi="Arial"/>
                <w:sz w:val="16"/>
                <w:szCs w:val="16"/>
                <w:color w:val="auto"/>
              </w:rPr>
              <w:t> Repurchases of common shares</w:t>
            </w:r>
          </w:p>
        </w:tc>
        <w:tc>
          <w:tcPr>
            <w:tcW w:w="2160" w:type="dxa"/>
            <w:vAlign w:val="bottom"/>
          </w:tcPr>
          <w:p>
            <w:pPr>
              <w:jc w:val="center"/>
              <w:ind w:left="1381"/>
              <w:spacing w:after="0"/>
              <w:rPr>
                <w:sz w:val="20"/>
                <w:szCs w:val="20"/>
                <w:color w:val="auto"/>
              </w:rPr>
            </w:pPr>
            <w:r>
              <w:rPr>
                <w:rFonts w:ascii="Arial" w:cs="Arial" w:eastAsia="Arial" w:hAnsi="Arial"/>
                <w:sz w:val="16"/>
                <w:szCs w:val="16"/>
                <w:color w:val="auto"/>
              </w:rPr>
              <w:t>25</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(639)</w:t>
            </w:r>
          </w:p>
        </w:tc>
        <w:tc>
          <w:tcPr>
            <w:tcW w:w="1280" w:type="dxa"/>
            <w:vAlign w:val="bottom"/>
          </w:tcPr>
          <w:p>
            <w:pPr>
              <w:jc w:val="right"/>
              <w:spacing w:after="0"/>
              <w:rPr>
                <w:sz w:val="20"/>
                <w:szCs w:val="20"/>
                <w:color w:val="auto"/>
              </w:rPr>
            </w:pPr>
            <w:r>
              <w:rPr>
                <w:rFonts w:ascii="Arial" w:cs="Arial" w:eastAsia="Arial" w:hAnsi="Arial"/>
                <w:sz w:val="16"/>
                <w:szCs w:val="16"/>
                <w:color w:val="auto"/>
              </w:rPr>
              <w:t>(1,079)</w:t>
            </w:r>
          </w:p>
        </w:tc>
      </w:tr>
      <w:tr>
        <w:trPr>
          <w:trHeight w:val="185"/>
        </w:trPr>
        <w:tc>
          <w:tcPr>
            <w:tcW w:w="5980" w:type="dxa"/>
            <w:vAlign w:val="bottom"/>
          </w:tcPr>
          <w:p>
            <w:pPr>
              <w:spacing w:after="0"/>
              <w:rPr>
                <w:sz w:val="20"/>
                <w:szCs w:val="20"/>
                <w:color w:val="auto"/>
              </w:rPr>
            </w:pPr>
            <w:r>
              <w:rPr>
                <w:rFonts w:ascii="Arial" w:cs="Arial" w:eastAsia="Arial" w:hAnsi="Arial"/>
                <w:sz w:val="16"/>
                <w:szCs w:val="16"/>
                <w:color w:val="auto"/>
              </w:rPr>
              <w:t> Dividends paid on preference shares</w:t>
            </w:r>
          </w:p>
        </w:tc>
        <w:tc>
          <w:tcPr>
            <w:tcW w:w="2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2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85"/>
        </w:trPr>
        <w:tc>
          <w:tcPr>
            <w:tcW w:w="5980" w:type="dxa"/>
            <w:vAlign w:val="bottom"/>
          </w:tcPr>
          <w:p>
            <w:pPr>
              <w:spacing w:after="0"/>
              <w:rPr>
                <w:sz w:val="20"/>
                <w:szCs w:val="20"/>
                <w:color w:val="auto"/>
              </w:rPr>
            </w:pPr>
            <w:r>
              <w:rPr>
                <w:rFonts w:ascii="Arial" w:cs="Arial" w:eastAsia="Arial" w:hAnsi="Arial"/>
                <w:sz w:val="16"/>
                <w:szCs w:val="16"/>
                <w:color w:val="auto"/>
              </w:rPr>
              <w:t> Dividends paid on common shares</w:t>
            </w:r>
          </w:p>
        </w:tc>
        <w:tc>
          <w:tcPr>
            <w:tcW w:w="2160" w:type="dxa"/>
            <w:vAlign w:val="bottom"/>
          </w:tcPr>
          <w:p>
            <w:pPr>
              <w:jc w:val="center"/>
              <w:ind w:left="1381"/>
              <w:spacing w:after="0"/>
              <w:rPr>
                <w:sz w:val="20"/>
                <w:szCs w:val="20"/>
                <w:color w:val="auto"/>
              </w:rPr>
            </w:pPr>
            <w:r>
              <w:rPr>
                <w:rFonts w:ascii="Arial" w:cs="Arial" w:eastAsia="Arial" w:hAnsi="Arial"/>
                <w:sz w:val="16"/>
                <w:szCs w:val="16"/>
                <w:color w:val="auto"/>
              </w:rPr>
              <w:t>25</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(944)</w:t>
            </w:r>
          </w:p>
        </w:tc>
        <w:tc>
          <w:tcPr>
            <w:tcW w:w="1280" w:type="dxa"/>
            <w:vAlign w:val="bottom"/>
          </w:tcPr>
          <w:p>
            <w:pPr>
              <w:jc w:val="right"/>
              <w:spacing w:after="0"/>
              <w:rPr>
                <w:sz w:val="20"/>
                <w:szCs w:val="20"/>
                <w:color w:val="auto"/>
              </w:rPr>
            </w:pPr>
            <w:r>
              <w:rPr>
                <w:rFonts w:ascii="Arial" w:cs="Arial" w:eastAsia="Arial" w:hAnsi="Arial"/>
                <w:sz w:val="16"/>
                <w:szCs w:val="16"/>
                <w:color w:val="auto"/>
              </w:rPr>
              <w:t>(887)</w:t>
            </w:r>
          </w:p>
        </w:tc>
      </w:tr>
      <w:tr>
        <w:trPr>
          <w:trHeight w:val="185"/>
        </w:trPr>
        <w:tc>
          <w:tcPr>
            <w:tcW w:w="5980" w:type="dxa"/>
            <w:vAlign w:val="bottom"/>
          </w:tcPr>
          <w:p>
            <w:pPr>
              <w:spacing w:after="0"/>
              <w:rPr>
                <w:sz w:val="20"/>
                <w:szCs w:val="20"/>
                <w:color w:val="auto"/>
              </w:rPr>
            </w:pPr>
            <w:r>
              <w:rPr>
                <w:rFonts w:ascii="Arial" w:cs="Arial" w:eastAsia="Arial" w:hAnsi="Arial"/>
                <w:sz w:val="16"/>
                <w:szCs w:val="16"/>
                <w:color w:val="auto"/>
              </w:rPr>
              <w:t> Purchase of non-controlling interests</w:t>
            </w:r>
          </w:p>
        </w:tc>
        <w:tc>
          <w:tcPr>
            <w:tcW w:w="2160" w:type="dxa"/>
            <w:vAlign w:val="bottom"/>
          </w:tcPr>
          <w:p>
            <w:pPr>
              <w:jc w:val="center"/>
              <w:ind w:left="1381"/>
              <w:spacing w:after="0"/>
              <w:rPr>
                <w:sz w:val="20"/>
                <w:szCs w:val="20"/>
                <w:color w:val="auto"/>
              </w:rPr>
            </w:pPr>
            <w:r>
              <w:rPr>
                <w:rFonts w:ascii="Arial" w:cs="Arial" w:eastAsia="Arial" w:hAnsi="Arial"/>
                <w:sz w:val="16"/>
                <w:szCs w:val="16"/>
                <w:color w:val="auto"/>
              </w:rPr>
              <w:t>30</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(384)</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598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Other financing activities</w:t>
            </w:r>
          </w:p>
        </w:tc>
        <w:tc>
          <w:tcPr>
            <w:tcW w:w="2160" w:type="dxa"/>
            <w:vAlign w:val="bottom"/>
            <w:tcBorders>
              <w:bottom w:val="single" w:sz="8" w:color="B2B2B2"/>
            </w:tcBorders>
          </w:tcPr>
          <w:p>
            <w:pPr>
              <w:spacing w:after="0"/>
              <w:rPr>
                <w:sz w:val="17"/>
                <w:szCs w:val="17"/>
                <w:color w:val="auto"/>
              </w:rPr>
            </w:pPr>
          </w:p>
        </w:tc>
        <w:tc>
          <w:tcPr>
            <w:tcW w:w="13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5</w:t>
            </w:r>
          </w:p>
        </w:tc>
        <w:tc>
          <w:tcPr>
            <w:tcW w:w="12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w:t>
            </w:r>
          </w:p>
        </w:tc>
      </w:tr>
      <w:tr>
        <w:trPr>
          <w:trHeight w:val="179"/>
        </w:trPr>
        <w:tc>
          <w:tcPr>
            <w:tcW w:w="598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Net cash used in financing activities</w:t>
            </w:r>
          </w:p>
        </w:tc>
        <w:tc>
          <w:tcPr>
            <w:tcW w:w="2160" w:type="dxa"/>
            <w:vAlign w:val="bottom"/>
            <w:tcBorders>
              <w:bottom w:val="single" w:sz="8" w:color="B2B2B2"/>
            </w:tcBorders>
          </w:tcPr>
          <w:p>
            <w:pPr>
              <w:spacing w:after="0"/>
              <w:rPr>
                <w:sz w:val="15"/>
                <w:szCs w:val="15"/>
                <w:color w:val="auto"/>
              </w:rPr>
            </w:pPr>
          </w:p>
        </w:tc>
        <w:tc>
          <w:tcPr>
            <w:tcW w:w="138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b w:val="1"/>
                <w:bCs w:val="1"/>
                <w:color w:val="auto"/>
              </w:rPr>
              <w:t>(2,459)</w:t>
            </w:r>
          </w:p>
        </w:tc>
        <w:tc>
          <w:tcPr>
            <w:tcW w:w="128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color w:val="auto"/>
              </w:rPr>
              <w:t>(5,626)</w:t>
            </w:r>
          </w:p>
        </w:tc>
      </w:tr>
      <w:tr>
        <w:trPr>
          <w:trHeight w:val="179"/>
        </w:trPr>
        <w:tc>
          <w:tcPr>
            <w:tcW w:w="598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Translation adjustments</w:t>
            </w:r>
          </w:p>
        </w:tc>
        <w:tc>
          <w:tcPr>
            <w:tcW w:w="2160" w:type="dxa"/>
            <w:vAlign w:val="bottom"/>
            <w:tcBorders>
              <w:bottom w:val="single" w:sz="8" w:color="B2B2B2"/>
            </w:tcBorders>
          </w:tcPr>
          <w:p>
            <w:pPr>
              <w:spacing w:after="0"/>
              <w:rPr>
                <w:sz w:val="15"/>
                <w:szCs w:val="15"/>
                <w:color w:val="auto"/>
              </w:rPr>
            </w:pPr>
          </w:p>
        </w:tc>
        <w:tc>
          <w:tcPr>
            <w:tcW w:w="138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b w:val="1"/>
                <w:bCs w:val="1"/>
                <w:color w:val="auto"/>
              </w:rPr>
              <w:t>(8)</w:t>
            </w:r>
          </w:p>
        </w:tc>
        <w:tc>
          <w:tcPr>
            <w:tcW w:w="128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color w:val="auto"/>
              </w:rPr>
              <w:t>1</w:t>
            </w:r>
          </w:p>
        </w:tc>
      </w:tr>
      <w:tr>
        <w:trPr>
          <w:trHeight w:val="165"/>
        </w:trPr>
        <w:tc>
          <w:tcPr>
            <w:tcW w:w="5980" w:type="dxa"/>
            <w:vAlign w:val="bottom"/>
          </w:tcPr>
          <w:p>
            <w:pPr>
              <w:spacing w:after="0" w:line="165" w:lineRule="exact"/>
              <w:rPr>
                <w:sz w:val="20"/>
                <w:szCs w:val="20"/>
                <w:color w:val="auto"/>
              </w:rPr>
            </w:pPr>
            <w:r>
              <w:rPr>
                <w:rFonts w:ascii="Arial" w:cs="Arial" w:eastAsia="Arial" w:hAnsi="Arial"/>
                <w:sz w:val="16"/>
                <w:szCs w:val="16"/>
                <w:color w:val="auto"/>
              </w:rPr>
              <w:t> Increase in cash and cash equivalents</w:t>
            </w:r>
          </w:p>
        </w:tc>
        <w:tc>
          <w:tcPr>
            <w:tcW w:w="2160" w:type="dxa"/>
            <w:vAlign w:val="bottom"/>
          </w:tcPr>
          <w:p>
            <w:pPr>
              <w:spacing w:after="0"/>
              <w:rPr>
                <w:sz w:val="14"/>
                <w:szCs w:val="14"/>
                <w:color w:val="auto"/>
              </w:rPr>
            </w:pPr>
          </w:p>
        </w:tc>
        <w:tc>
          <w:tcPr>
            <w:tcW w:w="138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670</w:t>
            </w:r>
          </w:p>
        </w:tc>
        <w:tc>
          <w:tcPr>
            <w:tcW w:w="1280" w:type="dxa"/>
            <w:vAlign w:val="bottom"/>
          </w:tcPr>
          <w:p>
            <w:pPr>
              <w:jc w:val="right"/>
              <w:spacing w:after="0" w:line="165" w:lineRule="exact"/>
              <w:rPr>
                <w:sz w:val="20"/>
                <w:szCs w:val="20"/>
                <w:color w:val="auto"/>
              </w:rPr>
            </w:pPr>
            <w:r>
              <w:rPr>
                <w:rFonts w:ascii="Arial" w:cs="Arial" w:eastAsia="Arial" w:hAnsi="Arial"/>
                <w:sz w:val="16"/>
                <w:szCs w:val="16"/>
                <w:color w:val="auto"/>
              </w:rPr>
              <w:t>229</w:t>
            </w:r>
          </w:p>
        </w:tc>
      </w:tr>
      <w:tr>
        <w:trPr>
          <w:trHeight w:val="200"/>
        </w:trPr>
        <w:tc>
          <w:tcPr>
            <w:tcW w:w="598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Cash and cash equivalents at beginning of period</w:t>
            </w:r>
          </w:p>
        </w:tc>
        <w:tc>
          <w:tcPr>
            <w:tcW w:w="2160" w:type="dxa"/>
            <w:vAlign w:val="bottom"/>
            <w:tcBorders>
              <w:bottom w:val="single" w:sz="8" w:color="B2B2B2"/>
            </w:tcBorders>
          </w:tcPr>
          <w:p>
            <w:pPr>
              <w:spacing w:after="0"/>
              <w:rPr>
                <w:sz w:val="17"/>
                <w:szCs w:val="17"/>
                <w:color w:val="auto"/>
              </w:rPr>
            </w:pPr>
          </w:p>
        </w:tc>
        <w:tc>
          <w:tcPr>
            <w:tcW w:w="13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1,298</w:t>
            </w:r>
          </w:p>
        </w:tc>
        <w:tc>
          <w:tcPr>
            <w:tcW w:w="12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1,069</w:t>
            </w:r>
          </w:p>
        </w:tc>
      </w:tr>
      <w:tr>
        <w:trPr>
          <w:trHeight w:val="179"/>
        </w:trPr>
        <w:tc>
          <w:tcPr>
            <w:tcW w:w="598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Cash and cash equivalents at end of period</w:t>
            </w:r>
          </w:p>
        </w:tc>
        <w:tc>
          <w:tcPr>
            <w:tcW w:w="2160" w:type="dxa"/>
            <w:vAlign w:val="bottom"/>
            <w:tcBorders>
              <w:bottom w:val="single" w:sz="8" w:color="B2B2B2"/>
            </w:tcBorders>
          </w:tcPr>
          <w:p>
            <w:pPr>
              <w:jc w:val="center"/>
              <w:ind w:left="1381"/>
              <w:spacing w:after="0" w:line="179" w:lineRule="exact"/>
              <w:rPr>
                <w:sz w:val="20"/>
                <w:szCs w:val="20"/>
                <w:color w:val="auto"/>
              </w:rPr>
            </w:pPr>
            <w:r>
              <w:rPr>
                <w:rFonts w:ascii="Arial" w:cs="Arial" w:eastAsia="Arial" w:hAnsi="Arial"/>
                <w:sz w:val="16"/>
                <w:szCs w:val="16"/>
                <w:color w:val="auto"/>
              </w:rPr>
              <w:t>13</w:t>
            </w:r>
          </w:p>
        </w:tc>
        <w:tc>
          <w:tcPr>
            <w:tcW w:w="138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b w:val="1"/>
                <w:bCs w:val="1"/>
                <w:color w:val="auto"/>
              </w:rPr>
              <w:t>1,968</w:t>
            </w:r>
          </w:p>
        </w:tc>
        <w:tc>
          <w:tcPr>
            <w:tcW w:w="128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color w:val="auto"/>
              </w:rPr>
              <w:t>1,298</w:t>
            </w:r>
          </w:p>
        </w:tc>
      </w:tr>
      <w:tr>
        <w:trPr>
          <w:trHeight w:val="165"/>
        </w:trPr>
        <w:tc>
          <w:tcPr>
            <w:tcW w:w="5980" w:type="dxa"/>
            <w:vAlign w:val="bottom"/>
          </w:tcPr>
          <w:p>
            <w:pPr>
              <w:spacing w:after="0" w:line="165" w:lineRule="exact"/>
              <w:rPr>
                <w:sz w:val="20"/>
                <w:szCs w:val="20"/>
                <w:color w:val="auto"/>
              </w:rPr>
            </w:pPr>
            <w:r>
              <w:rPr>
                <w:rFonts w:ascii="Arial" w:cs="Arial" w:eastAsia="Arial" w:hAnsi="Arial"/>
                <w:sz w:val="16"/>
                <w:szCs w:val="16"/>
                <w:b w:val="1"/>
                <w:bCs w:val="1"/>
                <w:color w:val="auto"/>
              </w:rPr>
              <w:t> Supplemental cash flow information is provided in note 29.</w:t>
            </w:r>
          </w:p>
        </w:tc>
        <w:tc>
          <w:tcPr>
            <w:tcW w:w="2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6"/>
        </w:trPr>
        <w:tc>
          <w:tcPr>
            <w:tcW w:w="5980" w:type="dxa"/>
            <w:vAlign w:val="bottom"/>
          </w:tcPr>
          <w:p>
            <w:pPr>
              <w:spacing w:after="0"/>
              <w:rPr>
                <w:sz w:val="20"/>
                <w:szCs w:val="20"/>
                <w:color w:val="auto"/>
              </w:rPr>
            </w:pPr>
            <w:r>
              <w:rPr>
                <w:rFonts w:ascii="Arial" w:cs="Arial" w:eastAsia="Arial" w:hAnsi="Arial"/>
                <w:sz w:val="16"/>
                <w:szCs w:val="16"/>
                <w:color w:val="auto"/>
              </w:rPr>
              <w:t> Interest paid, net of debt-related hedges</w:t>
            </w:r>
          </w:p>
        </w:tc>
        <w:tc>
          <w:tcPr>
            <w:tcW w:w="2160" w:type="dxa"/>
            <w:vAlign w:val="bottom"/>
          </w:tcPr>
          <w:p>
            <w:pPr>
              <w:jc w:val="center"/>
              <w:ind w:left="1381"/>
              <w:spacing w:after="0"/>
              <w:rPr>
                <w:sz w:val="20"/>
                <w:szCs w:val="20"/>
                <w:color w:val="auto"/>
              </w:rPr>
            </w:pPr>
            <w:r>
              <w:rPr>
                <w:rFonts w:ascii="Arial" w:cs="Arial" w:eastAsia="Arial" w:hAnsi="Arial"/>
                <w:sz w:val="16"/>
                <w:szCs w:val="16"/>
                <w:color w:val="auto"/>
              </w:rPr>
              <w:t>8</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(149)</w:t>
            </w:r>
          </w:p>
        </w:tc>
        <w:tc>
          <w:tcPr>
            <w:tcW w:w="1280" w:type="dxa"/>
            <w:vAlign w:val="bottom"/>
          </w:tcPr>
          <w:p>
            <w:pPr>
              <w:jc w:val="right"/>
              <w:spacing w:after="0"/>
              <w:rPr>
                <w:sz w:val="20"/>
                <w:szCs w:val="20"/>
                <w:color w:val="auto"/>
              </w:rPr>
            </w:pPr>
            <w:r>
              <w:rPr>
                <w:rFonts w:ascii="Arial" w:cs="Arial" w:eastAsia="Arial" w:hAnsi="Arial"/>
                <w:sz w:val="16"/>
                <w:szCs w:val="16"/>
                <w:color w:val="auto"/>
              </w:rPr>
              <w:t>(201)</w:t>
            </w:r>
          </w:p>
        </w:tc>
      </w:tr>
      <w:tr>
        <w:trPr>
          <w:trHeight w:val="185"/>
        </w:trPr>
        <w:tc>
          <w:tcPr>
            <w:tcW w:w="5980" w:type="dxa"/>
            <w:vAlign w:val="bottom"/>
          </w:tcPr>
          <w:p>
            <w:pPr>
              <w:spacing w:after="0"/>
              <w:rPr>
                <w:sz w:val="20"/>
                <w:szCs w:val="20"/>
                <w:color w:val="auto"/>
              </w:rPr>
            </w:pPr>
            <w:r>
              <w:rPr>
                <w:rFonts w:ascii="Arial" w:cs="Arial" w:eastAsia="Arial" w:hAnsi="Arial"/>
                <w:sz w:val="16"/>
                <w:szCs w:val="16"/>
                <w:color w:val="auto"/>
              </w:rPr>
              <w:t> Interest received</w:t>
            </w:r>
          </w:p>
        </w:tc>
        <w:tc>
          <w:tcPr>
            <w:tcW w:w="2160" w:type="dxa"/>
            <w:vAlign w:val="bottom"/>
          </w:tcPr>
          <w:p>
            <w:pPr>
              <w:jc w:val="center"/>
              <w:ind w:left="1381"/>
              <w:spacing w:after="0"/>
              <w:rPr>
                <w:sz w:val="20"/>
                <w:szCs w:val="20"/>
                <w:color w:val="auto"/>
              </w:rPr>
            </w:pPr>
            <w:r>
              <w:rPr>
                <w:rFonts w:ascii="Arial" w:cs="Arial" w:eastAsia="Arial" w:hAnsi="Arial"/>
                <w:sz w:val="16"/>
                <w:szCs w:val="16"/>
                <w:color w:val="auto"/>
              </w:rPr>
              <w:t>8</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74</w:t>
            </w:r>
          </w:p>
        </w:tc>
        <w:tc>
          <w:tcPr>
            <w:tcW w:w="128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06"/>
        </w:trPr>
        <w:tc>
          <w:tcPr>
            <w:tcW w:w="5980" w:type="dxa"/>
            <w:vAlign w:val="bottom"/>
            <w:tcBorders>
              <w:bottom w:val="single" w:sz="8" w:color="D64000"/>
            </w:tcBorders>
          </w:tcPr>
          <w:p>
            <w:pPr>
              <w:spacing w:after="0"/>
              <w:rPr>
                <w:sz w:val="20"/>
                <w:szCs w:val="20"/>
                <w:color w:val="auto"/>
              </w:rPr>
            </w:pPr>
            <w:r>
              <w:rPr>
                <w:rFonts w:ascii="Arial" w:cs="Arial" w:eastAsia="Arial" w:hAnsi="Arial"/>
                <w:sz w:val="16"/>
                <w:szCs w:val="16"/>
                <w:color w:val="auto"/>
              </w:rPr>
              <w:t> Income taxes paid</w:t>
            </w:r>
          </w:p>
        </w:tc>
        <w:tc>
          <w:tcPr>
            <w:tcW w:w="2160" w:type="dxa"/>
            <w:vAlign w:val="bottom"/>
            <w:tcBorders>
              <w:bottom w:val="single" w:sz="8" w:color="D64000"/>
            </w:tcBorders>
          </w:tcPr>
          <w:p>
            <w:pPr>
              <w:jc w:val="center"/>
              <w:ind w:left="1381"/>
              <w:spacing w:after="0"/>
              <w:rPr>
                <w:sz w:val="20"/>
                <w:szCs w:val="20"/>
                <w:color w:val="auto"/>
              </w:rPr>
            </w:pPr>
            <w:r>
              <w:rPr>
                <w:rFonts w:ascii="Arial" w:cs="Arial" w:eastAsia="Arial" w:hAnsi="Arial"/>
                <w:sz w:val="16"/>
                <w:szCs w:val="16"/>
                <w:color w:val="auto"/>
              </w:rPr>
              <w:t>29</w:t>
            </w:r>
          </w:p>
        </w:tc>
        <w:tc>
          <w:tcPr>
            <w:tcW w:w="1380" w:type="dxa"/>
            <w:vAlign w:val="bottom"/>
            <w:tcBorders>
              <w:bottom w:val="single" w:sz="8" w:color="D64000"/>
            </w:tcBorders>
          </w:tcPr>
          <w:p>
            <w:pPr>
              <w:jc w:val="right"/>
              <w:spacing w:after="0"/>
              <w:rPr>
                <w:sz w:val="20"/>
                <w:szCs w:val="20"/>
                <w:color w:val="auto"/>
              </w:rPr>
            </w:pPr>
            <w:r>
              <w:rPr>
                <w:rFonts w:ascii="Arial" w:cs="Arial" w:eastAsia="Arial" w:hAnsi="Arial"/>
                <w:sz w:val="16"/>
                <w:szCs w:val="16"/>
                <w:b w:val="1"/>
                <w:bCs w:val="1"/>
                <w:color w:val="auto"/>
              </w:rPr>
              <w:t>(551)</w:t>
            </w:r>
          </w:p>
        </w:tc>
        <w:tc>
          <w:tcPr>
            <w:tcW w:w="1280" w:type="dxa"/>
            <w:vAlign w:val="bottom"/>
            <w:tcBorders>
              <w:bottom w:val="single" w:sz="8" w:color="D64000"/>
            </w:tcBorders>
          </w:tcPr>
          <w:p>
            <w:pPr>
              <w:jc w:val="right"/>
              <w:spacing w:after="0"/>
              <w:rPr>
                <w:sz w:val="20"/>
                <w:szCs w:val="20"/>
                <w:color w:val="auto"/>
              </w:rPr>
            </w:pPr>
            <w:r>
              <w:rPr>
                <w:rFonts w:ascii="Arial" w:cs="Arial" w:eastAsia="Arial" w:hAnsi="Arial"/>
                <w:sz w:val="16"/>
                <w:szCs w:val="16"/>
                <w:color w:val="auto"/>
              </w:rPr>
              <w:t>(869)</w:t>
            </w:r>
          </w:p>
        </w:tc>
      </w:tr>
    </w:tbl>
    <w:p>
      <w:pPr>
        <w:spacing w:after="0" w:line="8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Interest received and interest paid are reflected as operating cash flows.</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Income taxes paid are reflected as either operating or investing cash flows depending on the nature of the underlying transaction.</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related notes form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108585</wp:posOffset>
            </wp:positionV>
            <wp:extent cx="68656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82"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87</w:t>
      </w:r>
    </w:p>
    <w:p>
      <w:pPr>
        <w:sectPr>
          <w:pgSz w:w="11900" w:h="16838" w:orient="portrait"/>
          <w:cols w:equalWidth="0" w:num="1">
            <w:col w:w="11040"/>
          </w:cols>
          <w:pgMar w:left="320" w:top="477" w:right="5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1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THOMSON REUTERS CORPORATION</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11" w:lineRule="exact"/>
        <w:rPr>
          <w:sz w:val="20"/>
          <w:szCs w:val="20"/>
          <w:color w:val="auto"/>
        </w:rPr>
      </w:pPr>
    </w:p>
    <w:tbl>
      <w:tblPr>
        <w:tblLayout w:type="fixed"/>
        <w:tblInd w:w="220" w:type="dxa"/>
        <w:tblCellMar>
          <w:top w:w="0" w:type="dxa"/>
          <w:left w:w="0" w:type="dxa"/>
          <w:bottom w:w="0" w:type="dxa"/>
          <w:right w:w="0" w:type="dxa"/>
        </w:tblCellMar>
      </w:tblPr>
      <w:tr>
        <w:trPr>
          <w:trHeight w:val="126"/>
        </w:trPr>
        <w:tc>
          <w:tcPr>
            <w:tcW w:w="3040" w:type="dxa"/>
            <w:vAlign w:val="bottom"/>
            <w:shd w:val="clear" w:color="auto" w:fill="1F473D"/>
          </w:tcPr>
          <w:p>
            <w:pPr>
              <w:spacing w:after="0"/>
              <w:rPr>
                <w:sz w:val="10"/>
                <w:szCs w:val="10"/>
                <w:color w:val="auto"/>
              </w:rPr>
            </w:pPr>
          </w:p>
        </w:tc>
        <w:tc>
          <w:tcPr>
            <w:tcW w:w="640" w:type="dxa"/>
            <w:vAlign w:val="bottom"/>
            <w:shd w:val="clear" w:color="auto" w:fill="1F473D"/>
          </w:tcPr>
          <w:p>
            <w:pPr>
              <w:spacing w:after="0"/>
              <w:rPr>
                <w:sz w:val="10"/>
                <w:szCs w:val="10"/>
                <w:color w:val="auto"/>
              </w:rPr>
            </w:pPr>
          </w:p>
        </w:tc>
        <w:tc>
          <w:tcPr>
            <w:tcW w:w="720" w:type="dxa"/>
            <w:vAlign w:val="bottom"/>
            <w:shd w:val="clear" w:color="auto" w:fill="1F473D"/>
          </w:tcPr>
          <w:p>
            <w:pPr>
              <w:spacing w:after="0"/>
              <w:rPr>
                <w:sz w:val="10"/>
                <w:szCs w:val="10"/>
                <w:color w:val="auto"/>
              </w:rPr>
            </w:pPr>
          </w:p>
        </w:tc>
        <w:tc>
          <w:tcPr>
            <w:tcW w:w="80" w:type="dxa"/>
            <w:vAlign w:val="bottom"/>
            <w:shd w:val="clear" w:color="auto" w:fill="1F473D"/>
          </w:tcPr>
          <w:p>
            <w:pPr>
              <w:spacing w:after="0"/>
              <w:rPr>
                <w:sz w:val="10"/>
                <w:szCs w:val="10"/>
                <w:color w:val="auto"/>
              </w:rPr>
            </w:pPr>
          </w:p>
        </w:tc>
        <w:tc>
          <w:tcPr>
            <w:tcW w:w="420" w:type="dxa"/>
            <w:vAlign w:val="bottom"/>
            <w:shd w:val="clear" w:color="auto" w:fill="1F473D"/>
          </w:tcPr>
          <w:p>
            <w:pPr>
              <w:spacing w:after="0"/>
              <w:rPr>
                <w:sz w:val="10"/>
                <w:szCs w:val="10"/>
                <w:color w:val="auto"/>
              </w:rPr>
            </w:pPr>
          </w:p>
        </w:tc>
        <w:tc>
          <w:tcPr>
            <w:tcW w:w="200" w:type="dxa"/>
            <w:vAlign w:val="bottom"/>
            <w:shd w:val="clear" w:color="auto" w:fill="1F473D"/>
          </w:tcPr>
          <w:p>
            <w:pPr>
              <w:spacing w:after="0"/>
              <w:rPr>
                <w:sz w:val="10"/>
                <w:szCs w:val="10"/>
                <w:color w:val="auto"/>
              </w:rPr>
            </w:pPr>
          </w:p>
        </w:tc>
        <w:tc>
          <w:tcPr>
            <w:tcW w:w="100" w:type="dxa"/>
            <w:vAlign w:val="bottom"/>
            <w:shd w:val="clear" w:color="auto" w:fill="1F473D"/>
          </w:tcPr>
          <w:p>
            <w:pPr>
              <w:spacing w:after="0"/>
              <w:rPr>
                <w:sz w:val="10"/>
                <w:szCs w:val="10"/>
                <w:color w:val="auto"/>
              </w:rPr>
            </w:pPr>
          </w:p>
        </w:tc>
        <w:tc>
          <w:tcPr>
            <w:tcW w:w="460" w:type="dxa"/>
            <w:vAlign w:val="bottom"/>
            <w:shd w:val="clear" w:color="auto" w:fill="1F473D"/>
          </w:tcPr>
          <w:p>
            <w:pPr>
              <w:spacing w:after="0"/>
              <w:rPr>
                <w:sz w:val="10"/>
                <w:szCs w:val="10"/>
                <w:color w:val="auto"/>
              </w:rPr>
            </w:pPr>
          </w:p>
        </w:tc>
        <w:tc>
          <w:tcPr>
            <w:tcW w:w="980" w:type="dxa"/>
            <w:vAlign w:val="bottom"/>
            <w:shd w:val="clear" w:color="auto" w:fill="1F473D"/>
          </w:tcPr>
          <w:p>
            <w:pPr>
              <w:jc w:val="center"/>
              <w:spacing w:after="0"/>
              <w:rPr>
                <w:sz w:val="20"/>
                <w:szCs w:val="20"/>
                <w:color w:val="auto"/>
              </w:rPr>
            </w:pPr>
            <w:r>
              <w:rPr>
                <w:rFonts w:ascii="Arial" w:cs="Arial" w:eastAsia="Arial" w:hAnsi="Arial"/>
                <w:sz w:val="11"/>
                <w:szCs w:val="11"/>
                <w:b w:val="1"/>
                <w:bCs w:val="1"/>
                <w:color w:val="FFFFFF"/>
                <w:w w:val="96"/>
              </w:rPr>
              <w:t>Unrecognized</w:t>
            </w:r>
          </w:p>
        </w:tc>
        <w:tc>
          <w:tcPr>
            <w:tcW w:w="760" w:type="dxa"/>
            <w:vAlign w:val="bottom"/>
            <w:shd w:val="clear" w:color="auto" w:fill="1F473D"/>
          </w:tcPr>
          <w:p>
            <w:pPr>
              <w:jc w:val="center"/>
              <w:spacing w:after="0"/>
              <w:rPr>
                <w:sz w:val="20"/>
                <w:szCs w:val="20"/>
                <w:color w:val="auto"/>
              </w:rPr>
            </w:pPr>
            <w:r>
              <w:rPr>
                <w:rFonts w:ascii="Arial" w:cs="Arial" w:eastAsia="Arial" w:hAnsi="Arial"/>
                <w:sz w:val="11"/>
                <w:szCs w:val="11"/>
                <w:b w:val="1"/>
                <w:bCs w:val="1"/>
                <w:color w:val="FFFFFF"/>
                <w:w w:val="94"/>
              </w:rPr>
              <w:t>Foreign</w:t>
            </w:r>
          </w:p>
        </w:tc>
        <w:tc>
          <w:tcPr>
            <w:tcW w:w="1040" w:type="dxa"/>
            <w:vAlign w:val="bottom"/>
            <w:gridSpan w:val="2"/>
            <w:shd w:val="clear" w:color="auto" w:fill="1F473D"/>
          </w:tcPr>
          <w:p>
            <w:pPr>
              <w:jc w:val="center"/>
              <w:spacing w:after="0"/>
              <w:rPr>
                <w:sz w:val="20"/>
                <w:szCs w:val="20"/>
                <w:color w:val="auto"/>
              </w:rPr>
            </w:pPr>
            <w:r>
              <w:rPr>
                <w:rFonts w:ascii="Arial" w:cs="Arial" w:eastAsia="Arial" w:hAnsi="Arial"/>
                <w:sz w:val="11"/>
                <w:szCs w:val="11"/>
                <w:b w:val="1"/>
                <w:bCs w:val="1"/>
                <w:color w:val="FFFFFF"/>
                <w:w w:val="95"/>
              </w:rPr>
              <w:t>Total accumulated</w:t>
            </w:r>
          </w:p>
        </w:tc>
        <w:tc>
          <w:tcPr>
            <w:tcW w:w="840" w:type="dxa"/>
            <w:vAlign w:val="bottom"/>
            <w:shd w:val="clear" w:color="auto" w:fill="1F473D"/>
          </w:tcPr>
          <w:p>
            <w:pPr>
              <w:spacing w:after="0"/>
              <w:rPr>
                <w:sz w:val="10"/>
                <w:szCs w:val="10"/>
                <w:color w:val="auto"/>
              </w:rPr>
            </w:pPr>
          </w:p>
        </w:tc>
        <w:tc>
          <w:tcPr>
            <w:tcW w:w="800" w:type="dxa"/>
            <w:vAlign w:val="bottom"/>
            <w:shd w:val="clear" w:color="auto" w:fill="1F473D"/>
          </w:tcPr>
          <w:p>
            <w:pPr>
              <w:jc w:val="center"/>
              <w:spacing w:after="0"/>
              <w:rPr>
                <w:sz w:val="20"/>
                <w:szCs w:val="20"/>
                <w:color w:val="auto"/>
              </w:rPr>
            </w:pPr>
            <w:r>
              <w:rPr>
                <w:rFonts w:ascii="Arial" w:cs="Arial" w:eastAsia="Arial" w:hAnsi="Arial"/>
                <w:sz w:val="11"/>
                <w:szCs w:val="11"/>
                <w:b w:val="1"/>
                <w:bCs w:val="1"/>
                <w:color w:val="FFFFFF"/>
              </w:rPr>
              <w:t>Non-</w:t>
            </w:r>
          </w:p>
        </w:tc>
        <w:tc>
          <w:tcPr>
            <w:tcW w:w="720" w:type="dxa"/>
            <w:vAlign w:val="bottom"/>
            <w:shd w:val="clear" w:color="auto" w:fill="1F473D"/>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040" w:type="dxa"/>
            <w:vAlign w:val="bottom"/>
            <w:shd w:val="clear" w:color="auto" w:fill="1F473D"/>
          </w:tcPr>
          <w:p>
            <w:pPr>
              <w:spacing w:after="0"/>
              <w:rPr>
                <w:sz w:val="10"/>
                <w:szCs w:val="10"/>
                <w:color w:val="auto"/>
              </w:rPr>
            </w:pPr>
          </w:p>
        </w:tc>
        <w:tc>
          <w:tcPr>
            <w:tcW w:w="640" w:type="dxa"/>
            <w:vAlign w:val="bottom"/>
            <w:shd w:val="clear" w:color="auto" w:fill="1F473D"/>
          </w:tcPr>
          <w:p>
            <w:pPr>
              <w:jc w:val="center"/>
              <w:ind w:left="47"/>
              <w:spacing w:after="0" w:line="120" w:lineRule="exact"/>
              <w:rPr>
                <w:sz w:val="20"/>
                <w:szCs w:val="20"/>
                <w:color w:val="auto"/>
              </w:rPr>
            </w:pPr>
            <w:r>
              <w:rPr>
                <w:rFonts w:ascii="Arial" w:cs="Arial" w:eastAsia="Arial" w:hAnsi="Arial"/>
                <w:sz w:val="11"/>
                <w:szCs w:val="11"/>
                <w:b w:val="1"/>
                <w:bCs w:val="1"/>
                <w:color w:val="FFFFFF"/>
              </w:rPr>
              <w:t>Stated</w:t>
            </w:r>
          </w:p>
        </w:tc>
        <w:tc>
          <w:tcPr>
            <w:tcW w:w="720" w:type="dxa"/>
            <w:vAlign w:val="bottom"/>
            <w:shd w:val="clear" w:color="auto" w:fill="1F473D"/>
          </w:tcPr>
          <w:p>
            <w:pPr>
              <w:spacing w:after="0"/>
              <w:rPr>
                <w:sz w:val="10"/>
                <w:szCs w:val="10"/>
                <w:color w:val="auto"/>
              </w:rPr>
            </w:pPr>
          </w:p>
        </w:tc>
        <w:tc>
          <w:tcPr>
            <w:tcW w:w="80" w:type="dxa"/>
            <w:vAlign w:val="bottom"/>
            <w:shd w:val="clear" w:color="auto" w:fill="1F473D"/>
          </w:tcPr>
          <w:p>
            <w:pPr>
              <w:spacing w:after="0"/>
              <w:rPr>
                <w:sz w:val="10"/>
                <w:szCs w:val="10"/>
                <w:color w:val="auto"/>
              </w:rPr>
            </w:pPr>
          </w:p>
        </w:tc>
        <w:tc>
          <w:tcPr>
            <w:tcW w:w="420" w:type="dxa"/>
            <w:vAlign w:val="bottom"/>
            <w:shd w:val="clear" w:color="auto" w:fill="1F473D"/>
          </w:tcPr>
          <w:p>
            <w:pPr>
              <w:spacing w:after="0"/>
              <w:rPr>
                <w:sz w:val="10"/>
                <w:szCs w:val="10"/>
                <w:color w:val="auto"/>
              </w:rPr>
            </w:pPr>
          </w:p>
        </w:tc>
        <w:tc>
          <w:tcPr>
            <w:tcW w:w="200" w:type="dxa"/>
            <w:vAlign w:val="bottom"/>
            <w:shd w:val="clear" w:color="auto" w:fill="1F473D"/>
          </w:tcPr>
          <w:p>
            <w:pPr>
              <w:spacing w:after="0"/>
              <w:rPr>
                <w:sz w:val="10"/>
                <w:szCs w:val="10"/>
                <w:color w:val="auto"/>
              </w:rPr>
            </w:pPr>
          </w:p>
        </w:tc>
        <w:tc>
          <w:tcPr>
            <w:tcW w:w="100" w:type="dxa"/>
            <w:vAlign w:val="bottom"/>
            <w:shd w:val="clear" w:color="auto" w:fill="1F473D"/>
          </w:tcPr>
          <w:p>
            <w:pPr>
              <w:spacing w:after="0"/>
              <w:rPr>
                <w:sz w:val="10"/>
                <w:szCs w:val="10"/>
                <w:color w:val="auto"/>
              </w:rPr>
            </w:pPr>
          </w:p>
        </w:tc>
        <w:tc>
          <w:tcPr>
            <w:tcW w:w="460" w:type="dxa"/>
            <w:vAlign w:val="bottom"/>
            <w:shd w:val="clear" w:color="auto" w:fill="1F473D"/>
          </w:tcPr>
          <w:p>
            <w:pPr>
              <w:spacing w:after="0"/>
              <w:rPr>
                <w:sz w:val="10"/>
                <w:szCs w:val="10"/>
                <w:color w:val="auto"/>
              </w:rPr>
            </w:pPr>
          </w:p>
        </w:tc>
        <w:tc>
          <w:tcPr>
            <w:tcW w:w="980" w:type="dxa"/>
            <w:vAlign w:val="bottom"/>
            <w:shd w:val="clear" w:color="auto" w:fill="1F473D"/>
          </w:tcPr>
          <w:p>
            <w:pPr>
              <w:jc w:val="center"/>
              <w:spacing w:after="0" w:line="120" w:lineRule="exact"/>
              <w:rPr>
                <w:sz w:val="20"/>
                <w:szCs w:val="20"/>
                <w:color w:val="auto"/>
              </w:rPr>
            </w:pPr>
            <w:r>
              <w:rPr>
                <w:rFonts w:ascii="Arial" w:cs="Arial" w:eastAsia="Arial" w:hAnsi="Arial"/>
                <w:sz w:val="11"/>
                <w:szCs w:val="11"/>
                <w:b w:val="1"/>
                <w:bCs w:val="1"/>
                <w:color w:val="FFFFFF"/>
                <w:w w:val="97"/>
              </w:rPr>
              <w:t>gain (loss) on</w:t>
            </w:r>
          </w:p>
        </w:tc>
        <w:tc>
          <w:tcPr>
            <w:tcW w:w="760" w:type="dxa"/>
            <w:vAlign w:val="bottom"/>
            <w:shd w:val="clear" w:color="auto" w:fill="1F473D"/>
          </w:tcPr>
          <w:p>
            <w:pPr>
              <w:jc w:val="center"/>
              <w:spacing w:after="0" w:line="120" w:lineRule="exact"/>
              <w:rPr>
                <w:sz w:val="20"/>
                <w:szCs w:val="20"/>
                <w:color w:val="auto"/>
              </w:rPr>
            </w:pPr>
            <w:r>
              <w:rPr>
                <w:rFonts w:ascii="Arial" w:cs="Arial" w:eastAsia="Arial" w:hAnsi="Arial"/>
                <w:sz w:val="11"/>
                <w:szCs w:val="11"/>
                <w:b w:val="1"/>
                <w:bCs w:val="1"/>
                <w:color w:val="FFFFFF"/>
                <w:w w:val="98"/>
              </w:rPr>
              <w:t>currency</w:t>
            </w:r>
          </w:p>
        </w:tc>
        <w:tc>
          <w:tcPr>
            <w:tcW w:w="140" w:type="dxa"/>
            <w:vAlign w:val="bottom"/>
            <w:shd w:val="clear" w:color="auto" w:fill="1F473D"/>
          </w:tcPr>
          <w:p>
            <w:pPr>
              <w:spacing w:after="0"/>
              <w:rPr>
                <w:sz w:val="10"/>
                <w:szCs w:val="10"/>
                <w:color w:val="auto"/>
              </w:rPr>
            </w:pPr>
          </w:p>
        </w:tc>
        <w:tc>
          <w:tcPr>
            <w:tcW w:w="900" w:type="dxa"/>
            <w:vAlign w:val="bottom"/>
            <w:shd w:val="clear" w:color="auto" w:fill="1F473D"/>
          </w:tcPr>
          <w:p>
            <w:pPr>
              <w:jc w:val="center"/>
              <w:ind w:right="107"/>
              <w:spacing w:after="0" w:line="120" w:lineRule="exact"/>
              <w:rPr>
                <w:sz w:val="20"/>
                <w:szCs w:val="20"/>
                <w:color w:val="auto"/>
              </w:rPr>
            </w:pPr>
            <w:r>
              <w:rPr>
                <w:rFonts w:ascii="Arial" w:cs="Arial" w:eastAsia="Arial" w:hAnsi="Arial"/>
                <w:sz w:val="11"/>
                <w:szCs w:val="11"/>
                <w:b w:val="1"/>
                <w:bCs w:val="1"/>
                <w:color w:val="FFFFFF"/>
                <w:w w:val="94"/>
              </w:rPr>
              <w:t>other</w:t>
            </w:r>
          </w:p>
        </w:tc>
        <w:tc>
          <w:tcPr>
            <w:tcW w:w="840" w:type="dxa"/>
            <w:vAlign w:val="bottom"/>
            <w:shd w:val="clear" w:color="auto" w:fill="1F473D"/>
          </w:tcPr>
          <w:p>
            <w:pPr>
              <w:spacing w:after="0"/>
              <w:rPr>
                <w:sz w:val="10"/>
                <w:szCs w:val="10"/>
                <w:color w:val="auto"/>
              </w:rPr>
            </w:pPr>
          </w:p>
        </w:tc>
        <w:tc>
          <w:tcPr>
            <w:tcW w:w="800" w:type="dxa"/>
            <w:vAlign w:val="bottom"/>
            <w:shd w:val="clear" w:color="auto" w:fill="1F473D"/>
          </w:tcPr>
          <w:p>
            <w:pPr>
              <w:jc w:val="center"/>
              <w:spacing w:after="0" w:line="120" w:lineRule="exact"/>
              <w:rPr>
                <w:sz w:val="20"/>
                <w:szCs w:val="20"/>
                <w:color w:val="auto"/>
              </w:rPr>
            </w:pPr>
            <w:r>
              <w:rPr>
                <w:rFonts w:ascii="Arial" w:cs="Arial" w:eastAsia="Arial" w:hAnsi="Arial"/>
                <w:sz w:val="11"/>
                <w:szCs w:val="11"/>
                <w:b w:val="1"/>
                <w:bCs w:val="1"/>
                <w:color w:val="FFFFFF"/>
                <w:w w:val="94"/>
              </w:rPr>
              <w:t>controlling</w:t>
            </w:r>
          </w:p>
        </w:tc>
        <w:tc>
          <w:tcPr>
            <w:tcW w:w="720" w:type="dxa"/>
            <w:vAlign w:val="bottom"/>
            <w:shd w:val="clear" w:color="auto" w:fill="1F473D"/>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040" w:type="dxa"/>
            <w:vAlign w:val="bottom"/>
            <w:shd w:val="clear" w:color="auto" w:fill="1F473D"/>
          </w:tcPr>
          <w:p>
            <w:pPr>
              <w:spacing w:after="0"/>
              <w:rPr>
                <w:sz w:val="10"/>
                <w:szCs w:val="10"/>
                <w:color w:val="auto"/>
              </w:rPr>
            </w:pPr>
          </w:p>
        </w:tc>
        <w:tc>
          <w:tcPr>
            <w:tcW w:w="640" w:type="dxa"/>
            <w:vAlign w:val="bottom"/>
            <w:shd w:val="clear" w:color="auto" w:fill="1F473D"/>
          </w:tcPr>
          <w:p>
            <w:pPr>
              <w:jc w:val="center"/>
              <w:ind w:left="47"/>
              <w:spacing w:after="0" w:line="120" w:lineRule="exact"/>
              <w:rPr>
                <w:sz w:val="20"/>
                <w:szCs w:val="20"/>
                <w:color w:val="auto"/>
              </w:rPr>
            </w:pPr>
            <w:r>
              <w:rPr>
                <w:rFonts w:ascii="Arial" w:cs="Arial" w:eastAsia="Arial" w:hAnsi="Arial"/>
                <w:sz w:val="11"/>
                <w:szCs w:val="11"/>
                <w:b w:val="1"/>
                <w:bCs w:val="1"/>
                <w:color w:val="FFFFFF"/>
              </w:rPr>
              <w:t>share</w:t>
            </w:r>
          </w:p>
        </w:tc>
        <w:tc>
          <w:tcPr>
            <w:tcW w:w="720" w:type="dxa"/>
            <w:vAlign w:val="bottom"/>
            <w:shd w:val="clear" w:color="auto" w:fill="1F473D"/>
          </w:tcPr>
          <w:p>
            <w:pPr>
              <w:jc w:val="right"/>
              <w:ind w:right="27"/>
              <w:spacing w:after="0" w:line="120" w:lineRule="exact"/>
              <w:rPr>
                <w:sz w:val="20"/>
                <w:szCs w:val="20"/>
                <w:color w:val="auto"/>
              </w:rPr>
            </w:pPr>
            <w:r>
              <w:rPr>
                <w:rFonts w:ascii="Arial" w:cs="Arial" w:eastAsia="Arial" w:hAnsi="Arial"/>
                <w:sz w:val="11"/>
                <w:szCs w:val="11"/>
                <w:b w:val="1"/>
                <w:bCs w:val="1"/>
                <w:color w:val="FFFFFF"/>
                <w:w w:val="99"/>
              </w:rPr>
              <w:t>Contributed</w:t>
            </w:r>
          </w:p>
        </w:tc>
        <w:tc>
          <w:tcPr>
            <w:tcW w:w="80" w:type="dxa"/>
            <w:vAlign w:val="bottom"/>
            <w:shd w:val="clear" w:color="auto" w:fill="1F473D"/>
          </w:tcPr>
          <w:p>
            <w:pPr>
              <w:spacing w:after="0"/>
              <w:rPr>
                <w:sz w:val="10"/>
                <w:szCs w:val="10"/>
                <w:color w:val="auto"/>
              </w:rPr>
            </w:pPr>
          </w:p>
        </w:tc>
        <w:tc>
          <w:tcPr>
            <w:tcW w:w="420" w:type="dxa"/>
            <w:vAlign w:val="bottom"/>
            <w:shd w:val="clear" w:color="auto" w:fill="1F473D"/>
          </w:tcPr>
          <w:p>
            <w:pPr>
              <w:jc w:val="center"/>
              <w:ind w:right="47"/>
              <w:spacing w:after="0" w:line="120" w:lineRule="exact"/>
              <w:rPr>
                <w:sz w:val="20"/>
                <w:szCs w:val="20"/>
                <w:color w:val="auto"/>
              </w:rPr>
            </w:pPr>
            <w:r>
              <w:rPr>
                <w:rFonts w:ascii="Arial" w:cs="Arial" w:eastAsia="Arial" w:hAnsi="Arial"/>
                <w:sz w:val="11"/>
                <w:szCs w:val="11"/>
                <w:b w:val="1"/>
                <w:bCs w:val="1"/>
                <w:color w:val="FFFFFF"/>
                <w:w w:val="91"/>
              </w:rPr>
              <w:t>Total</w:t>
            </w:r>
          </w:p>
        </w:tc>
        <w:tc>
          <w:tcPr>
            <w:tcW w:w="200" w:type="dxa"/>
            <w:vAlign w:val="bottom"/>
            <w:shd w:val="clear" w:color="auto" w:fill="1F473D"/>
          </w:tcPr>
          <w:p>
            <w:pPr>
              <w:spacing w:after="0"/>
              <w:rPr>
                <w:sz w:val="10"/>
                <w:szCs w:val="10"/>
                <w:color w:val="auto"/>
              </w:rPr>
            </w:pPr>
          </w:p>
        </w:tc>
        <w:tc>
          <w:tcPr>
            <w:tcW w:w="560" w:type="dxa"/>
            <w:vAlign w:val="bottom"/>
            <w:gridSpan w:val="2"/>
            <w:shd w:val="clear" w:color="auto" w:fill="1F473D"/>
          </w:tcPr>
          <w:p>
            <w:pPr>
              <w:jc w:val="right"/>
              <w:ind w:right="7"/>
              <w:spacing w:after="0" w:line="120" w:lineRule="exact"/>
              <w:rPr>
                <w:sz w:val="20"/>
                <w:szCs w:val="20"/>
                <w:color w:val="auto"/>
              </w:rPr>
            </w:pPr>
            <w:r>
              <w:rPr>
                <w:rFonts w:ascii="Arial" w:cs="Arial" w:eastAsia="Arial" w:hAnsi="Arial"/>
                <w:sz w:val="11"/>
                <w:szCs w:val="11"/>
                <w:b w:val="1"/>
                <w:bCs w:val="1"/>
                <w:color w:val="FFFFFF"/>
              </w:rPr>
              <w:t>Retained</w:t>
            </w:r>
          </w:p>
        </w:tc>
        <w:tc>
          <w:tcPr>
            <w:tcW w:w="980" w:type="dxa"/>
            <w:vAlign w:val="bottom"/>
            <w:shd w:val="clear" w:color="auto" w:fill="1F473D"/>
          </w:tcPr>
          <w:p>
            <w:pPr>
              <w:jc w:val="center"/>
              <w:spacing w:after="0" w:line="120" w:lineRule="exact"/>
              <w:rPr>
                <w:sz w:val="20"/>
                <w:szCs w:val="20"/>
                <w:color w:val="auto"/>
              </w:rPr>
            </w:pPr>
            <w:r>
              <w:rPr>
                <w:rFonts w:ascii="Arial" w:cs="Arial" w:eastAsia="Arial" w:hAnsi="Arial"/>
                <w:sz w:val="11"/>
                <w:szCs w:val="11"/>
                <w:b w:val="1"/>
                <w:bCs w:val="1"/>
                <w:color w:val="FFFFFF"/>
                <w:w w:val="94"/>
              </w:rPr>
              <w:t>financial</w:t>
            </w:r>
          </w:p>
        </w:tc>
        <w:tc>
          <w:tcPr>
            <w:tcW w:w="760" w:type="dxa"/>
            <w:vAlign w:val="bottom"/>
            <w:shd w:val="clear" w:color="auto" w:fill="1F473D"/>
          </w:tcPr>
          <w:p>
            <w:pPr>
              <w:jc w:val="center"/>
              <w:spacing w:after="0" w:line="120" w:lineRule="exact"/>
              <w:rPr>
                <w:sz w:val="20"/>
                <w:szCs w:val="20"/>
                <w:color w:val="auto"/>
              </w:rPr>
            </w:pPr>
            <w:r>
              <w:rPr>
                <w:rFonts w:ascii="Arial" w:cs="Arial" w:eastAsia="Arial" w:hAnsi="Arial"/>
                <w:sz w:val="11"/>
                <w:szCs w:val="11"/>
                <w:b w:val="1"/>
                <w:bCs w:val="1"/>
                <w:color w:val="FFFFFF"/>
                <w:w w:val="95"/>
              </w:rPr>
              <w:t>translation</w:t>
            </w:r>
          </w:p>
        </w:tc>
        <w:tc>
          <w:tcPr>
            <w:tcW w:w="1040" w:type="dxa"/>
            <w:vAlign w:val="bottom"/>
            <w:gridSpan w:val="2"/>
            <w:shd w:val="clear" w:color="auto" w:fill="1F473D"/>
          </w:tcPr>
          <w:p>
            <w:pPr>
              <w:jc w:val="center"/>
              <w:spacing w:after="0" w:line="120" w:lineRule="exact"/>
              <w:rPr>
                <w:sz w:val="20"/>
                <w:szCs w:val="20"/>
                <w:color w:val="auto"/>
              </w:rPr>
            </w:pPr>
            <w:r>
              <w:rPr>
                <w:rFonts w:ascii="Arial" w:cs="Arial" w:eastAsia="Arial" w:hAnsi="Arial"/>
                <w:sz w:val="11"/>
                <w:szCs w:val="11"/>
                <w:b w:val="1"/>
                <w:bCs w:val="1"/>
                <w:color w:val="FFFFFF"/>
                <w:w w:val="96"/>
              </w:rPr>
              <w:t>comprehensive</w:t>
            </w:r>
          </w:p>
        </w:tc>
        <w:tc>
          <w:tcPr>
            <w:tcW w:w="840" w:type="dxa"/>
            <w:vAlign w:val="bottom"/>
            <w:shd w:val="clear" w:color="auto" w:fill="1F473D"/>
          </w:tcPr>
          <w:p>
            <w:pPr>
              <w:jc w:val="center"/>
              <w:spacing w:after="0" w:line="120" w:lineRule="exact"/>
              <w:rPr>
                <w:sz w:val="20"/>
                <w:szCs w:val="20"/>
                <w:color w:val="auto"/>
              </w:rPr>
            </w:pPr>
            <w:r>
              <w:rPr>
                <w:rFonts w:ascii="Arial" w:cs="Arial" w:eastAsia="Arial" w:hAnsi="Arial"/>
                <w:sz w:val="11"/>
                <w:szCs w:val="11"/>
                <w:b w:val="1"/>
                <w:bCs w:val="1"/>
                <w:color w:val="FFFFFF"/>
                <w:w w:val="95"/>
              </w:rPr>
              <w:t>Shareholders’</w:t>
            </w:r>
          </w:p>
        </w:tc>
        <w:tc>
          <w:tcPr>
            <w:tcW w:w="800" w:type="dxa"/>
            <w:vAlign w:val="bottom"/>
            <w:shd w:val="clear" w:color="auto" w:fill="1F473D"/>
          </w:tcPr>
          <w:p>
            <w:pPr>
              <w:jc w:val="center"/>
              <w:spacing w:after="0" w:line="120" w:lineRule="exact"/>
              <w:rPr>
                <w:sz w:val="20"/>
                <w:szCs w:val="20"/>
                <w:color w:val="auto"/>
              </w:rPr>
            </w:pPr>
            <w:r>
              <w:rPr>
                <w:rFonts w:ascii="Arial" w:cs="Arial" w:eastAsia="Arial" w:hAnsi="Arial"/>
                <w:sz w:val="11"/>
                <w:szCs w:val="11"/>
                <w:b w:val="1"/>
                <w:bCs w:val="1"/>
                <w:color w:val="FFFFFF"/>
                <w:w w:val="98"/>
              </w:rPr>
              <w:t>interests (see</w:t>
            </w:r>
          </w:p>
        </w:tc>
        <w:tc>
          <w:tcPr>
            <w:tcW w:w="720" w:type="dxa"/>
            <w:vAlign w:val="bottom"/>
            <w:shd w:val="clear" w:color="auto" w:fill="1F473D"/>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3040" w:type="dxa"/>
            <w:vAlign w:val="bottom"/>
            <w:tcBorders>
              <w:bottom w:val="single" w:sz="8" w:color="1F473D"/>
            </w:tcBorders>
            <w:shd w:val="clear" w:color="auto" w:fill="1F473D"/>
          </w:tcPr>
          <w:p>
            <w:pPr>
              <w:spacing w:after="0"/>
              <w:rPr>
                <w:sz w:val="20"/>
                <w:szCs w:val="20"/>
                <w:color w:val="auto"/>
              </w:rPr>
            </w:pPr>
            <w:r>
              <w:rPr>
                <w:rFonts w:ascii="Arial" w:cs="Arial" w:eastAsia="Arial" w:hAnsi="Arial"/>
                <w:sz w:val="11"/>
                <w:szCs w:val="11"/>
                <w:b w:val="1"/>
                <w:bCs w:val="1"/>
                <w:color w:val="FFFFFF"/>
              </w:rPr>
              <w:t>(millions of U.S. dollars)</w:t>
            </w:r>
          </w:p>
        </w:tc>
        <w:tc>
          <w:tcPr>
            <w:tcW w:w="640" w:type="dxa"/>
            <w:vAlign w:val="bottom"/>
            <w:tcBorders>
              <w:bottom w:val="single" w:sz="8" w:color="1F473D"/>
            </w:tcBorders>
            <w:shd w:val="clear" w:color="auto" w:fill="1F473D"/>
          </w:tcPr>
          <w:p>
            <w:pPr>
              <w:jc w:val="center"/>
              <w:ind w:left="47"/>
              <w:spacing w:after="0"/>
              <w:rPr>
                <w:sz w:val="20"/>
                <w:szCs w:val="20"/>
                <w:color w:val="auto"/>
              </w:rPr>
            </w:pPr>
            <w:r>
              <w:rPr>
                <w:rFonts w:ascii="Arial" w:cs="Arial" w:eastAsia="Arial" w:hAnsi="Arial"/>
                <w:sz w:val="11"/>
                <w:szCs w:val="11"/>
                <w:b w:val="1"/>
                <w:bCs w:val="1"/>
                <w:color w:val="FFFFFF"/>
                <w:w w:val="97"/>
              </w:rPr>
              <w:t>capital</w:t>
            </w:r>
          </w:p>
        </w:tc>
        <w:tc>
          <w:tcPr>
            <w:tcW w:w="720" w:type="dxa"/>
            <w:vAlign w:val="bottom"/>
            <w:tcBorders>
              <w:bottom w:val="single" w:sz="8" w:color="1F473D"/>
            </w:tcBorders>
            <w:shd w:val="clear" w:color="auto" w:fill="1F473D"/>
          </w:tcPr>
          <w:p>
            <w:pPr>
              <w:ind w:left="160"/>
              <w:spacing w:after="0"/>
              <w:rPr>
                <w:sz w:val="20"/>
                <w:szCs w:val="20"/>
                <w:color w:val="auto"/>
              </w:rPr>
            </w:pPr>
            <w:r>
              <w:rPr>
                <w:rFonts w:ascii="Arial" w:cs="Arial" w:eastAsia="Arial" w:hAnsi="Arial"/>
                <w:sz w:val="11"/>
                <w:szCs w:val="11"/>
                <w:b w:val="1"/>
                <w:bCs w:val="1"/>
                <w:color w:val="FFFFFF"/>
              </w:rPr>
              <w:t>surplus</w:t>
            </w:r>
          </w:p>
        </w:tc>
        <w:tc>
          <w:tcPr>
            <w:tcW w:w="500" w:type="dxa"/>
            <w:vAlign w:val="bottom"/>
            <w:tcBorders>
              <w:bottom w:val="single" w:sz="8" w:color="1F473D"/>
            </w:tcBorders>
            <w:gridSpan w:val="2"/>
            <w:shd w:val="clear" w:color="auto" w:fill="1F473D"/>
          </w:tcPr>
          <w:p>
            <w:pPr>
              <w:jc w:val="center"/>
              <w:spacing w:after="0"/>
              <w:rPr>
                <w:sz w:val="20"/>
                <w:szCs w:val="20"/>
                <w:color w:val="auto"/>
              </w:rPr>
            </w:pPr>
            <w:r>
              <w:rPr>
                <w:rFonts w:ascii="Arial" w:cs="Arial" w:eastAsia="Arial" w:hAnsi="Arial"/>
                <w:sz w:val="11"/>
                <w:szCs w:val="11"/>
                <w:b w:val="1"/>
                <w:bCs w:val="1"/>
                <w:color w:val="FFFFFF"/>
                <w:w w:val="97"/>
              </w:rPr>
              <w:t>capital</w:t>
            </w:r>
          </w:p>
        </w:tc>
        <w:tc>
          <w:tcPr>
            <w:tcW w:w="200" w:type="dxa"/>
            <w:vAlign w:val="bottom"/>
            <w:tcBorders>
              <w:bottom w:val="single" w:sz="8" w:color="1F473D"/>
            </w:tcBorders>
            <w:shd w:val="clear" w:color="auto" w:fill="1F473D"/>
          </w:tcPr>
          <w:p>
            <w:pPr>
              <w:spacing w:after="0"/>
              <w:rPr>
                <w:sz w:val="17"/>
                <w:szCs w:val="17"/>
                <w:color w:val="auto"/>
              </w:rPr>
            </w:pPr>
          </w:p>
        </w:tc>
        <w:tc>
          <w:tcPr>
            <w:tcW w:w="560" w:type="dxa"/>
            <w:vAlign w:val="bottom"/>
            <w:tcBorders>
              <w:bottom w:val="single" w:sz="8" w:color="1F473D"/>
            </w:tcBorders>
            <w:gridSpan w:val="2"/>
            <w:shd w:val="clear" w:color="auto" w:fill="1F473D"/>
          </w:tcPr>
          <w:p>
            <w:pPr>
              <w:jc w:val="right"/>
              <w:ind w:right="7"/>
              <w:spacing w:after="0"/>
              <w:rPr>
                <w:sz w:val="20"/>
                <w:szCs w:val="20"/>
                <w:color w:val="auto"/>
              </w:rPr>
            </w:pPr>
            <w:r>
              <w:rPr>
                <w:rFonts w:ascii="Arial" w:cs="Arial" w:eastAsia="Arial" w:hAnsi="Arial"/>
                <w:sz w:val="11"/>
                <w:szCs w:val="11"/>
                <w:b w:val="1"/>
                <w:bCs w:val="1"/>
                <w:color w:val="FFFFFF"/>
              </w:rPr>
              <w:t>earnings</w:t>
            </w:r>
          </w:p>
        </w:tc>
        <w:tc>
          <w:tcPr>
            <w:tcW w:w="980" w:type="dxa"/>
            <w:vAlign w:val="bottom"/>
            <w:tcBorders>
              <w:bottom w:val="single" w:sz="8" w:color="1F473D"/>
            </w:tcBorders>
            <w:shd w:val="clear" w:color="auto" w:fill="1F473D"/>
          </w:tcPr>
          <w:p>
            <w:pPr>
              <w:jc w:val="center"/>
              <w:spacing w:after="0"/>
              <w:rPr>
                <w:sz w:val="20"/>
                <w:szCs w:val="20"/>
                <w:color w:val="auto"/>
              </w:rPr>
            </w:pPr>
            <w:r>
              <w:rPr>
                <w:rFonts w:ascii="Arial" w:cs="Arial" w:eastAsia="Arial" w:hAnsi="Arial"/>
                <w:sz w:val="11"/>
                <w:szCs w:val="11"/>
                <w:b w:val="1"/>
                <w:bCs w:val="1"/>
                <w:color w:val="FFFFFF"/>
                <w:w w:val="95"/>
              </w:rPr>
              <w:t>instruments</w:t>
            </w:r>
          </w:p>
        </w:tc>
        <w:tc>
          <w:tcPr>
            <w:tcW w:w="760" w:type="dxa"/>
            <w:vAlign w:val="bottom"/>
            <w:tcBorders>
              <w:bottom w:val="single" w:sz="8" w:color="1F473D"/>
            </w:tcBorders>
            <w:shd w:val="clear" w:color="auto" w:fill="1F473D"/>
          </w:tcPr>
          <w:p>
            <w:pPr>
              <w:jc w:val="center"/>
              <w:spacing w:after="0"/>
              <w:rPr>
                <w:sz w:val="20"/>
                <w:szCs w:val="20"/>
                <w:color w:val="auto"/>
              </w:rPr>
            </w:pPr>
            <w:r>
              <w:rPr>
                <w:rFonts w:ascii="Arial" w:cs="Arial" w:eastAsia="Arial" w:hAnsi="Arial"/>
                <w:sz w:val="11"/>
                <w:szCs w:val="11"/>
                <w:b w:val="1"/>
                <w:bCs w:val="1"/>
                <w:color w:val="FFFFFF"/>
                <w:w w:val="95"/>
              </w:rPr>
              <w:t>adjustments</w:t>
            </w:r>
          </w:p>
        </w:tc>
        <w:tc>
          <w:tcPr>
            <w:tcW w:w="140" w:type="dxa"/>
            <w:vAlign w:val="bottom"/>
            <w:tcBorders>
              <w:bottom w:val="single" w:sz="8" w:color="1F473D"/>
            </w:tcBorders>
            <w:shd w:val="clear" w:color="auto" w:fill="1F473D"/>
          </w:tcPr>
          <w:p>
            <w:pPr>
              <w:spacing w:after="0"/>
              <w:rPr>
                <w:sz w:val="17"/>
                <w:szCs w:val="17"/>
                <w:color w:val="auto"/>
              </w:rPr>
            </w:pPr>
          </w:p>
        </w:tc>
        <w:tc>
          <w:tcPr>
            <w:tcW w:w="900" w:type="dxa"/>
            <w:vAlign w:val="bottom"/>
            <w:tcBorders>
              <w:bottom w:val="single" w:sz="8" w:color="1F473D"/>
            </w:tcBorders>
            <w:shd w:val="clear" w:color="auto" w:fill="1F473D"/>
          </w:tcPr>
          <w:p>
            <w:pPr>
              <w:jc w:val="center"/>
              <w:ind w:right="127"/>
              <w:spacing w:after="0"/>
              <w:rPr>
                <w:sz w:val="20"/>
                <w:szCs w:val="20"/>
                <w:color w:val="auto"/>
              </w:rPr>
            </w:pPr>
            <w:r>
              <w:rPr>
                <w:rFonts w:ascii="Arial" w:cs="Arial" w:eastAsia="Arial" w:hAnsi="Arial"/>
                <w:sz w:val="11"/>
                <w:szCs w:val="11"/>
                <w:b w:val="1"/>
                <w:bCs w:val="1"/>
                <w:color w:val="FFFFFF"/>
                <w:w w:val="96"/>
              </w:rPr>
              <w:t>loss (“AOCL”)</w:t>
            </w:r>
          </w:p>
        </w:tc>
        <w:tc>
          <w:tcPr>
            <w:tcW w:w="840" w:type="dxa"/>
            <w:vAlign w:val="bottom"/>
            <w:tcBorders>
              <w:bottom w:val="single" w:sz="8" w:color="1F473D"/>
            </w:tcBorders>
            <w:shd w:val="clear" w:color="auto" w:fill="1F473D"/>
          </w:tcPr>
          <w:p>
            <w:pPr>
              <w:jc w:val="center"/>
              <w:spacing w:after="0"/>
              <w:rPr>
                <w:sz w:val="20"/>
                <w:szCs w:val="20"/>
                <w:color w:val="auto"/>
              </w:rPr>
            </w:pPr>
            <w:r>
              <w:rPr>
                <w:rFonts w:ascii="Arial" w:cs="Arial" w:eastAsia="Arial" w:hAnsi="Arial"/>
                <w:sz w:val="11"/>
                <w:szCs w:val="11"/>
                <w:b w:val="1"/>
                <w:bCs w:val="1"/>
                <w:color w:val="FFFFFF"/>
                <w:w w:val="92"/>
              </w:rPr>
              <w:t>equity</w:t>
            </w:r>
          </w:p>
        </w:tc>
        <w:tc>
          <w:tcPr>
            <w:tcW w:w="800" w:type="dxa"/>
            <w:vAlign w:val="bottom"/>
            <w:tcBorders>
              <w:bottom w:val="single" w:sz="8" w:color="1F473D"/>
            </w:tcBorders>
            <w:shd w:val="clear" w:color="auto" w:fill="1F473D"/>
          </w:tcPr>
          <w:p>
            <w:pPr>
              <w:jc w:val="center"/>
              <w:spacing w:after="0"/>
              <w:rPr>
                <w:sz w:val="20"/>
                <w:szCs w:val="20"/>
                <w:color w:val="auto"/>
              </w:rPr>
            </w:pPr>
            <w:r>
              <w:rPr>
                <w:rFonts w:ascii="Arial" w:cs="Arial" w:eastAsia="Arial" w:hAnsi="Arial"/>
                <w:sz w:val="11"/>
                <w:szCs w:val="11"/>
                <w:b w:val="1"/>
                <w:bCs w:val="1"/>
                <w:color w:val="FFFFFF"/>
                <w:w w:val="99"/>
              </w:rPr>
              <w:t>note 30)</w:t>
            </w:r>
          </w:p>
        </w:tc>
        <w:tc>
          <w:tcPr>
            <w:tcW w:w="720" w:type="dxa"/>
            <w:vAlign w:val="bottom"/>
            <w:tcBorders>
              <w:bottom w:val="single" w:sz="8" w:color="1F473D"/>
            </w:tcBorders>
            <w:shd w:val="clear" w:color="auto" w:fill="1F473D"/>
          </w:tcPr>
          <w:p>
            <w:pPr>
              <w:jc w:val="right"/>
              <w:spacing w:after="0"/>
              <w:rPr>
                <w:sz w:val="20"/>
                <w:szCs w:val="20"/>
                <w:color w:val="auto"/>
              </w:rPr>
            </w:pPr>
            <w:r>
              <w:rPr>
                <w:rFonts w:ascii="Arial" w:cs="Arial" w:eastAsia="Arial" w:hAnsi="Arial"/>
                <w:sz w:val="11"/>
                <w:szCs w:val="11"/>
                <w:b w:val="1"/>
                <w:bCs w:val="1"/>
                <w:color w:val="FFFFFF"/>
              </w:rPr>
              <w:t>Total equity </w:t>
            </w:r>
          </w:p>
        </w:tc>
        <w:tc>
          <w:tcPr>
            <w:tcW w:w="0" w:type="dxa"/>
            <w:vAlign w:val="bottom"/>
          </w:tcPr>
          <w:p>
            <w:pPr>
              <w:spacing w:after="0"/>
              <w:rPr>
                <w:sz w:val="1"/>
                <w:szCs w:val="1"/>
                <w:color w:val="auto"/>
              </w:rPr>
            </w:pPr>
          </w:p>
        </w:tc>
      </w:tr>
      <w:tr>
        <w:trPr>
          <w:trHeight w:val="106"/>
        </w:trPr>
        <w:tc>
          <w:tcPr>
            <w:tcW w:w="3040" w:type="dxa"/>
            <w:vAlign w:val="bottom"/>
            <w:tcBorders>
              <w:top w:val="single" w:sz="8" w:color="D64000"/>
            </w:tcBorders>
          </w:tcPr>
          <w:p>
            <w:pPr>
              <w:spacing w:after="0" w:line="106" w:lineRule="exact"/>
              <w:rPr>
                <w:sz w:val="20"/>
                <w:szCs w:val="20"/>
                <w:color w:val="auto"/>
              </w:rPr>
            </w:pPr>
            <w:r>
              <w:rPr>
                <w:rFonts w:ascii="Arial" w:cs="Arial" w:eastAsia="Arial" w:hAnsi="Arial"/>
                <w:sz w:val="11"/>
                <w:szCs w:val="11"/>
                <w:color w:val="auto"/>
              </w:rPr>
              <w:t>Balance, December 31, 2023</w:t>
            </w:r>
          </w:p>
        </w:tc>
        <w:tc>
          <w:tcPr>
            <w:tcW w:w="640" w:type="dxa"/>
            <w:vAlign w:val="bottom"/>
            <w:tcBorders>
              <w:top w:val="single" w:sz="8" w:color="D64000"/>
            </w:tcBorders>
          </w:tcPr>
          <w:p>
            <w:pPr>
              <w:jc w:val="right"/>
              <w:ind w:right="27"/>
              <w:spacing w:after="0" w:line="106" w:lineRule="exact"/>
              <w:rPr>
                <w:sz w:val="20"/>
                <w:szCs w:val="20"/>
                <w:color w:val="auto"/>
              </w:rPr>
            </w:pPr>
            <w:r>
              <w:rPr>
                <w:rFonts w:ascii="Arial" w:cs="Arial" w:eastAsia="Arial" w:hAnsi="Arial"/>
                <w:sz w:val="11"/>
                <w:szCs w:val="11"/>
                <w:b w:val="1"/>
                <w:bCs w:val="1"/>
                <w:color w:val="auto"/>
              </w:rPr>
              <w:t>1,901 </w:t>
            </w:r>
          </w:p>
        </w:tc>
        <w:tc>
          <w:tcPr>
            <w:tcW w:w="720" w:type="dxa"/>
            <w:vAlign w:val="bottom"/>
            <w:tcBorders>
              <w:top w:val="single" w:sz="8" w:color="D64000"/>
            </w:tcBorders>
          </w:tcPr>
          <w:p>
            <w:pPr>
              <w:ind w:left="360"/>
              <w:spacing w:after="0" w:line="106" w:lineRule="exact"/>
              <w:rPr>
                <w:sz w:val="20"/>
                <w:szCs w:val="20"/>
                <w:color w:val="auto"/>
              </w:rPr>
            </w:pPr>
            <w:r>
              <w:rPr>
                <w:rFonts w:ascii="Arial" w:cs="Arial" w:eastAsia="Arial" w:hAnsi="Arial"/>
                <w:sz w:val="11"/>
                <w:szCs w:val="11"/>
                <w:b w:val="1"/>
                <w:bCs w:val="1"/>
                <w:color w:val="auto"/>
              </w:rPr>
              <w:t>1,504 </w:t>
            </w:r>
          </w:p>
        </w:tc>
        <w:tc>
          <w:tcPr>
            <w:tcW w:w="80" w:type="dxa"/>
            <w:vAlign w:val="bottom"/>
            <w:tcBorders>
              <w:top w:val="single" w:sz="8" w:color="D64000"/>
            </w:tcBorders>
            <w:shd w:val="clear" w:color="auto" w:fill="E3F3EE"/>
          </w:tcPr>
          <w:p>
            <w:pPr>
              <w:spacing w:after="0"/>
              <w:rPr>
                <w:sz w:val="9"/>
                <w:szCs w:val="9"/>
                <w:color w:val="auto"/>
              </w:rPr>
            </w:pPr>
          </w:p>
        </w:tc>
        <w:tc>
          <w:tcPr>
            <w:tcW w:w="420" w:type="dxa"/>
            <w:vAlign w:val="bottom"/>
            <w:tcBorders>
              <w:top w:val="single" w:sz="8" w:color="D64000"/>
            </w:tcBorders>
            <w:shd w:val="clear" w:color="auto" w:fill="E3F3EE"/>
          </w:tcPr>
          <w:p>
            <w:pPr>
              <w:jc w:val="right"/>
              <w:ind w:right="27"/>
              <w:spacing w:after="0" w:line="106" w:lineRule="exact"/>
              <w:rPr>
                <w:sz w:val="20"/>
                <w:szCs w:val="20"/>
                <w:color w:val="auto"/>
              </w:rPr>
            </w:pPr>
            <w:r>
              <w:rPr>
                <w:rFonts w:ascii="Arial" w:cs="Arial" w:eastAsia="Arial" w:hAnsi="Arial"/>
                <w:sz w:val="11"/>
                <w:szCs w:val="11"/>
                <w:b w:val="1"/>
                <w:bCs w:val="1"/>
                <w:color w:val="auto"/>
              </w:rPr>
              <w:t>3,405 </w:t>
            </w:r>
          </w:p>
        </w:tc>
        <w:tc>
          <w:tcPr>
            <w:tcW w:w="200" w:type="dxa"/>
            <w:vAlign w:val="bottom"/>
            <w:tcBorders>
              <w:top w:val="single" w:sz="8" w:color="D64000"/>
            </w:tcBorders>
          </w:tcPr>
          <w:p>
            <w:pPr>
              <w:spacing w:after="0"/>
              <w:rPr>
                <w:sz w:val="9"/>
                <w:szCs w:val="9"/>
                <w:color w:val="auto"/>
              </w:rPr>
            </w:pPr>
          </w:p>
        </w:tc>
        <w:tc>
          <w:tcPr>
            <w:tcW w:w="100" w:type="dxa"/>
            <w:vAlign w:val="bottom"/>
            <w:tcBorders>
              <w:top w:val="single" w:sz="8" w:color="D64000"/>
            </w:tcBorders>
            <w:shd w:val="clear" w:color="auto" w:fill="E3F3EE"/>
          </w:tcPr>
          <w:p>
            <w:pPr>
              <w:spacing w:after="0"/>
              <w:rPr>
                <w:sz w:val="9"/>
                <w:szCs w:val="9"/>
                <w:color w:val="auto"/>
              </w:rPr>
            </w:pPr>
          </w:p>
        </w:tc>
        <w:tc>
          <w:tcPr>
            <w:tcW w:w="460" w:type="dxa"/>
            <w:vAlign w:val="bottom"/>
            <w:tcBorders>
              <w:top w:val="single" w:sz="8" w:color="D64000"/>
            </w:tcBorders>
            <w:shd w:val="clear" w:color="auto" w:fill="E3F3EE"/>
          </w:tcPr>
          <w:p>
            <w:pPr>
              <w:jc w:val="right"/>
              <w:ind w:right="7"/>
              <w:spacing w:after="0" w:line="106" w:lineRule="exact"/>
              <w:rPr>
                <w:sz w:val="20"/>
                <w:szCs w:val="20"/>
                <w:color w:val="auto"/>
              </w:rPr>
            </w:pPr>
            <w:r>
              <w:rPr>
                <w:rFonts w:ascii="Arial" w:cs="Arial" w:eastAsia="Arial" w:hAnsi="Arial"/>
                <w:sz w:val="11"/>
                <w:szCs w:val="11"/>
                <w:b w:val="1"/>
                <w:bCs w:val="1"/>
                <w:color w:val="auto"/>
              </w:rPr>
              <w:t>8,680 </w:t>
            </w:r>
          </w:p>
        </w:tc>
        <w:tc>
          <w:tcPr>
            <w:tcW w:w="980" w:type="dxa"/>
            <w:vAlign w:val="bottom"/>
            <w:tcBorders>
              <w:top w:val="single" w:sz="8" w:color="D64000"/>
            </w:tcBorders>
          </w:tcPr>
          <w:p>
            <w:pPr>
              <w:ind w:left="760"/>
              <w:spacing w:after="0" w:line="106" w:lineRule="exact"/>
              <w:rPr>
                <w:sz w:val="20"/>
                <w:szCs w:val="20"/>
                <w:color w:val="auto"/>
              </w:rPr>
            </w:pPr>
            <w:r>
              <w:rPr>
                <w:rFonts w:ascii="Arial" w:cs="Arial" w:eastAsia="Arial" w:hAnsi="Arial"/>
                <w:sz w:val="11"/>
                <w:szCs w:val="11"/>
                <w:b w:val="1"/>
                <w:bCs w:val="1"/>
                <w:color w:val="auto"/>
              </w:rPr>
              <w:t>21 </w:t>
            </w:r>
          </w:p>
        </w:tc>
        <w:tc>
          <w:tcPr>
            <w:tcW w:w="760" w:type="dxa"/>
            <w:vAlign w:val="bottom"/>
            <w:tcBorders>
              <w:top w:val="single" w:sz="8" w:color="D64000"/>
            </w:tcBorders>
          </w:tcPr>
          <w:p>
            <w:pPr>
              <w:jc w:val="right"/>
              <w:ind w:right="27"/>
              <w:spacing w:after="0" w:line="106" w:lineRule="exact"/>
              <w:rPr>
                <w:sz w:val="20"/>
                <w:szCs w:val="20"/>
                <w:color w:val="auto"/>
              </w:rPr>
            </w:pPr>
            <w:r>
              <w:rPr>
                <w:rFonts w:ascii="Arial" w:cs="Arial" w:eastAsia="Arial" w:hAnsi="Arial"/>
                <w:sz w:val="11"/>
                <w:szCs w:val="11"/>
                <w:b w:val="1"/>
                <w:bCs w:val="1"/>
                <w:color w:val="auto"/>
              </w:rPr>
              <w:t>(1,042)</w:t>
            </w:r>
          </w:p>
        </w:tc>
        <w:tc>
          <w:tcPr>
            <w:tcW w:w="1040" w:type="dxa"/>
            <w:vAlign w:val="bottom"/>
            <w:tcBorders>
              <w:top w:val="single" w:sz="8" w:color="D64000"/>
            </w:tcBorders>
            <w:gridSpan w:val="2"/>
            <w:shd w:val="clear" w:color="auto" w:fill="E3F3EE"/>
          </w:tcPr>
          <w:p>
            <w:pPr>
              <w:jc w:val="right"/>
              <w:ind w:right="7"/>
              <w:spacing w:after="0" w:line="106" w:lineRule="exact"/>
              <w:rPr>
                <w:sz w:val="20"/>
                <w:szCs w:val="20"/>
                <w:color w:val="auto"/>
              </w:rPr>
            </w:pPr>
            <w:r>
              <w:rPr>
                <w:rFonts w:ascii="Arial" w:cs="Arial" w:eastAsia="Arial" w:hAnsi="Arial"/>
                <w:sz w:val="11"/>
                <w:szCs w:val="11"/>
                <w:b w:val="1"/>
                <w:bCs w:val="1"/>
                <w:color w:val="auto"/>
              </w:rPr>
              <w:t>(1,021)</w:t>
            </w:r>
          </w:p>
        </w:tc>
        <w:tc>
          <w:tcPr>
            <w:tcW w:w="840" w:type="dxa"/>
            <w:vAlign w:val="bottom"/>
            <w:tcBorders>
              <w:top w:val="single" w:sz="8" w:color="D64000"/>
            </w:tcBorders>
          </w:tcPr>
          <w:p>
            <w:pPr>
              <w:jc w:val="right"/>
              <w:ind w:right="27"/>
              <w:spacing w:after="0" w:line="106" w:lineRule="exact"/>
              <w:rPr>
                <w:sz w:val="20"/>
                <w:szCs w:val="20"/>
                <w:color w:val="auto"/>
              </w:rPr>
            </w:pPr>
            <w:r>
              <w:rPr>
                <w:rFonts w:ascii="Arial" w:cs="Arial" w:eastAsia="Arial" w:hAnsi="Arial"/>
                <w:sz w:val="11"/>
                <w:szCs w:val="11"/>
                <w:b w:val="1"/>
                <w:bCs w:val="1"/>
                <w:color w:val="auto"/>
              </w:rPr>
              <w:t>11,064 </w:t>
            </w:r>
          </w:p>
        </w:tc>
        <w:tc>
          <w:tcPr>
            <w:tcW w:w="800" w:type="dxa"/>
            <w:vAlign w:val="bottom"/>
            <w:tcBorders>
              <w:top w:val="single" w:sz="8" w:color="D64000"/>
            </w:tcBorders>
          </w:tcPr>
          <w:p>
            <w:pPr>
              <w:ind w:left="660"/>
              <w:spacing w:after="0" w:line="106" w:lineRule="exact"/>
              <w:rPr>
                <w:sz w:val="20"/>
                <w:szCs w:val="20"/>
                <w:color w:val="auto"/>
              </w:rPr>
            </w:pPr>
            <w:r>
              <w:rPr>
                <w:rFonts w:ascii="Arial" w:cs="Arial" w:eastAsia="Arial" w:hAnsi="Arial"/>
                <w:sz w:val="11"/>
                <w:szCs w:val="11"/>
                <w:b w:val="1"/>
                <w:bCs w:val="1"/>
                <w:color w:val="auto"/>
              </w:rPr>
              <w:t xml:space="preserve">- </w:t>
            </w:r>
          </w:p>
        </w:tc>
        <w:tc>
          <w:tcPr>
            <w:tcW w:w="720" w:type="dxa"/>
            <w:vAlign w:val="bottom"/>
            <w:tcBorders>
              <w:top w:val="single" w:sz="8" w:color="D64000"/>
            </w:tcBorders>
            <w:shd w:val="clear" w:color="auto" w:fill="E3F3EE"/>
          </w:tcPr>
          <w:p>
            <w:pPr>
              <w:jc w:val="right"/>
              <w:ind w:right="47"/>
              <w:spacing w:after="0" w:line="106" w:lineRule="exact"/>
              <w:rPr>
                <w:sz w:val="20"/>
                <w:szCs w:val="20"/>
                <w:color w:val="auto"/>
              </w:rPr>
            </w:pPr>
            <w:r>
              <w:rPr>
                <w:rFonts w:ascii="Arial" w:cs="Arial" w:eastAsia="Arial" w:hAnsi="Arial"/>
                <w:sz w:val="11"/>
                <w:szCs w:val="11"/>
                <w:b w:val="1"/>
                <w:bCs w:val="1"/>
                <w:color w:val="auto"/>
              </w:rPr>
              <w:t>11,064</w:t>
            </w:r>
          </w:p>
        </w:tc>
        <w:tc>
          <w:tcPr>
            <w:tcW w:w="0" w:type="dxa"/>
            <w:vAlign w:val="bottom"/>
          </w:tcPr>
          <w:p>
            <w:pPr>
              <w:spacing w:after="0"/>
              <w:rPr>
                <w:sz w:val="1"/>
                <w:szCs w:val="1"/>
                <w:color w:val="auto"/>
              </w:rPr>
            </w:pPr>
          </w:p>
        </w:tc>
      </w:tr>
      <w:tr>
        <w:trPr>
          <w:trHeight w:val="119"/>
        </w:trPr>
        <w:tc>
          <w:tcPr>
            <w:tcW w:w="3040" w:type="dxa"/>
            <w:vAlign w:val="bottom"/>
          </w:tcPr>
          <w:p>
            <w:pPr>
              <w:spacing w:after="0" w:line="120" w:lineRule="exact"/>
              <w:rPr>
                <w:sz w:val="20"/>
                <w:szCs w:val="20"/>
                <w:color w:val="auto"/>
              </w:rPr>
            </w:pPr>
            <w:r>
              <w:rPr>
                <w:rFonts w:ascii="Arial" w:cs="Arial" w:eastAsia="Arial" w:hAnsi="Arial"/>
                <w:sz w:val="11"/>
                <w:szCs w:val="11"/>
                <w:color w:val="auto"/>
              </w:rPr>
              <w:t>Net earnings</w:t>
            </w:r>
          </w:p>
        </w:tc>
        <w:tc>
          <w:tcPr>
            <w:tcW w:w="640" w:type="dxa"/>
            <w:vAlign w:val="bottom"/>
          </w:tcPr>
          <w:p>
            <w:pPr>
              <w:ind w:left="500"/>
              <w:spacing w:after="0" w:line="120" w:lineRule="exact"/>
              <w:rPr>
                <w:sz w:val="20"/>
                <w:szCs w:val="20"/>
                <w:color w:val="auto"/>
              </w:rPr>
            </w:pPr>
            <w:r>
              <w:rPr>
                <w:rFonts w:ascii="Arial" w:cs="Arial" w:eastAsia="Arial" w:hAnsi="Arial"/>
                <w:sz w:val="11"/>
                <w:szCs w:val="11"/>
                <w:b w:val="1"/>
                <w:bCs w:val="1"/>
                <w:color w:val="auto"/>
              </w:rPr>
              <w:t xml:space="preserve">- </w:t>
            </w:r>
          </w:p>
        </w:tc>
        <w:tc>
          <w:tcPr>
            <w:tcW w:w="720" w:type="dxa"/>
            <w:vAlign w:val="bottom"/>
          </w:tcPr>
          <w:p>
            <w:pPr>
              <w:ind w:left="580"/>
              <w:spacing w:after="0" w:line="120" w:lineRule="exact"/>
              <w:rPr>
                <w:sz w:val="20"/>
                <w:szCs w:val="20"/>
                <w:color w:val="auto"/>
              </w:rPr>
            </w:pPr>
            <w:r>
              <w:rPr>
                <w:rFonts w:ascii="Arial" w:cs="Arial" w:eastAsia="Arial" w:hAnsi="Arial"/>
                <w:sz w:val="11"/>
                <w:szCs w:val="11"/>
                <w:b w:val="1"/>
                <w:bCs w:val="1"/>
                <w:color w:val="auto"/>
              </w:rPr>
              <w:t xml:space="preserve">- </w:t>
            </w:r>
          </w:p>
        </w:tc>
        <w:tc>
          <w:tcPr>
            <w:tcW w:w="80" w:type="dxa"/>
            <w:vAlign w:val="bottom"/>
            <w:shd w:val="clear" w:color="auto" w:fill="E3F3EE"/>
          </w:tcPr>
          <w:p>
            <w:pPr>
              <w:spacing w:after="0"/>
              <w:rPr>
                <w:sz w:val="10"/>
                <w:szCs w:val="10"/>
                <w:color w:val="auto"/>
              </w:rPr>
            </w:pPr>
          </w:p>
        </w:tc>
        <w:tc>
          <w:tcPr>
            <w:tcW w:w="420" w:type="dxa"/>
            <w:vAlign w:val="bottom"/>
            <w:shd w:val="clear" w:color="auto" w:fill="E3F3EE"/>
          </w:tcPr>
          <w:p>
            <w:pPr>
              <w:jc w:val="right"/>
              <w:ind w:right="27"/>
              <w:spacing w:after="0" w:line="120" w:lineRule="exact"/>
              <w:rPr>
                <w:sz w:val="20"/>
                <w:szCs w:val="20"/>
                <w:color w:val="auto"/>
              </w:rPr>
            </w:pPr>
            <w:r>
              <w:rPr>
                <w:rFonts w:ascii="Arial" w:cs="Arial" w:eastAsia="Arial" w:hAnsi="Arial"/>
                <w:sz w:val="11"/>
                <w:szCs w:val="11"/>
                <w:b w:val="1"/>
                <w:bCs w:val="1"/>
                <w:color w:val="auto"/>
              </w:rPr>
              <w:t xml:space="preserve">- </w:t>
            </w:r>
          </w:p>
        </w:tc>
        <w:tc>
          <w:tcPr>
            <w:tcW w:w="200" w:type="dxa"/>
            <w:vAlign w:val="bottom"/>
          </w:tcPr>
          <w:p>
            <w:pPr>
              <w:spacing w:after="0"/>
              <w:rPr>
                <w:sz w:val="10"/>
                <w:szCs w:val="10"/>
                <w:color w:val="auto"/>
              </w:rPr>
            </w:pPr>
          </w:p>
        </w:tc>
        <w:tc>
          <w:tcPr>
            <w:tcW w:w="100" w:type="dxa"/>
            <w:vAlign w:val="bottom"/>
            <w:shd w:val="clear" w:color="auto" w:fill="E3F3EE"/>
          </w:tcPr>
          <w:p>
            <w:pPr>
              <w:spacing w:after="0"/>
              <w:rPr>
                <w:sz w:val="10"/>
                <w:szCs w:val="10"/>
                <w:color w:val="auto"/>
              </w:rPr>
            </w:pPr>
          </w:p>
        </w:tc>
        <w:tc>
          <w:tcPr>
            <w:tcW w:w="460" w:type="dxa"/>
            <w:vAlign w:val="bottom"/>
            <w:shd w:val="clear" w:color="auto" w:fill="E3F3EE"/>
          </w:tcPr>
          <w:p>
            <w:pPr>
              <w:jc w:val="right"/>
              <w:ind w:right="7"/>
              <w:spacing w:after="0" w:line="120" w:lineRule="exact"/>
              <w:rPr>
                <w:sz w:val="20"/>
                <w:szCs w:val="20"/>
                <w:color w:val="auto"/>
              </w:rPr>
            </w:pPr>
            <w:r>
              <w:rPr>
                <w:rFonts w:ascii="Arial" w:cs="Arial" w:eastAsia="Arial" w:hAnsi="Arial"/>
                <w:sz w:val="11"/>
                <w:szCs w:val="11"/>
                <w:b w:val="1"/>
                <w:bCs w:val="1"/>
                <w:color w:val="auto"/>
              </w:rPr>
              <w:t>2,210 </w:t>
            </w:r>
          </w:p>
        </w:tc>
        <w:tc>
          <w:tcPr>
            <w:tcW w:w="980" w:type="dxa"/>
            <w:vAlign w:val="bottom"/>
          </w:tcPr>
          <w:p>
            <w:pPr>
              <w:ind w:left="840"/>
              <w:spacing w:after="0" w:line="120" w:lineRule="exact"/>
              <w:rPr>
                <w:sz w:val="20"/>
                <w:szCs w:val="20"/>
                <w:color w:val="auto"/>
              </w:rPr>
            </w:pPr>
            <w:r>
              <w:rPr>
                <w:rFonts w:ascii="Arial" w:cs="Arial" w:eastAsia="Arial" w:hAnsi="Arial"/>
                <w:sz w:val="11"/>
                <w:szCs w:val="11"/>
                <w:b w:val="1"/>
                <w:bCs w:val="1"/>
                <w:color w:val="auto"/>
              </w:rPr>
              <w:t xml:space="preserve">- </w:t>
            </w:r>
          </w:p>
        </w:tc>
        <w:tc>
          <w:tcPr>
            <w:tcW w:w="760" w:type="dxa"/>
            <w:vAlign w:val="bottom"/>
          </w:tcPr>
          <w:p>
            <w:pPr>
              <w:ind w:left="620"/>
              <w:spacing w:after="0" w:line="120" w:lineRule="exact"/>
              <w:rPr>
                <w:sz w:val="20"/>
                <w:szCs w:val="20"/>
                <w:color w:val="auto"/>
              </w:rPr>
            </w:pPr>
            <w:r>
              <w:rPr>
                <w:rFonts w:ascii="Arial" w:cs="Arial" w:eastAsia="Arial" w:hAnsi="Arial"/>
                <w:sz w:val="11"/>
                <w:szCs w:val="11"/>
                <w:b w:val="1"/>
                <w:bCs w:val="1"/>
                <w:color w:val="auto"/>
              </w:rPr>
              <w:t xml:space="preserve">- </w:t>
            </w:r>
          </w:p>
        </w:tc>
        <w:tc>
          <w:tcPr>
            <w:tcW w:w="140" w:type="dxa"/>
            <w:vAlign w:val="bottom"/>
            <w:shd w:val="clear" w:color="auto" w:fill="E3F3EE"/>
          </w:tcPr>
          <w:p>
            <w:pPr>
              <w:spacing w:after="0"/>
              <w:rPr>
                <w:sz w:val="10"/>
                <w:szCs w:val="10"/>
                <w:color w:val="auto"/>
              </w:rPr>
            </w:pPr>
          </w:p>
        </w:tc>
        <w:tc>
          <w:tcPr>
            <w:tcW w:w="900" w:type="dxa"/>
            <w:vAlign w:val="bottom"/>
            <w:shd w:val="clear" w:color="auto" w:fill="E3F3EE"/>
          </w:tcPr>
          <w:p>
            <w:pPr>
              <w:ind w:left="760"/>
              <w:spacing w:after="0" w:line="120" w:lineRule="exact"/>
              <w:rPr>
                <w:sz w:val="20"/>
                <w:szCs w:val="20"/>
                <w:color w:val="auto"/>
              </w:rPr>
            </w:pPr>
            <w:r>
              <w:rPr>
                <w:rFonts w:ascii="Arial" w:cs="Arial" w:eastAsia="Arial" w:hAnsi="Arial"/>
                <w:sz w:val="11"/>
                <w:szCs w:val="11"/>
                <w:b w:val="1"/>
                <w:bCs w:val="1"/>
                <w:color w:val="auto"/>
              </w:rPr>
              <w:t xml:space="preserve">- </w:t>
            </w:r>
          </w:p>
        </w:tc>
        <w:tc>
          <w:tcPr>
            <w:tcW w:w="840" w:type="dxa"/>
            <w:vAlign w:val="bottom"/>
          </w:tcPr>
          <w:p>
            <w:pPr>
              <w:jc w:val="right"/>
              <w:ind w:right="27"/>
              <w:spacing w:after="0" w:line="120" w:lineRule="exact"/>
              <w:rPr>
                <w:sz w:val="20"/>
                <w:szCs w:val="20"/>
                <w:color w:val="auto"/>
              </w:rPr>
            </w:pPr>
            <w:r>
              <w:rPr>
                <w:rFonts w:ascii="Arial" w:cs="Arial" w:eastAsia="Arial" w:hAnsi="Arial"/>
                <w:sz w:val="11"/>
                <w:szCs w:val="11"/>
                <w:b w:val="1"/>
                <w:bCs w:val="1"/>
                <w:color w:val="auto"/>
              </w:rPr>
              <w:t>2,210 </w:t>
            </w:r>
          </w:p>
        </w:tc>
        <w:tc>
          <w:tcPr>
            <w:tcW w:w="800" w:type="dxa"/>
            <w:vAlign w:val="bottom"/>
          </w:tcPr>
          <w:p>
            <w:pPr>
              <w:jc w:val="right"/>
              <w:ind w:right="7"/>
              <w:spacing w:after="0" w:line="120" w:lineRule="exact"/>
              <w:rPr>
                <w:sz w:val="20"/>
                <w:szCs w:val="20"/>
                <w:color w:val="auto"/>
              </w:rPr>
            </w:pPr>
            <w:r>
              <w:rPr>
                <w:rFonts w:ascii="Arial" w:cs="Arial" w:eastAsia="Arial" w:hAnsi="Arial"/>
                <w:sz w:val="11"/>
                <w:szCs w:val="11"/>
                <w:b w:val="1"/>
                <w:bCs w:val="1"/>
                <w:color w:val="auto"/>
              </w:rPr>
              <w:t>(3)</w:t>
            </w:r>
          </w:p>
        </w:tc>
        <w:tc>
          <w:tcPr>
            <w:tcW w:w="720" w:type="dxa"/>
            <w:vAlign w:val="bottom"/>
            <w:shd w:val="clear" w:color="auto" w:fill="E3F3EE"/>
          </w:tcPr>
          <w:p>
            <w:pPr>
              <w:jc w:val="right"/>
              <w:ind w:right="47"/>
              <w:spacing w:after="0" w:line="120" w:lineRule="exact"/>
              <w:rPr>
                <w:sz w:val="20"/>
                <w:szCs w:val="20"/>
                <w:color w:val="auto"/>
              </w:rPr>
            </w:pPr>
            <w:r>
              <w:rPr>
                <w:rFonts w:ascii="Arial" w:cs="Arial" w:eastAsia="Arial" w:hAnsi="Arial"/>
                <w:sz w:val="11"/>
                <w:szCs w:val="11"/>
                <w:b w:val="1"/>
                <w:bCs w:val="1"/>
                <w:color w:val="auto"/>
              </w:rPr>
              <w:t>2,207</w:t>
            </w:r>
          </w:p>
        </w:tc>
        <w:tc>
          <w:tcPr>
            <w:tcW w:w="0" w:type="dxa"/>
            <w:vAlign w:val="bottom"/>
          </w:tcPr>
          <w:p>
            <w:pPr>
              <w:spacing w:after="0"/>
              <w:rPr>
                <w:sz w:val="1"/>
                <w:szCs w:val="1"/>
                <w:color w:val="auto"/>
              </w:rPr>
            </w:pPr>
          </w:p>
        </w:tc>
      </w:tr>
      <w:tr>
        <w:trPr>
          <w:trHeight w:val="132"/>
        </w:trPr>
        <w:tc>
          <w:tcPr>
            <w:tcW w:w="30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Other comprehensive income (loss)</w:t>
            </w:r>
          </w:p>
        </w:tc>
        <w:tc>
          <w:tcPr>
            <w:tcW w:w="640" w:type="dxa"/>
            <w:vAlign w:val="bottom"/>
            <w:tcBorders>
              <w:bottom w:val="single" w:sz="8" w:color="auto"/>
            </w:tcBorders>
          </w:tcPr>
          <w:p>
            <w:pPr>
              <w:ind w:left="500"/>
              <w:spacing w:after="0"/>
              <w:rPr>
                <w:sz w:val="20"/>
                <w:szCs w:val="20"/>
                <w:color w:val="auto"/>
              </w:rPr>
            </w:pPr>
            <w:r>
              <w:rPr>
                <w:rFonts w:ascii="Arial" w:cs="Arial" w:eastAsia="Arial" w:hAnsi="Arial"/>
                <w:sz w:val="11"/>
                <w:szCs w:val="11"/>
                <w:b w:val="1"/>
                <w:bCs w:val="1"/>
                <w:color w:val="auto"/>
              </w:rPr>
              <w:t xml:space="preserve">- </w:t>
            </w:r>
          </w:p>
        </w:tc>
        <w:tc>
          <w:tcPr>
            <w:tcW w:w="720" w:type="dxa"/>
            <w:vAlign w:val="bottom"/>
            <w:tcBorders>
              <w:bottom w:val="single" w:sz="8" w:color="auto"/>
            </w:tcBorders>
          </w:tcPr>
          <w:p>
            <w:pPr>
              <w:ind w:left="580"/>
              <w:spacing w:after="0"/>
              <w:rPr>
                <w:sz w:val="20"/>
                <w:szCs w:val="20"/>
                <w:color w:val="auto"/>
              </w:rPr>
            </w:pPr>
            <w:r>
              <w:rPr>
                <w:rFonts w:ascii="Arial" w:cs="Arial" w:eastAsia="Arial" w:hAnsi="Arial"/>
                <w:sz w:val="11"/>
                <w:szCs w:val="11"/>
                <w:b w:val="1"/>
                <w:bCs w:val="1"/>
                <w:color w:val="auto"/>
              </w:rPr>
              <w:t xml:space="preserve">- </w:t>
            </w:r>
          </w:p>
        </w:tc>
        <w:tc>
          <w:tcPr>
            <w:tcW w:w="80" w:type="dxa"/>
            <w:vAlign w:val="bottom"/>
            <w:tcBorders>
              <w:bottom w:val="single" w:sz="8" w:color="auto"/>
            </w:tcBorders>
            <w:shd w:val="clear" w:color="auto" w:fill="E3F3EE"/>
          </w:tcPr>
          <w:p>
            <w:pPr>
              <w:spacing w:after="0"/>
              <w:rPr>
                <w:sz w:val="11"/>
                <w:szCs w:val="11"/>
                <w:color w:val="auto"/>
              </w:rPr>
            </w:pPr>
          </w:p>
        </w:tc>
        <w:tc>
          <w:tcPr>
            <w:tcW w:w="420" w:type="dxa"/>
            <w:vAlign w:val="bottom"/>
            <w:tcBorders>
              <w:bottom w:val="single" w:sz="8" w:color="auto"/>
            </w:tcBorders>
            <w:shd w:val="clear" w:color="auto" w:fill="E3F3EE"/>
          </w:tcPr>
          <w:p>
            <w:pPr>
              <w:jc w:val="right"/>
              <w:ind w:right="27"/>
              <w:spacing w:after="0"/>
              <w:rPr>
                <w:sz w:val="20"/>
                <w:szCs w:val="20"/>
                <w:color w:val="auto"/>
              </w:rPr>
            </w:pPr>
            <w:r>
              <w:rPr>
                <w:rFonts w:ascii="Arial" w:cs="Arial" w:eastAsia="Arial" w:hAnsi="Arial"/>
                <w:sz w:val="11"/>
                <w:szCs w:val="11"/>
                <w:b w:val="1"/>
                <w:bCs w:val="1"/>
                <w:color w:val="auto"/>
              </w:rPr>
              <w:t xml:space="preserve">- </w:t>
            </w: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shd w:val="clear" w:color="auto" w:fill="E3F3EE"/>
          </w:tcPr>
          <w:p>
            <w:pPr>
              <w:spacing w:after="0"/>
              <w:rPr>
                <w:sz w:val="11"/>
                <w:szCs w:val="11"/>
                <w:color w:val="auto"/>
              </w:rPr>
            </w:pPr>
          </w:p>
        </w:tc>
        <w:tc>
          <w:tcPr>
            <w:tcW w:w="460" w:type="dxa"/>
            <w:vAlign w:val="bottom"/>
            <w:tcBorders>
              <w:bottom w:val="single" w:sz="8" w:color="auto"/>
            </w:tcBorders>
            <w:shd w:val="clear" w:color="auto" w:fill="E3F3EE"/>
          </w:tcPr>
          <w:p>
            <w:pPr>
              <w:jc w:val="right"/>
              <w:ind w:right="7"/>
              <w:spacing w:after="0"/>
              <w:rPr>
                <w:sz w:val="20"/>
                <w:szCs w:val="20"/>
                <w:color w:val="auto"/>
              </w:rPr>
            </w:pPr>
            <w:r>
              <w:rPr>
                <w:rFonts w:ascii="Arial" w:cs="Arial" w:eastAsia="Arial" w:hAnsi="Arial"/>
                <w:sz w:val="11"/>
                <w:szCs w:val="11"/>
                <w:b w:val="1"/>
                <w:bCs w:val="1"/>
                <w:color w:val="auto"/>
              </w:rPr>
              <w:t xml:space="preserve">- </w:t>
            </w: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1"/>
                <w:szCs w:val="11"/>
                <w:b w:val="1"/>
                <w:bCs w:val="1"/>
                <w:color w:val="auto"/>
              </w:rPr>
              <w:t>23 </w:t>
            </w:r>
          </w:p>
        </w:tc>
        <w:tc>
          <w:tcPr>
            <w:tcW w:w="76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b w:val="1"/>
                <w:bCs w:val="1"/>
                <w:color w:val="auto"/>
              </w:rPr>
              <w:t>(168)</w:t>
            </w:r>
          </w:p>
        </w:tc>
        <w:tc>
          <w:tcPr>
            <w:tcW w:w="140" w:type="dxa"/>
            <w:vAlign w:val="bottom"/>
            <w:tcBorders>
              <w:bottom w:val="single" w:sz="8" w:color="auto"/>
            </w:tcBorders>
            <w:shd w:val="clear" w:color="auto" w:fill="E3F3EE"/>
          </w:tcPr>
          <w:p>
            <w:pPr>
              <w:spacing w:after="0"/>
              <w:rPr>
                <w:sz w:val="11"/>
                <w:szCs w:val="11"/>
                <w:color w:val="auto"/>
              </w:rPr>
            </w:pPr>
          </w:p>
        </w:tc>
        <w:tc>
          <w:tcPr>
            <w:tcW w:w="900" w:type="dxa"/>
            <w:vAlign w:val="bottom"/>
            <w:tcBorders>
              <w:bottom w:val="single" w:sz="8" w:color="auto"/>
            </w:tcBorders>
            <w:shd w:val="clear" w:color="auto" w:fill="E3F3EE"/>
          </w:tcPr>
          <w:p>
            <w:pPr>
              <w:jc w:val="right"/>
              <w:ind w:right="7"/>
              <w:spacing w:after="0"/>
              <w:rPr>
                <w:sz w:val="20"/>
                <w:szCs w:val="20"/>
                <w:color w:val="auto"/>
              </w:rPr>
            </w:pPr>
            <w:r>
              <w:rPr>
                <w:rFonts w:ascii="Arial" w:cs="Arial" w:eastAsia="Arial" w:hAnsi="Arial"/>
                <w:sz w:val="11"/>
                <w:szCs w:val="11"/>
                <w:b w:val="1"/>
                <w:bCs w:val="1"/>
                <w:color w:val="auto"/>
              </w:rPr>
              <w:t>(145)</w:t>
            </w:r>
          </w:p>
        </w:tc>
        <w:tc>
          <w:tcPr>
            <w:tcW w:w="84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b w:val="1"/>
                <w:bCs w:val="1"/>
                <w:color w:val="auto"/>
              </w:rPr>
              <w:t>(145)</w:t>
            </w:r>
          </w:p>
        </w:tc>
        <w:tc>
          <w:tcPr>
            <w:tcW w:w="8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(5)</w:t>
            </w:r>
          </w:p>
        </w:tc>
        <w:tc>
          <w:tcPr>
            <w:tcW w:w="720" w:type="dxa"/>
            <w:vAlign w:val="bottom"/>
            <w:tcBorders>
              <w:bottom w:val="single" w:sz="8" w:color="auto"/>
            </w:tcBorders>
            <w:shd w:val="clear" w:color="auto" w:fill="E3F3EE"/>
          </w:tcPr>
          <w:p>
            <w:pPr>
              <w:jc w:val="right"/>
              <w:ind w:right="7"/>
              <w:spacing w:after="0"/>
              <w:rPr>
                <w:sz w:val="20"/>
                <w:szCs w:val="20"/>
                <w:color w:val="auto"/>
              </w:rPr>
            </w:pPr>
            <w:r>
              <w:rPr>
                <w:rFonts w:ascii="Arial" w:cs="Arial" w:eastAsia="Arial" w:hAnsi="Arial"/>
                <w:sz w:val="11"/>
                <w:szCs w:val="11"/>
                <w:b w:val="1"/>
                <w:bCs w:val="1"/>
                <w:color w:val="auto"/>
              </w:rPr>
              <w:t>(150)</w:t>
            </w:r>
          </w:p>
        </w:tc>
        <w:tc>
          <w:tcPr>
            <w:tcW w:w="0" w:type="dxa"/>
            <w:vAlign w:val="bottom"/>
          </w:tcPr>
          <w:p>
            <w:pPr>
              <w:spacing w:after="0"/>
              <w:rPr>
                <w:sz w:val="1"/>
                <w:szCs w:val="1"/>
                <w:color w:val="auto"/>
              </w:rPr>
            </w:pPr>
          </w:p>
        </w:tc>
      </w:tr>
      <w:tr>
        <w:trPr>
          <w:trHeight w:val="113"/>
        </w:trPr>
        <w:tc>
          <w:tcPr>
            <w:tcW w:w="3040" w:type="dxa"/>
            <w:vAlign w:val="bottom"/>
            <w:tcBorders>
              <w:bottom w:val="single" w:sz="8" w:color="auto"/>
            </w:tcBorders>
          </w:tcPr>
          <w:p>
            <w:pPr>
              <w:spacing w:after="0" w:line="113" w:lineRule="exact"/>
              <w:rPr>
                <w:sz w:val="20"/>
                <w:szCs w:val="20"/>
                <w:color w:val="auto"/>
              </w:rPr>
            </w:pPr>
            <w:r>
              <w:rPr>
                <w:rFonts w:ascii="Arial" w:cs="Arial" w:eastAsia="Arial" w:hAnsi="Arial"/>
                <w:sz w:val="11"/>
                <w:szCs w:val="11"/>
                <w:color w:val="auto"/>
              </w:rPr>
              <w:t>Total comprehensive income (loss)</w:t>
            </w:r>
          </w:p>
        </w:tc>
        <w:tc>
          <w:tcPr>
            <w:tcW w:w="640" w:type="dxa"/>
            <w:vAlign w:val="bottom"/>
            <w:tcBorders>
              <w:bottom w:val="single" w:sz="8" w:color="auto"/>
            </w:tcBorders>
          </w:tcPr>
          <w:p>
            <w:pPr>
              <w:ind w:left="500"/>
              <w:spacing w:after="0" w:line="113" w:lineRule="exact"/>
              <w:rPr>
                <w:sz w:val="20"/>
                <w:szCs w:val="20"/>
                <w:color w:val="auto"/>
              </w:rPr>
            </w:pPr>
            <w:r>
              <w:rPr>
                <w:rFonts w:ascii="Arial" w:cs="Arial" w:eastAsia="Arial" w:hAnsi="Arial"/>
                <w:sz w:val="11"/>
                <w:szCs w:val="11"/>
                <w:b w:val="1"/>
                <w:bCs w:val="1"/>
                <w:color w:val="auto"/>
              </w:rPr>
              <w:t xml:space="preserve">- </w:t>
            </w:r>
          </w:p>
        </w:tc>
        <w:tc>
          <w:tcPr>
            <w:tcW w:w="720" w:type="dxa"/>
            <w:vAlign w:val="bottom"/>
            <w:tcBorders>
              <w:bottom w:val="single" w:sz="8" w:color="auto"/>
            </w:tcBorders>
          </w:tcPr>
          <w:p>
            <w:pPr>
              <w:ind w:left="580"/>
              <w:spacing w:after="0" w:line="113" w:lineRule="exact"/>
              <w:rPr>
                <w:sz w:val="20"/>
                <w:szCs w:val="20"/>
                <w:color w:val="auto"/>
              </w:rPr>
            </w:pPr>
            <w:r>
              <w:rPr>
                <w:rFonts w:ascii="Arial" w:cs="Arial" w:eastAsia="Arial" w:hAnsi="Arial"/>
                <w:sz w:val="11"/>
                <w:szCs w:val="11"/>
                <w:b w:val="1"/>
                <w:bCs w:val="1"/>
                <w:color w:val="auto"/>
              </w:rPr>
              <w:t xml:space="preserve">- </w:t>
            </w:r>
          </w:p>
        </w:tc>
        <w:tc>
          <w:tcPr>
            <w:tcW w:w="80" w:type="dxa"/>
            <w:vAlign w:val="bottom"/>
            <w:tcBorders>
              <w:bottom w:val="single" w:sz="8" w:color="auto"/>
            </w:tcBorders>
            <w:shd w:val="clear" w:color="auto" w:fill="E3F3EE"/>
          </w:tcPr>
          <w:p>
            <w:pPr>
              <w:spacing w:after="0"/>
              <w:rPr>
                <w:sz w:val="9"/>
                <w:szCs w:val="9"/>
                <w:color w:val="auto"/>
              </w:rPr>
            </w:pPr>
          </w:p>
        </w:tc>
        <w:tc>
          <w:tcPr>
            <w:tcW w:w="420" w:type="dxa"/>
            <w:vAlign w:val="bottom"/>
            <w:tcBorders>
              <w:bottom w:val="single" w:sz="8" w:color="auto"/>
            </w:tcBorders>
            <w:shd w:val="clear" w:color="auto" w:fill="E3F3EE"/>
          </w:tcPr>
          <w:p>
            <w:pPr>
              <w:jc w:val="right"/>
              <w:ind w:right="27"/>
              <w:spacing w:after="0" w:line="113" w:lineRule="exact"/>
              <w:rPr>
                <w:sz w:val="20"/>
                <w:szCs w:val="20"/>
                <w:color w:val="auto"/>
              </w:rPr>
            </w:pPr>
            <w:r>
              <w:rPr>
                <w:rFonts w:ascii="Arial" w:cs="Arial" w:eastAsia="Arial" w:hAnsi="Arial"/>
                <w:sz w:val="11"/>
                <w:szCs w:val="11"/>
                <w:b w:val="1"/>
                <w:bCs w:val="1"/>
                <w:color w:val="auto"/>
              </w:rPr>
              <w:t xml:space="preserve">- </w:t>
            </w: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shd w:val="clear" w:color="auto" w:fill="E3F3EE"/>
          </w:tcPr>
          <w:p>
            <w:pPr>
              <w:spacing w:after="0"/>
              <w:rPr>
                <w:sz w:val="9"/>
                <w:szCs w:val="9"/>
                <w:color w:val="auto"/>
              </w:rPr>
            </w:pPr>
          </w:p>
        </w:tc>
        <w:tc>
          <w:tcPr>
            <w:tcW w:w="460" w:type="dxa"/>
            <w:vAlign w:val="bottom"/>
            <w:tcBorders>
              <w:bottom w:val="single" w:sz="8" w:color="auto"/>
            </w:tcBorders>
            <w:shd w:val="clear" w:color="auto" w:fill="E3F3EE"/>
          </w:tcPr>
          <w:p>
            <w:pPr>
              <w:jc w:val="right"/>
              <w:ind w:right="7"/>
              <w:spacing w:after="0" w:line="113" w:lineRule="exact"/>
              <w:rPr>
                <w:sz w:val="20"/>
                <w:szCs w:val="20"/>
                <w:color w:val="auto"/>
              </w:rPr>
            </w:pPr>
            <w:r>
              <w:rPr>
                <w:rFonts w:ascii="Arial" w:cs="Arial" w:eastAsia="Arial" w:hAnsi="Arial"/>
                <w:sz w:val="11"/>
                <w:szCs w:val="11"/>
                <w:b w:val="1"/>
                <w:bCs w:val="1"/>
                <w:color w:val="auto"/>
              </w:rPr>
              <w:t>2,210 </w:t>
            </w:r>
          </w:p>
        </w:tc>
        <w:tc>
          <w:tcPr>
            <w:tcW w:w="980" w:type="dxa"/>
            <w:vAlign w:val="bottom"/>
            <w:tcBorders>
              <w:bottom w:val="single" w:sz="8" w:color="auto"/>
            </w:tcBorders>
          </w:tcPr>
          <w:p>
            <w:pPr>
              <w:ind w:left="760"/>
              <w:spacing w:after="0" w:line="113" w:lineRule="exact"/>
              <w:rPr>
                <w:sz w:val="20"/>
                <w:szCs w:val="20"/>
                <w:color w:val="auto"/>
              </w:rPr>
            </w:pPr>
            <w:r>
              <w:rPr>
                <w:rFonts w:ascii="Arial" w:cs="Arial" w:eastAsia="Arial" w:hAnsi="Arial"/>
                <w:sz w:val="11"/>
                <w:szCs w:val="11"/>
                <w:b w:val="1"/>
                <w:bCs w:val="1"/>
                <w:color w:val="auto"/>
              </w:rPr>
              <w:t>23 </w:t>
            </w:r>
          </w:p>
        </w:tc>
        <w:tc>
          <w:tcPr>
            <w:tcW w:w="760" w:type="dxa"/>
            <w:vAlign w:val="bottom"/>
            <w:tcBorders>
              <w:bottom w:val="single" w:sz="8" w:color="auto"/>
            </w:tcBorders>
          </w:tcPr>
          <w:p>
            <w:pPr>
              <w:jc w:val="right"/>
              <w:ind w:right="27"/>
              <w:spacing w:after="0" w:line="113" w:lineRule="exact"/>
              <w:rPr>
                <w:sz w:val="20"/>
                <w:szCs w:val="20"/>
                <w:color w:val="auto"/>
              </w:rPr>
            </w:pPr>
            <w:r>
              <w:rPr>
                <w:rFonts w:ascii="Arial" w:cs="Arial" w:eastAsia="Arial" w:hAnsi="Arial"/>
                <w:sz w:val="11"/>
                <w:szCs w:val="11"/>
                <w:b w:val="1"/>
                <w:bCs w:val="1"/>
                <w:color w:val="auto"/>
              </w:rPr>
              <w:t>(168)</w:t>
            </w:r>
          </w:p>
        </w:tc>
        <w:tc>
          <w:tcPr>
            <w:tcW w:w="140" w:type="dxa"/>
            <w:vAlign w:val="bottom"/>
            <w:tcBorders>
              <w:bottom w:val="single" w:sz="8" w:color="auto"/>
            </w:tcBorders>
            <w:shd w:val="clear" w:color="auto" w:fill="E3F3EE"/>
          </w:tcPr>
          <w:p>
            <w:pPr>
              <w:spacing w:after="0"/>
              <w:rPr>
                <w:sz w:val="9"/>
                <w:szCs w:val="9"/>
                <w:color w:val="auto"/>
              </w:rPr>
            </w:pPr>
          </w:p>
        </w:tc>
        <w:tc>
          <w:tcPr>
            <w:tcW w:w="900" w:type="dxa"/>
            <w:vAlign w:val="bottom"/>
            <w:tcBorders>
              <w:bottom w:val="single" w:sz="8" w:color="auto"/>
            </w:tcBorders>
            <w:shd w:val="clear" w:color="auto" w:fill="E3F3EE"/>
          </w:tcPr>
          <w:p>
            <w:pPr>
              <w:jc w:val="right"/>
              <w:ind w:right="7"/>
              <w:spacing w:after="0" w:line="113" w:lineRule="exact"/>
              <w:rPr>
                <w:sz w:val="20"/>
                <w:szCs w:val="20"/>
                <w:color w:val="auto"/>
              </w:rPr>
            </w:pPr>
            <w:r>
              <w:rPr>
                <w:rFonts w:ascii="Arial" w:cs="Arial" w:eastAsia="Arial" w:hAnsi="Arial"/>
                <w:sz w:val="11"/>
                <w:szCs w:val="11"/>
                <w:b w:val="1"/>
                <w:bCs w:val="1"/>
                <w:color w:val="auto"/>
              </w:rPr>
              <w:t>(145)</w:t>
            </w:r>
          </w:p>
        </w:tc>
        <w:tc>
          <w:tcPr>
            <w:tcW w:w="840" w:type="dxa"/>
            <w:vAlign w:val="bottom"/>
            <w:tcBorders>
              <w:bottom w:val="single" w:sz="8" w:color="auto"/>
            </w:tcBorders>
          </w:tcPr>
          <w:p>
            <w:pPr>
              <w:jc w:val="right"/>
              <w:ind w:right="27"/>
              <w:spacing w:after="0" w:line="113" w:lineRule="exact"/>
              <w:rPr>
                <w:sz w:val="20"/>
                <w:szCs w:val="20"/>
                <w:color w:val="auto"/>
              </w:rPr>
            </w:pPr>
            <w:r>
              <w:rPr>
                <w:rFonts w:ascii="Arial" w:cs="Arial" w:eastAsia="Arial" w:hAnsi="Arial"/>
                <w:sz w:val="11"/>
                <w:szCs w:val="11"/>
                <w:b w:val="1"/>
                <w:bCs w:val="1"/>
                <w:color w:val="auto"/>
              </w:rPr>
              <w:t>2,065 </w:t>
            </w:r>
          </w:p>
        </w:tc>
        <w:tc>
          <w:tcPr>
            <w:tcW w:w="800" w:type="dxa"/>
            <w:vAlign w:val="bottom"/>
            <w:tcBorders>
              <w:bottom w:val="single" w:sz="8" w:color="auto"/>
            </w:tcBorders>
          </w:tcPr>
          <w:p>
            <w:pPr>
              <w:jc w:val="right"/>
              <w:ind w:right="7"/>
              <w:spacing w:after="0" w:line="113" w:lineRule="exact"/>
              <w:rPr>
                <w:sz w:val="20"/>
                <w:szCs w:val="20"/>
                <w:color w:val="auto"/>
              </w:rPr>
            </w:pPr>
            <w:r>
              <w:rPr>
                <w:rFonts w:ascii="Arial" w:cs="Arial" w:eastAsia="Arial" w:hAnsi="Arial"/>
                <w:sz w:val="11"/>
                <w:szCs w:val="11"/>
                <w:b w:val="1"/>
                <w:bCs w:val="1"/>
                <w:color w:val="auto"/>
              </w:rPr>
              <w:t>(8)</w:t>
            </w:r>
          </w:p>
        </w:tc>
        <w:tc>
          <w:tcPr>
            <w:tcW w:w="720" w:type="dxa"/>
            <w:vAlign w:val="bottom"/>
            <w:tcBorders>
              <w:bottom w:val="single" w:sz="8" w:color="auto"/>
            </w:tcBorders>
            <w:shd w:val="clear" w:color="auto" w:fill="E3F3EE"/>
          </w:tcPr>
          <w:p>
            <w:pPr>
              <w:jc w:val="right"/>
              <w:ind w:right="47"/>
              <w:spacing w:after="0" w:line="113" w:lineRule="exact"/>
              <w:rPr>
                <w:sz w:val="20"/>
                <w:szCs w:val="20"/>
                <w:color w:val="auto"/>
              </w:rPr>
            </w:pPr>
            <w:r>
              <w:rPr>
                <w:rFonts w:ascii="Arial" w:cs="Arial" w:eastAsia="Arial" w:hAnsi="Arial"/>
                <w:sz w:val="11"/>
                <w:szCs w:val="11"/>
                <w:b w:val="1"/>
                <w:bCs w:val="1"/>
                <w:color w:val="auto"/>
              </w:rPr>
              <w:t>2,057</w:t>
            </w:r>
          </w:p>
        </w:tc>
        <w:tc>
          <w:tcPr>
            <w:tcW w:w="0" w:type="dxa"/>
            <w:vAlign w:val="bottom"/>
          </w:tcPr>
          <w:p>
            <w:pPr>
              <w:spacing w:after="0"/>
              <w:rPr>
                <w:sz w:val="1"/>
                <w:szCs w:val="1"/>
                <w:color w:val="auto"/>
              </w:rPr>
            </w:pPr>
          </w:p>
        </w:tc>
      </w:tr>
      <w:tr>
        <w:trPr>
          <w:trHeight w:val="99"/>
        </w:trPr>
        <w:tc>
          <w:tcPr>
            <w:tcW w:w="3040" w:type="dxa"/>
            <w:vAlign w:val="bottom"/>
          </w:tcPr>
          <w:p>
            <w:pPr>
              <w:spacing w:after="0" w:line="100" w:lineRule="exact"/>
              <w:rPr>
                <w:sz w:val="20"/>
                <w:szCs w:val="20"/>
                <w:color w:val="auto"/>
              </w:rPr>
            </w:pPr>
            <w:r>
              <w:rPr>
                <w:rFonts w:ascii="Arial" w:cs="Arial" w:eastAsia="Arial" w:hAnsi="Arial"/>
                <w:sz w:val="11"/>
                <w:szCs w:val="11"/>
                <w:color w:val="auto"/>
              </w:rPr>
              <w:t>Non-controlling interests on acquisition of subsidiaries</w:t>
            </w:r>
          </w:p>
        </w:tc>
        <w:tc>
          <w:tcPr>
            <w:tcW w:w="640" w:type="dxa"/>
            <w:vAlign w:val="bottom"/>
          </w:tcPr>
          <w:p>
            <w:pPr>
              <w:ind w:left="500"/>
              <w:spacing w:after="0" w:line="100" w:lineRule="exact"/>
              <w:rPr>
                <w:sz w:val="20"/>
                <w:szCs w:val="20"/>
                <w:color w:val="auto"/>
              </w:rPr>
            </w:pPr>
            <w:r>
              <w:rPr>
                <w:rFonts w:ascii="Arial" w:cs="Arial" w:eastAsia="Arial" w:hAnsi="Arial"/>
                <w:sz w:val="11"/>
                <w:szCs w:val="11"/>
                <w:b w:val="1"/>
                <w:bCs w:val="1"/>
                <w:color w:val="auto"/>
              </w:rPr>
              <w:t xml:space="preserve">- </w:t>
            </w:r>
          </w:p>
        </w:tc>
        <w:tc>
          <w:tcPr>
            <w:tcW w:w="720" w:type="dxa"/>
            <w:vAlign w:val="bottom"/>
          </w:tcPr>
          <w:p>
            <w:pPr>
              <w:ind w:left="580"/>
              <w:spacing w:after="0" w:line="100" w:lineRule="exact"/>
              <w:rPr>
                <w:sz w:val="20"/>
                <w:szCs w:val="20"/>
                <w:color w:val="auto"/>
              </w:rPr>
            </w:pPr>
            <w:r>
              <w:rPr>
                <w:rFonts w:ascii="Arial" w:cs="Arial" w:eastAsia="Arial" w:hAnsi="Arial"/>
                <w:sz w:val="11"/>
                <w:szCs w:val="11"/>
                <w:b w:val="1"/>
                <w:bCs w:val="1"/>
                <w:color w:val="auto"/>
              </w:rPr>
              <w:t xml:space="preserve">- </w:t>
            </w:r>
          </w:p>
        </w:tc>
        <w:tc>
          <w:tcPr>
            <w:tcW w:w="80" w:type="dxa"/>
            <w:vAlign w:val="bottom"/>
            <w:shd w:val="clear" w:color="auto" w:fill="E3F3EE"/>
          </w:tcPr>
          <w:p>
            <w:pPr>
              <w:spacing w:after="0"/>
              <w:rPr>
                <w:sz w:val="8"/>
                <w:szCs w:val="8"/>
                <w:color w:val="auto"/>
              </w:rPr>
            </w:pPr>
          </w:p>
        </w:tc>
        <w:tc>
          <w:tcPr>
            <w:tcW w:w="420" w:type="dxa"/>
            <w:vAlign w:val="bottom"/>
            <w:shd w:val="clear" w:color="auto" w:fill="E3F3EE"/>
          </w:tcPr>
          <w:p>
            <w:pPr>
              <w:jc w:val="right"/>
              <w:ind w:right="27"/>
              <w:spacing w:after="0" w:line="100" w:lineRule="exact"/>
              <w:rPr>
                <w:sz w:val="20"/>
                <w:szCs w:val="20"/>
                <w:color w:val="auto"/>
              </w:rPr>
            </w:pPr>
            <w:r>
              <w:rPr>
                <w:rFonts w:ascii="Arial" w:cs="Arial" w:eastAsia="Arial" w:hAnsi="Arial"/>
                <w:sz w:val="11"/>
                <w:szCs w:val="11"/>
                <w:b w:val="1"/>
                <w:bCs w:val="1"/>
                <w:color w:val="auto"/>
              </w:rPr>
              <w:t xml:space="preserve">- </w:t>
            </w:r>
          </w:p>
        </w:tc>
        <w:tc>
          <w:tcPr>
            <w:tcW w:w="200" w:type="dxa"/>
            <w:vAlign w:val="bottom"/>
          </w:tcPr>
          <w:p>
            <w:pPr>
              <w:spacing w:after="0"/>
              <w:rPr>
                <w:sz w:val="8"/>
                <w:szCs w:val="8"/>
                <w:color w:val="auto"/>
              </w:rPr>
            </w:pPr>
          </w:p>
        </w:tc>
        <w:tc>
          <w:tcPr>
            <w:tcW w:w="100" w:type="dxa"/>
            <w:vAlign w:val="bottom"/>
            <w:shd w:val="clear" w:color="auto" w:fill="E3F3EE"/>
          </w:tcPr>
          <w:p>
            <w:pPr>
              <w:spacing w:after="0"/>
              <w:rPr>
                <w:sz w:val="8"/>
                <w:szCs w:val="8"/>
                <w:color w:val="auto"/>
              </w:rPr>
            </w:pPr>
          </w:p>
        </w:tc>
        <w:tc>
          <w:tcPr>
            <w:tcW w:w="460" w:type="dxa"/>
            <w:vAlign w:val="bottom"/>
            <w:shd w:val="clear" w:color="auto" w:fill="E3F3EE"/>
          </w:tcPr>
          <w:p>
            <w:pPr>
              <w:jc w:val="right"/>
              <w:ind w:right="7"/>
              <w:spacing w:after="0" w:line="100" w:lineRule="exact"/>
              <w:rPr>
                <w:sz w:val="20"/>
                <w:szCs w:val="20"/>
                <w:color w:val="auto"/>
              </w:rPr>
            </w:pPr>
            <w:r>
              <w:rPr>
                <w:rFonts w:ascii="Arial" w:cs="Arial" w:eastAsia="Arial" w:hAnsi="Arial"/>
                <w:sz w:val="11"/>
                <w:szCs w:val="11"/>
                <w:b w:val="1"/>
                <w:bCs w:val="1"/>
                <w:color w:val="auto"/>
              </w:rPr>
              <w:t xml:space="preserve">- </w:t>
            </w:r>
          </w:p>
        </w:tc>
        <w:tc>
          <w:tcPr>
            <w:tcW w:w="980" w:type="dxa"/>
            <w:vAlign w:val="bottom"/>
          </w:tcPr>
          <w:p>
            <w:pPr>
              <w:ind w:left="840"/>
              <w:spacing w:after="0" w:line="100" w:lineRule="exact"/>
              <w:rPr>
                <w:sz w:val="20"/>
                <w:szCs w:val="20"/>
                <w:color w:val="auto"/>
              </w:rPr>
            </w:pPr>
            <w:r>
              <w:rPr>
                <w:rFonts w:ascii="Arial" w:cs="Arial" w:eastAsia="Arial" w:hAnsi="Arial"/>
                <w:sz w:val="11"/>
                <w:szCs w:val="11"/>
                <w:b w:val="1"/>
                <w:bCs w:val="1"/>
                <w:color w:val="auto"/>
              </w:rPr>
              <w:t xml:space="preserve">- </w:t>
            </w:r>
          </w:p>
        </w:tc>
        <w:tc>
          <w:tcPr>
            <w:tcW w:w="760" w:type="dxa"/>
            <w:vAlign w:val="bottom"/>
          </w:tcPr>
          <w:p>
            <w:pPr>
              <w:ind w:left="620"/>
              <w:spacing w:after="0" w:line="100" w:lineRule="exact"/>
              <w:rPr>
                <w:sz w:val="20"/>
                <w:szCs w:val="20"/>
                <w:color w:val="auto"/>
              </w:rPr>
            </w:pPr>
            <w:r>
              <w:rPr>
                <w:rFonts w:ascii="Arial" w:cs="Arial" w:eastAsia="Arial" w:hAnsi="Arial"/>
                <w:sz w:val="11"/>
                <w:szCs w:val="11"/>
                <w:b w:val="1"/>
                <w:bCs w:val="1"/>
                <w:color w:val="auto"/>
              </w:rPr>
              <w:t xml:space="preserve">- </w:t>
            </w:r>
          </w:p>
        </w:tc>
        <w:tc>
          <w:tcPr>
            <w:tcW w:w="140" w:type="dxa"/>
            <w:vAlign w:val="bottom"/>
            <w:shd w:val="clear" w:color="auto" w:fill="E3F3EE"/>
          </w:tcPr>
          <w:p>
            <w:pPr>
              <w:spacing w:after="0"/>
              <w:rPr>
                <w:sz w:val="8"/>
                <w:szCs w:val="8"/>
                <w:color w:val="auto"/>
              </w:rPr>
            </w:pPr>
          </w:p>
        </w:tc>
        <w:tc>
          <w:tcPr>
            <w:tcW w:w="900" w:type="dxa"/>
            <w:vAlign w:val="bottom"/>
            <w:shd w:val="clear" w:color="auto" w:fill="E3F3EE"/>
          </w:tcPr>
          <w:p>
            <w:pPr>
              <w:ind w:left="760"/>
              <w:spacing w:after="0" w:line="100" w:lineRule="exact"/>
              <w:rPr>
                <w:sz w:val="20"/>
                <w:szCs w:val="20"/>
                <w:color w:val="auto"/>
              </w:rPr>
            </w:pPr>
            <w:r>
              <w:rPr>
                <w:rFonts w:ascii="Arial" w:cs="Arial" w:eastAsia="Arial" w:hAnsi="Arial"/>
                <w:sz w:val="11"/>
                <w:szCs w:val="11"/>
                <w:b w:val="1"/>
                <w:bCs w:val="1"/>
                <w:color w:val="auto"/>
              </w:rPr>
              <w:t xml:space="preserve">- </w:t>
            </w:r>
          </w:p>
        </w:tc>
        <w:tc>
          <w:tcPr>
            <w:tcW w:w="840" w:type="dxa"/>
            <w:vAlign w:val="bottom"/>
          </w:tcPr>
          <w:p>
            <w:pPr>
              <w:jc w:val="right"/>
              <w:ind w:right="27"/>
              <w:spacing w:after="0" w:line="100" w:lineRule="exact"/>
              <w:rPr>
                <w:sz w:val="20"/>
                <w:szCs w:val="20"/>
                <w:color w:val="auto"/>
              </w:rPr>
            </w:pPr>
            <w:r>
              <w:rPr>
                <w:rFonts w:ascii="Arial" w:cs="Arial" w:eastAsia="Arial" w:hAnsi="Arial"/>
                <w:sz w:val="11"/>
                <w:szCs w:val="11"/>
                <w:b w:val="1"/>
                <w:bCs w:val="1"/>
                <w:color w:val="auto"/>
              </w:rPr>
              <w:t xml:space="preserve">- </w:t>
            </w:r>
          </w:p>
        </w:tc>
        <w:tc>
          <w:tcPr>
            <w:tcW w:w="800" w:type="dxa"/>
            <w:vAlign w:val="bottom"/>
          </w:tcPr>
          <w:p>
            <w:pPr>
              <w:ind w:left="520"/>
              <w:spacing w:after="0" w:line="100" w:lineRule="exact"/>
              <w:rPr>
                <w:sz w:val="20"/>
                <w:szCs w:val="20"/>
                <w:color w:val="auto"/>
              </w:rPr>
            </w:pPr>
            <w:r>
              <w:rPr>
                <w:rFonts w:ascii="Arial" w:cs="Arial" w:eastAsia="Arial" w:hAnsi="Arial"/>
                <w:sz w:val="11"/>
                <w:szCs w:val="11"/>
                <w:b w:val="1"/>
                <w:bCs w:val="1"/>
                <w:color w:val="auto"/>
              </w:rPr>
              <w:t>388 </w:t>
            </w:r>
          </w:p>
        </w:tc>
        <w:tc>
          <w:tcPr>
            <w:tcW w:w="720" w:type="dxa"/>
            <w:vAlign w:val="bottom"/>
            <w:shd w:val="clear" w:color="auto" w:fill="E3F3EE"/>
          </w:tcPr>
          <w:p>
            <w:pPr>
              <w:jc w:val="right"/>
              <w:ind w:right="47"/>
              <w:spacing w:after="0" w:line="100" w:lineRule="exact"/>
              <w:rPr>
                <w:sz w:val="20"/>
                <w:szCs w:val="20"/>
                <w:color w:val="auto"/>
              </w:rPr>
            </w:pPr>
            <w:r>
              <w:rPr>
                <w:rFonts w:ascii="Arial" w:cs="Arial" w:eastAsia="Arial" w:hAnsi="Arial"/>
                <w:sz w:val="11"/>
                <w:szCs w:val="11"/>
                <w:b w:val="1"/>
                <w:bCs w:val="1"/>
                <w:color w:val="auto"/>
              </w:rPr>
              <w:t>388</w:t>
            </w:r>
          </w:p>
        </w:tc>
        <w:tc>
          <w:tcPr>
            <w:tcW w:w="0" w:type="dxa"/>
            <w:vAlign w:val="bottom"/>
          </w:tcPr>
          <w:p>
            <w:pPr>
              <w:spacing w:after="0"/>
              <w:rPr>
                <w:sz w:val="1"/>
                <w:szCs w:val="1"/>
                <w:color w:val="auto"/>
              </w:rPr>
            </w:pPr>
          </w:p>
        </w:tc>
      </w:tr>
      <w:tr>
        <w:trPr>
          <w:trHeight w:val="119"/>
        </w:trPr>
        <w:tc>
          <w:tcPr>
            <w:tcW w:w="3040" w:type="dxa"/>
            <w:vAlign w:val="bottom"/>
          </w:tcPr>
          <w:p>
            <w:pPr>
              <w:spacing w:after="0" w:line="120" w:lineRule="exact"/>
              <w:rPr>
                <w:sz w:val="20"/>
                <w:szCs w:val="20"/>
                <w:color w:val="auto"/>
              </w:rPr>
            </w:pPr>
            <w:r>
              <w:rPr>
                <w:rFonts w:ascii="Arial" w:cs="Arial" w:eastAsia="Arial" w:hAnsi="Arial"/>
                <w:sz w:val="11"/>
                <w:szCs w:val="11"/>
                <w:color w:val="auto"/>
              </w:rPr>
              <w:t>Purchase of non-controlling interests</w:t>
            </w:r>
          </w:p>
        </w:tc>
        <w:tc>
          <w:tcPr>
            <w:tcW w:w="640" w:type="dxa"/>
            <w:vAlign w:val="bottom"/>
          </w:tcPr>
          <w:p>
            <w:pPr>
              <w:ind w:left="500"/>
              <w:spacing w:after="0" w:line="120" w:lineRule="exact"/>
              <w:rPr>
                <w:sz w:val="20"/>
                <w:szCs w:val="20"/>
                <w:color w:val="auto"/>
              </w:rPr>
            </w:pPr>
            <w:r>
              <w:rPr>
                <w:rFonts w:ascii="Arial" w:cs="Arial" w:eastAsia="Arial" w:hAnsi="Arial"/>
                <w:sz w:val="11"/>
                <w:szCs w:val="11"/>
                <w:b w:val="1"/>
                <w:bCs w:val="1"/>
                <w:color w:val="auto"/>
              </w:rPr>
              <w:t xml:space="preserve">- </w:t>
            </w:r>
          </w:p>
        </w:tc>
        <w:tc>
          <w:tcPr>
            <w:tcW w:w="720" w:type="dxa"/>
            <w:vAlign w:val="bottom"/>
          </w:tcPr>
          <w:p>
            <w:pPr>
              <w:ind w:left="580"/>
              <w:spacing w:after="0" w:line="120" w:lineRule="exact"/>
              <w:rPr>
                <w:sz w:val="20"/>
                <w:szCs w:val="20"/>
                <w:color w:val="auto"/>
              </w:rPr>
            </w:pPr>
            <w:r>
              <w:rPr>
                <w:rFonts w:ascii="Arial" w:cs="Arial" w:eastAsia="Arial" w:hAnsi="Arial"/>
                <w:sz w:val="11"/>
                <w:szCs w:val="11"/>
                <w:b w:val="1"/>
                <w:bCs w:val="1"/>
                <w:color w:val="auto"/>
              </w:rPr>
              <w:t xml:space="preserve">- </w:t>
            </w:r>
          </w:p>
        </w:tc>
        <w:tc>
          <w:tcPr>
            <w:tcW w:w="80" w:type="dxa"/>
            <w:vAlign w:val="bottom"/>
            <w:shd w:val="clear" w:color="auto" w:fill="E3F3EE"/>
          </w:tcPr>
          <w:p>
            <w:pPr>
              <w:spacing w:after="0"/>
              <w:rPr>
                <w:sz w:val="10"/>
                <w:szCs w:val="10"/>
                <w:color w:val="auto"/>
              </w:rPr>
            </w:pPr>
          </w:p>
        </w:tc>
        <w:tc>
          <w:tcPr>
            <w:tcW w:w="420" w:type="dxa"/>
            <w:vAlign w:val="bottom"/>
            <w:shd w:val="clear" w:color="auto" w:fill="E3F3EE"/>
          </w:tcPr>
          <w:p>
            <w:pPr>
              <w:jc w:val="right"/>
              <w:ind w:right="27"/>
              <w:spacing w:after="0" w:line="120" w:lineRule="exact"/>
              <w:rPr>
                <w:sz w:val="20"/>
                <w:szCs w:val="20"/>
                <w:color w:val="auto"/>
              </w:rPr>
            </w:pPr>
            <w:r>
              <w:rPr>
                <w:rFonts w:ascii="Arial" w:cs="Arial" w:eastAsia="Arial" w:hAnsi="Arial"/>
                <w:sz w:val="11"/>
                <w:szCs w:val="11"/>
                <w:b w:val="1"/>
                <w:bCs w:val="1"/>
                <w:color w:val="auto"/>
              </w:rPr>
              <w:t xml:space="preserve">- </w:t>
            </w:r>
          </w:p>
        </w:tc>
        <w:tc>
          <w:tcPr>
            <w:tcW w:w="200" w:type="dxa"/>
            <w:vAlign w:val="bottom"/>
          </w:tcPr>
          <w:p>
            <w:pPr>
              <w:spacing w:after="0"/>
              <w:rPr>
                <w:sz w:val="10"/>
                <w:szCs w:val="10"/>
                <w:color w:val="auto"/>
              </w:rPr>
            </w:pPr>
          </w:p>
        </w:tc>
        <w:tc>
          <w:tcPr>
            <w:tcW w:w="100" w:type="dxa"/>
            <w:vAlign w:val="bottom"/>
            <w:shd w:val="clear" w:color="auto" w:fill="E3F3EE"/>
          </w:tcPr>
          <w:p>
            <w:pPr>
              <w:spacing w:after="0"/>
              <w:rPr>
                <w:sz w:val="10"/>
                <w:szCs w:val="10"/>
                <w:color w:val="auto"/>
              </w:rPr>
            </w:pPr>
          </w:p>
        </w:tc>
        <w:tc>
          <w:tcPr>
            <w:tcW w:w="460" w:type="dxa"/>
            <w:vAlign w:val="bottom"/>
            <w:shd w:val="clear" w:color="auto" w:fill="E3F3EE"/>
          </w:tcPr>
          <w:p>
            <w:pPr>
              <w:jc w:val="right"/>
              <w:ind w:right="7"/>
              <w:spacing w:after="0" w:line="120" w:lineRule="exact"/>
              <w:rPr>
                <w:sz w:val="20"/>
                <w:szCs w:val="20"/>
                <w:color w:val="auto"/>
              </w:rPr>
            </w:pPr>
            <w:r>
              <w:rPr>
                <w:rFonts w:ascii="Arial" w:cs="Arial" w:eastAsia="Arial" w:hAnsi="Arial"/>
                <w:sz w:val="11"/>
                <w:szCs w:val="11"/>
                <w:b w:val="1"/>
                <w:bCs w:val="1"/>
                <w:color w:val="auto"/>
              </w:rPr>
              <w:t>(4)</w:t>
            </w:r>
          </w:p>
        </w:tc>
        <w:tc>
          <w:tcPr>
            <w:tcW w:w="980" w:type="dxa"/>
            <w:vAlign w:val="bottom"/>
          </w:tcPr>
          <w:p>
            <w:pPr>
              <w:ind w:left="840"/>
              <w:spacing w:after="0" w:line="120" w:lineRule="exact"/>
              <w:rPr>
                <w:sz w:val="20"/>
                <w:szCs w:val="20"/>
                <w:color w:val="auto"/>
              </w:rPr>
            </w:pPr>
            <w:r>
              <w:rPr>
                <w:rFonts w:ascii="Arial" w:cs="Arial" w:eastAsia="Arial" w:hAnsi="Arial"/>
                <w:sz w:val="11"/>
                <w:szCs w:val="11"/>
                <w:b w:val="1"/>
                <w:bCs w:val="1"/>
                <w:color w:val="auto"/>
              </w:rPr>
              <w:t xml:space="preserve">- </w:t>
            </w:r>
          </w:p>
        </w:tc>
        <w:tc>
          <w:tcPr>
            <w:tcW w:w="760" w:type="dxa"/>
            <w:vAlign w:val="bottom"/>
          </w:tcPr>
          <w:p>
            <w:pPr>
              <w:ind w:left="620"/>
              <w:spacing w:after="0" w:line="120" w:lineRule="exact"/>
              <w:rPr>
                <w:sz w:val="20"/>
                <w:szCs w:val="20"/>
                <w:color w:val="auto"/>
              </w:rPr>
            </w:pPr>
            <w:r>
              <w:rPr>
                <w:rFonts w:ascii="Arial" w:cs="Arial" w:eastAsia="Arial" w:hAnsi="Arial"/>
                <w:sz w:val="11"/>
                <w:szCs w:val="11"/>
                <w:b w:val="1"/>
                <w:bCs w:val="1"/>
                <w:color w:val="auto"/>
              </w:rPr>
              <w:t xml:space="preserve">- </w:t>
            </w:r>
          </w:p>
        </w:tc>
        <w:tc>
          <w:tcPr>
            <w:tcW w:w="140" w:type="dxa"/>
            <w:vAlign w:val="bottom"/>
            <w:shd w:val="clear" w:color="auto" w:fill="E3F3EE"/>
          </w:tcPr>
          <w:p>
            <w:pPr>
              <w:spacing w:after="0"/>
              <w:rPr>
                <w:sz w:val="10"/>
                <w:szCs w:val="10"/>
                <w:color w:val="auto"/>
              </w:rPr>
            </w:pPr>
          </w:p>
        </w:tc>
        <w:tc>
          <w:tcPr>
            <w:tcW w:w="900" w:type="dxa"/>
            <w:vAlign w:val="bottom"/>
            <w:shd w:val="clear" w:color="auto" w:fill="E3F3EE"/>
          </w:tcPr>
          <w:p>
            <w:pPr>
              <w:ind w:left="760"/>
              <w:spacing w:after="0" w:line="120" w:lineRule="exact"/>
              <w:rPr>
                <w:sz w:val="20"/>
                <w:szCs w:val="20"/>
                <w:color w:val="auto"/>
              </w:rPr>
            </w:pPr>
            <w:r>
              <w:rPr>
                <w:rFonts w:ascii="Arial" w:cs="Arial" w:eastAsia="Arial" w:hAnsi="Arial"/>
                <w:sz w:val="11"/>
                <w:szCs w:val="11"/>
                <w:b w:val="1"/>
                <w:bCs w:val="1"/>
                <w:color w:val="auto"/>
              </w:rPr>
              <w:t xml:space="preserve">- </w:t>
            </w:r>
          </w:p>
        </w:tc>
        <w:tc>
          <w:tcPr>
            <w:tcW w:w="840" w:type="dxa"/>
            <w:vAlign w:val="bottom"/>
          </w:tcPr>
          <w:p>
            <w:pPr>
              <w:jc w:val="right"/>
              <w:ind w:right="27"/>
              <w:spacing w:after="0" w:line="120" w:lineRule="exact"/>
              <w:rPr>
                <w:sz w:val="20"/>
                <w:szCs w:val="20"/>
                <w:color w:val="auto"/>
              </w:rPr>
            </w:pPr>
            <w:r>
              <w:rPr>
                <w:rFonts w:ascii="Arial" w:cs="Arial" w:eastAsia="Arial" w:hAnsi="Arial"/>
                <w:sz w:val="11"/>
                <w:szCs w:val="11"/>
                <w:b w:val="1"/>
                <w:bCs w:val="1"/>
                <w:color w:val="auto"/>
              </w:rPr>
              <w:t>(4)</w:t>
            </w:r>
          </w:p>
        </w:tc>
        <w:tc>
          <w:tcPr>
            <w:tcW w:w="800" w:type="dxa"/>
            <w:vAlign w:val="bottom"/>
          </w:tcPr>
          <w:p>
            <w:pPr>
              <w:jc w:val="right"/>
              <w:ind w:right="7"/>
              <w:spacing w:after="0" w:line="120" w:lineRule="exact"/>
              <w:rPr>
                <w:sz w:val="20"/>
                <w:szCs w:val="20"/>
                <w:color w:val="auto"/>
              </w:rPr>
            </w:pPr>
            <w:r>
              <w:rPr>
                <w:rFonts w:ascii="Arial" w:cs="Arial" w:eastAsia="Arial" w:hAnsi="Arial"/>
                <w:sz w:val="11"/>
                <w:szCs w:val="11"/>
                <w:b w:val="1"/>
                <w:bCs w:val="1"/>
                <w:color w:val="auto"/>
              </w:rPr>
              <w:t>(380)</w:t>
            </w:r>
          </w:p>
        </w:tc>
        <w:tc>
          <w:tcPr>
            <w:tcW w:w="720" w:type="dxa"/>
            <w:vAlign w:val="bottom"/>
            <w:shd w:val="clear" w:color="auto" w:fill="E3F3EE"/>
          </w:tcPr>
          <w:p>
            <w:pPr>
              <w:jc w:val="right"/>
              <w:ind w:right="7"/>
              <w:spacing w:after="0" w:line="120" w:lineRule="exact"/>
              <w:rPr>
                <w:sz w:val="20"/>
                <w:szCs w:val="20"/>
                <w:color w:val="auto"/>
              </w:rPr>
            </w:pPr>
            <w:r>
              <w:rPr>
                <w:rFonts w:ascii="Arial" w:cs="Arial" w:eastAsia="Arial" w:hAnsi="Arial"/>
                <w:sz w:val="11"/>
                <w:szCs w:val="11"/>
                <w:b w:val="1"/>
                <w:bCs w:val="1"/>
                <w:color w:val="auto"/>
              </w:rPr>
              <w:t>(384)</w:t>
            </w:r>
          </w:p>
        </w:tc>
        <w:tc>
          <w:tcPr>
            <w:tcW w:w="0" w:type="dxa"/>
            <w:vAlign w:val="bottom"/>
          </w:tcPr>
          <w:p>
            <w:pPr>
              <w:spacing w:after="0"/>
              <w:rPr>
                <w:sz w:val="1"/>
                <w:szCs w:val="1"/>
                <w:color w:val="auto"/>
              </w:rPr>
            </w:pPr>
          </w:p>
        </w:tc>
      </w:tr>
      <w:tr>
        <w:trPr>
          <w:trHeight w:val="119"/>
        </w:trPr>
        <w:tc>
          <w:tcPr>
            <w:tcW w:w="3040" w:type="dxa"/>
            <w:vAlign w:val="bottom"/>
          </w:tcPr>
          <w:p>
            <w:pPr>
              <w:spacing w:after="0" w:line="120" w:lineRule="exact"/>
              <w:rPr>
                <w:sz w:val="20"/>
                <w:szCs w:val="20"/>
                <w:color w:val="auto"/>
              </w:rPr>
            </w:pPr>
            <w:r>
              <w:rPr>
                <w:rFonts w:ascii="Arial" w:cs="Arial" w:eastAsia="Arial" w:hAnsi="Arial"/>
                <w:sz w:val="11"/>
                <w:szCs w:val="11"/>
                <w:color w:val="auto"/>
              </w:rPr>
              <w:t>Transfer of gain on disposal of equity investments to retained</w:t>
            </w: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shd w:val="clear" w:color="auto" w:fill="E3F3EE"/>
          </w:tcPr>
          <w:p>
            <w:pPr>
              <w:spacing w:after="0"/>
              <w:rPr>
                <w:sz w:val="10"/>
                <w:szCs w:val="10"/>
                <w:color w:val="auto"/>
              </w:rPr>
            </w:pPr>
          </w:p>
        </w:tc>
        <w:tc>
          <w:tcPr>
            <w:tcW w:w="420" w:type="dxa"/>
            <w:vAlign w:val="bottom"/>
            <w:shd w:val="clear" w:color="auto" w:fill="E3F3E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shd w:val="clear" w:color="auto" w:fill="E3F3EE"/>
          </w:tcPr>
          <w:p>
            <w:pPr>
              <w:spacing w:after="0"/>
              <w:rPr>
                <w:sz w:val="10"/>
                <w:szCs w:val="10"/>
                <w:color w:val="auto"/>
              </w:rPr>
            </w:pPr>
          </w:p>
        </w:tc>
        <w:tc>
          <w:tcPr>
            <w:tcW w:w="460" w:type="dxa"/>
            <w:vAlign w:val="bottom"/>
            <w:shd w:val="clear" w:color="auto" w:fill="E3F3EE"/>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shd w:val="clear" w:color="auto" w:fill="E3F3EE"/>
          </w:tcPr>
          <w:p>
            <w:pPr>
              <w:spacing w:after="0"/>
              <w:rPr>
                <w:sz w:val="10"/>
                <w:szCs w:val="10"/>
                <w:color w:val="auto"/>
              </w:rPr>
            </w:pPr>
          </w:p>
        </w:tc>
        <w:tc>
          <w:tcPr>
            <w:tcW w:w="900" w:type="dxa"/>
            <w:vAlign w:val="bottom"/>
            <w:shd w:val="clear" w:color="auto" w:fill="E3F3EE"/>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shd w:val="clear" w:color="auto" w:fill="E3F3EE"/>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040" w:type="dxa"/>
            <w:vAlign w:val="bottom"/>
          </w:tcPr>
          <w:p>
            <w:pPr>
              <w:ind w:left="140"/>
              <w:spacing w:after="0" w:line="120" w:lineRule="exact"/>
              <w:rPr>
                <w:sz w:val="20"/>
                <w:szCs w:val="20"/>
                <w:color w:val="auto"/>
              </w:rPr>
            </w:pPr>
            <w:r>
              <w:rPr>
                <w:rFonts w:ascii="Arial" w:cs="Arial" w:eastAsia="Arial" w:hAnsi="Arial"/>
                <w:sz w:val="11"/>
                <w:szCs w:val="11"/>
                <w:color w:val="auto"/>
              </w:rPr>
              <w:t>earnings</w:t>
            </w:r>
          </w:p>
        </w:tc>
        <w:tc>
          <w:tcPr>
            <w:tcW w:w="640" w:type="dxa"/>
            <w:vAlign w:val="bottom"/>
          </w:tcPr>
          <w:p>
            <w:pPr>
              <w:ind w:left="500"/>
              <w:spacing w:after="0" w:line="120" w:lineRule="exact"/>
              <w:rPr>
                <w:sz w:val="20"/>
                <w:szCs w:val="20"/>
                <w:color w:val="auto"/>
              </w:rPr>
            </w:pPr>
            <w:r>
              <w:rPr>
                <w:rFonts w:ascii="Arial" w:cs="Arial" w:eastAsia="Arial" w:hAnsi="Arial"/>
                <w:sz w:val="11"/>
                <w:szCs w:val="11"/>
                <w:b w:val="1"/>
                <w:bCs w:val="1"/>
                <w:color w:val="auto"/>
              </w:rPr>
              <w:t xml:space="preserve">- </w:t>
            </w:r>
          </w:p>
        </w:tc>
        <w:tc>
          <w:tcPr>
            <w:tcW w:w="720" w:type="dxa"/>
            <w:vAlign w:val="bottom"/>
          </w:tcPr>
          <w:p>
            <w:pPr>
              <w:ind w:left="580"/>
              <w:spacing w:after="0" w:line="120" w:lineRule="exact"/>
              <w:rPr>
                <w:sz w:val="20"/>
                <w:szCs w:val="20"/>
                <w:color w:val="auto"/>
              </w:rPr>
            </w:pPr>
            <w:r>
              <w:rPr>
                <w:rFonts w:ascii="Arial" w:cs="Arial" w:eastAsia="Arial" w:hAnsi="Arial"/>
                <w:sz w:val="11"/>
                <w:szCs w:val="11"/>
                <w:b w:val="1"/>
                <w:bCs w:val="1"/>
                <w:color w:val="auto"/>
              </w:rPr>
              <w:t xml:space="preserve">- </w:t>
            </w:r>
          </w:p>
        </w:tc>
        <w:tc>
          <w:tcPr>
            <w:tcW w:w="80" w:type="dxa"/>
            <w:vAlign w:val="bottom"/>
            <w:shd w:val="clear" w:color="auto" w:fill="E3F3EE"/>
          </w:tcPr>
          <w:p>
            <w:pPr>
              <w:spacing w:after="0"/>
              <w:rPr>
                <w:sz w:val="10"/>
                <w:szCs w:val="10"/>
                <w:color w:val="auto"/>
              </w:rPr>
            </w:pPr>
          </w:p>
        </w:tc>
        <w:tc>
          <w:tcPr>
            <w:tcW w:w="420" w:type="dxa"/>
            <w:vAlign w:val="bottom"/>
            <w:shd w:val="clear" w:color="auto" w:fill="E3F3EE"/>
          </w:tcPr>
          <w:p>
            <w:pPr>
              <w:jc w:val="right"/>
              <w:ind w:right="27"/>
              <w:spacing w:after="0" w:line="120" w:lineRule="exact"/>
              <w:rPr>
                <w:sz w:val="20"/>
                <w:szCs w:val="20"/>
                <w:color w:val="auto"/>
              </w:rPr>
            </w:pPr>
            <w:r>
              <w:rPr>
                <w:rFonts w:ascii="Arial" w:cs="Arial" w:eastAsia="Arial" w:hAnsi="Arial"/>
                <w:sz w:val="11"/>
                <w:szCs w:val="11"/>
                <w:b w:val="1"/>
                <w:bCs w:val="1"/>
                <w:color w:val="auto"/>
              </w:rPr>
              <w:t xml:space="preserve">- </w:t>
            </w:r>
          </w:p>
        </w:tc>
        <w:tc>
          <w:tcPr>
            <w:tcW w:w="200" w:type="dxa"/>
            <w:vAlign w:val="bottom"/>
          </w:tcPr>
          <w:p>
            <w:pPr>
              <w:spacing w:after="0"/>
              <w:rPr>
                <w:sz w:val="10"/>
                <w:szCs w:val="10"/>
                <w:color w:val="auto"/>
              </w:rPr>
            </w:pPr>
          </w:p>
        </w:tc>
        <w:tc>
          <w:tcPr>
            <w:tcW w:w="100" w:type="dxa"/>
            <w:vAlign w:val="bottom"/>
            <w:shd w:val="clear" w:color="auto" w:fill="E3F3EE"/>
          </w:tcPr>
          <w:p>
            <w:pPr>
              <w:spacing w:after="0"/>
              <w:rPr>
                <w:sz w:val="10"/>
                <w:szCs w:val="10"/>
                <w:color w:val="auto"/>
              </w:rPr>
            </w:pPr>
          </w:p>
        </w:tc>
        <w:tc>
          <w:tcPr>
            <w:tcW w:w="460" w:type="dxa"/>
            <w:vAlign w:val="bottom"/>
            <w:shd w:val="clear" w:color="auto" w:fill="E3F3EE"/>
          </w:tcPr>
          <w:p>
            <w:pPr>
              <w:jc w:val="right"/>
              <w:ind w:right="7"/>
              <w:spacing w:after="0" w:line="120" w:lineRule="exact"/>
              <w:rPr>
                <w:sz w:val="20"/>
                <w:szCs w:val="20"/>
                <w:color w:val="auto"/>
              </w:rPr>
            </w:pPr>
            <w:r>
              <w:rPr>
                <w:rFonts w:ascii="Arial" w:cs="Arial" w:eastAsia="Arial" w:hAnsi="Arial"/>
                <w:sz w:val="11"/>
                <w:szCs w:val="11"/>
                <w:b w:val="1"/>
                <w:bCs w:val="1"/>
                <w:color w:val="auto"/>
              </w:rPr>
              <w:t>25 </w:t>
            </w:r>
          </w:p>
        </w:tc>
        <w:tc>
          <w:tcPr>
            <w:tcW w:w="980" w:type="dxa"/>
            <w:vAlign w:val="bottom"/>
          </w:tcPr>
          <w:p>
            <w:pPr>
              <w:ind w:left="720"/>
              <w:spacing w:after="0" w:line="120" w:lineRule="exact"/>
              <w:rPr>
                <w:sz w:val="20"/>
                <w:szCs w:val="20"/>
                <w:color w:val="auto"/>
              </w:rPr>
            </w:pPr>
            <w:r>
              <w:rPr>
                <w:rFonts w:ascii="Arial" w:cs="Arial" w:eastAsia="Arial" w:hAnsi="Arial"/>
                <w:sz w:val="11"/>
                <w:szCs w:val="11"/>
                <w:b w:val="1"/>
                <w:bCs w:val="1"/>
                <w:color w:val="auto"/>
              </w:rPr>
              <w:t>(25)</w:t>
            </w:r>
          </w:p>
        </w:tc>
        <w:tc>
          <w:tcPr>
            <w:tcW w:w="760" w:type="dxa"/>
            <w:vAlign w:val="bottom"/>
          </w:tcPr>
          <w:p>
            <w:pPr>
              <w:ind w:left="620"/>
              <w:spacing w:after="0" w:line="120" w:lineRule="exact"/>
              <w:rPr>
                <w:sz w:val="20"/>
                <w:szCs w:val="20"/>
                <w:color w:val="auto"/>
              </w:rPr>
            </w:pPr>
            <w:r>
              <w:rPr>
                <w:rFonts w:ascii="Arial" w:cs="Arial" w:eastAsia="Arial" w:hAnsi="Arial"/>
                <w:sz w:val="11"/>
                <w:szCs w:val="11"/>
                <w:b w:val="1"/>
                <w:bCs w:val="1"/>
                <w:color w:val="auto"/>
              </w:rPr>
              <w:t xml:space="preserve">- </w:t>
            </w:r>
          </w:p>
        </w:tc>
        <w:tc>
          <w:tcPr>
            <w:tcW w:w="140" w:type="dxa"/>
            <w:vAlign w:val="bottom"/>
            <w:shd w:val="clear" w:color="auto" w:fill="E3F3EE"/>
          </w:tcPr>
          <w:p>
            <w:pPr>
              <w:spacing w:after="0"/>
              <w:rPr>
                <w:sz w:val="10"/>
                <w:szCs w:val="10"/>
                <w:color w:val="auto"/>
              </w:rPr>
            </w:pPr>
          </w:p>
        </w:tc>
        <w:tc>
          <w:tcPr>
            <w:tcW w:w="900" w:type="dxa"/>
            <w:vAlign w:val="bottom"/>
            <w:shd w:val="clear" w:color="auto" w:fill="E3F3EE"/>
          </w:tcPr>
          <w:p>
            <w:pPr>
              <w:jc w:val="right"/>
              <w:ind w:right="7"/>
              <w:spacing w:after="0" w:line="120" w:lineRule="exact"/>
              <w:rPr>
                <w:sz w:val="20"/>
                <w:szCs w:val="20"/>
                <w:color w:val="auto"/>
              </w:rPr>
            </w:pPr>
            <w:r>
              <w:rPr>
                <w:rFonts w:ascii="Arial" w:cs="Arial" w:eastAsia="Arial" w:hAnsi="Arial"/>
                <w:sz w:val="11"/>
                <w:szCs w:val="11"/>
                <w:b w:val="1"/>
                <w:bCs w:val="1"/>
                <w:color w:val="auto"/>
              </w:rPr>
              <w:t>(25)</w:t>
            </w:r>
          </w:p>
        </w:tc>
        <w:tc>
          <w:tcPr>
            <w:tcW w:w="840" w:type="dxa"/>
            <w:vAlign w:val="bottom"/>
          </w:tcPr>
          <w:p>
            <w:pPr>
              <w:jc w:val="right"/>
              <w:ind w:right="27"/>
              <w:spacing w:after="0" w:line="120" w:lineRule="exact"/>
              <w:rPr>
                <w:sz w:val="20"/>
                <w:szCs w:val="20"/>
                <w:color w:val="auto"/>
              </w:rPr>
            </w:pPr>
            <w:r>
              <w:rPr>
                <w:rFonts w:ascii="Arial" w:cs="Arial" w:eastAsia="Arial" w:hAnsi="Arial"/>
                <w:sz w:val="11"/>
                <w:szCs w:val="11"/>
                <w:b w:val="1"/>
                <w:bCs w:val="1"/>
                <w:color w:val="auto"/>
              </w:rPr>
              <w:t xml:space="preserve">- </w:t>
            </w:r>
          </w:p>
        </w:tc>
        <w:tc>
          <w:tcPr>
            <w:tcW w:w="800" w:type="dxa"/>
            <w:vAlign w:val="bottom"/>
          </w:tcPr>
          <w:p>
            <w:pPr>
              <w:ind w:left="660"/>
              <w:spacing w:after="0" w:line="120" w:lineRule="exact"/>
              <w:rPr>
                <w:sz w:val="20"/>
                <w:szCs w:val="20"/>
                <w:color w:val="auto"/>
              </w:rPr>
            </w:pPr>
            <w:r>
              <w:rPr>
                <w:rFonts w:ascii="Arial" w:cs="Arial" w:eastAsia="Arial" w:hAnsi="Arial"/>
                <w:sz w:val="11"/>
                <w:szCs w:val="11"/>
                <w:b w:val="1"/>
                <w:bCs w:val="1"/>
                <w:color w:val="auto"/>
              </w:rPr>
              <w:t xml:space="preserve">- </w:t>
            </w:r>
          </w:p>
        </w:tc>
        <w:tc>
          <w:tcPr>
            <w:tcW w:w="720" w:type="dxa"/>
            <w:vAlign w:val="bottom"/>
            <w:shd w:val="clear" w:color="auto" w:fill="E3F3EE"/>
          </w:tcPr>
          <w:p>
            <w:pPr>
              <w:jc w:val="right"/>
              <w:ind w:right="7"/>
              <w:spacing w:after="0" w:line="120" w:lineRule="exact"/>
              <w:rPr>
                <w:sz w:val="20"/>
                <w:szCs w:val="20"/>
                <w:color w:val="auto"/>
              </w:rPr>
            </w:pPr>
            <w:r>
              <w:rPr>
                <w:rFonts w:ascii="Arial" w:cs="Arial" w:eastAsia="Arial" w:hAnsi="Arial"/>
                <w:sz w:val="11"/>
                <w:szCs w:val="11"/>
                <w:b w:val="1"/>
                <w:bCs w:val="1"/>
                <w:color w:val="auto"/>
              </w:rPr>
              <w:t xml:space="preserve">- </w:t>
            </w:r>
          </w:p>
        </w:tc>
        <w:tc>
          <w:tcPr>
            <w:tcW w:w="0" w:type="dxa"/>
            <w:vAlign w:val="bottom"/>
          </w:tcPr>
          <w:p>
            <w:pPr>
              <w:spacing w:after="0"/>
              <w:rPr>
                <w:sz w:val="1"/>
                <w:szCs w:val="1"/>
                <w:color w:val="auto"/>
              </w:rPr>
            </w:pPr>
          </w:p>
        </w:tc>
      </w:tr>
      <w:tr>
        <w:trPr>
          <w:trHeight w:val="119"/>
        </w:trPr>
        <w:tc>
          <w:tcPr>
            <w:tcW w:w="3040" w:type="dxa"/>
            <w:vAlign w:val="bottom"/>
          </w:tcPr>
          <w:p>
            <w:pPr>
              <w:spacing w:after="0" w:line="120" w:lineRule="exact"/>
              <w:rPr>
                <w:sz w:val="20"/>
                <w:szCs w:val="20"/>
                <w:color w:val="auto"/>
              </w:rPr>
            </w:pPr>
            <w:r>
              <w:rPr>
                <w:rFonts w:ascii="Arial" w:cs="Arial" w:eastAsia="Arial" w:hAnsi="Arial"/>
                <w:sz w:val="11"/>
                <w:szCs w:val="11"/>
                <w:color w:val="auto"/>
              </w:rPr>
              <w:t>Dividends declared on preference shares</w:t>
            </w:r>
          </w:p>
        </w:tc>
        <w:tc>
          <w:tcPr>
            <w:tcW w:w="640" w:type="dxa"/>
            <w:vAlign w:val="bottom"/>
          </w:tcPr>
          <w:p>
            <w:pPr>
              <w:ind w:left="500"/>
              <w:spacing w:after="0" w:line="120" w:lineRule="exact"/>
              <w:rPr>
                <w:sz w:val="20"/>
                <w:szCs w:val="20"/>
                <w:color w:val="auto"/>
              </w:rPr>
            </w:pPr>
            <w:r>
              <w:rPr>
                <w:rFonts w:ascii="Arial" w:cs="Arial" w:eastAsia="Arial" w:hAnsi="Arial"/>
                <w:sz w:val="11"/>
                <w:szCs w:val="11"/>
                <w:b w:val="1"/>
                <w:bCs w:val="1"/>
                <w:color w:val="auto"/>
              </w:rPr>
              <w:t xml:space="preserve">- </w:t>
            </w:r>
          </w:p>
        </w:tc>
        <w:tc>
          <w:tcPr>
            <w:tcW w:w="720" w:type="dxa"/>
            <w:vAlign w:val="bottom"/>
          </w:tcPr>
          <w:p>
            <w:pPr>
              <w:ind w:left="580"/>
              <w:spacing w:after="0" w:line="120" w:lineRule="exact"/>
              <w:rPr>
                <w:sz w:val="20"/>
                <w:szCs w:val="20"/>
                <w:color w:val="auto"/>
              </w:rPr>
            </w:pPr>
            <w:r>
              <w:rPr>
                <w:rFonts w:ascii="Arial" w:cs="Arial" w:eastAsia="Arial" w:hAnsi="Arial"/>
                <w:sz w:val="11"/>
                <w:szCs w:val="11"/>
                <w:b w:val="1"/>
                <w:bCs w:val="1"/>
                <w:color w:val="auto"/>
              </w:rPr>
              <w:t xml:space="preserve">- </w:t>
            </w:r>
          </w:p>
        </w:tc>
        <w:tc>
          <w:tcPr>
            <w:tcW w:w="80" w:type="dxa"/>
            <w:vAlign w:val="bottom"/>
            <w:shd w:val="clear" w:color="auto" w:fill="E3F3EE"/>
          </w:tcPr>
          <w:p>
            <w:pPr>
              <w:spacing w:after="0"/>
              <w:rPr>
                <w:sz w:val="10"/>
                <w:szCs w:val="10"/>
                <w:color w:val="auto"/>
              </w:rPr>
            </w:pPr>
          </w:p>
        </w:tc>
        <w:tc>
          <w:tcPr>
            <w:tcW w:w="420" w:type="dxa"/>
            <w:vAlign w:val="bottom"/>
            <w:shd w:val="clear" w:color="auto" w:fill="E3F3EE"/>
          </w:tcPr>
          <w:p>
            <w:pPr>
              <w:jc w:val="right"/>
              <w:ind w:right="27"/>
              <w:spacing w:after="0" w:line="120" w:lineRule="exact"/>
              <w:rPr>
                <w:sz w:val="20"/>
                <w:szCs w:val="20"/>
                <w:color w:val="auto"/>
              </w:rPr>
            </w:pPr>
            <w:r>
              <w:rPr>
                <w:rFonts w:ascii="Arial" w:cs="Arial" w:eastAsia="Arial" w:hAnsi="Arial"/>
                <w:sz w:val="11"/>
                <w:szCs w:val="11"/>
                <w:b w:val="1"/>
                <w:bCs w:val="1"/>
                <w:color w:val="auto"/>
              </w:rPr>
              <w:t xml:space="preserve">- </w:t>
            </w:r>
          </w:p>
        </w:tc>
        <w:tc>
          <w:tcPr>
            <w:tcW w:w="200" w:type="dxa"/>
            <w:vAlign w:val="bottom"/>
          </w:tcPr>
          <w:p>
            <w:pPr>
              <w:spacing w:after="0"/>
              <w:rPr>
                <w:sz w:val="10"/>
                <w:szCs w:val="10"/>
                <w:color w:val="auto"/>
              </w:rPr>
            </w:pPr>
          </w:p>
        </w:tc>
        <w:tc>
          <w:tcPr>
            <w:tcW w:w="100" w:type="dxa"/>
            <w:vAlign w:val="bottom"/>
            <w:shd w:val="clear" w:color="auto" w:fill="E3F3EE"/>
          </w:tcPr>
          <w:p>
            <w:pPr>
              <w:spacing w:after="0"/>
              <w:rPr>
                <w:sz w:val="10"/>
                <w:szCs w:val="10"/>
                <w:color w:val="auto"/>
              </w:rPr>
            </w:pPr>
          </w:p>
        </w:tc>
        <w:tc>
          <w:tcPr>
            <w:tcW w:w="460" w:type="dxa"/>
            <w:vAlign w:val="bottom"/>
            <w:shd w:val="clear" w:color="auto" w:fill="E3F3EE"/>
          </w:tcPr>
          <w:p>
            <w:pPr>
              <w:jc w:val="right"/>
              <w:ind w:right="7"/>
              <w:spacing w:after="0" w:line="120" w:lineRule="exact"/>
              <w:rPr>
                <w:sz w:val="20"/>
                <w:szCs w:val="20"/>
                <w:color w:val="auto"/>
              </w:rPr>
            </w:pPr>
            <w:r>
              <w:rPr>
                <w:rFonts w:ascii="Arial" w:cs="Arial" w:eastAsia="Arial" w:hAnsi="Arial"/>
                <w:sz w:val="11"/>
                <w:szCs w:val="11"/>
                <w:b w:val="1"/>
                <w:bCs w:val="1"/>
                <w:color w:val="auto"/>
              </w:rPr>
              <w:t>(5)</w:t>
            </w:r>
          </w:p>
        </w:tc>
        <w:tc>
          <w:tcPr>
            <w:tcW w:w="980" w:type="dxa"/>
            <w:vAlign w:val="bottom"/>
          </w:tcPr>
          <w:p>
            <w:pPr>
              <w:ind w:left="840"/>
              <w:spacing w:after="0" w:line="120" w:lineRule="exact"/>
              <w:rPr>
                <w:sz w:val="20"/>
                <w:szCs w:val="20"/>
                <w:color w:val="auto"/>
              </w:rPr>
            </w:pPr>
            <w:r>
              <w:rPr>
                <w:rFonts w:ascii="Arial" w:cs="Arial" w:eastAsia="Arial" w:hAnsi="Arial"/>
                <w:sz w:val="11"/>
                <w:szCs w:val="11"/>
                <w:b w:val="1"/>
                <w:bCs w:val="1"/>
                <w:color w:val="auto"/>
              </w:rPr>
              <w:t xml:space="preserve">- </w:t>
            </w:r>
          </w:p>
        </w:tc>
        <w:tc>
          <w:tcPr>
            <w:tcW w:w="760" w:type="dxa"/>
            <w:vAlign w:val="bottom"/>
          </w:tcPr>
          <w:p>
            <w:pPr>
              <w:ind w:left="620"/>
              <w:spacing w:after="0" w:line="120" w:lineRule="exact"/>
              <w:rPr>
                <w:sz w:val="20"/>
                <w:szCs w:val="20"/>
                <w:color w:val="auto"/>
              </w:rPr>
            </w:pPr>
            <w:r>
              <w:rPr>
                <w:rFonts w:ascii="Arial" w:cs="Arial" w:eastAsia="Arial" w:hAnsi="Arial"/>
                <w:sz w:val="11"/>
                <w:szCs w:val="11"/>
                <w:b w:val="1"/>
                <w:bCs w:val="1"/>
                <w:color w:val="auto"/>
              </w:rPr>
              <w:t xml:space="preserve">- </w:t>
            </w:r>
          </w:p>
        </w:tc>
        <w:tc>
          <w:tcPr>
            <w:tcW w:w="140" w:type="dxa"/>
            <w:vAlign w:val="bottom"/>
            <w:shd w:val="clear" w:color="auto" w:fill="E3F3EE"/>
          </w:tcPr>
          <w:p>
            <w:pPr>
              <w:spacing w:after="0"/>
              <w:rPr>
                <w:sz w:val="10"/>
                <w:szCs w:val="10"/>
                <w:color w:val="auto"/>
              </w:rPr>
            </w:pPr>
          </w:p>
        </w:tc>
        <w:tc>
          <w:tcPr>
            <w:tcW w:w="900" w:type="dxa"/>
            <w:vAlign w:val="bottom"/>
            <w:shd w:val="clear" w:color="auto" w:fill="E3F3EE"/>
          </w:tcPr>
          <w:p>
            <w:pPr>
              <w:ind w:left="760"/>
              <w:spacing w:after="0" w:line="120" w:lineRule="exact"/>
              <w:rPr>
                <w:sz w:val="20"/>
                <w:szCs w:val="20"/>
                <w:color w:val="auto"/>
              </w:rPr>
            </w:pPr>
            <w:r>
              <w:rPr>
                <w:rFonts w:ascii="Arial" w:cs="Arial" w:eastAsia="Arial" w:hAnsi="Arial"/>
                <w:sz w:val="11"/>
                <w:szCs w:val="11"/>
                <w:b w:val="1"/>
                <w:bCs w:val="1"/>
                <w:color w:val="auto"/>
              </w:rPr>
              <w:t xml:space="preserve">- </w:t>
            </w:r>
          </w:p>
        </w:tc>
        <w:tc>
          <w:tcPr>
            <w:tcW w:w="840" w:type="dxa"/>
            <w:vAlign w:val="bottom"/>
          </w:tcPr>
          <w:p>
            <w:pPr>
              <w:jc w:val="right"/>
              <w:ind w:right="27"/>
              <w:spacing w:after="0" w:line="120" w:lineRule="exact"/>
              <w:rPr>
                <w:sz w:val="20"/>
                <w:szCs w:val="20"/>
                <w:color w:val="auto"/>
              </w:rPr>
            </w:pPr>
            <w:r>
              <w:rPr>
                <w:rFonts w:ascii="Arial" w:cs="Arial" w:eastAsia="Arial" w:hAnsi="Arial"/>
                <w:sz w:val="11"/>
                <w:szCs w:val="11"/>
                <w:b w:val="1"/>
                <w:bCs w:val="1"/>
                <w:color w:val="auto"/>
              </w:rPr>
              <w:t>(5)</w:t>
            </w:r>
          </w:p>
        </w:tc>
        <w:tc>
          <w:tcPr>
            <w:tcW w:w="800" w:type="dxa"/>
            <w:vAlign w:val="bottom"/>
          </w:tcPr>
          <w:p>
            <w:pPr>
              <w:spacing w:after="0"/>
              <w:rPr>
                <w:sz w:val="10"/>
                <w:szCs w:val="10"/>
                <w:color w:val="auto"/>
              </w:rPr>
            </w:pPr>
          </w:p>
        </w:tc>
        <w:tc>
          <w:tcPr>
            <w:tcW w:w="720" w:type="dxa"/>
            <w:vAlign w:val="bottom"/>
            <w:shd w:val="clear" w:color="auto" w:fill="E3F3EE"/>
          </w:tcPr>
          <w:p>
            <w:pPr>
              <w:jc w:val="right"/>
              <w:ind w:right="7"/>
              <w:spacing w:after="0" w:line="120" w:lineRule="exact"/>
              <w:rPr>
                <w:sz w:val="20"/>
                <w:szCs w:val="20"/>
                <w:color w:val="auto"/>
              </w:rPr>
            </w:pPr>
            <w:r>
              <w:rPr>
                <w:rFonts w:ascii="Arial" w:cs="Arial" w:eastAsia="Arial" w:hAnsi="Arial"/>
                <w:sz w:val="11"/>
                <w:szCs w:val="11"/>
                <w:b w:val="1"/>
                <w:bCs w:val="1"/>
                <w:color w:val="auto"/>
              </w:rPr>
              <w:t>(5)</w:t>
            </w:r>
          </w:p>
        </w:tc>
        <w:tc>
          <w:tcPr>
            <w:tcW w:w="0" w:type="dxa"/>
            <w:vAlign w:val="bottom"/>
          </w:tcPr>
          <w:p>
            <w:pPr>
              <w:spacing w:after="0"/>
              <w:rPr>
                <w:sz w:val="1"/>
                <w:szCs w:val="1"/>
                <w:color w:val="auto"/>
              </w:rPr>
            </w:pPr>
          </w:p>
        </w:tc>
      </w:tr>
      <w:tr>
        <w:trPr>
          <w:trHeight w:val="119"/>
        </w:trPr>
        <w:tc>
          <w:tcPr>
            <w:tcW w:w="3040" w:type="dxa"/>
            <w:vAlign w:val="bottom"/>
          </w:tcPr>
          <w:p>
            <w:pPr>
              <w:spacing w:after="0" w:line="120" w:lineRule="exact"/>
              <w:rPr>
                <w:sz w:val="20"/>
                <w:szCs w:val="20"/>
                <w:color w:val="auto"/>
              </w:rPr>
            </w:pPr>
            <w:r>
              <w:rPr>
                <w:rFonts w:ascii="Arial" w:cs="Arial" w:eastAsia="Arial" w:hAnsi="Arial"/>
                <w:sz w:val="11"/>
                <w:szCs w:val="11"/>
                <w:color w:val="auto"/>
              </w:rPr>
              <w:t>Dividends declared on common shares</w:t>
            </w:r>
          </w:p>
        </w:tc>
        <w:tc>
          <w:tcPr>
            <w:tcW w:w="640" w:type="dxa"/>
            <w:vAlign w:val="bottom"/>
          </w:tcPr>
          <w:p>
            <w:pPr>
              <w:ind w:left="500"/>
              <w:spacing w:after="0" w:line="120" w:lineRule="exact"/>
              <w:rPr>
                <w:sz w:val="20"/>
                <w:szCs w:val="20"/>
                <w:color w:val="auto"/>
              </w:rPr>
            </w:pPr>
            <w:r>
              <w:rPr>
                <w:rFonts w:ascii="Arial" w:cs="Arial" w:eastAsia="Arial" w:hAnsi="Arial"/>
                <w:sz w:val="11"/>
                <w:szCs w:val="11"/>
                <w:b w:val="1"/>
                <w:bCs w:val="1"/>
                <w:color w:val="auto"/>
              </w:rPr>
              <w:t xml:space="preserve">- </w:t>
            </w:r>
          </w:p>
        </w:tc>
        <w:tc>
          <w:tcPr>
            <w:tcW w:w="720" w:type="dxa"/>
            <w:vAlign w:val="bottom"/>
          </w:tcPr>
          <w:p>
            <w:pPr>
              <w:ind w:left="580"/>
              <w:spacing w:after="0" w:line="120" w:lineRule="exact"/>
              <w:rPr>
                <w:sz w:val="20"/>
                <w:szCs w:val="20"/>
                <w:color w:val="auto"/>
              </w:rPr>
            </w:pPr>
            <w:r>
              <w:rPr>
                <w:rFonts w:ascii="Arial" w:cs="Arial" w:eastAsia="Arial" w:hAnsi="Arial"/>
                <w:sz w:val="11"/>
                <w:szCs w:val="11"/>
                <w:b w:val="1"/>
                <w:bCs w:val="1"/>
                <w:color w:val="auto"/>
              </w:rPr>
              <w:t xml:space="preserve">- </w:t>
            </w:r>
          </w:p>
        </w:tc>
        <w:tc>
          <w:tcPr>
            <w:tcW w:w="80" w:type="dxa"/>
            <w:vAlign w:val="bottom"/>
            <w:shd w:val="clear" w:color="auto" w:fill="E3F3EE"/>
          </w:tcPr>
          <w:p>
            <w:pPr>
              <w:spacing w:after="0"/>
              <w:rPr>
                <w:sz w:val="10"/>
                <w:szCs w:val="10"/>
                <w:color w:val="auto"/>
              </w:rPr>
            </w:pPr>
          </w:p>
        </w:tc>
        <w:tc>
          <w:tcPr>
            <w:tcW w:w="420" w:type="dxa"/>
            <w:vAlign w:val="bottom"/>
            <w:shd w:val="clear" w:color="auto" w:fill="E3F3EE"/>
          </w:tcPr>
          <w:p>
            <w:pPr>
              <w:jc w:val="right"/>
              <w:ind w:right="27"/>
              <w:spacing w:after="0" w:line="120" w:lineRule="exact"/>
              <w:rPr>
                <w:sz w:val="20"/>
                <w:szCs w:val="20"/>
                <w:color w:val="auto"/>
              </w:rPr>
            </w:pPr>
            <w:r>
              <w:rPr>
                <w:rFonts w:ascii="Arial" w:cs="Arial" w:eastAsia="Arial" w:hAnsi="Arial"/>
                <w:sz w:val="11"/>
                <w:szCs w:val="11"/>
                <w:b w:val="1"/>
                <w:bCs w:val="1"/>
                <w:color w:val="auto"/>
              </w:rPr>
              <w:t xml:space="preserve">- </w:t>
            </w:r>
          </w:p>
        </w:tc>
        <w:tc>
          <w:tcPr>
            <w:tcW w:w="200" w:type="dxa"/>
            <w:vAlign w:val="bottom"/>
          </w:tcPr>
          <w:p>
            <w:pPr>
              <w:spacing w:after="0"/>
              <w:rPr>
                <w:sz w:val="10"/>
                <w:szCs w:val="10"/>
                <w:color w:val="auto"/>
              </w:rPr>
            </w:pPr>
          </w:p>
        </w:tc>
        <w:tc>
          <w:tcPr>
            <w:tcW w:w="100" w:type="dxa"/>
            <w:vAlign w:val="bottom"/>
            <w:shd w:val="clear" w:color="auto" w:fill="E3F3EE"/>
          </w:tcPr>
          <w:p>
            <w:pPr>
              <w:spacing w:after="0"/>
              <w:rPr>
                <w:sz w:val="10"/>
                <w:szCs w:val="10"/>
                <w:color w:val="auto"/>
              </w:rPr>
            </w:pPr>
          </w:p>
        </w:tc>
        <w:tc>
          <w:tcPr>
            <w:tcW w:w="460" w:type="dxa"/>
            <w:vAlign w:val="bottom"/>
            <w:shd w:val="clear" w:color="auto" w:fill="E3F3EE"/>
          </w:tcPr>
          <w:p>
            <w:pPr>
              <w:jc w:val="right"/>
              <w:ind w:right="7"/>
              <w:spacing w:after="0" w:line="120" w:lineRule="exact"/>
              <w:rPr>
                <w:sz w:val="20"/>
                <w:szCs w:val="20"/>
                <w:color w:val="auto"/>
              </w:rPr>
            </w:pPr>
            <w:r>
              <w:rPr>
                <w:rFonts w:ascii="Arial" w:cs="Arial" w:eastAsia="Arial" w:hAnsi="Arial"/>
                <w:sz w:val="11"/>
                <w:szCs w:val="11"/>
                <w:b w:val="1"/>
                <w:bCs w:val="1"/>
                <w:color w:val="auto"/>
              </w:rPr>
              <w:t>(973)</w:t>
            </w:r>
          </w:p>
        </w:tc>
        <w:tc>
          <w:tcPr>
            <w:tcW w:w="980" w:type="dxa"/>
            <w:vAlign w:val="bottom"/>
          </w:tcPr>
          <w:p>
            <w:pPr>
              <w:ind w:left="840"/>
              <w:spacing w:after="0" w:line="120" w:lineRule="exact"/>
              <w:rPr>
                <w:sz w:val="20"/>
                <w:szCs w:val="20"/>
                <w:color w:val="auto"/>
              </w:rPr>
            </w:pPr>
            <w:r>
              <w:rPr>
                <w:rFonts w:ascii="Arial" w:cs="Arial" w:eastAsia="Arial" w:hAnsi="Arial"/>
                <w:sz w:val="11"/>
                <w:szCs w:val="11"/>
                <w:b w:val="1"/>
                <w:bCs w:val="1"/>
                <w:color w:val="auto"/>
              </w:rPr>
              <w:t xml:space="preserve">- </w:t>
            </w:r>
          </w:p>
        </w:tc>
        <w:tc>
          <w:tcPr>
            <w:tcW w:w="760" w:type="dxa"/>
            <w:vAlign w:val="bottom"/>
          </w:tcPr>
          <w:p>
            <w:pPr>
              <w:ind w:left="620"/>
              <w:spacing w:after="0" w:line="120" w:lineRule="exact"/>
              <w:rPr>
                <w:sz w:val="20"/>
                <w:szCs w:val="20"/>
                <w:color w:val="auto"/>
              </w:rPr>
            </w:pPr>
            <w:r>
              <w:rPr>
                <w:rFonts w:ascii="Arial" w:cs="Arial" w:eastAsia="Arial" w:hAnsi="Arial"/>
                <w:sz w:val="11"/>
                <w:szCs w:val="11"/>
                <w:b w:val="1"/>
                <w:bCs w:val="1"/>
                <w:color w:val="auto"/>
              </w:rPr>
              <w:t xml:space="preserve">- </w:t>
            </w:r>
          </w:p>
        </w:tc>
        <w:tc>
          <w:tcPr>
            <w:tcW w:w="140" w:type="dxa"/>
            <w:vAlign w:val="bottom"/>
            <w:shd w:val="clear" w:color="auto" w:fill="E3F3EE"/>
          </w:tcPr>
          <w:p>
            <w:pPr>
              <w:spacing w:after="0"/>
              <w:rPr>
                <w:sz w:val="10"/>
                <w:szCs w:val="10"/>
                <w:color w:val="auto"/>
              </w:rPr>
            </w:pPr>
          </w:p>
        </w:tc>
        <w:tc>
          <w:tcPr>
            <w:tcW w:w="900" w:type="dxa"/>
            <w:vAlign w:val="bottom"/>
            <w:shd w:val="clear" w:color="auto" w:fill="E3F3EE"/>
          </w:tcPr>
          <w:p>
            <w:pPr>
              <w:ind w:left="760"/>
              <w:spacing w:after="0" w:line="120" w:lineRule="exact"/>
              <w:rPr>
                <w:sz w:val="20"/>
                <w:szCs w:val="20"/>
                <w:color w:val="auto"/>
              </w:rPr>
            </w:pPr>
            <w:r>
              <w:rPr>
                <w:rFonts w:ascii="Arial" w:cs="Arial" w:eastAsia="Arial" w:hAnsi="Arial"/>
                <w:sz w:val="11"/>
                <w:szCs w:val="11"/>
                <w:b w:val="1"/>
                <w:bCs w:val="1"/>
                <w:color w:val="auto"/>
              </w:rPr>
              <w:t xml:space="preserve">- </w:t>
            </w:r>
          </w:p>
        </w:tc>
        <w:tc>
          <w:tcPr>
            <w:tcW w:w="840" w:type="dxa"/>
            <w:vAlign w:val="bottom"/>
          </w:tcPr>
          <w:p>
            <w:pPr>
              <w:jc w:val="right"/>
              <w:ind w:right="27"/>
              <w:spacing w:after="0" w:line="120" w:lineRule="exact"/>
              <w:rPr>
                <w:sz w:val="20"/>
                <w:szCs w:val="20"/>
                <w:color w:val="auto"/>
              </w:rPr>
            </w:pPr>
            <w:r>
              <w:rPr>
                <w:rFonts w:ascii="Arial" w:cs="Arial" w:eastAsia="Arial" w:hAnsi="Arial"/>
                <w:sz w:val="11"/>
                <w:szCs w:val="11"/>
                <w:b w:val="1"/>
                <w:bCs w:val="1"/>
                <w:color w:val="auto"/>
              </w:rPr>
              <w:t>(973)</w:t>
            </w:r>
          </w:p>
        </w:tc>
        <w:tc>
          <w:tcPr>
            <w:tcW w:w="800" w:type="dxa"/>
            <w:vAlign w:val="bottom"/>
          </w:tcPr>
          <w:p>
            <w:pPr>
              <w:ind w:left="660"/>
              <w:spacing w:after="0" w:line="120" w:lineRule="exact"/>
              <w:rPr>
                <w:sz w:val="20"/>
                <w:szCs w:val="20"/>
                <w:color w:val="auto"/>
              </w:rPr>
            </w:pPr>
            <w:r>
              <w:rPr>
                <w:rFonts w:ascii="Arial" w:cs="Arial" w:eastAsia="Arial" w:hAnsi="Arial"/>
                <w:sz w:val="11"/>
                <w:szCs w:val="11"/>
                <w:b w:val="1"/>
                <w:bCs w:val="1"/>
                <w:color w:val="auto"/>
              </w:rPr>
              <w:t xml:space="preserve">- </w:t>
            </w:r>
          </w:p>
        </w:tc>
        <w:tc>
          <w:tcPr>
            <w:tcW w:w="720" w:type="dxa"/>
            <w:vAlign w:val="bottom"/>
            <w:shd w:val="clear" w:color="auto" w:fill="E3F3EE"/>
          </w:tcPr>
          <w:p>
            <w:pPr>
              <w:jc w:val="right"/>
              <w:ind w:right="7"/>
              <w:spacing w:after="0" w:line="120" w:lineRule="exact"/>
              <w:rPr>
                <w:sz w:val="20"/>
                <w:szCs w:val="20"/>
                <w:color w:val="auto"/>
              </w:rPr>
            </w:pPr>
            <w:r>
              <w:rPr>
                <w:rFonts w:ascii="Arial" w:cs="Arial" w:eastAsia="Arial" w:hAnsi="Arial"/>
                <w:sz w:val="11"/>
                <w:szCs w:val="11"/>
                <w:b w:val="1"/>
                <w:bCs w:val="1"/>
                <w:color w:val="auto"/>
              </w:rPr>
              <w:t>(973)</w:t>
            </w:r>
          </w:p>
        </w:tc>
        <w:tc>
          <w:tcPr>
            <w:tcW w:w="0" w:type="dxa"/>
            <w:vAlign w:val="bottom"/>
          </w:tcPr>
          <w:p>
            <w:pPr>
              <w:spacing w:after="0"/>
              <w:rPr>
                <w:sz w:val="1"/>
                <w:szCs w:val="1"/>
                <w:color w:val="auto"/>
              </w:rPr>
            </w:pPr>
          </w:p>
        </w:tc>
      </w:tr>
      <w:tr>
        <w:trPr>
          <w:trHeight w:val="119"/>
        </w:trPr>
        <w:tc>
          <w:tcPr>
            <w:tcW w:w="3040" w:type="dxa"/>
            <w:vAlign w:val="bottom"/>
          </w:tcPr>
          <w:p>
            <w:pPr>
              <w:spacing w:after="0" w:line="120" w:lineRule="exact"/>
              <w:rPr>
                <w:sz w:val="20"/>
                <w:szCs w:val="20"/>
                <w:color w:val="auto"/>
              </w:rPr>
            </w:pPr>
            <w:r>
              <w:rPr>
                <w:rFonts w:ascii="Arial" w:cs="Arial" w:eastAsia="Arial" w:hAnsi="Arial"/>
                <w:sz w:val="11"/>
                <w:szCs w:val="11"/>
                <w:color w:val="auto"/>
              </w:rPr>
              <w:t>Shares issued under Dividend Reinvestment Plan (“DRIP”)</w:t>
            </w:r>
          </w:p>
        </w:tc>
        <w:tc>
          <w:tcPr>
            <w:tcW w:w="640" w:type="dxa"/>
            <w:vAlign w:val="bottom"/>
          </w:tcPr>
          <w:p>
            <w:pPr>
              <w:jc w:val="right"/>
              <w:ind w:right="27"/>
              <w:spacing w:after="0" w:line="120" w:lineRule="exact"/>
              <w:rPr>
                <w:sz w:val="20"/>
                <w:szCs w:val="20"/>
                <w:color w:val="auto"/>
              </w:rPr>
            </w:pPr>
            <w:r>
              <w:rPr>
                <w:rFonts w:ascii="Arial" w:cs="Arial" w:eastAsia="Arial" w:hAnsi="Arial"/>
                <w:sz w:val="11"/>
                <w:szCs w:val="11"/>
                <w:b w:val="1"/>
                <w:bCs w:val="1"/>
                <w:color w:val="auto"/>
              </w:rPr>
              <w:t>29 </w:t>
            </w:r>
          </w:p>
        </w:tc>
        <w:tc>
          <w:tcPr>
            <w:tcW w:w="720" w:type="dxa"/>
            <w:vAlign w:val="bottom"/>
          </w:tcPr>
          <w:p>
            <w:pPr>
              <w:ind w:left="580"/>
              <w:spacing w:after="0" w:line="120" w:lineRule="exact"/>
              <w:rPr>
                <w:sz w:val="20"/>
                <w:szCs w:val="20"/>
                <w:color w:val="auto"/>
              </w:rPr>
            </w:pPr>
            <w:r>
              <w:rPr>
                <w:rFonts w:ascii="Arial" w:cs="Arial" w:eastAsia="Arial" w:hAnsi="Arial"/>
                <w:sz w:val="11"/>
                <w:szCs w:val="11"/>
                <w:b w:val="1"/>
                <w:bCs w:val="1"/>
                <w:color w:val="auto"/>
              </w:rPr>
              <w:t xml:space="preserve">- </w:t>
            </w:r>
          </w:p>
        </w:tc>
        <w:tc>
          <w:tcPr>
            <w:tcW w:w="80" w:type="dxa"/>
            <w:vAlign w:val="bottom"/>
            <w:shd w:val="clear" w:color="auto" w:fill="E3F3EE"/>
          </w:tcPr>
          <w:p>
            <w:pPr>
              <w:spacing w:after="0"/>
              <w:rPr>
                <w:sz w:val="10"/>
                <w:szCs w:val="10"/>
                <w:color w:val="auto"/>
              </w:rPr>
            </w:pPr>
          </w:p>
        </w:tc>
        <w:tc>
          <w:tcPr>
            <w:tcW w:w="420" w:type="dxa"/>
            <w:vAlign w:val="bottom"/>
            <w:shd w:val="clear" w:color="auto" w:fill="E3F3EE"/>
          </w:tcPr>
          <w:p>
            <w:pPr>
              <w:jc w:val="right"/>
              <w:ind w:right="27"/>
              <w:spacing w:after="0" w:line="120" w:lineRule="exact"/>
              <w:rPr>
                <w:sz w:val="20"/>
                <w:szCs w:val="20"/>
                <w:color w:val="auto"/>
              </w:rPr>
            </w:pPr>
            <w:r>
              <w:rPr>
                <w:rFonts w:ascii="Arial" w:cs="Arial" w:eastAsia="Arial" w:hAnsi="Arial"/>
                <w:sz w:val="11"/>
                <w:szCs w:val="11"/>
                <w:b w:val="1"/>
                <w:bCs w:val="1"/>
                <w:color w:val="auto"/>
              </w:rPr>
              <w:t>29 </w:t>
            </w:r>
          </w:p>
        </w:tc>
        <w:tc>
          <w:tcPr>
            <w:tcW w:w="200" w:type="dxa"/>
            <w:vAlign w:val="bottom"/>
          </w:tcPr>
          <w:p>
            <w:pPr>
              <w:spacing w:after="0"/>
              <w:rPr>
                <w:sz w:val="10"/>
                <w:szCs w:val="10"/>
                <w:color w:val="auto"/>
              </w:rPr>
            </w:pPr>
          </w:p>
        </w:tc>
        <w:tc>
          <w:tcPr>
            <w:tcW w:w="100" w:type="dxa"/>
            <w:vAlign w:val="bottom"/>
            <w:shd w:val="clear" w:color="auto" w:fill="E3F3EE"/>
          </w:tcPr>
          <w:p>
            <w:pPr>
              <w:spacing w:after="0"/>
              <w:rPr>
                <w:sz w:val="10"/>
                <w:szCs w:val="10"/>
                <w:color w:val="auto"/>
              </w:rPr>
            </w:pPr>
          </w:p>
        </w:tc>
        <w:tc>
          <w:tcPr>
            <w:tcW w:w="460" w:type="dxa"/>
            <w:vAlign w:val="bottom"/>
            <w:shd w:val="clear" w:color="auto" w:fill="E3F3EE"/>
          </w:tcPr>
          <w:p>
            <w:pPr>
              <w:jc w:val="right"/>
              <w:ind w:right="7"/>
              <w:spacing w:after="0" w:line="120" w:lineRule="exact"/>
              <w:rPr>
                <w:sz w:val="20"/>
                <w:szCs w:val="20"/>
                <w:color w:val="auto"/>
              </w:rPr>
            </w:pPr>
            <w:r>
              <w:rPr>
                <w:rFonts w:ascii="Arial" w:cs="Arial" w:eastAsia="Arial" w:hAnsi="Arial"/>
                <w:sz w:val="11"/>
                <w:szCs w:val="11"/>
                <w:b w:val="1"/>
                <w:bCs w:val="1"/>
                <w:color w:val="auto"/>
              </w:rPr>
              <w:t xml:space="preserve">- </w:t>
            </w:r>
          </w:p>
        </w:tc>
        <w:tc>
          <w:tcPr>
            <w:tcW w:w="980" w:type="dxa"/>
            <w:vAlign w:val="bottom"/>
          </w:tcPr>
          <w:p>
            <w:pPr>
              <w:ind w:left="840"/>
              <w:spacing w:after="0" w:line="120" w:lineRule="exact"/>
              <w:rPr>
                <w:sz w:val="20"/>
                <w:szCs w:val="20"/>
                <w:color w:val="auto"/>
              </w:rPr>
            </w:pPr>
            <w:r>
              <w:rPr>
                <w:rFonts w:ascii="Arial" w:cs="Arial" w:eastAsia="Arial" w:hAnsi="Arial"/>
                <w:sz w:val="11"/>
                <w:szCs w:val="11"/>
                <w:b w:val="1"/>
                <w:bCs w:val="1"/>
                <w:color w:val="auto"/>
              </w:rPr>
              <w:t xml:space="preserve">- </w:t>
            </w:r>
          </w:p>
        </w:tc>
        <w:tc>
          <w:tcPr>
            <w:tcW w:w="760" w:type="dxa"/>
            <w:vAlign w:val="bottom"/>
          </w:tcPr>
          <w:p>
            <w:pPr>
              <w:ind w:left="620"/>
              <w:spacing w:after="0" w:line="120" w:lineRule="exact"/>
              <w:rPr>
                <w:sz w:val="20"/>
                <w:szCs w:val="20"/>
                <w:color w:val="auto"/>
              </w:rPr>
            </w:pPr>
            <w:r>
              <w:rPr>
                <w:rFonts w:ascii="Arial" w:cs="Arial" w:eastAsia="Arial" w:hAnsi="Arial"/>
                <w:sz w:val="11"/>
                <w:szCs w:val="11"/>
                <w:b w:val="1"/>
                <w:bCs w:val="1"/>
                <w:color w:val="auto"/>
              </w:rPr>
              <w:t xml:space="preserve">- </w:t>
            </w:r>
          </w:p>
        </w:tc>
        <w:tc>
          <w:tcPr>
            <w:tcW w:w="140" w:type="dxa"/>
            <w:vAlign w:val="bottom"/>
            <w:shd w:val="clear" w:color="auto" w:fill="E3F3EE"/>
          </w:tcPr>
          <w:p>
            <w:pPr>
              <w:spacing w:after="0"/>
              <w:rPr>
                <w:sz w:val="10"/>
                <w:szCs w:val="10"/>
                <w:color w:val="auto"/>
              </w:rPr>
            </w:pPr>
          </w:p>
        </w:tc>
        <w:tc>
          <w:tcPr>
            <w:tcW w:w="900" w:type="dxa"/>
            <w:vAlign w:val="bottom"/>
            <w:shd w:val="clear" w:color="auto" w:fill="E3F3EE"/>
          </w:tcPr>
          <w:p>
            <w:pPr>
              <w:ind w:left="760"/>
              <w:spacing w:after="0" w:line="120" w:lineRule="exact"/>
              <w:rPr>
                <w:sz w:val="20"/>
                <w:szCs w:val="20"/>
                <w:color w:val="auto"/>
              </w:rPr>
            </w:pPr>
            <w:r>
              <w:rPr>
                <w:rFonts w:ascii="Arial" w:cs="Arial" w:eastAsia="Arial" w:hAnsi="Arial"/>
                <w:sz w:val="11"/>
                <w:szCs w:val="11"/>
                <w:b w:val="1"/>
                <w:bCs w:val="1"/>
                <w:color w:val="auto"/>
              </w:rPr>
              <w:t xml:space="preserve">- </w:t>
            </w:r>
          </w:p>
        </w:tc>
        <w:tc>
          <w:tcPr>
            <w:tcW w:w="840" w:type="dxa"/>
            <w:vAlign w:val="bottom"/>
          </w:tcPr>
          <w:p>
            <w:pPr>
              <w:jc w:val="right"/>
              <w:ind w:right="27"/>
              <w:spacing w:after="0" w:line="120" w:lineRule="exact"/>
              <w:rPr>
                <w:sz w:val="20"/>
                <w:szCs w:val="20"/>
                <w:color w:val="auto"/>
              </w:rPr>
            </w:pPr>
            <w:r>
              <w:rPr>
                <w:rFonts w:ascii="Arial" w:cs="Arial" w:eastAsia="Arial" w:hAnsi="Arial"/>
                <w:sz w:val="11"/>
                <w:szCs w:val="11"/>
                <w:b w:val="1"/>
                <w:bCs w:val="1"/>
                <w:color w:val="auto"/>
              </w:rPr>
              <w:t>29 </w:t>
            </w:r>
          </w:p>
        </w:tc>
        <w:tc>
          <w:tcPr>
            <w:tcW w:w="800" w:type="dxa"/>
            <w:vAlign w:val="bottom"/>
          </w:tcPr>
          <w:p>
            <w:pPr>
              <w:ind w:left="660"/>
              <w:spacing w:after="0" w:line="120" w:lineRule="exact"/>
              <w:rPr>
                <w:sz w:val="20"/>
                <w:szCs w:val="20"/>
                <w:color w:val="auto"/>
              </w:rPr>
            </w:pPr>
            <w:r>
              <w:rPr>
                <w:rFonts w:ascii="Arial" w:cs="Arial" w:eastAsia="Arial" w:hAnsi="Arial"/>
                <w:sz w:val="11"/>
                <w:szCs w:val="11"/>
                <w:b w:val="1"/>
                <w:bCs w:val="1"/>
                <w:color w:val="auto"/>
              </w:rPr>
              <w:t xml:space="preserve">- </w:t>
            </w:r>
          </w:p>
        </w:tc>
        <w:tc>
          <w:tcPr>
            <w:tcW w:w="720" w:type="dxa"/>
            <w:vAlign w:val="bottom"/>
            <w:shd w:val="clear" w:color="auto" w:fill="E3F3EE"/>
          </w:tcPr>
          <w:p>
            <w:pPr>
              <w:jc w:val="right"/>
              <w:ind w:right="47"/>
              <w:spacing w:after="0" w:line="120" w:lineRule="exact"/>
              <w:rPr>
                <w:sz w:val="20"/>
                <w:szCs w:val="20"/>
                <w:color w:val="auto"/>
              </w:rPr>
            </w:pPr>
            <w:r>
              <w:rPr>
                <w:rFonts w:ascii="Arial" w:cs="Arial" w:eastAsia="Arial" w:hAnsi="Arial"/>
                <w:sz w:val="11"/>
                <w:szCs w:val="11"/>
                <w:b w:val="1"/>
                <w:bCs w:val="1"/>
                <w:color w:val="auto"/>
              </w:rPr>
              <w:t>29</w:t>
            </w:r>
          </w:p>
        </w:tc>
        <w:tc>
          <w:tcPr>
            <w:tcW w:w="0" w:type="dxa"/>
            <w:vAlign w:val="bottom"/>
          </w:tcPr>
          <w:p>
            <w:pPr>
              <w:spacing w:after="0"/>
              <w:rPr>
                <w:sz w:val="1"/>
                <w:szCs w:val="1"/>
                <w:color w:val="auto"/>
              </w:rPr>
            </w:pPr>
          </w:p>
        </w:tc>
      </w:tr>
      <w:tr>
        <w:trPr>
          <w:trHeight w:val="119"/>
        </w:trPr>
        <w:tc>
          <w:tcPr>
            <w:tcW w:w="3040" w:type="dxa"/>
            <w:vAlign w:val="bottom"/>
          </w:tcPr>
          <w:p>
            <w:pPr>
              <w:spacing w:after="0" w:line="120" w:lineRule="exact"/>
              <w:rPr>
                <w:sz w:val="20"/>
                <w:szCs w:val="20"/>
                <w:color w:val="auto"/>
              </w:rPr>
            </w:pPr>
            <w:r>
              <w:rPr>
                <w:rFonts w:ascii="Arial" w:cs="Arial" w:eastAsia="Arial" w:hAnsi="Arial"/>
                <w:sz w:val="11"/>
                <w:szCs w:val="11"/>
                <w:color w:val="auto"/>
              </w:rPr>
              <w:t>Repurchases of common shares (see note 25)</w:t>
            </w:r>
          </w:p>
        </w:tc>
        <w:tc>
          <w:tcPr>
            <w:tcW w:w="640" w:type="dxa"/>
            <w:vAlign w:val="bottom"/>
          </w:tcPr>
          <w:p>
            <w:pPr>
              <w:jc w:val="right"/>
              <w:ind w:right="27"/>
              <w:spacing w:after="0" w:line="120" w:lineRule="exact"/>
              <w:rPr>
                <w:sz w:val="20"/>
                <w:szCs w:val="20"/>
                <w:color w:val="auto"/>
              </w:rPr>
            </w:pPr>
            <w:r>
              <w:rPr>
                <w:rFonts w:ascii="Arial" w:cs="Arial" w:eastAsia="Arial" w:hAnsi="Arial"/>
                <w:sz w:val="11"/>
                <w:szCs w:val="11"/>
                <w:b w:val="1"/>
                <w:bCs w:val="1"/>
                <w:color w:val="auto"/>
              </w:rPr>
              <w:t>(15)</w:t>
            </w:r>
          </w:p>
        </w:tc>
        <w:tc>
          <w:tcPr>
            <w:tcW w:w="720" w:type="dxa"/>
            <w:vAlign w:val="bottom"/>
          </w:tcPr>
          <w:p>
            <w:pPr>
              <w:ind w:left="580"/>
              <w:spacing w:after="0" w:line="120" w:lineRule="exact"/>
              <w:rPr>
                <w:sz w:val="20"/>
                <w:szCs w:val="20"/>
                <w:color w:val="auto"/>
              </w:rPr>
            </w:pPr>
            <w:r>
              <w:rPr>
                <w:rFonts w:ascii="Arial" w:cs="Arial" w:eastAsia="Arial" w:hAnsi="Arial"/>
                <w:sz w:val="11"/>
                <w:szCs w:val="11"/>
                <w:b w:val="1"/>
                <w:bCs w:val="1"/>
                <w:color w:val="auto"/>
              </w:rPr>
              <w:t xml:space="preserve">- </w:t>
            </w:r>
          </w:p>
        </w:tc>
        <w:tc>
          <w:tcPr>
            <w:tcW w:w="80" w:type="dxa"/>
            <w:vAlign w:val="bottom"/>
            <w:shd w:val="clear" w:color="auto" w:fill="E3F3EE"/>
          </w:tcPr>
          <w:p>
            <w:pPr>
              <w:spacing w:after="0"/>
              <w:rPr>
                <w:sz w:val="10"/>
                <w:szCs w:val="10"/>
                <w:color w:val="auto"/>
              </w:rPr>
            </w:pPr>
          </w:p>
        </w:tc>
        <w:tc>
          <w:tcPr>
            <w:tcW w:w="420" w:type="dxa"/>
            <w:vAlign w:val="bottom"/>
            <w:shd w:val="clear" w:color="auto" w:fill="E3F3EE"/>
          </w:tcPr>
          <w:p>
            <w:pPr>
              <w:jc w:val="right"/>
              <w:ind w:right="7"/>
              <w:spacing w:after="0" w:line="120" w:lineRule="exact"/>
              <w:rPr>
                <w:sz w:val="20"/>
                <w:szCs w:val="20"/>
                <w:color w:val="auto"/>
              </w:rPr>
            </w:pPr>
            <w:r>
              <w:rPr>
                <w:rFonts w:ascii="Arial" w:cs="Arial" w:eastAsia="Arial" w:hAnsi="Arial"/>
                <w:sz w:val="11"/>
                <w:szCs w:val="11"/>
                <w:b w:val="1"/>
                <w:bCs w:val="1"/>
                <w:color w:val="auto"/>
              </w:rPr>
              <w:t>(15)</w:t>
            </w:r>
          </w:p>
        </w:tc>
        <w:tc>
          <w:tcPr>
            <w:tcW w:w="200" w:type="dxa"/>
            <w:vAlign w:val="bottom"/>
          </w:tcPr>
          <w:p>
            <w:pPr>
              <w:spacing w:after="0"/>
              <w:rPr>
                <w:sz w:val="10"/>
                <w:szCs w:val="10"/>
                <w:color w:val="auto"/>
              </w:rPr>
            </w:pPr>
          </w:p>
        </w:tc>
        <w:tc>
          <w:tcPr>
            <w:tcW w:w="100" w:type="dxa"/>
            <w:vAlign w:val="bottom"/>
            <w:shd w:val="clear" w:color="auto" w:fill="E3F3EE"/>
          </w:tcPr>
          <w:p>
            <w:pPr>
              <w:spacing w:after="0"/>
              <w:rPr>
                <w:sz w:val="10"/>
                <w:szCs w:val="10"/>
                <w:color w:val="auto"/>
              </w:rPr>
            </w:pPr>
          </w:p>
        </w:tc>
        <w:tc>
          <w:tcPr>
            <w:tcW w:w="460" w:type="dxa"/>
            <w:vAlign w:val="bottom"/>
            <w:shd w:val="clear" w:color="auto" w:fill="E3F3EE"/>
          </w:tcPr>
          <w:p>
            <w:pPr>
              <w:jc w:val="right"/>
              <w:ind w:right="7"/>
              <w:spacing w:after="0" w:line="120" w:lineRule="exact"/>
              <w:rPr>
                <w:sz w:val="20"/>
                <w:szCs w:val="20"/>
                <w:color w:val="auto"/>
              </w:rPr>
            </w:pPr>
            <w:r>
              <w:rPr>
                <w:rFonts w:ascii="Arial" w:cs="Arial" w:eastAsia="Arial" w:hAnsi="Arial"/>
                <w:sz w:val="11"/>
                <w:szCs w:val="11"/>
                <w:b w:val="1"/>
                <w:bCs w:val="1"/>
                <w:color w:val="auto"/>
              </w:rPr>
              <w:t>(234)</w:t>
            </w:r>
          </w:p>
        </w:tc>
        <w:tc>
          <w:tcPr>
            <w:tcW w:w="980" w:type="dxa"/>
            <w:vAlign w:val="bottom"/>
          </w:tcPr>
          <w:p>
            <w:pPr>
              <w:ind w:left="840"/>
              <w:spacing w:after="0" w:line="120" w:lineRule="exact"/>
              <w:rPr>
                <w:sz w:val="20"/>
                <w:szCs w:val="20"/>
                <w:color w:val="auto"/>
              </w:rPr>
            </w:pPr>
            <w:r>
              <w:rPr>
                <w:rFonts w:ascii="Arial" w:cs="Arial" w:eastAsia="Arial" w:hAnsi="Arial"/>
                <w:sz w:val="11"/>
                <w:szCs w:val="11"/>
                <w:b w:val="1"/>
                <w:bCs w:val="1"/>
                <w:color w:val="auto"/>
              </w:rPr>
              <w:t xml:space="preserve">- </w:t>
            </w:r>
          </w:p>
        </w:tc>
        <w:tc>
          <w:tcPr>
            <w:tcW w:w="760" w:type="dxa"/>
            <w:vAlign w:val="bottom"/>
          </w:tcPr>
          <w:p>
            <w:pPr>
              <w:ind w:left="620"/>
              <w:spacing w:after="0" w:line="120" w:lineRule="exact"/>
              <w:rPr>
                <w:sz w:val="20"/>
                <w:szCs w:val="20"/>
                <w:color w:val="auto"/>
              </w:rPr>
            </w:pPr>
            <w:r>
              <w:rPr>
                <w:rFonts w:ascii="Arial" w:cs="Arial" w:eastAsia="Arial" w:hAnsi="Arial"/>
                <w:sz w:val="11"/>
                <w:szCs w:val="11"/>
                <w:b w:val="1"/>
                <w:bCs w:val="1"/>
                <w:color w:val="auto"/>
              </w:rPr>
              <w:t xml:space="preserve">- </w:t>
            </w:r>
          </w:p>
        </w:tc>
        <w:tc>
          <w:tcPr>
            <w:tcW w:w="140" w:type="dxa"/>
            <w:vAlign w:val="bottom"/>
            <w:shd w:val="clear" w:color="auto" w:fill="E3F3EE"/>
          </w:tcPr>
          <w:p>
            <w:pPr>
              <w:spacing w:after="0"/>
              <w:rPr>
                <w:sz w:val="10"/>
                <w:szCs w:val="10"/>
                <w:color w:val="auto"/>
              </w:rPr>
            </w:pPr>
          </w:p>
        </w:tc>
        <w:tc>
          <w:tcPr>
            <w:tcW w:w="900" w:type="dxa"/>
            <w:vAlign w:val="bottom"/>
            <w:shd w:val="clear" w:color="auto" w:fill="E3F3EE"/>
          </w:tcPr>
          <w:p>
            <w:pPr>
              <w:ind w:left="760"/>
              <w:spacing w:after="0" w:line="120" w:lineRule="exact"/>
              <w:rPr>
                <w:sz w:val="20"/>
                <w:szCs w:val="20"/>
                <w:color w:val="auto"/>
              </w:rPr>
            </w:pPr>
            <w:r>
              <w:rPr>
                <w:rFonts w:ascii="Arial" w:cs="Arial" w:eastAsia="Arial" w:hAnsi="Arial"/>
                <w:sz w:val="11"/>
                <w:szCs w:val="11"/>
                <w:b w:val="1"/>
                <w:bCs w:val="1"/>
                <w:color w:val="auto"/>
              </w:rPr>
              <w:t xml:space="preserve">- </w:t>
            </w:r>
          </w:p>
        </w:tc>
        <w:tc>
          <w:tcPr>
            <w:tcW w:w="840" w:type="dxa"/>
            <w:vAlign w:val="bottom"/>
          </w:tcPr>
          <w:p>
            <w:pPr>
              <w:jc w:val="right"/>
              <w:ind w:right="27"/>
              <w:spacing w:after="0" w:line="120" w:lineRule="exact"/>
              <w:rPr>
                <w:sz w:val="20"/>
                <w:szCs w:val="20"/>
                <w:color w:val="auto"/>
              </w:rPr>
            </w:pPr>
            <w:r>
              <w:rPr>
                <w:rFonts w:ascii="Arial" w:cs="Arial" w:eastAsia="Arial" w:hAnsi="Arial"/>
                <w:sz w:val="11"/>
                <w:szCs w:val="11"/>
                <w:b w:val="1"/>
                <w:bCs w:val="1"/>
                <w:color w:val="auto"/>
              </w:rPr>
              <w:t>(249)</w:t>
            </w:r>
          </w:p>
        </w:tc>
        <w:tc>
          <w:tcPr>
            <w:tcW w:w="800" w:type="dxa"/>
            <w:vAlign w:val="bottom"/>
          </w:tcPr>
          <w:p>
            <w:pPr>
              <w:ind w:left="660"/>
              <w:spacing w:after="0" w:line="120" w:lineRule="exact"/>
              <w:rPr>
                <w:sz w:val="20"/>
                <w:szCs w:val="20"/>
                <w:color w:val="auto"/>
              </w:rPr>
            </w:pPr>
            <w:r>
              <w:rPr>
                <w:rFonts w:ascii="Arial" w:cs="Arial" w:eastAsia="Arial" w:hAnsi="Arial"/>
                <w:sz w:val="11"/>
                <w:szCs w:val="11"/>
                <w:b w:val="1"/>
                <w:bCs w:val="1"/>
                <w:color w:val="auto"/>
              </w:rPr>
              <w:t xml:space="preserve">- </w:t>
            </w:r>
          </w:p>
        </w:tc>
        <w:tc>
          <w:tcPr>
            <w:tcW w:w="720" w:type="dxa"/>
            <w:vAlign w:val="bottom"/>
            <w:shd w:val="clear" w:color="auto" w:fill="E3F3EE"/>
          </w:tcPr>
          <w:p>
            <w:pPr>
              <w:jc w:val="right"/>
              <w:ind w:right="7"/>
              <w:spacing w:after="0" w:line="120" w:lineRule="exact"/>
              <w:rPr>
                <w:sz w:val="20"/>
                <w:szCs w:val="20"/>
                <w:color w:val="auto"/>
              </w:rPr>
            </w:pPr>
            <w:r>
              <w:rPr>
                <w:rFonts w:ascii="Arial" w:cs="Arial" w:eastAsia="Arial" w:hAnsi="Arial"/>
                <w:sz w:val="11"/>
                <w:szCs w:val="11"/>
                <w:b w:val="1"/>
                <w:bCs w:val="1"/>
                <w:color w:val="auto"/>
              </w:rPr>
              <w:t>(249)</w:t>
            </w:r>
          </w:p>
        </w:tc>
        <w:tc>
          <w:tcPr>
            <w:tcW w:w="0" w:type="dxa"/>
            <w:vAlign w:val="bottom"/>
          </w:tcPr>
          <w:p>
            <w:pPr>
              <w:spacing w:after="0"/>
              <w:rPr>
                <w:sz w:val="1"/>
                <w:szCs w:val="1"/>
                <w:color w:val="auto"/>
              </w:rPr>
            </w:pPr>
          </w:p>
        </w:tc>
      </w:tr>
      <w:tr>
        <w:trPr>
          <w:trHeight w:val="132"/>
        </w:trPr>
        <w:tc>
          <w:tcPr>
            <w:tcW w:w="30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Stock compensation plans</w:t>
            </w:r>
          </w:p>
        </w:tc>
        <w:tc>
          <w:tcPr>
            <w:tcW w:w="64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b w:val="1"/>
                <w:bCs w:val="1"/>
                <w:color w:val="auto"/>
              </w:rPr>
              <w:t>152 </w:t>
            </w:r>
          </w:p>
        </w:tc>
        <w:tc>
          <w:tcPr>
            <w:tcW w:w="7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(73)</w:t>
            </w:r>
          </w:p>
        </w:tc>
        <w:tc>
          <w:tcPr>
            <w:tcW w:w="80" w:type="dxa"/>
            <w:vAlign w:val="bottom"/>
            <w:tcBorders>
              <w:bottom w:val="single" w:sz="8" w:color="auto"/>
            </w:tcBorders>
            <w:shd w:val="clear" w:color="auto" w:fill="E3F3EE"/>
          </w:tcPr>
          <w:p>
            <w:pPr>
              <w:spacing w:after="0"/>
              <w:rPr>
                <w:sz w:val="11"/>
                <w:szCs w:val="11"/>
                <w:color w:val="auto"/>
              </w:rPr>
            </w:pPr>
          </w:p>
        </w:tc>
        <w:tc>
          <w:tcPr>
            <w:tcW w:w="420" w:type="dxa"/>
            <w:vAlign w:val="bottom"/>
            <w:tcBorders>
              <w:bottom w:val="single" w:sz="8" w:color="auto"/>
            </w:tcBorders>
            <w:shd w:val="clear" w:color="auto" w:fill="E3F3EE"/>
          </w:tcPr>
          <w:p>
            <w:pPr>
              <w:jc w:val="right"/>
              <w:ind w:right="27"/>
              <w:spacing w:after="0"/>
              <w:rPr>
                <w:sz w:val="20"/>
                <w:szCs w:val="20"/>
                <w:color w:val="auto"/>
              </w:rPr>
            </w:pPr>
            <w:r>
              <w:rPr>
                <w:rFonts w:ascii="Arial" w:cs="Arial" w:eastAsia="Arial" w:hAnsi="Arial"/>
                <w:sz w:val="11"/>
                <w:szCs w:val="11"/>
                <w:b w:val="1"/>
                <w:bCs w:val="1"/>
                <w:color w:val="auto"/>
              </w:rPr>
              <w:t>79 </w:t>
            </w: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shd w:val="clear" w:color="auto" w:fill="E3F3EE"/>
          </w:tcPr>
          <w:p>
            <w:pPr>
              <w:spacing w:after="0"/>
              <w:rPr>
                <w:sz w:val="11"/>
                <w:szCs w:val="11"/>
                <w:color w:val="auto"/>
              </w:rPr>
            </w:pPr>
          </w:p>
        </w:tc>
        <w:tc>
          <w:tcPr>
            <w:tcW w:w="460" w:type="dxa"/>
            <w:vAlign w:val="bottom"/>
            <w:tcBorders>
              <w:bottom w:val="single" w:sz="8" w:color="auto"/>
            </w:tcBorders>
            <w:shd w:val="clear" w:color="auto" w:fill="E3F3EE"/>
          </w:tcPr>
          <w:p>
            <w:pPr>
              <w:spacing w:after="0"/>
              <w:rPr>
                <w:sz w:val="11"/>
                <w:szCs w:val="11"/>
                <w:color w:val="auto"/>
              </w:rPr>
            </w:pPr>
          </w:p>
        </w:tc>
        <w:tc>
          <w:tcPr>
            <w:tcW w:w="980" w:type="dxa"/>
            <w:vAlign w:val="bottom"/>
            <w:tcBorders>
              <w:bottom w:val="single" w:sz="8" w:color="auto"/>
            </w:tcBorders>
          </w:tcPr>
          <w:p>
            <w:pPr>
              <w:ind w:left="840"/>
              <w:spacing w:after="0"/>
              <w:rPr>
                <w:sz w:val="20"/>
                <w:szCs w:val="20"/>
                <w:color w:val="auto"/>
              </w:rPr>
            </w:pPr>
            <w:r>
              <w:rPr>
                <w:rFonts w:ascii="Arial" w:cs="Arial" w:eastAsia="Arial" w:hAnsi="Arial"/>
                <w:sz w:val="11"/>
                <w:szCs w:val="11"/>
                <w:b w:val="1"/>
                <w:bCs w:val="1"/>
                <w:color w:val="auto"/>
              </w:rPr>
              <w:t xml:space="preserve">- </w:t>
            </w:r>
          </w:p>
        </w:tc>
        <w:tc>
          <w:tcPr>
            <w:tcW w:w="760" w:type="dxa"/>
            <w:vAlign w:val="bottom"/>
            <w:tcBorders>
              <w:bottom w:val="single" w:sz="8" w:color="auto"/>
            </w:tcBorders>
          </w:tcPr>
          <w:p>
            <w:pPr>
              <w:ind w:left="620"/>
              <w:spacing w:after="0"/>
              <w:rPr>
                <w:sz w:val="20"/>
                <w:szCs w:val="20"/>
                <w:color w:val="auto"/>
              </w:rPr>
            </w:pPr>
            <w:r>
              <w:rPr>
                <w:rFonts w:ascii="Arial" w:cs="Arial" w:eastAsia="Arial" w:hAnsi="Arial"/>
                <w:sz w:val="11"/>
                <w:szCs w:val="11"/>
                <w:b w:val="1"/>
                <w:bCs w:val="1"/>
                <w:color w:val="auto"/>
              </w:rPr>
              <w:t xml:space="preserve">- </w:t>
            </w:r>
          </w:p>
        </w:tc>
        <w:tc>
          <w:tcPr>
            <w:tcW w:w="140" w:type="dxa"/>
            <w:vAlign w:val="bottom"/>
            <w:tcBorders>
              <w:bottom w:val="single" w:sz="8" w:color="auto"/>
            </w:tcBorders>
            <w:shd w:val="clear" w:color="auto" w:fill="E3F3EE"/>
          </w:tcPr>
          <w:p>
            <w:pPr>
              <w:spacing w:after="0"/>
              <w:rPr>
                <w:sz w:val="11"/>
                <w:szCs w:val="11"/>
                <w:color w:val="auto"/>
              </w:rPr>
            </w:pPr>
          </w:p>
        </w:tc>
        <w:tc>
          <w:tcPr>
            <w:tcW w:w="900" w:type="dxa"/>
            <w:vAlign w:val="bottom"/>
            <w:tcBorders>
              <w:bottom w:val="single" w:sz="8" w:color="auto"/>
            </w:tcBorders>
            <w:shd w:val="clear" w:color="auto" w:fill="E3F3EE"/>
          </w:tcPr>
          <w:p>
            <w:pPr>
              <w:ind w:left="760"/>
              <w:spacing w:after="0"/>
              <w:rPr>
                <w:sz w:val="20"/>
                <w:szCs w:val="20"/>
                <w:color w:val="auto"/>
              </w:rPr>
            </w:pPr>
            <w:r>
              <w:rPr>
                <w:rFonts w:ascii="Arial" w:cs="Arial" w:eastAsia="Arial" w:hAnsi="Arial"/>
                <w:sz w:val="11"/>
                <w:szCs w:val="11"/>
                <w:b w:val="1"/>
                <w:bCs w:val="1"/>
                <w:color w:val="auto"/>
              </w:rPr>
              <w:t xml:space="preserve">- </w:t>
            </w:r>
          </w:p>
        </w:tc>
        <w:tc>
          <w:tcPr>
            <w:tcW w:w="84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b w:val="1"/>
                <w:bCs w:val="1"/>
                <w:color w:val="auto"/>
              </w:rPr>
              <w:t>79 </w:t>
            </w:r>
          </w:p>
        </w:tc>
        <w:tc>
          <w:tcPr>
            <w:tcW w:w="800" w:type="dxa"/>
            <w:vAlign w:val="bottom"/>
            <w:tcBorders>
              <w:bottom w:val="single" w:sz="8" w:color="auto"/>
            </w:tcBorders>
          </w:tcPr>
          <w:p>
            <w:pPr>
              <w:ind w:left="660"/>
              <w:spacing w:after="0"/>
              <w:rPr>
                <w:sz w:val="20"/>
                <w:szCs w:val="20"/>
                <w:color w:val="auto"/>
              </w:rPr>
            </w:pPr>
            <w:r>
              <w:rPr>
                <w:rFonts w:ascii="Arial" w:cs="Arial" w:eastAsia="Arial" w:hAnsi="Arial"/>
                <w:sz w:val="11"/>
                <w:szCs w:val="11"/>
                <w:b w:val="1"/>
                <w:bCs w:val="1"/>
                <w:color w:val="auto"/>
              </w:rPr>
              <w:t xml:space="preserve">- </w:t>
            </w:r>
          </w:p>
        </w:tc>
        <w:tc>
          <w:tcPr>
            <w:tcW w:w="720" w:type="dxa"/>
            <w:vAlign w:val="bottom"/>
            <w:tcBorders>
              <w:bottom w:val="single" w:sz="8" w:color="auto"/>
            </w:tcBorders>
            <w:shd w:val="clear" w:color="auto" w:fill="E3F3EE"/>
          </w:tcPr>
          <w:p>
            <w:pPr>
              <w:jc w:val="right"/>
              <w:ind w:right="47"/>
              <w:spacing w:after="0"/>
              <w:rPr>
                <w:sz w:val="20"/>
                <w:szCs w:val="20"/>
                <w:color w:val="auto"/>
              </w:rPr>
            </w:pPr>
            <w:r>
              <w:rPr>
                <w:rFonts w:ascii="Arial" w:cs="Arial" w:eastAsia="Arial" w:hAnsi="Arial"/>
                <w:sz w:val="11"/>
                <w:szCs w:val="11"/>
                <w:b w:val="1"/>
                <w:bCs w:val="1"/>
                <w:color w:val="auto"/>
              </w:rPr>
              <w:t>79</w:t>
            </w:r>
          </w:p>
        </w:tc>
        <w:tc>
          <w:tcPr>
            <w:tcW w:w="0" w:type="dxa"/>
            <w:vAlign w:val="bottom"/>
          </w:tcPr>
          <w:p>
            <w:pPr>
              <w:spacing w:after="0"/>
              <w:rPr>
                <w:sz w:val="1"/>
                <w:szCs w:val="1"/>
                <w:color w:val="auto"/>
              </w:rPr>
            </w:pPr>
          </w:p>
        </w:tc>
      </w:tr>
      <w:tr>
        <w:trPr>
          <w:trHeight w:val="119"/>
        </w:trPr>
        <w:tc>
          <w:tcPr>
            <w:tcW w:w="3040" w:type="dxa"/>
            <w:vAlign w:val="bottom"/>
            <w:tcBorders>
              <w:bottom w:val="single" w:sz="8" w:color="D64000"/>
            </w:tcBorders>
          </w:tcPr>
          <w:p>
            <w:pPr>
              <w:spacing w:after="0" w:line="113" w:lineRule="exact"/>
              <w:rPr>
                <w:sz w:val="20"/>
                <w:szCs w:val="20"/>
                <w:color w:val="auto"/>
              </w:rPr>
            </w:pPr>
            <w:r>
              <w:rPr>
                <w:rFonts w:ascii="Arial" w:cs="Arial" w:eastAsia="Arial" w:hAnsi="Arial"/>
                <w:sz w:val="11"/>
                <w:szCs w:val="11"/>
                <w:color w:val="auto"/>
              </w:rPr>
              <w:t>Balance, December 31, 2024</w:t>
            </w:r>
          </w:p>
        </w:tc>
        <w:tc>
          <w:tcPr>
            <w:tcW w:w="640" w:type="dxa"/>
            <w:vAlign w:val="bottom"/>
            <w:tcBorders>
              <w:bottom w:val="single" w:sz="8" w:color="D64000"/>
            </w:tcBorders>
          </w:tcPr>
          <w:p>
            <w:pPr>
              <w:jc w:val="right"/>
              <w:ind w:right="27"/>
              <w:spacing w:after="0" w:line="113" w:lineRule="exact"/>
              <w:rPr>
                <w:sz w:val="20"/>
                <w:szCs w:val="20"/>
                <w:color w:val="auto"/>
              </w:rPr>
            </w:pPr>
            <w:r>
              <w:rPr>
                <w:rFonts w:ascii="Arial" w:cs="Arial" w:eastAsia="Arial" w:hAnsi="Arial"/>
                <w:sz w:val="11"/>
                <w:szCs w:val="11"/>
                <w:b w:val="1"/>
                <w:bCs w:val="1"/>
                <w:color w:val="auto"/>
              </w:rPr>
              <w:t>2,067 </w:t>
            </w:r>
          </w:p>
        </w:tc>
        <w:tc>
          <w:tcPr>
            <w:tcW w:w="720" w:type="dxa"/>
            <w:vAlign w:val="bottom"/>
            <w:tcBorders>
              <w:bottom w:val="single" w:sz="8" w:color="D64000"/>
            </w:tcBorders>
          </w:tcPr>
          <w:p>
            <w:pPr>
              <w:ind w:left="360"/>
              <w:spacing w:after="0" w:line="113" w:lineRule="exact"/>
              <w:rPr>
                <w:sz w:val="20"/>
                <w:szCs w:val="20"/>
                <w:color w:val="auto"/>
              </w:rPr>
            </w:pPr>
            <w:r>
              <w:rPr>
                <w:rFonts w:ascii="Arial" w:cs="Arial" w:eastAsia="Arial" w:hAnsi="Arial"/>
                <w:sz w:val="11"/>
                <w:szCs w:val="11"/>
                <w:b w:val="1"/>
                <w:bCs w:val="1"/>
                <w:color w:val="auto"/>
              </w:rPr>
              <w:t>1,431 </w:t>
            </w:r>
          </w:p>
        </w:tc>
        <w:tc>
          <w:tcPr>
            <w:tcW w:w="80" w:type="dxa"/>
            <w:vAlign w:val="bottom"/>
            <w:tcBorders>
              <w:bottom w:val="single" w:sz="8" w:color="D64000"/>
            </w:tcBorders>
            <w:shd w:val="clear" w:color="auto" w:fill="E3F3EE"/>
          </w:tcPr>
          <w:p>
            <w:pPr>
              <w:spacing w:after="0"/>
              <w:rPr>
                <w:sz w:val="10"/>
                <w:szCs w:val="10"/>
                <w:color w:val="auto"/>
              </w:rPr>
            </w:pPr>
          </w:p>
        </w:tc>
        <w:tc>
          <w:tcPr>
            <w:tcW w:w="420" w:type="dxa"/>
            <w:vAlign w:val="bottom"/>
            <w:tcBorders>
              <w:bottom w:val="single" w:sz="8" w:color="D64000"/>
            </w:tcBorders>
            <w:shd w:val="clear" w:color="auto" w:fill="E3F3EE"/>
          </w:tcPr>
          <w:p>
            <w:pPr>
              <w:jc w:val="right"/>
              <w:ind w:right="27"/>
              <w:spacing w:after="0" w:line="113" w:lineRule="exact"/>
              <w:rPr>
                <w:sz w:val="20"/>
                <w:szCs w:val="20"/>
                <w:color w:val="auto"/>
              </w:rPr>
            </w:pPr>
            <w:r>
              <w:rPr>
                <w:rFonts w:ascii="Arial" w:cs="Arial" w:eastAsia="Arial" w:hAnsi="Arial"/>
                <w:sz w:val="11"/>
                <w:szCs w:val="11"/>
                <w:b w:val="1"/>
                <w:bCs w:val="1"/>
                <w:color w:val="auto"/>
              </w:rPr>
              <w:t>3,498 </w:t>
            </w:r>
          </w:p>
        </w:tc>
        <w:tc>
          <w:tcPr>
            <w:tcW w:w="200" w:type="dxa"/>
            <w:vAlign w:val="bottom"/>
            <w:tcBorders>
              <w:bottom w:val="single" w:sz="8" w:color="D64000"/>
            </w:tcBorders>
          </w:tcPr>
          <w:p>
            <w:pPr>
              <w:spacing w:after="0"/>
              <w:rPr>
                <w:sz w:val="10"/>
                <w:szCs w:val="10"/>
                <w:color w:val="auto"/>
              </w:rPr>
            </w:pPr>
          </w:p>
        </w:tc>
        <w:tc>
          <w:tcPr>
            <w:tcW w:w="100" w:type="dxa"/>
            <w:vAlign w:val="bottom"/>
            <w:tcBorders>
              <w:bottom w:val="single" w:sz="8" w:color="D64000"/>
            </w:tcBorders>
            <w:shd w:val="clear" w:color="auto" w:fill="E3F3EE"/>
          </w:tcPr>
          <w:p>
            <w:pPr>
              <w:spacing w:after="0"/>
              <w:rPr>
                <w:sz w:val="10"/>
                <w:szCs w:val="10"/>
                <w:color w:val="auto"/>
              </w:rPr>
            </w:pPr>
          </w:p>
        </w:tc>
        <w:tc>
          <w:tcPr>
            <w:tcW w:w="460" w:type="dxa"/>
            <w:vAlign w:val="bottom"/>
            <w:tcBorders>
              <w:bottom w:val="single" w:sz="8" w:color="D64000"/>
            </w:tcBorders>
            <w:shd w:val="clear" w:color="auto" w:fill="E3F3EE"/>
          </w:tcPr>
          <w:p>
            <w:pPr>
              <w:jc w:val="right"/>
              <w:ind w:right="7"/>
              <w:spacing w:after="0" w:line="113" w:lineRule="exact"/>
              <w:rPr>
                <w:sz w:val="20"/>
                <w:szCs w:val="20"/>
                <w:color w:val="auto"/>
              </w:rPr>
            </w:pPr>
            <w:r>
              <w:rPr>
                <w:rFonts w:ascii="Arial" w:cs="Arial" w:eastAsia="Arial" w:hAnsi="Arial"/>
                <w:sz w:val="11"/>
                <w:szCs w:val="11"/>
                <w:b w:val="1"/>
                <w:bCs w:val="1"/>
                <w:color w:val="auto"/>
              </w:rPr>
              <w:t>9,699 </w:t>
            </w:r>
          </w:p>
        </w:tc>
        <w:tc>
          <w:tcPr>
            <w:tcW w:w="980" w:type="dxa"/>
            <w:vAlign w:val="bottom"/>
            <w:tcBorders>
              <w:bottom w:val="single" w:sz="8" w:color="D64000"/>
            </w:tcBorders>
          </w:tcPr>
          <w:p>
            <w:pPr>
              <w:ind w:left="760"/>
              <w:spacing w:after="0" w:line="113" w:lineRule="exact"/>
              <w:rPr>
                <w:sz w:val="20"/>
                <w:szCs w:val="20"/>
                <w:color w:val="auto"/>
              </w:rPr>
            </w:pPr>
            <w:r>
              <w:rPr>
                <w:rFonts w:ascii="Arial" w:cs="Arial" w:eastAsia="Arial" w:hAnsi="Arial"/>
                <w:sz w:val="11"/>
                <w:szCs w:val="11"/>
                <w:b w:val="1"/>
                <w:bCs w:val="1"/>
                <w:color w:val="auto"/>
              </w:rPr>
              <w:t>19 </w:t>
            </w:r>
          </w:p>
        </w:tc>
        <w:tc>
          <w:tcPr>
            <w:tcW w:w="760" w:type="dxa"/>
            <w:vAlign w:val="bottom"/>
            <w:tcBorders>
              <w:bottom w:val="single" w:sz="8" w:color="D64000"/>
            </w:tcBorders>
          </w:tcPr>
          <w:p>
            <w:pPr>
              <w:jc w:val="right"/>
              <w:ind w:right="27"/>
              <w:spacing w:after="0" w:line="113" w:lineRule="exact"/>
              <w:rPr>
                <w:sz w:val="20"/>
                <w:szCs w:val="20"/>
                <w:color w:val="auto"/>
              </w:rPr>
            </w:pPr>
            <w:r>
              <w:rPr>
                <w:rFonts w:ascii="Arial" w:cs="Arial" w:eastAsia="Arial" w:hAnsi="Arial"/>
                <w:sz w:val="11"/>
                <w:szCs w:val="11"/>
                <w:b w:val="1"/>
                <w:bCs w:val="1"/>
                <w:color w:val="auto"/>
              </w:rPr>
              <w:t>(1,210)</w:t>
            </w:r>
          </w:p>
        </w:tc>
        <w:tc>
          <w:tcPr>
            <w:tcW w:w="140" w:type="dxa"/>
            <w:vAlign w:val="bottom"/>
            <w:tcBorders>
              <w:bottom w:val="single" w:sz="8" w:color="D64000"/>
            </w:tcBorders>
            <w:shd w:val="clear" w:color="auto" w:fill="E3F3EE"/>
          </w:tcPr>
          <w:p>
            <w:pPr>
              <w:spacing w:after="0"/>
              <w:rPr>
                <w:sz w:val="10"/>
                <w:szCs w:val="10"/>
                <w:color w:val="auto"/>
              </w:rPr>
            </w:pPr>
          </w:p>
        </w:tc>
        <w:tc>
          <w:tcPr>
            <w:tcW w:w="900" w:type="dxa"/>
            <w:vAlign w:val="bottom"/>
            <w:tcBorders>
              <w:bottom w:val="single" w:sz="8" w:color="D64000"/>
            </w:tcBorders>
            <w:shd w:val="clear" w:color="auto" w:fill="E3F3EE"/>
          </w:tcPr>
          <w:p>
            <w:pPr>
              <w:jc w:val="right"/>
              <w:ind w:right="7"/>
              <w:spacing w:after="0" w:line="113" w:lineRule="exact"/>
              <w:rPr>
                <w:sz w:val="20"/>
                <w:szCs w:val="20"/>
                <w:color w:val="auto"/>
              </w:rPr>
            </w:pPr>
            <w:r>
              <w:rPr>
                <w:rFonts w:ascii="Arial" w:cs="Arial" w:eastAsia="Arial" w:hAnsi="Arial"/>
                <w:sz w:val="11"/>
                <w:szCs w:val="11"/>
                <w:b w:val="1"/>
                <w:bCs w:val="1"/>
                <w:color w:val="auto"/>
              </w:rPr>
              <w:t>(1,191)</w:t>
            </w:r>
          </w:p>
        </w:tc>
        <w:tc>
          <w:tcPr>
            <w:tcW w:w="840" w:type="dxa"/>
            <w:vAlign w:val="bottom"/>
            <w:tcBorders>
              <w:bottom w:val="single" w:sz="8" w:color="D64000"/>
            </w:tcBorders>
          </w:tcPr>
          <w:p>
            <w:pPr>
              <w:jc w:val="right"/>
              <w:ind w:right="27"/>
              <w:spacing w:after="0" w:line="113" w:lineRule="exact"/>
              <w:rPr>
                <w:sz w:val="20"/>
                <w:szCs w:val="20"/>
                <w:color w:val="auto"/>
              </w:rPr>
            </w:pPr>
            <w:r>
              <w:rPr>
                <w:rFonts w:ascii="Arial" w:cs="Arial" w:eastAsia="Arial" w:hAnsi="Arial"/>
                <w:sz w:val="11"/>
                <w:szCs w:val="11"/>
                <w:b w:val="1"/>
                <w:bCs w:val="1"/>
                <w:color w:val="auto"/>
              </w:rPr>
              <w:t>12,006 </w:t>
            </w:r>
          </w:p>
        </w:tc>
        <w:tc>
          <w:tcPr>
            <w:tcW w:w="800" w:type="dxa"/>
            <w:vAlign w:val="bottom"/>
            <w:tcBorders>
              <w:bottom w:val="single" w:sz="8" w:color="D64000"/>
            </w:tcBorders>
          </w:tcPr>
          <w:p>
            <w:pPr>
              <w:ind w:left="660"/>
              <w:spacing w:after="0" w:line="113" w:lineRule="exact"/>
              <w:rPr>
                <w:sz w:val="20"/>
                <w:szCs w:val="20"/>
                <w:color w:val="auto"/>
              </w:rPr>
            </w:pPr>
            <w:r>
              <w:rPr>
                <w:rFonts w:ascii="Arial" w:cs="Arial" w:eastAsia="Arial" w:hAnsi="Arial"/>
                <w:sz w:val="11"/>
                <w:szCs w:val="11"/>
                <w:b w:val="1"/>
                <w:bCs w:val="1"/>
                <w:color w:val="auto"/>
              </w:rPr>
              <w:t xml:space="preserve">- </w:t>
            </w:r>
          </w:p>
        </w:tc>
        <w:tc>
          <w:tcPr>
            <w:tcW w:w="720" w:type="dxa"/>
            <w:vAlign w:val="bottom"/>
            <w:tcBorders>
              <w:bottom w:val="single" w:sz="8" w:color="D64000"/>
            </w:tcBorders>
            <w:shd w:val="clear" w:color="auto" w:fill="E3F3EE"/>
          </w:tcPr>
          <w:p>
            <w:pPr>
              <w:jc w:val="right"/>
              <w:ind w:right="47"/>
              <w:spacing w:after="0" w:line="113" w:lineRule="exact"/>
              <w:rPr>
                <w:sz w:val="20"/>
                <w:szCs w:val="20"/>
                <w:color w:val="auto"/>
              </w:rPr>
            </w:pPr>
            <w:r>
              <w:rPr>
                <w:rFonts w:ascii="Arial" w:cs="Arial" w:eastAsia="Arial" w:hAnsi="Arial"/>
                <w:sz w:val="11"/>
                <w:szCs w:val="11"/>
                <w:b w:val="1"/>
                <w:bCs w:val="1"/>
                <w:color w:val="auto"/>
              </w:rPr>
              <w:t>12,006</w:t>
            </w:r>
          </w:p>
        </w:tc>
        <w:tc>
          <w:tcPr>
            <w:tcW w:w="0" w:type="dxa"/>
            <w:vAlign w:val="bottom"/>
          </w:tcPr>
          <w:p>
            <w:pPr>
              <w:spacing w:after="0"/>
              <w:rPr>
                <w:sz w:val="1"/>
                <w:szCs w:val="1"/>
                <w:color w:val="auto"/>
              </w:rPr>
            </w:pPr>
          </w:p>
        </w:tc>
      </w:tr>
      <w:tr>
        <w:trPr>
          <w:trHeight w:val="199"/>
        </w:trPr>
        <w:tc>
          <w:tcPr>
            <w:tcW w:w="3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3040" w:type="dxa"/>
            <w:vAlign w:val="bottom"/>
            <w:shd w:val="clear" w:color="auto" w:fill="1F473D"/>
          </w:tcPr>
          <w:p>
            <w:pPr>
              <w:spacing w:after="0"/>
              <w:rPr>
                <w:sz w:val="9"/>
                <w:szCs w:val="9"/>
                <w:color w:val="auto"/>
              </w:rPr>
            </w:pPr>
          </w:p>
        </w:tc>
        <w:tc>
          <w:tcPr>
            <w:tcW w:w="640" w:type="dxa"/>
            <w:vAlign w:val="bottom"/>
            <w:shd w:val="clear" w:color="auto" w:fill="1F473D"/>
          </w:tcPr>
          <w:p>
            <w:pPr>
              <w:spacing w:after="0"/>
              <w:rPr>
                <w:sz w:val="9"/>
                <w:szCs w:val="9"/>
                <w:color w:val="auto"/>
              </w:rPr>
            </w:pPr>
          </w:p>
        </w:tc>
        <w:tc>
          <w:tcPr>
            <w:tcW w:w="720" w:type="dxa"/>
            <w:vAlign w:val="bottom"/>
            <w:shd w:val="clear" w:color="auto" w:fill="1F473D"/>
          </w:tcPr>
          <w:p>
            <w:pPr>
              <w:spacing w:after="0"/>
              <w:rPr>
                <w:sz w:val="9"/>
                <w:szCs w:val="9"/>
                <w:color w:val="auto"/>
              </w:rPr>
            </w:pPr>
          </w:p>
        </w:tc>
        <w:tc>
          <w:tcPr>
            <w:tcW w:w="80" w:type="dxa"/>
            <w:vAlign w:val="bottom"/>
            <w:shd w:val="clear" w:color="auto" w:fill="1F473D"/>
          </w:tcPr>
          <w:p>
            <w:pPr>
              <w:spacing w:after="0"/>
              <w:rPr>
                <w:sz w:val="9"/>
                <w:szCs w:val="9"/>
                <w:color w:val="auto"/>
              </w:rPr>
            </w:pPr>
          </w:p>
        </w:tc>
        <w:tc>
          <w:tcPr>
            <w:tcW w:w="420" w:type="dxa"/>
            <w:vAlign w:val="bottom"/>
            <w:shd w:val="clear" w:color="auto" w:fill="1F473D"/>
          </w:tcPr>
          <w:p>
            <w:pPr>
              <w:spacing w:after="0"/>
              <w:rPr>
                <w:sz w:val="9"/>
                <w:szCs w:val="9"/>
                <w:color w:val="auto"/>
              </w:rPr>
            </w:pPr>
          </w:p>
        </w:tc>
        <w:tc>
          <w:tcPr>
            <w:tcW w:w="200" w:type="dxa"/>
            <w:vAlign w:val="bottom"/>
            <w:shd w:val="clear" w:color="auto" w:fill="1F473D"/>
          </w:tcPr>
          <w:p>
            <w:pPr>
              <w:spacing w:after="0"/>
              <w:rPr>
                <w:sz w:val="9"/>
                <w:szCs w:val="9"/>
                <w:color w:val="auto"/>
              </w:rPr>
            </w:pPr>
          </w:p>
        </w:tc>
        <w:tc>
          <w:tcPr>
            <w:tcW w:w="100" w:type="dxa"/>
            <w:vAlign w:val="bottom"/>
            <w:shd w:val="clear" w:color="auto" w:fill="1F473D"/>
          </w:tcPr>
          <w:p>
            <w:pPr>
              <w:spacing w:after="0"/>
              <w:rPr>
                <w:sz w:val="9"/>
                <w:szCs w:val="9"/>
                <w:color w:val="auto"/>
              </w:rPr>
            </w:pPr>
          </w:p>
        </w:tc>
        <w:tc>
          <w:tcPr>
            <w:tcW w:w="460" w:type="dxa"/>
            <w:vAlign w:val="bottom"/>
            <w:shd w:val="clear" w:color="auto" w:fill="1F473D"/>
          </w:tcPr>
          <w:p>
            <w:pPr>
              <w:spacing w:after="0"/>
              <w:rPr>
                <w:sz w:val="9"/>
                <w:szCs w:val="9"/>
                <w:color w:val="auto"/>
              </w:rPr>
            </w:pPr>
          </w:p>
        </w:tc>
        <w:tc>
          <w:tcPr>
            <w:tcW w:w="980" w:type="dxa"/>
            <w:vAlign w:val="bottom"/>
            <w:shd w:val="clear" w:color="auto" w:fill="1F473D"/>
          </w:tcPr>
          <w:p>
            <w:pPr>
              <w:spacing w:after="0"/>
              <w:rPr>
                <w:sz w:val="9"/>
                <w:szCs w:val="9"/>
                <w:color w:val="auto"/>
              </w:rPr>
            </w:pPr>
          </w:p>
        </w:tc>
        <w:tc>
          <w:tcPr>
            <w:tcW w:w="760" w:type="dxa"/>
            <w:vAlign w:val="bottom"/>
            <w:shd w:val="clear" w:color="auto" w:fill="1F473D"/>
          </w:tcPr>
          <w:p>
            <w:pPr>
              <w:jc w:val="center"/>
              <w:spacing w:after="0" w:line="106" w:lineRule="exact"/>
              <w:rPr>
                <w:sz w:val="20"/>
                <w:szCs w:val="20"/>
                <w:color w:val="auto"/>
              </w:rPr>
            </w:pPr>
            <w:r>
              <w:rPr>
                <w:rFonts w:ascii="Arial" w:cs="Arial" w:eastAsia="Arial" w:hAnsi="Arial"/>
                <w:sz w:val="11"/>
                <w:szCs w:val="11"/>
                <w:b w:val="1"/>
                <w:bCs w:val="1"/>
                <w:color w:val="FFFFFF"/>
                <w:w w:val="94"/>
              </w:rPr>
              <w:t>Foreign</w:t>
            </w:r>
          </w:p>
        </w:tc>
        <w:tc>
          <w:tcPr>
            <w:tcW w:w="140" w:type="dxa"/>
            <w:vAlign w:val="bottom"/>
            <w:shd w:val="clear" w:color="auto" w:fill="1F473D"/>
          </w:tcPr>
          <w:p>
            <w:pPr>
              <w:spacing w:after="0"/>
              <w:rPr>
                <w:sz w:val="9"/>
                <w:szCs w:val="9"/>
                <w:color w:val="auto"/>
              </w:rPr>
            </w:pPr>
          </w:p>
        </w:tc>
        <w:tc>
          <w:tcPr>
            <w:tcW w:w="900" w:type="dxa"/>
            <w:vAlign w:val="bottom"/>
            <w:shd w:val="clear" w:color="auto" w:fill="1F473D"/>
          </w:tcPr>
          <w:p>
            <w:pPr>
              <w:spacing w:after="0"/>
              <w:rPr>
                <w:sz w:val="9"/>
                <w:szCs w:val="9"/>
                <w:color w:val="auto"/>
              </w:rPr>
            </w:pPr>
          </w:p>
        </w:tc>
        <w:tc>
          <w:tcPr>
            <w:tcW w:w="840" w:type="dxa"/>
            <w:vAlign w:val="bottom"/>
            <w:shd w:val="clear" w:color="auto" w:fill="1F473D"/>
          </w:tcPr>
          <w:p>
            <w:pPr>
              <w:spacing w:after="0"/>
              <w:rPr>
                <w:sz w:val="9"/>
                <w:szCs w:val="9"/>
                <w:color w:val="auto"/>
              </w:rPr>
            </w:pPr>
          </w:p>
        </w:tc>
        <w:tc>
          <w:tcPr>
            <w:tcW w:w="800" w:type="dxa"/>
            <w:vAlign w:val="bottom"/>
            <w:vMerge w:val="restart"/>
            <w:shd w:val="clear" w:color="auto" w:fill="1F473D"/>
          </w:tcPr>
          <w:p>
            <w:pPr>
              <w:jc w:val="center"/>
              <w:spacing w:after="0"/>
              <w:rPr>
                <w:sz w:val="20"/>
                <w:szCs w:val="20"/>
                <w:color w:val="auto"/>
              </w:rPr>
            </w:pPr>
            <w:r>
              <w:rPr>
                <w:rFonts w:ascii="Arial" w:cs="Arial" w:eastAsia="Arial" w:hAnsi="Arial"/>
                <w:sz w:val="11"/>
                <w:szCs w:val="11"/>
                <w:b w:val="1"/>
                <w:bCs w:val="1"/>
                <w:color w:val="FFFFFF"/>
              </w:rPr>
              <w:t>Non-</w:t>
            </w:r>
          </w:p>
        </w:tc>
        <w:tc>
          <w:tcPr>
            <w:tcW w:w="720" w:type="dxa"/>
            <w:vAlign w:val="bottom"/>
            <w:shd w:val="clear" w:color="auto" w:fill="1F473D"/>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040" w:type="dxa"/>
            <w:vAlign w:val="bottom"/>
            <w:shd w:val="clear" w:color="auto" w:fill="1F473D"/>
          </w:tcPr>
          <w:p>
            <w:pPr>
              <w:spacing w:after="0"/>
              <w:rPr>
                <w:sz w:val="9"/>
                <w:szCs w:val="9"/>
                <w:color w:val="auto"/>
              </w:rPr>
            </w:pPr>
          </w:p>
        </w:tc>
        <w:tc>
          <w:tcPr>
            <w:tcW w:w="640" w:type="dxa"/>
            <w:vAlign w:val="bottom"/>
            <w:shd w:val="clear" w:color="auto" w:fill="1F473D"/>
          </w:tcPr>
          <w:p>
            <w:pPr>
              <w:jc w:val="center"/>
              <w:ind w:left="47"/>
              <w:spacing w:after="0" w:line="106" w:lineRule="exact"/>
              <w:rPr>
                <w:sz w:val="20"/>
                <w:szCs w:val="20"/>
                <w:color w:val="auto"/>
              </w:rPr>
            </w:pPr>
            <w:r>
              <w:rPr>
                <w:rFonts w:ascii="Arial" w:cs="Arial" w:eastAsia="Arial" w:hAnsi="Arial"/>
                <w:sz w:val="11"/>
                <w:szCs w:val="11"/>
                <w:b w:val="1"/>
                <w:bCs w:val="1"/>
                <w:color w:val="FFFFFF"/>
              </w:rPr>
              <w:t>Stated</w:t>
            </w:r>
          </w:p>
        </w:tc>
        <w:tc>
          <w:tcPr>
            <w:tcW w:w="720" w:type="dxa"/>
            <w:vAlign w:val="bottom"/>
            <w:shd w:val="clear" w:color="auto" w:fill="1F473D"/>
          </w:tcPr>
          <w:p>
            <w:pPr>
              <w:spacing w:after="0"/>
              <w:rPr>
                <w:sz w:val="9"/>
                <w:szCs w:val="9"/>
                <w:color w:val="auto"/>
              </w:rPr>
            </w:pPr>
          </w:p>
        </w:tc>
        <w:tc>
          <w:tcPr>
            <w:tcW w:w="80" w:type="dxa"/>
            <w:vAlign w:val="bottom"/>
            <w:shd w:val="clear" w:color="auto" w:fill="1F473D"/>
          </w:tcPr>
          <w:p>
            <w:pPr>
              <w:spacing w:after="0"/>
              <w:rPr>
                <w:sz w:val="9"/>
                <w:szCs w:val="9"/>
                <w:color w:val="auto"/>
              </w:rPr>
            </w:pPr>
          </w:p>
        </w:tc>
        <w:tc>
          <w:tcPr>
            <w:tcW w:w="420" w:type="dxa"/>
            <w:vAlign w:val="bottom"/>
            <w:shd w:val="clear" w:color="auto" w:fill="1F473D"/>
          </w:tcPr>
          <w:p>
            <w:pPr>
              <w:spacing w:after="0"/>
              <w:rPr>
                <w:sz w:val="9"/>
                <w:szCs w:val="9"/>
                <w:color w:val="auto"/>
              </w:rPr>
            </w:pPr>
          </w:p>
        </w:tc>
        <w:tc>
          <w:tcPr>
            <w:tcW w:w="200" w:type="dxa"/>
            <w:vAlign w:val="bottom"/>
            <w:shd w:val="clear" w:color="auto" w:fill="1F473D"/>
          </w:tcPr>
          <w:p>
            <w:pPr>
              <w:spacing w:after="0"/>
              <w:rPr>
                <w:sz w:val="9"/>
                <w:szCs w:val="9"/>
                <w:color w:val="auto"/>
              </w:rPr>
            </w:pPr>
          </w:p>
        </w:tc>
        <w:tc>
          <w:tcPr>
            <w:tcW w:w="100" w:type="dxa"/>
            <w:vAlign w:val="bottom"/>
            <w:shd w:val="clear" w:color="auto" w:fill="1F473D"/>
          </w:tcPr>
          <w:p>
            <w:pPr>
              <w:spacing w:after="0"/>
              <w:rPr>
                <w:sz w:val="9"/>
                <w:szCs w:val="9"/>
                <w:color w:val="auto"/>
              </w:rPr>
            </w:pPr>
          </w:p>
        </w:tc>
        <w:tc>
          <w:tcPr>
            <w:tcW w:w="460" w:type="dxa"/>
            <w:vAlign w:val="bottom"/>
            <w:shd w:val="clear" w:color="auto" w:fill="1F473D"/>
          </w:tcPr>
          <w:p>
            <w:pPr>
              <w:spacing w:after="0"/>
              <w:rPr>
                <w:sz w:val="9"/>
                <w:szCs w:val="9"/>
                <w:color w:val="auto"/>
              </w:rPr>
            </w:pPr>
          </w:p>
        </w:tc>
        <w:tc>
          <w:tcPr>
            <w:tcW w:w="980" w:type="dxa"/>
            <w:vAlign w:val="bottom"/>
            <w:shd w:val="clear" w:color="auto" w:fill="1F473D"/>
          </w:tcPr>
          <w:p>
            <w:pPr>
              <w:jc w:val="center"/>
              <w:spacing w:after="0" w:line="106" w:lineRule="exact"/>
              <w:rPr>
                <w:sz w:val="20"/>
                <w:szCs w:val="20"/>
                <w:color w:val="auto"/>
              </w:rPr>
            </w:pPr>
            <w:r>
              <w:rPr>
                <w:rFonts w:ascii="Arial" w:cs="Arial" w:eastAsia="Arial" w:hAnsi="Arial"/>
                <w:sz w:val="11"/>
                <w:szCs w:val="11"/>
                <w:b w:val="1"/>
                <w:bCs w:val="1"/>
                <w:color w:val="FFFFFF"/>
                <w:w w:val="96"/>
              </w:rPr>
              <w:t>Unrecognized</w:t>
            </w:r>
          </w:p>
        </w:tc>
        <w:tc>
          <w:tcPr>
            <w:tcW w:w="760" w:type="dxa"/>
            <w:vAlign w:val="bottom"/>
            <w:shd w:val="clear" w:color="auto" w:fill="1F473D"/>
          </w:tcPr>
          <w:p>
            <w:pPr>
              <w:jc w:val="center"/>
              <w:spacing w:after="0" w:line="106" w:lineRule="exact"/>
              <w:rPr>
                <w:sz w:val="20"/>
                <w:szCs w:val="20"/>
                <w:color w:val="auto"/>
              </w:rPr>
            </w:pPr>
            <w:r>
              <w:rPr>
                <w:rFonts w:ascii="Arial" w:cs="Arial" w:eastAsia="Arial" w:hAnsi="Arial"/>
                <w:sz w:val="11"/>
                <w:szCs w:val="11"/>
                <w:b w:val="1"/>
                <w:bCs w:val="1"/>
                <w:color w:val="FFFFFF"/>
                <w:w w:val="98"/>
              </w:rPr>
              <w:t>currency</w:t>
            </w:r>
          </w:p>
        </w:tc>
        <w:tc>
          <w:tcPr>
            <w:tcW w:w="140" w:type="dxa"/>
            <w:vAlign w:val="bottom"/>
            <w:shd w:val="clear" w:color="auto" w:fill="1F473D"/>
          </w:tcPr>
          <w:p>
            <w:pPr>
              <w:spacing w:after="0"/>
              <w:rPr>
                <w:sz w:val="9"/>
                <w:szCs w:val="9"/>
                <w:color w:val="auto"/>
              </w:rPr>
            </w:pPr>
          </w:p>
        </w:tc>
        <w:tc>
          <w:tcPr>
            <w:tcW w:w="900" w:type="dxa"/>
            <w:vAlign w:val="bottom"/>
            <w:shd w:val="clear" w:color="auto" w:fill="1F473D"/>
          </w:tcPr>
          <w:p>
            <w:pPr>
              <w:spacing w:after="0"/>
              <w:rPr>
                <w:sz w:val="9"/>
                <w:szCs w:val="9"/>
                <w:color w:val="auto"/>
              </w:rPr>
            </w:pPr>
          </w:p>
        </w:tc>
        <w:tc>
          <w:tcPr>
            <w:tcW w:w="840" w:type="dxa"/>
            <w:vAlign w:val="bottom"/>
            <w:shd w:val="clear" w:color="auto" w:fill="1F473D"/>
          </w:tcPr>
          <w:p>
            <w:pPr>
              <w:spacing w:after="0"/>
              <w:rPr>
                <w:sz w:val="9"/>
                <w:szCs w:val="9"/>
                <w:color w:val="auto"/>
              </w:rPr>
            </w:pPr>
          </w:p>
        </w:tc>
        <w:tc>
          <w:tcPr>
            <w:tcW w:w="800" w:type="dxa"/>
            <w:vAlign w:val="bottom"/>
            <w:vMerge w:val="continue"/>
            <w:shd w:val="clear" w:color="auto" w:fill="1F473D"/>
          </w:tcPr>
          <w:p>
            <w:pPr>
              <w:spacing w:after="0"/>
              <w:rPr>
                <w:sz w:val="9"/>
                <w:szCs w:val="9"/>
                <w:color w:val="auto"/>
              </w:rPr>
            </w:pPr>
          </w:p>
        </w:tc>
        <w:tc>
          <w:tcPr>
            <w:tcW w:w="720" w:type="dxa"/>
            <w:vAlign w:val="bottom"/>
            <w:shd w:val="clear" w:color="auto" w:fill="1F473D"/>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3040" w:type="dxa"/>
            <w:vAlign w:val="bottom"/>
            <w:shd w:val="clear" w:color="auto" w:fill="1F473D"/>
          </w:tcPr>
          <w:p>
            <w:pPr>
              <w:spacing w:after="0"/>
              <w:rPr>
                <w:sz w:val="10"/>
                <w:szCs w:val="10"/>
                <w:color w:val="auto"/>
              </w:rPr>
            </w:pPr>
          </w:p>
        </w:tc>
        <w:tc>
          <w:tcPr>
            <w:tcW w:w="640" w:type="dxa"/>
            <w:vAlign w:val="bottom"/>
            <w:shd w:val="clear" w:color="auto" w:fill="1F473D"/>
          </w:tcPr>
          <w:p>
            <w:pPr>
              <w:jc w:val="center"/>
              <w:ind w:left="47"/>
              <w:spacing w:after="0" w:line="120" w:lineRule="exact"/>
              <w:rPr>
                <w:sz w:val="20"/>
                <w:szCs w:val="20"/>
                <w:color w:val="auto"/>
              </w:rPr>
            </w:pPr>
            <w:r>
              <w:rPr>
                <w:rFonts w:ascii="Arial" w:cs="Arial" w:eastAsia="Arial" w:hAnsi="Arial"/>
                <w:sz w:val="11"/>
                <w:szCs w:val="11"/>
                <w:b w:val="1"/>
                <w:bCs w:val="1"/>
                <w:color w:val="FFFFFF"/>
              </w:rPr>
              <w:t>share</w:t>
            </w:r>
          </w:p>
        </w:tc>
        <w:tc>
          <w:tcPr>
            <w:tcW w:w="720" w:type="dxa"/>
            <w:vAlign w:val="bottom"/>
            <w:shd w:val="clear" w:color="auto" w:fill="1F473D"/>
          </w:tcPr>
          <w:p>
            <w:pPr>
              <w:jc w:val="right"/>
              <w:ind w:right="27"/>
              <w:spacing w:after="0" w:line="120" w:lineRule="exact"/>
              <w:rPr>
                <w:sz w:val="20"/>
                <w:szCs w:val="20"/>
                <w:color w:val="auto"/>
              </w:rPr>
            </w:pPr>
            <w:r>
              <w:rPr>
                <w:rFonts w:ascii="Arial" w:cs="Arial" w:eastAsia="Arial" w:hAnsi="Arial"/>
                <w:sz w:val="11"/>
                <w:szCs w:val="11"/>
                <w:b w:val="1"/>
                <w:bCs w:val="1"/>
                <w:color w:val="FFFFFF"/>
                <w:w w:val="99"/>
              </w:rPr>
              <w:t>Contributed</w:t>
            </w:r>
          </w:p>
        </w:tc>
        <w:tc>
          <w:tcPr>
            <w:tcW w:w="80" w:type="dxa"/>
            <w:vAlign w:val="bottom"/>
            <w:shd w:val="clear" w:color="auto" w:fill="1F473D"/>
          </w:tcPr>
          <w:p>
            <w:pPr>
              <w:spacing w:after="0"/>
              <w:rPr>
                <w:sz w:val="10"/>
                <w:szCs w:val="10"/>
                <w:color w:val="auto"/>
              </w:rPr>
            </w:pPr>
          </w:p>
        </w:tc>
        <w:tc>
          <w:tcPr>
            <w:tcW w:w="420" w:type="dxa"/>
            <w:vAlign w:val="bottom"/>
            <w:shd w:val="clear" w:color="auto" w:fill="1F473D"/>
          </w:tcPr>
          <w:p>
            <w:pPr>
              <w:jc w:val="center"/>
              <w:ind w:right="47"/>
              <w:spacing w:after="0" w:line="120" w:lineRule="exact"/>
              <w:rPr>
                <w:sz w:val="20"/>
                <w:szCs w:val="20"/>
                <w:color w:val="auto"/>
              </w:rPr>
            </w:pPr>
            <w:r>
              <w:rPr>
                <w:rFonts w:ascii="Arial" w:cs="Arial" w:eastAsia="Arial" w:hAnsi="Arial"/>
                <w:sz w:val="11"/>
                <w:szCs w:val="11"/>
                <w:b w:val="1"/>
                <w:bCs w:val="1"/>
                <w:color w:val="FFFFFF"/>
                <w:w w:val="91"/>
              </w:rPr>
              <w:t>Total</w:t>
            </w:r>
          </w:p>
        </w:tc>
        <w:tc>
          <w:tcPr>
            <w:tcW w:w="200" w:type="dxa"/>
            <w:vAlign w:val="bottom"/>
            <w:shd w:val="clear" w:color="auto" w:fill="1F473D"/>
          </w:tcPr>
          <w:p>
            <w:pPr>
              <w:spacing w:after="0"/>
              <w:rPr>
                <w:sz w:val="10"/>
                <w:szCs w:val="10"/>
                <w:color w:val="auto"/>
              </w:rPr>
            </w:pPr>
          </w:p>
        </w:tc>
        <w:tc>
          <w:tcPr>
            <w:tcW w:w="560" w:type="dxa"/>
            <w:vAlign w:val="bottom"/>
            <w:gridSpan w:val="2"/>
            <w:shd w:val="clear" w:color="auto" w:fill="1F473D"/>
          </w:tcPr>
          <w:p>
            <w:pPr>
              <w:jc w:val="right"/>
              <w:ind w:right="7"/>
              <w:spacing w:after="0" w:line="120" w:lineRule="exact"/>
              <w:rPr>
                <w:sz w:val="20"/>
                <w:szCs w:val="20"/>
                <w:color w:val="auto"/>
              </w:rPr>
            </w:pPr>
            <w:r>
              <w:rPr>
                <w:rFonts w:ascii="Arial" w:cs="Arial" w:eastAsia="Arial" w:hAnsi="Arial"/>
                <w:sz w:val="11"/>
                <w:szCs w:val="11"/>
                <w:b w:val="1"/>
                <w:bCs w:val="1"/>
                <w:color w:val="FFFFFF"/>
              </w:rPr>
              <w:t>Retained</w:t>
            </w:r>
          </w:p>
        </w:tc>
        <w:tc>
          <w:tcPr>
            <w:tcW w:w="980" w:type="dxa"/>
            <w:vAlign w:val="bottom"/>
            <w:shd w:val="clear" w:color="auto" w:fill="1F473D"/>
          </w:tcPr>
          <w:p>
            <w:pPr>
              <w:jc w:val="center"/>
              <w:spacing w:after="0" w:line="120" w:lineRule="exact"/>
              <w:rPr>
                <w:sz w:val="20"/>
                <w:szCs w:val="20"/>
                <w:color w:val="auto"/>
              </w:rPr>
            </w:pPr>
            <w:r>
              <w:rPr>
                <w:rFonts w:ascii="Arial" w:cs="Arial" w:eastAsia="Arial" w:hAnsi="Arial"/>
                <w:sz w:val="11"/>
                <w:szCs w:val="11"/>
                <w:b w:val="1"/>
                <w:bCs w:val="1"/>
                <w:color w:val="FFFFFF"/>
                <w:w w:val="96"/>
              </w:rPr>
              <w:t>gain on financial</w:t>
            </w:r>
          </w:p>
        </w:tc>
        <w:tc>
          <w:tcPr>
            <w:tcW w:w="760" w:type="dxa"/>
            <w:vAlign w:val="bottom"/>
            <w:shd w:val="clear" w:color="auto" w:fill="1F473D"/>
          </w:tcPr>
          <w:p>
            <w:pPr>
              <w:jc w:val="center"/>
              <w:spacing w:after="0" w:line="120" w:lineRule="exact"/>
              <w:rPr>
                <w:sz w:val="20"/>
                <w:szCs w:val="20"/>
                <w:color w:val="auto"/>
              </w:rPr>
            </w:pPr>
            <w:r>
              <w:rPr>
                <w:rFonts w:ascii="Arial" w:cs="Arial" w:eastAsia="Arial" w:hAnsi="Arial"/>
                <w:sz w:val="11"/>
                <w:szCs w:val="11"/>
                <w:b w:val="1"/>
                <w:bCs w:val="1"/>
                <w:color w:val="FFFFFF"/>
                <w:w w:val="95"/>
              </w:rPr>
              <w:t>translation</w:t>
            </w:r>
          </w:p>
        </w:tc>
        <w:tc>
          <w:tcPr>
            <w:tcW w:w="140" w:type="dxa"/>
            <w:vAlign w:val="bottom"/>
            <w:shd w:val="clear" w:color="auto" w:fill="1F473D"/>
          </w:tcPr>
          <w:p>
            <w:pPr>
              <w:spacing w:after="0"/>
              <w:rPr>
                <w:sz w:val="10"/>
                <w:szCs w:val="10"/>
                <w:color w:val="auto"/>
              </w:rPr>
            </w:pPr>
          </w:p>
        </w:tc>
        <w:tc>
          <w:tcPr>
            <w:tcW w:w="900" w:type="dxa"/>
            <w:vAlign w:val="bottom"/>
            <w:shd w:val="clear" w:color="auto" w:fill="1F473D"/>
          </w:tcPr>
          <w:p>
            <w:pPr>
              <w:spacing w:after="0"/>
              <w:rPr>
                <w:sz w:val="10"/>
                <w:szCs w:val="10"/>
                <w:color w:val="auto"/>
              </w:rPr>
            </w:pPr>
          </w:p>
        </w:tc>
        <w:tc>
          <w:tcPr>
            <w:tcW w:w="840" w:type="dxa"/>
            <w:vAlign w:val="bottom"/>
            <w:shd w:val="clear" w:color="auto" w:fill="1F473D"/>
          </w:tcPr>
          <w:p>
            <w:pPr>
              <w:jc w:val="center"/>
              <w:spacing w:after="0" w:line="120" w:lineRule="exact"/>
              <w:rPr>
                <w:sz w:val="20"/>
                <w:szCs w:val="20"/>
                <w:color w:val="auto"/>
              </w:rPr>
            </w:pPr>
            <w:r>
              <w:rPr>
                <w:rFonts w:ascii="Arial" w:cs="Arial" w:eastAsia="Arial" w:hAnsi="Arial"/>
                <w:sz w:val="11"/>
                <w:szCs w:val="11"/>
                <w:b w:val="1"/>
                <w:bCs w:val="1"/>
                <w:color w:val="FFFFFF"/>
                <w:w w:val="95"/>
              </w:rPr>
              <w:t>Shareholders’</w:t>
            </w:r>
          </w:p>
        </w:tc>
        <w:tc>
          <w:tcPr>
            <w:tcW w:w="800" w:type="dxa"/>
            <w:vAlign w:val="bottom"/>
            <w:shd w:val="clear" w:color="auto" w:fill="1F473D"/>
          </w:tcPr>
          <w:p>
            <w:pPr>
              <w:jc w:val="center"/>
              <w:spacing w:after="0" w:line="120" w:lineRule="exact"/>
              <w:rPr>
                <w:sz w:val="20"/>
                <w:szCs w:val="20"/>
                <w:color w:val="auto"/>
              </w:rPr>
            </w:pPr>
            <w:r>
              <w:rPr>
                <w:rFonts w:ascii="Arial" w:cs="Arial" w:eastAsia="Arial" w:hAnsi="Arial"/>
                <w:sz w:val="11"/>
                <w:szCs w:val="11"/>
                <w:b w:val="1"/>
                <w:bCs w:val="1"/>
                <w:color w:val="FFFFFF"/>
                <w:w w:val="94"/>
              </w:rPr>
              <w:t>controlling</w:t>
            </w:r>
          </w:p>
        </w:tc>
        <w:tc>
          <w:tcPr>
            <w:tcW w:w="720" w:type="dxa"/>
            <w:vAlign w:val="bottom"/>
            <w:shd w:val="clear" w:color="auto" w:fill="1F473D"/>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3040" w:type="dxa"/>
            <w:vAlign w:val="bottom"/>
            <w:tcBorders>
              <w:bottom w:val="single" w:sz="8" w:color="1F473D"/>
            </w:tcBorders>
            <w:shd w:val="clear" w:color="auto" w:fill="1F473D"/>
          </w:tcPr>
          <w:p>
            <w:pPr>
              <w:spacing w:after="0"/>
              <w:rPr>
                <w:sz w:val="20"/>
                <w:szCs w:val="20"/>
                <w:color w:val="auto"/>
              </w:rPr>
            </w:pPr>
            <w:r>
              <w:rPr>
                <w:rFonts w:ascii="Arial" w:cs="Arial" w:eastAsia="Arial" w:hAnsi="Arial"/>
                <w:sz w:val="11"/>
                <w:szCs w:val="11"/>
                <w:b w:val="1"/>
                <w:bCs w:val="1"/>
                <w:color w:val="FFFFFF"/>
              </w:rPr>
              <w:t>(millions of U.S. dollars)</w:t>
            </w:r>
          </w:p>
        </w:tc>
        <w:tc>
          <w:tcPr>
            <w:tcW w:w="640" w:type="dxa"/>
            <w:vAlign w:val="bottom"/>
            <w:tcBorders>
              <w:bottom w:val="single" w:sz="8" w:color="1F473D"/>
            </w:tcBorders>
            <w:shd w:val="clear" w:color="auto" w:fill="1F473D"/>
          </w:tcPr>
          <w:p>
            <w:pPr>
              <w:jc w:val="center"/>
              <w:ind w:left="47"/>
              <w:spacing w:after="0"/>
              <w:rPr>
                <w:sz w:val="20"/>
                <w:szCs w:val="20"/>
                <w:color w:val="auto"/>
              </w:rPr>
            </w:pPr>
            <w:r>
              <w:rPr>
                <w:rFonts w:ascii="Arial" w:cs="Arial" w:eastAsia="Arial" w:hAnsi="Arial"/>
                <w:sz w:val="11"/>
                <w:szCs w:val="11"/>
                <w:b w:val="1"/>
                <w:bCs w:val="1"/>
                <w:color w:val="FFFFFF"/>
                <w:w w:val="97"/>
              </w:rPr>
              <w:t>capital</w:t>
            </w:r>
          </w:p>
        </w:tc>
        <w:tc>
          <w:tcPr>
            <w:tcW w:w="720" w:type="dxa"/>
            <w:vAlign w:val="bottom"/>
            <w:tcBorders>
              <w:bottom w:val="single" w:sz="8" w:color="1F473D"/>
            </w:tcBorders>
            <w:shd w:val="clear" w:color="auto" w:fill="1F473D"/>
          </w:tcPr>
          <w:p>
            <w:pPr>
              <w:ind w:left="160"/>
              <w:spacing w:after="0"/>
              <w:rPr>
                <w:sz w:val="20"/>
                <w:szCs w:val="20"/>
                <w:color w:val="auto"/>
              </w:rPr>
            </w:pPr>
            <w:r>
              <w:rPr>
                <w:rFonts w:ascii="Arial" w:cs="Arial" w:eastAsia="Arial" w:hAnsi="Arial"/>
                <w:sz w:val="11"/>
                <w:szCs w:val="11"/>
                <w:b w:val="1"/>
                <w:bCs w:val="1"/>
                <w:color w:val="FFFFFF"/>
              </w:rPr>
              <w:t>surplus</w:t>
            </w:r>
          </w:p>
        </w:tc>
        <w:tc>
          <w:tcPr>
            <w:tcW w:w="500" w:type="dxa"/>
            <w:vAlign w:val="bottom"/>
            <w:tcBorders>
              <w:bottom w:val="single" w:sz="8" w:color="1F473D"/>
            </w:tcBorders>
            <w:gridSpan w:val="2"/>
            <w:shd w:val="clear" w:color="auto" w:fill="1F473D"/>
          </w:tcPr>
          <w:p>
            <w:pPr>
              <w:jc w:val="center"/>
              <w:spacing w:after="0"/>
              <w:rPr>
                <w:sz w:val="20"/>
                <w:szCs w:val="20"/>
                <w:color w:val="auto"/>
              </w:rPr>
            </w:pPr>
            <w:r>
              <w:rPr>
                <w:rFonts w:ascii="Arial" w:cs="Arial" w:eastAsia="Arial" w:hAnsi="Arial"/>
                <w:sz w:val="11"/>
                <w:szCs w:val="11"/>
                <w:b w:val="1"/>
                <w:bCs w:val="1"/>
                <w:color w:val="FFFFFF"/>
                <w:w w:val="97"/>
              </w:rPr>
              <w:t>capital</w:t>
            </w:r>
          </w:p>
        </w:tc>
        <w:tc>
          <w:tcPr>
            <w:tcW w:w="200" w:type="dxa"/>
            <w:vAlign w:val="bottom"/>
            <w:tcBorders>
              <w:bottom w:val="single" w:sz="8" w:color="1F473D"/>
            </w:tcBorders>
            <w:shd w:val="clear" w:color="auto" w:fill="1F473D"/>
          </w:tcPr>
          <w:p>
            <w:pPr>
              <w:spacing w:after="0"/>
              <w:rPr>
                <w:sz w:val="17"/>
                <w:szCs w:val="17"/>
                <w:color w:val="auto"/>
              </w:rPr>
            </w:pPr>
          </w:p>
        </w:tc>
        <w:tc>
          <w:tcPr>
            <w:tcW w:w="560" w:type="dxa"/>
            <w:vAlign w:val="bottom"/>
            <w:tcBorders>
              <w:bottom w:val="single" w:sz="8" w:color="1F473D"/>
            </w:tcBorders>
            <w:gridSpan w:val="2"/>
            <w:shd w:val="clear" w:color="auto" w:fill="1F473D"/>
          </w:tcPr>
          <w:p>
            <w:pPr>
              <w:jc w:val="right"/>
              <w:ind w:right="7"/>
              <w:spacing w:after="0"/>
              <w:rPr>
                <w:sz w:val="20"/>
                <w:szCs w:val="20"/>
                <w:color w:val="auto"/>
              </w:rPr>
            </w:pPr>
            <w:r>
              <w:rPr>
                <w:rFonts w:ascii="Arial" w:cs="Arial" w:eastAsia="Arial" w:hAnsi="Arial"/>
                <w:sz w:val="11"/>
                <w:szCs w:val="11"/>
                <w:b w:val="1"/>
                <w:bCs w:val="1"/>
                <w:color w:val="FFFFFF"/>
              </w:rPr>
              <w:t>earnings</w:t>
            </w:r>
          </w:p>
        </w:tc>
        <w:tc>
          <w:tcPr>
            <w:tcW w:w="980" w:type="dxa"/>
            <w:vAlign w:val="bottom"/>
            <w:tcBorders>
              <w:bottom w:val="single" w:sz="8" w:color="1F473D"/>
            </w:tcBorders>
            <w:shd w:val="clear" w:color="auto" w:fill="1F473D"/>
          </w:tcPr>
          <w:p>
            <w:pPr>
              <w:jc w:val="center"/>
              <w:spacing w:after="0"/>
              <w:rPr>
                <w:sz w:val="20"/>
                <w:szCs w:val="20"/>
                <w:color w:val="auto"/>
              </w:rPr>
            </w:pPr>
            <w:r>
              <w:rPr>
                <w:rFonts w:ascii="Arial" w:cs="Arial" w:eastAsia="Arial" w:hAnsi="Arial"/>
                <w:sz w:val="11"/>
                <w:szCs w:val="11"/>
                <w:b w:val="1"/>
                <w:bCs w:val="1"/>
                <w:color w:val="FFFFFF"/>
                <w:w w:val="95"/>
              </w:rPr>
              <w:t>instruments</w:t>
            </w:r>
          </w:p>
        </w:tc>
        <w:tc>
          <w:tcPr>
            <w:tcW w:w="760" w:type="dxa"/>
            <w:vAlign w:val="bottom"/>
            <w:tcBorders>
              <w:bottom w:val="single" w:sz="8" w:color="1F473D"/>
            </w:tcBorders>
            <w:shd w:val="clear" w:color="auto" w:fill="1F473D"/>
          </w:tcPr>
          <w:p>
            <w:pPr>
              <w:jc w:val="center"/>
              <w:spacing w:after="0"/>
              <w:rPr>
                <w:sz w:val="20"/>
                <w:szCs w:val="20"/>
                <w:color w:val="auto"/>
              </w:rPr>
            </w:pPr>
            <w:r>
              <w:rPr>
                <w:rFonts w:ascii="Arial" w:cs="Arial" w:eastAsia="Arial" w:hAnsi="Arial"/>
                <w:sz w:val="11"/>
                <w:szCs w:val="11"/>
                <w:b w:val="1"/>
                <w:bCs w:val="1"/>
                <w:color w:val="FFFFFF"/>
                <w:w w:val="95"/>
              </w:rPr>
              <w:t>adjustments</w:t>
            </w:r>
          </w:p>
        </w:tc>
        <w:tc>
          <w:tcPr>
            <w:tcW w:w="140" w:type="dxa"/>
            <w:vAlign w:val="bottom"/>
            <w:tcBorders>
              <w:bottom w:val="single" w:sz="8" w:color="1F473D"/>
            </w:tcBorders>
            <w:shd w:val="clear" w:color="auto" w:fill="1F473D"/>
          </w:tcPr>
          <w:p>
            <w:pPr>
              <w:spacing w:after="0"/>
              <w:rPr>
                <w:sz w:val="17"/>
                <w:szCs w:val="17"/>
                <w:color w:val="auto"/>
              </w:rPr>
            </w:pPr>
          </w:p>
        </w:tc>
        <w:tc>
          <w:tcPr>
            <w:tcW w:w="900" w:type="dxa"/>
            <w:vAlign w:val="bottom"/>
            <w:tcBorders>
              <w:bottom w:val="single" w:sz="8" w:color="1F473D"/>
            </w:tcBorders>
            <w:shd w:val="clear" w:color="auto" w:fill="1F473D"/>
          </w:tcPr>
          <w:p>
            <w:pPr>
              <w:jc w:val="center"/>
              <w:ind w:right="107"/>
              <w:spacing w:after="0"/>
              <w:rPr>
                <w:sz w:val="20"/>
                <w:szCs w:val="20"/>
                <w:color w:val="auto"/>
              </w:rPr>
            </w:pPr>
            <w:r>
              <w:rPr>
                <w:rFonts w:ascii="Arial" w:cs="Arial" w:eastAsia="Arial" w:hAnsi="Arial"/>
                <w:sz w:val="11"/>
                <w:szCs w:val="11"/>
                <w:b w:val="1"/>
                <w:bCs w:val="1"/>
                <w:color w:val="FFFFFF"/>
                <w:w w:val="96"/>
              </w:rPr>
              <w:t>AOCL</w:t>
            </w:r>
          </w:p>
        </w:tc>
        <w:tc>
          <w:tcPr>
            <w:tcW w:w="840" w:type="dxa"/>
            <w:vAlign w:val="bottom"/>
            <w:tcBorders>
              <w:bottom w:val="single" w:sz="8" w:color="1F473D"/>
            </w:tcBorders>
            <w:shd w:val="clear" w:color="auto" w:fill="1F473D"/>
          </w:tcPr>
          <w:p>
            <w:pPr>
              <w:jc w:val="center"/>
              <w:spacing w:after="0"/>
              <w:rPr>
                <w:sz w:val="20"/>
                <w:szCs w:val="20"/>
                <w:color w:val="auto"/>
              </w:rPr>
            </w:pPr>
            <w:r>
              <w:rPr>
                <w:rFonts w:ascii="Arial" w:cs="Arial" w:eastAsia="Arial" w:hAnsi="Arial"/>
                <w:sz w:val="11"/>
                <w:szCs w:val="11"/>
                <w:b w:val="1"/>
                <w:bCs w:val="1"/>
                <w:color w:val="FFFFFF"/>
                <w:w w:val="92"/>
              </w:rPr>
              <w:t>equity</w:t>
            </w:r>
          </w:p>
        </w:tc>
        <w:tc>
          <w:tcPr>
            <w:tcW w:w="800" w:type="dxa"/>
            <w:vAlign w:val="bottom"/>
            <w:tcBorders>
              <w:bottom w:val="single" w:sz="8" w:color="1F473D"/>
            </w:tcBorders>
            <w:shd w:val="clear" w:color="auto" w:fill="1F473D"/>
          </w:tcPr>
          <w:p>
            <w:pPr>
              <w:jc w:val="center"/>
              <w:spacing w:after="0"/>
              <w:rPr>
                <w:sz w:val="20"/>
                <w:szCs w:val="20"/>
                <w:color w:val="auto"/>
              </w:rPr>
            </w:pPr>
            <w:r>
              <w:rPr>
                <w:rFonts w:ascii="Arial" w:cs="Arial" w:eastAsia="Arial" w:hAnsi="Arial"/>
                <w:sz w:val="11"/>
                <w:szCs w:val="11"/>
                <w:b w:val="1"/>
                <w:bCs w:val="1"/>
                <w:color w:val="FFFFFF"/>
              </w:rPr>
              <w:t>interests</w:t>
            </w:r>
          </w:p>
        </w:tc>
        <w:tc>
          <w:tcPr>
            <w:tcW w:w="720" w:type="dxa"/>
            <w:vAlign w:val="bottom"/>
            <w:tcBorders>
              <w:bottom w:val="single" w:sz="8" w:color="1F473D"/>
            </w:tcBorders>
            <w:shd w:val="clear" w:color="auto" w:fill="1F473D"/>
          </w:tcPr>
          <w:p>
            <w:pPr>
              <w:jc w:val="right"/>
              <w:spacing w:after="0"/>
              <w:rPr>
                <w:sz w:val="20"/>
                <w:szCs w:val="20"/>
                <w:color w:val="auto"/>
              </w:rPr>
            </w:pPr>
            <w:r>
              <w:rPr>
                <w:rFonts w:ascii="Arial" w:cs="Arial" w:eastAsia="Arial" w:hAnsi="Arial"/>
                <w:sz w:val="11"/>
                <w:szCs w:val="11"/>
                <w:b w:val="1"/>
                <w:bCs w:val="1"/>
                <w:color w:val="FFFFFF"/>
              </w:rPr>
              <w:t>Total equity </w:t>
            </w:r>
          </w:p>
        </w:tc>
        <w:tc>
          <w:tcPr>
            <w:tcW w:w="0" w:type="dxa"/>
            <w:vAlign w:val="bottom"/>
          </w:tcPr>
          <w:p>
            <w:pPr>
              <w:spacing w:after="0"/>
              <w:rPr>
                <w:sz w:val="1"/>
                <w:szCs w:val="1"/>
                <w:color w:val="auto"/>
              </w:rPr>
            </w:pPr>
          </w:p>
        </w:tc>
      </w:tr>
      <w:tr>
        <w:trPr>
          <w:trHeight w:val="106"/>
        </w:trPr>
        <w:tc>
          <w:tcPr>
            <w:tcW w:w="3040" w:type="dxa"/>
            <w:vAlign w:val="bottom"/>
            <w:tcBorders>
              <w:top w:val="single" w:sz="8" w:color="D64000"/>
            </w:tcBorders>
          </w:tcPr>
          <w:p>
            <w:pPr>
              <w:spacing w:after="0" w:line="106" w:lineRule="exact"/>
              <w:rPr>
                <w:sz w:val="20"/>
                <w:szCs w:val="20"/>
                <w:color w:val="auto"/>
              </w:rPr>
            </w:pPr>
            <w:r>
              <w:rPr>
                <w:rFonts w:ascii="Arial" w:cs="Arial" w:eastAsia="Arial" w:hAnsi="Arial"/>
                <w:sz w:val="11"/>
                <w:szCs w:val="11"/>
                <w:color w:val="auto"/>
              </w:rPr>
              <w:t>Balance, December 31, 2022</w:t>
            </w:r>
          </w:p>
        </w:tc>
        <w:tc>
          <w:tcPr>
            <w:tcW w:w="640" w:type="dxa"/>
            <w:vAlign w:val="bottom"/>
            <w:tcBorders>
              <w:top w:val="single" w:sz="8" w:color="D64000"/>
            </w:tcBorders>
          </w:tcPr>
          <w:p>
            <w:pPr>
              <w:jc w:val="right"/>
              <w:spacing w:after="0" w:line="106" w:lineRule="exact"/>
              <w:rPr>
                <w:sz w:val="20"/>
                <w:szCs w:val="20"/>
                <w:color w:val="auto"/>
              </w:rPr>
            </w:pPr>
            <w:r>
              <w:rPr>
                <w:rFonts w:ascii="Arial" w:cs="Arial" w:eastAsia="Arial" w:hAnsi="Arial"/>
                <w:sz w:val="11"/>
                <w:szCs w:val="11"/>
                <w:color w:val="auto"/>
              </w:rPr>
              <w:t>3,864  </w:t>
            </w:r>
          </w:p>
        </w:tc>
        <w:tc>
          <w:tcPr>
            <w:tcW w:w="720" w:type="dxa"/>
            <w:vAlign w:val="bottom"/>
            <w:tcBorders>
              <w:top w:val="single" w:sz="8" w:color="D64000"/>
            </w:tcBorders>
          </w:tcPr>
          <w:p>
            <w:pPr>
              <w:ind w:left="360"/>
              <w:spacing w:after="0" w:line="106" w:lineRule="exact"/>
              <w:rPr>
                <w:sz w:val="20"/>
                <w:szCs w:val="20"/>
                <w:color w:val="auto"/>
              </w:rPr>
            </w:pPr>
            <w:r>
              <w:rPr>
                <w:rFonts w:ascii="Arial" w:cs="Arial" w:eastAsia="Arial" w:hAnsi="Arial"/>
                <w:sz w:val="11"/>
                <w:szCs w:val="11"/>
                <w:color w:val="auto"/>
                <w:w w:val="99"/>
              </w:rPr>
              <w:t>1,534  </w:t>
            </w:r>
          </w:p>
        </w:tc>
        <w:tc>
          <w:tcPr>
            <w:tcW w:w="80" w:type="dxa"/>
            <w:vAlign w:val="bottom"/>
            <w:tcBorders>
              <w:top w:val="single" w:sz="8" w:color="D64000"/>
            </w:tcBorders>
            <w:shd w:val="clear" w:color="auto" w:fill="E3F3EE"/>
          </w:tcPr>
          <w:p>
            <w:pPr>
              <w:spacing w:after="0"/>
              <w:rPr>
                <w:sz w:val="9"/>
                <w:szCs w:val="9"/>
                <w:color w:val="auto"/>
              </w:rPr>
            </w:pPr>
          </w:p>
        </w:tc>
        <w:tc>
          <w:tcPr>
            <w:tcW w:w="420" w:type="dxa"/>
            <w:vAlign w:val="bottom"/>
            <w:tcBorders>
              <w:top w:val="single" w:sz="8" w:color="D64000"/>
            </w:tcBorders>
            <w:shd w:val="clear" w:color="auto" w:fill="E3F3EE"/>
          </w:tcPr>
          <w:p>
            <w:pPr>
              <w:jc w:val="right"/>
              <w:spacing w:after="0" w:line="106" w:lineRule="exact"/>
              <w:rPr>
                <w:sz w:val="20"/>
                <w:szCs w:val="20"/>
                <w:color w:val="auto"/>
              </w:rPr>
            </w:pPr>
            <w:r>
              <w:rPr>
                <w:rFonts w:ascii="Arial" w:cs="Arial" w:eastAsia="Arial" w:hAnsi="Arial"/>
                <w:sz w:val="11"/>
                <w:szCs w:val="11"/>
                <w:color w:val="auto"/>
              </w:rPr>
              <w:t>5,398  </w:t>
            </w:r>
          </w:p>
        </w:tc>
        <w:tc>
          <w:tcPr>
            <w:tcW w:w="200" w:type="dxa"/>
            <w:vAlign w:val="bottom"/>
            <w:tcBorders>
              <w:top w:val="single" w:sz="8" w:color="D64000"/>
            </w:tcBorders>
          </w:tcPr>
          <w:p>
            <w:pPr>
              <w:spacing w:after="0"/>
              <w:rPr>
                <w:sz w:val="9"/>
                <w:szCs w:val="9"/>
                <w:color w:val="auto"/>
              </w:rPr>
            </w:pPr>
          </w:p>
        </w:tc>
        <w:tc>
          <w:tcPr>
            <w:tcW w:w="100" w:type="dxa"/>
            <w:vAlign w:val="bottom"/>
            <w:tcBorders>
              <w:top w:val="single" w:sz="8" w:color="D64000"/>
            </w:tcBorders>
            <w:shd w:val="clear" w:color="auto" w:fill="E3F3EE"/>
          </w:tcPr>
          <w:p>
            <w:pPr>
              <w:spacing w:after="0"/>
              <w:rPr>
                <w:sz w:val="9"/>
                <w:szCs w:val="9"/>
                <w:color w:val="auto"/>
              </w:rPr>
            </w:pPr>
          </w:p>
        </w:tc>
        <w:tc>
          <w:tcPr>
            <w:tcW w:w="460" w:type="dxa"/>
            <w:vAlign w:val="bottom"/>
            <w:tcBorders>
              <w:top w:val="single" w:sz="8" w:color="D64000"/>
            </w:tcBorders>
            <w:shd w:val="clear" w:color="auto" w:fill="E3F3EE"/>
          </w:tcPr>
          <w:p>
            <w:pPr>
              <w:jc w:val="right"/>
              <w:spacing w:after="0" w:line="106" w:lineRule="exact"/>
              <w:rPr>
                <w:sz w:val="20"/>
                <w:szCs w:val="20"/>
                <w:color w:val="auto"/>
              </w:rPr>
            </w:pPr>
            <w:r>
              <w:rPr>
                <w:rFonts w:ascii="Arial" w:cs="Arial" w:eastAsia="Arial" w:hAnsi="Arial"/>
                <w:sz w:val="11"/>
                <w:szCs w:val="11"/>
                <w:color w:val="auto"/>
              </w:rPr>
              <w:t>7,642  </w:t>
            </w:r>
          </w:p>
        </w:tc>
        <w:tc>
          <w:tcPr>
            <w:tcW w:w="980" w:type="dxa"/>
            <w:vAlign w:val="bottom"/>
            <w:tcBorders>
              <w:top w:val="single" w:sz="8" w:color="D64000"/>
            </w:tcBorders>
          </w:tcPr>
          <w:p>
            <w:pPr>
              <w:ind w:left="760"/>
              <w:spacing w:after="0" w:line="106" w:lineRule="exact"/>
              <w:rPr>
                <w:sz w:val="20"/>
                <w:szCs w:val="20"/>
                <w:color w:val="auto"/>
              </w:rPr>
            </w:pPr>
            <w:r>
              <w:rPr>
                <w:rFonts w:ascii="Arial" w:cs="Arial" w:eastAsia="Arial" w:hAnsi="Arial"/>
                <w:sz w:val="11"/>
                <w:szCs w:val="11"/>
                <w:color w:val="auto"/>
              </w:rPr>
              <w:t>17  </w:t>
            </w:r>
          </w:p>
        </w:tc>
        <w:tc>
          <w:tcPr>
            <w:tcW w:w="760" w:type="dxa"/>
            <w:vAlign w:val="bottom"/>
            <w:tcBorders>
              <w:top w:val="single" w:sz="8" w:color="D64000"/>
            </w:tcBorders>
          </w:tcPr>
          <w:p>
            <w:pPr>
              <w:jc w:val="right"/>
              <w:ind w:right="27"/>
              <w:spacing w:after="0" w:line="106" w:lineRule="exact"/>
              <w:rPr>
                <w:sz w:val="20"/>
                <w:szCs w:val="20"/>
                <w:color w:val="auto"/>
              </w:rPr>
            </w:pPr>
            <w:r>
              <w:rPr>
                <w:rFonts w:ascii="Arial" w:cs="Arial" w:eastAsia="Arial" w:hAnsi="Arial"/>
                <w:sz w:val="11"/>
                <w:szCs w:val="11"/>
                <w:color w:val="auto"/>
              </w:rPr>
              <w:t>(1,172)</w:t>
            </w:r>
          </w:p>
        </w:tc>
        <w:tc>
          <w:tcPr>
            <w:tcW w:w="1040" w:type="dxa"/>
            <w:vAlign w:val="bottom"/>
            <w:tcBorders>
              <w:top w:val="single" w:sz="8" w:color="D64000"/>
            </w:tcBorders>
            <w:gridSpan w:val="2"/>
            <w:shd w:val="clear" w:color="auto" w:fill="E3F3EE"/>
          </w:tcPr>
          <w:p>
            <w:pPr>
              <w:jc w:val="right"/>
              <w:ind w:right="7"/>
              <w:spacing w:after="0" w:line="106" w:lineRule="exact"/>
              <w:rPr>
                <w:sz w:val="20"/>
                <w:szCs w:val="20"/>
                <w:color w:val="auto"/>
              </w:rPr>
            </w:pPr>
            <w:r>
              <w:rPr>
                <w:rFonts w:ascii="Arial" w:cs="Arial" w:eastAsia="Arial" w:hAnsi="Arial"/>
                <w:sz w:val="11"/>
                <w:szCs w:val="11"/>
                <w:color w:val="auto"/>
              </w:rPr>
              <w:t>(1,155)</w:t>
            </w:r>
          </w:p>
        </w:tc>
        <w:tc>
          <w:tcPr>
            <w:tcW w:w="840" w:type="dxa"/>
            <w:vAlign w:val="bottom"/>
            <w:tcBorders>
              <w:top w:val="single" w:sz="8" w:color="D64000"/>
            </w:tcBorders>
          </w:tcPr>
          <w:p>
            <w:pPr>
              <w:jc w:val="right"/>
              <w:spacing w:after="0" w:line="106" w:lineRule="exact"/>
              <w:rPr>
                <w:sz w:val="20"/>
                <w:szCs w:val="20"/>
                <w:color w:val="auto"/>
              </w:rPr>
            </w:pPr>
            <w:r>
              <w:rPr>
                <w:rFonts w:ascii="Arial" w:cs="Arial" w:eastAsia="Arial" w:hAnsi="Arial"/>
                <w:sz w:val="11"/>
                <w:szCs w:val="11"/>
                <w:color w:val="auto"/>
              </w:rPr>
              <w:t>11,885  </w:t>
            </w:r>
          </w:p>
        </w:tc>
        <w:tc>
          <w:tcPr>
            <w:tcW w:w="800" w:type="dxa"/>
            <w:vAlign w:val="bottom"/>
            <w:tcBorders>
              <w:top w:val="single" w:sz="8" w:color="D64000"/>
            </w:tcBorders>
          </w:tcPr>
          <w:p>
            <w:pPr>
              <w:ind w:left="660"/>
              <w:spacing w:after="0" w:line="106" w:lineRule="exact"/>
              <w:rPr>
                <w:sz w:val="20"/>
                <w:szCs w:val="20"/>
                <w:color w:val="auto"/>
              </w:rPr>
            </w:pPr>
            <w:r>
              <w:rPr>
                <w:rFonts w:ascii="Arial" w:cs="Arial" w:eastAsia="Arial" w:hAnsi="Arial"/>
                <w:sz w:val="11"/>
                <w:szCs w:val="11"/>
                <w:color w:val="auto"/>
              </w:rPr>
              <w:t>-  </w:t>
            </w:r>
          </w:p>
        </w:tc>
        <w:tc>
          <w:tcPr>
            <w:tcW w:w="720" w:type="dxa"/>
            <w:vAlign w:val="bottom"/>
            <w:tcBorders>
              <w:top w:val="single" w:sz="8" w:color="D64000"/>
            </w:tcBorders>
            <w:shd w:val="clear" w:color="auto" w:fill="E3F3EE"/>
          </w:tcPr>
          <w:p>
            <w:pPr>
              <w:jc w:val="right"/>
              <w:spacing w:after="0" w:line="106" w:lineRule="exact"/>
              <w:rPr>
                <w:sz w:val="20"/>
                <w:szCs w:val="20"/>
                <w:color w:val="auto"/>
              </w:rPr>
            </w:pPr>
            <w:r>
              <w:rPr>
                <w:rFonts w:ascii="Arial" w:cs="Arial" w:eastAsia="Arial" w:hAnsi="Arial"/>
                <w:sz w:val="11"/>
                <w:szCs w:val="11"/>
                <w:color w:val="auto"/>
              </w:rPr>
              <w:t>11,885  </w:t>
            </w:r>
          </w:p>
        </w:tc>
        <w:tc>
          <w:tcPr>
            <w:tcW w:w="0" w:type="dxa"/>
            <w:vAlign w:val="bottom"/>
          </w:tcPr>
          <w:p>
            <w:pPr>
              <w:spacing w:after="0"/>
              <w:rPr>
                <w:sz w:val="1"/>
                <w:szCs w:val="1"/>
                <w:color w:val="auto"/>
              </w:rPr>
            </w:pPr>
          </w:p>
        </w:tc>
      </w:tr>
      <w:tr>
        <w:trPr>
          <w:trHeight w:val="119"/>
        </w:trPr>
        <w:tc>
          <w:tcPr>
            <w:tcW w:w="3040" w:type="dxa"/>
            <w:vAlign w:val="bottom"/>
          </w:tcPr>
          <w:p>
            <w:pPr>
              <w:spacing w:after="0" w:line="120" w:lineRule="exact"/>
              <w:rPr>
                <w:sz w:val="20"/>
                <w:szCs w:val="20"/>
                <w:color w:val="auto"/>
              </w:rPr>
            </w:pPr>
            <w:r>
              <w:rPr>
                <w:rFonts w:ascii="Arial" w:cs="Arial" w:eastAsia="Arial" w:hAnsi="Arial"/>
                <w:sz w:val="11"/>
                <w:szCs w:val="11"/>
                <w:color w:val="auto"/>
              </w:rPr>
              <w:t>Net earnings</w:t>
            </w:r>
          </w:p>
        </w:tc>
        <w:tc>
          <w:tcPr>
            <w:tcW w:w="640" w:type="dxa"/>
            <w:vAlign w:val="bottom"/>
          </w:tcPr>
          <w:p>
            <w:pPr>
              <w:ind w:left="500"/>
              <w:spacing w:after="0" w:line="120" w:lineRule="exact"/>
              <w:rPr>
                <w:sz w:val="20"/>
                <w:szCs w:val="20"/>
                <w:color w:val="auto"/>
              </w:rPr>
            </w:pPr>
            <w:r>
              <w:rPr>
                <w:rFonts w:ascii="Arial" w:cs="Arial" w:eastAsia="Arial" w:hAnsi="Arial"/>
                <w:sz w:val="11"/>
                <w:szCs w:val="11"/>
                <w:color w:val="auto"/>
              </w:rPr>
              <w:t>-  </w:t>
            </w:r>
          </w:p>
        </w:tc>
        <w:tc>
          <w:tcPr>
            <w:tcW w:w="720" w:type="dxa"/>
            <w:vAlign w:val="bottom"/>
          </w:tcPr>
          <w:p>
            <w:pPr>
              <w:ind w:left="580"/>
              <w:spacing w:after="0" w:line="120" w:lineRule="exact"/>
              <w:rPr>
                <w:sz w:val="20"/>
                <w:szCs w:val="20"/>
                <w:color w:val="auto"/>
              </w:rPr>
            </w:pPr>
            <w:r>
              <w:rPr>
                <w:rFonts w:ascii="Arial" w:cs="Arial" w:eastAsia="Arial" w:hAnsi="Arial"/>
                <w:sz w:val="11"/>
                <w:szCs w:val="11"/>
                <w:color w:val="auto"/>
              </w:rPr>
              <w:t>-  </w:t>
            </w:r>
          </w:p>
        </w:tc>
        <w:tc>
          <w:tcPr>
            <w:tcW w:w="80" w:type="dxa"/>
            <w:vAlign w:val="bottom"/>
            <w:shd w:val="clear" w:color="auto" w:fill="E3F3EE"/>
          </w:tcPr>
          <w:p>
            <w:pPr>
              <w:spacing w:after="0"/>
              <w:rPr>
                <w:sz w:val="10"/>
                <w:szCs w:val="10"/>
                <w:color w:val="auto"/>
              </w:rPr>
            </w:pPr>
          </w:p>
        </w:tc>
        <w:tc>
          <w:tcPr>
            <w:tcW w:w="420" w:type="dxa"/>
            <w:vAlign w:val="bottom"/>
            <w:shd w:val="clear" w:color="auto" w:fill="E3F3EE"/>
          </w:tcPr>
          <w:p>
            <w:pPr>
              <w:jc w:val="right"/>
              <w:spacing w:after="0" w:line="120" w:lineRule="exact"/>
              <w:rPr>
                <w:sz w:val="20"/>
                <w:szCs w:val="20"/>
                <w:color w:val="auto"/>
              </w:rPr>
            </w:pPr>
            <w:r>
              <w:rPr>
                <w:rFonts w:ascii="Arial" w:cs="Arial" w:eastAsia="Arial" w:hAnsi="Arial"/>
                <w:sz w:val="11"/>
                <w:szCs w:val="11"/>
                <w:color w:val="auto"/>
              </w:rPr>
              <w:t>-  </w:t>
            </w:r>
          </w:p>
        </w:tc>
        <w:tc>
          <w:tcPr>
            <w:tcW w:w="200" w:type="dxa"/>
            <w:vAlign w:val="bottom"/>
          </w:tcPr>
          <w:p>
            <w:pPr>
              <w:spacing w:after="0"/>
              <w:rPr>
                <w:sz w:val="10"/>
                <w:szCs w:val="10"/>
                <w:color w:val="auto"/>
              </w:rPr>
            </w:pPr>
          </w:p>
        </w:tc>
        <w:tc>
          <w:tcPr>
            <w:tcW w:w="100" w:type="dxa"/>
            <w:vAlign w:val="bottom"/>
            <w:shd w:val="clear" w:color="auto" w:fill="E3F3EE"/>
          </w:tcPr>
          <w:p>
            <w:pPr>
              <w:spacing w:after="0"/>
              <w:rPr>
                <w:sz w:val="10"/>
                <w:szCs w:val="10"/>
                <w:color w:val="auto"/>
              </w:rPr>
            </w:pPr>
          </w:p>
        </w:tc>
        <w:tc>
          <w:tcPr>
            <w:tcW w:w="460" w:type="dxa"/>
            <w:vAlign w:val="bottom"/>
            <w:shd w:val="clear" w:color="auto" w:fill="E3F3EE"/>
          </w:tcPr>
          <w:p>
            <w:pPr>
              <w:jc w:val="right"/>
              <w:spacing w:after="0" w:line="120" w:lineRule="exact"/>
              <w:rPr>
                <w:sz w:val="20"/>
                <w:szCs w:val="20"/>
                <w:color w:val="auto"/>
              </w:rPr>
            </w:pPr>
            <w:r>
              <w:rPr>
                <w:rFonts w:ascii="Arial" w:cs="Arial" w:eastAsia="Arial" w:hAnsi="Arial"/>
                <w:sz w:val="11"/>
                <w:szCs w:val="11"/>
                <w:color w:val="auto"/>
              </w:rPr>
              <w:t>2,695  </w:t>
            </w:r>
          </w:p>
        </w:tc>
        <w:tc>
          <w:tcPr>
            <w:tcW w:w="980" w:type="dxa"/>
            <w:vAlign w:val="bottom"/>
          </w:tcPr>
          <w:p>
            <w:pPr>
              <w:ind w:left="840"/>
              <w:spacing w:after="0" w:line="120" w:lineRule="exact"/>
              <w:rPr>
                <w:sz w:val="20"/>
                <w:szCs w:val="20"/>
                <w:color w:val="auto"/>
              </w:rPr>
            </w:pPr>
            <w:r>
              <w:rPr>
                <w:rFonts w:ascii="Arial" w:cs="Arial" w:eastAsia="Arial" w:hAnsi="Arial"/>
                <w:sz w:val="11"/>
                <w:szCs w:val="11"/>
                <w:color w:val="auto"/>
              </w:rPr>
              <w:t>-  </w:t>
            </w:r>
          </w:p>
        </w:tc>
        <w:tc>
          <w:tcPr>
            <w:tcW w:w="760" w:type="dxa"/>
            <w:vAlign w:val="bottom"/>
          </w:tcPr>
          <w:p>
            <w:pPr>
              <w:ind w:left="620"/>
              <w:spacing w:after="0" w:line="120" w:lineRule="exact"/>
              <w:rPr>
                <w:sz w:val="20"/>
                <w:szCs w:val="20"/>
                <w:color w:val="auto"/>
              </w:rPr>
            </w:pPr>
            <w:r>
              <w:rPr>
                <w:rFonts w:ascii="Arial" w:cs="Arial" w:eastAsia="Arial" w:hAnsi="Arial"/>
                <w:sz w:val="11"/>
                <w:szCs w:val="11"/>
                <w:color w:val="auto"/>
              </w:rPr>
              <w:t>-  </w:t>
            </w:r>
          </w:p>
        </w:tc>
        <w:tc>
          <w:tcPr>
            <w:tcW w:w="140" w:type="dxa"/>
            <w:vAlign w:val="bottom"/>
            <w:shd w:val="clear" w:color="auto" w:fill="E3F3EE"/>
          </w:tcPr>
          <w:p>
            <w:pPr>
              <w:spacing w:after="0"/>
              <w:rPr>
                <w:sz w:val="10"/>
                <w:szCs w:val="10"/>
                <w:color w:val="auto"/>
              </w:rPr>
            </w:pPr>
          </w:p>
        </w:tc>
        <w:tc>
          <w:tcPr>
            <w:tcW w:w="900" w:type="dxa"/>
            <w:vAlign w:val="bottom"/>
            <w:shd w:val="clear" w:color="auto" w:fill="E3F3EE"/>
          </w:tcPr>
          <w:p>
            <w:pPr>
              <w:ind w:left="760"/>
              <w:spacing w:after="0" w:line="120" w:lineRule="exact"/>
              <w:rPr>
                <w:sz w:val="20"/>
                <w:szCs w:val="20"/>
                <w:color w:val="auto"/>
              </w:rPr>
            </w:pPr>
            <w:r>
              <w:rPr>
                <w:rFonts w:ascii="Arial" w:cs="Arial" w:eastAsia="Arial" w:hAnsi="Arial"/>
                <w:sz w:val="11"/>
                <w:szCs w:val="11"/>
                <w:color w:val="auto"/>
              </w:rPr>
              <w:t>-  </w:t>
            </w:r>
          </w:p>
        </w:tc>
        <w:tc>
          <w:tcPr>
            <w:tcW w:w="840" w:type="dxa"/>
            <w:vAlign w:val="bottom"/>
          </w:tcPr>
          <w:p>
            <w:pPr>
              <w:jc w:val="right"/>
              <w:spacing w:after="0" w:line="120" w:lineRule="exact"/>
              <w:rPr>
                <w:sz w:val="20"/>
                <w:szCs w:val="20"/>
                <w:color w:val="auto"/>
              </w:rPr>
            </w:pPr>
            <w:r>
              <w:rPr>
                <w:rFonts w:ascii="Arial" w:cs="Arial" w:eastAsia="Arial" w:hAnsi="Arial"/>
                <w:sz w:val="11"/>
                <w:szCs w:val="11"/>
                <w:color w:val="auto"/>
              </w:rPr>
              <w:t>2,695  </w:t>
            </w:r>
          </w:p>
        </w:tc>
        <w:tc>
          <w:tcPr>
            <w:tcW w:w="800" w:type="dxa"/>
            <w:vAlign w:val="bottom"/>
          </w:tcPr>
          <w:p>
            <w:pPr>
              <w:ind w:left="660"/>
              <w:spacing w:after="0" w:line="120" w:lineRule="exact"/>
              <w:rPr>
                <w:sz w:val="20"/>
                <w:szCs w:val="20"/>
                <w:color w:val="auto"/>
              </w:rPr>
            </w:pPr>
            <w:r>
              <w:rPr>
                <w:rFonts w:ascii="Arial" w:cs="Arial" w:eastAsia="Arial" w:hAnsi="Arial"/>
                <w:sz w:val="11"/>
                <w:szCs w:val="11"/>
                <w:color w:val="auto"/>
              </w:rPr>
              <w:t>-  </w:t>
            </w:r>
          </w:p>
        </w:tc>
        <w:tc>
          <w:tcPr>
            <w:tcW w:w="720" w:type="dxa"/>
            <w:vAlign w:val="bottom"/>
            <w:shd w:val="clear" w:color="auto" w:fill="E3F3EE"/>
          </w:tcPr>
          <w:p>
            <w:pPr>
              <w:jc w:val="right"/>
              <w:spacing w:after="0" w:line="120" w:lineRule="exact"/>
              <w:rPr>
                <w:sz w:val="20"/>
                <w:szCs w:val="20"/>
                <w:color w:val="auto"/>
              </w:rPr>
            </w:pPr>
            <w:r>
              <w:rPr>
                <w:rFonts w:ascii="Arial" w:cs="Arial" w:eastAsia="Arial" w:hAnsi="Arial"/>
                <w:sz w:val="11"/>
                <w:szCs w:val="11"/>
                <w:color w:val="auto"/>
              </w:rPr>
              <w:t>2,695  </w:t>
            </w:r>
          </w:p>
        </w:tc>
        <w:tc>
          <w:tcPr>
            <w:tcW w:w="0" w:type="dxa"/>
            <w:vAlign w:val="bottom"/>
          </w:tcPr>
          <w:p>
            <w:pPr>
              <w:spacing w:after="0"/>
              <w:rPr>
                <w:sz w:val="1"/>
                <w:szCs w:val="1"/>
                <w:color w:val="auto"/>
              </w:rPr>
            </w:pPr>
          </w:p>
        </w:tc>
      </w:tr>
      <w:tr>
        <w:trPr>
          <w:trHeight w:val="132"/>
        </w:trPr>
        <w:tc>
          <w:tcPr>
            <w:tcW w:w="30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Other comprehensive income</w:t>
            </w:r>
          </w:p>
        </w:tc>
        <w:tc>
          <w:tcPr>
            <w:tcW w:w="64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-  </w:t>
            </w:r>
          </w:p>
        </w:tc>
        <w:tc>
          <w:tcPr>
            <w:tcW w:w="720" w:type="dxa"/>
            <w:vAlign w:val="bottom"/>
            <w:tcBorders>
              <w:bottom w:val="single" w:sz="8" w:color="auto"/>
            </w:tcBorders>
          </w:tcPr>
          <w:p>
            <w:pPr>
              <w:ind w:left="580"/>
              <w:spacing w:after="0"/>
              <w:rPr>
                <w:sz w:val="20"/>
                <w:szCs w:val="20"/>
                <w:color w:val="auto"/>
              </w:rPr>
            </w:pPr>
            <w:r>
              <w:rPr>
                <w:rFonts w:ascii="Arial" w:cs="Arial" w:eastAsia="Arial" w:hAnsi="Arial"/>
                <w:sz w:val="11"/>
                <w:szCs w:val="11"/>
                <w:color w:val="auto"/>
              </w:rPr>
              <w:t>-  </w:t>
            </w:r>
          </w:p>
        </w:tc>
        <w:tc>
          <w:tcPr>
            <w:tcW w:w="80" w:type="dxa"/>
            <w:vAlign w:val="bottom"/>
            <w:tcBorders>
              <w:bottom w:val="single" w:sz="8" w:color="auto"/>
            </w:tcBorders>
            <w:shd w:val="clear" w:color="auto" w:fill="E3F3EE"/>
          </w:tcPr>
          <w:p>
            <w:pPr>
              <w:spacing w:after="0"/>
              <w:rPr>
                <w:sz w:val="11"/>
                <w:szCs w:val="11"/>
                <w:color w:val="auto"/>
              </w:rPr>
            </w:pPr>
          </w:p>
        </w:tc>
        <w:tc>
          <w:tcPr>
            <w:tcW w:w="420" w:type="dxa"/>
            <w:vAlign w:val="bottom"/>
            <w:tcBorders>
              <w:bottom w:val="single" w:sz="8" w:color="auto"/>
            </w:tcBorders>
            <w:shd w:val="clear" w:color="auto" w:fill="E3F3EE"/>
          </w:tcPr>
          <w:p>
            <w:pPr>
              <w:jc w:val="right"/>
              <w:spacing w:after="0"/>
              <w:rPr>
                <w:sz w:val="20"/>
                <w:szCs w:val="20"/>
                <w:color w:val="auto"/>
              </w:rPr>
            </w:pPr>
            <w:r>
              <w:rPr>
                <w:rFonts w:ascii="Arial" w:cs="Arial" w:eastAsia="Arial" w:hAnsi="Arial"/>
                <w:sz w:val="11"/>
                <w:szCs w:val="11"/>
                <w:color w:val="auto"/>
              </w:rPr>
              <w:t>-  </w:t>
            </w: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shd w:val="clear" w:color="auto" w:fill="E3F3EE"/>
          </w:tcPr>
          <w:p>
            <w:pPr>
              <w:spacing w:after="0"/>
              <w:rPr>
                <w:sz w:val="11"/>
                <w:szCs w:val="11"/>
                <w:color w:val="auto"/>
              </w:rPr>
            </w:pPr>
          </w:p>
        </w:tc>
        <w:tc>
          <w:tcPr>
            <w:tcW w:w="460" w:type="dxa"/>
            <w:vAlign w:val="bottom"/>
            <w:tcBorders>
              <w:bottom w:val="single" w:sz="8" w:color="auto"/>
            </w:tcBorders>
            <w:shd w:val="clear" w:color="auto" w:fill="E3F3EE"/>
          </w:tcPr>
          <w:p>
            <w:pPr>
              <w:jc w:val="right"/>
              <w:spacing w:after="0"/>
              <w:rPr>
                <w:sz w:val="20"/>
                <w:szCs w:val="20"/>
                <w:color w:val="auto"/>
              </w:rPr>
            </w:pPr>
            <w:r>
              <w:rPr>
                <w:rFonts w:ascii="Arial" w:cs="Arial" w:eastAsia="Arial" w:hAnsi="Arial"/>
                <w:sz w:val="11"/>
                <w:szCs w:val="11"/>
                <w:color w:val="auto"/>
              </w:rPr>
              <w:t>-  </w:t>
            </w:r>
          </w:p>
        </w:tc>
        <w:tc>
          <w:tcPr>
            <w:tcW w:w="980" w:type="dxa"/>
            <w:vAlign w:val="bottom"/>
            <w:tcBorders>
              <w:bottom w:val="single" w:sz="8" w:color="auto"/>
            </w:tcBorders>
          </w:tcPr>
          <w:p>
            <w:pPr>
              <w:ind w:left="820"/>
              <w:spacing w:after="0"/>
              <w:rPr>
                <w:sz w:val="20"/>
                <w:szCs w:val="20"/>
                <w:color w:val="auto"/>
              </w:rPr>
            </w:pPr>
            <w:r>
              <w:rPr>
                <w:rFonts w:ascii="Arial" w:cs="Arial" w:eastAsia="Arial" w:hAnsi="Arial"/>
                <w:sz w:val="11"/>
                <w:szCs w:val="11"/>
                <w:color w:val="auto"/>
              </w:rPr>
              <w:t>4  </w:t>
            </w:r>
          </w:p>
        </w:tc>
        <w:tc>
          <w:tcPr>
            <w:tcW w:w="760" w:type="dxa"/>
            <w:vAlign w:val="bottom"/>
            <w:tcBorders>
              <w:bottom w:val="single" w:sz="8" w:color="auto"/>
            </w:tcBorders>
          </w:tcPr>
          <w:p>
            <w:pPr>
              <w:ind w:left="480"/>
              <w:spacing w:after="0"/>
              <w:rPr>
                <w:sz w:val="20"/>
                <w:szCs w:val="20"/>
                <w:color w:val="auto"/>
              </w:rPr>
            </w:pPr>
            <w:r>
              <w:rPr>
                <w:rFonts w:ascii="Arial" w:cs="Arial" w:eastAsia="Arial" w:hAnsi="Arial"/>
                <w:sz w:val="11"/>
                <w:szCs w:val="11"/>
                <w:color w:val="auto"/>
              </w:rPr>
              <w:t>130  </w:t>
            </w:r>
          </w:p>
        </w:tc>
        <w:tc>
          <w:tcPr>
            <w:tcW w:w="140" w:type="dxa"/>
            <w:vAlign w:val="bottom"/>
            <w:tcBorders>
              <w:bottom w:val="single" w:sz="8" w:color="auto"/>
            </w:tcBorders>
            <w:shd w:val="clear" w:color="auto" w:fill="E3F3EE"/>
          </w:tcPr>
          <w:p>
            <w:pPr>
              <w:spacing w:after="0"/>
              <w:rPr>
                <w:sz w:val="11"/>
                <w:szCs w:val="11"/>
                <w:color w:val="auto"/>
              </w:rPr>
            </w:pPr>
          </w:p>
        </w:tc>
        <w:tc>
          <w:tcPr>
            <w:tcW w:w="900" w:type="dxa"/>
            <w:vAlign w:val="bottom"/>
            <w:tcBorders>
              <w:bottom w:val="single" w:sz="8" w:color="auto"/>
            </w:tcBorders>
            <w:shd w:val="clear" w:color="auto" w:fill="E3F3EE"/>
          </w:tcPr>
          <w:p>
            <w:pPr>
              <w:ind w:left="620"/>
              <w:spacing w:after="0"/>
              <w:rPr>
                <w:sz w:val="20"/>
                <w:szCs w:val="20"/>
                <w:color w:val="auto"/>
              </w:rPr>
            </w:pPr>
            <w:r>
              <w:rPr>
                <w:rFonts w:ascii="Arial" w:cs="Arial" w:eastAsia="Arial" w:hAnsi="Arial"/>
                <w:sz w:val="11"/>
                <w:szCs w:val="11"/>
                <w:color w:val="auto"/>
              </w:rPr>
              <w:t>134 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134  </w:t>
            </w:r>
          </w:p>
        </w:tc>
        <w:tc>
          <w:tcPr>
            <w:tcW w:w="800" w:type="dxa"/>
            <w:vAlign w:val="bottom"/>
            <w:tcBorders>
              <w:bottom w:val="single" w:sz="8" w:color="auto"/>
            </w:tcBorders>
          </w:tcPr>
          <w:p>
            <w:pPr>
              <w:ind w:left="660"/>
              <w:spacing w:after="0"/>
              <w:rPr>
                <w:sz w:val="20"/>
                <w:szCs w:val="20"/>
                <w:color w:val="auto"/>
              </w:rPr>
            </w:pPr>
            <w:r>
              <w:rPr>
                <w:rFonts w:ascii="Arial" w:cs="Arial" w:eastAsia="Arial" w:hAnsi="Arial"/>
                <w:sz w:val="11"/>
                <w:szCs w:val="11"/>
                <w:color w:val="auto"/>
              </w:rPr>
              <w:t>-  </w:t>
            </w:r>
          </w:p>
        </w:tc>
        <w:tc>
          <w:tcPr>
            <w:tcW w:w="720" w:type="dxa"/>
            <w:vAlign w:val="bottom"/>
            <w:tcBorders>
              <w:bottom w:val="single" w:sz="8" w:color="auto"/>
            </w:tcBorders>
            <w:shd w:val="clear" w:color="auto" w:fill="E3F3EE"/>
          </w:tcPr>
          <w:p>
            <w:pPr>
              <w:jc w:val="right"/>
              <w:ind w:right="7"/>
              <w:spacing w:after="0"/>
              <w:rPr>
                <w:sz w:val="20"/>
                <w:szCs w:val="20"/>
                <w:color w:val="auto"/>
              </w:rPr>
            </w:pPr>
            <w:r>
              <w:rPr>
                <w:rFonts w:ascii="Arial" w:cs="Arial" w:eastAsia="Arial" w:hAnsi="Arial"/>
                <w:sz w:val="11"/>
                <w:szCs w:val="11"/>
                <w:color w:val="auto"/>
              </w:rPr>
              <w:t>134  </w:t>
            </w:r>
          </w:p>
        </w:tc>
        <w:tc>
          <w:tcPr>
            <w:tcW w:w="0" w:type="dxa"/>
            <w:vAlign w:val="bottom"/>
          </w:tcPr>
          <w:p>
            <w:pPr>
              <w:spacing w:after="0"/>
              <w:rPr>
                <w:sz w:val="1"/>
                <w:szCs w:val="1"/>
                <w:color w:val="auto"/>
              </w:rPr>
            </w:pPr>
          </w:p>
        </w:tc>
      </w:tr>
      <w:tr>
        <w:trPr>
          <w:trHeight w:val="113"/>
        </w:trPr>
        <w:tc>
          <w:tcPr>
            <w:tcW w:w="3040" w:type="dxa"/>
            <w:vAlign w:val="bottom"/>
            <w:tcBorders>
              <w:bottom w:val="single" w:sz="8" w:color="auto"/>
            </w:tcBorders>
          </w:tcPr>
          <w:p>
            <w:pPr>
              <w:spacing w:after="0" w:line="113" w:lineRule="exact"/>
              <w:rPr>
                <w:sz w:val="20"/>
                <w:szCs w:val="20"/>
                <w:color w:val="auto"/>
              </w:rPr>
            </w:pPr>
            <w:r>
              <w:rPr>
                <w:rFonts w:ascii="Arial" w:cs="Arial" w:eastAsia="Arial" w:hAnsi="Arial"/>
                <w:sz w:val="11"/>
                <w:szCs w:val="11"/>
                <w:color w:val="auto"/>
              </w:rPr>
              <w:t>Total comprehensive income</w:t>
            </w:r>
          </w:p>
        </w:tc>
        <w:tc>
          <w:tcPr>
            <w:tcW w:w="640" w:type="dxa"/>
            <w:vAlign w:val="bottom"/>
            <w:tcBorders>
              <w:bottom w:val="single" w:sz="8" w:color="auto"/>
            </w:tcBorders>
          </w:tcPr>
          <w:p>
            <w:pPr>
              <w:ind w:left="500"/>
              <w:spacing w:after="0" w:line="113" w:lineRule="exact"/>
              <w:rPr>
                <w:sz w:val="20"/>
                <w:szCs w:val="20"/>
                <w:color w:val="auto"/>
              </w:rPr>
            </w:pPr>
            <w:r>
              <w:rPr>
                <w:rFonts w:ascii="Arial" w:cs="Arial" w:eastAsia="Arial" w:hAnsi="Arial"/>
                <w:sz w:val="11"/>
                <w:szCs w:val="11"/>
                <w:color w:val="auto"/>
              </w:rPr>
              <w:t>-  </w:t>
            </w:r>
          </w:p>
        </w:tc>
        <w:tc>
          <w:tcPr>
            <w:tcW w:w="720" w:type="dxa"/>
            <w:vAlign w:val="bottom"/>
            <w:tcBorders>
              <w:bottom w:val="single" w:sz="8" w:color="auto"/>
            </w:tcBorders>
          </w:tcPr>
          <w:p>
            <w:pPr>
              <w:ind w:left="580"/>
              <w:spacing w:after="0" w:line="113" w:lineRule="exact"/>
              <w:rPr>
                <w:sz w:val="20"/>
                <w:szCs w:val="20"/>
                <w:color w:val="auto"/>
              </w:rPr>
            </w:pPr>
            <w:r>
              <w:rPr>
                <w:rFonts w:ascii="Arial" w:cs="Arial" w:eastAsia="Arial" w:hAnsi="Arial"/>
                <w:sz w:val="11"/>
                <w:szCs w:val="11"/>
                <w:color w:val="auto"/>
              </w:rPr>
              <w:t>-  </w:t>
            </w:r>
          </w:p>
        </w:tc>
        <w:tc>
          <w:tcPr>
            <w:tcW w:w="80" w:type="dxa"/>
            <w:vAlign w:val="bottom"/>
            <w:tcBorders>
              <w:bottom w:val="single" w:sz="8" w:color="auto"/>
            </w:tcBorders>
            <w:shd w:val="clear" w:color="auto" w:fill="E3F3EE"/>
          </w:tcPr>
          <w:p>
            <w:pPr>
              <w:spacing w:after="0"/>
              <w:rPr>
                <w:sz w:val="9"/>
                <w:szCs w:val="9"/>
                <w:color w:val="auto"/>
              </w:rPr>
            </w:pPr>
          </w:p>
        </w:tc>
        <w:tc>
          <w:tcPr>
            <w:tcW w:w="4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-  </w:t>
            </w: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shd w:val="clear" w:color="auto" w:fill="E3F3EE"/>
          </w:tcPr>
          <w:p>
            <w:pPr>
              <w:spacing w:after="0"/>
              <w:rPr>
                <w:sz w:val="9"/>
                <w:szCs w:val="9"/>
                <w:color w:val="auto"/>
              </w:rPr>
            </w:pPr>
          </w:p>
        </w:tc>
        <w:tc>
          <w:tcPr>
            <w:tcW w:w="460" w:type="dxa"/>
            <w:vAlign w:val="bottom"/>
            <w:tcBorders>
              <w:bottom w:val="single" w:sz="8" w:color="auto"/>
            </w:tcBorders>
          </w:tcPr>
          <w:p>
            <w:pPr>
              <w:jc w:val="right"/>
              <w:ind w:right="7"/>
              <w:spacing w:after="0" w:line="113" w:lineRule="exact"/>
              <w:rPr>
                <w:sz w:val="20"/>
                <w:szCs w:val="20"/>
                <w:color w:val="auto"/>
              </w:rPr>
            </w:pPr>
            <w:r>
              <w:rPr>
                <w:rFonts w:ascii="Arial" w:cs="Arial" w:eastAsia="Arial" w:hAnsi="Arial"/>
                <w:sz w:val="11"/>
                <w:szCs w:val="11"/>
                <w:color w:val="auto"/>
              </w:rPr>
              <w:t>2,695  </w:t>
            </w:r>
          </w:p>
        </w:tc>
        <w:tc>
          <w:tcPr>
            <w:tcW w:w="980" w:type="dxa"/>
            <w:vAlign w:val="bottom"/>
            <w:tcBorders>
              <w:bottom w:val="single" w:sz="8" w:color="auto"/>
            </w:tcBorders>
          </w:tcPr>
          <w:p>
            <w:pPr>
              <w:ind w:left="820"/>
              <w:spacing w:after="0" w:line="113" w:lineRule="exact"/>
              <w:rPr>
                <w:sz w:val="20"/>
                <w:szCs w:val="20"/>
                <w:color w:val="auto"/>
              </w:rPr>
            </w:pPr>
            <w:r>
              <w:rPr>
                <w:rFonts w:ascii="Arial" w:cs="Arial" w:eastAsia="Arial" w:hAnsi="Arial"/>
                <w:sz w:val="11"/>
                <w:szCs w:val="11"/>
                <w:color w:val="auto"/>
              </w:rPr>
              <w:t>4  </w:t>
            </w:r>
          </w:p>
        </w:tc>
        <w:tc>
          <w:tcPr>
            <w:tcW w:w="760" w:type="dxa"/>
            <w:vAlign w:val="bottom"/>
            <w:tcBorders>
              <w:bottom w:val="single" w:sz="8" w:color="auto"/>
            </w:tcBorders>
          </w:tcPr>
          <w:p>
            <w:pPr>
              <w:ind w:left="480"/>
              <w:spacing w:after="0" w:line="113" w:lineRule="exact"/>
              <w:rPr>
                <w:sz w:val="20"/>
                <w:szCs w:val="20"/>
                <w:color w:val="auto"/>
              </w:rPr>
            </w:pPr>
            <w:r>
              <w:rPr>
                <w:rFonts w:ascii="Arial" w:cs="Arial" w:eastAsia="Arial" w:hAnsi="Arial"/>
                <w:sz w:val="11"/>
                <w:szCs w:val="11"/>
                <w:color w:val="auto"/>
              </w:rPr>
              <w:t>130  </w:t>
            </w:r>
          </w:p>
        </w:tc>
        <w:tc>
          <w:tcPr>
            <w:tcW w:w="140" w:type="dxa"/>
            <w:vAlign w:val="bottom"/>
            <w:tcBorders>
              <w:bottom w:val="single" w:sz="8" w:color="auto"/>
            </w:tcBorders>
            <w:shd w:val="clear" w:color="auto" w:fill="E3F3EE"/>
          </w:tcPr>
          <w:p>
            <w:pPr>
              <w:spacing w:after="0"/>
              <w:rPr>
                <w:sz w:val="9"/>
                <w:szCs w:val="9"/>
                <w:color w:val="auto"/>
              </w:rPr>
            </w:pPr>
          </w:p>
        </w:tc>
        <w:tc>
          <w:tcPr>
            <w:tcW w:w="900" w:type="dxa"/>
            <w:vAlign w:val="bottom"/>
            <w:tcBorders>
              <w:bottom w:val="single" w:sz="8" w:color="auto"/>
            </w:tcBorders>
          </w:tcPr>
          <w:p>
            <w:pPr>
              <w:ind w:left="620"/>
              <w:spacing w:after="0" w:line="113" w:lineRule="exact"/>
              <w:rPr>
                <w:sz w:val="20"/>
                <w:szCs w:val="20"/>
                <w:color w:val="auto"/>
              </w:rPr>
            </w:pPr>
            <w:r>
              <w:rPr>
                <w:rFonts w:ascii="Arial" w:cs="Arial" w:eastAsia="Arial" w:hAnsi="Arial"/>
                <w:sz w:val="11"/>
                <w:szCs w:val="11"/>
                <w:color w:val="auto"/>
              </w:rPr>
              <w:t>134  </w:t>
            </w:r>
          </w:p>
        </w:tc>
        <w:tc>
          <w:tcPr>
            <w:tcW w:w="8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2,829  </w:t>
            </w:r>
          </w:p>
        </w:tc>
        <w:tc>
          <w:tcPr>
            <w:tcW w:w="800" w:type="dxa"/>
            <w:vAlign w:val="bottom"/>
            <w:tcBorders>
              <w:bottom w:val="single" w:sz="8" w:color="auto"/>
            </w:tcBorders>
          </w:tcPr>
          <w:p>
            <w:pPr>
              <w:ind w:left="660"/>
              <w:spacing w:after="0" w:line="113" w:lineRule="exact"/>
              <w:rPr>
                <w:sz w:val="20"/>
                <w:szCs w:val="20"/>
                <w:color w:val="auto"/>
              </w:rPr>
            </w:pPr>
            <w:r>
              <w:rPr>
                <w:rFonts w:ascii="Arial" w:cs="Arial" w:eastAsia="Arial" w:hAnsi="Arial"/>
                <w:sz w:val="11"/>
                <w:szCs w:val="11"/>
                <w:color w:val="auto"/>
              </w:rPr>
              <w:t>-  </w:t>
            </w:r>
          </w:p>
        </w:tc>
        <w:tc>
          <w:tcPr>
            <w:tcW w:w="720" w:type="dxa"/>
            <w:vAlign w:val="bottom"/>
            <w:tcBorders>
              <w:bottom w:val="single" w:sz="8" w:color="auto"/>
            </w:tcBorders>
            <w:shd w:val="clear" w:color="auto" w:fill="E3F3EE"/>
          </w:tcPr>
          <w:p>
            <w:pPr>
              <w:jc w:val="right"/>
              <w:ind w:right="7"/>
              <w:spacing w:after="0" w:line="113" w:lineRule="exact"/>
              <w:rPr>
                <w:sz w:val="20"/>
                <w:szCs w:val="20"/>
                <w:color w:val="auto"/>
              </w:rPr>
            </w:pPr>
            <w:r>
              <w:rPr>
                <w:rFonts w:ascii="Arial" w:cs="Arial" w:eastAsia="Arial" w:hAnsi="Arial"/>
                <w:sz w:val="11"/>
                <w:szCs w:val="11"/>
                <w:color w:val="auto"/>
              </w:rPr>
              <w:t>2,829  </w:t>
            </w:r>
          </w:p>
        </w:tc>
        <w:tc>
          <w:tcPr>
            <w:tcW w:w="0" w:type="dxa"/>
            <w:vAlign w:val="bottom"/>
          </w:tcPr>
          <w:p>
            <w:pPr>
              <w:spacing w:after="0"/>
              <w:rPr>
                <w:sz w:val="1"/>
                <w:szCs w:val="1"/>
                <w:color w:val="auto"/>
              </w:rPr>
            </w:pPr>
          </w:p>
        </w:tc>
      </w:tr>
      <w:tr>
        <w:trPr>
          <w:trHeight w:val="99"/>
        </w:trPr>
        <w:tc>
          <w:tcPr>
            <w:tcW w:w="3040" w:type="dxa"/>
            <w:vAlign w:val="bottom"/>
          </w:tcPr>
          <w:p>
            <w:pPr>
              <w:spacing w:after="0" w:line="100" w:lineRule="exact"/>
              <w:rPr>
                <w:sz w:val="20"/>
                <w:szCs w:val="20"/>
                <w:color w:val="auto"/>
              </w:rPr>
            </w:pPr>
            <w:r>
              <w:rPr>
                <w:rFonts w:ascii="Arial" w:cs="Arial" w:eastAsia="Arial" w:hAnsi="Arial"/>
                <w:sz w:val="11"/>
                <w:szCs w:val="11"/>
                <w:color w:val="auto"/>
              </w:rPr>
              <w:t>Return of capital on common shares (see note 25)</w:t>
            </w:r>
          </w:p>
        </w:tc>
        <w:tc>
          <w:tcPr>
            <w:tcW w:w="640" w:type="dxa"/>
            <w:vAlign w:val="bottom"/>
          </w:tcPr>
          <w:p>
            <w:pPr>
              <w:jc w:val="right"/>
              <w:ind w:right="27"/>
              <w:spacing w:after="0" w:line="100" w:lineRule="exact"/>
              <w:rPr>
                <w:sz w:val="20"/>
                <w:szCs w:val="20"/>
                <w:color w:val="auto"/>
              </w:rPr>
            </w:pPr>
            <w:r>
              <w:rPr>
                <w:rFonts w:ascii="Arial" w:cs="Arial" w:eastAsia="Arial" w:hAnsi="Arial"/>
                <w:sz w:val="11"/>
                <w:szCs w:val="11"/>
                <w:color w:val="auto"/>
              </w:rPr>
              <w:t>(2,107)</w:t>
            </w:r>
          </w:p>
        </w:tc>
        <w:tc>
          <w:tcPr>
            <w:tcW w:w="720" w:type="dxa"/>
            <w:vAlign w:val="bottom"/>
          </w:tcPr>
          <w:p>
            <w:pPr>
              <w:ind w:left="500"/>
              <w:spacing w:after="0" w:line="100" w:lineRule="exact"/>
              <w:rPr>
                <w:sz w:val="20"/>
                <w:szCs w:val="20"/>
                <w:color w:val="auto"/>
              </w:rPr>
            </w:pPr>
            <w:r>
              <w:rPr>
                <w:rFonts w:ascii="Arial" w:cs="Arial" w:eastAsia="Arial" w:hAnsi="Arial"/>
                <w:sz w:val="11"/>
                <w:szCs w:val="11"/>
                <w:color w:val="auto"/>
              </w:rPr>
              <w:t>60  </w:t>
            </w:r>
          </w:p>
        </w:tc>
        <w:tc>
          <w:tcPr>
            <w:tcW w:w="80" w:type="dxa"/>
            <w:vAlign w:val="bottom"/>
            <w:shd w:val="clear" w:color="auto" w:fill="E3F3EE"/>
          </w:tcPr>
          <w:p>
            <w:pPr>
              <w:spacing w:after="0"/>
              <w:rPr>
                <w:sz w:val="8"/>
                <w:szCs w:val="8"/>
                <w:color w:val="auto"/>
              </w:rPr>
            </w:pPr>
          </w:p>
        </w:tc>
        <w:tc>
          <w:tcPr>
            <w:tcW w:w="420" w:type="dxa"/>
            <w:vAlign w:val="bottom"/>
          </w:tcPr>
          <w:p>
            <w:pPr>
              <w:jc w:val="right"/>
              <w:ind w:right="7"/>
              <w:spacing w:after="0" w:line="100" w:lineRule="exact"/>
              <w:rPr>
                <w:sz w:val="20"/>
                <w:szCs w:val="20"/>
                <w:color w:val="auto"/>
              </w:rPr>
            </w:pPr>
            <w:r>
              <w:rPr>
                <w:rFonts w:ascii="Arial" w:cs="Arial" w:eastAsia="Arial" w:hAnsi="Arial"/>
                <w:sz w:val="11"/>
                <w:szCs w:val="11"/>
                <w:color w:val="auto"/>
                <w:w w:val="97"/>
              </w:rPr>
              <w:t>(2,047)</w:t>
            </w:r>
          </w:p>
        </w:tc>
        <w:tc>
          <w:tcPr>
            <w:tcW w:w="200" w:type="dxa"/>
            <w:vAlign w:val="bottom"/>
          </w:tcPr>
          <w:p>
            <w:pPr>
              <w:spacing w:after="0"/>
              <w:rPr>
                <w:sz w:val="8"/>
                <w:szCs w:val="8"/>
                <w:color w:val="auto"/>
              </w:rPr>
            </w:pPr>
          </w:p>
        </w:tc>
        <w:tc>
          <w:tcPr>
            <w:tcW w:w="100" w:type="dxa"/>
            <w:vAlign w:val="bottom"/>
            <w:shd w:val="clear" w:color="auto" w:fill="E3F3EE"/>
          </w:tcPr>
          <w:p>
            <w:pPr>
              <w:spacing w:after="0"/>
              <w:rPr>
                <w:sz w:val="8"/>
                <w:szCs w:val="8"/>
                <w:color w:val="auto"/>
              </w:rPr>
            </w:pPr>
          </w:p>
        </w:tc>
        <w:tc>
          <w:tcPr>
            <w:tcW w:w="460" w:type="dxa"/>
            <w:vAlign w:val="bottom"/>
          </w:tcPr>
          <w:p>
            <w:pPr>
              <w:jc w:val="right"/>
              <w:spacing w:after="0" w:line="100" w:lineRule="exact"/>
              <w:rPr>
                <w:sz w:val="20"/>
                <w:szCs w:val="20"/>
                <w:color w:val="auto"/>
              </w:rPr>
            </w:pPr>
            <w:r>
              <w:rPr>
                <w:rFonts w:ascii="Arial" w:cs="Arial" w:eastAsia="Arial" w:hAnsi="Arial"/>
                <w:sz w:val="11"/>
                <w:szCs w:val="11"/>
                <w:color w:val="auto"/>
              </w:rPr>
              <w:t>-  </w:t>
            </w:r>
          </w:p>
        </w:tc>
        <w:tc>
          <w:tcPr>
            <w:tcW w:w="980" w:type="dxa"/>
            <w:vAlign w:val="bottom"/>
          </w:tcPr>
          <w:p>
            <w:pPr>
              <w:ind w:left="840"/>
              <w:spacing w:after="0" w:line="100" w:lineRule="exact"/>
              <w:rPr>
                <w:sz w:val="20"/>
                <w:szCs w:val="20"/>
                <w:color w:val="auto"/>
              </w:rPr>
            </w:pPr>
            <w:r>
              <w:rPr>
                <w:rFonts w:ascii="Arial" w:cs="Arial" w:eastAsia="Arial" w:hAnsi="Arial"/>
                <w:sz w:val="11"/>
                <w:szCs w:val="11"/>
                <w:color w:val="auto"/>
              </w:rPr>
              <w:t>-  </w:t>
            </w:r>
          </w:p>
        </w:tc>
        <w:tc>
          <w:tcPr>
            <w:tcW w:w="760" w:type="dxa"/>
            <w:vAlign w:val="bottom"/>
          </w:tcPr>
          <w:p>
            <w:pPr>
              <w:ind w:left="620"/>
              <w:spacing w:after="0" w:line="100" w:lineRule="exact"/>
              <w:rPr>
                <w:sz w:val="20"/>
                <w:szCs w:val="20"/>
                <w:color w:val="auto"/>
              </w:rPr>
            </w:pPr>
            <w:r>
              <w:rPr>
                <w:rFonts w:ascii="Arial" w:cs="Arial" w:eastAsia="Arial" w:hAnsi="Arial"/>
                <w:sz w:val="11"/>
                <w:szCs w:val="11"/>
                <w:color w:val="auto"/>
              </w:rPr>
              <w:t>-  </w:t>
            </w:r>
          </w:p>
        </w:tc>
        <w:tc>
          <w:tcPr>
            <w:tcW w:w="140" w:type="dxa"/>
            <w:vAlign w:val="bottom"/>
            <w:shd w:val="clear" w:color="auto" w:fill="E3F3EE"/>
          </w:tcPr>
          <w:p>
            <w:pPr>
              <w:spacing w:after="0"/>
              <w:rPr>
                <w:sz w:val="8"/>
                <w:szCs w:val="8"/>
                <w:color w:val="auto"/>
              </w:rPr>
            </w:pPr>
          </w:p>
        </w:tc>
        <w:tc>
          <w:tcPr>
            <w:tcW w:w="900" w:type="dxa"/>
            <w:vAlign w:val="bottom"/>
          </w:tcPr>
          <w:p>
            <w:pPr>
              <w:ind w:left="760"/>
              <w:spacing w:after="0" w:line="100" w:lineRule="exact"/>
              <w:rPr>
                <w:sz w:val="20"/>
                <w:szCs w:val="20"/>
                <w:color w:val="auto"/>
              </w:rPr>
            </w:pPr>
            <w:r>
              <w:rPr>
                <w:rFonts w:ascii="Arial" w:cs="Arial" w:eastAsia="Arial" w:hAnsi="Arial"/>
                <w:sz w:val="11"/>
                <w:szCs w:val="11"/>
                <w:color w:val="auto"/>
              </w:rPr>
              <w:t>-  </w:t>
            </w:r>
          </w:p>
        </w:tc>
        <w:tc>
          <w:tcPr>
            <w:tcW w:w="840" w:type="dxa"/>
            <w:vAlign w:val="bottom"/>
          </w:tcPr>
          <w:p>
            <w:pPr>
              <w:jc w:val="right"/>
              <w:ind w:right="27"/>
              <w:spacing w:after="0" w:line="100" w:lineRule="exact"/>
              <w:rPr>
                <w:sz w:val="20"/>
                <w:szCs w:val="20"/>
                <w:color w:val="auto"/>
              </w:rPr>
            </w:pPr>
            <w:r>
              <w:rPr>
                <w:rFonts w:ascii="Arial" w:cs="Arial" w:eastAsia="Arial" w:hAnsi="Arial"/>
                <w:sz w:val="11"/>
                <w:szCs w:val="11"/>
                <w:color w:val="auto"/>
              </w:rPr>
              <w:t>(2,047)</w:t>
            </w:r>
          </w:p>
        </w:tc>
        <w:tc>
          <w:tcPr>
            <w:tcW w:w="800" w:type="dxa"/>
            <w:vAlign w:val="bottom"/>
          </w:tcPr>
          <w:p>
            <w:pPr>
              <w:ind w:left="660"/>
              <w:spacing w:after="0" w:line="100" w:lineRule="exact"/>
              <w:rPr>
                <w:sz w:val="20"/>
                <w:szCs w:val="20"/>
                <w:color w:val="auto"/>
              </w:rPr>
            </w:pPr>
            <w:r>
              <w:rPr>
                <w:rFonts w:ascii="Arial" w:cs="Arial" w:eastAsia="Arial" w:hAnsi="Arial"/>
                <w:sz w:val="11"/>
                <w:szCs w:val="11"/>
                <w:color w:val="auto"/>
              </w:rPr>
              <w:t>-  </w:t>
            </w:r>
          </w:p>
        </w:tc>
        <w:tc>
          <w:tcPr>
            <w:tcW w:w="720" w:type="dxa"/>
            <w:vAlign w:val="bottom"/>
            <w:shd w:val="clear" w:color="auto" w:fill="E3F3EE"/>
          </w:tcPr>
          <w:p>
            <w:pPr>
              <w:jc w:val="right"/>
              <w:ind w:right="7"/>
              <w:spacing w:after="0" w:line="100" w:lineRule="exact"/>
              <w:rPr>
                <w:sz w:val="20"/>
                <w:szCs w:val="20"/>
                <w:color w:val="auto"/>
              </w:rPr>
            </w:pPr>
            <w:r>
              <w:rPr>
                <w:rFonts w:ascii="Arial" w:cs="Arial" w:eastAsia="Arial" w:hAnsi="Arial"/>
                <w:sz w:val="11"/>
                <w:szCs w:val="11"/>
                <w:color w:val="auto"/>
              </w:rPr>
              <w:t>(2,047)</w:t>
            </w:r>
          </w:p>
        </w:tc>
        <w:tc>
          <w:tcPr>
            <w:tcW w:w="0" w:type="dxa"/>
            <w:vAlign w:val="bottom"/>
          </w:tcPr>
          <w:p>
            <w:pPr>
              <w:spacing w:after="0"/>
              <w:rPr>
                <w:sz w:val="1"/>
                <w:szCs w:val="1"/>
                <w:color w:val="auto"/>
              </w:rPr>
            </w:pPr>
          </w:p>
        </w:tc>
      </w:tr>
      <w:tr>
        <w:trPr>
          <w:trHeight w:val="119"/>
        </w:trPr>
        <w:tc>
          <w:tcPr>
            <w:tcW w:w="3040" w:type="dxa"/>
            <w:vAlign w:val="bottom"/>
          </w:tcPr>
          <w:p>
            <w:pPr>
              <w:spacing w:after="0" w:line="120" w:lineRule="exact"/>
              <w:rPr>
                <w:sz w:val="20"/>
                <w:szCs w:val="20"/>
                <w:color w:val="auto"/>
              </w:rPr>
            </w:pPr>
            <w:r>
              <w:rPr>
                <w:rFonts w:ascii="Arial" w:cs="Arial" w:eastAsia="Arial" w:hAnsi="Arial"/>
                <w:sz w:val="11"/>
                <w:szCs w:val="11"/>
                <w:color w:val="auto"/>
              </w:rPr>
              <w:t>Dividends declared on preference shares</w:t>
            </w:r>
          </w:p>
        </w:tc>
        <w:tc>
          <w:tcPr>
            <w:tcW w:w="640" w:type="dxa"/>
            <w:vAlign w:val="bottom"/>
          </w:tcPr>
          <w:p>
            <w:pPr>
              <w:ind w:left="500"/>
              <w:spacing w:after="0" w:line="120" w:lineRule="exact"/>
              <w:rPr>
                <w:sz w:val="20"/>
                <w:szCs w:val="20"/>
                <w:color w:val="auto"/>
              </w:rPr>
            </w:pPr>
            <w:r>
              <w:rPr>
                <w:rFonts w:ascii="Arial" w:cs="Arial" w:eastAsia="Arial" w:hAnsi="Arial"/>
                <w:sz w:val="11"/>
                <w:szCs w:val="11"/>
                <w:color w:val="auto"/>
              </w:rPr>
              <w:t>-  </w:t>
            </w:r>
          </w:p>
        </w:tc>
        <w:tc>
          <w:tcPr>
            <w:tcW w:w="720" w:type="dxa"/>
            <w:vAlign w:val="bottom"/>
          </w:tcPr>
          <w:p>
            <w:pPr>
              <w:ind w:left="580"/>
              <w:spacing w:after="0" w:line="120" w:lineRule="exact"/>
              <w:rPr>
                <w:sz w:val="20"/>
                <w:szCs w:val="20"/>
                <w:color w:val="auto"/>
              </w:rPr>
            </w:pPr>
            <w:r>
              <w:rPr>
                <w:rFonts w:ascii="Arial" w:cs="Arial" w:eastAsia="Arial" w:hAnsi="Arial"/>
                <w:sz w:val="11"/>
                <w:szCs w:val="11"/>
                <w:color w:val="auto"/>
              </w:rPr>
              <w:t>-  </w:t>
            </w:r>
          </w:p>
        </w:tc>
        <w:tc>
          <w:tcPr>
            <w:tcW w:w="80" w:type="dxa"/>
            <w:vAlign w:val="bottom"/>
            <w:shd w:val="clear" w:color="auto" w:fill="E3F3EE"/>
          </w:tcPr>
          <w:p>
            <w:pPr>
              <w:spacing w:after="0"/>
              <w:rPr>
                <w:sz w:val="10"/>
                <w:szCs w:val="10"/>
                <w:color w:val="auto"/>
              </w:rPr>
            </w:pPr>
          </w:p>
        </w:tc>
        <w:tc>
          <w:tcPr>
            <w:tcW w:w="420" w:type="dxa"/>
            <w:vAlign w:val="bottom"/>
          </w:tcPr>
          <w:p>
            <w:pPr>
              <w:jc w:val="right"/>
              <w:spacing w:after="0" w:line="120" w:lineRule="exact"/>
              <w:rPr>
                <w:sz w:val="20"/>
                <w:szCs w:val="20"/>
                <w:color w:val="auto"/>
              </w:rPr>
            </w:pPr>
            <w:r>
              <w:rPr>
                <w:rFonts w:ascii="Arial" w:cs="Arial" w:eastAsia="Arial" w:hAnsi="Arial"/>
                <w:sz w:val="11"/>
                <w:szCs w:val="11"/>
                <w:color w:val="auto"/>
              </w:rPr>
              <w:t>-  </w:t>
            </w:r>
          </w:p>
        </w:tc>
        <w:tc>
          <w:tcPr>
            <w:tcW w:w="200" w:type="dxa"/>
            <w:vAlign w:val="bottom"/>
          </w:tcPr>
          <w:p>
            <w:pPr>
              <w:spacing w:after="0"/>
              <w:rPr>
                <w:sz w:val="10"/>
                <w:szCs w:val="10"/>
                <w:color w:val="auto"/>
              </w:rPr>
            </w:pPr>
          </w:p>
        </w:tc>
        <w:tc>
          <w:tcPr>
            <w:tcW w:w="100" w:type="dxa"/>
            <w:vAlign w:val="bottom"/>
            <w:shd w:val="clear" w:color="auto" w:fill="E3F3EE"/>
          </w:tcPr>
          <w:p>
            <w:pPr>
              <w:spacing w:after="0"/>
              <w:rPr>
                <w:sz w:val="10"/>
                <w:szCs w:val="10"/>
                <w:color w:val="auto"/>
              </w:rPr>
            </w:pPr>
          </w:p>
        </w:tc>
        <w:tc>
          <w:tcPr>
            <w:tcW w:w="460" w:type="dxa"/>
            <w:vAlign w:val="bottom"/>
          </w:tcPr>
          <w:p>
            <w:pPr>
              <w:jc w:val="right"/>
              <w:ind w:right="7"/>
              <w:spacing w:after="0" w:line="120" w:lineRule="exact"/>
              <w:rPr>
                <w:sz w:val="20"/>
                <w:szCs w:val="20"/>
                <w:color w:val="auto"/>
              </w:rPr>
            </w:pPr>
            <w:r>
              <w:rPr>
                <w:rFonts w:ascii="Arial" w:cs="Arial" w:eastAsia="Arial" w:hAnsi="Arial"/>
                <w:sz w:val="11"/>
                <w:szCs w:val="11"/>
                <w:color w:val="auto"/>
              </w:rPr>
              <w:t>(5)</w:t>
            </w:r>
          </w:p>
        </w:tc>
        <w:tc>
          <w:tcPr>
            <w:tcW w:w="980" w:type="dxa"/>
            <w:vAlign w:val="bottom"/>
          </w:tcPr>
          <w:p>
            <w:pPr>
              <w:ind w:left="840"/>
              <w:spacing w:after="0" w:line="120" w:lineRule="exact"/>
              <w:rPr>
                <w:sz w:val="20"/>
                <w:szCs w:val="20"/>
                <w:color w:val="auto"/>
              </w:rPr>
            </w:pPr>
            <w:r>
              <w:rPr>
                <w:rFonts w:ascii="Arial" w:cs="Arial" w:eastAsia="Arial" w:hAnsi="Arial"/>
                <w:sz w:val="11"/>
                <w:szCs w:val="11"/>
                <w:color w:val="auto"/>
              </w:rPr>
              <w:t>-  </w:t>
            </w:r>
          </w:p>
        </w:tc>
        <w:tc>
          <w:tcPr>
            <w:tcW w:w="760" w:type="dxa"/>
            <w:vAlign w:val="bottom"/>
          </w:tcPr>
          <w:p>
            <w:pPr>
              <w:ind w:left="620"/>
              <w:spacing w:after="0" w:line="120" w:lineRule="exact"/>
              <w:rPr>
                <w:sz w:val="20"/>
                <w:szCs w:val="20"/>
                <w:color w:val="auto"/>
              </w:rPr>
            </w:pPr>
            <w:r>
              <w:rPr>
                <w:rFonts w:ascii="Arial" w:cs="Arial" w:eastAsia="Arial" w:hAnsi="Arial"/>
                <w:sz w:val="11"/>
                <w:szCs w:val="11"/>
                <w:color w:val="auto"/>
              </w:rPr>
              <w:t>-  </w:t>
            </w:r>
          </w:p>
        </w:tc>
        <w:tc>
          <w:tcPr>
            <w:tcW w:w="140" w:type="dxa"/>
            <w:vAlign w:val="bottom"/>
            <w:shd w:val="clear" w:color="auto" w:fill="E3F3EE"/>
          </w:tcPr>
          <w:p>
            <w:pPr>
              <w:spacing w:after="0"/>
              <w:rPr>
                <w:sz w:val="10"/>
                <w:szCs w:val="10"/>
                <w:color w:val="auto"/>
              </w:rPr>
            </w:pPr>
          </w:p>
        </w:tc>
        <w:tc>
          <w:tcPr>
            <w:tcW w:w="900" w:type="dxa"/>
            <w:vAlign w:val="bottom"/>
          </w:tcPr>
          <w:p>
            <w:pPr>
              <w:ind w:left="760"/>
              <w:spacing w:after="0" w:line="120" w:lineRule="exact"/>
              <w:rPr>
                <w:sz w:val="20"/>
                <w:szCs w:val="20"/>
                <w:color w:val="auto"/>
              </w:rPr>
            </w:pPr>
            <w:r>
              <w:rPr>
                <w:rFonts w:ascii="Arial" w:cs="Arial" w:eastAsia="Arial" w:hAnsi="Arial"/>
                <w:sz w:val="11"/>
                <w:szCs w:val="11"/>
                <w:color w:val="auto"/>
              </w:rPr>
              <w:t>-  </w:t>
            </w:r>
          </w:p>
        </w:tc>
        <w:tc>
          <w:tcPr>
            <w:tcW w:w="840" w:type="dxa"/>
            <w:vAlign w:val="bottom"/>
          </w:tcPr>
          <w:p>
            <w:pPr>
              <w:jc w:val="right"/>
              <w:ind w:right="27"/>
              <w:spacing w:after="0" w:line="120" w:lineRule="exact"/>
              <w:rPr>
                <w:sz w:val="20"/>
                <w:szCs w:val="20"/>
                <w:color w:val="auto"/>
              </w:rPr>
            </w:pPr>
            <w:r>
              <w:rPr>
                <w:rFonts w:ascii="Arial" w:cs="Arial" w:eastAsia="Arial" w:hAnsi="Arial"/>
                <w:sz w:val="11"/>
                <w:szCs w:val="11"/>
                <w:color w:val="auto"/>
              </w:rPr>
              <w:t>(5)</w:t>
            </w:r>
          </w:p>
        </w:tc>
        <w:tc>
          <w:tcPr>
            <w:tcW w:w="800" w:type="dxa"/>
            <w:vAlign w:val="bottom"/>
          </w:tcPr>
          <w:p>
            <w:pPr>
              <w:ind w:left="660"/>
              <w:spacing w:after="0" w:line="120" w:lineRule="exact"/>
              <w:rPr>
                <w:sz w:val="20"/>
                <w:szCs w:val="20"/>
                <w:color w:val="auto"/>
              </w:rPr>
            </w:pPr>
            <w:r>
              <w:rPr>
                <w:rFonts w:ascii="Arial" w:cs="Arial" w:eastAsia="Arial" w:hAnsi="Arial"/>
                <w:sz w:val="11"/>
                <w:szCs w:val="11"/>
                <w:color w:val="auto"/>
              </w:rPr>
              <w:t>-  </w:t>
            </w:r>
          </w:p>
        </w:tc>
        <w:tc>
          <w:tcPr>
            <w:tcW w:w="720" w:type="dxa"/>
            <w:vAlign w:val="bottom"/>
            <w:shd w:val="clear" w:color="auto" w:fill="E3F3EE"/>
          </w:tcPr>
          <w:p>
            <w:pPr>
              <w:jc w:val="right"/>
              <w:ind w:right="7"/>
              <w:spacing w:after="0" w:line="120" w:lineRule="exact"/>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19"/>
        </w:trPr>
        <w:tc>
          <w:tcPr>
            <w:tcW w:w="3040" w:type="dxa"/>
            <w:vAlign w:val="bottom"/>
          </w:tcPr>
          <w:p>
            <w:pPr>
              <w:spacing w:after="0" w:line="120" w:lineRule="exact"/>
              <w:rPr>
                <w:sz w:val="20"/>
                <w:szCs w:val="20"/>
                <w:color w:val="auto"/>
              </w:rPr>
            </w:pPr>
            <w:r>
              <w:rPr>
                <w:rFonts w:ascii="Arial" w:cs="Arial" w:eastAsia="Arial" w:hAnsi="Arial"/>
                <w:sz w:val="11"/>
                <w:szCs w:val="11"/>
                <w:color w:val="auto"/>
              </w:rPr>
              <w:t>Dividends declared on common shares</w:t>
            </w:r>
          </w:p>
        </w:tc>
        <w:tc>
          <w:tcPr>
            <w:tcW w:w="640" w:type="dxa"/>
            <w:vAlign w:val="bottom"/>
          </w:tcPr>
          <w:p>
            <w:pPr>
              <w:ind w:left="500"/>
              <w:spacing w:after="0" w:line="120" w:lineRule="exact"/>
              <w:rPr>
                <w:sz w:val="20"/>
                <w:szCs w:val="20"/>
                <w:color w:val="auto"/>
              </w:rPr>
            </w:pPr>
            <w:r>
              <w:rPr>
                <w:rFonts w:ascii="Arial" w:cs="Arial" w:eastAsia="Arial" w:hAnsi="Arial"/>
                <w:sz w:val="11"/>
                <w:szCs w:val="11"/>
                <w:color w:val="auto"/>
              </w:rPr>
              <w:t>-  </w:t>
            </w:r>
          </w:p>
        </w:tc>
        <w:tc>
          <w:tcPr>
            <w:tcW w:w="720" w:type="dxa"/>
            <w:vAlign w:val="bottom"/>
          </w:tcPr>
          <w:p>
            <w:pPr>
              <w:ind w:left="580"/>
              <w:spacing w:after="0" w:line="120" w:lineRule="exact"/>
              <w:rPr>
                <w:sz w:val="20"/>
                <w:szCs w:val="20"/>
                <w:color w:val="auto"/>
              </w:rPr>
            </w:pPr>
            <w:r>
              <w:rPr>
                <w:rFonts w:ascii="Arial" w:cs="Arial" w:eastAsia="Arial" w:hAnsi="Arial"/>
                <w:sz w:val="11"/>
                <w:szCs w:val="11"/>
                <w:color w:val="auto"/>
              </w:rPr>
              <w:t>-  </w:t>
            </w:r>
          </w:p>
        </w:tc>
        <w:tc>
          <w:tcPr>
            <w:tcW w:w="80" w:type="dxa"/>
            <w:vAlign w:val="bottom"/>
            <w:shd w:val="clear" w:color="auto" w:fill="E3F3EE"/>
          </w:tcPr>
          <w:p>
            <w:pPr>
              <w:spacing w:after="0"/>
              <w:rPr>
                <w:sz w:val="10"/>
                <w:szCs w:val="10"/>
                <w:color w:val="auto"/>
              </w:rPr>
            </w:pPr>
          </w:p>
        </w:tc>
        <w:tc>
          <w:tcPr>
            <w:tcW w:w="420" w:type="dxa"/>
            <w:vAlign w:val="bottom"/>
          </w:tcPr>
          <w:p>
            <w:pPr>
              <w:jc w:val="right"/>
              <w:spacing w:after="0" w:line="120" w:lineRule="exact"/>
              <w:rPr>
                <w:sz w:val="20"/>
                <w:szCs w:val="20"/>
                <w:color w:val="auto"/>
              </w:rPr>
            </w:pPr>
            <w:r>
              <w:rPr>
                <w:rFonts w:ascii="Arial" w:cs="Arial" w:eastAsia="Arial" w:hAnsi="Arial"/>
                <w:sz w:val="11"/>
                <w:szCs w:val="11"/>
                <w:color w:val="auto"/>
              </w:rPr>
              <w:t>-  </w:t>
            </w:r>
          </w:p>
        </w:tc>
        <w:tc>
          <w:tcPr>
            <w:tcW w:w="200" w:type="dxa"/>
            <w:vAlign w:val="bottom"/>
          </w:tcPr>
          <w:p>
            <w:pPr>
              <w:spacing w:after="0"/>
              <w:rPr>
                <w:sz w:val="10"/>
                <w:szCs w:val="10"/>
                <w:color w:val="auto"/>
              </w:rPr>
            </w:pPr>
          </w:p>
        </w:tc>
        <w:tc>
          <w:tcPr>
            <w:tcW w:w="100" w:type="dxa"/>
            <w:vAlign w:val="bottom"/>
            <w:shd w:val="clear" w:color="auto" w:fill="E3F3EE"/>
          </w:tcPr>
          <w:p>
            <w:pPr>
              <w:spacing w:after="0"/>
              <w:rPr>
                <w:sz w:val="10"/>
                <w:szCs w:val="10"/>
                <w:color w:val="auto"/>
              </w:rPr>
            </w:pPr>
          </w:p>
        </w:tc>
        <w:tc>
          <w:tcPr>
            <w:tcW w:w="460" w:type="dxa"/>
            <w:vAlign w:val="bottom"/>
          </w:tcPr>
          <w:p>
            <w:pPr>
              <w:jc w:val="right"/>
              <w:ind w:right="7"/>
              <w:spacing w:after="0" w:line="120" w:lineRule="exact"/>
              <w:rPr>
                <w:sz w:val="20"/>
                <w:szCs w:val="20"/>
                <w:color w:val="auto"/>
              </w:rPr>
            </w:pPr>
            <w:r>
              <w:rPr>
                <w:rFonts w:ascii="Arial" w:cs="Arial" w:eastAsia="Arial" w:hAnsi="Arial"/>
                <w:sz w:val="11"/>
                <w:szCs w:val="11"/>
                <w:color w:val="auto"/>
              </w:rPr>
              <w:t>(908)</w:t>
            </w:r>
          </w:p>
        </w:tc>
        <w:tc>
          <w:tcPr>
            <w:tcW w:w="980" w:type="dxa"/>
            <w:vAlign w:val="bottom"/>
          </w:tcPr>
          <w:p>
            <w:pPr>
              <w:ind w:left="840"/>
              <w:spacing w:after="0" w:line="120" w:lineRule="exact"/>
              <w:rPr>
                <w:sz w:val="20"/>
                <w:szCs w:val="20"/>
                <w:color w:val="auto"/>
              </w:rPr>
            </w:pPr>
            <w:r>
              <w:rPr>
                <w:rFonts w:ascii="Arial" w:cs="Arial" w:eastAsia="Arial" w:hAnsi="Arial"/>
                <w:sz w:val="11"/>
                <w:szCs w:val="11"/>
                <w:color w:val="auto"/>
              </w:rPr>
              <w:t>-  </w:t>
            </w:r>
          </w:p>
        </w:tc>
        <w:tc>
          <w:tcPr>
            <w:tcW w:w="760" w:type="dxa"/>
            <w:vAlign w:val="bottom"/>
          </w:tcPr>
          <w:p>
            <w:pPr>
              <w:ind w:left="620"/>
              <w:spacing w:after="0" w:line="120" w:lineRule="exact"/>
              <w:rPr>
                <w:sz w:val="20"/>
                <w:szCs w:val="20"/>
                <w:color w:val="auto"/>
              </w:rPr>
            </w:pPr>
            <w:r>
              <w:rPr>
                <w:rFonts w:ascii="Arial" w:cs="Arial" w:eastAsia="Arial" w:hAnsi="Arial"/>
                <w:sz w:val="11"/>
                <w:szCs w:val="11"/>
                <w:color w:val="auto"/>
              </w:rPr>
              <w:t>-  </w:t>
            </w:r>
          </w:p>
        </w:tc>
        <w:tc>
          <w:tcPr>
            <w:tcW w:w="140" w:type="dxa"/>
            <w:vAlign w:val="bottom"/>
            <w:shd w:val="clear" w:color="auto" w:fill="E3F3EE"/>
          </w:tcPr>
          <w:p>
            <w:pPr>
              <w:spacing w:after="0"/>
              <w:rPr>
                <w:sz w:val="10"/>
                <w:szCs w:val="10"/>
                <w:color w:val="auto"/>
              </w:rPr>
            </w:pPr>
          </w:p>
        </w:tc>
        <w:tc>
          <w:tcPr>
            <w:tcW w:w="900" w:type="dxa"/>
            <w:vAlign w:val="bottom"/>
          </w:tcPr>
          <w:p>
            <w:pPr>
              <w:ind w:left="760"/>
              <w:spacing w:after="0" w:line="120" w:lineRule="exact"/>
              <w:rPr>
                <w:sz w:val="20"/>
                <w:szCs w:val="20"/>
                <w:color w:val="auto"/>
              </w:rPr>
            </w:pPr>
            <w:r>
              <w:rPr>
                <w:rFonts w:ascii="Arial" w:cs="Arial" w:eastAsia="Arial" w:hAnsi="Arial"/>
                <w:sz w:val="11"/>
                <w:szCs w:val="11"/>
                <w:color w:val="auto"/>
              </w:rPr>
              <w:t>-  </w:t>
            </w:r>
          </w:p>
        </w:tc>
        <w:tc>
          <w:tcPr>
            <w:tcW w:w="840" w:type="dxa"/>
            <w:vAlign w:val="bottom"/>
          </w:tcPr>
          <w:p>
            <w:pPr>
              <w:jc w:val="right"/>
              <w:ind w:right="27"/>
              <w:spacing w:after="0" w:line="120" w:lineRule="exact"/>
              <w:rPr>
                <w:sz w:val="20"/>
                <w:szCs w:val="20"/>
                <w:color w:val="auto"/>
              </w:rPr>
            </w:pPr>
            <w:r>
              <w:rPr>
                <w:rFonts w:ascii="Arial" w:cs="Arial" w:eastAsia="Arial" w:hAnsi="Arial"/>
                <w:sz w:val="11"/>
                <w:szCs w:val="11"/>
                <w:color w:val="auto"/>
              </w:rPr>
              <w:t>(908)</w:t>
            </w:r>
          </w:p>
        </w:tc>
        <w:tc>
          <w:tcPr>
            <w:tcW w:w="800" w:type="dxa"/>
            <w:vAlign w:val="bottom"/>
          </w:tcPr>
          <w:p>
            <w:pPr>
              <w:ind w:left="660"/>
              <w:spacing w:after="0" w:line="120" w:lineRule="exact"/>
              <w:rPr>
                <w:sz w:val="20"/>
                <w:szCs w:val="20"/>
                <w:color w:val="auto"/>
              </w:rPr>
            </w:pPr>
            <w:r>
              <w:rPr>
                <w:rFonts w:ascii="Arial" w:cs="Arial" w:eastAsia="Arial" w:hAnsi="Arial"/>
                <w:sz w:val="11"/>
                <w:szCs w:val="11"/>
                <w:color w:val="auto"/>
              </w:rPr>
              <w:t>-  </w:t>
            </w:r>
          </w:p>
        </w:tc>
        <w:tc>
          <w:tcPr>
            <w:tcW w:w="720" w:type="dxa"/>
            <w:vAlign w:val="bottom"/>
            <w:shd w:val="clear" w:color="auto" w:fill="E3F3EE"/>
          </w:tcPr>
          <w:p>
            <w:pPr>
              <w:jc w:val="right"/>
              <w:ind w:right="7"/>
              <w:spacing w:after="0" w:line="120" w:lineRule="exact"/>
              <w:rPr>
                <w:sz w:val="20"/>
                <w:szCs w:val="20"/>
                <w:color w:val="auto"/>
              </w:rPr>
            </w:pPr>
            <w:r>
              <w:rPr>
                <w:rFonts w:ascii="Arial" w:cs="Arial" w:eastAsia="Arial" w:hAnsi="Arial"/>
                <w:sz w:val="11"/>
                <w:szCs w:val="11"/>
                <w:color w:val="auto"/>
              </w:rPr>
              <w:t>(908)</w:t>
            </w:r>
          </w:p>
        </w:tc>
        <w:tc>
          <w:tcPr>
            <w:tcW w:w="0" w:type="dxa"/>
            <w:vAlign w:val="bottom"/>
          </w:tcPr>
          <w:p>
            <w:pPr>
              <w:spacing w:after="0"/>
              <w:rPr>
                <w:sz w:val="1"/>
                <w:szCs w:val="1"/>
                <w:color w:val="auto"/>
              </w:rPr>
            </w:pPr>
          </w:p>
        </w:tc>
      </w:tr>
      <w:tr>
        <w:trPr>
          <w:trHeight w:val="119"/>
        </w:trPr>
        <w:tc>
          <w:tcPr>
            <w:tcW w:w="3040" w:type="dxa"/>
            <w:vAlign w:val="bottom"/>
          </w:tcPr>
          <w:p>
            <w:pPr>
              <w:spacing w:after="0" w:line="120" w:lineRule="exact"/>
              <w:rPr>
                <w:sz w:val="20"/>
                <w:szCs w:val="20"/>
                <w:color w:val="auto"/>
              </w:rPr>
            </w:pPr>
            <w:r>
              <w:rPr>
                <w:rFonts w:ascii="Arial" w:cs="Arial" w:eastAsia="Arial" w:hAnsi="Arial"/>
                <w:sz w:val="11"/>
                <w:szCs w:val="11"/>
                <w:color w:val="auto"/>
              </w:rPr>
              <w:t>Shares issued under DRIP</w:t>
            </w:r>
          </w:p>
        </w:tc>
        <w:tc>
          <w:tcPr>
            <w:tcW w:w="640" w:type="dxa"/>
            <w:vAlign w:val="bottom"/>
          </w:tcPr>
          <w:p>
            <w:pPr>
              <w:jc w:val="right"/>
              <w:spacing w:after="0" w:line="120" w:lineRule="exact"/>
              <w:rPr>
                <w:sz w:val="20"/>
                <w:szCs w:val="20"/>
                <w:color w:val="auto"/>
              </w:rPr>
            </w:pPr>
            <w:r>
              <w:rPr>
                <w:rFonts w:ascii="Arial" w:cs="Arial" w:eastAsia="Arial" w:hAnsi="Arial"/>
                <w:sz w:val="11"/>
                <w:szCs w:val="11"/>
                <w:color w:val="auto"/>
              </w:rPr>
              <w:t>21  </w:t>
            </w:r>
          </w:p>
        </w:tc>
        <w:tc>
          <w:tcPr>
            <w:tcW w:w="720" w:type="dxa"/>
            <w:vAlign w:val="bottom"/>
          </w:tcPr>
          <w:p>
            <w:pPr>
              <w:ind w:left="580"/>
              <w:spacing w:after="0" w:line="120" w:lineRule="exact"/>
              <w:rPr>
                <w:sz w:val="20"/>
                <w:szCs w:val="20"/>
                <w:color w:val="auto"/>
              </w:rPr>
            </w:pPr>
            <w:r>
              <w:rPr>
                <w:rFonts w:ascii="Arial" w:cs="Arial" w:eastAsia="Arial" w:hAnsi="Arial"/>
                <w:sz w:val="11"/>
                <w:szCs w:val="11"/>
                <w:color w:val="auto"/>
              </w:rPr>
              <w:t>-  </w:t>
            </w:r>
          </w:p>
        </w:tc>
        <w:tc>
          <w:tcPr>
            <w:tcW w:w="80" w:type="dxa"/>
            <w:vAlign w:val="bottom"/>
            <w:shd w:val="clear" w:color="auto" w:fill="E3F3EE"/>
          </w:tcPr>
          <w:p>
            <w:pPr>
              <w:spacing w:after="0"/>
              <w:rPr>
                <w:sz w:val="10"/>
                <w:szCs w:val="10"/>
                <w:color w:val="auto"/>
              </w:rPr>
            </w:pPr>
          </w:p>
        </w:tc>
        <w:tc>
          <w:tcPr>
            <w:tcW w:w="420" w:type="dxa"/>
            <w:vAlign w:val="bottom"/>
          </w:tcPr>
          <w:p>
            <w:pPr>
              <w:jc w:val="right"/>
              <w:spacing w:after="0" w:line="120" w:lineRule="exact"/>
              <w:rPr>
                <w:sz w:val="20"/>
                <w:szCs w:val="20"/>
                <w:color w:val="auto"/>
              </w:rPr>
            </w:pPr>
            <w:r>
              <w:rPr>
                <w:rFonts w:ascii="Arial" w:cs="Arial" w:eastAsia="Arial" w:hAnsi="Arial"/>
                <w:sz w:val="11"/>
                <w:szCs w:val="11"/>
                <w:color w:val="auto"/>
              </w:rPr>
              <w:t>21  </w:t>
            </w:r>
          </w:p>
        </w:tc>
        <w:tc>
          <w:tcPr>
            <w:tcW w:w="200" w:type="dxa"/>
            <w:vAlign w:val="bottom"/>
          </w:tcPr>
          <w:p>
            <w:pPr>
              <w:spacing w:after="0"/>
              <w:rPr>
                <w:sz w:val="10"/>
                <w:szCs w:val="10"/>
                <w:color w:val="auto"/>
              </w:rPr>
            </w:pPr>
          </w:p>
        </w:tc>
        <w:tc>
          <w:tcPr>
            <w:tcW w:w="100" w:type="dxa"/>
            <w:vAlign w:val="bottom"/>
            <w:shd w:val="clear" w:color="auto" w:fill="E3F3EE"/>
          </w:tcPr>
          <w:p>
            <w:pPr>
              <w:spacing w:after="0"/>
              <w:rPr>
                <w:sz w:val="10"/>
                <w:szCs w:val="10"/>
                <w:color w:val="auto"/>
              </w:rPr>
            </w:pPr>
          </w:p>
        </w:tc>
        <w:tc>
          <w:tcPr>
            <w:tcW w:w="460" w:type="dxa"/>
            <w:vAlign w:val="bottom"/>
          </w:tcPr>
          <w:p>
            <w:pPr>
              <w:jc w:val="right"/>
              <w:spacing w:after="0" w:line="120" w:lineRule="exact"/>
              <w:rPr>
                <w:sz w:val="20"/>
                <w:szCs w:val="20"/>
                <w:color w:val="auto"/>
              </w:rPr>
            </w:pPr>
            <w:r>
              <w:rPr>
                <w:rFonts w:ascii="Arial" w:cs="Arial" w:eastAsia="Arial" w:hAnsi="Arial"/>
                <w:sz w:val="11"/>
                <w:szCs w:val="11"/>
                <w:color w:val="auto"/>
              </w:rPr>
              <w:t>-  </w:t>
            </w:r>
          </w:p>
        </w:tc>
        <w:tc>
          <w:tcPr>
            <w:tcW w:w="980" w:type="dxa"/>
            <w:vAlign w:val="bottom"/>
          </w:tcPr>
          <w:p>
            <w:pPr>
              <w:ind w:left="840"/>
              <w:spacing w:after="0" w:line="120" w:lineRule="exact"/>
              <w:rPr>
                <w:sz w:val="20"/>
                <w:szCs w:val="20"/>
                <w:color w:val="auto"/>
              </w:rPr>
            </w:pPr>
            <w:r>
              <w:rPr>
                <w:rFonts w:ascii="Arial" w:cs="Arial" w:eastAsia="Arial" w:hAnsi="Arial"/>
                <w:sz w:val="11"/>
                <w:szCs w:val="11"/>
                <w:color w:val="auto"/>
              </w:rPr>
              <w:t>-  </w:t>
            </w:r>
          </w:p>
        </w:tc>
        <w:tc>
          <w:tcPr>
            <w:tcW w:w="760" w:type="dxa"/>
            <w:vAlign w:val="bottom"/>
          </w:tcPr>
          <w:p>
            <w:pPr>
              <w:ind w:left="620"/>
              <w:spacing w:after="0" w:line="120" w:lineRule="exact"/>
              <w:rPr>
                <w:sz w:val="20"/>
                <w:szCs w:val="20"/>
                <w:color w:val="auto"/>
              </w:rPr>
            </w:pPr>
            <w:r>
              <w:rPr>
                <w:rFonts w:ascii="Arial" w:cs="Arial" w:eastAsia="Arial" w:hAnsi="Arial"/>
                <w:sz w:val="11"/>
                <w:szCs w:val="11"/>
                <w:color w:val="auto"/>
              </w:rPr>
              <w:t>-  </w:t>
            </w:r>
          </w:p>
        </w:tc>
        <w:tc>
          <w:tcPr>
            <w:tcW w:w="140" w:type="dxa"/>
            <w:vAlign w:val="bottom"/>
            <w:shd w:val="clear" w:color="auto" w:fill="E3F3EE"/>
          </w:tcPr>
          <w:p>
            <w:pPr>
              <w:spacing w:after="0"/>
              <w:rPr>
                <w:sz w:val="10"/>
                <w:szCs w:val="10"/>
                <w:color w:val="auto"/>
              </w:rPr>
            </w:pPr>
          </w:p>
        </w:tc>
        <w:tc>
          <w:tcPr>
            <w:tcW w:w="900" w:type="dxa"/>
            <w:vAlign w:val="bottom"/>
          </w:tcPr>
          <w:p>
            <w:pPr>
              <w:ind w:left="760"/>
              <w:spacing w:after="0" w:line="120" w:lineRule="exact"/>
              <w:rPr>
                <w:sz w:val="20"/>
                <w:szCs w:val="20"/>
                <w:color w:val="auto"/>
              </w:rPr>
            </w:pPr>
            <w:r>
              <w:rPr>
                <w:rFonts w:ascii="Arial" w:cs="Arial" w:eastAsia="Arial" w:hAnsi="Arial"/>
                <w:sz w:val="11"/>
                <w:szCs w:val="11"/>
                <w:color w:val="auto"/>
              </w:rPr>
              <w:t>-  </w:t>
            </w:r>
          </w:p>
        </w:tc>
        <w:tc>
          <w:tcPr>
            <w:tcW w:w="840" w:type="dxa"/>
            <w:vAlign w:val="bottom"/>
          </w:tcPr>
          <w:p>
            <w:pPr>
              <w:jc w:val="right"/>
              <w:spacing w:after="0" w:line="120" w:lineRule="exact"/>
              <w:rPr>
                <w:sz w:val="20"/>
                <w:szCs w:val="20"/>
                <w:color w:val="auto"/>
              </w:rPr>
            </w:pPr>
            <w:r>
              <w:rPr>
                <w:rFonts w:ascii="Arial" w:cs="Arial" w:eastAsia="Arial" w:hAnsi="Arial"/>
                <w:sz w:val="11"/>
                <w:szCs w:val="11"/>
                <w:color w:val="auto"/>
              </w:rPr>
              <w:t>21  </w:t>
            </w:r>
          </w:p>
        </w:tc>
        <w:tc>
          <w:tcPr>
            <w:tcW w:w="800" w:type="dxa"/>
            <w:vAlign w:val="bottom"/>
          </w:tcPr>
          <w:p>
            <w:pPr>
              <w:ind w:left="660"/>
              <w:spacing w:after="0" w:line="120" w:lineRule="exact"/>
              <w:rPr>
                <w:sz w:val="20"/>
                <w:szCs w:val="20"/>
                <w:color w:val="auto"/>
              </w:rPr>
            </w:pPr>
            <w:r>
              <w:rPr>
                <w:rFonts w:ascii="Arial" w:cs="Arial" w:eastAsia="Arial" w:hAnsi="Arial"/>
                <w:sz w:val="11"/>
                <w:szCs w:val="11"/>
                <w:color w:val="auto"/>
              </w:rPr>
              <w:t>-  </w:t>
            </w:r>
          </w:p>
        </w:tc>
        <w:tc>
          <w:tcPr>
            <w:tcW w:w="720" w:type="dxa"/>
            <w:vAlign w:val="bottom"/>
            <w:shd w:val="clear" w:color="auto" w:fill="E3F3EE"/>
          </w:tcPr>
          <w:p>
            <w:pPr>
              <w:jc w:val="right"/>
              <w:ind w:right="7"/>
              <w:spacing w:after="0" w:line="120" w:lineRule="exact"/>
              <w:rPr>
                <w:sz w:val="20"/>
                <w:szCs w:val="20"/>
                <w:color w:val="auto"/>
              </w:rPr>
            </w:pPr>
            <w:r>
              <w:rPr>
                <w:rFonts w:ascii="Arial" w:cs="Arial" w:eastAsia="Arial" w:hAnsi="Arial"/>
                <w:sz w:val="11"/>
                <w:szCs w:val="11"/>
                <w:color w:val="auto"/>
              </w:rPr>
              <w:t>21  </w:t>
            </w:r>
          </w:p>
        </w:tc>
        <w:tc>
          <w:tcPr>
            <w:tcW w:w="0" w:type="dxa"/>
            <w:vAlign w:val="bottom"/>
          </w:tcPr>
          <w:p>
            <w:pPr>
              <w:spacing w:after="0"/>
              <w:rPr>
                <w:sz w:val="1"/>
                <w:szCs w:val="1"/>
                <w:color w:val="auto"/>
              </w:rPr>
            </w:pPr>
          </w:p>
        </w:tc>
      </w:tr>
      <w:tr>
        <w:trPr>
          <w:trHeight w:val="119"/>
        </w:trPr>
        <w:tc>
          <w:tcPr>
            <w:tcW w:w="3040" w:type="dxa"/>
            <w:vAlign w:val="bottom"/>
          </w:tcPr>
          <w:p>
            <w:pPr>
              <w:spacing w:after="0" w:line="120" w:lineRule="exact"/>
              <w:rPr>
                <w:sz w:val="20"/>
                <w:szCs w:val="20"/>
                <w:color w:val="auto"/>
              </w:rPr>
            </w:pPr>
            <w:r>
              <w:rPr>
                <w:rFonts w:ascii="Arial" w:cs="Arial" w:eastAsia="Arial" w:hAnsi="Arial"/>
                <w:sz w:val="11"/>
                <w:szCs w:val="11"/>
                <w:color w:val="auto"/>
              </w:rPr>
              <w:t>Repurchases of common shares (see note 25)</w:t>
            </w:r>
          </w:p>
        </w:tc>
        <w:tc>
          <w:tcPr>
            <w:tcW w:w="640" w:type="dxa"/>
            <w:vAlign w:val="bottom"/>
          </w:tcPr>
          <w:p>
            <w:pPr>
              <w:jc w:val="right"/>
              <w:ind w:right="27"/>
              <w:spacing w:after="0" w:line="120" w:lineRule="exact"/>
              <w:rPr>
                <w:sz w:val="20"/>
                <w:szCs w:val="20"/>
                <w:color w:val="auto"/>
              </w:rPr>
            </w:pPr>
            <w:r>
              <w:rPr>
                <w:rFonts w:ascii="Arial" w:cs="Arial" w:eastAsia="Arial" w:hAnsi="Arial"/>
                <w:sz w:val="11"/>
                <w:szCs w:val="11"/>
                <w:color w:val="auto"/>
              </w:rPr>
              <w:t>(8)</w:t>
            </w:r>
          </w:p>
        </w:tc>
        <w:tc>
          <w:tcPr>
            <w:tcW w:w="720" w:type="dxa"/>
            <w:vAlign w:val="bottom"/>
          </w:tcPr>
          <w:p>
            <w:pPr>
              <w:ind w:left="580"/>
              <w:spacing w:after="0" w:line="120" w:lineRule="exact"/>
              <w:rPr>
                <w:sz w:val="20"/>
                <w:szCs w:val="20"/>
                <w:color w:val="auto"/>
              </w:rPr>
            </w:pPr>
            <w:r>
              <w:rPr>
                <w:rFonts w:ascii="Arial" w:cs="Arial" w:eastAsia="Arial" w:hAnsi="Arial"/>
                <w:sz w:val="11"/>
                <w:szCs w:val="11"/>
                <w:color w:val="auto"/>
              </w:rPr>
              <w:t>-  </w:t>
            </w:r>
          </w:p>
        </w:tc>
        <w:tc>
          <w:tcPr>
            <w:tcW w:w="80" w:type="dxa"/>
            <w:vAlign w:val="bottom"/>
            <w:shd w:val="clear" w:color="auto" w:fill="E3F3EE"/>
          </w:tcPr>
          <w:p>
            <w:pPr>
              <w:spacing w:after="0"/>
              <w:rPr>
                <w:sz w:val="10"/>
                <w:szCs w:val="10"/>
                <w:color w:val="auto"/>
              </w:rPr>
            </w:pPr>
          </w:p>
        </w:tc>
        <w:tc>
          <w:tcPr>
            <w:tcW w:w="420" w:type="dxa"/>
            <w:vAlign w:val="bottom"/>
          </w:tcPr>
          <w:p>
            <w:pPr>
              <w:jc w:val="right"/>
              <w:ind w:right="7"/>
              <w:spacing w:after="0" w:line="120" w:lineRule="exact"/>
              <w:rPr>
                <w:sz w:val="20"/>
                <w:szCs w:val="20"/>
                <w:color w:val="auto"/>
              </w:rPr>
            </w:pPr>
            <w:r>
              <w:rPr>
                <w:rFonts w:ascii="Arial" w:cs="Arial" w:eastAsia="Arial" w:hAnsi="Arial"/>
                <w:sz w:val="11"/>
                <w:szCs w:val="11"/>
                <w:color w:val="auto"/>
              </w:rPr>
              <w:t>(8)</w:t>
            </w:r>
          </w:p>
        </w:tc>
        <w:tc>
          <w:tcPr>
            <w:tcW w:w="200" w:type="dxa"/>
            <w:vAlign w:val="bottom"/>
          </w:tcPr>
          <w:p>
            <w:pPr>
              <w:spacing w:after="0"/>
              <w:rPr>
                <w:sz w:val="10"/>
                <w:szCs w:val="10"/>
                <w:color w:val="auto"/>
              </w:rPr>
            </w:pPr>
          </w:p>
        </w:tc>
        <w:tc>
          <w:tcPr>
            <w:tcW w:w="100" w:type="dxa"/>
            <w:vAlign w:val="bottom"/>
            <w:shd w:val="clear" w:color="auto" w:fill="E3F3EE"/>
          </w:tcPr>
          <w:p>
            <w:pPr>
              <w:spacing w:after="0"/>
              <w:rPr>
                <w:sz w:val="10"/>
                <w:szCs w:val="10"/>
                <w:color w:val="auto"/>
              </w:rPr>
            </w:pPr>
          </w:p>
        </w:tc>
        <w:tc>
          <w:tcPr>
            <w:tcW w:w="460" w:type="dxa"/>
            <w:vAlign w:val="bottom"/>
          </w:tcPr>
          <w:p>
            <w:pPr>
              <w:jc w:val="right"/>
              <w:ind w:right="7"/>
              <w:spacing w:after="0" w:line="120" w:lineRule="exact"/>
              <w:rPr>
                <w:sz w:val="20"/>
                <w:szCs w:val="20"/>
                <w:color w:val="auto"/>
              </w:rPr>
            </w:pPr>
            <w:r>
              <w:rPr>
                <w:rFonts w:ascii="Arial" w:cs="Arial" w:eastAsia="Arial" w:hAnsi="Arial"/>
                <w:sz w:val="11"/>
                <w:szCs w:val="11"/>
                <w:color w:val="auto"/>
              </w:rPr>
              <w:t>(353)</w:t>
            </w:r>
          </w:p>
        </w:tc>
        <w:tc>
          <w:tcPr>
            <w:tcW w:w="980" w:type="dxa"/>
            <w:vAlign w:val="bottom"/>
          </w:tcPr>
          <w:p>
            <w:pPr>
              <w:ind w:left="840"/>
              <w:spacing w:after="0" w:line="120" w:lineRule="exact"/>
              <w:rPr>
                <w:sz w:val="20"/>
                <w:szCs w:val="20"/>
                <w:color w:val="auto"/>
              </w:rPr>
            </w:pPr>
            <w:r>
              <w:rPr>
                <w:rFonts w:ascii="Arial" w:cs="Arial" w:eastAsia="Arial" w:hAnsi="Arial"/>
                <w:sz w:val="11"/>
                <w:szCs w:val="11"/>
                <w:color w:val="auto"/>
              </w:rPr>
              <w:t>-  </w:t>
            </w:r>
          </w:p>
        </w:tc>
        <w:tc>
          <w:tcPr>
            <w:tcW w:w="760" w:type="dxa"/>
            <w:vAlign w:val="bottom"/>
          </w:tcPr>
          <w:p>
            <w:pPr>
              <w:ind w:left="620"/>
              <w:spacing w:after="0" w:line="120" w:lineRule="exact"/>
              <w:rPr>
                <w:sz w:val="20"/>
                <w:szCs w:val="20"/>
                <w:color w:val="auto"/>
              </w:rPr>
            </w:pPr>
            <w:r>
              <w:rPr>
                <w:rFonts w:ascii="Arial" w:cs="Arial" w:eastAsia="Arial" w:hAnsi="Arial"/>
                <w:sz w:val="11"/>
                <w:szCs w:val="11"/>
                <w:color w:val="auto"/>
              </w:rPr>
              <w:t>-  </w:t>
            </w:r>
          </w:p>
        </w:tc>
        <w:tc>
          <w:tcPr>
            <w:tcW w:w="140" w:type="dxa"/>
            <w:vAlign w:val="bottom"/>
            <w:shd w:val="clear" w:color="auto" w:fill="E3F3EE"/>
          </w:tcPr>
          <w:p>
            <w:pPr>
              <w:spacing w:after="0"/>
              <w:rPr>
                <w:sz w:val="10"/>
                <w:szCs w:val="10"/>
                <w:color w:val="auto"/>
              </w:rPr>
            </w:pPr>
          </w:p>
        </w:tc>
        <w:tc>
          <w:tcPr>
            <w:tcW w:w="900" w:type="dxa"/>
            <w:vAlign w:val="bottom"/>
          </w:tcPr>
          <w:p>
            <w:pPr>
              <w:ind w:left="760"/>
              <w:spacing w:after="0" w:line="120" w:lineRule="exact"/>
              <w:rPr>
                <w:sz w:val="20"/>
                <w:szCs w:val="20"/>
                <w:color w:val="auto"/>
              </w:rPr>
            </w:pPr>
            <w:r>
              <w:rPr>
                <w:rFonts w:ascii="Arial" w:cs="Arial" w:eastAsia="Arial" w:hAnsi="Arial"/>
                <w:sz w:val="11"/>
                <w:szCs w:val="11"/>
                <w:color w:val="auto"/>
              </w:rPr>
              <w:t>-  </w:t>
            </w:r>
          </w:p>
        </w:tc>
        <w:tc>
          <w:tcPr>
            <w:tcW w:w="840" w:type="dxa"/>
            <w:vAlign w:val="bottom"/>
          </w:tcPr>
          <w:p>
            <w:pPr>
              <w:jc w:val="right"/>
              <w:ind w:right="27"/>
              <w:spacing w:after="0" w:line="120" w:lineRule="exact"/>
              <w:rPr>
                <w:sz w:val="20"/>
                <w:szCs w:val="20"/>
                <w:color w:val="auto"/>
              </w:rPr>
            </w:pPr>
            <w:r>
              <w:rPr>
                <w:rFonts w:ascii="Arial" w:cs="Arial" w:eastAsia="Arial" w:hAnsi="Arial"/>
                <w:sz w:val="11"/>
                <w:szCs w:val="11"/>
                <w:color w:val="auto"/>
              </w:rPr>
              <w:t>(361)</w:t>
            </w:r>
          </w:p>
        </w:tc>
        <w:tc>
          <w:tcPr>
            <w:tcW w:w="800" w:type="dxa"/>
            <w:vAlign w:val="bottom"/>
          </w:tcPr>
          <w:p>
            <w:pPr>
              <w:ind w:left="660"/>
              <w:spacing w:after="0" w:line="120" w:lineRule="exact"/>
              <w:rPr>
                <w:sz w:val="20"/>
                <w:szCs w:val="20"/>
                <w:color w:val="auto"/>
              </w:rPr>
            </w:pPr>
            <w:r>
              <w:rPr>
                <w:rFonts w:ascii="Arial" w:cs="Arial" w:eastAsia="Arial" w:hAnsi="Arial"/>
                <w:sz w:val="11"/>
                <w:szCs w:val="11"/>
                <w:color w:val="auto"/>
              </w:rPr>
              <w:t>-  </w:t>
            </w:r>
          </w:p>
        </w:tc>
        <w:tc>
          <w:tcPr>
            <w:tcW w:w="720" w:type="dxa"/>
            <w:vAlign w:val="bottom"/>
            <w:shd w:val="clear" w:color="auto" w:fill="E3F3EE"/>
          </w:tcPr>
          <w:p>
            <w:pPr>
              <w:jc w:val="right"/>
              <w:ind w:right="7"/>
              <w:spacing w:after="0" w:line="120" w:lineRule="exact"/>
              <w:rPr>
                <w:sz w:val="20"/>
                <w:szCs w:val="20"/>
                <w:color w:val="auto"/>
              </w:rPr>
            </w:pPr>
            <w:r>
              <w:rPr>
                <w:rFonts w:ascii="Arial" w:cs="Arial" w:eastAsia="Arial" w:hAnsi="Arial"/>
                <w:sz w:val="11"/>
                <w:szCs w:val="11"/>
                <w:color w:val="auto"/>
              </w:rPr>
              <w:t>(361)</w:t>
            </w:r>
          </w:p>
        </w:tc>
        <w:tc>
          <w:tcPr>
            <w:tcW w:w="0" w:type="dxa"/>
            <w:vAlign w:val="bottom"/>
          </w:tcPr>
          <w:p>
            <w:pPr>
              <w:spacing w:after="0"/>
              <w:rPr>
                <w:sz w:val="1"/>
                <w:szCs w:val="1"/>
                <w:color w:val="auto"/>
              </w:rPr>
            </w:pPr>
          </w:p>
        </w:tc>
      </w:tr>
      <w:tr>
        <w:trPr>
          <w:trHeight w:val="119"/>
        </w:trPr>
        <w:tc>
          <w:tcPr>
            <w:tcW w:w="3040" w:type="dxa"/>
            <w:vAlign w:val="bottom"/>
          </w:tcPr>
          <w:p>
            <w:pPr>
              <w:spacing w:after="0" w:line="120" w:lineRule="exact"/>
              <w:rPr>
                <w:sz w:val="20"/>
                <w:szCs w:val="20"/>
                <w:color w:val="auto"/>
              </w:rPr>
            </w:pPr>
            <w:r>
              <w:rPr>
                <w:rFonts w:ascii="Arial" w:cs="Arial" w:eastAsia="Arial" w:hAnsi="Arial"/>
                <w:sz w:val="11"/>
                <w:szCs w:val="11"/>
                <w:color w:val="auto"/>
              </w:rPr>
              <w:t>Pre-defined share repurchase plan (see note 25)</w:t>
            </w:r>
          </w:p>
        </w:tc>
        <w:tc>
          <w:tcPr>
            <w:tcW w:w="640" w:type="dxa"/>
            <w:vAlign w:val="bottom"/>
          </w:tcPr>
          <w:p>
            <w:pPr>
              <w:jc w:val="right"/>
              <w:ind w:right="27"/>
              <w:spacing w:after="0" w:line="120" w:lineRule="exact"/>
              <w:rPr>
                <w:sz w:val="20"/>
                <w:szCs w:val="20"/>
                <w:color w:val="auto"/>
              </w:rPr>
            </w:pPr>
            <w:r>
              <w:rPr>
                <w:rFonts w:ascii="Arial" w:cs="Arial" w:eastAsia="Arial" w:hAnsi="Arial"/>
                <w:sz w:val="11"/>
                <w:szCs w:val="11"/>
                <w:color w:val="auto"/>
              </w:rPr>
              <w:t>(11)</w:t>
            </w:r>
          </w:p>
        </w:tc>
        <w:tc>
          <w:tcPr>
            <w:tcW w:w="720" w:type="dxa"/>
            <w:vAlign w:val="bottom"/>
          </w:tcPr>
          <w:p>
            <w:pPr>
              <w:ind w:left="580"/>
              <w:spacing w:after="0" w:line="120" w:lineRule="exact"/>
              <w:rPr>
                <w:sz w:val="20"/>
                <w:szCs w:val="20"/>
                <w:color w:val="auto"/>
              </w:rPr>
            </w:pPr>
            <w:r>
              <w:rPr>
                <w:rFonts w:ascii="Arial" w:cs="Arial" w:eastAsia="Arial" w:hAnsi="Arial"/>
                <w:sz w:val="11"/>
                <w:szCs w:val="11"/>
                <w:color w:val="auto"/>
              </w:rPr>
              <w:t>-  </w:t>
            </w:r>
          </w:p>
        </w:tc>
        <w:tc>
          <w:tcPr>
            <w:tcW w:w="80" w:type="dxa"/>
            <w:vAlign w:val="bottom"/>
            <w:shd w:val="clear" w:color="auto" w:fill="E3F3EE"/>
          </w:tcPr>
          <w:p>
            <w:pPr>
              <w:spacing w:after="0"/>
              <w:rPr>
                <w:sz w:val="10"/>
                <w:szCs w:val="10"/>
                <w:color w:val="auto"/>
              </w:rPr>
            </w:pPr>
          </w:p>
        </w:tc>
        <w:tc>
          <w:tcPr>
            <w:tcW w:w="420" w:type="dxa"/>
            <w:vAlign w:val="bottom"/>
          </w:tcPr>
          <w:p>
            <w:pPr>
              <w:jc w:val="right"/>
              <w:ind w:right="7"/>
              <w:spacing w:after="0" w:line="120" w:lineRule="exact"/>
              <w:rPr>
                <w:sz w:val="20"/>
                <w:szCs w:val="20"/>
                <w:color w:val="auto"/>
              </w:rPr>
            </w:pPr>
            <w:r>
              <w:rPr>
                <w:rFonts w:ascii="Arial" w:cs="Arial" w:eastAsia="Arial" w:hAnsi="Arial"/>
                <w:sz w:val="11"/>
                <w:szCs w:val="11"/>
                <w:color w:val="auto"/>
              </w:rPr>
              <w:t>(11)</w:t>
            </w:r>
          </w:p>
        </w:tc>
        <w:tc>
          <w:tcPr>
            <w:tcW w:w="200" w:type="dxa"/>
            <w:vAlign w:val="bottom"/>
          </w:tcPr>
          <w:p>
            <w:pPr>
              <w:spacing w:after="0"/>
              <w:rPr>
                <w:sz w:val="10"/>
                <w:szCs w:val="10"/>
                <w:color w:val="auto"/>
              </w:rPr>
            </w:pPr>
          </w:p>
        </w:tc>
        <w:tc>
          <w:tcPr>
            <w:tcW w:w="100" w:type="dxa"/>
            <w:vAlign w:val="bottom"/>
            <w:shd w:val="clear" w:color="auto" w:fill="E3F3EE"/>
          </w:tcPr>
          <w:p>
            <w:pPr>
              <w:spacing w:after="0"/>
              <w:rPr>
                <w:sz w:val="10"/>
                <w:szCs w:val="10"/>
                <w:color w:val="auto"/>
              </w:rPr>
            </w:pPr>
          </w:p>
        </w:tc>
        <w:tc>
          <w:tcPr>
            <w:tcW w:w="460" w:type="dxa"/>
            <w:vAlign w:val="bottom"/>
          </w:tcPr>
          <w:p>
            <w:pPr>
              <w:jc w:val="right"/>
              <w:ind w:right="7"/>
              <w:spacing w:after="0" w:line="120" w:lineRule="exact"/>
              <w:rPr>
                <w:sz w:val="20"/>
                <w:szCs w:val="20"/>
                <w:color w:val="auto"/>
              </w:rPr>
            </w:pPr>
            <w:r>
              <w:rPr>
                <w:rFonts w:ascii="Arial" w:cs="Arial" w:eastAsia="Arial" w:hAnsi="Arial"/>
                <w:sz w:val="11"/>
                <w:szCs w:val="11"/>
                <w:color w:val="auto"/>
              </w:rPr>
              <w:t>(389)</w:t>
            </w:r>
          </w:p>
        </w:tc>
        <w:tc>
          <w:tcPr>
            <w:tcW w:w="980" w:type="dxa"/>
            <w:vAlign w:val="bottom"/>
          </w:tcPr>
          <w:p>
            <w:pPr>
              <w:ind w:left="840"/>
              <w:spacing w:after="0" w:line="120" w:lineRule="exact"/>
              <w:rPr>
                <w:sz w:val="20"/>
                <w:szCs w:val="20"/>
                <w:color w:val="auto"/>
              </w:rPr>
            </w:pPr>
            <w:r>
              <w:rPr>
                <w:rFonts w:ascii="Arial" w:cs="Arial" w:eastAsia="Arial" w:hAnsi="Arial"/>
                <w:sz w:val="11"/>
                <w:szCs w:val="11"/>
                <w:color w:val="auto"/>
              </w:rPr>
              <w:t>-  </w:t>
            </w:r>
          </w:p>
        </w:tc>
        <w:tc>
          <w:tcPr>
            <w:tcW w:w="760" w:type="dxa"/>
            <w:vAlign w:val="bottom"/>
          </w:tcPr>
          <w:p>
            <w:pPr>
              <w:ind w:left="620"/>
              <w:spacing w:after="0" w:line="120" w:lineRule="exact"/>
              <w:rPr>
                <w:sz w:val="20"/>
                <w:szCs w:val="20"/>
                <w:color w:val="auto"/>
              </w:rPr>
            </w:pPr>
            <w:r>
              <w:rPr>
                <w:rFonts w:ascii="Arial" w:cs="Arial" w:eastAsia="Arial" w:hAnsi="Arial"/>
                <w:sz w:val="11"/>
                <w:szCs w:val="11"/>
                <w:color w:val="auto"/>
              </w:rPr>
              <w:t>-  </w:t>
            </w:r>
          </w:p>
        </w:tc>
        <w:tc>
          <w:tcPr>
            <w:tcW w:w="140" w:type="dxa"/>
            <w:vAlign w:val="bottom"/>
            <w:shd w:val="clear" w:color="auto" w:fill="E3F3EE"/>
          </w:tcPr>
          <w:p>
            <w:pPr>
              <w:spacing w:after="0"/>
              <w:rPr>
                <w:sz w:val="10"/>
                <w:szCs w:val="10"/>
                <w:color w:val="auto"/>
              </w:rPr>
            </w:pPr>
          </w:p>
        </w:tc>
        <w:tc>
          <w:tcPr>
            <w:tcW w:w="900" w:type="dxa"/>
            <w:vAlign w:val="bottom"/>
          </w:tcPr>
          <w:p>
            <w:pPr>
              <w:ind w:left="760"/>
              <w:spacing w:after="0" w:line="120" w:lineRule="exact"/>
              <w:rPr>
                <w:sz w:val="20"/>
                <w:szCs w:val="20"/>
                <w:color w:val="auto"/>
              </w:rPr>
            </w:pPr>
            <w:r>
              <w:rPr>
                <w:rFonts w:ascii="Arial" w:cs="Arial" w:eastAsia="Arial" w:hAnsi="Arial"/>
                <w:sz w:val="11"/>
                <w:szCs w:val="11"/>
                <w:color w:val="auto"/>
              </w:rPr>
              <w:t>-  </w:t>
            </w:r>
          </w:p>
        </w:tc>
        <w:tc>
          <w:tcPr>
            <w:tcW w:w="840" w:type="dxa"/>
            <w:vAlign w:val="bottom"/>
          </w:tcPr>
          <w:p>
            <w:pPr>
              <w:jc w:val="right"/>
              <w:ind w:right="27"/>
              <w:spacing w:after="0" w:line="120" w:lineRule="exact"/>
              <w:rPr>
                <w:sz w:val="20"/>
                <w:szCs w:val="20"/>
                <w:color w:val="auto"/>
              </w:rPr>
            </w:pPr>
            <w:r>
              <w:rPr>
                <w:rFonts w:ascii="Arial" w:cs="Arial" w:eastAsia="Arial" w:hAnsi="Arial"/>
                <w:sz w:val="11"/>
                <w:szCs w:val="11"/>
                <w:color w:val="auto"/>
              </w:rPr>
              <w:t>(400)</w:t>
            </w:r>
          </w:p>
        </w:tc>
        <w:tc>
          <w:tcPr>
            <w:tcW w:w="800" w:type="dxa"/>
            <w:vAlign w:val="bottom"/>
          </w:tcPr>
          <w:p>
            <w:pPr>
              <w:ind w:left="660"/>
              <w:spacing w:after="0" w:line="120" w:lineRule="exact"/>
              <w:rPr>
                <w:sz w:val="20"/>
                <w:szCs w:val="20"/>
                <w:color w:val="auto"/>
              </w:rPr>
            </w:pPr>
            <w:r>
              <w:rPr>
                <w:rFonts w:ascii="Arial" w:cs="Arial" w:eastAsia="Arial" w:hAnsi="Arial"/>
                <w:sz w:val="11"/>
                <w:szCs w:val="11"/>
                <w:color w:val="auto"/>
              </w:rPr>
              <w:t>-  </w:t>
            </w:r>
          </w:p>
        </w:tc>
        <w:tc>
          <w:tcPr>
            <w:tcW w:w="720" w:type="dxa"/>
            <w:vAlign w:val="bottom"/>
            <w:shd w:val="clear" w:color="auto" w:fill="E3F3EE"/>
          </w:tcPr>
          <w:p>
            <w:pPr>
              <w:jc w:val="right"/>
              <w:ind w:right="7"/>
              <w:spacing w:after="0" w:line="120" w:lineRule="exact"/>
              <w:rPr>
                <w:sz w:val="20"/>
                <w:szCs w:val="20"/>
                <w:color w:val="auto"/>
              </w:rPr>
            </w:pPr>
            <w:r>
              <w:rPr>
                <w:rFonts w:ascii="Arial" w:cs="Arial" w:eastAsia="Arial" w:hAnsi="Arial"/>
                <w:sz w:val="11"/>
                <w:szCs w:val="11"/>
                <w:color w:val="auto"/>
              </w:rPr>
              <w:t>(400)</w:t>
            </w:r>
          </w:p>
        </w:tc>
        <w:tc>
          <w:tcPr>
            <w:tcW w:w="0" w:type="dxa"/>
            <w:vAlign w:val="bottom"/>
          </w:tcPr>
          <w:p>
            <w:pPr>
              <w:spacing w:after="0"/>
              <w:rPr>
                <w:sz w:val="1"/>
                <w:szCs w:val="1"/>
                <w:color w:val="auto"/>
              </w:rPr>
            </w:pPr>
          </w:p>
        </w:tc>
      </w:tr>
      <w:tr>
        <w:trPr>
          <w:trHeight w:val="132"/>
        </w:trPr>
        <w:tc>
          <w:tcPr>
            <w:tcW w:w="30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Stock compensation plans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142  </w:t>
            </w:r>
          </w:p>
        </w:tc>
        <w:tc>
          <w:tcPr>
            <w:tcW w:w="7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(90)</w:t>
            </w:r>
          </w:p>
        </w:tc>
        <w:tc>
          <w:tcPr>
            <w:tcW w:w="80" w:type="dxa"/>
            <w:vAlign w:val="bottom"/>
            <w:tcBorders>
              <w:bottom w:val="single" w:sz="8" w:color="auto"/>
            </w:tcBorders>
            <w:shd w:val="clear" w:color="auto" w:fill="E3F3EE"/>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52  </w:t>
            </w: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shd w:val="clear" w:color="auto" w:fill="E3F3EE"/>
          </w:tcPr>
          <w:p>
            <w:pPr>
              <w:spacing w:after="0"/>
              <w:rPr>
                <w:sz w:val="11"/>
                <w:szCs w:val="11"/>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w:t>
            </w:r>
          </w:p>
        </w:tc>
        <w:tc>
          <w:tcPr>
            <w:tcW w:w="980" w:type="dxa"/>
            <w:vAlign w:val="bottom"/>
            <w:tcBorders>
              <w:bottom w:val="single" w:sz="8" w:color="auto"/>
            </w:tcBorders>
          </w:tcPr>
          <w:p>
            <w:pPr>
              <w:ind w:left="840"/>
              <w:spacing w:after="0"/>
              <w:rPr>
                <w:sz w:val="20"/>
                <w:szCs w:val="20"/>
                <w:color w:val="auto"/>
              </w:rPr>
            </w:pPr>
            <w:r>
              <w:rPr>
                <w:rFonts w:ascii="Arial" w:cs="Arial" w:eastAsia="Arial" w:hAnsi="Arial"/>
                <w:sz w:val="11"/>
                <w:szCs w:val="11"/>
                <w:color w:val="auto"/>
              </w:rPr>
              <w:t>-  </w:t>
            </w:r>
          </w:p>
        </w:tc>
        <w:tc>
          <w:tcPr>
            <w:tcW w:w="760" w:type="dxa"/>
            <w:vAlign w:val="bottom"/>
            <w:tcBorders>
              <w:bottom w:val="single" w:sz="8" w:color="auto"/>
            </w:tcBorders>
          </w:tcPr>
          <w:p>
            <w:pPr>
              <w:ind w:left="620"/>
              <w:spacing w:after="0"/>
              <w:rPr>
                <w:sz w:val="20"/>
                <w:szCs w:val="20"/>
                <w:color w:val="auto"/>
              </w:rPr>
            </w:pPr>
            <w:r>
              <w:rPr>
                <w:rFonts w:ascii="Arial" w:cs="Arial" w:eastAsia="Arial" w:hAnsi="Arial"/>
                <w:sz w:val="11"/>
                <w:szCs w:val="11"/>
                <w:color w:val="auto"/>
              </w:rPr>
              <w:t>-  </w:t>
            </w:r>
          </w:p>
        </w:tc>
        <w:tc>
          <w:tcPr>
            <w:tcW w:w="140" w:type="dxa"/>
            <w:vAlign w:val="bottom"/>
            <w:tcBorders>
              <w:bottom w:val="single" w:sz="8" w:color="auto"/>
            </w:tcBorders>
            <w:shd w:val="clear" w:color="auto" w:fill="E3F3EE"/>
          </w:tcPr>
          <w:p>
            <w:pPr>
              <w:spacing w:after="0"/>
              <w:rPr>
                <w:sz w:val="11"/>
                <w:szCs w:val="11"/>
                <w:color w:val="auto"/>
              </w:rPr>
            </w:pPr>
          </w:p>
        </w:tc>
        <w:tc>
          <w:tcPr>
            <w:tcW w:w="900" w:type="dxa"/>
            <w:vAlign w:val="bottom"/>
            <w:tcBorders>
              <w:bottom w:val="single" w:sz="8" w:color="auto"/>
            </w:tcBorders>
          </w:tcPr>
          <w:p>
            <w:pPr>
              <w:ind w:left="760"/>
              <w:spacing w:after="0"/>
              <w:rPr>
                <w:sz w:val="20"/>
                <w:szCs w:val="20"/>
                <w:color w:val="auto"/>
              </w:rPr>
            </w:pPr>
            <w:r>
              <w:rPr>
                <w:rFonts w:ascii="Arial" w:cs="Arial" w:eastAsia="Arial" w:hAnsi="Arial"/>
                <w:sz w:val="11"/>
                <w:szCs w:val="11"/>
                <w:color w:val="auto"/>
              </w:rPr>
              <w: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50  </w:t>
            </w:r>
          </w:p>
        </w:tc>
        <w:tc>
          <w:tcPr>
            <w:tcW w:w="800" w:type="dxa"/>
            <w:vAlign w:val="bottom"/>
            <w:tcBorders>
              <w:bottom w:val="single" w:sz="8" w:color="auto"/>
            </w:tcBorders>
          </w:tcPr>
          <w:p>
            <w:pPr>
              <w:ind w:left="660"/>
              <w:spacing w:after="0"/>
              <w:rPr>
                <w:sz w:val="20"/>
                <w:szCs w:val="20"/>
                <w:color w:val="auto"/>
              </w:rPr>
            </w:pPr>
            <w:r>
              <w:rPr>
                <w:rFonts w:ascii="Arial" w:cs="Arial" w:eastAsia="Arial" w:hAnsi="Arial"/>
                <w:sz w:val="11"/>
                <w:szCs w:val="11"/>
                <w:color w:val="auto"/>
              </w:rPr>
              <w:t>-  </w:t>
            </w:r>
          </w:p>
        </w:tc>
        <w:tc>
          <w:tcPr>
            <w:tcW w:w="720" w:type="dxa"/>
            <w:vAlign w:val="bottom"/>
            <w:tcBorders>
              <w:bottom w:val="single" w:sz="8" w:color="auto"/>
            </w:tcBorders>
            <w:shd w:val="clear" w:color="auto" w:fill="E3F3EE"/>
          </w:tcPr>
          <w:p>
            <w:pPr>
              <w:jc w:val="right"/>
              <w:ind w:right="7"/>
              <w:spacing w:after="0"/>
              <w:rPr>
                <w:sz w:val="20"/>
                <w:szCs w:val="20"/>
                <w:color w:val="auto"/>
              </w:rPr>
            </w:pPr>
            <w:r>
              <w:rPr>
                <w:rFonts w:ascii="Arial" w:cs="Arial" w:eastAsia="Arial" w:hAnsi="Arial"/>
                <w:sz w:val="11"/>
                <w:szCs w:val="11"/>
                <w:color w:val="auto"/>
              </w:rPr>
              <w:t>50  </w:t>
            </w:r>
          </w:p>
        </w:tc>
        <w:tc>
          <w:tcPr>
            <w:tcW w:w="0" w:type="dxa"/>
            <w:vAlign w:val="bottom"/>
          </w:tcPr>
          <w:p>
            <w:pPr>
              <w:spacing w:after="0"/>
              <w:rPr>
                <w:sz w:val="1"/>
                <w:szCs w:val="1"/>
                <w:color w:val="auto"/>
              </w:rPr>
            </w:pPr>
          </w:p>
        </w:tc>
      </w:tr>
      <w:tr>
        <w:trPr>
          <w:trHeight w:val="119"/>
        </w:trPr>
        <w:tc>
          <w:tcPr>
            <w:tcW w:w="3040" w:type="dxa"/>
            <w:vAlign w:val="bottom"/>
            <w:tcBorders>
              <w:bottom w:val="single" w:sz="8" w:color="D64000"/>
            </w:tcBorders>
          </w:tcPr>
          <w:p>
            <w:pPr>
              <w:spacing w:after="0" w:line="113" w:lineRule="exact"/>
              <w:rPr>
                <w:sz w:val="20"/>
                <w:szCs w:val="20"/>
                <w:color w:val="auto"/>
              </w:rPr>
            </w:pPr>
            <w:r>
              <w:rPr>
                <w:rFonts w:ascii="Arial" w:cs="Arial" w:eastAsia="Arial" w:hAnsi="Arial"/>
                <w:sz w:val="11"/>
                <w:szCs w:val="11"/>
                <w:color w:val="auto"/>
              </w:rPr>
              <w:t>Balance, December 31, 2023</w:t>
            </w:r>
          </w:p>
        </w:tc>
        <w:tc>
          <w:tcPr>
            <w:tcW w:w="640" w:type="dxa"/>
            <w:vAlign w:val="bottom"/>
            <w:tcBorders>
              <w:bottom w:val="single" w:sz="8" w:color="D64000"/>
            </w:tcBorders>
          </w:tcPr>
          <w:p>
            <w:pPr>
              <w:jc w:val="right"/>
              <w:spacing w:after="0" w:line="113" w:lineRule="exact"/>
              <w:rPr>
                <w:sz w:val="20"/>
                <w:szCs w:val="20"/>
                <w:color w:val="auto"/>
              </w:rPr>
            </w:pPr>
            <w:r>
              <w:rPr>
                <w:rFonts w:ascii="Arial" w:cs="Arial" w:eastAsia="Arial" w:hAnsi="Arial"/>
                <w:sz w:val="11"/>
                <w:szCs w:val="11"/>
                <w:color w:val="auto"/>
              </w:rPr>
              <w:t>1,901  </w:t>
            </w:r>
          </w:p>
        </w:tc>
        <w:tc>
          <w:tcPr>
            <w:tcW w:w="720" w:type="dxa"/>
            <w:vAlign w:val="bottom"/>
            <w:tcBorders>
              <w:bottom w:val="single" w:sz="8" w:color="D64000"/>
            </w:tcBorders>
          </w:tcPr>
          <w:p>
            <w:pPr>
              <w:ind w:left="360"/>
              <w:spacing w:after="0" w:line="113" w:lineRule="exact"/>
              <w:rPr>
                <w:sz w:val="20"/>
                <w:szCs w:val="20"/>
                <w:color w:val="auto"/>
              </w:rPr>
            </w:pPr>
            <w:r>
              <w:rPr>
                <w:rFonts w:ascii="Arial" w:cs="Arial" w:eastAsia="Arial" w:hAnsi="Arial"/>
                <w:sz w:val="11"/>
                <w:szCs w:val="11"/>
                <w:color w:val="auto"/>
                <w:w w:val="99"/>
              </w:rPr>
              <w:t>1,504  </w:t>
            </w:r>
          </w:p>
        </w:tc>
        <w:tc>
          <w:tcPr>
            <w:tcW w:w="80" w:type="dxa"/>
            <w:vAlign w:val="bottom"/>
            <w:tcBorders>
              <w:bottom w:val="single" w:sz="8" w:color="D64000"/>
            </w:tcBorders>
            <w:shd w:val="clear" w:color="auto" w:fill="E3F3EE"/>
          </w:tcPr>
          <w:p>
            <w:pPr>
              <w:spacing w:after="0"/>
              <w:rPr>
                <w:sz w:val="10"/>
                <w:szCs w:val="10"/>
                <w:color w:val="auto"/>
              </w:rPr>
            </w:pPr>
          </w:p>
        </w:tc>
        <w:tc>
          <w:tcPr>
            <w:tcW w:w="420" w:type="dxa"/>
            <w:vAlign w:val="bottom"/>
            <w:tcBorders>
              <w:bottom w:val="single" w:sz="8" w:color="D64000"/>
            </w:tcBorders>
          </w:tcPr>
          <w:p>
            <w:pPr>
              <w:jc w:val="right"/>
              <w:spacing w:after="0" w:line="113" w:lineRule="exact"/>
              <w:rPr>
                <w:sz w:val="20"/>
                <w:szCs w:val="20"/>
                <w:color w:val="auto"/>
              </w:rPr>
            </w:pPr>
            <w:r>
              <w:rPr>
                <w:rFonts w:ascii="Arial" w:cs="Arial" w:eastAsia="Arial" w:hAnsi="Arial"/>
                <w:sz w:val="11"/>
                <w:szCs w:val="11"/>
                <w:color w:val="auto"/>
              </w:rPr>
              <w:t>3,405  </w:t>
            </w:r>
          </w:p>
        </w:tc>
        <w:tc>
          <w:tcPr>
            <w:tcW w:w="200" w:type="dxa"/>
            <w:vAlign w:val="bottom"/>
            <w:tcBorders>
              <w:bottom w:val="single" w:sz="8" w:color="D64000"/>
            </w:tcBorders>
          </w:tcPr>
          <w:p>
            <w:pPr>
              <w:spacing w:after="0"/>
              <w:rPr>
                <w:sz w:val="10"/>
                <w:szCs w:val="10"/>
                <w:color w:val="auto"/>
              </w:rPr>
            </w:pPr>
          </w:p>
        </w:tc>
        <w:tc>
          <w:tcPr>
            <w:tcW w:w="100" w:type="dxa"/>
            <w:vAlign w:val="bottom"/>
            <w:tcBorders>
              <w:bottom w:val="single" w:sz="8" w:color="D64000"/>
            </w:tcBorders>
            <w:shd w:val="clear" w:color="auto" w:fill="E3F3EE"/>
          </w:tcPr>
          <w:p>
            <w:pPr>
              <w:spacing w:after="0"/>
              <w:rPr>
                <w:sz w:val="10"/>
                <w:szCs w:val="10"/>
                <w:color w:val="auto"/>
              </w:rPr>
            </w:pPr>
          </w:p>
        </w:tc>
        <w:tc>
          <w:tcPr>
            <w:tcW w:w="460" w:type="dxa"/>
            <w:vAlign w:val="bottom"/>
            <w:tcBorders>
              <w:bottom w:val="single" w:sz="8" w:color="D64000"/>
            </w:tcBorders>
          </w:tcPr>
          <w:p>
            <w:pPr>
              <w:jc w:val="right"/>
              <w:spacing w:after="0" w:line="113" w:lineRule="exact"/>
              <w:rPr>
                <w:sz w:val="20"/>
                <w:szCs w:val="20"/>
                <w:color w:val="auto"/>
              </w:rPr>
            </w:pPr>
            <w:r>
              <w:rPr>
                <w:rFonts w:ascii="Arial" w:cs="Arial" w:eastAsia="Arial" w:hAnsi="Arial"/>
                <w:sz w:val="11"/>
                <w:szCs w:val="11"/>
                <w:color w:val="auto"/>
              </w:rPr>
              <w:t>8,680  </w:t>
            </w:r>
          </w:p>
        </w:tc>
        <w:tc>
          <w:tcPr>
            <w:tcW w:w="980" w:type="dxa"/>
            <w:vAlign w:val="bottom"/>
            <w:tcBorders>
              <w:bottom w:val="single" w:sz="8" w:color="D64000"/>
            </w:tcBorders>
          </w:tcPr>
          <w:p>
            <w:pPr>
              <w:ind w:left="760"/>
              <w:spacing w:after="0" w:line="113" w:lineRule="exact"/>
              <w:rPr>
                <w:sz w:val="20"/>
                <w:szCs w:val="20"/>
                <w:color w:val="auto"/>
              </w:rPr>
            </w:pPr>
            <w:r>
              <w:rPr>
                <w:rFonts w:ascii="Arial" w:cs="Arial" w:eastAsia="Arial" w:hAnsi="Arial"/>
                <w:sz w:val="11"/>
                <w:szCs w:val="11"/>
                <w:color w:val="auto"/>
              </w:rPr>
              <w:t>21  </w:t>
            </w:r>
          </w:p>
        </w:tc>
        <w:tc>
          <w:tcPr>
            <w:tcW w:w="760" w:type="dxa"/>
            <w:vAlign w:val="bottom"/>
            <w:tcBorders>
              <w:bottom w:val="single" w:sz="8" w:color="D64000"/>
            </w:tcBorders>
          </w:tcPr>
          <w:p>
            <w:pPr>
              <w:jc w:val="right"/>
              <w:ind w:right="27"/>
              <w:spacing w:after="0" w:line="113" w:lineRule="exact"/>
              <w:rPr>
                <w:sz w:val="20"/>
                <w:szCs w:val="20"/>
                <w:color w:val="auto"/>
              </w:rPr>
            </w:pPr>
            <w:r>
              <w:rPr>
                <w:rFonts w:ascii="Arial" w:cs="Arial" w:eastAsia="Arial" w:hAnsi="Arial"/>
                <w:sz w:val="11"/>
                <w:szCs w:val="11"/>
                <w:color w:val="auto"/>
              </w:rPr>
              <w:t>(1,042)</w:t>
            </w:r>
          </w:p>
        </w:tc>
        <w:tc>
          <w:tcPr>
            <w:tcW w:w="140" w:type="dxa"/>
            <w:vAlign w:val="bottom"/>
            <w:tcBorders>
              <w:bottom w:val="single" w:sz="8" w:color="D64000"/>
            </w:tcBorders>
            <w:shd w:val="clear" w:color="auto" w:fill="E3F3EE"/>
          </w:tcPr>
          <w:p>
            <w:pPr>
              <w:spacing w:after="0"/>
              <w:rPr>
                <w:sz w:val="10"/>
                <w:szCs w:val="10"/>
                <w:color w:val="auto"/>
              </w:rPr>
            </w:pPr>
          </w:p>
        </w:tc>
        <w:tc>
          <w:tcPr>
            <w:tcW w:w="900" w:type="dxa"/>
            <w:vAlign w:val="bottom"/>
            <w:tcBorders>
              <w:bottom w:val="single" w:sz="8" w:color="D64000"/>
            </w:tcBorders>
          </w:tcPr>
          <w:p>
            <w:pPr>
              <w:jc w:val="right"/>
              <w:ind w:right="7"/>
              <w:spacing w:after="0" w:line="113" w:lineRule="exact"/>
              <w:rPr>
                <w:sz w:val="20"/>
                <w:szCs w:val="20"/>
                <w:color w:val="auto"/>
              </w:rPr>
            </w:pPr>
            <w:r>
              <w:rPr>
                <w:rFonts w:ascii="Arial" w:cs="Arial" w:eastAsia="Arial" w:hAnsi="Arial"/>
                <w:sz w:val="11"/>
                <w:szCs w:val="11"/>
                <w:color w:val="auto"/>
              </w:rPr>
              <w:t>(1,021)</w:t>
            </w:r>
          </w:p>
        </w:tc>
        <w:tc>
          <w:tcPr>
            <w:tcW w:w="840" w:type="dxa"/>
            <w:vAlign w:val="bottom"/>
            <w:tcBorders>
              <w:bottom w:val="single" w:sz="8" w:color="D64000"/>
            </w:tcBorders>
          </w:tcPr>
          <w:p>
            <w:pPr>
              <w:jc w:val="right"/>
              <w:spacing w:after="0" w:line="113" w:lineRule="exact"/>
              <w:rPr>
                <w:sz w:val="20"/>
                <w:szCs w:val="20"/>
                <w:color w:val="auto"/>
              </w:rPr>
            </w:pPr>
            <w:r>
              <w:rPr>
                <w:rFonts w:ascii="Arial" w:cs="Arial" w:eastAsia="Arial" w:hAnsi="Arial"/>
                <w:sz w:val="11"/>
                <w:szCs w:val="11"/>
                <w:color w:val="auto"/>
              </w:rPr>
              <w:t>11,064  </w:t>
            </w:r>
          </w:p>
        </w:tc>
        <w:tc>
          <w:tcPr>
            <w:tcW w:w="800" w:type="dxa"/>
            <w:vAlign w:val="bottom"/>
            <w:tcBorders>
              <w:bottom w:val="single" w:sz="8" w:color="D64000"/>
            </w:tcBorders>
          </w:tcPr>
          <w:p>
            <w:pPr>
              <w:ind w:left="660"/>
              <w:spacing w:after="0" w:line="113" w:lineRule="exact"/>
              <w:rPr>
                <w:sz w:val="20"/>
                <w:szCs w:val="20"/>
                <w:color w:val="auto"/>
              </w:rPr>
            </w:pPr>
            <w:r>
              <w:rPr>
                <w:rFonts w:ascii="Arial" w:cs="Arial" w:eastAsia="Arial" w:hAnsi="Arial"/>
                <w:sz w:val="11"/>
                <w:szCs w:val="11"/>
                <w:color w:val="auto"/>
              </w:rPr>
              <w:t>-  </w:t>
            </w:r>
          </w:p>
        </w:tc>
        <w:tc>
          <w:tcPr>
            <w:tcW w:w="720" w:type="dxa"/>
            <w:vAlign w:val="bottom"/>
            <w:tcBorders>
              <w:bottom w:val="single" w:sz="8" w:color="D64000"/>
            </w:tcBorders>
            <w:shd w:val="clear" w:color="auto" w:fill="E3F3EE"/>
          </w:tcPr>
          <w:p>
            <w:pPr>
              <w:jc w:val="right"/>
              <w:ind w:right="7"/>
              <w:spacing w:after="0" w:line="113" w:lineRule="exact"/>
              <w:rPr>
                <w:sz w:val="20"/>
                <w:szCs w:val="20"/>
                <w:color w:val="auto"/>
              </w:rPr>
            </w:pPr>
            <w:r>
              <w:rPr>
                <w:rFonts w:ascii="Arial" w:cs="Arial" w:eastAsia="Arial" w:hAnsi="Arial"/>
                <w:sz w:val="11"/>
                <w:szCs w:val="11"/>
                <w:color w:val="auto"/>
              </w:rPr>
              <w:t>11,064 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2990850</wp:posOffset>
            </wp:positionH>
            <wp:positionV relativeFrom="paragraph">
              <wp:posOffset>-798830</wp:posOffset>
            </wp:positionV>
            <wp:extent cx="260985" cy="7905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60985" cy="790575"/>
                    </a:xfrm>
                    <a:prstGeom prst="rect">
                      <a:avLst/>
                    </a:prstGeom>
                    <a:noFill/>
                  </pic:spPr>
                </pic:pic>
              </a:graphicData>
            </a:graphic>
          </wp:anchor>
        </w:drawing>
        <w:drawing>
          <wp:anchor simplePos="0" relativeHeight="251657728" behindDoc="1" locked="0" layoutInCell="0" allowOverlap="1">
            <wp:simplePos x="0" y="0"/>
            <wp:positionH relativeFrom="column">
              <wp:posOffset>3436620</wp:posOffset>
            </wp:positionH>
            <wp:positionV relativeFrom="paragraph">
              <wp:posOffset>-798830</wp:posOffset>
            </wp:positionV>
            <wp:extent cx="302895" cy="7905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02895" cy="79057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-798830</wp:posOffset>
            </wp:positionV>
            <wp:extent cx="572135" cy="7905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72135" cy="790575"/>
                    </a:xfrm>
                    <a:prstGeom prst="rect">
                      <a:avLst/>
                    </a:prstGeom>
                    <a:noFill/>
                  </pic:spPr>
                </pic:pic>
              </a:graphicData>
            </a:graphic>
          </wp:anchor>
        </w:drawing>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related notes form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116840</wp:posOffset>
            </wp:positionV>
            <wp:extent cx="68656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82"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88</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298" w:lineRule="exact"/>
        <w:rPr>
          <w:sz w:val="20"/>
          <w:szCs w:val="20"/>
          <w:color w:val="auto"/>
        </w:rPr>
      </w:pPr>
    </w:p>
    <w:p>
      <w:pPr>
        <w:ind w:left="220"/>
        <w:spacing w:after="0"/>
        <w:rPr>
          <w:sz w:val="20"/>
          <w:szCs w:val="20"/>
          <w:color w:val="auto"/>
        </w:rPr>
      </w:pPr>
      <w:r>
        <w:rPr>
          <w:rFonts w:ascii="Arial" w:cs="Arial" w:eastAsia="Arial" w:hAnsi="Arial"/>
          <w:sz w:val="28"/>
          <w:szCs w:val="28"/>
          <w:b w:val="1"/>
          <w:bCs w:val="1"/>
          <w:color w:val="auto"/>
        </w:rPr>
        <w:t>Thomson Reuters Corporation</w:t>
      </w:r>
    </w:p>
    <w:p>
      <w:pPr>
        <w:spacing w:after="0" w:line="6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Notes to Consolidated Financial Statements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(unless otherwise stated, all amounts are in millions of U.S. dollars)</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Note 1: Summary of Business and Material Accounting Policies</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7"/>
          <w:szCs w:val="17"/>
          <w:b w:val="1"/>
          <w:bCs w:val="1"/>
          <w:u w:val="single" w:color="auto"/>
          <w:color w:val="auto"/>
        </w:rPr>
        <w:t>General business description</w:t>
      </w:r>
    </w:p>
    <w:p>
      <w:pPr>
        <w:spacing w:after="0" w:line="34" w:lineRule="exact"/>
        <w:rPr>
          <w:sz w:val="20"/>
          <w:szCs w:val="20"/>
          <w:color w:val="auto"/>
        </w:rPr>
      </w:pPr>
    </w:p>
    <w:p>
      <w:pPr>
        <w:ind w:left="220" w:right="60"/>
        <w:spacing w:after="0" w:line="237" w:lineRule="auto"/>
        <w:rPr>
          <w:sz w:val="20"/>
          <w:szCs w:val="20"/>
          <w:color w:val="auto"/>
        </w:rPr>
      </w:pPr>
      <w:r>
        <w:rPr>
          <w:rFonts w:ascii="Arial" w:cs="Arial" w:eastAsia="Arial" w:hAnsi="Arial"/>
          <w:sz w:val="17"/>
          <w:szCs w:val="17"/>
          <w:color w:val="auto"/>
        </w:rPr>
        <w:t>Thomson Reuters Corporation is an Ontario, Canada corporation with common shares listed on the Toronto Stock Exchange (“TSX”) and on the U.S. stock exchange, Nasdaq Global Select Market (“Nasdaq”), under the ticker symbol “TRI” and its Series II preference shares are listed on the TSX. On February 25, 2025, Thomson Reuters Corporation voluntarily transferred its U.S. stock exchange listing to the Nasdaq from the New York Stock Exchange (“NYSE”) (see note 33).</w:t>
      </w:r>
    </w:p>
    <w:p>
      <w:pPr>
        <w:spacing w:after="0" w:line="71" w:lineRule="exact"/>
        <w:rPr>
          <w:sz w:val="20"/>
          <w:szCs w:val="20"/>
          <w:color w:val="auto"/>
        </w:rPr>
      </w:pPr>
    </w:p>
    <w:p>
      <w:pPr>
        <w:ind w:left="220" w:right="640"/>
        <w:spacing w:after="0" w:line="260" w:lineRule="auto"/>
        <w:rPr>
          <w:sz w:val="20"/>
          <w:szCs w:val="20"/>
          <w:color w:val="auto"/>
        </w:rPr>
      </w:pPr>
      <w:r>
        <w:rPr>
          <w:rFonts w:ascii="Arial" w:cs="Arial" w:eastAsia="Arial" w:hAnsi="Arial"/>
          <w:sz w:val="17"/>
          <w:szCs w:val="17"/>
          <w:color w:val="auto"/>
        </w:rPr>
        <w:t>Unless otherwise indicated or the context otherwise requires, references in these consolidated financial statements to the “Company” and “Thomson Reuters” are to Thomson Reuters Corporation and its subsidiaries.</w:t>
      </w:r>
    </w:p>
    <w:p>
      <w:pPr>
        <w:spacing w:after="0" w:line="53" w:lineRule="exact"/>
        <w:rPr>
          <w:sz w:val="20"/>
          <w:szCs w:val="20"/>
          <w:color w:val="auto"/>
        </w:rPr>
      </w:pPr>
    </w:p>
    <w:p>
      <w:pPr>
        <w:ind w:left="220" w:right="240"/>
        <w:spacing w:after="0" w:line="238" w:lineRule="auto"/>
        <w:rPr>
          <w:sz w:val="20"/>
          <w:szCs w:val="20"/>
          <w:color w:val="auto"/>
        </w:rPr>
      </w:pPr>
      <w:r>
        <w:rPr>
          <w:rFonts w:ascii="Arial" w:cs="Arial" w:eastAsia="Arial" w:hAnsi="Arial"/>
          <w:sz w:val="17"/>
          <w:szCs w:val="17"/>
          <w:color w:val="auto"/>
        </w:rPr>
        <w:t>The Company serves professionals across legal, tax, accounting, compliance, government, and media. Its products combine highly specialized software and insights to empower professionals with the data, intelligence, and solutions needed to make informed decisions, and to help institutions in their pursuit of justice, truth and transparency. Reuters, part of Thomson Reuters, is a world leading provider of trusted journalism and news.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These consolidated financial statements were approved by the Company’s board of directors on March 5, 2025.</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7"/>
          <w:szCs w:val="17"/>
          <w:b w:val="1"/>
          <w:bCs w:val="1"/>
          <w:u w:val="single" w:color="auto"/>
          <w:color w:val="auto"/>
        </w:rPr>
        <w:t>Basis of preparation</w:t>
      </w:r>
    </w:p>
    <w:p>
      <w:pPr>
        <w:spacing w:after="0" w:line="33" w:lineRule="exact"/>
        <w:rPr>
          <w:sz w:val="20"/>
          <w:szCs w:val="20"/>
          <w:color w:val="auto"/>
        </w:rPr>
      </w:pPr>
    </w:p>
    <w:p>
      <w:pPr>
        <w:jc w:val="both"/>
        <w:ind w:left="220" w:right="40"/>
        <w:spacing w:after="0" w:line="236" w:lineRule="auto"/>
        <w:rPr>
          <w:sz w:val="20"/>
          <w:szCs w:val="20"/>
          <w:color w:val="auto"/>
        </w:rPr>
      </w:pPr>
      <w:r>
        <w:rPr>
          <w:rFonts w:ascii="Arial" w:cs="Arial" w:eastAsia="Arial" w:hAnsi="Arial"/>
          <w:sz w:val="17"/>
          <w:szCs w:val="17"/>
          <w:color w:val="auto"/>
        </w:rPr>
        <w:t>These consolidated financial statements were prepared in accordance with International Financial Reporting Standards (“IFRS”), as issued by the International Accounting Standards Board (“IASB”), on a going concern basis, under the historical cost convention, as modified by the revaluation of financial assets and financial liabilities (including derivative instruments) at fair value.</w:t>
      </w:r>
    </w:p>
    <w:p>
      <w:pPr>
        <w:spacing w:after="0" w:line="70" w:lineRule="exact"/>
        <w:rPr>
          <w:sz w:val="20"/>
          <w:szCs w:val="20"/>
          <w:color w:val="auto"/>
        </w:rPr>
      </w:pPr>
    </w:p>
    <w:p>
      <w:pPr>
        <w:ind w:left="220" w:right="340"/>
        <w:spacing w:after="0" w:line="243" w:lineRule="auto"/>
        <w:rPr>
          <w:sz w:val="20"/>
          <w:szCs w:val="20"/>
          <w:color w:val="auto"/>
        </w:rPr>
      </w:pPr>
      <w:r>
        <w:rPr>
          <w:rFonts w:ascii="Arial" w:cs="Arial" w:eastAsia="Arial" w:hAnsi="Arial"/>
          <w:sz w:val="17"/>
          <w:szCs w:val="17"/>
          <w:color w:val="auto"/>
        </w:rPr>
        <w:t>The preparation of financial statements in accordance with IFRS requires the use of certain critical accounting estimates. It also requires management to exercise judgment in applying the Company’s accounting policies. The areas involving more judgment or complexity, or areas where assumptions and estimates are significant to the consolidated financial statements are disclosed in note 2.</w:t>
      </w:r>
    </w:p>
    <w:p>
      <w:pPr>
        <w:spacing w:after="0" w:line="69" w:lineRule="exact"/>
        <w:rPr>
          <w:sz w:val="20"/>
          <w:szCs w:val="20"/>
          <w:color w:val="auto"/>
        </w:rPr>
      </w:pPr>
    </w:p>
    <w:p>
      <w:pPr>
        <w:ind w:left="220" w:right="100"/>
        <w:spacing w:after="0" w:line="275" w:lineRule="auto"/>
        <w:rPr>
          <w:sz w:val="20"/>
          <w:szCs w:val="20"/>
          <w:color w:val="auto"/>
        </w:rPr>
      </w:pPr>
      <w:r>
        <w:rPr>
          <w:rFonts w:ascii="Arial" w:cs="Arial" w:eastAsia="Arial" w:hAnsi="Arial"/>
          <w:sz w:val="17"/>
          <w:szCs w:val="17"/>
          <w:color w:val="auto"/>
        </w:rPr>
        <w:t>References to “$” are to U.S. dollars, references to “C$” are to Canadian dollars, references to “£” are to British pounds sterling, references to “</w:t>
      </w:r>
      <w:r>
        <w:rPr>
          <w:rFonts w:ascii="Times New Roman" w:cs="Times New Roman" w:eastAsia="Times New Roman" w:hAnsi="Times New Roman"/>
          <w:sz w:val="17"/>
          <w:szCs w:val="17"/>
          <w:color w:val="auto"/>
        </w:rPr>
        <w:t>€</w:t>
      </w:r>
      <w:r>
        <w:rPr>
          <w:rFonts w:ascii="Arial" w:cs="Arial" w:eastAsia="Arial" w:hAnsi="Arial"/>
          <w:sz w:val="17"/>
          <w:szCs w:val="17"/>
          <w:color w:val="auto"/>
        </w:rPr>
        <w:t>” are to Euros and references to SEK are to Swedish Kronor.</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b w:val="1"/>
          <w:bCs w:val="1"/>
          <w:u w:val="single" w:color="auto"/>
          <w:color w:val="auto"/>
        </w:rPr>
        <w:t>Principles of consolidation</w:t>
      </w:r>
    </w:p>
    <w:p>
      <w:pPr>
        <w:spacing w:after="0" w:line="3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consolidated financial statements of the Company include the accounts of all its subsidiaries.</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Subsidiaries</w:t>
      </w:r>
    </w:p>
    <w:p>
      <w:pPr>
        <w:spacing w:after="0" w:line="6" w:lineRule="exact"/>
        <w:rPr>
          <w:sz w:val="20"/>
          <w:szCs w:val="20"/>
          <w:color w:val="auto"/>
        </w:rPr>
      </w:pPr>
    </w:p>
    <w:p>
      <w:pPr>
        <w:ind w:left="220" w:right="120"/>
        <w:spacing w:after="0" w:line="227" w:lineRule="auto"/>
        <w:rPr>
          <w:sz w:val="20"/>
          <w:szCs w:val="20"/>
          <w:color w:val="auto"/>
        </w:rPr>
      </w:pPr>
      <w:r>
        <w:rPr>
          <w:rFonts w:ascii="Arial" w:cs="Arial" w:eastAsia="Arial" w:hAnsi="Arial"/>
          <w:sz w:val="17"/>
          <w:szCs w:val="17"/>
          <w:color w:val="auto"/>
        </w:rPr>
        <w:t>Subsidiaries are entities over which the Company has control, where control is defined as having power over the investee, exposure, or rights, to variable returns from involvement with the investee, and the ability to use the power over the investee to affect the amount of those</w:t>
      </w:r>
    </w:p>
    <w:p>
      <w:pPr>
        <w:spacing w:after="0" w:line="1" w:lineRule="exact"/>
        <w:rPr>
          <w:sz w:val="20"/>
          <w:szCs w:val="20"/>
          <w:color w:val="auto"/>
        </w:rPr>
      </w:pPr>
    </w:p>
    <w:p>
      <w:pPr>
        <w:ind w:left="220" w:right="200"/>
        <w:spacing w:after="0"/>
        <w:rPr>
          <w:sz w:val="20"/>
          <w:szCs w:val="20"/>
          <w:color w:val="auto"/>
        </w:rPr>
      </w:pPr>
      <w:r>
        <w:rPr>
          <w:rFonts w:ascii="Arial" w:cs="Arial" w:eastAsia="Arial" w:hAnsi="Arial"/>
          <w:sz w:val="17"/>
          <w:szCs w:val="17"/>
          <w:color w:val="auto"/>
        </w:rPr>
        <w:t>returns. Generally, the Company has a shareholding of more than 50% of the voting rights in its subsidiaries. Subsidiaries are fully consolidated from the date control is transferred to the Company and are de-consolidated from the date control ceases.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generally uses cash rather than equity to acquire subsidiaries and applies the acquisition method of accounting as follows:</w:t>
      </w:r>
    </w:p>
    <w:p>
      <w:pPr>
        <w:spacing w:after="0" w:line="109" w:lineRule="exact"/>
        <w:rPr>
          <w:sz w:val="20"/>
          <w:szCs w:val="20"/>
          <w:color w:val="auto"/>
        </w:rPr>
      </w:pPr>
    </w:p>
    <w:p>
      <w:pPr>
        <w:ind w:left="640" w:right="420" w:hanging="422"/>
        <w:spacing w:after="0" w:line="245" w:lineRule="auto"/>
        <w:tabs>
          <w:tab w:leader="none" w:pos="640" w:val="left"/>
        </w:tabs>
        <w:numPr>
          <w:ilvl w:val="0"/>
          <w:numId w:val="75"/>
        </w:numPr>
        <w:rPr>
          <w:rFonts w:ascii="Arial" w:cs="Arial" w:eastAsia="Arial" w:hAnsi="Arial"/>
          <w:sz w:val="17"/>
          <w:szCs w:val="17"/>
          <w:color w:val="D64000"/>
        </w:rPr>
      </w:pPr>
      <w:r>
        <w:rPr>
          <w:rFonts w:ascii="Arial" w:cs="Arial" w:eastAsia="Arial" w:hAnsi="Arial"/>
          <w:sz w:val="17"/>
          <w:szCs w:val="17"/>
          <w:color w:val="auto"/>
        </w:rPr>
        <w:t>Acquisition cost is measured as the fair value of the assets given and liabilities incurred or assumed at the date of exchange, excluding transaction costs which are expensed as incurred;</w:t>
      </w:r>
    </w:p>
    <w:p>
      <w:pPr>
        <w:spacing w:after="0" w:line="1" w:lineRule="exact"/>
        <w:rPr>
          <w:rFonts w:ascii="Arial" w:cs="Arial" w:eastAsia="Arial" w:hAnsi="Arial"/>
          <w:sz w:val="17"/>
          <w:szCs w:val="17"/>
          <w:color w:val="D64000"/>
        </w:rPr>
      </w:pPr>
    </w:p>
    <w:p>
      <w:pPr>
        <w:ind w:left="640" w:hanging="422"/>
        <w:spacing w:after="0"/>
        <w:tabs>
          <w:tab w:leader="none" w:pos="640" w:val="left"/>
        </w:tabs>
        <w:numPr>
          <w:ilvl w:val="0"/>
          <w:numId w:val="75"/>
        </w:numPr>
        <w:rPr>
          <w:rFonts w:ascii="Arial" w:cs="Arial" w:eastAsia="Arial" w:hAnsi="Arial"/>
          <w:sz w:val="17"/>
          <w:szCs w:val="17"/>
          <w:color w:val="D64000"/>
        </w:rPr>
      </w:pPr>
      <w:r>
        <w:rPr>
          <w:rFonts w:ascii="Arial" w:cs="Arial" w:eastAsia="Arial" w:hAnsi="Arial"/>
          <w:sz w:val="17"/>
          <w:szCs w:val="17"/>
          <w:color w:val="auto"/>
        </w:rPr>
        <w:t>Identifiable assets acquired and liabilities assumed are measured at their fair values at the acquisition date;</w:t>
      </w:r>
    </w:p>
    <w:p>
      <w:pPr>
        <w:spacing w:after="0" w:line="3" w:lineRule="exact"/>
        <w:rPr>
          <w:rFonts w:ascii="Arial" w:cs="Arial" w:eastAsia="Arial" w:hAnsi="Arial"/>
          <w:sz w:val="17"/>
          <w:szCs w:val="17"/>
          <w:color w:val="D64000"/>
        </w:rPr>
      </w:pPr>
    </w:p>
    <w:p>
      <w:pPr>
        <w:ind w:left="640" w:hanging="422"/>
        <w:spacing w:after="0"/>
        <w:tabs>
          <w:tab w:leader="none" w:pos="640" w:val="left"/>
        </w:tabs>
        <w:numPr>
          <w:ilvl w:val="0"/>
          <w:numId w:val="75"/>
        </w:numPr>
        <w:rPr>
          <w:rFonts w:ascii="Arial" w:cs="Arial" w:eastAsia="Arial" w:hAnsi="Arial"/>
          <w:sz w:val="17"/>
          <w:szCs w:val="17"/>
          <w:color w:val="D64000"/>
        </w:rPr>
      </w:pPr>
      <w:r>
        <w:rPr>
          <w:rFonts w:ascii="Arial" w:cs="Arial" w:eastAsia="Arial" w:hAnsi="Arial"/>
          <w:sz w:val="17"/>
          <w:szCs w:val="17"/>
          <w:color w:val="auto"/>
        </w:rPr>
        <w:t>The excess of acquisition cost over the fair value of the identifiable net assets acquired is recorded as goodwill; and</w:t>
      </w:r>
    </w:p>
    <w:p>
      <w:pPr>
        <w:spacing w:after="0" w:line="3" w:lineRule="exact"/>
        <w:rPr>
          <w:rFonts w:ascii="Arial" w:cs="Arial" w:eastAsia="Arial" w:hAnsi="Arial"/>
          <w:sz w:val="17"/>
          <w:szCs w:val="17"/>
          <w:color w:val="D64000"/>
        </w:rPr>
      </w:pPr>
    </w:p>
    <w:p>
      <w:pPr>
        <w:ind w:left="640" w:right="220" w:hanging="422"/>
        <w:spacing w:after="0"/>
        <w:tabs>
          <w:tab w:leader="none" w:pos="640" w:val="left"/>
        </w:tabs>
        <w:numPr>
          <w:ilvl w:val="0"/>
          <w:numId w:val="75"/>
        </w:numPr>
        <w:rPr>
          <w:rFonts w:ascii="Arial" w:cs="Arial" w:eastAsia="Arial" w:hAnsi="Arial"/>
          <w:sz w:val="17"/>
          <w:szCs w:val="17"/>
          <w:color w:val="D64000"/>
        </w:rPr>
      </w:pPr>
      <w:r>
        <w:rPr>
          <w:rFonts w:ascii="Arial" w:cs="Arial" w:eastAsia="Arial" w:hAnsi="Arial"/>
          <w:sz w:val="17"/>
          <w:szCs w:val="17"/>
          <w:color w:val="auto"/>
        </w:rPr>
        <w:t>Contingent cash consideration, a financial liability, is measured at fair value on the acquisition date, with subsequent changes in fair value recorded through the consolidated income statement.</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Intercompany transactions between subsidiaries are eliminated in consolidation.</w:t>
      </w:r>
    </w:p>
    <w:p>
      <w:pPr>
        <w:spacing w:after="0" w:line="96" w:lineRule="exact"/>
        <w:rPr>
          <w:sz w:val="20"/>
          <w:szCs w:val="20"/>
          <w:color w:val="auto"/>
        </w:rPr>
      </w:pPr>
    </w:p>
    <w:p>
      <w:pPr>
        <w:ind w:left="220" w:right="40"/>
        <w:spacing w:after="0" w:line="238" w:lineRule="auto"/>
        <w:rPr>
          <w:sz w:val="20"/>
          <w:szCs w:val="20"/>
          <w:color w:val="auto"/>
        </w:rPr>
      </w:pPr>
      <w:r>
        <w:rPr>
          <w:rFonts w:ascii="Arial" w:cs="Arial" w:eastAsia="Arial" w:hAnsi="Arial"/>
          <w:sz w:val="17"/>
          <w:szCs w:val="17"/>
          <w:color w:val="auto"/>
        </w:rPr>
        <w:t>Non-controlling interests represent third party shareholdings in a subsidiary controlled by the Company. Non-controlling interests are measured at fair value on the date acquired plus their proportionate share of subsequent changes in equity. The purchase of the remaining ownership interests from third-party shareholders are recorded directly in equity and are presented in financing activities within the consolidated statement of cash flow.</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Equity method investees</w:t>
      </w:r>
    </w:p>
    <w:p>
      <w:pPr>
        <w:spacing w:after="0" w:line="6" w:lineRule="exact"/>
        <w:rPr>
          <w:sz w:val="20"/>
          <w:szCs w:val="20"/>
          <w:color w:val="auto"/>
        </w:rPr>
      </w:pPr>
    </w:p>
    <w:p>
      <w:pPr>
        <w:ind w:left="220" w:right="100"/>
        <w:spacing w:after="0" w:line="236" w:lineRule="auto"/>
        <w:rPr>
          <w:sz w:val="20"/>
          <w:szCs w:val="20"/>
          <w:color w:val="auto"/>
        </w:rPr>
      </w:pPr>
      <w:r>
        <w:rPr>
          <w:rFonts w:ascii="Arial" w:cs="Arial" w:eastAsia="Arial" w:hAnsi="Arial"/>
          <w:sz w:val="17"/>
          <w:szCs w:val="17"/>
          <w:color w:val="auto"/>
        </w:rPr>
        <w:t>Equity method investees are entities over which the Company has significant influence, but not control. Generally, the Company has a shareholding of between 20% and 50% of the voting rights in its equity method investees. Investments in equity method investees are accounted for using the equity method as follows:</w:t>
      </w:r>
    </w:p>
    <w:p>
      <w:pPr>
        <w:spacing w:after="0" w:line="83" w:lineRule="exact"/>
        <w:rPr>
          <w:sz w:val="20"/>
          <w:szCs w:val="20"/>
          <w:color w:val="auto"/>
        </w:rPr>
      </w:pPr>
    </w:p>
    <w:p>
      <w:pPr>
        <w:ind w:left="640" w:hanging="422"/>
        <w:spacing w:after="0"/>
        <w:tabs>
          <w:tab w:leader="none" w:pos="640" w:val="left"/>
        </w:tabs>
        <w:numPr>
          <w:ilvl w:val="0"/>
          <w:numId w:val="76"/>
        </w:numPr>
        <w:rPr>
          <w:rFonts w:ascii="Arial" w:cs="Arial" w:eastAsia="Arial" w:hAnsi="Arial"/>
          <w:sz w:val="17"/>
          <w:szCs w:val="17"/>
          <w:color w:val="D64000"/>
        </w:rPr>
      </w:pPr>
      <w:r>
        <w:rPr>
          <w:rFonts w:ascii="Arial" w:cs="Arial" w:eastAsia="Arial" w:hAnsi="Arial"/>
          <w:sz w:val="17"/>
          <w:szCs w:val="17"/>
          <w:color w:val="auto"/>
        </w:rPr>
        <w:t>Investments are initially recognized at cost and are reported in the consolidated statement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108585</wp:posOffset>
            </wp:positionV>
            <wp:extent cx="68656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82"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89</w:t>
      </w:r>
    </w:p>
    <w:p>
      <w:pPr>
        <w:sectPr>
          <w:pgSz w:w="11900" w:h="16838" w:orient="portrait"/>
          <w:cols w:equalWidth="0" w:num="1">
            <w:col w:w="11040"/>
          </w:cols>
          <w:pgMar w:left="320" w:top="477" w:right="5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640" w:right="160" w:hanging="422"/>
        <w:spacing w:after="0" w:line="239" w:lineRule="auto"/>
        <w:tabs>
          <w:tab w:leader="none" w:pos="640" w:val="left"/>
        </w:tabs>
        <w:numPr>
          <w:ilvl w:val="0"/>
          <w:numId w:val="77"/>
        </w:numPr>
        <w:rPr>
          <w:rFonts w:ascii="Arial" w:cs="Arial" w:eastAsia="Arial" w:hAnsi="Arial"/>
          <w:sz w:val="17"/>
          <w:szCs w:val="17"/>
          <w:color w:val="D64000"/>
        </w:rPr>
      </w:pPr>
      <w:r>
        <w:rPr>
          <w:rFonts w:ascii="Arial" w:cs="Arial" w:eastAsia="Arial" w:hAnsi="Arial"/>
          <w:sz w:val="17"/>
          <w:szCs w:val="17"/>
          <w:color w:val="auto"/>
        </w:rPr>
        <w:t>The Company’s share of post-acquisition profits or losses is recognized in the consolidated income statement and the Company’s share of other comprehensive income or losses is recognized in the consolidated statement of comprehensive income, and both are adjusted against the carrying amount of the investments;</w:t>
      </w:r>
    </w:p>
    <w:p>
      <w:pPr>
        <w:spacing w:after="0" w:line="1" w:lineRule="exact"/>
        <w:rPr>
          <w:rFonts w:ascii="Arial" w:cs="Arial" w:eastAsia="Arial" w:hAnsi="Arial"/>
          <w:sz w:val="17"/>
          <w:szCs w:val="17"/>
          <w:color w:val="D64000"/>
        </w:rPr>
      </w:pPr>
    </w:p>
    <w:p>
      <w:pPr>
        <w:ind w:left="640" w:right="100" w:hanging="422"/>
        <w:spacing w:after="0" w:line="235" w:lineRule="auto"/>
        <w:tabs>
          <w:tab w:leader="none" w:pos="640" w:val="left"/>
        </w:tabs>
        <w:numPr>
          <w:ilvl w:val="0"/>
          <w:numId w:val="77"/>
        </w:numPr>
        <w:rPr>
          <w:rFonts w:ascii="Arial" w:cs="Arial" w:eastAsia="Arial" w:hAnsi="Arial"/>
          <w:sz w:val="17"/>
          <w:szCs w:val="17"/>
          <w:color w:val="D64000"/>
        </w:rPr>
      </w:pPr>
      <w:r>
        <w:rPr>
          <w:rFonts w:ascii="Arial" w:cs="Arial" w:eastAsia="Arial" w:hAnsi="Arial"/>
          <w:sz w:val="17"/>
          <w:szCs w:val="17"/>
          <w:color w:val="auto"/>
        </w:rPr>
        <w:t>When the Company’s share of losses equals or exceeds its interest in the investee, the Company does not recognize further losses, unless it has incurred obligations or made payments on behalf of the investee;</w:t>
      </w:r>
    </w:p>
    <w:p>
      <w:pPr>
        <w:spacing w:after="0" w:line="1" w:lineRule="exact"/>
        <w:rPr>
          <w:rFonts w:ascii="Arial" w:cs="Arial" w:eastAsia="Arial" w:hAnsi="Arial"/>
          <w:sz w:val="17"/>
          <w:szCs w:val="17"/>
          <w:color w:val="D64000"/>
        </w:rPr>
      </w:pPr>
    </w:p>
    <w:p>
      <w:pPr>
        <w:ind w:left="640" w:right="380" w:hanging="422"/>
        <w:spacing w:after="0" w:line="235" w:lineRule="auto"/>
        <w:tabs>
          <w:tab w:leader="none" w:pos="640" w:val="left"/>
        </w:tabs>
        <w:numPr>
          <w:ilvl w:val="0"/>
          <w:numId w:val="77"/>
        </w:numPr>
        <w:rPr>
          <w:rFonts w:ascii="Arial" w:cs="Arial" w:eastAsia="Arial" w:hAnsi="Arial"/>
          <w:sz w:val="17"/>
          <w:szCs w:val="17"/>
          <w:color w:val="D64000"/>
        </w:rPr>
      </w:pPr>
      <w:r>
        <w:rPr>
          <w:rFonts w:ascii="Arial" w:cs="Arial" w:eastAsia="Arial" w:hAnsi="Arial"/>
          <w:sz w:val="17"/>
          <w:szCs w:val="17"/>
          <w:color w:val="auto"/>
        </w:rPr>
        <w:t>Gains and losses on transactions between the Company and its equity method investees are eliminated to the extent of the Company’s interest in these entities;</w:t>
      </w:r>
    </w:p>
    <w:p>
      <w:pPr>
        <w:spacing w:after="0" w:line="1" w:lineRule="exact"/>
        <w:rPr>
          <w:rFonts w:ascii="Arial" w:cs="Arial" w:eastAsia="Arial" w:hAnsi="Arial"/>
          <w:sz w:val="17"/>
          <w:szCs w:val="17"/>
          <w:color w:val="D64000"/>
        </w:rPr>
      </w:pPr>
    </w:p>
    <w:p>
      <w:pPr>
        <w:ind w:left="640" w:right="400" w:hanging="422"/>
        <w:spacing w:after="0" w:line="235" w:lineRule="auto"/>
        <w:tabs>
          <w:tab w:leader="none" w:pos="640" w:val="left"/>
        </w:tabs>
        <w:numPr>
          <w:ilvl w:val="0"/>
          <w:numId w:val="77"/>
        </w:numPr>
        <w:rPr>
          <w:rFonts w:ascii="Arial" w:cs="Arial" w:eastAsia="Arial" w:hAnsi="Arial"/>
          <w:sz w:val="17"/>
          <w:szCs w:val="17"/>
          <w:color w:val="D64000"/>
        </w:rPr>
      </w:pPr>
      <w:r>
        <w:rPr>
          <w:rFonts w:ascii="Arial" w:cs="Arial" w:eastAsia="Arial" w:hAnsi="Arial"/>
          <w:sz w:val="17"/>
          <w:szCs w:val="17"/>
          <w:color w:val="auto"/>
        </w:rPr>
        <w:t>Dividends received or receivable from equity method investees are recognized as a reduction in the carrying amount of the investment. Dividends received are included within the investing activities section of the consolidated statement of cash flow; and</w:t>
      </w:r>
    </w:p>
    <w:p>
      <w:pPr>
        <w:spacing w:after="0" w:line="1" w:lineRule="exact"/>
        <w:rPr>
          <w:rFonts w:ascii="Arial" w:cs="Arial" w:eastAsia="Arial" w:hAnsi="Arial"/>
          <w:sz w:val="17"/>
          <w:szCs w:val="17"/>
          <w:color w:val="D64000"/>
        </w:rPr>
      </w:pPr>
    </w:p>
    <w:p>
      <w:pPr>
        <w:ind w:left="640" w:right="140" w:hanging="422"/>
        <w:spacing w:after="0"/>
        <w:tabs>
          <w:tab w:leader="none" w:pos="640" w:val="left"/>
        </w:tabs>
        <w:numPr>
          <w:ilvl w:val="0"/>
          <w:numId w:val="77"/>
        </w:numPr>
        <w:rPr>
          <w:rFonts w:ascii="Arial" w:cs="Arial" w:eastAsia="Arial" w:hAnsi="Arial"/>
          <w:sz w:val="17"/>
          <w:szCs w:val="17"/>
          <w:color w:val="D64000"/>
        </w:rPr>
      </w:pPr>
      <w:r>
        <w:rPr>
          <w:rFonts w:ascii="Arial" w:cs="Arial" w:eastAsia="Arial" w:hAnsi="Arial"/>
          <w:sz w:val="17"/>
          <w:szCs w:val="17"/>
          <w:color w:val="auto"/>
        </w:rPr>
        <w:t>Equity method investees are assessed for impairment whenever events or changes in circumstances indicate that their carrying value may not be recoverable and at the end of each reporting period for indicators of impairment.</w:t>
      </w:r>
    </w:p>
    <w:p>
      <w:pPr>
        <w:spacing w:after="0" w:line="70" w:lineRule="exact"/>
        <w:rPr>
          <w:sz w:val="20"/>
          <w:szCs w:val="20"/>
          <w:color w:val="auto"/>
        </w:rPr>
      </w:pPr>
    </w:p>
    <w:p>
      <w:pPr>
        <w:ind w:left="220" w:right="760"/>
        <w:spacing w:after="0" w:line="260" w:lineRule="auto"/>
        <w:rPr>
          <w:sz w:val="20"/>
          <w:szCs w:val="20"/>
          <w:color w:val="auto"/>
        </w:rPr>
      </w:pPr>
      <w:r>
        <w:rPr>
          <w:rFonts w:ascii="Arial" w:cs="Arial" w:eastAsia="Arial" w:hAnsi="Arial"/>
          <w:sz w:val="17"/>
          <w:szCs w:val="17"/>
          <w:color w:val="auto"/>
        </w:rPr>
        <w:t>Upon loss of significant influence, any retained interest in the investee is remeasured to its fair value with the change in carrying amount recognized in other operating gains or losses in the consolidated income statement.</w:t>
      </w:r>
    </w:p>
    <w:p>
      <w:pPr>
        <w:spacing w:after="0" w:line="53" w:lineRule="exact"/>
        <w:rPr>
          <w:sz w:val="20"/>
          <w:szCs w:val="20"/>
          <w:color w:val="auto"/>
        </w:rPr>
      </w:pPr>
    </w:p>
    <w:p>
      <w:pPr>
        <w:ind w:left="220" w:right="360"/>
        <w:spacing w:after="0" w:line="360" w:lineRule="auto"/>
        <w:rPr>
          <w:sz w:val="20"/>
          <w:szCs w:val="20"/>
          <w:color w:val="auto"/>
        </w:rPr>
      </w:pPr>
      <w:r>
        <w:rPr>
          <w:rFonts w:ascii="Arial" w:cs="Arial" w:eastAsia="Arial" w:hAnsi="Arial"/>
          <w:sz w:val="17"/>
          <w:szCs w:val="17"/>
          <w:color w:val="auto"/>
        </w:rPr>
        <w:t xml:space="preserve">The accounting policies of subsidiaries and equity method investees were changed where necessary to conform with the Company’s policies. </w:t>
      </w:r>
      <w:r>
        <w:rPr>
          <w:rFonts w:ascii="Arial" w:cs="Arial" w:eastAsia="Arial" w:hAnsi="Arial"/>
          <w:sz w:val="17"/>
          <w:szCs w:val="17"/>
          <w:b w:val="1"/>
          <w:bCs w:val="1"/>
          <w:u w:val="single" w:color="auto"/>
          <w:color w:val="auto"/>
        </w:rPr>
        <w:t>Operating segments</w:t>
      </w:r>
    </w:p>
    <w:p>
      <w:pPr>
        <w:spacing w:after="0" w:line="1" w:lineRule="exact"/>
        <w:rPr>
          <w:sz w:val="20"/>
          <w:szCs w:val="20"/>
          <w:color w:val="auto"/>
        </w:rPr>
      </w:pPr>
    </w:p>
    <w:p>
      <w:pPr>
        <w:ind w:left="220" w:right="480"/>
        <w:spacing w:after="0" w:line="241" w:lineRule="auto"/>
        <w:rPr>
          <w:sz w:val="20"/>
          <w:szCs w:val="20"/>
          <w:color w:val="auto"/>
        </w:rPr>
      </w:pPr>
      <w:r>
        <w:rPr>
          <w:rFonts w:ascii="Arial" w:cs="Arial" w:eastAsia="Arial" w:hAnsi="Arial"/>
          <w:sz w:val="17"/>
          <w:szCs w:val="17"/>
          <w:color w:val="auto"/>
        </w:rPr>
        <w:t>The Company’s operating segments are organized around the customers it serves and are reported in a manner consistent with the internal reporting provided to the chief operating decision-maker (“CODM”). The Chief Executive Officer has authority for resource allocation and assessment of the Company’s performance and is therefore the CODM.</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accounting policies applied by the segments are the same as those applied by the Company.</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7"/>
          <w:szCs w:val="17"/>
          <w:b w:val="1"/>
          <w:bCs w:val="1"/>
          <w:u w:val="single" w:color="auto"/>
          <w:color w:val="auto"/>
        </w:rPr>
        <w:t>Foreign currency</w:t>
      </w:r>
    </w:p>
    <w:p>
      <w:pPr>
        <w:spacing w:after="0" w:line="34" w:lineRule="exact"/>
        <w:rPr>
          <w:sz w:val="20"/>
          <w:szCs w:val="20"/>
          <w:color w:val="auto"/>
        </w:rPr>
      </w:pPr>
    </w:p>
    <w:p>
      <w:pPr>
        <w:ind w:left="220" w:right="100"/>
        <w:spacing w:after="0" w:line="241" w:lineRule="auto"/>
        <w:rPr>
          <w:sz w:val="20"/>
          <w:szCs w:val="20"/>
          <w:color w:val="auto"/>
        </w:rPr>
      </w:pPr>
      <w:r>
        <w:rPr>
          <w:rFonts w:ascii="Arial" w:cs="Arial" w:eastAsia="Arial" w:hAnsi="Arial"/>
          <w:sz w:val="17"/>
          <w:szCs w:val="17"/>
          <w:color w:val="auto"/>
        </w:rPr>
        <w:t>The consolidated financial statements are presented in U.S. dollars, which is the Company’s presentation currency. The financial statements of each of the Company’s subsidiaries are measured using the currency of the primary economic environment in which the subsidiary operates (the “functional currency”).</w:t>
      </w:r>
    </w:p>
    <w:p>
      <w:pPr>
        <w:spacing w:after="0" w:line="82" w:lineRule="exact"/>
        <w:rPr>
          <w:sz w:val="20"/>
          <w:szCs w:val="20"/>
          <w:color w:val="auto"/>
        </w:rPr>
      </w:pPr>
    </w:p>
    <w:p>
      <w:pPr>
        <w:ind w:left="640" w:right="20" w:hanging="422"/>
        <w:spacing w:after="0" w:line="234" w:lineRule="auto"/>
        <w:tabs>
          <w:tab w:leader="none" w:pos="640" w:val="left"/>
        </w:tabs>
        <w:numPr>
          <w:ilvl w:val="0"/>
          <w:numId w:val="78"/>
        </w:numPr>
        <w:rPr>
          <w:rFonts w:ascii="Arial" w:cs="Arial" w:eastAsia="Arial" w:hAnsi="Arial"/>
          <w:sz w:val="17"/>
          <w:szCs w:val="17"/>
          <w:color w:val="D64000"/>
        </w:rPr>
      </w:pPr>
      <w:r>
        <w:rPr>
          <w:rFonts w:ascii="Arial" w:cs="Arial" w:eastAsia="Arial" w:hAnsi="Arial"/>
          <w:sz w:val="17"/>
          <w:szCs w:val="17"/>
          <w:color w:val="auto"/>
        </w:rPr>
        <w:t>Assets and liabilities of entities with functional currencies other than U.S. dollars are translated to U.S. dollars at the period end rates of exchange, and the results of their operations are translated at average rates of exchange for the period. The resulting translation adjustments are included in accumulated other comprehensive loss in shareholders’ equity. For entities operating in countries where the currency has been designated as hyperinflationary, the assets, liabilities and results of their operations are translated at the period end rates of exchange, after re-indexing the local currency balances for the most recent inflation rates.</w:t>
      </w:r>
    </w:p>
    <w:p>
      <w:pPr>
        <w:spacing w:after="0" w:line="3" w:lineRule="exact"/>
        <w:rPr>
          <w:rFonts w:ascii="Arial" w:cs="Arial" w:eastAsia="Arial" w:hAnsi="Arial"/>
          <w:sz w:val="17"/>
          <w:szCs w:val="17"/>
          <w:color w:val="D64000"/>
        </w:rPr>
      </w:pPr>
    </w:p>
    <w:p>
      <w:pPr>
        <w:ind w:left="640" w:right="80" w:hanging="422"/>
        <w:spacing w:after="0" w:line="231" w:lineRule="auto"/>
        <w:tabs>
          <w:tab w:leader="none" w:pos="640" w:val="left"/>
        </w:tabs>
        <w:numPr>
          <w:ilvl w:val="0"/>
          <w:numId w:val="78"/>
        </w:numPr>
        <w:rPr>
          <w:rFonts w:ascii="Arial" w:cs="Arial" w:eastAsia="Arial" w:hAnsi="Arial"/>
          <w:sz w:val="17"/>
          <w:szCs w:val="17"/>
          <w:color w:val="D64000"/>
        </w:rPr>
      </w:pPr>
      <w:r>
        <w:rPr>
          <w:rFonts w:ascii="Arial" w:cs="Arial" w:eastAsia="Arial" w:hAnsi="Arial"/>
          <w:sz w:val="17"/>
          <w:szCs w:val="17"/>
          <w:color w:val="auto"/>
        </w:rPr>
        <w:t>Foreign currency transactions are translated into the functional currency using the exchange rates prevailing at the dates of the transaction. Foreign exchange gains and losses resulting from the settlement of such transactions as well as from the translation of monetary assets and liabilities not denominated in the functional currency of the subsidiary, are recognized in the consolidated income statement, except for qualifying cash flow hedges which are deferred in accumulated other comprehensive loss in shareholders’ equity.</w:t>
      </w:r>
    </w:p>
    <w:p>
      <w:pPr>
        <w:spacing w:after="0" w:line="2" w:lineRule="exact"/>
        <w:rPr>
          <w:rFonts w:ascii="Arial" w:cs="Arial" w:eastAsia="Arial" w:hAnsi="Arial"/>
          <w:sz w:val="17"/>
          <w:szCs w:val="17"/>
          <w:color w:val="D64000"/>
        </w:rPr>
      </w:pPr>
    </w:p>
    <w:p>
      <w:pPr>
        <w:ind w:left="640" w:right="100" w:hanging="422"/>
        <w:spacing w:after="0" w:line="233" w:lineRule="auto"/>
        <w:tabs>
          <w:tab w:leader="none" w:pos="640" w:val="left"/>
        </w:tabs>
        <w:numPr>
          <w:ilvl w:val="0"/>
          <w:numId w:val="78"/>
        </w:numPr>
        <w:rPr>
          <w:rFonts w:ascii="Arial" w:cs="Arial" w:eastAsia="Arial" w:hAnsi="Arial"/>
          <w:sz w:val="17"/>
          <w:szCs w:val="17"/>
          <w:color w:val="D64000"/>
        </w:rPr>
      </w:pPr>
      <w:r>
        <w:rPr>
          <w:rFonts w:ascii="Arial" w:cs="Arial" w:eastAsia="Arial" w:hAnsi="Arial"/>
          <w:sz w:val="17"/>
          <w:szCs w:val="17"/>
          <w:color w:val="auto"/>
        </w:rPr>
        <w:t>Foreign exchange gains and losses arising from borrowings and related hedging instruments, cash and cash equivalents, intercompany loans that are not permanent in nature and foreign exchange contracts are presented in the consolidated income statement within “Finance costs, net”.</w:t>
      </w:r>
    </w:p>
    <w:p>
      <w:pPr>
        <w:ind w:left="640" w:right="240" w:hanging="422"/>
        <w:spacing w:after="0" w:line="235" w:lineRule="auto"/>
        <w:tabs>
          <w:tab w:leader="none" w:pos="640" w:val="left"/>
        </w:tabs>
        <w:numPr>
          <w:ilvl w:val="0"/>
          <w:numId w:val="78"/>
        </w:numPr>
        <w:rPr>
          <w:rFonts w:ascii="Arial" w:cs="Arial" w:eastAsia="Arial" w:hAnsi="Arial"/>
          <w:sz w:val="17"/>
          <w:szCs w:val="17"/>
          <w:color w:val="D64000"/>
        </w:rPr>
      </w:pPr>
      <w:r>
        <w:rPr>
          <w:rFonts w:ascii="Arial" w:cs="Arial" w:eastAsia="Arial" w:hAnsi="Arial"/>
          <w:sz w:val="17"/>
          <w:szCs w:val="17"/>
          <w:color w:val="auto"/>
        </w:rPr>
        <w:t>Foreign exchange gains and losses related to certain intercompany loans that are permanent in nature are included in accumulated other comprehensive loss.</w:t>
      </w:r>
    </w:p>
    <w:p>
      <w:pPr>
        <w:spacing w:after="0" w:line="1" w:lineRule="exact"/>
        <w:rPr>
          <w:rFonts w:ascii="Arial" w:cs="Arial" w:eastAsia="Arial" w:hAnsi="Arial"/>
          <w:sz w:val="17"/>
          <w:szCs w:val="17"/>
          <w:color w:val="D64000"/>
        </w:rPr>
      </w:pPr>
    </w:p>
    <w:p>
      <w:pPr>
        <w:ind w:left="640" w:hanging="422"/>
        <w:spacing w:after="0"/>
        <w:tabs>
          <w:tab w:leader="none" w:pos="640" w:val="left"/>
        </w:tabs>
        <w:numPr>
          <w:ilvl w:val="0"/>
          <w:numId w:val="78"/>
        </w:numPr>
        <w:rPr>
          <w:rFonts w:ascii="Arial" w:cs="Arial" w:eastAsia="Arial" w:hAnsi="Arial"/>
          <w:sz w:val="17"/>
          <w:szCs w:val="17"/>
          <w:color w:val="D64000"/>
        </w:rPr>
      </w:pPr>
      <w:r>
        <w:rPr>
          <w:rFonts w:ascii="Arial" w:cs="Arial" w:eastAsia="Arial" w:hAnsi="Arial"/>
          <w:sz w:val="17"/>
          <w:szCs w:val="17"/>
          <w:color w:val="auto"/>
        </w:rPr>
        <w:t>All other foreign exchange gains and losses are presented in the consolidated income statement within “Operating expenses”.</w:t>
      </w:r>
    </w:p>
    <w:p>
      <w:pPr>
        <w:spacing w:after="0" w:line="80" w:lineRule="exact"/>
        <w:rPr>
          <w:sz w:val="20"/>
          <w:szCs w:val="20"/>
          <w:color w:val="auto"/>
        </w:rPr>
      </w:pPr>
    </w:p>
    <w:p>
      <w:pPr>
        <w:ind w:left="220" w:right="260"/>
        <w:spacing w:after="0" w:line="266" w:lineRule="auto"/>
        <w:rPr>
          <w:sz w:val="20"/>
          <w:szCs w:val="20"/>
          <w:color w:val="auto"/>
        </w:rPr>
      </w:pPr>
      <w:r>
        <w:rPr>
          <w:rFonts w:ascii="Arial" w:cs="Arial" w:eastAsia="Arial" w:hAnsi="Arial"/>
          <w:sz w:val="16"/>
          <w:szCs w:val="16"/>
          <w:color w:val="auto"/>
        </w:rPr>
        <w:t>Accumulated foreign exchange gains and losses are recycled from accumulated other comprehensive loss to “Other operating gains or losses, net” or to discontinued operations, as applicable, within the consolidated income statement upon loss of control or significant influence of the applicable entity, including foreign exchange amounts relating to settled intercompany loans that had previously been considered permanent.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b w:val="1"/>
          <w:bCs w:val="1"/>
          <w:u w:val="single" w:color="auto"/>
          <w:color w:val="auto"/>
        </w:rPr>
        <w:t>Revenue recognition</w:t>
      </w:r>
    </w:p>
    <w:p>
      <w:pPr>
        <w:spacing w:after="0" w:line="33" w:lineRule="exact"/>
        <w:rPr>
          <w:sz w:val="20"/>
          <w:szCs w:val="20"/>
          <w:color w:val="auto"/>
        </w:rPr>
      </w:pPr>
    </w:p>
    <w:p>
      <w:pPr>
        <w:ind w:left="220" w:right="200"/>
        <w:spacing w:after="0" w:line="236" w:lineRule="auto"/>
        <w:rPr>
          <w:sz w:val="20"/>
          <w:szCs w:val="20"/>
          <w:color w:val="auto"/>
        </w:rPr>
      </w:pPr>
      <w:r>
        <w:rPr>
          <w:rFonts w:ascii="Arial" w:cs="Arial" w:eastAsia="Arial" w:hAnsi="Arial"/>
          <w:sz w:val="17"/>
          <w:szCs w:val="17"/>
          <w:color w:val="auto"/>
        </w:rPr>
        <w:t>Revenues are recognized when control of the Company’s products or services is transferred to customers. The amount of revenues recognized reflects the consideration to which the Company expects to be entitled. Such consideration is net of estimated returns, discounts, value-added and other sales taxes.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derives its revenues from selling information, software and services. Revenues are generally recognized as follows:</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Recurring revenues</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Recurring revenues are generally recognized on a ratable basis over the contract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98425</wp:posOffset>
            </wp:positionV>
            <wp:extent cx="68656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66"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90</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40"/>
        <w:spacing w:after="0" w:line="236" w:lineRule="auto"/>
        <w:rPr>
          <w:sz w:val="20"/>
          <w:szCs w:val="20"/>
          <w:color w:val="auto"/>
        </w:rPr>
      </w:pPr>
      <w:r>
        <w:rPr>
          <w:rFonts w:ascii="Arial" w:cs="Arial" w:eastAsia="Arial" w:hAnsi="Arial"/>
          <w:sz w:val="17"/>
          <w:szCs w:val="17"/>
          <w:color w:val="auto"/>
        </w:rPr>
        <w:t>Recurring revenues primarily consist of fees to access products or services over time, such as Westlaw, Practical Law and many of the Company’s tax compliance products. These products are generally provided under subscription arrangements, which most customers renew at the end of each subscription term. Most subscription arrangements have terms that range from one to five years. Recurring revenues also include fees from software maintenance arrangements that are recognized over the maintenance period. Arrangements may be billed in advance or in arrears.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Transactions revenues</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Transactions revenues are recognized primarily at a point in time and based on their type, as follows:</w:t>
      </w:r>
    </w:p>
    <w:p>
      <w:pPr>
        <w:spacing w:after="0" w:line="93" w:lineRule="exact"/>
        <w:rPr>
          <w:sz w:val="20"/>
          <w:szCs w:val="20"/>
          <w:color w:val="auto"/>
        </w:rPr>
      </w:pPr>
    </w:p>
    <w:p>
      <w:pPr>
        <w:ind w:left="640" w:right="60" w:hanging="422"/>
        <w:spacing w:after="0" w:line="245" w:lineRule="auto"/>
        <w:tabs>
          <w:tab w:leader="none" w:pos="640" w:val="left"/>
        </w:tabs>
        <w:numPr>
          <w:ilvl w:val="0"/>
          <w:numId w:val="79"/>
        </w:numPr>
        <w:rPr>
          <w:rFonts w:ascii="Arial" w:cs="Arial" w:eastAsia="Arial" w:hAnsi="Arial"/>
          <w:sz w:val="17"/>
          <w:szCs w:val="17"/>
          <w:color w:val="D64000"/>
        </w:rPr>
      </w:pPr>
      <w:r>
        <w:rPr>
          <w:rFonts w:ascii="Arial" w:cs="Arial" w:eastAsia="Arial" w:hAnsi="Arial"/>
          <w:sz w:val="17"/>
          <w:szCs w:val="17"/>
          <w:color w:val="auto"/>
        </w:rPr>
        <w:t>Volume-based revenues are recognized based on usage, such as certain fees related to online searches and tax filings, and transactions in the Company’s Confirmation, Reuters Events and SurePrep businesses;</w:t>
      </w:r>
    </w:p>
    <w:p>
      <w:pPr>
        <w:spacing w:after="0" w:line="1" w:lineRule="exact"/>
        <w:rPr>
          <w:rFonts w:ascii="Arial" w:cs="Arial" w:eastAsia="Arial" w:hAnsi="Arial"/>
          <w:sz w:val="17"/>
          <w:szCs w:val="17"/>
          <w:color w:val="D64000"/>
        </w:rPr>
      </w:pPr>
    </w:p>
    <w:p>
      <w:pPr>
        <w:ind w:left="640" w:hanging="422"/>
        <w:spacing w:after="0"/>
        <w:tabs>
          <w:tab w:leader="none" w:pos="640" w:val="left"/>
        </w:tabs>
        <w:numPr>
          <w:ilvl w:val="0"/>
          <w:numId w:val="79"/>
        </w:numPr>
        <w:rPr>
          <w:rFonts w:ascii="Arial" w:cs="Arial" w:eastAsia="Arial" w:hAnsi="Arial"/>
          <w:sz w:val="17"/>
          <w:szCs w:val="17"/>
          <w:color w:val="D64000"/>
        </w:rPr>
      </w:pPr>
      <w:r>
        <w:rPr>
          <w:rFonts w:ascii="Arial" w:cs="Arial" w:eastAsia="Arial" w:hAnsi="Arial"/>
          <w:sz w:val="17"/>
          <w:szCs w:val="17"/>
          <w:color w:val="auto"/>
        </w:rPr>
        <w:t>Fees for software licenses with no future obligations are recognized at the point of delivery; and</w:t>
      </w:r>
    </w:p>
    <w:p>
      <w:pPr>
        <w:spacing w:after="0" w:line="3" w:lineRule="exact"/>
        <w:rPr>
          <w:rFonts w:ascii="Arial" w:cs="Arial" w:eastAsia="Arial" w:hAnsi="Arial"/>
          <w:sz w:val="17"/>
          <w:szCs w:val="17"/>
          <w:color w:val="D64000"/>
        </w:rPr>
      </w:pPr>
    </w:p>
    <w:p>
      <w:pPr>
        <w:ind w:left="640" w:right="260" w:hanging="422"/>
        <w:spacing w:after="0"/>
        <w:tabs>
          <w:tab w:leader="none" w:pos="640" w:val="left"/>
        </w:tabs>
        <w:numPr>
          <w:ilvl w:val="0"/>
          <w:numId w:val="79"/>
        </w:numPr>
        <w:rPr>
          <w:rFonts w:ascii="Arial" w:cs="Arial" w:eastAsia="Arial" w:hAnsi="Arial"/>
          <w:sz w:val="17"/>
          <w:szCs w:val="17"/>
          <w:color w:val="D64000"/>
        </w:rPr>
      </w:pPr>
      <w:r>
        <w:rPr>
          <w:rFonts w:ascii="Arial" w:cs="Arial" w:eastAsia="Arial" w:hAnsi="Arial"/>
          <w:sz w:val="17"/>
          <w:szCs w:val="17"/>
          <w:color w:val="auto"/>
        </w:rPr>
        <w:t>Professional fees for service and consulting arrangements are recognized as services are performed, generally based on hours incurred, reflecting the continuous transfer of control to the customer.</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Transactions revenues may be billed in advance or in arrears.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Print revenues</w:t>
      </w:r>
    </w:p>
    <w:p>
      <w:pPr>
        <w:spacing w:after="0" w:line="6" w:lineRule="exact"/>
        <w:rPr>
          <w:sz w:val="20"/>
          <w:szCs w:val="20"/>
          <w:color w:val="auto"/>
        </w:rPr>
      </w:pPr>
    </w:p>
    <w:p>
      <w:pPr>
        <w:jc w:val="both"/>
        <w:ind w:left="220" w:right="20"/>
        <w:spacing w:after="0" w:line="256" w:lineRule="auto"/>
        <w:rPr>
          <w:sz w:val="20"/>
          <w:szCs w:val="20"/>
          <w:color w:val="auto"/>
        </w:rPr>
      </w:pPr>
      <w:r>
        <w:rPr>
          <w:rFonts w:ascii="Arial" w:cs="Arial" w:eastAsia="Arial" w:hAnsi="Arial"/>
          <w:sz w:val="16"/>
          <w:szCs w:val="16"/>
          <w:color w:val="auto"/>
        </w:rPr>
        <w:t>Print revenues that are sold under subscription agreements, which provide access to a library of print products as well as updates released during the subscription term, are generally recognized on a ratable basis over the contract term and may be billed in advance or in arrears. Revenues for print products that are not sold as part of a subscription arrangement are recognized at the point of shipment and billed at the same time.</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Print revenues primarily consist of fees for content that is delivered primarily in traditional paper format.</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also considers the following when recognizing revenues:</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Multiple performance obligations</w:t>
      </w:r>
    </w:p>
    <w:p>
      <w:pPr>
        <w:spacing w:after="0" w:line="6" w:lineRule="exact"/>
        <w:rPr>
          <w:sz w:val="20"/>
          <w:szCs w:val="20"/>
          <w:color w:val="auto"/>
        </w:rPr>
      </w:pPr>
    </w:p>
    <w:p>
      <w:pPr>
        <w:ind w:left="220" w:right="20"/>
        <w:spacing w:after="0" w:line="233" w:lineRule="auto"/>
        <w:rPr>
          <w:sz w:val="20"/>
          <w:szCs w:val="20"/>
          <w:color w:val="auto"/>
        </w:rPr>
      </w:pPr>
      <w:r>
        <w:rPr>
          <w:rFonts w:ascii="Arial" w:cs="Arial" w:eastAsia="Arial" w:hAnsi="Arial"/>
          <w:sz w:val="17"/>
          <w:szCs w:val="17"/>
          <w:color w:val="auto"/>
        </w:rPr>
        <w:t>Certain customer contracts include multiple products and services, which are accounted for as separate performance obligations when they are distinct. A product or service is distinct if a customer can benefit from it either on its own or with other readily available resources, and the promise to transfer the product or service is separately identifiable in the contract. The transaction price is allocated to the separate performance obligations based on the relative standalone selling price.</w:t>
      </w:r>
    </w:p>
    <w:p>
      <w:pPr>
        <w:spacing w:after="0" w:line="73" w:lineRule="exact"/>
        <w:rPr>
          <w:sz w:val="20"/>
          <w:szCs w:val="20"/>
          <w:color w:val="auto"/>
        </w:rPr>
      </w:pPr>
    </w:p>
    <w:p>
      <w:pPr>
        <w:jc w:val="both"/>
        <w:ind w:left="220" w:right="220"/>
        <w:spacing w:after="0" w:line="243" w:lineRule="auto"/>
        <w:rPr>
          <w:sz w:val="20"/>
          <w:szCs w:val="20"/>
          <w:color w:val="auto"/>
        </w:rPr>
      </w:pPr>
      <w:r>
        <w:rPr>
          <w:rFonts w:ascii="Arial" w:cs="Arial" w:eastAsia="Arial" w:hAnsi="Arial"/>
          <w:sz w:val="17"/>
          <w:szCs w:val="17"/>
          <w:color w:val="auto"/>
        </w:rPr>
        <w:t>A series of distinct products or services is accounted for as a single performance obligation if the items in the series are substantially the same, have the same pattern of transfer and: (1) each distinct item in the series represents a performance obligation that would be satisfied over time, and (2) the measure to satisfy the performance obligation for each distinct item in the series is the same.</w:t>
      </w:r>
    </w:p>
    <w:p>
      <w:pPr>
        <w:spacing w:after="0" w:line="69" w:lineRule="exact"/>
        <w:rPr>
          <w:sz w:val="20"/>
          <w:szCs w:val="20"/>
          <w:color w:val="auto"/>
        </w:rPr>
      </w:pPr>
    </w:p>
    <w:p>
      <w:pPr>
        <w:ind w:left="220" w:right="20"/>
        <w:spacing w:after="0" w:line="243" w:lineRule="auto"/>
        <w:rPr>
          <w:sz w:val="20"/>
          <w:szCs w:val="20"/>
          <w:color w:val="auto"/>
        </w:rPr>
      </w:pPr>
      <w:r>
        <w:rPr>
          <w:rFonts w:ascii="Arial" w:cs="Arial" w:eastAsia="Arial" w:hAnsi="Arial"/>
          <w:sz w:val="17"/>
          <w:szCs w:val="17"/>
          <w:color w:val="auto"/>
        </w:rPr>
        <w:t>Certain arrangements include installation or implementation services. If these services are distinct, consideration is allocated to them and they are recognized as services are performed and included as transactions revenues. If the services are not distinct, they are recognized as part of the related subscription arrangement or as part of the related software license, as applicable.</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Sales involving third parties</w:t>
      </w:r>
    </w:p>
    <w:p>
      <w:pPr>
        <w:spacing w:after="0" w:line="6" w:lineRule="exact"/>
        <w:rPr>
          <w:sz w:val="20"/>
          <w:szCs w:val="20"/>
          <w:color w:val="auto"/>
        </w:rPr>
      </w:pPr>
    </w:p>
    <w:p>
      <w:pPr>
        <w:ind w:left="220" w:right="20"/>
        <w:spacing w:after="0" w:line="233" w:lineRule="auto"/>
        <w:rPr>
          <w:sz w:val="20"/>
          <w:szCs w:val="20"/>
          <w:color w:val="auto"/>
        </w:rPr>
      </w:pPr>
      <w:r>
        <w:rPr>
          <w:rFonts w:ascii="Arial" w:cs="Arial" w:eastAsia="Arial" w:hAnsi="Arial"/>
          <w:sz w:val="17"/>
          <w:szCs w:val="17"/>
          <w:color w:val="auto"/>
        </w:rPr>
        <w:t>Revenues from sales of third-party content or services delivered on the Company’s platforms are recorded gross when the Company is a principal to the transaction, and net of costs when the Company is acting as an agent between the customer and the vendor. The Company considers several factors to determine whether it is acting as principal or an agent, most notably whether it is primarily responsible for (1) fulfilling the promise to provide the content or services, (2) setting the price, and (3) the credit risk for the amount billed to the customer.</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Deferred revenue</w:t>
      </w:r>
    </w:p>
    <w:p>
      <w:pPr>
        <w:spacing w:after="0" w:line="6" w:lineRule="exact"/>
        <w:rPr>
          <w:sz w:val="20"/>
          <w:szCs w:val="20"/>
          <w:color w:val="auto"/>
        </w:rPr>
      </w:pPr>
    </w:p>
    <w:p>
      <w:pPr>
        <w:ind w:left="220" w:right="260"/>
        <w:spacing w:after="0"/>
        <w:rPr>
          <w:sz w:val="20"/>
          <w:szCs w:val="20"/>
          <w:color w:val="auto"/>
        </w:rPr>
      </w:pPr>
      <w:r>
        <w:rPr>
          <w:rFonts w:ascii="Arial" w:cs="Arial" w:eastAsia="Arial" w:hAnsi="Arial"/>
          <w:sz w:val="17"/>
          <w:szCs w:val="17"/>
          <w:color w:val="auto"/>
        </w:rPr>
        <w:t>Deferred revenue, a contract liability, is recorded when cash payments are received or due in advance of the transfer of the related products or services.</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Contract costs</w:t>
      </w:r>
    </w:p>
    <w:p>
      <w:pPr>
        <w:spacing w:after="0" w:line="6" w:lineRule="exact"/>
        <w:rPr>
          <w:sz w:val="20"/>
          <w:szCs w:val="20"/>
          <w:color w:val="auto"/>
        </w:rPr>
      </w:pPr>
    </w:p>
    <w:p>
      <w:pPr>
        <w:ind w:left="220" w:right="20"/>
        <w:spacing w:after="0" w:line="233" w:lineRule="auto"/>
        <w:rPr>
          <w:sz w:val="20"/>
          <w:szCs w:val="20"/>
          <w:color w:val="auto"/>
        </w:rPr>
      </w:pPr>
      <w:r>
        <w:rPr>
          <w:rFonts w:ascii="Arial" w:cs="Arial" w:eastAsia="Arial" w:hAnsi="Arial"/>
          <w:sz w:val="17"/>
          <w:szCs w:val="17"/>
          <w:color w:val="auto"/>
        </w:rPr>
        <w:t>Incremental costs of obtaining a contract with a customer are recognized as an asset if the benefit of such costs is expected to be longer than one year. Such costs are amortized on a straight-line basis over the period that the product or service is transferred to the customer. Incremental costs include sales commissions to salespeople, account executives and sales management. Sales commissions on new customer contracts are generally paid at significantly higher rates than renewals. As such:</w:t>
      </w:r>
    </w:p>
    <w:p>
      <w:pPr>
        <w:spacing w:after="0" w:line="86" w:lineRule="exact"/>
        <w:rPr>
          <w:sz w:val="20"/>
          <w:szCs w:val="20"/>
          <w:color w:val="auto"/>
        </w:rPr>
      </w:pPr>
    </w:p>
    <w:p>
      <w:pPr>
        <w:ind w:left="640" w:right="60" w:hanging="422"/>
        <w:spacing w:after="0" w:line="261" w:lineRule="auto"/>
        <w:tabs>
          <w:tab w:leader="none" w:pos="640" w:val="left"/>
        </w:tabs>
        <w:numPr>
          <w:ilvl w:val="0"/>
          <w:numId w:val="80"/>
        </w:numPr>
        <w:rPr>
          <w:rFonts w:ascii="Arial" w:cs="Arial" w:eastAsia="Arial" w:hAnsi="Arial"/>
          <w:sz w:val="16"/>
          <w:szCs w:val="16"/>
          <w:color w:val="D64000"/>
        </w:rPr>
      </w:pPr>
      <w:r>
        <w:rPr>
          <w:rFonts w:ascii="Arial" w:cs="Arial" w:eastAsia="Arial" w:hAnsi="Arial"/>
          <w:sz w:val="16"/>
          <w:szCs w:val="16"/>
          <w:color w:val="auto"/>
        </w:rPr>
        <w:t>Assets related to new customer contracts are amortized over three years, which may anticipate renewal periods, as management estimates that this corresponds to the period over which a customer benefits from existing technology in the underlying product or service; and</w:t>
      </w:r>
    </w:p>
    <w:p>
      <w:pPr>
        <w:ind w:left="640" w:right="680" w:hanging="422"/>
        <w:spacing w:after="0"/>
        <w:tabs>
          <w:tab w:leader="none" w:pos="640" w:val="left"/>
        </w:tabs>
        <w:numPr>
          <w:ilvl w:val="0"/>
          <w:numId w:val="80"/>
        </w:numPr>
        <w:rPr>
          <w:rFonts w:ascii="Arial" w:cs="Arial" w:eastAsia="Arial" w:hAnsi="Arial"/>
          <w:sz w:val="17"/>
          <w:szCs w:val="17"/>
          <w:color w:val="D64000"/>
        </w:rPr>
      </w:pPr>
      <w:r>
        <w:rPr>
          <w:rFonts w:ascii="Arial" w:cs="Arial" w:eastAsia="Arial" w:hAnsi="Arial"/>
          <w:sz w:val="17"/>
          <w:szCs w:val="17"/>
          <w:color w:val="auto"/>
        </w:rPr>
        <w:t>Assets related to renewal of customer contracts are amortized over the term of the contract if they are commensurate with previous renewals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92075</wp:posOffset>
            </wp:positionV>
            <wp:extent cx="686562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43"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91</w:t>
      </w:r>
    </w:p>
    <w:p>
      <w:pPr>
        <w:sectPr>
          <w:pgSz w:w="11900" w:h="16838" w:orient="portrait"/>
          <w:cols w:equalWidth="0" w:num="1">
            <w:col w:w="11040"/>
          </w:cols>
          <w:pgMar w:left="320" w:top="477" w:right="5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300"/>
        <w:spacing w:after="0" w:line="260" w:lineRule="auto"/>
        <w:rPr>
          <w:sz w:val="20"/>
          <w:szCs w:val="20"/>
          <w:color w:val="auto"/>
        </w:rPr>
      </w:pPr>
      <w:r>
        <w:rPr>
          <w:rFonts w:ascii="Arial" w:cs="Arial" w:eastAsia="Arial" w:hAnsi="Arial"/>
          <w:sz w:val="17"/>
          <w:szCs w:val="17"/>
          <w:color w:val="auto"/>
        </w:rPr>
        <w:t>The Company recognizes “Deferred commissions” short-term within “Prepaid expenses and other current assets” and “Deferred commissions” long-term within “Other non-current assets” in the consolidated statement of financial position.</w:t>
      </w:r>
    </w:p>
    <w:p>
      <w:pPr>
        <w:spacing w:after="0" w:line="53" w:lineRule="exact"/>
        <w:rPr>
          <w:sz w:val="20"/>
          <w:szCs w:val="20"/>
          <w:color w:val="auto"/>
        </w:rPr>
      </w:pPr>
    </w:p>
    <w:p>
      <w:pPr>
        <w:ind w:left="220" w:right="100"/>
        <w:spacing w:after="0" w:line="360" w:lineRule="auto"/>
        <w:rPr>
          <w:sz w:val="20"/>
          <w:szCs w:val="20"/>
          <w:color w:val="auto"/>
        </w:rPr>
      </w:pPr>
      <w:r>
        <w:rPr>
          <w:rFonts w:ascii="Arial" w:cs="Arial" w:eastAsia="Arial" w:hAnsi="Arial"/>
          <w:sz w:val="17"/>
          <w:szCs w:val="17"/>
          <w:color w:val="auto"/>
        </w:rPr>
        <w:t xml:space="preserve">The Company recognizes the incremental cost of obtaining a contract as an expense when incurred if the amortization period is one year or less. </w:t>
      </w:r>
      <w:r>
        <w:rPr>
          <w:rFonts w:ascii="Arial" w:cs="Arial" w:eastAsia="Arial" w:hAnsi="Arial"/>
          <w:sz w:val="17"/>
          <w:szCs w:val="17"/>
          <w:b w:val="1"/>
          <w:bCs w:val="1"/>
          <w:u w:val="single" w:color="auto"/>
          <w:color w:val="auto"/>
        </w:rPr>
        <w:t>Employee future benefits</w:t>
      </w:r>
    </w:p>
    <w:p>
      <w:pPr>
        <w:spacing w:after="0" w:line="1" w:lineRule="exact"/>
        <w:rPr>
          <w:sz w:val="20"/>
          <w:szCs w:val="20"/>
          <w:color w:val="auto"/>
        </w:rPr>
      </w:pPr>
    </w:p>
    <w:p>
      <w:pPr>
        <w:ind w:left="220" w:right="300"/>
        <w:spacing w:after="0" w:line="241" w:lineRule="auto"/>
        <w:rPr>
          <w:sz w:val="20"/>
          <w:szCs w:val="20"/>
          <w:color w:val="auto"/>
        </w:rPr>
      </w:pPr>
      <w:r>
        <w:rPr>
          <w:rFonts w:ascii="Arial" w:cs="Arial" w:eastAsia="Arial" w:hAnsi="Arial"/>
          <w:sz w:val="17"/>
          <w:szCs w:val="17"/>
          <w:color w:val="auto"/>
        </w:rPr>
        <w:t>The net periodic pension expense of defined benefit pension plans and other post-employment benefits is actuarially determined on an annual basis using the projected unit credit method. Past service cost arising from plan amendments is recognized immediately in the consolidated income statement.</w:t>
      </w:r>
    </w:p>
    <w:p>
      <w:pPr>
        <w:spacing w:after="0" w:line="69" w:lineRule="exact"/>
        <w:rPr>
          <w:sz w:val="20"/>
          <w:szCs w:val="20"/>
          <w:color w:val="auto"/>
        </w:rPr>
      </w:pPr>
    </w:p>
    <w:p>
      <w:pPr>
        <w:ind w:left="220" w:right="100"/>
        <w:spacing w:after="0" w:line="233" w:lineRule="auto"/>
        <w:rPr>
          <w:sz w:val="20"/>
          <w:szCs w:val="20"/>
          <w:color w:val="auto"/>
        </w:rPr>
      </w:pPr>
      <w:r>
        <w:rPr>
          <w:rFonts w:ascii="Arial" w:cs="Arial" w:eastAsia="Arial" w:hAnsi="Arial"/>
          <w:sz w:val="17"/>
          <w:szCs w:val="17"/>
          <w:color w:val="auto"/>
        </w:rPr>
        <w:t>The asset or liability recognized in the consolidated statement of financial position is the present value of the defined benefit obligation at the end of the reporting period less the fair value of plan assets. The present value of the defined benefit obligation is determined by discounting the estimated future cash outflows using interest rates of high-quality corporate bonds that are denominated in the currency in which the benefits will be paid and that have terms to maturity approximating the terms of the related pension liability. All actuarial gains and losses that arise in calculating the present value of the defined benefit obligation and the fair value of plan assets are recognized immediately in retained earnings and included in the consolidated statement of comprehensive income. For funded plans, surpluses are recognized only to the extent that the surplus is considered recoverable. Recoverability is primarily based on the extent to which the Company can unilaterally reduce future contributions to the plan.</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Payments to defined contribution plans are expensed as incurred.</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7"/>
          <w:szCs w:val="17"/>
          <w:b w:val="1"/>
          <w:bCs w:val="1"/>
          <w:u w:val="single" w:color="auto"/>
          <w:color w:val="auto"/>
        </w:rPr>
        <w:t>Share-based compensation plans</w:t>
      </w:r>
    </w:p>
    <w:p>
      <w:pPr>
        <w:spacing w:after="0" w:line="34" w:lineRule="exact"/>
        <w:rPr>
          <w:sz w:val="20"/>
          <w:szCs w:val="20"/>
          <w:color w:val="auto"/>
        </w:rPr>
      </w:pPr>
    </w:p>
    <w:p>
      <w:pPr>
        <w:ind w:left="220" w:right="340"/>
        <w:spacing w:after="0" w:line="254" w:lineRule="auto"/>
        <w:rPr>
          <w:sz w:val="20"/>
          <w:szCs w:val="20"/>
          <w:color w:val="auto"/>
        </w:rPr>
      </w:pPr>
      <w:r>
        <w:rPr>
          <w:rFonts w:ascii="Arial" w:cs="Arial" w:eastAsia="Arial" w:hAnsi="Arial"/>
          <w:sz w:val="17"/>
          <w:szCs w:val="17"/>
          <w:color w:val="auto"/>
        </w:rPr>
        <w:t>The Company operates equity-settled share-based compensation plans under which it receives services from employees as consideration for equity instruments of the Company.</w:t>
      </w:r>
    </w:p>
    <w:p>
      <w:pPr>
        <w:spacing w:after="0" w:line="59" w:lineRule="exact"/>
        <w:rPr>
          <w:sz w:val="20"/>
          <w:szCs w:val="20"/>
          <w:color w:val="auto"/>
        </w:rPr>
      </w:pPr>
    </w:p>
    <w:p>
      <w:pPr>
        <w:ind w:left="220" w:right="80"/>
        <w:spacing w:after="0" w:line="238" w:lineRule="auto"/>
        <w:rPr>
          <w:sz w:val="20"/>
          <w:szCs w:val="20"/>
          <w:color w:val="auto"/>
        </w:rPr>
      </w:pPr>
      <w:r>
        <w:rPr>
          <w:rFonts w:ascii="Arial" w:cs="Arial" w:eastAsia="Arial" w:hAnsi="Arial"/>
          <w:sz w:val="17"/>
          <w:szCs w:val="17"/>
          <w:color w:val="auto"/>
        </w:rPr>
        <w:t>Share-based compensation expense is based on the grant date fair value of the awards expected to vest over the vesting period. The expense is recognized over the vesting period, which is the period over which the specified vesting conditions are satisfied. For awards with graded vesting, the fair value of each tranche is recognized over its respective vesting period. At the end of each reporting period, the Company reassesses its estimates of the number of awards that are expected to vest and recognizes the impact in the consolidated income statement.</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7"/>
          <w:szCs w:val="17"/>
          <w:b w:val="1"/>
          <w:bCs w:val="1"/>
          <w:u w:val="single" w:color="auto"/>
          <w:color w:val="auto"/>
        </w:rPr>
        <w:t>Termination benefits</w:t>
      </w:r>
    </w:p>
    <w:p>
      <w:pPr>
        <w:spacing w:after="0" w:line="33" w:lineRule="exact"/>
        <w:rPr>
          <w:sz w:val="20"/>
          <w:szCs w:val="20"/>
          <w:color w:val="auto"/>
        </w:rPr>
      </w:pPr>
    </w:p>
    <w:p>
      <w:pPr>
        <w:ind w:left="220" w:right="20"/>
        <w:spacing w:after="0" w:line="233" w:lineRule="auto"/>
        <w:rPr>
          <w:sz w:val="20"/>
          <w:szCs w:val="20"/>
          <w:color w:val="auto"/>
        </w:rPr>
      </w:pPr>
      <w:r>
        <w:rPr>
          <w:rFonts w:ascii="Arial" w:cs="Arial" w:eastAsia="Arial" w:hAnsi="Arial"/>
          <w:sz w:val="17"/>
          <w:szCs w:val="17"/>
          <w:color w:val="auto"/>
        </w:rPr>
        <w:t>Termination benefits are generally payable when an employee is terminated before the normal retirement date. The associated charges are recognized when the Company can no longer withdraw the offer of termination benefits because it has communicated to the affected employees a termination plan that is unlikely to change, describing (a) the type and amount of benefits, (b) the number, job classifications or functions and locations of employees to be terminated and (c) the plan’s expected completion date.</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b w:val="1"/>
          <w:bCs w:val="1"/>
          <w:u w:val="single" w:color="auto"/>
          <w:color w:val="auto"/>
        </w:rPr>
        <w:t>Bonus plans</w:t>
      </w:r>
    </w:p>
    <w:p>
      <w:pPr>
        <w:spacing w:after="0" w:line="33" w:lineRule="exact"/>
        <w:rPr>
          <w:sz w:val="20"/>
          <w:szCs w:val="20"/>
          <w:color w:val="auto"/>
        </w:rPr>
      </w:pPr>
    </w:p>
    <w:p>
      <w:pPr>
        <w:ind w:left="220" w:right="180"/>
        <w:spacing w:after="0" w:line="236" w:lineRule="auto"/>
        <w:rPr>
          <w:sz w:val="20"/>
          <w:szCs w:val="20"/>
          <w:color w:val="auto"/>
        </w:rPr>
      </w:pPr>
      <w:r>
        <w:rPr>
          <w:rFonts w:ascii="Arial" w:cs="Arial" w:eastAsia="Arial" w:hAnsi="Arial"/>
          <w:sz w:val="17"/>
          <w:szCs w:val="17"/>
          <w:color w:val="auto"/>
        </w:rPr>
        <w:t>Liabilities for bonus plans are based on a formula that considers various financial metrics and certain adjustments. The Company recognizes an accrual where contractually obliged or where there is a past practice that has created a constructive obligation to make such compensation payments.</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7"/>
          <w:szCs w:val="17"/>
          <w:b w:val="1"/>
          <w:bCs w:val="1"/>
          <w:u w:val="single" w:color="auto"/>
          <w:color w:val="auto"/>
        </w:rPr>
        <w:t>Cash and cash equivalents</w:t>
      </w:r>
    </w:p>
    <w:p>
      <w:pPr>
        <w:spacing w:after="0" w:line="33" w:lineRule="exact"/>
        <w:rPr>
          <w:sz w:val="20"/>
          <w:szCs w:val="20"/>
          <w:color w:val="auto"/>
        </w:rPr>
      </w:pPr>
    </w:p>
    <w:p>
      <w:pPr>
        <w:ind w:left="220" w:right="20"/>
        <w:spacing w:after="0"/>
        <w:rPr>
          <w:sz w:val="20"/>
          <w:szCs w:val="20"/>
          <w:color w:val="auto"/>
        </w:rPr>
      </w:pPr>
      <w:r>
        <w:rPr>
          <w:rFonts w:ascii="Arial" w:cs="Arial" w:eastAsia="Arial" w:hAnsi="Arial"/>
          <w:sz w:val="17"/>
          <w:szCs w:val="17"/>
          <w:color w:val="auto"/>
        </w:rPr>
        <w:t>Cash and cash equivalents comprise cash on hand, demand deposits and investments with a short maturity (generally, three months or less) from the date of acquisition.</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7"/>
          <w:szCs w:val="17"/>
          <w:b w:val="1"/>
          <w:bCs w:val="1"/>
          <w:u w:val="single" w:color="auto"/>
          <w:color w:val="auto"/>
        </w:rPr>
        <w:t>Trade receivables</w:t>
      </w:r>
    </w:p>
    <w:p>
      <w:pPr>
        <w:spacing w:after="0" w:line="33" w:lineRule="exact"/>
        <w:rPr>
          <w:sz w:val="20"/>
          <w:szCs w:val="20"/>
          <w:color w:val="auto"/>
        </w:rPr>
      </w:pPr>
    </w:p>
    <w:p>
      <w:pPr>
        <w:ind w:left="220" w:right="160"/>
        <w:spacing w:after="0" w:line="236" w:lineRule="auto"/>
        <w:rPr>
          <w:sz w:val="20"/>
          <w:szCs w:val="20"/>
          <w:color w:val="auto"/>
        </w:rPr>
      </w:pPr>
      <w:r>
        <w:rPr>
          <w:rFonts w:ascii="Arial" w:cs="Arial" w:eastAsia="Arial" w:hAnsi="Arial"/>
          <w:sz w:val="17"/>
          <w:szCs w:val="17"/>
          <w:color w:val="auto"/>
        </w:rPr>
        <w:t>Trade receivables are amounts due from customers from providing services or the sale of products in the ordinary course of business. Trade receivables are recognized initially at fair value and subsequently measured at amortized cost, less impairment. Trade receivables are classified as current assets if payment is due within one year or less.</w:t>
      </w:r>
    </w:p>
    <w:p>
      <w:pPr>
        <w:spacing w:after="0" w:line="70" w:lineRule="exact"/>
        <w:rPr>
          <w:sz w:val="20"/>
          <w:szCs w:val="20"/>
          <w:color w:val="auto"/>
        </w:rPr>
      </w:pPr>
    </w:p>
    <w:p>
      <w:pPr>
        <w:jc w:val="both"/>
        <w:ind w:left="220" w:right="40"/>
        <w:spacing w:after="0" w:line="243" w:lineRule="auto"/>
        <w:rPr>
          <w:sz w:val="20"/>
          <w:szCs w:val="20"/>
          <w:color w:val="auto"/>
        </w:rPr>
      </w:pPr>
      <w:r>
        <w:rPr>
          <w:rFonts w:ascii="Arial" w:cs="Arial" w:eastAsia="Arial" w:hAnsi="Arial"/>
          <w:sz w:val="17"/>
          <w:szCs w:val="17"/>
          <w:color w:val="auto"/>
        </w:rPr>
        <w:t>The Company maintains an allowance for expected credit losses to provide for impairment of trade receivables. The expense relating to expected credit losses is included within “Operating expenses” in the consolidated income statement. The Company also maintains an allowance for sales adjustments. Revenues are recorded net of sales adjustments.</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7"/>
          <w:szCs w:val="17"/>
          <w:b w:val="1"/>
          <w:bCs w:val="1"/>
          <w:u w:val="single" w:color="auto"/>
          <w:color w:val="auto"/>
        </w:rPr>
        <w:t>Property and equipment</w:t>
      </w:r>
    </w:p>
    <w:p>
      <w:pPr>
        <w:spacing w:after="0" w:line="3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Property and equipment are recorded at cost and depreciated on a straight-line basis over their estimated useful lives as follows:</w:t>
      </w:r>
    </w:p>
    <w:p>
      <w:pPr>
        <w:spacing w:after="0" w:line="215" w:lineRule="exact"/>
        <w:rPr>
          <w:sz w:val="20"/>
          <w:szCs w:val="20"/>
          <w:color w:val="auto"/>
        </w:rPr>
      </w:pPr>
    </w:p>
    <w:tbl>
      <w:tblPr>
        <w:tblLayout w:type="fixed"/>
        <w:tblInd w:w="220" w:type="dxa"/>
        <w:tblCellMar>
          <w:top w:w="0" w:type="dxa"/>
          <w:left w:w="0" w:type="dxa"/>
          <w:bottom w:w="0" w:type="dxa"/>
          <w:right w:w="0" w:type="dxa"/>
        </w:tblCellMar>
      </w:tblPr>
      <w:tr>
        <w:trPr>
          <w:trHeight w:val="212"/>
        </w:trPr>
        <w:tc>
          <w:tcPr>
            <w:tcW w:w="5300" w:type="dxa"/>
            <w:vAlign w:val="bottom"/>
            <w:tcBorders>
              <w:top w:val="single" w:sz="8" w:color="D64000"/>
              <w:bottom w:val="single" w:sz="8" w:color="B2B2B2"/>
            </w:tcBorders>
          </w:tcPr>
          <w:p>
            <w:pPr>
              <w:spacing w:after="0"/>
              <w:rPr>
                <w:sz w:val="20"/>
                <w:szCs w:val="20"/>
                <w:color w:val="auto"/>
              </w:rPr>
            </w:pPr>
            <w:r>
              <w:rPr>
                <w:rFonts w:ascii="Arial" w:cs="Arial" w:eastAsia="Arial" w:hAnsi="Arial"/>
                <w:sz w:val="16"/>
                <w:szCs w:val="16"/>
                <w:color w:val="auto"/>
              </w:rPr>
              <w:t>  Buildings and building improvements</w:t>
            </w:r>
          </w:p>
        </w:tc>
        <w:tc>
          <w:tcPr>
            <w:tcW w:w="5500" w:type="dxa"/>
            <w:vAlign w:val="bottom"/>
            <w:tcBorders>
              <w:top w:val="single" w:sz="8" w:color="D64000"/>
              <w:bottom w:val="single" w:sz="8" w:color="B2B2B2"/>
            </w:tcBorders>
          </w:tcPr>
          <w:p>
            <w:pPr>
              <w:ind w:left="4220"/>
              <w:spacing w:after="0"/>
              <w:rPr>
                <w:sz w:val="20"/>
                <w:szCs w:val="20"/>
                <w:color w:val="auto"/>
              </w:rPr>
            </w:pPr>
            <w:r>
              <w:rPr>
                <w:rFonts w:ascii="Arial" w:cs="Arial" w:eastAsia="Arial" w:hAnsi="Arial"/>
                <w:sz w:val="16"/>
                <w:szCs w:val="16"/>
                <w:color w:val="auto"/>
              </w:rPr>
              <w:t xml:space="preserve">10-40 years    </w:t>
            </w:r>
          </w:p>
        </w:tc>
        <w:tc>
          <w:tcPr>
            <w:tcW w:w="20" w:type="dxa"/>
            <w:vAlign w:val="bottom"/>
          </w:tcPr>
          <w:p>
            <w:pPr>
              <w:spacing w:after="0"/>
              <w:rPr>
                <w:sz w:val="18"/>
                <w:szCs w:val="18"/>
                <w:color w:val="auto"/>
              </w:rPr>
            </w:pPr>
          </w:p>
        </w:tc>
      </w:tr>
      <w:tr>
        <w:trPr>
          <w:trHeight w:val="179"/>
        </w:trPr>
        <w:tc>
          <w:tcPr>
            <w:tcW w:w="530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Computer equipment</w:t>
            </w:r>
          </w:p>
        </w:tc>
        <w:tc>
          <w:tcPr>
            <w:tcW w:w="5500" w:type="dxa"/>
            <w:vAlign w:val="bottom"/>
            <w:tcBorders>
              <w:bottom w:val="single" w:sz="8" w:color="B2B2B2"/>
            </w:tcBorders>
          </w:tcPr>
          <w:p>
            <w:pPr>
              <w:ind w:left="4220"/>
              <w:spacing w:after="0" w:line="179" w:lineRule="exact"/>
              <w:rPr>
                <w:sz w:val="20"/>
                <w:szCs w:val="20"/>
                <w:color w:val="auto"/>
              </w:rPr>
            </w:pPr>
            <w:r>
              <w:rPr>
                <w:rFonts w:ascii="Arial" w:cs="Arial" w:eastAsia="Arial" w:hAnsi="Arial"/>
                <w:sz w:val="16"/>
                <w:szCs w:val="16"/>
                <w:color w:val="auto"/>
              </w:rPr>
              <w:t>3 years</w:t>
            </w:r>
          </w:p>
        </w:tc>
        <w:tc>
          <w:tcPr>
            <w:tcW w:w="20" w:type="dxa"/>
            <w:vAlign w:val="bottom"/>
          </w:tcPr>
          <w:p>
            <w:pPr>
              <w:spacing w:after="0"/>
              <w:rPr>
                <w:sz w:val="15"/>
                <w:szCs w:val="15"/>
                <w:color w:val="auto"/>
              </w:rPr>
            </w:pPr>
          </w:p>
        </w:tc>
      </w:tr>
      <w:tr>
        <w:trPr>
          <w:trHeight w:val="212"/>
        </w:trPr>
        <w:tc>
          <w:tcPr>
            <w:tcW w:w="530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color w:val="auto"/>
              </w:rPr>
              <w:t>  Furniture, fixtures and other equipment</w:t>
            </w:r>
          </w:p>
        </w:tc>
        <w:tc>
          <w:tcPr>
            <w:tcW w:w="5500" w:type="dxa"/>
            <w:vAlign w:val="bottom"/>
            <w:tcBorders>
              <w:bottom w:val="single" w:sz="8" w:color="D64000"/>
            </w:tcBorders>
          </w:tcPr>
          <w:p>
            <w:pPr>
              <w:ind w:left="4220"/>
              <w:spacing w:after="0" w:line="179" w:lineRule="exact"/>
              <w:rPr>
                <w:sz w:val="20"/>
                <w:szCs w:val="20"/>
                <w:color w:val="auto"/>
              </w:rPr>
            </w:pPr>
            <w:r>
              <w:rPr>
                <w:rFonts w:ascii="Arial" w:cs="Arial" w:eastAsia="Arial" w:hAnsi="Arial"/>
                <w:sz w:val="16"/>
                <w:szCs w:val="16"/>
                <w:color w:val="auto"/>
              </w:rPr>
              <w:t>5-7 years</w:t>
            </w:r>
          </w:p>
        </w:tc>
        <w:tc>
          <w:tcPr>
            <w:tcW w:w="20" w:type="dxa"/>
            <w:vAlign w:val="bottom"/>
          </w:tcPr>
          <w:p>
            <w:pPr>
              <w:spacing w:after="0"/>
              <w:rPr>
                <w:sz w:val="18"/>
                <w:szCs w:val="18"/>
                <w:color w:val="auto"/>
              </w:rPr>
            </w:pPr>
          </w:p>
        </w:tc>
      </w:tr>
      <w:tr>
        <w:trPr>
          <w:trHeight w:val="172"/>
        </w:trPr>
        <w:tc>
          <w:tcPr>
            <w:tcW w:w="5300" w:type="dxa"/>
            <w:vAlign w:val="bottom"/>
            <w:tcBorders>
              <w:bottom w:val="single" w:sz="8" w:color="7F7F7F"/>
            </w:tcBorders>
          </w:tcPr>
          <w:p>
            <w:pPr>
              <w:spacing w:after="0"/>
              <w:rPr>
                <w:sz w:val="14"/>
                <w:szCs w:val="14"/>
                <w:color w:val="auto"/>
              </w:rPr>
            </w:pPr>
          </w:p>
        </w:tc>
        <w:tc>
          <w:tcPr>
            <w:tcW w:w="5500" w:type="dxa"/>
            <w:vAlign w:val="bottom"/>
            <w:tcBorders>
              <w:bottom w:val="single" w:sz="8" w:color="7F7F7F"/>
            </w:tcBorders>
          </w:tcPr>
          <w:p>
            <w:pPr>
              <w:spacing w:after="0"/>
              <w:rPr>
                <w:sz w:val="14"/>
                <w:szCs w:val="14"/>
                <w:color w:val="auto"/>
              </w:rPr>
            </w:pPr>
          </w:p>
        </w:tc>
        <w:tc>
          <w:tcPr>
            <w:tcW w:w="20" w:type="dxa"/>
            <w:vAlign w:val="bottom"/>
          </w:tcPr>
          <w:p>
            <w:pPr>
              <w:spacing w:after="0"/>
              <w:rPr>
                <w:sz w:val="14"/>
                <w:szCs w:val="14"/>
                <w:color w:val="auto"/>
              </w:rPr>
            </w:pPr>
          </w:p>
        </w:tc>
      </w:tr>
      <w:tr>
        <w:trPr>
          <w:trHeight w:val="228"/>
        </w:trPr>
        <w:tc>
          <w:tcPr>
            <w:tcW w:w="5300" w:type="dxa"/>
            <w:vAlign w:val="bottom"/>
          </w:tcPr>
          <w:p>
            <w:pPr>
              <w:spacing w:after="0"/>
              <w:rPr>
                <w:sz w:val="20"/>
                <w:szCs w:val="20"/>
                <w:color w:val="auto"/>
              </w:rPr>
            </w:pPr>
            <w:r>
              <w:rPr>
                <w:rFonts w:ascii="Arial" w:cs="Arial" w:eastAsia="Arial" w:hAnsi="Arial"/>
                <w:sz w:val="17"/>
                <w:szCs w:val="17"/>
                <w:color w:val="auto"/>
              </w:rPr>
              <w:t>Page 92</w:t>
            </w:r>
          </w:p>
        </w:tc>
        <w:tc>
          <w:tcPr>
            <w:tcW w:w="5520" w:type="dxa"/>
            <w:vAlign w:val="bottom"/>
            <w:gridSpan w:val="2"/>
          </w:tcPr>
          <w:p>
            <w:pPr>
              <w:ind w:left="2460"/>
              <w:spacing w:after="0"/>
              <w:rPr>
                <w:sz w:val="20"/>
                <w:szCs w:val="20"/>
                <w:color w:val="auto"/>
              </w:rPr>
            </w:pPr>
            <w:r>
              <w:rPr>
                <w:rFonts w:ascii="Arial" w:cs="Arial" w:eastAsia="Arial" w:hAnsi="Arial"/>
                <w:sz w:val="17"/>
                <w:szCs w:val="17"/>
                <w:b w:val="1"/>
                <w:bCs w:val="1"/>
                <w:color w:val="auto"/>
                <w:w w:val="98"/>
              </w:rPr>
              <w:t>Thomson Reuters Annual Report 2024</w:t>
            </w:r>
          </w:p>
        </w:tc>
      </w:tr>
    </w:tbl>
    <w:p>
      <w:pPr>
        <w:sectPr>
          <w:pgSz w:w="11900" w:h="16838" w:orient="portrait"/>
          <w:cols w:equalWidth="0" w:num="1">
            <w:col w:w="11040"/>
          </w:cols>
          <w:pgMar w:left="320" w:top="477" w:right="5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80"/>
        <w:spacing w:after="0" w:line="235" w:lineRule="auto"/>
        <w:rPr>
          <w:sz w:val="20"/>
          <w:szCs w:val="20"/>
          <w:color w:val="auto"/>
        </w:rPr>
      </w:pPr>
      <w:r>
        <w:rPr>
          <w:rFonts w:ascii="Arial" w:cs="Arial" w:eastAsia="Arial" w:hAnsi="Arial"/>
          <w:sz w:val="17"/>
          <w:szCs w:val="17"/>
          <w:color w:val="auto"/>
        </w:rPr>
        <w:t>Right-of-use lease assets included in property and equipment are depreciated over the shorter of the asset’s estimated useful life as noted above or the lease term, on a straight-line basis. Residual values and useful lives are reviewed at the end of each reporting period and adjusted if appropriate. Fully depreciated assets are retained in cost and accumulated depreciation accounts until such assets are removed from service. Gains or losses on the disposal of property and equipment are included within “Operating profit” in the consolidated income statement and computed as the proceeds from disposal netted against the related assets and accumulated depreciation. The proceeds are presented as an investing activity in the consolidated statement of cash flow.</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7"/>
          <w:szCs w:val="17"/>
          <w:b w:val="1"/>
          <w:bCs w:val="1"/>
          <w:u w:val="single" w:color="auto"/>
          <w:color w:val="auto"/>
        </w:rPr>
        <w:t>Intangible assets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Computer software</w:t>
      </w:r>
    </w:p>
    <w:p>
      <w:pPr>
        <w:spacing w:after="0" w:line="6" w:lineRule="exact"/>
        <w:rPr>
          <w:sz w:val="20"/>
          <w:szCs w:val="20"/>
          <w:color w:val="auto"/>
        </w:rPr>
      </w:pPr>
    </w:p>
    <w:p>
      <w:pPr>
        <w:ind w:left="220" w:right="40"/>
        <w:spacing w:after="0" w:line="233" w:lineRule="auto"/>
        <w:rPr>
          <w:sz w:val="20"/>
          <w:szCs w:val="20"/>
          <w:color w:val="auto"/>
        </w:rPr>
      </w:pPr>
      <w:r>
        <w:rPr>
          <w:rFonts w:ascii="Arial" w:cs="Arial" w:eastAsia="Arial" w:hAnsi="Arial"/>
          <w:sz w:val="17"/>
          <w:szCs w:val="17"/>
          <w:color w:val="auto"/>
        </w:rPr>
        <w:t>Certain costs incurred in the development of software to be used internally or for providing services to customers are capitalized once a project has progressed beyond a conceptual, preliminary stage to that of application development. Development costs that are directly attributable to the design and testing of identifiable and unique software products controlled by the Company are recognized as intangible assets when the following criteria are met:</w:t>
      </w:r>
    </w:p>
    <w:p>
      <w:pPr>
        <w:spacing w:after="0" w:line="86" w:lineRule="exact"/>
        <w:rPr>
          <w:sz w:val="20"/>
          <w:szCs w:val="20"/>
          <w:color w:val="auto"/>
        </w:rPr>
      </w:pPr>
    </w:p>
    <w:p>
      <w:pPr>
        <w:ind w:left="640" w:hanging="422"/>
        <w:spacing w:after="0"/>
        <w:tabs>
          <w:tab w:leader="none" w:pos="640" w:val="left"/>
        </w:tabs>
        <w:numPr>
          <w:ilvl w:val="0"/>
          <w:numId w:val="81"/>
        </w:numPr>
        <w:rPr>
          <w:rFonts w:ascii="Arial" w:cs="Arial" w:eastAsia="Arial" w:hAnsi="Arial"/>
          <w:sz w:val="17"/>
          <w:szCs w:val="17"/>
          <w:color w:val="D64000"/>
        </w:rPr>
      </w:pPr>
      <w:r>
        <w:rPr>
          <w:rFonts w:ascii="Arial" w:cs="Arial" w:eastAsia="Arial" w:hAnsi="Arial"/>
          <w:sz w:val="17"/>
          <w:szCs w:val="17"/>
          <w:color w:val="auto"/>
        </w:rPr>
        <w:t>It is technically feasible to complete the software product so that it will be available for use;</w:t>
      </w:r>
    </w:p>
    <w:p>
      <w:pPr>
        <w:spacing w:after="0" w:line="19" w:lineRule="exact"/>
        <w:rPr>
          <w:rFonts w:ascii="Arial" w:cs="Arial" w:eastAsia="Arial" w:hAnsi="Arial"/>
          <w:sz w:val="17"/>
          <w:szCs w:val="17"/>
          <w:color w:val="D64000"/>
        </w:rPr>
      </w:pPr>
    </w:p>
    <w:p>
      <w:pPr>
        <w:ind w:left="640" w:hanging="422"/>
        <w:spacing w:after="0"/>
        <w:tabs>
          <w:tab w:leader="none" w:pos="640" w:val="left"/>
        </w:tabs>
        <w:numPr>
          <w:ilvl w:val="0"/>
          <w:numId w:val="81"/>
        </w:numPr>
        <w:rPr>
          <w:rFonts w:ascii="Arial" w:cs="Arial" w:eastAsia="Arial" w:hAnsi="Arial"/>
          <w:sz w:val="17"/>
          <w:szCs w:val="17"/>
          <w:color w:val="D64000"/>
        </w:rPr>
      </w:pPr>
      <w:r>
        <w:rPr>
          <w:rFonts w:ascii="Arial" w:cs="Arial" w:eastAsia="Arial" w:hAnsi="Arial"/>
          <w:sz w:val="17"/>
          <w:szCs w:val="17"/>
          <w:color w:val="auto"/>
        </w:rPr>
        <w:t>Management intends to complete the software product and use or sell it;</w:t>
      </w:r>
    </w:p>
    <w:p>
      <w:pPr>
        <w:spacing w:after="0" w:line="3" w:lineRule="exact"/>
        <w:rPr>
          <w:rFonts w:ascii="Arial" w:cs="Arial" w:eastAsia="Arial" w:hAnsi="Arial"/>
          <w:sz w:val="17"/>
          <w:szCs w:val="17"/>
          <w:color w:val="D64000"/>
        </w:rPr>
      </w:pPr>
    </w:p>
    <w:p>
      <w:pPr>
        <w:ind w:left="640" w:hanging="422"/>
        <w:spacing w:after="0"/>
        <w:tabs>
          <w:tab w:leader="none" w:pos="640" w:val="left"/>
        </w:tabs>
        <w:numPr>
          <w:ilvl w:val="0"/>
          <w:numId w:val="81"/>
        </w:numPr>
        <w:rPr>
          <w:rFonts w:ascii="Arial" w:cs="Arial" w:eastAsia="Arial" w:hAnsi="Arial"/>
          <w:sz w:val="17"/>
          <w:szCs w:val="17"/>
          <w:color w:val="D64000"/>
        </w:rPr>
      </w:pPr>
      <w:r>
        <w:rPr>
          <w:rFonts w:ascii="Arial" w:cs="Arial" w:eastAsia="Arial" w:hAnsi="Arial"/>
          <w:sz w:val="17"/>
          <w:szCs w:val="17"/>
          <w:color w:val="auto"/>
        </w:rPr>
        <w:t>There is an ability to use or sell the software product;</w:t>
      </w:r>
    </w:p>
    <w:p>
      <w:pPr>
        <w:spacing w:after="0" w:line="3" w:lineRule="exact"/>
        <w:rPr>
          <w:rFonts w:ascii="Arial" w:cs="Arial" w:eastAsia="Arial" w:hAnsi="Arial"/>
          <w:sz w:val="17"/>
          <w:szCs w:val="17"/>
          <w:color w:val="D64000"/>
        </w:rPr>
      </w:pPr>
    </w:p>
    <w:p>
      <w:pPr>
        <w:ind w:left="640" w:hanging="422"/>
        <w:spacing w:after="0"/>
        <w:tabs>
          <w:tab w:leader="none" w:pos="640" w:val="left"/>
        </w:tabs>
        <w:numPr>
          <w:ilvl w:val="0"/>
          <w:numId w:val="81"/>
        </w:numPr>
        <w:rPr>
          <w:rFonts w:ascii="Arial" w:cs="Arial" w:eastAsia="Arial" w:hAnsi="Arial"/>
          <w:sz w:val="17"/>
          <w:szCs w:val="17"/>
          <w:color w:val="D64000"/>
        </w:rPr>
      </w:pPr>
      <w:r>
        <w:rPr>
          <w:rFonts w:ascii="Arial" w:cs="Arial" w:eastAsia="Arial" w:hAnsi="Arial"/>
          <w:sz w:val="17"/>
          <w:szCs w:val="17"/>
          <w:color w:val="auto"/>
        </w:rPr>
        <w:t>It can be demonstrated how the software product will generate probable future economic benefits;</w:t>
      </w:r>
    </w:p>
    <w:p>
      <w:pPr>
        <w:spacing w:after="0" w:line="3" w:lineRule="exact"/>
        <w:rPr>
          <w:rFonts w:ascii="Arial" w:cs="Arial" w:eastAsia="Arial" w:hAnsi="Arial"/>
          <w:sz w:val="17"/>
          <w:szCs w:val="17"/>
          <w:color w:val="D64000"/>
        </w:rPr>
      </w:pPr>
    </w:p>
    <w:p>
      <w:pPr>
        <w:ind w:left="640" w:hanging="422"/>
        <w:spacing w:after="0"/>
        <w:tabs>
          <w:tab w:leader="none" w:pos="640" w:val="left"/>
        </w:tabs>
        <w:numPr>
          <w:ilvl w:val="0"/>
          <w:numId w:val="81"/>
        </w:numPr>
        <w:rPr>
          <w:rFonts w:ascii="Arial" w:cs="Arial" w:eastAsia="Arial" w:hAnsi="Arial"/>
          <w:sz w:val="17"/>
          <w:szCs w:val="17"/>
          <w:color w:val="D64000"/>
        </w:rPr>
      </w:pPr>
      <w:r>
        <w:rPr>
          <w:rFonts w:ascii="Arial" w:cs="Arial" w:eastAsia="Arial" w:hAnsi="Arial"/>
          <w:sz w:val="17"/>
          <w:szCs w:val="17"/>
          <w:color w:val="auto"/>
        </w:rPr>
        <w:t>Adequate technical, financial and other resources to complete the development and to use or sell the software product are available; and</w:t>
      </w:r>
    </w:p>
    <w:p>
      <w:pPr>
        <w:spacing w:after="0" w:line="3" w:lineRule="exact"/>
        <w:rPr>
          <w:rFonts w:ascii="Arial" w:cs="Arial" w:eastAsia="Arial" w:hAnsi="Arial"/>
          <w:sz w:val="17"/>
          <w:szCs w:val="17"/>
          <w:color w:val="D64000"/>
        </w:rPr>
      </w:pPr>
    </w:p>
    <w:p>
      <w:pPr>
        <w:ind w:left="640" w:hanging="422"/>
        <w:spacing w:after="0"/>
        <w:tabs>
          <w:tab w:leader="none" w:pos="640" w:val="left"/>
        </w:tabs>
        <w:numPr>
          <w:ilvl w:val="0"/>
          <w:numId w:val="81"/>
        </w:numPr>
        <w:rPr>
          <w:rFonts w:ascii="Arial" w:cs="Arial" w:eastAsia="Arial" w:hAnsi="Arial"/>
          <w:sz w:val="17"/>
          <w:szCs w:val="17"/>
          <w:color w:val="D64000"/>
        </w:rPr>
      </w:pPr>
      <w:r>
        <w:rPr>
          <w:rFonts w:ascii="Arial" w:cs="Arial" w:eastAsia="Arial" w:hAnsi="Arial"/>
          <w:sz w:val="17"/>
          <w:szCs w:val="17"/>
          <w:color w:val="auto"/>
        </w:rPr>
        <w:t>The expenditure attributable to the software product during its development can be reliably measured.</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Costs that qualify for capitalization include both internal and external costs but are limited to those that are directly related to the specific project.</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Computer software obtained from the acquisition of a business is recorded at fair value.</w:t>
      </w:r>
    </w:p>
    <w:p>
      <w:pPr>
        <w:spacing w:after="0" w:line="80" w:lineRule="exact"/>
        <w:rPr>
          <w:sz w:val="20"/>
          <w:szCs w:val="20"/>
          <w:color w:val="auto"/>
        </w:rPr>
      </w:pPr>
    </w:p>
    <w:p>
      <w:pPr>
        <w:ind w:left="220" w:right="240"/>
        <w:spacing w:after="0" w:line="236" w:lineRule="auto"/>
        <w:rPr>
          <w:sz w:val="20"/>
          <w:szCs w:val="20"/>
          <w:color w:val="auto"/>
        </w:rPr>
      </w:pPr>
      <w:r>
        <w:rPr>
          <w:rFonts w:ascii="Arial" w:cs="Arial" w:eastAsia="Arial" w:hAnsi="Arial"/>
          <w:sz w:val="17"/>
          <w:szCs w:val="17"/>
          <w:color w:val="auto"/>
        </w:rPr>
        <w:t>Computer software is amortized over its expected useful life, which ranges from three to five years and presented as “Amortization of computer software” in the consolidated income statement. Capitalized amounts, net of accumulated amortization, are presented as “Computer software, net” in the consolidated statement of financial position. Residual values and useful lives are reviewed at the end of each reporting period and adjusted if appropriate. Fully amortized assets are retained in cost and accumulated amortization accounts until such assets are removed from service.</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Cloud computing arrangements</w:t>
      </w:r>
    </w:p>
    <w:p>
      <w:pPr>
        <w:spacing w:after="0" w:line="94" w:lineRule="exact"/>
        <w:rPr>
          <w:sz w:val="20"/>
          <w:szCs w:val="20"/>
          <w:color w:val="auto"/>
        </w:rPr>
      </w:pPr>
    </w:p>
    <w:p>
      <w:pPr>
        <w:jc w:val="both"/>
        <w:ind w:left="220" w:right="120"/>
        <w:spacing w:after="0" w:line="238" w:lineRule="auto"/>
        <w:rPr>
          <w:sz w:val="20"/>
          <w:szCs w:val="20"/>
          <w:color w:val="auto"/>
        </w:rPr>
      </w:pPr>
      <w:r>
        <w:rPr>
          <w:rFonts w:ascii="Arial" w:cs="Arial" w:eastAsia="Arial" w:hAnsi="Arial"/>
          <w:sz w:val="17"/>
          <w:szCs w:val="17"/>
          <w:color w:val="auto"/>
        </w:rPr>
        <w:t>In a cloud computing arrangement, the Company is granted a right to access software and other technology capabilities at a third-party provider through the internet. These arrangements typically do not allow the Company to acquire, take possession or control the underlying assets of the provider. Costs associated with cloud computing arrangements are generally expensed as incurred because they generally do not meet software capitalization criteria.</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capitalizes costs to develop software that is hosted in the public cloud when:</w:t>
      </w:r>
    </w:p>
    <w:p>
      <w:pPr>
        <w:spacing w:after="0" w:line="109" w:lineRule="exact"/>
        <w:rPr>
          <w:sz w:val="20"/>
          <w:szCs w:val="20"/>
          <w:color w:val="auto"/>
        </w:rPr>
      </w:pPr>
    </w:p>
    <w:p>
      <w:pPr>
        <w:ind w:left="640" w:hanging="422"/>
        <w:spacing w:after="0"/>
        <w:tabs>
          <w:tab w:leader="none" w:pos="640" w:val="left"/>
        </w:tabs>
        <w:numPr>
          <w:ilvl w:val="0"/>
          <w:numId w:val="82"/>
        </w:numPr>
        <w:rPr>
          <w:rFonts w:ascii="Arial" w:cs="Arial" w:eastAsia="Arial" w:hAnsi="Arial"/>
          <w:sz w:val="17"/>
          <w:szCs w:val="17"/>
          <w:color w:val="D64000"/>
        </w:rPr>
      </w:pPr>
      <w:r>
        <w:rPr>
          <w:rFonts w:ascii="Arial" w:cs="Arial" w:eastAsia="Arial" w:hAnsi="Arial"/>
          <w:sz w:val="17"/>
          <w:szCs w:val="17"/>
          <w:color w:val="auto"/>
        </w:rPr>
        <w:t>It has the contractual right to take possession of the software from the cloud provider without significant penalty; and</w:t>
      </w:r>
    </w:p>
    <w:p>
      <w:pPr>
        <w:spacing w:after="0" w:line="19" w:lineRule="exact"/>
        <w:rPr>
          <w:rFonts w:ascii="Arial" w:cs="Arial" w:eastAsia="Arial" w:hAnsi="Arial"/>
          <w:sz w:val="17"/>
          <w:szCs w:val="17"/>
          <w:color w:val="D64000"/>
        </w:rPr>
      </w:pPr>
    </w:p>
    <w:p>
      <w:pPr>
        <w:ind w:left="640" w:hanging="422"/>
        <w:spacing w:after="0"/>
        <w:tabs>
          <w:tab w:leader="none" w:pos="640" w:val="left"/>
        </w:tabs>
        <w:numPr>
          <w:ilvl w:val="0"/>
          <w:numId w:val="82"/>
        </w:numPr>
        <w:rPr>
          <w:rFonts w:ascii="Arial" w:cs="Arial" w:eastAsia="Arial" w:hAnsi="Arial"/>
          <w:sz w:val="17"/>
          <w:szCs w:val="17"/>
          <w:color w:val="D64000"/>
        </w:rPr>
      </w:pPr>
      <w:r>
        <w:rPr>
          <w:rFonts w:ascii="Arial" w:cs="Arial" w:eastAsia="Arial" w:hAnsi="Arial"/>
          <w:sz w:val="17"/>
          <w:szCs w:val="17"/>
          <w:color w:val="auto"/>
        </w:rPr>
        <w:t>It can demonstrate that it is feasible for the Company to run the software on its own hardware or that of another provider.</w:t>
      </w:r>
    </w:p>
    <w:p>
      <w:pPr>
        <w:spacing w:after="0" w:line="80" w:lineRule="exact"/>
        <w:rPr>
          <w:sz w:val="20"/>
          <w:szCs w:val="20"/>
          <w:color w:val="auto"/>
        </w:rPr>
      </w:pPr>
    </w:p>
    <w:p>
      <w:pPr>
        <w:ind w:left="220" w:right="840"/>
        <w:spacing w:after="0" w:line="260" w:lineRule="auto"/>
        <w:rPr>
          <w:sz w:val="20"/>
          <w:szCs w:val="20"/>
          <w:color w:val="auto"/>
        </w:rPr>
      </w:pPr>
      <w:r>
        <w:rPr>
          <w:rFonts w:ascii="Arial" w:cs="Arial" w:eastAsia="Arial" w:hAnsi="Arial"/>
          <w:sz w:val="17"/>
          <w:szCs w:val="17"/>
          <w:color w:val="auto"/>
        </w:rPr>
        <w:t>The Company capitalizes costs to migrate software from on-premise data centers to the public cloud when the software is either rebuilt specifically for the cloud or has been significantly optimized to run in a cloud environment.</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Other identifiable intangible assets</w:t>
      </w:r>
    </w:p>
    <w:p>
      <w:pPr>
        <w:spacing w:after="0" w:line="5" w:lineRule="exact"/>
        <w:rPr>
          <w:sz w:val="20"/>
          <w:szCs w:val="20"/>
          <w:color w:val="auto"/>
        </w:rPr>
      </w:pPr>
    </w:p>
    <w:p>
      <w:pPr>
        <w:ind w:left="220" w:right="560"/>
        <w:spacing w:after="0"/>
        <w:rPr>
          <w:sz w:val="20"/>
          <w:szCs w:val="20"/>
          <w:color w:val="auto"/>
        </w:rPr>
      </w:pPr>
      <w:r>
        <w:rPr>
          <w:rFonts w:ascii="Arial" w:cs="Arial" w:eastAsia="Arial" w:hAnsi="Arial"/>
          <w:sz w:val="17"/>
          <w:szCs w:val="17"/>
          <w:color w:val="auto"/>
        </w:rPr>
        <w:t>Upon acquisition, identifiable intangible assets are recorded at fair value and are carried at cost less accumulated amortization. Identifiable intangible assets with finite lives are amortized on a straight-line basis over their estimated useful lives as follows:</w:t>
      </w:r>
    </w:p>
    <w:p>
      <w:pPr>
        <w:spacing w:after="0" w:line="205" w:lineRule="exact"/>
        <w:rPr>
          <w:sz w:val="20"/>
          <w:szCs w:val="20"/>
          <w:color w:val="auto"/>
        </w:rPr>
      </w:pPr>
    </w:p>
    <w:tbl>
      <w:tblPr>
        <w:tblLayout w:type="fixed"/>
        <w:tblInd w:w="220" w:type="dxa"/>
        <w:tblCellMar>
          <w:top w:w="0" w:type="dxa"/>
          <w:left w:w="0" w:type="dxa"/>
          <w:bottom w:w="0" w:type="dxa"/>
          <w:right w:w="0" w:type="dxa"/>
        </w:tblCellMar>
      </w:tblPr>
      <w:tr>
        <w:trPr>
          <w:trHeight w:val="212"/>
        </w:trPr>
        <w:tc>
          <w:tcPr>
            <w:tcW w:w="5620" w:type="dxa"/>
            <w:vAlign w:val="bottom"/>
            <w:tcBorders>
              <w:top w:val="single" w:sz="8" w:color="D64000"/>
              <w:bottom w:val="single" w:sz="8" w:color="B2B2B2"/>
            </w:tcBorders>
          </w:tcPr>
          <w:p>
            <w:pPr>
              <w:spacing w:after="0"/>
              <w:rPr>
                <w:sz w:val="20"/>
                <w:szCs w:val="20"/>
                <w:color w:val="auto"/>
              </w:rPr>
            </w:pPr>
            <w:r>
              <w:rPr>
                <w:rFonts w:ascii="Arial" w:cs="Arial" w:eastAsia="Arial" w:hAnsi="Arial"/>
                <w:sz w:val="16"/>
                <w:szCs w:val="16"/>
                <w:color w:val="auto"/>
              </w:rPr>
              <w:t>  Trade names</w:t>
            </w:r>
          </w:p>
        </w:tc>
        <w:tc>
          <w:tcPr>
            <w:tcW w:w="5180" w:type="dxa"/>
            <w:vAlign w:val="bottom"/>
            <w:tcBorders>
              <w:top w:val="single" w:sz="8" w:color="D64000"/>
              <w:bottom w:val="single" w:sz="8" w:color="B2B2B2"/>
            </w:tcBorders>
          </w:tcPr>
          <w:p>
            <w:pPr>
              <w:ind w:left="3900"/>
              <w:spacing w:after="0"/>
              <w:rPr>
                <w:sz w:val="20"/>
                <w:szCs w:val="20"/>
                <w:color w:val="auto"/>
              </w:rPr>
            </w:pPr>
            <w:r>
              <w:rPr>
                <w:rFonts w:ascii="Arial" w:cs="Arial" w:eastAsia="Arial" w:hAnsi="Arial"/>
                <w:sz w:val="16"/>
                <w:szCs w:val="16"/>
                <w:color w:val="auto"/>
              </w:rPr>
              <w:t>5-15 years</w:t>
            </w:r>
          </w:p>
        </w:tc>
      </w:tr>
      <w:tr>
        <w:trPr>
          <w:trHeight w:val="179"/>
        </w:trPr>
        <w:tc>
          <w:tcPr>
            <w:tcW w:w="562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Customer relationships</w:t>
            </w:r>
          </w:p>
        </w:tc>
        <w:tc>
          <w:tcPr>
            <w:tcW w:w="5180" w:type="dxa"/>
            <w:vAlign w:val="bottom"/>
            <w:tcBorders>
              <w:bottom w:val="single" w:sz="8" w:color="B2B2B2"/>
            </w:tcBorders>
          </w:tcPr>
          <w:p>
            <w:pPr>
              <w:ind w:left="3900"/>
              <w:spacing w:after="0" w:line="179" w:lineRule="exact"/>
              <w:rPr>
                <w:sz w:val="20"/>
                <w:szCs w:val="20"/>
                <w:color w:val="auto"/>
              </w:rPr>
            </w:pPr>
            <w:r>
              <w:rPr>
                <w:rFonts w:ascii="Arial" w:cs="Arial" w:eastAsia="Arial" w:hAnsi="Arial"/>
                <w:sz w:val="16"/>
                <w:szCs w:val="16"/>
                <w:color w:val="auto"/>
              </w:rPr>
              <w:t>6-40 years</w:t>
            </w:r>
          </w:p>
        </w:tc>
      </w:tr>
      <w:tr>
        <w:trPr>
          <w:trHeight w:val="179"/>
        </w:trPr>
        <w:tc>
          <w:tcPr>
            <w:tcW w:w="562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Databases and content</w:t>
            </w:r>
          </w:p>
        </w:tc>
        <w:tc>
          <w:tcPr>
            <w:tcW w:w="5180" w:type="dxa"/>
            <w:vAlign w:val="bottom"/>
            <w:tcBorders>
              <w:bottom w:val="single" w:sz="8" w:color="B2B2B2"/>
            </w:tcBorders>
          </w:tcPr>
          <w:p>
            <w:pPr>
              <w:ind w:left="3900"/>
              <w:spacing w:after="0" w:line="179" w:lineRule="exact"/>
              <w:rPr>
                <w:sz w:val="20"/>
                <w:szCs w:val="20"/>
                <w:color w:val="auto"/>
              </w:rPr>
            </w:pPr>
            <w:r>
              <w:rPr>
                <w:rFonts w:ascii="Arial" w:cs="Arial" w:eastAsia="Arial" w:hAnsi="Arial"/>
                <w:sz w:val="16"/>
                <w:szCs w:val="16"/>
                <w:color w:val="auto"/>
              </w:rPr>
              <w:t>5-30 years</w:t>
            </w:r>
          </w:p>
        </w:tc>
      </w:tr>
      <w:tr>
        <w:trPr>
          <w:trHeight w:val="185"/>
        </w:trPr>
        <w:tc>
          <w:tcPr>
            <w:tcW w:w="562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color w:val="auto"/>
              </w:rPr>
              <w:t>  Other</w:t>
            </w:r>
          </w:p>
        </w:tc>
        <w:tc>
          <w:tcPr>
            <w:tcW w:w="5180" w:type="dxa"/>
            <w:vAlign w:val="bottom"/>
            <w:tcBorders>
              <w:bottom w:val="single" w:sz="8" w:color="D64000"/>
            </w:tcBorders>
          </w:tcPr>
          <w:p>
            <w:pPr>
              <w:ind w:left="3900"/>
              <w:spacing w:after="0" w:line="179" w:lineRule="exact"/>
              <w:rPr>
                <w:sz w:val="20"/>
                <w:szCs w:val="20"/>
                <w:color w:val="auto"/>
              </w:rPr>
            </w:pPr>
            <w:r>
              <w:rPr>
                <w:rFonts w:ascii="Arial" w:cs="Arial" w:eastAsia="Arial" w:hAnsi="Arial"/>
                <w:sz w:val="16"/>
                <w:szCs w:val="16"/>
                <w:color w:val="auto"/>
              </w:rPr>
              <w:t xml:space="preserve">10-30 years    </w:t>
            </w:r>
          </w:p>
        </w:tc>
      </w:tr>
    </w:tbl>
    <w:p>
      <w:pPr>
        <w:spacing w:after="0" w:line="15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Useful lives are reviewed at the end of each reporting period and adjusted if appropriate.</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Goodwill</w:t>
      </w:r>
    </w:p>
    <w:p>
      <w:pPr>
        <w:spacing w:after="0" w:line="5" w:lineRule="exact"/>
        <w:rPr>
          <w:sz w:val="20"/>
          <w:szCs w:val="20"/>
          <w:color w:val="auto"/>
        </w:rPr>
      </w:pPr>
    </w:p>
    <w:p>
      <w:pPr>
        <w:ind w:left="220" w:right="620"/>
        <w:spacing w:after="0"/>
        <w:rPr>
          <w:sz w:val="20"/>
          <w:szCs w:val="20"/>
          <w:color w:val="auto"/>
        </w:rPr>
      </w:pPr>
      <w:r>
        <w:rPr>
          <w:rFonts w:ascii="Arial" w:cs="Arial" w:eastAsia="Arial" w:hAnsi="Arial"/>
          <w:sz w:val="17"/>
          <w:szCs w:val="17"/>
          <w:color w:val="auto"/>
        </w:rPr>
        <w:t>Goodwill represents the excess of the cost of an acquisition over the fair value of the Company’s share of the identifiable net assets of the acquired subsidiary at the date of acquisition.</w:t>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17"/>
          <w:szCs w:val="17"/>
          <w:b w:val="1"/>
          <w:bCs w:val="1"/>
          <w:u w:val="single" w:color="auto"/>
          <w:color w:val="auto"/>
        </w:rPr>
        <w:t>Impairment</w:t>
      </w:r>
    </w:p>
    <w:p>
      <w:pPr>
        <w:spacing w:after="0" w:line="96" w:lineRule="exact"/>
        <w:rPr>
          <w:sz w:val="20"/>
          <w:szCs w:val="20"/>
          <w:color w:val="auto"/>
        </w:rPr>
      </w:pPr>
    </w:p>
    <w:p>
      <w:pPr>
        <w:ind w:left="220" w:right="560"/>
        <w:spacing w:after="0" w:line="243" w:lineRule="auto"/>
        <w:rPr>
          <w:sz w:val="20"/>
          <w:szCs w:val="20"/>
          <w:color w:val="auto"/>
        </w:rPr>
      </w:pPr>
      <w:r>
        <w:rPr>
          <w:rFonts w:ascii="Arial" w:cs="Arial" w:eastAsia="Arial" w:hAnsi="Arial"/>
          <w:sz w:val="17"/>
          <w:szCs w:val="17"/>
          <w:color w:val="auto"/>
        </w:rPr>
        <w:t>When the recoverable amount of assets is less than their carrying amount, an impairment charge is recognized in the consolidated income statement. Impairment losses, other than those relating to goodwill, are evaluated for potential reversals when events or changes in circumstances warrant such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91440</wp:posOffset>
            </wp:positionV>
            <wp:extent cx="68656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5"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93</w:t>
      </w:r>
    </w:p>
    <w:p>
      <w:pPr>
        <w:sectPr>
          <w:pgSz w:w="11900" w:h="16838" w:orient="portrait"/>
          <w:cols w:equalWidth="0" w:num="1">
            <w:col w:w="11040"/>
          </w:cols>
          <w:pgMar w:left="320" w:top="477" w:right="5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Goodwill and Intangible assets</w:t>
      </w:r>
    </w:p>
    <w:p>
      <w:pPr>
        <w:spacing w:after="0" w:line="6" w:lineRule="exact"/>
        <w:rPr>
          <w:sz w:val="20"/>
          <w:szCs w:val="20"/>
          <w:color w:val="auto"/>
        </w:rPr>
      </w:pPr>
    </w:p>
    <w:p>
      <w:pPr>
        <w:ind w:left="220" w:right="20"/>
        <w:spacing w:after="0" w:line="233" w:lineRule="auto"/>
        <w:rPr>
          <w:sz w:val="20"/>
          <w:szCs w:val="20"/>
          <w:color w:val="auto"/>
        </w:rPr>
      </w:pPr>
      <w:r>
        <w:rPr>
          <w:rFonts w:ascii="Arial" w:cs="Arial" w:eastAsia="Arial" w:hAnsi="Arial"/>
          <w:sz w:val="17"/>
          <w:szCs w:val="17"/>
          <w:color w:val="auto"/>
        </w:rPr>
        <w:t>The carrying values of all intangible assets and goodwill are reviewed for impairment whenever events or changes in circumstances indicate that their carrying amounts may not be recoverable and at the end of each reporting period for indicators of impairment. Goodwill and identifiable intangible assets with indefinite lives are not amortized, but tested annually for impairment. The recoverable amount is the higher of an asset’s fair value less costs of disposal or its value in use. For purposes of impairment testing:</w:t>
      </w:r>
    </w:p>
    <w:p>
      <w:pPr>
        <w:spacing w:after="0" w:line="86" w:lineRule="exact"/>
        <w:rPr>
          <w:sz w:val="20"/>
          <w:szCs w:val="20"/>
          <w:color w:val="auto"/>
        </w:rPr>
      </w:pPr>
    </w:p>
    <w:p>
      <w:pPr>
        <w:ind w:left="640" w:right="60" w:hanging="422"/>
        <w:spacing w:after="0" w:line="239" w:lineRule="auto"/>
        <w:tabs>
          <w:tab w:leader="none" w:pos="640" w:val="left"/>
        </w:tabs>
        <w:numPr>
          <w:ilvl w:val="0"/>
          <w:numId w:val="83"/>
        </w:numPr>
        <w:rPr>
          <w:rFonts w:ascii="Arial" w:cs="Arial" w:eastAsia="Arial" w:hAnsi="Arial"/>
          <w:sz w:val="17"/>
          <w:szCs w:val="17"/>
          <w:color w:val="D64000"/>
        </w:rPr>
      </w:pPr>
      <w:r>
        <w:rPr>
          <w:rFonts w:ascii="Arial" w:cs="Arial" w:eastAsia="Arial" w:hAnsi="Arial"/>
          <w:sz w:val="17"/>
          <w:szCs w:val="17"/>
          <w:color w:val="auto"/>
        </w:rPr>
        <w:t>Goodwill is allocated to cash-generating units (“CGUs”) based on the level at which management monitors it. The Company’s CGUs are the same as its operating segments. Goodwill is allocated to its CGUs based on the expected benefits of each business combination in which the goodwill arose; and</w:t>
      </w:r>
    </w:p>
    <w:p>
      <w:pPr>
        <w:spacing w:after="0" w:line="1" w:lineRule="exact"/>
        <w:rPr>
          <w:rFonts w:ascii="Arial" w:cs="Arial" w:eastAsia="Arial" w:hAnsi="Arial"/>
          <w:sz w:val="17"/>
          <w:szCs w:val="17"/>
          <w:color w:val="D64000"/>
        </w:rPr>
      </w:pPr>
    </w:p>
    <w:p>
      <w:pPr>
        <w:ind w:left="640" w:right="100" w:hanging="422"/>
        <w:spacing w:after="0" w:line="232" w:lineRule="auto"/>
        <w:tabs>
          <w:tab w:leader="none" w:pos="640" w:val="left"/>
        </w:tabs>
        <w:numPr>
          <w:ilvl w:val="0"/>
          <w:numId w:val="83"/>
        </w:numPr>
        <w:rPr>
          <w:rFonts w:ascii="Arial" w:cs="Arial" w:eastAsia="Arial" w:hAnsi="Arial"/>
          <w:sz w:val="17"/>
          <w:szCs w:val="17"/>
          <w:color w:val="D64000"/>
        </w:rPr>
      </w:pPr>
      <w:r>
        <w:rPr>
          <w:rFonts w:ascii="Arial" w:cs="Arial" w:eastAsia="Arial" w:hAnsi="Arial"/>
          <w:sz w:val="17"/>
          <w:szCs w:val="17"/>
          <w:color w:val="auto"/>
        </w:rPr>
        <w:t>Identifiable intangible assets with indefinite lives are comprised of the Reuters and West tradenames, reflecting their widespread brand recognition, long history, and expected future use. For purposes of impairment testing, the West tradename is allocated to the Legal Professionals, Corporates and Global Print CGUs as it primarily benefits those CGUs. As the Reuters tradename is considered a corporate asset because it is used in the Company’s name, its carrying value is compared to the excess fair value of all the Company’s CGUs for purposes of impairment testing.</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Financial assets</w:t>
      </w:r>
    </w:p>
    <w:p>
      <w:pPr>
        <w:spacing w:after="0" w:line="6" w:lineRule="exact"/>
        <w:rPr>
          <w:sz w:val="20"/>
          <w:szCs w:val="20"/>
          <w:color w:val="auto"/>
        </w:rPr>
      </w:pPr>
    </w:p>
    <w:p>
      <w:pPr>
        <w:ind w:left="220" w:right="20"/>
        <w:spacing w:after="0" w:line="232" w:lineRule="auto"/>
        <w:rPr>
          <w:sz w:val="20"/>
          <w:szCs w:val="20"/>
          <w:color w:val="auto"/>
        </w:rPr>
      </w:pPr>
      <w:r>
        <w:rPr>
          <w:rFonts w:ascii="Arial" w:cs="Arial" w:eastAsia="Arial" w:hAnsi="Arial"/>
          <w:sz w:val="17"/>
          <w:szCs w:val="17"/>
          <w:color w:val="auto"/>
        </w:rPr>
        <w:t>The Company is exposed to normal credit risk with respect to its accounts receivable, and therefore maintains provisions for expected losses arising from non-payment and other sales adjustments. The Company estimates credit losses for trade receivables by aggregating similar customer types together, because they tend to share similar credit risk characteristics, taking into consideration the number of days the receivable is past due. Provision rates for the allowance for expected credit losses are based on historical credit loss experience and calibrated, based on management’s judgment, with forward looking information about a debtor’s ability to pay.</w:t>
      </w:r>
    </w:p>
    <w:p>
      <w:pPr>
        <w:spacing w:after="0" w:line="73" w:lineRule="exact"/>
        <w:rPr>
          <w:sz w:val="20"/>
          <w:szCs w:val="20"/>
          <w:color w:val="auto"/>
        </w:rPr>
      </w:pPr>
    </w:p>
    <w:p>
      <w:pPr>
        <w:ind w:left="220" w:right="80"/>
        <w:spacing w:after="0" w:line="243" w:lineRule="auto"/>
        <w:rPr>
          <w:sz w:val="20"/>
          <w:szCs w:val="20"/>
          <w:color w:val="auto"/>
        </w:rPr>
      </w:pPr>
      <w:r>
        <w:rPr>
          <w:rFonts w:ascii="Arial" w:cs="Arial" w:eastAsia="Arial" w:hAnsi="Arial"/>
          <w:sz w:val="17"/>
          <w:szCs w:val="17"/>
          <w:color w:val="auto"/>
        </w:rPr>
        <w:t>The fair value measurement of other receivables and derivative instruments considers credit risk of the counterparty. The fair value measurement of equity investments that are accounted for as other financial assets considers information such as pricing from equity funding rounds and quoted prices.</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Non-financial assets</w:t>
      </w:r>
    </w:p>
    <w:p>
      <w:pPr>
        <w:spacing w:after="0" w:line="6" w:lineRule="exact"/>
        <w:rPr>
          <w:sz w:val="20"/>
          <w:szCs w:val="20"/>
          <w:color w:val="auto"/>
        </w:rPr>
      </w:pPr>
    </w:p>
    <w:p>
      <w:pPr>
        <w:ind w:left="220" w:right="140"/>
        <w:spacing w:after="0" w:line="232" w:lineRule="auto"/>
        <w:rPr>
          <w:sz w:val="20"/>
          <w:szCs w:val="20"/>
          <w:color w:val="auto"/>
        </w:rPr>
      </w:pPr>
      <w:r>
        <w:rPr>
          <w:rFonts w:ascii="Arial" w:cs="Arial" w:eastAsia="Arial" w:hAnsi="Arial"/>
          <w:sz w:val="17"/>
          <w:szCs w:val="17"/>
          <w:color w:val="auto"/>
        </w:rPr>
        <w:t>The carrying value of a non-financial asset with a finite life, such as property and equipment and computer software, is assessed for impairment whenever events or changes in circumstances indicate that its carrying value may not be recoverable and at the end of each reporting period for indicators of impairment. The recoverable amount is the higher of an asset’s fair value less costs of disposal or its value in use. An asset is assessed for impairment at the lowest level that the asset generates cash inflows that are largely independent of cash inflows from other assets. The lowest level may be an individual asset or a group of assets that form a CGU.</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b w:val="1"/>
          <w:bCs w:val="1"/>
          <w:u w:val="single" w:color="auto"/>
          <w:color w:val="auto"/>
        </w:rPr>
        <w:t>Disposal of long-lived assets and discontinued operations</w:t>
      </w:r>
    </w:p>
    <w:p>
      <w:pPr>
        <w:spacing w:after="0" w:line="33" w:lineRule="exact"/>
        <w:rPr>
          <w:sz w:val="20"/>
          <w:szCs w:val="20"/>
          <w:color w:val="auto"/>
        </w:rPr>
      </w:pPr>
    </w:p>
    <w:p>
      <w:pPr>
        <w:ind w:left="220" w:right="100"/>
        <w:spacing w:after="0" w:line="231" w:lineRule="auto"/>
        <w:rPr>
          <w:sz w:val="20"/>
          <w:szCs w:val="20"/>
          <w:color w:val="auto"/>
        </w:rPr>
      </w:pPr>
      <w:r>
        <w:rPr>
          <w:rFonts w:ascii="Arial" w:cs="Arial" w:eastAsia="Arial" w:hAnsi="Arial"/>
          <w:sz w:val="17"/>
          <w:szCs w:val="17"/>
          <w:color w:val="auto"/>
        </w:rPr>
        <w:t>Long-lived assets are classified as held for sale if the carrying amount will be recovered principally through a sale transaction rather than through continued use and such sale is considered highly probable. The criteria for classification as held for sale include a firm decision by management or the board of directors to dispose of a business or a group of selected assets in its present condition, an active marketing plan, and the expectation that such disposal will be completed within a 12-month period. Assets held for sale are measured at the lower of their carrying amounts or their fair value less costs of disposal and are no longer depreciated. Gains and losses on the disposal of an entity include an allocation of goodwill. Assets held for sale are classified as discontinued operations if the operations and cash flows can be clearly distinguished operationally and for financial reporting purposes from the rest of the Company and they:</w:t>
      </w:r>
    </w:p>
    <w:p>
      <w:pPr>
        <w:spacing w:after="0" w:line="85" w:lineRule="exact"/>
        <w:rPr>
          <w:sz w:val="20"/>
          <w:szCs w:val="20"/>
          <w:color w:val="auto"/>
        </w:rPr>
      </w:pPr>
    </w:p>
    <w:p>
      <w:pPr>
        <w:ind w:left="640" w:hanging="422"/>
        <w:spacing w:after="0"/>
        <w:tabs>
          <w:tab w:leader="none" w:pos="640" w:val="left"/>
        </w:tabs>
        <w:numPr>
          <w:ilvl w:val="0"/>
          <w:numId w:val="84"/>
        </w:numPr>
        <w:rPr>
          <w:rFonts w:ascii="Arial" w:cs="Arial" w:eastAsia="Arial" w:hAnsi="Arial"/>
          <w:sz w:val="17"/>
          <w:szCs w:val="17"/>
          <w:color w:val="D64000"/>
        </w:rPr>
      </w:pPr>
      <w:r>
        <w:rPr>
          <w:rFonts w:ascii="Arial" w:cs="Arial" w:eastAsia="Arial" w:hAnsi="Arial"/>
          <w:sz w:val="17"/>
          <w:szCs w:val="17"/>
          <w:color w:val="auto"/>
        </w:rPr>
        <w:t>Represent a separate major line of business or geographical area of operations;</w:t>
      </w:r>
    </w:p>
    <w:p>
      <w:pPr>
        <w:spacing w:after="0" w:line="19" w:lineRule="exact"/>
        <w:rPr>
          <w:rFonts w:ascii="Arial" w:cs="Arial" w:eastAsia="Arial" w:hAnsi="Arial"/>
          <w:sz w:val="17"/>
          <w:szCs w:val="17"/>
          <w:color w:val="D64000"/>
        </w:rPr>
      </w:pPr>
    </w:p>
    <w:p>
      <w:pPr>
        <w:ind w:left="640" w:hanging="422"/>
        <w:spacing w:after="0"/>
        <w:tabs>
          <w:tab w:leader="none" w:pos="640" w:val="left"/>
        </w:tabs>
        <w:numPr>
          <w:ilvl w:val="0"/>
          <w:numId w:val="84"/>
        </w:numPr>
        <w:rPr>
          <w:rFonts w:ascii="Arial" w:cs="Arial" w:eastAsia="Arial" w:hAnsi="Arial"/>
          <w:sz w:val="17"/>
          <w:szCs w:val="17"/>
          <w:color w:val="D64000"/>
        </w:rPr>
      </w:pPr>
      <w:r>
        <w:rPr>
          <w:rFonts w:ascii="Arial" w:cs="Arial" w:eastAsia="Arial" w:hAnsi="Arial"/>
          <w:sz w:val="17"/>
          <w:szCs w:val="17"/>
          <w:color w:val="auto"/>
        </w:rPr>
        <w:t>Are part of a single coordinated plan to dispose of a separate major line of business or geographical area of operations; or</w:t>
      </w:r>
    </w:p>
    <w:p>
      <w:pPr>
        <w:spacing w:after="0" w:line="3" w:lineRule="exact"/>
        <w:rPr>
          <w:rFonts w:ascii="Arial" w:cs="Arial" w:eastAsia="Arial" w:hAnsi="Arial"/>
          <w:sz w:val="17"/>
          <w:szCs w:val="17"/>
          <w:color w:val="D64000"/>
        </w:rPr>
      </w:pPr>
    </w:p>
    <w:p>
      <w:pPr>
        <w:ind w:left="640" w:hanging="422"/>
        <w:spacing w:after="0"/>
        <w:tabs>
          <w:tab w:leader="none" w:pos="640" w:val="left"/>
        </w:tabs>
        <w:numPr>
          <w:ilvl w:val="0"/>
          <w:numId w:val="84"/>
        </w:numPr>
        <w:rPr>
          <w:rFonts w:ascii="Arial" w:cs="Arial" w:eastAsia="Arial" w:hAnsi="Arial"/>
          <w:sz w:val="17"/>
          <w:szCs w:val="17"/>
          <w:color w:val="D64000"/>
        </w:rPr>
      </w:pPr>
      <w:r>
        <w:rPr>
          <w:rFonts w:ascii="Arial" w:cs="Arial" w:eastAsia="Arial" w:hAnsi="Arial"/>
          <w:sz w:val="17"/>
          <w:szCs w:val="17"/>
          <w:color w:val="auto"/>
        </w:rPr>
        <w:t>Are a subsidiary acquired exclusively with a view to resale.</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17"/>
          <w:szCs w:val="17"/>
          <w:b w:val="1"/>
          <w:bCs w:val="1"/>
          <w:u w:val="single" w:color="auto"/>
          <w:color w:val="auto"/>
        </w:rPr>
        <w:t>Trade payables and accruals</w:t>
      </w:r>
    </w:p>
    <w:p>
      <w:pPr>
        <w:spacing w:after="0" w:line="33" w:lineRule="exact"/>
        <w:rPr>
          <w:sz w:val="20"/>
          <w:szCs w:val="20"/>
          <w:color w:val="auto"/>
        </w:rPr>
      </w:pPr>
    </w:p>
    <w:p>
      <w:pPr>
        <w:ind w:left="220" w:right="280"/>
        <w:spacing w:after="0" w:line="236" w:lineRule="auto"/>
        <w:rPr>
          <w:sz w:val="20"/>
          <w:szCs w:val="20"/>
          <w:color w:val="auto"/>
        </w:rPr>
      </w:pPr>
      <w:r>
        <w:rPr>
          <w:rFonts w:ascii="Arial" w:cs="Arial" w:eastAsia="Arial" w:hAnsi="Arial"/>
          <w:sz w:val="17"/>
          <w:szCs w:val="17"/>
          <w:color w:val="auto"/>
        </w:rPr>
        <w:t>Trade payables and accruals are obligations to pay for goods or services that have been acquired in the ordinary course of business. Amounts are initially recognized at fair value and subsequently measured at amortized cost using the effective interest method. Trade payables and accruals are classified as current liabilities if payment is due within one year or less.</w:t>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17"/>
          <w:szCs w:val="17"/>
          <w:b w:val="1"/>
          <w:bCs w:val="1"/>
          <w:u w:val="single" w:color="auto"/>
          <w:color w:val="auto"/>
        </w:rPr>
        <w:t>Provisions</w:t>
      </w:r>
    </w:p>
    <w:p>
      <w:pPr>
        <w:spacing w:after="0" w:line="34" w:lineRule="exact"/>
        <w:rPr>
          <w:sz w:val="20"/>
          <w:szCs w:val="20"/>
          <w:color w:val="auto"/>
        </w:rPr>
      </w:pPr>
    </w:p>
    <w:p>
      <w:pPr>
        <w:jc w:val="both"/>
        <w:ind w:left="220" w:right="140"/>
        <w:spacing w:after="0" w:line="235" w:lineRule="auto"/>
        <w:rPr>
          <w:sz w:val="20"/>
          <w:szCs w:val="20"/>
          <w:color w:val="auto"/>
        </w:rPr>
      </w:pPr>
      <w:r>
        <w:rPr>
          <w:rFonts w:ascii="Arial" w:cs="Arial" w:eastAsia="Arial" w:hAnsi="Arial"/>
          <w:sz w:val="17"/>
          <w:szCs w:val="17"/>
          <w:color w:val="auto"/>
        </w:rPr>
        <w:t>Provisions represent liabilities of the Company for which the amount or timing is uncertain. Provisions are recognized when the Company has a present legal or constructive obligation due to past events, it is probable that an outflow of resources will be required to settle the obligation, and the amount can be reliably estimated. Provisions are not recognized for future operating losses. Provisions are measured at the present value of the expected expenditures to settle the obligation using a discount rate that reflects current market assessments of the time value of money and the risks specific to the obligation. The increase in the provision due to passage of time is recognized as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93345</wp:posOffset>
            </wp:positionV>
            <wp:extent cx="68656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8"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94</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b w:val="1"/>
          <w:bCs w:val="1"/>
          <w:u w:val="single" w:color="auto"/>
          <w:color w:val="auto"/>
        </w:rPr>
        <w:t>Indebtedness</w:t>
      </w:r>
    </w:p>
    <w:p>
      <w:pPr>
        <w:spacing w:after="0" w:line="33" w:lineRule="exact"/>
        <w:rPr>
          <w:sz w:val="20"/>
          <w:szCs w:val="20"/>
          <w:color w:val="auto"/>
        </w:rPr>
      </w:pPr>
    </w:p>
    <w:p>
      <w:pPr>
        <w:ind w:left="220" w:right="120"/>
        <w:spacing w:after="0" w:line="232" w:lineRule="auto"/>
        <w:rPr>
          <w:sz w:val="20"/>
          <w:szCs w:val="20"/>
          <w:color w:val="auto"/>
        </w:rPr>
      </w:pPr>
      <w:r>
        <w:rPr>
          <w:rFonts w:ascii="Arial" w:cs="Arial" w:eastAsia="Arial" w:hAnsi="Arial"/>
          <w:sz w:val="17"/>
          <w:szCs w:val="17"/>
          <w:color w:val="auto"/>
        </w:rPr>
        <w:t xml:space="preserve">Debt is recognized initially at fair value, net of transaction costs. Debt is subsequently stated at amortized cost with any difference between the proceeds (net of transactions costs) and the redemption value recognized in the consolidated income statement over the term of the debt using the effective interest method. Where a debt instrument is in a fair value hedging relationship, a fair value adjustment is made to its carrying value to reflect hedged risk. Interest on indebtedness is expensed as incurred unless capitalized for qualifying assets in accordance with IAS 23, </w:t>
      </w:r>
      <w:r>
        <w:rPr>
          <w:rFonts w:ascii="Arial" w:cs="Arial" w:eastAsia="Arial" w:hAnsi="Arial"/>
          <w:sz w:val="17"/>
          <w:szCs w:val="17"/>
          <w:i w:val="1"/>
          <w:iCs w:val="1"/>
          <w:color w:val="auto"/>
        </w:rPr>
        <w:t>Borrowing Costs</w:t>
      </w:r>
      <w:r>
        <w:rPr>
          <w:rFonts w:ascii="Arial" w:cs="Arial" w:eastAsia="Arial" w:hAnsi="Arial"/>
          <w:sz w:val="17"/>
          <w:szCs w:val="17"/>
          <w:color w:val="auto"/>
        </w:rPr>
        <w:t>.</w:t>
      </w:r>
    </w:p>
    <w:p>
      <w:pPr>
        <w:spacing w:after="0" w:line="73" w:lineRule="exact"/>
        <w:rPr>
          <w:sz w:val="20"/>
          <w:szCs w:val="20"/>
          <w:color w:val="auto"/>
        </w:rPr>
      </w:pPr>
    </w:p>
    <w:p>
      <w:pPr>
        <w:ind w:left="220" w:right="280"/>
        <w:spacing w:after="0" w:line="260" w:lineRule="auto"/>
        <w:rPr>
          <w:sz w:val="20"/>
          <w:szCs w:val="20"/>
          <w:color w:val="auto"/>
        </w:rPr>
      </w:pPr>
      <w:r>
        <w:rPr>
          <w:rFonts w:ascii="Arial" w:cs="Arial" w:eastAsia="Arial" w:hAnsi="Arial"/>
          <w:sz w:val="17"/>
          <w:szCs w:val="17"/>
          <w:color w:val="auto"/>
        </w:rPr>
        <w:t>Debt is classified as a non-current liability, unless it is due to be settled within one year or less or the Company does not have the right to defer settlement of the liability for at least one year after the reporting period, at which time it is classified as a current liability.</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7"/>
          <w:szCs w:val="17"/>
          <w:b w:val="1"/>
          <w:bCs w:val="1"/>
          <w:u w:val="single" w:color="auto"/>
          <w:color w:val="auto"/>
        </w:rPr>
        <w:t>Leases</w:t>
      </w:r>
    </w:p>
    <w:p>
      <w:pPr>
        <w:spacing w:after="0" w:line="33" w:lineRule="exact"/>
        <w:rPr>
          <w:sz w:val="20"/>
          <w:szCs w:val="20"/>
          <w:color w:val="auto"/>
        </w:rPr>
      </w:pPr>
    </w:p>
    <w:p>
      <w:pPr>
        <w:jc w:val="both"/>
        <w:ind w:left="220" w:right="60"/>
        <w:spacing w:after="0" w:line="236" w:lineRule="auto"/>
        <w:rPr>
          <w:sz w:val="20"/>
          <w:szCs w:val="20"/>
          <w:color w:val="auto"/>
        </w:rPr>
      </w:pPr>
      <w:r>
        <w:rPr>
          <w:rFonts w:ascii="Arial" w:cs="Arial" w:eastAsia="Arial" w:hAnsi="Arial"/>
          <w:sz w:val="17"/>
          <w:szCs w:val="17"/>
          <w:color w:val="auto"/>
        </w:rPr>
        <w:t>A contract is or contains a lease if it conveys the right to control the use of an identified asset for a specified period in exchange for consideration. When the Company leases assets from third parties, the Company is the lessee. The Company does not have significant activity where it acts as the lessor, a transaction in which it leases assets to third parties.</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Lessee</w:t>
      </w:r>
    </w:p>
    <w:p>
      <w:pPr>
        <w:spacing w:after="0" w:line="4" w:lineRule="exact"/>
        <w:rPr>
          <w:sz w:val="20"/>
          <w:szCs w:val="20"/>
          <w:color w:val="auto"/>
        </w:rPr>
      </w:pPr>
    </w:p>
    <w:p>
      <w:pPr>
        <w:ind w:left="220" w:right="80"/>
        <w:spacing w:after="0" w:line="232" w:lineRule="auto"/>
        <w:rPr>
          <w:sz w:val="20"/>
          <w:szCs w:val="20"/>
          <w:color w:val="auto"/>
        </w:rPr>
      </w:pPr>
      <w:r>
        <w:rPr>
          <w:rFonts w:ascii="Arial" w:cs="Arial" w:eastAsia="Arial" w:hAnsi="Arial"/>
          <w:sz w:val="17"/>
          <w:szCs w:val="17"/>
          <w:color w:val="auto"/>
        </w:rPr>
        <w:t>At the lease commencement date, a right-of-use asset for the underlying leased asset and corresponding lease liability are recognized in the consolidated statement of financial position measured on a present value basis. Lease payments are discounted using the interest rate implicit in the lease. If that rate cannot be readily determined, the Company uses its incremental borrowing rate, which is the interest rate that the Company would pay to borrow funds to obtain an asset of a similar value to the right-of-use asset with a comparable security, economic environment and term.</w:t>
      </w:r>
    </w:p>
    <w:p>
      <w:pPr>
        <w:spacing w:after="0" w:line="73" w:lineRule="exact"/>
        <w:rPr>
          <w:sz w:val="20"/>
          <w:szCs w:val="20"/>
          <w:color w:val="auto"/>
        </w:rPr>
      </w:pPr>
    </w:p>
    <w:p>
      <w:pPr>
        <w:ind w:left="220" w:right="80"/>
        <w:spacing w:after="0" w:line="260" w:lineRule="auto"/>
        <w:rPr>
          <w:sz w:val="20"/>
          <w:szCs w:val="20"/>
          <w:color w:val="auto"/>
        </w:rPr>
      </w:pPr>
      <w:r>
        <w:rPr>
          <w:rFonts w:ascii="Arial" w:cs="Arial" w:eastAsia="Arial" w:hAnsi="Arial"/>
          <w:sz w:val="17"/>
          <w:szCs w:val="17"/>
          <w:color w:val="auto"/>
        </w:rPr>
        <w:t>The right-of-use asset is included in “Property and equipment, net”, and the lease liability is included in “Other financial liabilities”, current or long-term as appropriate, within the consolidated statement of financial position.</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Right-of-use assets are measured based on various factors including:</w:t>
      </w:r>
    </w:p>
    <w:p>
      <w:pPr>
        <w:spacing w:after="0" w:line="109" w:lineRule="exact"/>
        <w:rPr>
          <w:sz w:val="20"/>
          <w:szCs w:val="20"/>
          <w:color w:val="auto"/>
        </w:rPr>
      </w:pPr>
    </w:p>
    <w:p>
      <w:pPr>
        <w:ind w:left="640" w:hanging="422"/>
        <w:spacing w:after="0"/>
        <w:tabs>
          <w:tab w:leader="none" w:pos="640" w:val="left"/>
        </w:tabs>
        <w:numPr>
          <w:ilvl w:val="0"/>
          <w:numId w:val="85"/>
        </w:numPr>
        <w:rPr>
          <w:rFonts w:ascii="Arial" w:cs="Arial" w:eastAsia="Arial" w:hAnsi="Arial"/>
          <w:sz w:val="17"/>
          <w:szCs w:val="17"/>
          <w:color w:val="D64000"/>
        </w:rPr>
      </w:pPr>
      <w:r>
        <w:rPr>
          <w:rFonts w:ascii="Arial" w:cs="Arial" w:eastAsia="Arial" w:hAnsi="Arial"/>
          <w:sz w:val="17"/>
          <w:szCs w:val="17"/>
          <w:color w:val="auto"/>
        </w:rPr>
        <w:t>The initial amount of the lease liability;</w:t>
      </w:r>
    </w:p>
    <w:p>
      <w:pPr>
        <w:spacing w:after="0" w:line="19" w:lineRule="exact"/>
        <w:rPr>
          <w:rFonts w:ascii="Arial" w:cs="Arial" w:eastAsia="Arial" w:hAnsi="Arial"/>
          <w:sz w:val="17"/>
          <w:szCs w:val="17"/>
          <w:color w:val="D64000"/>
        </w:rPr>
      </w:pPr>
    </w:p>
    <w:p>
      <w:pPr>
        <w:ind w:left="640" w:hanging="422"/>
        <w:spacing w:after="0"/>
        <w:tabs>
          <w:tab w:leader="none" w:pos="640" w:val="left"/>
        </w:tabs>
        <w:numPr>
          <w:ilvl w:val="0"/>
          <w:numId w:val="85"/>
        </w:numPr>
        <w:rPr>
          <w:rFonts w:ascii="Arial" w:cs="Arial" w:eastAsia="Arial" w:hAnsi="Arial"/>
          <w:sz w:val="17"/>
          <w:szCs w:val="17"/>
          <w:color w:val="D64000"/>
        </w:rPr>
      </w:pPr>
      <w:r>
        <w:rPr>
          <w:rFonts w:ascii="Arial" w:cs="Arial" w:eastAsia="Arial" w:hAnsi="Arial"/>
          <w:sz w:val="17"/>
          <w:szCs w:val="17"/>
          <w:color w:val="auto"/>
        </w:rPr>
        <w:t>Lease payments made at or before the commencement date; and</w:t>
      </w:r>
    </w:p>
    <w:p>
      <w:pPr>
        <w:spacing w:after="0" w:line="3" w:lineRule="exact"/>
        <w:rPr>
          <w:rFonts w:ascii="Arial" w:cs="Arial" w:eastAsia="Arial" w:hAnsi="Arial"/>
          <w:sz w:val="17"/>
          <w:szCs w:val="17"/>
          <w:color w:val="D64000"/>
        </w:rPr>
      </w:pPr>
    </w:p>
    <w:p>
      <w:pPr>
        <w:ind w:left="640" w:hanging="422"/>
        <w:spacing w:after="0"/>
        <w:tabs>
          <w:tab w:leader="none" w:pos="640" w:val="left"/>
        </w:tabs>
        <w:numPr>
          <w:ilvl w:val="0"/>
          <w:numId w:val="85"/>
        </w:numPr>
        <w:rPr>
          <w:rFonts w:ascii="Arial" w:cs="Arial" w:eastAsia="Arial" w:hAnsi="Arial"/>
          <w:sz w:val="17"/>
          <w:szCs w:val="17"/>
          <w:color w:val="D64000"/>
        </w:rPr>
      </w:pPr>
      <w:r>
        <w:rPr>
          <w:rFonts w:ascii="Arial" w:cs="Arial" w:eastAsia="Arial" w:hAnsi="Arial"/>
          <w:sz w:val="17"/>
          <w:szCs w:val="17"/>
          <w:color w:val="auto"/>
        </w:rPr>
        <w:t>Initial direct costs and expected restoration costs.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Lease liabilities are measured as the present value of non-cancellable payments over the lease term, which may include:</w:t>
      </w:r>
    </w:p>
    <w:p>
      <w:pPr>
        <w:spacing w:after="0" w:line="109" w:lineRule="exact"/>
        <w:rPr>
          <w:sz w:val="20"/>
          <w:szCs w:val="20"/>
          <w:color w:val="auto"/>
        </w:rPr>
      </w:pPr>
    </w:p>
    <w:p>
      <w:pPr>
        <w:ind w:left="640" w:hanging="422"/>
        <w:spacing w:after="0"/>
        <w:tabs>
          <w:tab w:leader="none" w:pos="640" w:val="left"/>
        </w:tabs>
        <w:numPr>
          <w:ilvl w:val="0"/>
          <w:numId w:val="86"/>
        </w:numPr>
        <w:rPr>
          <w:rFonts w:ascii="Arial" w:cs="Arial" w:eastAsia="Arial" w:hAnsi="Arial"/>
          <w:sz w:val="17"/>
          <w:szCs w:val="17"/>
          <w:color w:val="D64000"/>
        </w:rPr>
      </w:pPr>
      <w:r>
        <w:rPr>
          <w:rFonts w:ascii="Arial" w:cs="Arial" w:eastAsia="Arial" w:hAnsi="Arial"/>
          <w:sz w:val="17"/>
          <w:szCs w:val="17"/>
          <w:color w:val="auto"/>
        </w:rPr>
        <w:t>Fixed payments (including in-substance fixed payments), less any lease incentives receivable;</w:t>
      </w:r>
    </w:p>
    <w:p>
      <w:pPr>
        <w:spacing w:after="0" w:line="19" w:lineRule="exact"/>
        <w:rPr>
          <w:rFonts w:ascii="Arial" w:cs="Arial" w:eastAsia="Arial" w:hAnsi="Arial"/>
          <w:sz w:val="17"/>
          <w:szCs w:val="17"/>
          <w:color w:val="D64000"/>
        </w:rPr>
      </w:pPr>
    </w:p>
    <w:p>
      <w:pPr>
        <w:ind w:left="640" w:hanging="422"/>
        <w:spacing w:after="0"/>
        <w:tabs>
          <w:tab w:leader="none" w:pos="640" w:val="left"/>
        </w:tabs>
        <w:numPr>
          <w:ilvl w:val="0"/>
          <w:numId w:val="86"/>
        </w:numPr>
        <w:rPr>
          <w:rFonts w:ascii="Arial" w:cs="Arial" w:eastAsia="Arial" w:hAnsi="Arial"/>
          <w:sz w:val="17"/>
          <w:szCs w:val="17"/>
          <w:color w:val="D64000"/>
        </w:rPr>
      </w:pPr>
      <w:r>
        <w:rPr>
          <w:rFonts w:ascii="Arial" w:cs="Arial" w:eastAsia="Arial" w:hAnsi="Arial"/>
          <w:sz w:val="17"/>
          <w:szCs w:val="17"/>
          <w:color w:val="auto"/>
        </w:rPr>
        <w:t>Variable lease payments that are based on an index or a rate (including inflation-linked payments);</w:t>
      </w:r>
    </w:p>
    <w:p>
      <w:pPr>
        <w:spacing w:after="0" w:line="3" w:lineRule="exact"/>
        <w:rPr>
          <w:rFonts w:ascii="Arial" w:cs="Arial" w:eastAsia="Arial" w:hAnsi="Arial"/>
          <w:sz w:val="17"/>
          <w:szCs w:val="17"/>
          <w:color w:val="D64000"/>
        </w:rPr>
      </w:pPr>
    </w:p>
    <w:p>
      <w:pPr>
        <w:ind w:left="640" w:hanging="422"/>
        <w:spacing w:after="0"/>
        <w:tabs>
          <w:tab w:leader="none" w:pos="640" w:val="left"/>
        </w:tabs>
        <w:numPr>
          <w:ilvl w:val="0"/>
          <w:numId w:val="86"/>
        </w:numPr>
        <w:rPr>
          <w:rFonts w:ascii="Arial" w:cs="Arial" w:eastAsia="Arial" w:hAnsi="Arial"/>
          <w:sz w:val="17"/>
          <w:szCs w:val="17"/>
          <w:color w:val="D64000"/>
        </w:rPr>
      </w:pPr>
      <w:r>
        <w:rPr>
          <w:rFonts w:ascii="Arial" w:cs="Arial" w:eastAsia="Arial" w:hAnsi="Arial"/>
          <w:sz w:val="17"/>
          <w:szCs w:val="17"/>
          <w:color w:val="auto"/>
        </w:rPr>
        <w:t>Amounts expected to be payable under residual value guarantees;</w:t>
      </w:r>
    </w:p>
    <w:p>
      <w:pPr>
        <w:spacing w:after="0" w:line="3" w:lineRule="exact"/>
        <w:rPr>
          <w:rFonts w:ascii="Arial" w:cs="Arial" w:eastAsia="Arial" w:hAnsi="Arial"/>
          <w:sz w:val="17"/>
          <w:szCs w:val="17"/>
          <w:color w:val="D64000"/>
        </w:rPr>
      </w:pPr>
    </w:p>
    <w:p>
      <w:pPr>
        <w:ind w:left="640" w:hanging="422"/>
        <w:spacing w:after="0"/>
        <w:tabs>
          <w:tab w:leader="none" w:pos="640" w:val="left"/>
        </w:tabs>
        <w:numPr>
          <w:ilvl w:val="0"/>
          <w:numId w:val="86"/>
        </w:numPr>
        <w:rPr>
          <w:rFonts w:ascii="Arial" w:cs="Arial" w:eastAsia="Arial" w:hAnsi="Arial"/>
          <w:sz w:val="17"/>
          <w:szCs w:val="17"/>
          <w:color w:val="D64000"/>
        </w:rPr>
      </w:pPr>
      <w:r>
        <w:rPr>
          <w:rFonts w:ascii="Arial" w:cs="Arial" w:eastAsia="Arial" w:hAnsi="Arial"/>
          <w:sz w:val="17"/>
          <w:szCs w:val="17"/>
          <w:color w:val="auto"/>
        </w:rPr>
        <w:t>Exercise price of a purchase option if the Company is reasonably certain to exercise that option; and</w:t>
      </w:r>
    </w:p>
    <w:p>
      <w:pPr>
        <w:spacing w:after="0" w:line="3" w:lineRule="exact"/>
        <w:rPr>
          <w:rFonts w:ascii="Arial" w:cs="Arial" w:eastAsia="Arial" w:hAnsi="Arial"/>
          <w:sz w:val="17"/>
          <w:szCs w:val="17"/>
          <w:color w:val="D64000"/>
        </w:rPr>
      </w:pPr>
    </w:p>
    <w:p>
      <w:pPr>
        <w:ind w:left="640" w:hanging="422"/>
        <w:spacing w:after="0"/>
        <w:tabs>
          <w:tab w:leader="none" w:pos="640" w:val="left"/>
        </w:tabs>
        <w:numPr>
          <w:ilvl w:val="0"/>
          <w:numId w:val="86"/>
        </w:numPr>
        <w:rPr>
          <w:rFonts w:ascii="Arial" w:cs="Arial" w:eastAsia="Arial" w:hAnsi="Arial"/>
          <w:sz w:val="17"/>
          <w:szCs w:val="17"/>
          <w:color w:val="D64000"/>
        </w:rPr>
      </w:pPr>
      <w:r>
        <w:rPr>
          <w:rFonts w:ascii="Arial" w:cs="Arial" w:eastAsia="Arial" w:hAnsi="Arial"/>
          <w:sz w:val="17"/>
          <w:szCs w:val="17"/>
          <w:color w:val="auto"/>
        </w:rPr>
        <w:t>Penalty payments for terminating the lease, if the lease term reflects the Company exercising that option.</w:t>
      </w:r>
    </w:p>
    <w:p>
      <w:pPr>
        <w:spacing w:after="0" w:line="80" w:lineRule="exact"/>
        <w:rPr>
          <w:sz w:val="20"/>
          <w:szCs w:val="20"/>
          <w:color w:val="auto"/>
        </w:rPr>
      </w:pPr>
    </w:p>
    <w:p>
      <w:pPr>
        <w:ind w:left="220" w:right="160"/>
        <w:spacing w:after="0" w:line="243" w:lineRule="auto"/>
        <w:rPr>
          <w:sz w:val="20"/>
          <w:szCs w:val="20"/>
          <w:color w:val="auto"/>
        </w:rPr>
      </w:pPr>
      <w:r>
        <w:rPr>
          <w:rFonts w:ascii="Arial" w:cs="Arial" w:eastAsia="Arial" w:hAnsi="Arial"/>
          <w:sz w:val="17"/>
          <w:szCs w:val="17"/>
          <w:color w:val="auto"/>
        </w:rPr>
        <w:t>Where exercise of renewal or termination options is deemed reasonably certain, such assumptions are reflected in the valuation of the right-of-use asset and lease liability. The reasonably certain assessment is made at the lease commencement date and re-assessed if there is a material change in circumstances supporting the assessment.</w:t>
      </w:r>
    </w:p>
    <w:p>
      <w:pPr>
        <w:spacing w:after="0" w:line="69" w:lineRule="exact"/>
        <w:rPr>
          <w:sz w:val="20"/>
          <w:szCs w:val="20"/>
          <w:color w:val="auto"/>
        </w:rPr>
      </w:pPr>
    </w:p>
    <w:p>
      <w:pPr>
        <w:ind w:left="220" w:right="320"/>
        <w:spacing w:after="0" w:line="243" w:lineRule="auto"/>
        <w:rPr>
          <w:sz w:val="20"/>
          <w:szCs w:val="20"/>
          <w:color w:val="auto"/>
        </w:rPr>
      </w:pPr>
      <w:r>
        <w:rPr>
          <w:rFonts w:ascii="Arial" w:cs="Arial" w:eastAsia="Arial" w:hAnsi="Arial"/>
          <w:sz w:val="17"/>
          <w:szCs w:val="17"/>
          <w:color w:val="auto"/>
        </w:rPr>
        <w:t>Lease payments are apportioned between the liability and a finance charge, which is reported within “Finance costs, net” in the consolidated income statement. The right-of-use asset is depreciated over the shorter of the asset’s useful life or the lease term on a straight-line basis and presented within “Depreciation” in the consolidated income statement.</w:t>
      </w:r>
    </w:p>
    <w:p>
      <w:pPr>
        <w:spacing w:after="0" w:line="69" w:lineRule="exact"/>
        <w:rPr>
          <w:sz w:val="20"/>
          <w:szCs w:val="20"/>
          <w:color w:val="auto"/>
        </w:rPr>
      </w:pPr>
    </w:p>
    <w:p>
      <w:pPr>
        <w:ind w:left="220" w:right="660"/>
        <w:spacing w:after="0" w:line="260" w:lineRule="auto"/>
        <w:rPr>
          <w:sz w:val="20"/>
          <w:szCs w:val="20"/>
          <w:color w:val="auto"/>
        </w:rPr>
      </w:pPr>
      <w:r>
        <w:rPr>
          <w:rFonts w:ascii="Arial" w:cs="Arial" w:eastAsia="Arial" w:hAnsi="Arial"/>
          <w:sz w:val="17"/>
          <w:szCs w:val="17"/>
          <w:color w:val="auto"/>
        </w:rPr>
        <w:t>Most of the Company’s leases are comprised of property leases, for which fixed payments covering lease and non-lease components are included in the value of the right-of-use assets and lease liabilities.</w:t>
      </w:r>
    </w:p>
    <w:p>
      <w:pPr>
        <w:spacing w:after="0" w:line="53" w:lineRule="exact"/>
        <w:rPr>
          <w:sz w:val="20"/>
          <w:szCs w:val="20"/>
          <w:color w:val="auto"/>
        </w:rPr>
      </w:pPr>
    </w:p>
    <w:p>
      <w:pPr>
        <w:ind w:left="220" w:right="80"/>
        <w:spacing w:after="0" w:line="291" w:lineRule="auto"/>
        <w:rPr>
          <w:sz w:val="20"/>
          <w:szCs w:val="20"/>
          <w:color w:val="auto"/>
        </w:rPr>
      </w:pPr>
      <w:r>
        <w:rPr>
          <w:rFonts w:ascii="Arial" w:cs="Arial" w:eastAsia="Arial" w:hAnsi="Arial"/>
          <w:sz w:val="16"/>
          <w:szCs w:val="16"/>
          <w:color w:val="auto"/>
        </w:rPr>
        <w:t>Payments for leases with a term of 12 months or less and certain low-value leases are recognized on a straight-line basis within “Operating expenses” in the consolidated income statement and are not recognized as right-of-use assets in the consolidated statement of financial position.</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17"/>
          <w:szCs w:val="17"/>
          <w:b w:val="1"/>
          <w:bCs w:val="1"/>
          <w:u w:val="single" w:color="auto"/>
          <w:color w:val="auto"/>
        </w:rPr>
        <w:t>Financial assets</w:t>
      </w:r>
    </w:p>
    <w:p>
      <w:pPr>
        <w:spacing w:after="0" w:line="33" w:lineRule="exact"/>
        <w:rPr>
          <w:sz w:val="20"/>
          <w:szCs w:val="20"/>
          <w:color w:val="auto"/>
        </w:rPr>
      </w:pPr>
    </w:p>
    <w:p>
      <w:pPr>
        <w:ind w:left="220" w:right="140"/>
        <w:spacing w:after="0" w:line="233" w:lineRule="auto"/>
        <w:rPr>
          <w:sz w:val="20"/>
          <w:szCs w:val="20"/>
          <w:color w:val="auto"/>
        </w:rPr>
      </w:pPr>
      <w:r>
        <w:rPr>
          <w:rFonts w:ascii="Arial" w:cs="Arial" w:eastAsia="Arial" w:hAnsi="Arial"/>
          <w:sz w:val="17"/>
          <w:szCs w:val="17"/>
          <w:color w:val="auto"/>
        </w:rPr>
        <w:t>Purchases and sales of financial assets are recognized on the settlement date, which is the date the asset is delivered to or by the Company. Financial assets are derecognized when the rights to receive cash flows from the assets have expired or were transferred and the Company has transferred substantially all risks and rewards of ownership. Financial assets are classified in the following categories at the time of initial recognition based on the purpose for which the financial assets were acquired:</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Financial assets at fair value through the consolidated income statement</w:t>
      </w:r>
    </w:p>
    <w:p>
      <w:pPr>
        <w:spacing w:after="0" w:line="109" w:lineRule="exact"/>
        <w:rPr>
          <w:sz w:val="20"/>
          <w:szCs w:val="20"/>
          <w:color w:val="auto"/>
        </w:rPr>
      </w:pPr>
    </w:p>
    <w:p>
      <w:pPr>
        <w:ind w:left="640" w:hanging="422"/>
        <w:spacing w:after="0"/>
        <w:tabs>
          <w:tab w:leader="none" w:pos="640" w:val="left"/>
        </w:tabs>
        <w:numPr>
          <w:ilvl w:val="0"/>
          <w:numId w:val="87"/>
        </w:numPr>
        <w:rPr>
          <w:rFonts w:ascii="Arial" w:cs="Arial" w:eastAsia="Arial" w:hAnsi="Arial"/>
          <w:sz w:val="17"/>
          <w:szCs w:val="17"/>
          <w:color w:val="D64000"/>
        </w:rPr>
      </w:pPr>
      <w:r>
        <w:rPr>
          <w:rFonts w:ascii="Arial" w:cs="Arial" w:eastAsia="Arial" w:hAnsi="Arial"/>
          <w:sz w:val="17"/>
          <w:szCs w:val="17"/>
          <w:b w:val="1"/>
          <w:bCs w:val="1"/>
          <w:color w:val="auto"/>
        </w:rPr>
        <w:t>Classification</w:t>
      </w:r>
    </w:p>
    <w:p>
      <w:pPr>
        <w:spacing w:after="0" w:line="19" w:lineRule="exact"/>
        <w:rPr>
          <w:sz w:val="20"/>
          <w:szCs w:val="20"/>
          <w:color w:val="auto"/>
        </w:rPr>
      </w:pPr>
    </w:p>
    <w:p>
      <w:pPr>
        <w:ind w:left="640" w:right="400" w:hanging="422"/>
        <w:spacing w:after="0" w:line="235" w:lineRule="auto"/>
        <w:tabs>
          <w:tab w:leader="none" w:pos="640" w:val="left"/>
        </w:tabs>
        <w:numPr>
          <w:ilvl w:val="0"/>
          <w:numId w:val="88"/>
        </w:numPr>
        <w:rPr>
          <w:rFonts w:ascii="Times New Roman" w:cs="Times New Roman" w:eastAsia="Times New Roman" w:hAnsi="Times New Roman"/>
          <w:sz w:val="17"/>
          <w:szCs w:val="17"/>
          <w:color w:val="auto"/>
        </w:rPr>
      </w:pPr>
      <w:r>
        <w:rPr>
          <w:rFonts w:ascii="Arial" w:cs="Arial" w:eastAsia="Arial" w:hAnsi="Arial"/>
          <w:sz w:val="17"/>
          <w:szCs w:val="17"/>
          <w:color w:val="auto"/>
        </w:rPr>
        <w:t>This category includes assets acquired primarily for the purpose of selling in the short-term, such as financial assets held for trading, or when designated by management. Examples include money market accounts, a receivable under an indemnification arrangement, contingent receivables, as well as foreign exchange contracts not designated as hedges for accounting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101600</wp:posOffset>
            </wp:positionV>
            <wp:extent cx="68656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71"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95</w:t>
      </w:r>
    </w:p>
    <w:p>
      <w:pPr>
        <w:sectPr>
          <w:pgSz w:w="11900" w:h="16838" w:orient="portrait"/>
          <w:cols w:equalWidth="0" w:num="1">
            <w:col w:w="11040"/>
          </w:cols>
          <w:pgMar w:left="320" w:top="477" w:right="5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640" w:hanging="422"/>
        <w:spacing w:after="0"/>
        <w:tabs>
          <w:tab w:leader="none" w:pos="640" w:val="left"/>
        </w:tabs>
        <w:numPr>
          <w:ilvl w:val="0"/>
          <w:numId w:val="89"/>
        </w:numPr>
        <w:rPr>
          <w:rFonts w:ascii="Arial" w:cs="Arial" w:eastAsia="Arial" w:hAnsi="Arial"/>
          <w:sz w:val="17"/>
          <w:szCs w:val="17"/>
          <w:color w:val="D64000"/>
        </w:rPr>
      </w:pPr>
      <w:r>
        <w:rPr>
          <w:rFonts w:ascii="Arial" w:cs="Arial" w:eastAsia="Arial" w:hAnsi="Arial"/>
          <w:sz w:val="17"/>
          <w:szCs w:val="17"/>
          <w:b w:val="1"/>
          <w:bCs w:val="1"/>
          <w:color w:val="auto"/>
        </w:rPr>
        <w:t>Recognition and measurement</w:t>
      </w:r>
    </w:p>
    <w:p>
      <w:pPr>
        <w:spacing w:after="0" w:line="19" w:lineRule="exact"/>
        <w:rPr>
          <w:sz w:val="20"/>
          <w:szCs w:val="20"/>
          <w:color w:val="auto"/>
        </w:rPr>
      </w:pPr>
    </w:p>
    <w:p>
      <w:pPr>
        <w:ind w:left="640" w:right="1000" w:hanging="422"/>
        <w:spacing w:after="0" w:line="239" w:lineRule="auto"/>
        <w:tabs>
          <w:tab w:leader="none" w:pos="640" w:val="left"/>
        </w:tabs>
        <w:numPr>
          <w:ilvl w:val="0"/>
          <w:numId w:val="90"/>
        </w:numPr>
        <w:rPr>
          <w:rFonts w:ascii="Times New Roman" w:cs="Times New Roman" w:eastAsia="Times New Roman" w:hAnsi="Times New Roman"/>
          <w:sz w:val="17"/>
          <w:szCs w:val="17"/>
          <w:color w:val="auto"/>
        </w:rPr>
      </w:pPr>
      <w:r>
        <w:rPr>
          <w:rFonts w:ascii="Arial" w:cs="Arial" w:eastAsia="Arial" w:hAnsi="Arial"/>
          <w:sz w:val="17"/>
          <w:szCs w:val="17"/>
          <w:color w:val="auto"/>
        </w:rPr>
        <w:t>Financial assets in this category are initially recognized, and subsequently carried, at fair value, with changes recognized in the consolidated income statement. Transaction costs are expensed.</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Financial assets at amortized cost</w:t>
      </w:r>
    </w:p>
    <w:p>
      <w:pPr>
        <w:spacing w:after="0" w:line="19" w:lineRule="exact"/>
        <w:rPr>
          <w:sz w:val="20"/>
          <w:szCs w:val="20"/>
          <w:color w:val="auto"/>
        </w:rPr>
      </w:pPr>
    </w:p>
    <w:p>
      <w:pPr>
        <w:ind w:left="640" w:hanging="422"/>
        <w:spacing w:after="0"/>
        <w:tabs>
          <w:tab w:leader="none" w:pos="640" w:val="left"/>
        </w:tabs>
        <w:numPr>
          <w:ilvl w:val="0"/>
          <w:numId w:val="91"/>
        </w:numPr>
        <w:rPr>
          <w:rFonts w:ascii="Arial" w:cs="Arial" w:eastAsia="Arial" w:hAnsi="Arial"/>
          <w:sz w:val="17"/>
          <w:szCs w:val="17"/>
          <w:color w:val="D64000"/>
        </w:rPr>
      </w:pPr>
      <w:r>
        <w:rPr>
          <w:rFonts w:ascii="Arial" w:cs="Arial" w:eastAsia="Arial" w:hAnsi="Arial"/>
          <w:sz w:val="17"/>
          <w:szCs w:val="17"/>
          <w:b w:val="1"/>
          <w:bCs w:val="1"/>
          <w:color w:val="auto"/>
        </w:rPr>
        <w:t>Classification</w:t>
      </w:r>
    </w:p>
    <w:p>
      <w:pPr>
        <w:spacing w:after="0" w:line="3" w:lineRule="exact"/>
        <w:rPr>
          <w:sz w:val="20"/>
          <w:szCs w:val="20"/>
          <w:color w:val="auto"/>
        </w:rPr>
      </w:pPr>
    </w:p>
    <w:p>
      <w:pPr>
        <w:ind w:left="640" w:right="400" w:hanging="422"/>
        <w:spacing w:after="0" w:line="227" w:lineRule="auto"/>
        <w:tabs>
          <w:tab w:leader="none" w:pos="640" w:val="left"/>
        </w:tabs>
        <w:numPr>
          <w:ilvl w:val="0"/>
          <w:numId w:val="92"/>
        </w:numPr>
        <w:rPr>
          <w:rFonts w:ascii="Times New Roman" w:cs="Times New Roman" w:eastAsia="Times New Roman" w:hAnsi="Times New Roman"/>
          <w:sz w:val="17"/>
          <w:szCs w:val="17"/>
          <w:color w:val="auto"/>
        </w:rPr>
      </w:pPr>
      <w:r>
        <w:rPr>
          <w:rFonts w:ascii="Arial" w:cs="Arial" w:eastAsia="Arial" w:hAnsi="Arial"/>
          <w:sz w:val="17"/>
          <w:szCs w:val="17"/>
          <w:color w:val="auto"/>
        </w:rPr>
        <w:t>This category includes cash as well as trade and other receivables, which represent non-derivative financial assets that are held for the purpose of collecting their contractually fixed or determinable payments.</w:t>
      </w:r>
    </w:p>
    <w:p>
      <w:pPr>
        <w:spacing w:after="0" w:line="1" w:lineRule="exact"/>
        <w:rPr>
          <w:sz w:val="20"/>
          <w:szCs w:val="20"/>
          <w:color w:val="auto"/>
        </w:rPr>
      </w:pPr>
    </w:p>
    <w:p>
      <w:pPr>
        <w:ind w:left="640" w:hanging="422"/>
        <w:spacing w:after="0"/>
        <w:tabs>
          <w:tab w:leader="none" w:pos="640" w:val="left"/>
        </w:tabs>
        <w:numPr>
          <w:ilvl w:val="0"/>
          <w:numId w:val="93"/>
        </w:numPr>
        <w:rPr>
          <w:rFonts w:ascii="Arial" w:cs="Arial" w:eastAsia="Arial" w:hAnsi="Arial"/>
          <w:sz w:val="17"/>
          <w:szCs w:val="17"/>
          <w:color w:val="D64000"/>
        </w:rPr>
      </w:pPr>
      <w:r>
        <w:rPr>
          <w:rFonts w:ascii="Arial" w:cs="Arial" w:eastAsia="Arial" w:hAnsi="Arial"/>
          <w:sz w:val="17"/>
          <w:szCs w:val="17"/>
          <w:b w:val="1"/>
          <w:bCs w:val="1"/>
          <w:color w:val="auto"/>
        </w:rPr>
        <w:t>Recognition and measurement</w:t>
      </w:r>
    </w:p>
    <w:p>
      <w:pPr>
        <w:spacing w:after="0" w:line="3" w:lineRule="exact"/>
        <w:rPr>
          <w:sz w:val="20"/>
          <w:szCs w:val="20"/>
          <w:color w:val="auto"/>
        </w:rPr>
      </w:pPr>
    </w:p>
    <w:p>
      <w:pPr>
        <w:ind w:left="640" w:right="660" w:hanging="422"/>
        <w:spacing w:after="0" w:line="239" w:lineRule="auto"/>
        <w:tabs>
          <w:tab w:leader="none" w:pos="640" w:val="left"/>
        </w:tabs>
        <w:numPr>
          <w:ilvl w:val="0"/>
          <w:numId w:val="94"/>
        </w:numPr>
        <w:rPr>
          <w:rFonts w:ascii="Times New Roman" w:cs="Times New Roman" w:eastAsia="Times New Roman" w:hAnsi="Times New Roman"/>
          <w:sz w:val="17"/>
          <w:szCs w:val="17"/>
          <w:color w:val="auto"/>
        </w:rPr>
      </w:pPr>
      <w:r>
        <w:rPr>
          <w:rFonts w:ascii="Arial" w:cs="Arial" w:eastAsia="Arial" w:hAnsi="Arial"/>
          <w:sz w:val="17"/>
          <w:szCs w:val="17"/>
          <w:color w:val="auto"/>
        </w:rPr>
        <w:t>Trade and other receivables are initially recognized at the transaction price and subsequently measured at amortized cost using the effective interest method. Allowances for expected credit losses provide for impairment of receivables.</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Financial assets at fair value through other comprehensive income</w:t>
      </w:r>
    </w:p>
    <w:p>
      <w:pPr>
        <w:spacing w:after="0" w:line="19" w:lineRule="exact"/>
        <w:rPr>
          <w:sz w:val="20"/>
          <w:szCs w:val="20"/>
          <w:color w:val="auto"/>
        </w:rPr>
      </w:pPr>
    </w:p>
    <w:p>
      <w:pPr>
        <w:ind w:left="640" w:hanging="422"/>
        <w:spacing w:after="0"/>
        <w:tabs>
          <w:tab w:leader="none" w:pos="640" w:val="left"/>
        </w:tabs>
        <w:numPr>
          <w:ilvl w:val="0"/>
          <w:numId w:val="95"/>
        </w:numPr>
        <w:rPr>
          <w:rFonts w:ascii="Arial" w:cs="Arial" w:eastAsia="Arial" w:hAnsi="Arial"/>
          <w:sz w:val="17"/>
          <w:szCs w:val="17"/>
          <w:color w:val="D64000"/>
        </w:rPr>
      </w:pPr>
      <w:r>
        <w:rPr>
          <w:rFonts w:ascii="Arial" w:cs="Arial" w:eastAsia="Arial" w:hAnsi="Arial"/>
          <w:sz w:val="17"/>
          <w:szCs w:val="17"/>
          <w:b w:val="1"/>
          <w:bCs w:val="1"/>
          <w:color w:val="auto"/>
        </w:rPr>
        <w:t>Classification</w:t>
      </w:r>
    </w:p>
    <w:p>
      <w:pPr>
        <w:spacing w:after="0" w:line="3" w:lineRule="exact"/>
        <w:rPr>
          <w:sz w:val="20"/>
          <w:szCs w:val="20"/>
          <w:color w:val="auto"/>
        </w:rPr>
      </w:pPr>
    </w:p>
    <w:p>
      <w:pPr>
        <w:ind w:left="640" w:right="40" w:hanging="422"/>
        <w:spacing w:after="0" w:line="235" w:lineRule="auto"/>
        <w:tabs>
          <w:tab w:leader="none" w:pos="640" w:val="left"/>
        </w:tabs>
        <w:numPr>
          <w:ilvl w:val="0"/>
          <w:numId w:val="96"/>
        </w:numPr>
        <w:rPr>
          <w:rFonts w:ascii="Times New Roman" w:cs="Times New Roman" w:eastAsia="Times New Roman" w:hAnsi="Times New Roman"/>
          <w:sz w:val="17"/>
          <w:szCs w:val="17"/>
          <w:color w:val="auto"/>
        </w:rPr>
      </w:pPr>
      <w:r>
        <w:rPr>
          <w:rFonts w:ascii="Arial" w:cs="Arial" w:eastAsia="Arial" w:hAnsi="Arial"/>
          <w:sz w:val="17"/>
          <w:szCs w:val="17"/>
          <w:color w:val="auto"/>
        </w:rPr>
        <w:t>These financial assets are non-derivatives that are irrevocably designated in this category. This category includes equity investments, which are not held-for-trading and do not qualify as associates accounted for under the equity method.</w:t>
      </w:r>
    </w:p>
    <w:p>
      <w:pPr>
        <w:spacing w:after="0" w:line="1" w:lineRule="exact"/>
        <w:rPr>
          <w:sz w:val="20"/>
          <w:szCs w:val="20"/>
          <w:color w:val="auto"/>
        </w:rPr>
      </w:pPr>
    </w:p>
    <w:p>
      <w:pPr>
        <w:ind w:left="640" w:hanging="422"/>
        <w:spacing w:after="0"/>
        <w:tabs>
          <w:tab w:leader="none" w:pos="640" w:val="left"/>
        </w:tabs>
        <w:numPr>
          <w:ilvl w:val="0"/>
          <w:numId w:val="97"/>
        </w:numPr>
        <w:rPr>
          <w:rFonts w:ascii="Arial" w:cs="Arial" w:eastAsia="Arial" w:hAnsi="Arial"/>
          <w:sz w:val="17"/>
          <w:szCs w:val="17"/>
          <w:color w:val="D64000"/>
        </w:rPr>
      </w:pPr>
      <w:r>
        <w:rPr>
          <w:rFonts w:ascii="Arial" w:cs="Arial" w:eastAsia="Arial" w:hAnsi="Arial"/>
          <w:sz w:val="17"/>
          <w:szCs w:val="17"/>
          <w:b w:val="1"/>
          <w:bCs w:val="1"/>
          <w:color w:val="auto"/>
        </w:rPr>
        <w:t>Recognition and measurement</w:t>
      </w:r>
    </w:p>
    <w:p>
      <w:pPr>
        <w:spacing w:after="0" w:line="3" w:lineRule="exact"/>
        <w:rPr>
          <w:sz w:val="20"/>
          <w:szCs w:val="20"/>
          <w:color w:val="auto"/>
        </w:rPr>
      </w:pPr>
    </w:p>
    <w:p>
      <w:pPr>
        <w:ind w:left="640" w:right="280" w:hanging="422"/>
        <w:spacing w:after="0" w:line="235" w:lineRule="auto"/>
        <w:tabs>
          <w:tab w:leader="none" w:pos="640" w:val="left"/>
        </w:tabs>
        <w:numPr>
          <w:ilvl w:val="0"/>
          <w:numId w:val="98"/>
        </w:numPr>
        <w:rPr>
          <w:rFonts w:ascii="Times New Roman" w:cs="Times New Roman" w:eastAsia="Times New Roman" w:hAnsi="Times New Roman"/>
          <w:sz w:val="17"/>
          <w:szCs w:val="17"/>
          <w:color w:val="auto"/>
        </w:rPr>
      </w:pPr>
      <w:r>
        <w:rPr>
          <w:rFonts w:ascii="Arial" w:cs="Arial" w:eastAsia="Arial" w:hAnsi="Arial"/>
          <w:sz w:val="17"/>
          <w:szCs w:val="17"/>
          <w:color w:val="auto"/>
        </w:rPr>
        <w:t>These financial instruments are initially recognized at fair value plus transaction costs and are subsequently carried at fair value with changes recognized in other comprehensive income or loss. The amounts recorded in accumulated other comprehensive income or loss are not subsequently recycled to the consolidated income statement, but rather are reclassified directly to retained earnings.</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Offsetting financial instruments</w:t>
      </w:r>
    </w:p>
    <w:p>
      <w:pPr>
        <w:spacing w:after="0" w:line="6" w:lineRule="exact"/>
        <w:rPr>
          <w:sz w:val="20"/>
          <w:szCs w:val="20"/>
          <w:color w:val="auto"/>
        </w:rPr>
      </w:pPr>
    </w:p>
    <w:p>
      <w:pPr>
        <w:ind w:left="220" w:right="20"/>
        <w:spacing w:after="0" w:line="233" w:lineRule="auto"/>
        <w:rPr>
          <w:sz w:val="20"/>
          <w:szCs w:val="20"/>
          <w:color w:val="auto"/>
        </w:rPr>
      </w:pPr>
      <w:r>
        <w:rPr>
          <w:rFonts w:ascii="Arial" w:cs="Arial" w:eastAsia="Arial" w:hAnsi="Arial"/>
          <w:sz w:val="17"/>
          <w:szCs w:val="17"/>
          <w:color w:val="auto"/>
        </w:rPr>
        <w:t>Financial assets and liabilities are offset and reported net in the consolidated statement of financial position when there is a legally enforceable right to offset the recognized amounts and there is an intention to settle on a net basis or to simultaneously realize the asset and settle the liability. Bank overdrafts in cash pooling arrangements may only be netted against cash and cash equivalents when settlement occurs on or about the end of the reporting period.</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7"/>
          <w:szCs w:val="17"/>
          <w:b w:val="1"/>
          <w:bCs w:val="1"/>
          <w:u w:val="single" w:color="auto"/>
          <w:color w:val="auto"/>
        </w:rPr>
        <w:t>Derivative financial instruments and hedging</w:t>
      </w:r>
    </w:p>
    <w:p>
      <w:pPr>
        <w:spacing w:after="0" w:line="34" w:lineRule="exact"/>
        <w:rPr>
          <w:sz w:val="20"/>
          <w:szCs w:val="20"/>
          <w:color w:val="auto"/>
        </w:rPr>
      </w:pPr>
    </w:p>
    <w:p>
      <w:pPr>
        <w:jc w:val="both"/>
        <w:ind w:left="220" w:right="240"/>
        <w:spacing w:after="0" w:line="241" w:lineRule="auto"/>
        <w:rPr>
          <w:sz w:val="20"/>
          <w:szCs w:val="20"/>
          <w:color w:val="auto"/>
        </w:rPr>
      </w:pPr>
      <w:r>
        <w:rPr>
          <w:rFonts w:ascii="Arial" w:cs="Arial" w:eastAsia="Arial" w:hAnsi="Arial"/>
          <w:sz w:val="17"/>
          <w:szCs w:val="17"/>
          <w:color w:val="auto"/>
        </w:rPr>
        <w:t>Derivatives are initially recognized at fair value on the date a contract is entered into and are subsequently re-measured at their fair value. The method of recognizing the resulting gain or loss depends on whether the derivative is designated as a hedging instrument and the nature of the item being hedged.</w:t>
      </w:r>
    </w:p>
    <w:p>
      <w:pPr>
        <w:spacing w:after="0" w:line="69" w:lineRule="exact"/>
        <w:rPr>
          <w:sz w:val="20"/>
          <w:szCs w:val="20"/>
          <w:color w:val="auto"/>
        </w:rPr>
      </w:pPr>
    </w:p>
    <w:p>
      <w:pPr>
        <w:ind w:left="220" w:right="100"/>
        <w:spacing w:after="0" w:line="238" w:lineRule="auto"/>
        <w:rPr>
          <w:sz w:val="20"/>
          <w:szCs w:val="20"/>
          <w:color w:val="auto"/>
        </w:rPr>
      </w:pPr>
      <w:r>
        <w:rPr>
          <w:rFonts w:ascii="Arial" w:cs="Arial" w:eastAsia="Arial" w:hAnsi="Arial"/>
          <w:sz w:val="17"/>
          <w:szCs w:val="17"/>
          <w:color w:val="auto"/>
        </w:rPr>
        <w:t>At the inception of the transaction, the Company documents the relationship between hedging instruments and hedged items, as well as its risk management objectives and strategy for undertaking various hedging transactions. The Company also documents its assessment, both at hedge inception and on an ongoing basis, of whether the derivatives that are used in hedging transactions are highly effective in offsetting changes in fair values or cash flows of hedged items.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Non-performance risk, including the Company’s own credit risk, is considered when determining the fair value of financial instruments.</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designates certain derivatives as either:</w:t>
      </w:r>
    </w:p>
    <w:p>
      <w:pPr>
        <w:spacing w:after="0" w:line="109" w:lineRule="exact"/>
        <w:rPr>
          <w:sz w:val="20"/>
          <w:szCs w:val="20"/>
          <w:color w:val="auto"/>
        </w:rPr>
      </w:pPr>
    </w:p>
    <w:p>
      <w:pPr>
        <w:ind w:left="440" w:hanging="222"/>
        <w:spacing w:after="0"/>
        <w:tabs>
          <w:tab w:leader="none" w:pos="440" w:val="left"/>
        </w:tabs>
        <w:numPr>
          <w:ilvl w:val="0"/>
          <w:numId w:val="99"/>
        </w:numPr>
        <w:rPr>
          <w:rFonts w:ascii="Arial" w:cs="Arial" w:eastAsia="Arial" w:hAnsi="Arial"/>
          <w:sz w:val="17"/>
          <w:szCs w:val="17"/>
          <w:b w:val="1"/>
          <w:bCs w:val="1"/>
          <w:color w:val="D64000"/>
        </w:rPr>
      </w:pPr>
      <w:r>
        <w:rPr>
          <w:rFonts w:ascii="Arial" w:cs="Arial" w:eastAsia="Arial" w:hAnsi="Arial"/>
          <w:sz w:val="17"/>
          <w:szCs w:val="17"/>
          <w:b w:val="1"/>
          <w:bCs w:val="1"/>
          <w:color w:val="auto"/>
        </w:rPr>
        <w:t>Fair value hedges</w:t>
      </w:r>
    </w:p>
    <w:p>
      <w:pPr>
        <w:spacing w:after="0" w:line="19" w:lineRule="exact"/>
        <w:rPr>
          <w:sz w:val="20"/>
          <w:szCs w:val="20"/>
          <w:color w:val="auto"/>
        </w:rPr>
      </w:pPr>
    </w:p>
    <w:p>
      <w:pPr>
        <w:ind w:left="440" w:right="40" w:hanging="222"/>
        <w:spacing w:after="0" w:line="232" w:lineRule="auto"/>
        <w:tabs>
          <w:tab w:leader="none" w:pos="440" w:val="left"/>
        </w:tabs>
        <w:numPr>
          <w:ilvl w:val="0"/>
          <w:numId w:val="100"/>
        </w:numPr>
        <w:rPr>
          <w:rFonts w:ascii="Times New Roman" w:cs="Times New Roman" w:eastAsia="Times New Roman" w:hAnsi="Times New Roman"/>
          <w:sz w:val="17"/>
          <w:szCs w:val="17"/>
          <w:color w:val="auto"/>
        </w:rPr>
      </w:pPr>
      <w:r>
        <w:rPr>
          <w:rFonts w:ascii="Arial" w:cs="Arial" w:eastAsia="Arial" w:hAnsi="Arial"/>
          <w:sz w:val="17"/>
          <w:szCs w:val="17"/>
          <w:color w:val="auto"/>
        </w:rPr>
        <w:t>These are hedges of the exposure to changes in fair value of a recognized asset or liability or unrecognized firm commitment. Changes in the fair value of derivatives that are designated as fair value hedges are recorded in the consolidated income statement together with any changes in the fair value of the hedged asset or liability that are attributable to the hedged risk.</w:t>
      </w:r>
    </w:p>
    <w:p>
      <w:pPr>
        <w:spacing w:after="0" w:line="2" w:lineRule="exact"/>
        <w:rPr>
          <w:sz w:val="20"/>
          <w:szCs w:val="20"/>
          <w:color w:val="auto"/>
        </w:rPr>
      </w:pPr>
    </w:p>
    <w:p>
      <w:pPr>
        <w:ind w:left="440" w:hanging="222"/>
        <w:spacing w:after="0"/>
        <w:tabs>
          <w:tab w:leader="none" w:pos="440" w:val="left"/>
        </w:tabs>
        <w:numPr>
          <w:ilvl w:val="0"/>
          <w:numId w:val="101"/>
        </w:numPr>
        <w:rPr>
          <w:rFonts w:ascii="Arial" w:cs="Arial" w:eastAsia="Arial" w:hAnsi="Arial"/>
          <w:sz w:val="17"/>
          <w:szCs w:val="17"/>
          <w:b w:val="1"/>
          <w:bCs w:val="1"/>
          <w:color w:val="D64000"/>
        </w:rPr>
      </w:pPr>
      <w:r>
        <w:rPr>
          <w:rFonts w:ascii="Arial" w:cs="Arial" w:eastAsia="Arial" w:hAnsi="Arial"/>
          <w:sz w:val="17"/>
          <w:szCs w:val="17"/>
          <w:b w:val="1"/>
          <w:bCs w:val="1"/>
          <w:color w:val="auto"/>
        </w:rPr>
        <w:t>Cash flow hedges</w:t>
      </w:r>
    </w:p>
    <w:p>
      <w:pPr>
        <w:spacing w:after="0" w:line="3" w:lineRule="exact"/>
        <w:rPr>
          <w:sz w:val="20"/>
          <w:szCs w:val="20"/>
          <w:color w:val="auto"/>
        </w:rPr>
      </w:pPr>
    </w:p>
    <w:p>
      <w:pPr>
        <w:ind w:left="440" w:right="40" w:hanging="222"/>
        <w:spacing w:after="0" w:line="255" w:lineRule="auto"/>
        <w:tabs>
          <w:tab w:leader="none" w:pos="440" w:val="left"/>
        </w:tabs>
        <w:numPr>
          <w:ilvl w:val="0"/>
          <w:numId w:val="102"/>
        </w:numPr>
        <w:rPr>
          <w:rFonts w:ascii="Times New Roman" w:cs="Times New Roman" w:eastAsia="Times New Roman" w:hAnsi="Times New Roman"/>
          <w:sz w:val="16"/>
          <w:szCs w:val="16"/>
          <w:color w:val="auto"/>
        </w:rPr>
      </w:pPr>
      <w:r>
        <w:rPr>
          <w:rFonts w:ascii="Arial" w:cs="Arial" w:eastAsia="Arial" w:hAnsi="Arial"/>
          <w:sz w:val="16"/>
          <w:szCs w:val="16"/>
          <w:color w:val="auto"/>
        </w:rPr>
        <w:t>These are hedges of the exposure to variability in cash flows of a recognized asset or liability or a highly probable forecast transaction. The effective portion of changes in the fair value of derivatives that are designated as a cash flow hedge is recognized in other comprehensive income or loss. The gain or loss relating to the ineffective portion is recognized immediately in the consolidated income statement. Additionally:</w:t>
      </w:r>
    </w:p>
    <w:p>
      <w:pPr>
        <w:spacing w:after="0" w:line="32" w:lineRule="exact"/>
        <w:rPr>
          <w:rFonts w:ascii="Times New Roman" w:cs="Times New Roman" w:eastAsia="Times New Roman" w:hAnsi="Times New Roman"/>
          <w:sz w:val="16"/>
          <w:szCs w:val="16"/>
          <w:color w:val="auto"/>
        </w:rPr>
      </w:pPr>
    </w:p>
    <w:p>
      <w:pPr>
        <w:ind w:left="740" w:right="60" w:hanging="212"/>
        <w:spacing w:after="0" w:line="260" w:lineRule="auto"/>
        <w:rPr>
          <w:rFonts w:ascii="Times New Roman" w:cs="Times New Roman" w:eastAsia="Times New Roman" w:hAnsi="Times New Roman"/>
          <w:sz w:val="16"/>
          <w:szCs w:val="16"/>
          <w:color w:val="auto"/>
        </w:rPr>
      </w:pPr>
      <w:r>
        <w:rPr>
          <w:rFonts w:ascii="Arial" w:cs="Arial" w:eastAsia="Arial" w:hAnsi="Arial"/>
          <w:sz w:val="17"/>
          <w:szCs w:val="17"/>
          <w:color w:val="auto"/>
        </w:rPr>
        <w:t>– amounts in accumulated other comprehensive loss are recycled to the consolidated income statement in the period when the hedged item will affect earnings;</w:t>
      </w:r>
    </w:p>
    <w:p>
      <w:pPr>
        <w:spacing w:after="0" w:line="66" w:lineRule="exact"/>
        <w:rPr>
          <w:rFonts w:ascii="Times New Roman" w:cs="Times New Roman" w:eastAsia="Times New Roman" w:hAnsi="Times New Roman"/>
          <w:sz w:val="16"/>
          <w:szCs w:val="16"/>
          <w:color w:val="auto"/>
        </w:rPr>
      </w:pPr>
    </w:p>
    <w:p>
      <w:pPr>
        <w:ind w:left="740" w:right="160" w:hanging="212"/>
        <w:spacing w:after="0" w:line="243" w:lineRule="auto"/>
        <w:rPr>
          <w:rFonts w:ascii="Times New Roman" w:cs="Times New Roman" w:eastAsia="Times New Roman" w:hAnsi="Times New Roman"/>
          <w:sz w:val="16"/>
          <w:szCs w:val="16"/>
          <w:color w:val="auto"/>
        </w:rPr>
      </w:pPr>
      <w:r>
        <w:rPr>
          <w:rFonts w:ascii="Arial" w:cs="Arial" w:eastAsia="Arial" w:hAnsi="Arial"/>
          <w:sz w:val="17"/>
          <w:szCs w:val="17"/>
          <w:color w:val="auto"/>
        </w:rPr>
        <w:t>– when a hedging instrument expires or is sold, or when a hedge no longer meets the criteria for hedge accounting, any cumulative gain or loss in accumulated other comprehensive loss remains in accumulated other comprehensive loss and is recognized when the forecast transaction is ultimately recognized in the consolidated income statement; and</w:t>
      </w:r>
    </w:p>
    <w:p>
      <w:pPr>
        <w:spacing w:after="0" w:line="81" w:lineRule="exact"/>
        <w:rPr>
          <w:rFonts w:ascii="Times New Roman" w:cs="Times New Roman" w:eastAsia="Times New Roman" w:hAnsi="Times New Roman"/>
          <w:sz w:val="16"/>
          <w:szCs w:val="16"/>
          <w:color w:val="auto"/>
        </w:rPr>
      </w:pPr>
    </w:p>
    <w:p>
      <w:pPr>
        <w:ind w:left="740" w:right="940" w:hanging="212"/>
        <w:spacing w:after="0" w:line="260" w:lineRule="auto"/>
        <w:rPr>
          <w:rFonts w:ascii="Times New Roman" w:cs="Times New Roman" w:eastAsia="Times New Roman" w:hAnsi="Times New Roman"/>
          <w:sz w:val="16"/>
          <w:szCs w:val="16"/>
          <w:color w:val="auto"/>
        </w:rPr>
      </w:pPr>
      <w:r>
        <w:rPr>
          <w:rFonts w:ascii="Arial" w:cs="Arial" w:eastAsia="Arial" w:hAnsi="Arial"/>
          <w:sz w:val="17"/>
          <w:szCs w:val="17"/>
          <w:color w:val="auto"/>
        </w:rPr>
        <w:t>– when a forecast transaction is no longer expected to occur, the cumulative gain or loss that was reported in accumulated other comprehensive loss is immediately recognized in the consolidated income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81915</wp:posOffset>
            </wp:positionV>
            <wp:extent cx="68656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26"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96</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b w:val="1"/>
          <w:bCs w:val="1"/>
          <w:u w:val="single" w:color="auto"/>
          <w:color w:val="auto"/>
        </w:rPr>
        <w:t>Derivatives that do not qualify for hedge accounting</w:t>
      </w:r>
    </w:p>
    <w:p>
      <w:pPr>
        <w:spacing w:after="0" w:line="33" w:lineRule="exact"/>
        <w:rPr>
          <w:sz w:val="20"/>
          <w:szCs w:val="20"/>
          <w:color w:val="auto"/>
        </w:rPr>
      </w:pPr>
    </w:p>
    <w:p>
      <w:pPr>
        <w:ind w:left="220" w:right="20"/>
        <w:spacing w:after="0" w:line="251" w:lineRule="auto"/>
        <w:rPr>
          <w:sz w:val="20"/>
          <w:szCs w:val="20"/>
          <w:color w:val="auto"/>
        </w:rPr>
      </w:pPr>
      <w:r>
        <w:rPr>
          <w:rFonts w:ascii="Arial" w:cs="Arial" w:eastAsia="Arial" w:hAnsi="Arial"/>
          <w:sz w:val="16"/>
          <w:szCs w:val="16"/>
          <w:color w:val="auto"/>
        </w:rPr>
        <w:t>Certain derivative instruments, while providing effective economic hedges, are not designated as hedges for accounting purposes. Changes in the fair value of derivatives that are not designated as hedges for accounting purposes are recognized within “Other finance income (costs)” in the consolidated income statement consistent with the underlying nature and purpose of the derivative instruments. Settlements from these instruments are classified within the cash flow line item where the economic hedge relationship exists in the consolidated statement of cash flow.</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7"/>
          <w:szCs w:val="17"/>
          <w:b w:val="1"/>
          <w:bCs w:val="1"/>
          <w:u w:val="single" w:color="auto"/>
          <w:color w:val="auto"/>
        </w:rPr>
        <w:t>Taxation</w:t>
      </w:r>
    </w:p>
    <w:p>
      <w:pPr>
        <w:spacing w:after="0" w:line="33" w:lineRule="exact"/>
        <w:rPr>
          <w:sz w:val="20"/>
          <w:szCs w:val="20"/>
          <w:color w:val="auto"/>
        </w:rPr>
      </w:pPr>
    </w:p>
    <w:p>
      <w:pPr>
        <w:ind w:left="220" w:right="60"/>
        <w:spacing w:after="0"/>
        <w:rPr>
          <w:sz w:val="20"/>
          <w:szCs w:val="20"/>
          <w:color w:val="auto"/>
        </w:rPr>
      </w:pPr>
      <w:r>
        <w:rPr>
          <w:rFonts w:ascii="Arial" w:cs="Arial" w:eastAsia="Arial" w:hAnsi="Arial"/>
          <w:sz w:val="17"/>
          <w:szCs w:val="17"/>
          <w:color w:val="auto"/>
        </w:rPr>
        <w:t>Tax expense comprises current and deferred income tax. Tax is recognized in the consolidated income statement except to the extent it relates to items recognized in other comprehensive income or loss or directly in equity.</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Current tax</w:t>
      </w:r>
    </w:p>
    <w:p>
      <w:pPr>
        <w:spacing w:after="0" w:line="6" w:lineRule="exact"/>
        <w:rPr>
          <w:sz w:val="20"/>
          <w:szCs w:val="20"/>
          <w:color w:val="auto"/>
        </w:rPr>
      </w:pPr>
    </w:p>
    <w:p>
      <w:pPr>
        <w:ind w:left="220" w:right="280"/>
        <w:spacing w:after="0" w:line="232" w:lineRule="auto"/>
        <w:rPr>
          <w:sz w:val="20"/>
          <w:szCs w:val="20"/>
          <w:color w:val="auto"/>
        </w:rPr>
      </w:pPr>
      <w:r>
        <w:rPr>
          <w:rFonts w:ascii="Arial" w:cs="Arial" w:eastAsia="Arial" w:hAnsi="Arial"/>
          <w:sz w:val="17"/>
          <w:szCs w:val="17"/>
          <w:color w:val="auto"/>
        </w:rPr>
        <w:t>Current tax expense is based on the results for the period as adjusted for items that are currently not taxable or not deductible. Current tax is calculated using tax rates and laws that were enacted or substantively enacted at the end of the reporting period. Management periodically evaluates positions taken in tax returns with respect to situations in which applicable tax regulation is subject to interpretation. Provisions are established where appropriate based on amounts expected to be paid to the tax authorities. Interest on underpaid taxes is included within “Net interest expense” in the consolidated income statement.</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Deferred tax</w:t>
      </w:r>
    </w:p>
    <w:p>
      <w:pPr>
        <w:spacing w:after="0" w:line="6" w:lineRule="exact"/>
        <w:rPr>
          <w:sz w:val="20"/>
          <w:szCs w:val="20"/>
          <w:color w:val="auto"/>
        </w:rPr>
      </w:pPr>
    </w:p>
    <w:p>
      <w:pPr>
        <w:ind w:left="220" w:right="120"/>
        <w:spacing w:after="0" w:line="232" w:lineRule="auto"/>
        <w:rPr>
          <w:sz w:val="20"/>
          <w:szCs w:val="20"/>
          <w:color w:val="auto"/>
        </w:rPr>
      </w:pPr>
      <w:r>
        <w:rPr>
          <w:rFonts w:ascii="Arial" w:cs="Arial" w:eastAsia="Arial" w:hAnsi="Arial"/>
          <w:sz w:val="17"/>
          <w:szCs w:val="17"/>
          <w:color w:val="auto"/>
        </w:rPr>
        <w:t>Deferred tax is recognized on temporary differences arising between the tax bases of assets and liabilities and their carrying amounts in the consolidated statement of financial position. Deferred tax is calculated using regular tax rates and laws that have been enacted or substantively enacted at the end of each reporting period, and which are expected to apply when the related deferred income tax asset is realized, or the deferred income tax liability is settled. The Company does not adjust deferred tax balances for the impact of minimum tax rates that may apply in any given period.</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Deferred tax liabilities:</w:t>
      </w:r>
    </w:p>
    <w:p>
      <w:pPr>
        <w:spacing w:after="0" w:line="109" w:lineRule="exact"/>
        <w:rPr>
          <w:sz w:val="20"/>
          <w:szCs w:val="20"/>
          <w:color w:val="auto"/>
        </w:rPr>
      </w:pPr>
    </w:p>
    <w:p>
      <w:pPr>
        <w:ind w:left="640" w:hanging="422"/>
        <w:spacing w:after="0"/>
        <w:tabs>
          <w:tab w:leader="none" w:pos="640" w:val="left"/>
        </w:tabs>
        <w:numPr>
          <w:ilvl w:val="0"/>
          <w:numId w:val="103"/>
        </w:numPr>
        <w:rPr>
          <w:rFonts w:ascii="Arial" w:cs="Arial" w:eastAsia="Arial" w:hAnsi="Arial"/>
          <w:sz w:val="17"/>
          <w:szCs w:val="17"/>
          <w:color w:val="D64000"/>
        </w:rPr>
      </w:pPr>
      <w:r>
        <w:rPr>
          <w:rFonts w:ascii="Arial" w:cs="Arial" w:eastAsia="Arial" w:hAnsi="Arial"/>
          <w:sz w:val="17"/>
          <w:szCs w:val="17"/>
          <w:color w:val="auto"/>
        </w:rPr>
        <w:t>Are generally recognized for all taxable temporary differences;</w:t>
      </w:r>
    </w:p>
    <w:p>
      <w:pPr>
        <w:spacing w:after="0" w:line="19" w:lineRule="exact"/>
        <w:rPr>
          <w:rFonts w:ascii="Arial" w:cs="Arial" w:eastAsia="Arial" w:hAnsi="Arial"/>
          <w:sz w:val="17"/>
          <w:szCs w:val="17"/>
          <w:color w:val="D64000"/>
        </w:rPr>
      </w:pPr>
    </w:p>
    <w:p>
      <w:pPr>
        <w:ind w:left="640" w:right="40" w:hanging="422"/>
        <w:spacing w:after="0" w:line="233" w:lineRule="auto"/>
        <w:tabs>
          <w:tab w:leader="none" w:pos="640" w:val="left"/>
        </w:tabs>
        <w:numPr>
          <w:ilvl w:val="0"/>
          <w:numId w:val="103"/>
        </w:numPr>
        <w:rPr>
          <w:rFonts w:ascii="Arial" w:cs="Arial" w:eastAsia="Arial" w:hAnsi="Arial"/>
          <w:sz w:val="17"/>
          <w:szCs w:val="17"/>
          <w:color w:val="D64000"/>
        </w:rPr>
      </w:pPr>
      <w:r>
        <w:rPr>
          <w:rFonts w:ascii="Arial" w:cs="Arial" w:eastAsia="Arial" w:hAnsi="Arial"/>
          <w:sz w:val="17"/>
          <w:szCs w:val="17"/>
          <w:color w:val="auto"/>
        </w:rPr>
        <w:t>Are recognized for taxable temporary differences arising on investments in subsidiaries and associates, except where the reversal of the temporary difference can be controlled, and it is probable that the difference will not reverse in the foreseeable future or create a tax liability; and</w:t>
      </w:r>
    </w:p>
    <w:p>
      <w:pPr>
        <w:ind w:left="640" w:hanging="422"/>
        <w:spacing w:after="0"/>
        <w:tabs>
          <w:tab w:leader="none" w:pos="640" w:val="left"/>
        </w:tabs>
        <w:numPr>
          <w:ilvl w:val="0"/>
          <w:numId w:val="103"/>
        </w:numPr>
        <w:rPr>
          <w:rFonts w:ascii="Arial" w:cs="Arial" w:eastAsia="Arial" w:hAnsi="Arial"/>
          <w:sz w:val="17"/>
          <w:szCs w:val="17"/>
          <w:color w:val="D64000"/>
        </w:rPr>
      </w:pPr>
      <w:r>
        <w:rPr>
          <w:rFonts w:ascii="Arial" w:cs="Arial" w:eastAsia="Arial" w:hAnsi="Arial"/>
          <w:sz w:val="17"/>
          <w:szCs w:val="17"/>
          <w:color w:val="auto"/>
        </w:rPr>
        <w:t>Are not recognized on temporary differences that arise from goodwill that is not deductible for tax purposes.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Deferred tax assets:</w:t>
      </w:r>
    </w:p>
    <w:p>
      <w:pPr>
        <w:spacing w:after="0" w:line="109" w:lineRule="exact"/>
        <w:rPr>
          <w:sz w:val="20"/>
          <w:szCs w:val="20"/>
          <w:color w:val="auto"/>
        </w:rPr>
      </w:pPr>
    </w:p>
    <w:p>
      <w:pPr>
        <w:ind w:left="640" w:right="300" w:hanging="422"/>
        <w:spacing w:after="0" w:line="245" w:lineRule="auto"/>
        <w:tabs>
          <w:tab w:leader="none" w:pos="640" w:val="left"/>
        </w:tabs>
        <w:numPr>
          <w:ilvl w:val="0"/>
          <w:numId w:val="104"/>
        </w:numPr>
        <w:rPr>
          <w:rFonts w:ascii="Arial" w:cs="Arial" w:eastAsia="Arial" w:hAnsi="Arial"/>
          <w:sz w:val="17"/>
          <w:szCs w:val="17"/>
          <w:color w:val="D64000"/>
        </w:rPr>
      </w:pPr>
      <w:r>
        <w:rPr>
          <w:rFonts w:ascii="Arial" w:cs="Arial" w:eastAsia="Arial" w:hAnsi="Arial"/>
          <w:sz w:val="17"/>
          <w:szCs w:val="17"/>
          <w:color w:val="auto"/>
        </w:rPr>
        <w:t>Are recognized to the extent it is probable that taxable profits will be available against which the deductible temporary differences can be utilized; and</w:t>
      </w:r>
    </w:p>
    <w:p>
      <w:pPr>
        <w:spacing w:after="0" w:line="1" w:lineRule="exact"/>
        <w:rPr>
          <w:rFonts w:ascii="Arial" w:cs="Arial" w:eastAsia="Arial" w:hAnsi="Arial"/>
          <w:sz w:val="17"/>
          <w:szCs w:val="17"/>
          <w:color w:val="D64000"/>
        </w:rPr>
      </w:pPr>
    </w:p>
    <w:p>
      <w:pPr>
        <w:ind w:left="640" w:right="280" w:hanging="422"/>
        <w:spacing w:after="0"/>
        <w:tabs>
          <w:tab w:leader="none" w:pos="640" w:val="left"/>
        </w:tabs>
        <w:numPr>
          <w:ilvl w:val="0"/>
          <w:numId w:val="104"/>
        </w:numPr>
        <w:rPr>
          <w:rFonts w:ascii="Arial" w:cs="Arial" w:eastAsia="Arial" w:hAnsi="Arial"/>
          <w:sz w:val="17"/>
          <w:szCs w:val="17"/>
          <w:color w:val="D64000"/>
        </w:rPr>
      </w:pPr>
      <w:r>
        <w:rPr>
          <w:rFonts w:ascii="Arial" w:cs="Arial" w:eastAsia="Arial" w:hAnsi="Arial"/>
          <w:sz w:val="17"/>
          <w:szCs w:val="17"/>
          <w:color w:val="auto"/>
        </w:rPr>
        <w:t>Are reviewed at the end of the reporting period and reduced to the extent that it is no longer probable that sufficient taxable profits will be available to allow all or part of the asset to be recovered.</w:t>
      </w:r>
    </w:p>
    <w:p>
      <w:pPr>
        <w:spacing w:after="0" w:line="176" w:lineRule="exact"/>
        <w:rPr>
          <w:sz w:val="20"/>
          <w:szCs w:val="20"/>
          <w:color w:val="auto"/>
        </w:rPr>
      </w:pPr>
    </w:p>
    <w:p>
      <w:pPr>
        <w:ind w:left="220" w:right="320"/>
        <w:spacing w:after="0" w:line="260" w:lineRule="auto"/>
        <w:rPr>
          <w:sz w:val="20"/>
          <w:szCs w:val="20"/>
          <w:color w:val="auto"/>
        </w:rPr>
      </w:pPr>
      <w:r>
        <w:rPr>
          <w:rFonts w:ascii="Arial" w:cs="Arial" w:eastAsia="Arial" w:hAnsi="Arial"/>
          <w:sz w:val="17"/>
          <w:szCs w:val="17"/>
          <w:color w:val="auto"/>
        </w:rPr>
        <w:t>Deferred tax assets and liabilities are not recognized in respect of temporary differences that arise on initial recognition of assets and liabilities acquired other than in a business combination.</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7"/>
          <w:szCs w:val="17"/>
          <w:b w:val="1"/>
          <w:bCs w:val="1"/>
          <w:u w:val="single" w:color="auto"/>
          <w:color w:val="auto"/>
        </w:rPr>
        <w:t>Accounting pronouncements effective in future periods</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7"/>
          <w:szCs w:val="17"/>
          <w:u w:val="single" w:color="auto"/>
          <w:color w:val="auto"/>
        </w:rPr>
        <w:t xml:space="preserve">IAS 21, </w:t>
      </w:r>
      <w:r>
        <w:rPr>
          <w:rFonts w:ascii="Arial" w:cs="Arial" w:eastAsia="Arial" w:hAnsi="Arial"/>
          <w:sz w:val="17"/>
          <w:szCs w:val="17"/>
          <w:i w:val="1"/>
          <w:iCs w:val="1"/>
          <w:u w:val="single" w:color="auto"/>
          <w:color w:val="auto"/>
        </w:rPr>
        <w:t>The Effect of Changes in Foreign Exchange Rates</w:t>
      </w:r>
    </w:p>
    <w:p>
      <w:pPr>
        <w:spacing w:after="0" w:line="96" w:lineRule="exact"/>
        <w:rPr>
          <w:sz w:val="20"/>
          <w:szCs w:val="20"/>
          <w:color w:val="auto"/>
        </w:rPr>
      </w:pPr>
    </w:p>
    <w:p>
      <w:pPr>
        <w:ind w:left="220" w:right="180"/>
        <w:spacing w:after="0" w:line="238" w:lineRule="auto"/>
        <w:rPr>
          <w:sz w:val="20"/>
          <w:szCs w:val="20"/>
          <w:color w:val="auto"/>
        </w:rPr>
      </w:pPr>
      <w:r>
        <w:rPr>
          <w:rFonts w:ascii="Arial" w:cs="Arial" w:eastAsia="Arial" w:hAnsi="Arial"/>
          <w:sz w:val="17"/>
          <w:szCs w:val="17"/>
          <w:color w:val="auto"/>
        </w:rPr>
        <w:t>In August 2023, the IASB issued amendments to IAS 21, which provide guidance on the determination of an exchange rate to translate transactions and financial statements denominated or presented in a currency that is not exchangeable into another currency. The amendments are effective for reporting periods beginning January 1, 2025. There will be no material impact from the adoption of these amendments on the Company’s financial statements.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u w:val="single" w:color="auto"/>
          <w:color w:val="auto"/>
        </w:rPr>
        <w:t xml:space="preserve">IFRS 18, </w:t>
      </w:r>
      <w:r>
        <w:rPr>
          <w:rFonts w:ascii="Arial" w:cs="Arial" w:eastAsia="Arial" w:hAnsi="Arial"/>
          <w:sz w:val="17"/>
          <w:szCs w:val="17"/>
          <w:i w:val="1"/>
          <w:iCs w:val="1"/>
          <w:u w:val="single" w:color="auto"/>
          <w:color w:val="auto"/>
        </w:rPr>
        <w:t>Presentation and Disclosure in Financial Statements</w:t>
      </w:r>
    </w:p>
    <w:p>
      <w:pPr>
        <w:spacing w:after="0" w:line="96" w:lineRule="exact"/>
        <w:rPr>
          <w:sz w:val="20"/>
          <w:szCs w:val="20"/>
          <w:color w:val="auto"/>
        </w:rPr>
      </w:pPr>
    </w:p>
    <w:p>
      <w:pPr>
        <w:ind w:left="220" w:right="260"/>
        <w:spacing w:after="0" w:line="243" w:lineRule="auto"/>
        <w:rPr>
          <w:sz w:val="20"/>
          <w:szCs w:val="20"/>
          <w:color w:val="auto"/>
        </w:rPr>
      </w:pPr>
      <w:r>
        <w:rPr>
          <w:rFonts w:ascii="Arial" w:cs="Arial" w:eastAsia="Arial" w:hAnsi="Arial"/>
          <w:sz w:val="17"/>
          <w:szCs w:val="17"/>
          <w:color w:val="auto"/>
        </w:rPr>
        <w:t xml:space="preserve">In April 2024, the IASB issued IFRS 18, which will replace IAS 1, </w:t>
      </w:r>
      <w:r>
        <w:rPr>
          <w:rFonts w:ascii="Arial" w:cs="Arial" w:eastAsia="Arial" w:hAnsi="Arial"/>
          <w:sz w:val="17"/>
          <w:szCs w:val="17"/>
          <w:i w:val="1"/>
          <w:iCs w:val="1"/>
          <w:color w:val="auto"/>
        </w:rPr>
        <w:t>Presentation of Financial Statements</w:t>
      </w:r>
      <w:r>
        <w:rPr>
          <w:rFonts w:ascii="Arial" w:cs="Arial" w:eastAsia="Arial" w:hAnsi="Arial"/>
          <w:sz w:val="17"/>
          <w:szCs w:val="17"/>
          <w:color w:val="auto"/>
        </w:rPr>
        <w:t>, and is effective for reporting periods beginning January 1, 2027. IFRS 18 will change the presentation of the Company’s financial statements and add new disclosure requirements. Specifically, the new standard requires:</w:t>
      </w:r>
    </w:p>
    <w:p>
      <w:pPr>
        <w:spacing w:after="0" w:line="82" w:lineRule="exact"/>
        <w:rPr>
          <w:sz w:val="20"/>
          <w:szCs w:val="20"/>
          <w:color w:val="auto"/>
        </w:rPr>
      </w:pPr>
    </w:p>
    <w:p>
      <w:pPr>
        <w:ind w:left="640" w:right="500" w:hanging="422"/>
        <w:spacing w:after="0" w:line="245" w:lineRule="auto"/>
        <w:tabs>
          <w:tab w:leader="none" w:pos="640" w:val="left"/>
        </w:tabs>
        <w:numPr>
          <w:ilvl w:val="0"/>
          <w:numId w:val="105"/>
        </w:numPr>
        <w:rPr>
          <w:rFonts w:ascii="Arial" w:cs="Arial" w:eastAsia="Arial" w:hAnsi="Arial"/>
          <w:sz w:val="17"/>
          <w:szCs w:val="17"/>
          <w:color w:val="D64000"/>
        </w:rPr>
      </w:pPr>
      <w:r>
        <w:rPr>
          <w:rFonts w:ascii="Arial" w:cs="Arial" w:eastAsia="Arial" w:hAnsi="Arial"/>
          <w:sz w:val="17"/>
          <w:szCs w:val="17"/>
          <w:color w:val="auto"/>
        </w:rPr>
        <w:t>The consolidated income statement to be structured according to operating, investing and financing categories, and include additional subtotals for “Operating Profit” and “Profit Before Financing and Income Taxes”;</w:t>
      </w:r>
    </w:p>
    <w:p>
      <w:pPr>
        <w:spacing w:after="0" w:line="1" w:lineRule="exact"/>
        <w:rPr>
          <w:rFonts w:ascii="Arial" w:cs="Arial" w:eastAsia="Arial" w:hAnsi="Arial"/>
          <w:sz w:val="17"/>
          <w:szCs w:val="17"/>
          <w:color w:val="D64000"/>
        </w:rPr>
      </w:pPr>
    </w:p>
    <w:p>
      <w:pPr>
        <w:ind w:left="640" w:right="240" w:hanging="422"/>
        <w:spacing w:after="0" w:line="233" w:lineRule="auto"/>
        <w:tabs>
          <w:tab w:leader="none" w:pos="640" w:val="left"/>
        </w:tabs>
        <w:numPr>
          <w:ilvl w:val="0"/>
          <w:numId w:val="105"/>
        </w:numPr>
        <w:rPr>
          <w:rFonts w:ascii="Arial" w:cs="Arial" w:eastAsia="Arial" w:hAnsi="Arial"/>
          <w:sz w:val="17"/>
          <w:szCs w:val="17"/>
          <w:color w:val="D64000"/>
        </w:rPr>
      </w:pPr>
      <w:r>
        <w:rPr>
          <w:rFonts w:ascii="Arial" w:cs="Arial" w:eastAsia="Arial" w:hAnsi="Arial"/>
          <w:sz w:val="17"/>
          <w:szCs w:val="17"/>
          <w:color w:val="auto"/>
        </w:rPr>
        <w:t>Management-defined performance measurements (“MPM’s”), which represent certain of the Company’s non-IFRS measures, to be identified, defined, and have an explanation why each one is useful. Each MPM must be reconciled to the most directly comparable IFRS subtotal. All disclosures related to MPM’s must be disclosed in a single footnote within the consolidated financial statements; and</w:t>
      </w:r>
    </w:p>
    <w:p>
      <w:pPr>
        <w:ind w:left="640" w:right="20" w:hanging="422"/>
        <w:spacing w:after="0"/>
        <w:tabs>
          <w:tab w:leader="none" w:pos="640" w:val="left"/>
        </w:tabs>
        <w:numPr>
          <w:ilvl w:val="0"/>
          <w:numId w:val="105"/>
        </w:numPr>
        <w:rPr>
          <w:rFonts w:ascii="Arial" w:cs="Arial" w:eastAsia="Arial" w:hAnsi="Arial"/>
          <w:sz w:val="17"/>
          <w:szCs w:val="17"/>
          <w:color w:val="D64000"/>
        </w:rPr>
      </w:pPr>
      <w:r>
        <w:rPr>
          <w:rFonts w:ascii="Arial" w:cs="Arial" w:eastAsia="Arial" w:hAnsi="Arial"/>
          <w:sz w:val="17"/>
          <w:szCs w:val="17"/>
          <w:color w:val="auto"/>
        </w:rPr>
        <w:t>The application of enhanced guidance related to the grouping of financial information associated with amounts presented within the financial statements, otherwise known as aggregation or disaggregation.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92075</wp:posOffset>
            </wp:positionV>
            <wp:extent cx="68656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6"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97</w:t>
      </w:r>
    </w:p>
    <w:p>
      <w:pPr>
        <w:sectPr>
          <w:pgSz w:w="11900" w:h="16838" w:orient="portrait"/>
          <w:cols w:equalWidth="0" w:num="1">
            <w:col w:w="11040"/>
          </w:cols>
          <w:pgMar w:left="320" w:top="477" w:right="5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292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6770" cy="292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is assessing the impact of IFRS 18 on its disclosures.</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7"/>
          <w:szCs w:val="17"/>
          <w:u w:val="single" w:color="auto"/>
          <w:color w:val="auto"/>
        </w:rPr>
        <w:t xml:space="preserve">Amendments to IAS 7, </w:t>
      </w:r>
      <w:r>
        <w:rPr>
          <w:rFonts w:ascii="Arial" w:cs="Arial" w:eastAsia="Arial" w:hAnsi="Arial"/>
          <w:sz w:val="17"/>
          <w:szCs w:val="17"/>
          <w:i w:val="1"/>
          <w:iCs w:val="1"/>
          <w:u w:val="single" w:color="auto"/>
          <w:color w:val="auto"/>
        </w:rPr>
        <w:t>Statement of Cash Flows</w:t>
      </w:r>
    </w:p>
    <w:p>
      <w:pPr>
        <w:spacing w:after="0" w:line="96" w:lineRule="exact"/>
        <w:rPr>
          <w:sz w:val="20"/>
          <w:szCs w:val="20"/>
          <w:color w:val="auto"/>
        </w:rPr>
      </w:pPr>
    </w:p>
    <w:p>
      <w:pPr>
        <w:ind w:left="220" w:right="340"/>
        <w:spacing w:after="0" w:line="260" w:lineRule="auto"/>
        <w:rPr>
          <w:sz w:val="20"/>
          <w:szCs w:val="20"/>
          <w:color w:val="auto"/>
        </w:rPr>
      </w:pPr>
      <w:r>
        <w:rPr>
          <w:rFonts w:ascii="Arial" w:cs="Arial" w:eastAsia="Arial" w:hAnsi="Arial"/>
          <w:sz w:val="17"/>
          <w:szCs w:val="17"/>
          <w:color w:val="auto"/>
        </w:rPr>
        <w:t>The amendments were issued to align the presentation of the statement of cash flows, as prepared under the indirect method, to the changes prescribed to the income statement under IFRS 18.</w:t>
      </w:r>
    </w:p>
    <w:p>
      <w:pPr>
        <w:spacing w:after="0" w:line="53" w:lineRule="exact"/>
        <w:rPr>
          <w:sz w:val="20"/>
          <w:szCs w:val="20"/>
          <w:color w:val="auto"/>
        </w:rPr>
      </w:pPr>
    </w:p>
    <w:p>
      <w:pPr>
        <w:ind w:left="220" w:right="140"/>
        <w:spacing w:after="0" w:line="260" w:lineRule="auto"/>
        <w:rPr>
          <w:sz w:val="20"/>
          <w:szCs w:val="20"/>
          <w:color w:val="auto"/>
        </w:rPr>
      </w:pPr>
      <w:r>
        <w:rPr>
          <w:rFonts w:ascii="Arial" w:cs="Arial" w:eastAsia="Arial" w:hAnsi="Arial"/>
          <w:sz w:val="17"/>
          <w:szCs w:val="17"/>
          <w:color w:val="auto"/>
        </w:rPr>
        <w:t>Both IFRS 18 and the amendments to IAS 7 are disclosure related and do not impact the Company’s results of operations, financial condition, or cash flows.</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7"/>
          <w:szCs w:val="17"/>
          <w:u w:val="single" w:color="auto"/>
          <w:color w:val="auto"/>
        </w:rPr>
        <w:t xml:space="preserve">Amendments to IFRS 9 and IFRS 7, </w:t>
      </w:r>
      <w:r>
        <w:rPr>
          <w:rFonts w:ascii="Arial" w:cs="Arial" w:eastAsia="Arial" w:hAnsi="Arial"/>
          <w:sz w:val="17"/>
          <w:szCs w:val="17"/>
          <w:i w:val="1"/>
          <w:iCs w:val="1"/>
          <w:u w:val="single" w:color="auto"/>
          <w:color w:val="auto"/>
        </w:rPr>
        <w:t>Amendments to the Classification and Measurement of Financial Instruments</w:t>
      </w:r>
    </w:p>
    <w:p>
      <w:pPr>
        <w:spacing w:after="0" w:line="96" w:lineRule="exact"/>
        <w:rPr>
          <w:sz w:val="20"/>
          <w:szCs w:val="20"/>
          <w:color w:val="auto"/>
        </w:rPr>
      </w:pPr>
    </w:p>
    <w:p>
      <w:pPr>
        <w:ind w:left="220" w:right="220"/>
        <w:spacing w:after="0" w:line="260" w:lineRule="auto"/>
        <w:rPr>
          <w:sz w:val="20"/>
          <w:szCs w:val="20"/>
          <w:color w:val="auto"/>
        </w:rPr>
      </w:pPr>
      <w:r>
        <w:rPr>
          <w:rFonts w:ascii="Arial" w:cs="Arial" w:eastAsia="Arial" w:hAnsi="Arial"/>
          <w:sz w:val="17"/>
          <w:szCs w:val="17"/>
          <w:color w:val="auto"/>
        </w:rPr>
        <w:t xml:space="preserve">In May 2024, the IASB issued amendments to IFRS 9,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and IFRS 7, </w:t>
      </w:r>
      <w:r>
        <w:rPr>
          <w:rFonts w:ascii="Arial" w:cs="Arial" w:eastAsia="Arial" w:hAnsi="Arial"/>
          <w:sz w:val="17"/>
          <w:szCs w:val="17"/>
          <w:i w:val="1"/>
          <w:iCs w:val="1"/>
          <w:color w:val="auto"/>
        </w:rPr>
        <w:t>Financial Instruments: Disclosures</w:t>
      </w:r>
      <w:r>
        <w:rPr>
          <w:rFonts w:ascii="Arial" w:cs="Arial" w:eastAsia="Arial" w:hAnsi="Arial"/>
          <w:sz w:val="17"/>
          <w:szCs w:val="17"/>
          <w:color w:val="auto"/>
        </w:rPr>
        <w:t>. The amendments introduce:</w:t>
      </w:r>
    </w:p>
    <w:p>
      <w:pPr>
        <w:spacing w:after="0" w:line="67" w:lineRule="exact"/>
        <w:rPr>
          <w:sz w:val="20"/>
          <w:szCs w:val="20"/>
          <w:color w:val="auto"/>
        </w:rPr>
      </w:pPr>
    </w:p>
    <w:p>
      <w:pPr>
        <w:ind w:left="640" w:right="60" w:hanging="422"/>
        <w:spacing w:after="0" w:line="245" w:lineRule="auto"/>
        <w:tabs>
          <w:tab w:leader="none" w:pos="640" w:val="left"/>
        </w:tabs>
        <w:numPr>
          <w:ilvl w:val="0"/>
          <w:numId w:val="106"/>
        </w:numPr>
        <w:rPr>
          <w:rFonts w:ascii="Arial" w:cs="Arial" w:eastAsia="Arial" w:hAnsi="Arial"/>
          <w:sz w:val="17"/>
          <w:szCs w:val="17"/>
          <w:color w:val="D64000"/>
        </w:rPr>
      </w:pPr>
      <w:r>
        <w:rPr>
          <w:rFonts w:ascii="Arial" w:cs="Arial" w:eastAsia="Arial" w:hAnsi="Arial"/>
          <w:sz w:val="17"/>
          <w:szCs w:val="17"/>
          <w:color w:val="auto"/>
        </w:rPr>
        <w:t>An election permitting derecognition of financial liabilities that are settled through an electronic payment system before the actual settlement date, if certain conditions are met; and</w:t>
      </w:r>
    </w:p>
    <w:p>
      <w:pPr>
        <w:spacing w:after="0" w:line="1" w:lineRule="exact"/>
        <w:rPr>
          <w:rFonts w:ascii="Arial" w:cs="Arial" w:eastAsia="Arial" w:hAnsi="Arial"/>
          <w:sz w:val="17"/>
          <w:szCs w:val="17"/>
          <w:color w:val="D64000"/>
        </w:rPr>
      </w:pPr>
    </w:p>
    <w:p>
      <w:pPr>
        <w:ind w:left="640" w:right="40" w:hanging="422"/>
        <w:spacing w:after="0"/>
        <w:tabs>
          <w:tab w:leader="none" w:pos="640" w:val="left"/>
        </w:tabs>
        <w:numPr>
          <w:ilvl w:val="0"/>
          <w:numId w:val="106"/>
        </w:numPr>
        <w:rPr>
          <w:rFonts w:ascii="Arial" w:cs="Arial" w:eastAsia="Arial" w:hAnsi="Arial"/>
          <w:sz w:val="17"/>
          <w:szCs w:val="17"/>
          <w:color w:val="D64000"/>
        </w:rPr>
      </w:pPr>
      <w:r>
        <w:rPr>
          <w:rFonts w:ascii="Arial" w:cs="Arial" w:eastAsia="Arial" w:hAnsi="Arial"/>
          <w:sz w:val="17"/>
          <w:szCs w:val="17"/>
          <w:color w:val="auto"/>
        </w:rPr>
        <w:t>Expanded disclosures for (a) investments in equity instruments and (b) financial liabilities that have features unrelated to basic lending risks, such as achieving sustainability targets, that could affect the cash flows of those liabilities.</w:t>
      </w:r>
    </w:p>
    <w:p>
      <w:pPr>
        <w:spacing w:after="0" w:line="70" w:lineRule="exact"/>
        <w:rPr>
          <w:sz w:val="20"/>
          <w:szCs w:val="20"/>
          <w:color w:val="auto"/>
        </w:rPr>
      </w:pPr>
    </w:p>
    <w:p>
      <w:pPr>
        <w:ind w:left="220" w:right="120"/>
        <w:spacing w:after="0" w:line="260" w:lineRule="auto"/>
        <w:rPr>
          <w:sz w:val="20"/>
          <w:szCs w:val="20"/>
          <w:color w:val="auto"/>
        </w:rPr>
      </w:pPr>
      <w:r>
        <w:rPr>
          <w:rFonts w:ascii="Arial" w:cs="Arial" w:eastAsia="Arial" w:hAnsi="Arial"/>
          <w:sz w:val="17"/>
          <w:szCs w:val="17"/>
          <w:color w:val="auto"/>
        </w:rPr>
        <w:t>The amendments are effective for reporting periods beginning on January 1, 2026. The Company is assessing the impact of the amendments on its financial statements and its disclosures.</w:t>
      </w:r>
    </w:p>
    <w:p>
      <w:pPr>
        <w:spacing w:after="0" w:line="53" w:lineRule="exact"/>
        <w:rPr>
          <w:sz w:val="20"/>
          <w:szCs w:val="20"/>
          <w:color w:val="auto"/>
        </w:rPr>
      </w:pPr>
    </w:p>
    <w:p>
      <w:pPr>
        <w:ind w:left="220" w:right="600"/>
        <w:spacing w:after="0" w:line="260" w:lineRule="auto"/>
        <w:rPr>
          <w:sz w:val="20"/>
          <w:szCs w:val="20"/>
          <w:color w:val="auto"/>
        </w:rPr>
      </w:pPr>
      <w:r>
        <w:rPr>
          <w:rFonts w:ascii="Arial" w:cs="Arial" w:eastAsia="Arial" w:hAnsi="Arial"/>
          <w:sz w:val="17"/>
          <w:szCs w:val="17"/>
          <w:color w:val="auto"/>
        </w:rPr>
        <w:t>Other pronouncements issued by the IASB and International Financial Reporting Interpretations Committee (“IFRIC”) are not applicable or consequential to the Company.</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Note 2: Critical Accounting Estimates and Judgments</w:t>
      </w:r>
    </w:p>
    <w:p>
      <w:pPr>
        <w:spacing w:after="0" w:line="110" w:lineRule="exact"/>
        <w:rPr>
          <w:sz w:val="20"/>
          <w:szCs w:val="20"/>
          <w:color w:val="auto"/>
        </w:rPr>
      </w:pPr>
    </w:p>
    <w:p>
      <w:pPr>
        <w:ind w:left="220" w:right="200"/>
        <w:spacing w:after="0" w:line="243" w:lineRule="auto"/>
        <w:rPr>
          <w:sz w:val="20"/>
          <w:szCs w:val="20"/>
          <w:color w:val="auto"/>
        </w:rPr>
      </w:pPr>
      <w:r>
        <w:rPr>
          <w:rFonts w:ascii="Arial" w:cs="Arial" w:eastAsia="Arial" w:hAnsi="Arial"/>
          <w:sz w:val="17"/>
          <w:szCs w:val="17"/>
          <w:color w:val="auto"/>
        </w:rPr>
        <w:t>The preparation of financial statements requires management to make estimates and judgments about the future. Estimates and judgments are continually evaluated and are based on historical experience and other factors, including expectations of future events that are believed to be reasonable under the circumstances. Accounting estimates will, by definition, seldom equal the actual results.</w:t>
      </w:r>
    </w:p>
    <w:p>
      <w:pPr>
        <w:spacing w:after="0" w:line="69" w:lineRule="exact"/>
        <w:rPr>
          <w:sz w:val="20"/>
          <w:szCs w:val="20"/>
          <w:color w:val="auto"/>
        </w:rPr>
      </w:pPr>
    </w:p>
    <w:p>
      <w:pPr>
        <w:ind w:left="220" w:right="80"/>
        <w:spacing w:after="0" w:line="238" w:lineRule="auto"/>
        <w:rPr>
          <w:sz w:val="20"/>
          <w:szCs w:val="20"/>
          <w:color w:val="auto"/>
        </w:rPr>
      </w:pPr>
      <w:r>
        <w:rPr>
          <w:rFonts w:ascii="Arial" w:cs="Arial" w:eastAsia="Arial" w:hAnsi="Arial"/>
          <w:sz w:val="17"/>
          <w:szCs w:val="17"/>
          <w:color w:val="auto"/>
        </w:rPr>
        <w:t>The Company continues to operate in an uncertain macroeconomic environment, reflecting ongoing geopolitical risk, uneven economic growth, and an evolving interest rate and inflationary backdrop, among other factors. While the Company is closely monitoring these conditions to assess potential impacts on its businesses, some of management’s estimates and judgments may be more variable and may change materially in the future due to the significant uncertainty created by these circumstances.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discussion sets forth management’s:</w:t>
      </w:r>
    </w:p>
    <w:p>
      <w:pPr>
        <w:spacing w:after="0" w:line="109" w:lineRule="exact"/>
        <w:rPr>
          <w:sz w:val="20"/>
          <w:szCs w:val="20"/>
          <w:color w:val="auto"/>
        </w:rPr>
      </w:pPr>
    </w:p>
    <w:p>
      <w:pPr>
        <w:ind w:left="640" w:hanging="422"/>
        <w:spacing w:after="0"/>
        <w:tabs>
          <w:tab w:leader="none" w:pos="640" w:val="left"/>
        </w:tabs>
        <w:numPr>
          <w:ilvl w:val="0"/>
          <w:numId w:val="107"/>
        </w:numPr>
        <w:rPr>
          <w:rFonts w:ascii="Arial" w:cs="Arial" w:eastAsia="Arial" w:hAnsi="Arial"/>
          <w:sz w:val="17"/>
          <w:szCs w:val="17"/>
          <w:color w:val="D64000"/>
        </w:rPr>
      </w:pPr>
      <w:r>
        <w:rPr>
          <w:rFonts w:ascii="Arial" w:cs="Arial" w:eastAsia="Arial" w:hAnsi="Arial"/>
          <w:sz w:val="17"/>
          <w:szCs w:val="17"/>
          <w:color w:val="auto"/>
        </w:rPr>
        <w:t>Most critical estimates and assumptions in determining the value of assets and liabilities; and</w:t>
      </w:r>
    </w:p>
    <w:p>
      <w:pPr>
        <w:spacing w:after="0" w:line="19" w:lineRule="exact"/>
        <w:rPr>
          <w:rFonts w:ascii="Arial" w:cs="Arial" w:eastAsia="Arial" w:hAnsi="Arial"/>
          <w:sz w:val="17"/>
          <w:szCs w:val="17"/>
          <w:color w:val="D64000"/>
        </w:rPr>
      </w:pPr>
    </w:p>
    <w:p>
      <w:pPr>
        <w:ind w:left="640" w:hanging="422"/>
        <w:spacing w:after="0"/>
        <w:tabs>
          <w:tab w:leader="none" w:pos="640" w:val="left"/>
        </w:tabs>
        <w:numPr>
          <w:ilvl w:val="0"/>
          <w:numId w:val="107"/>
        </w:numPr>
        <w:rPr>
          <w:rFonts w:ascii="Arial" w:cs="Arial" w:eastAsia="Arial" w:hAnsi="Arial"/>
          <w:sz w:val="17"/>
          <w:szCs w:val="17"/>
          <w:color w:val="D64000"/>
        </w:rPr>
      </w:pPr>
      <w:r>
        <w:rPr>
          <w:rFonts w:ascii="Arial" w:cs="Arial" w:eastAsia="Arial" w:hAnsi="Arial"/>
          <w:sz w:val="17"/>
          <w:szCs w:val="17"/>
          <w:color w:val="auto"/>
        </w:rPr>
        <w:t>Most critical judgments in applying accounting policies.</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17"/>
          <w:szCs w:val="17"/>
          <w:b w:val="1"/>
          <w:bCs w:val="1"/>
          <w:u w:val="single" w:color="auto"/>
          <w:color w:val="auto"/>
        </w:rPr>
        <w:t>Critical accounting estimates and assumptions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Allowance for expected credit losses and sales adjustments</w:t>
      </w:r>
    </w:p>
    <w:p>
      <w:pPr>
        <w:spacing w:after="0" w:line="6" w:lineRule="exact"/>
        <w:rPr>
          <w:sz w:val="20"/>
          <w:szCs w:val="20"/>
          <w:color w:val="auto"/>
        </w:rPr>
      </w:pPr>
    </w:p>
    <w:p>
      <w:pPr>
        <w:ind w:left="220" w:right="180"/>
        <w:spacing w:after="0" w:line="231" w:lineRule="auto"/>
        <w:rPr>
          <w:sz w:val="20"/>
          <w:szCs w:val="20"/>
          <w:color w:val="auto"/>
        </w:rPr>
      </w:pPr>
      <w:r>
        <w:rPr>
          <w:rFonts w:ascii="Arial" w:cs="Arial" w:eastAsia="Arial" w:hAnsi="Arial"/>
          <w:sz w:val="17"/>
          <w:szCs w:val="17"/>
          <w:color w:val="auto"/>
        </w:rPr>
        <w:t>The Company must assess whether accounts receivable are collectible from customers. Accordingly, management establishes an allowance for expected losses arising from non-payment and other sales adjustments, taking into consideration customer creditworthiness, current economic trends, experience and expected credit losses. If future collections differ from estimates, future earnings would be affected. As of December 31, 2024, the combined allowances were $55 million, or 5%, of the gross trade accounts receivable balance of $1,113 million. An increase to the reserve based on 1% of accounts receivable would have decreased pre-tax earnings by approximately $11 million for the year ended December 31, 2024.</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Computer software</w:t>
      </w:r>
    </w:p>
    <w:p>
      <w:pPr>
        <w:spacing w:after="0" w:line="6" w:lineRule="exact"/>
        <w:rPr>
          <w:sz w:val="20"/>
          <w:szCs w:val="20"/>
          <w:color w:val="auto"/>
        </w:rPr>
      </w:pPr>
    </w:p>
    <w:p>
      <w:pPr>
        <w:ind w:left="220" w:right="300"/>
        <w:spacing w:after="0"/>
        <w:rPr>
          <w:sz w:val="20"/>
          <w:szCs w:val="20"/>
          <w:color w:val="auto"/>
        </w:rPr>
      </w:pPr>
      <w:r>
        <w:rPr>
          <w:rFonts w:ascii="Arial" w:cs="Arial" w:eastAsia="Arial" w:hAnsi="Arial"/>
          <w:sz w:val="17"/>
          <w:szCs w:val="17"/>
          <w:color w:val="auto"/>
        </w:rPr>
        <w:t>Computer software represented $1,453 million of total assets in the consolidated statement of financial position as of December 31, 2024, and included internally developed computer software as well as computer software acquired in business combinations.</w:t>
      </w:r>
    </w:p>
    <w:p>
      <w:pPr>
        <w:spacing w:after="0" w:line="70" w:lineRule="exact"/>
        <w:rPr>
          <w:sz w:val="20"/>
          <w:szCs w:val="20"/>
          <w:color w:val="auto"/>
        </w:rPr>
      </w:pPr>
    </w:p>
    <w:p>
      <w:pPr>
        <w:ind w:left="220" w:right="20"/>
        <w:spacing w:after="0" w:line="238" w:lineRule="auto"/>
        <w:rPr>
          <w:sz w:val="20"/>
          <w:szCs w:val="20"/>
          <w:color w:val="auto"/>
        </w:rPr>
      </w:pPr>
      <w:r>
        <w:rPr>
          <w:rFonts w:ascii="Arial" w:cs="Arial" w:eastAsia="Arial" w:hAnsi="Arial"/>
          <w:sz w:val="17"/>
          <w:szCs w:val="17"/>
          <w:color w:val="auto"/>
        </w:rPr>
        <w:t>Most expenditures for internally developed computer software relate to product development and enhancements. Management exercises judgment in determining the development activities that meet capitalization criteria. Software acquired through business combinations is recorded at fair value, which is estimated at the acquisition date, based on, among other factors, cash flow projections from the use or sale of the asset, the weighted-average cost of capital and the remaining useful life, all of which require judgment.</w:t>
      </w:r>
    </w:p>
    <w:p>
      <w:pPr>
        <w:spacing w:after="0" w:line="73" w:lineRule="exact"/>
        <w:rPr>
          <w:sz w:val="20"/>
          <w:szCs w:val="20"/>
          <w:color w:val="auto"/>
        </w:rPr>
      </w:pPr>
    </w:p>
    <w:p>
      <w:pPr>
        <w:ind w:left="220" w:right="160"/>
        <w:spacing w:after="0" w:line="238" w:lineRule="auto"/>
        <w:rPr>
          <w:sz w:val="20"/>
          <w:szCs w:val="20"/>
          <w:color w:val="auto"/>
        </w:rPr>
      </w:pPr>
      <w:r>
        <w:rPr>
          <w:rFonts w:ascii="Arial" w:cs="Arial" w:eastAsia="Arial" w:hAnsi="Arial"/>
          <w:sz w:val="17"/>
          <w:szCs w:val="17"/>
          <w:color w:val="auto"/>
        </w:rPr>
        <w:t>For all software, management must estimate the expected period of benefit over which amounts recognized as assets should be amortized. The basis of these estimates includes the timing of technological obsolescence, economic and competitive pressures, historical experience and internal business plans for the use of the software. Due to rapidly changing technology and the uncertainty of the software development process itself, future results could be affected if management’s current assessment of its software projects differs from actual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102235</wp:posOffset>
            </wp:positionV>
            <wp:extent cx="68656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9"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98</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37" w:right="5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Other identifiable intangible assets and goodwill</w:t>
      </w:r>
    </w:p>
    <w:p>
      <w:pPr>
        <w:spacing w:after="0" w:line="6" w:lineRule="exact"/>
        <w:rPr>
          <w:sz w:val="20"/>
          <w:szCs w:val="20"/>
          <w:color w:val="auto"/>
        </w:rPr>
      </w:pPr>
    </w:p>
    <w:p>
      <w:pPr>
        <w:ind w:left="220" w:right="20"/>
        <w:spacing w:after="0" w:line="231" w:lineRule="auto"/>
        <w:rPr>
          <w:sz w:val="20"/>
          <w:szCs w:val="20"/>
          <w:color w:val="auto"/>
        </w:rPr>
      </w:pPr>
      <w:r>
        <w:rPr>
          <w:rFonts w:ascii="Arial" w:cs="Arial" w:eastAsia="Arial" w:hAnsi="Arial"/>
          <w:sz w:val="17"/>
          <w:szCs w:val="17"/>
          <w:color w:val="auto"/>
        </w:rPr>
        <w:t>Other identifiable intangible assets and goodwill represented $3,134 million and $7,262 million, respectively, of total assets in the consolidated statement of financial position as of December 31, 2024. Other identifiable intangible assets and goodwill arise out of business combinations. Business combinations are accounted for under the acquisition method of accounting, which requires the Company to identify and attribute values to the intangible assets acquired based on their estimated fair value as well as to estimate their useful lives. These determinations involve significant estimates and assumptions regarding cash flow projections, economic risk and weighted-average cost of capital. The excess of acquisition cost over the fair value of identifiable net assets acquired is recorded as goodwill.</w:t>
      </w:r>
    </w:p>
    <w:p>
      <w:pPr>
        <w:spacing w:after="0" w:line="74" w:lineRule="exact"/>
        <w:rPr>
          <w:sz w:val="20"/>
          <w:szCs w:val="20"/>
          <w:color w:val="auto"/>
        </w:rPr>
      </w:pPr>
    </w:p>
    <w:p>
      <w:pPr>
        <w:ind w:left="220" w:right="20"/>
        <w:spacing w:after="0" w:line="251" w:lineRule="auto"/>
        <w:rPr>
          <w:sz w:val="20"/>
          <w:szCs w:val="20"/>
          <w:color w:val="auto"/>
        </w:rPr>
      </w:pPr>
      <w:r>
        <w:rPr>
          <w:rFonts w:ascii="Arial" w:cs="Arial" w:eastAsia="Arial" w:hAnsi="Arial"/>
          <w:sz w:val="16"/>
          <w:szCs w:val="16"/>
          <w:color w:val="auto"/>
        </w:rPr>
        <w:t>Subsequent to acquisition, the Company tests other identifiable intangible assets and goodwill for impairment as required. The outcome of these tests is highly dependent on management’s latest estimates and assumptions regarding cash flow projections, economic risk and weighted-average cost of capital. Specifically, cash flow projections could be impacted by deterioration in macroeconomic conditions, including potential impacts of regulation on customers, changes in customer buying patterns or competitive pressures. The Company’s assumption of perpetual growth could be impacted by changes in long-term outlooks for global inflation. Additionally, the discount rate, tax rate and EBITDA multiples used in various impairment tests are based on those for comparable companies, which are driven by market conditions and prevailing tax laws.</w:t>
      </w:r>
    </w:p>
    <w:p>
      <w:pPr>
        <w:spacing w:after="0" w:line="64" w:lineRule="exact"/>
        <w:rPr>
          <w:sz w:val="20"/>
          <w:szCs w:val="20"/>
          <w:color w:val="auto"/>
        </w:rPr>
      </w:pPr>
    </w:p>
    <w:p>
      <w:pPr>
        <w:ind w:left="220" w:right="100"/>
        <w:spacing w:after="0" w:line="243" w:lineRule="auto"/>
        <w:rPr>
          <w:sz w:val="20"/>
          <w:szCs w:val="20"/>
          <w:color w:val="auto"/>
        </w:rPr>
      </w:pPr>
      <w:r>
        <w:rPr>
          <w:rFonts w:ascii="Arial" w:cs="Arial" w:eastAsia="Arial" w:hAnsi="Arial"/>
          <w:sz w:val="17"/>
          <w:szCs w:val="17"/>
          <w:color w:val="auto"/>
        </w:rPr>
        <w:t>If future events or results differ adversely from the estimates and assumptions made at acquisition or as part of subsequent impairment tests, the Company could record increased amortization or impairment charges in the future. See note 19 for discussion of the annual impairment testing of goodwill.</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Employee future benefits</w:t>
      </w:r>
    </w:p>
    <w:p>
      <w:pPr>
        <w:spacing w:after="0" w:line="6" w:lineRule="exact"/>
        <w:rPr>
          <w:sz w:val="20"/>
          <w:szCs w:val="20"/>
          <w:color w:val="auto"/>
        </w:rPr>
      </w:pPr>
    </w:p>
    <w:p>
      <w:pPr>
        <w:ind w:left="220" w:right="20"/>
        <w:spacing w:after="0" w:line="230" w:lineRule="auto"/>
        <w:rPr>
          <w:sz w:val="20"/>
          <w:szCs w:val="20"/>
          <w:color w:val="auto"/>
        </w:rPr>
      </w:pPr>
      <w:r>
        <w:rPr>
          <w:rFonts w:ascii="Arial" w:cs="Arial" w:eastAsia="Arial" w:hAnsi="Arial"/>
          <w:sz w:val="17"/>
          <w:szCs w:val="17"/>
          <w:color w:val="auto"/>
        </w:rPr>
        <w:t>The Company sponsors defined benefit plans providing pension and other post-employment benefits to covered employees. The Company’s most significant defined benefit plans no longer accrue benefits to active employees. The determination of benefit costs associated with employee future benefits requires assumptions such as the discount rate, which is used to measure benefit plan obligations and the net interest income (expense) on the net benefit plan assets (obligations). Other significant assumptions include expected mortality and the expected rate of increase with respect to certain future pension payments. In the third quarter of 2024, retiree medical benefits in the U.S. were amended with effect from January 1, 2025 to transition to a health reimbursement arrangement (“HRA”) where the Company provides a fixed subsidy to plan participants that may be used to purchase healthcare insurance on the individual marketplace. This amendment eliminates the need for management to estimate healthcare cost inflation trends and claims frequency. Because the determination of the cost and obligations associated with employee future benefits requires the use of various assumptions, there is measurement uncertainty inherent in the actuarial valuation process. Actual results will differ from results which are estimated based on assumptions. See note 27.</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Income taxes</w:t>
      </w:r>
    </w:p>
    <w:p>
      <w:pPr>
        <w:spacing w:after="0" w:line="5" w:lineRule="exact"/>
        <w:rPr>
          <w:sz w:val="20"/>
          <w:szCs w:val="20"/>
          <w:color w:val="auto"/>
        </w:rPr>
      </w:pPr>
    </w:p>
    <w:p>
      <w:pPr>
        <w:ind w:left="220" w:right="140"/>
        <w:spacing w:after="0" w:line="233" w:lineRule="auto"/>
        <w:rPr>
          <w:sz w:val="20"/>
          <w:szCs w:val="20"/>
          <w:color w:val="auto"/>
        </w:rPr>
      </w:pPr>
      <w:r>
        <w:rPr>
          <w:rFonts w:ascii="Arial" w:cs="Arial" w:eastAsia="Arial" w:hAnsi="Arial"/>
          <w:sz w:val="17"/>
          <w:szCs w:val="17"/>
          <w:color w:val="auto"/>
        </w:rPr>
        <w:t>The Company computes an income tax provision in each of the jurisdictions in which it operates. These income tax provisions include amounts that are based upon the Company’s estimates and assumptions regarding prices and values used to record intercompany transactions. Actual amounts of income tax expense only become final upon filing and acceptance of the tax return by the relevant authorities, which occurs after the issuance of the financial statements.</w:t>
      </w:r>
    </w:p>
    <w:p>
      <w:pPr>
        <w:spacing w:after="0" w:line="73" w:lineRule="exact"/>
        <w:rPr>
          <w:sz w:val="20"/>
          <w:szCs w:val="20"/>
          <w:color w:val="auto"/>
        </w:rPr>
      </w:pPr>
    </w:p>
    <w:p>
      <w:pPr>
        <w:ind w:left="220" w:right="100"/>
        <w:spacing w:after="0" w:line="266" w:lineRule="auto"/>
        <w:rPr>
          <w:sz w:val="20"/>
          <w:szCs w:val="20"/>
          <w:color w:val="auto"/>
        </w:rPr>
      </w:pPr>
      <w:r>
        <w:rPr>
          <w:rFonts w:ascii="Arial" w:cs="Arial" w:eastAsia="Arial" w:hAnsi="Arial"/>
          <w:sz w:val="16"/>
          <w:szCs w:val="16"/>
          <w:color w:val="auto"/>
        </w:rPr>
        <w:t>Additionally, estimation of income taxes includes evaluating the recoverability of deferred tax assets based on an assessment of the ability to use the underlying future tax deductions before they expire against future taxable income. The assessment is based upon existing tax laws and estimates of future taxable income. To the extent estimates differ from the final tax return, earnings would be affected in a subsequent period.</w:t>
      </w:r>
    </w:p>
    <w:p>
      <w:pPr>
        <w:spacing w:after="0" w:line="51" w:lineRule="exact"/>
        <w:rPr>
          <w:sz w:val="20"/>
          <w:szCs w:val="20"/>
          <w:color w:val="auto"/>
        </w:rPr>
      </w:pPr>
    </w:p>
    <w:p>
      <w:pPr>
        <w:ind w:left="220" w:right="280"/>
        <w:spacing w:after="0" w:line="243" w:lineRule="auto"/>
        <w:rPr>
          <w:sz w:val="20"/>
          <w:szCs w:val="20"/>
          <w:color w:val="auto"/>
        </w:rPr>
      </w:pPr>
      <w:r>
        <w:rPr>
          <w:rFonts w:ascii="Arial" w:cs="Arial" w:eastAsia="Arial" w:hAnsi="Arial"/>
          <w:sz w:val="17"/>
          <w:szCs w:val="17"/>
          <w:color w:val="auto"/>
        </w:rPr>
        <w:t>In interim periods, the income tax provision is based on estimates of full-year earnings by jurisdiction. The average annual effective income tax rates are re-estimated at each interim reporting date. To the extent that forecasts differ from actual results, adjustments are recorded in subsequent periods. See note 10 for further details on income taxes including a discussion on sensitivity.</w:t>
      </w:r>
    </w:p>
    <w:p>
      <w:pPr>
        <w:spacing w:after="0" w:line="69" w:lineRule="exact"/>
        <w:rPr>
          <w:sz w:val="20"/>
          <w:szCs w:val="20"/>
          <w:color w:val="auto"/>
        </w:rPr>
      </w:pPr>
    </w:p>
    <w:p>
      <w:pPr>
        <w:ind w:left="220" w:right="80"/>
        <w:spacing w:after="0" w:line="233" w:lineRule="auto"/>
        <w:rPr>
          <w:sz w:val="20"/>
          <w:szCs w:val="20"/>
          <w:color w:val="auto"/>
        </w:rPr>
      </w:pPr>
      <w:r>
        <w:rPr>
          <w:rFonts w:ascii="Arial" w:cs="Arial" w:eastAsia="Arial" w:hAnsi="Arial"/>
          <w:sz w:val="17"/>
          <w:szCs w:val="17"/>
          <w:color w:val="auto"/>
        </w:rPr>
        <w:t>The Company has deferred tax assets in connection with the intercompany transfer of certain operations. The determination of these assets requires management to make significant estimates and assumptions about the fair value of the related operations. Critical estimates include, but are not limited to, internal revenue and expense forecasts and discount rates, while critical assumptions include those regarding macroeconomic conditions and prevailing tax laws. The discount rates used in the income method to reduce expected future cash flows to present value are derived from a weighted-average cost of capital analysis and are adjusted to reflect the inherent risks related to the cash flow. Although the Company believes its assumptions and estimates are reasonable and appropriate, they are based in part on historical experience and are inherently uncertain. Unanticipated events and circumstances may occur that could differ adversely from the Company’s assumptions and estimates, which could require the Company to reduce its deferred tax assets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101600</wp:posOffset>
            </wp:positionV>
            <wp:extent cx="68656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8" w:lineRule="exact"/>
        <w:rPr>
          <w:sz w:val="20"/>
          <w:szCs w:val="20"/>
          <w:color w:val="auto"/>
        </w:rPr>
      </w:pPr>
    </w:p>
    <w:p>
      <w:pPr>
        <w:ind w:left="220"/>
        <w:spacing w:after="0"/>
        <w:tabs>
          <w:tab w:leader="none" w:pos="1038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7"/>
          <w:szCs w:val="17"/>
          <w:color w:val="auto"/>
        </w:rPr>
        <w:t>Page 99</w:t>
      </w:r>
    </w:p>
    <w:p>
      <w:pPr>
        <w:sectPr>
          <w:pgSz w:w="11900" w:h="16838" w:orient="portrait"/>
          <w:cols w:equalWidth="0" w:num="1">
            <w:col w:w="11040"/>
          </w:cols>
          <w:pgMar w:left="320" w:top="477" w:right="5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b w:val="1"/>
          <w:bCs w:val="1"/>
          <w:u w:val="single" w:color="auto"/>
          <w:color w:val="auto"/>
        </w:rPr>
        <w:t>Critical judgments in applying accounting policies</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Revenue recognition</w:t>
      </w:r>
    </w:p>
    <w:p>
      <w:pPr>
        <w:spacing w:after="0" w:line="6" w:lineRule="exact"/>
        <w:rPr>
          <w:sz w:val="20"/>
          <w:szCs w:val="20"/>
          <w:color w:val="auto"/>
        </w:rPr>
      </w:pPr>
    </w:p>
    <w:p>
      <w:pPr>
        <w:ind w:left="220"/>
        <w:spacing w:after="0" w:line="230" w:lineRule="auto"/>
        <w:rPr>
          <w:sz w:val="20"/>
          <w:szCs w:val="20"/>
          <w:color w:val="auto"/>
        </w:rPr>
      </w:pPr>
      <w:r>
        <w:rPr>
          <w:rFonts w:ascii="Arial" w:cs="Arial" w:eastAsia="Arial" w:hAnsi="Arial"/>
          <w:sz w:val="17"/>
          <w:szCs w:val="17"/>
          <w:color w:val="auto"/>
        </w:rPr>
        <w:t>To determine the appropriate revenue recognition for its products and services, management must assess whether multiple products and services in customer contracts are distinct performance obligations that should be accounted for separately, or whether they must be accounted for together. In making the determination, management considers, for example, whether the Company regularly sells a product or service separately, or whether the products or services are highly interrelated. Management must also determine the standalone selling price (“SSP”) for each distinct performance obligation. The Company typically has more than one SSP for individual products and services due to the stratification of its offerings by customer. As a result, management determines the SSP taking into consideration market conditions and other factors, including the value of its contracts, the product or service sold, the customer’s market, geographic location and the number and types of users in each contract. Finally, management must also estimate the period over which to amortize assets arising from incremental costs of obtaining a contract. As management estimates that this period corresponds to the period over which a customer benefits from existing technology in the underlying product or service, this judgment is closely linked with the determination of software amortization periods.</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Uncertain tax positions</w:t>
      </w:r>
    </w:p>
    <w:p>
      <w:pPr>
        <w:spacing w:after="0" w:line="6" w:lineRule="exact"/>
        <w:rPr>
          <w:sz w:val="20"/>
          <w:szCs w:val="20"/>
          <w:color w:val="auto"/>
        </w:rPr>
      </w:pPr>
    </w:p>
    <w:p>
      <w:pPr>
        <w:ind w:left="220" w:right="100"/>
        <w:spacing w:after="0" w:line="229" w:lineRule="auto"/>
        <w:rPr>
          <w:sz w:val="20"/>
          <w:szCs w:val="20"/>
          <w:color w:val="auto"/>
        </w:rPr>
      </w:pPr>
      <w:r>
        <w:rPr>
          <w:rFonts w:ascii="Arial" w:cs="Arial" w:eastAsia="Arial" w:hAnsi="Arial"/>
          <w:sz w:val="17"/>
          <w:szCs w:val="17"/>
          <w:color w:val="auto"/>
        </w:rPr>
        <w:t>The Company is subject to taxation in numerous jurisdictions and is routinely under audit by many different taxing authorities in the ordinary course of business. There are many transactions and calculations in the course of business for which the ultimate tax determination is uncertain, as taxing authorities may challenge some of the Company’s positions and propose adjustments or changes to its tax filings. As a result, the Company maintains provisions for uncertain tax positions that it believes appropriately reflect its risk. These provisions are made using the Company’s best estimates of the amount expected to be paid based on a qualitative assessment of all relevant factors. When appropriate, the Company performs an expected value calculation to determine its provisions. The Company reviews the adequacy of these provisions at the end of each reporting period and adjusts them based on changing facts and circumstances. Due to the uncertainty associated with tax audits, it is possible that at some future date, liabilities resulting from such audits or related litigation could vary significantly from the Company’s provisions. Where the outcome of these tax-related matters is different from the amounts that were initially recorded, such differences will affect the tax provisions in the period in which such determination is made. As of December 31, 2024, the Company has recorded an aggregate provision of $294 million for uncertain tax positions (excluding interest) within its current and deferred tax accounts as appropriate, in the consolidated statement of financial position.</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Deferred Tax Assets</w:t>
      </w:r>
    </w:p>
    <w:p>
      <w:pPr>
        <w:spacing w:after="0" w:line="6" w:lineRule="exact"/>
        <w:rPr>
          <w:sz w:val="20"/>
          <w:szCs w:val="20"/>
          <w:color w:val="auto"/>
        </w:rPr>
      </w:pPr>
    </w:p>
    <w:p>
      <w:pPr>
        <w:ind w:left="220" w:right="100"/>
        <w:spacing w:after="0" w:line="232" w:lineRule="auto"/>
        <w:rPr>
          <w:sz w:val="20"/>
          <w:szCs w:val="20"/>
          <w:color w:val="auto"/>
        </w:rPr>
      </w:pPr>
      <w:r>
        <w:rPr>
          <w:rFonts w:ascii="Arial" w:cs="Arial" w:eastAsia="Arial" w:hAnsi="Arial"/>
          <w:sz w:val="17"/>
          <w:szCs w:val="17"/>
          <w:color w:val="auto"/>
        </w:rPr>
        <w:t>Deferred tax assets are recognized to the extent it is probable that taxable profits will be available against which the deductible temporary differences can be utilized, and are reduced to the extent that it is not probable that sufficient taxable profits will be available to allow all or part of the asset to be recovered. In evaluating deferred tax assets, management must make judgments to assess the future taxable profits and likely outcomes of unresolved tax audits associated with the relevant jurisdictions. As of December 31, 2024, the Company had deferred tax assets of $1,832 million and unrecognized deferred tax assets of $681 million (see note 24).</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Note 3: Revenues</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Revenues by type and geography</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tables disaggregate revenues by type and geography and reconcile them to reportable segments (see note 4).</w:t>
      </w:r>
    </w:p>
    <w:p>
      <w:pPr>
        <w:spacing w:after="0" w:line="113" w:lineRule="exact"/>
        <w:rPr>
          <w:sz w:val="20"/>
          <w:szCs w:val="20"/>
          <w:color w:val="auto"/>
        </w:rPr>
      </w:pPr>
    </w:p>
    <w:tbl>
      <w:tblPr>
        <w:tblLayout w:type="fixed"/>
        <w:tblInd w:w="220" w:type="dxa"/>
        <w:tblCellMar>
          <w:top w:w="0" w:type="dxa"/>
          <w:left w:w="0" w:type="dxa"/>
          <w:bottom w:w="0" w:type="dxa"/>
          <w:right w:w="0" w:type="dxa"/>
        </w:tblCellMar>
      </w:tblPr>
      <w:tr>
        <w:trPr>
          <w:trHeight w:val="138"/>
        </w:trPr>
        <w:tc>
          <w:tcPr>
            <w:tcW w:w="2600" w:type="dxa"/>
            <w:vAlign w:val="bottom"/>
            <w:vMerge w:val="restart"/>
            <w:shd w:val="clear" w:color="auto" w:fill="1F473D"/>
          </w:tcPr>
          <w:p>
            <w:pPr>
              <w:spacing w:after="0"/>
              <w:rPr>
                <w:sz w:val="20"/>
                <w:szCs w:val="20"/>
                <w:color w:val="auto"/>
              </w:rPr>
            </w:pPr>
            <w:r>
              <w:rPr>
                <w:rFonts w:ascii="Arial" w:cs="Arial" w:eastAsia="Arial" w:hAnsi="Arial"/>
                <w:sz w:val="12"/>
                <w:szCs w:val="12"/>
                <w:b w:val="1"/>
                <w:bCs w:val="1"/>
                <w:color w:val="FFFFFF"/>
              </w:rPr>
              <w:t> Revenues by type</w:t>
            </w:r>
          </w:p>
        </w:tc>
        <w:tc>
          <w:tcPr>
            <w:tcW w:w="1200" w:type="dxa"/>
            <w:vAlign w:val="bottom"/>
            <w:gridSpan w:val="2"/>
            <w:shd w:val="clear" w:color="auto" w:fill="1F473D"/>
          </w:tcPr>
          <w:p>
            <w:pPr>
              <w:jc w:val="center"/>
              <w:spacing w:after="0"/>
              <w:rPr>
                <w:sz w:val="20"/>
                <w:szCs w:val="20"/>
                <w:color w:val="auto"/>
              </w:rPr>
            </w:pPr>
            <w:r>
              <w:rPr>
                <w:rFonts w:ascii="Arial" w:cs="Arial" w:eastAsia="Arial" w:hAnsi="Arial"/>
                <w:sz w:val="12"/>
                <w:szCs w:val="12"/>
                <w:b w:val="1"/>
                <w:bCs w:val="1"/>
                <w:color w:val="FFFFFF"/>
              </w:rPr>
              <w:t>Legal</w:t>
            </w:r>
          </w:p>
        </w:tc>
        <w:tc>
          <w:tcPr>
            <w:tcW w:w="1180" w:type="dxa"/>
            <w:vAlign w:val="bottom"/>
            <w:gridSpan w:val="2"/>
            <w:vMerge w:val="restart"/>
            <w:shd w:val="clear" w:color="auto" w:fill="1F473D"/>
          </w:tcPr>
          <w:p>
            <w:pPr>
              <w:jc w:val="right"/>
              <w:ind w:right="181"/>
              <w:spacing w:after="0"/>
              <w:rPr>
                <w:sz w:val="20"/>
                <w:szCs w:val="20"/>
                <w:color w:val="auto"/>
              </w:rPr>
            </w:pPr>
            <w:r>
              <w:rPr>
                <w:rFonts w:ascii="Arial" w:cs="Arial" w:eastAsia="Arial" w:hAnsi="Arial"/>
                <w:sz w:val="12"/>
                <w:szCs w:val="12"/>
                <w:b w:val="1"/>
                <w:bCs w:val="1"/>
                <w:color w:val="FFFFFF"/>
              </w:rPr>
              <w:t>Corporates</w:t>
            </w:r>
          </w:p>
        </w:tc>
        <w:tc>
          <w:tcPr>
            <w:tcW w:w="1200" w:type="dxa"/>
            <w:vAlign w:val="bottom"/>
            <w:gridSpan w:val="2"/>
            <w:shd w:val="clear" w:color="auto" w:fill="1F473D"/>
          </w:tcPr>
          <w:p>
            <w:pPr>
              <w:jc w:val="center"/>
              <w:spacing w:after="0"/>
              <w:rPr>
                <w:sz w:val="20"/>
                <w:szCs w:val="20"/>
                <w:color w:val="auto"/>
              </w:rPr>
            </w:pPr>
            <w:r>
              <w:rPr>
                <w:rFonts w:ascii="Arial" w:cs="Arial" w:eastAsia="Arial" w:hAnsi="Arial"/>
                <w:sz w:val="12"/>
                <w:szCs w:val="12"/>
                <w:b w:val="1"/>
                <w:bCs w:val="1"/>
                <w:color w:val="FFFFFF"/>
              </w:rPr>
              <w:t>Tax &amp; Accounting</w:t>
            </w:r>
          </w:p>
        </w:tc>
        <w:tc>
          <w:tcPr>
            <w:tcW w:w="1140" w:type="dxa"/>
            <w:vAlign w:val="bottom"/>
            <w:gridSpan w:val="2"/>
            <w:vMerge w:val="restart"/>
            <w:shd w:val="clear" w:color="auto" w:fill="1F473D"/>
          </w:tcPr>
          <w:p>
            <w:pPr>
              <w:jc w:val="right"/>
              <w:ind w:right="81"/>
              <w:spacing w:after="0"/>
              <w:rPr>
                <w:sz w:val="20"/>
                <w:szCs w:val="20"/>
                <w:color w:val="auto"/>
              </w:rPr>
            </w:pPr>
            <w:r>
              <w:rPr>
                <w:rFonts w:ascii="Arial" w:cs="Arial" w:eastAsia="Arial" w:hAnsi="Arial"/>
                <w:sz w:val="12"/>
                <w:szCs w:val="12"/>
                <w:b w:val="1"/>
                <w:bCs w:val="1"/>
                <w:color w:val="FFFFFF"/>
              </w:rPr>
              <w:t>Reuters News</w:t>
            </w:r>
          </w:p>
        </w:tc>
        <w:tc>
          <w:tcPr>
            <w:tcW w:w="1140" w:type="dxa"/>
            <w:vAlign w:val="bottom"/>
            <w:gridSpan w:val="2"/>
            <w:vMerge w:val="restart"/>
            <w:shd w:val="clear" w:color="auto" w:fill="1F473D"/>
          </w:tcPr>
          <w:p>
            <w:pPr>
              <w:jc w:val="right"/>
              <w:ind w:right="141"/>
              <w:spacing w:after="0"/>
              <w:rPr>
                <w:sz w:val="20"/>
                <w:szCs w:val="20"/>
                <w:color w:val="auto"/>
              </w:rPr>
            </w:pPr>
            <w:r>
              <w:rPr>
                <w:rFonts w:ascii="Arial" w:cs="Arial" w:eastAsia="Arial" w:hAnsi="Arial"/>
                <w:sz w:val="12"/>
                <w:szCs w:val="12"/>
                <w:b w:val="1"/>
                <w:bCs w:val="1"/>
                <w:color w:val="FFFFFF"/>
              </w:rPr>
              <w:t>Global Print</w:t>
            </w:r>
          </w:p>
        </w:tc>
        <w:tc>
          <w:tcPr>
            <w:tcW w:w="1160" w:type="dxa"/>
            <w:vAlign w:val="bottom"/>
            <w:gridSpan w:val="2"/>
            <w:shd w:val="clear" w:color="auto" w:fill="1F473D"/>
          </w:tcPr>
          <w:p>
            <w:pPr>
              <w:jc w:val="center"/>
              <w:spacing w:after="0"/>
              <w:rPr>
                <w:sz w:val="20"/>
                <w:szCs w:val="20"/>
                <w:color w:val="auto"/>
              </w:rPr>
            </w:pPr>
            <w:r>
              <w:rPr>
                <w:rFonts w:ascii="Arial" w:cs="Arial" w:eastAsia="Arial" w:hAnsi="Arial"/>
                <w:sz w:val="12"/>
                <w:szCs w:val="12"/>
                <w:b w:val="1"/>
                <w:bCs w:val="1"/>
                <w:color w:val="FFFFFF"/>
              </w:rPr>
              <w:t>Eliminations/</w:t>
            </w:r>
          </w:p>
        </w:tc>
        <w:tc>
          <w:tcPr>
            <w:tcW w:w="1180" w:type="dxa"/>
            <w:vAlign w:val="bottom"/>
            <w:gridSpan w:val="2"/>
            <w:vMerge w:val="restart"/>
            <w:shd w:val="clear" w:color="auto" w:fill="1F473D"/>
          </w:tcPr>
          <w:p>
            <w:pPr>
              <w:jc w:val="right"/>
              <w:ind w:right="381"/>
              <w:spacing w:after="0"/>
              <w:rPr>
                <w:sz w:val="20"/>
                <w:szCs w:val="20"/>
                <w:color w:val="auto"/>
              </w:rPr>
            </w:pPr>
            <w:r>
              <w:rPr>
                <w:rFonts w:ascii="Arial" w:cs="Arial" w:eastAsia="Arial" w:hAnsi="Arial"/>
                <w:sz w:val="12"/>
                <w:szCs w:val="12"/>
                <w:b w:val="1"/>
                <w:bCs w:val="1"/>
                <w:color w:val="FFFFFF"/>
              </w:rPr>
              <w:t>Total</w:t>
            </w:r>
          </w:p>
        </w:tc>
        <w:tc>
          <w:tcPr>
            <w:tcW w:w="0" w:type="dxa"/>
            <w:vAlign w:val="bottom"/>
          </w:tcPr>
          <w:p>
            <w:pPr>
              <w:spacing w:after="0"/>
              <w:rPr>
                <w:sz w:val="1"/>
                <w:szCs w:val="1"/>
                <w:color w:val="auto"/>
              </w:rPr>
            </w:pPr>
          </w:p>
        </w:tc>
      </w:tr>
      <w:tr>
        <w:trPr>
          <w:trHeight w:val="165"/>
        </w:trPr>
        <w:tc>
          <w:tcPr>
            <w:tcW w:w="2600" w:type="dxa"/>
            <w:vAlign w:val="bottom"/>
            <w:tcBorders>
              <w:bottom w:val="single" w:sz="8" w:color="D64000"/>
            </w:tcBorders>
            <w:vMerge w:val="continue"/>
            <w:shd w:val="clear" w:color="auto" w:fill="1F473D"/>
          </w:tcPr>
          <w:p>
            <w:pPr>
              <w:spacing w:after="0"/>
              <w:rPr>
                <w:sz w:val="14"/>
                <w:szCs w:val="14"/>
                <w:color w:val="auto"/>
              </w:rPr>
            </w:pPr>
          </w:p>
        </w:tc>
        <w:tc>
          <w:tcPr>
            <w:tcW w:w="1200" w:type="dxa"/>
            <w:vAlign w:val="bottom"/>
            <w:tcBorders>
              <w:bottom w:val="single" w:sz="8" w:color="D64000"/>
            </w:tcBorders>
            <w:gridSpan w:val="2"/>
            <w:shd w:val="clear" w:color="auto" w:fill="1F473D"/>
          </w:tcPr>
          <w:p>
            <w:pPr>
              <w:jc w:val="center"/>
              <w:spacing w:after="0"/>
              <w:rPr>
                <w:sz w:val="20"/>
                <w:szCs w:val="20"/>
                <w:color w:val="auto"/>
              </w:rPr>
            </w:pPr>
            <w:r>
              <w:rPr>
                <w:rFonts w:ascii="Arial" w:cs="Arial" w:eastAsia="Arial" w:hAnsi="Arial"/>
                <w:sz w:val="12"/>
                <w:szCs w:val="12"/>
                <w:b w:val="1"/>
                <w:bCs w:val="1"/>
                <w:color w:val="FFFFFF"/>
              </w:rPr>
              <w:t>Professionals</w:t>
            </w:r>
          </w:p>
        </w:tc>
        <w:tc>
          <w:tcPr>
            <w:tcW w:w="1180" w:type="dxa"/>
            <w:vAlign w:val="bottom"/>
            <w:tcBorders>
              <w:bottom w:val="single" w:sz="8" w:color="D64000"/>
            </w:tcBorders>
            <w:gridSpan w:val="2"/>
            <w:vMerge w:val="continue"/>
            <w:shd w:val="clear" w:color="auto" w:fill="1F473D"/>
          </w:tcPr>
          <w:p>
            <w:pPr>
              <w:spacing w:after="0"/>
              <w:rPr>
                <w:sz w:val="14"/>
                <w:szCs w:val="14"/>
                <w:color w:val="auto"/>
              </w:rPr>
            </w:pPr>
          </w:p>
        </w:tc>
        <w:tc>
          <w:tcPr>
            <w:tcW w:w="1200" w:type="dxa"/>
            <w:vAlign w:val="bottom"/>
            <w:tcBorders>
              <w:bottom w:val="single" w:sz="8" w:color="D64000"/>
            </w:tcBorders>
            <w:gridSpan w:val="2"/>
            <w:shd w:val="clear" w:color="auto" w:fill="1F473D"/>
          </w:tcPr>
          <w:p>
            <w:pPr>
              <w:jc w:val="center"/>
              <w:spacing w:after="0"/>
              <w:rPr>
                <w:sz w:val="20"/>
                <w:szCs w:val="20"/>
                <w:color w:val="auto"/>
              </w:rPr>
            </w:pPr>
            <w:r>
              <w:rPr>
                <w:rFonts w:ascii="Arial" w:cs="Arial" w:eastAsia="Arial" w:hAnsi="Arial"/>
                <w:sz w:val="12"/>
                <w:szCs w:val="12"/>
                <w:b w:val="1"/>
                <w:bCs w:val="1"/>
                <w:color w:val="FFFFFF"/>
              </w:rPr>
              <w:t>Professionals</w:t>
            </w:r>
          </w:p>
        </w:tc>
        <w:tc>
          <w:tcPr>
            <w:tcW w:w="1140" w:type="dxa"/>
            <w:vAlign w:val="bottom"/>
            <w:tcBorders>
              <w:bottom w:val="single" w:sz="8" w:color="D64000"/>
            </w:tcBorders>
            <w:gridSpan w:val="2"/>
            <w:vMerge w:val="continue"/>
            <w:shd w:val="clear" w:color="auto" w:fill="1F473D"/>
          </w:tcPr>
          <w:p>
            <w:pPr>
              <w:spacing w:after="0"/>
              <w:rPr>
                <w:sz w:val="14"/>
                <w:szCs w:val="14"/>
                <w:color w:val="auto"/>
              </w:rPr>
            </w:pPr>
          </w:p>
        </w:tc>
        <w:tc>
          <w:tcPr>
            <w:tcW w:w="1140" w:type="dxa"/>
            <w:vAlign w:val="bottom"/>
            <w:tcBorders>
              <w:bottom w:val="single" w:sz="8" w:color="D64000"/>
            </w:tcBorders>
            <w:gridSpan w:val="2"/>
            <w:vMerge w:val="continue"/>
            <w:shd w:val="clear" w:color="auto" w:fill="1F473D"/>
          </w:tcPr>
          <w:p>
            <w:pPr>
              <w:spacing w:after="0"/>
              <w:rPr>
                <w:sz w:val="14"/>
                <w:szCs w:val="14"/>
                <w:color w:val="auto"/>
              </w:rPr>
            </w:pPr>
          </w:p>
        </w:tc>
        <w:tc>
          <w:tcPr>
            <w:tcW w:w="1160" w:type="dxa"/>
            <w:vAlign w:val="bottom"/>
            <w:tcBorders>
              <w:bottom w:val="single" w:sz="8" w:color="D64000"/>
            </w:tcBorders>
            <w:gridSpan w:val="2"/>
            <w:shd w:val="clear" w:color="auto" w:fill="1F473D"/>
          </w:tcPr>
          <w:p>
            <w:pPr>
              <w:jc w:val="center"/>
              <w:spacing w:after="0"/>
              <w:rPr>
                <w:sz w:val="20"/>
                <w:szCs w:val="20"/>
                <w:color w:val="auto"/>
              </w:rPr>
            </w:pPr>
            <w:r>
              <w:rPr>
                <w:rFonts w:ascii="Arial" w:cs="Arial" w:eastAsia="Arial" w:hAnsi="Arial"/>
                <w:sz w:val="12"/>
                <w:szCs w:val="12"/>
                <w:b w:val="1"/>
                <w:bCs w:val="1"/>
                <w:color w:val="FFFFFF"/>
              </w:rPr>
              <w:t>Rounding</w:t>
            </w:r>
          </w:p>
        </w:tc>
        <w:tc>
          <w:tcPr>
            <w:tcW w:w="1180" w:type="dxa"/>
            <w:vAlign w:val="bottom"/>
            <w:tcBorders>
              <w:bottom w:val="single" w:sz="8" w:color="D64000"/>
            </w:tcBorders>
            <w:gridSpan w:val="2"/>
            <w:vMerge w:val="continue"/>
            <w:shd w:val="clear" w:color="auto" w:fill="1F473D"/>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600" w:type="dxa"/>
            <w:vAlign w:val="bottom"/>
            <w:tcBorders>
              <w:bottom w:val="single" w:sz="8" w:color="D64000"/>
            </w:tcBorders>
            <w:shd w:val="clear" w:color="auto" w:fill="E3F3EE"/>
          </w:tcPr>
          <w:p>
            <w:pPr>
              <w:spacing w:after="0"/>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color w:val="auto"/>
              </w:rPr>
              <w:t>Year ended December 31,</w:t>
            </w:r>
          </w:p>
        </w:tc>
        <w:tc>
          <w:tcPr>
            <w:tcW w:w="600" w:type="dxa"/>
            <w:vAlign w:val="bottom"/>
            <w:tcBorders>
              <w:bottom w:val="single" w:sz="8" w:color="D64000"/>
            </w:tcBorders>
            <w:shd w:val="clear" w:color="auto" w:fill="E3F3EE"/>
          </w:tcPr>
          <w:p>
            <w:pPr>
              <w:jc w:val="right"/>
              <w:ind w:right="4"/>
              <w:spacing w:after="0"/>
              <w:rPr>
                <w:sz w:val="20"/>
                <w:szCs w:val="20"/>
                <w:color w:val="auto"/>
              </w:rPr>
            </w:pPr>
            <w:r>
              <w:rPr>
                <w:rFonts w:ascii="Arial" w:cs="Arial" w:eastAsia="Arial" w:hAnsi="Arial"/>
                <w:sz w:val="16"/>
                <w:szCs w:val="16"/>
                <w:b w:val="1"/>
                <w:bCs w:val="1"/>
                <w:color w:val="auto"/>
              </w:rPr>
              <w:t>  2024</w:t>
            </w:r>
          </w:p>
        </w:tc>
        <w:tc>
          <w:tcPr>
            <w:tcW w:w="600" w:type="dxa"/>
            <w:vAlign w:val="bottom"/>
            <w:tcBorders>
              <w:bottom w:val="single" w:sz="8" w:color="D64000"/>
            </w:tcBorders>
            <w:shd w:val="clear" w:color="auto" w:fill="E3F3EE"/>
          </w:tcPr>
          <w:p>
            <w:pPr>
              <w:jc w:val="right"/>
              <w:ind w:right="1"/>
              <w:spacing w:after="0"/>
              <w:rPr>
                <w:sz w:val="20"/>
                <w:szCs w:val="20"/>
                <w:color w:val="auto"/>
              </w:rPr>
            </w:pPr>
            <w:r>
              <w:rPr>
                <w:rFonts w:ascii="Arial" w:cs="Arial" w:eastAsia="Arial" w:hAnsi="Arial"/>
                <w:sz w:val="16"/>
                <w:szCs w:val="16"/>
                <w:color w:val="auto"/>
              </w:rPr>
              <w:t>  2023</w:t>
            </w:r>
          </w:p>
        </w:tc>
        <w:tc>
          <w:tcPr>
            <w:tcW w:w="600" w:type="dxa"/>
            <w:vAlign w:val="bottom"/>
            <w:tcBorders>
              <w:bottom w:val="single" w:sz="8" w:color="D64000"/>
            </w:tcBorders>
            <w:shd w:val="clear" w:color="auto" w:fill="E3F3EE"/>
          </w:tcPr>
          <w:p>
            <w:pPr>
              <w:jc w:val="right"/>
              <w:ind w:right="3"/>
              <w:spacing w:after="0"/>
              <w:rPr>
                <w:sz w:val="20"/>
                <w:szCs w:val="20"/>
                <w:color w:val="auto"/>
              </w:rPr>
            </w:pPr>
            <w:r>
              <w:rPr>
                <w:rFonts w:ascii="Arial" w:cs="Arial" w:eastAsia="Arial" w:hAnsi="Arial"/>
                <w:sz w:val="16"/>
                <w:szCs w:val="16"/>
                <w:b w:val="1"/>
                <w:bCs w:val="1"/>
                <w:color w:val="auto"/>
              </w:rPr>
              <w:t>  2024</w:t>
            </w:r>
          </w:p>
        </w:tc>
        <w:tc>
          <w:tcPr>
            <w:tcW w:w="580" w:type="dxa"/>
            <w:vAlign w:val="bottom"/>
            <w:tcBorders>
              <w:bottom w:val="single" w:sz="8" w:color="D64000"/>
            </w:tcBorders>
            <w:shd w:val="clear" w:color="auto" w:fill="E3F3EE"/>
          </w:tcPr>
          <w:p>
            <w:pPr>
              <w:jc w:val="right"/>
              <w:spacing w:after="0"/>
              <w:rPr>
                <w:sz w:val="20"/>
                <w:szCs w:val="20"/>
                <w:color w:val="auto"/>
              </w:rPr>
            </w:pPr>
            <w:r>
              <w:rPr>
                <w:rFonts w:ascii="Arial" w:cs="Arial" w:eastAsia="Arial" w:hAnsi="Arial"/>
                <w:sz w:val="16"/>
                <w:szCs w:val="16"/>
                <w:color w:val="auto"/>
              </w:rPr>
              <w:t>  2023</w:t>
            </w:r>
          </w:p>
        </w:tc>
        <w:tc>
          <w:tcPr>
            <w:tcW w:w="620" w:type="dxa"/>
            <w:vAlign w:val="bottom"/>
            <w:tcBorders>
              <w:bottom w:val="single" w:sz="8" w:color="D64000"/>
            </w:tcBorders>
            <w:shd w:val="clear" w:color="auto" w:fill="E3F3EE"/>
          </w:tcPr>
          <w:p>
            <w:pPr>
              <w:jc w:val="right"/>
              <w:ind w:right="4"/>
              <w:spacing w:after="0"/>
              <w:rPr>
                <w:sz w:val="20"/>
                <w:szCs w:val="20"/>
                <w:color w:val="auto"/>
              </w:rPr>
            </w:pPr>
            <w:r>
              <w:rPr>
                <w:rFonts w:ascii="Arial" w:cs="Arial" w:eastAsia="Arial" w:hAnsi="Arial"/>
                <w:sz w:val="16"/>
                <w:szCs w:val="16"/>
                <w:b w:val="1"/>
                <w:bCs w:val="1"/>
                <w:color w:val="auto"/>
              </w:rPr>
              <w:t>  2024</w:t>
            </w:r>
          </w:p>
        </w:tc>
        <w:tc>
          <w:tcPr>
            <w:tcW w:w="580" w:type="dxa"/>
            <w:vAlign w:val="bottom"/>
            <w:tcBorders>
              <w:bottom w:val="single" w:sz="8" w:color="D64000"/>
            </w:tcBorders>
            <w:shd w:val="clear" w:color="auto" w:fill="E3F3EE"/>
          </w:tcPr>
          <w:p>
            <w:pPr>
              <w:jc w:val="right"/>
              <w:spacing w:after="0"/>
              <w:rPr>
                <w:sz w:val="20"/>
                <w:szCs w:val="20"/>
                <w:color w:val="auto"/>
              </w:rPr>
            </w:pPr>
            <w:r>
              <w:rPr>
                <w:rFonts w:ascii="Arial" w:cs="Arial" w:eastAsia="Arial" w:hAnsi="Arial"/>
                <w:sz w:val="16"/>
                <w:szCs w:val="16"/>
                <w:color w:val="auto"/>
              </w:rPr>
              <w:t>  2023</w:t>
            </w:r>
          </w:p>
        </w:tc>
        <w:tc>
          <w:tcPr>
            <w:tcW w:w="1140" w:type="dxa"/>
            <w:vAlign w:val="bottom"/>
            <w:tcBorders>
              <w:bottom w:val="single" w:sz="8" w:color="D64000"/>
            </w:tcBorders>
            <w:gridSpan w:val="2"/>
            <w:shd w:val="clear" w:color="auto" w:fill="E3F3EE"/>
          </w:tcPr>
          <w:p>
            <w:pPr>
              <w:jc w:val="right"/>
              <w:spacing w:after="0"/>
              <w:rPr>
                <w:sz w:val="20"/>
                <w:szCs w:val="20"/>
                <w:color w:val="auto"/>
              </w:rPr>
            </w:pPr>
            <w:r>
              <w:rPr>
                <w:rFonts w:ascii="Arial" w:cs="Arial" w:eastAsia="Arial" w:hAnsi="Arial"/>
                <w:sz w:val="16"/>
                <w:szCs w:val="16"/>
                <w:b w:val="1"/>
                <w:bCs w:val="1"/>
                <w:color w:val="auto"/>
              </w:rPr>
              <w:t xml:space="preserve">  2024 </w:t>
            </w:r>
            <w:r>
              <w:rPr>
                <w:rFonts w:ascii="Arial" w:cs="Arial" w:eastAsia="Arial" w:hAnsi="Arial"/>
                <w:sz w:val="16"/>
                <w:szCs w:val="16"/>
                <w:color w:val="auto"/>
              </w:rPr>
              <w:t>   2023</w:t>
            </w:r>
          </w:p>
        </w:tc>
        <w:tc>
          <w:tcPr>
            <w:tcW w:w="1140" w:type="dxa"/>
            <w:vAlign w:val="bottom"/>
            <w:tcBorders>
              <w:bottom w:val="single" w:sz="8" w:color="D64000"/>
            </w:tcBorders>
            <w:gridSpan w:val="2"/>
            <w:shd w:val="clear" w:color="auto" w:fill="E3F3EE"/>
          </w:tcPr>
          <w:p>
            <w:pPr>
              <w:jc w:val="right"/>
              <w:spacing w:after="0"/>
              <w:rPr>
                <w:sz w:val="20"/>
                <w:szCs w:val="20"/>
                <w:color w:val="auto"/>
              </w:rPr>
            </w:pPr>
            <w:r>
              <w:rPr>
                <w:rFonts w:ascii="Arial" w:cs="Arial" w:eastAsia="Arial" w:hAnsi="Arial"/>
                <w:sz w:val="16"/>
                <w:szCs w:val="16"/>
                <w:b w:val="1"/>
                <w:bCs w:val="1"/>
                <w:color w:val="auto"/>
              </w:rPr>
              <w:t xml:space="preserve">  2024 </w:t>
            </w:r>
            <w:r>
              <w:rPr>
                <w:rFonts w:ascii="Arial" w:cs="Arial" w:eastAsia="Arial" w:hAnsi="Arial"/>
                <w:sz w:val="16"/>
                <w:szCs w:val="16"/>
                <w:color w:val="auto"/>
              </w:rPr>
              <w:t>   2023</w:t>
            </w:r>
          </w:p>
        </w:tc>
        <w:tc>
          <w:tcPr>
            <w:tcW w:w="1160" w:type="dxa"/>
            <w:vAlign w:val="bottom"/>
            <w:tcBorders>
              <w:bottom w:val="single" w:sz="8" w:color="D64000"/>
            </w:tcBorders>
            <w:gridSpan w:val="2"/>
            <w:shd w:val="clear" w:color="auto" w:fill="E3F3EE"/>
          </w:tcPr>
          <w:p>
            <w:pPr>
              <w:jc w:val="right"/>
              <w:ind w:right="1"/>
              <w:spacing w:after="0"/>
              <w:rPr>
                <w:sz w:val="20"/>
                <w:szCs w:val="20"/>
                <w:color w:val="auto"/>
              </w:rPr>
            </w:pPr>
            <w:r>
              <w:rPr>
                <w:rFonts w:ascii="Arial" w:cs="Arial" w:eastAsia="Arial" w:hAnsi="Arial"/>
                <w:sz w:val="16"/>
                <w:szCs w:val="16"/>
                <w:b w:val="1"/>
                <w:bCs w:val="1"/>
                <w:color w:val="auto"/>
              </w:rPr>
              <w:t xml:space="preserve">  2024 </w:t>
            </w:r>
            <w:r>
              <w:rPr>
                <w:rFonts w:ascii="Arial" w:cs="Arial" w:eastAsia="Arial" w:hAnsi="Arial"/>
                <w:sz w:val="16"/>
                <w:szCs w:val="16"/>
                <w:color w:val="auto"/>
              </w:rPr>
              <w:t>   2023</w:t>
            </w:r>
          </w:p>
        </w:tc>
        <w:tc>
          <w:tcPr>
            <w:tcW w:w="600" w:type="dxa"/>
            <w:vAlign w:val="bottom"/>
            <w:tcBorders>
              <w:bottom w:val="single" w:sz="8" w:color="D64000"/>
            </w:tcBorders>
            <w:shd w:val="clear" w:color="auto" w:fill="E3F3EE"/>
          </w:tcPr>
          <w:p>
            <w:pPr>
              <w:jc w:val="right"/>
              <w:ind w:right="3"/>
              <w:spacing w:after="0"/>
              <w:rPr>
                <w:sz w:val="20"/>
                <w:szCs w:val="20"/>
                <w:color w:val="auto"/>
              </w:rPr>
            </w:pPr>
            <w:r>
              <w:rPr>
                <w:rFonts w:ascii="Arial" w:cs="Arial" w:eastAsia="Arial" w:hAnsi="Arial"/>
                <w:sz w:val="16"/>
                <w:szCs w:val="16"/>
                <w:b w:val="1"/>
                <w:bCs w:val="1"/>
                <w:color w:val="auto"/>
              </w:rPr>
              <w:t>  2024</w:t>
            </w:r>
          </w:p>
        </w:tc>
        <w:tc>
          <w:tcPr>
            <w:tcW w:w="580" w:type="dxa"/>
            <w:vAlign w:val="bottom"/>
            <w:tcBorders>
              <w:bottom w:val="single" w:sz="8" w:color="D64000"/>
            </w:tcBorders>
            <w:shd w:val="clear" w:color="auto" w:fill="E3F3EE"/>
          </w:tcPr>
          <w:p>
            <w:pPr>
              <w:jc w:val="right"/>
              <w:spacing w:after="0"/>
              <w:rPr>
                <w:sz w:val="20"/>
                <w:szCs w:val="20"/>
                <w:color w:val="auto"/>
              </w:rPr>
            </w:pPr>
            <w:r>
              <w:rPr>
                <w:rFonts w:ascii="Arial" w:cs="Arial" w:eastAsia="Arial" w:hAnsi="Arial"/>
                <w:sz w:val="16"/>
                <w:szCs w:val="16"/>
                <w:color w:val="auto"/>
              </w:rPr>
              <w:t>  2023</w:t>
            </w:r>
          </w:p>
        </w:tc>
        <w:tc>
          <w:tcPr>
            <w:tcW w:w="0" w:type="dxa"/>
            <w:vAlign w:val="bottom"/>
          </w:tcPr>
          <w:p>
            <w:pPr>
              <w:spacing w:after="0"/>
              <w:rPr>
                <w:sz w:val="1"/>
                <w:szCs w:val="1"/>
                <w:color w:val="auto"/>
              </w:rPr>
            </w:pPr>
          </w:p>
        </w:tc>
      </w:tr>
      <w:tr>
        <w:trPr>
          <w:trHeight w:val="171"/>
        </w:trPr>
        <w:tc>
          <w:tcPr>
            <w:tcW w:w="2600" w:type="dxa"/>
            <w:vAlign w:val="bottom"/>
          </w:tcPr>
          <w:p>
            <w:pPr>
              <w:spacing w:after="0" w:line="171" w:lineRule="exact"/>
              <w:rPr>
                <w:sz w:val="20"/>
                <w:szCs w:val="20"/>
                <w:color w:val="auto"/>
              </w:rPr>
            </w:pPr>
            <w:r>
              <w:rPr>
                <w:rFonts w:ascii="Arial" w:cs="Arial" w:eastAsia="Arial" w:hAnsi="Arial"/>
                <w:sz w:val="16"/>
                <w:szCs w:val="16"/>
                <w:color w:val="auto"/>
              </w:rPr>
              <w:t> Recurring</w:t>
            </w:r>
          </w:p>
        </w:tc>
        <w:tc>
          <w:tcPr>
            <w:tcW w:w="600" w:type="dxa"/>
            <w:vAlign w:val="bottom"/>
          </w:tcPr>
          <w:p>
            <w:pPr>
              <w:jc w:val="right"/>
              <w:ind w:right="4"/>
              <w:spacing w:after="0" w:line="171" w:lineRule="exact"/>
              <w:rPr>
                <w:sz w:val="20"/>
                <w:szCs w:val="20"/>
                <w:color w:val="auto"/>
              </w:rPr>
            </w:pPr>
            <w:r>
              <w:rPr>
                <w:rFonts w:ascii="Arial" w:cs="Arial" w:eastAsia="Arial" w:hAnsi="Arial"/>
                <w:sz w:val="16"/>
                <w:szCs w:val="16"/>
                <w:b w:val="1"/>
                <w:bCs w:val="1"/>
                <w:color w:val="auto"/>
              </w:rPr>
              <w:t>2,828</w:t>
            </w:r>
          </w:p>
        </w:tc>
        <w:tc>
          <w:tcPr>
            <w:tcW w:w="600" w:type="dxa"/>
            <w:vAlign w:val="bottom"/>
          </w:tcPr>
          <w:p>
            <w:pPr>
              <w:jc w:val="right"/>
              <w:ind w:right="1"/>
              <w:spacing w:after="0" w:line="171" w:lineRule="exact"/>
              <w:rPr>
                <w:sz w:val="20"/>
                <w:szCs w:val="20"/>
                <w:color w:val="auto"/>
              </w:rPr>
            </w:pPr>
            <w:r>
              <w:rPr>
                <w:rFonts w:ascii="Arial" w:cs="Arial" w:eastAsia="Arial" w:hAnsi="Arial"/>
                <w:sz w:val="16"/>
                <w:szCs w:val="16"/>
                <w:color w:val="auto"/>
              </w:rPr>
              <w:t>2,674</w:t>
            </w:r>
          </w:p>
        </w:tc>
        <w:tc>
          <w:tcPr>
            <w:tcW w:w="600" w:type="dxa"/>
            <w:vAlign w:val="bottom"/>
          </w:tcPr>
          <w:p>
            <w:pPr>
              <w:jc w:val="right"/>
              <w:ind w:right="3"/>
              <w:spacing w:after="0" w:line="171" w:lineRule="exact"/>
              <w:rPr>
                <w:sz w:val="20"/>
                <w:szCs w:val="20"/>
                <w:color w:val="auto"/>
              </w:rPr>
            </w:pPr>
            <w:r>
              <w:rPr>
                <w:rFonts w:ascii="Arial" w:cs="Arial" w:eastAsia="Arial" w:hAnsi="Arial"/>
                <w:sz w:val="16"/>
                <w:szCs w:val="16"/>
                <w:b w:val="1"/>
                <w:bCs w:val="1"/>
                <w:color w:val="auto"/>
              </w:rPr>
              <w:t>1,543</w:t>
            </w:r>
          </w:p>
        </w:tc>
        <w:tc>
          <w:tcPr>
            <w:tcW w:w="580" w:type="dxa"/>
            <w:vAlign w:val="bottom"/>
          </w:tcPr>
          <w:p>
            <w:pPr>
              <w:jc w:val="right"/>
              <w:spacing w:after="0" w:line="171" w:lineRule="exact"/>
              <w:rPr>
                <w:sz w:val="20"/>
                <w:szCs w:val="20"/>
                <w:color w:val="auto"/>
              </w:rPr>
            </w:pPr>
            <w:r>
              <w:rPr>
                <w:rFonts w:ascii="Arial" w:cs="Arial" w:eastAsia="Arial" w:hAnsi="Arial"/>
                <w:sz w:val="16"/>
                <w:szCs w:val="16"/>
                <w:color w:val="auto"/>
              </w:rPr>
              <w:t>1,373</w:t>
            </w:r>
          </w:p>
        </w:tc>
        <w:tc>
          <w:tcPr>
            <w:tcW w:w="620" w:type="dxa"/>
            <w:vAlign w:val="bottom"/>
          </w:tcPr>
          <w:p>
            <w:pPr>
              <w:jc w:val="right"/>
              <w:ind w:right="4"/>
              <w:spacing w:after="0" w:line="171" w:lineRule="exact"/>
              <w:rPr>
                <w:sz w:val="20"/>
                <w:szCs w:val="20"/>
                <w:color w:val="auto"/>
              </w:rPr>
            </w:pPr>
            <w:r>
              <w:rPr>
                <w:rFonts w:ascii="Arial" w:cs="Arial" w:eastAsia="Arial" w:hAnsi="Arial"/>
                <w:sz w:val="16"/>
                <w:szCs w:val="16"/>
                <w:b w:val="1"/>
                <w:bCs w:val="1"/>
                <w:color w:val="auto"/>
              </w:rPr>
              <w:t>867</w:t>
            </w:r>
          </w:p>
        </w:tc>
        <w:tc>
          <w:tcPr>
            <w:tcW w:w="580" w:type="dxa"/>
            <w:vAlign w:val="bottom"/>
          </w:tcPr>
          <w:p>
            <w:pPr>
              <w:jc w:val="right"/>
              <w:spacing w:after="0" w:line="171" w:lineRule="exact"/>
              <w:rPr>
                <w:sz w:val="20"/>
                <w:szCs w:val="20"/>
                <w:color w:val="auto"/>
              </w:rPr>
            </w:pPr>
            <w:r>
              <w:rPr>
                <w:rFonts w:ascii="Arial" w:cs="Arial" w:eastAsia="Arial" w:hAnsi="Arial"/>
                <w:sz w:val="16"/>
                <w:szCs w:val="16"/>
                <w:color w:val="auto"/>
              </w:rPr>
              <w:t>808</w:t>
            </w:r>
          </w:p>
        </w:tc>
        <w:tc>
          <w:tcPr>
            <w:tcW w:w="620" w:type="dxa"/>
            <w:vAlign w:val="bottom"/>
          </w:tcPr>
          <w:p>
            <w:pPr>
              <w:jc w:val="right"/>
              <w:ind w:right="43"/>
              <w:spacing w:after="0" w:line="171" w:lineRule="exact"/>
              <w:rPr>
                <w:sz w:val="20"/>
                <w:szCs w:val="20"/>
                <w:color w:val="auto"/>
              </w:rPr>
            </w:pPr>
            <w:r>
              <w:rPr>
                <w:rFonts w:ascii="Arial" w:cs="Arial" w:eastAsia="Arial" w:hAnsi="Arial"/>
                <w:sz w:val="16"/>
                <w:szCs w:val="16"/>
                <w:b w:val="1"/>
                <w:bCs w:val="1"/>
                <w:color w:val="auto"/>
              </w:rPr>
              <w:t>668</w:t>
            </w:r>
          </w:p>
        </w:tc>
        <w:tc>
          <w:tcPr>
            <w:tcW w:w="520" w:type="dxa"/>
            <w:vAlign w:val="bottom"/>
          </w:tcPr>
          <w:p>
            <w:pPr>
              <w:jc w:val="right"/>
              <w:spacing w:after="0" w:line="171" w:lineRule="exact"/>
              <w:rPr>
                <w:sz w:val="20"/>
                <w:szCs w:val="20"/>
                <w:color w:val="auto"/>
              </w:rPr>
            </w:pPr>
            <w:r>
              <w:rPr>
                <w:rFonts w:ascii="Arial" w:cs="Arial" w:eastAsia="Arial" w:hAnsi="Arial"/>
                <w:sz w:val="16"/>
                <w:szCs w:val="16"/>
                <w:color w:val="auto"/>
              </w:rPr>
              <w:t>625</w:t>
            </w:r>
          </w:p>
        </w:tc>
        <w:tc>
          <w:tcPr>
            <w:tcW w:w="620" w:type="dxa"/>
            <w:vAlign w:val="bottom"/>
          </w:tcPr>
          <w:p>
            <w:pPr>
              <w:jc w:val="right"/>
              <w:ind w:right="43"/>
              <w:spacing w:after="0" w:line="171" w:lineRule="exact"/>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line="171" w:lineRule="exact"/>
              <w:rPr>
                <w:sz w:val="20"/>
                <w:szCs w:val="20"/>
                <w:color w:val="auto"/>
              </w:rPr>
            </w:pPr>
            <w:r>
              <w:rPr>
                <w:rFonts w:ascii="Arial" w:cs="Arial" w:eastAsia="Arial" w:hAnsi="Arial"/>
                <w:sz w:val="16"/>
                <w:szCs w:val="16"/>
                <w:color w:val="auto"/>
              </w:rPr>
              <w:t>-</w:t>
            </w:r>
          </w:p>
        </w:tc>
        <w:tc>
          <w:tcPr>
            <w:tcW w:w="620" w:type="dxa"/>
            <w:vAlign w:val="bottom"/>
          </w:tcPr>
          <w:p>
            <w:pPr>
              <w:jc w:val="right"/>
              <w:ind w:right="44"/>
              <w:spacing w:after="0" w:line="171" w:lineRule="exact"/>
              <w:rPr>
                <w:sz w:val="20"/>
                <w:szCs w:val="20"/>
                <w:color w:val="auto"/>
              </w:rPr>
            </w:pPr>
            <w:r>
              <w:rPr>
                <w:rFonts w:ascii="Arial" w:cs="Arial" w:eastAsia="Arial" w:hAnsi="Arial"/>
                <w:sz w:val="16"/>
                <w:szCs w:val="16"/>
                <w:b w:val="1"/>
                <w:bCs w:val="1"/>
                <w:color w:val="auto"/>
              </w:rPr>
              <w:t>(24)</w:t>
            </w:r>
          </w:p>
        </w:tc>
        <w:tc>
          <w:tcPr>
            <w:tcW w:w="540" w:type="dxa"/>
            <w:vAlign w:val="bottom"/>
          </w:tcPr>
          <w:p>
            <w:pPr>
              <w:jc w:val="right"/>
              <w:ind w:right="1"/>
              <w:spacing w:after="0" w:line="171" w:lineRule="exact"/>
              <w:rPr>
                <w:sz w:val="20"/>
                <w:szCs w:val="20"/>
                <w:color w:val="auto"/>
              </w:rPr>
            </w:pPr>
            <w:r>
              <w:rPr>
                <w:rFonts w:ascii="Arial" w:cs="Arial" w:eastAsia="Arial" w:hAnsi="Arial"/>
                <w:sz w:val="16"/>
                <w:szCs w:val="16"/>
                <w:color w:val="auto"/>
              </w:rPr>
              <w:t>(22)</w:t>
            </w:r>
          </w:p>
        </w:tc>
        <w:tc>
          <w:tcPr>
            <w:tcW w:w="600" w:type="dxa"/>
            <w:vAlign w:val="bottom"/>
          </w:tcPr>
          <w:p>
            <w:pPr>
              <w:jc w:val="right"/>
              <w:ind w:right="3"/>
              <w:spacing w:after="0" w:line="171" w:lineRule="exact"/>
              <w:rPr>
                <w:sz w:val="20"/>
                <w:szCs w:val="20"/>
                <w:color w:val="auto"/>
              </w:rPr>
            </w:pPr>
            <w:r>
              <w:rPr>
                <w:rFonts w:ascii="Arial" w:cs="Arial" w:eastAsia="Arial" w:hAnsi="Arial"/>
                <w:sz w:val="16"/>
                <w:szCs w:val="16"/>
                <w:b w:val="1"/>
                <w:bCs w:val="1"/>
                <w:color w:val="auto"/>
              </w:rPr>
              <w:t>5,882</w:t>
            </w:r>
          </w:p>
        </w:tc>
        <w:tc>
          <w:tcPr>
            <w:tcW w:w="580" w:type="dxa"/>
            <w:vAlign w:val="bottom"/>
          </w:tcPr>
          <w:p>
            <w:pPr>
              <w:jc w:val="right"/>
              <w:spacing w:after="0" w:line="171" w:lineRule="exact"/>
              <w:rPr>
                <w:sz w:val="20"/>
                <w:szCs w:val="20"/>
                <w:color w:val="auto"/>
              </w:rPr>
            </w:pPr>
            <w:r>
              <w:rPr>
                <w:rFonts w:ascii="Arial" w:cs="Arial" w:eastAsia="Arial" w:hAnsi="Arial"/>
                <w:sz w:val="16"/>
                <w:szCs w:val="16"/>
                <w:color w:val="auto"/>
              </w:rPr>
              <w:t>5,458</w:t>
            </w:r>
          </w:p>
        </w:tc>
        <w:tc>
          <w:tcPr>
            <w:tcW w:w="0" w:type="dxa"/>
            <w:vAlign w:val="bottom"/>
          </w:tcPr>
          <w:p>
            <w:pPr>
              <w:spacing w:after="0"/>
              <w:rPr>
                <w:sz w:val="1"/>
                <w:szCs w:val="1"/>
                <w:color w:val="auto"/>
              </w:rPr>
            </w:pPr>
          </w:p>
        </w:tc>
      </w:tr>
      <w:tr>
        <w:trPr>
          <w:trHeight w:val="185"/>
        </w:trPr>
        <w:tc>
          <w:tcPr>
            <w:tcW w:w="2600" w:type="dxa"/>
            <w:vAlign w:val="bottom"/>
          </w:tcPr>
          <w:p>
            <w:pPr>
              <w:spacing w:after="0"/>
              <w:rPr>
                <w:sz w:val="20"/>
                <w:szCs w:val="20"/>
                <w:color w:val="auto"/>
              </w:rPr>
            </w:pPr>
            <w:r>
              <w:rPr>
                <w:rFonts w:ascii="Arial" w:cs="Arial" w:eastAsia="Arial" w:hAnsi="Arial"/>
                <w:sz w:val="16"/>
                <w:szCs w:val="16"/>
                <w:color w:val="auto"/>
              </w:rPr>
              <w:t> Transactions</w:t>
            </w:r>
          </w:p>
        </w:tc>
        <w:tc>
          <w:tcPr>
            <w:tcW w:w="600" w:type="dxa"/>
            <w:vAlign w:val="bottom"/>
          </w:tcPr>
          <w:p>
            <w:pPr>
              <w:jc w:val="right"/>
              <w:ind w:right="4"/>
              <w:spacing w:after="0"/>
              <w:rPr>
                <w:sz w:val="20"/>
                <w:szCs w:val="20"/>
                <w:color w:val="auto"/>
              </w:rPr>
            </w:pPr>
            <w:r>
              <w:rPr>
                <w:rFonts w:ascii="Arial" w:cs="Arial" w:eastAsia="Arial" w:hAnsi="Arial"/>
                <w:sz w:val="16"/>
                <w:szCs w:val="16"/>
                <w:b w:val="1"/>
                <w:bCs w:val="1"/>
                <w:color w:val="auto"/>
              </w:rPr>
              <w:t>94</w:t>
            </w: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133</w:t>
            </w:r>
          </w:p>
        </w:tc>
        <w:tc>
          <w:tcPr>
            <w:tcW w:w="600" w:type="dxa"/>
            <w:vAlign w:val="bottom"/>
          </w:tcPr>
          <w:p>
            <w:pPr>
              <w:jc w:val="right"/>
              <w:ind w:right="3"/>
              <w:spacing w:after="0"/>
              <w:rPr>
                <w:sz w:val="20"/>
                <w:szCs w:val="20"/>
                <w:color w:val="auto"/>
              </w:rPr>
            </w:pPr>
            <w:r>
              <w:rPr>
                <w:rFonts w:ascii="Arial" w:cs="Arial" w:eastAsia="Arial" w:hAnsi="Arial"/>
                <w:sz w:val="16"/>
                <w:szCs w:val="16"/>
                <w:b w:val="1"/>
                <w:bCs w:val="1"/>
                <w:color w:val="auto"/>
              </w:rPr>
              <w:t>301</w:t>
            </w:r>
          </w:p>
        </w:tc>
        <w:tc>
          <w:tcPr>
            <w:tcW w:w="580" w:type="dxa"/>
            <w:vAlign w:val="bottom"/>
          </w:tcPr>
          <w:p>
            <w:pPr>
              <w:jc w:val="right"/>
              <w:spacing w:after="0"/>
              <w:rPr>
                <w:sz w:val="20"/>
                <w:szCs w:val="20"/>
                <w:color w:val="auto"/>
              </w:rPr>
            </w:pPr>
            <w:r>
              <w:rPr>
                <w:rFonts w:ascii="Arial" w:cs="Arial" w:eastAsia="Arial" w:hAnsi="Arial"/>
                <w:sz w:val="16"/>
                <w:szCs w:val="16"/>
                <w:color w:val="auto"/>
              </w:rPr>
              <w:t>247</w:t>
            </w:r>
          </w:p>
        </w:tc>
        <w:tc>
          <w:tcPr>
            <w:tcW w:w="620" w:type="dxa"/>
            <w:vAlign w:val="bottom"/>
          </w:tcPr>
          <w:p>
            <w:pPr>
              <w:jc w:val="right"/>
              <w:ind w:right="4"/>
              <w:spacing w:after="0"/>
              <w:rPr>
                <w:sz w:val="20"/>
                <w:szCs w:val="20"/>
                <w:color w:val="auto"/>
              </w:rPr>
            </w:pPr>
            <w:r>
              <w:rPr>
                <w:rFonts w:ascii="Arial" w:cs="Arial" w:eastAsia="Arial" w:hAnsi="Arial"/>
                <w:sz w:val="16"/>
                <w:szCs w:val="16"/>
                <w:b w:val="1"/>
                <w:bCs w:val="1"/>
                <w:color w:val="auto"/>
              </w:rPr>
              <w:t>298</w:t>
            </w:r>
          </w:p>
        </w:tc>
        <w:tc>
          <w:tcPr>
            <w:tcW w:w="580" w:type="dxa"/>
            <w:vAlign w:val="bottom"/>
          </w:tcPr>
          <w:p>
            <w:pPr>
              <w:jc w:val="right"/>
              <w:spacing w:after="0"/>
              <w:rPr>
                <w:sz w:val="20"/>
                <w:szCs w:val="20"/>
                <w:color w:val="auto"/>
              </w:rPr>
            </w:pPr>
            <w:r>
              <w:rPr>
                <w:rFonts w:ascii="Arial" w:cs="Arial" w:eastAsia="Arial" w:hAnsi="Arial"/>
                <w:sz w:val="16"/>
                <w:szCs w:val="16"/>
                <w:color w:val="auto"/>
              </w:rPr>
              <w:t>250</w:t>
            </w:r>
          </w:p>
        </w:tc>
        <w:tc>
          <w:tcPr>
            <w:tcW w:w="620" w:type="dxa"/>
            <w:vAlign w:val="bottom"/>
          </w:tcPr>
          <w:p>
            <w:pPr>
              <w:jc w:val="right"/>
              <w:ind w:right="43"/>
              <w:spacing w:after="0"/>
              <w:rPr>
                <w:sz w:val="20"/>
                <w:szCs w:val="20"/>
                <w:color w:val="auto"/>
              </w:rPr>
            </w:pPr>
            <w:r>
              <w:rPr>
                <w:rFonts w:ascii="Arial" w:cs="Arial" w:eastAsia="Arial" w:hAnsi="Arial"/>
                <w:sz w:val="16"/>
                <w:szCs w:val="16"/>
                <w:b w:val="1"/>
                <w:bCs w:val="1"/>
                <w:color w:val="auto"/>
              </w:rPr>
              <w:t>164</w:t>
            </w:r>
          </w:p>
        </w:tc>
        <w:tc>
          <w:tcPr>
            <w:tcW w:w="520" w:type="dxa"/>
            <w:vAlign w:val="bottom"/>
          </w:tcPr>
          <w:p>
            <w:pPr>
              <w:jc w:val="right"/>
              <w:spacing w:after="0"/>
              <w:rPr>
                <w:sz w:val="20"/>
                <w:szCs w:val="20"/>
                <w:color w:val="auto"/>
              </w:rPr>
            </w:pPr>
            <w:r>
              <w:rPr>
                <w:rFonts w:ascii="Arial" w:cs="Arial" w:eastAsia="Arial" w:hAnsi="Arial"/>
                <w:sz w:val="16"/>
                <w:szCs w:val="16"/>
                <w:color w:val="auto"/>
              </w:rPr>
              <w:t>144</w:t>
            </w:r>
          </w:p>
        </w:tc>
        <w:tc>
          <w:tcPr>
            <w:tcW w:w="62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4"/>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
              <w:spacing w:after="0"/>
              <w:rPr>
                <w:sz w:val="20"/>
                <w:szCs w:val="20"/>
                <w:color w:val="auto"/>
              </w:rPr>
            </w:pPr>
            <w:r>
              <w:rPr>
                <w:rFonts w:ascii="Arial" w:cs="Arial" w:eastAsia="Arial" w:hAnsi="Arial"/>
                <w:sz w:val="16"/>
                <w:szCs w:val="16"/>
                <w:b w:val="1"/>
                <w:bCs w:val="1"/>
                <w:color w:val="auto"/>
              </w:rPr>
              <w:t>857</w:t>
            </w:r>
          </w:p>
        </w:tc>
        <w:tc>
          <w:tcPr>
            <w:tcW w:w="580" w:type="dxa"/>
            <w:vAlign w:val="bottom"/>
          </w:tcPr>
          <w:p>
            <w:pPr>
              <w:jc w:val="right"/>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200"/>
        </w:trPr>
        <w:tc>
          <w:tcPr>
            <w:tcW w:w="26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Global Print</w:t>
            </w:r>
          </w:p>
        </w:tc>
        <w:tc>
          <w:tcPr>
            <w:tcW w:w="600" w:type="dxa"/>
            <w:vAlign w:val="bottom"/>
            <w:tcBorders>
              <w:bottom w:val="single" w:sz="8" w:color="B2B2B2"/>
            </w:tcBorders>
          </w:tcPr>
          <w:p>
            <w:pPr>
              <w:jc w:val="right"/>
              <w:ind w:right="4"/>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B2B2B2"/>
            </w:tcBorders>
          </w:tcPr>
          <w:p>
            <w:pPr>
              <w:jc w:val="right"/>
              <w:ind w:right="3"/>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B2B2B2"/>
            </w:tcBorders>
          </w:tcPr>
          <w:p>
            <w:pPr>
              <w:jc w:val="right"/>
              <w:ind w:right="4"/>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B2B2B2"/>
            </w:tcBorders>
          </w:tcPr>
          <w:p>
            <w:pPr>
              <w:jc w:val="right"/>
              <w:ind w:right="43"/>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B2B2B2"/>
            </w:tcBorders>
          </w:tcPr>
          <w:p>
            <w:pPr>
              <w:jc w:val="right"/>
              <w:ind w:right="43"/>
              <w:spacing w:after="0"/>
              <w:rPr>
                <w:sz w:val="20"/>
                <w:szCs w:val="20"/>
                <w:color w:val="auto"/>
              </w:rPr>
            </w:pPr>
            <w:r>
              <w:rPr>
                <w:rFonts w:ascii="Arial" w:cs="Arial" w:eastAsia="Arial" w:hAnsi="Arial"/>
                <w:sz w:val="16"/>
                <w:szCs w:val="16"/>
                <w:b w:val="1"/>
                <w:bCs w:val="1"/>
                <w:color w:val="auto"/>
              </w:rPr>
              <w:t>519</w:t>
            </w:r>
          </w:p>
        </w:tc>
        <w:tc>
          <w:tcPr>
            <w:tcW w:w="5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562</w:t>
            </w:r>
          </w:p>
        </w:tc>
        <w:tc>
          <w:tcPr>
            <w:tcW w:w="620" w:type="dxa"/>
            <w:vAlign w:val="bottom"/>
            <w:tcBorders>
              <w:bottom w:val="single" w:sz="8" w:color="B2B2B2"/>
            </w:tcBorders>
          </w:tcPr>
          <w:p>
            <w:pPr>
              <w:jc w:val="right"/>
              <w:ind w:right="44"/>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B2B2B2"/>
            </w:tcBorders>
          </w:tcPr>
          <w:p>
            <w:pPr>
              <w:jc w:val="right"/>
              <w:ind w:right="3"/>
              <w:spacing w:after="0"/>
              <w:rPr>
                <w:sz w:val="20"/>
                <w:szCs w:val="20"/>
                <w:color w:val="auto"/>
              </w:rPr>
            </w:pPr>
            <w:r>
              <w:rPr>
                <w:rFonts w:ascii="Arial" w:cs="Arial" w:eastAsia="Arial" w:hAnsi="Arial"/>
                <w:sz w:val="16"/>
                <w:szCs w:val="16"/>
                <w:b w:val="1"/>
                <w:bCs w:val="1"/>
                <w:color w:val="auto"/>
              </w:rPr>
              <w:t>519</w:t>
            </w:r>
          </w:p>
        </w:tc>
        <w:tc>
          <w:tcPr>
            <w:tcW w:w="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185"/>
        </w:trPr>
        <w:tc>
          <w:tcPr>
            <w:tcW w:w="260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color w:val="auto"/>
              </w:rPr>
              <w:t> Total</w:t>
            </w:r>
          </w:p>
        </w:tc>
        <w:tc>
          <w:tcPr>
            <w:tcW w:w="600" w:type="dxa"/>
            <w:vAlign w:val="bottom"/>
            <w:tcBorders>
              <w:bottom w:val="single" w:sz="8" w:color="D64000"/>
            </w:tcBorders>
          </w:tcPr>
          <w:p>
            <w:pPr>
              <w:jc w:val="right"/>
              <w:ind w:right="4"/>
              <w:spacing w:after="0" w:line="179" w:lineRule="exact"/>
              <w:rPr>
                <w:sz w:val="20"/>
                <w:szCs w:val="20"/>
                <w:color w:val="auto"/>
              </w:rPr>
            </w:pPr>
            <w:r>
              <w:rPr>
                <w:rFonts w:ascii="Arial" w:cs="Arial" w:eastAsia="Arial" w:hAnsi="Arial"/>
                <w:sz w:val="16"/>
                <w:szCs w:val="16"/>
                <w:b w:val="1"/>
                <w:bCs w:val="1"/>
                <w:color w:val="auto"/>
              </w:rPr>
              <w:t>2,922</w:t>
            </w:r>
          </w:p>
        </w:tc>
        <w:tc>
          <w:tcPr>
            <w:tcW w:w="600" w:type="dxa"/>
            <w:vAlign w:val="bottom"/>
            <w:tcBorders>
              <w:bottom w:val="single" w:sz="8" w:color="D64000"/>
            </w:tcBorders>
          </w:tcPr>
          <w:p>
            <w:pPr>
              <w:jc w:val="right"/>
              <w:ind w:right="1"/>
              <w:spacing w:after="0" w:line="179" w:lineRule="exact"/>
              <w:rPr>
                <w:sz w:val="20"/>
                <w:szCs w:val="20"/>
                <w:color w:val="auto"/>
              </w:rPr>
            </w:pPr>
            <w:r>
              <w:rPr>
                <w:rFonts w:ascii="Arial" w:cs="Arial" w:eastAsia="Arial" w:hAnsi="Arial"/>
                <w:sz w:val="16"/>
                <w:szCs w:val="16"/>
                <w:color w:val="auto"/>
              </w:rPr>
              <w:t>2,807</w:t>
            </w:r>
          </w:p>
        </w:tc>
        <w:tc>
          <w:tcPr>
            <w:tcW w:w="600" w:type="dxa"/>
            <w:vAlign w:val="bottom"/>
            <w:tcBorders>
              <w:bottom w:val="single" w:sz="8" w:color="D64000"/>
            </w:tcBorders>
          </w:tcPr>
          <w:p>
            <w:pPr>
              <w:jc w:val="right"/>
              <w:ind w:right="3"/>
              <w:spacing w:after="0" w:line="179" w:lineRule="exact"/>
              <w:rPr>
                <w:sz w:val="20"/>
                <w:szCs w:val="20"/>
                <w:color w:val="auto"/>
              </w:rPr>
            </w:pPr>
            <w:r>
              <w:rPr>
                <w:rFonts w:ascii="Arial" w:cs="Arial" w:eastAsia="Arial" w:hAnsi="Arial"/>
                <w:sz w:val="16"/>
                <w:szCs w:val="16"/>
                <w:b w:val="1"/>
                <w:bCs w:val="1"/>
                <w:color w:val="auto"/>
              </w:rPr>
              <w:t>1,844</w:t>
            </w:r>
          </w:p>
        </w:tc>
        <w:tc>
          <w:tcPr>
            <w:tcW w:w="58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1,620</w:t>
            </w:r>
          </w:p>
        </w:tc>
        <w:tc>
          <w:tcPr>
            <w:tcW w:w="620" w:type="dxa"/>
            <w:vAlign w:val="bottom"/>
            <w:tcBorders>
              <w:bottom w:val="single" w:sz="8" w:color="D64000"/>
            </w:tcBorders>
          </w:tcPr>
          <w:p>
            <w:pPr>
              <w:jc w:val="right"/>
              <w:ind w:right="4"/>
              <w:spacing w:after="0" w:line="179" w:lineRule="exact"/>
              <w:rPr>
                <w:sz w:val="20"/>
                <w:szCs w:val="20"/>
                <w:color w:val="auto"/>
              </w:rPr>
            </w:pPr>
            <w:r>
              <w:rPr>
                <w:rFonts w:ascii="Arial" w:cs="Arial" w:eastAsia="Arial" w:hAnsi="Arial"/>
                <w:sz w:val="16"/>
                <w:szCs w:val="16"/>
                <w:b w:val="1"/>
                <w:bCs w:val="1"/>
                <w:color w:val="auto"/>
              </w:rPr>
              <w:t>1,165</w:t>
            </w:r>
          </w:p>
        </w:tc>
        <w:tc>
          <w:tcPr>
            <w:tcW w:w="58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1,058</w:t>
            </w:r>
          </w:p>
        </w:tc>
        <w:tc>
          <w:tcPr>
            <w:tcW w:w="620" w:type="dxa"/>
            <w:vAlign w:val="bottom"/>
            <w:tcBorders>
              <w:bottom w:val="single" w:sz="8" w:color="D64000"/>
            </w:tcBorders>
          </w:tcPr>
          <w:p>
            <w:pPr>
              <w:jc w:val="right"/>
              <w:ind w:right="43"/>
              <w:spacing w:after="0" w:line="179" w:lineRule="exact"/>
              <w:rPr>
                <w:sz w:val="20"/>
                <w:szCs w:val="20"/>
                <w:color w:val="auto"/>
              </w:rPr>
            </w:pPr>
            <w:r>
              <w:rPr>
                <w:rFonts w:ascii="Arial" w:cs="Arial" w:eastAsia="Arial" w:hAnsi="Arial"/>
                <w:sz w:val="16"/>
                <w:szCs w:val="16"/>
                <w:b w:val="1"/>
                <w:bCs w:val="1"/>
                <w:color w:val="auto"/>
              </w:rPr>
              <w:t>832</w:t>
            </w:r>
          </w:p>
        </w:tc>
        <w:tc>
          <w:tcPr>
            <w:tcW w:w="52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769</w:t>
            </w:r>
          </w:p>
        </w:tc>
        <w:tc>
          <w:tcPr>
            <w:tcW w:w="620" w:type="dxa"/>
            <w:vAlign w:val="bottom"/>
            <w:tcBorders>
              <w:bottom w:val="single" w:sz="8" w:color="D64000"/>
            </w:tcBorders>
          </w:tcPr>
          <w:p>
            <w:pPr>
              <w:jc w:val="right"/>
              <w:ind w:right="43"/>
              <w:spacing w:after="0" w:line="179" w:lineRule="exact"/>
              <w:rPr>
                <w:sz w:val="20"/>
                <w:szCs w:val="20"/>
                <w:color w:val="auto"/>
              </w:rPr>
            </w:pPr>
            <w:r>
              <w:rPr>
                <w:rFonts w:ascii="Arial" w:cs="Arial" w:eastAsia="Arial" w:hAnsi="Arial"/>
                <w:sz w:val="16"/>
                <w:szCs w:val="16"/>
                <w:b w:val="1"/>
                <w:bCs w:val="1"/>
                <w:color w:val="auto"/>
              </w:rPr>
              <w:t>519</w:t>
            </w:r>
          </w:p>
        </w:tc>
        <w:tc>
          <w:tcPr>
            <w:tcW w:w="52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562</w:t>
            </w:r>
          </w:p>
        </w:tc>
        <w:tc>
          <w:tcPr>
            <w:tcW w:w="620" w:type="dxa"/>
            <w:vAlign w:val="bottom"/>
            <w:tcBorders>
              <w:bottom w:val="single" w:sz="8" w:color="D64000"/>
            </w:tcBorders>
          </w:tcPr>
          <w:p>
            <w:pPr>
              <w:jc w:val="right"/>
              <w:ind w:right="44"/>
              <w:spacing w:after="0" w:line="179" w:lineRule="exact"/>
              <w:rPr>
                <w:sz w:val="20"/>
                <w:szCs w:val="20"/>
                <w:color w:val="auto"/>
              </w:rPr>
            </w:pPr>
            <w:r>
              <w:rPr>
                <w:rFonts w:ascii="Arial" w:cs="Arial" w:eastAsia="Arial" w:hAnsi="Arial"/>
                <w:sz w:val="16"/>
                <w:szCs w:val="16"/>
                <w:b w:val="1"/>
                <w:bCs w:val="1"/>
                <w:color w:val="auto"/>
              </w:rPr>
              <w:t>(24)</w:t>
            </w:r>
          </w:p>
        </w:tc>
        <w:tc>
          <w:tcPr>
            <w:tcW w:w="540" w:type="dxa"/>
            <w:vAlign w:val="bottom"/>
            <w:tcBorders>
              <w:bottom w:val="single" w:sz="8" w:color="D64000"/>
            </w:tcBorders>
          </w:tcPr>
          <w:p>
            <w:pPr>
              <w:jc w:val="right"/>
              <w:ind w:right="1"/>
              <w:spacing w:after="0" w:line="179" w:lineRule="exact"/>
              <w:rPr>
                <w:sz w:val="20"/>
                <w:szCs w:val="20"/>
                <w:color w:val="auto"/>
              </w:rPr>
            </w:pPr>
            <w:r>
              <w:rPr>
                <w:rFonts w:ascii="Arial" w:cs="Arial" w:eastAsia="Arial" w:hAnsi="Arial"/>
                <w:sz w:val="16"/>
                <w:szCs w:val="16"/>
                <w:color w:val="auto"/>
              </w:rPr>
              <w:t>(22)</w:t>
            </w:r>
          </w:p>
        </w:tc>
        <w:tc>
          <w:tcPr>
            <w:tcW w:w="600" w:type="dxa"/>
            <w:vAlign w:val="bottom"/>
            <w:tcBorders>
              <w:bottom w:val="single" w:sz="8" w:color="D64000"/>
            </w:tcBorders>
          </w:tcPr>
          <w:p>
            <w:pPr>
              <w:jc w:val="right"/>
              <w:ind w:right="3"/>
              <w:spacing w:after="0" w:line="179" w:lineRule="exact"/>
              <w:rPr>
                <w:sz w:val="20"/>
                <w:szCs w:val="20"/>
                <w:color w:val="auto"/>
              </w:rPr>
            </w:pPr>
            <w:r>
              <w:rPr>
                <w:rFonts w:ascii="Arial" w:cs="Arial" w:eastAsia="Arial" w:hAnsi="Arial"/>
                <w:sz w:val="16"/>
                <w:szCs w:val="16"/>
                <w:b w:val="1"/>
                <w:bCs w:val="1"/>
                <w:color w:val="auto"/>
              </w:rPr>
              <w:t>7,258</w:t>
            </w:r>
          </w:p>
        </w:tc>
        <w:tc>
          <w:tcPr>
            <w:tcW w:w="58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6,794</w:t>
            </w:r>
          </w:p>
        </w:tc>
        <w:tc>
          <w:tcPr>
            <w:tcW w:w="0" w:type="dxa"/>
            <w:vAlign w:val="bottom"/>
          </w:tcPr>
          <w:p>
            <w:pPr>
              <w:spacing w:after="0"/>
              <w:rPr>
                <w:sz w:val="1"/>
                <w:szCs w:val="1"/>
                <w:color w:val="auto"/>
              </w:rPr>
            </w:pPr>
          </w:p>
        </w:tc>
      </w:tr>
      <w:tr>
        <w:trPr>
          <w:trHeight w:val="199"/>
        </w:trPr>
        <w:tc>
          <w:tcPr>
            <w:tcW w:w="2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600" w:type="dxa"/>
            <w:vAlign w:val="bottom"/>
            <w:vMerge w:val="restart"/>
            <w:shd w:val="clear" w:color="auto" w:fill="1F473D"/>
          </w:tcPr>
          <w:p>
            <w:pPr>
              <w:spacing w:after="0"/>
              <w:rPr>
                <w:sz w:val="20"/>
                <w:szCs w:val="20"/>
                <w:color w:val="auto"/>
              </w:rPr>
            </w:pPr>
            <w:r>
              <w:rPr>
                <w:rFonts w:ascii="Arial" w:cs="Arial" w:eastAsia="Arial" w:hAnsi="Arial"/>
                <w:sz w:val="12"/>
                <w:szCs w:val="12"/>
                <w:b w:val="1"/>
                <w:bCs w:val="1"/>
                <w:color w:val="FFFFFF"/>
              </w:rPr>
              <w:t> Revenues by geography</w:t>
            </w:r>
            <w:r>
              <w:rPr>
                <w:rFonts w:ascii="Arial" w:cs="Arial" w:eastAsia="Arial" w:hAnsi="Arial"/>
                <w:sz w:val="15"/>
                <w:szCs w:val="15"/>
                <w:b w:val="1"/>
                <w:bCs w:val="1"/>
                <w:color w:val="FFFFFF"/>
                <w:vertAlign w:val="superscript"/>
              </w:rPr>
              <w:t>(1)</w:t>
            </w:r>
          </w:p>
        </w:tc>
        <w:tc>
          <w:tcPr>
            <w:tcW w:w="1200" w:type="dxa"/>
            <w:vAlign w:val="bottom"/>
            <w:gridSpan w:val="2"/>
            <w:shd w:val="clear" w:color="auto" w:fill="1F473D"/>
          </w:tcPr>
          <w:p>
            <w:pPr>
              <w:jc w:val="center"/>
              <w:spacing w:after="0" w:line="115" w:lineRule="exact"/>
              <w:rPr>
                <w:sz w:val="20"/>
                <w:szCs w:val="20"/>
                <w:color w:val="auto"/>
              </w:rPr>
            </w:pPr>
            <w:r>
              <w:rPr>
                <w:rFonts w:ascii="Arial" w:cs="Arial" w:eastAsia="Arial" w:hAnsi="Arial"/>
                <w:sz w:val="12"/>
                <w:szCs w:val="12"/>
                <w:b w:val="1"/>
                <w:bCs w:val="1"/>
                <w:color w:val="FFFFFF"/>
              </w:rPr>
              <w:t>Legal</w:t>
            </w:r>
          </w:p>
        </w:tc>
        <w:tc>
          <w:tcPr>
            <w:tcW w:w="1180" w:type="dxa"/>
            <w:vAlign w:val="bottom"/>
            <w:gridSpan w:val="2"/>
            <w:vMerge w:val="restart"/>
            <w:shd w:val="clear" w:color="auto" w:fill="1F473D"/>
          </w:tcPr>
          <w:p>
            <w:pPr>
              <w:jc w:val="right"/>
              <w:ind w:right="181"/>
              <w:spacing w:after="0"/>
              <w:rPr>
                <w:sz w:val="20"/>
                <w:szCs w:val="20"/>
                <w:color w:val="auto"/>
              </w:rPr>
            </w:pPr>
            <w:r>
              <w:rPr>
                <w:rFonts w:ascii="Arial" w:cs="Arial" w:eastAsia="Arial" w:hAnsi="Arial"/>
                <w:sz w:val="12"/>
                <w:szCs w:val="12"/>
                <w:b w:val="1"/>
                <w:bCs w:val="1"/>
                <w:color w:val="FFFFFF"/>
              </w:rPr>
              <w:t>Corporates</w:t>
            </w:r>
          </w:p>
        </w:tc>
        <w:tc>
          <w:tcPr>
            <w:tcW w:w="1200" w:type="dxa"/>
            <w:vAlign w:val="bottom"/>
            <w:gridSpan w:val="2"/>
            <w:shd w:val="clear" w:color="auto" w:fill="1F473D"/>
          </w:tcPr>
          <w:p>
            <w:pPr>
              <w:jc w:val="center"/>
              <w:spacing w:after="0" w:line="115" w:lineRule="exact"/>
              <w:rPr>
                <w:sz w:val="20"/>
                <w:szCs w:val="20"/>
                <w:color w:val="auto"/>
              </w:rPr>
            </w:pPr>
            <w:r>
              <w:rPr>
                <w:rFonts w:ascii="Arial" w:cs="Arial" w:eastAsia="Arial" w:hAnsi="Arial"/>
                <w:sz w:val="12"/>
                <w:szCs w:val="12"/>
                <w:b w:val="1"/>
                <w:bCs w:val="1"/>
                <w:color w:val="FFFFFF"/>
              </w:rPr>
              <w:t>Tax &amp; Accounting</w:t>
            </w:r>
          </w:p>
        </w:tc>
        <w:tc>
          <w:tcPr>
            <w:tcW w:w="1140" w:type="dxa"/>
            <w:vAlign w:val="bottom"/>
            <w:gridSpan w:val="2"/>
            <w:vMerge w:val="restart"/>
            <w:shd w:val="clear" w:color="auto" w:fill="1F473D"/>
          </w:tcPr>
          <w:p>
            <w:pPr>
              <w:jc w:val="right"/>
              <w:ind w:right="81"/>
              <w:spacing w:after="0"/>
              <w:rPr>
                <w:sz w:val="20"/>
                <w:szCs w:val="20"/>
                <w:color w:val="auto"/>
              </w:rPr>
            </w:pPr>
            <w:r>
              <w:rPr>
                <w:rFonts w:ascii="Arial" w:cs="Arial" w:eastAsia="Arial" w:hAnsi="Arial"/>
                <w:sz w:val="12"/>
                <w:szCs w:val="12"/>
                <w:b w:val="1"/>
                <w:bCs w:val="1"/>
                <w:color w:val="FFFFFF"/>
              </w:rPr>
              <w:t>Reuters News</w:t>
            </w:r>
          </w:p>
        </w:tc>
        <w:tc>
          <w:tcPr>
            <w:tcW w:w="1140" w:type="dxa"/>
            <w:vAlign w:val="bottom"/>
            <w:gridSpan w:val="2"/>
            <w:vMerge w:val="restart"/>
            <w:shd w:val="clear" w:color="auto" w:fill="1F473D"/>
          </w:tcPr>
          <w:p>
            <w:pPr>
              <w:jc w:val="right"/>
              <w:ind w:right="141"/>
              <w:spacing w:after="0"/>
              <w:rPr>
                <w:sz w:val="20"/>
                <w:szCs w:val="20"/>
                <w:color w:val="auto"/>
              </w:rPr>
            </w:pPr>
            <w:r>
              <w:rPr>
                <w:rFonts w:ascii="Arial" w:cs="Arial" w:eastAsia="Arial" w:hAnsi="Arial"/>
                <w:sz w:val="12"/>
                <w:szCs w:val="12"/>
                <w:b w:val="1"/>
                <w:bCs w:val="1"/>
                <w:color w:val="FFFFFF"/>
              </w:rPr>
              <w:t>Global Print</w:t>
            </w:r>
          </w:p>
        </w:tc>
        <w:tc>
          <w:tcPr>
            <w:tcW w:w="1160" w:type="dxa"/>
            <w:vAlign w:val="bottom"/>
            <w:gridSpan w:val="2"/>
            <w:shd w:val="clear" w:color="auto" w:fill="1F473D"/>
          </w:tcPr>
          <w:p>
            <w:pPr>
              <w:jc w:val="center"/>
              <w:spacing w:after="0" w:line="115" w:lineRule="exact"/>
              <w:rPr>
                <w:sz w:val="20"/>
                <w:szCs w:val="20"/>
                <w:color w:val="auto"/>
              </w:rPr>
            </w:pPr>
            <w:r>
              <w:rPr>
                <w:rFonts w:ascii="Arial" w:cs="Arial" w:eastAsia="Arial" w:hAnsi="Arial"/>
                <w:sz w:val="12"/>
                <w:szCs w:val="12"/>
                <w:b w:val="1"/>
                <w:bCs w:val="1"/>
                <w:color w:val="FFFFFF"/>
              </w:rPr>
              <w:t>Eliminations/</w:t>
            </w:r>
          </w:p>
        </w:tc>
        <w:tc>
          <w:tcPr>
            <w:tcW w:w="1180" w:type="dxa"/>
            <w:vAlign w:val="bottom"/>
            <w:gridSpan w:val="2"/>
            <w:vMerge w:val="restart"/>
            <w:shd w:val="clear" w:color="auto" w:fill="1F473D"/>
          </w:tcPr>
          <w:p>
            <w:pPr>
              <w:jc w:val="right"/>
              <w:ind w:right="381"/>
              <w:spacing w:after="0"/>
              <w:rPr>
                <w:sz w:val="20"/>
                <w:szCs w:val="20"/>
                <w:color w:val="auto"/>
              </w:rPr>
            </w:pPr>
            <w:r>
              <w:rPr>
                <w:rFonts w:ascii="Arial" w:cs="Arial" w:eastAsia="Arial" w:hAnsi="Arial"/>
                <w:sz w:val="12"/>
                <w:szCs w:val="12"/>
                <w:b w:val="1"/>
                <w:bCs w:val="1"/>
                <w:color w:val="FFFFFF"/>
              </w:rPr>
              <w:t>Total</w:t>
            </w:r>
          </w:p>
        </w:tc>
        <w:tc>
          <w:tcPr>
            <w:tcW w:w="0" w:type="dxa"/>
            <w:vAlign w:val="bottom"/>
          </w:tcPr>
          <w:p>
            <w:pPr>
              <w:spacing w:after="0"/>
              <w:rPr>
                <w:sz w:val="1"/>
                <w:szCs w:val="1"/>
                <w:color w:val="auto"/>
              </w:rPr>
            </w:pPr>
          </w:p>
        </w:tc>
      </w:tr>
      <w:tr>
        <w:trPr>
          <w:trHeight w:val="157"/>
        </w:trPr>
        <w:tc>
          <w:tcPr>
            <w:tcW w:w="2600" w:type="dxa"/>
            <w:vAlign w:val="bottom"/>
            <w:tcBorders>
              <w:bottom w:val="single" w:sz="8" w:color="D64000"/>
            </w:tcBorders>
            <w:vMerge w:val="continue"/>
            <w:shd w:val="clear" w:color="auto" w:fill="1F473D"/>
          </w:tcPr>
          <w:p>
            <w:pPr>
              <w:spacing w:after="0"/>
              <w:rPr>
                <w:sz w:val="13"/>
                <w:szCs w:val="13"/>
                <w:color w:val="auto"/>
              </w:rPr>
            </w:pPr>
          </w:p>
        </w:tc>
        <w:tc>
          <w:tcPr>
            <w:tcW w:w="1200" w:type="dxa"/>
            <w:vAlign w:val="bottom"/>
            <w:tcBorders>
              <w:bottom w:val="single" w:sz="8" w:color="D64000"/>
            </w:tcBorders>
            <w:gridSpan w:val="2"/>
            <w:shd w:val="clear" w:color="auto" w:fill="1F473D"/>
          </w:tcPr>
          <w:p>
            <w:pPr>
              <w:jc w:val="center"/>
              <w:spacing w:after="0"/>
              <w:rPr>
                <w:sz w:val="20"/>
                <w:szCs w:val="20"/>
                <w:color w:val="auto"/>
              </w:rPr>
            </w:pPr>
            <w:r>
              <w:rPr>
                <w:rFonts w:ascii="Arial" w:cs="Arial" w:eastAsia="Arial" w:hAnsi="Arial"/>
                <w:sz w:val="12"/>
                <w:szCs w:val="12"/>
                <w:b w:val="1"/>
                <w:bCs w:val="1"/>
                <w:color w:val="FFFFFF"/>
              </w:rPr>
              <w:t>Professionals</w:t>
            </w:r>
          </w:p>
        </w:tc>
        <w:tc>
          <w:tcPr>
            <w:tcW w:w="1180" w:type="dxa"/>
            <w:vAlign w:val="bottom"/>
            <w:tcBorders>
              <w:bottom w:val="single" w:sz="8" w:color="D64000"/>
            </w:tcBorders>
            <w:gridSpan w:val="2"/>
            <w:vMerge w:val="continue"/>
            <w:shd w:val="clear" w:color="auto" w:fill="1F473D"/>
          </w:tcPr>
          <w:p>
            <w:pPr>
              <w:spacing w:after="0"/>
              <w:rPr>
                <w:sz w:val="13"/>
                <w:szCs w:val="13"/>
                <w:color w:val="auto"/>
              </w:rPr>
            </w:pPr>
          </w:p>
        </w:tc>
        <w:tc>
          <w:tcPr>
            <w:tcW w:w="1200" w:type="dxa"/>
            <w:vAlign w:val="bottom"/>
            <w:tcBorders>
              <w:bottom w:val="single" w:sz="8" w:color="D64000"/>
            </w:tcBorders>
            <w:gridSpan w:val="2"/>
            <w:shd w:val="clear" w:color="auto" w:fill="1F473D"/>
          </w:tcPr>
          <w:p>
            <w:pPr>
              <w:jc w:val="center"/>
              <w:spacing w:after="0"/>
              <w:rPr>
                <w:sz w:val="20"/>
                <w:szCs w:val="20"/>
                <w:color w:val="auto"/>
              </w:rPr>
            </w:pPr>
            <w:r>
              <w:rPr>
                <w:rFonts w:ascii="Arial" w:cs="Arial" w:eastAsia="Arial" w:hAnsi="Arial"/>
                <w:sz w:val="12"/>
                <w:szCs w:val="12"/>
                <w:b w:val="1"/>
                <w:bCs w:val="1"/>
                <w:color w:val="FFFFFF"/>
              </w:rPr>
              <w:t>Professionals</w:t>
            </w:r>
          </w:p>
        </w:tc>
        <w:tc>
          <w:tcPr>
            <w:tcW w:w="1140" w:type="dxa"/>
            <w:vAlign w:val="bottom"/>
            <w:tcBorders>
              <w:bottom w:val="single" w:sz="8" w:color="D64000"/>
            </w:tcBorders>
            <w:gridSpan w:val="2"/>
            <w:vMerge w:val="continue"/>
            <w:shd w:val="clear" w:color="auto" w:fill="1F473D"/>
          </w:tcPr>
          <w:p>
            <w:pPr>
              <w:spacing w:after="0"/>
              <w:rPr>
                <w:sz w:val="13"/>
                <w:szCs w:val="13"/>
                <w:color w:val="auto"/>
              </w:rPr>
            </w:pPr>
          </w:p>
        </w:tc>
        <w:tc>
          <w:tcPr>
            <w:tcW w:w="1140" w:type="dxa"/>
            <w:vAlign w:val="bottom"/>
            <w:tcBorders>
              <w:bottom w:val="single" w:sz="8" w:color="D64000"/>
            </w:tcBorders>
            <w:gridSpan w:val="2"/>
            <w:vMerge w:val="continue"/>
            <w:shd w:val="clear" w:color="auto" w:fill="1F473D"/>
          </w:tcPr>
          <w:p>
            <w:pPr>
              <w:spacing w:after="0"/>
              <w:rPr>
                <w:sz w:val="13"/>
                <w:szCs w:val="13"/>
                <w:color w:val="auto"/>
              </w:rPr>
            </w:pPr>
          </w:p>
        </w:tc>
        <w:tc>
          <w:tcPr>
            <w:tcW w:w="1160" w:type="dxa"/>
            <w:vAlign w:val="bottom"/>
            <w:tcBorders>
              <w:bottom w:val="single" w:sz="8" w:color="D64000"/>
            </w:tcBorders>
            <w:gridSpan w:val="2"/>
            <w:shd w:val="clear" w:color="auto" w:fill="1F473D"/>
          </w:tcPr>
          <w:p>
            <w:pPr>
              <w:jc w:val="center"/>
              <w:spacing w:after="0"/>
              <w:rPr>
                <w:sz w:val="20"/>
                <w:szCs w:val="20"/>
                <w:color w:val="auto"/>
              </w:rPr>
            </w:pPr>
            <w:r>
              <w:rPr>
                <w:rFonts w:ascii="Arial" w:cs="Arial" w:eastAsia="Arial" w:hAnsi="Arial"/>
                <w:sz w:val="12"/>
                <w:szCs w:val="12"/>
                <w:b w:val="1"/>
                <w:bCs w:val="1"/>
                <w:color w:val="FFFFFF"/>
              </w:rPr>
              <w:t>Rounding</w:t>
            </w:r>
          </w:p>
        </w:tc>
        <w:tc>
          <w:tcPr>
            <w:tcW w:w="1180" w:type="dxa"/>
            <w:vAlign w:val="bottom"/>
            <w:tcBorders>
              <w:bottom w:val="single" w:sz="8" w:color="D64000"/>
            </w:tcBorders>
            <w:gridSpan w:val="2"/>
            <w:vMerge w:val="continue"/>
            <w:shd w:val="clear" w:color="auto" w:fill="1F473D"/>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600" w:type="dxa"/>
            <w:vAlign w:val="bottom"/>
            <w:tcBorders>
              <w:bottom w:val="single" w:sz="8" w:color="D64000"/>
            </w:tcBorders>
            <w:shd w:val="clear" w:color="auto" w:fill="E3F3EE"/>
          </w:tcPr>
          <w:p>
            <w:pPr>
              <w:spacing w:after="0"/>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color w:val="auto"/>
              </w:rPr>
              <w:t>Year ended December 31,</w:t>
            </w:r>
          </w:p>
        </w:tc>
        <w:tc>
          <w:tcPr>
            <w:tcW w:w="600" w:type="dxa"/>
            <w:vAlign w:val="bottom"/>
            <w:tcBorders>
              <w:bottom w:val="single" w:sz="8" w:color="D64000"/>
            </w:tcBorders>
            <w:shd w:val="clear" w:color="auto" w:fill="E3F3EE"/>
          </w:tcPr>
          <w:p>
            <w:pPr>
              <w:jc w:val="right"/>
              <w:ind w:right="4"/>
              <w:spacing w:after="0"/>
              <w:rPr>
                <w:sz w:val="20"/>
                <w:szCs w:val="20"/>
                <w:color w:val="auto"/>
              </w:rPr>
            </w:pPr>
            <w:r>
              <w:rPr>
                <w:rFonts w:ascii="Arial" w:cs="Arial" w:eastAsia="Arial" w:hAnsi="Arial"/>
                <w:sz w:val="16"/>
                <w:szCs w:val="16"/>
                <w:b w:val="1"/>
                <w:bCs w:val="1"/>
                <w:color w:val="auto"/>
              </w:rPr>
              <w:t>2024</w:t>
            </w:r>
          </w:p>
        </w:tc>
        <w:tc>
          <w:tcPr>
            <w:tcW w:w="600" w:type="dxa"/>
            <w:vAlign w:val="bottom"/>
            <w:tcBorders>
              <w:bottom w:val="single" w:sz="8" w:color="D64000"/>
            </w:tcBorders>
            <w:shd w:val="clear" w:color="auto" w:fill="E3F3EE"/>
          </w:tcPr>
          <w:p>
            <w:pPr>
              <w:jc w:val="right"/>
              <w:ind w:right="1"/>
              <w:spacing w:after="0"/>
              <w:rPr>
                <w:sz w:val="20"/>
                <w:szCs w:val="20"/>
                <w:color w:val="auto"/>
              </w:rPr>
            </w:pPr>
            <w:r>
              <w:rPr>
                <w:rFonts w:ascii="Arial" w:cs="Arial" w:eastAsia="Arial" w:hAnsi="Arial"/>
                <w:sz w:val="16"/>
                <w:szCs w:val="16"/>
                <w:color w:val="auto"/>
              </w:rPr>
              <w:t>2023</w:t>
            </w:r>
          </w:p>
        </w:tc>
        <w:tc>
          <w:tcPr>
            <w:tcW w:w="600" w:type="dxa"/>
            <w:vAlign w:val="bottom"/>
            <w:tcBorders>
              <w:bottom w:val="single" w:sz="8" w:color="D64000"/>
            </w:tcBorders>
            <w:shd w:val="clear" w:color="auto" w:fill="E3F3EE"/>
          </w:tcPr>
          <w:p>
            <w:pPr>
              <w:jc w:val="right"/>
              <w:ind w:right="3"/>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D64000"/>
            </w:tcBorders>
            <w:shd w:val="clear" w:color="auto" w:fill="E3F3EE"/>
          </w:tcPr>
          <w:p>
            <w:pPr>
              <w:jc w:val="right"/>
              <w:spacing w:after="0"/>
              <w:rPr>
                <w:sz w:val="20"/>
                <w:szCs w:val="20"/>
                <w:color w:val="auto"/>
              </w:rPr>
            </w:pPr>
            <w:r>
              <w:rPr>
                <w:rFonts w:ascii="Arial" w:cs="Arial" w:eastAsia="Arial" w:hAnsi="Arial"/>
                <w:sz w:val="16"/>
                <w:szCs w:val="16"/>
                <w:color w:val="auto"/>
              </w:rPr>
              <w:t>2023</w:t>
            </w:r>
          </w:p>
        </w:tc>
        <w:tc>
          <w:tcPr>
            <w:tcW w:w="620" w:type="dxa"/>
            <w:vAlign w:val="bottom"/>
            <w:tcBorders>
              <w:bottom w:val="single" w:sz="8" w:color="D64000"/>
            </w:tcBorders>
            <w:shd w:val="clear" w:color="auto" w:fill="E3F3EE"/>
          </w:tcPr>
          <w:p>
            <w:pPr>
              <w:jc w:val="right"/>
              <w:ind w:right="4"/>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D64000"/>
            </w:tcBorders>
            <w:shd w:val="clear" w:color="auto" w:fill="E3F3EE"/>
          </w:tcPr>
          <w:p>
            <w:pPr>
              <w:jc w:val="right"/>
              <w:spacing w:after="0"/>
              <w:rPr>
                <w:sz w:val="20"/>
                <w:szCs w:val="20"/>
                <w:color w:val="auto"/>
              </w:rPr>
            </w:pPr>
            <w:r>
              <w:rPr>
                <w:rFonts w:ascii="Arial" w:cs="Arial" w:eastAsia="Arial" w:hAnsi="Arial"/>
                <w:sz w:val="16"/>
                <w:szCs w:val="16"/>
                <w:color w:val="auto"/>
              </w:rPr>
              <w:t>2023</w:t>
            </w:r>
          </w:p>
        </w:tc>
        <w:tc>
          <w:tcPr>
            <w:tcW w:w="620" w:type="dxa"/>
            <w:vAlign w:val="bottom"/>
            <w:tcBorders>
              <w:bottom w:val="single" w:sz="8" w:color="D64000"/>
            </w:tcBorders>
            <w:shd w:val="clear" w:color="auto" w:fill="E3F3EE"/>
          </w:tcPr>
          <w:p>
            <w:pPr>
              <w:jc w:val="right"/>
              <w:ind w:right="43"/>
              <w:spacing w:after="0"/>
              <w:rPr>
                <w:sz w:val="20"/>
                <w:szCs w:val="20"/>
                <w:color w:val="auto"/>
              </w:rPr>
            </w:pPr>
            <w:r>
              <w:rPr>
                <w:rFonts w:ascii="Arial" w:cs="Arial" w:eastAsia="Arial" w:hAnsi="Arial"/>
                <w:sz w:val="16"/>
                <w:szCs w:val="16"/>
                <w:b w:val="1"/>
                <w:bCs w:val="1"/>
                <w:color w:val="auto"/>
              </w:rPr>
              <w:t>2024</w:t>
            </w:r>
          </w:p>
        </w:tc>
        <w:tc>
          <w:tcPr>
            <w:tcW w:w="520" w:type="dxa"/>
            <w:vAlign w:val="bottom"/>
            <w:tcBorders>
              <w:bottom w:val="single" w:sz="8" w:color="D64000"/>
            </w:tcBorders>
            <w:shd w:val="clear" w:color="auto" w:fill="E3F3EE"/>
          </w:tcPr>
          <w:p>
            <w:pPr>
              <w:jc w:val="right"/>
              <w:spacing w:after="0"/>
              <w:rPr>
                <w:sz w:val="20"/>
                <w:szCs w:val="20"/>
                <w:color w:val="auto"/>
              </w:rPr>
            </w:pPr>
            <w:r>
              <w:rPr>
                <w:rFonts w:ascii="Arial" w:cs="Arial" w:eastAsia="Arial" w:hAnsi="Arial"/>
                <w:sz w:val="16"/>
                <w:szCs w:val="16"/>
                <w:color w:val="auto"/>
              </w:rPr>
              <w:t>2023</w:t>
            </w:r>
          </w:p>
        </w:tc>
        <w:tc>
          <w:tcPr>
            <w:tcW w:w="620" w:type="dxa"/>
            <w:vAlign w:val="bottom"/>
            <w:tcBorders>
              <w:bottom w:val="single" w:sz="8" w:color="D64000"/>
            </w:tcBorders>
            <w:shd w:val="clear" w:color="auto" w:fill="E3F3EE"/>
          </w:tcPr>
          <w:p>
            <w:pPr>
              <w:jc w:val="right"/>
              <w:ind w:right="43"/>
              <w:spacing w:after="0"/>
              <w:rPr>
                <w:sz w:val="20"/>
                <w:szCs w:val="20"/>
                <w:color w:val="auto"/>
              </w:rPr>
            </w:pPr>
            <w:r>
              <w:rPr>
                <w:rFonts w:ascii="Arial" w:cs="Arial" w:eastAsia="Arial" w:hAnsi="Arial"/>
                <w:sz w:val="16"/>
                <w:szCs w:val="16"/>
                <w:b w:val="1"/>
                <w:bCs w:val="1"/>
                <w:color w:val="auto"/>
              </w:rPr>
              <w:t>2024</w:t>
            </w:r>
          </w:p>
        </w:tc>
        <w:tc>
          <w:tcPr>
            <w:tcW w:w="520" w:type="dxa"/>
            <w:vAlign w:val="bottom"/>
            <w:tcBorders>
              <w:bottom w:val="single" w:sz="8" w:color="D64000"/>
            </w:tcBorders>
            <w:shd w:val="clear" w:color="auto" w:fill="E3F3EE"/>
          </w:tcPr>
          <w:p>
            <w:pPr>
              <w:jc w:val="right"/>
              <w:spacing w:after="0"/>
              <w:rPr>
                <w:sz w:val="20"/>
                <w:szCs w:val="20"/>
                <w:color w:val="auto"/>
              </w:rPr>
            </w:pPr>
            <w:r>
              <w:rPr>
                <w:rFonts w:ascii="Arial" w:cs="Arial" w:eastAsia="Arial" w:hAnsi="Arial"/>
                <w:sz w:val="16"/>
                <w:szCs w:val="16"/>
                <w:color w:val="auto"/>
              </w:rPr>
              <w:t>2023</w:t>
            </w:r>
          </w:p>
        </w:tc>
        <w:tc>
          <w:tcPr>
            <w:tcW w:w="620" w:type="dxa"/>
            <w:vAlign w:val="bottom"/>
            <w:tcBorders>
              <w:bottom w:val="single" w:sz="8" w:color="D64000"/>
            </w:tcBorders>
            <w:shd w:val="clear" w:color="auto" w:fill="E3F3EE"/>
          </w:tcPr>
          <w:p>
            <w:pPr>
              <w:jc w:val="right"/>
              <w:ind w:right="44"/>
              <w:spacing w:after="0"/>
              <w:rPr>
                <w:sz w:val="20"/>
                <w:szCs w:val="20"/>
                <w:color w:val="auto"/>
              </w:rPr>
            </w:pPr>
            <w:r>
              <w:rPr>
                <w:rFonts w:ascii="Arial" w:cs="Arial" w:eastAsia="Arial" w:hAnsi="Arial"/>
                <w:sz w:val="16"/>
                <w:szCs w:val="16"/>
                <w:b w:val="1"/>
                <w:bCs w:val="1"/>
                <w:color w:val="auto"/>
              </w:rPr>
              <w:t>2024</w:t>
            </w:r>
          </w:p>
        </w:tc>
        <w:tc>
          <w:tcPr>
            <w:tcW w:w="540" w:type="dxa"/>
            <w:vAlign w:val="bottom"/>
            <w:tcBorders>
              <w:bottom w:val="single" w:sz="8" w:color="D64000"/>
            </w:tcBorders>
            <w:shd w:val="clear" w:color="auto" w:fill="E3F3EE"/>
          </w:tcPr>
          <w:p>
            <w:pPr>
              <w:jc w:val="right"/>
              <w:ind w:right="1"/>
              <w:spacing w:after="0"/>
              <w:rPr>
                <w:sz w:val="20"/>
                <w:szCs w:val="20"/>
                <w:color w:val="auto"/>
              </w:rPr>
            </w:pPr>
            <w:r>
              <w:rPr>
                <w:rFonts w:ascii="Arial" w:cs="Arial" w:eastAsia="Arial" w:hAnsi="Arial"/>
                <w:sz w:val="16"/>
                <w:szCs w:val="16"/>
                <w:color w:val="auto"/>
              </w:rPr>
              <w:t>2023</w:t>
            </w:r>
          </w:p>
        </w:tc>
        <w:tc>
          <w:tcPr>
            <w:tcW w:w="600" w:type="dxa"/>
            <w:vAlign w:val="bottom"/>
            <w:tcBorders>
              <w:bottom w:val="single" w:sz="8" w:color="D64000"/>
            </w:tcBorders>
            <w:shd w:val="clear" w:color="auto" w:fill="E3F3EE"/>
          </w:tcPr>
          <w:p>
            <w:pPr>
              <w:jc w:val="right"/>
              <w:ind w:right="3"/>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D64000"/>
            </w:tcBorders>
            <w:shd w:val="clear" w:color="auto" w:fill="E3F3EE"/>
          </w:tcPr>
          <w:p>
            <w:pPr>
              <w:jc w:val="right"/>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171"/>
        </w:trPr>
        <w:tc>
          <w:tcPr>
            <w:tcW w:w="2600" w:type="dxa"/>
            <w:vAlign w:val="bottom"/>
          </w:tcPr>
          <w:p>
            <w:pPr>
              <w:spacing w:after="0" w:line="171" w:lineRule="exact"/>
              <w:rPr>
                <w:sz w:val="20"/>
                <w:szCs w:val="20"/>
                <w:color w:val="auto"/>
              </w:rPr>
            </w:pPr>
            <w:r>
              <w:rPr>
                <w:rFonts w:ascii="Arial" w:cs="Arial" w:eastAsia="Arial" w:hAnsi="Arial"/>
                <w:sz w:val="16"/>
                <w:szCs w:val="16"/>
                <w:color w:val="auto"/>
              </w:rPr>
              <w:t> U.S.</w:t>
            </w:r>
          </w:p>
        </w:tc>
        <w:tc>
          <w:tcPr>
            <w:tcW w:w="600" w:type="dxa"/>
            <w:vAlign w:val="bottom"/>
          </w:tcPr>
          <w:p>
            <w:pPr>
              <w:jc w:val="right"/>
              <w:ind w:right="4"/>
              <w:spacing w:after="0" w:line="171" w:lineRule="exact"/>
              <w:rPr>
                <w:sz w:val="20"/>
                <w:szCs w:val="20"/>
                <w:color w:val="auto"/>
              </w:rPr>
            </w:pPr>
            <w:r>
              <w:rPr>
                <w:rFonts w:ascii="Arial" w:cs="Arial" w:eastAsia="Arial" w:hAnsi="Arial"/>
                <w:sz w:val="16"/>
                <w:szCs w:val="16"/>
                <w:b w:val="1"/>
                <w:bCs w:val="1"/>
                <w:color w:val="auto"/>
              </w:rPr>
              <w:t>2,352</w:t>
            </w:r>
          </w:p>
        </w:tc>
        <w:tc>
          <w:tcPr>
            <w:tcW w:w="600" w:type="dxa"/>
            <w:vAlign w:val="bottom"/>
          </w:tcPr>
          <w:p>
            <w:pPr>
              <w:jc w:val="right"/>
              <w:ind w:right="1"/>
              <w:spacing w:after="0" w:line="171" w:lineRule="exact"/>
              <w:rPr>
                <w:sz w:val="20"/>
                <w:szCs w:val="20"/>
                <w:color w:val="auto"/>
              </w:rPr>
            </w:pPr>
            <w:r>
              <w:rPr>
                <w:rFonts w:ascii="Arial" w:cs="Arial" w:eastAsia="Arial" w:hAnsi="Arial"/>
                <w:sz w:val="16"/>
                <w:szCs w:val="16"/>
                <w:color w:val="auto"/>
              </w:rPr>
              <w:t>2,282</w:t>
            </w:r>
          </w:p>
        </w:tc>
        <w:tc>
          <w:tcPr>
            <w:tcW w:w="600" w:type="dxa"/>
            <w:vAlign w:val="bottom"/>
          </w:tcPr>
          <w:p>
            <w:pPr>
              <w:jc w:val="right"/>
              <w:ind w:right="3"/>
              <w:spacing w:after="0" w:line="171" w:lineRule="exact"/>
              <w:rPr>
                <w:sz w:val="20"/>
                <w:szCs w:val="20"/>
                <w:color w:val="auto"/>
              </w:rPr>
            </w:pPr>
            <w:r>
              <w:rPr>
                <w:rFonts w:ascii="Arial" w:cs="Arial" w:eastAsia="Arial" w:hAnsi="Arial"/>
                <w:sz w:val="16"/>
                <w:szCs w:val="16"/>
                <w:b w:val="1"/>
                <w:bCs w:val="1"/>
                <w:color w:val="auto"/>
              </w:rPr>
              <w:t>1,431</w:t>
            </w:r>
          </w:p>
        </w:tc>
        <w:tc>
          <w:tcPr>
            <w:tcW w:w="580" w:type="dxa"/>
            <w:vAlign w:val="bottom"/>
          </w:tcPr>
          <w:p>
            <w:pPr>
              <w:jc w:val="right"/>
              <w:spacing w:after="0" w:line="171" w:lineRule="exact"/>
              <w:rPr>
                <w:sz w:val="20"/>
                <w:szCs w:val="20"/>
                <w:color w:val="auto"/>
              </w:rPr>
            </w:pPr>
            <w:r>
              <w:rPr>
                <w:rFonts w:ascii="Arial" w:cs="Arial" w:eastAsia="Arial" w:hAnsi="Arial"/>
                <w:sz w:val="16"/>
                <w:szCs w:val="16"/>
                <w:color w:val="auto"/>
              </w:rPr>
              <w:t>1,314</w:t>
            </w:r>
          </w:p>
        </w:tc>
        <w:tc>
          <w:tcPr>
            <w:tcW w:w="620" w:type="dxa"/>
            <w:vAlign w:val="bottom"/>
          </w:tcPr>
          <w:p>
            <w:pPr>
              <w:jc w:val="right"/>
              <w:ind w:right="4"/>
              <w:spacing w:after="0" w:line="171" w:lineRule="exact"/>
              <w:rPr>
                <w:sz w:val="20"/>
                <w:szCs w:val="20"/>
                <w:color w:val="auto"/>
              </w:rPr>
            </w:pPr>
            <w:r>
              <w:rPr>
                <w:rFonts w:ascii="Arial" w:cs="Arial" w:eastAsia="Arial" w:hAnsi="Arial"/>
                <w:sz w:val="16"/>
                <w:szCs w:val="16"/>
                <w:b w:val="1"/>
                <w:bCs w:val="1"/>
                <w:color w:val="auto"/>
              </w:rPr>
              <w:t>926</w:t>
            </w:r>
          </w:p>
        </w:tc>
        <w:tc>
          <w:tcPr>
            <w:tcW w:w="580" w:type="dxa"/>
            <w:vAlign w:val="bottom"/>
          </w:tcPr>
          <w:p>
            <w:pPr>
              <w:jc w:val="right"/>
              <w:spacing w:after="0" w:line="171" w:lineRule="exact"/>
              <w:rPr>
                <w:sz w:val="20"/>
                <w:szCs w:val="20"/>
                <w:color w:val="auto"/>
              </w:rPr>
            </w:pPr>
            <w:r>
              <w:rPr>
                <w:rFonts w:ascii="Arial" w:cs="Arial" w:eastAsia="Arial" w:hAnsi="Arial"/>
                <w:sz w:val="16"/>
                <w:szCs w:val="16"/>
                <w:color w:val="auto"/>
              </w:rPr>
              <w:t>840</w:t>
            </w:r>
          </w:p>
        </w:tc>
        <w:tc>
          <w:tcPr>
            <w:tcW w:w="620" w:type="dxa"/>
            <w:vAlign w:val="bottom"/>
          </w:tcPr>
          <w:p>
            <w:pPr>
              <w:jc w:val="right"/>
              <w:ind w:right="43"/>
              <w:spacing w:after="0" w:line="171" w:lineRule="exact"/>
              <w:rPr>
                <w:sz w:val="20"/>
                <w:szCs w:val="20"/>
                <w:color w:val="auto"/>
              </w:rPr>
            </w:pPr>
            <w:r>
              <w:rPr>
                <w:rFonts w:ascii="Arial" w:cs="Arial" w:eastAsia="Arial" w:hAnsi="Arial"/>
                <w:sz w:val="16"/>
                <w:szCs w:val="16"/>
                <w:b w:val="1"/>
                <w:bCs w:val="1"/>
                <w:color w:val="auto"/>
              </w:rPr>
              <w:t>219</w:t>
            </w:r>
          </w:p>
        </w:tc>
        <w:tc>
          <w:tcPr>
            <w:tcW w:w="520" w:type="dxa"/>
            <w:vAlign w:val="bottom"/>
          </w:tcPr>
          <w:p>
            <w:pPr>
              <w:jc w:val="right"/>
              <w:spacing w:after="0" w:line="171" w:lineRule="exact"/>
              <w:rPr>
                <w:sz w:val="20"/>
                <w:szCs w:val="20"/>
                <w:color w:val="auto"/>
              </w:rPr>
            </w:pPr>
            <w:r>
              <w:rPr>
                <w:rFonts w:ascii="Arial" w:cs="Arial" w:eastAsia="Arial" w:hAnsi="Arial"/>
                <w:sz w:val="16"/>
                <w:szCs w:val="16"/>
                <w:color w:val="auto"/>
              </w:rPr>
              <w:t>173</w:t>
            </w:r>
          </w:p>
        </w:tc>
        <w:tc>
          <w:tcPr>
            <w:tcW w:w="620" w:type="dxa"/>
            <w:vAlign w:val="bottom"/>
          </w:tcPr>
          <w:p>
            <w:pPr>
              <w:jc w:val="right"/>
              <w:ind w:right="43"/>
              <w:spacing w:after="0" w:line="171" w:lineRule="exact"/>
              <w:rPr>
                <w:sz w:val="20"/>
                <w:szCs w:val="20"/>
                <w:color w:val="auto"/>
              </w:rPr>
            </w:pPr>
            <w:r>
              <w:rPr>
                <w:rFonts w:ascii="Arial" w:cs="Arial" w:eastAsia="Arial" w:hAnsi="Arial"/>
                <w:sz w:val="16"/>
                <w:szCs w:val="16"/>
                <w:b w:val="1"/>
                <w:bCs w:val="1"/>
                <w:color w:val="auto"/>
              </w:rPr>
              <w:t>400</w:t>
            </w:r>
          </w:p>
        </w:tc>
        <w:tc>
          <w:tcPr>
            <w:tcW w:w="520" w:type="dxa"/>
            <w:vAlign w:val="bottom"/>
          </w:tcPr>
          <w:p>
            <w:pPr>
              <w:jc w:val="right"/>
              <w:spacing w:after="0" w:line="171" w:lineRule="exact"/>
              <w:rPr>
                <w:sz w:val="20"/>
                <w:szCs w:val="20"/>
                <w:color w:val="auto"/>
              </w:rPr>
            </w:pPr>
            <w:r>
              <w:rPr>
                <w:rFonts w:ascii="Arial" w:cs="Arial" w:eastAsia="Arial" w:hAnsi="Arial"/>
                <w:sz w:val="16"/>
                <w:szCs w:val="16"/>
                <w:color w:val="auto"/>
              </w:rPr>
              <w:t>420</w:t>
            </w:r>
          </w:p>
        </w:tc>
        <w:tc>
          <w:tcPr>
            <w:tcW w:w="620" w:type="dxa"/>
            <w:vAlign w:val="bottom"/>
          </w:tcPr>
          <w:p>
            <w:pPr>
              <w:jc w:val="right"/>
              <w:ind w:right="44"/>
              <w:spacing w:after="0" w:line="171" w:lineRule="exact"/>
              <w:rPr>
                <w:sz w:val="20"/>
                <w:szCs w:val="20"/>
                <w:color w:val="auto"/>
              </w:rPr>
            </w:pPr>
            <w:r>
              <w:rPr>
                <w:rFonts w:ascii="Arial" w:cs="Arial" w:eastAsia="Arial" w:hAnsi="Arial"/>
                <w:sz w:val="16"/>
                <w:szCs w:val="16"/>
                <w:b w:val="1"/>
                <w:bCs w:val="1"/>
                <w:color w:val="auto"/>
              </w:rPr>
              <w:t>(24)</w:t>
            </w:r>
          </w:p>
        </w:tc>
        <w:tc>
          <w:tcPr>
            <w:tcW w:w="540" w:type="dxa"/>
            <w:vAlign w:val="bottom"/>
          </w:tcPr>
          <w:p>
            <w:pPr>
              <w:jc w:val="right"/>
              <w:ind w:right="1"/>
              <w:spacing w:after="0" w:line="171" w:lineRule="exact"/>
              <w:rPr>
                <w:sz w:val="20"/>
                <w:szCs w:val="20"/>
                <w:color w:val="auto"/>
              </w:rPr>
            </w:pPr>
            <w:r>
              <w:rPr>
                <w:rFonts w:ascii="Arial" w:cs="Arial" w:eastAsia="Arial" w:hAnsi="Arial"/>
                <w:sz w:val="16"/>
                <w:szCs w:val="16"/>
                <w:color w:val="auto"/>
              </w:rPr>
              <w:t>(22)</w:t>
            </w:r>
          </w:p>
        </w:tc>
        <w:tc>
          <w:tcPr>
            <w:tcW w:w="600" w:type="dxa"/>
            <w:vAlign w:val="bottom"/>
          </w:tcPr>
          <w:p>
            <w:pPr>
              <w:jc w:val="right"/>
              <w:ind w:right="3"/>
              <w:spacing w:after="0" w:line="171" w:lineRule="exact"/>
              <w:rPr>
                <w:sz w:val="20"/>
                <w:szCs w:val="20"/>
                <w:color w:val="auto"/>
              </w:rPr>
            </w:pPr>
            <w:r>
              <w:rPr>
                <w:rFonts w:ascii="Arial" w:cs="Arial" w:eastAsia="Arial" w:hAnsi="Arial"/>
                <w:sz w:val="16"/>
                <w:szCs w:val="16"/>
                <w:b w:val="1"/>
                <w:bCs w:val="1"/>
                <w:color w:val="auto"/>
              </w:rPr>
              <w:t>5,304</w:t>
            </w:r>
          </w:p>
        </w:tc>
        <w:tc>
          <w:tcPr>
            <w:tcW w:w="580" w:type="dxa"/>
            <w:vAlign w:val="bottom"/>
          </w:tcPr>
          <w:p>
            <w:pPr>
              <w:jc w:val="right"/>
              <w:spacing w:after="0" w:line="171" w:lineRule="exact"/>
              <w:rPr>
                <w:sz w:val="20"/>
                <w:szCs w:val="20"/>
                <w:color w:val="auto"/>
              </w:rPr>
            </w:pPr>
            <w:r>
              <w:rPr>
                <w:rFonts w:ascii="Arial" w:cs="Arial" w:eastAsia="Arial" w:hAnsi="Arial"/>
                <w:sz w:val="16"/>
                <w:szCs w:val="16"/>
                <w:color w:val="auto"/>
              </w:rPr>
              <w:t>5,007</w:t>
            </w:r>
          </w:p>
        </w:tc>
        <w:tc>
          <w:tcPr>
            <w:tcW w:w="0" w:type="dxa"/>
            <w:vAlign w:val="bottom"/>
          </w:tcPr>
          <w:p>
            <w:pPr>
              <w:spacing w:after="0"/>
              <w:rPr>
                <w:sz w:val="1"/>
                <w:szCs w:val="1"/>
                <w:color w:val="auto"/>
              </w:rPr>
            </w:pPr>
          </w:p>
        </w:tc>
      </w:tr>
      <w:tr>
        <w:trPr>
          <w:trHeight w:val="186"/>
        </w:trPr>
        <w:tc>
          <w:tcPr>
            <w:tcW w:w="2600" w:type="dxa"/>
            <w:vAlign w:val="bottom"/>
          </w:tcPr>
          <w:p>
            <w:pPr>
              <w:spacing w:after="0"/>
              <w:rPr>
                <w:sz w:val="20"/>
                <w:szCs w:val="20"/>
                <w:color w:val="auto"/>
              </w:rPr>
            </w:pPr>
            <w:r>
              <w:rPr>
                <w:rFonts w:ascii="Arial" w:cs="Arial" w:eastAsia="Arial" w:hAnsi="Arial"/>
                <w:sz w:val="16"/>
                <w:szCs w:val="16"/>
                <w:color w:val="auto"/>
              </w:rPr>
              <w:t> Canada (country of  domicile)</w:t>
            </w:r>
          </w:p>
        </w:tc>
        <w:tc>
          <w:tcPr>
            <w:tcW w:w="600" w:type="dxa"/>
            <w:vAlign w:val="bottom"/>
          </w:tcPr>
          <w:p>
            <w:pPr>
              <w:jc w:val="right"/>
              <w:ind w:right="4"/>
              <w:spacing w:after="0"/>
              <w:rPr>
                <w:sz w:val="20"/>
                <w:szCs w:val="20"/>
                <w:color w:val="auto"/>
              </w:rPr>
            </w:pPr>
            <w:r>
              <w:rPr>
                <w:rFonts w:ascii="Arial" w:cs="Arial" w:eastAsia="Arial" w:hAnsi="Arial"/>
                <w:sz w:val="16"/>
                <w:szCs w:val="16"/>
                <w:b w:val="1"/>
                <w:bCs w:val="1"/>
                <w:color w:val="auto"/>
              </w:rPr>
              <w:t>103</w:t>
            </w: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82</w:t>
            </w:r>
          </w:p>
        </w:tc>
        <w:tc>
          <w:tcPr>
            <w:tcW w:w="600" w:type="dxa"/>
            <w:vAlign w:val="bottom"/>
          </w:tcPr>
          <w:p>
            <w:pPr>
              <w:jc w:val="right"/>
              <w:ind w:right="3"/>
              <w:spacing w:after="0"/>
              <w:rPr>
                <w:sz w:val="20"/>
                <w:szCs w:val="20"/>
                <w:color w:val="auto"/>
              </w:rPr>
            </w:pPr>
            <w:r>
              <w:rPr>
                <w:rFonts w:ascii="Arial" w:cs="Arial" w:eastAsia="Arial" w:hAnsi="Arial"/>
                <w:sz w:val="16"/>
                <w:szCs w:val="16"/>
                <w:b w:val="1"/>
                <w:bCs w:val="1"/>
                <w:color w:val="auto"/>
              </w:rPr>
              <w:t>14</w:t>
            </w:r>
          </w:p>
        </w:tc>
        <w:tc>
          <w:tcPr>
            <w:tcW w:w="580" w:type="dxa"/>
            <w:vAlign w:val="bottom"/>
          </w:tcPr>
          <w:p>
            <w:pPr>
              <w:jc w:val="right"/>
              <w:spacing w:after="0"/>
              <w:rPr>
                <w:sz w:val="20"/>
                <w:szCs w:val="20"/>
                <w:color w:val="auto"/>
              </w:rPr>
            </w:pPr>
            <w:r>
              <w:rPr>
                <w:rFonts w:ascii="Arial" w:cs="Arial" w:eastAsia="Arial" w:hAnsi="Arial"/>
                <w:sz w:val="16"/>
                <w:szCs w:val="16"/>
                <w:color w:val="auto"/>
              </w:rPr>
              <w:t>12</w:t>
            </w:r>
          </w:p>
        </w:tc>
        <w:tc>
          <w:tcPr>
            <w:tcW w:w="620" w:type="dxa"/>
            <w:vAlign w:val="bottom"/>
          </w:tcPr>
          <w:p>
            <w:pPr>
              <w:jc w:val="right"/>
              <w:ind w:right="4"/>
              <w:spacing w:after="0"/>
              <w:rPr>
                <w:sz w:val="20"/>
                <w:szCs w:val="20"/>
                <w:color w:val="auto"/>
              </w:rPr>
            </w:pPr>
            <w:r>
              <w:rPr>
                <w:rFonts w:ascii="Arial" w:cs="Arial" w:eastAsia="Arial" w:hAnsi="Arial"/>
                <w:sz w:val="16"/>
                <w:szCs w:val="16"/>
                <w:b w:val="1"/>
                <w:bCs w:val="1"/>
                <w:color w:val="auto"/>
              </w:rPr>
              <w:t>38</w:t>
            </w:r>
          </w:p>
        </w:tc>
        <w:tc>
          <w:tcPr>
            <w:tcW w:w="580" w:type="dxa"/>
            <w:vAlign w:val="bottom"/>
          </w:tcPr>
          <w:p>
            <w:pPr>
              <w:jc w:val="right"/>
              <w:spacing w:after="0"/>
              <w:rPr>
                <w:sz w:val="20"/>
                <w:szCs w:val="20"/>
                <w:color w:val="auto"/>
              </w:rPr>
            </w:pPr>
            <w:r>
              <w:rPr>
                <w:rFonts w:ascii="Arial" w:cs="Arial" w:eastAsia="Arial" w:hAnsi="Arial"/>
                <w:sz w:val="16"/>
                <w:szCs w:val="16"/>
                <w:color w:val="auto"/>
              </w:rPr>
              <w:t>37</w:t>
            </w:r>
          </w:p>
        </w:tc>
        <w:tc>
          <w:tcPr>
            <w:tcW w:w="620" w:type="dxa"/>
            <w:vAlign w:val="bottom"/>
          </w:tcPr>
          <w:p>
            <w:pPr>
              <w:jc w:val="right"/>
              <w:ind w:right="43"/>
              <w:spacing w:after="0"/>
              <w:rPr>
                <w:sz w:val="20"/>
                <w:szCs w:val="20"/>
                <w:color w:val="auto"/>
              </w:rPr>
            </w:pPr>
            <w:r>
              <w:rPr>
                <w:rFonts w:ascii="Arial" w:cs="Arial" w:eastAsia="Arial" w:hAnsi="Arial"/>
                <w:sz w:val="16"/>
                <w:szCs w:val="16"/>
                <w:b w:val="1"/>
                <w:bCs w:val="1"/>
                <w:color w:val="auto"/>
              </w:rPr>
              <w:t>6</w:t>
            </w:r>
          </w:p>
        </w:tc>
        <w:tc>
          <w:tcPr>
            <w:tcW w:w="520" w:type="dxa"/>
            <w:vAlign w:val="bottom"/>
          </w:tcPr>
          <w:p>
            <w:pPr>
              <w:jc w:val="right"/>
              <w:spacing w:after="0"/>
              <w:rPr>
                <w:sz w:val="20"/>
                <w:szCs w:val="20"/>
                <w:color w:val="auto"/>
              </w:rPr>
            </w:pPr>
            <w:r>
              <w:rPr>
                <w:rFonts w:ascii="Arial" w:cs="Arial" w:eastAsia="Arial" w:hAnsi="Arial"/>
                <w:sz w:val="16"/>
                <w:szCs w:val="16"/>
                <w:color w:val="auto"/>
              </w:rPr>
              <w:t>7</w:t>
            </w:r>
          </w:p>
        </w:tc>
        <w:tc>
          <w:tcPr>
            <w:tcW w:w="620" w:type="dxa"/>
            <w:vAlign w:val="bottom"/>
          </w:tcPr>
          <w:p>
            <w:pPr>
              <w:jc w:val="right"/>
              <w:ind w:right="43"/>
              <w:spacing w:after="0"/>
              <w:rPr>
                <w:sz w:val="20"/>
                <w:szCs w:val="20"/>
                <w:color w:val="auto"/>
              </w:rPr>
            </w:pPr>
            <w:r>
              <w:rPr>
                <w:rFonts w:ascii="Arial" w:cs="Arial" w:eastAsia="Arial" w:hAnsi="Arial"/>
                <w:sz w:val="16"/>
                <w:szCs w:val="16"/>
                <w:b w:val="1"/>
                <w:bCs w:val="1"/>
                <w:color w:val="auto"/>
              </w:rPr>
              <w:t>44</w:t>
            </w:r>
          </w:p>
        </w:tc>
        <w:tc>
          <w:tcPr>
            <w:tcW w:w="520" w:type="dxa"/>
            <w:vAlign w:val="bottom"/>
          </w:tcPr>
          <w:p>
            <w:pPr>
              <w:jc w:val="right"/>
              <w:spacing w:after="0"/>
              <w:rPr>
                <w:sz w:val="20"/>
                <w:szCs w:val="20"/>
                <w:color w:val="auto"/>
              </w:rPr>
            </w:pPr>
            <w:r>
              <w:rPr>
                <w:rFonts w:ascii="Arial" w:cs="Arial" w:eastAsia="Arial" w:hAnsi="Arial"/>
                <w:sz w:val="16"/>
                <w:szCs w:val="16"/>
                <w:color w:val="auto"/>
              </w:rPr>
              <w:t>65</w:t>
            </w:r>
          </w:p>
        </w:tc>
        <w:tc>
          <w:tcPr>
            <w:tcW w:w="620" w:type="dxa"/>
            <w:vAlign w:val="bottom"/>
          </w:tcPr>
          <w:p>
            <w:pPr>
              <w:jc w:val="right"/>
              <w:ind w:right="44"/>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
              <w:spacing w:after="0"/>
              <w:rPr>
                <w:sz w:val="20"/>
                <w:szCs w:val="20"/>
                <w:color w:val="auto"/>
              </w:rPr>
            </w:pPr>
            <w:r>
              <w:rPr>
                <w:rFonts w:ascii="Arial" w:cs="Arial" w:eastAsia="Arial" w:hAnsi="Arial"/>
                <w:sz w:val="16"/>
                <w:szCs w:val="16"/>
                <w:b w:val="1"/>
                <w:bCs w:val="1"/>
                <w:color w:val="auto"/>
              </w:rPr>
              <w:t>205</w:t>
            </w:r>
          </w:p>
        </w:tc>
        <w:tc>
          <w:tcPr>
            <w:tcW w:w="580" w:type="dxa"/>
            <w:vAlign w:val="bottom"/>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00"/>
        </w:trPr>
        <w:tc>
          <w:tcPr>
            <w:tcW w:w="26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Other</w:t>
            </w:r>
          </w:p>
        </w:tc>
        <w:tc>
          <w:tcPr>
            <w:tcW w:w="600" w:type="dxa"/>
            <w:vAlign w:val="bottom"/>
            <w:tcBorders>
              <w:bottom w:val="single" w:sz="8" w:color="B2B2B2"/>
            </w:tcBorders>
          </w:tcPr>
          <w:p>
            <w:pPr>
              <w:jc w:val="right"/>
              <w:ind w:right="4"/>
              <w:spacing w:after="0"/>
              <w:rPr>
                <w:sz w:val="20"/>
                <w:szCs w:val="20"/>
                <w:color w:val="auto"/>
              </w:rPr>
            </w:pPr>
            <w:r>
              <w:rPr>
                <w:rFonts w:ascii="Arial" w:cs="Arial" w:eastAsia="Arial" w:hAnsi="Arial"/>
                <w:sz w:val="16"/>
                <w:szCs w:val="16"/>
                <w:b w:val="1"/>
                <w:bCs w:val="1"/>
                <w:color w:val="auto"/>
              </w:rPr>
              <w:t>31</w:t>
            </w:r>
          </w:p>
        </w:tc>
        <w:tc>
          <w:tcPr>
            <w:tcW w:w="60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28</w:t>
            </w:r>
          </w:p>
        </w:tc>
        <w:tc>
          <w:tcPr>
            <w:tcW w:w="600" w:type="dxa"/>
            <w:vAlign w:val="bottom"/>
            <w:tcBorders>
              <w:bottom w:val="single" w:sz="8" w:color="B2B2B2"/>
            </w:tcBorders>
          </w:tcPr>
          <w:p>
            <w:pPr>
              <w:jc w:val="right"/>
              <w:ind w:right="3"/>
              <w:spacing w:after="0"/>
              <w:rPr>
                <w:sz w:val="20"/>
                <w:szCs w:val="20"/>
                <w:color w:val="auto"/>
              </w:rPr>
            </w:pPr>
            <w:r>
              <w:rPr>
                <w:rFonts w:ascii="Arial" w:cs="Arial" w:eastAsia="Arial" w:hAnsi="Arial"/>
                <w:sz w:val="16"/>
                <w:szCs w:val="16"/>
                <w:b w:val="1"/>
                <w:bCs w:val="1"/>
                <w:color w:val="auto"/>
              </w:rPr>
              <w:t>85</w:t>
            </w:r>
          </w:p>
        </w:tc>
        <w:tc>
          <w:tcPr>
            <w:tcW w:w="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79</w:t>
            </w:r>
          </w:p>
        </w:tc>
        <w:tc>
          <w:tcPr>
            <w:tcW w:w="620" w:type="dxa"/>
            <w:vAlign w:val="bottom"/>
            <w:tcBorders>
              <w:bottom w:val="single" w:sz="8" w:color="B2B2B2"/>
            </w:tcBorders>
          </w:tcPr>
          <w:p>
            <w:pPr>
              <w:jc w:val="right"/>
              <w:ind w:right="4"/>
              <w:spacing w:after="0"/>
              <w:rPr>
                <w:sz w:val="20"/>
                <w:szCs w:val="20"/>
                <w:color w:val="auto"/>
              </w:rPr>
            </w:pPr>
            <w:r>
              <w:rPr>
                <w:rFonts w:ascii="Arial" w:cs="Arial" w:eastAsia="Arial" w:hAnsi="Arial"/>
                <w:sz w:val="16"/>
                <w:szCs w:val="16"/>
                <w:b w:val="1"/>
                <w:bCs w:val="1"/>
                <w:color w:val="auto"/>
              </w:rPr>
              <w:t>155</w:t>
            </w:r>
          </w:p>
        </w:tc>
        <w:tc>
          <w:tcPr>
            <w:tcW w:w="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135</w:t>
            </w:r>
          </w:p>
        </w:tc>
        <w:tc>
          <w:tcPr>
            <w:tcW w:w="620" w:type="dxa"/>
            <w:vAlign w:val="bottom"/>
            <w:tcBorders>
              <w:bottom w:val="single" w:sz="8" w:color="B2B2B2"/>
            </w:tcBorders>
          </w:tcPr>
          <w:p>
            <w:pPr>
              <w:jc w:val="right"/>
              <w:ind w:right="43"/>
              <w:spacing w:after="0"/>
              <w:rPr>
                <w:sz w:val="20"/>
                <w:szCs w:val="20"/>
                <w:color w:val="auto"/>
              </w:rPr>
            </w:pPr>
            <w:r>
              <w:rPr>
                <w:rFonts w:ascii="Arial" w:cs="Arial" w:eastAsia="Arial" w:hAnsi="Arial"/>
                <w:sz w:val="16"/>
                <w:szCs w:val="16"/>
                <w:b w:val="1"/>
                <w:bCs w:val="1"/>
                <w:color w:val="auto"/>
              </w:rPr>
              <w:t>9</w:t>
            </w:r>
          </w:p>
        </w:tc>
        <w:tc>
          <w:tcPr>
            <w:tcW w:w="5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w:t>
            </w:r>
          </w:p>
        </w:tc>
        <w:tc>
          <w:tcPr>
            <w:tcW w:w="620" w:type="dxa"/>
            <w:vAlign w:val="bottom"/>
            <w:tcBorders>
              <w:bottom w:val="single" w:sz="8" w:color="B2B2B2"/>
            </w:tcBorders>
          </w:tcPr>
          <w:p>
            <w:pPr>
              <w:jc w:val="right"/>
              <w:ind w:right="43"/>
              <w:spacing w:after="0"/>
              <w:rPr>
                <w:sz w:val="20"/>
                <w:szCs w:val="20"/>
                <w:color w:val="auto"/>
              </w:rPr>
            </w:pPr>
            <w:r>
              <w:rPr>
                <w:rFonts w:ascii="Arial" w:cs="Arial" w:eastAsia="Arial" w:hAnsi="Arial"/>
                <w:sz w:val="16"/>
                <w:szCs w:val="16"/>
                <w:b w:val="1"/>
                <w:bCs w:val="1"/>
                <w:color w:val="auto"/>
              </w:rPr>
              <w:t>12</w:t>
            </w:r>
          </w:p>
        </w:tc>
        <w:tc>
          <w:tcPr>
            <w:tcW w:w="5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w:t>
            </w:r>
          </w:p>
        </w:tc>
        <w:tc>
          <w:tcPr>
            <w:tcW w:w="620" w:type="dxa"/>
            <w:vAlign w:val="bottom"/>
            <w:tcBorders>
              <w:bottom w:val="single" w:sz="8" w:color="B2B2B2"/>
            </w:tcBorders>
          </w:tcPr>
          <w:p>
            <w:pPr>
              <w:jc w:val="right"/>
              <w:ind w:right="44"/>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B2B2B2"/>
            </w:tcBorders>
          </w:tcPr>
          <w:p>
            <w:pPr>
              <w:jc w:val="right"/>
              <w:ind w:right="3"/>
              <w:spacing w:after="0"/>
              <w:rPr>
                <w:sz w:val="20"/>
                <w:szCs w:val="20"/>
                <w:color w:val="auto"/>
              </w:rPr>
            </w:pPr>
            <w:r>
              <w:rPr>
                <w:rFonts w:ascii="Arial" w:cs="Arial" w:eastAsia="Arial" w:hAnsi="Arial"/>
                <w:sz w:val="16"/>
                <w:szCs w:val="16"/>
                <w:b w:val="1"/>
                <w:bCs w:val="1"/>
                <w:color w:val="auto"/>
              </w:rPr>
              <w:t>292</w:t>
            </w:r>
          </w:p>
        </w:tc>
        <w:tc>
          <w:tcPr>
            <w:tcW w:w="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165"/>
        </w:trPr>
        <w:tc>
          <w:tcPr>
            <w:tcW w:w="2600" w:type="dxa"/>
            <w:vAlign w:val="bottom"/>
          </w:tcPr>
          <w:p>
            <w:pPr>
              <w:spacing w:after="0" w:line="165" w:lineRule="exact"/>
              <w:rPr>
                <w:sz w:val="20"/>
                <w:szCs w:val="20"/>
                <w:color w:val="auto"/>
              </w:rPr>
            </w:pPr>
            <w:r>
              <w:rPr>
                <w:rFonts w:ascii="Arial" w:cs="Arial" w:eastAsia="Arial" w:hAnsi="Arial"/>
                <w:sz w:val="16"/>
                <w:szCs w:val="16"/>
                <w:color w:val="auto"/>
              </w:rPr>
              <w:t> Americas (North America,</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600" w:type="dxa"/>
            <w:vAlign w:val="bottom"/>
          </w:tcPr>
          <w:p>
            <w:pPr>
              <w:ind w:left="160"/>
              <w:spacing w:after="0"/>
              <w:rPr>
                <w:sz w:val="20"/>
                <w:szCs w:val="20"/>
                <w:color w:val="auto"/>
              </w:rPr>
            </w:pPr>
            <w:r>
              <w:rPr>
                <w:rFonts w:ascii="Arial" w:cs="Arial" w:eastAsia="Arial" w:hAnsi="Arial"/>
                <w:sz w:val="16"/>
                <w:szCs w:val="16"/>
                <w:color w:val="auto"/>
              </w:rPr>
              <w:t>Latin America, South America)</w:t>
            </w:r>
          </w:p>
        </w:tc>
        <w:tc>
          <w:tcPr>
            <w:tcW w:w="600" w:type="dxa"/>
            <w:vAlign w:val="bottom"/>
          </w:tcPr>
          <w:p>
            <w:pPr>
              <w:jc w:val="right"/>
              <w:ind w:right="4"/>
              <w:spacing w:after="0"/>
              <w:rPr>
                <w:sz w:val="20"/>
                <w:szCs w:val="20"/>
                <w:color w:val="auto"/>
              </w:rPr>
            </w:pPr>
            <w:r>
              <w:rPr>
                <w:rFonts w:ascii="Arial" w:cs="Arial" w:eastAsia="Arial" w:hAnsi="Arial"/>
                <w:sz w:val="16"/>
                <w:szCs w:val="16"/>
                <w:b w:val="1"/>
                <w:bCs w:val="1"/>
                <w:color w:val="auto"/>
              </w:rPr>
              <w:t>2,486</w:t>
            </w: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2,392</w:t>
            </w:r>
          </w:p>
        </w:tc>
        <w:tc>
          <w:tcPr>
            <w:tcW w:w="600" w:type="dxa"/>
            <w:vAlign w:val="bottom"/>
          </w:tcPr>
          <w:p>
            <w:pPr>
              <w:jc w:val="right"/>
              <w:ind w:right="3"/>
              <w:spacing w:after="0"/>
              <w:rPr>
                <w:sz w:val="20"/>
                <w:szCs w:val="20"/>
                <w:color w:val="auto"/>
              </w:rPr>
            </w:pPr>
            <w:r>
              <w:rPr>
                <w:rFonts w:ascii="Arial" w:cs="Arial" w:eastAsia="Arial" w:hAnsi="Arial"/>
                <w:sz w:val="16"/>
                <w:szCs w:val="16"/>
                <w:b w:val="1"/>
                <w:bCs w:val="1"/>
                <w:color w:val="auto"/>
              </w:rPr>
              <w:t>1,530</w:t>
            </w:r>
          </w:p>
        </w:tc>
        <w:tc>
          <w:tcPr>
            <w:tcW w:w="580" w:type="dxa"/>
            <w:vAlign w:val="bottom"/>
          </w:tcPr>
          <w:p>
            <w:pPr>
              <w:jc w:val="right"/>
              <w:spacing w:after="0"/>
              <w:rPr>
                <w:sz w:val="20"/>
                <w:szCs w:val="20"/>
                <w:color w:val="auto"/>
              </w:rPr>
            </w:pPr>
            <w:r>
              <w:rPr>
                <w:rFonts w:ascii="Arial" w:cs="Arial" w:eastAsia="Arial" w:hAnsi="Arial"/>
                <w:sz w:val="16"/>
                <w:szCs w:val="16"/>
                <w:color w:val="auto"/>
              </w:rPr>
              <w:t>1,405</w:t>
            </w:r>
          </w:p>
        </w:tc>
        <w:tc>
          <w:tcPr>
            <w:tcW w:w="620" w:type="dxa"/>
            <w:vAlign w:val="bottom"/>
          </w:tcPr>
          <w:p>
            <w:pPr>
              <w:jc w:val="right"/>
              <w:ind w:right="4"/>
              <w:spacing w:after="0"/>
              <w:rPr>
                <w:sz w:val="20"/>
                <w:szCs w:val="20"/>
                <w:color w:val="auto"/>
              </w:rPr>
            </w:pPr>
            <w:r>
              <w:rPr>
                <w:rFonts w:ascii="Arial" w:cs="Arial" w:eastAsia="Arial" w:hAnsi="Arial"/>
                <w:sz w:val="16"/>
                <w:szCs w:val="16"/>
                <w:b w:val="1"/>
                <w:bCs w:val="1"/>
                <w:color w:val="auto"/>
              </w:rPr>
              <w:t>1,119</w:t>
            </w:r>
          </w:p>
        </w:tc>
        <w:tc>
          <w:tcPr>
            <w:tcW w:w="580" w:type="dxa"/>
            <w:vAlign w:val="bottom"/>
          </w:tcPr>
          <w:p>
            <w:pPr>
              <w:jc w:val="right"/>
              <w:spacing w:after="0"/>
              <w:rPr>
                <w:sz w:val="20"/>
                <w:szCs w:val="20"/>
                <w:color w:val="auto"/>
              </w:rPr>
            </w:pPr>
            <w:r>
              <w:rPr>
                <w:rFonts w:ascii="Arial" w:cs="Arial" w:eastAsia="Arial" w:hAnsi="Arial"/>
                <w:sz w:val="16"/>
                <w:szCs w:val="16"/>
                <w:color w:val="auto"/>
              </w:rPr>
              <w:t>1,012</w:t>
            </w:r>
          </w:p>
        </w:tc>
        <w:tc>
          <w:tcPr>
            <w:tcW w:w="620" w:type="dxa"/>
            <w:vAlign w:val="bottom"/>
          </w:tcPr>
          <w:p>
            <w:pPr>
              <w:jc w:val="right"/>
              <w:ind w:right="43"/>
              <w:spacing w:after="0"/>
              <w:rPr>
                <w:sz w:val="20"/>
                <w:szCs w:val="20"/>
                <w:color w:val="auto"/>
              </w:rPr>
            </w:pPr>
            <w:r>
              <w:rPr>
                <w:rFonts w:ascii="Arial" w:cs="Arial" w:eastAsia="Arial" w:hAnsi="Arial"/>
                <w:sz w:val="16"/>
                <w:szCs w:val="16"/>
                <w:b w:val="1"/>
                <w:bCs w:val="1"/>
                <w:color w:val="auto"/>
              </w:rPr>
              <w:t>234</w:t>
            </w:r>
          </w:p>
        </w:tc>
        <w:tc>
          <w:tcPr>
            <w:tcW w:w="520" w:type="dxa"/>
            <w:vAlign w:val="bottom"/>
          </w:tcPr>
          <w:p>
            <w:pPr>
              <w:jc w:val="right"/>
              <w:spacing w:after="0"/>
              <w:rPr>
                <w:sz w:val="20"/>
                <w:szCs w:val="20"/>
                <w:color w:val="auto"/>
              </w:rPr>
            </w:pPr>
            <w:r>
              <w:rPr>
                <w:rFonts w:ascii="Arial" w:cs="Arial" w:eastAsia="Arial" w:hAnsi="Arial"/>
                <w:sz w:val="16"/>
                <w:szCs w:val="16"/>
                <w:color w:val="auto"/>
              </w:rPr>
              <w:t>189</w:t>
            </w:r>
          </w:p>
        </w:tc>
        <w:tc>
          <w:tcPr>
            <w:tcW w:w="620" w:type="dxa"/>
            <w:vAlign w:val="bottom"/>
          </w:tcPr>
          <w:p>
            <w:pPr>
              <w:jc w:val="right"/>
              <w:ind w:right="43"/>
              <w:spacing w:after="0"/>
              <w:rPr>
                <w:sz w:val="20"/>
                <w:szCs w:val="20"/>
                <w:color w:val="auto"/>
              </w:rPr>
            </w:pPr>
            <w:r>
              <w:rPr>
                <w:rFonts w:ascii="Arial" w:cs="Arial" w:eastAsia="Arial" w:hAnsi="Arial"/>
                <w:sz w:val="16"/>
                <w:szCs w:val="16"/>
                <w:b w:val="1"/>
                <w:bCs w:val="1"/>
                <w:color w:val="auto"/>
              </w:rPr>
              <w:t>456</w:t>
            </w:r>
          </w:p>
        </w:tc>
        <w:tc>
          <w:tcPr>
            <w:tcW w:w="520" w:type="dxa"/>
            <w:vAlign w:val="bottom"/>
          </w:tcPr>
          <w:p>
            <w:pPr>
              <w:jc w:val="right"/>
              <w:spacing w:after="0"/>
              <w:rPr>
                <w:sz w:val="20"/>
                <w:szCs w:val="20"/>
                <w:color w:val="auto"/>
              </w:rPr>
            </w:pPr>
            <w:r>
              <w:rPr>
                <w:rFonts w:ascii="Arial" w:cs="Arial" w:eastAsia="Arial" w:hAnsi="Arial"/>
                <w:sz w:val="16"/>
                <w:szCs w:val="16"/>
                <w:color w:val="auto"/>
              </w:rPr>
              <w:t>498</w:t>
            </w:r>
          </w:p>
        </w:tc>
        <w:tc>
          <w:tcPr>
            <w:tcW w:w="620" w:type="dxa"/>
            <w:vAlign w:val="bottom"/>
          </w:tcPr>
          <w:p>
            <w:pPr>
              <w:jc w:val="right"/>
              <w:ind w:right="44"/>
              <w:spacing w:after="0"/>
              <w:rPr>
                <w:sz w:val="20"/>
                <w:szCs w:val="20"/>
                <w:color w:val="auto"/>
              </w:rPr>
            </w:pPr>
            <w:r>
              <w:rPr>
                <w:rFonts w:ascii="Arial" w:cs="Arial" w:eastAsia="Arial" w:hAnsi="Arial"/>
                <w:sz w:val="16"/>
                <w:szCs w:val="16"/>
                <w:b w:val="1"/>
                <w:bCs w:val="1"/>
                <w:color w:val="auto"/>
              </w:rPr>
              <w:t>(24)</w:t>
            </w: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(22)</w:t>
            </w:r>
          </w:p>
        </w:tc>
        <w:tc>
          <w:tcPr>
            <w:tcW w:w="600" w:type="dxa"/>
            <w:vAlign w:val="bottom"/>
          </w:tcPr>
          <w:p>
            <w:pPr>
              <w:jc w:val="right"/>
              <w:ind w:right="3"/>
              <w:spacing w:after="0"/>
              <w:rPr>
                <w:sz w:val="20"/>
                <w:szCs w:val="20"/>
                <w:color w:val="auto"/>
              </w:rPr>
            </w:pPr>
            <w:r>
              <w:rPr>
                <w:rFonts w:ascii="Arial" w:cs="Arial" w:eastAsia="Arial" w:hAnsi="Arial"/>
                <w:sz w:val="16"/>
                <w:szCs w:val="16"/>
                <w:b w:val="1"/>
                <w:bCs w:val="1"/>
                <w:color w:val="auto"/>
              </w:rPr>
              <w:t>5,801</w:t>
            </w:r>
          </w:p>
        </w:tc>
        <w:tc>
          <w:tcPr>
            <w:tcW w:w="580" w:type="dxa"/>
            <w:vAlign w:val="bottom"/>
          </w:tcPr>
          <w:p>
            <w:pPr>
              <w:jc w:val="right"/>
              <w:spacing w:after="0"/>
              <w:rPr>
                <w:sz w:val="20"/>
                <w:szCs w:val="20"/>
                <w:color w:val="auto"/>
              </w:rPr>
            </w:pPr>
            <w:r>
              <w:rPr>
                <w:rFonts w:ascii="Arial" w:cs="Arial" w:eastAsia="Arial" w:hAnsi="Arial"/>
                <w:sz w:val="16"/>
                <w:szCs w:val="16"/>
                <w:color w:val="auto"/>
              </w:rPr>
              <w:t>5,474</w:t>
            </w:r>
          </w:p>
        </w:tc>
        <w:tc>
          <w:tcPr>
            <w:tcW w:w="0" w:type="dxa"/>
            <w:vAlign w:val="bottom"/>
          </w:tcPr>
          <w:p>
            <w:pPr>
              <w:spacing w:after="0"/>
              <w:rPr>
                <w:sz w:val="1"/>
                <w:szCs w:val="1"/>
                <w:color w:val="auto"/>
              </w:rPr>
            </w:pPr>
          </w:p>
        </w:tc>
      </w:tr>
      <w:tr>
        <w:trPr>
          <w:trHeight w:val="185"/>
        </w:trPr>
        <w:tc>
          <w:tcPr>
            <w:tcW w:w="2600" w:type="dxa"/>
            <w:vAlign w:val="bottom"/>
          </w:tcPr>
          <w:p>
            <w:pPr>
              <w:spacing w:after="0"/>
              <w:rPr>
                <w:sz w:val="20"/>
                <w:szCs w:val="20"/>
                <w:color w:val="auto"/>
              </w:rPr>
            </w:pPr>
            <w:r>
              <w:rPr>
                <w:rFonts w:ascii="Arial" w:cs="Arial" w:eastAsia="Arial" w:hAnsi="Arial"/>
                <w:sz w:val="16"/>
                <w:szCs w:val="16"/>
                <w:color w:val="auto"/>
              </w:rPr>
              <w:t> U.K.</w:t>
            </w:r>
          </w:p>
        </w:tc>
        <w:tc>
          <w:tcPr>
            <w:tcW w:w="600" w:type="dxa"/>
            <w:vAlign w:val="bottom"/>
          </w:tcPr>
          <w:p>
            <w:pPr>
              <w:jc w:val="right"/>
              <w:ind w:right="4"/>
              <w:spacing w:after="0"/>
              <w:rPr>
                <w:sz w:val="20"/>
                <w:szCs w:val="20"/>
                <w:color w:val="auto"/>
              </w:rPr>
            </w:pPr>
            <w:r>
              <w:rPr>
                <w:rFonts w:ascii="Arial" w:cs="Arial" w:eastAsia="Arial" w:hAnsi="Arial"/>
                <w:sz w:val="16"/>
                <w:szCs w:val="16"/>
                <w:b w:val="1"/>
                <w:bCs w:val="1"/>
                <w:color w:val="auto"/>
              </w:rPr>
              <w:t>272</w:t>
            </w: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262</w:t>
            </w:r>
          </w:p>
        </w:tc>
        <w:tc>
          <w:tcPr>
            <w:tcW w:w="600" w:type="dxa"/>
            <w:vAlign w:val="bottom"/>
          </w:tcPr>
          <w:p>
            <w:pPr>
              <w:jc w:val="right"/>
              <w:ind w:right="3"/>
              <w:spacing w:after="0"/>
              <w:rPr>
                <w:sz w:val="20"/>
                <w:szCs w:val="20"/>
                <w:color w:val="auto"/>
              </w:rPr>
            </w:pPr>
            <w:r>
              <w:rPr>
                <w:rFonts w:ascii="Arial" w:cs="Arial" w:eastAsia="Arial" w:hAnsi="Arial"/>
                <w:sz w:val="16"/>
                <w:szCs w:val="16"/>
                <w:b w:val="1"/>
                <w:bCs w:val="1"/>
                <w:color w:val="auto"/>
              </w:rPr>
              <w:t>141</w:t>
            </w:r>
          </w:p>
        </w:tc>
        <w:tc>
          <w:tcPr>
            <w:tcW w:w="580" w:type="dxa"/>
            <w:vAlign w:val="bottom"/>
          </w:tcPr>
          <w:p>
            <w:pPr>
              <w:jc w:val="right"/>
              <w:spacing w:after="0"/>
              <w:rPr>
                <w:sz w:val="20"/>
                <w:szCs w:val="20"/>
                <w:color w:val="auto"/>
              </w:rPr>
            </w:pPr>
            <w:r>
              <w:rPr>
                <w:rFonts w:ascii="Arial" w:cs="Arial" w:eastAsia="Arial" w:hAnsi="Arial"/>
                <w:sz w:val="16"/>
                <w:szCs w:val="16"/>
                <w:color w:val="auto"/>
              </w:rPr>
              <w:t>118</w:t>
            </w:r>
          </w:p>
        </w:tc>
        <w:tc>
          <w:tcPr>
            <w:tcW w:w="620" w:type="dxa"/>
            <w:vAlign w:val="bottom"/>
          </w:tcPr>
          <w:p>
            <w:pPr>
              <w:jc w:val="right"/>
              <w:ind w:right="4"/>
              <w:spacing w:after="0"/>
              <w:rPr>
                <w:sz w:val="20"/>
                <w:szCs w:val="20"/>
                <w:color w:val="auto"/>
              </w:rPr>
            </w:pPr>
            <w:r>
              <w:rPr>
                <w:rFonts w:ascii="Arial" w:cs="Arial" w:eastAsia="Arial" w:hAnsi="Arial"/>
                <w:sz w:val="16"/>
                <w:szCs w:val="16"/>
                <w:b w:val="1"/>
                <w:bCs w:val="1"/>
                <w:color w:val="auto"/>
              </w:rPr>
              <w:t>25</w:t>
            </w:r>
          </w:p>
        </w:tc>
        <w:tc>
          <w:tcPr>
            <w:tcW w:w="580" w:type="dxa"/>
            <w:vAlign w:val="bottom"/>
          </w:tcPr>
          <w:p>
            <w:pPr>
              <w:jc w:val="right"/>
              <w:spacing w:after="0"/>
              <w:rPr>
                <w:sz w:val="20"/>
                <w:szCs w:val="20"/>
                <w:color w:val="auto"/>
              </w:rPr>
            </w:pPr>
            <w:r>
              <w:rPr>
                <w:rFonts w:ascii="Arial" w:cs="Arial" w:eastAsia="Arial" w:hAnsi="Arial"/>
                <w:sz w:val="16"/>
                <w:szCs w:val="16"/>
                <w:color w:val="auto"/>
              </w:rPr>
              <w:t>23</w:t>
            </w:r>
          </w:p>
        </w:tc>
        <w:tc>
          <w:tcPr>
            <w:tcW w:w="620" w:type="dxa"/>
            <w:vAlign w:val="bottom"/>
          </w:tcPr>
          <w:p>
            <w:pPr>
              <w:jc w:val="right"/>
              <w:ind w:right="43"/>
              <w:spacing w:after="0"/>
              <w:rPr>
                <w:sz w:val="20"/>
                <w:szCs w:val="20"/>
                <w:color w:val="auto"/>
              </w:rPr>
            </w:pPr>
            <w:r>
              <w:rPr>
                <w:rFonts w:ascii="Arial" w:cs="Arial" w:eastAsia="Arial" w:hAnsi="Arial"/>
                <w:sz w:val="16"/>
                <w:szCs w:val="16"/>
                <w:b w:val="1"/>
                <w:bCs w:val="1"/>
                <w:color w:val="auto"/>
              </w:rPr>
              <w:t>425</w:t>
            </w:r>
          </w:p>
        </w:tc>
        <w:tc>
          <w:tcPr>
            <w:tcW w:w="520" w:type="dxa"/>
            <w:vAlign w:val="bottom"/>
          </w:tcPr>
          <w:p>
            <w:pPr>
              <w:jc w:val="right"/>
              <w:spacing w:after="0"/>
              <w:rPr>
                <w:sz w:val="20"/>
                <w:szCs w:val="20"/>
                <w:color w:val="auto"/>
              </w:rPr>
            </w:pPr>
            <w:r>
              <w:rPr>
                <w:rFonts w:ascii="Arial" w:cs="Arial" w:eastAsia="Arial" w:hAnsi="Arial"/>
                <w:sz w:val="16"/>
                <w:szCs w:val="16"/>
                <w:color w:val="auto"/>
              </w:rPr>
              <w:t>409</w:t>
            </w:r>
          </w:p>
        </w:tc>
        <w:tc>
          <w:tcPr>
            <w:tcW w:w="620" w:type="dxa"/>
            <w:vAlign w:val="bottom"/>
          </w:tcPr>
          <w:p>
            <w:pPr>
              <w:jc w:val="right"/>
              <w:ind w:right="43"/>
              <w:spacing w:after="0"/>
              <w:rPr>
                <w:sz w:val="20"/>
                <w:szCs w:val="20"/>
                <w:color w:val="auto"/>
              </w:rPr>
            </w:pPr>
            <w:r>
              <w:rPr>
                <w:rFonts w:ascii="Arial" w:cs="Arial" w:eastAsia="Arial" w:hAnsi="Arial"/>
                <w:sz w:val="16"/>
                <w:szCs w:val="16"/>
                <w:b w:val="1"/>
                <w:bCs w:val="1"/>
                <w:color w:val="auto"/>
              </w:rPr>
              <w:t>35</w:t>
            </w:r>
          </w:p>
        </w:tc>
        <w:tc>
          <w:tcPr>
            <w:tcW w:w="520" w:type="dxa"/>
            <w:vAlign w:val="bottom"/>
          </w:tcPr>
          <w:p>
            <w:pPr>
              <w:jc w:val="right"/>
              <w:spacing w:after="0"/>
              <w:rPr>
                <w:sz w:val="20"/>
                <w:szCs w:val="20"/>
                <w:color w:val="auto"/>
              </w:rPr>
            </w:pPr>
            <w:r>
              <w:rPr>
                <w:rFonts w:ascii="Arial" w:cs="Arial" w:eastAsia="Arial" w:hAnsi="Arial"/>
                <w:sz w:val="16"/>
                <w:szCs w:val="16"/>
                <w:color w:val="auto"/>
              </w:rPr>
              <w:t>36</w:t>
            </w:r>
          </w:p>
        </w:tc>
        <w:tc>
          <w:tcPr>
            <w:tcW w:w="620" w:type="dxa"/>
            <w:vAlign w:val="bottom"/>
          </w:tcPr>
          <w:p>
            <w:pPr>
              <w:jc w:val="right"/>
              <w:ind w:right="44"/>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
              <w:spacing w:after="0"/>
              <w:rPr>
                <w:sz w:val="20"/>
                <w:szCs w:val="20"/>
                <w:color w:val="auto"/>
              </w:rPr>
            </w:pPr>
            <w:r>
              <w:rPr>
                <w:rFonts w:ascii="Arial" w:cs="Arial" w:eastAsia="Arial" w:hAnsi="Arial"/>
                <w:sz w:val="16"/>
                <w:szCs w:val="16"/>
                <w:b w:val="1"/>
                <w:bCs w:val="1"/>
                <w:color w:val="auto"/>
              </w:rPr>
              <w:t>898</w:t>
            </w:r>
          </w:p>
        </w:tc>
        <w:tc>
          <w:tcPr>
            <w:tcW w:w="580" w:type="dxa"/>
            <w:vAlign w:val="bottom"/>
          </w:tcPr>
          <w:p>
            <w:pPr>
              <w:jc w:val="right"/>
              <w:spacing w:after="0"/>
              <w:rPr>
                <w:sz w:val="20"/>
                <w:szCs w:val="20"/>
                <w:color w:val="auto"/>
              </w:rPr>
            </w:pPr>
            <w:r>
              <w:rPr>
                <w:rFonts w:ascii="Arial" w:cs="Arial" w:eastAsia="Arial" w:hAnsi="Arial"/>
                <w:sz w:val="16"/>
                <w:szCs w:val="16"/>
                <w:color w:val="auto"/>
              </w:rPr>
              <w:t>848</w:t>
            </w:r>
          </w:p>
        </w:tc>
        <w:tc>
          <w:tcPr>
            <w:tcW w:w="0" w:type="dxa"/>
            <w:vAlign w:val="bottom"/>
          </w:tcPr>
          <w:p>
            <w:pPr>
              <w:spacing w:after="0"/>
              <w:rPr>
                <w:sz w:val="1"/>
                <w:szCs w:val="1"/>
                <w:color w:val="auto"/>
              </w:rPr>
            </w:pPr>
          </w:p>
        </w:tc>
      </w:tr>
      <w:tr>
        <w:trPr>
          <w:trHeight w:val="200"/>
        </w:trPr>
        <w:tc>
          <w:tcPr>
            <w:tcW w:w="26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Other</w:t>
            </w:r>
          </w:p>
        </w:tc>
        <w:tc>
          <w:tcPr>
            <w:tcW w:w="600" w:type="dxa"/>
            <w:vAlign w:val="bottom"/>
            <w:tcBorders>
              <w:bottom w:val="single" w:sz="8" w:color="B2B2B2"/>
            </w:tcBorders>
          </w:tcPr>
          <w:p>
            <w:pPr>
              <w:jc w:val="right"/>
              <w:ind w:right="4"/>
              <w:spacing w:after="0"/>
              <w:rPr>
                <w:sz w:val="20"/>
                <w:szCs w:val="20"/>
                <w:color w:val="auto"/>
              </w:rPr>
            </w:pPr>
            <w:r>
              <w:rPr>
                <w:rFonts w:ascii="Arial" w:cs="Arial" w:eastAsia="Arial" w:hAnsi="Arial"/>
                <w:sz w:val="16"/>
                <w:szCs w:val="16"/>
                <w:b w:val="1"/>
                <w:bCs w:val="1"/>
                <w:color w:val="auto"/>
              </w:rPr>
              <w:t>43</w:t>
            </w:r>
          </w:p>
        </w:tc>
        <w:tc>
          <w:tcPr>
            <w:tcW w:w="60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40</w:t>
            </w:r>
          </w:p>
        </w:tc>
        <w:tc>
          <w:tcPr>
            <w:tcW w:w="600" w:type="dxa"/>
            <w:vAlign w:val="bottom"/>
            <w:tcBorders>
              <w:bottom w:val="single" w:sz="8" w:color="B2B2B2"/>
            </w:tcBorders>
          </w:tcPr>
          <w:p>
            <w:pPr>
              <w:jc w:val="right"/>
              <w:ind w:right="3"/>
              <w:spacing w:after="0"/>
              <w:rPr>
                <w:sz w:val="20"/>
                <w:szCs w:val="20"/>
                <w:color w:val="auto"/>
              </w:rPr>
            </w:pPr>
            <w:r>
              <w:rPr>
                <w:rFonts w:ascii="Arial" w:cs="Arial" w:eastAsia="Arial" w:hAnsi="Arial"/>
                <w:sz w:val="16"/>
                <w:szCs w:val="16"/>
                <w:b w:val="1"/>
                <w:bCs w:val="1"/>
                <w:color w:val="auto"/>
              </w:rPr>
              <w:t>120</w:t>
            </w:r>
          </w:p>
        </w:tc>
        <w:tc>
          <w:tcPr>
            <w:tcW w:w="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49</w:t>
            </w:r>
          </w:p>
        </w:tc>
        <w:tc>
          <w:tcPr>
            <w:tcW w:w="620" w:type="dxa"/>
            <w:vAlign w:val="bottom"/>
            <w:tcBorders>
              <w:bottom w:val="single" w:sz="8" w:color="B2B2B2"/>
            </w:tcBorders>
          </w:tcPr>
          <w:p>
            <w:pPr>
              <w:jc w:val="right"/>
              <w:ind w:right="4"/>
              <w:spacing w:after="0"/>
              <w:rPr>
                <w:sz w:val="20"/>
                <w:szCs w:val="20"/>
                <w:color w:val="auto"/>
              </w:rPr>
            </w:pPr>
            <w:r>
              <w:rPr>
                <w:rFonts w:ascii="Arial" w:cs="Arial" w:eastAsia="Arial" w:hAnsi="Arial"/>
                <w:sz w:val="16"/>
                <w:szCs w:val="16"/>
                <w:b w:val="1"/>
                <w:bCs w:val="1"/>
                <w:color w:val="auto"/>
              </w:rPr>
              <w:t>4</w:t>
            </w:r>
          </w:p>
        </w:tc>
        <w:tc>
          <w:tcPr>
            <w:tcW w:w="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w:t>
            </w:r>
          </w:p>
        </w:tc>
        <w:tc>
          <w:tcPr>
            <w:tcW w:w="620" w:type="dxa"/>
            <w:vAlign w:val="bottom"/>
            <w:tcBorders>
              <w:bottom w:val="single" w:sz="8" w:color="B2B2B2"/>
            </w:tcBorders>
          </w:tcPr>
          <w:p>
            <w:pPr>
              <w:jc w:val="right"/>
              <w:ind w:right="43"/>
              <w:spacing w:after="0"/>
              <w:rPr>
                <w:sz w:val="20"/>
                <w:szCs w:val="20"/>
                <w:color w:val="auto"/>
              </w:rPr>
            </w:pPr>
            <w:r>
              <w:rPr>
                <w:rFonts w:ascii="Arial" w:cs="Arial" w:eastAsia="Arial" w:hAnsi="Arial"/>
                <w:sz w:val="16"/>
                <w:szCs w:val="16"/>
                <w:b w:val="1"/>
                <w:bCs w:val="1"/>
                <w:color w:val="auto"/>
              </w:rPr>
              <w:t>121</w:t>
            </w:r>
          </w:p>
        </w:tc>
        <w:tc>
          <w:tcPr>
            <w:tcW w:w="5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117</w:t>
            </w:r>
          </w:p>
        </w:tc>
        <w:tc>
          <w:tcPr>
            <w:tcW w:w="620" w:type="dxa"/>
            <w:vAlign w:val="bottom"/>
            <w:tcBorders>
              <w:bottom w:val="single" w:sz="8" w:color="B2B2B2"/>
            </w:tcBorders>
          </w:tcPr>
          <w:p>
            <w:pPr>
              <w:jc w:val="right"/>
              <w:ind w:right="43"/>
              <w:spacing w:after="0"/>
              <w:rPr>
                <w:sz w:val="20"/>
                <w:szCs w:val="20"/>
                <w:color w:val="auto"/>
              </w:rPr>
            </w:pPr>
            <w:r>
              <w:rPr>
                <w:rFonts w:ascii="Arial" w:cs="Arial" w:eastAsia="Arial" w:hAnsi="Arial"/>
                <w:sz w:val="16"/>
                <w:szCs w:val="16"/>
                <w:b w:val="1"/>
                <w:bCs w:val="1"/>
                <w:color w:val="auto"/>
              </w:rPr>
              <w:t>6</w:t>
            </w:r>
          </w:p>
        </w:tc>
        <w:tc>
          <w:tcPr>
            <w:tcW w:w="5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w:t>
            </w:r>
          </w:p>
        </w:tc>
        <w:tc>
          <w:tcPr>
            <w:tcW w:w="620" w:type="dxa"/>
            <w:vAlign w:val="bottom"/>
            <w:tcBorders>
              <w:bottom w:val="single" w:sz="8" w:color="B2B2B2"/>
            </w:tcBorders>
          </w:tcPr>
          <w:p>
            <w:pPr>
              <w:jc w:val="right"/>
              <w:ind w:right="44"/>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B2B2B2"/>
            </w:tcBorders>
          </w:tcPr>
          <w:p>
            <w:pPr>
              <w:jc w:val="right"/>
              <w:ind w:right="3"/>
              <w:spacing w:after="0"/>
              <w:rPr>
                <w:sz w:val="20"/>
                <w:szCs w:val="20"/>
                <w:color w:val="auto"/>
              </w:rPr>
            </w:pPr>
            <w:r>
              <w:rPr>
                <w:rFonts w:ascii="Arial" w:cs="Arial" w:eastAsia="Arial" w:hAnsi="Arial"/>
                <w:sz w:val="16"/>
                <w:szCs w:val="16"/>
                <w:b w:val="1"/>
                <w:bCs w:val="1"/>
                <w:color w:val="auto"/>
              </w:rPr>
              <w:t>294</w:t>
            </w:r>
          </w:p>
        </w:tc>
        <w:tc>
          <w:tcPr>
            <w:tcW w:w="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165"/>
        </w:trPr>
        <w:tc>
          <w:tcPr>
            <w:tcW w:w="2600" w:type="dxa"/>
            <w:vAlign w:val="bottom"/>
          </w:tcPr>
          <w:p>
            <w:pPr>
              <w:spacing w:after="0" w:line="165" w:lineRule="exact"/>
              <w:rPr>
                <w:sz w:val="20"/>
                <w:szCs w:val="20"/>
                <w:color w:val="auto"/>
              </w:rPr>
            </w:pPr>
            <w:r>
              <w:rPr>
                <w:rFonts w:ascii="Arial" w:cs="Arial" w:eastAsia="Arial" w:hAnsi="Arial"/>
                <w:sz w:val="16"/>
                <w:szCs w:val="16"/>
                <w:color w:val="auto"/>
              </w:rPr>
              <w:t> EMEA (Europe, Middle East and</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600" w:type="dxa"/>
            <w:vAlign w:val="bottom"/>
          </w:tcPr>
          <w:p>
            <w:pPr>
              <w:ind w:left="160"/>
              <w:spacing w:after="0"/>
              <w:rPr>
                <w:sz w:val="20"/>
                <w:szCs w:val="20"/>
                <w:color w:val="auto"/>
              </w:rPr>
            </w:pPr>
            <w:r>
              <w:rPr>
                <w:rFonts w:ascii="Arial" w:cs="Arial" w:eastAsia="Arial" w:hAnsi="Arial"/>
                <w:sz w:val="16"/>
                <w:szCs w:val="16"/>
                <w:color w:val="auto"/>
              </w:rPr>
              <w:t>Africa)</w:t>
            </w:r>
          </w:p>
        </w:tc>
        <w:tc>
          <w:tcPr>
            <w:tcW w:w="600" w:type="dxa"/>
            <w:vAlign w:val="bottom"/>
          </w:tcPr>
          <w:p>
            <w:pPr>
              <w:jc w:val="right"/>
              <w:ind w:right="4"/>
              <w:spacing w:after="0"/>
              <w:rPr>
                <w:sz w:val="20"/>
                <w:szCs w:val="20"/>
                <w:color w:val="auto"/>
              </w:rPr>
            </w:pPr>
            <w:r>
              <w:rPr>
                <w:rFonts w:ascii="Arial" w:cs="Arial" w:eastAsia="Arial" w:hAnsi="Arial"/>
                <w:sz w:val="16"/>
                <w:szCs w:val="16"/>
                <w:b w:val="1"/>
                <w:bCs w:val="1"/>
                <w:color w:val="auto"/>
              </w:rPr>
              <w:t>315</w:t>
            </w: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302</w:t>
            </w:r>
          </w:p>
        </w:tc>
        <w:tc>
          <w:tcPr>
            <w:tcW w:w="600" w:type="dxa"/>
            <w:vAlign w:val="bottom"/>
          </w:tcPr>
          <w:p>
            <w:pPr>
              <w:jc w:val="right"/>
              <w:ind w:right="3"/>
              <w:spacing w:after="0"/>
              <w:rPr>
                <w:sz w:val="20"/>
                <w:szCs w:val="20"/>
                <w:color w:val="auto"/>
              </w:rPr>
            </w:pPr>
            <w:r>
              <w:rPr>
                <w:rFonts w:ascii="Arial" w:cs="Arial" w:eastAsia="Arial" w:hAnsi="Arial"/>
                <w:sz w:val="16"/>
                <w:szCs w:val="16"/>
                <w:b w:val="1"/>
                <w:bCs w:val="1"/>
                <w:color w:val="auto"/>
              </w:rPr>
              <w:t>261</w:t>
            </w:r>
          </w:p>
        </w:tc>
        <w:tc>
          <w:tcPr>
            <w:tcW w:w="580" w:type="dxa"/>
            <w:vAlign w:val="bottom"/>
          </w:tcPr>
          <w:p>
            <w:pPr>
              <w:jc w:val="right"/>
              <w:spacing w:after="0"/>
              <w:rPr>
                <w:sz w:val="20"/>
                <w:szCs w:val="20"/>
                <w:color w:val="auto"/>
              </w:rPr>
            </w:pPr>
            <w:r>
              <w:rPr>
                <w:rFonts w:ascii="Arial" w:cs="Arial" w:eastAsia="Arial" w:hAnsi="Arial"/>
                <w:sz w:val="16"/>
                <w:szCs w:val="16"/>
                <w:color w:val="auto"/>
              </w:rPr>
              <w:t>167</w:t>
            </w:r>
          </w:p>
        </w:tc>
        <w:tc>
          <w:tcPr>
            <w:tcW w:w="620" w:type="dxa"/>
            <w:vAlign w:val="bottom"/>
          </w:tcPr>
          <w:p>
            <w:pPr>
              <w:jc w:val="right"/>
              <w:ind w:right="4"/>
              <w:spacing w:after="0"/>
              <w:rPr>
                <w:sz w:val="20"/>
                <w:szCs w:val="20"/>
                <w:color w:val="auto"/>
              </w:rPr>
            </w:pPr>
            <w:r>
              <w:rPr>
                <w:rFonts w:ascii="Arial" w:cs="Arial" w:eastAsia="Arial" w:hAnsi="Arial"/>
                <w:sz w:val="16"/>
                <w:szCs w:val="16"/>
                <w:b w:val="1"/>
                <w:bCs w:val="1"/>
                <w:color w:val="auto"/>
              </w:rPr>
              <w:t>29</w:t>
            </w:r>
          </w:p>
        </w:tc>
        <w:tc>
          <w:tcPr>
            <w:tcW w:w="580" w:type="dxa"/>
            <w:vAlign w:val="bottom"/>
          </w:tcPr>
          <w:p>
            <w:pPr>
              <w:jc w:val="right"/>
              <w:spacing w:after="0"/>
              <w:rPr>
                <w:sz w:val="20"/>
                <w:szCs w:val="20"/>
                <w:color w:val="auto"/>
              </w:rPr>
            </w:pPr>
            <w:r>
              <w:rPr>
                <w:rFonts w:ascii="Arial" w:cs="Arial" w:eastAsia="Arial" w:hAnsi="Arial"/>
                <w:sz w:val="16"/>
                <w:szCs w:val="16"/>
                <w:color w:val="auto"/>
              </w:rPr>
              <w:t>29</w:t>
            </w:r>
          </w:p>
        </w:tc>
        <w:tc>
          <w:tcPr>
            <w:tcW w:w="620" w:type="dxa"/>
            <w:vAlign w:val="bottom"/>
          </w:tcPr>
          <w:p>
            <w:pPr>
              <w:jc w:val="right"/>
              <w:ind w:right="43"/>
              <w:spacing w:after="0"/>
              <w:rPr>
                <w:sz w:val="20"/>
                <w:szCs w:val="20"/>
                <w:color w:val="auto"/>
              </w:rPr>
            </w:pPr>
            <w:r>
              <w:rPr>
                <w:rFonts w:ascii="Arial" w:cs="Arial" w:eastAsia="Arial" w:hAnsi="Arial"/>
                <w:sz w:val="16"/>
                <w:szCs w:val="16"/>
                <w:b w:val="1"/>
                <w:bCs w:val="1"/>
                <w:color w:val="auto"/>
              </w:rPr>
              <w:t>546</w:t>
            </w:r>
          </w:p>
        </w:tc>
        <w:tc>
          <w:tcPr>
            <w:tcW w:w="520" w:type="dxa"/>
            <w:vAlign w:val="bottom"/>
          </w:tcPr>
          <w:p>
            <w:pPr>
              <w:jc w:val="right"/>
              <w:spacing w:after="0"/>
              <w:rPr>
                <w:sz w:val="20"/>
                <w:szCs w:val="20"/>
                <w:color w:val="auto"/>
              </w:rPr>
            </w:pPr>
            <w:r>
              <w:rPr>
                <w:rFonts w:ascii="Arial" w:cs="Arial" w:eastAsia="Arial" w:hAnsi="Arial"/>
                <w:sz w:val="16"/>
                <w:szCs w:val="16"/>
                <w:color w:val="auto"/>
              </w:rPr>
              <w:t>526</w:t>
            </w:r>
          </w:p>
        </w:tc>
        <w:tc>
          <w:tcPr>
            <w:tcW w:w="620" w:type="dxa"/>
            <w:vAlign w:val="bottom"/>
          </w:tcPr>
          <w:p>
            <w:pPr>
              <w:jc w:val="right"/>
              <w:ind w:right="43"/>
              <w:spacing w:after="0"/>
              <w:rPr>
                <w:sz w:val="20"/>
                <w:szCs w:val="20"/>
                <w:color w:val="auto"/>
              </w:rPr>
            </w:pPr>
            <w:r>
              <w:rPr>
                <w:rFonts w:ascii="Arial" w:cs="Arial" w:eastAsia="Arial" w:hAnsi="Arial"/>
                <w:sz w:val="16"/>
                <w:szCs w:val="16"/>
                <w:b w:val="1"/>
                <w:bCs w:val="1"/>
                <w:color w:val="auto"/>
              </w:rPr>
              <w:t>41</w:t>
            </w:r>
          </w:p>
        </w:tc>
        <w:tc>
          <w:tcPr>
            <w:tcW w:w="520" w:type="dxa"/>
            <w:vAlign w:val="bottom"/>
          </w:tcPr>
          <w:p>
            <w:pPr>
              <w:jc w:val="right"/>
              <w:spacing w:after="0"/>
              <w:rPr>
                <w:sz w:val="20"/>
                <w:szCs w:val="20"/>
                <w:color w:val="auto"/>
              </w:rPr>
            </w:pPr>
            <w:r>
              <w:rPr>
                <w:rFonts w:ascii="Arial" w:cs="Arial" w:eastAsia="Arial" w:hAnsi="Arial"/>
                <w:sz w:val="16"/>
                <w:szCs w:val="16"/>
                <w:color w:val="auto"/>
              </w:rPr>
              <w:t>42</w:t>
            </w:r>
          </w:p>
        </w:tc>
        <w:tc>
          <w:tcPr>
            <w:tcW w:w="620" w:type="dxa"/>
            <w:vAlign w:val="bottom"/>
          </w:tcPr>
          <w:p>
            <w:pPr>
              <w:jc w:val="right"/>
              <w:ind w:right="44"/>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
              <w:spacing w:after="0"/>
              <w:rPr>
                <w:sz w:val="20"/>
                <w:szCs w:val="20"/>
                <w:color w:val="auto"/>
              </w:rPr>
            </w:pPr>
            <w:r>
              <w:rPr>
                <w:rFonts w:ascii="Arial" w:cs="Arial" w:eastAsia="Arial" w:hAnsi="Arial"/>
                <w:sz w:val="16"/>
                <w:szCs w:val="16"/>
                <w:b w:val="1"/>
                <w:bCs w:val="1"/>
                <w:color w:val="auto"/>
              </w:rPr>
              <w:t>1,192</w:t>
            </w:r>
          </w:p>
        </w:tc>
        <w:tc>
          <w:tcPr>
            <w:tcW w:w="580" w:type="dxa"/>
            <w:vAlign w:val="bottom"/>
          </w:tcPr>
          <w:p>
            <w:pPr>
              <w:jc w:val="right"/>
              <w:spacing w:after="0"/>
              <w:rPr>
                <w:sz w:val="20"/>
                <w:szCs w:val="20"/>
                <w:color w:val="auto"/>
              </w:rPr>
            </w:pPr>
            <w:r>
              <w:rPr>
                <w:rFonts w:ascii="Arial" w:cs="Arial" w:eastAsia="Arial" w:hAnsi="Arial"/>
                <w:sz w:val="16"/>
                <w:szCs w:val="16"/>
                <w:color w:val="auto"/>
              </w:rPr>
              <w:t>1,066</w:t>
            </w:r>
          </w:p>
        </w:tc>
        <w:tc>
          <w:tcPr>
            <w:tcW w:w="0" w:type="dxa"/>
            <w:vAlign w:val="bottom"/>
          </w:tcPr>
          <w:p>
            <w:pPr>
              <w:spacing w:after="0"/>
              <w:rPr>
                <w:sz w:val="1"/>
                <w:szCs w:val="1"/>
                <w:color w:val="auto"/>
              </w:rPr>
            </w:pPr>
          </w:p>
        </w:tc>
      </w:tr>
      <w:tr>
        <w:trPr>
          <w:trHeight w:val="200"/>
        </w:trPr>
        <w:tc>
          <w:tcPr>
            <w:tcW w:w="26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Asia Pacific</w:t>
            </w:r>
          </w:p>
        </w:tc>
        <w:tc>
          <w:tcPr>
            <w:tcW w:w="600" w:type="dxa"/>
            <w:vAlign w:val="bottom"/>
            <w:tcBorders>
              <w:bottom w:val="single" w:sz="8" w:color="B2B2B2"/>
            </w:tcBorders>
          </w:tcPr>
          <w:p>
            <w:pPr>
              <w:jc w:val="right"/>
              <w:ind w:right="4"/>
              <w:spacing w:after="0"/>
              <w:rPr>
                <w:sz w:val="20"/>
                <w:szCs w:val="20"/>
                <w:color w:val="auto"/>
              </w:rPr>
            </w:pPr>
            <w:r>
              <w:rPr>
                <w:rFonts w:ascii="Arial" w:cs="Arial" w:eastAsia="Arial" w:hAnsi="Arial"/>
                <w:sz w:val="16"/>
                <w:szCs w:val="16"/>
                <w:b w:val="1"/>
                <w:bCs w:val="1"/>
                <w:color w:val="auto"/>
              </w:rPr>
              <w:t>121</w:t>
            </w:r>
          </w:p>
        </w:tc>
        <w:tc>
          <w:tcPr>
            <w:tcW w:w="60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113</w:t>
            </w:r>
          </w:p>
        </w:tc>
        <w:tc>
          <w:tcPr>
            <w:tcW w:w="600" w:type="dxa"/>
            <w:vAlign w:val="bottom"/>
            <w:tcBorders>
              <w:bottom w:val="single" w:sz="8" w:color="B2B2B2"/>
            </w:tcBorders>
          </w:tcPr>
          <w:p>
            <w:pPr>
              <w:jc w:val="right"/>
              <w:ind w:right="3"/>
              <w:spacing w:after="0"/>
              <w:rPr>
                <w:sz w:val="20"/>
                <w:szCs w:val="20"/>
                <w:color w:val="auto"/>
              </w:rPr>
            </w:pPr>
            <w:r>
              <w:rPr>
                <w:rFonts w:ascii="Arial" w:cs="Arial" w:eastAsia="Arial" w:hAnsi="Arial"/>
                <w:sz w:val="16"/>
                <w:szCs w:val="16"/>
                <w:b w:val="1"/>
                <w:bCs w:val="1"/>
                <w:color w:val="auto"/>
              </w:rPr>
              <w:t>53</w:t>
            </w:r>
          </w:p>
        </w:tc>
        <w:tc>
          <w:tcPr>
            <w:tcW w:w="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48</w:t>
            </w:r>
          </w:p>
        </w:tc>
        <w:tc>
          <w:tcPr>
            <w:tcW w:w="620" w:type="dxa"/>
            <w:vAlign w:val="bottom"/>
            <w:tcBorders>
              <w:bottom w:val="single" w:sz="8" w:color="B2B2B2"/>
            </w:tcBorders>
          </w:tcPr>
          <w:p>
            <w:pPr>
              <w:jc w:val="right"/>
              <w:ind w:right="4"/>
              <w:spacing w:after="0"/>
              <w:rPr>
                <w:sz w:val="20"/>
                <w:szCs w:val="20"/>
                <w:color w:val="auto"/>
              </w:rPr>
            </w:pPr>
            <w:r>
              <w:rPr>
                <w:rFonts w:ascii="Arial" w:cs="Arial" w:eastAsia="Arial" w:hAnsi="Arial"/>
                <w:sz w:val="16"/>
                <w:szCs w:val="16"/>
                <w:b w:val="1"/>
                <w:bCs w:val="1"/>
                <w:color w:val="auto"/>
              </w:rPr>
              <w:t>17</w:t>
            </w:r>
          </w:p>
        </w:tc>
        <w:tc>
          <w:tcPr>
            <w:tcW w:w="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w:t>
            </w:r>
          </w:p>
        </w:tc>
        <w:tc>
          <w:tcPr>
            <w:tcW w:w="620" w:type="dxa"/>
            <w:vAlign w:val="bottom"/>
            <w:tcBorders>
              <w:bottom w:val="single" w:sz="8" w:color="B2B2B2"/>
            </w:tcBorders>
          </w:tcPr>
          <w:p>
            <w:pPr>
              <w:jc w:val="right"/>
              <w:ind w:right="43"/>
              <w:spacing w:after="0"/>
              <w:rPr>
                <w:sz w:val="20"/>
                <w:szCs w:val="20"/>
                <w:color w:val="auto"/>
              </w:rPr>
            </w:pPr>
            <w:r>
              <w:rPr>
                <w:rFonts w:ascii="Arial" w:cs="Arial" w:eastAsia="Arial" w:hAnsi="Arial"/>
                <w:sz w:val="16"/>
                <w:szCs w:val="16"/>
                <w:b w:val="1"/>
                <w:bCs w:val="1"/>
                <w:color w:val="auto"/>
              </w:rPr>
              <w:t>52</w:t>
            </w:r>
          </w:p>
        </w:tc>
        <w:tc>
          <w:tcPr>
            <w:tcW w:w="5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54</w:t>
            </w:r>
          </w:p>
        </w:tc>
        <w:tc>
          <w:tcPr>
            <w:tcW w:w="620" w:type="dxa"/>
            <w:vAlign w:val="bottom"/>
            <w:tcBorders>
              <w:bottom w:val="single" w:sz="8" w:color="B2B2B2"/>
            </w:tcBorders>
          </w:tcPr>
          <w:p>
            <w:pPr>
              <w:jc w:val="right"/>
              <w:ind w:right="43"/>
              <w:spacing w:after="0"/>
              <w:rPr>
                <w:sz w:val="20"/>
                <w:szCs w:val="20"/>
                <w:color w:val="auto"/>
              </w:rPr>
            </w:pPr>
            <w:r>
              <w:rPr>
                <w:rFonts w:ascii="Arial" w:cs="Arial" w:eastAsia="Arial" w:hAnsi="Arial"/>
                <w:sz w:val="16"/>
                <w:szCs w:val="16"/>
                <w:b w:val="1"/>
                <w:bCs w:val="1"/>
                <w:color w:val="auto"/>
              </w:rPr>
              <w:t>22</w:t>
            </w:r>
          </w:p>
        </w:tc>
        <w:tc>
          <w:tcPr>
            <w:tcW w:w="5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22</w:t>
            </w:r>
          </w:p>
        </w:tc>
        <w:tc>
          <w:tcPr>
            <w:tcW w:w="620" w:type="dxa"/>
            <w:vAlign w:val="bottom"/>
            <w:tcBorders>
              <w:bottom w:val="single" w:sz="8" w:color="B2B2B2"/>
            </w:tcBorders>
          </w:tcPr>
          <w:p>
            <w:pPr>
              <w:jc w:val="right"/>
              <w:ind w:right="44"/>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B2B2B2"/>
            </w:tcBorders>
          </w:tcPr>
          <w:p>
            <w:pPr>
              <w:jc w:val="right"/>
              <w:ind w:right="3"/>
              <w:spacing w:after="0"/>
              <w:rPr>
                <w:sz w:val="20"/>
                <w:szCs w:val="20"/>
                <w:color w:val="auto"/>
              </w:rPr>
            </w:pPr>
            <w:r>
              <w:rPr>
                <w:rFonts w:ascii="Arial" w:cs="Arial" w:eastAsia="Arial" w:hAnsi="Arial"/>
                <w:sz w:val="16"/>
                <w:szCs w:val="16"/>
                <w:b w:val="1"/>
                <w:bCs w:val="1"/>
                <w:color w:val="auto"/>
              </w:rPr>
              <w:t>265</w:t>
            </w:r>
          </w:p>
        </w:tc>
        <w:tc>
          <w:tcPr>
            <w:tcW w:w="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185"/>
        </w:trPr>
        <w:tc>
          <w:tcPr>
            <w:tcW w:w="260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color w:val="auto"/>
              </w:rPr>
              <w:t> Total</w:t>
            </w:r>
          </w:p>
        </w:tc>
        <w:tc>
          <w:tcPr>
            <w:tcW w:w="600" w:type="dxa"/>
            <w:vAlign w:val="bottom"/>
            <w:tcBorders>
              <w:bottom w:val="single" w:sz="8" w:color="D64000"/>
            </w:tcBorders>
          </w:tcPr>
          <w:p>
            <w:pPr>
              <w:jc w:val="right"/>
              <w:ind w:right="4"/>
              <w:spacing w:after="0" w:line="179" w:lineRule="exact"/>
              <w:rPr>
                <w:sz w:val="20"/>
                <w:szCs w:val="20"/>
                <w:color w:val="auto"/>
              </w:rPr>
            </w:pPr>
            <w:r>
              <w:rPr>
                <w:rFonts w:ascii="Arial" w:cs="Arial" w:eastAsia="Arial" w:hAnsi="Arial"/>
                <w:sz w:val="16"/>
                <w:szCs w:val="16"/>
                <w:b w:val="1"/>
                <w:bCs w:val="1"/>
                <w:color w:val="auto"/>
              </w:rPr>
              <w:t>2,922</w:t>
            </w:r>
          </w:p>
        </w:tc>
        <w:tc>
          <w:tcPr>
            <w:tcW w:w="600" w:type="dxa"/>
            <w:vAlign w:val="bottom"/>
            <w:tcBorders>
              <w:bottom w:val="single" w:sz="8" w:color="D64000"/>
            </w:tcBorders>
          </w:tcPr>
          <w:p>
            <w:pPr>
              <w:jc w:val="right"/>
              <w:ind w:right="1"/>
              <w:spacing w:after="0" w:line="179" w:lineRule="exact"/>
              <w:rPr>
                <w:sz w:val="20"/>
                <w:szCs w:val="20"/>
                <w:color w:val="auto"/>
              </w:rPr>
            </w:pPr>
            <w:r>
              <w:rPr>
                <w:rFonts w:ascii="Arial" w:cs="Arial" w:eastAsia="Arial" w:hAnsi="Arial"/>
                <w:sz w:val="16"/>
                <w:szCs w:val="16"/>
                <w:color w:val="auto"/>
              </w:rPr>
              <w:t>2,807</w:t>
            </w:r>
          </w:p>
        </w:tc>
        <w:tc>
          <w:tcPr>
            <w:tcW w:w="600" w:type="dxa"/>
            <w:vAlign w:val="bottom"/>
            <w:tcBorders>
              <w:bottom w:val="single" w:sz="8" w:color="D64000"/>
            </w:tcBorders>
          </w:tcPr>
          <w:p>
            <w:pPr>
              <w:jc w:val="right"/>
              <w:ind w:right="3"/>
              <w:spacing w:after="0" w:line="179" w:lineRule="exact"/>
              <w:rPr>
                <w:sz w:val="20"/>
                <w:szCs w:val="20"/>
                <w:color w:val="auto"/>
              </w:rPr>
            </w:pPr>
            <w:r>
              <w:rPr>
                <w:rFonts w:ascii="Arial" w:cs="Arial" w:eastAsia="Arial" w:hAnsi="Arial"/>
                <w:sz w:val="16"/>
                <w:szCs w:val="16"/>
                <w:b w:val="1"/>
                <w:bCs w:val="1"/>
                <w:color w:val="auto"/>
              </w:rPr>
              <w:t>1,844</w:t>
            </w:r>
          </w:p>
        </w:tc>
        <w:tc>
          <w:tcPr>
            <w:tcW w:w="58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1,620</w:t>
            </w:r>
          </w:p>
        </w:tc>
        <w:tc>
          <w:tcPr>
            <w:tcW w:w="620" w:type="dxa"/>
            <w:vAlign w:val="bottom"/>
            <w:tcBorders>
              <w:bottom w:val="single" w:sz="8" w:color="D64000"/>
            </w:tcBorders>
          </w:tcPr>
          <w:p>
            <w:pPr>
              <w:jc w:val="right"/>
              <w:ind w:right="4"/>
              <w:spacing w:after="0" w:line="179" w:lineRule="exact"/>
              <w:rPr>
                <w:sz w:val="20"/>
                <w:szCs w:val="20"/>
                <w:color w:val="auto"/>
              </w:rPr>
            </w:pPr>
            <w:r>
              <w:rPr>
                <w:rFonts w:ascii="Arial" w:cs="Arial" w:eastAsia="Arial" w:hAnsi="Arial"/>
                <w:sz w:val="16"/>
                <w:szCs w:val="16"/>
                <w:b w:val="1"/>
                <w:bCs w:val="1"/>
                <w:color w:val="auto"/>
              </w:rPr>
              <w:t>1,165</w:t>
            </w:r>
          </w:p>
        </w:tc>
        <w:tc>
          <w:tcPr>
            <w:tcW w:w="58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1,058</w:t>
            </w:r>
          </w:p>
        </w:tc>
        <w:tc>
          <w:tcPr>
            <w:tcW w:w="620" w:type="dxa"/>
            <w:vAlign w:val="bottom"/>
            <w:tcBorders>
              <w:bottom w:val="single" w:sz="8" w:color="D64000"/>
            </w:tcBorders>
          </w:tcPr>
          <w:p>
            <w:pPr>
              <w:jc w:val="right"/>
              <w:ind w:right="43"/>
              <w:spacing w:after="0" w:line="179" w:lineRule="exact"/>
              <w:rPr>
                <w:sz w:val="20"/>
                <w:szCs w:val="20"/>
                <w:color w:val="auto"/>
              </w:rPr>
            </w:pPr>
            <w:r>
              <w:rPr>
                <w:rFonts w:ascii="Arial" w:cs="Arial" w:eastAsia="Arial" w:hAnsi="Arial"/>
                <w:sz w:val="16"/>
                <w:szCs w:val="16"/>
                <w:b w:val="1"/>
                <w:bCs w:val="1"/>
                <w:color w:val="auto"/>
              </w:rPr>
              <w:t>832</w:t>
            </w:r>
          </w:p>
        </w:tc>
        <w:tc>
          <w:tcPr>
            <w:tcW w:w="52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769</w:t>
            </w:r>
          </w:p>
        </w:tc>
        <w:tc>
          <w:tcPr>
            <w:tcW w:w="620" w:type="dxa"/>
            <w:vAlign w:val="bottom"/>
            <w:tcBorders>
              <w:bottom w:val="single" w:sz="8" w:color="D64000"/>
            </w:tcBorders>
          </w:tcPr>
          <w:p>
            <w:pPr>
              <w:jc w:val="right"/>
              <w:ind w:right="43"/>
              <w:spacing w:after="0" w:line="179" w:lineRule="exact"/>
              <w:rPr>
                <w:sz w:val="20"/>
                <w:szCs w:val="20"/>
                <w:color w:val="auto"/>
              </w:rPr>
            </w:pPr>
            <w:r>
              <w:rPr>
                <w:rFonts w:ascii="Arial" w:cs="Arial" w:eastAsia="Arial" w:hAnsi="Arial"/>
                <w:sz w:val="16"/>
                <w:szCs w:val="16"/>
                <w:b w:val="1"/>
                <w:bCs w:val="1"/>
                <w:color w:val="auto"/>
              </w:rPr>
              <w:t>519</w:t>
            </w:r>
          </w:p>
        </w:tc>
        <w:tc>
          <w:tcPr>
            <w:tcW w:w="52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562</w:t>
            </w:r>
          </w:p>
        </w:tc>
        <w:tc>
          <w:tcPr>
            <w:tcW w:w="620" w:type="dxa"/>
            <w:vAlign w:val="bottom"/>
            <w:tcBorders>
              <w:bottom w:val="single" w:sz="8" w:color="D64000"/>
            </w:tcBorders>
          </w:tcPr>
          <w:p>
            <w:pPr>
              <w:jc w:val="right"/>
              <w:ind w:right="44"/>
              <w:spacing w:after="0" w:line="179" w:lineRule="exact"/>
              <w:rPr>
                <w:sz w:val="20"/>
                <w:szCs w:val="20"/>
                <w:color w:val="auto"/>
              </w:rPr>
            </w:pPr>
            <w:r>
              <w:rPr>
                <w:rFonts w:ascii="Arial" w:cs="Arial" w:eastAsia="Arial" w:hAnsi="Arial"/>
                <w:sz w:val="16"/>
                <w:szCs w:val="16"/>
                <w:b w:val="1"/>
                <w:bCs w:val="1"/>
                <w:color w:val="auto"/>
              </w:rPr>
              <w:t>(24)</w:t>
            </w:r>
          </w:p>
        </w:tc>
        <w:tc>
          <w:tcPr>
            <w:tcW w:w="540" w:type="dxa"/>
            <w:vAlign w:val="bottom"/>
            <w:tcBorders>
              <w:bottom w:val="single" w:sz="8" w:color="D64000"/>
            </w:tcBorders>
          </w:tcPr>
          <w:p>
            <w:pPr>
              <w:jc w:val="right"/>
              <w:ind w:right="1"/>
              <w:spacing w:after="0" w:line="179" w:lineRule="exact"/>
              <w:rPr>
                <w:sz w:val="20"/>
                <w:szCs w:val="20"/>
                <w:color w:val="auto"/>
              </w:rPr>
            </w:pPr>
            <w:r>
              <w:rPr>
                <w:rFonts w:ascii="Arial" w:cs="Arial" w:eastAsia="Arial" w:hAnsi="Arial"/>
                <w:sz w:val="16"/>
                <w:szCs w:val="16"/>
                <w:color w:val="auto"/>
              </w:rPr>
              <w:t>(22)</w:t>
            </w:r>
          </w:p>
        </w:tc>
        <w:tc>
          <w:tcPr>
            <w:tcW w:w="600" w:type="dxa"/>
            <w:vAlign w:val="bottom"/>
            <w:tcBorders>
              <w:bottom w:val="single" w:sz="8" w:color="D64000"/>
            </w:tcBorders>
          </w:tcPr>
          <w:p>
            <w:pPr>
              <w:jc w:val="right"/>
              <w:ind w:right="3"/>
              <w:spacing w:after="0" w:line="179" w:lineRule="exact"/>
              <w:rPr>
                <w:sz w:val="20"/>
                <w:szCs w:val="20"/>
                <w:color w:val="auto"/>
              </w:rPr>
            </w:pPr>
            <w:r>
              <w:rPr>
                <w:rFonts w:ascii="Arial" w:cs="Arial" w:eastAsia="Arial" w:hAnsi="Arial"/>
                <w:sz w:val="16"/>
                <w:szCs w:val="16"/>
                <w:b w:val="1"/>
                <w:bCs w:val="1"/>
                <w:color w:val="auto"/>
              </w:rPr>
              <w:t>7,258</w:t>
            </w:r>
          </w:p>
        </w:tc>
        <w:tc>
          <w:tcPr>
            <w:tcW w:w="58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6,794</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640" w:right="580" w:hanging="422"/>
        <w:spacing w:after="0" w:line="274" w:lineRule="auto"/>
        <w:tabs>
          <w:tab w:leader="none" w:pos="6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Revenues by geography are based on the location of the customer. Revenues from the Reuters News agreement with LSEG’s Data &amp; Analytics business, the Company’s largest customer, are included in the 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83820</wp:posOffset>
            </wp:positionV>
            <wp:extent cx="68656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0"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100</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83185</wp:posOffset>
            </wp:positionV>
            <wp:extent cx="68656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11"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6720" w:type="dxa"/>
            <w:vAlign w:val="bottom"/>
          </w:tcPr>
          <w:p>
            <w:pPr>
              <w:spacing w:after="0"/>
              <w:rPr>
                <w:sz w:val="17"/>
                <w:szCs w:val="17"/>
                <w:color w:val="auto"/>
              </w:rPr>
            </w:pPr>
          </w:p>
        </w:tc>
        <w:tc>
          <w:tcPr>
            <w:tcW w:w="820" w:type="dxa"/>
            <w:vAlign w:val="bottom"/>
            <w:shd w:val="clear" w:color="auto" w:fill="E3F3EE"/>
          </w:tcPr>
          <w:p>
            <w:pPr>
              <w:spacing w:after="0"/>
              <w:rPr>
                <w:sz w:val="17"/>
                <w:szCs w:val="17"/>
                <w:color w:val="auto"/>
              </w:rPr>
            </w:pPr>
          </w:p>
        </w:tc>
        <w:tc>
          <w:tcPr>
            <w:tcW w:w="820" w:type="dxa"/>
            <w:vAlign w:val="bottom"/>
            <w:shd w:val="clear" w:color="auto" w:fill="E3F3EE"/>
          </w:tcPr>
          <w:p>
            <w:pPr>
              <w:spacing w:after="0"/>
              <w:rPr>
                <w:sz w:val="17"/>
                <w:szCs w:val="17"/>
                <w:color w:val="auto"/>
              </w:rPr>
            </w:pPr>
          </w:p>
        </w:tc>
        <w:tc>
          <w:tcPr>
            <w:tcW w:w="1520" w:type="dxa"/>
            <w:vAlign w:val="bottom"/>
            <w:shd w:val="clear" w:color="auto" w:fill="E3F3EE"/>
          </w:tcPr>
          <w:p>
            <w:pPr>
              <w:jc w:val="right"/>
              <w:ind w:right="161"/>
              <w:spacing w:after="0"/>
              <w:rPr>
                <w:sz w:val="20"/>
                <w:szCs w:val="20"/>
                <w:color w:val="auto"/>
              </w:rPr>
            </w:pPr>
            <w:r>
              <w:rPr>
                <w:rFonts w:ascii="Arial" w:cs="Arial" w:eastAsia="Arial" w:hAnsi="Arial"/>
                <w:sz w:val="16"/>
                <w:szCs w:val="16"/>
                <w:b w:val="1"/>
                <w:bCs w:val="1"/>
                <w:color w:val="auto"/>
              </w:rPr>
              <w:t>December 31,</w:t>
            </w:r>
          </w:p>
        </w:tc>
        <w:tc>
          <w:tcPr>
            <w:tcW w:w="920" w:type="dxa"/>
            <w:vAlign w:val="bottom"/>
            <w:shd w:val="clear" w:color="auto" w:fill="E3F3EE"/>
          </w:tcPr>
          <w:p>
            <w:pPr>
              <w:spacing w:after="0"/>
              <w:rPr>
                <w:sz w:val="17"/>
                <w:szCs w:val="17"/>
                <w:color w:val="auto"/>
              </w:rPr>
            </w:pPr>
          </w:p>
        </w:tc>
        <w:tc>
          <w:tcPr>
            <w:tcW w:w="20" w:type="dxa"/>
            <w:vAlign w:val="bottom"/>
          </w:tcPr>
          <w:p>
            <w:pPr>
              <w:spacing w:after="0"/>
              <w:rPr>
                <w:sz w:val="17"/>
                <w:szCs w:val="17"/>
                <w:color w:val="auto"/>
              </w:rPr>
            </w:pPr>
          </w:p>
        </w:tc>
      </w:tr>
      <w:tr>
        <w:trPr>
          <w:trHeight w:val="192"/>
        </w:trPr>
        <w:tc>
          <w:tcPr>
            <w:tcW w:w="6720" w:type="dxa"/>
            <w:vAlign w:val="bottom"/>
            <w:tcBorders>
              <w:bottom w:val="single" w:sz="8" w:color="D64000"/>
            </w:tcBorders>
            <w:shd w:val="clear" w:color="auto" w:fill="1F473D"/>
          </w:tcPr>
          <w:p>
            <w:pPr>
              <w:spacing w:after="0"/>
              <w:rPr>
                <w:sz w:val="16"/>
                <w:szCs w:val="16"/>
                <w:color w:val="auto"/>
              </w:rPr>
            </w:pPr>
          </w:p>
        </w:tc>
        <w:tc>
          <w:tcPr>
            <w:tcW w:w="820" w:type="dxa"/>
            <w:vAlign w:val="bottom"/>
            <w:tcBorders>
              <w:bottom w:val="single" w:sz="8" w:color="D64000"/>
            </w:tcBorders>
            <w:shd w:val="clear" w:color="auto" w:fill="1F473D"/>
          </w:tcPr>
          <w:p>
            <w:pPr>
              <w:ind w:left="720"/>
              <w:spacing w:after="0"/>
              <w:rPr>
                <w:sz w:val="20"/>
                <w:szCs w:val="20"/>
                <w:color w:val="auto"/>
              </w:rPr>
            </w:pPr>
            <w:r>
              <w:rPr>
                <w:rFonts w:ascii="Arial" w:cs="Arial" w:eastAsia="Arial" w:hAnsi="Arial"/>
                <w:sz w:val="11"/>
                <w:szCs w:val="11"/>
                <w:b w:val="1"/>
                <w:bCs w:val="1"/>
                <w:color w:val="FFFFFF"/>
                <w:w w:val="72"/>
              </w:rPr>
              <w:t> </w:t>
            </w:r>
          </w:p>
        </w:tc>
        <w:tc>
          <w:tcPr>
            <w:tcW w:w="820" w:type="dxa"/>
            <w:vAlign w:val="bottom"/>
            <w:tcBorders>
              <w:bottom w:val="single" w:sz="8" w:color="D64000"/>
            </w:tcBorders>
            <w:shd w:val="clear" w:color="auto" w:fill="1F473D"/>
          </w:tcPr>
          <w:p>
            <w:pPr>
              <w:jc w:val="right"/>
              <w:ind w:right="181"/>
              <w:spacing w:after="0"/>
              <w:rPr>
                <w:sz w:val="20"/>
                <w:szCs w:val="20"/>
                <w:color w:val="auto"/>
              </w:rPr>
            </w:pPr>
            <w:r>
              <w:rPr>
                <w:rFonts w:ascii="Arial" w:cs="Arial" w:eastAsia="Arial" w:hAnsi="Arial"/>
                <w:sz w:val="16"/>
                <w:szCs w:val="16"/>
                <w:b w:val="1"/>
                <w:bCs w:val="1"/>
                <w:color w:val="FFFFFF"/>
                <w:w w:val="89"/>
              </w:rPr>
              <w:t>   2024</w:t>
            </w:r>
          </w:p>
        </w:tc>
        <w:tc>
          <w:tcPr>
            <w:tcW w:w="1520" w:type="dxa"/>
            <w:vAlign w:val="bottom"/>
            <w:tcBorders>
              <w:bottom w:val="single" w:sz="8" w:color="D64000"/>
            </w:tcBorders>
            <w:shd w:val="clear" w:color="auto" w:fill="1F473D"/>
          </w:tcPr>
          <w:p>
            <w:pPr>
              <w:jc w:val="right"/>
              <w:ind w:right="301"/>
              <w:spacing w:after="0"/>
              <w:rPr>
                <w:sz w:val="20"/>
                <w:szCs w:val="20"/>
                <w:color w:val="auto"/>
              </w:rPr>
            </w:pPr>
            <w:r>
              <w:rPr>
                <w:rFonts w:ascii="Arial" w:cs="Arial" w:eastAsia="Arial" w:hAnsi="Arial"/>
                <w:sz w:val="16"/>
                <w:szCs w:val="16"/>
                <w:color w:val="FFFFFF"/>
              </w:rPr>
              <w:t>      2023</w:t>
            </w:r>
          </w:p>
        </w:tc>
        <w:tc>
          <w:tcPr>
            <w:tcW w:w="92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      2022</w:t>
            </w:r>
          </w:p>
        </w:tc>
        <w:tc>
          <w:tcPr>
            <w:tcW w:w="20" w:type="dxa"/>
            <w:vAlign w:val="bottom"/>
          </w:tcPr>
          <w:p>
            <w:pPr>
              <w:spacing w:after="0"/>
              <w:rPr>
                <w:sz w:val="16"/>
                <w:szCs w:val="16"/>
                <w:color w:val="auto"/>
              </w:rPr>
            </w:pPr>
          </w:p>
        </w:tc>
      </w:tr>
      <w:tr>
        <w:trPr>
          <w:trHeight w:val="192"/>
        </w:trPr>
        <w:tc>
          <w:tcPr>
            <w:tcW w:w="7540" w:type="dxa"/>
            <w:vAlign w:val="bottom"/>
            <w:tcBorders>
              <w:bottom w:val="single" w:sz="8" w:color="D64000"/>
            </w:tcBorders>
            <w:gridSpan w:val="2"/>
          </w:tcPr>
          <w:p>
            <w:pPr>
              <w:spacing w:after="0"/>
              <w:rPr>
                <w:sz w:val="20"/>
                <w:szCs w:val="20"/>
                <w:color w:val="auto"/>
              </w:rPr>
            </w:pPr>
            <w:r>
              <w:rPr>
                <w:rFonts w:ascii="Arial" w:cs="Arial" w:eastAsia="Arial" w:hAnsi="Arial"/>
                <w:sz w:val="16"/>
                <w:szCs w:val="16"/>
                <w:color w:val="auto"/>
              </w:rPr>
              <w:t>Deferred revenue</w:t>
            </w:r>
          </w:p>
        </w:tc>
        <w:tc>
          <w:tcPr>
            <w:tcW w:w="820" w:type="dxa"/>
            <w:vAlign w:val="bottom"/>
            <w:tcBorders>
              <w:bottom w:val="single" w:sz="8" w:color="D64000"/>
            </w:tcBorders>
          </w:tcPr>
          <w:p>
            <w:pPr>
              <w:jc w:val="right"/>
              <w:ind w:right="181"/>
              <w:spacing w:after="0"/>
              <w:rPr>
                <w:sz w:val="20"/>
                <w:szCs w:val="20"/>
                <w:color w:val="auto"/>
              </w:rPr>
            </w:pPr>
            <w:r>
              <w:rPr>
                <w:rFonts w:ascii="Arial" w:cs="Arial" w:eastAsia="Arial" w:hAnsi="Arial"/>
                <w:sz w:val="16"/>
                <w:szCs w:val="16"/>
                <w:b w:val="1"/>
                <w:bCs w:val="1"/>
                <w:color w:val="auto"/>
              </w:rPr>
              <w:t>1,062</w:t>
            </w:r>
          </w:p>
        </w:tc>
        <w:tc>
          <w:tcPr>
            <w:tcW w:w="1520" w:type="dxa"/>
            <w:vAlign w:val="bottom"/>
            <w:tcBorders>
              <w:bottom w:val="single" w:sz="8" w:color="D64000"/>
            </w:tcBorders>
          </w:tcPr>
          <w:p>
            <w:pPr>
              <w:jc w:val="right"/>
              <w:ind w:right="301"/>
              <w:spacing w:after="0"/>
              <w:rPr>
                <w:sz w:val="20"/>
                <w:szCs w:val="20"/>
                <w:color w:val="auto"/>
              </w:rPr>
            </w:pPr>
            <w:r>
              <w:rPr>
                <w:rFonts w:ascii="Arial" w:cs="Arial" w:eastAsia="Arial" w:hAnsi="Arial"/>
                <w:sz w:val="16"/>
                <w:szCs w:val="16"/>
                <w:color w:val="auto"/>
              </w:rPr>
              <w:t>992</w:t>
            </w:r>
          </w:p>
        </w:tc>
        <w:tc>
          <w:tcPr>
            <w:tcW w:w="920" w:type="dxa"/>
            <w:vAlign w:val="bottom"/>
            <w:tcBorders>
              <w:bottom w:val="single" w:sz="8" w:color="D64000"/>
            </w:tcBorders>
          </w:tcPr>
          <w:p>
            <w:pPr>
              <w:jc w:val="right"/>
              <w:spacing w:after="0"/>
              <w:rPr>
                <w:sz w:val="20"/>
                <w:szCs w:val="20"/>
                <w:color w:val="auto"/>
              </w:rPr>
            </w:pPr>
            <w:r>
              <w:rPr>
                <w:rFonts w:ascii="Arial" w:cs="Arial" w:eastAsia="Arial" w:hAnsi="Arial"/>
                <w:sz w:val="16"/>
                <w:szCs w:val="16"/>
                <w:color w:val="auto"/>
              </w:rPr>
              <w:t>886</w:t>
            </w:r>
          </w:p>
        </w:tc>
        <w:tc>
          <w:tcPr>
            <w:tcW w:w="20" w:type="dxa"/>
            <w:vAlign w:val="bottom"/>
            <w:tcBorders>
              <w:bottom w:val="single" w:sz="8" w:color="D64000"/>
            </w:tcBorders>
          </w:tcPr>
          <w:p>
            <w:pPr>
              <w:spacing w:after="0"/>
              <w:rPr>
                <w:sz w:val="16"/>
                <w:szCs w:val="16"/>
                <w:color w:val="auto"/>
              </w:rPr>
            </w:pPr>
          </w:p>
        </w:tc>
      </w:tr>
    </w:tbl>
    <w:p>
      <w:pPr>
        <w:spacing w:after="0" w:line="84" w:lineRule="exact"/>
        <w:rPr>
          <w:sz w:val="20"/>
          <w:szCs w:val="20"/>
          <w:color w:val="auto"/>
        </w:rPr>
      </w:pPr>
    </w:p>
    <w:p>
      <w:pPr>
        <w:ind w:left="220" w:right="60"/>
        <w:spacing w:after="0" w:line="243" w:lineRule="auto"/>
        <w:rPr>
          <w:sz w:val="20"/>
          <w:szCs w:val="20"/>
          <w:color w:val="auto"/>
        </w:rPr>
      </w:pPr>
      <w:r>
        <w:rPr>
          <w:rFonts w:ascii="Arial" w:cs="Arial" w:eastAsia="Arial" w:hAnsi="Arial"/>
          <w:sz w:val="17"/>
          <w:szCs w:val="17"/>
          <w:color w:val="auto"/>
        </w:rPr>
        <w:t>Deferred revenue as of December 31, 2024 increased compared to the balance as of December 31, 2023 as cash payments received or due in advance of satisfying performance obligations exceeded $955 million of revenues recognized from the deferred revenue balance at the beginning of the period.</w:t>
      </w:r>
    </w:p>
    <w:p>
      <w:pPr>
        <w:spacing w:after="0" w:line="69" w:lineRule="exact"/>
        <w:rPr>
          <w:sz w:val="20"/>
          <w:szCs w:val="20"/>
          <w:color w:val="auto"/>
        </w:rPr>
      </w:pPr>
    </w:p>
    <w:p>
      <w:pPr>
        <w:ind w:left="220" w:right="60"/>
        <w:spacing w:after="0" w:line="243" w:lineRule="auto"/>
        <w:rPr>
          <w:sz w:val="20"/>
          <w:szCs w:val="20"/>
          <w:color w:val="auto"/>
        </w:rPr>
      </w:pPr>
      <w:r>
        <w:rPr>
          <w:rFonts w:ascii="Arial" w:cs="Arial" w:eastAsia="Arial" w:hAnsi="Arial"/>
          <w:sz w:val="17"/>
          <w:szCs w:val="17"/>
          <w:color w:val="auto"/>
        </w:rPr>
        <w:t>Deferred revenue as of December 31, 2023 increased compared to the balance as of December 31, 2022 as cash payments received or due in advance of satisfying performance obligations exceeded $838 million of revenues recognized from the deferred revenue balance at the beginning of the period.</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Costs to obtain a contract</w:t>
      </w:r>
    </w:p>
    <w:p>
      <w:pPr>
        <w:spacing w:after="0" w:line="96" w:lineRule="exact"/>
        <w:rPr>
          <w:sz w:val="20"/>
          <w:szCs w:val="20"/>
          <w:color w:val="auto"/>
        </w:rPr>
      </w:pPr>
    </w:p>
    <w:p>
      <w:pPr>
        <w:ind w:left="220" w:right="20"/>
        <w:spacing w:after="0" w:line="260" w:lineRule="auto"/>
        <w:rPr>
          <w:sz w:val="20"/>
          <w:szCs w:val="20"/>
          <w:color w:val="auto"/>
        </w:rPr>
      </w:pPr>
      <w:r>
        <w:rPr>
          <w:rFonts w:ascii="Arial" w:cs="Arial" w:eastAsia="Arial" w:hAnsi="Arial"/>
          <w:sz w:val="17"/>
          <w:szCs w:val="17"/>
          <w:color w:val="auto"/>
        </w:rPr>
        <w:t>Amortization of deferred commissions was $142 million and $157 million for the years ended December 31, 2024 and 2023, respectively, and was recorded within “Operating expenses” in the consolidated income statement.</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Remaining performance obligations</w:t>
      </w:r>
    </w:p>
    <w:p>
      <w:pPr>
        <w:spacing w:after="0" w:line="96" w:lineRule="exact"/>
        <w:rPr>
          <w:sz w:val="20"/>
          <w:szCs w:val="20"/>
          <w:color w:val="auto"/>
        </w:rPr>
      </w:pPr>
    </w:p>
    <w:p>
      <w:pPr>
        <w:ind w:left="220" w:right="120"/>
        <w:spacing w:after="0" w:line="260" w:lineRule="auto"/>
        <w:rPr>
          <w:sz w:val="20"/>
          <w:szCs w:val="20"/>
          <w:color w:val="auto"/>
        </w:rPr>
      </w:pPr>
      <w:r>
        <w:rPr>
          <w:rFonts w:ascii="Arial" w:cs="Arial" w:eastAsia="Arial" w:hAnsi="Arial"/>
          <w:sz w:val="17"/>
          <w:szCs w:val="17"/>
          <w:color w:val="auto"/>
        </w:rPr>
        <w:t>As of December 31, 2024, remaining performance obligations were $18.0 billion (2023 - $17.1 billion), including the portion recorded as deferred revenue. The Company expects to recognize these revenues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56515</wp:posOffset>
            </wp:positionV>
            <wp:extent cx="68656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69"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7900" w:type="dxa"/>
            <w:vAlign w:val="bottom"/>
          </w:tcPr>
          <w:p>
            <w:pPr>
              <w:spacing w:after="0"/>
              <w:rPr>
                <w:sz w:val="17"/>
                <w:szCs w:val="17"/>
                <w:color w:val="auto"/>
              </w:rPr>
            </w:pPr>
          </w:p>
        </w:tc>
        <w:tc>
          <w:tcPr>
            <w:tcW w:w="1040" w:type="dxa"/>
            <w:vAlign w:val="bottom"/>
            <w:shd w:val="clear" w:color="auto" w:fill="E3F3EE"/>
          </w:tcPr>
          <w:p>
            <w:pPr>
              <w:ind w:left="980"/>
              <w:spacing w:after="0"/>
              <w:rPr>
                <w:sz w:val="20"/>
                <w:szCs w:val="20"/>
                <w:color w:val="auto"/>
              </w:rPr>
            </w:pPr>
            <w:r>
              <w:rPr>
                <w:rFonts w:ascii="Arial" w:cs="Arial" w:eastAsia="Arial" w:hAnsi="Arial"/>
                <w:sz w:val="5"/>
                <w:szCs w:val="5"/>
                <w:b w:val="1"/>
                <w:bCs w:val="1"/>
                <w:color w:val="auto"/>
                <w:w w:val="79"/>
              </w:rPr>
              <w:t> </w:t>
            </w:r>
          </w:p>
        </w:tc>
        <w:tc>
          <w:tcPr>
            <w:tcW w:w="1300" w:type="dxa"/>
            <w:vAlign w:val="bottom"/>
            <w:gridSpan w:val="2"/>
            <w:shd w:val="clear" w:color="auto" w:fill="E3F3EE"/>
          </w:tcPr>
          <w:p>
            <w:pPr>
              <w:ind w:left="100"/>
              <w:spacing w:after="0"/>
              <w:rPr>
                <w:sz w:val="20"/>
                <w:szCs w:val="20"/>
                <w:color w:val="auto"/>
              </w:rPr>
            </w:pPr>
            <w:r>
              <w:rPr>
                <w:rFonts w:ascii="Arial" w:cs="Arial" w:eastAsia="Arial" w:hAnsi="Arial"/>
                <w:sz w:val="16"/>
                <w:szCs w:val="16"/>
                <w:b w:val="1"/>
                <w:bCs w:val="1"/>
                <w:color w:val="auto"/>
                <w:w w:val="91"/>
              </w:rPr>
              <w:t>   December 31,</w:t>
            </w:r>
          </w:p>
        </w:tc>
        <w:tc>
          <w:tcPr>
            <w:tcW w:w="560" w:type="dxa"/>
            <w:vAlign w:val="bottom"/>
            <w:shd w:val="clear" w:color="auto" w:fill="E3F3EE"/>
          </w:tcPr>
          <w:p>
            <w:pPr>
              <w:spacing w:after="0"/>
              <w:rPr>
                <w:sz w:val="17"/>
                <w:szCs w:val="17"/>
                <w:color w:val="auto"/>
              </w:rPr>
            </w:pPr>
          </w:p>
        </w:tc>
      </w:tr>
      <w:tr>
        <w:trPr>
          <w:trHeight w:val="192"/>
        </w:trPr>
        <w:tc>
          <w:tcPr>
            <w:tcW w:w="7900" w:type="dxa"/>
            <w:vAlign w:val="bottom"/>
            <w:tcBorders>
              <w:bottom w:val="single" w:sz="8" w:color="D64000"/>
            </w:tcBorders>
            <w:shd w:val="clear" w:color="auto" w:fill="1F473D"/>
          </w:tcPr>
          <w:p>
            <w:pPr>
              <w:spacing w:after="0"/>
              <w:rPr>
                <w:sz w:val="16"/>
                <w:szCs w:val="16"/>
                <w:color w:val="auto"/>
              </w:rPr>
            </w:pPr>
          </w:p>
        </w:tc>
        <w:tc>
          <w:tcPr>
            <w:tcW w:w="1040" w:type="dxa"/>
            <w:vAlign w:val="bottom"/>
            <w:tcBorders>
              <w:bottom w:val="single" w:sz="8" w:color="D64000"/>
            </w:tcBorders>
            <w:shd w:val="clear" w:color="auto" w:fill="1F473D"/>
          </w:tcPr>
          <w:p>
            <w:pPr>
              <w:ind w:left="600"/>
              <w:spacing w:after="0"/>
              <w:rPr>
                <w:sz w:val="20"/>
                <w:szCs w:val="20"/>
                <w:color w:val="auto"/>
              </w:rPr>
            </w:pPr>
            <w:r>
              <w:rPr>
                <w:rFonts w:ascii="Arial" w:cs="Arial" w:eastAsia="Arial" w:hAnsi="Arial"/>
                <w:sz w:val="16"/>
                <w:szCs w:val="16"/>
                <w:b w:val="1"/>
                <w:bCs w:val="1"/>
                <w:color w:val="FFFFFF"/>
              </w:rPr>
              <w:t xml:space="preserve">       </w:t>
            </w:r>
          </w:p>
        </w:tc>
        <w:tc>
          <w:tcPr>
            <w:tcW w:w="620" w:type="dxa"/>
            <w:vAlign w:val="bottom"/>
            <w:tcBorders>
              <w:bottom w:val="single" w:sz="8" w:color="D64000"/>
            </w:tcBorders>
            <w:shd w:val="clear" w:color="auto" w:fill="1F473D"/>
          </w:tcPr>
          <w:p>
            <w:pPr>
              <w:jc w:val="right"/>
              <w:ind w:right="161"/>
              <w:spacing w:after="0"/>
              <w:rPr>
                <w:sz w:val="20"/>
                <w:szCs w:val="20"/>
                <w:color w:val="auto"/>
              </w:rPr>
            </w:pPr>
            <w:r>
              <w:rPr>
                <w:rFonts w:ascii="Arial" w:cs="Arial" w:eastAsia="Arial" w:hAnsi="Arial"/>
                <w:sz w:val="16"/>
                <w:szCs w:val="16"/>
                <w:b w:val="1"/>
                <w:bCs w:val="1"/>
                <w:color w:val="FFFFFF"/>
              </w:rPr>
              <w:t>2024</w:t>
            </w:r>
          </w:p>
        </w:tc>
        <w:tc>
          <w:tcPr>
            <w:tcW w:w="680" w:type="dxa"/>
            <w:vAlign w:val="bottom"/>
            <w:tcBorders>
              <w:bottom w:val="single" w:sz="8" w:color="D64000"/>
            </w:tcBorders>
            <w:shd w:val="clear" w:color="auto" w:fill="1F473D"/>
          </w:tcPr>
          <w:p>
            <w:pPr>
              <w:ind w:left="220"/>
              <w:spacing w:after="0"/>
              <w:rPr>
                <w:sz w:val="20"/>
                <w:szCs w:val="20"/>
                <w:color w:val="auto"/>
              </w:rPr>
            </w:pPr>
            <w:r>
              <w:rPr>
                <w:rFonts w:ascii="Arial" w:cs="Arial" w:eastAsia="Arial" w:hAnsi="Arial"/>
                <w:sz w:val="16"/>
                <w:szCs w:val="16"/>
                <w:color w:val="FFFFFF"/>
              </w:rPr>
              <w:t xml:space="preserve">       </w:t>
            </w:r>
          </w:p>
        </w:tc>
        <w:tc>
          <w:tcPr>
            <w:tcW w:w="560" w:type="dxa"/>
            <w:vAlign w:val="bottom"/>
            <w:tcBorders>
              <w:bottom w:val="single" w:sz="8" w:color="D64000"/>
            </w:tcBorders>
            <w:shd w:val="clear" w:color="auto" w:fill="1F473D"/>
          </w:tcPr>
          <w:p>
            <w:pPr>
              <w:jc w:val="right"/>
              <w:ind w:right="101"/>
              <w:spacing w:after="0"/>
              <w:rPr>
                <w:sz w:val="20"/>
                <w:szCs w:val="20"/>
                <w:color w:val="auto"/>
              </w:rPr>
            </w:pPr>
            <w:r>
              <w:rPr>
                <w:rFonts w:ascii="Arial" w:cs="Arial" w:eastAsia="Arial" w:hAnsi="Arial"/>
                <w:sz w:val="16"/>
                <w:szCs w:val="16"/>
                <w:color w:val="FFFFFF"/>
              </w:rPr>
              <w:t>2023</w:t>
            </w:r>
          </w:p>
        </w:tc>
      </w:tr>
      <w:tr>
        <w:trPr>
          <w:trHeight w:val="171"/>
        </w:trPr>
        <w:tc>
          <w:tcPr>
            <w:tcW w:w="8940" w:type="dxa"/>
            <w:vAlign w:val="bottom"/>
            <w:gridSpan w:val="2"/>
          </w:tcPr>
          <w:p>
            <w:pPr>
              <w:spacing w:after="0" w:line="171" w:lineRule="exact"/>
              <w:rPr>
                <w:sz w:val="20"/>
                <w:szCs w:val="20"/>
                <w:color w:val="auto"/>
              </w:rPr>
            </w:pPr>
            <w:r>
              <w:rPr>
                <w:rFonts w:ascii="Arial" w:cs="Arial" w:eastAsia="Arial" w:hAnsi="Arial"/>
                <w:sz w:val="16"/>
                <w:szCs w:val="16"/>
                <w:color w:val="auto"/>
              </w:rPr>
              <w:t> 1 year</w:t>
            </w:r>
          </w:p>
        </w:tc>
        <w:tc>
          <w:tcPr>
            <w:tcW w:w="620" w:type="dxa"/>
            <w:vAlign w:val="bottom"/>
          </w:tcPr>
          <w:p>
            <w:pPr>
              <w:jc w:val="right"/>
              <w:ind w:right="161"/>
              <w:spacing w:after="0" w:line="171" w:lineRule="exact"/>
              <w:rPr>
                <w:sz w:val="20"/>
                <w:szCs w:val="20"/>
                <w:color w:val="auto"/>
              </w:rPr>
            </w:pPr>
            <w:r>
              <w:rPr>
                <w:rFonts w:ascii="Arial" w:cs="Arial" w:eastAsia="Arial" w:hAnsi="Arial"/>
                <w:sz w:val="16"/>
                <w:szCs w:val="16"/>
                <w:b w:val="1"/>
                <w:bCs w:val="1"/>
                <w:color w:val="auto"/>
              </w:rPr>
              <w:t>27%</w:t>
            </w:r>
          </w:p>
        </w:tc>
        <w:tc>
          <w:tcPr>
            <w:tcW w:w="680" w:type="dxa"/>
            <w:vAlign w:val="bottom"/>
          </w:tcPr>
          <w:p>
            <w:pPr>
              <w:spacing w:after="0"/>
              <w:rPr>
                <w:sz w:val="14"/>
                <w:szCs w:val="14"/>
                <w:color w:val="auto"/>
              </w:rPr>
            </w:pPr>
          </w:p>
        </w:tc>
        <w:tc>
          <w:tcPr>
            <w:tcW w:w="560" w:type="dxa"/>
            <w:vAlign w:val="bottom"/>
          </w:tcPr>
          <w:p>
            <w:pPr>
              <w:jc w:val="right"/>
              <w:ind w:right="101"/>
              <w:spacing w:after="0" w:line="171" w:lineRule="exact"/>
              <w:rPr>
                <w:sz w:val="20"/>
                <w:szCs w:val="20"/>
                <w:color w:val="auto"/>
              </w:rPr>
            </w:pPr>
            <w:r>
              <w:rPr>
                <w:rFonts w:ascii="Arial" w:cs="Arial" w:eastAsia="Arial" w:hAnsi="Arial"/>
                <w:sz w:val="16"/>
                <w:szCs w:val="16"/>
                <w:color w:val="auto"/>
              </w:rPr>
              <w:t>26%</w:t>
            </w:r>
          </w:p>
        </w:tc>
      </w:tr>
      <w:tr>
        <w:trPr>
          <w:trHeight w:val="185"/>
        </w:trPr>
        <w:tc>
          <w:tcPr>
            <w:tcW w:w="8940" w:type="dxa"/>
            <w:vAlign w:val="bottom"/>
            <w:gridSpan w:val="2"/>
          </w:tcPr>
          <w:p>
            <w:pPr>
              <w:spacing w:after="0"/>
              <w:rPr>
                <w:sz w:val="20"/>
                <w:szCs w:val="20"/>
                <w:color w:val="auto"/>
              </w:rPr>
            </w:pPr>
            <w:r>
              <w:rPr>
                <w:rFonts w:ascii="Arial" w:cs="Arial" w:eastAsia="Arial" w:hAnsi="Arial"/>
                <w:sz w:val="16"/>
                <w:szCs w:val="16"/>
                <w:color w:val="auto"/>
              </w:rPr>
              <w:t> Between 1 and 2 years</w:t>
            </w:r>
          </w:p>
        </w:tc>
        <w:tc>
          <w:tcPr>
            <w:tcW w:w="620" w:type="dxa"/>
            <w:vAlign w:val="bottom"/>
          </w:tcPr>
          <w:p>
            <w:pPr>
              <w:jc w:val="right"/>
              <w:ind w:right="161"/>
              <w:spacing w:after="0"/>
              <w:rPr>
                <w:sz w:val="20"/>
                <w:szCs w:val="20"/>
                <w:color w:val="auto"/>
              </w:rPr>
            </w:pPr>
            <w:r>
              <w:rPr>
                <w:rFonts w:ascii="Arial" w:cs="Arial" w:eastAsia="Arial" w:hAnsi="Arial"/>
                <w:sz w:val="16"/>
                <w:szCs w:val="16"/>
                <w:b w:val="1"/>
                <w:bCs w:val="1"/>
                <w:color w:val="auto"/>
              </w:rPr>
              <w:t>14%</w:t>
            </w:r>
          </w:p>
        </w:tc>
        <w:tc>
          <w:tcPr>
            <w:tcW w:w="680" w:type="dxa"/>
            <w:vAlign w:val="bottom"/>
          </w:tcPr>
          <w:p>
            <w:pPr>
              <w:spacing w:after="0"/>
              <w:rPr>
                <w:sz w:val="16"/>
                <w:szCs w:val="16"/>
                <w:color w:val="auto"/>
              </w:rPr>
            </w:pPr>
          </w:p>
        </w:tc>
        <w:tc>
          <w:tcPr>
            <w:tcW w:w="560" w:type="dxa"/>
            <w:vAlign w:val="bottom"/>
          </w:tcPr>
          <w:p>
            <w:pPr>
              <w:jc w:val="right"/>
              <w:ind w:right="101"/>
              <w:spacing w:after="0"/>
              <w:rPr>
                <w:sz w:val="20"/>
                <w:szCs w:val="20"/>
                <w:color w:val="auto"/>
              </w:rPr>
            </w:pPr>
            <w:r>
              <w:rPr>
                <w:rFonts w:ascii="Arial" w:cs="Arial" w:eastAsia="Arial" w:hAnsi="Arial"/>
                <w:sz w:val="16"/>
                <w:szCs w:val="16"/>
                <w:color w:val="auto"/>
              </w:rPr>
              <w:t>13%</w:t>
            </w:r>
          </w:p>
        </w:tc>
      </w:tr>
      <w:tr>
        <w:trPr>
          <w:trHeight w:val="186"/>
        </w:trPr>
        <w:tc>
          <w:tcPr>
            <w:tcW w:w="8940" w:type="dxa"/>
            <w:vAlign w:val="bottom"/>
            <w:gridSpan w:val="2"/>
          </w:tcPr>
          <w:p>
            <w:pPr>
              <w:spacing w:after="0"/>
              <w:rPr>
                <w:sz w:val="20"/>
                <w:szCs w:val="20"/>
                <w:color w:val="auto"/>
              </w:rPr>
            </w:pPr>
            <w:r>
              <w:rPr>
                <w:rFonts w:ascii="Arial" w:cs="Arial" w:eastAsia="Arial" w:hAnsi="Arial"/>
                <w:sz w:val="16"/>
                <w:szCs w:val="16"/>
                <w:color w:val="auto"/>
              </w:rPr>
              <w:t> Between 2 and 3 years</w:t>
            </w:r>
          </w:p>
        </w:tc>
        <w:tc>
          <w:tcPr>
            <w:tcW w:w="620" w:type="dxa"/>
            <w:vAlign w:val="bottom"/>
          </w:tcPr>
          <w:p>
            <w:pPr>
              <w:jc w:val="right"/>
              <w:ind w:right="161"/>
              <w:spacing w:after="0"/>
              <w:rPr>
                <w:sz w:val="20"/>
                <w:szCs w:val="20"/>
                <w:color w:val="auto"/>
              </w:rPr>
            </w:pPr>
            <w:r>
              <w:rPr>
                <w:rFonts w:ascii="Arial" w:cs="Arial" w:eastAsia="Arial" w:hAnsi="Arial"/>
                <w:sz w:val="16"/>
                <w:szCs w:val="16"/>
                <w:b w:val="1"/>
                <w:bCs w:val="1"/>
                <w:color w:val="auto"/>
              </w:rPr>
              <w:t>9%</w:t>
            </w:r>
          </w:p>
        </w:tc>
        <w:tc>
          <w:tcPr>
            <w:tcW w:w="680" w:type="dxa"/>
            <w:vAlign w:val="bottom"/>
          </w:tcPr>
          <w:p>
            <w:pPr>
              <w:spacing w:after="0"/>
              <w:rPr>
                <w:sz w:val="16"/>
                <w:szCs w:val="16"/>
                <w:color w:val="auto"/>
              </w:rPr>
            </w:pPr>
          </w:p>
        </w:tc>
        <w:tc>
          <w:tcPr>
            <w:tcW w:w="560" w:type="dxa"/>
            <w:vAlign w:val="bottom"/>
          </w:tcPr>
          <w:p>
            <w:pPr>
              <w:jc w:val="right"/>
              <w:ind w:right="101"/>
              <w:spacing w:after="0"/>
              <w:rPr>
                <w:sz w:val="20"/>
                <w:szCs w:val="20"/>
                <w:color w:val="auto"/>
              </w:rPr>
            </w:pPr>
            <w:r>
              <w:rPr>
                <w:rFonts w:ascii="Arial" w:cs="Arial" w:eastAsia="Arial" w:hAnsi="Arial"/>
                <w:sz w:val="16"/>
                <w:szCs w:val="16"/>
                <w:color w:val="auto"/>
              </w:rPr>
              <w:t>8%</w:t>
            </w:r>
          </w:p>
        </w:tc>
      </w:tr>
      <w:tr>
        <w:trPr>
          <w:trHeight w:val="206"/>
        </w:trPr>
        <w:tc>
          <w:tcPr>
            <w:tcW w:w="8940" w:type="dxa"/>
            <w:vAlign w:val="bottom"/>
            <w:tcBorders>
              <w:bottom w:val="single" w:sz="8" w:color="D64000"/>
            </w:tcBorders>
            <w:gridSpan w:val="2"/>
          </w:tcPr>
          <w:p>
            <w:pPr>
              <w:spacing w:after="0"/>
              <w:rPr>
                <w:sz w:val="20"/>
                <w:szCs w:val="20"/>
                <w:color w:val="auto"/>
              </w:rPr>
            </w:pPr>
            <w:r>
              <w:rPr>
                <w:rFonts w:ascii="Arial" w:cs="Arial" w:eastAsia="Arial" w:hAnsi="Arial"/>
                <w:sz w:val="16"/>
                <w:szCs w:val="16"/>
                <w:color w:val="auto"/>
              </w:rPr>
              <w:t> Later than 3 years</w:t>
            </w:r>
          </w:p>
        </w:tc>
        <w:tc>
          <w:tcPr>
            <w:tcW w:w="620" w:type="dxa"/>
            <w:vAlign w:val="bottom"/>
            <w:tcBorders>
              <w:bottom w:val="single" w:sz="8" w:color="D64000"/>
            </w:tcBorders>
          </w:tcPr>
          <w:p>
            <w:pPr>
              <w:jc w:val="right"/>
              <w:ind w:right="161"/>
              <w:spacing w:after="0"/>
              <w:rPr>
                <w:sz w:val="20"/>
                <w:szCs w:val="20"/>
                <w:color w:val="auto"/>
              </w:rPr>
            </w:pPr>
            <w:r>
              <w:rPr>
                <w:rFonts w:ascii="Arial" w:cs="Arial" w:eastAsia="Arial" w:hAnsi="Arial"/>
                <w:sz w:val="16"/>
                <w:szCs w:val="16"/>
                <w:b w:val="1"/>
                <w:bCs w:val="1"/>
                <w:color w:val="auto"/>
              </w:rPr>
              <w:t>50%</w:t>
            </w:r>
          </w:p>
        </w:tc>
        <w:tc>
          <w:tcPr>
            <w:tcW w:w="680" w:type="dxa"/>
            <w:vAlign w:val="bottom"/>
            <w:tcBorders>
              <w:bottom w:val="single" w:sz="8" w:color="D64000"/>
            </w:tcBorders>
          </w:tcPr>
          <w:p>
            <w:pPr>
              <w:spacing w:after="0"/>
              <w:rPr>
                <w:sz w:val="17"/>
                <w:szCs w:val="17"/>
                <w:color w:val="auto"/>
              </w:rPr>
            </w:pPr>
          </w:p>
        </w:tc>
        <w:tc>
          <w:tcPr>
            <w:tcW w:w="560" w:type="dxa"/>
            <w:vAlign w:val="bottom"/>
            <w:tcBorders>
              <w:bottom w:val="single" w:sz="8" w:color="D64000"/>
            </w:tcBorders>
          </w:tcPr>
          <w:p>
            <w:pPr>
              <w:jc w:val="right"/>
              <w:ind w:right="101"/>
              <w:spacing w:after="0"/>
              <w:rPr>
                <w:sz w:val="20"/>
                <w:szCs w:val="20"/>
                <w:color w:val="auto"/>
              </w:rPr>
            </w:pPr>
            <w:r>
              <w:rPr>
                <w:rFonts w:ascii="Arial" w:cs="Arial" w:eastAsia="Arial" w:hAnsi="Arial"/>
                <w:sz w:val="16"/>
                <w:szCs w:val="16"/>
                <w:color w:val="auto"/>
              </w:rPr>
              <w:t>53%</w:t>
            </w:r>
          </w:p>
        </w:tc>
      </w:tr>
    </w:tbl>
    <w:p>
      <w:pPr>
        <w:spacing w:after="0" w:line="84" w:lineRule="exact"/>
        <w:rPr>
          <w:sz w:val="20"/>
          <w:szCs w:val="20"/>
          <w:color w:val="auto"/>
        </w:rPr>
      </w:pPr>
    </w:p>
    <w:p>
      <w:pPr>
        <w:ind w:left="220" w:right="160"/>
        <w:spacing w:after="0" w:line="235" w:lineRule="auto"/>
        <w:rPr>
          <w:sz w:val="20"/>
          <w:szCs w:val="20"/>
          <w:color w:val="auto"/>
        </w:rPr>
      </w:pPr>
      <w:r>
        <w:rPr>
          <w:rFonts w:ascii="Arial" w:cs="Arial" w:eastAsia="Arial" w:hAnsi="Arial"/>
          <w:sz w:val="17"/>
          <w:szCs w:val="17"/>
          <w:color w:val="auto"/>
        </w:rPr>
        <w:t xml:space="preserve">The remaining performance obligations later than three years largely relates to an agreement between Reuters News and LSEG’s Data &amp; Analytics business pursuant to which Reuters News supplies news and information services to LSEG for a minimum amount of revenue through October 1, 2048. In 2024, the Company recorded $384 million (2023 - $368 million) of revenues under this agreement, which represent the current minimum annual value. However, these revenues may increase further as the contract requires adjustments related to changes in the consumer price index and foreign exchange rates. As permitted by IFRS 15,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the Company excluded performance obligations for contracts with an original expected duration of less than one year from its disclosure.</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Note 4: Segment Information</w:t>
      </w:r>
    </w:p>
    <w:p>
      <w:pPr>
        <w:spacing w:after="0" w:line="110" w:lineRule="exact"/>
        <w:rPr>
          <w:sz w:val="20"/>
          <w:szCs w:val="20"/>
          <w:color w:val="auto"/>
        </w:rPr>
      </w:pPr>
    </w:p>
    <w:p>
      <w:pPr>
        <w:ind w:left="220" w:right="180"/>
        <w:spacing w:after="0" w:line="260" w:lineRule="auto"/>
        <w:rPr>
          <w:sz w:val="20"/>
          <w:szCs w:val="20"/>
          <w:color w:val="auto"/>
        </w:rPr>
      </w:pPr>
      <w:r>
        <w:rPr>
          <w:rFonts w:ascii="Arial" w:cs="Arial" w:eastAsia="Arial" w:hAnsi="Arial"/>
          <w:sz w:val="17"/>
          <w:szCs w:val="17"/>
          <w:color w:val="auto"/>
        </w:rPr>
        <w:t>The Company is organized as five reportable segments, reflecting how the businesses are managed. The segments offer products and services to target customers as described below.</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Legal Professionals</w:t>
      </w:r>
    </w:p>
    <w:p>
      <w:pPr>
        <w:spacing w:after="0" w:line="96" w:lineRule="exact"/>
        <w:rPr>
          <w:sz w:val="20"/>
          <w:szCs w:val="20"/>
          <w:color w:val="auto"/>
        </w:rPr>
      </w:pPr>
    </w:p>
    <w:p>
      <w:pPr>
        <w:ind w:left="220" w:right="60"/>
        <w:spacing w:after="0" w:line="260" w:lineRule="auto"/>
        <w:rPr>
          <w:sz w:val="20"/>
          <w:szCs w:val="20"/>
          <w:color w:val="auto"/>
        </w:rPr>
      </w:pPr>
      <w:r>
        <w:rPr>
          <w:rFonts w:ascii="Arial" w:cs="Arial" w:eastAsia="Arial" w:hAnsi="Arial"/>
          <w:sz w:val="17"/>
          <w:szCs w:val="17"/>
          <w:color w:val="auto"/>
        </w:rPr>
        <w:t>Serves law firms and governments with research and workflow products powered by leading-edge technologies, including generative AI, focusing on intuitive legal research and integrated legal workflow solutions that combine content, tools and analytics.</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Corporates</w:t>
      </w:r>
    </w:p>
    <w:p>
      <w:pPr>
        <w:spacing w:after="0" w:line="96" w:lineRule="exact"/>
        <w:rPr>
          <w:sz w:val="20"/>
          <w:szCs w:val="20"/>
          <w:color w:val="auto"/>
        </w:rPr>
      </w:pPr>
    </w:p>
    <w:p>
      <w:pPr>
        <w:ind w:left="220" w:right="240"/>
        <w:spacing w:after="0" w:line="243" w:lineRule="auto"/>
        <w:rPr>
          <w:sz w:val="20"/>
          <w:szCs w:val="20"/>
          <w:color w:val="auto"/>
        </w:rPr>
      </w:pPr>
      <w:r>
        <w:rPr>
          <w:rFonts w:ascii="Arial" w:cs="Arial" w:eastAsia="Arial" w:hAnsi="Arial"/>
          <w:sz w:val="17"/>
          <w:szCs w:val="17"/>
          <w:color w:val="auto"/>
        </w:rPr>
        <w:t>Serves corporations, ranging from small businesses to multinational organizations, including the seven largest global accounting firms, with the Company’s full suite of content-driven products, powered by leading-edge technologies, including generative AI, and integrated compliance workflow solutions to help them achieve their business outcomes.</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Tax &amp; Accounting Professionals</w:t>
      </w:r>
    </w:p>
    <w:p>
      <w:pPr>
        <w:spacing w:after="0" w:line="96" w:lineRule="exact"/>
        <w:rPr>
          <w:sz w:val="20"/>
          <w:szCs w:val="20"/>
          <w:color w:val="auto"/>
        </w:rPr>
      </w:pPr>
    </w:p>
    <w:p>
      <w:pPr>
        <w:ind w:left="220" w:right="240"/>
        <w:spacing w:after="0" w:line="260" w:lineRule="auto"/>
        <w:rPr>
          <w:sz w:val="20"/>
          <w:szCs w:val="20"/>
          <w:color w:val="auto"/>
        </w:rPr>
      </w:pPr>
      <w:r>
        <w:rPr>
          <w:rFonts w:ascii="Arial" w:cs="Arial" w:eastAsia="Arial" w:hAnsi="Arial"/>
          <w:sz w:val="17"/>
          <w:szCs w:val="17"/>
          <w:color w:val="auto"/>
        </w:rPr>
        <w:t>Serves tax, audit and accounting firms (other than the seven largest, which are served by the Corporates segment) with research and workflow products powered by leading-edge technologies, including generative AI.</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Reuters News</w:t>
      </w:r>
    </w:p>
    <w:p>
      <w:pPr>
        <w:spacing w:after="0" w:line="162" w:lineRule="exact"/>
        <w:rPr>
          <w:sz w:val="20"/>
          <w:szCs w:val="20"/>
          <w:color w:val="auto"/>
        </w:rPr>
      </w:pPr>
    </w:p>
    <w:p>
      <w:pPr>
        <w:ind w:left="220" w:right="500"/>
        <w:spacing w:after="0" w:line="260" w:lineRule="auto"/>
        <w:rPr>
          <w:sz w:val="20"/>
          <w:szCs w:val="20"/>
          <w:color w:val="auto"/>
        </w:rPr>
      </w:pPr>
      <w:r>
        <w:rPr>
          <w:rFonts w:ascii="Arial" w:cs="Arial" w:eastAsia="Arial" w:hAnsi="Arial"/>
          <w:sz w:val="17"/>
          <w:szCs w:val="17"/>
          <w:color w:val="auto"/>
        </w:rPr>
        <w:t>Supplies business, financial and global news to the world’s media organizations, professionals and news consumers through Reuters News Agency, Reuters.com, Reuters Events, Thomson Reuters products and to financial firms exclusively via LSEG products.</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Global Print</w:t>
      </w:r>
    </w:p>
    <w:p>
      <w:pPr>
        <w:spacing w:after="0" w:line="101" w:lineRule="exact"/>
        <w:rPr>
          <w:sz w:val="20"/>
          <w:szCs w:val="20"/>
          <w:color w:val="auto"/>
        </w:rPr>
      </w:pPr>
    </w:p>
    <w:p>
      <w:pPr>
        <w:ind w:left="220" w:right="220"/>
        <w:spacing w:after="0" w:line="259" w:lineRule="auto"/>
        <w:rPr>
          <w:sz w:val="20"/>
          <w:szCs w:val="20"/>
          <w:color w:val="auto"/>
        </w:rPr>
      </w:pPr>
      <w:r>
        <w:rPr>
          <w:rFonts w:ascii="Arial" w:cs="Arial" w:eastAsia="Arial" w:hAnsi="Arial"/>
          <w:sz w:val="18"/>
          <w:szCs w:val="18"/>
          <w:color w:val="auto"/>
        </w:rPr>
        <w:t>Provides legal and tax information primarily in print format to customers around the world and provides commercial printing services to a wide range of book publishers.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80645</wp:posOffset>
            </wp:positionV>
            <wp:extent cx="686562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8" w:lineRule="exact"/>
        <w:rPr>
          <w:sz w:val="20"/>
          <w:szCs w:val="20"/>
          <w:color w:val="auto"/>
        </w:rPr>
      </w:pPr>
    </w:p>
    <w:p>
      <w:pPr>
        <w:ind w:left="220"/>
        <w:spacing w:after="0"/>
        <w:tabs>
          <w:tab w:leader="none" w:pos="1030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6"/>
          <w:szCs w:val="16"/>
          <w:color w:val="auto"/>
        </w:rPr>
        <w:t>Page 101</w:t>
      </w:r>
    </w:p>
    <w:p>
      <w:pPr>
        <w:sectPr>
          <w:pgSz w:w="11900" w:h="16838" w:orient="portrait"/>
          <w:cols w:equalWidth="0" w:num="1">
            <w:col w:w="11040"/>
          </w:cols>
          <w:pgMar w:left="320" w:top="477" w:right="5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also reports “Corporate costs”, which includes expenses for corporate functions and does not qualify as a reportable segment.</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Information by segment and reconciliations to the consolidated income statement are set forth below:</w:t>
      </w:r>
    </w:p>
    <w:p>
      <w:pPr>
        <w:spacing w:after="0" w:line="251" w:lineRule="exact"/>
        <w:rPr>
          <w:sz w:val="20"/>
          <w:szCs w:val="20"/>
          <w:color w:val="auto"/>
        </w:rPr>
      </w:pPr>
    </w:p>
    <w:tbl>
      <w:tblPr>
        <w:tblLayout w:type="fixed"/>
        <w:tblInd w:w="220" w:type="dxa"/>
        <w:tblCellMar>
          <w:top w:w="0" w:type="dxa"/>
          <w:left w:w="0" w:type="dxa"/>
          <w:bottom w:w="0" w:type="dxa"/>
          <w:right w:w="0" w:type="dxa"/>
        </w:tblCellMar>
      </w:tblPr>
      <w:tr>
        <w:trPr>
          <w:trHeight w:val="141"/>
        </w:trPr>
        <w:tc>
          <w:tcPr>
            <w:tcW w:w="3360" w:type="dxa"/>
            <w:vAlign w:val="bottom"/>
            <w:shd w:val="clear" w:color="auto" w:fill="1F473D"/>
          </w:tcPr>
          <w:p>
            <w:pPr>
              <w:spacing w:after="0"/>
              <w:rPr>
                <w:sz w:val="12"/>
                <w:szCs w:val="12"/>
                <w:color w:val="auto"/>
              </w:rPr>
            </w:pPr>
          </w:p>
        </w:tc>
        <w:tc>
          <w:tcPr>
            <w:tcW w:w="1040" w:type="dxa"/>
            <w:vAlign w:val="bottom"/>
            <w:gridSpan w:val="2"/>
            <w:shd w:val="clear" w:color="auto" w:fill="1F473D"/>
          </w:tcPr>
          <w:p>
            <w:pPr>
              <w:jc w:val="right"/>
              <w:ind w:right="314"/>
              <w:spacing w:after="0"/>
              <w:rPr>
                <w:sz w:val="20"/>
                <w:szCs w:val="20"/>
                <w:color w:val="auto"/>
              </w:rPr>
            </w:pPr>
            <w:r>
              <w:rPr>
                <w:rFonts w:ascii="Arial" w:cs="Arial" w:eastAsia="Arial" w:hAnsi="Arial"/>
                <w:sz w:val="12"/>
                <w:szCs w:val="12"/>
                <w:b w:val="1"/>
                <w:bCs w:val="1"/>
                <w:color w:val="FFFFFF"/>
              </w:rPr>
              <w:t>Legal</w:t>
            </w:r>
          </w:p>
        </w:tc>
        <w:tc>
          <w:tcPr>
            <w:tcW w:w="1020" w:type="dxa"/>
            <w:vAlign w:val="bottom"/>
            <w:gridSpan w:val="2"/>
            <w:vMerge w:val="restart"/>
            <w:shd w:val="clear" w:color="auto" w:fill="1F473D"/>
          </w:tcPr>
          <w:p>
            <w:pPr>
              <w:jc w:val="right"/>
              <w:ind w:right="134"/>
              <w:spacing w:after="0"/>
              <w:rPr>
                <w:sz w:val="20"/>
                <w:szCs w:val="20"/>
                <w:color w:val="auto"/>
              </w:rPr>
            </w:pPr>
            <w:r>
              <w:rPr>
                <w:rFonts w:ascii="Arial" w:cs="Arial" w:eastAsia="Arial" w:hAnsi="Arial"/>
                <w:sz w:val="12"/>
                <w:szCs w:val="12"/>
                <w:b w:val="1"/>
                <w:bCs w:val="1"/>
                <w:color w:val="FFFFFF"/>
              </w:rPr>
              <w:t>Corporates</w:t>
            </w:r>
          </w:p>
        </w:tc>
        <w:tc>
          <w:tcPr>
            <w:tcW w:w="1240" w:type="dxa"/>
            <w:vAlign w:val="bottom"/>
            <w:gridSpan w:val="2"/>
            <w:shd w:val="clear" w:color="auto" w:fill="1F473D"/>
          </w:tcPr>
          <w:p>
            <w:pPr>
              <w:jc w:val="right"/>
              <w:ind w:right="54"/>
              <w:spacing w:after="0"/>
              <w:rPr>
                <w:sz w:val="20"/>
                <w:szCs w:val="20"/>
                <w:color w:val="auto"/>
              </w:rPr>
            </w:pPr>
            <w:r>
              <w:rPr>
                <w:rFonts w:ascii="Arial" w:cs="Arial" w:eastAsia="Arial" w:hAnsi="Arial"/>
                <w:sz w:val="12"/>
                <w:szCs w:val="12"/>
                <w:b w:val="1"/>
                <w:bCs w:val="1"/>
                <w:color w:val="FFFFFF"/>
              </w:rPr>
              <w:t>Tax &amp; Accounting</w:t>
            </w:r>
          </w:p>
        </w:tc>
        <w:tc>
          <w:tcPr>
            <w:tcW w:w="1000" w:type="dxa"/>
            <w:vAlign w:val="bottom"/>
            <w:gridSpan w:val="2"/>
            <w:vMerge w:val="restart"/>
            <w:shd w:val="clear" w:color="auto" w:fill="1F473D"/>
          </w:tcPr>
          <w:p>
            <w:pPr>
              <w:jc w:val="right"/>
              <w:ind w:right="54"/>
              <w:spacing w:after="0"/>
              <w:rPr>
                <w:sz w:val="20"/>
                <w:szCs w:val="20"/>
                <w:color w:val="auto"/>
              </w:rPr>
            </w:pPr>
            <w:r>
              <w:rPr>
                <w:rFonts w:ascii="Arial" w:cs="Arial" w:eastAsia="Arial" w:hAnsi="Arial"/>
                <w:sz w:val="12"/>
                <w:szCs w:val="12"/>
                <w:b w:val="1"/>
                <w:bCs w:val="1"/>
                <w:color w:val="FFFFFF"/>
              </w:rPr>
              <w:t>Reuters News</w:t>
            </w:r>
          </w:p>
        </w:tc>
        <w:tc>
          <w:tcPr>
            <w:tcW w:w="980" w:type="dxa"/>
            <w:vAlign w:val="bottom"/>
            <w:gridSpan w:val="2"/>
            <w:vMerge w:val="restart"/>
            <w:shd w:val="clear" w:color="auto" w:fill="1F473D"/>
          </w:tcPr>
          <w:p>
            <w:pPr>
              <w:jc w:val="right"/>
              <w:ind w:right="94"/>
              <w:spacing w:after="0"/>
              <w:rPr>
                <w:sz w:val="20"/>
                <w:szCs w:val="20"/>
                <w:color w:val="auto"/>
              </w:rPr>
            </w:pPr>
            <w:r>
              <w:rPr>
                <w:rFonts w:ascii="Arial" w:cs="Arial" w:eastAsia="Arial" w:hAnsi="Arial"/>
                <w:sz w:val="12"/>
                <w:szCs w:val="12"/>
                <w:b w:val="1"/>
                <w:bCs w:val="1"/>
                <w:color w:val="FFFFFF"/>
              </w:rPr>
              <w:t>Global Print</w:t>
            </w:r>
          </w:p>
        </w:tc>
        <w:tc>
          <w:tcPr>
            <w:tcW w:w="980" w:type="dxa"/>
            <w:vAlign w:val="bottom"/>
            <w:gridSpan w:val="2"/>
            <w:shd w:val="clear" w:color="auto" w:fill="1F473D"/>
          </w:tcPr>
          <w:p>
            <w:pPr>
              <w:jc w:val="right"/>
              <w:ind w:right="54"/>
              <w:spacing w:after="0"/>
              <w:rPr>
                <w:sz w:val="20"/>
                <w:szCs w:val="20"/>
                <w:color w:val="auto"/>
              </w:rPr>
            </w:pPr>
            <w:r>
              <w:rPr>
                <w:rFonts w:ascii="Arial" w:cs="Arial" w:eastAsia="Arial" w:hAnsi="Arial"/>
                <w:sz w:val="12"/>
                <w:szCs w:val="12"/>
                <w:b w:val="1"/>
                <w:bCs w:val="1"/>
                <w:color w:val="FFFFFF"/>
              </w:rPr>
              <w:t>Eliminations/</w:t>
            </w:r>
          </w:p>
        </w:tc>
        <w:tc>
          <w:tcPr>
            <w:tcW w:w="1180" w:type="dxa"/>
            <w:vAlign w:val="bottom"/>
            <w:gridSpan w:val="2"/>
            <w:vMerge w:val="restart"/>
            <w:shd w:val="clear" w:color="auto" w:fill="1F473D"/>
          </w:tcPr>
          <w:p>
            <w:pPr>
              <w:jc w:val="right"/>
              <w:ind w:right="394"/>
              <w:spacing w:after="0"/>
              <w:rPr>
                <w:sz w:val="20"/>
                <w:szCs w:val="20"/>
                <w:color w:val="auto"/>
              </w:rPr>
            </w:pPr>
            <w:r>
              <w:rPr>
                <w:rFonts w:ascii="Arial" w:cs="Arial" w:eastAsia="Arial" w:hAnsi="Arial"/>
                <w:sz w:val="12"/>
                <w:szCs w:val="12"/>
                <w:b w:val="1"/>
                <w:bCs w:val="1"/>
                <w:color w:val="FFFFFF"/>
              </w:rPr>
              <w:t>Total</w:t>
            </w:r>
          </w:p>
        </w:tc>
        <w:tc>
          <w:tcPr>
            <w:tcW w:w="0" w:type="dxa"/>
            <w:vAlign w:val="bottom"/>
          </w:tcPr>
          <w:p>
            <w:pPr>
              <w:spacing w:after="0"/>
              <w:rPr>
                <w:sz w:val="1"/>
                <w:szCs w:val="1"/>
                <w:color w:val="auto"/>
              </w:rPr>
            </w:pPr>
          </w:p>
        </w:tc>
      </w:tr>
      <w:tr>
        <w:trPr>
          <w:trHeight w:val="157"/>
        </w:trPr>
        <w:tc>
          <w:tcPr>
            <w:tcW w:w="3360" w:type="dxa"/>
            <w:vAlign w:val="bottom"/>
            <w:tcBorders>
              <w:bottom w:val="single" w:sz="8" w:color="D64000"/>
            </w:tcBorders>
            <w:shd w:val="clear" w:color="auto" w:fill="1F473D"/>
          </w:tcPr>
          <w:p>
            <w:pPr>
              <w:spacing w:after="0"/>
              <w:rPr>
                <w:sz w:val="13"/>
                <w:szCs w:val="13"/>
                <w:color w:val="auto"/>
              </w:rPr>
            </w:pPr>
          </w:p>
        </w:tc>
        <w:tc>
          <w:tcPr>
            <w:tcW w:w="1040" w:type="dxa"/>
            <w:vAlign w:val="bottom"/>
            <w:tcBorders>
              <w:bottom w:val="single" w:sz="8" w:color="D64000"/>
            </w:tcBorders>
            <w:gridSpan w:val="2"/>
            <w:shd w:val="clear" w:color="auto" w:fill="1F473D"/>
          </w:tcPr>
          <w:p>
            <w:pPr>
              <w:jc w:val="right"/>
              <w:ind w:right="74"/>
              <w:spacing w:after="0"/>
              <w:rPr>
                <w:sz w:val="20"/>
                <w:szCs w:val="20"/>
                <w:color w:val="auto"/>
              </w:rPr>
            </w:pPr>
            <w:r>
              <w:rPr>
                <w:rFonts w:ascii="Arial" w:cs="Arial" w:eastAsia="Arial" w:hAnsi="Arial"/>
                <w:sz w:val="12"/>
                <w:szCs w:val="12"/>
                <w:b w:val="1"/>
                <w:bCs w:val="1"/>
                <w:color w:val="FFFFFF"/>
              </w:rPr>
              <w:t>Professionals</w:t>
            </w:r>
          </w:p>
        </w:tc>
        <w:tc>
          <w:tcPr>
            <w:tcW w:w="1020" w:type="dxa"/>
            <w:vAlign w:val="bottom"/>
            <w:tcBorders>
              <w:bottom w:val="single" w:sz="8" w:color="D64000"/>
            </w:tcBorders>
            <w:gridSpan w:val="2"/>
            <w:vMerge w:val="continue"/>
            <w:shd w:val="clear" w:color="auto" w:fill="1F473D"/>
          </w:tcPr>
          <w:p>
            <w:pPr>
              <w:spacing w:after="0"/>
              <w:rPr>
                <w:sz w:val="13"/>
                <w:szCs w:val="13"/>
                <w:color w:val="auto"/>
              </w:rPr>
            </w:pPr>
          </w:p>
        </w:tc>
        <w:tc>
          <w:tcPr>
            <w:tcW w:w="1240" w:type="dxa"/>
            <w:vAlign w:val="bottom"/>
            <w:tcBorders>
              <w:bottom w:val="single" w:sz="8" w:color="D64000"/>
            </w:tcBorders>
            <w:gridSpan w:val="2"/>
            <w:shd w:val="clear" w:color="auto" w:fill="1F473D"/>
          </w:tcPr>
          <w:p>
            <w:pPr>
              <w:jc w:val="right"/>
              <w:ind w:right="174"/>
              <w:spacing w:after="0"/>
              <w:rPr>
                <w:sz w:val="20"/>
                <w:szCs w:val="20"/>
                <w:color w:val="auto"/>
              </w:rPr>
            </w:pPr>
            <w:r>
              <w:rPr>
                <w:rFonts w:ascii="Arial" w:cs="Arial" w:eastAsia="Arial" w:hAnsi="Arial"/>
                <w:sz w:val="12"/>
                <w:szCs w:val="12"/>
                <w:b w:val="1"/>
                <w:bCs w:val="1"/>
                <w:color w:val="FFFFFF"/>
              </w:rPr>
              <w:t>Professionals</w:t>
            </w:r>
          </w:p>
        </w:tc>
        <w:tc>
          <w:tcPr>
            <w:tcW w:w="1000" w:type="dxa"/>
            <w:vAlign w:val="bottom"/>
            <w:tcBorders>
              <w:bottom w:val="single" w:sz="8" w:color="D64000"/>
            </w:tcBorders>
            <w:gridSpan w:val="2"/>
            <w:vMerge w:val="continue"/>
            <w:shd w:val="clear" w:color="auto" w:fill="1F473D"/>
          </w:tcPr>
          <w:p>
            <w:pPr>
              <w:spacing w:after="0"/>
              <w:rPr>
                <w:sz w:val="13"/>
                <w:szCs w:val="13"/>
                <w:color w:val="auto"/>
              </w:rPr>
            </w:pPr>
          </w:p>
        </w:tc>
        <w:tc>
          <w:tcPr>
            <w:tcW w:w="980" w:type="dxa"/>
            <w:vAlign w:val="bottom"/>
            <w:tcBorders>
              <w:bottom w:val="single" w:sz="8" w:color="D64000"/>
            </w:tcBorders>
            <w:gridSpan w:val="2"/>
            <w:vMerge w:val="continue"/>
            <w:shd w:val="clear" w:color="auto" w:fill="1F473D"/>
          </w:tcPr>
          <w:p>
            <w:pPr>
              <w:spacing w:after="0"/>
              <w:rPr>
                <w:sz w:val="13"/>
                <w:szCs w:val="13"/>
                <w:color w:val="auto"/>
              </w:rPr>
            </w:pPr>
          </w:p>
        </w:tc>
        <w:tc>
          <w:tcPr>
            <w:tcW w:w="980" w:type="dxa"/>
            <w:vAlign w:val="bottom"/>
            <w:tcBorders>
              <w:bottom w:val="single" w:sz="8" w:color="D64000"/>
            </w:tcBorders>
            <w:gridSpan w:val="2"/>
            <w:shd w:val="clear" w:color="auto" w:fill="1F473D"/>
          </w:tcPr>
          <w:p>
            <w:pPr>
              <w:jc w:val="right"/>
              <w:ind w:right="154"/>
              <w:spacing w:after="0"/>
              <w:rPr>
                <w:sz w:val="20"/>
                <w:szCs w:val="20"/>
                <w:color w:val="auto"/>
              </w:rPr>
            </w:pPr>
            <w:r>
              <w:rPr>
                <w:rFonts w:ascii="Arial" w:cs="Arial" w:eastAsia="Arial" w:hAnsi="Arial"/>
                <w:sz w:val="12"/>
                <w:szCs w:val="12"/>
                <w:b w:val="1"/>
                <w:bCs w:val="1"/>
                <w:color w:val="FFFFFF"/>
              </w:rPr>
              <w:t>Rounding</w:t>
            </w:r>
          </w:p>
        </w:tc>
        <w:tc>
          <w:tcPr>
            <w:tcW w:w="1180" w:type="dxa"/>
            <w:vAlign w:val="bottom"/>
            <w:tcBorders>
              <w:bottom w:val="single" w:sz="8" w:color="D64000"/>
            </w:tcBorders>
            <w:gridSpan w:val="2"/>
            <w:vMerge w:val="continue"/>
            <w:shd w:val="clear" w:color="auto" w:fill="1F473D"/>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360" w:type="dxa"/>
            <w:vAlign w:val="bottom"/>
            <w:tcBorders>
              <w:bottom w:val="single" w:sz="8" w:color="D64000"/>
            </w:tcBorders>
            <w:shd w:val="clear" w:color="auto" w:fill="E3F3EE"/>
          </w:tcPr>
          <w:p>
            <w:pPr>
              <w:spacing w:after="0" w:line="133" w:lineRule="exact"/>
              <w:rPr>
                <w:sz w:val="20"/>
                <w:szCs w:val="20"/>
                <w:color w:val="auto"/>
              </w:rPr>
            </w:pPr>
            <w:r>
              <w:rPr>
                <w:rFonts w:ascii="Arial" w:cs="Arial" w:eastAsia="Arial" w:hAnsi="Arial"/>
                <w:sz w:val="12"/>
                <w:szCs w:val="12"/>
                <w:b w:val="1"/>
                <w:bCs w:val="1"/>
                <w:color w:val="auto"/>
              </w:rPr>
              <w:t> Year ended December 31,</w:t>
            </w:r>
          </w:p>
        </w:tc>
        <w:tc>
          <w:tcPr>
            <w:tcW w:w="520" w:type="dxa"/>
            <w:vAlign w:val="bottom"/>
            <w:tcBorders>
              <w:bottom w:val="single" w:sz="8" w:color="D64000"/>
            </w:tcBorders>
            <w:shd w:val="clear" w:color="auto" w:fill="E3F3EE"/>
          </w:tcPr>
          <w:p>
            <w:pPr>
              <w:jc w:val="right"/>
              <w:ind w:right="35"/>
              <w:spacing w:after="0" w:line="133" w:lineRule="exact"/>
              <w:rPr>
                <w:sz w:val="20"/>
                <w:szCs w:val="20"/>
                <w:color w:val="auto"/>
              </w:rPr>
            </w:pPr>
            <w:r>
              <w:rPr>
                <w:rFonts w:ascii="Arial" w:cs="Arial" w:eastAsia="Arial" w:hAnsi="Arial"/>
                <w:sz w:val="12"/>
                <w:szCs w:val="12"/>
                <w:b w:val="1"/>
                <w:bCs w:val="1"/>
                <w:color w:val="auto"/>
              </w:rPr>
              <w:t>2024</w:t>
            </w:r>
          </w:p>
        </w:tc>
        <w:tc>
          <w:tcPr>
            <w:tcW w:w="520" w:type="dxa"/>
            <w:vAlign w:val="bottom"/>
            <w:tcBorders>
              <w:bottom w:val="single" w:sz="8" w:color="D64000"/>
            </w:tcBorders>
            <w:shd w:val="clear" w:color="auto" w:fill="E3F3EE"/>
          </w:tcPr>
          <w:p>
            <w:pPr>
              <w:jc w:val="right"/>
              <w:ind w:right="34"/>
              <w:spacing w:after="0" w:line="133" w:lineRule="exact"/>
              <w:rPr>
                <w:sz w:val="20"/>
                <w:szCs w:val="20"/>
                <w:color w:val="auto"/>
              </w:rPr>
            </w:pPr>
            <w:r>
              <w:rPr>
                <w:rFonts w:ascii="Arial" w:cs="Arial" w:eastAsia="Arial" w:hAnsi="Arial"/>
                <w:sz w:val="12"/>
                <w:szCs w:val="12"/>
                <w:color w:val="auto"/>
              </w:rPr>
              <w:t>2023</w:t>
            </w:r>
          </w:p>
        </w:tc>
        <w:tc>
          <w:tcPr>
            <w:tcW w:w="520" w:type="dxa"/>
            <w:vAlign w:val="bottom"/>
            <w:tcBorders>
              <w:bottom w:val="single" w:sz="8" w:color="D64000"/>
            </w:tcBorders>
            <w:shd w:val="clear" w:color="auto" w:fill="E3F3EE"/>
          </w:tcPr>
          <w:p>
            <w:pPr>
              <w:jc w:val="right"/>
              <w:ind w:right="35"/>
              <w:spacing w:after="0" w:line="133" w:lineRule="exact"/>
              <w:rPr>
                <w:sz w:val="20"/>
                <w:szCs w:val="20"/>
                <w:color w:val="auto"/>
              </w:rPr>
            </w:pPr>
            <w:r>
              <w:rPr>
                <w:rFonts w:ascii="Arial" w:cs="Arial" w:eastAsia="Arial" w:hAnsi="Arial"/>
                <w:sz w:val="12"/>
                <w:szCs w:val="12"/>
                <w:b w:val="1"/>
                <w:bCs w:val="1"/>
                <w:color w:val="auto"/>
              </w:rPr>
              <w:t>2024</w:t>
            </w:r>
          </w:p>
        </w:tc>
        <w:tc>
          <w:tcPr>
            <w:tcW w:w="500" w:type="dxa"/>
            <w:vAlign w:val="bottom"/>
            <w:tcBorders>
              <w:bottom w:val="single" w:sz="8" w:color="D64000"/>
            </w:tcBorders>
            <w:shd w:val="clear" w:color="auto" w:fill="E3F3EE"/>
          </w:tcPr>
          <w:p>
            <w:pPr>
              <w:jc w:val="right"/>
              <w:ind w:right="14"/>
              <w:spacing w:after="0" w:line="133" w:lineRule="exact"/>
              <w:rPr>
                <w:sz w:val="20"/>
                <w:szCs w:val="20"/>
                <w:color w:val="auto"/>
              </w:rPr>
            </w:pPr>
            <w:r>
              <w:rPr>
                <w:rFonts w:ascii="Arial" w:cs="Arial" w:eastAsia="Arial" w:hAnsi="Arial"/>
                <w:sz w:val="12"/>
                <w:szCs w:val="12"/>
                <w:color w:val="auto"/>
              </w:rPr>
              <w:t>2023</w:t>
            </w:r>
          </w:p>
        </w:tc>
        <w:tc>
          <w:tcPr>
            <w:tcW w:w="660" w:type="dxa"/>
            <w:vAlign w:val="bottom"/>
            <w:tcBorders>
              <w:bottom w:val="single" w:sz="8" w:color="D64000"/>
            </w:tcBorders>
            <w:shd w:val="clear" w:color="auto" w:fill="E3F3EE"/>
          </w:tcPr>
          <w:p>
            <w:pPr>
              <w:jc w:val="right"/>
              <w:ind w:right="75"/>
              <w:spacing w:after="0" w:line="133" w:lineRule="exact"/>
              <w:rPr>
                <w:sz w:val="20"/>
                <w:szCs w:val="20"/>
                <w:color w:val="auto"/>
              </w:rPr>
            </w:pPr>
            <w:r>
              <w:rPr>
                <w:rFonts w:ascii="Arial" w:cs="Arial" w:eastAsia="Arial" w:hAnsi="Arial"/>
                <w:sz w:val="12"/>
                <w:szCs w:val="12"/>
                <w:b w:val="1"/>
                <w:bCs w:val="1"/>
                <w:color w:val="auto"/>
              </w:rPr>
              <w:t>2024</w:t>
            </w:r>
          </w:p>
        </w:tc>
        <w:tc>
          <w:tcPr>
            <w:tcW w:w="580" w:type="dxa"/>
            <w:vAlign w:val="bottom"/>
            <w:tcBorders>
              <w:bottom w:val="single" w:sz="8" w:color="D64000"/>
            </w:tcBorders>
            <w:shd w:val="clear" w:color="auto" w:fill="E3F3EE"/>
          </w:tcPr>
          <w:p>
            <w:pPr>
              <w:jc w:val="right"/>
              <w:ind w:right="14"/>
              <w:spacing w:after="0" w:line="133" w:lineRule="exact"/>
              <w:rPr>
                <w:sz w:val="20"/>
                <w:szCs w:val="20"/>
                <w:color w:val="auto"/>
              </w:rPr>
            </w:pPr>
            <w:r>
              <w:rPr>
                <w:rFonts w:ascii="Arial" w:cs="Arial" w:eastAsia="Arial" w:hAnsi="Arial"/>
                <w:sz w:val="12"/>
                <w:szCs w:val="12"/>
                <w:color w:val="auto"/>
              </w:rPr>
              <w:t>2023</w:t>
            </w:r>
          </w:p>
        </w:tc>
        <w:tc>
          <w:tcPr>
            <w:tcW w:w="500" w:type="dxa"/>
            <w:vAlign w:val="bottom"/>
            <w:tcBorders>
              <w:bottom w:val="single" w:sz="8" w:color="D64000"/>
            </w:tcBorders>
            <w:shd w:val="clear" w:color="auto" w:fill="E3F3EE"/>
          </w:tcPr>
          <w:p>
            <w:pPr>
              <w:jc w:val="right"/>
              <w:ind w:right="35"/>
              <w:spacing w:after="0" w:line="133" w:lineRule="exact"/>
              <w:rPr>
                <w:sz w:val="20"/>
                <w:szCs w:val="20"/>
                <w:color w:val="auto"/>
              </w:rPr>
            </w:pPr>
            <w:r>
              <w:rPr>
                <w:rFonts w:ascii="Arial" w:cs="Arial" w:eastAsia="Arial" w:hAnsi="Arial"/>
                <w:sz w:val="12"/>
                <w:szCs w:val="12"/>
                <w:b w:val="1"/>
                <w:bCs w:val="1"/>
                <w:color w:val="auto"/>
              </w:rPr>
              <w:t>2024</w:t>
            </w:r>
          </w:p>
        </w:tc>
        <w:tc>
          <w:tcPr>
            <w:tcW w:w="500" w:type="dxa"/>
            <w:vAlign w:val="bottom"/>
            <w:tcBorders>
              <w:bottom w:val="single" w:sz="8" w:color="D64000"/>
            </w:tcBorders>
            <w:shd w:val="clear" w:color="auto" w:fill="E3F3EE"/>
          </w:tcPr>
          <w:p>
            <w:pPr>
              <w:jc w:val="right"/>
              <w:ind w:right="14"/>
              <w:spacing w:after="0" w:line="133" w:lineRule="exact"/>
              <w:rPr>
                <w:sz w:val="20"/>
                <w:szCs w:val="20"/>
                <w:color w:val="auto"/>
              </w:rPr>
            </w:pPr>
            <w:r>
              <w:rPr>
                <w:rFonts w:ascii="Arial" w:cs="Arial" w:eastAsia="Arial" w:hAnsi="Arial"/>
                <w:sz w:val="12"/>
                <w:szCs w:val="12"/>
                <w:color w:val="auto"/>
              </w:rPr>
              <w:t>2023</w:t>
            </w:r>
          </w:p>
        </w:tc>
        <w:tc>
          <w:tcPr>
            <w:tcW w:w="500" w:type="dxa"/>
            <w:vAlign w:val="bottom"/>
            <w:tcBorders>
              <w:bottom w:val="single" w:sz="8" w:color="D64000"/>
            </w:tcBorders>
            <w:shd w:val="clear" w:color="auto" w:fill="E3F3EE"/>
          </w:tcPr>
          <w:p>
            <w:pPr>
              <w:jc w:val="right"/>
              <w:ind w:right="35"/>
              <w:spacing w:after="0" w:line="133" w:lineRule="exact"/>
              <w:rPr>
                <w:sz w:val="20"/>
                <w:szCs w:val="20"/>
                <w:color w:val="auto"/>
              </w:rPr>
            </w:pPr>
            <w:r>
              <w:rPr>
                <w:rFonts w:ascii="Arial" w:cs="Arial" w:eastAsia="Arial" w:hAnsi="Arial"/>
                <w:sz w:val="12"/>
                <w:szCs w:val="12"/>
                <w:b w:val="1"/>
                <w:bCs w:val="1"/>
                <w:color w:val="auto"/>
              </w:rPr>
              <w:t>2024</w:t>
            </w:r>
          </w:p>
        </w:tc>
        <w:tc>
          <w:tcPr>
            <w:tcW w:w="480" w:type="dxa"/>
            <w:vAlign w:val="bottom"/>
            <w:tcBorders>
              <w:bottom w:val="single" w:sz="8" w:color="D64000"/>
            </w:tcBorders>
            <w:shd w:val="clear" w:color="auto" w:fill="E3F3EE"/>
          </w:tcPr>
          <w:p>
            <w:pPr>
              <w:jc w:val="right"/>
              <w:ind w:right="14"/>
              <w:spacing w:after="0" w:line="133" w:lineRule="exact"/>
              <w:rPr>
                <w:sz w:val="20"/>
                <w:szCs w:val="20"/>
                <w:color w:val="auto"/>
              </w:rPr>
            </w:pPr>
            <w:r>
              <w:rPr>
                <w:rFonts w:ascii="Arial" w:cs="Arial" w:eastAsia="Arial" w:hAnsi="Arial"/>
                <w:sz w:val="12"/>
                <w:szCs w:val="12"/>
                <w:color w:val="auto"/>
              </w:rPr>
              <w:t>2023</w:t>
            </w:r>
          </w:p>
        </w:tc>
        <w:tc>
          <w:tcPr>
            <w:tcW w:w="500" w:type="dxa"/>
            <w:vAlign w:val="bottom"/>
            <w:tcBorders>
              <w:bottom w:val="single" w:sz="8" w:color="D64000"/>
            </w:tcBorders>
            <w:shd w:val="clear" w:color="auto" w:fill="E3F3EE"/>
          </w:tcPr>
          <w:p>
            <w:pPr>
              <w:jc w:val="right"/>
              <w:ind w:right="55"/>
              <w:spacing w:after="0" w:line="133" w:lineRule="exact"/>
              <w:rPr>
                <w:sz w:val="20"/>
                <w:szCs w:val="20"/>
                <w:color w:val="auto"/>
              </w:rPr>
            </w:pPr>
            <w:r>
              <w:rPr>
                <w:rFonts w:ascii="Arial" w:cs="Arial" w:eastAsia="Arial" w:hAnsi="Arial"/>
                <w:sz w:val="12"/>
                <w:szCs w:val="12"/>
                <w:b w:val="1"/>
                <w:bCs w:val="1"/>
                <w:color w:val="auto"/>
              </w:rPr>
              <w:t>2024</w:t>
            </w:r>
          </w:p>
        </w:tc>
        <w:tc>
          <w:tcPr>
            <w:tcW w:w="480" w:type="dxa"/>
            <w:vAlign w:val="bottom"/>
            <w:tcBorders>
              <w:bottom w:val="single" w:sz="8" w:color="D64000"/>
            </w:tcBorders>
            <w:shd w:val="clear" w:color="auto" w:fill="E3F3EE"/>
          </w:tcPr>
          <w:p>
            <w:pPr>
              <w:jc w:val="right"/>
              <w:ind w:right="34"/>
              <w:spacing w:after="0" w:line="133" w:lineRule="exact"/>
              <w:rPr>
                <w:sz w:val="20"/>
                <w:szCs w:val="20"/>
                <w:color w:val="auto"/>
              </w:rPr>
            </w:pPr>
            <w:r>
              <w:rPr>
                <w:rFonts w:ascii="Arial" w:cs="Arial" w:eastAsia="Arial" w:hAnsi="Arial"/>
                <w:sz w:val="12"/>
                <w:szCs w:val="12"/>
                <w:color w:val="auto"/>
              </w:rPr>
              <w:t>2023</w:t>
            </w:r>
          </w:p>
        </w:tc>
        <w:tc>
          <w:tcPr>
            <w:tcW w:w="580" w:type="dxa"/>
            <w:vAlign w:val="bottom"/>
            <w:tcBorders>
              <w:bottom w:val="single" w:sz="8" w:color="D64000"/>
            </w:tcBorders>
            <w:shd w:val="clear" w:color="auto" w:fill="E3F3EE"/>
          </w:tcPr>
          <w:p>
            <w:pPr>
              <w:jc w:val="right"/>
              <w:ind w:right="14"/>
              <w:spacing w:after="0" w:line="133" w:lineRule="exact"/>
              <w:rPr>
                <w:sz w:val="20"/>
                <w:szCs w:val="20"/>
                <w:color w:val="auto"/>
              </w:rPr>
            </w:pPr>
            <w:r>
              <w:rPr>
                <w:rFonts w:ascii="Arial" w:cs="Arial" w:eastAsia="Arial" w:hAnsi="Arial"/>
                <w:sz w:val="12"/>
                <w:szCs w:val="12"/>
                <w:b w:val="1"/>
                <w:bCs w:val="1"/>
                <w:color w:val="auto"/>
              </w:rPr>
              <w:t>2024</w:t>
            </w:r>
          </w:p>
        </w:tc>
        <w:tc>
          <w:tcPr>
            <w:tcW w:w="600" w:type="dxa"/>
            <w:vAlign w:val="bottom"/>
            <w:tcBorders>
              <w:bottom w:val="single" w:sz="8" w:color="D64000"/>
            </w:tcBorders>
            <w:shd w:val="clear" w:color="auto" w:fill="E3F3EE"/>
          </w:tcPr>
          <w:p>
            <w:pPr>
              <w:jc w:val="right"/>
              <w:ind w:right="14"/>
              <w:spacing w:after="0" w:line="133" w:lineRule="exact"/>
              <w:rPr>
                <w:sz w:val="20"/>
                <w:szCs w:val="20"/>
                <w:color w:val="auto"/>
              </w:rPr>
            </w:pPr>
            <w:r>
              <w:rPr>
                <w:rFonts w:ascii="Arial" w:cs="Arial" w:eastAsia="Arial" w:hAnsi="Arial"/>
                <w:sz w:val="12"/>
                <w:szCs w:val="12"/>
                <w:color w:val="auto"/>
              </w:rPr>
              <w:t>2023</w:t>
            </w:r>
          </w:p>
        </w:tc>
        <w:tc>
          <w:tcPr>
            <w:tcW w:w="0" w:type="dxa"/>
            <w:vAlign w:val="bottom"/>
          </w:tcPr>
          <w:p>
            <w:pPr>
              <w:spacing w:after="0"/>
              <w:rPr>
                <w:sz w:val="1"/>
                <w:szCs w:val="1"/>
                <w:color w:val="auto"/>
              </w:rPr>
            </w:pPr>
          </w:p>
        </w:tc>
      </w:tr>
      <w:tr>
        <w:trPr>
          <w:trHeight w:val="146"/>
        </w:trPr>
        <w:tc>
          <w:tcPr>
            <w:tcW w:w="3360" w:type="dxa"/>
            <w:vAlign w:val="bottom"/>
            <w:tcBorders>
              <w:bottom w:val="single" w:sz="8" w:color="B2B2B2"/>
            </w:tcBorders>
          </w:tcPr>
          <w:p>
            <w:pPr>
              <w:spacing w:after="0" w:line="146" w:lineRule="exact"/>
              <w:rPr>
                <w:sz w:val="20"/>
                <w:szCs w:val="20"/>
                <w:color w:val="auto"/>
              </w:rPr>
            </w:pPr>
            <w:r>
              <w:rPr>
                <w:rFonts w:ascii="Arial" w:cs="Arial" w:eastAsia="Arial" w:hAnsi="Arial"/>
                <w:sz w:val="13"/>
                <w:szCs w:val="13"/>
                <w:color w:val="auto"/>
              </w:rPr>
              <w:t> Revenues</w:t>
            </w:r>
          </w:p>
        </w:tc>
        <w:tc>
          <w:tcPr>
            <w:tcW w:w="520" w:type="dxa"/>
            <w:vAlign w:val="bottom"/>
            <w:tcBorders>
              <w:bottom w:val="single" w:sz="8" w:color="B2B2B2"/>
            </w:tcBorders>
          </w:tcPr>
          <w:p>
            <w:pPr>
              <w:jc w:val="right"/>
              <w:ind w:right="35"/>
              <w:spacing w:after="0" w:line="146" w:lineRule="exact"/>
              <w:rPr>
                <w:sz w:val="20"/>
                <w:szCs w:val="20"/>
                <w:color w:val="auto"/>
              </w:rPr>
            </w:pPr>
            <w:r>
              <w:rPr>
                <w:rFonts w:ascii="Arial" w:cs="Arial" w:eastAsia="Arial" w:hAnsi="Arial"/>
                <w:sz w:val="13"/>
                <w:szCs w:val="13"/>
                <w:b w:val="1"/>
                <w:bCs w:val="1"/>
                <w:color w:val="auto"/>
              </w:rPr>
              <w:t>2,922</w:t>
            </w:r>
          </w:p>
        </w:tc>
        <w:tc>
          <w:tcPr>
            <w:tcW w:w="520" w:type="dxa"/>
            <w:vAlign w:val="bottom"/>
            <w:tcBorders>
              <w:bottom w:val="single" w:sz="8" w:color="B2B2B2"/>
            </w:tcBorders>
          </w:tcPr>
          <w:p>
            <w:pPr>
              <w:jc w:val="right"/>
              <w:ind w:right="34"/>
              <w:spacing w:after="0" w:line="146" w:lineRule="exact"/>
              <w:rPr>
                <w:sz w:val="20"/>
                <w:szCs w:val="20"/>
                <w:color w:val="auto"/>
              </w:rPr>
            </w:pPr>
            <w:r>
              <w:rPr>
                <w:rFonts w:ascii="Arial" w:cs="Arial" w:eastAsia="Arial" w:hAnsi="Arial"/>
                <w:sz w:val="13"/>
                <w:szCs w:val="13"/>
                <w:color w:val="auto"/>
              </w:rPr>
              <w:t>2,807</w:t>
            </w:r>
          </w:p>
        </w:tc>
        <w:tc>
          <w:tcPr>
            <w:tcW w:w="520" w:type="dxa"/>
            <w:vAlign w:val="bottom"/>
            <w:tcBorders>
              <w:bottom w:val="single" w:sz="8" w:color="B2B2B2"/>
            </w:tcBorders>
          </w:tcPr>
          <w:p>
            <w:pPr>
              <w:jc w:val="right"/>
              <w:ind w:right="35"/>
              <w:spacing w:after="0" w:line="146" w:lineRule="exact"/>
              <w:rPr>
                <w:sz w:val="20"/>
                <w:szCs w:val="20"/>
                <w:color w:val="auto"/>
              </w:rPr>
            </w:pPr>
            <w:r>
              <w:rPr>
                <w:rFonts w:ascii="Arial" w:cs="Arial" w:eastAsia="Arial" w:hAnsi="Arial"/>
                <w:sz w:val="13"/>
                <w:szCs w:val="13"/>
                <w:b w:val="1"/>
                <w:bCs w:val="1"/>
                <w:color w:val="auto"/>
              </w:rPr>
              <w:t>1,844</w:t>
            </w:r>
          </w:p>
        </w:tc>
        <w:tc>
          <w:tcPr>
            <w:tcW w:w="500" w:type="dxa"/>
            <w:vAlign w:val="bottom"/>
            <w:tcBorders>
              <w:bottom w:val="single" w:sz="8" w:color="B2B2B2"/>
            </w:tcBorders>
          </w:tcPr>
          <w:p>
            <w:pPr>
              <w:jc w:val="right"/>
              <w:ind w:right="14"/>
              <w:spacing w:after="0" w:line="146" w:lineRule="exact"/>
              <w:rPr>
                <w:sz w:val="20"/>
                <w:szCs w:val="20"/>
                <w:color w:val="auto"/>
              </w:rPr>
            </w:pPr>
            <w:r>
              <w:rPr>
                <w:rFonts w:ascii="Arial" w:cs="Arial" w:eastAsia="Arial" w:hAnsi="Arial"/>
                <w:sz w:val="13"/>
                <w:szCs w:val="13"/>
                <w:color w:val="auto"/>
              </w:rPr>
              <w:t>1,620</w:t>
            </w:r>
          </w:p>
        </w:tc>
        <w:tc>
          <w:tcPr>
            <w:tcW w:w="660" w:type="dxa"/>
            <w:vAlign w:val="bottom"/>
            <w:tcBorders>
              <w:bottom w:val="single" w:sz="8" w:color="B2B2B2"/>
            </w:tcBorders>
          </w:tcPr>
          <w:p>
            <w:pPr>
              <w:jc w:val="right"/>
              <w:ind w:right="75"/>
              <w:spacing w:after="0" w:line="146" w:lineRule="exact"/>
              <w:rPr>
                <w:sz w:val="20"/>
                <w:szCs w:val="20"/>
                <w:color w:val="auto"/>
              </w:rPr>
            </w:pPr>
            <w:r>
              <w:rPr>
                <w:rFonts w:ascii="Arial" w:cs="Arial" w:eastAsia="Arial" w:hAnsi="Arial"/>
                <w:sz w:val="13"/>
                <w:szCs w:val="13"/>
                <w:b w:val="1"/>
                <w:bCs w:val="1"/>
                <w:color w:val="auto"/>
              </w:rPr>
              <w:t>1,165</w:t>
            </w:r>
          </w:p>
        </w:tc>
        <w:tc>
          <w:tcPr>
            <w:tcW w:w="580" w:type="dxa"/>
            <w:vAlign w:val="bottom"/>
            <w:tcBorders>
              <w:bottom w:val="single" w:sz="8" w:color="B2B2B2"/>
            </w:tcBorders>
          </w:tcPr>
          <w:p>
            <w:pPr>
              <w:jc w:val="right"/>
              <w:ind w:right="14"/>
              <w:spacing w:after="0" w:line="146" w:lineRule="exact"/>
              <w:rPr>
                <w:sz w:val="20"/>
                <w:szCs w:val="20"/>
                <w:color w:val="auto"/>
              </w:rPr>
            </w:pPr>
            <w:r>
              <w:rPr>
                <w:rFonts w:ascii="Arial" w:cs="Arial" w:eastAsia="Arial" w:hAnsi="Arial"/>
                <w:sz w:val="13"/>
                <w:szCs w:val="13"/>
                <w:color w:val="auto"/>
              </w:rPr>
              <w:t>1,058</w:t>
            </w:r>
          </w:p>
        </w:tc>
        <w:tc>
          <w:tcPr>
            <w:tcW w:w="500" w:type="dxa"/>
            <w:vAlign w:val="bottom"/>
            <w:tcBorders>
              <w:bottom w:val="single" w:sz="8" w:color="B2B2B2"/>
            </w:tcBorders>
          </w:tcPr>
          <w:p>
            <w:pPr>
              <w:jc w:val="right"/>
              <w:ind w:right="35"/>
              <w:spacing w:after="0" w:line="146" w:lineRule="exact"/>
              <w:rPr>
                <w:sz w:val="20"/>
                <w:szCs w:val="20"/>
                <w:color w:val="auto"/>
              </w:rPr>
            </w:pPr>
            <w:r>
              <w:rPr>
                <w:rFonts w:ascii="Arial" w:cs="Arial" w:eastAsia="Arial" w:hAnsi="Arial"/>
                <w:sz w:val="13"/>
                <w:szCs w:val="13"/>
                <w:b w:val="1"/>
                <w:bCs w:val="1"/>
                <w:color w:val="auto"/>
              </w:rPr>
              <w:t>832</w:t>
            </w:r>
          </w:p>
        </w:tc>
        <w:tc>
          <w:tcPr>
            <w:tcW w:w="500" w:type="dxa"/>
            <w:vAlign w:val="bottom"/>
            <w:tcBorders>
              <w:bottom w:val="single" w:sz="8" w:color="B2B2B2"/>
            </w:tcBorders>
          </w:tcPr>
          <w:p>
            <w:pPr>
              <w:jc w:val="right"/>
              <w:ind w:right="14"/>
              <w:spacing w:after="0" w:line="146" w:lineRule="exact"/>
              <w:rPr>
                <w:sz w:val="20"/>
                <w:szCs w:val="20"/>
                <w:color w:val="auto"/>
              </w:rPr>
            </w:pPr>
            <w:r>
              <w:rPr>
                <w:rFonts w:ascii="Arial" w:cs="Arial" w:eastAsia="Arial" w:hAnsi="Arial"/>
                <w:sz w:val="13"/>
                <w:szCs w:val="13"/>
                <w:color w:val="auto"/>
              </w:rPr>
              <w:t>769</w:t>
            </w:r>
          </w:p>
        </w:tc>
        <w:tc>
          <w:tcPr>
            <w:tcW w:w="500" w:type="dxa"/>
            <w:vAlign w:val="bottom"/>
            <w:tcBorders>
              <w:bottom w:val="single" w:sz="8" w:color="B2B2B2"/>
            </w:tcBorders>
          </w:tcPr>
          <w:p>
            <w:pPr>
              <w:jc w:val="right"/>
              <w:ind w:right="35"/>
              <w:spacing w:after="0" w:line="146" w:lineRule="exact"/>
              <w:rPr>
                <w:sz w:val="20"/>
                <w:szCs w:val="20"/>
                <w:color w:val="auto"/>
              </w:rPr>
            </w:pPr>
            <w:r>
              <w:rPr>
                <w:rFonts w:ascii="Arial" w:cs="Arial" w:eastAsia="Arial" w:hAnsi="Arial"/>
                <w:sz w:val="13"/>
                <w:szCs w:val="13"/>
                <w:b w:val="1"/>
                <w:bCs w:val="1"/>
                <w:color w:val="auto"/>
              </w:rPr>
              <w:t>519</w:t>
            </w:r>
          </w:p>
        </w:tc>
        <w:tc>
          <w:tcPr>
            <w:tcW w:w="480" w:type="dxa"/>
            <w:vAlign w:val="bottom"/>
            <w:tcBorders>
              <w:bottom w:val="single" w:sz="8" w:color="B2B2B2"/>
            </w:tcBorders>
          </w:tcPr>
          <w:p>
            <w:pPr>
              <w:jc w:val="right"/>
              <w:ind w:right="14"/>
              <w:spacing w:after="0" w:line="146" w:lineRule="exact"/>
              <w:rPr>
                <w:sz w:val="20"/>
                <w:szCs w:val="20"/>
                <w:color w:val="auto"/>
              </w:rPr>
            </w:pPr>
            <w:r>
              <w:rPr>
                <w:rFonts w:ascii="Arial" w:cs="Arial" w:eastAsia="Arial" w:hAnsi="Arial"/>
                <w:sz w:val="13"/>
                <w:szCs w:val="13"/>
                <w:color w:val="auto"/>
              </w:rPr>
              <w:t>562</w:t>
            </w:r>
          </w:p>
        </w:tc>
        <w:tc>
          <w:tcPr>
            <w:tcW w:w="500" w:type="dxa"/>
            <w:vAlign w:val="bottom"/>
            <w:tcBorders>
              <w:bottom w:val="single" w:sz="8" w:color="B2B2B2"/>
            </w:tcBorders>
          </w:tcPr>
          <w:p>
            <w:pPr>
              <w:jc w:val="right"/>
              <w:ind w:right="55"/>
              <w:spacing w:after="0" w:line="146" w:lineRule="exact"/>
              <w:rPr>
                <w:sz w:val="20"/>
                <w:szCs w:val="20"/>
                <w:color w:val="auto"/>
              </w:rPr>
            </w:pPr>
            <w:r>
              <w:rPr>
                <w:rFonts w:ascii="Arial" w:cs="Arial" w:eastAsia="Arial" w:hAnsi="Arial"/>
                <w:sz w:val="13"/>
                <w:szCs w:val="13"/>
                <w:b w:val="1"/>
                <w:bCs w:val="1"/>
                <w:color w:val="auto"/>
              </w:rPr>
              <w:t>(24)</w:t>
            </w:r>
          </w:p>
        </w:tc>
        <w:tc>
          <w:tcPr>
            <w:tcW w:w="480" w:type="dxa"/>
            <w:vAlign w:val="bottom"/>
            <w:tcBorders>
              <w:bottom w:val="single" w:sz="8" w:color="B2B2B2"/>
            </w:tcBorders>
          </w:tcPr>
          <w:p>
            <w:pPr>
              <w:jc w:val="right"/>
              <w:ind w:right="34"/>
              <w:spacing w:after="0" w:line="146" w:lineRule="exact"/>
              <w:rPr>
                <w:sz w:val="20"/>
                <w:szCs w:val="20"/>
                <w:color w:val="auto"/>
              </w:rPr>
            </w:pPr>
            <w:r>
              <w:rPr>
                <w:rFonts w:ascii="Arial" w:cs="Arial" w:eastAsia="Arial" w:hAnsi="Arial"/>
                <w:sz w:val="13"/>
                <w:szCs w:val="13"/>
                <w:color w:val="auto"/>
              </w:rPr>
              <w:t>(22)</w:t>
            </w:r>
          </w:p>
        </w:tc>
        <w:tc>
          <w:tcPr>
            <w:tcW w:w="580" w:type="dxa"/>
            <w:vAlign w:val="bottom"/>
            <w:tcBorders>
              <w:bottom w:val="single" w:sz="8" w:color="B2B2B2"/>
            </w:tcBorders>
          </w:tcPr>
          <w:p>
            <w:pPr>
              <w:jc w:val="right"/>
              <w:ind w:right="14"/>
              <w:spacing w:after="0" w:line="146" w:lineRule="exact"/>
              <w:rPr>
                <w:sz w:val="20"/>
                <w:szCs w:val="20"/>
                <w:color w:val="auto"/>
              </w:rPr>
            </w:pPr>
            <w:r>
              <w:rPr>
                <w:rFonts w:ascii="Arial" w:cs="Arial" w:eastAsia="Arial" w:hAnsi="Arial"/>
                <w:sz w:val="13"/>
                <w:szCs w:val="13"/>
                <w:b w:val="1"/>
                <w:bCs w:val="1"/>
                <w:color w:val="auto"/>
              </w:rPr>
              <w:t>7,258</w:t>
            </w:r>
          </w:p>
        </w:tc>
        <w:tc>
          <w:tcPr>
            <w:tcW w:w="600" w:type="dxa"/>
            <w:vAlign w:val="bottom"/>
            <w:tcBorders>
              <w:bottom w:val="single" w:sz="8" w:color="B2B2B2"/>
            </w:tcBorders>
          </w:tcPr>
          <w:p>
            <w:pPr>
              <w:jc w:val="right"/>
              <w:ind w:right="14"/>
              <w:spacing w:after="0" w:line="146" w:lineRule="exact"/>
              <w:rPr>
                <w:sz w:val="20"/>
                <w:szCs w:val="20"/>
                <w:color w:val="auto"/>
              </w:rPr>
            </w:pPr>
            <w:r>
              <w:rPr>
                <w:rFonts w:ascii="Arial" w:cs="Arial" w:eastAsia="Arial" w:hAnsi="Arial"/>
                <w:sz w:val="13"/>
                <w:szCs w:val="13"/>
                <w:color w:val="auto"/>
              </w:rPr>
              <w:t>6,794</w:t>
            </w:r>
          </w:p>
        </w:tc>
        <w:tc>
          <w:tcPr>
            <w:tcW w:w="0" w:type="dxa"/>
            <w:vAlign w:val="bottom"/>
          </w:tcPr>
          <w:p>
            <w:pPr>
              <w:spacing w:after="0"/>
              <w:rPr>
                <w:sz w:val="1"/>
                <w:szCs w:val="1"/>
                <w:color w:val="auto"/>
              </w:rPr>
            </w:pPr>
          </w:p>
        </w:tc>
      </w:tr>
      <w:tr>
        <w:trPr>
          <w:trHeight w:val="141"/>
        </w:trPr>
        <w:tc>
          <w:tcPr>
            <w:tcW w:w="3360" w:type="dxa"/>
            <w:vAlign w:val="bottom"/>
          </w:tcPr>
          <w:p>
            <w:pPr>
              <w:spacing w:after="0" w:line="141" w:lineRule="exact"/>
              <w:rPr>
                <w:sz w:val="20"/>
                <w:szCs w:val="20"/>
                <w:color w:val="auto"/>
              </w:rPr>
            </w:pPr>
            <w:r>
              <w:rPr>
                <w:rFonts w:ascii="Arial" w:cs="Arial" w:eastAsia="Arial" w:hAnsi="Arial"/>
                <w:sz w:val="12"/>
                <w:szCs w:val="12"/>
                <w:color w:val="auto"/>
              </w:rPr>
              <w:t> Staff costs</w:t>
            </w:r>
            <w:r>
              <w:rPr>
                <w:rFonts w:ascii="Arial" w:cs="Arial" w:eastAsia="Arial" w:hAnsi="Arial"/>
                <w:sz w:val="16"/>
                <w:szCs w:val="16"/>
                <w:color w:val="auto"/>
                <w:vertAlign w:val="superscript"/>
              </w:rPr>
              <w:t>(1)</w:t>
            </w:r>
          </w:p>
        </w:tc>
        <w:tc>
          <w:tcPr>
            <w:tcW w:w="520" w:type="dxa"/>
            <w:vAlign w:val="bottom"/>
          </w:tcPr>
          <w:p>
            <w:pPr>
              <w:jc w:val="right"/>
              <w:ind w:right="35"/>
              <w:spacing w:after="0" w:line="141" w:lineRule="exact"/>
              <w:rPr>
                <w:sz w:val="20"/>
                <w:szCs w:val="20"/>
                <w:color w:val="auto"/>
              </w:rPr>
            </w:pPr>
            <w:r>
              <w:rPr>
                <w:rFonts w:ascii="Arial" w:cs="Arial" w:eastAsia="Arial" w:hAnsi="Arial"/>
                <w:sz w:val="13"/>
                <w:szCs w:val="13"/>
                <w:b w:val="1"/>
                <w:bCs w:val="1"/>
                <w:color w:val="auto"/>
              </w:rPr>
              <w:t>(936)</w:t>
            </w:r>
          </w:p>
        </w:tc>
        <w:tc>
          <w:tcPr>
            <w:tcW w:w="520" w:type="dxa"/>
            <w:vAlign w:val="bottom"/>
          </w:tcPr>
          <w:p>
            <w:pPr>
              <w:jc w:val="right"/>
              <w:ind w:right="34"/>
              <w:spacing w:after="0" w:line="141" w:lineRule="exact"/>
              <w:rPr>
                <w:sz w:val="20"/>
                <w:szCs w:val="20"/>
                <w:color w:val="auto"/>
              </w:rPr>
            </w:pPr>
            <w:r>
              <w:rPr>
                <w:rFonts w:ascii="Arial" w:cs="Arial" w:eastAsia="Arial" w:hAnsi="Arial"/>
                <w:sz w:val="13"/>
                <w:szCs w:val="13"/>
                <w:color w:val="auto"/>
              </w:rPr>
              <w:t>(913)</w:t>
            </w:r>
          </w:p>
        </w:tc>
        <w:tc>
          <w:tcPr>
            <w:tcW w:w="520" w:type="dxa"/>
            <w:vAlign w:val="bottom"/>
          </w:tcPr>
          <w:p>
            <w:pPr>
              <w:jc w:val="right"/>
              <w:ind w:right="35"/>
              <w:spacing w:after="0" w:line="141" w:lineRule="exact"/>
              <w:rPr>
                <w:sz w:val="20"/>
                <w:szCs w:val="20"/>
                <w:color w:val="auto"/>
              </w:rPr>
            </w:pPr>
            <w:r>
              <w:rPr>
                <w:rFonts w:ascii="Arial" w:cs="Arial" w:eastAsia="Arial" w:hAnsi="Arial"/>
                <w:sz w:val="13"/>
                <w:szCs w:val="13"/>
                <w:b w:val="1"/>
                <w:bCs w:val="1"/>
                <w:color w:val="auto"/>
              </w:rPr>
              <w:t>(678)</w:t>
            </w:r>
          </w:p>
        </w:tc>
        <w:tc>
          <w:tcPr>
            <w:tcW w:w="500" w:type="dxa"/>
            <w:vAlign w:val="bottom"/>
          </w:tcPr>
          <w:p>
            <w:pPr>
              <w:jc w:val="right"/>
              <w:ind w:right="14"/>
              <w:spacing w:after="0" w:line="141" w:lineRule="exact"/>
              <w:rPr>
                <w:sz w:val="20"/>
                <w:szCs w:val="20"/>
                <w:color w:val="auto"/>
              </w:rPr>
            </w:pPr>
            <w:r>
              <w:rPr>
                <w:rFonts w:ascii="Arial" w:cs="Arial" w:eastAsia="Arial" w:hAnsi="Arial"/>
                <w:sz w:val="13"/>
                <w:szCs w:val="13"/>
                <w:color w:val="auto"/>
              </w:rPr>
              <w:t>(615)</w:t>
            </w:r>
          </w:p>
        </w:tc>
        <w:tc>
          <w:tcPr>
            <w:tcW w:w="660" w:type="dxa"/>
            <w:vAlign w:val="bottom"/>
          </w:tcPr>
          <w:p>
            <w:pPr>
              <w:jc w:val="right"/>
              <w:ind w:right="75"/>
              <w:spacing w:after="0" w:line="141" w:lineRule="exact"/>
              <w:rPr>
                <w:sz w:val="20"/>
                <w:szCs w:val="20"/>
                <w:color w:val="auto"/>
              </w:rPr>
            </w:pPr>
            <w:r>
              <w:rPr>
                <w:rFonts w:ascii="Arial" w:cs="Arial" w:eastAsia="Arial" w:hAnsi="Arial"/>
                <w:sz w:val="13"/>
                <w:szCs w:val="13"/>
                <w:b w:val="1"/>
                <w:bCs w:val="1"/>
                <w:color w:val="auto"/>
              </w:rPr>
              <w:t>(327)</w:t>
            </w:r>
          </w:p>
        </w:tc>
        <w:tc>
          <w:tcPr>
            <w:tcW w:w="580" w:type="dxa"/>
            <w:vAlign w:val="bottom"/>
          </w:tcPr>
          <w:p>
            <w:pPr>
              <w:jc w:val="right"/>
              <w:ind w:right="14"/>
              <w:spacing w:after="0" w:line="141" w:lineRule="exact"/>
              <w:rPr>
                <w:sz w:val="20"/>
                <w:szCs w:val="20"/>
                <w:color w:val="auto"/>
              </w:rPr>
            </w:pPr>
            <w:r>
              <w:rPr>
                <w:rFonts w:ascii="Arial" w:cs="Arial" w:eastAsia="Arial" w:hAnsi="Arial"/>
                <w:sz w:val="13"/>
                <w:szCs w:val="13"/>
                <w:color w:val="auto"/>
              </w:rPr>
              <w:t>(305)</w:t>
            </w:r>
          </w:p>
        </w:tc>
        <w:tc>
          <w:tcPr>
            <w:tcW w:w="500" w:type="dxa"/>
            <w:vAlign w:val="bottom"/>
          </w:tcPr>
          <w:p>
            <w:pPr>
              <w:jc w:val="right"/>
              <w:ind w:right="35"/>
              <w:spacing w:after="0" w:line="141" w:lineRule="exact"/>
              <w:rPr>
                <w:sz w:val="20"/>
                <w:szCs w:val="20"/>
                <w:color w:val="auto"/>
              </w:rPr>
            </w:pPr>
            <w:r>
              <w:rPr>
                <w:rFonts w:ascii="Arial" w:cs="Arial" w:eastAsia="Arial" w:hAnsi="Arial"/>
                <w:sz w:val="13"/>
                <w:szCs w:val="13"/>
                <w:b w:val="1"/>
                <w:bCs w:val="1"/>
                <w:color w:val="auto"/>
              </w:rPr>
              <w:t>(439)</w:t>
            </w:r>
          </w:p>
        </w:tc>
        <w:tc>
          <w:tcPr>
            <w:tcW w:w="500" w:type="dxa"/>
            <w:vAlign w:val="bottom"/>
          </w:tcPr>
          <w:p>
            <w:pPr>
              <w:jc w:val="right"/>
              <w:ind w:right="14"/>
              <w:spacing w:after="0" w:line="141" w:lineRule="exact"/>
              <w:rPr>
                <w:sz w:val="20"/>
                <w:szCs w:val="20"/>
                <w:color w:val="auto"/>
              </w:rPr>
            </w:pPr>
            <w:r>
              <w:rPr>
                <w:rFonts w:ascii="Arial" w:cs="Arial" w:eastAsia="Arial" w:hAnsi="Arial"/>
                <w:sz w:val="13"/>
                <w:szCs w:val="13"/>
                <w:color w:val="auto"/>
              </w:rPr>
              <w:t>(411)</w:t>
            </w:r>
          </w:p>
        </w:tc>
        <w:tc>
          <w:tcPr>
            <w:tcW w:w="500" w:type="dxa"/>
            <w:vAlign w:val="bottom"/>
          </w:tcPr>
          <w:p>
            <w:pPr>
              <w:jc w:val="right"/>
              <w:ind w:right="35"/>
              <w:spacing w:after="0" w:line="141" w:lineRule="exact"/>
              <w:rPr>
                <w:sz w:val="20"/>
                <w:szCs w:val="20"/>
                <w:color w:val="auto"/>
              </w:rPr>
            </w:pPr>
            <w:r>
              <w:rPr>
                <w:rFonts w:ascii="Arial" w:cs="Arial" w:eastAsia="Arial" w:hAnsi="Arial"/>
                <w:sz w:val="13"/>
                <w:szCs w:val="13"/>
                <w:b w:val="1"/>
                <w:bCs w:val="1"/>
                <w:color w:val="auto"/>
              </w:rPr>
              <w:t>(171)</w:t>
            </w:r>
          </w:p>
        </w:tc>
        <w:tc>
          <w:tcPr>
            <w:tcW w:w="480" w:type="dxa"/>
            <w:vAlign w:val="bottom"/>
          </w:tcPr>
          <w:p>
            <w:pPr>
              <w:jc w:val="right"/>
              <w:ind w:right="14"/>
              <w:spacing w:after="0" w:line="141" w:lineRule="exact"/>
              <w:rPr>
                <w:sz w:val="20"/>
                <w:szCs w:val="20"/>
                <w:color w:val="auto"/>
              </w:rPr>
            </w:pPr>
            <w:r>
              <w:rPr>
                <w:rFonts w:ascii="Arial" w:cs="Arial" w:eastAsia="Arial" w:hAnsi="Arial"/>
                <w:sz w:val="13"/>
                <w:szCs w:val="13"/>
                <w:color w:val="auto"/>
              </w:rPr>
              <w:t>(173)</w:t>
            </w:r>
          </w:p>
        </w:tc>
        <w:tc>
          <w:tcPr>
            <w:tcW w:w="500" w:type="dxa"/>
            <w:vAlign w:val="bottom"/>
          </w:tcPr>
          <w:p>
            <w:pPr>
              <w:jc w:val="right"/>
              <w:ind w:right="55"/>
              <w:spacing w:after="0" w:line="141" w:lineRule="exact"/>
              <w:rPr>
                <w:sz w:val="20"/>
                <w:szCs w:val="20"/>
                <w:color w:val="auto"/>
              </w:rPr>
            </w:pPr>
            <w:r>
              <w:rPr>
                <w:rFonts w:ascii="Arial" w:cs="Arial" w:eastAsia="Arial" w:hAnsi="Arial"/>
                <w:sz w:val="13"/>
                <w:szCs w:val="13"/>
                <w:b w:val="1"/>
                <w:bCs w:val="1"/>
                <w:color w:val="auto"/>
              </w:rPr>
              <w:t>-</w:t>
            </w:r>
          </w:p>
        </w:tc>
        <w:tc>
          <w:tcPr>
            <w:tcW w:w="480" w:type="dxa"/>
            <w:vAlign w:val="bottom"/>
          </w:tcPr>
          <w:p>
            <w:pPr>
              <w:jc w:val="right"/>
              <w:ind w:right="34"/>
              <w:spacing w:after="0" w:line="141"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14"/>
              <w:spacing w:after="0" w:line="141" w:lineRule="exact"/>
              <w:rPr>
                <w:sz w:val="20"/>
                <w:szCs w:val="20"/>
                <w:color w:val="auto"/>
              </w:rPr>
            </w:pPr>
            <w:r>
              <w:rPr>
                <w:rFonts w:ascii="Arial" w:cs="Arial" w:eastAsia="Arial" w:hAnsi="Arial"/>
                <w:sz w:val="13"/>
                <w:szCs w:val="13"/>
                <w:b w:val="1"/>
                <w:bCs w:val="1"/>
                <w:color w:val="auto"/>
              </w:rPr>
              <w:t>(2,551)</w:t>
            </w:r>
          </w:p>
        </w:tc>
        <w:tc>
          <w:tcPr>
            <w:tcW w:w="600" w:type="dxa"/>
            <w:vAlign w:val="bottom"/>
          </w:tcPr>
          <w:p>
            <w:pPr>
              <w:jc w:val="right"/>
              <w:ind w:right="14"/>
              <w:spacing w:after="0" w:line="141" w:lineRule="exact"/>
              <w:rPr>
                <w:sz w:val="20"/>
                <w:szCs w:val="20"/>
                <w:color w:val="auto"/>
              </w:rPr>
            </w:pPr>
            <w:r>
              <w:rPr>
                <w:rFonts w:ascii="Arial" w:cs="Arial" w:eastAsia="Arial" w:hAnsi="Arial"/>
                <w:sz w:val="13"/>
                <w:szCs w:val="13"/>
                <w:color w:val="auto"/>
              </w:rPr>
              <w:t>(2,417)</w:t>
            </w:r>
          </w:p>
        </w:tc>
        <w:tc>
          <w:tcPr>
            <w:tcW w:w="0" w:type="dxa"/>
            <w:vAlign w:val="bottom"/>
          </w:tcPr>
          <w:p>
            <w:pPr>
              <w:spacing w:after="0"/>
              <w:rPr>
                <w:sz w:val="1"/>
                <w:szCs w:val="1"/>
                <w:color w:val="auto"/>
              </w:rPr>
            </w:pPr>
          </w:p>
        </w:tc>
      </w:tr>
      <w:tr>
        <w:trPr>
          <w:trHeight w:val="158"/>
        </w:trPr>
        <w:tc>
          <w:tcPr>
            <w:tcW w:w="3360" w:type="dxa"/>
            <w:vAlign w:val="bottom"/>
          </w:tcPr>
          <w:p>
            <w:pPr>
              <w:spacing w:after="0" w:line="157" w:lineRule="exact"/>
              <w:rPr>
                <w:sz w:val="20"/>
                <w:szCs w:val="20"/>
                <w:color w:val="auto"/>
              </w:rPr>
            </w:pPr>
            <w:r>
              <w:rPr>
                <w:rFonts w:ascii="Arial" w:cs="Arial" w:eastAsia="Arial" w:hAnsi="Arial"/>
                <w:sz w:val="13"/>
                <w:szCs w:val="13"/>
                <w:color w:val="auto"/>
              </w:rPr>
              <w:t> Goods and services</w:t>
            </w:r>
            <w:r>
              <w:rPr>
                <w:rFonts w:ascii="Arial" w:cs="Arial" w:eastAsia="Arial" w:hAnsi="Arial"/>
                <w:sz w:val="18"/>
                <w:szCs w:val="18"/>
                <w:color w:val="auto"/>
                <w:vertAlign w:val="superscript"/>
              </w:rPr>
              <w:t>(1)</w:t>
            </w:r>
          </w:p>
        </w:tc>
        <w:tc>
          <w:tcPr>
            <w:tcW w:w="520" w:type="dxa"/>
            <w:vAlign w:val="bottom"/>
          </w:tcPr>
          <w:p>
            <w:pPr>
              <w:jc w:val="right"/>
              <w:ind w:right="35"/>
              <w:spacing w:after="0"/>
              <w:rPr>
                <w:sz w:val="20"/>
                <w:szCs w:val="20"/>
                <w:color w:val="auto"/>
              </w:rPr>
            </w:pPr>
            <w:r>
              <w:rPr>
                <w:rFonts w:ascii="Arial" w:cs="Arial" w:eastAsia="Arial" w:hAnsi="Arial"/>
                <w:sz w:val="13"/>
                <w:szCs w:val="13"/>
                <w:b w:val="1"/>
                <w:bCs w:val="1"/>
                <w:color w:val="auto"/>
              </w:rPr>
              <w:t>(539)</w:t>
            </w:r>
          </w:p>
        </w:tc>
        <w:tc>
          <w:tcPr>
            <w:tcW w:w="520" w:type="dxa"/>
            <w:vAlign w:val="bottom"/>
          </w:tcPr>
          <w:p>
            <w:pPr>
              <w:jc w:val="right"/>
              <w:ind w:right="34"/>
              <w:spacing w:after="0"/>
              <w:rPr>
                <w:sz w:val="20"/>
                <w:szCs w:val="20"/>
                <w:color w:val="auto"/>
              </w:rPr>
            </w:pPr>
            <w:r>
              <w:rPr>
                <w:rFonts w:ascii="Arial" w:cs="Arial" w:eastAsia="Arial" w:hAnsi="Arial"/>
                <w:sz w:val="13"/>
                <w:szCs w:val="13"/>
                <w:color w:val="auto"/>
              </w:rPr>
              <w:t>(450)</w:t>
            </w:r>
          </w:p>
        </w:tc>
        <w:tc>
          <w:tcPr>
            <w:tcW w:w="520" w:type="dxa"/>
            <w:vAlign w:val="bottom"/>
          </w:tcPr>
          <w:p>
            <w:pPr>
              <w:jc w:val="right"/>
              <w:ind w:right="35"/>
              <w:spacing w:after="0"/>
              <w:rPr>
                <w:sz w:val="20"/>
                <w:szCs w:val="20"/>
                <w:color w:val="auto"/>
              </w:rPr>
            </w:pPr>
            <w:r>
              <w:rPr>
                <w:rFonts w:ascii="Arial" w:cs="Arial" w:eastAsia="Arial" w:hAnsi="Arial"/>
                <w:sz w:val="13"/>
                <w:szCs w:val="13"/>
                <w:b w:val="1"/>
                <w:bCs w:val="1"/>
                <w:color w:val="auto"/>
              </w:rPr>
              <w:t>(396)</w:t>
            </w:r>
          </w:p>
        </w:tc>
        <w:tc>
          <w:tcPr>
            <w:tcW w:w="500" w:type="dxa"/>
            <w:vAlign w:val="bottom"/>
          </w:tcPr>
          <w:p>
            <w:pPr>
              <w:jc w:val="right"/>
              <w:ind w:right="14"/>
              <w:spacing w:after="0"/>
              <w:rPr>
                <w:sz w:val="20"/>
                <w:szCs w:val="20"/>
                <w:color w:val="auto"/>
              </w:rPr>
            </w:pPr>
            <w:r>
              <w:rPr>
                <w:rFonts w:ascii="Arial" w:cs="Arial" w:eastAsia="Arial" w:hAnsi="Arial"/>
                <w:sz w:val="13"/>
                <w:szCs w:val="13"/>
                <w:color w:val="auto"/>
              </w:rPr>
              <w:t>(299)</w:t>
            </w:r>
          </w:p>
        </w:tc>
        <w:tc>
          <w:tcPr>
            <w:tcW w:w="660" w:type="dxa"/>
            <w:vAlign w:val="bottom"/>
          </w:tcPr>
          <w:p>
            <w:pPr>
              <w:jc w:val="right"/>
              <w:ind w:right="75"/>
              <w:spacing w:after="0"/>
              <w:rPr>
                <w:sz w:val="20"/>
                <w:szCs w:val="20"/>
                <w:color w:val="auto"/>
              </w:rPr>
            </w:pPr>
            <w:r>
              <w:rPr>
                <w:rFonts w:ascii="Arial" w:cs="Arial" w:eastAsia="Arial" w:hAnsi="Arial"/>
                <w:sz w:val="13"/>
                <w:szCs w:val="13"/>
                <w:b w:val="1"/>
                <w:bCs w:val="1"/>
                <w:color w:val="auto"/>
              </w:rPr>
              <w:t>(267)</w:t>
            </w:r>
          </w:p>
        </w:tc>
        <w:tc>
          <w:tcPr>
            <w:tcW w:w="580" w:type="dxa"/>
            <w:vAlign w:val="bottom"/>
          </w:tcPr>
          <w:p>
            <w:pPr>
              <w:jc w:val="right"/>
              <w:ind w:right="14"/>
              <w:spacing w:after="0"/>
              <w:rPr>
                <w:sz w:val="20"/>
                <w:szCs w:val="20"/>
                <w:color w:val="auto"/>
              </w:rPr>
            </w:pPr>
            <w:r>
              <w:rPr>
                <w:rFonts w:ascii="Arial" w:cs="Arial" w:eastAsia="Arial" w:hAnsi="Arial"/>
                <w:sz w:val="13"/>
                <w:szCs w:val="13"/>
                <w:color w:val="auto"/>
              </w:rPr>
              <w:t>(234)</w:t>
            </w:r>
          </w:p>
        </w:tc>
        <w:tc>
          <w:tcPr>
            <w:tcW w:w="500" w:type="dxa"/>
            <w:vAlign w:val="bottom"/>
          </w:tcPr>
          <w:p>
            <w:pPr>
              <w:jc w:val="right"/>
              <w:ind w:right="35"/>
              <w:spacing w:after="0"/>
              <w:rPr>
                <w:sz w:val="20"/>
                <w:szCs w:val="20"/>
                <w:color w:val="auto"/>
              </w:rPr>
            </w:pPr>
            <w:r>
              <w:rPr>
                <w:rFonts w:ascii="Arial" w:cs="Arial" w:eastAsia="Arial" w:hAnsi="Arial"/>
                <w:sz w:val="13"/>
                <w:szCs w:val="13"/>
                <w:b w:val="1"/>
                <w:bCs w:val="1"/>
                <w:color w:val="auto"/>
              </w:rPr>
              <w:t>(166)</w:t>
            </w:r>
          </w:p>
        </w:tc>
        <w:tc>
          <w:tcPr>
            <w:tcW w:w="500" w:type="dxa"/>
            <w:vAlign w:val="bottom"/>
          </w:tcPr>
          <w:p>
            <w:pPr>
              <w:jc w:val="right"/>
              <w:ind w:right="14"/>
              <w:spacing w:after="0"/>
              <w:rPr>
                <w:sz w:val="20"/>
                <w:szCs w:val="20"/>
                <w:color w:val="auto"/>
              </w:rPr>
            </w:pPr>
            <w:r>
              <w:rPr>
                <w:rFonts w:ascii="Arial" w:cs="Arial" w:eastAsia="Arial" w:hAnsi="Arial"/>
                <w:sz w:val="13"/>
                <w:szCs w:val="13"/>
                <w:color w:val="auto"/>
              </w:rPr>
              <w:t>(157)</w:t>
            </w:r>
          </w:p>
        </w:tc>
        <w:tc>
          <w:tcPr>
            <w:tcW w:w="500" w:type="dxa"/>
            <w:vAlign w:val="bottom"/>
          </w:tcPr>
          <w:p>
            <w:pPr>
              <w:jc w:val="right"/>
              <w:ind w:right="35"/>
              <w:spacing w:after="0"/>
              <w:rPr>
                <w:sz w:val="20"/>
                <w:szCs w:val="20"/>
                <w:color w:val="auto"/>
              </w:rPr>
            </w:pPr>
            <w:r>
              <w:rPr>
                <w:rFonts w:ascii="Arial" w:cs="Arial" w:eastAsia="Arial" w:hAnsi="Arial"/>
                <w:sz w:val="13"/>
                <w:szCs w:val="13"/>
                <w:b w:val="1"/>
                <w:bCs w:val="1"/>
                <w:color w:val="auto"/>
              </w:rPr>
              <w:t>(125)</w:t>
            </w:r>
          </w:p>
        </w:tc>
        <w:tc>
          <w:tcPr>
            <w:tcW w:w="480" w:type="dxa"/>
            <w:vAlign w:val="bottom"/>
          </w:tcPr>
          <w:p>
            <w:pPr>
              <w:jc w:val="right"/>
              <w:ind w:right="14"/>
              <w:spacing w:after="0"/>
              <w:rPr>
                <w:sz w:val="20"/>
                <w:szCs w:val="20"/>
                <w:color w:val="auto"/>
              </w:rPr>
            </w:pPr>
            <w:r>
              <w:rPr>
                <w:rFonts w:ascii="Arial" w:cs="Arial" w:eastAsia="Arial" w:hAnsi="Arial"/>
                <w:sz w:val="13"/>
                <w:szCs w:val="13"/>
                <w:color w:val="auto"/>
              </w:rPr>
              <w:t>(142)</w:t>
            </w:r>
          </w:p>
        </w:tc>
        <w:tc>
          <w:tcPr>
            <w:tcW w:w="500" w:type="dxa"/>
            <w:vAlign w:val="bottom"/>
          </w:tcPr>
          <w:p>
            <w:pPr>
              <w:jc w:val="right"/>
              <w:ind w:right="55"/>
              <w:spacing w:after="0"/>
              <w:rPr>
                <w:sz w:val="20"/>
                <w:szCs w:val="20"/>
                <w:color w:val="auto"/>
              </w:rPr>
            </w:pPr>
            <w:r>
              <w:rPr>
                <w:rFonts w:ascii="Arial" w:cs="Arial" w:eastAsia="Arial" w:hAnsi="Arial"/>
                <w:sz w:val="13"/>
                <w:szCs w:val="13"/>
                <w:b w:val="1"/>
                <w:bCs w:val="1"/>
                <w:color w:val="auto"/>
              </w:rPr>
              <w:t>24</w:t>
            </w:r>
          </w:p>
        </w:tc>
        <w:tc>
          <w:tcPr>
            <w:tcW w:w="480" w:type="dxa"/>
            <w:vAlign w:val="bottom"/>
          </w:tcPr>
          <w:p>
            <w:pPr>
              <w:jc w:val="right"/>
              <w:ind w:right="34"/>
              <w:spacing w:after="0"/>
              <w:rPr>
                <w:sz w:val="20"/>
                <w:szCs w:val="20"/>
                <w:color w:val="auto"/>
              </w:rPr>
            </w:pPr>
            <w:r>
              <w:rPr>
                <w:rFonts w:ascii="Arial" w:cs="Arial" w:eastAsia="Arial" w:hAnsi="Arial"/>
                <w:sz w:val="13"/>
                <w:szCs w:val="13"/>
                <w:color w:val="auto"/>
              </w:rPr>
              <w:t>22</w:t>
            </w:r>
          </w:p>
        </w:tc>
        <w:tc>
          <w:tcPr>
            <w:tcW w:w="580" w:type="dxa"/>
            <w:vAlign w:val="bottom"/>
          </w:tcPr>
          <w:p>
            <w:pPr>
              <w:jc w:val="right"/>
              <w:ind w:right="14"/>
              <w:spacing w:after="0"/>
              <w:rPr>
                <w:sz w:val="20"/>
                <w:szCs w:val="20"/>
                <w:color w:val="auto"/>
              </w:rPr>
            </w:pPr>
            <w:r>
              <w:rPr>
                <w:rFonts w:ascii="Arial" w:cs="Arial" w:eastAsia="Arial" w:hAnsi="Arial"/>
                <w:sz w:val="13"/>
                <w:szCs w:val="13"/>
                <w:b w:val="1"/>
                <w:bCs w:val="1"/>
                <w:color w:val="auto"/>
              </w:rPr>
              <w:t>(1,469)</w:t>
            </w:r>
          </w:p>
        </w:tc>
        <w:tc>
          <w:tcPr>
            <w:tcW w:w="600" w:type="dxa"/>
            <w:vAlign w:val="bottom"/>
          </w:tcPr>
          <w:p>
            <w:pPr>
              <w:jc w:val="right"/>
              <w:ind w:right="14"/>
              <w:spacing w:after="0"/>
              <w:rPr>
                <w:sz w:val="20"/>
                <w:szCs w:val="20"/>
                <w:color w:val="auto"/>
              </w:rPr>
            </w:pPr>
            <w:r>
              <w:rPr>
                <w:rFonts w:ascii="Arial" w:cs="Arial" w:eastAsia="Arial" w:hAnsi="Arial"/>
                <w:sz w:val="13"/>
                <w:szCs w:val="13"/>
                <w:color w:val="auto"/>
              </w:rPr>
              <w:t>(1,260)</w:t>
            </w:r>
          </w:p>
        </w:tc>
        <w:tc>
          <w:tcPr>
            <w:tcW w:w="0" w:type="dxa"/>
            <w:vAlign w:val="bottom"/>
          </w:tcPr>
          <w:p>
            <w:pPr>
              <w:spacing w:after="0"/>
              <w:rPr>
                <w:sz w:val="1"/>
                <w:szCs w:val="1"/>
                <w:color w:val="auto"/>
              </w:rPr>
            </w:pPr>
          </w:p>
        </w:tc>
      </w:tr>
      <w:tr>
        <w:trPr>
          <w:trHeight w:val="146"/>
        </w:trPr>
        <w:tc>
          <w:tcPr>
            <w:tcW w:w="3360" w:type="dxa"/>
            <w:vAlign w:val="bottom"/>
          </w:tcPr>
          <w:p>
            <w:pPr>
              <w:spacing w:after="0" w:line="146" w:lineRule="exact"/>
              <w:rPr>
                <w:sz w:val="20"/>
                <w:szCs w:val="20"/>
                <w:color w:val="auto"/>
              </w:rPr>
            </w:pPr>
            <w:r>
              <w:rPr>
                <w:rFonts w:ascii="Arial" w:cs="Arial" w:eastAsia="Arial" w:hAnsi="Arial"/>
                <w:sz w:val="13"/>
                <w:szCs w:val="13"/>
                <w:color w:val="auto"/>
              </w:rPr>
              <w:t> Other expenses</w:t>
            </w:r>
          </w:p>
        </w:tc>
        <w:tc>
          <w:tcPr>
            <w:tcW w:w="520" w:type="dxa"/>
            <w:vAlign w:val="bottom"/>
          </w:tcPr>
          <w:p>
            <w:pPr>
              <w:jc w:val="right"/>
              <w:ind w:right="35"/>
              <w:spacing w:after="0" w:line="146" w:lineRule="exact"/>
              <w:rPr>
                <w:sz w:val="20"/>
                <w:szCs w:val="20"/>
                <w:color w:val="auto"/>
              </w:rPr>
            </w:pPr>
            <w:r>
              <w:rPr>
                <w:rFonts w:ascii="Arial" w:cs="Arial" w:eastAsia="Arial" w:hAnsi="Arial"/>
                <w:sz w:val="13"/>
                <w:szCs w:val="13"/>
                <w:b w:val="1"/>
                <w:bCs w:val="1"/>
                <w:color w:val="auto"/>
              </w:rPr>
              <w:t>(146)</w:t>
            </w:r>
          </w:p>
        </w:tc>
        <w:tc>
          <w:tcPr>
            <w:tcW w:w="520" w:type="dxa"/>
            <w:vAlign w:val="bottom"/>
          </w:tcPr>
          <w:p>
            <w:pPr>
              <w:jc w:val="right"/>
              <w:ind w:right="34"/>
              <w:spacing w:after="0" w:line="146" w:lineRule="exact"/>
              <w:rPr>
                <w:sz w:val="20"/>
                <w:szCs w:val="20"/>
                <w:color w:val="auto"/>
              </w:rPr>
            </w:pPr>
            <w:r>
              <w:rPr>
                <w:rFonts w:ascii="Arial" w:cs="Arial" w:eastAsia="Arial" w:hAnsi="Arial"/>
                <w:sz w:val="13"/>
                <w:szCs w:val="13"/>
                <w:color w:val="auto"/>
              </w:rPr>
              <w:t>(146)</w:t>
            </w:r>
          </w:p>
        </w:tc>
        <w:tc>
          <w:tcPr>
            <w:tcW w:w="520" w:type="dxa"/>
            <w:vAlign w:val="bottom"/>
          </w:tcPr>
          <w:p>
            <w:pPr>
              <w:jc w:val="right"/>
              <w:ind w:right="35"/>
              <w:spacing w:after="0" w:line="146" w:lineRule="exact"/>
              <w:rPr>
                <w:sz w:val="20"/>
                <w:szCs w:val="20"/>
                <w:color w:val="auto"/>
              </w:rPr>
            </w:pPr>
            <w:r>
              <w:rPr>
                <w:rFonts w:ascii="Arial" w:cs="Arial" w:eastAsia="Arial" w:hAnsi="Arial"/>
                <w:sz w:val="13"/>
                <w:szCs w:val="13"/>
                <w:b w:val="1"/>
                <w:bCs w:val="1"/>
                <w:color w:val="auto"/>
              </w:rPr>
              <w:t>(105)</w:t>
            </w:r>
          </w:p>
        </w:tc>
        <w:tc>
          <w:tcPr>
            <w:tcW w:w="500" w:type="dxa"/>
            <w:vAlign w:val="bottom"/>
          </w:tcPr>
          <w:p>
            <w:pPr>
              <w:jc w:val="right"/>
              <w:ind w:right="14"/>
              <w:spacing w:after="0" w:line="146" w:lineRule="exact"/>
              <w:rPr>
                <w:sz w:val="20"/>
                <w:szCs w:val="20"/>
                <w:color w:val="auto"/>
              </w:rPr>
            </w:pPr>
            <w:r>
              <w:rPr>
                <w:rFonts w:ascii="Arial" w:cs="Arial" w:eastAsia="Arial" w:hAnsi="Arial"/>
                <w:sz w:val="13"/>
                <w:szCs w:val="13"/>
                <w:color w:val="auto"/>
              </w:rPr>
              <w:t>(90)</w:t>
            </w:r>
          </w:p>
        </w:tc>
        <w:tc>
          <w:tcPr>
            <w:tcW w:w="660" w:type="dxa"/>
            <w:vAlign w:val="bottom"/>
          </w:tcPr>
          <w:p>
            <w:pPr>
              <w:jc w:val="right"/>
              <w:ind w:right="75"/>
              <w:spacing w:after="0" w:line="146" w:lineRule="exact"/>
              <w:rPr>
                <w:sz w:val="20"/>
                <w:szCs w:val="20"/>
                <w:color w:val="auto"/>
              </w:rPr>
            </w:pPr>
            <w:r>
              <w:rPr>
                <w:rFonts w:ascii="Arial" w:cs="Arial" w:eastAsia="Arial" w:hAnsi="Arial"/>
                <w:sz w:val="13"/>
                <w:szCs w:val="13"/>
                <w:b w:val="1"/>
                <w:bCs w:val="1"/>
                <w:color w:val="auto"/>
              </w:rPr>
              <w:t>(44)</w:t>
            </w:r>
          </w:p>
        </w:tc>
        <w:tc>
          <w:tcPr>
            <w:tcW w:w="580" w:type="dxa"/>
            <w:vAlign w:val="bottom"/>
          </w:tcPr>
          <w:p>
            <w:pPr>
              <w:jc w:val="right"/>
              <w:ind w:right="14"/>
              <w:spacing w:after="0" w:line="146" w:lineRule="exact"/>
              <w:rPr>
                <w:sz w:val="20"/>
                <w:szCs w:val="20"/>
                <w:color w:val="auto"/>
              </w:rPr>
            </w:pPr>
            <w:r>
              <w:rPr>
                <w:rFonts w:ascii="Arial" w:cs="Arial" w:eastAsia="Arial" w:hAnsi="Arial"/>
                <w:sz w:val="13"/>
                <w:szCs w:val="13"/>
                <w:color w:val="auto"/>
              </w:rPr>
              <w:t>(40)</w:t>
            </w:r>
          </w:p>
        </w:tc>
        <w:tc>
          <w:tcPr>
            <w:tcW w:w="500" w:type="dxa"/>
            <w:vAlign w:val="bottom"/>
          </w:tcPr>
          <w:p>
            <w:pPr>
              <w:jc w:val="right"/>
              <w:ind w:right="35"/>
              <w:spacing w:after="0" w:line="146" w:lineRule="exact"/>
              <w:rPr>
                <w:sz w:val="20"/>
                <w:szCs w:val="20"/>
                <w:color w:val="auto"/>
              </w:rPr>
            </w:pPr>
            <w:r>
              <w:rPr>
                <w:rFonts w:ascii="Arial" w:cs="Arial" w:eastAsia="Arial" w:hAnsi="Arial"/>
                <w:sz w:val="13"/>
                <w:szCs w:val="13"/>
                <w:b w:val="1"/>
                <w:bCs w:val="1"/>
                <w:color w:val="auto"/>
              </w:rPr>
              <w:t>(33)</w:t>
            </w:r>
          </w:p>
        </w:tc>
        <w:tc>
          <w:tcPr>
            <w:tcW w:w="500" w:type="dxa"/>
            <w:vAlign w:val="bottom"/>
          </w:tcPr>
          <w:p>
            <w:pPr>
              <w:jc w:val="right"/>
              <w:ind w:right="14"/>
              <w:spacing w:after="0" w:line="146" w:lineRule="exact"/>
              <w:rPr>
                <w:sz w:val="20"/>
                <w:szCs w:val="20"/>
                <w:color w:val="auto"/>
              </w:rPr>
            </w:pPr>
            <w:r>
              <w:rPr>
                <w:rFonts w:ascii="Arial" w:cs="Arial" w:eastAsia="Arial" w:hAnsi="Arial"/>
                <w:sz w:val="13"/>
                <w:szCs w:val="13"/>
                <w:color w:val="auto"/>
              </w:rPr>
              <w:t>(30)</w:t>
            </w:r>
          </w:p>
        </w:tc>
        <w:tc>
          <w:tcPr>
            <w:tcW w:w="500" w:type="dxa"/>
            <w:vAlign w:val="bottom"/>
          </w:tcPr>
          <w:p>
            <w:pPr>
              <w:jc w:val="right"/>
              <w:ind w:right="35"/>
              <w:spacing w:after="0" w:line="146" w:lineRule="exact"/>
              <w:rPr>
                <w:sz w:val="20"/>
                <w:szCs w:val="20"/>
                <w:color w:val="auto"/>
              </w:rPr>
            </w:pPr>
            <w:r>
              <w:rPr>
                <w:rFonts w:ascii="Arial" w:cs="Arial" w:eastAsia="Arial" w:hAnsi="Arial"/>
                <w:sz w:val="13"/>
                <w:szCs w:val="13"/>
                <w:b w:val="1"/>
                <w:bCs w:val="1"/>
                <w:color w:val="auto"/>
              </w:rPr>
              <w:t>(35)</w:t>
            </w:r>
          </w:p>
        </w:tc>
        <w:tc>
          <w:tcPr>
            <w:tcW w:w="480" w:type="dxa"/>
            <w:vAlign w:val="bottom"/>
          </w:tcPr>
          <w:p>
            <w:pPr>
              <w:jc w:val="right"/>
              <w:ind w:right="14"/>
              <w:spacing w:after="0" w:line="146" w:lineRule="exact"/>
              <w:rPr>
                <w:sz w:val="20"/>
                <w:szCs w:val="20"/>
                <w:color w:val="auto"/>
              </w:rPr>
            </w:pPr>
            <w:r>
              <w:rPr>
                <w:rFonts w:ascii="Arial" w:cs="Arial" w:eastAsia="Arial" w:hAnsi="Arial"/>
                <w:sz w:val="13"/>
                <w:szCs w:val="13"/>
                <w:color w:val="auto"/>
              </w:rPr>
              <w:t>(34)</w:t>
            </w:r>
          </w:p>
        </w:tc>
        <w:tc>
          <w:tcPr>
            <w:tcW w:w="500" w:type="dxa"/>
            <w:vAlign w:val="bottom"/>
          </w:tcPr>
          <w:p>
            <w:pPr>
              <w:jc w:val="right"/>
              <w:ind w:right="55"/>
              <w:spacing w:after="0" w:line="146" w:lineRule="exact"/>
              <w:rPr>
                <w:sz w:val="20"/>
                <w:szCs w:val="20"/>
                <w:color w:val="auto"/>
              </w:rPr>
            </w:pPr>
            <w:r>
              <w:rPr>
                <w:rFonts w:ascii="Arial" w:cs="Arial" w:eastAsia="Arial" w:hAnsi="Arial"/>
                <w:sz w:val="13"/>
                <w:szCs w:val="13"/>
                <w:color w:val="auto"/>
              </w:rPr>
              <w:t>-</w:t>
            </w:r>
          </w:p>
        </w:tc>
        <w:tc>
          <w:tcPr>
            <w:tcW w:w="480" w:type="dxa"/>
            <w:vAlign w:val="bottom"/>
          </w:tcPr>
          <w:p>
            <w:pPr>
              <w:jc w:val="right"/>
              <w:ind w:right="34"/>
              <w:spacing w:after="0" w:line="146"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14"/>
              <w:spacing w:after="0" w:line="146" w:lineRule="exact"/>
              <w:rPr>
                <w:sz w:val="20"/>
                <w:szCs w:val="20"/>
                <w:color w:val="auto"/>
              </w:rPr>
            </w:pPr>
            <w:r>
              <w:rPr>
                <w:rFonts w:ascii="Arial" w:cs="Arial" w:eastAsia="Arial" w:hAnsi="Arial"/>
                <w:sz w:val="13"/>
                <w:szCs w:val="13"/>
                <w:b w:val="1"/>
                <w:bCs w:val="1"/>
                <w:color w:val="auto"/>
              </w:rPr>
              <w:t>(363)</w:t>
            </w:r>
          </w:p>
        </w:tc>
        <w:tc>
          <w:tcPr>
            <w:tcW w:w="600" w:type="dxa"/>
            <w:vAlign w:val="bottom"/>
          </w:tcPr>
          <w:p>
            <w:pPr>
              <w:jc w:val="right"/>
              <w:ind w:right="14"/>
              <w:spacing w:after="0" w:line="146" w:lineRule="exact"/>
              <w:rPr>
                <w:sz w:val="20"/>
                <w:szCs w:val="20"/>
                <w:color w:val="auto"/>
              </w:rPr>
            </w:pPr>
            <w:r>
              <w:rPr>
                <w:rFonts w:ascii="Arial" w:cs="Arial" w:eastAsia="Arial" w:hAnsi="Arial"/>
                <w:sz w:val="13"/>
                <w:szCs w:val="13"/>
                <w:color w:val="auto"/>
              </w:rPr>
              <w:t>(340)</w:t>
            </w:r>
          </w:p>
        </w:tc>
        <w:tc>
          <w:tcPr>
            <w:tcW w:w="0" w:type="dxa"/>
            <w:vAlign w:val="bottom"/>
          </w:tcPr>
          <w:p>
            <w:pPr>
              <w:spacing w:after="0"/>
              <w:rPr>
                <w:sz w:val="1"/>
                <w:szCs w:val="1"/>
                <w:color w:val="auto"/>
              </w:rPr>
            </w:pPr>
          </w:p>
        </w:tc>
      </w:tr>
      <w:tr>
        <w:trPr>
          <w:trHeight w:val="158"/>
        </w:trPr>
        <w:tc>
          <w:tcPr>
            <w:tcW w:w="336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 Fair value adjustments on acquired deferred revenue</w:t>
            </w:r>
          </w:p>
        </w:tc>
        <w:tc>
          <w:tcPr>
            <w:tcW w:w="520" w:type="dxa"/>
            <w:vAlign w:val="bottom"/>
            <w:tcBorders>
              <w:bottom w:val="single" w:sz="8" w:color="B2B2B2"/>
            </w:tcBorders>
          </w:tcPr>
          <w:p>
            <w:pPr>
              <w:jc w:val="right"/>
              <w:ind w:right="35"/>
              <w:spacing w:after="0"/>
              <w:rPr>
                <w:sz w:val="20"/>
                <w:szCs w:val="20"/>
                <w:color w:val="auto"/>
              </w:rPr>
            </w:pPr>
            <w:r>
              <w:rPr>
                <w:rFonts w:ascii="Arial" w:cs="Arial" w:eastAsia="Arial" w:hAnsi="Arial"/>
                <w:sz w:val="13"/>
                <w:szCs w:val="13"/>
                <w:b w:val="1"/>
                <w:bCs w:val="1"/>
                <w:color w:val="auto"/>
              </w:rPr>
              <w:t>1</w:t>
            </w:r>
          </w:p>
        </w:tc>
        <w:tc>
          <w:tcPr>
            <w:tcW w:w="520" w:type="dxa"/>
            <w:vAlign w:val="bottom"/>
            <w:tcBorders>
              <w:bottom w:val="single" w:sz="8" w:color="B2B2B2"/>
            </w:tcBorders>
          </w:tcPr>
          <w:p>
            <w:pPr>
              <w:jc w:val="right"/>
              <w:ind w:right="34"/>
              <w:spacing w:after="0"/>
              <w:rPr>
                <w:sz w:val="20"/>
                <w:szCs w:val="20"/>
                <w:color w:val="auto"/>
              </w:rPr>
            </w:pPr>
            <w:r>
              <w:rPr>
                <w:rFonts w:ascii="Arial" w:cs="Arial" w:eastAsia="Arial" w:hAnsi="Arial"/>
                <w:sz w:val="13"/>
                <w:szCs w:val="13"/>
                <w:color w:val="auto"/>
              </w:rPr>
              <w:t>1</w:t>
            </w:r>
          </w:p>
        </w:tc>
        <w:tc>
          <w:tcPr>
            <w:tcW w:w="520" w:type="dxa"/>
            <w:vAlign w:val="bottom"/>
            <w:tcBorders>
              <w:bottom w:val="single" w:sz="8" w:color="B2B2B2"/>
            </w:tcBorders>
          </w:tcPr>
          <w:p>
            <w:pPr>
              <w:jc w:val="right"/>
              <w:ind w:right="35"/>
              <w:spacing w:after="0"/>
              <w:rPr>
                <w:sz w:val="20"/>
                <w:szCs w:val="20"/>
                <w:color w:val="auto"/>
              </w:rPr>
            </w:pPr>
            <w:r>
              <w:rPr>
                <w:rFonts w:ascii="Arial" w:cs="Arial" w:eastAsia="Arial" w:hAnsi="Arial"/>
                <w:sz w:val="13"/>
                <w:szCs w:val="13"/>
                <w:color w:val="auto"/>
              </w:rPr>
              <w:t>6</w:t>
            </w:r>
          </w:p>
        </w:tc>
        <w:tc>
          <w:tcPr>
            <w:tcW w:w="500" w:type="dxa"/>
            <w:vAlign w:val="bottom"/>
            <w:tcBorders>
              <w:bottom w:val="single" w:sz="8" w:color="B2B2B2"/>
            </w:tcBorders>
          </w:tcPr>
          <w:p>
            <w:pPr>
              <w:jc w:val="right"/>
              <w:ind w:right="14"/>
              <w:spacing w:after="0"/>
              <w:rPr>
                <w:sz w:val="20"/>
                <w:szCs w:val="20"/>
                <w:color w:val="auto"/>
              </w:rPr>
            </w:pPr>
            <w:r>
              <w:rPr>
                <w:rFonts w:ascii="Arial" w:cs="Arial" w:eastAsia="Arial" w:hAnsi="Arial"/>
                <w:sz w:val="13"/>
                <w:szCs w:val="13"/>
                <w:color w:val="auto"/>
              </w:rPr>
              <w:t>3</w:t>
            </w:r>
          </w:p>
        </w:tc>
        <w:tc>
          <w:tcPr>
            <w:tcW w:w="660" w:type="dxa"/>
            <w:vAlign w:val="bottom"/>
            <w:tcBorders>
              <w:bottom w:val="single" w:sz="8" w:color="B2B2B2"/>
            </w:tcBorders>
          </w:tcPr>
          <w:p>
            <w:pPr>
              <w:jc w:val="right"/>
              <w:ind w:right="75"/>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B2B2B2"/>
            </w:tcBorders>
          </w:tcPr>
          <w:p>
            <w:pPr>
              <w:jc w:val="right"/>
              <w:ind w:right="14"/>
              <w:spacing w:after="0"/>
              <w:rPr>
                <w:sz w:val="20"/>
                <w:szCs w:val="20"/>
                <w:color w:val="auto"/>
              </w:rPr>
            </w:pPr>
            <w:r>
              <w:rPr>
                <w:rFonts w:ascii="Arial" w:cs="Arial" w:eastAsia="Arial" w:hAnsi="Arial"/>
                <w:sz w:val="13"/>
                <w:szCs w:val="13"/>
                <w:color w:val="auto"/>
              </w:rPr>
              <w:t>11</w:t>
            </w:r>
          </w:p>
        </w:tc>
        <w:tc>
          <w:tcPr>
            <w:tcW w:w="500" w:type="dxa"/>
            <w:vAlign w:val="bottom"/>
            <w:tcBorders>
              <w:bottom w:val="single" w:sz="8" w:color="B2B2B2"/>
            </w:tcBorders>
          </w:tcPr>
          <w:p>
            <w:pPr>
              <w:jc w:val="right"/>
              <w:ind w:right="35"/>
              <w:spacing w:after="0"/>
              <w:rPr>
                <w:sz w:val="20"/>
                <w:szCs w:val="20"/>
                <w:color w:val="auto"/>
              </w:rPr>
            </w:pPr>
            <w:r>
              <w:rPr>
                <w:rFonts w:ascii="Arial" w:cs="Arial" w:eastAsia="Arial" w:hAnsi="Arial"/>
                <w:sz w:val="13"/>
                <w:szCs w:val="13"/>
                <w:b w:val="1"/>
                <w:bCs w:val="1"/>
                <w:color w:val="auto"/>
              </w:rPr>
              <w:t>2</w:t>
            </w:r>
          </w:p>
        </w:tc>
        <w:tc>
          <w:tcPr>
            <w:tcW w:w="500" w:type="dxa"/>
            <w:vAlign w:val="bottom"/>
            <w:tcBorders>
              <w:bottom w:val="single" w:sz="8" w:color="B2B2B2"/>
            </w:tcBorders>
          </w:tcPr>
          <w:p>
            <w:pPr>
              <w:jc w:val="right"/>
              <w:ind w:right="14"/>
              <w:spacing w:after="0"/>
              <w:rPr>
                <w:sz w:val="20"/>
                <w:szCs w:val="20"/>
                <w:color w:val="auto"/>
              </w:rPr>
            </w:pPr>
            <w:r>
              <w:rPr>
                <w:rFonts w:ascii="Arial" w:cs="Arial" w:eastAsia="Arial" w:hAnsi="Arial"/>
                <w:sz w:val="13"/>
                <w:szCs w:val="13"/>
                <w:color w:val="auto"/>
              </w:rPr>
              <w:t>1</w:t>
            </w:r>
          </w:p>
        </w:tc>
        <w:tc>
          <w:tcPr>
            <w:tcW w:w="500" w:type="dxa"/>
            <w:vAlign w:val="bottom"/>
            <w:tcBorders>
              <w:bottom w:val="single" w:sz="8" w:color="B2B2B2"/>
            </w:tcBorders>
          </w:tcPr>
          <w:p>
            <w:pPr>
              <w:jc w:val="right"/>
              <w:ind w:right="35"/>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B2B2B2"/>
            </w:tcBorders>
          </w:tcPr>
          <w:p>
            <w:pPr>
              <w:jc w:val="right"/>
              <w:ind w:right="14"/>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B2B2B2"/>
            </w:tcBorders>
          </w:tcPr>
          <w:p>
            <w:pPr>
              <w:jc w:val="right"/>
              <w:ind w:right="55"/>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B2B2B2"/>
            </w:tcBorders>
          </w:tcPr>
          <w:p>
            <w:pPr>
              <w:jc w:val="right"/>
              <w:ind w:right="34"/>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B2B2B2"/>
            </w:tcBorders>
          </w:tcPr>
          <w:p>
            <w:pPr>
              <w:jc w:val="right"/>
              <w:ind w:right="14"/>
              <w:spacing w:after="0"/>
              <w:rPr>
                <w:sz w:val="20"/>
                <w:szCs w:val="20"/>
                <w:color w:val="auto"/>
              </w:rPr>
            </w:pPr>
            <w:r>
              <w:rPr>
                <w:rFonts w:ascii="Arial" w:cs="Arial" w:eastAsia="Arial" w:hAnsi="Arial"/>
                <w:sz w:val="13"/>
                <w:szCs w:val="13"/>
                <w:b w:val="1"/>
                <w:bCs w:val="1"/>
                <w:color w:val="auto"/>
              </w:rPr>
              <w:t>9</w:t>
            </w:r>
          </w:p>
        </w:tc>
        <w:tc>
          <w:tcPr>
            <w:tcW w:w="600" w:type="dxa"/>
            <w:vAlign w:val="bottom"/>
            <w:tcBorders>
              <w:bottom w:val="single" w:sz="8" w:color="B2B2B2"/>
            </w:tcBorders>
          </w:tcPr>
          <w:p>
            <w:pPr>
              <w:jc w:val="right"/>
              <w:ind w:right="14"/>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39"/>
        </w:trPr>
        <w:tc>
          <w:tcPr>
            <w:tcW w:w="3360" w:type="dxa"/>
            <w:vAlign w:val="bottom"/>
            <w:tcBorders>
              <w:bottom w:val="single" w:sz="8" w:color="B2B2B2"/>
            </w:tcBorders>
          </w:tcPr>
          <w:p>
            <w:pPr>
              <w:spacing w:after="0" w:line="139" w:lineRule="exact"/>
              <w:rPr>
                <w:sz w:val="20"/>
                <w:szCs w:val="20"/>
                <w:color w:val="auto"/>
              </w:rPr>
            </w:pPr>
            <w:r>
              <w:rPr>
                <w:rFonts w:ascii="Arial" w:cs="Arial" w:eastAsia="Arial" w:hAnsi="Arial"/>
                <w:sz w:val="13"/>
                <w:szCs w:val="13"/>
                <w:color w:val="auto"/>
              </w:rPr>
              <w:t> Reportable segments adjusted EBITDA</w:t>
            </w:r>
          </w:p>
        </w:tc>
        <w:tc>
          <w:tcPr>
            <w:tcW w:w="520" w:type="dxa"/>
            <w:vAlign w:val="bottom"/>
            <w:tcBorders>
              <w:bottom w:val="single" w:sz="8" w:color="B2B2B2"/>
            </w:tcBorders>
          </w:tcPr>
          <w:p>
            <w:pPr>
              <w:jc w:val="right"/>
              <w:ind w:right="35"/>
              <w:spacing w:after="0" w:line="139" w:lineRule="exact"/>
              <w:rPr>
                <w:sz w:val="20"/>
                <w:szCs w:val="20"/>
                <w:color w:val="auto"/>
              </w:rPr>
            </w:pPr>
            <w:r>
              <w:rPr>
                <w:rFonts w:ascii="Arial" w:cs="Arial" w:eastAsia="Arial" w:hAnsi="Arial"/>
                <w:sz w:val="13"/>
                <w:szCs w:val="13"/>
                <w:b w:val="1"/>
                <w:bCs w:val="1"/>
                <w:color w:val="auto"/>
              </w:rPr>
              <w:t>1,302</w:t>
            </w:r>
          </w:p>
        </w:tc>
        <w:tc>
          <w:tcPr>
            <w:tcW w:w="520" w:type="dxa"/>
            <w:vAlign w:val="bottom"/>
            <w:tcBorders>
              <w:bottom w:val="single" w:sz="8" w:color="B2B2B2"/>
            </w:tcBorders>
          </w:tcPr>
          <w:p>
            <w:pPr>
              <w:jc w:val="right"/>
              <w:ind w:right="34"/>
              <w:spacing w:after="0" w:line="139" w:lineRule="exact"/>
              <w:rPr>
                <w:sz w:val="20"/>
                <w:szCs w:val="20"/>
                <w:color w:val="auto"/>
              </w:rPr>
            </w:pPr>
            <w:r>
              <w:rPr>
                <w:rFonts w:ascii="Arial" w:cs="Arial" w:eastAsia="Arial" w:hAnsi="Arial"/>
                <w:sz w:val="13"/>
                <w:szCs w:val="13"/>
                <w:color w:val="auto"/>
              </w:rPr>
              <w:t>1,299</w:t>
            </w:r>
          </w:p>
        </w:tc>
        <w:tc>
          <w:tcPr>
            <w:tcW w:w="520" w:type="dxa"/>
            <w:vAlign w:val="bottom"/>
            <w:tcBorders>
              <w:bottom w:val="single" w:sz="8" w:color="B2B2B2"/>
            </w:tcBorders>
          </w:tcPr>
          <w:p>
            <w:pPr>
              <w:jc w:val="right"/>
              <w:ind w:right="35"/>
              <w:spacing w:after="0" w:line="139" w:lineRule="exact"/>
              <w:rPr>
                <w:sz w:val="20"/>
                <w:szCs w:val="20"/>
                <w:color w:val="auto"/>
              </w:rPr>
            </w:pPr>
            <w:r>
              <w:rPr>
                <w:rFonts w:ascii="Arial" w:cs="Arial" w:eastAsia="Arial" w:hAnsi="Arial"/>
                <w:sz w:val="13"/>
                <w:szCs w:val="13"/>
                <w:b w:val="1"/>
                <w:bCs w:val="1"/>
                <w:color w:val="auto"/>
              </w:rPr>
              <w:t>671</w:t>
            </w:r>
          </w:p>
        </w:tc>
        <w:tc>
          <w:tcPr>
            <w:tcW w:w="500" w:type="dxa"/>
            <w:vAlign w:val="bottom"/>
            <w:tcBorders>
              <w:bottom w:val="single" w:sz="8" w:color="B2B2B2"/>
            </w:tcBorders>
          </w:tcPr>
          <w:p>
            <w:pPr>
              <w:jc w:val="right"/>
              <w:ind w:right="14"/>
              <w:spacing w:after="0" w:line="139" w:lineRule="exact"/>
              <w:rPr>
                <w:sz w:val="20"/>
                <w:szCs w:val="20"/>
                <w:color w:val="auto"/>
              </w:rPr>
            </w:pPr>
            <w:r>
              <w:rPr>
                <w:rFonts w:ascii="Arial" w:cs="Arial" w:eastAsia="Arial" w:hAnsi="Arial"/>
                <w:sz w:val="13"/>
                <w:szCs w:val="13"/>
                <w:color w:val="auto"/>
              </w:rPr>
              <w:t>619</w:t>
            </w:r>
          </w:p>
        </w:tc>
        <w:tc>
          <w:tcPr>
            <w:tcW w:w="660" w:type="dxa"/>
            <w:vAlign w:val="bottom"/>
            <w:tcBorders>
              <w:bottom w:val="single" w:sz="8" w:color="B2B2B2"/>
            </w:tcBorders>
          </w:tcPr>
          <w:p>
            <w:pPr>
              <w:jc w:val="right"/>
              <w:ind w:right="75"/>
              <w:spacing w:after="0" w:line="139" w:lineRule="exact"/>
              <w:rPr>
                <w:sz w:val="20"/>
                <w:szCs w:val="20"/>
                <w:color w:val="auto"/>
              </w:rPr>
            </w:pPr>
            <w:r>
              <w:rPr>
                <w:rFonts w:ascii="Arial" w:cs="Arial" w:eastAsia="Arial" w:hAnsi="Arial"/>
                <w:sz w:val="13"/>
                <w:szCs w:val="13"/>
                <w:b w:val="1"/>
                <w:bCs w:val="1"/>
                <w:color w:val="auto"/>
              </w:rPr>
              <w:t>527</w:t>
            </w:r>
          </w:p>
        </w:tc>
        <w:tc>
          <w:tcPr>
            <w:tcW w:w="580" w:type="dxa"/>
            <w:vAlign w:val="bottom"/>
            <w:tcBorders>
              <w:bottom w:val="single" w:sz="8" w:color="B2B2B2"/>
            </w:tcBorders>
          </w:tcPr>
          <w:p>
            <w:pPr>
              <w:jc w:val="right"/>
              <w:ind w:right="14"/>
              <w:spacing w:after="0" w:line="139" w:lineRule="exact"/>
              <w:rPr>
                <w:sz w:val="20"/>
                <w:szCs w:val="20"/>
                <w:color w:val="auto"/>
              </w:rPr>
            </w:pPr>
            <w:r>
              <w:rPr>
                <w:rFonts w:ascii="Arial" w:cs="Arial" w:eastAsia="Arial" w:hAnsi="Arial"/>
                <w:sz w:val="13"/>
                <w:szCs w:val="13"/>
                <w:color w:val="auto"/>
              </w:rPr>
              <w:t>490</w:t>
            </w:r>
          </w:p>
        </w:tc>
        <w:tc>
          <w:tcPr>
            <w:tcW w:w="500" w:type="dxa"/>
            <w:vAlign w:val="bottom"/>
            <w:tcBorders>
              <w:bottom w:val="single" w:sz="8" w:color="B2B2B2"/>
            </w:tcBorders>
          </w:tcPr>
          <w:p>
            <w:pPr>
              <w:jc w:val="right"/>
              <w:ind w:right="35"/>
              <w:spacing w:after="0" w:line="139" w:lineRule="exact"/>
              <w:rPr>
                <w:sz w:val="20"/>
                <w:szCs w:val="20"/>
                <w:color w:val="auto"/>
              </w:rPr>
            </w:pPr>
            <w:r>
              <w:rPr>
                <w:rFonts w:ascii="Arial" w:cs="Arial" w:eastAsia="Arial" w:hAnsi="Arial"/>
                <w:sz w:val="13"/>
                <w:szCs w:val="13"/>
                <w:b w:val="1"/>
                <w:bCs w:val="1"/>
                <w:color w:val="auto"/>
              </w:rPr>
              <w:t>196</w:t>
            </w:r>
          </w:p>
        </w:tc>
        <w:tc>
          <w:tcPr>
            <w:tcW w:w="500" w:type="dxa"/>
            <w:vAlign w:val="bottom"/>
            <w:tcBorders>
              <w:bottom w:val="single" w:sz="8" w:color="B2B2B2"/>
            </w:tcBorders>
          </w:tcPr>
          <w:p>
            <w:pPr>
              <w:jc w:val="right"/>
              <w:ind w:right="14"/>
              <w:spacing w:after="0" w:line="139" w:lineRule="exact"/>
              <w:rPr>
                <w:sz w:val="20"/>
                <w:szCs w:val="20"/>
                <w:color w:val="auto"/>
              </w:rPr>
            </w:pPr>
            <w:r>
              <w:rPr>
                <w:rFonts w:ascii="Arial" w:cs="Arial" w:eastAsia="Arial" w:hAnsi="Arial"/>
                <w:sz w:val="13"/>
                <w:szCs w:val="13"/>
                <w:color w:val="auto"/>
              </w:rPr>
              <w:t>172</w:t>
            </w:r>
          </w:p>
        </w:tc>
        <w:tc>
          <w:tcPr>
            <w:tcW w:w="500" w:type="dxa"/>
            <w:vAlign w:val="bottom"/>
            <w:tcBorders>
              <w:bottom w:val="single" w:sz="8" w:color="B2B2B2"/>
            </w:tcBorders>
          </w:tcPr>
          <w:p>
            <w:pPr>
              <w:jc w:val="right"/>
              <w:ind w:right="35"/>
              <w:spacing w:after="0" w:line="139" w:lineRule="exact"/>
              <w:rPr>
                <w:sz w:val="20"/>
                <w:szCs w:val="20"/>
                <w:color w:val="auto"/>
              </w:rPr>
            </w:pPr>
            <w:r>
              <w:rPr>
                <w:rFonts w:ascii="Arial" w:cs="Arial" w:eastAsia="Arial" w:hAnsi="Arial"/>
                <w:sz w:val="13"/>
                <w:szCs w:val="13"/>
                <w:b w:val="1"/>
                <w:bCs w:val="1"/>
                <w:color w:val="auto"/>
              </w:rPr>
              <w:t>188</w:t>
            </w:r>
          </w:p>
        </w:tc>
        <w:tc>
          <w:tcPr>
            <w:tcW w:w="480" w:type="dxa"/>
            <w:vAlign w:val="bottom"/>
            <w:tcBorders>
              <w:bottom w:val="single" w:sz="8" w:color="B2B2B2"/>
            </w:tcBorders>
          </w:tcPr>
          <w:p>
            <w:pPr>
              <w:jc w:val="right"/>
              <w:ind w:right="14"/>
              <w:spacing w:after="0" w:line="139" w:lineRule="exact"/>
              <w:rPr>
                <w:sz w:val="20"/>
                <w:szCs w:val="20"/>
                <w:color w:val="auto"/>
              </w:rPr>
            </w:pPr>
            <w:r>
              <w:rPr>
                <w:rFonts w:ascii="Arial" w:cs="Arial" w:eastAsia="Arial" w:hAnsi="Arial"/>
                <w:sz w:val="13"/>
                <w:szCs w:val="13"/>
                <w:color w:val="auto"/>
              </w:rPr>
              <w:t>213</w:t>
            </w:r>
          </w:p>
        </w:tc>
        <w:tc>
          <w:tcPr>
            <w:tcW w:w="500" w:type="dxa"/>
            <w:vAlign w:val="bottom"/>
            <w:tcBorders>
              <w:bottom w:val="single" w:sz="8" w:color="B2B2B2"/>
            </w:tcBorders>
          </w:tcPr>
          <w:p>
            <w:pPr>
              <w:jc w:val="right"/>
              <w:ind w:right="55"/>
              <w:spacing w:after="0" w:line="139" w:lineRule="exact"/>
              <w:rPr>
                <w:sz w:val="20"/>
                <w:szCs w:val="20"/>
                <w:color w:val="auto"/>
              </w:rPr>
            </w:pPr>
            <w:r>
              <w:rPr>
                <w:rFonts w:ascii="Arial" w:cs="Arial" w:eastAsia="Arial" w:hAnsi="Arial"/>
                <w:sz w:val="13"/>
                <w:szCs w:val="13"/>
                <w:b w:val="1"/>
                <w:bCs w:val="1"/>
                <w:color w:val="auto"/>
              </w:rPr>
              <w:t>-</w:t>
            </w:r>
          </w:p>
        </w:tc>
        <w:tc>
          <w:tcPr>
            <w:tcW w:w="480" w:type="dxa"/>
            <w:vAlign w:val="bottom"/>
            <w:tcBorders>
              <w:bottom w:val="single" w:sz="8" w:color="B2B2B2"/>
            </w:tcBorders>
          </w:tcPr>
          <w:p>
            <w:pPr>
              <w:jc w:val="right"/>
              <w:ind w:right="34"/>
              <w:spacing w:after="0" w:line="139"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B2B2B2"/>
            </w:tcBorders>
          </w:tcPr>
          <w:p>
            <w:pPr>
              <w:jc w:val="right"/>
              <w:ind w:right="14"/>
              <w:spacing w:after="0" w:line="139" w:lineRule="exact"/>
              <w:rPr>
                <w:sz w:val="20"/>
                <w:szCs w:val="20"/>
                <w:color w:val="auto"/>
              </w:rPr>
            </w:pPr>
            <w:r>
              <w:rPr>
                <w:rFonts w:ascii="Arial" w:cs="Arial" w:eastAsia="Arial" w:hAnsi="Arial"/>
                <w:sz w:val="13"/>
                <w:szCs w:val="13"/>
                <w:b w:val="1"/>
                <w:bCs w:val="1"/>
                <w:color w:val="auto"/>
              </w:rPr>
              <w:t>2,884</w:t>
            </w:r>
          </w:p>
        </w:tc>
        <w:tc>
          <w:tcPr>
            <w:tcW w:w="600" w:type="dxa"/>
            <w:vAlign w:val="bottom"/>
            <w:tcBorders>
              <w:bottom w:val="single" w:sz="8" w:color="B2B2B2"/>
            </w:tcBorders>
          </w:tcPr>
          <w:p>
            <w:pPr>
              <w:jc w:val="right"/>
              <w:ind w:right="14"/>
              <w:spacing w:after="0" w:line="139" w:lineRule="exact"/>
              <w:rPr>
                <w:sz w:val="20"/>
                <w:szCs w:val="20"/>
                <w:color w:val="auto"/>
              </w:rPr>
            </w:pPr>
            <w:r>
              <w:rPr>
                <w:rFonts w:ascii="Arial" w:cs="Arial" w:eastAsia="Arial" w:hAnsi="Arial"/>
                <w:sz w:val="13"/>
                <w:szCs w:val="13"/>
                <w:color w:val="auto"/>
              </w:rPr>
              <w:t>2,793</w:t>
            </w:r>
          </w:p>
        </w:tc>
        <w:tc>
          <w:tcPr>
            <w:tcW w:w="0" w:type="dxa"/>
            <w:vAlign w:val="bottom"/>
          </w:tcPr>
          <w:p>
            <w:pPr>
              <w:spacing w:after="0"/>
              <w:rPr>
                <w:sz w:val="1"/>
                <w:szCs w:val="1"/>
                <w:color w:val="auto"/>
              </w:rPr>
            </w:pPr>
          </w:p>
        </w:tc>
      </w:tr>
      <w:tr>
        <w:trPr>
          <w:trHeight w:val="126"/>
        </w:trPr>
        <w:tc>
          <w:tcPr>
            <w:tcW w:w="3360" w:type="dxa"/>
            <w:vAlign w:val="bottom"/>
          </w:tcPr>
          <w:p>
            <w:pPr>
              <w:spacing w:after="0" w:line="126" w:lineRule="exact"/>
              <w:rPr>
                <w:sz w:val="20"/>
                <w:szCs w:val="20"/>
                <w:color w:val="auto"/>
              </w:rPr>
            </w:pPr>
            <w:r>
              <w:rPr>
                <w:rFonts w:ascii="Arial" w:cs="Arial" w:eastAsia="Arial" w:hAnsi="Arial"/>
                <w:sz w:val="13"/>
                <w:szCs w:val="13"/>
                <w:color w:val="auto"/>
              </w:rPr>
              <w:t> Corporate costs</w:t>
            </w: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jc w:val="right"/>
              <w:ind w:right="14"/>
              <w:spacing w:after="0" w:line="126" w:lineRule="exact"/>
              <w:rPr>
                <w:sz w:val="20"/>
                <w:szCs w:val="20"/>
                <w:color w:val="auto"/>
              </w:rPr>
            </w:pPr>
            <w:r>
              <w:rPr>
                <w:rFonts w:ascii="Arial" w:cs="Arial" w:eastAsia="Arial" w:hAnsi="Arial"/>
                <w:sz w:val="13"/>
                <w:szCs w:val="13"/>
                <w:b w:val="1"/>
                <w:bCs w:val="1"/>
                <w:color w:val="auto"/>
              </w:rPr>
              <w:t>(105)</w:t>
            </w:r>
          </w:p>
        </w:tc>
        <w:tc>
          <w:tcPr>
            <w:tcW w:w="600" w:type="dxa"/>
            <w:vAlign w:val="bottom"/>
          </w:tcPr>
          <w:p>
            <w:pPr>
              <w:jc w:val="right"/>
              <w:ind w:right="14"/>
              <w:spacing w:after="0" w:line="126" w:lineRule="exact"/>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46"/>
        </w:trPr>
        <w:tc>
          <w:tcPr>
            <w:tcW w:w="3360" w:type="dxa"/>
            <w:vAlign w:val="bottom"/>
          </w:tcPr>
          <w:p>
            <w:pPr>
              <w:spacing w:after="0" w:line="146" w:lineRule="exact"/>
              <w:rPr>
                <w:sz w:val="20"/>
                <w:szCs w:val="20"/>
                <w:color w:val="auto"/>
              </w:rPr>
            </w:pPr>
            <w:r>
              <w:rPr>
                <w:rFonts w:ascii="Arial" w:cs="Arial" w:eastAsia="Arial" w:hAnsi="Arial"/>
                <w:sz w:val="13"/>
                <w:szCs w:val="13"/>
                <w:color w:val="auto"/>
              </w:rPr>
              <w:t> Remove fair value adjustments on acquired deferred</w:t>
            </w: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360" w:type="dxa"/>
            <w:vAlign w:val="bottom"/>
          </w:tcPr>
          <w:p>
            <w:pPr>
              <w:ind w:left="140"/>
              <w:spacing w:after="0" w:line="146" w:lineRule="exact"/>
              <w:rPr>
                <w:sz w:val="20"/>
                <w:szCs w:val="20"/>
                <w:color w:val="auto"/>
              </w:rPr>
            </w:pPr>
            <w:r>
              <w:rPr>
                <w:rFonts w:ascii="Arial" w:cs="Arial" w:eastAsia="Arial" w:hAnsi="Arial"/>
                <w:sz w:val="13"/>
                <w:szCs w:val="13"/>
                <w:color w:val="auto"/>
              </w:rPr>
              <w:t>revenue</w:t>
            </w: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jc w:val="right"/>
              <w:ind w:right="14"/>
              <w:spacing w:after="0" w:line="146" w:lineRule="exact"/>
              <w:rPr>
                <w:sz w:val="20"/>
                <w:szCs w:val="20"/>
                <w:color w:val="auto"/>
              </w:rPr>
            </w:pPr>
            <w:r>
              <w:rPr>
                <w:rFonts w:ascii="Arial" w:cs="Arial" w:eastAsia="Arial" w:hAnsi="Arial"/>
                <w:sz w:val="13"/>
                <w:szCs w:val="13"/>
                <w:b w:val="1"/>
                <w:bCs w:val="1"/>
                <w:color w:val="auto"/>
              </w:rPr>
              <w:t>(9)</w:t>
            </w:r>
          </w:p>
        </w:tc>
        <w:tc>
          <w:tcPr>
            <w:tcW w:w="600" w:type="dxa"/>
            <w:vAlign w:val="bottom"/>
          </w:tcPr>
          <w:p>
            <w:pPr>
              <w:jc w:val="right"/>
              <w:ind w:right="14"/>
              <w:spacing w:after="0" w:line="146" w:lineRule="exact"/>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46"/>
        </w:trPr>
        <w:tc>
          <w:tcPr>
            <w:tcW w:w="3360" w:type="dxa"/>
            <w:vAlign w:val="bottom"/>
          </w:tcPr>
          <w:p>
            <w:pPr>
              <w:spacing w:after="0" w:line="146" w:lineRule="exact"/>
              <w:rPr>
                <w:sz w:val="20"/>
                <w:szCs w:val="20"/>
                <w:color w:val="auto"/>
              </w:rPr>
            </w:pPr>
            <w:r>
              <w:rPr>
                <w:rFonts w:ascii="Arial" w:cs="Arial" w:eastAsia="Arial" w:hAnsi="Arial"/>
                <w:sz w:val="13"/>
                <w:szCs w:val="13"/>
                <w:color w:val="auto"/>
              </w:rPr>
              <w:t> Fair value adjustments (see note 5)</w:t>
            </w: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jc w:val="right"/>
              <w:ind w:right="14"/>
              <w:spacing w:after="0" w:line="146" w:lineRule="exact"/>
              <w:rPr>
                <w:sz w:val="20"/>
                <w:szCs w:val="20"/>
                <w:color w:val="auto"/>
              </w:rPr>
            </w:pPr>
            <w:r>
              <w:rPr>
                <w:rFonts w:ascii="Arial" w:cs="Arial" w:eastAsia="Arial" w:hAnsi="Arial"/>
                <w:sz w:val="13"/>
                <w:szCs w:val="13"/>
                <w:b w:val="1"/>
                <w:bCs w:val="1"/>
                <w:color w:val="auto"/>
              </w:rPr>
              <w:t>17</w:t>
            </w:r>
          </w:p>
        </w:tc>
        <w:tc>
          <w:tcPr>
            <w:tcW w:w="600" w:type="dxa"/>
            <w:vAlign w:val="bottom"/>
          </w:tcPr>
          <w:p>
            <w:pPr>
              <w:jc w:val="right"/>
              <w:ind w:right="14"/>
              <w:spacing w:after="0" w:line="146"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6"/>
        </w:trPr>
        <w:tc>
          <w:tcPr>
            <w:tcW w:w="3360" w:type="dxa"/>
            <w:vAlign w:val="bottom"/>
          </w:tcPr>
          <w:p>
            <w:pPr>
              <w:spacing w:after="0" w:line="146" w:lineRule="exact"/>
              <w:rPr>
                <w:sz w:val="20"/>
                <w:szCs w:val="20"/>
                <w:color w:val="auto"/>
              </w:rPr>
            </w:pPr>
            <w:r>
              <w:rPr>
                <w:rFonts w:ascii="Arial" w:cs="Arial" w:eastAsia="Arial" w:hAnsi="Arial"/>
                <w:sz w:val="13"/>
                <w:szCs w:val="13"/>
                <w:color w:val="auto"/>
              </w:rPr>
              <w:t> Depreciation</w:t>
            </w: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jc w:val="right"/>
              <w:ind w:right="14"/>
              <w:spacing w:after="0" w:line="146" w:lineRule="exact"/>
              <w:rPr>
                <w:sz w:val="20"/>
                <w:szCs w:val="20"/>
                <w:color w:val="auto"/>
              </w:rPr>
            </w:pPr>
            <w:r>
              <w:rPr>
                <w:rFonts w:ascii="Arial" w:cs="Arial" w:eastAsia="Arial" w:hAnsi="Arial"/>
                <w:sz w:val="13"/>
                <w:szCs w:val="13"/>
                <w:b w:val="1"/>
                <w:bCs w:val="1"/>
                <w:color w:val="auto"/>
              </w:rPr>
              <w:t>(113)</w:t>
            </w:r>
          </w:p>
        </w:tc>
        <w:tc>
          <w:tcPr>
            <w:tcW w:w="600" w:type="dxa"/>
            <w:vAlign w:val="bottom"/>
          </w:tcPr>
          <w:p>
            <w:pPr>
              <w:jc w:val="right"/>
              <w:ind w:right="14"/>
              <w:spacing w:after="0" w:line="146" w:lineRule="exact"/>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146"/>
        </w:trPr>
        <w:tc>
          <w:tcPr>
            <w:tcW w:w="3360" w:type="dxa"/>
            <w:vAlign w:val="bottom"/>
          </w:tcPr>
          <w:p>
            <w:pPr>
              <w:spacing w:after="0" w:line="146" w:lineRule="exact"/>
              <w:rPr>
                <w:sz w:val="20"/>
                <w:szCs w:val="20"/>
                <w:color w:val="auto"/>
              </w:rPr>
            </w:pPr>
            <w:r>
              <w:rPr>
                <w:rFonts w:ascii="Arial" w:cs="Arial" w:eastAsia="Arial" w:hAnsi="Arial"/>
                <w:sz w:val="13"/>
                <w:szCs w:val="13"/>
                <w:color w:val="auto"/>
              </w:rPr>
              <w:t> Amortization of computer software</w:t>
            </w: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jc w:val="right"/>
              <w:ind w:right="14"/>
              <w:spacing w:after="0" w:line="146" w:lineRule="exact"/>
              <w:rPr>
                <w:sz w:val="20"/>
                <w:szCs w:val="20"/>
                <w:color w:val="auto"/>
              </w:rPr>
            </w:pPr>
            <w:r>
              <w:rPr>
                <w:rFonts w:ascii="Arial" w:cs="Arial" w:eastAsia="Arial" w:hAnsi="Arial"/>
                <w:sz w:val="13"/>
                <w:szCs w:val="13"/>
                <w:b w:val="1"/>
                <w:bCs w:val="1"/>
                <w:color w:val="auto"/>
              </w:rPr>
              <w:t>(618)</w:t>
            </w:r>
          </w:p>
        </w:tc>
        <w:tc>
          <w:tcPr>
            <w:tcW w:w="600" w:type="dxa"/>
            <w:vAlign w:val="bottom"/>
          </w:tcPr>
          <w:p>
            <w:pPr>
              <w:jc w:val="right"/>
              <w:ind w:right="14"/>
              <w:spacing w:after="0" w:line="146" w:lineRule="exact"/>
              <w:rPr>
                <w:sz w:val="20"/>
                <w:szCs w:val="20"/>
                <w:color w:val="auto"/>
              </w:rPr>
            </w:pPr>
            <w:r>
              <w:rPr>
                <w:rFonts w:ascii="Arial" w:cs="Arial" w:eastAsia="Arial" w:hAnsi="Arial"/>
                <w:sz w:val="13"/>
                <w:szCs w:val="13"/>
                <w:color w:val="auto"/>
              </w:rPr>
              <w:t>(512)</w:t>
            </w:r>
          </w:p>
        </w:tc>
        <w:tc>
          <w:tcPr>
            <w:tcW w:w="0" w:type="dxa"/>
            <w:vAlign w:val="bottom"/>
          </w:tcPr>
          <w:p>
            <w:pPr>
              <w:spacing w:after="0"/>
              <w:rPr>
                <w:sz w:val="1"/>
                <w:szCs w:val="1"/>
                <w:color w:val="auto"/>
              </w:rPr>
            </w:pPr>
          </w:p>
        </w:tc>
      </w:tr>
      <w:tr>
        <w:trPr>
          <w:trHeight w:val="146"/>
        </w:trPr>
        <w:tc>
          <w:tcPr>
            <w:tcW w:w="3360" w:type="dxa"/>
            <w:vAlign w:val="bottom"/>
          </w:tcPr>
          <w:p>
            <w:pPr>
              <w:spacing w:after="0" w:line="146" w:lineRule="exact"/>
              <w:rPr>
                <w:sz w:val="20"/>
                <w:szCs w:val="20"/>
                <w:color w:val="auto"/>
              </w:rPr>
            </w:pPr>
            <w:r>
              <w:rPr>
                <w:rFonts w:ascii="Arial" w:cs="Arial" w:eastAsia="Arial" w:hAnsi="Arial"/>
                <w:sz w:val="13"/>
                <w:szCs w:val="13"/>
                <w:color w:val="auto"/>
              </w:rPr>
              <w:t> Amortization of other identifiable intangible assets</w:t>
            </w: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jc w:val="right"/>
              <w:ind w:right="14"/>
              <w:spacing w:after="0" w:line="146" w:lineRule="exact"/>
              <w:rPr>
                <w:sz w:val="20"/>
                <w:szCs w:val="20"/>
                <w:color w:val="auto"/>
              </w:rPr>
            </w:pPr>
            <w:r>
              <w:rPr>
                <w:rFonts w:ascii="Arial" w:cs="Arial" w:eastAsia="Arial" w:hAnsi="Arial"/>
                <w:sz w:val="13"/>
                <w:szCs w:val="13"/>
                <w:b w:val="1"/>
                <w:bCs w:val="1"/>
                <w:color w:val="auto"/>
              </w:rPr>
              <w:t>(91)</w:t>
            </w:r>
          </w:p>
        </w:tc>
        <w:tc>
          <w:tcPr>
            <w:tcW w:w="600" w:type="dxa"/>
            <w:vAlign w:val="bottom"/>
          </w:tcPr>
          <w:p>
            <w:pPr>
              <w:jc w:val="right"/>
              <w:ind w:right="14"/>
              <w:spacing w:after="0" w:line="146" w:lineRule="exact"/>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158"/>
        </w:trPr>
        <w:tc>
          <w:tcPr>
            <w:tcW w:w="336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 Other operating gains, net</w:t>
            </w:r>
          </w:p>
        </w:tc>
        <w:tc>
          <w:tcPr>
            <w:tcW w:w="520" w:type="dxa"/>
            <w:vAlign w:val="bottom"/>
            <w:tcBorders>
              <w:bottom w:val="single" w:sz="8" w:color="B2B2B2"/>
            </w:tcBorders>
          </w:tcPr>
          <w:p>
            <w:pPr>
              <w:spacing w:after="0"/>
              <w:rPr>
                <w:sz w:val="13"/>
                <w:szCs w:val="13"/>
                <w:color w:val="auto"/>
              </w:rPr>
            </w:pPr>
          </w:p>
        </w:tc>
        <w:tc>
          <w:tcPr>
            <w:tcW w:w="520" w:type="dxa"/>
            <w:vAlign w:val="bottom"/>
            <w:tcBorders>
              <w:bottom w:val="single" w:sz="8" w:color="B2B2B2"/>
            </w:tcBorders>
          </w:tcPr>
          <w:p>
            <w:pPr>
              <w:spacing w:after="0"/>
              <w:rPr>
                <w:sz w:val="13"/>
                <w:szCs w:val="13"/>
                <w:color w:val="auto"/>
              </w:rPr>
            </w:pPr>
          </w:p>
        </w:tc>
        <w:tc>
          <w:tcPr>
            <w:tcW w:w="520" w:type="dxa"/>
            <w:vAlign w:val="bottom"/>
            <w:tcBorders>
              <w:bottom w:val="single" w:sz="8" w:color="B2B2B2"/>
            </w:tcBorders>
          </w:tcPr>
          <w:p>
            <w:pPr>
              <w:spacing w:after="0"/>
              <w:rPr>
                <w:sz w:val="13"/>
                <w:szCs w:val="13"/>
                <w:color w:val="auto"/>
              </w:rPr>
            </w:pPr>
          </w:p>
        </w:tc>
        <w:tc>
          <w:tcPr>
            <w:tcW w:w="500" w:type="dxa"/>
            <w:vAlign w:val="bottom"/>
            <w:tcBorders>
              <w:bottom w:val="single" w:sz="8" w:color="B2B2B2"/>
            </w:tcBorders>
          </w:tcPr>
          <w:p>
            <w:pPr>
              <w:spacing w:after="0"/>
              <w:rPr>
                <w:sz w:val="13"/>
                <w:szCs w:val="13"/>
                <w:color w:val="auto"/>
              </w:rPr>
            </w:pPr>
          </w:p>
        </w:tc>
        <w:tc>
          <w:tcPr>
            <w:tcW w:w="660" w:type="dxa"/>
            <w:vAlign w:val="bottom"/>
            <w:tcBorders>
              <w:bottom w:val="single" w:sz="8" w:color="B2B2B2"/>
            </w:tcBorders>
          </w:tcPr>
          <w:p>
            <w:pPr>
              <w:spacing w:after="0"/>
              <w:rPr>
                <w:sz w:val="13"/>
                <w:szCs w:val="13"/>
                <w:color w:val="auto"/>
              </w:rPr>
            </w:pPr>
          </w:p>
        </w:tc>
        <w:tc>
          <w:tcPr>
            <w:tcW w:w="580" w:type="dxa"/>
            <w:vAlign w:val="bottom"/>
            <w:tcBorders>
              <w:bottom w:val="single" w:sz="8" w:color="B2B2B2"/>
            </w:tcBorders>
          </w:tcPr>
          <w:p>
            <w:pPr>
              <w:spacing w:after="0"/>
              <w:rPr>
                <w:sz w:val="13"/>
                <w:szCs w:val="13"/>
                <w:color w:val="auto"/>
              </w:rPr>
            </w:pPr>
          </w:p>
        </w:tc>
        <w:tc>
          <w:tcPr>
            <w:tcW w:w="500" w:type="dxa"/>
            <w:vAlign w:val="bottom"/>
            <w:tcBorders>
              <w:bottom w:val="single" w:sz="8" w:color="B2B2B2"/>
            </w:tcBorders>
          </w:tcPr>
          <w:p>
            <w:pPr>
              <w:spacing w:after="0"/>
              <w:rPr>
                <w:sz w:val="13"/>
                <w:szCs w:val="13"/>
                <w:color w:val="auto"/>
              </w:rPr>
            </w:pPr>
          </w:p>
        </w:tc>
        <w:tc>
          <w:tcPr>
            <w:tcW w:w="500" w:type="dxa"/>
            <w:vAlign w:val="bottom"/>
            <w:tcBorders>
              <w:bottom w:val="single" w:sz="8" w:color="B2B2B2"/>
            </w:tcBorders>
          </w:tcPr>
          <w:p>
            <w:pPr>
              <w:spacing w:after="0"/>
              <w:rPr>
                <w:sz w:val="13"/>
                <w:szCs w:val="13"/>
                <w:color w:val="auto"/>
              </w:rPr>
            </w:pPr>
          </w:p>
        </w:tc>
        <w:tc>
          <w:tcPr>
            <w:tcW w:w="500" w:type="dxa"/>
            <w:vAlign w:val="bottom"/>
            <w:tcBorders>
              <w:bottom w:val="single" w:sz="8" w:color="B2B2B2"/>
            </w:tcBorders>
          </w:tcPr>
          <w:p>
            <w:pPr>
              <w:spacing w:after="0"/>
              <w:rPr>
                <w:sz w:val="13"/>
                <w:szCs w:val="13"/>
                <w:color w:val="auto"/>
              </w:rPr>
            </w:pPr>
          </w:p>
        </w:tc>
        <w:tc>
          <w:tcPr>
            <w:tcW w:w="480" w:type="dxa"/>
            <w:vAlign w:val="bottom"/>
            <w:tcBorders>
              <w:bottom w:val="single" w:sz="8" w:color="B2B2B2"/>
            </w:tcBorders>
          </w:tcPr>
          <w:p>
            <w:pPr>
              <w:spacing w:after="0"/>
              <w:rPr>
                <w:sz w:val="13"/>
                <w:szCs w:val="13"/>
                <w:color w:val="auto"/>
              </w:rPr>
            </w:pPr>
          </w:p>
        </w:tc>
        <w:tc>
          <w:tcPr>
            <w:tcW w:w="500" w:type="dxa"/>
            <w:vAlign w:val="bottom"/>
            <w:tcBorders>
              <w:bottom w:val="single" w:sz="8" w:color="B2B2B2"/>
            </w:tcBorders>
          </w:tcPr>
          <w:p>
            <w:pPr>
              <w:spacing w:after="0"/>
              <w:rPr>
                <w:sz w:val="13"/>
                <w:szCs w:val="13"/>
                <w:color w:val="auto"/>
              </w:rPr>
            </w:pPr>
          </w:p>
        </w:tc>
        <w:tc>
          <w:tcPr>
            <w:tcW w:w="480" w:type="dxa"/>
            <w:vAlign w:val="bottom"/>
            <w:tcBorders>
              <w:bottom w:val="single" w:sz="8" w:color="B2B2B2"/>
            </w:tcBorders>
          </w:tcPr>
          <w:p>
            <w:pPr>
              <w:spacing w:after="0"/>
              <w:rPr>
                <w:sz w:val="13"/>
                <w:szCs w:val="13"/>
                <w:color w:val="auto"/>
              </w:rPr>
            </w:pPr>
          </w:p>
        </w:tc>
        <w:tc>
          <w:tcPr>
            <w:tcW w:w="580" w:type="dxa"/>
            <w:vAlign w:val="bottom"/>
            <w:tcBorders>
              <w:bottom w:val="single" w:sz="8" w:color="B2B2B2"/>
            </w:tcBorders>
          </w:tcPr>
          <w:p>
            <w:pPr>
              <w:jc w:val="right"/>
              <w:ind w:right="14"/>
              <w:spacing w:after="0"/>
              <w:rPr>
                <w:sz w:val="20"/>
                <w:szCs w:val="20"/>
                <w:color w:val="auto"/>
              </w:rPr>
            </w:pPr>
            <w:r>
              <w:rPr>
                <w:rFonts w:ascii="Arial" w:cs="Arial" w:eastAsia="Arial" w:hAnsi="Arial"/>
                <w:sz w:val="13"/>
                <w:szCs w:val="13"/>
                <w:b w:val="1"/>
                <w:bCs w:val="1"/>
                <w:color w:val="auto"/>
              </w:rPr>
              <w:t>144</w:t>
            </w:r>
          </w:p>
        </w:tc>
        <w:tc>
          <w:tcPr>
            <w:tcW w:w="600" w:type="dxa"/>
            <w:vAlign w:val="bottom"/>
            <w:tcBorders>
              <w:bottom w:val="single" w:sz="8" w:color="B2B2B2"/>
            </w:tcBorders>
          </w:tcPr>
          <w:p>
            <w:pPr>
              <w:jc w:val="right"/>
              <w:ind w:right="14"/>
              <w:spacing w:after="0"/>
              <w:rPr>
                <w:sz w:val="20"/>
                <w:szCs w:val="20"/>
                <w:color w:val="auto"/>
              </w:rPr>
            </w:pPr>
            <w:r>
              <w:rPr>
                <w:rFonts w:ascii="Arial" w:cs="Arial" w:eastAsia="Arial" w:hAnsi="Arial"/>
                <w:sz w:val="13"/>
                <w:szCs w:val="13"/>
                <w:color w:val="auto"/>
              </w:rPr>
              <w:t>397</w:t>
            </w:r>
          </w:p>
        </w:tc>
        <w:tc>
          <w:tcPr>
            <w:tcW w:w="0" w:type="dxa"/>
            <w:vAlign w:val="bottom"/>
          </w:tcPr>
          <w:p>
            <w:pPr>
              <w:spacing w:after="0"/>
              <w:rPr>
                <w:sz w:val="1"/>
                <w:szCs w:val="1"/>
                <w:color w:val="auto"/>
              </w:rPr>
            </w:pPr>
          </w:p>
        </w:tc>
      </w:tr>
      <w:tr>
        <w:trPr>
          <w:trHeight w:val="126"/>
        </w:trPr>
        <w:tc>
          <w:tcPr>
            <w:tcW w:w="3360" w:type="dxa"/>
            <w:vAlign w:val="bottom"/>
          </w:tcPr>
          <w:p>
            <w:pPr>
              <w:spacing w:after="0" w:line="126" w:lineRule="exact"/>
              <w:rPr>
                <w:sz w:val="20"/>
                <w:szCs w:val="20"/>
                <w:color w:val="auto"/>
              </w:rPr>
            </w:pPr>
            <w:r>
              <w:rPr>
                <w:rFonts w:ascii="Arial" w:cs="Arial" w:eastAsia="Arial" w:hAnsi="Arial"/>
                <w:sz w:val="13"/>
                <w:szCs w:val="13"/>
                <w:color w:val="auto"/>
              </w:rPr>
              <w:t> Operating profit</w:t>
            </w: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jc w:val="right"/>
              <w:ind w:right="14"/>
              <w:spacing w:after="0" w:line="126" w:lineRule="exact"/>
              <w:rPr>
                <w:sz w:val="20"/>
                <w:szCs w:val="20"/>
                <w:color w:val="auto"/>
              </w:rPr>
            </w:pPr>
            <w:r>
              <w:rPr>
                <w:rFonts w:ascii="Arial" w:cs="Arial" w:eastAsia="Arial" w:hAnsi="Arial"/>
                <w:sz w:val="13"/>
                <w:szCs w:val="13"/>
                <w:b w:val="1"/>
                <w:bCs w:val="1"/>
                <w:color w:val="auto"/>
              </w:rPr>
              <w:t>2,109</w:t>
            </w:r>
          </w:p>
        </w:tc>
        <w:tc>
          <w:tcPr>
            <w:tcW w:w="600" w:type="dxa"/>
            <w:vAlign w:val="bottom"/>
          </w:tcPr>
          <w:p>
            <w:pPr>
              <w:jc w:val="right"/>
              <w:ind w:right="14"/>
              <w:spacing w:after="0" w:line="126" w:lineRule="exact"/>
              <w:rPr>
                <w:sz w:val="20"/>
                <w:szCs w:val="20"/>
                <w:color w:val="auto"/>
              </w:rPr>
            </w:pPr>
            <w:r>
              <w:rPr>
                <w:rFonts w:ascii="Arial" w:cs="Arial" w:eastAsia="Arial" w:hAnsi="Arial"/>
                <w:sz w:val="13"/>
                <w:szCs w:val="13"/>
                <w:color w:val="auto"/>
              </w:rPr>
              <w:t>2,332</w:t>
            </w:r>
          </w:p>
        </w:tc>
        <w:tc>
          <w:tcPr>
            <w:tcW w:w="0" w:type="dxa"/>
            <w:vAlign w:val="bottom"/>
          </w:tcPr>
          <w:p>
            <w:pPr>
              <w:spacing w:after="0"/>
              <w:rPr>
                <w:sz w:val="1"/>
                <w:szCs w:val="1"/>
                <w:color w:val="auto"/>
              </w:rPr>
            </w:pPr>
          </w:p>
        </w:tc>
      </w:tr>
      <w:tr>
        <w:trPr>
          <w:trHeight w:val="146"/>
        </w:trPr>
        <w:tc>
          <w:tcPr>
            <w:tcW w:w="3360" w:type="dxa"/>
            <w:vAlign w:val="bottom"/>
          </w:tcPr>
          <w:p>
            <w:pPr>
              <w:spacing w:after="0" w:line="146" w:lineRule="exact"/>
              <w:rPr>
                <w:sz w:val="20"/>
                <w:szCs w:val="20"/>
                <w:color w:val="auto"/>
              </w:rPr>
            </w:pPr>
            <w:r>
              <w:rPr>
                <w:rFonts w:ascii="Arial" w:cs="Arial" w:eastAsia="Arial" w:hAnsi="Arial"/>
                <w:sz w:val="13"/>
                <w:szCs w:val="13"/>
                <w:color w:val="auto"/>
              </w:rPr>
              <w:t> Net interest expense</w:t>
            </w: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jc w:val="right"/>
              <w:ind w:right="14"/>
              <w:spacing w:after="0" w:line="146" w:lineRule="exact"/>
              <w:rPr>
                <w:sz w:val="20"/>
                <w:szCs w:val="20"/>
                <w:color w:val="auto"/>
              </w:rPr>
            </w:pPr>
            <w:r>
              <w:rPr>
                <w:rFonts w:ascii="Arial" w:cs="Arial" w:eastAsia="Arial" w:hAnsi="Arial"/>
                <w:sz w:val="13"/>
                <w:szCs w:val="13"/>
                <w:b w:val="1"/>
                <w:bCs w:val="1"/>
                <w:color w:val="auto"/>
              </w:rPr>
              <w:t>(125)</w:t>
            </w:r>
          </w:p>
        </w:tc>
        <w:tc>
          <w:tcPr>
            <w:tcW w:w="600" w:type="dxa"/>
            <w:vAlign w:val="bottom"/>
          </w:tcPr>
          <w:p>
            <w:pPr>
              <w:jc w:val="right"/>
              <w:ind w:right="14"/>
              <w:spacing w:after="0" w:line="146" w:lineRule="exact"/>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146"/>
        </w:trPr>
        <w:tc>
          <w:tcPr>
            <w:tcW w:w="3360" w:type="dxa"/>
            <w:vAlign w:val="bottom"/>
          </w:tcPr>
          <w:p>
            <w:pPr>
              <w:spacing w:after="0" w:line="146" w:lineRule="exact"/>
              <w:rPr>
                <w:sz w:val="20"/>
                <w:szCs w:val="20"/>
                <w:color w:val="auto"/>
              </w:rPr>
            </w:pPr>
            <w:r>
              <w:rPr>
                <w:rFonts w:ascii="Arial" w:cs="Arial" w:eastAsia="Arial" w:hAnsi="Arial"/>
                <w:sz w:val="13"/>
                <w:szCs w:val="13"/>
                <w:color w:val="auto"/>
              </w:rPr>
              <w:t> Other finance income (costs)</w:t>
            </w: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jc w:val="right"/>
              <w:ind w:right="14"/>
              <w:spacing w:after="0" w:line="146" w:lineRule="exact"/>
              <w:rPr>
                <w:sz w:val="20"/>
                <w:szCs w:val="20"/>
                <w:color w:val="auto"/>
              </w:rPr>
            </w:pPr>
            <w:r>
              <w:rPr>
                <w:rFonts w:ascii="Arial" w:cs="Arial" w:eastAsia="Arial" w:hAnsi="Arial"/>
                <w:sz w:val="13"/>
                <w:szCs w:val="13"/>
                <w:b w:val="1"/>
                <w:bCs w:val="1"/>
                <w:color w:val="auto"/>
              </w:rPr>
              <w:t>45</w:t>
            </w:r>
          </w:p>
        </w:tc>
        <w:tc>
          <w:tcPr>
            <w:tcW w:w="600" w:type="dxa"/>
            <w:vAlign w:val="bottom"/>
          </w:tcPr>
          <w:p>
            <w:pPr>
              <w:jc w:val="right"/>
              <w:ind w:right="14"/>
              <w:spacing w:after="0" w:line="146" w:lineRule="exact"/>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146"/>
        </w:trPr>
        <w:tc>
          <w:tcPr>
            <w:tcW w:w="3360" w:type="dxa"/>
            <w:vAlign w:val="bottom"/>
          </w:tcPr>
          <w:p>
            <w:pPr>
              <w:spacing w:after="0" w:line="146" w:lineRule="exact"/>
              <w:rPr>
                <w:sz w:val="20"/>
                <w:szCs w:val="20"/>
                <w:color w:val="auto"/>
              </w:rPr>
            </w:pPr>
            <w:r>
              <w:rPr>
                <w:rFonts w:ascii="Arial" w:cs="Arial" w:eastAsia="Arial" w:hAnsi="Arial"/>
                <w:sz w:val="13"/>
                <w:szCs w:val="13"/>
                <w:color w:val="auto"/>
              </w:rPr>
              <w:t> Share of post-tax earnings in equity method investments</w:t>
            </w: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jc w:val="right"/>
              <w:ind w:right="14"/>
              <w:spacing w:after="0" w:line="146" w:lineRule="exact"/>
              <w:rPr>
                <w:sz w:val="20"/>
                <w:szCs w:val="20"/>
                <w:color w:val="auto"/>
              </w:rPr>
            </w:pPr>
            <w:r>
              <w:rPr>
                <w:rFonts w:ascii="Arial" w:cs="Arial" w:eastAsia="Arial" w:hAnsi="Arial"/>
                <w:sz w:val="13"/>
                <w:szCs w:val="13"/>
                <w:b w:val="1"/>
                <w:bCs w:val="1"/>
                <w:color w:val="auto"/>
              </w:rPr>
              <w:t>40</w:t>
            </w:r>
          </w:p>
        </w:tc>
        <w:tc>
          <w:tcPr>
            <w:tcW w:w="600" w:type="dxa"/>
            <w:vAlign w:val="bottom"/>
          </w:tcPr>
          <w:p>
            <w:pPr>
              <w:jc w:val="right"/>
              <w:ind w:right="14"/>
              <w:spacing w:after="0" w:line="146" w:lineRule="exact"/>
              <w:rPr>
                <w:sz w:val="20"/>
                <w:szCs w:val="20"/>
                <w:color w:val="auto"/>
              </w:rPr>
            </w:pPr>
            <w:r>
              <w:rPr>
                <w:rFonts w:ascii="Arial" w:cs="Arial" w:eastAsia="Arial" w:hAnsi="Arial"/>
                <w:sz w:val="13"/>
                <w:szCs w:val="13"/>
                <w:color w:val="auto"/>
              </w:rPr>
              <w:t>1,075</w:t>
            </w:r>
          </w:p>
        </w:tc>
        <w:tc>
          <w:tcPr>
            <w:tcW w:w="0" w:type="dxa"/>
            <w:vAlign w:val="bottom"/>
          </w:tcPr>
          <w:p>
            <w:pPr>
              <w:spacing w:after="0"/>
              <w:rPr>
                <w:sz w:val="1"/>
                <w:szCs w:val="1"/>
                <w:color w:val="auto"/>
              </w:rPr>
            </w:pPr>
          </w:p>
        </w:tc>
      </w:tr>
      <w:tr>
        <w:trPr>
          <w:trHeight w:val="158"/>
        </w:trPr>
        <w:tc>
          <w:tcPr>
            <w:tcW w:w="3360" w:type="dxa"/>
            <w:vAlign w:val="bottom"/>
            <w:tcBorders>
              <w:bottom w:val="single" w:sz="8" w:color="B2B2B2"/>
            </w:tcBorders>
          </w:tcPr>
          <w:p>
            <w:pPr>
              <w:spacing w:after="0"/>
              <w:rPr>
                <w:sz w:val="20"/>
                <w:szCs w:val="20"/>
                <w:color w:val="auto"/>
              </w:rPr>
            </w:pPr>
            <w:r>
              <w:rPr>
                <w:rFonts w:ascii="Arial" w:cs="Arial" w:eastAsia="Arial" w:hAnsi="Arial"/>
                <w:sz w:val="13"/>
                <w:szCs w:val="13"/>
                <w:color w:val="auto"/>
              </w:rPr>
              <w:t> Tax benefit (expense)</w:t>
            </w:r>
          </w:p>
        </w:tc>
        <w:tc>
          <w:tcPr>
            <w:tcW w:w="520" w:type="dxa"/>
            <w:vAlign w:val="bottom"/>
            <w:tcBorders>
              <w:bottom w:val="single" w:sz="8" w:color="B2B2B2"/>
            </w:tcBorders>
          </w:tcPr>
          <w:p>
            <w:pPr>
              <w:spacing w:after="0"/>
              <w:rPr>
                <w:sz w:val="13"/>
                <w:szCs w:val="13"/>
                <w:color w:val="auto"/>
              </w:rPr>
            </w:pPr>
          </w:p>
        </w:tc>
        <w:tc>
          <w:tcPr>
            <w:tcW w:w="520" w:type="dxa"/>
            <w:vAlign w:val="bottom"/>
            <w:tcBorders>
              <w:bottom w:val="single" w:sz="8" w:color="B2B2B2"/>
            </w:tcBorders>
          </w:tcPr>
          <w:p>
            <w:pPr>
              <w:spacing w:after="0"/>
              <w:rPr>
                <w:sz w:val="13"/>
                <w:szCs w:val="13"/>
                <w:color w:val="auto"/>
              </w:rPr>
            </w:pPr>
          </w:p>
        </w:tc>
        <w:tc>
          <w:tcPr>
            <w:tcW w:w="520" w:type="dxa"/>
            <w:vAlign w:val="bottom"/>
            <w:tcBorders>
              <w:bottom w:val="single" w:sz="8" w:color="B2B2B2"/>
            </w:tcBorders>
          </w:tcPr>
          <w:p>
            <w:pPr>
              <w:spacing w:after="0"/>
              <w:rPr>
                <w:sz w:val="13"/>
                <w:szCs w:val="13"/>
                <w:color w:val="auto"/>
              </w:rPr>
            </w:pPr>
          </w:p>
        </w:tc>
        <w:tc>
          <w:tcPr>
            <w:tcW w:w="500" w:type="dxa"/>
            <w:vAlign w:val="bottom"/>
            <w:tcBorders>
              <w:bottom w:val="single" w:sz="8" w:color="B2B2B2"/>
            </w:tcBorders>
          </w:tcPr>
          <w:p>
            <w:pPr>
              <w:spacing w:after="0"/>
              <w:rPr>
                <w:sz w:val="13"/>
                <w:szCs w:val="13"/>
                <w:color w:val="auto"/>
              </w:rPr>
            </w:pPr>
          </w:p>
        </w:tc>
        <w:tc>
          <w:tcPr>
            <w:tcW w:w="660" w:type="dxa"/>
            <w:vAlign w:val="bottom"/>
            <w:tcBorders>
              <w:bottom w:val="single" w:sz="8" w:color="B2B2B2"/>
            </w:tcBorders>
          </w:tcPr>
          <w:p>
            <w:pPr>
              <w:spacing w:after="0"/>
              <w:rPr>
                <w:sz w:val="13"/>
                <w:szCs w:val="13"/>
                <w:color w:val="auto"/>
              </w:rPr>
            </w:pPr>
          </w:p>
        </w:tc>
        <w:tc>
          <w:tcPr>
            <w:tcW w:w="580" w:type="dxa"/>
            <w:vAlign w:val="bottom"/>
            <w:tcBorders>
              <w:bottom w:val="single" w:sz="8" w:color="B2B2B2"/>
            </w:tcBorders>
          </w:tcPr>
          <w:p>
            <w:pPr>
              <w:spacing w:after="0"/>
              <w:rPr>
                <w:sz w:val="13"/>
                <w:szCs w:val="13"/>
                <w:color w:val="auto"/>
              </w:rPr>
            </w:pPr>
          </w:p>
        </w:tc>
        <w:tc>
          <w:tcPr>
            <w:tcW w:w="500" w:type="dxa"/>
            <w:vAlign w:val="bottom"/>
            <w:tcBorders>
              <w:bottom w:val="single" w:sz="8" w:color="B2B2B2"/>
            </w:tcBorders>
          </w:tcPr>
          <w:p>
            <w:pPr>
              <w:spacing w:after="0"/>
              <w:rPr>
                <w:sz w:val="13"/>
                <w:szCs w:val="13"/>
                <w:color w:val="auto"/>
              </w:rPr>
            </w:pPr>
          </w:p>
        </w:tc>
        <w:tc>
          <w:tcPr>
            <w:tcW w:w="500" w:type="dxa"/>
            <w:vAlign w:val="bottom"/>
            <w:tcBorders>
              <w:bottom w:val="single" w:sz="8" w:color="B2B2B2"/>
            </w:tcBorders>
          </w:tcPr>
          <w:p>
            <w:pPr>
              <w:spacing w:after="0"/>
              <w:rPr>
                <w:sz w:val="13"/>
                <w:szCs w:val="13"/>
                <w:color w:val="auto"/>
              </w:rPr>
            </w:pPr>
          </w:p>
        </w:tc>
        <w:tc>
          <w:tcPr>
            <w:tcW w:w="500" w:type="dxa"/>
            <w:vAlign w:val="bottom"/>
            <w:tcBorders>
              <w:bottom w:val="single" w:sz="8" w:color="B2B2B2"/>
            </w:tcBorders>
          </w:tcPr>
          <w:p>
            <w:pPr>
              <w:spacing w:after="0"/>
              <w:rPr>
                <w:sz w:val="13"/>
                <w:szCs w:val="13"/>
                <w:color w:val="auto"/>
              </w:rPr>
            </w:pPr>
          </w:p>
        </w:tc>
        <w:tc>
          <w:tcPr>
            <w:tcW w:w="480" w:type="dxa"/>
            <w:vAlign w:val="bottom"/>
            <w:tcBorders>
              <w:bottom w:val="single" w:sz="8" w:color="B2B2B2"/>
            </w:tcBorders>
          </w:tcPr>
          <w:p>
            <w:pPr>
              <w:spacing w:after="0"/>
              <w:rPr>
                <w:sz w:val="13"/>
                <w:szCs w:val="13"/>
                <w:color w:val="auto"/>
              </w:rPr>
            </w:pPr>
          </w:p>
        </w:tc>
        <w:tc>
          <w:tcPr>
            <w:tcW w:w="500" w:type="dxa"/>
            <w:vAlign w:val="bottom"/>
            <w:tcBorders>
              <w:bottom w:val="single" w:sz="8" w:color="B2B2B2"/>
            </w:tcBorders>
          </w:tcPr>
          <w:p>
            <w:pPr>
              <w:spacing w:after="0"/>
              <w:rPr>
                <w:sz w:val="13"/>
                <w:szCs w:val="13"/>
                <w:color w:val="auto"/>
              </w:rPr>
            </w:pPr>
          </w:p>
        </w:tc>
        <w:tc>
          <w:tcPr>
            <w:tcW w:w="480" w:type="dxa"/>
            <w:vAlign w:val="bottom"/>
            <w:tcBorders>
              <w:bottom w:val="single" w:sz="8" w:color="B2B2B2"/>
            </w:tcBorders>
          </w:tcPr>
          <w:p>
            <w:pPr>
              <w:spacing w:after="0"/>
              <w:rPr>
                <w:sz w:val="13"/>
                <w:szCs w:val="13"/>
                <w:color w:val="auto"/>
              </w:rPr>
            </w:pPr>
          </w:p>
        </w:tc>
        <w:tc>
          <w:tcPr>
            <w:tcW w:w="580" w:type="dxa"/>
            <w:vAlign w:val="bottom"/>
            <w:tcBorders>
              <w:bottom w:val="single" w:sz="8" w:color="B2B2B2"/>
            </w:tcBorders>
          </w:tcPr>
          <w:p>
            <w:pPr>
              <w:jc w:val="right"/>
              <w:ind w:right="14"/>
              <w:spacing w:after="0"/>
              <w:rPr>
                <w:sz w:val="20"/>
                <w:szCs w:val="20"/>
                <w:color w:val="auto"/>
              </w:rPr>
            </w:pPr>
            <w:r>
              <w:rPr>
                <w:rFonts w:ascii="Arial" w:cs="Arial" w:eastAsia="Arial" w:hAnsi="Arial"/>
                <w:sz w:val="13"/>
                <w:szCs w:val="13"/>
                <w:b w:val="1"/>
                <w:bCs w:val="1"/>
                <w:color w:val="auto"/>
              </w:rPr>
              <w:t>123</w:t>
            </w:r>
          </w:p>
        </w:tc>
        <w:tc>
          <w:tcPr>
            <w:tcW w:w="600" w:type="dxa"/>
            <w:vAlign w:val="bottom"/>
            <w:tcBorders>
              <w:bottom w:val="single" w:sz="8" w:color="B2B2B2"/>
            </w:tcBorders>
          </w:tcPr>
          <w:p>
            <w:pPr>
              <w:jc w:val="right"/>
              <w:ind w:right="14"/>
              <w:spacing w:after="0"/>
              <w:rPr>
                <w:sz w:val="20"/>
                <w:szCs w:val="20"/>
                <w:color w:val="auto"/>
              </w:rPr>
            </w:pPr>
            <w:r>
              <w:rPr>
                <w:rFonts w:ascii="Arial" w:cs="Arial" w:eastAsia="Arial" w:hAnsi="Arial"/>
                <w:sz w:val="13"/>
                <w:szCs w:val="13"/>
                <w:color w:val="auto"/>
              </w:rPr>
              <w:t>(417)</w:t>
            </w:r>
          </w:p>
        </w:tc>
        <w:tc>
          <w:tcPr>
            <w:tcW w:w="0" w:type="dxa"/>
            <w:vAlign w:val="bottom"/>
          </w:tcPr>
          <w:p>
            <w:pPr>
              <w:spacing w:after="0"/>
              <w:rPr>
                <w:sz w:val="1"/>
                <w:szCs w:val="1"/>
                <w:color w:val="auto"/>
              </w:rPr>
            </w:pPr>
          </w:p>
        </w:tc>
      </w:tr>
      <w:tr>
        <w:trPr>
          <w:trHeight w:val="146"/>
        </w:trPr>
        <w:tc>
          <w:tcPr>
            <w:tcW w:w="3360" w:type="dxa"/>
            <w:vAlign w:val="bottom"/>
            <w:tcBorders>
              <w:bottom w:val="single" w:sz="8" w:color="D64000"/>
            </w:tcBorders>
          </w:tcPr>
          <w:p>
            <w:pPr>
              <w:spacing w:after="0" w:line="139" w:lineRule="exact"/>
              <w:rPr>
                <w:sz w:val="20"/>
                <w:szCs w:val="20"/>
                <w:color w:val="auto"/>
              </w:rPr>
            </w:pPr>
            <w:r>
              <w:rPr>
                <w:rFonts w:ascii="Arial" w:cs="Arial" w:eastAsia="Arial" w:hAnsi="Arial"/>
                <w:sz w:val="13"/>
                <w:szCs w:val="13"/>
                <w:color w:val="auto"/>
              </w:rPr>
              <w:t> Earnings from continuing operations</w:t>
            </w:r>
          </w:p>
        </w:tc>
        <w:tc>
          <w:tcPr>
            <w:tcW w:w="520" w:type="dxa"/>
            <w:vAlign w:val="bottom"/>
            <w:tcBorders>
              <w:bottom w:val="single" w:sz="8" w:color="D64000"/>
            </w:tcBorders>
          </w:tcPr>
          <w:p>
            <w:pPr>
              <w:spacing w:after="0"/>
              <w:rPr>
                <w:sz w:val="12"/>
                <w:szCs w:val="12"/>
                <w:color w:val="auto"/>
              </w:rPr>
            </w:pPr>
          </w:p>
        </w:tc>
        <w:tc>
          <w:tcPr>
            <w:tcW w:w="520" w:type="dxa"/>
            <w:vAlign w:val="bottom"/>
            <w:tcBorders>
              <w:bottom w:val="single" w:sz="8" w:color="D64000"/>
            </w:tcBorders>
          </w:tcPr>
          <w:p>
            <w:pPr>
              <w:spacing w:after="0"/>
              <w:rPr>
                <w:sz w:val="12"/>
                <w:szCs w:val="12"/>
                <w:color w:val="auto"/>
              </w:rPr>
            </w:pPr>
          </w:p>
        </w:tc>
        <w:tc>
          <w:tcPr>
            <w:tcW w:w="520" w:type="dxa"/>
            <w:vAlign w:val="bottom"/>
            <w:tcBorders>
              <w:bottom w:val="single" w:sz="8" w:color="D64000"/>
            </w:tcBorders>
          </w:tcPr>
          <w:p>
            <w:pPr>
              <w:spacing w:after="0"/>
              <w:rPr>
                <w:sz w:val="12"/>
                <w:szCs w:val="12"/>
                <w:color w:val="auto"/>
              </w:rPr>
            </w:pPr>
          </w:p>
        </w:tc>
        <w:tc>
          <w:tcPr>
            <w:tcW w:w="500" w:type="dxa"/>
            <w:vAlign w:val="bottom"/>
            <w:tcBorders>
              <w:bottom w:val="single" w:sz="8" w:color="D64000"/>
            </w:tcBorders>
          </w:tcPr>
          <w:p>
            <w:pPr>
              <w:spacing w:after="0"/>
              <w:rPr>
                <w:sz w:val="12"/>
                <w:szCs w:val="12"/>
                <w:color w:val="auto"/>
              </w:rPr>
            </w:pPr>
          </w:p>
        </w:tc>
        <w:tc>
          <w:tcPr>
            <w:tcW w:w="660" w:type="dxa"/>
            <w:vAlign w:val="bottom"/>
            <w:tcBorders>
              <w:bottom w:val="single" w:sz="8" w:color="D64000"/>
            </w:tcBorders>
          </w:tcPr>
          <w:p>
            <w:pPr>
              <w:spacing w:after="0"/>
              <w:rPr>
                <w:sz w:val="12"/>
                <w:szCs w:val="12"/>
                <w:color w:val="auto"/>
              </w:rPr>
            </w:pPr>
          </w:p>
        </w:tc>
        <w:tc>
          <w:tcPr>
            <w:tcW w:w="580" w:type="dxa"/>
            <w:vAlign w:val="bottom"/>
            <w:tcBorders>
              <w:bottom w:val="single" w:sz="8" w:color="D64000"/>
            </w:tcBorders>
          </w:tcPr>
          <w:p>
            <w:pPr>
              <w:spacing w:after="0"/>
              <w:rPr>
                <w:sz w:val="12"/>
                <w:szCs w:val="12"/>
                <w:color w:val="auto"/>
              </w:rPr>
            </w:pPr>
          </w:p>
        </w:tc>
        <w:tc>
          <w:tcPr>
            <w:tcW w:w="500" w:type="dxa"/>
            <w:vAlign w:val="bottom"/>
            <w:tcBorders>
              <w:bottom w:val="single" w:sz="8" w:color="D64000"/>
            </w:tcBorders>
          </w:tcPr>
          <w:p>
            <w:pPr>
              <w:spacing w:after="0"/>
              <w:rPr>
                <w:sz w:val="12"/>
                <w:szCs w:val="12"/>
                <w:color w:val="auto"/>
              </w:rPr>
            </w:pPr>
          </w:p>
        </w:tc>
        <w:tc>
          <w:tcPr>
            <w:tcW w:w="500" w:type="dxa"/>
            <w:vAlign w:val="bottom"/>
            <w:tcBorders>
              <w:bottom w:val="single" w:sz="8" w:color="D64000"/>
            </w:tcBorders>
          </w:tcPr>
          <w:p>
            <w:pPr>
              <w:spacing w:after="0"/>
              <w:rPr>
                <w:sz w:val="12"/>
                <w:szCs w:val="12"/>
                <w:color w:val="auto"/>
              </w:rPr>
            </w:pPr>
          </w:p>
        </w:tc>
        <w:tc>
          <w:tcPr>
            <w:tcW w:w="500" w:type="dxa"/>
            <w:vAlign w:val="bottom"/>
            <w:tcBorders>
              <w:bottom w:val="single" w:sz="8" w:color="D64000"/>
            </w:tcBorders>
          </w:tcPr>
          <w:p>
            <w:pPr>
              <w:spacing w:after="0"/>
              <w:rPr>
                <w:sz w:val="12"/>
                <w:szCs w:val="12"/>
                <w:color w:val="auto"/>
              </w:rPr>
            </w:pPr>
          </w:p>
        </w:tc>
        <w:tc>
          <w:tcPr>
            <w:tcW w:w="480" w:type="dxa"/>
            <w:vAlign w:val="bottom"/>
            <w:tcBorders>
              <w:bottom w:val="single" w:sz="8" w:color="D64000"/>
            </w:tcBorders>
          </w:tcPr>
          <w:p>
            <w:pPr>
              <w:spacing w:after="0"/>
              <w:rPr>
                <w:sz w:val="12"/>
                <w:szCs w:val="12"/>
                <w:color w:val="auto"/>
              </w:rPr>
            </w:pPr>
          </w:p>
        </w:tc>
        <w:tc>
          <w:tcPr>
            <w:tcW w:w="500" w:type="dxa"/>
            <w:vAlign w:val="bottom"/>
            <w:tcBorders>
              <w:bottom w:val="single" w:sz="8" w:color="D64000"/>
            </w:tcBorders>
          </w:tcPr>
          <w:p>
            <w:pPr>
              <w:spacing w:after="0"/>
              <w:rPr>
                <w:sz w:val="12"/>
                <w:szCs w:val="12"/>
                <w:color w:val="auto"/>
              </w:rPr>
            </w:pPr>
          </w:p>
        </w:tc>
        <w:tc>
          <w:tcPr>
            <w:tcW w:w="480" w:type="dxa"/>
            <w:vAlign w:val="bottom"/>
            <w:tcBorders>
              <w:bottom w:val="single" w:sz="8" w:color="D64000"/>
            </w:tcBorders>
          </w:tcPr>
          <w:p>
            <w:pPr>
              <w:spacing w:after="0"/>
              <w:rPr>
                <w:sz w:val="12"/>
                <w:szCs w:val="12"/>
                <w:color w:val="auto"/>
              </w:rPr>
            </w:pPr>
          </w:p>
        </w:tc>
        <w:tc>
          <w:tcPr>
            <w:tcW w:w="580" w:type="dxa"/>
            <w:vAlign w:val="bottom"/>
            <w:tcBorders>
              <w:bottom w:val="single" w:sz="8" w:color="D64000"/>
            </w:tcBorders>
          </w:tcPr>
          <w:p>
            <w:pPr>
              <w:jc w:val="right"/>
              <w:ind w:right="14"/>
              <w:spacing w:after="0" w:line="139" w:lineRule="exact"/>
              <w:rPr>
                <w:sz w:val="20"/>
                <w:szCs w:val="20"/>
                <w:color w:val="auto"/>
              </w:rPr>
            </w:pPr>
            <w:r>
              <w:rPr>
                <w:rFonts w:ascii="Arial" w:cs="Arial" w:eastAsia="Arial" w:hAnsi="Arial"/>
                <w:sz w:val="13"/>
                <w:szCs w:val="13"/>
                <w:b w:val="1"/>
                <w:bCs w:val="1"/>
                <w:color w:val="auto"/>
              </w:rPr>
              <w:t>2,192</w:t>
            </w:r>
          </w:p>
        </w:tc>
        <w:tc>
          <w:tcPr>
            <w:tcW w:w="600" w:type="dxa"/>
            <w:vAlign w:val="bottom"/>
            <w:tcBorders>
              <w:bottom w:val="single" w:sz="8" w:color="D64000"/>
            </w:tcBorders>
          </w:tcPr>
          <w:p>
            <w:pPr>
              <w:jc w:val="right"/>
              <w:ind w:right="14"/>
              <w:spacing w:after="0" w:line="139" w:lineRule="exact"/>
              <w:rPr>
                <w:sz w:val="20"/>
                <w:szCs w:val="20"/>
                <w:color w:val="auto"/>
              </w:rPr>
            </w:pPr>
            <w:r>
              <w:rPr>
                <w:rFonts w:ascii="Arial" w:cs="Arial" w:eastAsia="Arial" w:hAnsi="Arial"/>
                <w:sz w:val="13"/>
                <w:szCs w:val="13"/>
                <w:color w:val="auto"/>
              </w:rPr>
              <w:t>2,646</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640" w:hanging="422"/>
        <w:spacing w:after="0"/>
        <w:tabs>
          <w:tab w:leader="none" w:pos="6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Refer to note 5 for components of staff costs and definition of goods and services.</w:t>
      </w:r>
    </w:p>
    <w:p>
      <w:pPr>
        <w:spacing w:after="0" w:line="65" w:lineRule="exact"/>
        <w:rPr>
          <w:sz w:val="20"/>
          <w:szCs w:val="20"/>
          <w:color w:val="auto"/>
        </w:rPr>
      </w:pPr>
    </w:p>
    <w:p>
      <w:pPr>
        <w:ind w:left="220" w:right="640"/>
        <w:spacing w:after="0" w:line="260" w:lineRule="auto"/>
        <w:rPr>
          <w:sz w:val="20"/>
          <w:szCs w:val="20"/>
          <w:color w:val="auto"/>
        </w:rPr>
      </w:pPr>
      <w:r>
        <w:rPr>
          <w:rFonts w:ascii="Arial" w:cs="Arial" w:eastAsia="Arial" w:hAnsi="Arial"/>
          <w:sz w:val="17"/>
          <w:szCs w:val="17"/>
          <w:color w:val="auto"/>
        </w:rPr>
        <w:t>Reuters News revenues included $24 million and $22 million in 2024 and 2023, respectively, primarily from content-related services that it provided to the Legal Professionals, Corporates and Tax &amp; Accounting Professionals segments.</w:t>
      </w:r>
    </w:p>
    <w:p>
      <w:pPr>
        <w:spacing w:after="0" w:line="53" w:lineRule="exact"/>
        <w:rPr>
          <w:sz w:val="20"/>
          <w:szCs w:val="20"/>
          <w:color w:val="auto"/>
        </w:rPr>
      </w:pPr>
    </w:p>
    <w:p>
      <w:pPr>
        <w:ind w:left="220" w:right="420"/>
        <w:spacing w:after="0" w:line="258" w:lineRule="auto"/>
        <w:rPr>
          <w:sz w:val="20"/>
          <w:szCs w:val="20"/>
          <w:color w:val="auto"/>
        </w:rPr>
      </w:pPr>
      <w:r>
        <w:rPr>
          <w:rFonts w:ascii="Arial" w:cs="Arial" w:eastAsia="Arial" w:hAnsi="Arial"/>
          <w:sz w:val="16"/>
          <w:szCs w:val="16"/>
          <w:color w:val="auto"/>
        </w:rPr>
        <w:t xml:space="preserve">In accordance with IFRS 8, </w:t>
      </w:r>
      <w:r>
        <w:rPr>
          <w:rFonts w:ascii="Arial" w:cs="Arial" w:eastAsia="Arial" w:hAnsi="Arial"/>
          <w:sz w:val="16"/>
          <w:szCs w:val="16"/>
          <w:i w:val="1"/>
          <w:iCs w:val="1"/>
          <w:color w:val="auto"/>
        </w:rPr>
        <w:t>Operating Segments</w:t>
      </w:r>
      <w:r>
        <w:rPr>
          <w:rFonts w:ascii="Arial" w:cs="Arial" w:eastAsia="Arial" w:hAnsi="Arial"/>
          <w:sz w:val="16"/>
          <w:szCs w:val="16"/>
          <w:color w:val="auto"/>
        </w:rPr>
        <w:t>, the Company discloses certain information about its reportable segments. The Company implemented the IFRIC agenda decision on segment reporting issued in July 2024 that clarified specific disclosure requirements in IFRS 8 to include material expense items included in the segment profitability measure used by management in assessing the performance of those reportable segments. The profitability measure is defined below and may not be comparable to similar measures of other companies.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Segment Adjusted EBITDA</w:t>
      </w:r>
    </w:p>
    <w:p>
      <w:pPr>
        <w:spacing w:after="0" w:line="107" w:lineRule="exact"/>
        <w:rPr>
          <w:sz w:val="20"/>
          <w:szCs w:val="20"/>
          <w:color w:val="auto"/>
        </w:rPr>
      </w:pPr>
    </w:p>
    <w:p>
      <w:pPr>
        <w:ind w:left="640" w:right="400" w:hanging="422"/>
        <w:spacing w:after="0" w:line="238" w:lineRule="auto"/>
        <w:tabs>
          <w:tab w:leader="none" w:pos="640" w:val="left"/>
        </w:tabs>
        <w:numPr>
          <w:ilvl w:val="0"/>
          <w:numId w:val="110"/>
        </w:numPr>
        <w:rPr>
          <w:rFonts w:ascii="Arial" w:cs="Arial" w:eastAsia="Arial" w:hAnsi="Arial"/>
          <w:sz w:val="17"/>
          <w:szCs w:val="17"/>
          <w:color w:val="D64000"/>
        </w:rPr>
      </w:pPr>
      <w:r>
        <w:rPr>
          <w:rFonts w:ascii="Arial" w:cs="Arial" w:eastAsia="Arial" w:hAnsi="Arial"/>
          <w:sz w:val="17"/>
          <w:szCs w:val="17"/>
          <w:color w:val="auto"/>
        </w:rPr>
        <w:t>Segment adjusted EBITDA represents earnings or loss from continuing operations before tax expense or benefit, net interest expense, other finance costs or income, depreciation, amortization of computer software and other identifiable intangible assets, the Company’s share of post-tax earnings or losses in equity method investments, other operating gains and losses, certain asset impairment charges, corporate related items and fair value adjustments, including those related to acquired deferred revenue.</w:t>
      </w:r>
    </w:p>
    <w:p>
      <w:pPr>
        <w:spacing w:after="0" w:line="59" w:lineRule="exact"/>
        <w:rPr>
          <w:rFonts w:ascii="Arial" w:cs="Arial" w:eastAsia="Arial" w:hAnsi="Arial"/>
          <w:sz w:val="17"/>
          <w:szCs w:val="17"/>
          <w:color w:val="D64000"/>
        </w:rPr>
      </w:pPr>
    </w:p>
    <w:p>
      <w:pPr>
        <w:ind w:left="640" w:right="780" w:hanging="422"/>
        <w:spacing w:after="0" w:line="260" w:lineRule="auto"/>
        <w:tabs>
          <w:tab w:leader="none" w:pos="640" w:val="left"/>
        </w:tabs>
        <w:numPr>
          <w:ilvl w:val="0"/>
          <w:numId w:val="110"/>
        </w:numPr>
        <w:rPr>
          <w:rFonts w:ascii="Arial" w:cs="Arial" w:eastAsia="Arial" w:hAnsi="Arial"/>
          <w:sz w:val="17"/>
          <w:szCs w:val="17"/>
          <w:color w:val="D64000"/>
        </w:rPr>
      </w:pPr>
      <w:r>
        <w:rPr>
          <w:rFonts w:ascii="Arial" w:cs="Arial" w:eastAsia="Arial" w:hAnsi="Arial"/>
          <w:sz w:val="17"/>
          <w:szCs w:val="17"/>
          <w:color w:val="auto"/>
        </w:rPr>
        <w:t>The Company does not consider these excluded items to be controllable operating activities for purposes of assessing the current performance of the reportable segments.</w:t>
      </w:r>
    </w:p>
    <w:p>
      <w:pPr>
        <w:spacing w:after="0" w:line="40" w:lineRule="exact"/>
        <w:rPr>
          <w:rFonts w:ascii="Arial" w:cs="Arial" w:eastAsia="Arial" w:hAnsi="Arial"/>
          <w:sz w:val="17"/>
          <w:szCs w:val="17"/>
          <w:color w:val="D64000"/>
        </w:rPr>
      </w:pPr>
    </w:p>
    <w:p>
      <w:pPr>
        <w:ind w:left="640" w:right="80" w:hanging="422"/>
        <w:spacing w:after="0" w:line="243" w:lineRule="auto"/>
        <w:tabs>
          <w:tab w:leader="none" w:pos="640" w:val="left"/>
        </w:tabs>
        <w:numPr>
          <w:ilvl w:val="0"/>
          <w:numId w:val="110"/>
        </w:numPr>
        <w:rPr>
          <w:rFonts w:ascii="Arial" w:cs="Arial" w:eastAsia="Arial" w:hAnsi="Arial"/>
          <w:sz w:val="17"/>
          <w:szCs w:val="17"/>
          <w:color w:val="D64000"/>
        </w:rPr>
      </w:pPr>
      <w:r>
        <w:rPr>
          <w:rFonts w:ascii="Arial" w:cs="Arial" w:eastAsia="Arial" w:hAnsi="Arial"/>
          <w:sz w:val="17"/>
          <w:szCs w:val="17"/>
          <w:color w:val="auto"/>
        </w:rPr>
        <w:t>Each segment includes an allocation of costs, based on usage or other applicable measures, for centralized support services such as technology-related services, commercial operations, marketing costs, and product and content development. Additionally, product costs are allocated when one segment sells products managed by another segment.</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Revenues by Classes of Similar Products or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83185</wp:posOffset>
            </wp:positionV>
            <wp:extent cx="68656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11"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49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660" w:type="dxa"/>
            <w:vAlign w:val="bottom"/>
            <w:gridSpan w:val="2"/>
            <w:shd w:val="clear" w:color="auto" w:fill="E3F3EE"/>
          </w:tcPr>
          <w:p>
            <w:pPr>
              <w:jc w:val="right"/>
              <w:ind w:right="201"/>
              <w:spacing w:after="0"/>
              <w:rPr>
                <w:sz w:val="20"/>
                <w:szCs w:val="20"/>
                <w:color w:val="auto"/>
              </w:rPr>
            </w:pPr>
            <w:r>
              <w:rPr>
                <w:rFonts w:ascii="Arial" w:cs="Arial" w:eastAsia="Arial" w:hAnsi="Arial"/>
                <w:sz w:val="16"/>
                <w:szCs w:val="16"/>
                <w:b w:val="1"/>
                <w:bCs w:val="1"/>
                <w:color w:val="auto"/>
                <w:w w:val="96"/>
              </w:rPr>
              <w:t>     Year ended December 31, </w:t>
            </w:r>
          </w:p>
        </w:tc>
        <w:tc>
          <w:tcPr>
            <w:tcW w:w="20" w:type="dxa"/>
            <w:vAlign w:val="bottom"/>
          </w:tcPr>
          <w:p>
            <w:pPr>
              <w:spacing w:after="0"/>
              <w:rPr>
                <w:sz w:val="17"/>
                <w:szCs w:val="17"/>
                <w:color w:val="auto"/>
              </w:rPr>
            </w:pPr>
          </w:p>
        </w:tc>
      </w:tr>
      <w:tr>
        <w:trPr>
          <w:trHeight w:val="192"/>
        </w:trPr>
        <w:tc>
          <w:tcPr>
            <w:tcW w:w="4960" w:type="dxa"/>
            <w:vAlign w:val="bottom"/>
            <w:tcBorders>
              <w:bottom w:val="single" w:sz="8" w:color="D64000"/>
            </w:tcBorders>
            <w:shd w:val="clear" w:color="auto" w:fill="1F473D"/>
          </w:tcPr>
          <w:p>
            <w:pPr>
              <w:spacing w:after="0"/>
              <w:rPr>
                <w:sz w:val="16"/>
                <w:szCs w:val="16"/>
                <w:color w:val="auto"/>
              </w:rPr>
            </w:pPr>
          </w:p>
        </w:tc>
        <w:tc>
          <w:tcPr>
            <w:tcW w:w="3180" w:type="dxa"/>
            <w:vAlign w:val="bottom"/>
            <w:tcBorders>
              <w:bottom w:val="single" w:sz="8" w:color="D64000"/>
            </w:tcBorders>
            <w:shd w:val="clear" w:color="auto" w:fill="1F473D"/>
          </w:tcPr>
          <w:p>
            <w:pPr>
              <w:spacing w:after="0"/>
              <w:rPr>
                <w:sz w:val="16"/>
                <w:szCs w:val="16"/>
                <w:color w:val="auto"/>
              </w:rPr>
            </w:pPr>
          </w:p>
        </w:tc>
        <w:tc>
          <w:tcPr>
            <w:tcW w:w="1640" w:type="dxa"/>
            <w:vAlign w:val="bottom"/>
            <w:tcBorders>
              <w:bottom w:val="single" w:sz="8" w:color="D64000"/>
            </w:tcBorders>
            <w:shd w:val="clear" w:color="auto" w:fill="1F473D"/>
          </w:tcPr>
          <w:p>
            <w:pPr>
              <w:jc w:val="right"/>
              <w:ind w:right="501"/>
              <w:spacing w:after="0"/>
              <w:rPr>
                <w:sz w:val="20"/>
                <w:szCs w:val="20"/>
                <w:color w:val="auto"/>
              </w:rPr>
            </w:pPr>
            <w:r>
              <w:rPr>
                <w:rFonts w:ascii="Arial" w:cs="Arial" w:eastAsia="Arial" w:hAnsi="Arial"/>
                <w:sz w:val="16"/>
                <w:szCs w:val="16"/>
                <w:b w:val="1"/>
                <w:bCs w:val="1"/>
                <w:color w:val="FFFFFF"/>
              </w:rPr>
              <w:t>2024</w:t>
            </w:r>
          </w:p>
        </w:tc>
        <w:tc>
          <w:tcPr>
            <w:tcW w:w="1020" w:type="dxa"/>
            <w:vAlign w:val="bottom"/>
            <w:tcBorders>
              <w:bottom w:val="single" w:sz="8" w:color="D64000"/>
            </w:tcBorders>
            <w:shd w:val="clear" w:color="auto" w:fill="1F473D"/>
          </w:tcPr>
          <w:p>
            <w:pPr>
              <w:jc w:val="right"/>
              <w:ind w:right="61"/>
              <w:spacing w:after="0"/>
              <w:rPr>
                <w:sz w:val="20"/>
                <w:szCs w:val="20"/>
                <w:color w:val="auto"/>
              </w:rPr>
            </w:pPr>
            <w:r>
              <w:rPr>
                <w:rFonts w:ascii="Arial" w:cs="Arial" w:eastAsia="Arial" w:hAnsi="Arial"/>
                <w:sz w:val="16"/>
                <w:szCs w:val="16"/>
                <w:color w:val="FFFFFF"/>
              </w:rPr>
              <w:t>2023</w:t>
            </w:r>
          </w:p>
        </w:tc>
        <w:tc>
          <w:tcPr>
            <w:tcW w:w="20" w:type="dxa"/>
            <w:vAlign w:val="bottom"/>
          </w:tcPr>
          <w:p>
            <w:pPr>
              <w:spacing w:after="0"/>
              <w:rPr>
                <w:sz w:val="16"/>
                <w:szCs w:val="16"/>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6"/>
                <w:szCs w:val="16"/>
                <w:color w:val="auto"/>
              </w:rPr>
              <w:t>Electronic, software &amp; services</w:t>
            </w:r>
          </w:p>
        </w:tc>
        <w:tc>
          <w:tcPr>
            <w:tcW w:w="4820" w:type="dxa"/>
            <w:vAlign w:val="bottom"/>
            <w:gridSpan w:val="2"/>
          </w:tcPr>
          <w:p>
            <w:pPr>
              <w:jc w:val="right"/>
              <w:ind w:right="461"/>
              <w:spacing w:after="0"/>
              <w:rPr>
                <w:sz w:val="20"/>
                <w:szCs w:val="20"/>
                <w:color w:val="auto"/>
              </w:rPr>
            </w:pPr>
            <w:r>
              <w:rPr>
                <w:rFonts w:ascii="Arial" w:cs="Arial" w:eastAsia="Arial" w:hAnsi="Arial"/>
                <w:sz w:val="16"/>
                <w:szCs w:val="16"/>
                <w:b w:val="1"/>
                <w:bCs w:val="1"/>
                <w:color w:val="auto"/>
              </w:rPr>
              <w:t>6,739</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6,232</w:t>
            </w:r>
          </w:p>
        </w:tc>
        <w:tc>
          <w:tcPr>
            <w:tcW w:w="20" w:type="dxa"/>
            <w:vAlign w:val="bottom"/>
          </w:tcPr>
          <w:p>
            <w:pPr>
              <w:spacing w:after="0"/>
              <w:rPr>
                <w:sz w:val="21"/>
                <w:szCs w:val="21"/>
                <w:color w:val="auto"/>
              </w:rPr>
            </w:pPr>
          </w:p>
        </w:tc>
      </w:tr>
      <w:tr>
        <w:trPr>
          <w:trHeight w:val="220"/>
        </w:trPr>
        <w:tc>
          <w:tcPr>
            <w:tcW w:w="496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Global Print</w:t>
            </w:r>
          </w:p>
        </w:tc>
        <w:tc>
          <w:tcPr>
            <w:tcW w:w="4820" w:type="dxa"/>
            <w:vAlign w:val="bottom"/>
            <w:tcBorders>
              <w:bottom w:val="single" w:sz="8" w:color="B2B2B2"/>
            </w:tcBorders>
            <w:gridSpan w:val="2"/>
          </w:tcPr>
          <w:p>
            <w:pPr>
              <w:jc w:val="right"/>
              <w:ind w:right="461"/>
              <w:spacing w:after="0"/>
              <w:rPr>
                <w:sz w:val="20"/>
                <w:szCs w:val="20"/>
                <w:color w:val="auto"/>
              </w:rPr>
            </w:pPr>
            <w:r>
              <w:rPr>
                <w:rFonts w:ascii="Arial" w:cs="Arial" w:eastAsia="Arial" w:hAnsi="Arial"/>
                <w:sz w:val="16"/>
                <w:szCs w:val="16"/>
                <w:b w:val="1"/>
                <w:bCs w:val="1"/>
                <w:color w:val="auto"/>
              </w:rPr>
              <w:t>519</w:t>
            </w:r>
          </w:p>
        </w:tc>
        <w:tc>
          <w:tcPr>
            <w:tcW w:w="102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562</w:t>
            </w:r>
          </w:p>
        </w:tc>
        <w:tc>
          <w:tcPr>
            <w:tcW w:w="20" w:type="dxa"/>
            <w:vAlign w:val="bottom"/>
          </w:tcPr>
          <w:p>
            <w:pPr>
              <w:spacing w:after="0"/>
              <w:rPr>
                <w:sz w:val="19"/>
                <w:szCs w:val="19"/>
                <w:color w:val="auto"/>
              </w:rPr>
            </w:pPr>
          </w:p>
        </w:tc>
      </w:tr>
      <w:tr>
        <w:trPr>
          <w:trHeight w:val="185"/>
        </w:trPr>
        <w:tc>
          <w:tcPr>
            <w:tcW w:w="496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color w:val="auto"/>
              </w:rPr>
              <w:t>Total</w:t>
            </w:r>
          </w:p>
        </w:tc>
        <w:tc>
          <w:tcPr>
            <w:tcW w:w="4820" w:type="dxa"/>
            <w:vAlign w:val="bottom"/>
            <w:tcBorders>
              <w:bottom w:val="single" w:sz="8" w:color="D64000"/>
            </w:tcBorders>
            <w:gridSpan w:val="2"/>
          </w:tcPr>
          <w:p>
            <w:pPr>
              <w:jc w:val="right"/>
              <w:ind w:right="461"/>
              <w:spacing w:after="0" w:line="179" w:lineRule="exact"/>
              <w:rPr>
                <w:sz w:val="20"/>
                <w:szCs w:val="20"/>
                <w:color w:val="auto"/>
              </w:rPr>
            </w:pPr>
            <w:r>
              <w:rPr>
                <w:rFonts w:ascii="Arial" w:cs="Arial" w:eastAsia="Arial" w:hAnsi="Arial"/>
                <w:sz w:val="16"/>
                <w:szCs w:val="16"/>
                <w:b w:val="1"/>
                <w:bCs w:val="1"/>
                <w:color w:val="auto"/>
              </w:rPr>
              <w:t>7,258</w:t>
            </w:r>
          </w:p>
        </w:tc>
        <w:tc>
          <w:tcPr>
            <w:tcW w:w="1020" w:type="dxa"/>
            <w:vAlign w:val="bottom"/>
            <w:tcBorders>
              <w:bottom w:val="single" w:sz="8" w:color="D64000"/>
            </w:tcBorders>
          </w:tcPr>
          <w:p>
            <w:pPr>
              <w:jc w:val="right"/>
              <w:ind w:right="21"/>
              <w:spacing w:after="0" w:line="179" w:lineRule="exact"/>
              <w:rPr>
                <w:sz w:val="20"/>
                <w:szCs w:val="20"/>
                <w:color w:val="auto"/>
              </w:rPr>
            </w:pPr>
            <w:r>
              <w:rPr>
                <w:rFonts w:ascii="Arial" w:cs="Arial" w:eastAsia="Arial" w:hAnsi="Arial"/>
                <w:sz w:val="16"/>
                <w:szCs w:val="16"/>
                <w:color w:val="auto"/>
              </w:rPr>
              <w:t>6,794</w:t>
            </w:r>
          </w:p>
        </w:tc>
        <w:tc>
          <w:tcPr>
            <w:tcW w:w="20" w:type="dxa"/>
            <w:vAlign w:val="bottom"/>
          </w:tcPr>
          <w:p>
            <w:pPr>
              <w:spacing w:after="0"/>
              <w:rPr>
                <w:sz w:val="16"/>
                <w:szCs w:val="16"/>
                <w:color w:val="auto"/>
              </w:rPr>
            </w:pPr>
          </w:p>
        </w:tc>
      </w:tr>
      <w:tr>
        <w:trPr>
          <w:trHeight w:val="172"/>
        </w:trPr>
        <w:tc>
          <w:tcPr>
            <w:tcW w:w="4960" w:type="dxa"/>
            <w:vAlign w:val="bottom"/>
            <w:tcBorders>
              <w:bottom w:val="single" w:sz="8" w:color="7F7F7F"/>
            </w:tcBorders>
          </w:tcPr>
          <w:p>
            <w:pPr>
              <w:spacing w:after="0"/>
              <w:rPr>
                <w:sz w:val="14"/>
                <w:szCs w:val="14"/>
                <w:color w:val="auto"/>
              </w:rPr>
            </w:pPr>
          </w:p>
        </w:tc>
        <w:tc>
          <w:tcPr>
            <w:tcW w:w="5840" w:type="dxa"/>
            <w:vAlign w:val="bottom"/>
            <w:tcBorders>
              <w:bottom w:val="single" w:sz="8" w:color="7F7F7F"/>
            </w:tcBorders>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28"/>
        </w:trPr>
        <w:tc>
          <w:tcPr>
            <w:tcW w:w="4960" w:type="dxa"/>
            <w:vAlign w:val="bottom"/>
          </w:tcPr>
          <w:p>
            <w:pPr>
              <w:spacing w:after="0"/>
              <w:rPr>
                <w:sz w:val="20"/>
                <w:szCs w:val="20"/>
                <w:color w:val="auto"/>
              </w:rPr>
            </w:pPr>
            <w:r>
              <w:rPr>
                <w:rFonts w:ascii="Arial" w:cs="Arial" w:eastAsia="Arial" w:hAnsi="Arial"/>
                <w:sz w:val="17"/>
                <w:szCs w:val="17"/>
                <w:color w:val="auto"/>
              </w:rPr>
              <w:t>Page 102</w:t>
            </w:r>
          </w:p>
        </w:tc>
        <w:tc>
          <w:tcPr>
            <w:tcW w:w="5860" w:type="dxa"/>
            <w:vAlign w:val="bottom"/>
            <w:gridSpan w:val="4"/>
          </w:tcPr>
          <w:p>
            <w:pPr>
              <w:ind w:left="2800"/>
              <w:spacing w:after="0"/>
              <w:rPr>
                <w:sz w:val="20"/>
                <w:szCs w:val="20"/>
                <w:color w:val="auto"/>
              </w:rPr>
            </w:pPr>
            <w:r>
              <w:rPr>
                <w:rFonts w:ascii="Arial" w:cs="Arial" w:eastAsia="Arial" w:hAnsi="Arial"/>
                <w:sz w:val="17"/>
                <w:szCs w:val="17"/>
                <w:b w:val="1"/>
                <w:bCs w:val="1"/>
                <w:color w:val="auto"/>
                <w:w w:val="98"/>
              </w:rPr>
              <w:t>Thomson Reuters Annual Report 2024</w:t>
            </w:r>
          </w:p>
        </w:tc>
      </w:tr>
    </w:tbl>
    <w:p>
      <w:pPr>
        <w:sectPr>
          <w:pgSz w:w="11900" w:h="16838" w:orient="portrait"/>
          <w:cols w:equalWidth="0" w:num="1">
            <w:col w:w="11040"/>
          </w:cols>
          <w:pgMar w:left="320" w:top="477" w:right="5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Non-current Assets by Geography</w:t>
      </w:r>
    </w:p>
    <w:p>
      <w:pPr>
        <w:spacing w:after="0" w:line="98" w:lineRule="exact"/>
        <w:rPr>
          <w:sz w:val="20"/>
          <w:szCs w:val="20"/>
          <w:color w:val="auto"/>
        </w:rPr>
      </w:pPr>
    </w:p>
    <w:tbl>
      <w:tblPr>
        <w:tblLayout w:type="fixed"/>
        <w:tblInd w:w="220" w:type="dxa"/>
        <w:tblCellMar>
          <w:top w:w="0" w:type="dxa"/>
          <w:left w:w="0" w:type="dxa"/>
          <w:bottom w:w="0" w:type="dxa"/>
          <w:right w:w="0" w:type="dxa"/>
        </w:tblCellMar>
      </w:tblPr>
      <w:tr>
        <w:trPr>
          <w:trHeight w:val="225"/>
        </w:trPr>
        <w:tc>
          <w:tcPr>
            <w:tcW w:w="860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b w:val="1"/>
                <w:bCs w:val="1"/>
                <w:color w:val="FFFFFF"/>
              </w:rPr>
              <w:t> Geographic Information</w:t>
            </w:r>
          </w:p>
        </w:tc>
        <w:tc>
          <w:tcPr>
            <w:tcW w:w="320" w:type="dxa"/>
            <w:vAlign w:val="bottom"/>
            <w:tcBorders>
              <w:bottom w:val="single" w:sz="8" w:color="D64000"/>
            </w:tcBorders>
            <w:shd w:val="clear" w:color="auto" w:fill="1F473D"/>
          </w:tcPr>
          <w:p>
            <w:pPr>
              <w:ind w:left="100"/>
              <w:spacing w:after="0"/>
              <w:rPr>
                <w:sz w:val="20"/>
                <w:szCs w:val="20"/>
                <w:color w:val="auto"/>
              </w:rPr>
            </w:pPr>
            <w:r>
              <w:rPr>
                <w:rFonts w:ascii="Arial" w:cs="Arial" w:eastAsia="Arial" w:hAnsi="Arial"/>
                <w:sz w:val="16"/>
                <w:szCs w:val="16"/>
                <w:b w:val="1"/>
                <w:bCs w:val="1"/>
                <w:color w:val="FFFFFF"/>
              </w:rPr>
              <w:t xml:space="preserve">    </w:t>
            </w:r>
          </w:p>
        </w:tc>
        <w:tc>
          <w:tcPr>
            <w:tcW w:w="1880" w:type="dxa"/>
            <w:vAlign w:val="bottom"/>
            <w:tcBorders>
              <w:bottom w:val="single" w:sz="8" w:color="D64000"/>
            </w:tcBorders>
            <w:gridSpan w:val="2"/>
            <w:shd w:val="clear" w:color="auto" w:fill="1F473D"/>
          </w:tcPr>
          <w:p>
            <w:pPr>
              <w:jc w:val="right"/>
              <w:ind w:right="81"/>
              <w:spacing w:after="0"/>
              <w:rPr>
                <w:sz w:val="20"/>
                <w:szCs w:val="20"/>
                <w:color w:val="auto"/>
              </w:rPr>
            </w:pPr>
            <w:r>
              <w:rPr>
                <w:rFonts w:ascii="Arial" w:cs="Arial" w:eastAsia="Arial" w:hAnsi="Arial"/>
                <w:sz w:val="16"/>
                <w:szCs w:val="16"/>
                <w:b w:val="1"/>
                <w:bCs w:val="1"/>
                <w:color w:val="FFFFFF"/>
              </w:rPr>
              <w:t>Non-Current Assets</w:t>
            </w:r>
            <w:r>
              <w:rPr>
                <w:rFonts w:ascii="Arial" w:cs="Arial" w:eastAsia="Arial" w:hAnsi="Arial"/>
                <w:sz w:val="19"/>
                <w:szCs w:val="19"/>
                <w:b w:val="1"/>
                <w:bCs w:val="1"/>
                <w:color w:val="FFFFFF"/>
                <w:vertAlign w:val="superscript"/>
              </w:rPr>
              <w:t>(1)</w:t>
            </w:r>
          </w:p>
        </w:tc>
      </w:tr>
      <w:tr>
        <w:trPr>
          <w:trHeight w:val="185"/>
        </w:trPr>
        <w:tc>
          <w:tcPr>
            <w:tcW w:w="8600" w:type="dxa"/>
            <w:vAlign w:val="bottom"/>
            <w:shd w:val="clear" w:color="auto" w:fill="E3F3EE"/>
          </w:tcPr>
          <w:p>
            <w:pPr>
              <w:spacing w:after="0"/>
              <w:rPr>
                <w:sz w:val="16"/>
                <w:szCs w:val="16"/>
                <w:color w:val="auto"/>
              </w:rPr>
            </w:pPr>
          </w:p>
        </w:tc>
        <w:tc>
          <w:tcPr>
            <w:tcW w:w="320" w:type="dxa"/>
            <w:vAlign w:val="bottom"/>
            <w:shd w:val="clear" w:color="auto" w:fill="E3F3EE"/>
          </w:tcPr>
          <w:p>
            <w:pPr>
              <w:spacing w:after="0"/>
              <w:rPr>
                <w:sz w:val="16"/>
                <w:szCs w:val="16"/>
                <w:color w:val="auto"/>
              </w:rPr>
            </w:pPr>
          </w:p>
        </w:tc>
        <w:tc>
          <w:tcPr>
            <w:tcW w:w="1880" w:type="dxa"/>
            <w:vAlign w:val="bottom"/>
            <w:gridSpan w:val="2"/>
            <w:shd w:val="clear" w:color="auto" w:fill="E3F3EE"/>
          </w:tcPr>
          <w:p>
            <w:pPr>
              <w:jc w:val="right"/>
              <w:ind w:right="441"/>
              <w:spacing w:after="0"/>
              <w:rPr>
                <w:sz w:val="20"/>
                <w:szCs w:val="20"/>
                <w:color w:val="auto"/>
              </w:rPr>
            </w:pPr>
            <w:r>
              <w:rPr>
                <w:rFonts w:ascii="Arial" w:cs="Arial" w:eastAsia="Arial" w:hAnsi="Arial"/>
                <w:sz w:val="16"/>
                <w:szCs w:val="16"/>
                <w:b w:val="1"/>
                <w:bCs w:val="1"/>
                <w:color w:val="auto"/>
              </w:rPr>
              <w:t>   December 31,</w:t>
            </w:r>
          </w:p>
        </w:tc>
      </w:tr>
      <w:tr>
        <w:trPr>
          <w:trHeight w:val="205"/>
        </w:trPr>
        <w:tc>
          <w:tcPr>
            <w:tcW w:w="8600" w:type="dxa"/>
            <w:vAlign w:val="bottom"/>
            <w:tcBorders>
              <w:bottom w:val="single" w:sz="8" w:color="D64000"/>
            </w:tcBorders>
            <w:shd w:val="clear" w:color="auto" w:fill="E3F3EE"/>
          </w:tcPr>
          <w:p>
            <w:pPr>
              <w:spacing w:after="0"/>
              <w:rPr>
                <w:sz w:val="17"/>
                <w:szCs w:val="17"/>
                <w:color w:val="auto"/>
              </w:rPr>
            </w:pPr>
          </w:p>
        </w:tc>
        <w:tc>
          <w:tcPr>
            <w:tcW w:w="320" w:type="dxa"/>
            <w:vAlign w:val="bottom"/>
            <w:tcBorders>
              <w:bottom w:val="single" w:sz="8" w:color="D64000"/>
            </w:tcBorders>
            <w:shd w:val="clear" w:color="auto" w:fill="E3F3EE"/>
          </w:tcPr>
          <w:p>
            <w:pPr>
              <w:ind w:left="240"/>
              <w:spacing w:after="0"/>
              <w:rPr>
                <w:sz w:val="20"/>
                <w:szCs w:val="20"/>
                <w:color w:val="auto"/>
              </w:rPr>
            </w:pPr>
            <w:r>
              <w:rPr>
                <w:rFonts w:ascii="Arial" w:cs="Arial" w:eastAsia="Arial" w:hAnsi="Arial"/>
                <w:sz w:val="8"/>
                <w:szCs w:val="8"/>
                <w:b w:val="1"/>
                <w:bCs w:val="1"/>
                <w:color w:val="auto"/>
                <w:w w:val="74"/>
              </w:rPr>
              <w:t> </w:t>
            </w:r>
          </w:p>
        </w:tc>
        <w:tc>
          <w:tcPr>
            <w:tcW w:w="700" w:type="dxa"/>
            <w:vAlign w:val="bottom"/>
            <w:tcBorders>
              <w:bottom w:val="single" w:sz="8" w:color="D64000"/>
            </w:tcBorders>
            <w:shd w:val="clear" w:color="auto" w:fill="E3F3EE"/>
          </w:tcPr>
          <w:p>
            <w:pPr>
              <w:jc w:val="right"/>
              <w:ind w:right="181"/>
              <w:spacing w:after="0"/>
              <w:rPr>
                <w:sz w:val="20"/>
                <w:szCs w:val="20"/>
                <w:color w:val="auto"/>
              </w:rPr>
            </w:pPr>
            <w:r>
              <w:rPr>
                <w:rFonts w:ascii="Arial" w:cs="Arial" w:eastAsia="Arial" w:hAnsi="Arial"/>
                <w:sz w:val="16"/>
                <w:szCs w:val="16"/>
                <w:b w:val="1"/>
                <w:bCs w:val="1"/>
                <w:color w:val="auto"/>
              </w:rPr>
              <w:t>2024</w:t>
            </w:r>
          </w:p>
        </w:tc>
        <w:tc>
          <w:tcPr>
            <w:tcW w:w="1180" w:type="dxa"/>
            <w:vAlign w:val="bottom"/>
            <w:tcBorders>
              <w:bottom w:val="single" w:sz="8" w:color="D64000"/>
            </w:tcBorders>
            <w:shd w:val="clear" w:color="auto" w:fill="E3F3EE"/>
          </w:tcPr>
          <w:p>
            <w:pPr>
              <w:jc w:val="right"/>
              <w:ind w:right="61"/>
              <w:spacing w:after="0"/>
              <w:rPr>
                <w:sz w:val="20"/>
                <w:szCs w:val="20"/>
                <w:color w:val="auto"/>
              </w:rPr>
            </w:pPr>
            <w:r>
              <w:rPr>
                <w:rFonts w:ascii="Arial" w:cs="Arial" w:eastAsia="Arial" w:hAnsi="Arial"/>
                <w:sz w:val="16"/>
                <w:szCs w:val="16"/>
                <w:color w:val="auto"/>
              </w:rPr>
              <w:t>         2023</w:t>
            </w:r>
          </w:p>
        </w:tc>
      </w:tr>
      <w:tr>
        <w:trPr>
          <w:trHeight w:val="171"/>
        </w:trPr>
        <w:tc>
          <w:tcPr>
            <w:tcW w:w="8600" w:type="dxa"/>
            <w:vAlign w:val="bottom"/>
          </w:tcPr>
          <w:p>
            <w:pPr>
              <w:spacing w:after="0" w:line="171" w:lineRule="exact"/>
              <w:rPr>
                <w:sz w:val="20"/>
                <w:szCs w:val="20"/>
                <w:color w:val="auto"/>
              </w:rPr>
            </w:pPr>
            <w:r>
              <w:rPr>
                <w:rFonts w:ascii="Arial" w:cs="Arial" w:eastAsia="Arial" w:hAnsi="Arial"/>
                <w:sz w:val="16"/>
                <w:szCs w:val="16"/>
                <w:color w:val="auto"/>
              </w:rPr>
              <w:t> U.S.</w:t>
            </w:r>
          </w:p>
        </w:tc>
        <w:tc>
          <w:tcPr>
            <w:tcW w:w="320" w:type="dxa"/>
            <w:vAlign w:val="bottom"/>
          </w:tcPr>
          <w:p>
            <w:pPr>
              <w:spacing w:after="0"/>
              <w:rPr>
                <w:sz w:val="14"/>
                <w:szCs w:val="14"/>
                <w:color w:val="auto"/>
              </w:rPr>
            </w:pPr>
          </w:p>
        </w:tc>
        <w:tc>
          <w:tcPr>
            <w:tcW w:w="700" w:type="dxa"/>
            <w:vAlign w:val="bottom"/>
          </w:tcPr>
          <w:p>
            <w:pPr>
              <w:jc w:val="right"/>
              <w:ind w:right="141"/>
              <w:spacing w:after="0" w:line="171" w:lineRule="exact"/>
              <w:rPr>
                <w:sz w:val="20"/>
                <w:szCs w:val="20"/>
                <w:color w:val="auto"/>
              </w:rPr>
            </w:pPr>
            <w:r>
              <w:rPr>
                <w:rFonts w:ascii="Arial" w:cs="Arial" w:eastAsia="Arial" w:hAnsi="Arial"/>
                <w:sz w:val="16"/>
                <w:szCs w:val="16"/>
                <w:b w:val="1"/>
                <w:bCs w:val="1"/>
                <w:color w:val="auto"/>
              </w:rPr>
              <w:t>7,190</w:t>
            </w:r>
          </w:p>
        </w:tc>
        <w:tc>
          <w:tcPr>
            <w:tcW w:w="1180" w:type="dxa"/>
            <w:vAlign w:val="bottom"/>
          </w:tcPr>
          <w:p>
            <w:pPr>
              <w:jc w:val="right"/>
              <w:ind w:right="21"/>
              <w:spacing w:after="0" w:line="171" w:lineRule="exact"/>
              <w:rPr>
                <w:sz w:val="20"/>
                <w:szCs w:val="20"/>
                <w:color w:val="auto"/>
              </w:rPr>
            </w:pPr>
            <w:r>
              <w:rPr>
                <w:rFonts w:ascii="Arial" w:cs="Arial" w:eastAsia="Arial" w:hAnsi="Arial"/>
                <w:sz w:val="16"/>
                <w:szCs w:val="16"/>
                <w:color w:val="auto"/>
              </w:rPr>
              <w:t>9,029</w:t>
            </w:r>
          </w:p>
        </w:tc>
      </w:tr>
      <w:tr>
        <w:trPr>
          <w:trHeight w:val="186"/>
        </w:trPr>
        <w:tc>
          <w:tcPr>
            <w:tcW w:w="8600" w:type="dxa"/>
            <w:vAlign w:val="bottom"/>
          </w:tcPr>
          <w:p>
            <w:pPr>
              <w:spacing w:after="0"/>
              <w:rPr>
                <w:sz w:val="20"/>
                <w:szCs w:val="20"/>
                <w:color w:val="auto"/>
              </w:rPr>
            </w:pPr>
            <w:r>
              <w:rPr>
                <w:rFonts w:ascii="Arial" w:cs="Arial" w:eastAsia="Arial" w:hAnsi="Arial"/>
                <w:sz w:val="16"/>
                <w:szCs w:val="16"/>
                <w:color w:val="auto"/>
              </w:rPr>
              <w:t> Canada (country of domicile)</w:t>
            </w:r>
          </w:p>
        </w:tc>
        <w:tc>
          <w:tcPr>
            <w:tcW w:w="320" w:type="dxa"/>
            <w:vAlign w:val="bottom"/>
          </w:tcPr>
          <w:p>
            <w:pPr>
              <w:spacing w:after="0"/>
              <w:rPr>
                <w:sz w:val="16"/>
                <w:szCs w:val="16"/>
                <w:color w:val="auto"/>
              </w:rPr>
            </w:pPr>
          </w:p>
        </w:tc>
        <w:tc>
          <w:tcPr>
            <w:tcW w:w="700" w:type="dxa"/>
            <w:vAlign w:val="bottom"/>
          </w:tcPr>
          <w:p>
            <w:pPr>
              <w:jc w:val="right"/>
              <w:ind w:right="141"/>
              <w:spacing w:after="0"/>
              <w:rPr>
                <w:sz w:val="20"/>
                <w:szCs w:val="20"/>
                <w:color w:val="auto"/>
              </w:rPr>
            </w:pPr>
            <w:r>
              <w:rPr>
                <w:rFonts w:ascii="Arial" w:cs="Arial" w:eastAsia="Arial" w:hAnsi="Arial"/>
                <w:sz w:val="16"/>
                <w:szCs w:val="16"/>
                <w:b w:val="1"/>
                <w:bCs w:val="1"/>
                <w:color w:val="auto"/>
              </w:rPr>
              <w:t>1,014</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1,037</w:t>
            </w:r>
          </w:p>
        </w:tc>
      </w:tr>
      <w:tr>
        <w:trPr>
          <w:trHeight w:val="200"/>
        </w:trPr>
        <w:tc>
          <w:tcPr>
            <w:tcW w:w="86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Other</w:t>
            </w:r>
          </w:p>
        </w:tc>
        <w:tc>
          <w:tcPr>
            <w:tcW w:w="320" w:type="dxa"/>
            <w:vAlign w:val="bottom"/>
            <w:tcBorders>
              <w:bottom w:val="single" w:sz="8" w:color="B2B2B2"/>
            </w:tcBorders>
          </w:tcPr>
          <w:p>
            <w:pPr>
              <w:spacing w:after="0"/>
              <w:rPr>
                <w:sz w:val="17"/>
                <w:szCs w:val="17"/>
                <w:color w:val="auto"/>
              </w:rPr>
            </w:pPr>
          </w:p>
        </w:tc>
        <w:tc>
          <w:tcPr>
            <w:tcW w:w="700" w:type="dxa"/>
            <w:vAlign w:val="bottom"/>
            <w:tcBorders>
              <w:bottom w:val="single" w:sz="8" w:color="B2B2B2"/>
            </w:tcBorders>
          </w:tcPr>
          <w:p>
            <w:pPr>
              <w:jc w:val="right"/>
              <w:ind w:right="141"/>
              <w:spacing w:after="0"/>
              <w:rPr>
                <w:sz w:val="20"/>
                <w:szCs w:val="20"/>
                <w:color w:val="auto"/>
              </w:rPr>
            </w:pPr>
            <w:r>
              <w:rPr>
                <w:rFonts w:ascii="Arial" w:cs="Arial" w:eastAsia="Arial" w:hAnsi="Arial"/>
                <w:sz w:val="16"/>
                <w:szCs w:val="16"/>
                <w:b w:val="1"/>
                <w:bCs w:val="1"/>
                <w:color w:val="auto"/>
              </w:rPr>
              <w:t>177</w:t>
            </w:r>
          </w:p>
        </w:tc>
        <w:tc>
          <w:tcPr>
            <w:tcW w:w="118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182</w:t>
            </w:r>
          </w:p>
        </w:tc>
      </w:tr>
      <w:tr>
        <w:trPr>
          <w:trHeight w:val="165"/>
        </w:trPr>
        <w:tc>
          <w:tcPr>
            <w:tcW w:w="8600" w:type="dxa"/>
            <w:vAlign w:val="bottom"/>
          </w:tcPr>
          <w:p>
            <w:pPr>
              <w:spacing w:after="0" w:line="165" w:lineRule="exact"/>
              <w:rPr>
                <w:sz w:val="20"/>
                <w:szCs w:val="20"/>
                <w:color w:val="auto"/>
              </w:rPr>
            </w:pPr>
            <w:r>
              <w:rPr>
                <w:rFonts w:ascii="Arial" w:cs="Arial" w:eastAsia="Arial" w:hAnsi="Arial"/>
                <w:sz w:val="16"/>
                <w:szCs w:val="16"/>
                <w:color w:val="auto"/>
              </w:rPr>
              <w:t> Americas (North America, Latin America, South America)</w:t>
            </w:r>
          </w:p>
        </w:tc>
        <w:tc>
          <w:tcPr>
            <w:tcW w:w="320" w:type="dxa"/>
            <w:vAlign w:val="bottom"/>
          </w:tcPr>
          <w:p>
            <w:pPr>
              <w:spacing w:after="0"/>
              <w:rPr>
                <w:sz w:val="14"/>
                <w:szCs w:val="14"/>
                <w:color w:val="auto"/>
              </w:rPr>
            </w:pPr>
          </w:p>
        </w:tc>
        <w:tc>
          <w:tcPr>
            <w:tcW w:w="700" w:type="dxa"/>
            <w:vAlign w:val="bottom"/>
          </w:tcPr>
          <w:p>
            <w:pPr>
              <w:jc w:val="right"/>
              <w:ind w:right="141"/>
              <w:spacing w:after="0" w:line="165" w:lineRule="exact"/>
              <w:rPr>
                <w:sz w:val="20"/>
                <w:szCs w:val="20"/>
                <w:color w:val="auto"/>
              </w:rPr>
            </w:pPr>
            <w:r>
              <w:rPr>
                <w:rFonts w:ascii="Arial" w:cs="Arial" w:eastAsia="Arial" w:hAnsi="Arial"/>
                <w:sz w:val="16"/>
                <w:szCs w:val="16"/>
                <w:b w:val="1"/>
                <w:bCs w:val="1"/>
                <w:color w:val="auto"/>
              </w:rPr>
              <w:t>8,381</w:t>
            </w:r>
          </w:p>
        </w:tc>
        <w:tc>
          <w:tcPr>
            <w:tcW w:w="1180" w:type="dxa"/>
            <w:vAlign w:val="bottom"/>
          </w:tcPr>
          <w:p>
            <w:pPr>
              <w:jc w:val="right"/>
              <w:ind w:right="21"/>
              <w:spacing w:after="0" w:line="165" w:lineRule="exact"/>
              <w:rPr>
                <w:sz w:val="20"/>
                <w:szCs w:val="20"/>
                <w:color w:val="auto"/>
              </w:rPr>
            </w:pPr>
            <w:r>
              <w:rPr>
                <w:rFonts w:ascii="Arial" w:cs="Arial" w:eastAsia="Arial" w:hAnsi="Arial"/>
                <w:sz w:val="16"/>
                <w:szCs w:val="16"/>
                <w:color w:val="auto"/>
              </w:rPr>
              <w:t>10,248</w:t>
            </w:r>
          </w:p>
        </w:tc>
      </w:tr>
      <w:tr>
        <w:trPr>
          <w:trHeight w:val="186"/>
        </w:trPr>
        <w:tc>
          <w:tcPr>
            <w:tcW w:w="8600" w:type="dxa"/>
            <w:vAlign w:val="bottom"/>
          </w:tcPr>
          <w:p>
            <w:pPr>
              <w:spacing w:after="0"/>
              <w:rPr>
                <w:sz w:val="20"/>
                <w:szCs w:val="20"/>
                <w:color w:val="auto"/>
              </w:rPr>
            </w:pPr>
            <w:r>
              <w:rPr>
                <w:rFonts w:ascii="Arial" w:cs="Arial" w:eastAsia="Arial" w:hAnsi="Arial"/>
                <w:sz w:val="16"/>
                <w:szCs w:val="16"/>
                <w:color w:val="auto"/>
              </w:rPr>
              <w:t> Switzerland</w:t>
            </w:r>
          </w:p>
        </w:tc>
        <w:tc>
          <w:tcPr>
            <w:tcW w:w="320" w:type="dxa"/>
            <w:vAlign w:val="bottom"/>
          </w:tcPr>
          <w:p>
            <w:pPr>
              <w:spacing w:after="0"/>
              <w:rPr>
                <w:sz w:val="16"/>
                <w:szCs w:val="16"/>
                <w:color w:val="auto"/>
              </w:rPr>
            </w:pPr>
          </w:p>
        </w:tc>
        <w:tc>
          <w:tcPr>
            <w:tcW w:w="700" w:type="dxa"/>
            <w:vAlign w:val="bottom"/>
          </w:tcPr>
          <w:p>
            <w:pPr>
              <w:jc w:val="right"/>
              <w:ind w:right="141"/>
              <w:spacing w:after="0"/>
              <w:rPr>
                <w:sz w:val="20"/>
                <w:szCs w:val="20"/>
                <w:color w:val="auto"/>
              </w:rPr>
            </w:pPr>
            <w:r>
              <w:rPr>
                <w:rFonts w:ascii="Arial" w:cs="Arial" w:eastAsia="Arial" w:hAnsi="Arial"/>
                <w:sz w:val="16"/>
                <w:szCs w:val="16"/>
                <w:b w:val="1"/>
                <w:bCs w:val="1"/>
                <w:color w:val="auto"/>
              </w:rPr>
              <w:t>2,074</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1,993</w:t>
            </w:r>
          </w:p>
        </w:tc>
      </w:tr>
      <w:tr>
        <w:trPr>
          <w:trHeight w:val="186"/>
        </w:trPr>
        <w:tc>
          <w:tcPr>
            <w:tcW w:w="8600" w:type="dxa"/>
            <w:vAlign w:val="bottom"/>
          </w:tcPr>
          <w:p>
            <w:pPr>
              <w:spacing w:after="0"/>
              <w:rPr>
                <w:sz w:val="20"/>
                <w:szCs w:val="20"/>
                <w:color w:val="auto"/>
              </w:rPr>
            </w:pPr>
            <w:r>
              <w:rPr>
                <w:rFonts w:ascii="Arial" w:cs="Arial" w:eastAsia="Arial" w:hAnsi="Arial"/>
                <w:sz w:val="16"/>
                <w:szCs w:val="16"/>
                <w:color w:val="auto"/>
              </w:rPr>
              <w:t> U.K.</w:t>
            </w:r>
          </w:p>
        </w:tc>
        <w:tc>
          <w:tcPr>
            <w:tcW w:w="320" w:type="dxa"/>
            <w:vAlign w:val="bottom"/>
          </w:tcPr>
          <w:p>
            <w:pPr>
              <w:spacing w:after="0"/>
              <w:rPr>
                <w:sz w:val="16"/>
                <w:szCs w:val="16"/>
                <w:color w:val="auto"/>
              </w:rPr>
            </w:pPr>
          </w:p>
        </w:tc>
        <w:tc>
          <w:tcPr>
            <w:tcW w:w="700" w:type="dxa"/>
            <w:vAlign w:val="bottom"/>
          </w:tcPr>
          <w:p>
            <w:pPr>
              <w:jc w:val="right"/>
              <w:ind w:right="141"/>
              <w:spacing w:after="0"/>
              <w:rPr>
                <w:sz w:val="20"/>
                <w:szCs w:val="20"/>
                <w:color w:val="auto"/>
              </w:rPr>
            </w:pPr>
            <w:r>
              <w:rPr>
                <w:rFonts w:ascii="Arial" w:cs="Arial" w:eastAsia="Arial" w:hAnsi="Arial"/>
                <w:sz w:val="16"/>
                <w:szCs w:val="16"/>
                <w:b w:val="1"/>
                <w:bCs w:val="1"/>
                <w:color w:val="auto"/>
              </w:rPr>
              <w:t>1,431</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1,321</w:t>
            </w:r>
          </w:p>
        </w:tc>
      </w:tr>
      <w:tr>
        <w:trPr>
          <w:trHeight w:val="200"/>
        </w:trPr>
        <w:tc>
          <w:tcPr>
            <w:tcW w:w="86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Other</w:t>
            </w:r>
          </w:p>
        </w:tc>
        <w:tc>
          <w:tcPr>
            <w:tcW w:w="320" w:type="dxa"/>
            <w:vAlign w:val="bottom"/>
            <w:tcBorders>
              <w:bottom w:val="single" w:sz="8" w:color="B2B2B2"/>
            </w:tcBorders>
          </w:tcPr>
          <w:p>
            <w:pPr>
              <w:spacing w:after="0"/>
              <w:rPr>
                <w:sz w:val="17"/>
                <w:szCs w:val="17"/>
                <w:color w:val="auto"/>
              </w:rPr>
            </w:pPr>
          </w:p>
        </w:tc>
        <w:tc>
          <w:tcPr>
            <w:tcW w:w="700" w:type="dxa"/>
            <w:vAlign w:val="bottom"/>
            <w:tcBorders>
              <w:bottom w:val="single" w:sz="8" w:color="B2B2B2"/>
            </w:tcBorders>
          </w:tcPr>
          <w:p>
            <w:pPr>
              <w:jc w:val="right"/>
              <w:ind w:right="141"/>
              <w:spacing w:after="0"/>
              <w:rPr>
                <w:sz w:val="20"/>
                <w:szCs w:val="20"/>
                <w:color w:val="auto"/>
              </w:rPr>
            </w:pPr>
            <w:r>
              <w:rPr>
                <w:rFonts w:ascii="Arial" w:cs="Arial" w:eastAsia="Arial" w:hAnsi="Arial"/>
                <w:sz w:val="16"/>
                <w:szCs w:val="16"/>
                <w:b w:val="1"/>
                <w:bCs w:val="1"/>
                <w:color w:val="auto"/>
              </w:rPr>
              <w:t>639</w:t>
            </w:r>
          </w:p>
        </w:tc>
        <w:tc>
          <w:tcPr>
            <w:tcW w:w="118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47</w:t>
            </w:r>
          </w:p>
        </w:tc>
      </w:tr>
      <w:tr>
        <w:trPr>
          <w:trHeight w:val="165"/>
        </w:trPr>
        <w:tc>
          <w:tcPr>
            <w:tcW w:w="8600" w:type="dxa"/>
            <w:vAlign w:val="bottom"/>
          </w:tcPr>
          <w:p>
            <w:pPr>
              <w:spacing w:after="0" w:line="165" w:lineRule="exact"/>
              <w:rPr>
                <w:sz w:val="20"/>
                <w:szCs w:val="20"/>
                <w:color w:val="auto"/>
              </w:rPr>
            </w:pPr>
            <w:r>
              <w:rPr>
                <w:rFonts w:ascii="Arial" w:cs="Arial" w:eastAsia="Arial" w:hAnsi="Arial"/>
                <w:sz w:val="16"/>
                <w:szCs w:val="16"/>
                <w:color w:val="auto"/>
              </w:rPr>
              <w:t> EMEA (Europe, Middle East and Africa)</w:t>
            </w:r>
          </w:p>
        </w:tc>
        <w:tc>
          <w:tcPr>
            <w:tcW w:w="320" w:type="dxa"/>
            <w:vAlign w:val="bottom"/>
          </w:tcPr>
          <w:p>
            <w:pPr>
              <w:spacing w:after="0"/>
              <w:rPr>
                <w:sz w:val="14"/>
                <w:szCs w:val="14"/>
                <w:color w:val="auto"/>
              </w:rPr>
            </w:pPr>
          </w:p>
        </w:tc>
        <w:tc>
          <w:tcPr>
            <w:tcW w:w="700" w:type="dxa"/>
            <w:vAlign w:val="bottom"/>
          </w:tcPr>
          <w:p>
            <w:pPr>
              <w:jc w:val="right"/>
              <w:ind w:right="141"/>
              <w:spacing w:after="0" w:line="165" w:lineRule="exact"/>
              <w:rPr>
                <w:sz w:val="20"/>
                <w:szCs w:val="20"/>
                <w:color w:val="auto"/>
              </w:rPr>
            </w:pPr>
            <w:r>
              <w:rPr>
                <w:rFonts w:ascii="Arial" w:cs="Arial" w:eastAsia="Arial" w:hAnsi="Arial"/>
                <w:sz w:val="16"/>
                <w:szCs w:val="16"/>
                <w:b w:val="1"/>
                <w:bCs w:val="1"/>
                <w:color w:val="auto"/>
              </w:rPr>
              <w:t>4,144</w:t>
            </w:r>
          </w:p>
        </w:tc>
        <w:tc>
          <w:tcPr>
            <w:tcW w:w="1180" w:type="dxa"/>
            <w:vAlign w:val="bottom"/>
          </w:tcPr>
          <w:p>
            <w:pPr>
              <w:jc w:val="right"/>
              <w:ind w:right="21"/>
              <w:spacing w:after="0" w:line="165" w:lineRule="exact"/>
              <w:rPr>
                <w:sz w:val="20"/>
                <w:szCs w:val="20"/>
                <w:color w:val="auto"/>
              </w:rPr>
            </w:pPr>
            <w:r>
              <w:rPr>
                <w:rFonts w:ascii="Arial" w:cs="Arial" w:eastAsia="Arial" w:hAnsi="Arial"/>
                <w:sz w:val="16"/>
                <w:szCs w:val="16"/>
                <w:color w:val="auto"/>
              </w:rPr>
              <w:t>3,361</w:t>
            </w:r>
          </w:p>
        </w:tc>
      </w:tr>
      <w:tr>
        <w:trPr>
          <w:trHeight w:val="200"/>
        </w:trPr>
        <w:tc>
          <w:tcPr>
            <w:tcW w:w="86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Asia Pacific</w:t>
            </w:r>
          </w:p>
        </w:tc>
        <w:tc>
          <w:tcPr>
            <w:tcW w:w="320" w:type="dxa"/>
            <w:vAlign w:val="bottom"/>
            <w:tcBorders>
              <w:bottom w:val="single" w:sz="8" w:color="B2B2B2"/>
            </w:tcBorders>
          </w:tcPr>
          <w:p>
            <w:pPr>
              <w:spacing w:after="0"/>
              <w:rPr>
                <w:sz w:val="17"/>
                <w:szCs w:val="17"/>
                <w:color w:val="auto"/>
              </w:rPr>
            </w:pPr>
          </w:p>
        </w:tc>
        <w:tc>
          <w:tcPr>
            <w:tcW w:w="700" w:type="dxa"/>
            <w:vAlign w:val="bottom"/>
            <w:tcBorders>
              <w:bottom w:val="single" w:sz="8" w:color="B2B2B2"/>
            </w:tcBorders>
          </w:tcPr>
          <w:p>
            <w:pPr>
              <w:jc w:val="right"/>
              <w:ind w:right="141"/>
              <w:spacing w:after="0"/>
              <w:rPr>
                <w:sz w:val="20"/>
                <w:szCs w:val="20"/>
                <w:color w:val="auto"/>
              </w:rPr>
            </w:pPr>
            <w:r>
              <w:rPr>
                <w:rFonts w:ascii="Arial" w:cs="Arial" w:eastAsia="Arial" w:hAnsi="Arial"/>
                <w:sz w:val="16"/>
                <w:szCs w:val="16"/>
                <w:b w:val="1"/>
                <w:bCs w:val="1"/>
                <w:color w:val="auto"/>
              </w:rPr>
              <w:t>104</w:t>
            </w:r>
          </w:p>
        </w:tc>
        <w:tc>
          <w:tcPr>
            <w:tcW w:w="118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116</w:t>
            </w:r>
          </w:p>
        </w:tc>
      </w:tr>
      <w:tr>
        <w:trPr>
          <w:trHeight w:val="185"/>
        </w:trPr>
        <w:tc>
          <w:tcPr>
            <w:tcW w:w="860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color w:val="auto"/>
              </w:rPr>
              <w:t> Total</w:t>
            </w:r>
          </w:p>
        </w:tc>
        <w:tc>
          <w:tcPr>
            <w:tcW w:w="320" w:type="dxa"/>
            <w:vAlign w:val="bottom"/>
            <w:tcBorders>
              <w:bottom w:val="single" w:sz="8" w:color="D64000"/>
            </w:tcBorders>
          </w:tcPr>
          <w:p>
            <w:pPr>
              <w:spacing w:after="0"/>
              <w:rPr>
                <w:sz w:val="16"/>
                <w:szCs w:val="16"/>
                <w:color w:val="auto"/>
              </w:rPr>
            </w:pPr>
          </w:p>
        </w:tc>
        <w:tc>
          <w:tcPr>
            <w:tcW w:w="700" w:type="dxa"/>
            <w:vAlign w:val="bottom"/>
            <w:tcBorders>
              <w:bottom w:val="single" w:sz="8" w:color="D64000"/>
            </w:tcBorders>
          </w:tcPr>
          <w:p>
            <w:pPr>
              <w:jc w:val="right"/>
              <w:ind w:right="141"/>
              <w:spacing w:after="0" w:line="179" w:lineRule="exact"/>
              <w:rPr>
                <w:sz w:val="20"/>
                <w:szCs w:val="20"/>
                <w:color w:val="auto"/>
              </w:rPr>
            </w:pPr>
            <w:r>
              <w:rPr>
                <w:rFonts w:ascii="Arial" w:cs="Arial" w:eastAsia="Arial" w:hAnsi="Arial"/>
                <w:sz w:val="16"/>
                <w:szCs w:val="16"/>
                <w:b w:val="1"/>
                <w:bCs w:val="1"/>
                <w:color w:val="auto"/>
                <w:w w:val="93"/>
              </w:rPr>
              <w:t>12,629</w:t>
            </w:r>
          </w:p>
        </w:tc>
        <w:tc>
          <w:tcPr>
            <w:tcW w:w="1180" w:type="dxa"/>
            <w:vAlign w:val="bottom"/>
            <w:tcBorders>
              <w:bottom w:val="single" w:sz="8" w:color="D64000"/>
            </w:tcBorders>
          </w:tcPr>
          <w:p>
            <w:pPr>
              <w:jc w:val="right"/>
              <w:ind w:right="21"/>
              <w:spacing w:after="0" w:line="179" w:lineRule="exact"/>
              <w:rPr>
                <w:sz w:val="20"/>
                <w:szCs w:val="20"/>
                <w:color w:val="auto"/>
              </w:rPr>
            </w:pPr>
            <w:r>
              <w:rPr>
                <w:rFonts w:ascii="Arial" w:cs="Arial" w:eastAsia="Arial" w:hAnsi="Arial"/>
                <w:sz w:val="16"/>
                <w:szCs w:val="16"/>
                <w:color w:val="auto"/>
              </w:rPr>
              <w:t>13,725</w:t>
            </w:r>
          </w:p>
        </w:tc>
      </w:tr>
    </w:tbl>
    <w:p>
      <w:pPr>
        <w:spacing w:after="0" w:line="110" w:lineRule="exact"/>
        <w:rPr>
          <w:sz w:val="20"/>
          <w:szCs w:val="20"/>
          <w:color w:val="auto"/>
        </w:rPr>
      </w:pPr>
    </w:p>
    <w:p>
      <w:pPr>
        <w:ind w:left="640" w:right="340" w:hanging="422"/>
        <w:spacing w:after="0" w:line="274" w:lineRule="auto"/>
        <w:tabs>
          <w:tab w:leader="none" w:pos="6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Non-current assets are primarily comprised of property and equipment, computer software, other identifiable intangible assets, goodwill and investments in equity method investees.</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Note 5: Operating Expenses</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components of operating expenses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83185</wp:posOffset>
            </wp:positionV>
            <wp:extent cx="68656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11"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8300" w:type="dxa"/>
            <w:vAlign w:val="bottom"/>
          </w:tcPr>
          <w:p>
            <w:pPr>
              <w:spacing w:after="0"/>
              <w:rPr>
                <w:sz w:val="17"/>
                <w:szCs w:val="17"/>
                <w:color w:val="auto"/>
              </w:rPr>
            </w:pPr>
          </w:p>
        </w:tc>
        <w:tc>
          <w:tcPr>
            <w:tcW w:w="220" w:type="dxa"/>
            <w:vAlign w:val="bottom"/>
            <w:shd w:val="clear" w:color="auto" w:fill="E3F3EE"/>
          </w:tcPr>
          <w:p>
            <w:pPr>
              <w:ind w:left="100"/>
              <w:spacing w:after="0"/>
              <w:rPr>
                <w:sz w:val="20"/>
                <w:szCs w:val="20"/>
                <w:color w:val="auto"/>
              </w:rPr>
            </w:pPr>
            <w:r>
              <w:rPr>
                <w:rFonts w:ascii="Arial" w:cs="Arial" w:eastAsia="Arial" w:hAnsi="Arial"/>
                <w:sz w:val="14"/>
                <w:szCs w:val="14"/>
                <w:b w:val="1"/>
                <w:bCs w:val="1"/>
                <w:color w:val="auto"/>
                <w:w w:val="71"/>
              </w:rPr>
              <w:t> </w:t>
            </w:r>
          </w:p>
        </w:tc>
        <w:tc>
          <w:tcPr>
            <w:tcW w:w="2280" w:type="dxa"/>
            <w:vAlign w:val="bottom"/>
            <w:gridSpan w:val="2"/>
            <w:shd w:val="clear" w:color="auto" w:fill="E3F3EE"/>
          </w:tcPr>
          <w:p>
            <w:pPr>
              <w:jc w:val="right"/>
              <w:ind w:right="81"/>
              <w:spacing w:after="0"/>
              <w:rPr>
                <w:sz w:val="20"/>
                <w:szCs w:val="20"/>
                <w:color w:val="auto"/>
              </w:rPr>
            </w:pPr>
            <w:r>
              <w:rPr>
                <w:rFonts w:ascii="Arial" w:cs="Arial" w:eastAsia="Arial" w:hAnsi="Arial"/>
                <w:sz w:val="16"/>
                <w:szCs w:val="16"/>
                <w:b w:val="1"/>
                <w:bCs w:val="1"/>
                <w:color w:val="auto"/>
                <w:w w:val="97"/>
              </w:rPr>
              <w:t>  Year ended December 31,</w:t>
            </w:r>
          </w:p>
        </w:tc>
      </w:tr>
      <w:tr>
        <w:trPr>
          <w:trHeight w:val="192"/>
        </w:trPr>
        <w:tc>
          <w:tcPr>
            <w:tcW w:w="8300" w:type="dxa"/>
            <w:vAlign w:val="bottom"/>
            <w:tcBorders>
              <w:bottom w:val="single" w:sz="8" w:color="D64000"/>
            </w:tcBorders>
            <w:shd w:val="clear" w:color="auto" w:fill="1F473D"/>
          </w:tcPr>
          <w:p>
            <w:pPr>
              <w:spacing w:after="0"/>
              <w:rPr>
                <w:sz w:val="16"/>
                <w:szCs w:val="16"/>
                <w:color w:val="auto"/>
              </w:rPr>
            </w:pPr>
          </w:p>
        </w:tc>
        <w:tc>
          <w:tcPr>
            <w:tcW w:w="220" w:type="dxa"/>
            <w:vAlign w:val="bottom"/>
            <w:tcBorders>
              <w:bottom w:val="single" w:sz="8" w:color="D64000"/>
            </w:tcBorders>
            <w:shd w:val="clear" w:color="auto" w:fill="1F473D"/>
          </w:tcPr>
          <w:p>
            <w:pPr>
              <w:ind w:left="160"/>
              <w:spacing w:after="0"/>
              <w:rPr>
                <w:sz w:val="20"/>
                <w:szCs w:val="20"/>
                <w:color w:val="auto"/>
              </w:rPr>
            </w:pPr>
            <w:r>
              <w:rPr>
                <w:rFonts w:ascii="Arial" w:cs="Arial" w:eastAsia="Arial" w:hAnsi="Arial"/>
                <w:sz w:val="5"/>
                <w:szCs w:val="5"/>
                <w:b w:val="1"/>
                <w:bCs w:val="1"/>
                <w:color w:val="FFFFFF"/>
                <w:w w:val="79"/>
              </w:rPr>
              <w:t> </w:t>
            </w:r>
          </w:p>
        </w:tc>
        <w:tc>
          <w:tcPr>
            <w:tcW w:w="1140" w:type="dxa"/>
            <w:vAlign w:val="bottom"/>
            <w:tcBorders>
              <w:bottom w:val="single" w:sz="8" w:color="D64000"/>
            </w:tcBorders>
            <w:shd w:val="clear" w:color="auto" w:fill="1F473D"/>
          </w:tcPr>
          <w:p>
            <w:pPr>
              <w:jc w:val="right"/>
              <w:ind w:right="141"/>
              <w:spacing w:after="0"/>
              <w:rPr>
                <w:sz w:val="20"/>
                <w:szCs w:val="20"/>
                <w:color w:val="auto"/>
              </w:rPr>
            </w:pPr>
            <w:r>
              <w:rPr>
                <w:rFonts w:ascii="Arial" w:cs="Arial" w:eastAsia="Arial" w:hAnsi="Arial"/>
                <w:sz w:val="16"/>
                <w:szCs w:val="16"/>
                <w:b w:val="1"/>
                <w:bCs w:val="1"/>
                <w:color w:val="FFFFFF"/>
              </w:rPr>
              <w:t>         2024</w:t>
            </w:r>
          </w:p>
        </w:tc>
        <w:tc>
          <w:tcPr>
            <w:tcW w:w="1140" w:type="dxa"/>
            <w:vAlign w:val="bottom"/>
            <w:tcBorders>
              <w:bottom w:val="single" w:sz="8" w:color="D64000"/>
            </w:tcBorders>
            <w:shd w:val="clear" w:color="auto" w:fill="1F473D"/>
          </w:tcPr>
          <w:p>
            <w:pPr>
              <w:jc w:val="right"/>
              <w:ind w:right="141"/>
              <w:spacing w:after="0"/>
              <w:rPr>
                <w:sz w:val="20"/>
                <w:szCs w:val="20"/>
                <w:color w:val="auto"/>
              </w:rPr>
            </w:pPr>
            <w:r>
              <w:rPr>
                <w:rFonts w:ascii="Arial" w:cs="Arial" w:eastAsia="Arial" w:hAnsi="Arial"/>
                <w:sz w:val="16"/>
                <w:szCs w:val="16"/>
                <w:color w:val="FFFFFF"/>
              </w:rPr>
              <w:t>         2023</w:t>
            </w:r>
          </w:p>
        </w:tc>
      </w:tr>
      <w:tr>
        <w:trPr>
          <w:trHeight w:val="171"/>
        </w:trPr>
        <w:tc>
          <w:tcPr>
            <w:tcW w:w="8520" w:type="dxa"/>
            <w:vAlign w:val="bottom"/>
            <w:gridSpan w:val="2"/>
          </w:tcPr>
          <w:p>
            <w:pPr>
              <w:spacing w:after="0" w:line="171" w:lineRule="exact"/>
              <w:rPr>
                <w:sz w:val="20"/>
                <w:szCs w:val="20"/>
                <w:color w:val="auto"/>
              </w:rPr>
            </w:pPr>
            <w:r>
              <w:rPr>
                <w:rFonts w:ascii="Arial" w:cs="Arial" w:eastAsia="Arial" w:hAnsi="Arial"/>
                <w:sz w:val="16"/>
                <w:szCs w:val="16"/>
                <w:color w:val="auto"/>
              </w:rPr>
              <w:t> Salaries, commissions and allowances</w:t>
            </w:r>
          </w:p>
        </w:tc>
        <w:tc>
          <w:tcPr>
            <w:tcW w:w="1140" w:type="dxa"/>
            <w:vAlign w:val="bottom"/>
          </w:tcPr>
          <w:p>
            <w:pPr>
              <w:jc w:val="right"/>
              <w:ind w:right="21"/>
              <w:spacing w:after="0" w:line="171" w:lineRule="exact"/>
              <w:rPr>
                <w:sz w:val="20"/>
                <w:szCs w:val="20"/>
                <w:color w:val="auto"/>
              </w:rPr>
            </w:pPr>
            <w:r>
              <w:rPr>
                <w:rFonts w:ascii="Arial" w:cs="Arial" w:eastAsia="Arial" w:hAnsi="Arial"/>
                <w:sz w:val="16"/>
                <w:szCs w:val="16"/>
                <w:b w:val="1"/>
                <w:bCs w:val="1"/>
                <w:color w:val="auto"/>
              </w:rPr>
              <w:t>2,415</w:t>
            </w:r>
          </w:p>
        </w:tc>
        <w:tc>
          <w:tcPr>
            <w:tcW w:w="1140" w:type="dxa"/>
            <w:vAlign w:val="bottom"/>
          </w:tcPr>
          <w:p>
            <w:pPr>
              <w:jc w:val="right"/>
              <w:ind w:right="21"/>
              <w:spacing w:after="0" w:line="171" w:lineRule="exact"/>
              <w:rPr>
                <w:sz w:val="20"/>
                <w:szCs w:val="20"/>
                <w:color w:val="auto"/>
              </w:rPr>
            </w:pPr>
            <w:r>
              <w:rPr>
                <w:rFonts w:ascii="Arial" w:cs="Arial" w:eastAsia="Arial" w:hAnsi="Arial"/>
                <w:sz w:val="16"/>
                <w:szCs w:val="16"/>
                <w:color w:val="auto"/>
              </w:rPr>
              <w:t>2,296</w:t>
            </w:r>
          </w:p>
        </w:tc>
      </w:tr>
      <w:tr>
        <w:trPr>
          <w:trHeight w:val="186"/>
        </w:trPr>
        <w:tc>
          <w:tcPr>
            <w:tcW w:w="8520" w:type="dxa"/>
            <w:vAlign w:val="bottom"/>
            <w:gridSpan w:val="2"/>
          </w:tcPr>
          <w:p>
            <w:pPr>
              <w:spacing w:after="0"/>
              <w:rPr>
                <w:sz w:val="20"/>
                <w:szCs w:val="20"/>
                <w:color w:val="auto"/>
              </w:rPr>
            </w:pPr>
            <w:r>
              <w:rPr>
                <w:rFonts w:ascii="Arial" w:cs="Arial" w:eastAsia="Arial" w:hAnsi="Arial"/>
                <w:sz w:val="16"/>
                <w:szCs w:val="16"/>
                <w:color w:val="auto"/>
              </w:rPr>
              <w:t> Share-based payments</w:t>
            </w: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87</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83</w:t>
            </w:r>
          </w:p>
        </w:tc>
      </w:tr>
      <w:tr>
        <w:trPr>
          <w:trHeight w:val="200"/>
        </w:trPr>
        <w:tc>
          <w:tcPr>
            <w:tcW w:w="852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color w:val="auto"/>
              </w:rPr>
              <w:t> Post-employment benefits</w:t>
            </w:r>
          </w:p>
        </w:tc>
        <w:tc>
          <w:tcPr>
            <w:tcW w:w="114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b w:val="1"/>
                <w:bCs w:val="1"/>
                <w:color w:val="auto"/>
              </w:rPr>
              <w:t>121</w:t>
            </w:r>
          </w:p>
        </w:tc>
        <w:tc>
          <w:tcPr>
            <w:tcW w:w="114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115</w:t>
            </w:r>
          </w:p>
        </w:tc>
      </w:tr>
      <w:tr>
        <w:trPr>
          <w:trHeight w:val="165"/>
        </w:trPr>
        <w:tc>
          <w:tcPr>
            <w:tcW w:w="8520" w:type="dxa"/>
            <w:vAlign w:val="bottom"/>
            <w:gridSpan w:val="2"/>
          </w:tcPr>
          <w:p>
            <w:pPr>
              <w:spacing w:after="0" w:line="165" w:lineRule="exact"/>
              <w:rPr>
                <w:sz w:val="20"/>
                <w:szCs w:val="20"/>
                <w:color w:val="auto"/>
              </w:rPr>
            </w:pPr>
            <w:r>
              <w:rPr>
                <w:rFonts w:ascii="Arial" w:cs="Arial" w:eastAsia="Arial" w:hAnsi="Arial"/>
                <w:sz w:val="16"/>
                <w:szCs w:val="16"/>
                <w:color w:val="auto"/>
              </w:rPr>
              <w:t> Total staff costs</w:t>
            </w:r>
          </w:p>
        </w:tc>
        <w:tc>
          <w:tcPr>
            <w:tcW w:w="1140" w:type="dxa"/>
            <w:vAlign w:val="bottom"/>
          </w:tcPr>
          <w:p>
            <w:pPr>
              <w:jc w:val="right"/>
              <w:ind w:right="21"/>
              <w:spacing w:after="0" w:line="165" w:lineRule="exact"/>
              <w:rPr>
                <w:sz w:val="20"/>
                <w:szCs w:val="20"/>
                <w:color w:val="auto"/>
              </w:rPr>
            </w:pPr>
            <w:r>
              <w:rPr>
                <w:rFonts w:ascii="Arial" w:cs="Arial" w:eastAsia="Arial" w:hAnsi="Arial"/>
                <w:sz w:val="16"/>
                <w:szCs w:val="16"/>
                <w:b w:val="1"/>
                <w:bCs w:val="1"/>
                <w:color w:val="auto"/>
              </w:rPr>
              <w:t>2,623</w:t>
            </w:r>
          </w:p>
        </w:tc>
        <w:tc>
          <w:tcPr>
            <w:tcW w:w="1140" w:type="dxa"/>
            <w:vAlign w:val="bottom"/>
          </w:tcPr>
          <w:p>
            <w:pPr>
              <w:jc w:val="right"/>
              <w:ind w:right="21"/>
              <w:spacing w:after="0" w:line="165" w:lineRule="exact"/>
              <w:rPr>
                <w:sz w:val="20"/>
                <w:szCs w:val="20"/>
                <w:color w:val="auto"/>
              </w:rPr>
            </w:pPr>
            <w:r>
              <w:rPr>
                <w:rFonts w:ascii="Arial" w:cs="Arial" w:eastAsia="Arial" w:hAnsi="Arial"/>
                <w:sz w:val="16"/>
                <w:szCs w:val="16"/>
                <w:color w:val="auto"/>
              </w:rPr>
              <w:t>2,494</w:t>
            </w:r>
          </w:p>
        </w:tc>
      </w:tr>
      <w:tr>
        <w:trPr>
          <w:trHeight w:val="186"/>
        </w:trPr>
        <w:tc>
          <w:tcPr>
            <w:tcW w:w="8520" w:type="dxa"/>
            <w:vAlign w:val="bottom"/>
            <w:gridSpan w:val="2"/>
          </w:tcPr>
          <w:p>
            <w:pPr>
              <w:spacing w:after="0" w:line="185" w:lineRule="exact"/>
              <w:rPr>
                <w:sz w:val="20"/>
                <w:szCs w:val="20"/>
                <w:color w:val="auto"/>
              </w:rPr>
            </w:pPr>
            <w:r>
              <w:rPr>
                <w:rFonts w:ascii="Arial" w:cs="Arial" w:eastAsia="Arial" w:hAnsi="Arial"/>
                <w:sz w:val="16"/>
                <w:szCs w:val="16"/>
                <w:color w:val="auto"/>
              </w:rPr>
              <w:t> Goods and services</w:t>
            </w:r>
            <w:r>
              <w:rPr>
                <w:rFonts w:ascii="Arial" w:cs="Arial" w:eastAsia="Arial" w:hAnsi="Arial"/>
                <w:sz w:val="19"/>
                <w:szCs w:val="19"/>
                <w:color w:val="auto"/>
                <w:vertAlign w:val="superscript"/>
              </w:rPr>
              <w:t>(1)</w:t>
            </w: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1,502</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1,295</w:t>
            </w:r>
          </w:p>
        </w:tc>
      </w:tr>
      <w:tr>
        <w:trPr>
          <w:trHeight w:val="185"/>
        </w:trPr>
        <w:tc>
          <w:tcPr>
            <w:tcW w:w="8520" w:type="dxa"/>
            <w:vAlign w:val="bottom"/>
            <w:gridSpan w:val="2"/>
          </w:tcPr>
          <w:p>
            <w:pPr>
              <w:spacing w:after="0"/>
              <w:rPr>
                <w:sz w:val="20"/>
                <w:szCs w:val="20"/>
                <w:color w:val="auto"/>
              </w:rPr>
            </w:pPr>
            <w:r>
              <w:rPr>
                <w:rFonts w:ascii="Arial" w:cs="Arial" w:eastAsia="Arial" w:hAnsi="Arial"/>
                <w:sz w:val="16"/>
                <w:szCs w:val="16"/>
                <w:color w:val="auto"/>
              </w:rPr>
              <w:t> Content</w:t>
            </w: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289</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265</w:t>
            </w:r>
          </w:p>
        </w:tc>
      </w:tr>
      <w:tr>
        <w:trPr>
          <w:trHeight w:val="185"/>
        </w:trPr>
        <w:tc>
          <w:tcPr>
            <w:tcW w:w="8520" w:type="dxa"/>
            <w:vAlign w:val="bottom"/>
            <w:gridSpan w:val="2"/>
          </w:tcPr>
          <w:p>
            <w:pPr>
              <w:spacing w:after="0"/>
              <w:rPr>
                <w:sz w:val="20"/>
                <w:szCs w:val="20"/>
                <w:color w:val="auto"/>
              </w:rPr>
            </w:pPr>
            <w:r>
              <w:rPr>
                <w:rFonts w:ascii="Arial" w:cs="Arial" w:eastAsia="Arial" w:hAnsi="Arial"/>
                <w:sz w:val="16"/>
                <w:szCs w:val="16"/>
                <w:color w:val="auto"/>
              </w:rPr>
              <w:t> Telecommunications</w:t>
            </w: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39</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39</w:t>
            </w:r>
          </w:p>
        </w:tc>
      </w:tr>
      <w:tr>
        <w:trPr>
          <w:trHeight w:val="185"/>
        </w:trPr>
        <w:tc>
          <w:tcPr>
            <w:tcW w:w="8520" w:type="dxa"/>
            <w:vAlign w:val="bottom"/>
            <w:gridSpan w:val="2"/>
          </w:tcPr>
          <w:p>
            <w:pPr>
              <w:spacing w:after="0"/>
              <w:rPr>
                <w:sz w:val="20"/>
                <w:szCs w:val="20"/>
                <w:color w:val="auto"/>
              </w:rPr>
            </w:pPr>
            <w:r>
              <w:rPr>
                <w:rFonts w:ascii="Arial" w:cs="Arial" w:eastAsia="Arial" w:hAnsi="Arial"/>
                <w:sz w:val="16"/>
                <w:szCs w:val="16"/>
                <w:color w:val="auto"/>
              </w:rPr>
              <w:t> Facilities</w:t>
            </w: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35</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39</w:t>
            </w:r>
          </w:p>
        </w:tc>
      </w:tr>
      <w:tr>
        <w:trPr>
          <w:trHeight w:val="200"/>
        </w:trPr>
        <w:tc>
          <w:tcPr>
            <w:tcW w:w="8520" w:type="dxa"/>
            <w:vAlign w:val="bottom"/>
            <w:tcBorders>
              <w:bottom w:val="single" w:sz="8" w:color="B2B2B2"/>
            </w:tcBorders>
            <w:gridSpan w:val="2"/>
          </w:tcPr>
          <w:p>
            <w:pPr>
              <w:spacing w:after="0" w:line="200" w:lineRule="exact"/>
              <w:rPr>
                <w:sz w:val="20"/>
                <w:szCs w:val="20"/>
                <w:color w:val="auto"/>
              </w:rPr>
            </w:pPr>
            <w:r>
              <w:rPr>
                <w:rFonts w:ascii="Arial" w:cs="Arial" w:eastAsia="Arial" w:hAnsi="Arial"/>
                <w:sz w:val="16"/>
                <w:szCs w:val="16"/>
                <w:color w:val="auto"/>
              </w:rPr>
              <w:t> Fair value adjustments</w:t>
            </w:r>
            <w:r>
              <w:rPr>
                <w:rFonts w:ascii="Arial" w:cs="Arial" w:eastAsia="Arial" w:hAnsi="Arial"/>
                <w:sz w:val="19"/>
                <w:szCs w:val="19"/>
                <w:color w:val="auto"/>
                <w:vertAlign w:val="superscript"/>
              </w:rPr>
              <w:t>(2)</w:t>
            </w:r>
          </w:p>
        </w:tc>
        <w:tc>
          <w:tcPr>
            <w:tcW w:w="114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b w:val="1"/>
                <w:bCs w:val="1"/>
                <w:color w:val="auto"/>
              </w:rPr>
              <w:t>(17)</w:t>
            </w:r>
          </w:p>
        </w:tc>
        <w:tc>
          <w:tcPr>
            <w:tcW w:w="114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2</w:t>
            </w:r>
          </w:p>
        </w:tc>
      </w:tr>
      <w:tr>
        <w:trPr>
          <w:trHeight w:val="185"/>
        </w:trPr>
        <w:tc>
          <w:tcPr>
            <w:tcW w:w="8520" w:type="dxa"/>
            <w:vAlign w:val="bottom"/>
            <w:tcBorders>
              <w:bottom w:val="single" w:sz="8" w:color="D64000"/>
            </w:tcBorders>
            <w:gridSpan w:val="2"/>
          </w:tcPr>
          <w:p>
            <w:pPr>
              <w:spacing w:after="0" w:line="179" w:lineRule="exact"/>
              <w:rPr>
                <w:sz w:val="20"/>
                <w:szCs w:val="20"/>
                <w:color w:val="auto"/>
              </w:rPr>
            </w:pPr>
            <w:r>
              <w:rPr>
                <w:rFonts w:ascii="Arial" w:cs="Arial" w:eastAsia="Arial" w:hAnsi="Arial"/>
                <w:sz w:val="16"/>
                <w:szCs w:val="16"/>
                <w:color w:val="auto"/>
              </w:rPr>
              <w:t> Total operating expenses</w:t>
            </w:r>
          </w:p>
        </w:tc>
        <w:tc>
          <w:tcPr>
            <w:tcW w:w="1140" w:type="dxa"/>
            <w:vAlign w:val="bottom"/>
            <w:tcBorders>
              <w:bottom w:val="single" w:sz="8" w:color="D64000"/>
            </w:tcBorders>
          </w:tcPr>
          <w:p>
            <w:pPr>
              <w:jc w:val="right"/>
              <w:ind w:right="21"/>
              <w:spacing w:after="0" w:line="179" w:lineRule="exact"/>
              <w:rPr>
                <w:sz w:val="20"/>
                <w:szCs w:val="20"/>
                <w:color w:val="auto"/>
              </w:rPr>
            </w:pPr>
            <w:r>
              <w:rPr>
                <w:rFonts w:ascii="Arial" w:cs="Arial" w:eastAsia="Arial" w:hAnsi="Arial"/>
                <w:sz w:val="16"/>
                <w:szCs w:val="16"/>
                <w:b w:val="1"/>
                <w:bCs w:val="1"/>
                <w:color w:val="auto"/>
              </w:rPr>
              <w:t>4,471</w:t>
            </w:r>
          </w:p>
        </w:tc>
        <w:tc>
          <w:tcPr>
            <w:tcW w:w="1140" w:type="dxa"/>
            <w:vAlign w:val="bottom"/>
            <w:tcBorders>
              <w:bottom w:val="single" w:sz="8" w:color="D64000"/>
            </w:tcBorders>
          </w:tcPr>
          <w:p>
            <w:pPr>
              <w:jc w:val="right"/>
              <w:ind w:right="21"/>
              <w:spacing w:after="0" w:line="179" w:lineRule="exact"/>
              <w:rPr>
                <w:sz w:val="20"/>
                <w:szCs w:val="20"/>
                <w:color w:val="auto"/>
              </w:rPr>
            </w:pPr>
            <w:r>
              <w:rPr>
                <w:rFonts w:ascii="Arial" w:cs="Arial" w:eastAsia="Arial" w:hAnsi="Arial"/>
                <w:sz w:val="16"/>
                <w:szCs w:val="16"/>
                <w:color w:val="auto"/>
              </w:rPr>
              <w:t>4,134</w:t>
            </w:r>
          </w:p>
        </w:tc>
      </w:tr>
    </w:tbl>
    <w:p>
      <w:pPr>
        <w:spacing w:after="0" w:line="110" w:lineRule="exact"/>
        <w:rPr>
          <w:sz w:val="20"/>
          <w:szCs w:val="20"/>
          <w:color w:val="auto"/>
        </w:rPr>
      </w:pPr>
    </w:p>
    <w:p>
      <w:pPr>
        <w:ind w:left="640" w:hanging="422"/>
        <w:spacing w:after="0"/>
        <w:tabs>
          <w:tab w:leader="none" w:pos="6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Goods and services include technology-related expenses, professional fees, consulting, contractors, marketing and other general and administrative costs.</w:t>
      </w:r>
    </w:p>
    <w:p>
      <w:pPr>
        <w:spacing w:after="0" w:line="24" w:lineRule="exact"/>
        <w:rPr>
          <w:rFonts w:ascii="Arial" w:cs="Arial" w:eastAsia="Arial" w:hAnsi="Arial"/>
          <w:sz w:val="14"/>
          <w:szCs w:val="14"/>
          <w:color w:val="auto"/>
        </w:rPr>
      </w:pPr>
    </w:p>
    <w:p>
      <w:pPr>
        <w:ind w:left="640" w:right="340" w:hanging="422"/>
        <w:spacing w:after="0" w:line="253" w:lineRule="auto"/>
        <w:tabs>
          <w:tab w:leader="none" w:pos="6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Fair value adjustments primarily represent gains or losses due to changes in foreign currency exchange rates on intercompany balances that arise in the ordinary course of business.</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Note 6: Other Operating Gains, Net</w:t>
      </w:r>
    </w:p>
    <w:p>
      <w:pPr>
        <w:spacing w:after="0" w:line="110" w:lineRule="exact"/>
        <w:rPr>
          <w:sz w:val="20"/>
          <w:szCs w:val="20"/>
          <w:color w:val="auto"/>
        </w:rPr>
      </w:pPr>
    </w:p>
    <w:p>
      <w:pPr>
        <w:ind w:left="220" w:right="120"/>
        <w:spacing w:after="0" w:line="266" w:lineRule="auto"/>
        <w:rPr>
          <w:sz w:val="20"/>
          <w:szCs w:val="20"/>
          <w:color w:val="auto"/>
        </w:rPr>
      </w:pPr>
      <w:r>
        <w:rPr>
          <w:rFonts w:ascii="Arial" w:cs="Arial" w:eastAsia="Arial" w:hAnsi="Arial"/>
          <w:sz w:val="16"/>
          <w:szCs w:val="16"/>
          <w:color w:val="auto"/>
        </w:rPr>
        <w:t>Other operating gains, net, were $144 million for the year ended December 31, 2024 as $196 million of gains from the sales of FindLaw and certain other non-core businesses (see note 7), which were partly offset by an impairment of an equity method investment due to a decline in the value of the Company’s commercial real estate holding, acquisition-related deal costs, and costs related to a legal provision, and other items.</w:t>
      </w:r>
    </w:p>
    <w:p>
      <w:pPr>
        <w:spacing w:after="0" w:line="37" w:lineRule="exact"/>
        <w:rPr>
          <w:sz w:val="20"/>
          <w:szCs w:val="20"/>
          <w:color w:val="auto"/>
        </w:rPr>
      </w:pPr>
    </w:p>
    <w:p>
      <w:pPr>
        <w:jc w:val="both"/>
        <w:ind w:left="220" w:right="140"/>
        <w:spacing w:after="0" w:line="243" w:lineRule="auto"/>
        <w:rPr>
          <w:sz w:val="20"/>
          <w:szCs w:val="20"/>
          <w:color w:val="auto"/>
        </w:rPr>
      </w:pPr>
      <w:r>
        <w:rPr>
          <w:rFonts w:ascii="Arial" w:cs="Arial" w:eastAsia="Arial" w:hAnsi="Arial"/>
          <w:sz w:val="17"/>
          <w:szCs w:val="17"/>
          <w:color w:val="auto"/>
        </w:rPr>
        <w:t>Other operating gains, net, were $397 million for the year ended December 31, 2023 due to a $342 million gain on the sale of a majority interest in the Company’s Elite business (see note 7), $42 million of gains on the sale of two wholly-owned Canadian subsidiaries to a company affiliated with Woodbridge, the Company’s principal shareholder (see note 32), and a gain on the sale of real estate.</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Note 7: Divestitures</w:t>
      </w:r>
    </w:p>
    <w:p>
      <w:pPr>
        <w:spacing w:after="0" w:line="110" w:lineRule="exact"/>
        <w:rPr>
          <w:sz w:val="20"/>
          <w:szCs w:val="20"/>
          <w:color w:val="auto"/>
        </w:rPr>
      </w:pPr>
    </w:p>
    <w:p>
      <w:pPr>
        <w:ind w:left="220" w:right="20"/>
        <w:spacing w:after="0" w:line="250" w:lineRule="auto"/>
        <w:rPr>
          <w:sz w:val="20"/>
          <w:szCs w:val="20"/>
          <w:color w:val="auto"/>
        </w:rPr>
      </w:pPr>
      <w:r>
        <w:rPr>
          <w:rFonts w:ascii="Arial" w:cs="Arial" w:eastAsia="Arial" w:hAnsi="Arial"/>
          <w:sz w:val="16"/>
          <w:szCs w:val="16"/>
          <w:color w:val="auto"/>
        </w:rPr>
        <w:t>In December 2024, the Company sold its FindLaw business in a transaction valued at up to $410 million, as well as certain other non-core businesses, which were individually not material to the results of operations. FindLaw, an operator of an online legal directory and provider of website creation and hosting services, law firm marketing solutions, and peer rating services, was reported within the Legal segment. The consideration received in December 2024 from the sale of FindLaw and the other non-core businesses consisted of $297 million in cash proceeds and $88 million of contingent receivables, which are subject to meeting certain transition milestones and revenue targets over the next six to eighteen months. The contingent receivables have been included in “Other financial assets”, current and non-current as appropriate, in the consolidated statement of financial position. The gain on sale of FindLaw and the other non-core businesses was $196 million in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87630</wp:posOffset>
            </wp:positionV>
            <wp:extent cx="68656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49" w:lineRule="exact"/>
        <w:rPr>
          <w:sz w:val="20"/>
          <w:szCs w:val="20"/>
          <w:color w:val="auto"/>
        </w:rPr>
      </w:pPr>
    </w:p>
    <w:p>
      <w:pPr>
        <w:ind w:left="220"/>
        <w:spacing w:after="0"/>
        <w:tabs>
          <w:tab w:leader="none" w:pos="1030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6"/>
          <w:szCs w:val="16"/>
          <w:color w:val="auto"/>
        </w:rPr>
        <w:t>Page 103</w:t>
      </w:r>
    </w:p>
    <w:p>
      <w:pPr>
        <w:sectPr>
          <w:pgSz w:w="11900" w:h="16838" w:orient="portrait"/>
          <w:cols w:equalWidth="0" w:num="1">
            <w:col w:w="11040"/>
          </w:cols>
          <w:pgMar w:left="320" w:top="477" w:right="5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jc w:val="both"/>
        <w:ind w:left="220" w:right="60"/>
        <w:spacing w:after="0" w:line="243" w:lineRule="auto"/>
        <w:rPr>
          <w:sz w:val="20"/>
          <w:szCs w:val="20"/>
          <w:color w:val="auto"/>
        </w:rPr>
      </w:pPr>
      <w:r>
        <w:rPr>
          <w:rFonts w:ascii="Arial" w:cs="Arial" w:eastAsia="Arial" w:hAnsi="Arial"/>
          <w:sz w:val="17"/>
          <w:szCs w:val="17"/>
          <w:color w:val="auto"/>
        </w:rPr>
        <w:t>In June 2023, the Company sold a majority interest in its Elite business, a provider of financial and practice management solutions to law firms, to TPG, a global alternative asset management firm, for proceeds of $418 million. The Company retained a 19.9% minority interest in Elite valued at $87 million (see note 9). The gain on sale of Elite was $342 million.</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net assets disposed and gain on the above transactions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159385</wp:posOffset>
            </wp:positionV>
            <wp:extent cx="68656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8180" w:type="dxa"/>
            <w:vAlign w:val="bottom"/>
          </w:tcPr>
          <w:p>
            <w:pPr>
              <w:spacing w:after="0"/>
              <w:rPr>
                <w:sz w:val="17"/>
                <w:szCs w:val="17"/>
                <w:color w:val="auto"/>
              </w:rPr>
            </w:pPr>
          </w:p>
        </w:tc>
        <w:tc>
          <w:tcPr>
            <w:tcW w:w="220" w:type="dxa"/>
            <w:vAlign w:val="bottom"/>
            <w:shd w:val="clear" w:color="auto" w:fill="E3F3EE"/>
          </w:tcPr>
          <w:p>
            <w:pPr>
              <w:ind w:left="120"/>
              <w:spacing w:after="0"/>
              <w:rPr>
                <w:sz w:val="20"/>
                <w:szCs w:val="20"/>
                <w:color w:val="auto"/>
              </w:rPr>
            </w:pPr>
            <w:r>
              <w:rPr>
                <w:rFonts w:ascii="Arial" w:cs="Arial" w:eastAsia="Arial" w:hAnsi="Arial"/>
                <w:sz w:val="11"/>
                <w:szCs w:val="11"/>
                <w:b w:val="1"/>
                <w:bCs w:val="1"/>
                <w:color w:val="auto"/>
                <w:w w:val="72"/>
              </w:rPr>
              <w:t> </w:t>
            </w:r>
          </w:p>
        </w:tc>
        <w:tc>
          <w:tcPr>
            <w:tcW w:w="2400" w:type="dxa"/>
            <w:vAlign w:val="bottom"/>
            <w:gridSpan w:val="2"/>
            <w:shd w:val="clear" w:color="auto" w:fill="E3F3EE"/>
          </w:tcPr>
          <w:p>
            <w:pPr>
              <w:jc w:val="right"/>
              <w:ind w:right="21"/>
              <w:spacing w:after="0"/>
              <w:rPr>
                <w:sz w:val="20"/>
                <w:szCs w:val="20"/>
                <w:color w:val="auto"/>
              </w:rPr>
            </w:pPr>
            <w:r>
              <w:rPr>
                <w:rFonts w:ascii="Arial" w:cs="Arial" w:eastAsia="Arial" w:hAnsi="Arial"/>
                <w:sz w:val="16"/>
                <w:szCs w:val="16"/>
                <w:b w:val="1"/>
                <w:bCs w:val="1"/>
                <w:color w:val="auto"/>
              </w:rPr>
              <w:t>    Year ended December 31,</w:t>
            </w:r>
          </w:p>
        </w:tc>
      </w:tr>
      <w:tr>
        <w:trPr>
          <w:trHeight w:val="192"/>
        </w:trPr>
        <w:tc>
          <w:tcPr>
            <w:tcW w:w="8180" w:type="dxa"/>
            <w:vAlign w:val="bottom"/>
            <w:tcBorders>
              <w:bottom w:val="single" w:sz="8" w:color="D64000"/>
            </w:tcBorders>
            <w:shd w:val="clear" w:color="auto" w:fill="1F473D"/>
          </w:tcPr>
          <w:p>
            <w:pPr>
              <w:spacing w:after="0"/>
              <w:rPr>
                <w:sz w:val="16"/>
                <w:szCs w:val="16"/>
                <w:color w:val="auto"/>
              </w:rPr>
            </w:pPr>
          </w:p>
        </w:tc>
        <w:tc>
          <w:tcPr>
            <w:tcW w:w="220" w:type="dxa"/>
            <w:vAlign w:val="bottom"/>
            <w:tcBorders>
              <w:bottom w:val="single" w:sz="8" w:color="D64000"/>
            </w:tcBorders>
            <w:shd w:val="clear" w:color="auto" w:fill="1F473D"/>
          </w:tcPr>
          <w:p>
            <w:pPr>
              <w:spacing w:after="0"/>
              <w:rPr>
                <w:sz w:val="16"/>
                <w:szCs w:val="16"/>
                <w:color w:val="auto"/>
              </w:rPr>
            </w:pPr>
          </w:p>
        </w:tc>
        <w:tc>
          <w:tcPr>
            <w:tcW w:w="1400" w:type="dxa"/>
            <w:vAlign w:val="bottom"/>
            <w:tcBorders>
              <w:bottom w:val="single" w:sz="8" w:color="D64000"/>
            </w:tcBorders>
            <w:shd w:val="clear" w:color="auto" w:fill="1F473D"/>
          </w:tcPr>
          <w:p>
            <w:pPr>
              <w:jc w:val="right"/>
              <w:ind w:right="461"/>
              <w:spacing w:after="0"/>
              <w:rPr>
                <w:sz w:val="20"/>
                <w:szCs w:val="20"/>
                <w:color w:val="auto"/>
              </w:rPr>
            </w:pPr>
            <w:r>
              <w:rPr>
                <w:rFonts w:ascii="Arial" w:cs="Arial" w:eastAsia="Arial" w:hAnsi="Arial"/>
                <w:sz w:val="16"/>
                <w:szCs w:val="16"/>
                <w:b w:val="1"/>
                <w:bCs w:val="1"/>
                <w:color w:val="FFFFFF"/>
              </w:rPr>
              <w:t>2024</w:t>
            </w:r>
          </w:p>
        </w:tc>
        <w:tc>
          <w:tcPr>
            <w:tcW w:w="1000" w:type="dxa"/>
            <w:vAlign w:val="bottom"/>
            <w:tcBorders>
              <w:bottom w:val="single" w:sz="8" w:color="D64000"/>
            </w:tcBorders>
            <w:shd w:val="clear" w:color="auto" w:fill="1F473D"/>
          </w:tcPr>
          <w:p>
            <w:pPr>
              <w:jc w:val="right"/>
              <w:ind w:right="21"/>
              <w:spacing w:after="0"/>
              <w:rPr>
                <w:sz w:val="20"/>
                <w:szCs w:val="20"/>
                <w:color w:val="auto"/>
              </w:rPr>
            </w:pPr>
            <w:r>
              <w:rPr>
                <w:rFonts w:ascii="Arial" w:cs="Arial" w:eastAsia="Arial" w:hAnsi="Arial"/>
                <w:sz w:val="16"/>
                <w:szCs w:val="16"/>
                <w:color w:val="FFFFFF"/>
              </w:rPr>
              <w:t>2023</w:t>
            </w:r>
          </w:p>
        </w:tc>
      </w:tr>
      <w:tr>
        <w:trPr>
          <w:trHeight w:val="171"/>
        </w:trPr>
        <w:tc>
          <w:tcPr>
            <w:tcW w:w="8400" w:type="dxa"/>
            <w:vAlign w:val="bottom"/>
            <w:gridSpan w:val="2"/>
          </w:tcPr>
          <w:p>
            <w:pPr>
              <w:spacing w:after="0" w:line="171" w:lineRule="exact"/>
              <w:rPr>
                <w:sz w:val="20"/>
                <w:szCs w:val="20"/>
                <w:color w:val="auto"/>
              </w:rPr>
            </w:pPr>
            <w:r>
              <w:rPr>
                <w:rFonts w:ascii="Arial" w:cs="Arial" w:eastAsia="Arial" w:hAnsi="Arial"/>
                <w:sz w:val="16"/>
                <w:szCs w:val="16"/>
                <w:color w:val="auto"/>
              </w:rPr>
              <w:t> Consideration received or receivable:</w:t>
            </w: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5"/>
        </w:trPr>
        <w:tc>
          <w:tcPr>
            <w:tcW w:w="8400" w:type="dxa"/>
            <w:vAlign w:val="bottom"/>
            <w:gridSpan w:val="2"/>
          </w:tcPr>
          <w:p>
            <w:pPr>
              <w:spacing w:after="0"/>
              <w:rPr>
                <w:sz w:val="20"/>
                <w:szCs w:val="20"/>
                <w:color w:val="auto"/>
              </w:rPr>
            </w:pPr>
            <w:r>
              <w:rPr>
                <w:rFonts w:ascii="Arial" w:cs="Arial" w:eastAsia="Arial" w:hAnsi="Arial"/>
                <w:sz w:val="16"/>
                <w:szCs w:val="16"/>
                <w:color w:val="auto"/>
              </w:rPr>
              <w:t> Cash and cash equivalents</w:t>
            </w:r>
          </w:p>
        </w:tc>
        <w:tc>
          <w:tcPr>
            <w:tcW w:w="1400" w:type="dxa"/>
            <w:vAlign w:val="bottom"/>
          </w:tcPr>
          <w:p>
            <w:pPr>
              <w:jc w:val="right"/>
              <w:ind w:right="461"/>
              <w:spacing w:after="0"/>
              <w:rPr>
                <w:sz w:val="20"/>
                <w:szCs w:val="20"/>
                <w:color w:val="auto"/>
              </w:rPr>
            </w:pPr>
            <w:r>
              <w:rPr>
                <w:rFonts w:ascii="Arial" w:cs="Arial" w:eastAsia="Arial" w:hAnsi="Arial"/>
                <w:sz w:val="16"/>
                <w:szCs w:val="16"/>
                <w:b w:val="1"/>
                <w:bCs w:val="1"/>
                <w:color w:val="auto"/>
              </w:rPr>
              <w:t>297</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418</w:t>
            </w:r>
          </w:p>
        </w:tc>
      </w:tr>
      <w:tr>
        <w:trPr>
          <w:trHeight w:val="200"/>
        </w:trPr>
        <w:tc>
          <w:tcPr>
            <w:tcW w:w="840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color w:val="auto"/>
              </w:rPr>
              <w:t> Fair value of contingent consideration</w:t>
            </w:r>
          </w:p>
        </w:tc>
        <w:tc>
          <w:tcPr>
            <w:tcW w:w="1400" w:type="dxa"/>
            <w:vAlign w:val="bottom"/>
            <w:tcBorders>
              <w:bottom w:val="single" w:sz="8" w:color="B2B2B2"/>
            </w:tcBorders>
          </w:tcPr>
          <w:p>
            <w:pPr>
              <w:jc w:val="right"/>
              <w:ind w:right="461"/>
              <w:spacing w:after="0"/>
              <w:rPr>
                <w:sz w:val="20"/>
                <w:szCs w:val="20"/>
                <w:color w:val="auto"/>
              </w:rPr>
            </w:pPr>
            <w:r>
              <w:rPr>
                <w:rFonts w:ascii="Arial" w:cs="Arial" w:eastAsia="Arial" w:hAnsi="Arial"/>
                <w:sz w:val="16"/>
                <w:szCs w:val="16"/>
                <w:b w:val="1"/>
                <w:bCs w:val="1"/>
                <w:color w:val="auto"/>
              </w:rPr>
              <w:t>88</w:t>
            </w:r>
          </w:p>
        </w:tc>
        <w:tc>
          <w:tcPr>
            <w:tcW w:w="100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w:t>
            </w:r>
          </w:p>
        </w:tc>
      </w:tr>
      <w:tr>
        <w:trPr>
          <w:trHeight w:val="179"/>
        </w:trPr>
        <w:tc>
          <w:tcPr>
            <w:tcW w:w="8400" w:type="dxa"/>
            <w:vAlign w:val="bottom"/>
            <w:tcBorders>
              <w:bottom w:val="single" w:sz="8" w:color="B2B2B2"/>
            </w:tcBorders>
            <w:gridSpan w:val="2"/>
          </w:tcPr>
          <w:p>
            <w:pPr>
              <w:spacing w:after="0" w:line="179" w:lineRule="exact"/>
              <w:rPr>
                <w:sz w:val="20"/>
                <w:szCs w:val="20"/>
                <w:color w:val="auto"/>
              </w:rPr>
            </w:pPr>
            <w:r>
              <w:rPr>
                <w:rFonts w:ascii="Arial" w:cs="Arial" w:eastAsia="Arial" w:hAnsi="Arial"/>
                <w:sz w:val="16"/>
                <w:szCs w:val="16"/>
                <w:color w:val="auto"/>
              </w:rPr>
              <w:t> Total consideration</w:t>
            </w:r>
          </w:p>
        </w:tc>
        <w:tc>
          <w:tcPr>
            <w:tcW w:w="1400" w:type="dxa"/>
            <w:vAlign w:val="bottom"/>
            <w:tcBorders>
              <w:bottom w:val="single" w:sz="8" w:color="B2B2B2"/>
            </w:tcBorders>
          </w:tcPr>
          <w:p>
            <w:pPr>
              <w:jc w:val="right"/>
              <w:ind w:right="461"/>
              <w:spacing w:after="0" w:line="179" w:lineRule="exact"/>
              <w:rPr>
                <w:sz w:val="20"/>
                <w:szCs w:val="20"/>
                <w:color w:val="auto"/>
              </w:rPr>
            </w:pPr>
            <w:r>
              <w:rPr>
                <w:rFonts w:ascii="Arial" w:cs="Arial" w:eastAsia="Arial" w:hAnsi="Arial"/>
                <w:sz w:val="16"/>
                <w:szCs w:val="16"/>
                <w:b w:val="1"/>
                <w:bCs w:val="1"/>
                <w:color w:val="auto"/>
              </w:rPr>
              <w:t>385</w:t>
            </w:r>
          </w:p>
        </w:tc>
        <w:tc>
          <w:tcPr>
            <w:tcW w:w="1000" w:type="dxa"/>
            <w:vAlign w:val="bottom"/>
            <w:tcBorders>
              <w:bottom w:val="single" w:sz="8" w:color="B2B2B2"/>
            </w:tcBorders>
          </w:tcPr>
          <w:p>
            <w:pPr>
              <w:jc w:val="right"/>
              <w:ind w:right="21"/>
              <w:spacing w:after="0" w:line="179" w:lineRule="exact"/>
              <w:rPr>
                <w:sz w:val="20"/>
                <w:szCs w:val="20"/>
                <w:color w:val="auto"/>
              </w:rPr>
            </w:pPr>
            <w:r>
              <w:rPr>
                <w:rFonts w:ascii="Arial" w:cs="Arial" w:eastAsia="Arial" w:hAnsi="Arial"/>
                <w:sz w:val="16"/>
                <w:szCs w:val="16"/>
                <w:color w:val="auto"/>
              </w:rPr>
              <w:t>418</w:t>
            </w:r>
          </w:p>
        </w:tc>
      </w:tr>
      <w:tr>
        <w:trPr>
          <w:trHeight w:val="178"/>
        </w:trPr>
        <w:tc>
          <w:tcPr>
            <w:tcW w:w="8400" w:type="dxa"/>
            <w:vAlign w:val="bottom"/>
            <w:gridSpan w:val="2"/>
          </w:tcPr>
          <w:p>
            <w:pPr>
              <w:spacing w:after="0" w:line="178" w:lineRule="exact"/>
              <w:rPr>
                <w:sz w:val="20"/>
                <w:szCs w:val="20"/>
                <w:color w:val="auto"/>
              </w:rPr>
            </w:pPr>
            <w:r>
              <w:rPr>
                <w:rFonts w:ascii="Arial" w:cs="Arial" w:eastAsia="Arial" w:hAnsi="Arial"/>
                <w:sz w:val="16"/>
                <w:szCs w:val="16"/>
                <w:color w:val="auto"/>
              </w:rPr>
              <w:t> Trade and other receivables</w:t>
            </w:r>
          </w:p>
        </w:tc>
        <w:tc>
          <w:tcPr>
            <w:tcW w:w="1400" w:type="dxa"/>
            <w:vAlign w:val="bottom"/>
          </w:tcPr>
          <w:p>
            <w:pPr>
              <w:jc w:val="right"/>
              <w:ind w:right="461"/>
              <w:spacing w:after="0" w:line="178" w:lineRule="exact"/>
              <w:rPr>
                <w:sz w:val="20"/>
                <w:szCs w:val="20"/>
                <w:color w:val="auto"/>
              </w:rPr>
            </w:pPr>
            <w:r>
              <w:rPr>
                <w:rFonts w:ascii="Arial" w:cs="Arial" w:eastAsia="Arial" w:hAnsi="Arial"/>
                <w:sz w:val="16"/>
                <w:szCs w:val="16"/>
                <w:b w:val="1"/>
                <w:bCs w:val="1"/>
                <w:color w:val="auto"/>
              </w:rPr>
              <w:t>(23)</w:t>
            </w:r>
          </w:p>
        </w:tc>
        <w:tc>
          <w:tcPr>
            <w:tcW w:w="1000" w:type="dxa"/>
            <w:vAlign w:val="bottom"/>
          </w:tcPr>
          <w:p>
            <w:pPr>
              <w:jc w:val="right"/>
              <w:ind w:right="21"/>
              <w:spacing w:after="0" w:line="178" w:lineRule="exact"/>
              <w:rPr>
                <w:sz w:val="20"/>
                <w:szCs w:val="20"/>
                <w:color w:val="auto"/>
              </w:rPr>
            </w:pPr>
            <w:r>
              <w:rPr>
                <w:rFonts w:ascii="Arial" w:cs="Arial" w:eastAsia="Arial" w:hAnsi="Arial"/>
                <w:sz w:val="16"/>
                <w:szCs w:val="16"/>
                <w:color w:val="auto"/>
              </w:rPr>
              <w:t>(51)</w:t>
            </w:r>
          </w:p>
        </w:tc>
      </w:tr>
      <w:tr>
        <w:trPr>
          <w:trHeight w:val="186"/>
        </w:trPr>
        <w:tc>
          <w:tcPr>
            <w:tcW w:w="8400" w:type="dxa"/>
            <w:vAlign w:val="bottom"/>
            <w:gridSpan w:val="2"/>
          </w:tcPr>
          <w:p>
            <w:pPr>
              <w:spacing w:after="0"/>
              <w:rPr>
                <w:sz w:val="20"/>
                <w:szCs w:val="20"/>
                <w:color w:val="auto"/>
              </w:rPr>
            </w:pPr>
            <w:r>
              <w:rPr>
                <w:rFonts w:ascii="Arial" w:cs="Arial" w:eastAsia="Arial" w:hAnsi="Arial"/>
                <w:sz w:val="16"/>
                <w:szCs w:val="16"/>
                <w:color w:val="auto"/>
              </w:rPr>
              <w:t> Prepaid expenses and other current assets</w:t>
            </w:r>
          </w:p>
        </w:tc>
        <w:tc>
          <w:tcPr>
            <w:tcW w:w="1400" w:type="dxa"/>
            <w:vAlign w:val="bottom"/>
          </w:tcPr>
          <w:p>
            <w:pPr>
              <w:jc w:val="right"/>
              <w:ind w:right="461"/>
              <w:spacing w:after="0"/>
              <w:rPr>
                <w:sz w:val="20"/>
                <w:szCs w:val="20"/>
                <w:color w:val="auto"/>
              </w:rPr>
            </w:pPr>
            <w:r>
              <w:rPr>
                <w:rFonts w:ascii="Arial" w:cs="Arial" w:eastAsia="Arial" w:hAnsi="Arial"/>
                <w:sz w:val="16"/>
                <w:szCs w:val="16"/>
                <w:b w:val="1"/>
                <w:bCs w:val="1"/>
                <w:color w:val="auto"/>
              </w:rPr>
              <w:t>(24)</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(13)</w:t>
            </w:r>
          </w:p>
        </w:tc>
      </w:tr>
      <w:tr>
        <w:trPr>
          <w:trHeight w:val="185"/>
        </w:trPr>
        <w:tc>
          <w:tcPr>
            <w:tcW w:w="8400" w:type="dxa"/>
            <w:vAlign w:val="bottom"/>
            <w:gridSpan w:val="2"/>
          </w:tcPr>
          <w:p>
            <w:pPr>
              <w:spacing w:after="0"/>
              <w:rPr>
                <w:sz w:val="20"/>
                <w:szCs w:val="20"/>
                <w:color w:val="auto"/>
              </w:rPr>
            </w:pPr>
            <w:r>
              <w:rPr>
                <w:rFonts w:ascii="Arial" w:cs="Arial" w:eastAsia="Arial" w:hAnsi="Arial"/>
                <w:sz w:val="16"/>
                <w:szCs w:val="16"/>
                <w:color w:val="auto"/>
              </w:rPr>
              <w:t> Computer software</w:t>
            </w:r>
          </w:p>
        </w:tc>
        <w:tc>
          <w:tcPr>
            <w:tcW w:w="1400" w:type="dxa"/>
            <w:vAlign w:val="bottom"/>
          </w:tcPr>
          <w:p>
            <w:pPr>
              <w:jc w:val="right"/>
              <w:ind w:right="461"/>
              <w:spacing w:after="0"/>
              <w:rPr>
                <w:sz w:val="20"/>
                <w:szCs w:val="20"/>
                <w:color w:val="auto"/>
              </w:rPr>
            </w:pPr>
            <w:r>
              <w:rPr>
                <w:rFonts w:ascii="Arial" w:cs="Arial" w:eastAsia="Arial" w:hAnsi="Arial"/>
                <w:sz w:val="16"/>
                <w:szCs w:val="16"/>
                <w:b w:val="1"/>
                <w:bCs w:val="1"/>
                <w:color w:val="auto"/>
              </w:rPr>
              <w:t>(25)</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(36)</w:t>
            </w:r>
          </w:p>
        </w:tc>
      </w:tr>
      <w:tr>
        <w:trPr>
          <w:trHeight w:val="186"/>
        </w:trPr>
        <w:tc>
          <w:tcPr>
            <w:tcW w:w="8400" w:type="dxa"/>
            <w:vAlign w:val="bottom"/>
            <w:gridSpan w:val="2"/>
          </w:tcPr>
          <w:p>
            <w:pPr>
              <w:spacing w:after="0"/>
              <w:rPr>
                <w:sz w:val="20"/>
                <w:szCs w:val="20"/>
                <w:color w:val="auto"/>
              </w:rPr>
            </w:pPr>
            <w:r>
              <w:rPr>
                <w:rFonts w:ascii="Arial" w:cs="Arial" w:eastAsia="Arial" w:hAnsi="Arial"/>
                <w:sz w:val="16"/>
                <w:szCs w:val="16"/>
                <w:color w:val="auto"/>
              </w:rPr>
              <w:t> Goodwill</w:t>
            </w:r>
          </w:p>
        </w:tc>
        <w:tc>
          <w:tcPr>
            <w:tcW w:w="1400" w:type="dxa"/>
            <w:vAlign w:val="bottom"/>
          </w:tcPr>
          <w:p>
            <w:pPr>
              <w:jc w:val="right"/>
              <w:ind w:right="461"/>
              <w:spacing w:after="0"/>
              <w:rPr>
                <w:sz w:val="20"/>
                <w:szCs w:val="20"/>
                <w:color w:val="auto"/>
              </w:rPr>
            </w:pPr>
            <w:r>
              <w:rPr>
                <w:rFonts w:ascii="Arial" w:cs="Arial" w:eastAsia="Arial" w:hAnsi="Arial"/>
                <w:sz w:val="16"/>
                <w:szCs w:val="16"/>
                <w:b w:val="1"/>
                <w:bCs w:val="1"/>
                <w:color w:val="auto"/>
              </w:rPr>
              <w:t>(87)</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(104)</w:t>
            </w:r>
          </w:p>
        </w:tc>
      </w:tr>
      <w:tr>
        <w:trPr>
          <w:trHeight w:val="200"/>
        </w:trPr>
        <w:tc>
          <w:tcPr>
            <w:tcW w:w="840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color w:val="auto"/>
              </w:rPr>
              <w:t> Other non-current assets</w:t>
            </w:r>
          </w:p>
        </w:tc>
        <w:tc>
          <w:tcPr>
            <w:tcW w:w="1400" w:type="dxa"/>
            <w:vAlign w:val="bottom"/>
            <w:tcBorders>
              <w:bottom w:val="single" w:sz="8" w:color="B2B2B2"/>
            </w:tcBorders>
          </w:tcPr>
          <w:p>
            <w:pPr>
              <w:jc w:val="right"/>
              <w:ind w:right="461"/>
              <w:spacing w:after="0"/>
              <w:rPr>
                <w:sz w:val="20"/>
                <w:szCs w:val="20"/>
                <w:color w:val="auto"/>
              </w:rPr>
            </w:pPr>
            <w:r>
              <w:rPr>
                <w:rFonts w:ascii="Arial" w:cs="Arial" w:eastAsia="Arial" w:hAnsi="Arial"/>
                <w:sz w:val="16"/>
                <w:szCs w:val="16"/>
                <w:b w:val="1"/>
                <w:bCs w:val="1"/>
                <w:color w:val="auto"/>
              </w:rPr>
              <w:t>(17)</w:t>
            </w:r>
          </w:p>
        </w:tc>
        <w:tc>
          <w:tcPr>
            <w:tcW w:w="100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(2)</w:t>
            </w:r>
          </w:p>
        </w:tc>
      </w:tr>
      <w:tr>
        <w:trPr>
          <w:trHeight w:val="179"/>
        </w:trPr>
        <w:tc>
          <w:tcPr>
            <w:tcW w:w="8400" w:type="dxa"/>
            <w:vAlign w:val="bottom"/>
            <w:tcBorders>
              <w:bottom w:val="single" w:sz="8" w:color="B2B2B2"/>
            </w:tcBorders>
            <w:gridSpan w:val="2"/>
          </w:tcPr>
          <w:p>
            <w:pPr>
              <w:spacing w:after="0" w:line="179" w:lineRule="exact"/>
              <w:rPr>
                <w:sz w:val="20"/>
                <w:szCs w:val="20"/>
                <w:color w:val="auto"/>
              </w:rPr>
            </w:pPr>
            <w:r>
              <w:rPr>
                <w:rFonts w:ascii="Arial" w:cs="Arial" w:eastAsia="Arial" w:hAnsi="Arial"/>
                <w:sz w:val="16"/>
                <w:szCs w:val="16"/>
                <w:color w:val="auto"/>
              </w:rPr>
              <w:t> Total assets</w:t>
            </w:r>
          </w:p>
        </w:tc>
        <w:tc>
          <w:tcPr>
            <w:tcW w:w="1400" w:type="dxa"/>
            <w:vAlign w:val="bottom"/>
            <w:tcBorders>
              <w:bottom w:val="single" w:sz="8" w:color="B2B2B2"/>
            </w:tcBorders>
          </w:tcPr>
          <w:p>
            <w:pPr>
              <w:jc w:val="right"/>
              <w:ind w:right="461"/>
              <w:spacing w:after="0" w:line="179" w:lineRule="exact"/>
              <w:rPr>
                <w:sz w:val="20"/>
                <w:szCs w:val="20"/>
                <w:color w:val="auto"/>
              </w:rPr>
            </w:pPr>
            <w:r>
              <w:rPr>
                <w:rFonts w:ascii="Arial" w:cs="Arial" w:eastAsia="Arial" w:hAnsi="Arial"/>
                <w:sz w:val="16"/>
                <w:szCs w:val="16"/>
                <w:b w:val="1"/>
                <w:bCs w:val="1"/>
                <w:color w:val="auto"/>
              </w:rPr>
              <w:t>(176)</w:t>
            </w:r>
          </w:p>
        </w:tc>
        <w:tc>
          <w:tcPr>
            <w:tcW w:w="1000" w:type="dxa"/>
            <w:vAlign w:val="bottom"/>
            <w:tcBorders>
              <w:bottom w:val="single" w:sz="8" w:color="B2B2B2"/>
            </w:tcBorders>
          </w:tcPr>
          <w:p>
            <w:pPr>
              <w:jc w:val="right"/>
              <w:ind w:right="21"/>
              <w:spacing w:after="0" w:line="179" w:lineRule="exact"/>
              <w:rPr>
                <w:sz w:val="20"/>
                <w:szCs w:val="20"/>
                <w:color w:val="auto"/>
              </w:rPr>
            </w:pPr>
            <w:r>
              <w:rPr>
                <w:rFonts w:ascii="Arial" w:cs="Arial" w:eastAsia="Arial" w:hAnsi="Arial"/>
                <w:sz w:val="16"/>
                <w:szCs w:val="16"/>
                <w:color w:val="auto"/>
              </w:rPr>
              <w:t>(206)</w:t>
            </w:r>
          </w:p>
        </w:tc>
      </w:tr>
      <w:tr>
        <w:trPr>
          <w:trHeight w:val="165"/>
        </w:trPr>
        <w:tc>
          <w:tcPr>
            <w:tcW w:w="8400" w:type="dxa"/>
            <w:vAlign w:val="bottom"/>
            <w:gridSpan w:val="2"/>
          </w:tcPr>
          <w:p>
            <w:pPr>
              <w:spacing w:after="0" w:line="165" w:lineRule="exact"/>
              <w:rPr>
                <w:sz w:val="20"/>
                <w:szCs w:val="20"/>
                <w:color w:val="auto"/>
              </w:rPr>
            </w:pPr>
            <w:r>
              <w:rPr>
                <w:rFonts w:ascii="Arial" w:cs="Arial" w:eastAsia="Arial" w:hAnsi="Arial"/>
                <w:sz w:val="16"/>
                <w:szCs w:val="16"/>
                <w:color w:val="auto"/>
              </w:rPr>
              <w:t> Payables, accruals and provisions</w:t>
            </w:r>
          </w:p>
        </w:tc>
        <w:tc>
          <w:tcPr>
            <w:tcW w:w="1400" w:type="dxa"/>
            <w:vAlign w:val="bottom"/>
          </w:tcPr>
          <w:p>
            <w:pPr>
              <w:jc w:val="right"/>
              <w:ind w:right="461"/>
              <w:spacing w:after="0" w:line="165" w:lineRule="exact"/>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1"/>
              <w:spacing w:after="0" w:line="165" w:lineRule="exact"/>
              <w:rPr>
                <w:sz w:val="20"/>
                <w:szCs w:val="20"/>
                <w:color w:val="auto"/>
              </w:rPr>
            </w:pPr>
            <w:r>
              <w:rPr>
                <w:rFonts w:ascii="Arial" w:cs="Arial" w:eastAsia="Arial" w:hAnsi="Arial"/>
                <w:sz w:val="16"/>
                <w:szCs w:val="16"/>
                <w:color w:val="auto"/>
              </w:rPr>
              <w:t>11</w:t>
            </w:r>
          </w:p>
        </w:tc>
      </w:tr>
      <w:tr>
        <w:trPr>
          <w:trHeight w:val="200"/>
        </w:trPr>
        <w:tc>
          <w:tcPr>
            <w:tcW w:w="840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color w:val="auto"/>
              </w:rPr>
              <w:t> Deferred revenue</w:t>
            </w:r>
          </w:p>
        </w:tc>
        <w:tc>
          <w:tcPr>
            <w:tcW w:w="1400" w:type="dxa"/>
            <w:vAlign w:val="bottom"/>
            <w:tcBorders>
              <w:bottom w:val="single" w:sz="8" w:color="B2B2B2"/>
            </w:tcBorders>
          </w:tcPr>
          <w:p>
            <w:pPr>
              <w:jc w:val="right"/>
              <w:ind w:right="461"/>
              <w:spacing w:after="0"/>
              <w:rPr>
                <w:sz w:val="20"/>
                <w:szCs w:val="20"/>
                <w:color w:val="auto"/>
              </w:rPr>
            </w:pPr>
            <w:r>
              <w:rPr>
                <w:rFonts w:ascii="Arial" w:cs="Arial" w:eastAsia="Arial" w:hAnsi="Arial"/>
                <w:sz w:val="16"/>
                <w:szCs w:val="16"/>
                <w:b w:val="1"/>
                <w:bCs w:val="1"/>
                <w:color w:val="auto"/>
              </w:rPr>
              <w:t>2</w:t>
            </w:r>
          </w:p>
        </w:tc>
        <w:tc>
          <w:tcPr>
            <w:tcW w:w="100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49</w:t>
            </w:r>
          </w:p>
        </w:tc>
      </w:tr>
      <w:tr>
        <w:trPr>
          <w:trHeight w:val="179"/>
        </w:trPr>
        <w:tc>
          <w:tcPr>
            <w:tcW w:w="8400" w:type="dxa"/>
            <w:vAlign w:val="bottom"/>
            <w:tcBorders>
              <w:bottom w:val="single" w:sz="8" w:color="B2B2B2"/>
            </w:tcBorders>
            <w:gridSpan w:val="2"/>
          </w:tcPr>
          <w:p>
            <w:pPr>
              <w:spacing w:after="0" w:line="179" w:lineRule="exact"/>
              <w:rPr>
                <w:sz w:val="20"/>
                <w:szCs w:val="20"/>
                <w:color w:val="auto"/>
              </w:rPr>
            </w:pPr>
            <w:r>
              <w:rPr>
                <w:rFonts w:ascii="Arial" w:cs="Arial" w:eastAsia="Arial" w:hAnsi="Arial"/>
                <w:sz w:val="16"/>
                <w:szCs w:val="16"/>
                <w:color w:val="auto"/>
              </w:rPr>
              <w:t> Total liabilities</w:t>
            </w:r>
          </w:p>
        </w:tc>
        <w:tc>
          <w:tcPr>
            <w:tcW w:w="1400" w:type="dxa"/>
            <w:vAlign w:val="bottom"/>
            <w:tcBorders>
              <w:bottom w:val="single" w:sz="8" w:color="B2B2B2"/>
            </w:tcBorders>
          </w:tcPr>
          <w:p>
            <w:pPr>
              <w:jc w:val="right"/>
              <w:ind w:right="461"/>
              <w:spacing w:after="0" w:line="179" w:lineRule="exact"/>
              <w:rPr>
                <w:sz w:val="20"/>
                <w:szCs w:val="20"/>
                <w:color w:val="auto"/>
              </w:rPr>
            </w:pPr>
            <w:r>
              <w:rPr>
                <w:rFonts w:ascii="Arial" w:cs="Arial" w:eastAsia="Arial" w:hAnsi="Arial"/>
                <w:sz w:val="16"/>
                <w:szCs w:val="16"/>
                <w:b w:val="1"/>
                <w:bCs w:val="1"/>
                <w:color w:val="auto"/>
              </w:rPr>
              <w:t>2</w:t>
            </w:r>
          </w:p>
        </w:tc>
        <w:tc>
          <w:tcPr>
            <w:tcW w:w="1000" w:type="dxa"/>
            <w:vAlign w:val="bottom"/>
            <w:tcBorders>
              <w:bottom w:val="single" w:sz="8" w:color="B2B2B2"/>
            </w:tcBorders>
          </w:tcPr>
          <w:p>
            <w:pPr>
              <w:jc w:val="right"/>
              <w:ind w:right="21"/>
              <w:spacing w:after="0" w:line="179" w:lineRule="exact"/>
              <w:rPr>
                <w:sz w:val="20"/>
                <w:szCs w:val="20"/>
                <w:color w:val="auto"/>
              </w:rPr>
            </w:pPr>
            <w:r>
              <w:rPr>
                <w:rFonts w:ascii="Arial" w:cs="Arial" w:eastAsia="Arial" w:hAnsi="Arial"/>
                <w:sz w:val="16"/>
                <w:szCs w:val="16"/>
                <w:color w:val="auto"/>
              </w:rPr>
              <w:t>60</w:t>
            </w:r>
          </w:p>
        </w:tc>
      </w:tr>
      <w:tr>
        <w:trPr>
          <w:trHeight w:val="165"/>
        </w:trPr>
        <w:tc>
          <w:tcPr>
            <w:tcW w:w="8400" w:type="dxa"/>
            <w:vAlign w:val="bottom"/>
            <w:gridSpan w:val="2"/>
          </w:tcPr>
          <w:p>
            <w:pPr>
              <w:spacing w:after="0" w:line="165" w:lineRule="exact"/>
              <w:rPr>
                <w:sz w:val="20"/>
                <w:szCs w:val="20"/>
                <w:color w:val="auto"/>
              </w:rPr>
            </w:pPr>
            <w:r>
              <w:rPr>
                <w:rFonts w:ascii="Arial" w:cs="Arial" w:eastAsia="Arial" w:hAnsi="Arial"/>
                <w:sz w:val="16"/>
                <w:szCs w:val="16"/>
                <w:color w:val="auto"/>
              </w:rPr>
              <w:t> Net assets disposed</w:t>
            </w:r>
          </w:p>
        </w:tc>
        <w:tc>
          <w:tcPr>
            <w:tcW w:w="1400" w:type="dxa"/>
            <w:vAlign w:val="bottom"/>
          </w:tcPr>
          <w:p>
            <w:pPr>
              <w:jc w:val="right"/>
              <w:ind w:right="461"/>
              <w:spacing w:after="0" w:line="165" w:lineRule="exact"/>
              <w:rPr>
                <w:sz w:val="20"/>
                <w:szCs w:val="20"/>
                <w:color w:val="auto"/>
              </w:rPr>
            </w:pPr>
            <w:r>
              <w:rPr>
                <w:rFonts w:ascii="Arial" w:cs="Arial" w:eastAsia="Arial" w:hAnsi="Arial"/>
                <w:sz w:val="16"/>
                <w:szCs w:val="16"/>
                <w:b w:val="1"/>
                <w:bCs w:val="1"/>
                <w:color w:val="auto"/>
              </w:rPr>
              <w:t>(174)</w:t>
            </w:r>
          </w:p>
        </w:tc>
        <w:tc>
          <w:tcPr>
            <w:tcW w:w="1000" w:type="dxa"/>
            <w:vAlign w:val="bottom"/>
          </w:tcPr>
          <w:p>
            <w:pPr>
              <w:jc w:val="right"/>
              <w:ind w:right="21"/>
              <w:spacing w:after="0" w:line="165" w:lineRule="exact"/>
              <w:rPr>
                <w:sz w:val="20"/>
                <w:szCs w:val="20"/>
                <w:color w:val="auto"/>
              </w:rPr>
            </w:pPr>
            <w:r>
              <w:rPr>
                <w:rFonts w:ascii="Arial" w:cs="Arial" w:eastAsia="Arial" w:hAnsi="Arial"/>
                <w:sz w:val="16"/>
                <w:szCs w:val="16"/>
                <w:color w:val="auto"/>
              </w:rPr>
              <w:t>(146)</w:t>
            </w:r>
          </w:p>
        </w:tc>
      </w:tr>
      <w:tr>
        <w:trPr>
          <w:trHeight w:val="186"/>
        </w:trPr>
        <w:tc>
          <w:tcPr>
            <w:tcW w:w="8400" w:type="dxa"/>
            <w:vAlign w:val="bottom"/>
            <w:gridSpan w:val="2"/>
          </w:tcPr>
          <w:p>
            <w:pPr>
              <w:spacing w:after="0"/>
              <w:rPr>
                <w:sz w:val="20"/>
                <w:szCs w:val="20"/>
                <w:color w:val="auto"/>
              </w:rPr>
            </w:pPr>
            <w:r>
              <w:rPr>
                <w:rFonts w:ascii="Arial" w:cs="Arial" w:eastAsia="Arial" w:hAnsi="Arial"/>
                <w:sz w:val="16"/>
                <w:szCs w:val="16"/>
                <w:color w:val="auto"/>
              </w:rPr>
              <w:t> Opening balance 19.9% equity investment in Elite</w:t>
            </w:r>
          </w:p>
        </w:tc>
        <w:tc>
          <w:tcPr>
            <w:tcW w:w="1400" w:type="dxa"/>
            <w:vAlign w:val="bottom"/>
          </w:tcPr>
          <w:p>
            <w:pPr>
              <w:jc w:val="right"/>
              <w:ind w:right="461"/>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87</w:t>
            </w:r>
          </w:p>
        </w:tc>
      </w:tr>
      <w:tr>
        <w:trPr>
          <w:trHeight w:val="200"/>
        </w:trPr>
        <w:tc>
          <w:tcPr>
            <w:tcW w:w="840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color w:val="auto"/>
              </w:rPr>
              <w:t> Other</w:t>
            </w:r>
          </w:p>
        </w:tc>
        <w:tc>
          <w:tcPr>
            <w:tcW w:w="1400" w:type="dxa"/>
            <w:vAlign w:val="bottom"/>
            <w:tcBorders>
              <w:bottom w:val="single" w:sz="8" w:color="B2B2B2"/>
            </w:tcBorders>
          </w:tcPr>
          <w:p>
            <w:pPr>
              <w:jc w:val="right"/>
              <w:ind w:right="461"/>
              <w:spacing w:after="0"/>
              <w:rPr>
                <w:sz w:val="20"/>
                <w:szCs w:val="20"/>
                <w:color w:val="auto"/>
              </w:rPr>
            </w:pPr>
            <w:r>
              <w:rPr>
                <w:rFonts w:ascii="Arial" w:cs="Arial" w:eastAsia="Arial" w:hAnsi="Arial"/>
                <w:sz w:val="16"/>
                <w:szCs w:val="16"/>
                <w:b w:val="1"/>
                <w:bCs w:val="1"/>
                <w:color w:val="auto"/>
              </w:rPr>
              <w:t>(15)</w:t>
            </w:r>
          </w:p>
        </w:tc>
        <w:tc>
          <w:tcPr>
            <w:tcW w:w="100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(17)</w:t>
            </w:r>
          </w:p>
        </w:tc>
      </w:tr>
      <w:tr>
        <w:trPr>
          <w:trHeight w:val="185"/>
        </w:trPr>
        <w:tc>
          <w:tcPr>
            <w:tcW w:w="8400" w:type="dxa"/>
            <w:vAlign w:val="bottom"/>
            <w:tcBorders>
              <w:bottom w:val="single" w:sz="8" w:color="D64000"/>
            </w:tcBorders>
            <w:gridSpan w:val="2"/>
          </w:tcPr>
          <w:p>
            <w:pPr>
              <w:spacing w:after="0" w:line="179" w:lineRule="exact"/>
              <w:rPr>
                <w:sz w:val="20"/>
                <w:szCs w:val="20"/>
                <w:color w:val="auto"/>
              </w:rPr>
            </w:pPr>
            <w:r>
              <w:rPr>
                <w:rFonts w:ascii="Arial" w:cs="Arial" w:eastAsia="Arial" w:hAnsi="Arial"/>
                <w:sz w:val="16"/>
                <w:szCs w:val="16"/>
                <w:color w:val="auto"/>
              </w:rPr>
              <w:t> Gain on sale before income tax</w:t>
            </w:r>
          </w:p>
        </w:tc>
        <w:tc>
          <w:tcPr>
            <w:tcW w:w="1400" w:type="dxa"/>
            <w:vAlign w:val="bottom"/>
            <w:tcBorders>
              <w:bottom w:val="single" w:sz="8" w:color="D64000"/>
            </w:tcBorders>
          </w:tcPr>
          <w:p>
            <w:pPr>
              <w:jc w:val="right"/>
              <w:ind w:right="461"/>
              <w:spacing w:after="0" w:line="179" w:lineRule="exact"/>
              <w:rPr>
                <w:sz w:val="20"/>
                <w:szCs w:val="20"/>
                <w:color w:val="auto"/>
              </w:rPr>
            </w:pPr>
            <w:r>
              <w:rPr>
                <w:rFonts w:ascii="Arial" w:cs="Arial" w:eastAsia="Arial" w:hAnsi="Arial"/>
                <w:sz w:val="16"/>
                <w:szCs w:val="16"/>
                <w:b w:val="1"/>
                <w:bCs w:val="1"/>
                <w:color w:val="auto"/>
              </w:rPr>
              <w:t>196</w:t>
            </w:r>
          </w:p>
        </w:tc>
        <w:tc>
          <w:tcPr>
            <w:tcW w:w="1000" w:type="dxa"/>
            <w:vAlign w:val="bottom"/>
            <w:tcBorders>
              <w:bottom w:val="single" w:sz="8" w:color="D64000"/>
            </w:tcBorders>
          </w:tcPr>
          <w:p>
            <w:pPr>
              <w:jc w:val="right"/>
              <w:ind w:right="21"/>
              <w:spacing w:after="0" w:line="179" w:lineRule="exact"/>
              <w:rPr>
                <w:sz w:val="20"/>
                <w:szCs w:val="20"/>
                <w:color w:val="auto"/>
              </w:rPr>
            </w:pPr>
            <w:r>
              <w:rPr>
                <w:rFonts w:ascii="Arial" w:cs="Arial" w:eastAsia="Arial" w:hAnsi="Arial"/>
                <w:sz w:val="16"/>
                <w:szCs w:val="16"/>
                <w:color w:val="auto"/>
              </w:rPr>
              <w:t>342</w:t>
            </w: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Note 8: Finance Costs, Net</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components of finance costs, net, include interest expense (income) and other finance (income) costs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159385</wp:posOffset>
            </wp:positionV>
            <wp:extent cx="68656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8180" w:type="dxa"/>
            <w:vAlign w:val="bottom"/>
          </w:tcPr>
          <w:p>
            <w:pPr>
              <w:spacing w:after="0"/>
              <w:rPr>
                <w:sz w:val="17"/>
                <w:szCs w:val="17"/>
                <w:color w:val="auto"/>
              </w:rPr>
            </w:pPr>
          </w:p>
        </w:tc>
        <w:tc>
          <w:tcPr>
            <w:tcW w:w="220" w:type="dxa"/>
            <w:vAlign w:val="bottom"/>
            <w:shd w:val="clear" w:color="auto" w:fill="E3F3EE"/>
          </w:tcPr>
          <w:p>
            <w:pPr>
              <w:ind w:left="120"/>
              <w:spacing w:after="0"/>
              <w:rPr>
                <w:sz w:val="20"/>
                <w:szCs w:val="20"/>
                <w:color w:val="auto"/>
              </w:rPr>
            </w:pPr>
            <w:r>
              <w:rPr>
                <w:rFonts w:ascii="Arial" w:cs="Arial" w:eastAsia="Arial" w:hAnsi="Arial"/>
                <w:sz w:val="11"/>
                <w:szCs w:val="11"/>
                <w:b w:val="1"/>
                <w:bCs w:val="1"/>
                <w:color w:val="auto"/>
                <w:w w:val="72"/>
              </w:rPr>
              <w:t> </w:t>
            </w:r>
          </w:p>
        </w:tc>
        <w:tc>
          <w:tcPr>
            <w:tcW w:w="2400" w:type="dxa"/>
            <w:vAlign w:val="bottom"/>
            <w:gridSpan w:val="2"/>
            <w:shd w:val="clear" w:color="auto" w:fill="E3F3EE"/>
          </w:tcPr>
          <w:p>
            <w:pPr>
              <w:jc w:val="right"/>
              <w:ind w:right="21"/>
              <w:spacing w:after="0"/>
              <w:rPr>
                <w:sz w:val="20"/>
                <w:szCs w:val="20"/>
                <w:color w:val="auto"/>
              </w:rPr>
            </w:pPr>
            <w:r>
              <w:rPr>
                <w:rFonts w:ascii="Arial" w:cs="Arial" w:eastAsia="Arial" w:hAnsi="Arial"/>
                <w:sz w:val="16"/>
                <w:szCs w:val="16"/>
                <w:b w:val="1"/>
                <w:bCs w:val="1"/>
                <w:color w:val="auto"/>
              </w:rPr>
              <w:t>    Year ended December 31,</w:t>
            </w:r>
          </w:p>
        </w:tc>
      </w:tr>
      <w:tr>
        <w:trPr>
          <w:trHeight w:val="192"/>
        </w:trPr>
        <w:tc>
          <w:tcPr>
            <w:tcW w:w="8180" w:type="dxa"/>
            <w:vAlign w:val="bottom"/>
            <w:tcBorders>
              <w:bottom w:val="single" w:sz="8" w:color="D64000"/>
            </w:tcBorders>
            <w:shd w:val="clear" w:color="auto" w:fill="1F473D"/>
          </w:tcPr>
          <w:p>
            <w:pPr>
              <w:spacing w:after="0"/>
              <w:rPr>
                <w:sz w:val="16"/>
                <w:szCs w:val="16"/>
                <w:color w:val="auto"/>
              </w:rPr>
            </w:pPr>
          </w:p>
        </w:tc>
        <w:tc>
          <w:tcPr>
            <w:tcW w:w="220" w:type="dxa"/>
            <w:vAlign w:val="bottom"/>
            <w:tcBorders>
              <w:bottom w:val="single" w:sz="8" w:color="D64000"/>
            </w:tcBorders>
            <w:shd w:val="clear" w:color="auto" w:fill="1F473D"/>
          </w:tcPr>
          <w:p>
            <w:pPr>
              <w:spacing w:after="0"/>
              <w:rPr>
                <w:sz w:val="16"/>
                <w:szCs w:val="16"/>
                <w:color w:val="auto"/>
              </w:rPr>
            </w:pPr>
          </w:p>
        </w:tc>
        <w:tc>
          <w:tcPr>
            <w:tcW w:w="1420" w:type="dxa"/>
            <w:vAlign w:val="bottom"/>
            <w:tcBorders>
              <w:bottom w:val="single" w:sz="8" w:color="D64000"/>
            </w:tcBorders>
            <w:shd w:val="clear" w:color="auto" w:fill="1F473D"/>
          </w:tcPr>
          <w:p>
            <w:pPr>
              <w:jc w:val="right"/>
              <w:ind w:right="461"/>
              <w:spacing w:after="0"/>
              <w:rPr>
                <w:sz w:val="20"/>
                <w:szCs w:val="20"/>
                <w:color w:val="auto"/>
              </w:rPr>
            </w:pPr>
            <w:r>
              <w:rPr>
                <w:rFonts w:ascii="Arial" w:cs="Arial" w:eastAsia="Arial" w:hAnsi="Arial"/>
                <w:sz w:val="16"/>
                <w:szCs w:val="16"/>
                <w:b w:val="1"/>
                <w:bCs w:val="1"/>
                <w:color w:val="FFFFFF"/>
              </w:rPr>
              <w:t>2024</w:t>
            </w:r>
          </w:p>
        </w:tc>
        <w:tc>
          <w:tcPr>
            <w:tcW w:w="980" w:type="dxa"/>
            <w:vAlign w:val="bottom"/>
            <w:tcBorders>
              <w:bottom w:val="single" w:sz="8" w:color="D64000"/>
            </w:tcBorders>
            <w:shd w:val="clear" w:color="auto" w:fill="1F473D"/>
          </w:tcPr>
          <w:p>
            <w:pPr>
              <w:jc w:val="right"/>
              <w:ind w:right="21"/>
              <w:spacing w:after="0"/>
              <w:rPr>
                <w:sz w:val="20"/>
                <w:szCs w:val="20"/>
                <w:color w:val="auto"/>
              </w:rPr>
            </w:pPr>
            <w:r>
              <w:rPr>
                <w:rFonts w:ascii="Arial" w:cs="Arial" w:eastAsia="Arial" w:hAnsi="Arial"/>
                <w:sz w:val="16"/>
                <w:szCs w:val="16"/>
                <w:color w:val="FFFFFF"/>
              </w:rPr>
              <w:t>2023</w:t>
            </w:r>
          </w:p>
        </w:tc>
      </w:tr>
      <w:tr>
        <w:trPr>
          <w:trHeight w:val="171"/>
        </w:trPr>
        <w:tc>
          <w:tcPr>
            <w:tcW w:w="8400" w:type="dxa"/>
            <w:vAlign w:val="bottom"/>
            <w:gridSpan w:val="2"/>
          </w:tcPr>
          <w:p>
            <w:pPr>
              <w:spacing w:after="0" w:line="171" w:lineRule="exact"/>
              <w:rPr>
                <w:sz w:val="20"/>
                <w:szCs w:val="20"/>
                <w:color w:val="auto"/>
              </w:rPr>
            </w:pPr>
            <w:r>
              <w:rPr>
                <w:rFonts w:ascii="Arial" w:cs="Arial" w:eastAsia="Arial" w:hAnsi="Arial"/>
                <w:sz w:val="16"/>
                <w:szCs w:val="16"/>
                <w:color w:val="auto"/>
              </w:rPr>
              <w:t> Interest expense:</w:t>
            </w:r>
          </w:p>
        </w:tc>
        <w:tc>
          <w:tcPr>
            <w:tcW w:w="14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5"/>
        </w:trPr>
        <w:tc>
          <w:tcPr>
            <w:tcW w:w="8400" w:type="dxa"/>
            <w:vAlign w:val="bottom"/>
            <w:gridSpan w:val="2"/>
          </w:tcPr>
          <w:p>
            <w:pPr>
              <w:ind w:left="180"/>
              <w:spacing w:after="0"/>
              <w:rPr>
                <w:sz w:val="20"/>
                <w:szCs w:val="20"/>
                <w:color w:val="auto"/>
              </w:rPr>
            </w:pPr>
            <w:r>
              <w:rPr>
                <w:rFonts w:ascii="Arial" w:cs="Arial" w:eastAsia="Arial" w:hAnsi="Arial"/>
                <w:sz w:val="16"/>
                <w:szCs w:val="16"/>
                <w:color w:val="auto"/>
              </w:rPr>
              <w:t> Debt</w:t>
            </w:r>
          </w:p>
        </w:tc>
        <w:tc>
          <w:tcPr>
            <w:tcW w:w="1420" w:type="dxa"/>
            <w:vAlign w:val="bottom"/>
          </w:tcPr>
          <w:p>
            <w:pPr>
              <w:jc w:val="right"/>
              <w:ind w:right="461"/>
              <w:spacing w:after="0"/>
              <w:rPr>
                <w:sz w:val="20"/>
                <w:szCs w:val="20"/>
                <w:color w:val="auto"/>
              </w:rPr>
            </w:pPr>
            <w:r>
              <w:rPr>
                <w:rFonts w:ascii="Arial" w:cs="Arial" w:eastAsia="Arial" w:hAnsi="Arial"/>
                <w:sz w:val="16"/>
                <w:szCs w:val="16"/>
                <w:b w:val="1"/>
                <w:bCs w:val="1"/>
                <w:color w:val="auto"/>
              </w:rPr>
              <w:t>140</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193</w:t>
            </w:r>
          </w:p>
        </w:tc>
      </w:tr>
      <w:tr>
        <w:trPr>
          <w:trHeight w:val="186"/>
        </w:trPr>
        <w:tc>
          <w:tcPr>
            <w:tcW w:w="8400" w:type="dxa"/>
            <w:vAlign w:val="bottom"/>
            <w:gridSpan w:val="2"/>
          </w:tcPr>
          <w:p>
            <w:pPr>
              <w:ind w:left="180"/>
              <w:spacing w:after="0"/>
              <w:rPr>
                <w:sz w:val="20"/>
                <w:szCs w:val="20"/>
                <w:color w:val="auto"/>
              </w:rPr>
            </w:pPr>
            <w:r>
              <w:rPr>
                <w:rFonts w:ascii="Arial" w:cs="Arial" w:eastAsia="Arial" w:hAnsi="Arial"/>
                <w:sz w:val="16"/>
                <w:szCs w:val="16"/>
                <w:color w:val="auto"/>
              </w:rPr>
              <w:t> Derivative financial instruments - hedging activities</w:t>
            </w:r>
          </w:p>
        </w:tc>
        <w:tc>
          <w:tcPr>
            <w:tcW w:w="1420" w:type="dxa"/>
            <w:vAlign w:val="bottom"/>
          </w:tcPr>
          <w:p>
            <w:pPr>
              <w:jc w:val="right"/>
              <w:ind w:right="461"/>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w:t>
            </w:r>
          </w:p>
        </w:tc>
      </w:tr>
      <w:tr>
        <w:trPr>
          <w:trHeight w:val="185"/>
        </w:trPr>
        <w:tc>
          <w:tcPr>
            <w:tcW w:w="8400" w:type="dxa"/>
            <w:vAlign w:val="bottom"/>
            <w:gridSpan w:val="2"/>
          </w:tcPr>
          <w:p>
            <w:pPr>
              <w:ind w:left="180"/>
              <w:spacing w:after="0" w:line="185" w:lineRule="exact"/>
              <w:rPr>
                <w:sz w:val="20"/>
                <w:szCs w:val="20"/>
                <w:color w:val="auto"/>
              </w:rPr>
            </w:pPr>
            <w:r>
              <w:rPr>
                <w:rFonts w:ascii="Arial" w:cs="Arial" w:eastAsia="Arial" w:hAnsi="Arial"/>
                <w:sz w:val="16"/>
                <w:szCs w:val="16"/>
                <w:color w:val="auto"/>
              </w:rPr>
              <w:t> Other, net</w:t>
            </w:r>
            <w:r>
              <w:rPr>
                <w:rFonts w:ascii="Arial" w:cs="Arial" w:eastAsia="Arial" w:hAnsi="Arial"/>
                <w:sz w:val="19"/>
                <w:szCs w:val="19"/>
                <w:color w:val="auto"/>
                <w:vertAlign w:val="superscript"/>
              </w:rPr>
              <w:t>(1)</w:t>
            </w:r>
          </w:p>
        </w:tc>
        <w:tc>
          <w:tcPr>
            <w:tcW w:w="1420" w:type="dxa"/>
            <w:vAlign w:val="bottom"/>
          </w:tcPr>
          <w:p>
            <w:pPr>
              <w:jc w:val="right"/>
              <w:ind w:right="461"/>
              <w:spacing w:after="0"/>
              <w:rPr>
                <w:sz w:val="20"/>
                <w:szCs w:val="20"/>
                <w:color w:val="auto"/>
              </w:rPr>
            </w:pPr>
            <w:r>
              <w:rPr>
                <w:rFonts w:ascii="Arial" w:cs="Arial" w:eastAsia="Arial" w:hAnsi="Arial"/>
                <w:sz w:val="16"/>
                <w:szCs w:val="16"/>
                <w:b w:val="1"/>
                <w:bCs w:val="1"/>
                <w:color w:val="auto"/>
              </w:rPr>
              <w:t>23</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10</w:t>
            </w:r>
          </w:p>
        </w:tc>
      </w:tr>
      <w:tr>
        <w:trPr>
          <w:trHeight w:val="185"/>
        </w:trPr>
        <w:tc>
          <w:tcPr>
            <w:tcW w:w="8400" w:type="dxa"/>
            <w:vAlign w:val="bottom"/>
            <w:gridSpan w:val="2"/>
          </w:tcPr>
          <w:p>
            <w:pPr>
              <w:spacing w:after="0"/>
              <w:rPr>
                <w:sz w:val="20"/>
                <w:szCs w:val="20"/>
                <w:color w:val="auto"/>
              </w:rPr>
            </w:pPr>
            <w:r>
              <w:rPr>
                <w:rFonts w:ascii="Arial" w:cs="Arial" w:eastAsia="Arial" w:hAnsi="Arial"/>
                <w:sz w:val="16"/>
                <w:szCs w:val="16"/>
                <w:color w:val="auto"/>
              </w:rPr>
              <w:t> Fair value losses (gains) on cash flow hedges, transfer from equity (see note 20)</w:t>
            </w:r>
          </w:p>
        </w:tc>
        <w:tc>
          <w:tcPr>
            <w:tcW w:w="1420" w:type="dxa"/>
            <w:vAlign w:val="bottom"/>
          </w:tcPr>
          <w:p>
            <w:pPr>
              <w:jc w:val="right"/>
              <w:ind w:right="461"/>
              <w:spacing w:after="0"/>
              <w:rPr>
                <w:sz w:val="20"/>
                <w:szCs w:val="20"/>
                <w:color w:val="auto"/>
              </w:rPr>
            </w:pPr>
            <w:r>
              <w:rPr>
                <w:rFonts w:ascii="Arial" w:cs="Arial" w:eastAsia="Arial" w:hAnsi="Arial"/>
                <w:sz w:val="16"/>
                <w:szCs w:val="16"/>
                <w:b w:val="1"/>
                <w:bCs w:val="1"/>
                <w:color w:val="auto"/>
              </w:rPr>
              <w:t>88</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(30)</w:t>
            </w:r>
          </w:p>
        </w:tc>
      </w:tr>
      <w:tr>
        <w:trPr>
          <w:trHeight w:val="200"/>
        </w:trPr>
        <w:tc>
          <w:tcPr>
            <w:tcW w:w="840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color w:val="auto"/>
              </w:rPr>
              <w:t> Net foreign exchange (gains) losses on debt</w:t>
            </w:r>
          </w:p>
        </w:tc>
        <w:tc>
          <w:tcPr>
            <w:tcW w:w="1420" w:type="dxa"/>
            <w:vAlign w:val="bottom"/>
            <w:tcBorders>
              <w:bottom w:val="single" w:sz="8" w:color="B2B2B2"/>
            </w:tcBorders>
          </w:tcPr>
          <w:p>
            <w:pPr>
              <w:jc w:val="right"/>
              <w:ind w:right="461"/>
              <w:spacing w:after="0"/>
              <w:rPr>
                <w:sz w:val="20"/>
                <w:szCs w:val="20"/>
                <w:color w:val="auto"/>
              </w:rPr>
            </w:pPr>
            <w:r>
              <w:rPr>
                <w:rFonts w:ascii="Arial" w:cs="Arial" w:eastAsia="Arial" w:hAnsi="Arial"/>
                <w:sz w:val="16"/>
                <w:szCs w:val="16"/>
                <w:b w:val="1"/>
                <w:bCs w:val="1"/>
                <w:color w:val="auto"/>
              </w:rPr>
              <w:t>(88)</w:t>
            </w:r>
          </w:p>
        </w:tc>
        <w:tc>
          <w:tcPr>
            <w:tcW w:w="98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30</w:t>
            </w:r>
          </w:p>
        </w:tc>
      </w:tr>
      <w:tr>
        <w:trPr>
          <w:trHeight w:val="165"/>
        </w:trPr>
        <w:tc>
          <w:tcPr>
            <w:tcW w:w="8400" w:type="dxa"/>
            <w:vAlign w:val="bottom"/>
            <w:gridSpan w:val="2"/>
          </w:tcPr>
          <w:p>
            <w:pPr>
              <w:spacing w:after="0" w:line="165" w:lineRule="exact"/>
              <w:rPr>
                <w:sz w:val="20"/>
                <w:szCs w:val="20"/>
                <w:color w:val="auto"/>
              </w:rPr>
            </w:pPr>
            <w:r>
              <w:rPr>
                <w:rFonts w:ascii="Arial" w:cs="Arial" w:eastAsia="Arial" w:hAnsi="Arial"/>
                <w:sz w:val="16"/>
                <w:szCs w:val="16"/>
                <w:color w:val="auto"/>
              </w:rPr>
              <w:t> Net interest expense - debt and other</w:t>
            </w:r>
          </w:p>
        </w:tc>
        <w:tc>
          <w:tcPr>
            <w:tcW w:w="1420" w:type="dxa"/>
            <w:vAlign w:val="bottom"/>
          </w:tcPr>
          <w:p>
            <w:pPr>
              <w:jc w:val="right"/>
              <w:ind w:right="461"/>
              <w:spacing w:after="0" w:line="165" w:lineRule="exact"/>
              <w:rPr>
                <w:sz w:val="20"/>
                <w:szCs w:val="20"/>
                <w:color w:val="auto"/>
              </w:rPr>
            </w:pPr>
            <w:r>
              <w:rPr>
                <w:rFonts w:ascii="Arial" w:cs="Arial" w:eastAsia="Arial" w:hAnsi="Arial"/>
                <w:sz w:val="16"/>
                <w:szCs w:val="16"/>
                <w:b w:val="1"/>
                <w:bCs w:val="1"/>
                <w:color w:val="auto"/>
              </w:rPr>
              <w:t>163</w:t>
            </w:r>
          </w:p>
        </w:tc>
        <w:tc>
          <w:tcPr>
            <w:tcW w:w="980" w:type="dxa"/>
            <w:vAlign w:val="bottom"/>
          </w:tcPr>
          <w:p>
            <w:pPr>
              <w:jc w:val="right"/>
              <w:ind w:right="21"/>
              <w:spacing w:after="0" w:line="165" w:lineRule="exact"/>
              <w:rPr>
                <w:sz w:val="20"/>
                <w:szCs w:val="20"/>
                <w:color w:val="auto"/>
              </w:rPr>
            </w:pPr>
            <w:r>
              <w:rPr>
                <w:rFonts w:ascii="Arial" w:cs="Arial" w:eastAsia="Arial" w:hAnsi="Arial"/>
                <w:sz w:val="16"/>
                <w:szCs w:val="16"/>
                <w:color w:val="auto"/>
              </w:rPr>
              <w:t>202</w:t>
            </w:r>
          </w:p>
        </w:tc>
      </w:tr>
      <w:tr>
        <w:trPr>
          <w:trHeight w:val="185"/>
        </w:trPr>
        <w:tc>
          <w:tcPr>
            <w:tcW w:w="8400" w:type="dxa"/>
            <w:vAlign w:val="bottom"/>
            <w:gridSpan w:val="2"/>
          </w:tcPr>
          <w:p>
            <w:pPr>
              <w:spacing w:after="0"/>
              <w:rPr>
                <w:sz w:val="20"/>
                <w:szCs w:val="20"/>
                <w:color w:val="auto"/>
              </w:rPr>
            </w:pPr>
            <w:r>
              <w:rPr>
                <w:rFonts w:ascii="Arial" w:cs="Arial" w:eastAsia="Arial" w:hAnsi="Arial"/>
                <w:sz w:val="16"/>
                <w:szCs w:val="16"/>
                <w:color w:val="auto"/>
              </w:rPr>
              <w:t> Net interest expense - leases</w:t>
            </w:r>
          </w:p>
        </w:tc>
        <w:tc>
          <w:tcPr>
            <w:tcW w:w="1420" w:type="dxa"/>
            <w:vAlign w:val="bottom"/>
          </w:tcPr>
          <w:p>
            <w:pPr>
              <w:jc w:val="right"/>
              <w:ind w:right="461"/>
              <w:spacing w:after="0"/>
              <w:rPr>
                <w:sz w:val="20"/>
                <w:szCs w:val="20"/>
                <w:color w:val="auto"/>
              </w:rPr>
            </w:pPr>
            <w:r>
              <w:rPr>
                <w:rFonts w:ascii="Arial" w:cs="Arial" w:eastAsia="Arial" w:hAnsi="Arial"/>
                <w:sz w:val="16"/>
                <w:szCs w:val="16"/>
                <w:b w:val="1"/>
                <w:bCs w:val="1"/>
                <w:color w:val="auto"/>
              </w:rPr>
              <w:t>14</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9</w:t>
            </w:r>
          </w:p>
        </w:tc>
      </w:tr>
      <w:tr>
        <w:trPr>
          <w:trHeight w:val="185"/>
        </w:trPr>
        <w:tc>
          <w:tcPr>
            <w:tcW w:w="8400" w:type="dxa"/>
            <w:vAlign w:val="bottom"/>
            <w:gridSpan w:val="2"/>
          </w:tcPr>
          <w:p>
            <w:pPr>
              <w:spacing w:after="0"/>
              <w:rPr>
                <w:sz w:val="20"/>
                <w:szCs w:val="20"/>
                <w:color w:val="auto"/>
              </w:rPr>
            </w:pPr>
            <w:r>
              <w:rPr>
                <w:rFonts w:ascii="Arial" w:cs="Arial" w:eastAsia="Arial" w:hAnsi="Arial"/>
                <w:sz w:val="16"/>
                <w:szCs w:val="16"/>
                <w:color w:val="auto"/>
              </w:rPr>
              <w:t> Net interest expense - pension and other post-employment benefit plans</w:t>
            </w:r>
          </w:p>
        </w:tc>
        <w:tc>
          <w:tcPr>
            <w:tcW w:w="1420" w:type="dxa"/>
            <w:vAlign w:val="bottom"/>
          </w:tcPr>
          <w:p>
            <w:pPr>
              <w:jc w:val="right"/>
              <w:ind w:right="461"/>
              <w:spacing w:after="0"/>
              <w:rPr>
                <w:sz w:val="20"/>
                <w:szCs w:val="20"/>
                <w:color w:val="auto"/>
              </w:rPr>
            </w:pPr>
            <w:r>
              <w:rPr>
                <w:rFonts w:ascii="Arial" w:cs="Arial" w:eastAsia="Arial" w:hAnsi="Arial"/>
                <w:sz w:val="16"/>
                <w:szCs w:val="16"/>
                <w:b w:val="1"/>
                <w:bCs w:val="1"/>
                <w:color w:val="auto"/>
              </w:rPr>
              <w:t>24</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25</w:t>
            </w:r>
          </w:p>
        </w:tc>
      </w:tr>
      <w:tr>
        <w:trPr>
          <w:trHeight w:val="200"/>
        </w:trPr>
        <w:tc>
          <w:tcPr>
            <w:tcW w:w="840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color w:val="auto"/>
              </w:rPr>
              <w:t> Interest income</w:t>
            </w:r>
          </w:p>
        </w:tc>
        <w:tc>
          <w:tcPr>
            <w:tcW w:w="1420" w:type="dxa"/>
            <w:vAlign w:val="bottom"/>
            <w:tcBorders>
              <w:bottom w:val="single" w:sz="8" w:color="B2B2B2"/>
            </w:tcBorders>
          </w:tcPr>
          <w:p>
            <w:pPr>
              <w:jc w:val="right"/>
              <w:ind w:right="461"/>
              <w:spacing w:after="0"/>
              <w:rPr>
                <w:sz w:val="20"/>
                <w:szCs w:val="20"/>
                <w:color w:val="auto"/>
              </w:rPr>
            </w:pPr>
            <w:r>
              <w:rPr>
                <w:rFonts w:ascii="Arial" w:cs="Arial" w:eastAsia="Arial" w:hAnsi="Arial"/>
                <w:sz w:val="16"/>
                <w:szCs w:val="16"/>
                <w:b w:val="1"/>
                <w:bCs w:val="1"/>
                <w:color w:val="auto"/>
              </w:rPr>
              <w:t>(76)</w:t>
            </w:r>
          </w:p>
        </w:tc>
        <w:tc>
          <w:tcPr>
            <w:tcW w:w="98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(84)</w:t>
            </w:r>
          </w:p>
        </w:tc>
      </w:tr>
      <w:tr>
        <w:trPr>
          <w:trHeight w:val="185"/>
        </w:trPr>
        <w:tc>
          <w:tcPr>
            <w:tcW w:w="8400" w:type="dxa"/>
            <w:vAlign w:val="bottom"/>
            <w:tcBorders>
              <w:bottom w:val="single" w:sz="8" w:color="D64000"/>
            </w:tcBorders>
            <w:gridSpan w:val="2"/>
          </w:tcPr>
          <w:p>
            <w:pPr>
              <w:spacing w:after="0" w:line="179" w:lineRule="exact"/>
              <w:rPr>
                <w:sz w:val="20"/>
                <w:szCs w:val="20"/>
                <w:color w:val="auto"/>
              </w:rPr>
            </w:pPr>
            <w:r>
              <w:rPr>
                <w:rFonts w:ascii="Arial" w:cs="Arial" w:eastAsia="Arial" w:hAnsi="Arial"/>
                <w:sz w:val="16"/>
                <w:szCs w:val="16"/>
                <w:color w:val="auto"/>
              </w:rPr>
              <w:t> Net interest expense</w:t>
            </w:r>
          </w:p>
        </w:tc>
        <w:tc>
          <w:tcPr>
            <w:tcW w:w="1420" w:type="dxa"/>
            <w:vAlign w:val="bottom"/>
            <w:tcBorders>
              <w:bottom w:val="single" w:sz="8" w:color="D64000"/>
            </w:tcBorders>
          </w:tcPr>
          <w:p>
            <w:pPr>
              <w:jc w:val="right"/>
              <w:ind w:right="461"/>
              <w:spacing w:after="0" w:line="179" w:lineRule="exact"/>
              <w:rPr>
                <w:sz w:val="20"/>
                <w:szCs w:val="20"/>
                <w:color w:val="auto"/>
              </w:rPr>
            </w:pPr>
            <w:r>
              <w:rPr>
                <w:rFonts w:ascii="Arial" w:cs="Arial" w:eastAsia="Arial" w:hAnsi="Arial"/>
                <w:sz w:val="16"/>
                <w:szCs w:val="16"/>
                <w:b w:val="1"/>
                <w:bCs w:val="1"/>
                <w:color w:val="auto"/>
              </w:rPr>
              <w:t>125</w:t>
            </w:r>
          </w:p>
        </w:tc>
        <w:tc>
          <w:tcPr>
            <w:tcW w:w="980" w:type="dxa"/>
            <w:vAlign w:val="bottom"/>
            <w:tcBorders>
              <w:bottom w:val="single" w:sz="8" w:color="D64000"/>
            </w:tcBorders>
          </w:tcPr>
          <w:p>
            <w:pPr>
              <w:jc w:val="right"/>
              <w:ind w:right="21"/>
              <w:spacing w:after="0" w:line="179" w:lineRule="exact"/>
              <w:rPr>
                <w:sz w:val="20"/>
                <w:szCs w:val="20"/>
                <w:color w:val="auto"/>
              </w:rPr>
            </w:pPr>
            <w:r>
              <w:rPr>
                <w:rFonts w:ascii="Arial" w:cs="Arial" w:eastAsia="Arial" w:hAnsi="Arial"/>
                <w:sz w:val="16"/>
                <w:szCs w:val="16"/>
                <w:color w:val="auto"/>
              </w:rPr>
              <w:t>152</w:t>
            </w:r>
          </w:p>
        </w:tc>
      </w:tr>
    </w:tbl>
    <w:p>
      <w:pPr>
        <w:spacing w:after="0" w:line="110" w:lineRule="exact"/>
        <w:rPr>
          <w:sz w:val="20"/>
          <w:szCs w:val="20"/>
          <w:color w:val="auto"/>
        </w:rPr>
      </w:pPr>
    </w:p>
    <w:p>
      <w:pPr>
        <w:ind w:left="640" w:right="220" w:hanging="422"/>
        <w:spacing w:after="0" w:line="274" w:lineRule="auto"/>
        <w:tabs>
          <w:tab w:leader="none" w:pos="6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year ended December 31, 2023 included $12 million of benefits related to the reversal of accrued interest associated with the release of tax reserves (see note 10).</w:t>
      </w:r>
    </w:p>
    <w:p>
      <w:pPr>
        <w:spacing w:after="0" w:line="197" w:lineRule="exact"/>
        <w:rPr>
          <w:rFonts w:ascii="Arial" w:cs="Arial" w:eastAsia="Arial" w:hAnsi="Arial"/>
          <w:sz w:val="14"/>
          <w:szCs w:val="14"/>
          <w:color w:val="auto"/>
        </w:rPr>
      </w:pPr>
    </w:p>
    <w:p>
      <w:pPr>
        <w:ind w:left="8680" w:hanging="168"/>
        <w:spacing w:after="0"/>
        <w:tabs>
          <w:tab w:leader="none" w:pos="8680" w:val="left"/>
        </w:tabs>
        <w:numPr>
          <w:ilvl w:val="1"/>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-115570</wp:posOffset>
            </wp:positionV>
            <wp:extent cx="6865620" cy="1263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65620" cy="12636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190"/>
        </w:trPr>
        <w:tc>
          <w:tcPr>
            <w:tcW w:w="6920" w:type="dxa"/>
            <w:vAlign w:val="bottom"/>
            <w:tcBorders>
              <w:bottom w:val="single" w:sz="8" w:color="D64000"/>
            </w:tcBorders>
            <w:shd w:val="clear" w:color="auto" w:fill="1F473D"/>
          </w:tcPr>
          <w:p>
            <w:pPr>
              <w:spacing w:after="0"/>
              <w:rPr>
                <w:sz w:val="16"/>
                <w:szCs w:val="16"/>
                <w:color w:val="auto"/>
              </w:rPr>
            </w:pPr>
          </w:p>
        </w:tc>
        <w:tc>
          <w:tcPr>
            <w:tcW w:w="2900" w:type="dxa"/>
            <w:vAlign w:val="bottom"/>
            <w:tcBorders>
              <w:bottom w:val="single" w:sz="8" w:color="D64000"/>
            </w:tcBorders>
            <w:shd w:val="clear" w:color="auto" w:fill="1F473D"/>
          </w:tcPr>
          <w:p>
            <w:pPr>
              <w:jc w:val="right"/>
              <w:ind w:right="461"/>
              <w:spacing w:after="0"/>
              <w:rPr>
                <w:sz w:val="20"/>
                <w:szCs w:val="20"/>
                <w:color w:val="auto"/>
              </w:rPr>
            </w:pPr>
            <w:r>
              <w:rPr>
                <w:rFonts w:ascii="Arial" w:cs="Arial" w:eastAsia="Arial" w:hAnsi="Arial"/>
                <w:sz w:val="16"/>
                <w:szCs w:val="16"/>
                <w:b w:val="1"/>
                <w:bCs w:val="1"/>
                <w:color w:val="FFFFFF"/>
              </w:rPr>
              <w:t>2024</w:t>
            </w:r>
          </w:p>
        </w:tc>
        <w:tc>
          <w:tcPr>
            <w:tcW w:w="980" w:type="dxa"/>
            <w:vAlign w:val="bottom"/>
            <w:tcBorders>
              <w:bottom w:val="single" w:sz="8" w:color="D64000"/>
            </w:tcBorders>
            <w:shd w:val="clear" w:color="auto" w:fill="1F473D"/>
          </w:tcPr>
          <w:p>
            <w:pPr>
              <w:jc w:val="right"/>
              <w:ind w:right="21"/>
              <w:spacing w:after="0"/>
              <w:rPr>
                <w:sz w:val="20"/>
                <w:szCs w:val="20"/>
                <w:color w:val="auto"/>
              </w:rPr>
            </w:pPr>
            <w:r>
              <w:rPr>
                <w:rFonts w:ascii="Arial" w:cs="Arial" w:eastAsia="Arial" w:hAnsi="Arial"/>
                <w:sz w:val="16"/>
                <w:szCs w:val="16"/>
                <w:color w:val="FFFFFF"/>
              </w:rPr>
              <w:t>2023</w:t>
            </w:r>
          </w:p>
        </w:tc>
      </w:tr>
      <w:tr>
        <w:trPr>
          <w:trHeight w:val="171"/>
        </w:trPr>
        <w:tc>
          <w:tcPr>
            <w:tcW w:w="6920" w:type="dxa"/>
            <w:vAlign w:val="bottom"/>
          </w:tcPr>
          <w:p>
            <w:pPr>
              <w:spacing w:after="0" w:line="171" w:lineRule="exact"/>
              <w:rPr>
                <w:sz w:val="20"/>
                <w:szCs w:val="20"/>
                <w:color w:val="auto"/>
              </w:rPr>
            </w:pPr>
            <w:r>
              <w:rPr>
                <w:rFonts w:ascii="Arial" w:cs="Arial" w:eastAsia="Arial" w:hAnsi="Arial"/>
                <w:sz w:val="16"/>
                <w:szCs w:val="16"/>
                <w:color w:val="auto"/>
              </w:rPr>
              <w:t> Net (gains) losses due to changes in foreign currency exchange rates</w:t>
            </w:r>
          </w:p>
        </w:tc>
        <w:tc>
          <w:tcPr>
            <w:tcW w:w="2900" w:type="dxa"/>
            <w:vAlign w:val="bottom"/>
          </w:tcPr>
          <w:p>
            <w:pPr>
              <w:jc w:val="right"/>
              <w:ind w:right="461"/>
              <w:spacing w:after="0" w:line="171" w:lineRule="exact"/>
              <w:rPr>
                <w:sz w:val="20"/>
                <w:szCs w:val="20"/>
                <w:color w:val="auto"/>
              </w:rPr>
            </w:pPr>
            <w:r>
              <w:rPr>
                <w:rFonts w:ascii="Arial" w:cs="Arial" w:eastAsia="Arial" w:hAnsi="Arial"/>
                <w:sz w:val="16"/>
                <w:szCs w:val="16"/>
                <w:b w:val="1"/>
                <w:bCs w:val="1"/>
                <w:color w:val="auto"/>
              </w:rPr>
              <w:t>(57)</w:t>
            </w:r>
          </w:p>
        </w:tc>
        <w:tc>
          <w:tcPr>
            <w:tcW w:w="980" w:type="dxa"/>
            <w:vAlign w:val="bottom"/>
          </w:tcPr>
          <w:p>
            <w:pPr>
              <w:jc w:val="right"/>
              <w:ind w:right="21"/>
              <w:spacing w:after="0" w:line="171" w:lineRule="exact"/>
              <w:rPr>
                <w:sz w:val="20"/>
                <w:szCs w:val="20"/>
                <w:color w:val="auto"/>
              </w:rPr>
            </w:pPr>
            <w:r>
              <w:rPr>
                <w:rFonts w:ascii="Arial" w:cs="Arial" w:eastAsia="Arial" w:hAnsi="Arial"/>
                <w:sz w:val="16"/>
                <w:szCs w:val="16"/>
                <w:color w:val="auto"/>
              </w:rPr>
              <w:t>65</w:t>
            </w:r>
          </w:p>
        </w:tc>
      </w:tr>
      <w:tr>
        <w:trPr>
          <w:trHeight w:val="185"/>
        </w:trPr>
        <w:tc>
          <w:tcPr>
            <w:tcW w:w="6920" w:type="dxa"/>
            <w:vAlign w:val="bottom"/>
          </w:tcPr>
          <w:p>
            <w:pPr>
              <w:spacing w:after="0"/>
              <w:rPr>
                <w:sz w:val="20"/>
                <w:szCs w:val="20"/>
                <w:color w:val="auto"/>
              </w:rPr>
            </w:pPr>
            <w:r>
              <w:rPr>
                <w:rFonts w:ascii="Arial" w:cs="Arial" w:eastAsia="Arial" w:hAnsi="Arial"/>
                <w:sz w:val="16"/>
                <w:szCs w:val="16"/>
                <w:color w:val="auto"/>
              </w:rPr>
              <w:t> Net losses on derivative instruments</w:t>
            </w:r>
          </w:p>
        </w:tc>
        <w:tc>
          <w:tcPr>
            <w:tcW w:w="2900" w:type="dxa"/>
            <w:vAlign w:val="bottom"/>
          </w:tcPr>
          <w:p>
            <w:pPr>
              <w:jc w:val="right"/>
              <w:ind w:right="461"/>
              <w:spacing w:after="0"/>
              <w:rPr>
                <w:sz w:val="20"/>
                <w:szCs w:val="20"/>
                <w:color w:val="auto"/>
              </w:rPr>
            </w:pPr>
            <w:r>
              <w:rPr>
                <w:rFonts w:ascii="Arial" w:cs="Arial" w:eastAsia="Arial" w:hAnsi="Arial"/>
                <w:sz w:val="16"/>
                <w:szCs w:val="16"/>
                <w:b w:val="1"/>
                <w:bCs w:val="1"/>
                <w:color w:val="auto"/>
              </w:rPr>
              <w:t>2</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132</w:t>
            </w:r>
          </w:p>
        </w:tc>
      </w:tr>
      <w:tr>
        <w:trPr>
          <w:trHeight w:val="200"/>
        </w:trPr>
        <w:tc>
          <w:tcPr>
            <w:tcW w:w="692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Other</w:t>
            </w:r>
          </w:p>
        </w:tc>
        <w:tc>
          <w:tcPr>
            <w:tcW w:w="2900" w:type="dxa"/>
            <w:vAlign w:val="bottom"/>
            <w:tcBorders>
              <w:bottom w:val="single" w:sz="8" w:color="B2B2B2"/>
            </w:tcBorders>
          </w:tcPr>
          <w:p>
            <w:pPr>
              <w:jc w:val="right"/>
              <w:ind w:right="461"/>
              <w:spacing w:after="0"/>
              <w:rPr>
                <w:sz w:val="20"/>
                <w:szCs w:val="20"/>
                <w:color w:val="auto"/>
              </w:rPr>
            </w:pPr>
            <w:r>
              <w:rPr>
                <w:rFonts w:ascii="Arial" w:cs="Arial" w:eastAsia="Arial" w:hAnsi="Arial"/>
                <w:sz w:val="16"/>
                <w:szCs w:val="16"/>
                <w:b w:val="1"/>
                <w:bCs w:val="1"/>
                <w:color w:val="auto"/>
              </w:rPr>
              <w:t>10</w:t>
            </w:r>
          </w:p>
        </w:tc>
        <w:tc>
          <w:tcPr>
            <w:tcW w:w="98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(5)</w:t>
            </w:r>
          </w:p>
        </w:tc>
      </w:tr>
      <w:tr>
        <w:trPr>
          <w:trHeight w:val="185"/>
        </w:trPr>
        <w:tc>
          <w:tcPr>
            <w:tcW w:w="692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color w:val="auto"/>
              </w:rPr>
              <w:t> Other finance (income) costs</w:t>
            </w:r>
          </w:p>
        </w:tc>
        <w:tc>
          <w:tcPr>
            <w:tcW w:w="2900" w:type="dxa"/>
            <w:vAlign w:val="bottom"/>
            <w:tcBorders>
              <w:bottom w:val="single" w:sz="8" w:color="D64000"/>
            </w:tcBorders>
          </w:tcPr>
          <w:p>
            <w:pPr>
              <w:jc w:val="right"/>
              <w:ind w:right="461"/>
              <w:spacing w:after="0" w:line="179" w:lineRule="exact"/>
              <w:rPr>
                <w:sz w:val="20"/>
                <w:szCs w:val="20"/>
                <w:color w:val="auto"/>
              </w:rPr>
            </w:pPr>
            <w:r>
              <w:rPr>
                <w:rFonts w:ascii="Arial" w:cs="Arial" w:eastAsia="Arial" w:hAnsi="Arial"/>
                <w:sz w:val="16"/>
                <w:szCs w:val="16"/>
                <w:b w:val="1"/>
                <w:bCs w:val="1"/>
                <w:color w:val="auto"/>
              </w:rPr>
              <w:t>(45)</w:t>
            </w:r>
          </w:p>
        </w:tc>
        <w:tc>
          <w:tcPr>
            <w:tcW w:w="980" w:type="dxa"/>
            <w:vAlign w:val="bottom"/>
            <w:tcBorders>
              <w:bottom w:val="single" w:sz="8" w:color="D64000"/>
            </w:tcBorders>
          </w:tcPr>
          <w:p>
            <w:pPr>
              <w:jc w:val="right"/>
              <w:ind w:right="21"/>
              <w:spacing w:after="0" w:line="179" w:lineRule="exact"/>
              <w:rPr>
                <w:sz w:val="20"/>
                <w:szCs w:val="20"/>
                <w:color w:val="auto"/>
              </w:rPr>
            </w:pPr>
            <w:r>
              <w:rPr>
                <w:rFonts w:ascii="Arial" w:cs="Arial" w:eastAsia="Arial" w:hAnsi="Arial"/>
                <w:sz w:val="16"/>
                <w:szCs w:val="16"/>
                <w:color w:val="auto"/>
              </w:rPr>
              <w:t>192</w:t>
            </w:r>
          </w:p>
        </w:tc>
      </w:tr>
    </w:tbl>
    <w:p>
      <w:pPr>
        <w:spacing w:after="0" w:line="84" w:lineRule="exact"/>
        <w:rPr>
          <w:sz w:val="20"/>
          <w:szCs w:val="20"/>
          <w:color w:val="auto"/>
        </w:rPr>
      </w:pPr>
    </w:p>
    <w:p>
      <w:pPr>
        <w:ind w:left="220" w:right="420"/>
        <w:spacing w:after="0" w:line="260" w:lineRule="auto"/>
        <w:rPr>
          <w:sz w:val="20"/>
          <w:szCs w:val="20"/>
          <w:color w:val="auto"/>
        </w:rPr>
      </w:pPr>
      <w:r>
        <w:rPr>
          <w:rFonts w:ascii="Arial" w:cs="Arial" w:eastAsia="Arial" w:hAnsi="Arial"/>
          <w:sz w:val="17"/>
          <w:szCs w:val="17"/>
          <w:color w:val="auto"/>
        </w:rPr>
        <w:t>Net (gains) losses due to changes in foreign currency exchange rates were principally comprised of amounts related to certain intercompany funding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81915</wp:posOffset>
            </wp:positionV>
            <wp:extent cx="68656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9"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104</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200"/>
        <w:spacing w:after="0" w:line="243" w:lineRule="auto"/>
        <w:rPr>
          <w:sz w:val="20"/>
          <w:szCs w:val="20"/>
          <w:color w:val="auto"/>
        </w:rPr>
      </w:pPr>
      <w:r>
        <w:rPr>
          <w:rFonts w:ascii="Arial" w:cs="Arial" w:eastAsia="Arial" w:hAnsi="Arial"/>
          <w:sz w:val="17"/>
          <w:szCs w:val="17"/>
          <w:color w:val="auto"/>
        </w:rPr>
        <w:t>Net losses on derivative instruments related to foreign exchange contracts that were intended to reduce foreign currency risk on a portion of the Company’s indirect investment in LSEG, which was denominated in British pounds sterling. In May 2024, the Company settled its remaining foreign exchange contracts in conjunction with the sale of its remaining shares in LSEG (see notes 9 and 20).</w:t>
      </w:r>
    </w:p>
    <w:p>
      <w:pPr>
        <w:spacing w:after="0" w:line="30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Note 9: Equity Method Investments</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Equity method investments in the consolidated statement of financial position were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159385</wp:posOffset>
            </wp:positionV>
            <wp:extent cx="68656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8620" w:type="dxa"/>
            <w:vAlign w:val="bottom"/>
          </w:tcPr>
          <w:p>
            <w:pPr>
              <w:spacing w:after="0"/>
              <w:rPr>
                <w:sz w:val="17"/>
                <w:szCs w:val="17"/>
                <w:color w:val="auto"/>
              </w:rPr>
            </w:pPr>
          </w:p>
        </w:tc>
        <w:tc>
          <w:tcPr>
            <w:tcW w:w="240" w:type="dxa"/>
            <w:vAlign w:val="bottom"/>
            <w:shd w:val="clear" w:color="auto" w:fill="E3F3EE"/>
          </w:tcPr>
          <w:p>
            <w:pPr>
              <w:ind w:left="180"/>
              <w:spacing w:after="0"/>
              <w:rPr>
                <w:sz w:val="20"/>
                <w:szCs w:val="20"/>
                <w:color w:val="auto"/>
              </w:rPr>
            </w:pPr>
            <w:r>
              <w:rPr>
                <w:rFonts w:ascii="Arial" w:cs="Arial" w:eastAsia="Arial" w:hAnsi="Arial"/>
                <w:sz w:val="5"/>
                <w:szCs w:val="5"/>
                <w:color w:val="auto"/>
                <w:w w:val="79"/>
              </w:rPr>
              <w:t> </w:t>
            </w:r>
          </w:p>
        </w:tc>
        <w:tc>
          <w:tcPr>
            <w:tcW w:w="240" w:type="dxa"/>
            <w:vAlign w:val="bottom"/>
            <w:shd w:val="clear" w:color="auto" w:fill="E3F3EE"/>
          </w:tcPr>
          <w:p>
            <w:pPr>
              <w:jc w:val="center"/>
              <w:spacing w:after="0"/>
              <w:rPr>
                <w:sz w:val="20"/>
                <w:szCs w:val="20"/>
                <w:color w:val="auto"/>
              </w:rPr>
            </w:pPr>
            <w:r>
              <w:rPr>
                <w:rFonts w:ascii="Arial" w:cs="Arial" w:eastAsia="Arial" w:hAnsi="Arial"/>
                <w:sz w:val="5"/>
                <w:szCs w:val="5"/>
                <w:color w:val="auto"/>
                <w:w w:val="79"/>
              </w:rPr>
              <w:t> </w:t>
            </w:r>
          </w:p>
        </w:tc>
        <w:tc>
          <w:tcPr>
            <w:tcW w:w="240" w:type="dxa"/>
            <w:vAlign w:val="bottom"/>
            <w:shd w:val="clear" w:color="auto" w:fill="E3F3EE"/>
          </w:tcPr>
          <w:p>
            <w:pPr>
              <w:jc w:val="center"/>
              <w:spacing w:after="0"/>
              <w:rPr>
                <w:sz w:val="20"/>
                <w:szCs w:val="20"/>
                <w:color w:val="auto"/>
              </w:rPr>
            </w:pPr>
            <w:r>
              <w:rPr>
                <w:rFonts w:ascii="Arial" w:cs="Arial" w:eastAsia="Arial" w:hAnsi="Arial"/>
                <w:sz w:val="16"/>
                <w:szCs w:val="16"/>
                <w:b w:val="1"/>
                <w:bCs w:val="1"/>
                <w:color w:val="auto"/>
              </w:rPr>
              <w:t xml:space="preserve">    </w:t>
            </w:r>
          </w:p>
        </w:tc>
        <w:tc>
          <w:tcPr>
            <w:tcW w:w="1460" w:type="dxa"/>
            <w:vAlign w:val="bottom"/>
            <w:gridSpan w:val="2"/>
            <w:shd w:val="clear" w:color="auto" w:fill="E3F3EE"/>
          </w:tcPr>
          <w:p>
            <w:pPr>
              <w:jc w:val="right"/>
              <w:ind w:right="201"/>
              <w:spacing w:after="0"/>
              <w:rPr>
                <w:sz w:val="20"/>
                <w:szCs w:val="20"/>
                <w:color w:val="auto"/>
              </w:rPr>
            </w:pPr>
            <w:r>
              <w:rPr>
                <w:rFonts w:ascii="Arial" w:cs="Arial" w:eastAsia="Arial" w:hAnsi="Arial"/>
                <w:sz w:val="16"/>
                <w:szCs w:val="16"/>
                <w:b w:val="1"/>
                <w:bCs w:val="1"/>
                <w:color w:val="auto"/>
              </w:rPr>
              <w:t>December 31,</w:t>
            </w:r>
            <w:r>
              <w:rPr>
                <w:rFonts w:ascii="Arial" w:cs="Arial" w:eastAsia="Arial" w:hAnsi="Arial"/>
                <w:sz w:val="16"/>
                <w:szCs w:val="16"/>
                <w:color w:val="auto"/>
              </w:rPr>
              <w:t xml:space="preserve"> </w:t>
            </w:r>
          </w:p>
        </w:tc>
      </w:tr>
      <w:tr>
        <w:trPr>
          <w:trHeight w:val="192"/>
        </w:trPr>
        <w:tc>
          <w:tcPr>
            <w:tcW w:w="8620" w:type="dxa"/>
            <w:vAlign w:val="bottom"/>
            <w:tcBorders>
              <w:bottom w:val="single" w:sz="8" w:color="D64000"/>
            </w:tcBorders>
            <w:shd w:val="clear" w:color="auto" w:fill="1F473D"/>
          </w:tcPr>
          <w:p>
            <w:pPr>
              <w:spacing w:after="0"/>
              <w:rPr>
                <w:sz w:val="16"/>
                <w:szCs w:val="16"/>
                <w:color w:val="auto"/>
              </w:rPr>
            </w:pPr>
          </w:p>
        </w:tc>
        <w:tc>
          <w:tcPr>
            <w:tcW w:w="240" w:type="dxa"/>
            <w:vAlign w:val="bottom"/>
            <w:tcBorders>
              <w:bottom w:val="single" w:sz="8" w:color="D64000"/>
            </w:tcBorders>
            <w:shd w:val="clear" w:color="auto" w:fill="1F473D"/>
          </w:tcPr>
          <w:p>
            <w:pPr>
              <w:ind w:left="120"/>
              <w:spacing w:after="0"/>
              <w:rPr>
                <w:sz w:val="20"/>
                <w:szCs w:val="20"/>
                <w:color w:val="auto"/>
              </w:rPr>
            </w:pPr>
            <w:r>
              <w:rPr>
                <w:rFonts w:ascii="Arial" w:cs="Arial" w:eastAsia="Arial" w:hAnsi="Arial"/>
                <w:sz w:val="14"/>
                <w:szCs w:val="14"/>
                <w:b w:val="1"/>
                <w:bCs w:val="1"/>
                <w:color w:val="FFFFFF"/>
                <w:w w:val="71"/>
              </w:rPr>
              <w:t> </w:t>
            </w:r>
          </w:p>
        </w:tc>
        <w:tc>
          <w:tcPr>
            <w:tcW w:w="240" w:type="dxa"/>
            <w:vAlign w:val="bottom"/>
            <w:tcBorders>
              <w:bottom w:val="single" w:sz="8" w:color="D64000"/>
            </w:tcBorders>
            <w:shd w:val="clear" w:color="auto" w:fill="1F473D"/>
          </w:tcPr>
          <w:p>
            <w:pPr>
              <w:jc w:val="center"/>
              <w:spacing w:after="0"/>
              <w:rPr>
                <w:sz w:val="20"/>
                <w:szCs w:val="20"/>
                <w:color w:val="auto"/>
              </w:rPr>
            </w:pPr>
            <w:r>
              <w:rPr>
                <w:rFonts w:ascii="Arial" w:cs="Arial" w:eastAsia="Arial" w:hAnsi="Arial"/>
                <w:sz w:val="16"/>
                <w:szCs w:val="16"/>
                <w:b w:val="1"/>
                <w:bCs w:val="1"/>
                <w:color w:val="FFFFFF"/>
              </w:rPr>
              <w:t xml:space="preserve">    </w:t>
            </w:r>
          </w:p>
        </w:tc>
        <w:tc>
          <w:tcPr>
            <w:tcW w:w="240" w:type="dxa"/>
            <w:vAlign w:val="bottom"/>
            <w:tcBorders>
              <w:bottom w:val="single" w:sz="8" w:color="D64000"/>
            </w:tcBorders>
            <w:shd w:val="clear" w:color="auto" w:fill="1F473D"/>
          </w:tcPr>
          <w:p>
            <w:pPr>
              <w:jc w:val="center"/>
              <w:spacing w:after="0"/>
              <w:rPr>
                <w:sz w:val="20"/>
                <w:szCs w:val="20"/>
                <w:color w:val="auto"/>
              </w:rPr>
            </w:pPr>
            <w:r>
              <w:rPr>
                <w:rFonts w:ascii="Arial" w:cs="Arial" w:eastAsia="Arial" w:hAnsi="Arial"/>
                <w:sz w:val="5"/>
                <w:szCs w:val="5"/>
                <w:b w:val="1"/>
                <w:bCs w:val="1"/>
                <w:color w:val="FFFFFF"/>
                <w:w w:val="79"/>
              </w:rPr>
              <w:t> </w:t>
            </w:r>
          </w:p>
        </w:tc>
        <w:tc>
          <w:tcPr>
            <w:tcW w:w="460" w:type="dxa"/>
            <w:vAlign w:val="bottom"/>
            <w:tcBorders>
              <w:bottom w:val="single" w:sz="8" w:color="D64000"/>
            </w:tcBorders>
            <w:shd w:val="clear" w:color="auto" w:fill="1F473D"/>
          </w:tcPr>
          <w:p>
            <w:pPr>
              <w:jc w:val="right"/>
              <w:ind w:right="1"/>
              <w:spacing w:after="0"/>
              <w:rPr>
                <w:sz w:val="20"/>
                <w:szCs w:val="20"/>
                <w:color w:val="auto"/>
              </w:rPr>
            </w:pPr>
            <w:r>
              <w:rPr>
                <w:rFonts w:ascii="Arial" w:cs="Arial" w:eastAsia="Arial" w:hAnsi="Arial"/>
                <w:sz w:val="16"/>
                <w:szCs w:val="16"/>
                <w:b w:val="1"/>
                <w:bCs w:val="1"/>
                <w:color w:val="FFFFFF"/>
              </w:rPr>
              <w:t>2024</w:t>
            </w:r>
          </w:p>
        </w:tc>
        <w:tc>
          <w:tcPr>
            <w:tcW w:w="1000" w:type="dxa"/>
            <w:vAlign w:val="bottom"/>
            <w:tcBorders>
              <w:bottom w:val="single" w:sz="8" w:color="D64000"/>
            </w:tcBorders>
            <w:shd w:val="clear" w:color="auto" w:fill="1F473D"/>
          </w:tcPr>
          <w:p>
            <w:pPr>
              <w:jc w:val="right"/>
              <w:ind w:right="21"/>
              <w:spacing w:after="0"/>
              <w:rPr>
                <w:sz w:val="20"/>
                <w:szCs w:val="20"/>
                <w:color w:val="auto"/>
              </w:rPr>
            </w:pPr>
            <w:r>
              <w:rPr>
                <w:rFonts w:ascii="Arial" w:cs="Arial" w:eastAsia="Arial" w:hAnsi="Arial"/>
                <w:sz w:val="16"/>
                <w:szCs w:val="16"/>
                <w:b w:val="1"/>
                <w:bCs w:val="1"/>
                <w:color w:val="FFFFFF"/>
              </w:rPr>
              <w:t xml:space="preserve">         </w:t>
            </w:r>
            <w:r>
              <w:rPr>
                <w:rFonts w:ascii="Arial" w:cs="Arial" w:eastAsia="Arial" w:hAnsi="Arial"/>
                <w:sz w:val="16"/>
                <w:szCs w:val="16"/>
                <w:color w:val="FFFFFF"/>
              </w:rPr>
              <w:t>2023</w:t>
            </w:r>
          </w:p>
        </w:tc>
      </w:tr>
      <w:tr>
        <w:trPr>
          <w:trHeight w:val="171"/>
        </w:trPr>
        <w:tc>
          <w:tcPr>
            <w:tcW w:w="8860" w:type="dxa"/>
            <w:vAlign w:val="bottom"/>
            <w:gridSpan w:val="2"/>
          </w:tcPr>
          <w:p>
            <w:pPr>
              <w:spacing w:after="0" w:line="171" w:lineRule="exact"/>
              <w:rPr>
                <w:sz w:val="20"/>
                <w:szCs w:val="20"/>
                <w:color w:val="auto"/>
              </w:rPr>
            </w:pPr>
            <w:r>
              <w:rPr>
                <w:rFonts w:ascii="Arial" w:cs="Arial" w:eastAsia="Arial" w:hAnsi="Arial"/>
                <w:sz w:val="16"/>
                <w:szCs w:val="16"/>
                <w:color w:val="auto"/>
              </w:rPr>
              <w:t> YPL</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right"/>
              <w:ind w:right="1"/>
              <w:spacing w:after="0" w:line="171" w:lineRule="exact"/>
              <w:rPr>
                <w:sz w:val="20"/>
                <w:szCs w:val="20"/>
                <w:color w:val="auto"/>
              </w:rPr>
            </w:pPr>
            <w:r>
              <w:rPr>
                <w:rFonts w:ascii="Arial" w:cs="Arial" w:eastAsia="Arial" w:hAnsi="Arial"/>
                <w:sz w:val="16"/>
                <w:szCs w:val="16"/>
                <w:b w:val="1"/>
                <w:bCs w:val="1"/>
                <w:color w:val="auto"/>
              </w:rPr>
              <w:t>30</w:t>
            </w:r>
          </w:p>
        </w:tc>
        <w:tc>
          <w:tcPr>
            <w:tcW w:w="1000" w:type="dxa"/>
            <w:vAlign w:val="bottom"/>
          </w:tcPr>
          <w:p>
            <w:pPr>
              <w:jc w:val="right"/>
              <w:ind w:right="21"/>
              <w:spacing w:after="0" w:line="171" w:lineRule="exact"/>
              <w:rPr>
                <w:sz w:val="20"/>
                <w:szCs w:val="20"/>
                <w:color w:val="auto"/>
              </w:rPr>
            </w:pPr>
            <w:r>
              <w:rPr>
                <w:rFonts w:ascii="Arial" w:cs="Arial" w:eastAsia="Arial" w:hAnsi="Arial"/>
                <w:sz w:val="16"/>
                <w:szCs w:val="16"/>
                <w:color w:val="auto"/>
              </w:rPr>
              <w:t>1,798</w:t>
            </w:r>
          </w:p>
        </w:tc>
      </w:tr>
      <w:tr>
        <w:trPr>
          <w:trHeight w:val="200"/>
        </w:trPr>
        <w:tc>
          <w:tcPr>
            <w:tcW w:w="886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color w:val="auto"/>
              </w:rPr>
              <w:t> Other equity method investments</w:t>
            </w:r>
          </w:p>
        </w:tc>
        <w:tc>
          <w:tcPr>
            <w:tcW w:w="240" w:type="dxa"/>
            <w:vAlign w:val="bottom"/>
            <w:tcBorders>
              <w:bottom w:val="single" w:sz="8" w:color="B2B2B2"/>
            </w:tcBorders>
          </w:tcPr>
          <w:p>
            <w:pPr>
              <w:spacing w:after="0"/>
              <w:rPr>
                <w:sz w:val="17"/>
                <w:szCs w:val="17"/>
                <w:color w:val="auto"/>
              </w:rPr>
            </w:pPr>
          </w:p>
        </w:tc>
        <w:tc>
          <w:tcPr>
            <w:tcW w:w="240" w:type="dxa"/>
            <w:vAlign w:val="bottom"/>
            <w:tcBorders>
              <w:bottom w:val="single" w:sz="8" w:color="B2B2B2"/>
            </w:tcBorders>
          </w:tcPr>
          <w:p>
            <w:pPr>
              <w:spacing w:after="0"/>
              <w:rPr>
                <w:sz w:val="17"/>
                <w:szCs w:val="17"/>
                <w:color w:val="auto"/>
              </w:rPr>
            </w:pPr>
          </w:p>
        </w:tc>
        <w:tc>
          <w:tcPr>
            <w:tcW w:w="46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239</w:t>
            </w:r>
          </w:p>
        </w:tc>
        <w:tc>
          <w:tcPr>
            <w:tcW w:w="100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232</w:t>
            </w:r>
          </w:p>
        </w:tc>
      </w:tr>
      <w:tr>
        <w:trPr>
          <w:trHeight w:val="185"/>
        </w:trPr>
        <w:tc>
          <w:tcPr>
            <w:tcW w:w="8860" w:type="dxa"/>
            <w:vAlign w:val="bottom"/>
            <w:tcBorders>
              <w:bottom w:val="single" w:sz="8" w:color="D64000"/>
            </w:tcBorders>
            <w:gridSpan w:val="2"/>
          </w:tcPr>
          <w:p>
            <w:pPr>
              <w:spacing w:after="0" w:line="179" w:lineRule="exact"/>
              <w:rPr>
                <w:sz w:val="20"/>
                <w:szCs w:val="20"/>
                <w:color w:val="auto"/>
              </w:rPr>
            </w:pPr>
            <w:r>
              <w:rPr>
                <w:rFonts w:ascii="Arial" w:cs="Arial" w:eastAsia="Arial" w:hAnsi="Arial"/>
                <w:sz w:val="16"/>
                <w:szCs w:val="16"/>
                <w:color w:val="auto"/>
              </w:rPr>
              <w:t> Total equity method investments</w:t>
            </w:r>
          </w:p>
        </w:tc>
        <w:tc>
          <w:tcPr>
            <w:tcW w:w="240" w:type="dxa"/>
            <w:vAlign w:val="bottom"/>
            <w:tcBorders>
              <w:bottom w:val="single" w:sz="8" w:color="D64000"/>
            </w:tcBorders>
          </w:tcPr>
          <w:p>
            <w:pPr>
              <w:spacing w:after="0"/>
              <w:rPr>
                <w:sz w:val="16"/>
                <w:szCs w:val="16"/>
                <w:color w:val="auto"/>
              </w:rPr>
            </w:pPr>
          </w:p>
        </w:tc>
        <w:tc>
          <w:tcPr>
            <w:tcW w:w="240" w:type="dxa"/>
            <w:vAlign w:val="bottom"/>
            <w:tcBorders>
              <w:bottom w:val="single" w:sz="8" w:color="D64000"/>
            </w:tcBorders>
          </w:tcPr>
          <w:p>
            <w:pPr>
              <w:spacing w:after="0"/>
              <w:rPr>
                <w:sz w:val="16"/>
                <w:szCs w:val="16"/>
                <w:color w:val="auto"/>
              </w:rPr>
            </w:pPr>
          </w:p>
        </w:tc>
        <w:tc>
          <w:tcPr>
            <w:tcW w:w="460" w:type="dxa"/>
            <w:vAlign w:val="bottom"/>
            <w:tcBorders>
              <w:bottom w:val="single" w:sz="8" w:color="D64000"/>
            </w:tcBorders>
          </w:tcPr>
          <w:p>
            <w:pPr>
              <w:jc w:val="right"/>
              <w:ind w:right="1"/>
              <w:spacing w:after="0" w:line="179" w:lineRule="exact"/>
              <w:rPr>
                <w:sz w:val="20"/>
                <w:szCs w:val="20"/>
                <w:color w:val="auto"/>
              </w:rPr>
            </w:pPr>
            <w:r>
              <w:rPr>
                <w:rFonts w:ascii="Arial" w:cs="Arial" w:eastAsia="Arial" w:hAnsi="Arial"/>
                <w:sz w:val="16"/>
                <w:szCs w:val="16"/>
                <w:b w:val="1"/>
                <w:bCs w:val="1"/>
                <w:color w:val="auto"/>
              </w:rPr>
              <w:t>269</w:t>
            </w:r>
          </w:p>
        </w:tc>
        <w:tc>
          <w:tcPr>
            <w:tcW w:w="1000" w:type="dxa"/>
            <w:vAlign w:val="bottom"/>
            <w:tcBorders>
              <w:bottom w:val="single" w:sz="8" w:color="D64000"/>
            </w:tcBorders>
          </w:tcPr>
          <w:p>
            <w:pPr>
              <w:jc w:val="right"/>
              <w:ind w:right="21"/>
              <w:spacing w:after="0" w:line="179" w:lineRule="exact"/>
              <w:rPr>
                <w:sz w:val="20"/>
                <w:szCs w:val="20"/>
                <w:color w:val="auto"/>
              </w:rPr>
            </w:pPr>
            <w:r>
              <w:rPr>
                <w:rFonts w:ascii="Arial" w:cs="Arial" w:eastAsia="Arial" w:hAnsi="Arial"/>
                <w:sz w:val="16"/>
                <w:szCs w:val="16"/>
                <w:color w:val="auto"/>
              </w:rPr>
              <w:t>2,030</w:t>
            </w:r>
          </w:p>
        </w:tc>
      </w:tr>
    </w:tbl>
    <w:p>
      <w:pPr>
        <w:spacing w:after="0" w:line="84" w:lineRule="exact"/>
        <w:rPr>
          <w:sz w:val="20"/>
          <w:szCs w:val="20"/>
          <w:color w:val="auto"/>
        </w:rPr>
      </w:pPr>
    </w:p>
    <w:p>
      <w:pPr>
        <w:ind w:left="220" w:right="20"/>
        <w:spacing w:after="0" w:line="251" w:lineRule="auto"/>
        <w:rPr>
          <w:sz w:val="20"/>
          <w:szCs w:val="20"/>
          <w:color w:val="auto"/>
        </w:rPr>
      </w:pPr>
      <w:r>
        <w:rPr>
          <w:rFonts w:ascii="Arial" w:cs="Arial" w:eastAsia="Arial" w:hAnsi="Arial"/>
          <w:sz w:val="16"/>
          <w:szCs w:val="16"/>
          <w:color w:val="auto"/>
        </w:rPr>
        <w:t>As of December 31, 2024, total equity method investments primarily included the Company’s 19.9% minority interest in Elite (see note 7), the Company’s investment in 3 Times Square Associates LLC (“3XSQ Associates”), the Company’s ownership interest in a company affiliated with Pagero, which was acquired in January 2024 (see note 30), and its investment in York Parent Limited and its subsidiaries (“YPL”). The investment in YPL represented the Company’s indirect investment in LSEG shares, which it held through its direct investment in YPL, an entity incorporated under the laws of the Cayman Islands and jointly owned by the Company and Blackstone’s consortium (comprised of The Blackstone Group and its subsidiaries, and private equity funds affiliated with Blackstone). Refer to note 32 for related party transactions with equity method investees.</w:t>
      </w:r>
    </w:p>
    <w:p>
      <w:pPr>
        <w:spacing w:after="0" w:line="64" w:lineRule="exact"/>
        <w:rPr>
          <w:sz w:val="20"/>
          <w:szCs w:val="20"/>
          <w:color w:val="auto"/>
        </w:rPr>
      </w:pPr>
    </w:p>
    <w:p>
      <w:pPr>
        <w:ind w:left="220" w:right="20"/>
        <w:spacing w:after="0" w:line="233" w:lineRule="auto"/>
        <w:rPr>
          <w:sz w:val="20"/>
          <w:szCs w:val="20"/>
          <w:color w:val="auto"/>
        </w:rPr>
      </w:pPr>
      <w:r>
        <w:rPr>
          <w:rFonts w:ascii="Arial" w:cs="Arial" w:eastAsia="Arial" w:hAnsi="Arial"/>
          <w:sz w:val="17"/>
          <w:szCs w:val="17"/>
          <w:color w:val="auto"/>
        </w:rPr>
        <w:t>In 2024, LSEG agreed to amend the terms of the contractual lock-up provisions previously agreed between LSEG and the Blackstone consortium/Thomson Reuters entities that held the LSEG shares. The amended terms allowed the Company to sell its remaining LSEG shares that it indirectly owned through its direct investment in YPL. The Company subsequently sold its remaining 16.0 million shares of LSEG including 2.6 million that were subject to call options, for $1.9 billion of gross proceeds, which included $58 million from shares sold in 2023 that settled in 2024. Of this amount, $1.8 billion was received in the form of dividends from YPL and $24 million was received from the settlement of foreign exchange contracts the Company entered into to mitigate its currency risk on its investment because the investment in LSEG was denominated in British pounds sterling. As of December 31, 2024, the Company’s investment in YPL related to undistributed cash from the sale of its remaining LSEG shares indirectly owned by Thomson Reuters.</w:t>
      </w:r>
    </w:p>
    <w:p>
      <w:pPr>
        <w:spacing w:after="0" w:line="72" w:lineRule="exact"/>
        <w:rPr>
          <w:sz w:val="20"/>
          <w:szCs w:val="20"/>
          <w:color w:val="auto"/>
        </w:rPr>
      </w:pPr>
    </w:p>
    <w:p>
      <w:pPr>
        <w:ind w:left="220" w:right="380"/>
        <w:spacing w:after="0" w:line="260" w:lineRule="auto"/>
        <w:rPr>
          <w:sz w:val="20"/>
          <w:szCs w:val="20"/>
          <w:color w:val="auto"/>
        </w:rPr>
      </w:pPr>
      <w:r>
        <w:rPr>
          <w:rFonts w:ascii="Arial" w:cs="Arial" w:eastAsia="Arial" w:hAnsi="Arial"/>
          <w:sz w:val="17"/>
          <w:szCs w:val="17"/>
          <w:color w:val="auto"/>
        </w:rPr>
        <w:t>In 2023, the Company sold 56.0 million shares of LSEG that it indirectly owned for gross proceeds of $5.4 billion, which included $151 million from the settlement of foreign exchange contracts. Of this amount, $5.3 billion was received in the form of dividends from YPL.</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investment in LSEG was subject to equity accounting because the LSEG shares were held through YPL, over which the Company had</w:t>
      </w:r>
    </w:p>
    <w:p>
      <w:pPr>
        <w:ind w:left="220"/>
        <w:spacing w:after="0" w:line="235" w:lineRule="auto"/>
        <w:rPr>
          <w:sz w:val="20"/>
          <w:szCs w:val="20"/>
          <w:color w:val="auto"/>
        </w:rPr>
      </w:pPr>
      <w:r>
        <w:rPr>
          <w:rFonts w:ascii="Arial" w:cs="Arial" w:eastAsia="Arial" w:hAnsi="Arial"/>
          <w:sz w:val="17"/>
          <w:szCs w:val="17"/>
          <w:color w:val="auto"/>
        </w:rPr>
        <w:t>significant influence. As YPL owned only the financial investment in LSEG shares, which the parties intended to sell over time, and was not</w:t>
      </w:r>
    </w:p>
    <w:p>
      <w:pPr>
        <w:ind w:left="220" w:right="100"/>
        <w:spacing w:after="0" w:line="236" w:lineRule="auto"/>
        <w:rPr>
          <w:sz w:val="20"/>
          <w:szCs w:val="20"/>
          <w:color w:val="auto"/>
        </w:rPr>
      </w:pPr>
      <w:r>
        <w:rPr>
          <w:rFonts w:ascii="Arial" w:cs="Arial" w:eastAsia="Arial" w:hAnsi="Arial"/>
          <w:sz w:val="17"/>
          <w:szCs w:val="17"/>
          <w:color w:val="auto"/>
        </w:rPr>
        <w:t>involved in operating LSEG, the investment in LSEG shares held by YPL was accounted for at fair value, based on the share price of LSEG. Proceeds from sales of LSEG shares were recorded as a reduction of the Company’s investment (excluding amounts related to the settlement of the foreign exchange contracts) and presented as investing activities in the consolidated statement of cash flow.</w:t>
      </w:r>
    </w:p>
    <w:p>
      <w:pPr>
        <w:spacing w:after="0" w:line="70" w:lineRule="exact"/>
        <w:rPr>
          <w:sz w:val="20"/>
          <w:szCs w:val="20"/>
          <w:color w:val="auto"/>
        </w:rPr>
      </w:pPr>
    </w:p>
    <w:p>
      <w:pPr>
        <w:ind w:left="220" w:right="120"/>
        <w:spacing w:after="0" w:line="260" w:lineRule="auto"/>
        <w:rPr>
          <w:sz w:val="20"/>
          <w:szCs w:val="20"/>
          <w:color w:val="auto"/>
        </w:rPr>
      </w:pPr>
      <w:r>
        <w:rPr>
          <w:rFonts w:ascii="Arial" w:cs="Arial" w:eastAsia="Arial" w:hAnsi="Arial"/>
          <w:sz w:val="17"/>
          <w:szCs w:val="17"/>
          <w:color w:val="auto"/>
        </w:rPr>
        <w:t>The Company’s share of post-tax earnings (losses) in equity method investments as reported in the consolidated income statement is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56515</wp:posOffset>
            </wp:positionV>
            <wp:extent cx="68656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69"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8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shd w:val="clear" w:color="auto" w:fill="E3F3EE"/>
          </w:tcPr>
          <w:p>
            <w:pPr>
              <w:ind w:left="120"/>
              <w:spacing w:after="0"/>
              <w:rPr>
                <w:sz w:val="20"/>
                <w:szCs w:val="20"/>
                <w:color w:val="auto"/>
              </w:rPr>
            </w:pPr>
            <w:r>
              <w:rPr>
                <w:rFonts w:ascii="Arial" w:cs="Arial" w:eastAsia="Arial" w:hAnsi="Arial"/>
                <w:sz w:val="11"/>
                <w:szCs w:val="11"/>
                <w:b w:val="1"/>
                <w:bCs w:val="1"/>
                <w:color w:val="auto"/>
                <w:w w:val="72"/>
              </w:rPr>
              <w:t> </w:t>
            </w:r>
          </w:p>
        </w:tc>
        <w:tc>
          <w:tcPr>
            <w:tcW w:w="160" w:type="dxa"/>
            <w:vAlign w:val="bottom"/>
            <w:shd w:val="clear" w:color="auto" w:fill="E3F3EE"/>
          </w:tcPr>
          <w:p>
            <w:pPr>
              <w:ind w:left="60"/>
              <w:spacing w:after="0"/>
              <w:rPr>
                <w:sz w:val="20"/>
                <w:szCs w:val="20"/>
                <w:color w:val="auto"/>
              </w:rPr>
            </w:pPr>
            <w:r>
              <w:rPr>
                <w:rFonts w:ascii="Arial" w:cs="Arial" w:eastAsia="Arial" w:hAnsi="Arial"/>
                <w:sz w:val="11"/>
                <w:szCs w:val="11"/>
                <w:b w:val="1"/>
                <w:bCs w:val="1"/>
                <w:color w:val="auto"/>
                <w:w w:val="72"/>
              </w:rPr>
              <w:t> </w:t>
            </w:r>
          </w:p>
        </w:tc>
        <w:tc>
          <w:tcPr>
            <w:tcW w:w="2240" w:type="dxa"/>
            <w:vAlign w:val="bottom"/>
            <w:gridSpan w:val="2"/>
            <w:shd w:val="clear" w:color="auto" w:fill="E3F3EE"/>
          </w:tcPr>
          <w:p>
            <w:pPr>
              <w:jc w:val="right"/>
              <w:ind w:right="21"/>
              <w:spacing w:after="0"/>
              <w:rPr>
                <w:sz w:val="20"/>
                <w:szCs w:val="20"/>
                <w:color w:val="auto"/>
              </w:rPr>
            </w:pPr>
            <w:r>
              <w:rPr>
                <w:rFonts w:ascii="Arial" w:cs="Arial" w:eastAsia="Arial" w:hAnsi="Arial"/>
                <w:sz w:val="16"/>
                <w:szCs w:val="16"/>
                <w:b w:val="1"/>
                <w:bCs w:val="1"/>
                <w:color w:val="auto"/>
                <w:w w:val="98"/>
              </w:rPr>
              <w:t>  Year ended December 31,</w:t>
            </w:r>
          </w:p>
        </w:tc>
      </w:tr>
      <w:tr>
        <w:trPr>
          <w:trHeight w:val="192"/>
        </w:trPr>
        <w:tc>
          <w:tcPr>
            <w:tcW w:w="8060" w:type="dxa"/>
            <w:vAlign w:val="bottom"/>
            <w:tcBorders>
              <w:bottom w:val="single" w:sz="8" w:color="D64000"/>
            </w:tcBorders>
            <w:shd w:val="clear" w:color="auto" w:fill="1F473D"/>
          </w:tcPr>
          <w:p>
            <w:pPr>
              <w:spacing w:after="0"/>
              <w:rPr>
                <w:sz w:val="16"/>
                <w:szCs w:val="16"/>
                <w:color w:val="auto"/>
              </w:rPr>
            </w:pPr>
          </w:p>
        </w:tc>
        <w:tc>
          <w:tcPr>
            <w:tcW w:w="120" w:type="dxa"/>
            <w:vAlign w:val="bottom"/>
            <w:tcBorders>
              <w:bottom w:val="single" w:sz="8" w:color="D64000"/>
            </w:tcBorders>
            <w:shd w:val="clear" w:color="auto" w:fill="1F473D"/>
          </w:tcPr>
          <w:p>
            <w:pPr>
              <w:spacing w:after="0"/>
              <w:rPr>
                <w:sz w:val="16"/>
                <w:szCs w:val="16"/>
                <w:color w:val="auto"/>
              </w:rPr>
            </w:pPr>
          </w:p>
        </w:tc>
        <w:tc>
          <w:tcPr>
            <w:tcW w:w="220" w:type="dxa"/>
            <w:vAlign w:val="bottom"/>
            <w:tcBorders>
              <w:bottom w:val="single" w:sz="8" w:color="D64000"/>
            </w:tcBorders>
            <w:shd w:val="clear" w:color="auto" w:fill="1F473D"/>
          </w:tcPr>
          <w:p>
            <w:pPr>
              <w:spacing w:after="0"/>
              <w:rPr>
                <w:sz w:val="16"/>
                <w:szCs w:val="16"/>
                <w:color w:val="auto"/>
              </w:rPr>
            </w:pPr>
          </w:p>
        </w:tc>
        <w:tc>
          <w:tcPr>
            <w:tcW w:w="160" w:type="dxa"/>
            <w:vAlign w:val="bottom"/>
            <w:tcBorders>
              <w:bottom w:val="single" w:sz="8" w:color="D64000"/>
            </w:tcBorders>
            <w:shd w:val="clear" w:color="auto" w:fill="1F473D"/>
          </w:tcPr>
          <w:p>
            <w:pPr>
              <w:ind w:left="40"/>
              <w:spacing w:after="0"/>
              <w:rPr>
                <w:sz w:val="20"/>
                <w:szCs w:val="20"/>
                <w:color w:val="auto"/>
              </w:rPr>
            </w:pPr>
            <w:r>
              <w:rPr>
                <w:rFonts w:ascii="Arial" w:cs="Arial" w:eastAsia="Arial" w:hAnsi="Arial"/>
                <w:sz w:val="14"/>
                <w:szCs w:val="14"/>
                <w:b w:val="1"/>
                <w:bCs w:val="1"/>
                <w:color w:val="FFFFFF"/>
                <w:w w:val="71"/>
              </w:rPr>
              <w:t> </w:t>
            </w:r>
          </w:p>
        </w:tc>
        <w:tc>
          <w:tcPr>
            <w:tcW w:w="1180" w:type="dxa"/>
            <w:vAlign w:val="bottom"/>
            <w:tcBorders>
              <w:bottom w:val="single" w:sz="8" w:color="D64000"/>
            </w:tcBorders>
            <w:shd w:val="clear" w:color="auto" w:fill="1F473D"/>
          </w:tcPr>
          <w:p>
            <w:pPr>
              <w:jc w:val="right"/>
              <w:ind w:right="61"/>
              <w:spacing w:after="0"/>
              <w:rPr>
                <w:sz w:val="20"/>
                <w:szCs w:val="20"/>
                <w:color w:val="auto"/>
              </w:rPr>
            </w:pPr>
            <w:r>
              <w:rPr>
                <w:rFonts w:ascii="Arial" w:cs="Arial" w:eastAsia="Arial" w:hAnsi="Arial"/>
                <w:sz w:val="16"/>
                <w:szCs w:val="16"/>
                <w:b w:val="1"/>
                <w:bCs w:val="1"/>
                <w:color w:val="FFFFFF"/>
              </w:rPr>
              <w:t>            2024</w:t>
            </w:r>
          </w:p>
        </w:tc>
        <w:tc>
          <w:tcPr>
            <w:tcW w:w="1060" w:type="dxa"/>
            <w:vAlign w:val="bottom"/>
            <w:tcBorders>
              <w:bottom w:val="single" w:sz="8" w:color="D64000"/>
            </w:tcBorders>
            <w:shd w:val="clear" w:color="auto" w:fill="1F473D"/>
          </w:tcPr>
          <w:p>
            <w:pPr>
              <w:jc w:val="right"/>
              <w:ind w:right="21"/>
              <w:spacing w:after="0"/>
              <w:rPr>
                <w:sz w:val="20"/>
                <w:szCs w:val="20"/>
                <w:color w:val="auto"/>
              </w:rPr>
            </w:pPr>
            <w:r>
              <w:rPr>
                <w:rFonts w:ascii="Arial" w:cs="Arial" w:eastAsia="Arial" w:hAnsi="Arial"/>
                <w:sz w:val="16"/>
                <w:szCs w:val="16"/>
                <w:b w:val="1"/>
                <w:bCs w:val="1"/>
                <w:color w:val="FFFFFF"/>
              </w:rPr>
              <w:t xml:space="preserve">         </w:t>
            </w:r>
            <w:r>
              <w:rPr>
                <w:rFonts w:ascii="Arial" w:cs="Arial" w:eastAsia="Arial" w:hAnsi="Arial"/>
                <w:sz w:val="16"/>
                <w:szCs w:val="16"/>
                <w:color w:val="FFFFFF"/>
              </w:rPr>
              <w:t>2023</w:t>
            </w:r>
          </w:p>
        </w:tc>
      </w:tr>
      <w:tr>
        <w:trPr>
          <w:trHeight w:val="171"/>
        </w:trPr>
        <w:tc>
          <w:tcPr>
            <w:tcW w:w="8400" w:type="dxa"/>
            <w:vAlign w:val="bottom"/>
            <w:gridSpan w:val="3"/>
          </w:tcPr>
          <w:p>
            <w:pPr>
              <w:spacing w:after="0" w:line="171" w:lineRule="exact"/>
              <w:rPr>
                <w:sz w:val="20"/>
                <w:szCs w:val="20"/>
                <w:color w:val="auto"/>
              </w:rPr>
            </w:pPr>
            <w:r>
              <w:rPr>
                <w:rFonts w:ascii="Arial" w:cs="Arial" w:eastAsia="Arial" w:hAnsi="Arial"/>
                <w:sz w:val="16"/>
                <w:szCs w:val="16"/>
                <w:color w:val="auto"/>
              </w:rPr>
              <w:t> YPL</w:t>
            </w:r>
          </w:p>
        </w:tc>
        <w:tc>
          <w:tcPr>
            <w:tcW w:w="160" w:type="dxa"/>
            <w:vAlign w:val="bottom"/>
          </w:tcPr>
          <w:p>
            <w:pPr>
              <w:spacing w:after="0"/>
              <w:rPr>
                <w:sz w:val="14"/>
                <w:szCs w:val="14"/>
                <w:color w:val="auto"/>
              </w:rPr>
            </w:pPr>
          </w:p>
        </w:tc>
        <w:tc>
          <w:tcPr>
            <w:tcW w:w="1180" w:type="dxa"/>
            <w:vAlign w:val="bottom"/>
          </w:tcPr>
          <w:p>
            <w:pPr>
              <w:jc w:val="right"/>
              <w:ind w:right="61"/>
              <w:spacing w:after="0" w:line="171" w:lineRule="exact"/>
              <w:rPr>
                <w:sz w:val="20"/>
                <w:szCs w:val="20"/>
                <w:color w:val="auto"/>
              </w:rPr>
            </w:pPr>
            <w:r>
              <w:rPr>
                <w:rFonts w:ascii="Arial" w:cs="Arial" w:eastAsia="Arial" w:hAnsi="Arial"/>
                <w:sz w:val="16"/>
                <w:szCs w:val="16"/>
                <w:b w:val="1"/>
                <w:bCs w:val="1"/>
                <w:color w:val="auto"/>
              </w:rPr>
              <w:t>68</w:t>
            </w:r>
          </w:p>
        </w:tc>
        <w:tc>
          <w:tcPr>
            <w:tcW w:w="1060" w:type="dxa"/>
            <w:vAlign w:val="bottom"/>
          </w:tcPr>
          <w:p>
            <w:pPr>
              <w:jc w:val="right"/>
              <w:ind w:right="21"/>
              <w:spacing w:after="0" w:line="171" w:lineRule="exact"/>
              <w:rPr>
                <w:sz w:val="20"/>
                <w:szCs w:val="20"/>
                <w:color w:val="auto"/>
              </w:rPr>
            </w:pPr>
            <w:r>
              <w:rPr>
                <w:rFonts w:ascii="Arial" w:cs="Arial" w:eastAsia="Arial" w:hAnsi="Arial"/>
                <w:sz w:val="16"/>
                <w:szCs w:val="16"/>
                <w:color w:val="auto"/>
              </w:rPr>
              <w:t>1,099</w:t>
            </w:r>
          </w:p>
        </w:tc>
      </w:tr>
      <w:tr>
        <w:trPr>
          <w:trHeight w:val="200"/>
        </w:trPr>
        <w:tc>
          <w:tcPr>
            <w:tcW w:w="8400" w:type="dxa"/>
            <w:vAlign w:val="bottom"/>
            <w:tcBorders>
              <w:bottom w:val="single" w:sz="8" w:color="B2B2B2"/>
            </w:tcBorders>
            <w:gridSpan w:val="3"/>
          </w:tcPr>
          <w:p>
            <w:pPr>
              <w:spacing w:after="0"/>
              <w:rPr>
                <w:sz w:val="20"/>
                <w:szCs w:val="20"/>
                <w:color w:val="auto"/>
              </w:rPr>
            </w:pPr>
            <w:r>
              <w:rPr>
                <w:rFonts w:ascii="Arial" w:cs="Arial" w:eastAsia="Arial" w:hAnsi="Arial"/>
                <w:sz w:val="16"/>
                <w:szCs w:val="16"/>
                <w:color w:val="auto"/>
              </w:rPr>
              <w:t> Other equity method investments</w:t>
            </w:r>
          </w:p>
        </w:tc>
        <w:tc>
          <w:tcPr>
            <w:tcW w:w="160" w:type="dxa"/>
            <w:vAlign w:val="bottom"/>
            <w:tcBorders>
              <w:bottom w:val="single" w:sz="8" w:color="B2B2B2"/>
            </w:tcBorders>
          </w:tcPr>
          <w:p>
            <w:pPr>
              <w:spacing w:after="0"/>
              <w:rPr>
                <w:sz w:val="17"/>
                <w:szCs w:val="17"/>
                <w:color w:val="auto"/>
              </w:rPr>
            </w:pPr>
          </w:p>
        </w:tc>
        <w:tc>
          <w:tcPr>
            <w:tcW w:w="1180" w:type="dxa"/>
            <w:vAlign w:val="bottom"/>
            <w:tcBorders>
              <w:bottom w:val="single" w:sz="8" w:color="B2B2B2"/>
            </w:tcBorders>
          </w:tcPr>
          <w:p>
            <w:pPr>
              <w:jc w:val="right"/>
              <w:ind w:right="61"/>
              <w:spacing w:after="0"/>
              <w:rPr>
                <w:sz w:val="20"/>
                <w:szCs w:val="20"/>
                <w:color w:val="auto"/>
              </w:rPr>
            </w:pPr>
            <w:r>
              <w:rPr>
                <w:rFonts w:ascii="Arial" w:cs="Arial" w:eastAsia="Arial" w:hAnsi="Arial"/>
                <w:sz w:val="16"/>
                <w:szCs w:val="16"/>
                <w:b w:val="1"/>
                <w:bCs w:val="1"/>
                <w:color w:val="auto"/>
              </w:rPr>
              <w:t>(28)</w:t>
            </w:r>
          </w:p>
        </w:tc>
        <w:tc>
          <w:tcPr>
            <w:tcW w:w="10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(24)</w:t>
            </w:r>
          </w:p>
        </w:tc>
      </w:tr>
      <w:tr>
        <w:trPr>
          <w:trHeight w:val="185"/>
        </w:trPr>
        <w:tc>
          <w:tcPr>
            <w:tcW w:w="8400" w:type="dxa"/>
            <w:vAlign w:val="bottom"/>
            <w:tcBorders>
              <w:bottom w:val="single" w:sz="8" w:color="D64000"/>
            </w:tcBorders>
            <w:gridSpan w:val="3"/>
          </w:tcPr>
          <w:p>
            <w:pPr>
              <w:spacing w:after="0" w:line="179" w:lineRule="exact"/>
              <w:rPr>
                <w:sz w:val="20"/>
                <w:szCs w:val="20"/>
                <w:color w:val="auto"/>
              </w:rPr>
            </w:pPr>
            <w:r>
              <w:rPr>
                <w:rFonts w:ascii="Arial" w:cs="Arial" w:eastAsia="Arial" w:hAnsi="Arial"/>
                <w:sz w:val="16"/>
                <w:szCs w:val="16"/>
                <w:color w:val="auto"/>
              </w:rPr>
              <w:t> Total share of post-tax earnings in equity method investments</w:t>
            </w:r>
          </w:p>
        </w:tc>
        <w:tc>
          <w:tcPr>
            <w:tcW w:w="160" w:type="dxa"/>
            <w:vAlign w:val="bottom"/>
            <w:tcBorders>
              <w:bottom w:val="single" w:sz="8" w:color="D64000"/>
            </w:tcBorders>
          </w:tcPr>
          <w:p>
            <w:pPr>
              <w:spacing w:after="0"/>
              <w:rPr>
                <w:sz w:val="16"/>
                <w:szCs w:val="16"/>
                <w:color w:val="auto"/>
              </w:rPr>
            </w:pPr>
          </w:p>
        </w:tc>
        <w:tc>
          <w:tcPr>
            <w:tcW w:w="1180" w:type="dxa"/>
            <w:vAlign w:val="bottom"/>
            <w:tcBorders>
              <w:bottom w:val="single" w:sz="8" w:color="D64000"/>
            </w:tcBorders>
          </w:tcPr>
          <w:p>
            <w:pPr>
              <w:jc w:val="right"/>
              <w:ind w:right="61"/>
              <w:spacing w:after="0" w:line="179" w:lineRule="exact"/>
              <w:rPr>
                <w:sz w:val="20"/>
                <w:szCs w:val="20"/>
                <w:color w:val="auto"/>
              </w:rPr>
            </w:pPr>
            <w:r>
              <w:rPr>
                <w:rFonts w:ascii="Arial" w:cs="Arial" w:eastAsia="Arial" w:hAnsi="Arial"/>
                <w:sz w:val="16"/>
                <w:szCs w:val="16"/>
                <w:b w:val="1"/>
                <w:bCs w:val="1"/>
                <w:color w:val="auto"/>
              </w:rPr>
              <w:t>40</w:t>
            </w:r>
          </w:p>
        </w:tc>
        <w:tc>
          <w:tcPr>
            <w:tcW w:w="1060" w:type="dxa"/>
            <w:vAlign w:val="bottom"/>
            <w:tcBorders>
              <w:bottom w:val="single" w:sz="8" w:color="D64000"/>
            </w:tcBorders>
          </w:tcPr>
          <w:p>
            <w:pPr>
              <w:jc w:val="right"/>
              <w:ind w:right="21"/>
              <w:spacing w:after="0" w:line="179" w:lineRule="exact"/>
              <w:rPr>
                <w:sz w:val="20"/>
                <w:szCs w:val="20"/>
                <w:color w:val="auto"/>
              </w:rPr>
            </w:pPr>
            <w:r>
              <w:rPr>
                <w:rFonts w:ascii="Arial" w:cs="Arial" w:eastAsia="Arial" w:hAnsi="Arial"/>
                <w:sz w:val="16"/>
                <w:szCs w:val="16"/>
                <w:color w:val="auto"/>
              </w:rPr>
              <w:t>1,075</w:t>
            </w:r>
          </w:p>
        </w:tc>
      </w:tr>
      <w:tr>
        <w:trPr>
          <w:trHeight w:val="306"/>
        </w:trPr>
        <w:tc>
          <w:tcPr>
            <w:tcW w:w="8400" w:type="dxa"/>
            <w:vAlign w:val="bottom"/>
            <w:gridSpan w:val="3"/>
          </w:tcPr>
          <w:p>
            <w:pPr>
              <w:spacing w:after="0"/>
              <w:rPr>
                <w:sz w:val="20"/>
                <w:szCs w:val="20"/>
                <w:color w:val="auto"/>
              </w:rPr>
            </w:pPr>
            <w:r>
              <w:rPr>
                <w:rFonts w:ascii="Arial" w:cs="Arial" w:eastAsia="Arial" w:hAnsi="Arial"/>
                <w:sz w:val="17"/>
                <w:szCs w:val="17"/>
                <w:color w:val="auto"/>
              </w:rPr>
              <w:t>The Company’s share of post-tax earnings (losses) in its YPL investment was comprised of the following items: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4"/>
        </w:trPr>
        <w:tc>
          <w:tcPr>
            <w:tcW w:w="806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gridSpan w:val="2"/>
          </w:tcPr>
          <w:p>
            <w:pPr>
              <w:spacing w:after="0"/>
              <w:rPr>
                <w:sz w:val="19"/>
                <w:szCs w:val="19"/>
                <w:color w:val="auto"/>
              </w:rPr>
            </w:pPr>
          </w:p>
        </w:tc>
      </w:tr>
      <w:tr>
        <w:trPr>
          <w:trHeight w:val="199"/>
        </w:trPr>
        <w:tc>
          <w:tcPr>
            <w:tcW w:w="8060" w:type="dxa"/>
            <w:vAlign w:val="bottom"/>
          </w:tcPr>
          <w:p>
            <w:pPr>
              <w:spacing w:after="0"/>
              <w:rPr>
                <w:sz w:val="17"/>
                <w:szCs w:val="17"/>
                <w:color w:val="auto"/>
              </w:rPr>
            </w:pPr>
          </w:p>
        </w:tc>
        <w:tc>
          <w:tcPr>
            <w:tcW w:w="340" w:type="dxa"/>
            <w:vAlign w:val="bottom"/>
            <w:gridSpan w:val="2"/>
            <w:shd w:val="clear" w:color="auto" w:fill="E3F3EE"/>
          </w:tcPr>
          <w:p>
            <w:pPr>
              <w:ind w:left="100"/>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shd w:val="clear" w:color="auto" w:fill="E3F3EE"/>
          </w:tcPr>
          <w:p>
            <w:pPr>
              <w:ind w:left="80"/>
              <w:spacing w:after="0"/>
              <w:rPr>
                <w:sz w:val="20"/>
                <w:szCs w:val="20"/>
                <w:color w:val="auto"/>
              </w:rPr>
            </w:pPr>
            <w:r>
              <w:rPr>
                <w:rFonts w:ascii="Arial" w:cs="Arial" w:eastAsia="Arial" w:hAnsi="Arial"/>
                <w:sz w:val="8"/>
                <w:szCs w:val="8"/>
                <w:b w:val="1"/>
                <w:bCs w:val="1"/>
                <w:color w:val="auto"/>
                <w:w w:val="74"/>
              </w:rPr>
              <w:t> </w:t>
            </w:r>
          </w:p>
        </w:tc>
        <w:tc>
          <w:tcPr>
            <w:tcW w:w="2240" w:type="dxa"/>
            <w:vAlign w:val="bottom"/>
            <w:gridSpan w:val="2"/>
            <w:shd w:val="clear" w:color="auto" w:fill="E3F3EE"/>
          </w:tcPr>
          <w:p>
            <w:pPr>
              <w:jc w:val="right"/>
              <w:ind w:right="121"/>
              <w:spacing w:after="0"/>
              <w:rPr>
                <w:sz w:val="20"/>
                <w:szCs w:val="20"/>
                <w:color w:val="auto"/>
              </w:rPr>
            </w:pPr>
            <w:r>
              <w:rPr>
                <w:rFonts w:ascii="Arial" w:cs="Arial" w:eastAsia="Arial" w:hAnsi="Arial"/>
                <w:sz w:val="16"/>
                <w:szCs w:val="16"/>
                <w:b w:val="1"/>
                <w:bCs w:val="1"/>
                <w:color w:val="auto"/>
              </w:rPr>
              <w:t>Year ended December 31,</w:t>
            </w:r>
            <w:r>
              <w:rPr>
                <w:rFonts w:ascii="Arial" w:cs="Arial" w:eastAsia="Arial" w:hAnsi="Arial"/>
                <w:sz w:val="16"/>
                <w:szCs w:val="16"/>
                <w:color w:val="auto"/>
              </w:rPr>
              <w:t xml:space="preserve"> </w:t>
            </w:r>
          </w:p>
        </w:tc>
      </w:tr>
      <w:tr>
        <w:trPr>
          <w:trHeight w:val="192"/>
        </w:trPr>
        <w:tc>
          <w:tcPr>
            <w:tcW w:w="8060" w:type="dxa"/>
            <w:vAlign w:val="bottom"/>
            <w:tcBorders>
              <w:bottom w:val="single" w:sz="8" w:color="D64000"/>
            </w:tcBorders>
            <w:shd w:val="clear" w:color="auto" w:fill="1F473D"/>
          </w:tcPr>
          <w:p>
            <w:pPr>
              <w:spacing w:after="0"/>
              <w:rPr>
                <w:sz w:val="16"/>
                <w:szCs w:val="16"/>
                <w:color w:val="auto"/>
              </w:rPr>
            </w:pPr>
          </w:p>
        </w:tc>
        <w:tc>
          <w:tcPr>
            <w:tcW w:w="120" w:type="dxa"/>
            <w:vAlign w:val="bottom"/>
            <w:tcBorders>
              <w:bottom w:val="single" w:sz="8" w:color="D64000"/>
            </w:tcBorders>
            <w:shd w:val="clear" w:color="auto" w:fill="1F473D"/>
          </w:tcPr>
          <w:p>
            <w:pPr>
              <w:spacing w:after="0"/>
              <w:rPr>
                <w:sz w:val="16"/>
                <w:szCs w:val="16"/>
                <w:color w:val="auto"/>
              </w:rPr>
            </w:pPr>
          </w:p>
        </w:tc>
        <w:tc>
          <w:tcPr>
            <w:tcW w:w="220" w:type="dxa"/>
            <w:vAlign w:val="bottom"/>
            <w:tcBorders>
              <w:bottom w:val="single" w:sz="8" w:color="D64000"/>
            </w:tcBorders>
            <w:shd w:val="clear" w:color="auto" w:fill="1F473D"/>
          </w:tcPr>
          <w:p>
            <w:pPr>
              <w:spacing w:after="0"/>
              <w:rPr>
                <w:sz w:val="16"/>
                <w:szCs w:val="16"/>
                <w:color w:val="auto"/>
              </w:rPr>
            </w:pPr>
          </w:p>
        </w:tc>
        <w:tc>
          <w:tcPr>
            <w:tcW w:w="160" w:type="dxa"/>
            <w:vAlign w:val="bottom"/>
            <w:tcBorders>
              <w:bottom w:val="single" w:sz="8" w:color="D64000"/>
            </w:tcBorders>
            <w:shd w:val="clear" w:color="auto" w:fill="1F473D"/>
          </w:tcPr>
          <w:p>
            <w:pPr>
              <w:spacing w:after="0"/>
              <w:rPr>
                <w:sz w:val="16"/>
                <w:szCs w:val="16"/>
                <w:color w:val="auto"/>
              </w:rPr>
            </w:pPr>
          </w:p>
        </w:tc>
        <w:tc>
          <w:tcPr>
            <w:tcW w:w="1180" w:type="dxa"/>
            <w:vAlign w:val="bottom"/>
            <w:tcBorders>
              <w:bottom w:val="single" w:sz="8" w:color="D64000"/>
            </w:tcBorders>
            <w:shd w:val="clear" w:color="auto" w:fill="1F473D"/>
          </w:tcPr>
          <w:p>
            <w:pPr>
              <w:jc w:val="right"/>
              <w:ind w:right="541"/>
              <w:spacing w:after="0"/>
              <w:rPr>
                <w:sz w:val="20"/>
                <w:szCs w:val="20"/>
                <w:color w:val="auto"/>
              </w:rPr>
            </w:pPr>
            <w:r>
              <w:rPr>
                <w:rFonts w:ascii="Arial" w:cs="Arial" w:eastAsia="Arial" w:hAnsi="Arial"/>
                <w:sz w:val="16"/>
                <w:szCs w:val="16"/>
                <w:b w:val="1"/>
                <w:bCs w:val="1"/>
                <w:color w:val="FFFFFF"/>
              </w:rPr>
              <w:t>2024</w:t>
            </w:r>
          </w:p>
        </w:tc>
        <w:tc>
          <w:tcPr>
            <w:tcW w:w="1060" w:type="dxa"/>
            <w:vAlign w:val="bottom"/>
            <w:tcBorders>
              <w:bottom w:val="single" w:sz="8" w:color="D64000"/>
            </w:tcBorders>
            <w:shd w:val="clear" w:color="auto" w:fill="1F473D"/>
          </w:tcPr>
          <w:p>
            <w:pPr>
              <w:jc w:val="right"/>
              <w:ind w:right="61"/>
              <w:spacing w:after="0"/>
              <w:rPr>
                <w:sz w:val="20"/>
                <w:szCs w:val="20"/>
                <w:color w:val="auto"/>
              </w:rPr>
            </w:pPr>
            <w:r>
              <w:rPr>
                <w:rFonts w:ascii="Arial" w:cs="Arial" w:eastAsia="Arial" w:hAnsi="Arial"/>
                <w:sz w:val="16"/>
                <w:szCs w:val="16"/>
                <w:color w:val="FFFFFF"/>
              </w:rPr>
              <w:t>2023</w:t>
            </w:r>
          </w:p>
        </w:tc>
      </w:tr>
      <w:tr>
        <w:trPr>
          <w:trHeight w:val="171"/>
        </w:trPr>
        <w:tc>
          <w:tcPr>
            <w:tcW w:w="8400" w:type="dxa"/>
            <w:vAlign w:val="bottom"/>
            <w:gridSpan w:val="3"/>
          </w:tcPr>
          <w:p>
            <w:pPr>
              <w:spacing w:after="0" w:line="171" w:lineRule="exact"/>
              <w:rPr>
                <w:sz w:val="20"/>
                <w:szCs w:val="20"/>
                <w:color w:val="auto"/>
              </w:rPr>
            </w:pPr>
            <w:r>
              <w:rPr>
                <w:rFonts w:ascii="Arial" w:cs="Arial" w:eastAsia="Arial" w:hAnsi="Arial"/>
                <w:sz w:val="16"/>
                <w:szCs w:val="16"/>
                <w:color w:val="auto"/>
              </w:rPr>
              <w:t> (Decrease) increase in LSEG share price</w:t>
            </w:r>
          </w:p>
        </w:tc>
        <w:tc>
          <w:tcPr>
            <w:tcW w:w="160" w:type="dxa"/>
            <w:vAlign w:val="bottom"/>
          </w:tcPr>
          <w:p>
            <w:pPr>
              <w:spacing w:after="0"/>
              <w:rPr>
                <w:sz w:val="14"/>
                <w:szCs w:val="14"/>
                <w:color w:val="auto"/>
              </w:rPr>
            </w:pPr>
          </w:p>
        </w:tc>
        <w:tc>
          <w:tcPr>
            <w:tcW w:w="1180" w:type="dxa"/>
            <w:vAlign w:val="bottom"/>
          </w:tcPr>
          <w:p>
            <w:pPr>
              <w:jc w:val="right"/>
              <w:ind w:right="481"/>
              <w:spacing w:after="0" w:line="171" w:lineRule="exact"/>
              <w:rPr>
                <w:sz w:val="20"/>
                <w:szCs w:val="20"/>
                <w:color w:val="auto"/>
              </w:rPr>
            </w:pPr>
            <w:r>
              <w:rPr>
                <w:rFonts w:ascii="Arial" w:cs="Arial" w:eastAsia="Arial" w:hAnsi="Arial"/>
                <w:sz w:val="16"/>
                <w:szCs w:val="16"/>
                <w:b w:val="1"/>
                <w:bCs w:val="1"/>
                <w:color w:val="auto"/>
              </w:rPr>
              <w:t>(86)</w:t>
            </w:r>
          </w:p>
        </w:tc>
        <w:tc>
          <w:tcPr>
            <w:tcW w:w="1060" w:type="dxa"/>
            <w:vAlign w:val="bottom"/>
          </w:tcPr>
          <w:p>
            <w:pPr>
              <w:jc w:val="right"/>
              <w:ind w:right="21"/>
              <w:spacing w:after="0" w:line="171" w:lineRule="exact"/>
              <w:rPr>
                <w:sz w:val="20"/>
                <w:szCs w:val="20"/>
                <w:color w:val="auto"/>
              </w:rPr>
            </w:pPr>
            <w:r>
              <w:rPr>
                <w:rFonts w:ascii="Arial" w:cs="Arial" w:eastAsia="Arial" w:hAnsi="Arial"/>
                <w:sz w:val="16"/>
                <w:szCs w:val="16"/>
                <w:color w:val="auto"/>
              </w:rPr>
              <w:t>785</w:t>
            </w:r>
          </w:p>
        </w:tc>
      </w:tr>
      <w:tr>
        <w:trPr>
          <w:trHeight w:val="185"/>
        </w:trPr>
        <w:tc>
          <w:tcPr>
            <w:tcW w:w="8400" w:type="dxa"/>
            <w:vAlign w:val="bottom"/>
            <w:gridSpan w:val="3"/>
          </w:tcPr>
          <w:p>
            <w:pPr>
              <w:spacing w:after="0"/>
              <w:rPr>
                <w:sz w:val="20"/>
                <w:szCs w:val="20"/>
                <w:color w:val="auto"/>
              </w:rPr>
            </w:pPr>
            <w:r>
              <w:rPr>
                <w:rFonts w:ascii="Arial" w:cs="Arial" w:eastAsia="Arial" w:hAnsi="Arial"/>
                <w:sz w:val="16"/>
                <w:szCs w:val="16"/>
                <w:color w:val="auto"/>
              </w:rPr>
              <w:t> Foreign exchange (losses) gains on LSEG shares</w:t>
            </w:r>
          </w:p>
        </w:tc>
        <w:tc>
          <w:tcPr>
            <w:tcW w:w="160" w:type="dxa"/>
            <w:vAlign w:val="bottom"/>
          </w:tcPr>
          <w:p>
            <w:pPr>
              <w:spacing w:after="0"/>
              <w:rPr>
                <w:sz w:val="16"/>
                <w:szCs w:val="16"/>
                <w:color w:val="auto"/>
              </w:rPr>
            </w:pPr>
          </w:p>
        </w:tc>
        <w:tc>
          <w:tcPr>
            <w:tcW w:w="1180" w:type="dxa"/>
            <w:vAlign w:val="bottom"/>
          </w:tcPr>
          <w:p>
            <w:pPr>
              <w:jc w:val="right"/>
              <w:ind w:right="481"/>
              <w:spacing w:after="0"/>
              <w:rPr>
                <w:sz w:val="20"/>
                <w:szCs w:val="20"/>
                <w:color w:val="auto"/>
              </w:rPr>
            </w:pPr>
            <w:r>
              <w:rPr>
                <w:rFonts w:ascii="Arial" w:cs="Arial" w:eastAsia="Arial" w:hAnsi="Arial"/>
                <w:sz w:val="16"/>
                <w:szCs w:val="16"/>
                <w:b w:val="1"/>
                <w:bCs w:val="1"/>
                <w:color w:val="auto"/>
              </w:rPr>
              <w:t>(3)</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251</w:t>
            </w:r>
          </w:p>
        </w:tc>
      </w:tr>
      <w:tr>
        <w:trPr>
          <w:trHeight w:val="185"/>
        </w:trPr>
        <w:tc>
          <w:tcPr>
            <w:tcW w:w="8400" w:type="dxa"/>
            <w:vAlign w:val="bottom"/>
            <w:gridSpan w:val="3"/>
          </w:tcPr>
          <w:p>
            <w:pPr>
              <w:spacing w:after="0"/>
              <w:rPr>
                <w:sz w:val="20"/>
                <w:szCs w:val="20"/>
                <w:color w:val="auto"/>
              </w:rPr>
            </w:pPr>
            <w:r>
              <w:rPr>
                <w:rFonts w:ascii="Arial" w:cs="Arial" w:eastAsia="Arial" w:hAnsi="Arial"/>
                <w:sz w:val="16"/>
                <w:szCs w:val="16"/>
                <w:color w:val="auto"/>
              </w:rPr>
              <w:t> Dividend income</w:t>
            </w:r>
          </w:p>
        </w:tc>
        <w:tc>
          <w:tcPr>
            <w:tcW w:w="160" w:type="dxa"/>
            <w:vAlign w:val="bottom"/>
          </w:tcPr>
          <w:p>
            <w:pPr>
              <w:spacing w:after="0"/>
              <w:rPr>
                <w:sz w:val="16"/>
                <w:szCs w:val="16"/>
                <w:color w:val="auto"/>
              </w:rPr>
            </w:pPr>
          </w:p>
        </w:tc>
        <w:tc>
          <w:tcPr>
            <w:tcW w:w="1180" w:type="dxa"/>
            <w:vAlign w:val="bottom"/>
          </w:tcPr>
          <w:p>
            <w:pPr>
              <w:jc w:val="right"/>
              <w:ind w:right="481"/>
              <w:spacing w:after="0"/>
              <w:rPr>
                <w:sz w:val="20"/>
                <w:szCs w:val="20"/>
                <w:color w:val="auto"/>
              </w:rPr>
            </w:pPr>
            <w:r>
              <w:rPr>
                <w:rFonts w:ascii="Arial" w:cs="Arial" w:eastAsia="Arial" w:hAnsi="Arial"/>
                <w:sz w:val="16"/>
                <w:szCs w:val="16"/>
                <w:b w:val="1"/>
                <w:bCs w:val="1"/>
                <w:color w:val="auto"/>
              </w:rPr>
              <w:t>6</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58</w:t>
            </w:r>
          </w:p>
        </w:tc>
      </w:tr>
      <w:tr>
        <w:trPr>
          <w:trHeight w:val="185"/>
        </w:trPr>
        <w:tc>
          <w:tcPr>
            <w:tcW w:w="8400" w:type="dxa"/>
            <w:vAlign w:val="bottom"/>
            <w:gridSpan w:val="3"/>
          </w:tcPr>
          <w:p>
            <w:pPr>
              <w:spacing w:after="0"/>
              <w:rPr>
                <w:sz w:val="20"/>
                <w:szCs w:val="20"/>
                <w:color w:val="auto"/>
              </w:rPr>
            </w:pPr>
            <w:r>
              <w:rPr>
                <w:rFonts w:ascii="Arial" w:cs="Arial" w:eastAsia="Arial" w:hAnsi="Arial"/>
                <w:sz w:val="16"/>
                <w:szCs w:val="16"/>
                <w:color w:val="auto"/>
              </w:rPr>
              <w:t> Loss from forward contract</w:t>
            </w:r>
          </w:p>
        </w:tc>
        <w:tc>
          <w:tcPr>
            <w:tcW w:w="160" w:type="dxa"/>
            <w:vAlign w:val="bottom"/>
          </w:tcPr>
          <w:p>
            <w:pPr>
              <w:spacing w:after="0"/>
              <w:rPr>
                <w:sz w:val="16"/>
                <w:szCs w:val="16"/>
                <w:color w:val="auto"/>
              </w:rPr>
            </w:pPr>
          </w:p>
        </w:tc>
        <w:tc>
          <w:tcPr>
            <w:tcW w:w="1180" w:type="dxa"/>
            <w:vAlign w:val="bottom"/>
          </w:tcPr>
          <w:p>
            <w:pPr>
              <w:jc w:val="right"/>
              <w:ind w:right="481"/>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(77)</w:t>
            </w:r>
          </w:p>
        </w:tc>
      </w:tr>
      <w:tr>
        <w:trPr>
          <w:trHeight w:val="185"/>
        </w:trPr>
        <w:tc>
          <w:tcPr>
            <w:tcW w:w="8400" w:type="dxa"/>
            <w:vAlign w:val="bottom"/>
            <w:gridSpan w:val="3"/>
          </w:tcPr>
          <w:p>
            <w:pPr>
              <w:spacing w:after="0"/>
              <w:rPr>
                <w:sz w:val="20"/>
                <w:szCs w:val="20"/>
                <w:color w:val="auto"/>
              </w:rPr>
            </w:pPr>
            <w:r>
              <w:rPr>
                <w:rFonts w:ascii="Arial" w:cs="Arial" w:eastAsia="Arial" w:hAnsi="Arial"/>
                <w:sz w:val="16"/>
                <w:szCs w:val="16"/>
                <w:color w:val="auto"/>
              </w:rPr>
              <w:t> Gain (loss) from call options</w:t>
            </w:r>
          </w:p>
        </w:tc>
        <w:tc>
          <w:tcPr>
            <w:tcW w:w="160" w:type="dxa"/>
            <w:vAlign w:val="bottom"/>
          </w:tcPr>
          <w:p>
            <w:pPr>
              <w:spacing w:after="0"/>
              <w:rPr>
                <w:sz w:val="16"/>
                <w:szCs w:val="16"/>
                <w:color w:val="auto"/>
              </w:rPr>
            </w:pPr>
          </w:p>
        </w:tc>
        <w:tc>
          <w:tcPr>
            <w:tcW w:w="1180" w:type="dxa"/>
            <w:vAlign w:val="bottom"/>
          </w:tcPr>
          <w:p>
            <w:pPr>
              <w:jc w:val="right"/>
              <w:ind w:right="481"/>
              <w:spacing w:after="0"/>
              <w:rPr>
                <w:sz w:val="20"/>
                <w:szCs w:val="20"/>
                <w:color w:val="auto"/>
              </w:rPr>
            </w:pPr>
            <w:r>
              <w:rPr>
                <w:rFonts w:ascii="Arial" w:cs="Arial" w:eastAsia="Arial" w:hAnsi="Arial"/>
                <w:sz w:val="16"/>
                <w:szCs w:val="16"/>
                <w:b w:val="1"/>
                <w:bCs w:val="1"/>
                <w:color w:val="auto"/>
              </w:rPr>
              <w:t>22</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(15)</w:t>
            </w:r>
          </w:p>
        </w:tc>
      </w:tr>
      <w:tr>
        <w:trPr>
          <w:trHeight w:val="200"/>
        </w:trPr>
        <w:tc>
          <w:tcPr>
            <w:tcW w:w="8400" w:type="dxa"/>
            <w:vAlign w:val="bottom"/>
            <w:tcBorders>
              <w:bottom w:val="single" w:sz="8" w:color="B2B2B2"/>
            </w:tcBorders>
            <w:gridSpan w:val="3"/>
          </w:tcPr>
          <w:p>
            <w:pPr>
              <w:spacing w:after="0" w:line="200" w:lineRule="exact"/>
              <w:rPr>
                <w:sz w:val="20"/>
                <w:szCs w:val="20"/>
                <w:color w:val="auto"/>
              </w:rPr>
            </w:pPr>
            <w:r>
              <w:rPr>
                <w:rFonts w:ascii="Arial" w:cs="Arial" w:eastAsia="Arial" w:hAnsi="Arial"/>
                <w:sz w:val="16"/>
                <w:szCs w:val="16"/>
                <w:color w:val="auto"/>
              </w:rPr>
              <w:t> Historical excluded equity adjustment</w:t>
            </w:r>
            <w:r>
              <w:rPr>
                <w:rFonts w:ascii="Arial" w:cs="Arial" w:eastAsia="Arial" w:hAnsi="Arial"/>
                <w:sz w:val="19"/>
                <w:szCs w:val="19"/>
                <w:color w:val="auto"/>
                <w:vertAlign w:val="superscript"/>
              </w:rPr>
              <w:t>(1)</w:t>
            </w:r>
          </w:p>
        </w:tc>
        <w:tc>
          <w:tcPr>
            <w:tcW w:w="160" w:type="dxa"/>
            <w:vAlign w:val="bottom"/>
            <w:tcBorders>
              <w:bottom w:val="single" w:sz="8" w:color="B2B2B2"/>
            </w:tcBorders>
          </w:tcPr>
          <w:p>
            <w:pPr>
              <w:spacing w:after="0"/>
              <w:rPr>
                <w:sz w:val="17"/>
                <w:szCs w:val="17"/>
                <w:color w:val="auto"/>
              </w:rPr>
            </w:pPr>
          </w:p>
        </w:tc>
        <w:tc>
          <w:tcPr>
            <w:tcW w:w="1180" w:type="dxa"/>
            <w:vAlign w:val="bottom"/>
            <w:tcBorders>
              <w:bottom w:val="single" w:sz="8" w:color="B2B2B2"/>
            </w:tcBorders>
          </w:tcPr>
          <w:p>
            <w:pPr>
              <w:jc w:val="right"/>
              <w:ind w:right="481"/>
              <w:spacing w:after="0"/>
              <w:rPr>
                <w:sz w:val="20"/>
                <w:szCs w:val="20"/>
                <w:color w:val="auto"/>
              </w:rPr>
            </w:pPr>
            <w:r>
              <w:rPr>
                <w:rFonts w:ascii="Arial" w:cs="Arial" w:eastAsia="Arial" w:hAnsi="Arial"/>
                <w:sz w:val="16"/>
                <w:szCs w:val="16"/>
                <w:b w:val="1"/>
                <w:bCs w:val="1"/>
                <w:color w:val="auto"/>
              </w:rPr>
              <w:t>129</w:t>
            </w:r>
          </w:p>
        </w:tc>
        <w:tc>
          <w:tcPr>
            <w:tcW w:w="10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97</w:t>
            </w:r>
          </w:p>
        </w:tc>
      </w:tr>
      <w:tr>
        <w:trPr>
          <w:trHeight w:val="185"/>
        </w:trPr>
        <w:tc>
          <w:tcPr>
            <w:tcW w:w="8400" w:type="dxa"/>
            <w:vAlign w:val="bottom"/>
            <w:tcBorders>
              <w:bottom w:val="single" w:sz="8" w:color="D64000"/>
            </w:tcBorders>
            <w:gridSpan w:val="3"/>
          </w:tcPr>
          <w:p>
            <w:pPr>
              <w:spacing w:after="0" w:line="179" w:lineRule="exact"/>
              <w:rPr>
                <w:sz w:val="20"/>
                <w:szCs w:val="20"/>
                <w:color w:val="auto"/>
              </w:rPr>
            </w:pPr>
            <w:r>
              <w:rPr>
                <w:rFonts w:ascii="Arial" w:cs="Arial" w:eastAsia="Arial" w:hAnsi="Arial"/>
                <w:sz w:val="16"/>
                <w:szCs w:val="16"/>
                <w:color w:val="auto"/>
              </w:rPr>
              <w:t> YPL - Share of post-tax earnings in equity method investments</w:t>
            </w:r>
          </w:p>
        </w:tc>
        <w:tc>
          <w:tcPr>
            <w:tcW w:w="160" w:type="dxa"/>
            <w:vAlign w:val="bottom"/>
            <w:tcBorders>
              <w:bottom w:val="single" w:sz="8" w:color="D64000"/>
            </w:tcBorders>
          </w:tcPr>
          <w:p>
            <w:pPr>
              <w:spacing w:after="0"/>
              <w:rPr>
                <w:sz w:val="16"/>
                <w:szCs w:val="16"/>
                <w:color w:val="auto"/>
              </w:rPr>
            </w:pPr>
          </w:p>
        </w:tc>
        <w:tc>
          <w:tcPr>
            <w:tcW w:w="1180" w:type="dxa"/>
            <w:vAlign w:val="bottom"/>
            <w:tcBorders>
              <w:bottom w:val="single" w:sz="8" w:color="D64000"/>
            </w:tcBorders>
          </w:tcPr>
          <w:p>
            <w:pPr>
              <w:jc w:val="right"/>
              <w:ind w:right="481"/>
              <w:spacing w:after="0" w:line="179" w:lineRule="exact"/>
              <w:rPr>
                <w:sz w:val="20"/>
                <w:szCs w:val="20"/>
                <w:color w:val="auto"/>
              </w:rPr>
            </w:pPr>
            <w:r>
              <w:rPr>
                <w:rFonts w:ascii="Arial" w:cs="Arial" w:eastAsia="Arial" w:hAnsi="Arial"/>
                <w:sz w:val="16"/>
                <w:szCs w:val="16"/>
                <w:b w:val="1"/>
                <w:bCs w:val="1"/>
                <w:color w:val="auto"/>
              </w:rPr>
              <w:t>68</w:t>
            </w:r>
          </w:p>
        </w:tc>
        <w:tc>
          <w:tcPr>
            <w:tcW w:w="1060" w:type="dxa"/>
            <w:vAlign w:val="bottom"/>
            <w:tcBorders>
              <w:bottom w:val="single" w:sz="8" w:color="D64000"/>
            </w:tcBorders>
          </w:tcPr>
          <w:p>
            <w:pPr>
              <w:jc w:val="right"/>
              <w:ind w:right="21"/>
              <w:spacing w:after="0" w:line="179" w:lineRule="exact"/>
              <w:rPr>
                <w:sz w:val="20"/>
                <w:szCs w:val="20"/>
                <w:color w:val="auto"/>
              </w:rPr>
            </w:pPr>
            <w:r>
              <w:rPr>
                <w:rFonts w:ascii="Arial" w:cs="Arial" w:eastAsia="Arial" w:hAnsi="Arial"/>
                <w:sz w:val="16"/>
                <w:szCs w:val="16"/>
                <w:color w:val="auto"/>
              </w:rPr>
              <w:t>1,099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-1109980</wp:posOffset>
            </wp:positionV>
            <wp:extent cx="686562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90" w:lineRule="exact"/>
        <w:rPr>
          <w:sz w:val="20"/>
          <w:szCs w:val="20"/>
          <w:color w:val="auto"/>
        </w:rPr>
      </w:pPr>
    </w:p>
    <w:p>
      <w:pPr>
        <w:ind w:left="640" w:hanging="422"/>
        <w:spacing w:after="0"/>
        <w:tabs>
          <w:tab w:leader="none" w:pos="6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Represents income from the recognition of the remaining cumulative impact of equity transactions that were excluded from the Company’s investment in YPL.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114300</wp:posOffset>
            </wp:positionV>
            <wp:extent cx="686562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77" w:lineRule="exact"/>
        <w:rPr>
          <w:sz w:val="20"/>
          <w:szCs w:val="20"/>
          <w:color w:val="auto"/>
        </w:rPr>
      </w:pPr>
    </w:p>
    <w:p>
      <w:pPr>
        <w:ind w:left="220"/>
        <w:spacing w:after="0"/>
        <w:tabs>
          <w:tab w:leader="none" w:pos="1030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6"/>
          <w:szCs w:val="16"/>
          <w:color w:val="auto"/>
        </w:rPr>
        <w:t>Page 105</w:t>
      </w:r>
    </w:p>
    <w:p>
      <w:pPr>
        <w:sectPr>
          <w:pgSz w:w="11900" w:h="16838" w:orient="portrait"/>
          <w:cols w:equalWidth="0" w:num="1">
            <w:col w:w="11040"/>
          </w:cols>
          <w:pgMar w:left="320" w:top="477" w:right="5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220"/>
        <w:spacing w:after="0" w:line="243" w:lineRule="auto"/>
        <w:rPr>
          <w:sz w:val="20"/>
          <w:szCs w:val="20"/>
          <w:color w:val="auto"/>
        </w:rPr>
      </w:pPr>
      <w:r>
        <w:rPr>
          <w:rFonts w:ascii="Arial" w:cs="Arial" w:eastAsia="Arial" w:hAnsi="Arial"/>
          <w:sz w:val="17"/>
          <w:szCs w:val="17"/>
          <w:color w:val="auto"/>
        </w:rPr>
        <w:t>YPL was a material associate of the Company until the Company sold its remaining LSEG shares that it indirectly owned through YPL in the second quarter of 2024. Set forth below is summarized financial information for 100% of YPL from January 1, 2024 through June 30, 2024, and for the year ended December 31, 2023 when YPL was a material associate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141605</wp:posOffset>
            </wp:positionV>
            <wp:extent cx="686562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7620" w:type="dxa"/>
            <w:vAlign w:val="bottom"/>
          </w:tcPr>
          <w:p>
            <w:pPr>
              <w:spacing w:after="0"/>
              <w:rPr>
                <w:sz w:val="16"/>
                <w:szCs w:val="16"/>
                <w:color w:val="auto"/>
              </w:rPr>
            </w:pPr>
          </w:p>
        </w:tc>
        <w:tc>
          <w:tcPr>
            <w:tcW w:w="220" w:type="dxa"/>
            <w:vAlign w:val="bottom"/>
            <w:shd w:val="clear" w:color="auto" w:fill="E3F3EE"/>
          </w:tcPr>
          <w:p>
            <w:pPr>
              <w:ind w:left="120"/>
              <w:spacing w:after="0"/>
              <w:rPr>
                <w:sz w:val="20"/>
                <w:szCs w:val="20"/>
                <w:color w:val="auto"/>
              </w:rPr>
            </w:pPr>
            <w:r>
              <w:rPr>
                <w:rFonts w:ascii="Arial" w:cs="Arial" w:eastAsia="Arial" w:hAnsi="Arial"/>
                <w:sz w:val="11"/>
                <w:szCs w:val="11"/>
                <w:b w:val="1"/>
                <w:bCs w:val="1"/>
                <w:color w:val="auto"/>
                <w:w w:val="72"/>
              </w:rPr>
              <w:t> </w:t>
            </w:r>
          </w:p>
        </w:tc>
        <w:tc>
          <w:tcPr>
            <w:tcW w:w="1720" w:type="dxa"/>
            <w:vAlign w:val="bottom"/>
            <w:shd w:val="clear" w:color="auto" w:fill="E3F3EE"/>
          </w:tcPr>
          <w:p>
            <w:pPr>
              <w:jc w:val="right"/>
              <w:ind w:right="41"/>
              <w:spacing w:after="0"/>
              <w:rPr>
                <w:sz w:val="20"/>
                <w:szCs w:val="20"/>
                <w:color w:val="auto"/>
              </w:rPr>
            </w:pPr>
            <w:r>
              <w:rPr>
                <w:rFonts w:ascii="Arial" w:cs="Arial" w:eastAsia="Arial" w:hAnsi="Arial"/>
                <w:sz w:val="16"/>
                <w:szCs w:val="16"/>
                <w:b w:val="1"/>
                <w:bCs w:val="1"/>
                <w:color w:val="auto"/>
                <w:w w:val="97"/>
              </w:rPr>
              <w:t>   Six months ended</w:t>
            </w:r>
          </w:p>
        </w:tc>
        <w:tc>
          <w:tcPr>
            <w:tcW w:w="1240" w:type="dxa"/>
            <w:vAlign w:val="bottom"/>
            <w:shd w:val="clear" w:color="auto" w:fill="E3F3EE"/>
          </w:tcPr>
          <w:p>
            <w:pPr>
              <w:jc w:val="right"/>
              <w:ind w:right="61"/>
              <w:spacing w:after="0"/>
              <w:rPr>
                <w:sz w:val="20"/>
                <w:szCs w:val="20"/>
                <w:color w:val="auto"/>
              </w:rPr>
            </w:pPr>
            <w:r>
              <w:rPr>
                <w:rFonts w:ascii="Arial" w:cs="Arial" w:eastAsia="Arial" w:hAnsi="Arial"/>
                <w:sz w:val="16"/>
                <w:szCs w:val="16"/>
                <w:b w:val="1"/>
                <w:bCs w:val="1"/>
                <w:color w:val="auto"/>
              </w:rPr>
              <w:t>Year ended</w:t>
            </w:r>
          </w:p>
        </w:tc>
      </w:tr>
      <w:tr>
        <w:trPr>
          <w:trHeight w:val="200"/>
        </w:trPr>
        <w:tc>
          <w:tcPr>
            <w:tcW w:w="7620" w:type="dxa"/>
            <w:vAlign w:val="bottom"/>
          </w:tcPr>
          <w:p>
            <w:pPr>
              <w:spacing w:after="0"/>
              <w:rPr>
                <w:sz w:val="17"/>
                <w:szCs w:val="17"/>
                <w:color w:val="auto"/>
              </w:rPr>
            </w:pPr>
          </w:p>
        </w:tc>
        <w:tc>
          <w:tcPr>
            <w:tcW w:w="220" w:type="dxa"/>
            <w:vAlign w:val="bottom"/>
            <w:shd w:val="clear" w:color="auto" w:fill="E3F3EE"/>
          </w:tcPr>
          <w:p>
            <w:pPr>
              <w:spacing w:after="0"/>
              <w:rPr>
                <w:sz w:val="17"/>
                <w:szCs w:val="17"/>
                <w:color w:val="auto"/>
              </w:rPr>
            </w:pPr>
          </w:p>
        </w:tc>
        <w:tc>
          <w:tcPr>
            <w:tcW w:w="1720" w:type="dxa"/>
            <w:vAlign w:val="bottom"/>
            <w:shd w:val="clear" w:color="auto" w:fill="E3F3EE"/>
          </w:tcPr>
          <w:p>
            <w:pPr>
              <w:jc w:val="right"/>
              <w:ind w:right="41"/>
              <w:spacing w:after="0"/>
              <w:rPr>
                <w:sz w:val="20"/>
                <w:szCs w:val="20"/>
                <w:color w:val="auto"/>
              </w:rPr>
            </w:pPr>
            <w:r>
              <w:rPr>
                <w:rFonts w:ascii="Arial" w:cs="Arial" w:eastAsia="Arial" w:hAnsi="Arial"/>
                <w:sz w:val="16"/>
                <w:szCs w:val="16"/>
                <w:b w:val="1"/>
                <w:bCs w:val="1"/>
                <w:color w:val="auto"/>
              </w:rPr>
              <w:t>June 30,</w:t>
            </w:r>
          </w:p>
        </w:tc>
        <w:tc>
          <w:tcPr>
            <w:tcW w:w="1240" w:type="dxa"/>
            <w:vAlign w:val="bottom"/>
            <w:shd w:val="clear" w:color="auto" w:fill="E3F3EE"/>
          </w:tcPr>
          <w:p>
            <w:pPr>
              <w:jc w:val="right"/>
              <w:ind w:right="61"/>
              <w:spacing w:after="0"/>
              <w:rPr>
                <w:sz w:val="20"/>
                <w:szCs w:val="20"/>
                <w:color w:val="auto"/>
              </w:rPr>
            </w:pPr>
            <w:r>
              <w:rPr>
                <w:rFonts w:ascii="Arial" w:cs="Arial" w:eastAsia="Arial" w:hAnsi="Arial"/>
                <w:sz w:val="16"/>
                <w:szCs w:val="16"/>
                <w:b w:val="1"/>
                <w:bCs w:val="1"/>
                <w:color w:val="auto"/>
              </w:rPr>
              <w:t>December 31,</w:t>
            </w:r>
          </w:p>
        </w:tc>
      </w:tr>
      <w:tr>
        <w:trPr>
          <w:trHeight w:val="192"/>
        </w:trPr>
        <w:tc>
          <w:tcPr>
            <w:tcW w:w="7620" w:type="dxa"/>
            <w:vAlign w:val="bottom"/>
            <w:tcBorders>
              <w:bottom w:val="single" w:sz="8" w:color="D64000"/>
            </w:tcBorders>
            <w:shd w:val="clear" w:color="auto" w:fill="1F473D"/>
          </w:tcPr>
          <w:p>
            <w:pPr>
              <w:spacing w:after="0"/>
              <w:rPr>
                <w:sz w:val="16"/>
                <w:szCs w:val="16"/>
                <w:color w:val="auto"/>
              </w:rPr>
            </w:pPr>
          </w:p>
        </w:tc>
        <w:tc>
          <w:tcPr>
            <w:tcW w:w="220" w:type="dxa"/>
            <w:vAlign w:val="bottom"/>
            <w:tcBorders>
              <w:bottom w:val="single" w:sz="8" w:color="D64000"/>
            </w:tcBorders>
            <w:shd w:val="clear" w:color="auto" w:fill="1F473D"/>
          </w:tcPr>
          <w:p>
            <w:pPr>
              <w:spacing w:after="0"/>
              <w:rPr>
                <w:sz w:val="16"/>
                <w:szCs w:val="16"/>
                <w:color w:val="auto"/>
              </w:rPr>
            </w:pPr>
          </w:p>
        </w:tc>
        <w:tc>
          <w:tcPr>
            <w:tcW w:w="1720" w:type="dxa"/>
            <w:vAlign w:val="bottom"/>
            <w:tcBorders>
              <w:bottom w:val="single" w:sz="8" w:color="D64000"/>
            </w:tcBorders>
            <w:shd w:val="clear" w:color="auto" w:fill="1F473D"/>
          </w:tcPr>
          <w:p>
            <w:pPr>
              <w:jc w:val="right"/>
              <w:ind w:right="41"/>
              <w:spacing w:after="0"/>
              <w:rPr>
                <w:sz w:val="20"/>
                <w:szCs w:val="20"/>
                <w:color w:val="auto"/>
              </w:rPr>
            </w:pPr>
            <w:r>
              <w:rPr>
                <w:rFonts w:ascii="Arial" w:cs="Arial" w:eastAsia="Arial" w:hAnsi="Arial"/>
                <w:sz w:val="16"/>
                <w:szCs w:val="16"/>
                <w:b w:val="1"/>
                <w:bCs w:val="1"/>
                <w:color w:val="FFFFFF"/>
              </w:rPr>
              <w:t>2024</w:t>
            </w:r>
          </w:p>
        </w:tc>
        <w:tc>
          <w:tcPr>
            <w:tcW w:w="1240" w:type="dxa"/>
            <w:vAlign w:val="bottom"/>
            <w:tcBorders>
              <w:bottom w:val="single" w:sz="8" w:color="D64000"/>
            </w:tcBorders>
            <w:shd w:val="clear" w:color="auto" w:fill="1F473D"/>
          </w:tcPr>
          <w:p>
            <w:pPr>
              <w:jc w:val="right"/>
              <w:ind w:right="61"/>
              <w:spacing w:after="0"/>
              <w:rPr>
                <w:sz w:val="20"/>
                <w:szCs w:val="20"/>
                <w:color w:val="auto"/>
              </w:rPr>
            </w:pPr>
            <w:r>
              <w:rPr>
                <w:rFonts w:ascii="Arial" w:cs="Arial" w:eastAsia="Arial" w:hAnsi="Arial"/>
                <w:sz w:val="16"/>
                <w:szCs w:val="16"/>
                <w:color w:val="FFFFFF"/>
              </w:rPr>
              <w:t>2023</w:t>
            </w:r>
          </w:p>
        </w:tc>
      </w:tr>
      <w:tr>
        <w:trPr>
          <w:trHeight w:val="171"/>
        </w:trPr>
        <w:tc>
          <w:tcPr>
            <w:tcW w:w="7840" w:type="dxa"/>
            <w:vAlign w:val="bottom"/>
            <w:gridSpan w:val="2"/>
          </w:tcPr>
          <w:p>
            <w:pPr>
              <w:spacing w:after="0" w:line="171" w:lineRule="exact"/>
              <w:rPr>
                <w:sz w:val="20"/>
                <w:szCs w:val="20"/>
                <w:color w:val="auto"/>
              </w:rPr>
            </w:pPr>
            <w:r>
              <w:rPr>
                <w:rFonts w:ascii="Arial" w:cs="Arial" w:eastAsia="Arial" w:hAnsi="Arial"/>
                <w:sz w:val="16"/>
                <w:szCs w:val="16"/>
                <w:color w:val="auto"/>
              </w:rPr>
              <w:t>Mark-to-market of LSEG shares</w:t>
            </w:r>
          </w:p>
        </w:tc>
        <w:tc>
          <w:tcPr>
            <w:tcW w:w="1720" w:type="dxa"/>
            <w:vAlign w:val="bottom"/>
          </w:tcPr>
          <w:p>
            <w:pPr>
              <w:jc w:val="right"/>
              <w:ind w:right="1"/>
              <w:spacing w:after="0" w:line="171" w:lineRule="exact"/>
              <w:rPr>
                <w:sz w:val="20"/>
                <w:szCs w:val="20"/>
                <w:color w:val="auto"/>
              </w:rPr>
            </w:pPr>
            <w:r>
              <w:rPr>
                <w:rFonts w:ascii="Arial" w:cs="Arial" w:eastAsia="Arial" w:hAnsi="Arial"/>
                <w:sz w:val="16"/>
                <w:szCs w:val="16"/>
                <w:b w:val="1"/>
                <w:bCs w:val="1"/>
                <w:color w:val="auto"/>
              </w:rPr>
              <w:t>(394)</w:t>
            </w:r>
          </w:p>
        </w:tc>
        <w:tc>
          <w:tcPr>
            <w:tcW w:w="1240" w:type="dxa"/>
            <w:vAlign w:val="bottom"/>
          </w:tcPr>
          <w:p>
            <w:pPr>
              <w:jc w:val="right"/>
              <w:ind w:right="1"/>
              <w:spacing w:after="0" w:line="171" w:lineRule="exact"/>
              <w:rPr>
                <w:sz w:val="20"/>
                <w:szCs w:val="20"/>
                <w:color w:val="auto"/>
              </w:rPr>
            </w:pPr>
            <w:r>
              <w:rPr>
                <w:rFonts w:ascii="Arial" w:cs="Arial" w:eastAsia="Arial" w:hAnsi="Arial"/>
                <w:sz w:val="16"/>
                <w:szCs w:val="16"/>
                <w:color w:val="auto"/>
              </w:rPr>
              <w:t>3,024</w:t>
            </w:r>
          </w:p>
        </w:tc>
      </w:tr>
      <w:tr>
        <w:trPr>
          <w:trHeight w:val="185"/>
        </w:trPr>
        <w:tc>
          <w:tcPr>
            <w:tcW w:w="7840" w:type="dxa"/>
            <w:vAlign w:val="bottom"/>
            <w:gridSpan w:val="2"/>
          </w:tcPr>
          <w:p>
            <w:pPr>
              <w:spacing w:after="0"/>
              <w:rPr>
                <w:sz w:val="20"/>
                <w:szCs w:val="20"/>
                <w:color w:val="auto"/>
              </w:rPr>
            </w:pPr>
            <w:r>
              <w:rPr>
                <w:rFonts w:ascii="Arial" w:cs="Arial" w:eastAsia="Arial" w:hAnsi="Arial"/>
                <w:sz w:val="16"/>
                <w:szCs w:val="16"/>
                <w:color w:val="auto"/>
              </w:rPr>
              <w:t>Dividend income</w:t>
            </w:r>
          </w:p>
        </w:tc>
        <w:tc>
          <w:tcPr>
            <w:tcW w:w="1720" w:type="dxa"/>
            <w:vAlign w:val="bottom"/>
          </w:tcPr>
          <w:p>
            <w:pPr>
              <w:jc w:val="right"/>
              <w:ind w:right="1"/>
              <w:spacing w:after="0"/>
              <w:rPr>
                <w:sz w:val="20"/>
                <w:szCs w:val="20"/>
                <w:color w:val="auto"/>
              </w:rPr>
            </w:pPr>
            <w:r>
              <w:rPr>
                <w:rFonts w:ascii="Arial" w:cs="Arial" w:eastAsia="Arial" w:hAnsi="Arial"/>
                <w:sz w:val="16"/>
                <w:szCs w:val="16"/>
                <w:b w:val="1"/>
                <w:bCs w:val="1"/>
                <w:color w:val="auto"/>
              </w:rPr>
              <w:t>32</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154</w:t>
            </w:r>
          </w:p>
        </w:tc>
      </w:tr>
      <w:tr>
        <w:trPr>
          <w:trHeight w:val="186"/>
        </w:trPr>
        <w:tc>
          <w:tcPr>
            <w:tcW w:w="7840" w:type="dxa"/>
            <w:vAlign w:val="bottom"/>
            <w:gridSpan w:val="2"/>
          </w:tcPr>
          <w:p>
            <w:pPr>
              <w:spacing w:after="0"/>
              <w:rPr>
                <w:sz w:val="20"/>
                <w:szCs w:val="20"/>
                <w:color w:val="auto"/>
              </w:rPr>
            </w:pPr>
            <w:r>
              <w:rPr>
                <w:rFonts w:ascii="Arial" w:cs="Arial" w:eastAsia="Arial" w:hAnsi="Arial"/>
                <w:sz w:val="16"/>
                <w:szCs w:val="16"/>
                <w:color w:val="auto"/>
              </w:rPr>
              <w:t>Loss from forward contract</w:t>
            </w:r>
          </w:p>
        </w:tc>
        <w:tc>
          <w:tcPr>
            <w:tcW w:w="172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(179)</w:t>
            </w:r>
          </w:p>
        </w:tc>
      </w:tr>
      <w:tr>
        <w:trPr>
          <w:trHeight w:val="200"/>
        </w:trPr>
        <w:tc>
          <w:tcPr>
            <w:tcW w:w="784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color w:val="auto"/>
              </w:rPr>
              <w:t>Gain (loss) from call options</w:t>
            </w:r>
          </w:p>
        </w:tc>
        <w:tc>
          <w:tcPr>
            <w:tcW w:w="172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92</w:t>
            </w:r>
          </w:p>
        </w:tc>
        <w:tc>
          <w:tcPr>
            <w:tcW w:w="124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(63)</w:t>
            </w:r>
          </w:p>
        </w:tc>
      </w:tr>
      <w:tr>
        <w:trPr>
          <w:trHeight w:val="179"/>
        </w:trPr>
        <w:tc>
          <w:tcPr>
            <w:tcW w:w="7840" w:type="dxa"/>
            <w:vAlign w:val="bottom"/>
            <w:tcBorders>
              <w:bottom w:val="single" w:sz="8" w:color="B2B2B2"/>
            </w:tcBorders>
            <w:gridSpan w:val="2"/>
          </w:tcPr>
          <w:p>
            <w:pPr>
              <w:spacing w:after="0" w:line="179" w:lineRule="exact"/>
              <w:rPr>
                <w:sz w:val="20"/>
                <w:szCs w:val="20"/>
                <w:color w:val="auto"/>
              </w:rPr>
            </w:pPr>
            <w:r>
              <w:rPr>
                <w:rFonts w:ascii="Arial" w:cs="Arial" w:eastAsia="Arial" w:hAnsi="Arial"/>
                <w:sz w:val="16"/>
                <w:szCs w:val="16"/>
                <w:color w:val="auto"/>
              </w:rPr>
              <w:t>Net (loss) earnings</w:t>
            </w:r>
          </w:p>
        </w:tc>
        <w:tc>
          <w:tcPr>
            <w:tcW w:w="1720" w:type="dxa"/>
            <w:vAlign w:val="bottom"/>
            <w:tcBorders>
              <w:bottom w:val="single" w:sz="8" w:color="B2B2B2"/>
            </w:tcBorders>
          </w:tcPr>
          <w:p>
            <w:pPr>
              <w:jc w:val="right"/>
              <w:ind w:right="1"/>
              <w:spacing w:after="0" w:line="179" w:lineRule="exact"/>
              <w:rPr>
                <w:sz w:val="20"/>
                <w:szCs w:val="20"/>
                <w:color w:val="auto"/>
              </w:rPr>
            </w:pPr>
            <w:r>
              <w:rPr>
                <w:rFonts w:ascii="Arial" w:cs="Arial" w:eastAsia="Arial" w:hAnsi="Arial"/>
                <w:sz w:val="16"/>
                <w:szCs w:val="16"/>
                <w:b w:val="1"/>
                <w:bCs w:val="1"/>
                <w:color w:val="auto"/>
              </w:rPr>
              <w:t>(270)</w:t>
            </w:r>
          </w:p>
        </w:tc>
        <w:tc>
          <w:tcPr>
            <w:tcW w:w="1240" w:type="dxa"/>
            <w:vAlign w:val="bottom"/>
            <w:tcBorders>
              <w:bottom w:val="single" w:sz="8" w:color="B2B2B2"/>
            </w:tcBorders>
          </w:tcPr>
          <w:p>
            <w:pPr>
              <w:jc w:val="right"/>
              <w:ind w:right="1"/>
              <w:spacing w:after="0" w:line="179" w:lineRule="exact"/>
              <w:rPr>
                <w:sz w:val="20"/>
                <w:szCs w:val="20"/>
                <w:color w:val="auto"/>
              </w:rPr>
            </w:pPr>
            <w:r>
              <w:rPr>
                <w:rFonts w:ascii="Arial" w:cs="Arial" w:eastAsia="Arial" w:hAnsi="Arial"/>
                <w:sz w:val="16"/>
                <w:szCs w:val="16"/>
                <w:color w:val="auto"/>
              </w:rPr>
              <w:t>2,936</w:t>
            </w:r>
          </w:p>
        </w:tc>
      </w:tr>
      <w:tr>
        <w:trPr>
          <w:trHeight w:val="185"/>
        </w:trPr>
        <w:tc>
          <w:tcPr>
            <w:tcW w:w="7840" w:type="dxa"/>
            <w:vAlign w:val="bottom"/>
            <w:tcBorders>
              <w:bottom w:val="single" w:sz="8" w:color="D64000"/>
            </w:tcBorders>
            <w:gridSpan w:val="2"/>
          </w:tcPr>
          <w:p>
            <w:pPr>
              <w:spacing w:after="0" w:line="179" w:lineRule="exact"/>
              <w:rPr>
                <w:sz w:val="20"/>
                <w:szCs w:val="20"/>
                <w:color w:val="auto"/>
              </w:rPr>
            </w:pPr>
            <w:r>
              <w:rPr>
                <w:rFonts w:ascii="Arial" w:cs="Arial" w:eastAsia="Arial" w:hAnsi="Arial"/>
                <w:sz w:val="16"/>
                <w:szCs w:val="16"/>
                <w:color w:val="auto"/>
              </w:rPr>
              <w:t>Total comprehensive (loss) income</w:t>
            </w:r>
          </w:p>
        </w:tc>
        <w:tc>
          <w:tcPr>
            <w:tcW w:w="1720" w:type="dxa"/>
            <w:vAlign w:val="bottom"/>
            <w:tcBorders>
              <w:bottom w:val="single" w:sz="8" w:color="D64000"/>
            </w:tcBorders>
          </w:tcPr>
          <w:p>
            <w:pPr>
              <w:jc w:val="right"/>
              <w:ind w:right="1"/>
              <w:spacing w:after="0" w:line="179" w:lineRule="exact"/>
              <w:rPr>
                <w:sz w:val="20"/>
                <w:szCs w:val="20"/>
                <w:color w:val="auto"/>
              </w:rPr>
            </w:pPr>
            <w:r>
              <w:rPr>
                <w:rFonts w:ascii="Arial" w:cs="Arial" w:eastAsia="Arial" w:hAnsi="Arial"/>
                <w:sz w:val="16"/>
                <w:szCs w:val="16"/>
                <w:b w:val="1"/>
                <w:bCs w:val="1"/>
                <w:color w:val="auto"/>
              </w:rPr>
              <w:t>(270)</w:t>
            </w:r>
          </w:p>
        </w:tc>
        <w:tc>
          <w:tcPr>
            <w:tcW w:w="1240" w:type="dxa"/>
            <w:vAlign w:val="bottom"/>
            <w:tcBorders>
              <w:bottom w:val="single" w:sz="8" w:color="D64000"/>
            </w:tcBorders>
          </w:tcPr>
          <w:p>
            <w:pPr>
              <w:jc w:val="right"/>
              <w:ind w:right="1"/>
              <w:spacing w:after="0" w:line="179" w:lineRule="exact"/>
              <w:rPr>
                <w:sz w:val="20"/>
                <w:szCs w:val="20"/>
                <w:color w:val="auto"/>
              </w:rPr>
            </w:pPr>
            <w:r>
              <w:rPr>
                <w:rFonts w:ascii="Arial" w:cs="Arial" w:eastAsia="Arial" w:hAnsi="Arial"/>
                <w:sz w:val="16"/>
                <w:szCs w:val="16"/>
                <w:color w:val="auto"/>
              </w:rPr>
              <w:t>2,936</w:t>
            </w:r>
          </w:p>
        </w:tc>
      </w:tr>
    </w:tbl>
    <w:p>
      <w:pPr>
        <w:spacing w:after="0" w:line="190" w:lineRule="exact"/>
        <w:rPr>
          <w:sz w:val="20"/>
          <w:szCs w:val="20"/>
          <w:color w:val="auto"/>
        </w:rPr>
      </w:pPr>
    </w:p>
    <w:p>
      <w:pPr>
        <w:ind w:left="220" w:right="360"/>
        <w:spacing w:after="0" w:line="260" w:lineRule="auto"/>
        <w:rPr>
          <w:sz w:val="20"/>
          <w:szCs w:val="20"/>
          <w:color w:val="auto"/>
        </w:rPr>
      </w:pPr>
      <w:r>
        <w:rPr>
          <w:rFonts w:ascii="Arial" w:cs="Arial" w:eastAsia="Arial" w:hAnsi="Arial"/>
          <w:sz w:val="17"/>
          <w:szCs w:val="17"/>
          <w:color w:val="auto"/>
        </w:rPr>
        <w:t>The following table reconciles the net assets attributable to YPL to the Company’s carrying value of its investment in YPL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132080</wp:posOffset>
            </wp:positionV>
            <wp:extent cx="686562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9280" w:type="dxa"/>
            <w:vAlign w:val="bottom"/>
          </w:tcPr>
          <w:p>
            <w:pPr>
              <w:spacing w:after="0"/>
              <w:rPr>
                <w:sz w:val="17"/>
                <w:szCs w:val="17"/>
                <w:color w:val="auto"/>
              </w:rPr>
            </w:pPr>
          </w:p>
        </w:tc>
        <w:tc>
          <w:tcPr>
            <w:tcW w:w="220" w:type="dxa"/>
            <w:vAlign w:val="bottom"/>
            <w:shd w:val="clear" w:color="auto" w:fill="E3F3EE"/>
          </w:tcPr>
          <w:p>
            <w:pPr>
              <w:spacing w:after="0"/>
              <w:rPr>
                <w:sz w:val="20"/>
                <w:szCs w:val="20"/>
                <w:color w:val="auto"/>
              </w:rPr>
            </w:pPr>
            <w:r>
              <w:rPr>
                <w:rFonts w:ascii="Arial" w:cs="Arial" w:eastAsia="Arial" w:hAnsi="Arial"/>
                <w:sz w:val="16"/>
                <w:szCs w:val="16"/>
                <w:color w:val="auto"/>
                <w:w w:val="80"/>
              </w:rPr>
              <w:t>   </w:t>
            </w:r>
          </w:p>
        </w:tc>
        <w:tc>
          <w:tcPr>
            <w:tcW w:w="1300" w:type="dxa"/>
            <w:vAlign w:val="bottom"/>
            <w:shd w:val="clear" w:color="auto" w:fill="E3F3EE"/>
          </w:tcPr>
          <w:p>
            <w:pPr>
              <w:jc w:val="right"/>
              <w:ind w:right="181"/>
              <w:spacing w:after="0"/>
              <w:rPr>
                <w:sz w:val="20"/>
                <w:szCs w:val="20"/>
                <w:color w:val="auto"/>
              </w:rPr>
            </w:pPr>
            <w:r>
              <w:rPr>
                <w:rFonts w:ascii="Arial" w:cs="Arial" w:eastAsia="Arial" w:hAnsi="Arial"/>
                <w:sz w:val="16"/>
                <w:szCs w:val="16"/>
                <w:color w:val="auto"/>
              </w:rPr>
              <w:t>December 31,</w:t>
            </w:r>
          </w:p>
        </w:tc>
      </w:tr>
      <w:tr>
        <w:trPr>
          <w:trHeight w:val="192"/>
        </w:trPr>
        <w:tc>
          <w:tcPr>
            <w:tcW w:w="9280" w:type="dxa"/>
            <w:vAlign w:val="bottom"/>
            <w:tcBorders>
              <w:bottom w:val="single" w:sz="8" w:color="D64000"/>
            </w:tcBorders>
            <w:shd w:val="clear" w:color="auto" w:fill="1F473D"/>
          </w:tcPr>
          <w:p>
            <w:pPr>
              <w:spacing w:after="0"/>
              <w:rPr>
                <w:sz w:val="16"/>
                <w:szCs w:val="16"/>
                <w:color w:val="auto"/>
              </w:rPr>
            </w:pPr>
          </w:p>
        </w:tc>
        <w:tc>
          <w:tcPr>
            <w:tcW w:w="220" w:type="dxa"/>
            <w:vAlign w:val="bottom"/>
            <w:tcBorders>
              <w:bottom w:val="single" w:sz="8" w:color="D64000"/>
            </w:tcBorders>
            <w:shd w:val="clear" w:color="auto" w:fill="1F473D"/>
          </w:tcPr>
          <w:p>
            <w:pPr>
              <w:spacing w:after="0"/>
              <w:rPr>
                <w:sz w:val="16"/>
                <w:szCs w:val="16"/>
                <w:color w:val="auto"/>
              </w:rPr>
            </w:pPr>
          </w:p>
        </w:tc>
        <w:tc>
          <w:tcPr>
            <w:tcW w:w="1300" w:type="dxa"/>
            <w:vAlign w:val="bottom"/>
            <w:tcBorders>
              <w:bottom w:val="single" w:sz="8" w:color="D64000"/>
            </w:tcBorders>
            <w:shd w:val="clear" w:color="auto" w:fill="1F473D"/>
          </w:tcPr>
          <w:p>
            <w:pPr>
              <w:jc w:val="right"/>
              <w:ind w:right="161"/>
              <w:spacing w:after="0"/>
              <w:rPr>
                <w:sz w:val="20"/>
                <w:szCs w:val="20"/>
                <w:color w:val="auto"/>
              </w:rPr>
            </w:pPr>
            <w:r>
              <w:rPr>
                <w:rFonts w:ascii="Arial" w:cs="Arial" w:eastAsia="Arial" w:hAnsi="Arial"/>
                <w:sz w:val="16"/>
                <w:szCs w:val="16"/>
                <w:color w:val="FFFFFF"/>
              </w:rPr>
              <w:t>2023</w:t>
            </w:r>
          </w:p>
        </w:tc>
      </w:tr>
      <w:tr>
        <w:trPr>
          <w:trHeight w:val="171"/>
        </w:trPr>
        <w:tc>
          <w:tcPr>
            <w:tcW w:w="9500" w:type="dxa"/>
            <w:vAlign w:val="bottom"/>
            <w:gridSpan w:val="2"/>
          </w:tcPr>
          <w:p>
            <w:pPr>
              <w:spacing w:after="0" w:line="171" w:lineRule="exact"/>
              <w:rPr>
                <w:sz w:val="20"/>
                <w:szCs w:val="20"/>
                <w:color w:val="auto"/>
              </w:rPr>
            </w:pPr>
            <w:r>
              <w:rPr>
                <w:rFonts w:ascii="Arial" w:cs="Arial" w:eastAsia="Arial" w:hAnsi="Arial"/>
                <w:sz w:val="16"/>
                <w:szCs w:val="16"/>
                <w:color w:val="auto"/>
              </w:rPr>
              <w:t> Assets</w:t>
            </w:r>
          </w:p>
        </w:tc>
        <w:tc>
          <w:tcPr>
            <w:tcW w:w="1300" w:type="dxa"/>
            <w:vAlign w:val="bottom"/>
          </w:tcPr>
          <w:p>
            <w:pPr>
              <w:spacing w:after="0"/>
              <w:rPr>
                <w:sz w:val="14"/>
                <w:szCs w:val="14"/>
                <w:color w:val="auto"/>
              </w:rPr>
            </w:pPr>
          </w:p>
        </w:tc>
      </w:tr>
      <w:tr>
        <w:trPr>
          <w:trHeight w:val="185"/>
        </w:trPr>
        <w:tc>
          <w:tcPr>
            <w:tcW w:w="9500" w:type="dxa"/>
            <w:vAlign w:val="bottom"/>
            <w:gridSpan w:val="2"/>
          </w:tcPr>
          <w:p>
            <w:pPr>
              <w:spacing w:after="0"/>
              <w:rPr>
                <w:sz w:val="20"/>
                <w:szCs w:val="20"/>
                <w:color w:val="auto"/>
              </w:rPr>
            </w:pPr>
            <w:r>
              <w:rPr>
                <w:rFonts w:ascii="Arial" w:cs="Arial" w:eastAsia="Arial" w:hAnsi="Arial"/>
                <w:sz w:val="16"/>
                <w:szCs w:val="16"/>
                <w:color w:val="auto"/>
              </w:rPr>
              <w:t> Current assets</w:t>
            </w:r>
          </w:p>
        </w:tc>
        <w:tc>
          <w:tcPr>
            <w:tcW w:w="1300" w:type="dxa"/>
            <w:vAlign w:val="bottom"/>
          </w:tcPr>
          <w:p>
            <w:pPr>
              <w:jc w:val="right"/>
              <w:ind w:right="101"/>
              <w:spacing w:after="0"/>
              <w:rPr>
                <w:sz w:val="20"/>
                <w:szCs w:val="20"/>
                <w:color w:val="auto"/>
              </w:rPr>
            </w:pPr>
            <w:r>
              <w:rPr>
                <w:rFonts w:ascii="Arial" w:cs="Arial" w:eastAsia="Arial" w:hAnsi="Arial"/>
                <w:sz w:val="16"/>
                <w:szCs w:val="16"/>
                <w:color w:val="auto"/>
              </w:rPr>
              <w:t>160</w:t>
            </w:r>
          </w:p>
        </w:tc>
      </w:tr>
      <w:tr>
        <w:trPr>
          <w:trHeight w:val="200"/>
        </w:trPr>
        <w:tc>
          <w:tcPr>
            <w:tcW w:w="950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color w:val="auto"/>
              </w:rPr>
              <w:t> Non-current assets</w:t>
            </w:r>
          </w:p>
        </w:tc>
        <w:tc>
          <w:tcPr>
            <w:tcW w:w="1300" w:type="dxa"/>
            <w:vAlign w:val="bottom"/>
            <w:tcBorders>
              <w:bottom w:val="single" w:sz="8" w:color="B2B2B2"/>
            </w:tcBorders>
          </w:tcPr>
          <w:p>
            <w:pPr>
              <w:jc w:val="right"/>
              <w:ind w:right="101"/>
              <w:spacing w:after="0"/>
              <w:rPr>
                <w:sz w:val="20"/>
                <w:szCs w:val="20"/>
                <w:color w:val="auto"/>
              </w:rPr>
            </w:pPr>
            <w:r>
              <w:rPr>
                <w:rFonts w:ascii="Arial" w:cs="Arial" w:eastAsia="Arial" w:hAnsi="Arial"/>
                <w:sz w:val="16"/>
                <w:szCs w:val="16"/>
                <w:color w:val="auto"/>
              </w:rPr>
              <w:t>8,036</w:t>
            </w:r>
          </w:p>
        </w:tc>
      </w:tr>
      <w:tr>
        <w:trPr>
          <w:trHeight w:val="179"/>
        </w:trPr>
        <w:tc>
          <w:tcPr>
            <w:tcW w:w="9500" w:type="dxa"/>
            <w:vAlign w:val="bottom"/>
            <w:tcBorders>
              <w:bottom w:val="single" w:sz="8" w:color="B2B2B2"/>
            </w:tcBorders>
            <w:gridSpan w:val="2"/>
          </w:tcPr>
          <w:p>
            <w:pPr>
              <w:spacing w:after="0" w:line="179" w:lineRule="exact"/>
              <w:rPr>
                <w:sz w:val="20"/>
                <w:szCs w:val="20"/>
                <w:color w:val="auto"/>
              </w:rPr>
            </w:pPr>
            <w:r>
              <w:rPr>
                <w:rFonts w:ascii="Arial" w:cs="Arial" w:eastAsia="Arial" w:hAnsi="Arial"/>
                <w:sz w:val="16"/>
                <w:szCs w:val="16"/>
                <w:color w:val="auto"/>
              </w:rPr>
              <w:t> Total assets</w:t>
            </w:r>
          </w:p>
        </w:tc>
        <w:tc>
          <w:tcPr>
            <w:tcW w:w="1300" w:type="dxa"/>
            <w:vAlign w:val="bottom"/>
            <w:tcBorders>
              <w:bottom w:val="single" w:sz="8" w:color="B2B2B2"/>
            </w:tcBorders>
          </w:tcPr>
          <w:p>
            <w:pPr>
              <w:jc w:val="right"/>
              <w:ind w:right="101"/>
              <w:spacing w:after="0" w:line="179" w:lineRule="exact"/>
              <w:rPr>
                <w:sz w:val="20"/>
                <w:szCs w:val="20"/>
                <w:color w:val="auto"/>
              </w:rPr>
            </w:pPr>
            <w:r>
              <w:rPr>
                <w:rFonts w:ascii="Arial" w:cs="Arial" w:eastAsia="Arial" w:hAnsi="Arial"/>
                <w:sz w:val="16"/>
                <w:szCs w:val="16"/>
                <w:color w:val="auto"/>
              </w:rPr>
              <w:t>8,196</w:t>
            </w:r>
          </w:p>
        </w:tc>
      </w:tr>
      <w:tr>
        <w:trPr>
          <w:trHeight w:val="165"/>
        </w:trPr>
        <w:tc>
          <w:tcPr>
            <w:tcW w:w="9500" w:type="dxa"/>
            <w:vAlign w:val="bottom"/>
            <w:gridSpan w:val="2"/>
          </w:tcPr>
          <w:p>
            <w:pPr>
              <w:spacing w:after="0" w:line="165" w:lineRule="exact"/>
              <w:rPr>
                <w:sz w:val="20"/>
                <w:szCs w:val="20"/>
                <w:color w:val="auto"/>
              </w:rPr>
            </w:pPr>
            <w:r>
              <w:rPr>
                <w:rFonts w:ascii="Arial" w:cs="Arial" w:eastAsia="Arial" w:hAnsi="Arial"/>
                <w:sz w:val="16"/>
                <w:szCs w:val="16"/>
                <w:color w:val="auto"/>
              </w:rPr>
              <w:t> Liabilities</w:t>
            </w:r>
          </w:p>
        </w:tc>
        <w:tc>
          <w:tcPr>
            <w:tcW w:w="1300" w:type="dxa"/>
            <w:vAlign w:val="bottom"/>
          </w:tcPr>
          <w:p>
            <w:pPr>
              <w:spacing w:after="0"/>
              <w:rPr>
                <w:sz w:val="14"/>
                <w:szCs w:val="14"/>
                <w:color w:val="auto"/>
              </w:rPr>
            </w:pPr>
          </w:p>
        </w:tc>
      </w:tr>
      <w:tr>
        <w:trPr>
          <w:trHeight w:val="185"/>
        </w:trPr>
        <w:tc>
          <w:tcPr>
            <w:tcW w:w="9500" w:type="dxa"/>
            <w:vAlign w:val="bottom"/>
            <w:gridSpan w:val="2"/>
          </w:tcPr>
          <w:p>
            <w:pPr>
              <w:spacing w:after="0"/>
              <w:rPr>
                <w:sz w:val="20"/>
                <w:szCs w:val="20"/>
                <w:color w:val="auto"/>
              </w:rPr>
            </w:pPr>
            <w:r>
              <w:rPr>
                <w:rFonts w:ascii="Arial" w:cs="Arial" w:eastAsia="Arial" w:hAnsi="Arial"/>
                <w:sz w:val="16"/>
                <w:szCs w:val="16"/>
                <w:color w:val="auto"/>
              </w:rPr>
              <w:t> Current liabilities</w:t>
            </w:r>
          </w:p>
        </w:tc>
        <w:tc>
          <w:tcPr>
            <w:tcW w:w="1300" w:type="dxa"/>
            <w:vAlign w:val="bottom"/>
          </w:tcPr>
          <w:p>
            <w:pPr>
              <w:jc w:val="right"/>
              <w:ind w:right="101"/>
              <w:spacing w:after="0"/>
              <w:rPr>
                <w:sz w:val="20"/>
                <w:szCs w:val="20"/>
                <w:color w:val="auto"/>
              </w:rPr>
            </w:pPr>
            <w:r>
              <w:rPr>
                <w:rFonts w:ascii="Arial" w:cs="Arial" w:eastAsia="Arial" w:hAnsi="Arial"/>
                <w:sz w:val="16"/>
                <w:szCs w:val="16"/>
                <w:color w:val="auto"/>
              </w:rPr>
              <w:t>105</w:t>
            </w:r>
          </w:p>
        </w:tc>
      </w:tr>
      <w:tr>
        <w:trPr>
          <w:trHeight w:val="200"/>
        </w:trPr>
        <w:tc>
          <w:tcPr>
            <w:tcW w:w="950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color w:val="auto"/>
              </w:rPr>
              <w:t> Non-current liabilities</w:t>
            </w:r>
          </w:p>
        </w:tc>
        <w:tc>
          <w:tcPr>
            <w:tcW w:w="1300" w:type="dxa"/>
            <w:vAlign w:val="bottom"/>
            <w:tcBorders>
              <w:bottom w:val="single" w:sz="8" w:color="B2B2B2"/>
            </w:tcBorders>
          </w:tcPr>
          <w:p>
            <w:pPr>
              <w:jc w:val="right"/>
              <w:ind w:right="101"/>
              <w:spacing w:after="0"/>
              <w:rPr>
                <w:sz w:val="20"/>
                <w:szCs w:val="20"/>
                <w:color w:val="auto"/>
              </w:rPr>
            </w:pPr>
            <w:r>
              <w:rPr>
                <w:rFonts w:ascii="Arial" w:cs="Arial" w:eastAsia="Arial" w:hAnsi="Arial"/>
                <w:sz w:val="16"/>
                <w:szCs w:val="16"/>
                <w:color w:val="auto"/>
              </w:rPr>
              <w:t>236</w:t>
            </w:r>
          </w:p>
        </w:tc>
      </w:tr>
      <w:tr>
        <w:trPr>
          <w:trHeight w:val="179"/>
        </w:trPr>
        <w:tc>
          <w:tcPr>
            <w:tcW w:w="9500" w:type="dxa"/>
            <w:vAlign w:val="bottom"/>
            <w:tcBorders>
              <w:bottom w:val="single" w:sz="8" w:color="B2B2B2"/>
            </w:tcBorders>
            <w:gridSpan w:val="2"/>
          </w:tcPr>
          <w:p>
            <w:pPr>
              <w:spacing w:after="0" w:line="179" w:lineRule="exact"/>
              <w:rPr>
                <w:sz w:val="20"/>
                <w:szCs w:val="20"/>
                <w:color w:val="auto"/>
              </w:rPr>
            </w:pPr>
            <w:r>
              <w:rPr>
                <w:rFonts w:ascii="Arial" w:cs="Arial" w:eastAsia="Arial" w:hAnsi="Arial"/>
                <w:sz w:val="16"/>
                <w:szCs w:val="16"/>
                <w:color w:val="auto"/>
              </w:rPr>
              <w:t> Total liabilities</w:t>
            </w:r>
          </w:p>
        </w:tc>
        <w:tc>
          <w:tcPr>
            <w:tcW w:w="1300" w:type="dxa"/>
            <w:vAlign w:val="bottom"/>
            <w:tcBorders>
              <w:bottom w:val="single" w:sz="8" w:color="B2B2B2"/>
            </w:tcBorders>
          </w:tcPr>
          <w:p>
            <w:pPr>
              <w:jc w:val="right"/>
              <w:ind w:right="101"/>
              <w:spacing w:after="0" w:line="179" w:lineRule="exact"/>
              <w:rPr>
                <w:sz w:val="20"/>
                <w:szCs w:val="20"/>
                <w:color w:val="auto"/>
              </w:rPr>
            </w:pPr>
            <w:r>
              <w:rPr>
                <w:rFonts w:ascii="Arial" w:cs="Arial" w:eastAsia="Arial" w:hAnsi="Arial"/>
                <w:sz w:val="16"/>
                <w:szCs w:val="16"/>
                <w:color w:val="auto"/>
              </w:rPr>
              <w:t>341</w:t>
            </w:r>
          </w:p>
        </w:tc>
      </w:tr>
      <w:tr>
        <w:trPr>
          <w:trHeight w:val="179"/>
        </w:trPr>
        <w:tc>
          <w:tcPr>
            <w:tcW w:w="9500" w:type="dxa"/>
            <w:vAlign w:val="bottom"/>
            <w:tcBorders>
              <w:bottom w:val="single" w:sz="8" w:color="B2B2B2"/>
            </w:tcBorders>
            <w:gridSpan w:val="2"/>
          </w:tcPr>
          <w:p>
            <w:pPr>
              <w:spacing w:after="0" w:line="179" w:lineRule="exact"/>
              <w:rPr>
                <w:sz w:val="20"/>
                <w:szCs w:val="20"/>
                <w:color w:val="auto"/>
              </w:rPr>
            </w:pPr>
            <w:r>
              <w:rPr>
                <w:rFonts w:ascii="Arial" w:cs="Arial" w:eastAsia="Arial" w:hAnsi="Arial"/>
                <w:sz w:val="16"/>
                <w:szCs w:val="16"/>
                <w:color w:val="auto"/>
              </w:rPr>
              <w:t> Net assets attributable to YPL</w:t>
            </w:r>
          </w:p>
        </w:tc>
        <w:tc>
          <w:tcPr>
            <w:tcW w:w="1300" w:type="dxa"/>
            <w:vAlign w:val="bottom"/>
            <w:tcBorders>
              <w:bottom w:val="single" w:sz="8" w:color="B2B2B2"/>
            </w:tcBorders>
          </w:tcPr>
          <w:p>
            <w:pPr>
              <w:jc w:val="right"/>
              <w:ind w:right="101"/>
              <w:spacing w:after="0" w:line="179" w:lineRule="exact"/>
              <w:rPr>
                <w:sz w:val="20"/>
                <w:szCs w:val="20"/>
                <w:color w:val="auto"/>
              </w:rPr>
            </w:pPr>
            <w:r>
              <w:rPr>
                <w:rFonts w:ascii="Arial" w:cs="Arial" w:eastAsia="Arial" w:hAnsi="Arial"/>
                <w:sz w:val="16"/>
                <w:szCs w:val="16"/>
                <w:color w:val="auto"/>
              </w:rPr>
              <w:t>7,855</w:t>
            </w:r>
          </w:p>
        </w:tc>
      </w:tr>
      <w:tr>
        <w:trPr>
          <w:trHeight w:val="204"/>
        </w:trPr>
        <w:tc>
          <w:tcPr>
            <w:tcW w:w="9500" w:type="dxa"/>
            <w:vAlign w:val="bottom"/>
            <w:gridSpan w:val="2"/>
          </w:tcPr>
          <w:p>
            <w:pPr>
              <w:spacing w:after="0"/>
              <w:rPr>
                <w:sz w:val="20"/>
                <w:szCs w:val="20"/>
                <w:color w:val="auto"/>
              </w:rPr>
            </w:pPr>
            <w:r>
              <w:rPr>
                <w:rFonts w:ascii="Arial" w:cs="Arial" w:eastAsia="Arial" w:hAnsi="Arial"/>
                <w:sz w:val="16"/>
                <w:szCs w:val="16"/>
                <w:color w:val="auto"/>
              </w:rPr>
              <w:t> Net assets attributable to YPL - beginning period</w:t>
            </w:r>
          </w:p>
        </w:tc>
        <w:tc>
          <w:tcPr>
            <w:tcW w:w="1300" w:type="dxa"/>
            <w:vAlign w:val="bottom"/>
          </w:tcPr>
          <w:p>
            <w:pPr>
              <w:jc w:val="right"/>
              <w:ind w:right="101"/>
              <w:spacing w:after="0"/>
              <w:rPr>
                <w:sz w:val="20"/>
                <w:szCs w:val="20"/>
                <w:color w:val="auto"/>
              </w:rPr>
            </w:pPr>
            <w:r>
              <w:rPr>
                <w:rFonts w:ascii="Arial" w:cs="Arial" w:eastAsia="Arial" w:hAnsi="Arial"/>
                <w:sz w:val="16"/>
                <w:szCs w:val="16"/>
                <w:color w:val="auto"/>
              </w:rPr>
              <w:t>14,598</w:t>
            </w:r>
          </w:p>
        </w:tc>
      </w:tr>
      <w:tr>
        <w:trPr>
          <w:trHeight w:val="186"/>
        </w:trPr>
        <w:tc>
          <w:tcPr>
            <w:tcW w:w="9500" w:type="dxa"/>
            <w:vAlign w:val="bottom"/>
            <w:gridSpan w:val="2"/>
          </w:tcPr>
          <w:p>
            <w:pPr>
              <w:spacing w:after="0"/>
              <w:rPr>
                <w:sz w:val="20"/>
                <w:szCs w:val="20"/>
                <w:color w:val="auto"/>
              </w:rPr>
            </w:pPr>
            <w:r>
              <w:rPr>
                <w:rFonts w:ascii="Arial" w:cs="Arial" w:eastAsia="Arial" w:hAnsi="Arial"/>
                <w:sz w:val="16"/>
                <w:szCs w:val="16"/>
                <w:color w:val="auto"/>
              </w:rPr>
              <w:t> Net earnings attributable to YPL</w:t>
            </w:r>
          </w:p>
        </w:tc>
        <w:tc>
          <w:tcPr>
            <w:tcW w:w="1300" w:type="dxa"/>
            <w:vAlign w:val="bottom"/>
          </w:tcPr>
          <w:p>
            <w:pPr>
              <w:jc w:val="right"/>
              <w:ind w:right="101"/>
              <w:spacing w:after="0"/>
              <w:rPr>
                <w:sz w:val="20"/>
                <w:szCs w:val="20"/>
                <w:color w:val="auto"/>
              </w:rPr>
            </w:pPr>
            <w:r>
              <w:rPr>
                <w:rFonts w:ascii="Arial" w:cs="Arial" w:eastAsia="Arial" w:hAnsi="Arial"/>
                <w:sz w:val="16"/>
                <w:szCs w:val="16"/>
                <w:color w:val="auto"/>
              </w:rPr>
              <w:t>2,936</w:t>
            </w:r>
          </w:p>
        </w:tc>
      </w:tr>
      <w:tr>
        <w:trPr>
          <w:trHeight w:val="200"/>
        </w:trPr>
        <w:tc>
          <w:tcPr>
            <w:tcW w:w="950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color w:val="auto"/>
              </w:rPr>
              <w:t> Distribution to owners</w:t>
            </w:r>
          </w:p>
        </w:tc>
        <w:tc>
          <w:tcPr>
            <w:tcW w:w="1300" w:type="dxa"/>
            <w:vAlign w:val="bottom"/>
            <w:tcBorders>
              <w:bottom w:val="single" w:sz="8" w:color="B2B2B2"/>
            </w:tcBorders>
          </w:tcPr>
          <w:p>
            <w:pPr>
              <w:jc w:val="right"/>
              <w:ind w:right="101"/>
              <w:spacing w:after="0"/>
              <w:rPr>
                <w:sz w:val="20"/>
                <w:szCs w:val="20"/>
                <w:color w:val="auto"/>
              </w:rPr>
            </w:pPr>
            <w:r>
              <w:rPr>
                <w:rFonts w:ascii="Arial" w:cs="Arial" w:eastAsia="Arial" w:hAnsi="Arial"/>
                <w:sz w:val="16"/>
                <w:szCs w:val="16"/>
                <w:color w:val="auto"/>
              </w:rPr>
              <w:t>(9,679)</w:t>
            </w:r>
          </w:p>
        </w:tc>
      </w:tr>
      <w:tr>
        <w:trPr>
          <w:trHeight w:val="165"/>
        </w:trPr>
        <w:tc>
          <w:tcPr>
            <w:tcW w:w="9500" w:type="dxa"/>
            <w:vAlign w:val="bottom"/>
            <w:gridSpan w:val="2"/>
          </w:tcPr>
          <w:p>
            <w:pPr>
              <w:spacing w:after="0" w:line="165" w:lineRule="exact"/>
              <w:rPr>
                <w:sz w:val="20"/>
                <w:szCs w:val="20"/>
                <w:color w:val="auto"/>
              </w:rPr>
            </w:pPr>
            <w:r>
              <w:rPr>
                <w:rFonts w:ascii="Arial" w:cs="Arial" w:eastAsia="Arial" w:hAnsi="Arial"/>
                <w:sz w:val="16"/>
                <w:szCs w:val="16"/>
                <w:color w:val="auto"/>
              </w:rPr>
              <w:t> Net assets attributable to YPL - ending period</w:t>
            </w:r>
          </w:p>
        </w:tc>
        <w:tc>
          <w:tcPr>
            <w:tcW w:w="1300" w:type="dxa"/>
            <w:vAlign w:val="bottom"/>
          </w:tcPr>
          <w:p>
            <w:pPr>
              <w:jc w:val="right"/>
              <w:ind w:right="101"/>
              <w:spacing w:after="0" w:line="165" w:lineRule="exact"/>
              <w:rPr>
                <w:sz w:val="20"/>
                <w:szCs w:val="20"/>
                <w:color w:val="auto"/>
              </w:rPr>
            </w:pPr>
            <w:r>
              <w:rPr>
                <w:rFonts w:ascii="Arial" w:cs="Arial" w:eastAsia="Arial" w:hAnsi="Arial"/>
                <w:sz w:val="16"/>
                <w:szCs w:val="16"/>
                <w:color w:val="auto"/>
              </w:rPr>
              <w:t>7,855</w:t>
            </w:r>
          </w:p>
        </w:tc>
      </w:tr>
      <w:tr>
        <w:trPr>
          <w:trHeight w:val="185"/>
        </w:trPr>
        <w:tc>
          <w:tcPr>
            <w:tcW w:w="9500" w:type="dxa"/>
            <w:vAlign w:val="bottom"/>
            <w:gridSpan w:val="2"/>
          </w:tcPr>
          <w:p>
            <w:pPr>
              <w:spacing w:after="0"/>
              <w:rPr>
                <w:sz w:val="20"/>
                <w:szCs w:val="20"/>
                <w:color w:val="auto"/>
              </w:rPr>
            </w:pPr>
            <w:r>
              <w:rPr>
                <w:rFonts w:ascii="Arial" w:cs="Arial" w:eastAsia="Arial" w:hAnsi="Arial"/>
                <w:sz w:val="16"/>
                <w:szCs w:val="16"/>
                <w:color w:val="auto"/>
              </w:rPr>
              <w:t> Thomson Reuters % share</w:t>
            </w:r>
          </w:p>
        </w:tc>
        <w:tc>
          <w:tcPr>
            <w:tcW w:w="1300" w:type="dxa"/>
            <w:vAlign w:val="bottom"/>
          </w:tcPr>
          <w:p>
            <w:pPr>
              <w:jc w:val="right"/>
              <w:ind w:right="101"/>
              <w:spacing w:after="0"/>
              <w:rPr>
                <w:sz w:val="20"/>
                <w:szCs w:val="20"/>
                <w:color w:val="auto"/>
              </w:rPr>
            </w:pPr>
            <w:r>
              <w:rPr>
                <w:rFonts w:ascii="Arial" w:cs="Arial" w:eastAsia="Arial" w:hAnsi="Arial"/>
                <w:sz w:val="16"/>
                <w:szCs w:val="16"/>
                <w:color w:val="auto"/>
              </w:rPr>
              <w:t>24.6%</w:t>
            </w:r>
          </w:p>
        </w:tc>
      </w:tr>
      <w:tr>
        <w:trPr>
          <w:trHeight w:val="185"/>
        </w:trPr>
        <w:tc>
          <w:tcPr>
            <w:tcW w:w="9500" w:type="dxa"/>
            <w:vAlign w:val="bottom"/>
            <w:gridSpan w:val="2"/>
          </w:tcPr>
          <w:p>
            <w:pPr>
              <w:spacing w:after="0"/>
              <w:rPr>
                <w:sz w:val="20"/>
                <w:szCs w:val="20"/>
                <w:color w:val="auto"/>
              </w:rPr>
            </w:pPr>
            <w:r>
              <w:rPr>
                <w:rFonts w:ascii="Arial" w:cs="Arial" w:eastAsia="Arial" w:hAnsi="Arial"/>
                <w:sz w:val="16"/>
                <w:szCs w:val="16"/>
                <w:color w:val="auto"/>
              </w:rPr>
              <w:t> Thomson Reuters $ share</w:t>
            </w:r>
          </w:p>
        </w:tc>
        <w:tc>
          <w:tcPr>
            <w:tcW w:w="1300" w:type="dxa"/>
            <w:vAlign w:val="bottom"/>
          </w:tcPr>
          <w:p>
            <w:pPr>
              <w:jc w:val="right"/>
              <w:ind w:right="101"/>
              <w:spacing w:after="0"/>
              <w:rPr>
                <w:sz w:val="20"/>
                <w:szCs w:val="20"/>
                <w:color w:val="auto"/>
              </w:rPr>
            </w:pPr>
            <w:r>
              <w:rPr>
                <w:rFonts w:ascii="Arial" w:cs="Arial" w:eastAsia="Arial" w:hAnsi="Arial"/>
                <w:sz w:val="16"/>
                <w:szCs w:val="16"/>
                <w:color w:val="auto"/>
              </w:rPr>
              <w:t>1,927</w:t>
            </w:r>
          </w:p>
        </w:tc>
      </w:tr>
      <w:tr>
        <w:trPr>
          <w:trHeight w:val="200"/>
        </w:trPr>
        <w:tc>
          <w:tcPr>
            <w:tcW w:w="9500" w:type="dxa"/>
            <w:vAlign w:val="bottom"/>
            <w:tcBorders>
              <w:bottom w:val="single" w:sz="8" w:color="B2B2B2"/>
            </w:tcBorders>
            <w:gridSpan w:val="2"/>
          </w:tcPr>
          <w:p>
            <w:pPr>
              <w:spacing w:after="0" w:line="200" w:lineRule="exact"/>
              <w:rPr>
                <w:sz w:val="20"/>
                <w:szCs w:val="20"/>
                <w:color w:val="auto"/>
              </w:rPr>
            </w:pPr>
            <w:r>
              <w:rPr>
                <w:rFonts w:ascii="Arial" w:cs="Arial" w:eastAsia="Arial" w:hAnsi="Arial"/>
                <w:sz w:val="16"/>
                <w:szCs w:val="16"/>
                <w:color w:val="auto"/>
              </w:rPr>
              <w:t> Historical excluded equity adjustment</w:t>
            </w:r>
            <w:r>
              <w:rPr>
                <w:rFonts w:ascii="Arial" w:cs="Arial" w:eastAsia="Arial" w:hAnsi="Arial"/>
                <w:sz w:val="19"/>
                <w:szCs w:val="19"/>
                <w:color w:val="auto"/>
                <w:vertAlign w:val="superscript"/>
              </w:rPr>
              <w:t>(1)</w:t>
            </w:r>
          </w:p>
        </w:tc>
        <w:tc>
          <w:tcPr>
            <w:tcW w:w="1300" w:type="dxa"/>
            <w:vAlign w:val="bottom"/>
            <w:tcBorders>
              <w:bottom w:val="single" w:sz="8" w:color="B2B2B2"/>
            </w:tcBorders>
          </w:tcPr>
          <w:p>
            <w:pPr>
              <w:jc w:val="right"/>
              <w:ind w:right="101"/>
              <w:spacing w:after="0"/>
              <w:rPr>
                <w:sz w:val="20"/>
                <w:szCs w:val="20"/>
                <w:color w:val="auto"/>
              </w:rPr>
            </w:pPr>
            <w:r>
              <w:rPr>
                <w:rFonts w:ascii="Arial" w:cs="Arial" w:eastAsia="Arial" w:hAnsi="Arial"/>
                <w:sz w:val="16"/>
                <w:szCs w:val="16"/>
                <w:color w:val="auto"/>
              </w:rPr>
              <w:t>(129)</w:t>
            </w:r>
          </w:p>
        </w:tc>
      </w:tr>
      <w:tr>
        <w:trPr>
          <w:trHeight w:val="185"/>
        </w:trPr>
        <w:tc>
          <w:tcPr>
            <w:tcW w:w="9500" w:type="dxa"/>
            <w:vAlign w:val="bottom"/>
            <w:tcBorders>
              <w:bottom w:val="single" w:sz="8" w:color="D64000"/>
            </w:tcBorders>
            <w:gridSpan w:val="2"/>
          </w:tcPr>
          <w:p>
            <w:pPr>
              <w:spacing w:after="0" w:line="179" w:lineRule="exact"/>
              <w:rPr>
                <w:sz w:val="20"/>
                <w:szCs w:val="20"/>
                <w:color w:val="auto"/>
              </w:rPr>
            </w:pPr>
            <w:r>
              <w:rPr>
                <w:rFonts w:ascii="Arial" w:cs="Arial" w:eastAsia="Arial" w:hAnsi="Arial"/>
                <w:sz w:val="16"/>
                <w:szCs w:val="16"/>
                <w:color w:val="auto"/>
              </w:rPr>
              <w:t> Thomson Reuters carrying amount</w:t>
            </w:r>
          </w:p>
        </w:tc>
        <w:tc>
          <w:tcPr>
            <w:tcW w:w="1300" w:type="dxa"/>
            <w:vAlign w:val="bottom"/>
            <w:tcBorders>
              <w:bottom w:val="single" w:sz="8" w:color="D64000"/>
            </w:tcBorders>
          </w:tcPr>
          <w:p>
            <w:pPr>
              <w:jc w:val="right"/>
              <w:ind w:right="101"/>
              <w:spacing w:after="0" w:line="179" w:lineRule="exact"/>
              <w:rPr>
                <w:sz w:val="20"/>
                <w:szCs w:val="20"/>
                <w:color w:val="auto"/>
              </w:rPr>
            </w:pPr>
            <w:r>
              <w:rPr>
                <w:rFonts w:ascii="Arial" w:cs="Arial" w:eastAsia="Arial" w:hAnsi="Arial"/>
                <w:sz w:val="16"/>
                <w:szCs w:val="16"/>
                <w:color w:val="auto"/>
              </w:rPr>
              <w:t>1,798</w:t>
            </w:r>
          </w:p>
        </w:tc>
      </w:tr>
    </w:tbl>
    <w:p>
      <w:pPr>
        <w:spacing w:after="0" w:line="110" w:lineRule="exact"/>
        <w:rPr>
          <w:sz w:val="20"/>
          <w:szCs w:val="20"/>
          <w:color w:val="auto"/>
        </w:rPr>
      </w:pPr>
    </w:p>
    <w:p>
      <w:pPr>
        <w:ind w:left="640" w:hanging="422"/>
        <w:spacing w:after="0"/>
        <w:tabs>
          <w:tab w:leader="none" w:pos="6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Represents the cumulative impact of equity transactions excluded from the Company’s investment in YPL.</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Note 10: Taxation</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components of tax (benefit) expense for 2024 and 2023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83185</wp:posOffset>
            </wp:positionV>
            <wp:extent cx="617537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111"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7280" w:type="dxa"/>
            <w:vAlign w:val="bottom"/>
          </w:tcPr>
          <w:p>
            <w:pPr>
              <w:spacing w:after="0"/>
              <w:rPr>
                <w:sz w:val="17"/>
                <w:szCs w:val="17"/>
                <w:color w:val="auto"/>
              </w:rPr>
            </w:pPr>
          </w:p>
        </w:tc>
        <w:tc>
          <w:tcPr>
            <w:tcW w:w="2440" w:type="dxa"/>
            <w:vAlign w:val="bottom"/>
            <w:gridSpan w:val="2"/>
            <w:shd w:val="clear" w:color="auto" w:fill="E3F3EE"/>
          </w:tcPr>
          <w:p>
            <w:pPr>
              <w:jc w:val="right"/>
              <w:ind w:right="61"/>
              <w:spacing w:after="0"/>
              <w:rPr>
                <w:sz w:val="20"/>
                <w:szCs w:val="20"/>
                <w:color w:val="auto"/>
              </w:rPr>
            </w:pPr>
            <w:r>
              <w:rPr>
                <w:rFonts w:ascii="Arial" w:cs="Arial" w:eastAsia="Arial" w:hAnsi="Arial"/>
                <w:sz w:val="16"/>
                <w:szCs w:val="16"/>
                <w:b w:val="1"/>
                <w:bCs w:val="1"/>
                <w:color w:val="auto"/>
                <w:w w:val="96"/>
              </w:rPr>
              <w:t>     Year ended December 31, </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2"/>
        </w:trPr>
        <w:tc>
          <w:tcPr>
            <w:tcW w:w="7280" w:type="dxa"/>
            <w:vAlign w:val="bottom"/>
            <w:tcBorders>
              <w:bottom w:val="single" w:sz="8" w:color="D64000"/>
            </w:tcBorders>
            <w:shd w:val="clear" w:color="auto" w:fill="1F473D"/>
          </w:tcPr>
          <w:p>
            <w:pPr>
              <w:spacing w:after="0"/>
              <w:rPr>
                <w:sz w:val="16"/>
                <w:szCs w:val="16"/>
                <w:color w:val="auto"/>
              </w:rPr>
            </w:pPr>
          </w:p>
        </w:tc>
        <w:tc>
          <w:tcPr>
            <w:tcW w:w="1480" w:type="dxa"/>
            <w:vAlign w:val="bottom"/>
            <w:tcBorders>
              <w:bottom w:val="single" w:sz="8" w:color="D64000"/>
            </w:tcBorders>
            <w:shd w:val="clear" w:color="auto" w:fill="1F473D"/>
          </w:tcPr>
          <w:p>
            <w:pPr>
              <w:jc w:val="right"/>
              <w:ind w:right="460"/>
              <w:spacing w:after="0"/>
              <w:rPr>
                <w:sz w:val="20"/>
                <w:szCs w:val="20"/>
                <w:color w:val="auto"/>
              </w:rPr>
            </w:pPr>
            <w:r>
              <w:rPr>
                <w:rFonts w:ascii="Arial" w:cs="Arial" w:eastAsia="Arial" w:hAnsi="Arial"/>
                <w:sz w:val="16"/>
                <w:szCs w:val="16"/>
                <w:b w:val="1"/>
                <w:bCs w:val="1"/>
                <w:color w:val="FFFFFF"/>
              </w:rPr>
              <w:t>2024</w:t>
            </w:r>
          </w:p>
        </w:tc>
        <w:tc>
          <w:tcPr>
            <w:tcW w:w="960" w:type="dxa"/>
            <w:vAlign w:val="bottom"/>
            <w:tcBorders>
              <w:bottom w:val="single" w:sz="8" w:color="D64000"/>
            </w:tcBorders>
            <w:shd w:val="clear" w:color="auto" w:fill="1F473D"/>
          </w:tcPr>
          <w:p>
            <w:pPr>
              <w:jc w:val="right"/>
              <w:ind w:right="1"/>
              <w:spacing w:after="0"/>
              <w:rPr>
                <w:sz w:val="20"/>
                <w:szCs w:val="20"/>
                <w:color w:val="auto"/>
              </w:rPr>
            </w:pPr>
            <w:r>
              <w:rPr>
                <w:rFonts w:ascii="Arial" w:cs="Arial" w:eastAsia="Arial" w:hAnsi="Arial"/>
                <w:sz w:val="16"/>
                <w:szCs w:val="16"/>
                <w:color w:val="FFFFFF"/>
              </w:rPr>
              <w:t>2023 </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7280" w:type="dxa"/>
            <w:vAlign w:val="bottom"/>
          </w:tcPr>
          <w:p>
            <w:pPr>
              <w:spacing w:after="0" w:line="171" w:lineRule="exact"/>
              <w:rPr>
                <w:sz w:val="20"/>
                <w:szCs w:val="20"/>
                <w:color w:val="auto"/>
              </w:rPr>
            </w:pPr>
            <w:r>
              <w:rPr>
                <w:rFonts w:ascii="Arial" w:cs="Arial" w:eastAsia="Arial" w:hAnsi="Arial"/>
                <w:sz w:val="16"/>
                <w:szCs w:val="16"/>
                <w:color w:val="auto"/>
              </w:rPr>
              <w:t> Current tax expense</w:t>
            </w:r>
          </w:p>
        </w:tc>
        <w:tc>
          <w:tcPr>
            <w:tcW w:w="1480" w:type="dxa"/>
            <w:vAlign w:val="bottom"/>
          </w:tcPr>
          <w:p>
            <w:pPr>
              <w:jc w:val="right"/>
              <w:ind w:right="400"/>
              <w:spacing w:after="0" w:line="171" w:lineRule="exact"/>
              <w:rPr>
                <w:sz w:val="20"/>
                <w:szCs w:val="20"/>
                <w:color w:val="auto"/>
              </w:rPr>
            </w:pPr>
            <w:r>
              <w:rPr>
                <w:rFonts w:ascii="Arial" w:cs="Arial" w:eastAsia="Arial" w:hAnsi="Arial"/>
                <w:sz w:val="16"/>
                <w:szCs w:val="16"/>
                <w:b w:val="1"/>
                <w:bCs w:val="1"/>
                <w:color w:val="auto"/>
              </w:rPr>
              <w:t>517</w:t>
            </w:r>
          </w:p>
        </w:tc>
        <w:tc>
          <w:tcPr>
            <w:tcW w:w="960" w:type="dxa"/>
            <w:vAlign w:val="bottom"/>
          </w:tcPr>
          <w:p>
            <w:pPr>
              <w:jc w:val="right"/>
              <w:spacing w:after="0" w:line="171" w:lineRule="exact"/>
              <w:rPr>
                <w:sz w:val="20"/>
                <w:szCs w:val="20"/>
                <w:color w:val="auto"/>
              </w:rPr>
            </w:pPr>
            <w:r>
              <w:rPr>
                <w:rFonts w:ascii="Arial" w:cs="Arial" w:eastAsia="Arial" w:hAnsi="Arial"/>
                <w:sz w:val="16"/>
                <w:szCs w:val="16"/>
                <w:color w:val="auto"/>
              </w:rPr>
              <w:t>805  </w:t>
            </w: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0"/>
        </w:trPr>
        <w:tc>
          <w:tcPr>
            <w:tcW w:w="7280" w:type="dxa"/>
            <w:vAlign w:val="bottom"/>
          </w:tcPr>
          <w:p>
            <w:pPr>
              <w:spacing w:after="0"/>
              <w:rPr>
                <w:sz w:val="20"/>
                <w:szCs w:val="20"/>
                <w:color w:val="auto"/>
              </w:rPr>
            </w:pPr>
            <w:r>
              <w:rPr>
                <w:rFonts w:ascii="Arial" w:cs="Arial" w:eastAsia="Arial" w:hAnsi="Arial"/>
                <w:sz w:val="16"/>
                <w:szCs w:val="16"/>
                <w:color w:val="auto"/>
              </w:rPr>
              <w:t> Deferred tax benefit</w:t>
            </w:r>
          </w:p>
        </w:tc>
        <w:tc>
          <w:tcPr>
            <w:tcW w:w="1480" w:type="dxa"/>
            <w:vAlign w:val="bottom"/>
          </w:tcPr>
          <w:p>
            <w:pPr>
              <w:jc w:val="right"/>
              <w:ind w:right="400"/>
              <w:spacing w:after="0"/>
              <w:rPr>
                <w:sz w:val="20"/>
                <w:szCs w:val="20"/>
                <w:color w:val="auto"/>
              </w:rPr>
            </w:pPr>
            <w:r>
              <w:rPr>
                <w:rFonts w:ascii="Arial" w:cs="Arial" w:eastAsia="Arial" w:hAnsi="Arial"/>
                <w:sz w:val="16"/>
                <w:szCs w:val="16"/>
                <w:b w:val="1"/>
                <w:bCs w:val="1"/>
                <w:color w:val="auto"/>
              </w:rPr>
              <w:t>(640)</w:t>
            </w:r>
          </w:p>
        </w:tc>
        <w:tc>
          <w:tcPr>
            <w:tcW w:w="2060" w:type="dxa"/>
            <w:vAlign w:val="bottom"/>
            <w:gridSpan w:val="3"/>
          </w:tcPr>
          <w:p>
            <w:pPr>
              <w:jc w:val="right"/>
              <w:ind w:right="1100"/>
              <w:spacing w:after="0"/>
              <w:rPr>
                <w:sz w:val="20"/>
                <w:szCs w:val="20"/>
                <w:color w:val="auto"/>
              </w:rPr>
            </w:pPr>
            <w:r>
              <w:rPr>
                <w:rFonts w:ascii="Arial" w:cs="Arial" w:eastAsia="Arial" w:hAnsi="Arial"/>
                <w:sz w:val="16"/>
                <w:szCs w:val="16"/>
                <w:color w:val="auto"/>
              </w:rPr>
              <w:t>(388)  </w:t>
            </w:r>
          </w:p>
        </w:tc>
      </w:tr>
      <w:tr>
        <w:trPr>
          <w:trHeight w:val="185"/>
        </w:trPr>
        <w:tc>
          <w:tcPr>
            <w:tcW w:w="7280" w:type="dxa"/>
            <w:vAlign w:val="bottom"/>
            <w:tcBorders>
              <w:top w:val="single" w:sz="8" w:color="B2B2B2"/>
              <w:bottom w:val="single" w:sz="8" w:color="D64000"/>
            </w:tcBorders>
          </w:tcPr>
          <w:p>
            <w:pPr>
              <w:spacing w:after="0" w:line="179" w:lineRule="exact"/>
              <w:rPr>
                <w:sz w:val="20"/>
                <w:szCs w:val="20"/>
                <w:color w:val="auto"/>
              </w:rPr>
            </w:pPr>
            <w:r>
              <w:rPr>
                <w:rFonts w:ascii="Arial" w:cs="Arial" w:eastAsia="Arial" w:hAnsi="Arial"/>
                <w:sz w:val="16"/>
                <w:szCs w:val="16"/>
                <w:color w:val="auto"/>
              </w:rPr>
              <w:t> Total tax (benefit) expense</w:t>
            </w:r>
          </w:p>
        </w:tc>
        <w:tc>
          <w:tcPr>
            <w:tcW w:w="1480" w:type="dxa"/>
            <w:vAlign w:val="bottom"/>
            <w:tcBorders>
              <w:top w:val="single" w:sz="8" w:color="B2B2B2"/>
              <w:bottom w:val="single" w:sz="8" w:color="D64000"/>
            </w:tcBorders>
          </w:tcPr>
          <w:p>
            <w:pPr>
              <w:jc w:val="right"/>
              <w:ind w:right="400"/>
              <w:spacing w:after="0" w:line="179" w:lineRule="exact"/>
              <w:rPr>
                <w:sz w:val="20"/>
                <w:szCs w:val="20"/>
                <w:color w:val="auto"/>
              </w:rPr>
            </w:pPr>
            <w:r>
              <w:rPr>
                <w:rFonts w:ascii="Arial" w:cs="Arial" w:eastAsia="Arial" w:hAnsi="Arial"/>
                <w:sz w:val="16"/>
                <w:szCs w:val="16"/>
                <w:b w:val="1"/>
                <w:bCs w:val="1"/>
                <w:color w:val="auto"/>
              </w:rPr>
              <w:t>(123)</w:t>
            </w:r>
          </w:p>
        </w:tc>
        <w:tc>
          <w:tcPr>
            <w:tcW w:w="960" w:type="dxa"/>
            <w:vAlign w:val="bottom"/>
            <w:tcBorders>
              <w:top w:val="single" w:sz="8" w:color="B2B2B2"/>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417  </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9"/>
        </w:trPr>
        <w:tc>
          <w:tcPr>
            <w:tcW w:w="7280" w:type="dxa"/>
            <w:vAlign w:val="bottom"/>
            <w:tcBorders>
              <w:bottom w:val="single" w:sz="8" w:color="7F7F7F"/>
            </w:tcBorders>
          </w:tcPr>
          <w:p>
            <w:pPr>
              <w:spacing w:after="0"/>
              <w:rPr>
                <w:sz w:val="13"/>
                <w:szCs w:val="13"/>
                <w:color w:val="auto"/>
              </w:rPr>
            </w:pPr>
          </w:p>
        </w:tc>
        <w:tc>
          <w:tcPr>
            <w:tcW w:w="3520" w:type="dxa"/>
            <w:vAlign w:val="bottom"/>
            <w:tcBorders>
              <w:bottom w:val="single" w:sz="8" w:color="7F7F7F"/>
            </w:tcBorders>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41"/>
        </w:trPr>
        <w:tc>
          <w:tcPr>
            <w:tcW w:w="7280" w:type="dxa"/>
            <w:vAlign w:val="bottom"/>
          </w:tcPr>
          <w:p>
            <w:pPr>
              <w:spacing w:after="0"/>
              <w:rPr>
                <w:sz w:val="20"/>
                <w:szCs w:val="20"/>
                <w:color w:val="auto"/>
              </w:rPr>
            </w:pPr>
            <w:r>
              <w:rPr>
                <w:rFonts w:ascii="Arial" w:cs="Arial" w:eastAsia="Arial" w:hAnsi="Arial"/>
                <w:sz w:val="17"/>
                <w:szCs w:val="17"/>
                <w:color w:val="auto"/>
              </w:rPr>
              <w:t>Page 106</w:t>
            </w:r>
          </w:p>
        </w:tc>
        <w:tc>
          <w:tcPr>
            <w:tcW w:w="3540" w:type="dxa"/>
            <w:vAlign w:val="bottom"/>
            <w:gridSpan w:val="4"/>
          </w:tcPr>
          <w:p>
            <w:pPr>
              <w:ind w:left="480"/>
              <w:spacing w:after="0"/>
              <w:rPr>
                <w:sz w:val="20"/>
                <w:szCs w:val="20"/>
                <w:color w:val="auto"/>
              </w:rPr>
            </w:pPr>
            <w:r>
              <w:rPr>
                <w:rFonts w:ascii="Arial" w:cs="Arial" w:eastAsia="Arial" w:hAnsi="Arial"/>
                <w:sz w:val="17"/>
                <w:szCs w:val="17"/>
                <w:b w:val="1"/>
                <w:bCs w:val="1"/>
                <w:color w:val="auto"/>
                <w:w w:val="98"/>
              </w:rPr>
              <w:t>Thomson Reuters Annual Report 2024</w:t>
            </w:r>
          </w:p>
        </w:tc>
      </w:tr>
    </w:tbl>
    <w:p>
      <w:pPr>
        <w:sectPr>
          <w:pgSz w:w="11900" w:h="16838" w:orient="portrait"/>
          <w:cols w:equalWidth="0" w:num="1">
            <w:col w:w="11040"/>
          </w:cols>
          <w:pgMar w:left="320" w:top="477" w:right="5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Taxes on items recognized in “Other comprehensive (loss) income” or directly in equity in 2024 and 2023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142240</wp:posOffset>
            </wp:positionV>
            <wp:extent cx="617537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204"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7320" w:type="dxa"/>
            <w:vAlign w:val="bottom"/>
          </w:tcPr>
          <w:p>
            <w:pPr>
              <w:spacing w:after="0"/>
              <w:rPr>
                <w:sz w:val="17"/>
                <w:szCs w:val="17"/>
                <w:color w:val="auto"/>
              </w:rPr>
            </w:pPr>
          </w:p>
        </w:tc>
        <w:tc>
          <w:tcPr>
            <w:tcW w:w="2400" w:type="dxa"/>
            <w:vAlign w:val="bottom"/>
            <w:gridSpan w:val="2"/>
            <w:shd w:val="clear" w:color="auto" w:fill="E3F3EE"/>
          </w:tcPr>
          <w:p>
            <w:pPr>
              <w:jc w:val="right"/>
              <w:ind w:right="1"/>
              <w:spacing w:after="0"/>
              <w:rPr>
                <w:sz w:val="20"/>
                <w:szCs w:val="20"/>
                <w:color w:val="auto"/>
              </w:rPr>
            </w:pPr>
            <w:r>
              <w:rPr>
                <w:rFonts w:ascii="Arial" w:cs="Arial" w:eastAsia="Arial" w:hAnsi="Arial"/>
                <w:sz w:val="16"/>
                <w:szCs w:val="16"/>
                <w:b w:val="1"/>
                <w:bCs w:val="1"/>
                <w:color w:val="auto"/>
                <w:w w:val="97"/>
              </w:rPr>
              <w:t>     Year ended December 31, </w:t>
            </w:r>
          </w:p>
        </w:tc>
      </w:tr>
      <w:tr>
        <w:trPr>
          <w:trHeight w:val="192"/>
        </w:trPr>
        <w:tc>
          <w:tcPr>
            <w:tcW w:w="7320" w:type="dxa"/>
            <w:vAlign w:val="bottom"/>
            <w:tcBorders>
              <w:bottom w:val="single" w:sz="8" w:color="D64000"/>
            </w:tcBorders>
            <w:shd w:val="clear" w:color="auto" w:fill="1F473D"/>
          </w:tcPr>
          <w:p>
            <w:pPr>
              <w:spacing w:after="0"/>
              <w:rPr>
                <w:sz w:val="16"/>
                <w:szCs w:val="16"/>
                <w:color w:val="auto"/>
              </w:rPr>
            </w:pPr>
          </w:p>
        </w:tc>
        <w:tc>
          <w:tcPr>
            <w:tcW w:w="1460" w:type="dxa"/>
            <w:vAlign w:val="bottom"/>
            <w:tcBorders>
              <w:bottom w:val="single" w:sz="8" w:color="D64000"/>
            </w:tcBorders>
            <w:shd w:val="clear" w:color="auto" w:fill="1F473D"/>
          </w:tcPr>
          <w:p>
            <w:pPr>
              <w:jc w:val="right"/>
              <w:ind w:right="421"/>
              <w:spacing w:after="0"/>
              <w:rPr>
                <w:sz w:val="20"/>
                <w:szCs w:val="20"/>
                <w:color w:val="auto"/>
              </w:rPr>
            </w:pPr>
            <w:r>
              <w:rPr>
                <w:rFonts w:ascii="Arial" w:cs="Arial" w:eastAsia="Arial" w:hAnsi="Arial"/>
                <w:sz w:val="16"/>
                <w:szCs w:val="16"/>
                <w:b w:val="1"/>
                <w:bCs w:val="1"/>
                <w:color w:val="FFFFFF"/>
              </w:rPr>
              <w:t>2024</w:t>
            </w:r>
          </w:p>
        </w:tc>
        <w:tc>
          <w:tcPr>
            <w:tcW w:w="940" w:type="dxa"/>
            <w:vAlign w:val="bottom"/>
            <w:tcBorders>
              <w:bottom w:val="single" w:sz="8" w:color="D64000"/>
            </w:tcBorders>
            <w:shd w:val="clear" w:color="auto" w:fill="1F473D"/>
          </w:tcPr>
          <w:p>
            <w:pPr>
              <w:jc w:val="right"/>
              <w:ind w:right="1"/>
              <w:spacing w:after="0"/>
              <w:rPr>
                <w:sz w:val="20"/>
                <w:szCs w:val="20"/>
                <w:color w:val="auto"/>
              </w:rPr>
            </w:pPr>
            <w:r>
              <w:rPr>
                <w:rFonts w:ascii="Arial" w:cs="Arial" w:eastAsia="Arial" w:hAnsi="Arial"/>
                <w:sz w:val="16"/>
                <w:szCs w:val="16"/>
                <w:color w:val="FFFFFF"/>
              </w:rPr>
              <w:t>2023 </w:t>
            </w:r>
          </w:p>
        </w:tc>
      </w:tr>
      <w:tr>
        <w:trPr>
          <w:trHeight w:val="218"/>
        </w:trPr>
        <w:tc>
          <w:tcPr>
            <w:tcW w:w="7320" w:type="dxa"/>
            <w:vAlign w:val="bottom"/>
          </w:tcPr>
          <w:p>
            <w:pPr>
              <w:spacing w:after="0"/>
              <w:rPr>
                <w:sz w:val="20"/>
                <w:szCs w:val="20"/>
                <w:color w:val="auto"/>
              </w:rPr>
            </w:pPr>
            <w:r>
              <w:rPr>
                <w:rFonts w:ascii="Arial" w:cs="Arial" w:eastAsia="Arial" w:hAnsi="Arial"/>
                <w:sz w:val="16"/>
                <w:szCs w:val="16"/>
                <w:b w:val="1"/>
                <w:bCs w:val="1"/>
                <w:color w:val="auto"/>
              </w:rPr>
              <w:t> Included in Other comprehensive (loss) income</w:t>
            </w:r>
          </w:p>
        </w:tc>
        <w:tc>
          <w:tcPr>
            <w:tcW w:w="1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4"/>
        </w:trPr>
        <w:tc>
          <w:tcPr>
            <w:tcW w:w="7320" w:type="dxa"/>
            <w:vAlign w:val="bottom"/>
          </w:tcPr>
          <w:p>
            <w:pPr>
              <w:spacing w:after="0"/>
              <w:rPr>
                <w:sz w:val="20"/>
                <w:szCs w:val="20"/>
                <w:color w:val="auto"/>
              </w:rPr>
            </w:pPr>
            <w:r>
              <w:rPr>
                <w:rFonts w:ascii="Arial" w:cs="Arial" w:eastAsia="Arial" w:hAnsi="Arial"/>
                <w:sz w:val="16"/>
                <w:szCs w:val="16"/>
                <w:color w:val="auto"/>
              </w:rPr>
              <w:t> Deferred tax expense on cash flow hedges adjustments to equity</w:t>
            </w:r>
          </w:p>
        </w:tc>
        <w:tc>
          <w:tcPr>
            <w:tcW w:w="1460" w:type="dxa"/>
            <w:vAlign w:val="bottom"/>
          </w:tcPr>
          <w:p>
            <w:pPr>
              <w:jc w:val="right"/>
              <w:ind w:right="361"/>
              <w:spacing w:after="0"/>
              <w:rPr>
                <w:sz w:val="20"/>
                <w:szCs w:val="20"/>
                <w:color w:val="auto"/>
              </w:rPr>
            </w:pPr>
            <w:r>
              <w:rPr>
                <w:rFonts w:ascii="Arial" w:cs="Arial" w:eastAsia="Arial" w:hAnsi="Arial"/>
                <w:sz w:val="16"/>
                <w:szCs w:val="16"/>
                <w:b w:val="1"/>
                <w:bCs w:val="1"/>
                <w:color w:val="auto"/>
              </w:rPr>
              <w:t>1</w:t>
            </w:r>
          </w:p>
        </w:tc>
        <w:tc>
          <w:tcPr>
            <w:tcW w:w="9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39"/>
        </w:trPr>
        <w:tc>
          <w:tcPr>
            <w:tcW w:w="7320" w:type="dxa"/>
            <w:vAlign w:val="bottom"/>
          </w:tcPr>
          <w:p>
            <w:pPr>
              <w:spacing w:after="0"/>
              <w:rPr>
                <w:sz w:val="20"/>
                <w:szCs w:val="20"/>
                <w:color w:val="auto"/>
              </w:rPr>
            </w:pPr>
            <w:r>
              <w:rPr>
                <w:rFonts w:ascii="Arial" w:cs="Arial" w:eastAsia="Arial" w:hAnsi="Arial"/>
                <w:sz w:val="16"/>
                <w:szCs w:val="16"/>
                <w:color w:val="auto"/>
              </w:rPr>
              <w:t> Deferred tax expense on fair value adjustments on financial assets</w:t>
            </w:r>
          </w:p>
        </w:tc>
        <w:tc>
          <w:tcPr>
            <w:tcW w:w="1460" w:type="dxa"/>
            <w:vAlign w:val="bottom"/>
          </w:tcPr>
          <w:p>
            <w:pPr>
              <w:jc w:val="right"/>
              <w:ind w:right="361"/>
              <w:spacing w:after="0"/>
              <w:rPr>
                <w:sz w:val="20"/>
                <w:szCs w:val="20"/>
                <w:color w:val="auto"/>
              </w:rPr>
            </w:pPr>
            <w:r>
              <w:rPr>
                <w:rFonts w:ascii="Arial" w:cs="Arial" w:eastAsia="Arial" w:hAnsi="Arial"/>
                <w:sz w:val="16"/>
                <w:szCs w:val="16"/>
                <w:b w:val="1"/>
                <w:bCs w:val="1"/>
                <w:color w:val="auto"/>
              </w:rPr>
              <w:t>2</w:t>
            </w:r>
          </w:p>
        </w:tc>
        <w:tc>
          <w:tcPr>
            <w:tcW w:w="9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38"/>
        </w:trPr>
        <w:tc>
          <w:tcPr>
            <w:tcW w:w="7320" w:type="dxa"/>
            <w:vAlign w:val="bottom"/>
          </w:tcPr>
          <w:p>
            <w:pPr>
              <w:spacing w:after="0"/>
              <w:rPr>
                <w:sz w:val="20"/>
                <w:szCs w:val="20"/>
                <w:color w:val="auto"/>
              </w:rPr>
            </w:pPr>
            <w:r>
              <w:rPr>
                <w:rFonts w:ascii="Arial" w:cs="Arial" w:eastAsia="Arial" w:hAnsi="Arial"/>
                <w:sz w:val="16"/>
                <w:szCs w:val="16"/>
                <w:color w:val="auto"/>
              </w:rPr>
              <w:t> Deferred tax expense on remeasurement on defined benefit pension plans</w:t>
            </w:r>
          </w:p>
        </w:tc>
        <w:tc>
          <w:tcPr>
            <w:tcW w:w="1460" w:type="dxa"/>
            <w:vAlign w:val="bottom"/>
          </w:tcPr>
          <w:p>
            <w:pPr>
              <w:jc w:val="right"/>
              <w:ind w:right="361"/>
              <w:spacing w:after="0"/>
              <w:rPr>
                <w:sz w:val="20"/>
                <w:szCs w:val="20"/>
                <w:color w:val="auto"/>
              </w:rPr>
            </w:pPr>
            <w:r>
              <w:rPr>
                <w:rFonts w:ascii="Arial" w:cs="Arial" w:eastAsia="Arial" w:hAnsi="Arial"/>
                <w:sz w:val="16"/>
                <w:szCs w:val="16"/>
                <w:b w:val="1"/>
                <w:bCs w:val="1"/>
                <w:color w:val="auto"/>
              </w:rPr>
              <w:t>5</w:t>
            </w:r>
          </w:p>
        </w:tc>
        <w:tc>
          <w:tcPr>
            <w:tcW w:w="9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38"/>
        </w:trPr>
        <w:tc>
          <w:tcPr>
            <w:tcW w:w="7320" w:type="dxa"/>
            <w:vAlign w:val="bottom"/>
          </w:tcPr>
          <w:p>
            <w:pPr>
              <w:spacing w:after="0"/>
              <w:rPr>
                <w:sz w:val="20"/>
                <w:szCs w:val="20"/>
                <w:color w:val="auto"/>
              </w:rPr>
            </w:pPr>
            <w:r>
              <w:rPr>
                <w:rFonts w:ascii="Arial" w:cs="Arial" w:eastAsia="Arial" w:hAnsi="Arial"/>
                <w:sz w:val="16"/>
                <w:szCs w:val="16"/>
                <w:b w:val="1"/>
                <w:bCs w:val="1"/>
                <w:color w:val="auto"/>
              </w:rPr>
              <w:t> Included in Equity</w:t>
            </w:r>
          </w:p>
        </w:tc>
        <w:tc>
          <w:tcPr>
            <w:tcW w:w="1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8"/>
        </w:trPr>
        <w:tc>
          <w:tcPr>
            <w:tcW w:w="7320" w:type="dxa"/>
            <w:vAlign w:val="bottom"/>
          </w:tcPr>
          <w:p>
            <w:pPr>
              <w:spacing w:after="0"/>
              <w:rPr>
                <w:sz w:val="20"/>
                <w:szCs w:val="20"/>
                <w:color w:val="auto"/>
              </w:rPr>
            </w:pPr>
            <w:r>
              <w:rPr>
                <w:rFonts w:ascii="Arial" w:cs="Arial" w:eastAsia="Arial" w:hAnsi="Arial"/>
                <w:sz w:val="16"/>
                <w:szCs w:val="16"/>
                <w:color w:val="auto"/>
              </w:rPr>
              <w:t> Deferred tax expense on share-based payments</w:t>
            </w:r>
          </w:p>
        </w:tc>
        <w:tc>
          <w:tcPr>
            <w:tcW w:w="1460" w:type="dxa"/>
            <w:vAlign w:val="bottom"/>
          </w:tcPr>
          <w:p>
            <w:pPr>
              <w:jc w:val="right"/>
              <w:ind w:right="361"/>
              <w:spacing w:after="0"/>
              <w:rPr>
                <w:sz w:val="20"/>
                <w:szCs w:val="20"/>
                <w:color w:val="auto"/>
              </w:rPr>
            </w:pPr>
            <w:r>
              <w:rPr>
                <w:rFonts w:ascii="Arial" w:cs="Arial" w:eastAsia="Arial" w:hAnsi="Arial"/>
                <w:sz w:val="16"/>
                <w:szCs w:val="16"/>
                <w:b w:val="1"/>
                <w:bCs w:val="1"/>
                <w:color w:val="auto"/>
              </w:rPr>
              <w:t>4</w:t>
            </w:r>
          </w:p>
        </w:tc>
        <w:tc>
          <w:tcPr>
            <w:tcW w:w="940" w:type="dxa"/>
            <w:vAlign w:val="bottom"/>
          </w:tcPr>
          <w:p>
            <w:pPr>
              <w:jc w:val="right"/>
              <w:spacing w:after="0"/>
              <w:rPr>
                <w:sz w:val="20"/>
                <w:szCs w:val="20"/>
                <w:color w:val="auto"/>
              </w:rPr>
            </w:pPr>
            <w:r>
              <w:rPr>
                <w:rFonts w:ascii="Arial" w:cs="Arial" w:eastAsia="Arial" w:hAnsi="Arial"/>
                <w:sz w:val="16"/>
                <w:szCs w:val="16"/>
                <w:color w:val="auto"/>
              </w:rPr>
              <w:t>3  </w:t>
            </w:r>
          </w:p>
        </w:tc>
      </w:tr>
      <w:tr>
        <w:trPr>
          <w:trHeight w:val="238"/>
        </w:trPr>
        <w:tc>
          <w:tcPr>
            <w:tcW w:w="7320" w:type="dxa"/>
            <w:vAlign w:val="bottom"/>
          </w:tcPr>
          <w:p>
            <w:pPr>
              <w:spacing w:after="0"/>
              <w:rPr>
                <w:sz w:val="20"/>
                <w:szCs w:val="20"/>
                <w:color w:val="auto"/>
              </w:rPr>
            </w:pPr>
            <w:r>
              <w:rPr>
                <w:rFonts w:ascii="Arial" w:cs="Arial" w:eastAsia="Arial" w:hAnsi="Arial"/>
                <w:sz w:val="16"/>
                <w:szCs w:val="16"/>
                <w:color w:val="auto"/>
              </w:rPr>
              <w:t> Current tax benefit on share-based payments</w:t>
            </w:r>
          </w:p>
        </w:tc>
        <w:tc>
          <w:tcPr>
            <w:tcW w:w="1460" w:type="dxa"/>
            <w:vAlign w:val="bottom"/>
          </w:tcPr>
          <w:p>
            <w:pPr>
              <w:jc w:val="right"/>
              <w:ind w:right="361"/>
              <w:spacing w:after="0"/>
              <w:rPr>
                <w:sz w:val="20"/>
                <w:szCs w:val="20"/>
                <w:color w:val="auto"/>
              </w:rPr>
            </w:pPr>
            <w:r>
              <w:rPr>
                <w:rFonts w:ascii="Arial" w:cs="Arial" w:eastAsia="Arial" w:hAnsi="Arial"/>
                <w:sz w:val="16"/>
                <w:szCs w:val="16"/>
                <w:b w:val="1"/>
                <w:bCs w:val="1"/>
                <w:color w:val="auto"/>
              </w:rPr>
              <w:t>(12)</w:t>
            </w:r>
          </w:p>
        </w:tc>
        <w:tc>
          <w:tcPr>
            <w:tcW w:w="940" w:type="dxa"/>
            <w:vAlign w:val="bottom"/>
          </w:tcPr>
          <w:p>
            <w:pPr>
              <w:jc w:val="right"/>
              <w:spacing w:after="0"/>
              <w:rPr>
                <w:sz w:val="20"/>
                <w:szCs w:val="20"/>
                <w:color w:val="auto"/>
              </w:rPr>
            </w:pPr>
            <w:r>
              <w:rPr>
                <w:rFonts w:ascii="Arial" w:cs="Arial" w:eastAsia="Arial" w:hAnsi="Arial"/>
                <w:sz w:val="16"/>
                <w:szCs w:val="16"/>
                <w:color w:val="auto"/>
              </w:rPr>
              <w:t>(6)  </w:t>
            </w:r>
          </w:p>
        </w:tc>
      </w:tr>
      <w:tr>
        <w:trPr>
          <w:trHeight w:val="41"/>
        </w:trPr>
        <w:tc>
          <w:tcPr>
            <w:tcW w:w="7320" w:type="dxa"/>
            <w:vAlign w:val="bottom"/>
            <w:tcBorders>
              <w:bottom w:val="single" w:sz="8" w:color="D64000"/>
            </w:tcBorders>
          </w:tcPr>
          <w:p>
            <w:pPr>
              <w:spacing w:after="0"/>
              <w:rPr>
                <w:sz w:val="3"/>
                <w:szCs w:val="3"/>
                <w:color w:val="auto"/>
              </w:rPr>
            </w:pPr>
          </w:p>
        </w:tc>
        <w:tc>
          <w:tcPr>
            <w:tcW w:w="1460" w:type="dxa"/>
            <w:vAlign w:val="bottom"/>
            <w:tcBorders>
              <w:bottom w:val="single" w:sz="8" w:color="D64000"/>
            </w:tcBorders>
          </w:tcPr>
          <w:p>
            <w:pPr>
              <w:spacing w:after="0"/>
              <w:rPr>
                <w:sz w:val="3"/>
                <w:szCs w:val="3"/>
                <w:color w:val="auto"/>
              </w:rPr>
            </w:pPr>
          </w:p>
        </w:tc>
        <w:tc>
          <w:tcPr>
            <w:tcW w:w="940" w:type="dxa"/>
            <w:vAlign w:val="bottom"/>
            <w:tcBorders>
              <w:bottom w:val="single" w:sz="8" w:color="D64000"/>
            </w:tcBorders>
          </w:tcPr>
          <w:p>
            <w:pPr>
              <w:spacing w:after="0"/>
              <w:rPr>
                <w:sz w:val="3"/>
                <w:szCs w:val="3"/>
                <w:color w:val="auto"/>
              </w:rPr>
            </w:pPr>
          </w:p>
        </w:tc>
      </w:tr>
    </w:tbl>
    <w:p>
      <w:pPr>
        <w:spacing w:after="0" w:line="15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Items affecting tax expense for 2024 and 2023</w:t>
      </w:r>
    </w:p>
    <w:p>
      <w:pPr>
        <w:spacing w:after="0" w:line="96" w:lineRule="exact"/>
        <w:rPr>
          <w:sz w:val="20"/>
          <w:szCs w:val="20"/>
          <w:color w:val="auto"/>
        </w:rPr>
      </w:pPr>
    </w:p>
    <w:p>
      <w:pPr>
        <w:ind w:left="220" w:right="80"/>
        <w:spacing w:after="0" w:line="236" w:lineRule="auto"/>
        <w:rPr>
          <w:sz w:val="20"/>
          <w:szCs w:val="20"/>
          <w:color w:val="auto"/>
        </w:rPr>
      </w:pPr>
      <w:r>
        <w:rPr>
          <w:rFonts w:ascii="Arial" w:cs="Arial" w:eastAsia="Arial" w:hAnsi="Arial"/>
          <w:sz w:val="17"/>
          <w:szCs w:val="17"/>
          <w:color w:val="auto"/>
        </w:rPr>
        <w:t>In 2024, the net tax benefit included a $468 million benefit from the recognition of a deferred tax asset relating to new tax legislation enacted in Canada in June 2024. The new legislation reduced the Company’s ability to deduct interest expense against its Canadian taxable income, thereby increasing Canadian taxable profits such that the Company now expects to utilize tax loss carryforwards and other tax attributes, which it had not previously recognized as a deferred tax asset. Additionally, in 2024, the tax benefit was partly offset by $54 million of tax expense related to the gain on sale of the FindLaw business.</w:t>
      </w:r>
    </w:p>
    <w:p>
      <w:pPr>
        <w:spacing w:after="0" w:line="59" w:lineRule="exact"/>
        <w:rPr>
          <w:sz w:val="20"/>
          <w:szCs w:val="20"/>
          <w:color w:val="auto"/>
        </w:rPr>
      </w:pPr>
    </w:p>
    <w:p>
      <w:pPr>
        <w:ind w:left="220" w:right="140"/>
        <w:spacing w:after="0" w:line="234" w:lineRule="auto"/>
        <w:rPr>
          <w:sz w:val="20"/>
          <w:szCs w:val="20"/>
          <w:color w:val="auto"/>
        </w:rPr>
      </w:pPr>
      <w:r>
        <w:rPr>
          <w:rFonts w:ascii="Arial" w:cs="Arial" w:eastAsia="Arial" w:hAnsi="Arial"/>
          <w:sz w:val="17"/>
          <w:szCs w:val="17"/>
          <w:color w:val="auto"/>
        </w:rPr>
        <w:t>Additionally, in January 2024, the Company began recording tax expense associated with the “Pillar Two model rules” as published by the Organization for Economic Cooperation and Development and enacted by key jurisdictions in which the Company operates. These rules are designed to ensure large multinational enterprises within the scope of the rules pay a minimum level of tax in each jurisdiction where they operate. In general, the “Pillar Two model rules” apply a system of top-up taxes to bring the enterprise’s effective tax rate in each jurisdiction to a minimum of 15%. In 2024, the Company recorded $4 million of current top-up tax expense which was attributable to its earnings in Switzerland. The Company has applied the exception to recognizing and disclosing information about deferred tax assets and liabilities related to Pillar Two income taxes.</w:t>
      </w:r>
    </w:p>
    <w:p>
      <w:pPr>
        <w:spacing w:after="0" w:line="44" w:lineRule="exact"/>
        <w:rPr>
          <w:sz w:val="20"/>
          <w:szCs w:val="20"/>
          <w:color w:val="auto"/>
        </w:rPr>
      </w:pPr>
    </w:p>
    <w:p>
      <w:pPr>
        <w:ind w:left="220" w:right="40"/>
        <w:spacing w:after="0" w:line="254" w:lineRule="auto"/>
        <w:rPr>
          <w:sz w:val="20"/>
          <w:szCs w:val="20"/>
          <w:color w:val="auto"/>
        </w:rPr>
      </w:pPr>
      <w:r>
        <w:rPr>
          <w:rFonts w:ascii="Arial" w:cs="Arial" w:eastAsia="Arial" w:hAnsi="Arial"/>
          <w:sz w:val="16"/>
          <w:szCs w:val="16"/>
          <w:color w:val="auto"/>
        </w:rPr>
        <w:t>In 2023, tax expense included $253 million of tax expense related to the Company’s earnings in equity method investments and $31 million of tax benefits related to other finance costs, primarily from losses on foreign exchange contracts related to the Company’s investment in LSEG. Tax expense in 2023 also included $77 million of expense related to the sale of a majority stake in Elite. Tax expense in 2023 was partly offset by tax benefits of $100 million from the remeasurement of deferred tax balances due to changes in applicable statutory tax rates (primarily outside of the U.S.) and $82 million of tax benefits from the release of reserves due to the settlement of a tax audit and the lapse in statutes of limitation.</w:t>
      </w:r>
    </w:p>
    <w:p>
      <w:pPr>
        <w:spacing w:after="0" w:line="4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Below is a reconciliation of income taxes calculated at the Canadian corporate tax rate of 26.5% to the tax (benefit) expense for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83185</wp:posOffset>
            </wp:positionV>
            <wp:extent cx="637730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377305" cy="8255"/>
                    </a:xfrm>
                    <a:prstGeom prst="rect">
                      <a:avLst/>
                    </a:prstGeom>
                    <a:noFill/>
                  </pic:spPr>
                </pic:pic>
              </a:graphicData>
            </a:graphic>
          </wp:anchor>
        </w:drawing>
      </w:r>
    </w:p>
    <w:p>
      <w:pPr>
        <w:spacing w:after="0" w:line="111"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7640" w:type="dxa"/>
            <w:vAlign w:val="bottom"/>
          </w:tcPr>
          <w:p>
            <w:pPr>
              <w:spacing w:after="0"/>
              <w:rPr>
                <w:sz w:val="17"/>
                <w:szCs w:val="17"/>
                <w:color w:val="auto"/>
              </w:rPr>
            </w:pPr>
          </w:p>
        </w:tc>
        <w:tc>
          <w:tcPr>
            <w:tcW w:w="2400" w:type="dxa"/>
            <w:vAlign w:val="bottom"/>
            <w:gridSpan w:val="2"/>
            <w:shd w:val="clear" w:color="auto" w:fill="E3F3EE"/>
          </w:tcPr>
          <w:p>
            <w:pPr>
              <w:jc w:val="right"/>
              <w:ind w:right="61"/>
              <w:spacing w:after="0"/>
              <w:rPr>
                <w:sz w:val="20"/>
                <w:szCs w:val="20"/>
                <w:color w:val="auto"/>
              </w:rPr>
            </w:pPr>
            <w:r>
              <w:rPr>
                <w:rFonts w:ascii="Arial" w:cs="Arial" w:eastAsia="Arial" w:hAnsi="Arial"/>
                <w:sz w:val="16"/>
                <w:szCs w:val="16"/>
                <w:b w:val="1"/>
                <w:bCs w:val="1"/>
                <w:color w:val="auto"/>
                <w:w w:val="97"/>
              </w:rPr>
              <w:t>     Year ended December 31,</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2"/>
        </w:trPr>
        <w:tc>
          <w:tcPr>
            <w:tcW w:w="7640" w:type="dxa"/>
            <w:vAlign w:val="bottom"/>
            <w:tcBorders>
              <w:bottom w:val="single" w:sz="8" w:color="D64000"/>
            </w:tcBorders>
            <w:shd w:val="clear" w:color="auto" w:fill="1F473D"/>
          </w:tcPr>
          <w:p>
            <w:pPr>
              <w:spacing w:after="0"/>
              <w:rPr>
                <w:sz w:val="16"/>
                <w:szCs w:val="16"/>
                <w:color w:val="auto"/>
              </w:rPr>
            </w:pPr>
          </w:p>
        </w:tc>
        <w:tc>
          <w:tcPr>
            <w:tcW w:w="1480" w:type="dxa"/>
            <w:vAlign w:val="bottom"/>
            <w:tcBorders>
              <w:bottom w:val="single" w:sz="8" w:color="D64000"/>
            </w:tcBorders>
            <w:shd w:val="clear" w:color="auto" w:fill="1F473D"/>
          </w:tcPr>
          <w:p>
            <w:pPr>
              <w:jc w:val="right"/>
              <w:ind w:right="361"/>
              <w:spacing w:after="0"/>
              <w:rPr>
                <w:sz w:val="20"/>
                <w:szCs w:val="20"/>
                <w:color w:val="auto"/>
              </w:rPr>
            </w:pPr>
            <w:r>
              <w:rPr>
                <w:rFonts w:ascii="Arial" w:cs="Arial" w:eastAsia="Arial" w:hAnsi="Arial"/>
                <w:sz w:val="16"/>
                <w:szCs w:val="16"/>
                <w:b w:val="1"/>
                <w:bCs w:val="1"/>
                <w:color w:val="FFFFFF"/>
              </w:rPr>
              <w:t>2024</w:t>
            </w:r>
          </w:p>
        </w:tc>
        <w:tc>
          <w:tcPr>
            <w:tcW w:w="920" w:type="dxa"/>
            <w:vAlign w:val="bottom"/>
            <w:tcBorders>
              <w:bottom w:val="single" w:sz="8" w:color="D64000"/>
            </w:tcBorders>
            <w:shd w:val="clear" w:color="auto" w:fill="1F473D"/>
          </w:tcPr>
          <w:p>
            <w:pPr>
              <w:jc w:val="right"/>
              <w:ind w:right="1"/>
              <w:spacing w:after="0"/>
              <w:rPr>
                <w:sz w:val="20"/>
                <w:szCs w:val="20"/>
                <w:color w:val="auto"/>
              </w:rPr>
            </w:pPr>
            <w:r>
              <w:rPr>
                <w:rFonts w:ascii="Arial" w:cs="Arial" w:eastAsia="Arial" w:hAnsi="Arial"/>
                <w:sz w:val="16"/>
                <w:szCs w:val="16"/>
                <w:color w:val="FFFFFF"/>
              </w:rPr>
              <w:t>2023</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8"/>
        </w:trPr>
        <w:tc>
          <w:tcPr>
            <w:tcW w:w="7640" w:type="dxa"/>
            <w:vAlign w:val="bottom"/>
          </w:tcPr>
          <w:p>
            <w:pPr>
              <w:spacing w:after="0"/>
              <w:rPr>
                <w:sz w:val="20"/>
                <w:szCs w:val="20"/>
                <w:color w:val="auto"/>
              </w:rPr>
            </w:pPr>
            <w:r>
              <w:rPr>
                <w:rFonts w:ascii="Arial" w:cs="Arial" w:eastAsia="Arial" w:hAnsi="Arial"/>
                <w:sz w:val="16"/>
                <w:szCs w:val="16"/>
                <w:color w:val="auto"/>
              </w:rPr>
              <w:t> Income before tax</w:t>
            </w:r>
          </w:p>
        </w:tc>
        <w:tc>
          <w:tcPr>
            <w:tcW w:w="1480" w:type="dxa"/>
            <w:vAlign w:val="bottom"/>
          </w:tcPr>
          <w:p>
            <w:pPr>
              <w:jc w:val="right"/>
              <w:ind w:right="361"/>
              <w:spacing w:after="0"/>
              <w:rPr>
                <w:sz w:val="20"/>
                <w:szCs w:val="20"/>
                <w:color w:val="auto"/>
              </w:rPr>
            </w:pPr>
            <w:r>
              <w:rPr>
                <w:rFonts w:ascii="Arial" w:cs="Arial" w:eastAsia="Arial" w:hAnsi="Arial"/>
                <w:sz w:val="16"/>
                <w:szCs w:val="16"/>
                <w:b w:val="1"/>
                <w:bCs w:val="1"/>
                <w:color w:val="auto"/>
              </w:rPr>
              <w:t>2,069</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3,063</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7640" w:type="dxa"/>
            <w:vAlign w:val="bottom"/>
          </w:tcPr>
          <w:p>
            <w:pPr>
              <w:spacing w:after="0"/>
              <w:rPr>
                <w:sz w:val="20"/>
                <w:szCs w:val="20"/>
                <w:color w:val="auto"/>
              </w:rPr>
            </w:pPr>
            <w:r>
              <w:rPr>
                <w:rFonts w:ascii="Arial" w:cs="Arial" w:eastAsia="Arial" w:hAnsi="Arial"/>
                <w:sz w:val="16"/>
                <w:szCs w:val="16"/>
                <w:color w:val="auto"/>
              </w:rPr>
              <w:t> Income before tax multiplied by the standard rate of Canadian corporate tax of  26.5%</w:t>
            </w:r>
          </w:p>
        </w:tc>
        <w:tc>
          <w:tcPr>
            <w:tcW w:w="1480" w:type="dxa"/>
            <w:vAlign w:val="bottom"/>
          </w:tcPr>
          <w:p>
            <w:pPr>
              <w:jc w:val="right"/>
              <w:ind w:right="361"/>
              <w:spacing w:after="0"/>
              <w:rPr>
                <w:sz w:val="20"/>
                <w:szCs w:val="20"/>
                <w:color w:val="auto"/>
              </w:rPr>
            </w:pPr>
            <w:r>
              <w:rPr>
                <w:rFonts w:ascii="Arial" w:cs="Arial" w:eastAsia="Arial" w:hAnsi="Arial"/>
                <w:sz w:val="16"/>
                <w:szCs w:val="16"/>
                <w:b w:val="1"/>
                <w:bCs w:val="1"/>
                <w:color w:val="auto"/>
              </w:rPr>
              <w:t>548</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812</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7640" w:type="dxa"/>
            <w:vAlign w:val="bottom"/>
          </w:tcPr>
          <w:p>
            <w:pPr>
              <w:spacing w:after="0"/>
              <w:rPr>
                <w:sz w:val="20"/>
                <w:szCs w:val="20"/>
                <w:color w:val="auto"/>
              </w:rPr>
            </w:pPr>
            <w:r>
              <w:rPr>
                <w:rFonts w:ascii="Arial" w:cs="Arial" w:eastAsia="Arial" w:hAnsi="Arial"/>
                <w:sz w:val="16"/>
                <w:szCs w:val="16"/>
                <w:color w:val="auto"/>
              </w:rPr>
              <w:t> Effects of:</w:t>
            </w:r>
          </w:p>
        </w:tc>
        <w:tc>
          <w:tcPr>
            <w:tcW w:w="1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7640" w:type="dxa"/>
            <w:vAlign w:val="bottom"/>
          </w:tcPr>
          <w:p>
            <w:pPr>
              <w:spacing w:after="0"/>
              <w:rPr>
                <w:sz w:val="20"/>
                <w:szCs w:val="20"/>
                <w:color w:val="auto"/>
              </w:rPr>
            </w:pPr>
            <w:r>
              <w:rPr>
                <w:rFonts w:ascii="Arial" w:cs="Arial" w:eastAsia="Arial" w:hAnsi="Arial"/>
                <w:sz w:val="16"/>
                <w:szCs w:val="16"/>
                <w:color w:val="auto"/>
              </w:rPr>
              <w:t> Income taxes recorded at rates different from the Canadian tax rate</w:t>
            </w:r>
          </w:p>
        </w:tc>
        <w:tc>
          <w:tcPr>
            <w:tcW w:w="1480" w:type="dxa"/>
            <w:vAlign w:val="bottom"/>
          </w:tcPr>
          <w:p>
            <w:pPr>
              <w:jc w:val="right"/>
              <w:ind w:right="361"/>
              <w:spacing w:after="0"/>
              <w:rPr>
                <w:sz w:val="20"/>
                <w:szCs w:val="20"/>
                <w:color w:val="auto"/>
              </w:rPr>
            </w:pPr>
            <w:r>
              <w:rPr>
                <w:rFonts w:ascii="Arial" w:cs="Arial" w:eastAsia="Arial" w:hAnsi="Arial"/>
                <w:sz w:val="16"/>
                <w:szCs w:val="16"/>
                <w:b w:val="1"/>
                <w:bCs w:val="1"/>
                <w:color w:val="auto"/>
              </w:rPr>
              <w:t>(239)</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(314)</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7640" w:type="dxa"/>
            <w:vAlign w:val="bottom"/>
          </w:tcPr>
          <w:p>
            <w:pPr>
              <w:spacing w:after="0"/>
              <w:rPr>
                <w:sz w:val="20"/>
                <w:szCs w:val="20"/>
                <w:color w:val="auto"/>
              </w:rPr>
            </w:pPr>
            <w:r>
              <w:rPr>
                <w:rFonts w:ascii="Arial" w:cs="Arial" w:eastAsia="Arial" w:hAnsi="Arial"/>
                <w:sz w:val="16"/>
                <w:szCs w:val="16"/>
                <w:color w:val="auto"/>
              </w:rPr>
              <w:t> Tax losses for which no benefit is recognized</w:t>
            </w:r>
          </w:p>
        </w:tc>
        <w:tc>
          <w:tcPr>
            <w:tcW w:w="1480" w:type="dxa"/>
            <w:vAlign w:val="bottom"/>
          </w:tcPr>
          <w:p>
            <w:pPr>
              <w:jc w:val="right"/>
              <w:ind w:right="361"/>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7640" w:type="dxa"/>
            <w:vAlign w:val="bottom"/>
          </w:tcPr>
          <w:p>
            <w:pPr>
              <w:spacing w:after="0"/>
              <w:rPr>
                <w:sz w:val="20"/>
                <w:szCs w:val="20"/>
                <w:color w:val="auto"/>
              </w:rPr>
            </w:pPr>
            <w:r>
              <w:rPr>
                <w:rFonts w:ascii="Arial" w:cs="Arial" w:eastAsia="Arial" w:hAnsi="Arial"/>
                <w:sz w:val="16"/>
                <w:szCs w:val="16"/>
                <w:color w:val="auto"/>
              </w:rPr>
              <w:t> Net non-taxable foreign exchange and other gains and losses</w:t>
            </w:r>
          </w:p>
        </w:tc>
        <w:tc>
          <w:tcPr>
            <w:tcW w:w="1480" w:type="dxa"/>
            <w:vAlign w:val="bottom"/>
          </w:tcPr>
          <w:p>
            <w:pPr>
              <w:jc w:val="right"/>
              <w:ind w:right="361"/>
              <w:spacing w:after="0"/>
              <w:rPr>
                <w:sz w:val="20"/>
                <w:szCs w:val="20"/>
                <w:color w:val="auto"/>
              </w:rPr>
            </w:pPr>
            <w:r>
              <w:rPr>
                <w:rFonts w:ascii="Arial" w:cs="Arial" w:eastAsia="Arial" w:hAnsi="Arial"/>
                <w:sz w:val="16"/>
                <w:szCs w:val="16"/>
                <w:b w:val="1"/>
                <w:bCs w:val="1"/>
                <w:color w:val="auto"/>
              </w:rPr>
              <w:t>16</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35</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7640" w:type="dxa"/>
            <w:vAlign w:val="bottom"/>
          </w:tcPr>
          <w:p>
            <w:pPr>
              <w:spacing w:after="0"/>
              <w:rPr>
                <w:sz w:val="20"/>
                <w:szCs w:val="20"/>
                <w:color w:val="auto"/>
              </w:rPr>
            </w:pPr>
            <w:r>
              <w:rPr>
                <w:rFonts w:ascii="Arial" w:cs="Arial" w:eastAsia="Arial" w:hAnsi="Arial"/>
                <w:sz w:val="16"/>
                <w:szCs w:val="16"/>
                <w:color w:val="auto"/>
              </w:rPr>
              <w:t> Tax expense on changes in statutory intercompany investment values</w:t>
            </w:r>
          </w:p>
        </w:tc>
        <w:tc>
          <w:tcPr>
            <w:tcW w:w="1480" w:type="dxa"/>
            <w:vAlign w:val="bottom"/>
          </w:tcPr>
          <w:p>
            <w:pPr>
              <w:jc w:val="right"/>
              <w:ind w:right="361"/>
              <w:spacing w:after="0"/>
              <w:rPr>
                <w:sz w:val="20"/>
                <w:szCs w:val="20"/>
                <w:color w:val="auto"/>
              </w:rPr>
            </w:pPr>
            <w:r>
              <w:rPr>
                <w:rFonts w:ascii="Arial" w:cs="Arial" w:eastAsia="Arial" w:hAnsi="Arial"/>
                <w:sz w:val="16"/>
                <w:szCs w:val="16"/>
                <w:b w:val="1"/>
                <w:bCs w:val="1"/>
                <w:color w:val="auto"/>
              </w:rPr>
              <w:t>12</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17</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5"/>
        </w:trPr>
        <w:tc>
          <w:tcPr>
            <w:tcW w:w="7640" w:type="dxa"/>
            <w:vAlign w:val="bottom"/>
          </w:tcPr>
          <w:p>
            <w:pPr>
              <w:spacing w:after="0"/>
              <w:rPr>
                <w:sz w:val="20"/>
                <w:szCs w:val="20"/>
                <w:color w:val="auto"/>
              </w:rPr>
            </w:pPr>
            <w:r>
              <w:rPr>
                <w:rFonts w:ascii="Arial" w:cs="Arial" w:eastAsia="Arial" w:hAnsi="Arial"/>
                <w:sz w:val="16"/>
                <w:szCs w:val="16"/>
                <w:color w:val="auto"/>
              </w:rPr>
              <w:t> Recognition of tax losses that arose in prior years due to changes in statutory  intercompany</w:t>
            </w:r>
          </w:p>
        </w:tc>
        <w:tc>
          <w:tcPr>
            <w:tcW w:w="1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9"/>
        </w:trPr>
        <w:tc>
          <w:tcPr>
            <w:tcW w:w="7640" w:type="dxa"/>
            <w:vAlign w:val="bottom"/>
          </w:tcPr>
          <w:p>
            <w:pPr>
              <w:spacing w:after="0"/>
              <w:rPr>
                <w:sz w:val="20"/>
                <w:szCs w:val="20"/>
                <w:color w:val="auto"/>
              </w:rPr>
            </w:pPr>
            <w:r>
              <w:rPr>
                <w:rFonts w:ascii="Arial" w:cs="Arial" w:eastAsia="Arial" w:hAnsi="Arial"/>
                <w:sz w:val="16"/>
                <w:szCs w:val="16"/>
                <w:color w:val="auto"/>
              </w:rPr>
              <w:t>investment values</w:t>
            </w:r>
          </w:p>
        </w:tc>
        <w:tc>
          <w:tcPr>
            <w:tcW w:w="1480" w:type="dxa"/>
            <w:vAlign w:val="bottom"/>
          </w:tcPr>
          <w:p>
            <w:pPr>
              <w:jc w:val="right"/>
              <w:ind w:right="361"/>
              <w:spacing w:after="0"/>
              <w:rPr>
                <w:sz w:val="20"/>
                <w:szCs w:val="20"/>
                <w:color w:val="auto"/>
              </w:rPr>
            </w:pPr>
            <w:r>
              <w:rPr>
                <w:rFonts w:ascii="Arial" w:cs="Arial" w:eastAsia="Arial" w:hAnsi="Arial"/>
                <w:sz w:val="16"/>
                <w:szCs w:val="16"/>
                <w:b w:val="1"/>
                <w:bCs w:val="1"/>
                <w:color w:val="auto"/>
              </w:rPr>
              <w:t>(12)</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(17)</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7640" w:type="dxa"/>
            <w:vAlign w:val="bottom"/>
          </w:tcPr>
          <w:p>
            <w:pPr>
              <w:spacing w:after="0"/>
              <w:rPr>
                <w:sz w:val="20"/>
                <w:szCs w:val="20"/>
                <w:color w:val="auto"/>
              </w:rPr>
            </w:pPr>
            <w:r>
              <w:rPr>
                <w:rFonts w:ascii="Arial" w:cs="Arial" w:eastAsia="Arial" w:hAnsi="Arial"/>
                <w:sz w:val="16"/>
                <w:szCs w:val="16"/>
                <w:color w:val="auto"/>
              </w:rPr>
              <w:t> Provision for uncertain tax positions</w:t>
            </w:r>
          </w:p>
        </w:tc>
        <w:tc>
          <w:tcPr>
            <w:tcW w:w="1480" w:type="dxa"/>
            <w:vAlign w:val="bottom"/>
          </w:tcPr>
          <w:p>
            <w:pPr>
              <w:jc w:val="right"/>
              <w:ind w:right="361"/>
              <w:spacing w:after="0"/>
              <w:rPr>
                <w:sz w:val="20"/>
                <w:szCs w:val="20"/>
                <w:color w:val="auto"/>
              </w:rPr>
            </w:pPr>
            <w:r>
              <w:rPr>
                <w:rFonts w:ascii="Arial" w:cs="Arial" w:eastAsia="Arial" w:hAnsi="Arial"/>
                <w:sz w:val="16"/>
                <w:szCs w:val="16"/>
                <w:b w:val="1"/>
                <w:bCs w:val="1"/>
                <w:color w:val="auto"/>
              </w:rPr>
              <w:t>(9)</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(26)</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7640" w:type="dxa"/>
            <w:vAlign w:val="bottom"/>
          </w:tcPr>
          <w:p>
            <w:pPr>
              <w:spacing w:after="0"/>
              <w:rPr>
                <w:sz w:val="20"/>
                <w:szCs w:val="20"/>
                <w:color w:val="auto"/>
              </w:rPr>
            </w:pPr>
            <w:r>
              <w:rPr>
                <w:rFonts w:ascii="Arial" w:cs="Arial" w:eastAsia="Arial" w:hAnsi="Arial"/>
                <w:sz w:val="16"/>
                <w:szCs w:val="16"/>
                <w:color w:val="auto"/>
              </w:rPr>
              <w:t> Recognition of tax assets that arose in prior years</w:t>
            </w:r>
          </w:p>
        </w:tc>
        <w:tc>
          <w:tcPr>
            <w:tcW w:w="1480" w:type="dxa"/>
            <w:vAlign w:val="bottom"/>
          </w:tcPr>
          <w:p>
            <w:pPr>
              <w:jc w:val="right"/>
              <w:ind w:right="361"/>
              <w:spacing w:after="0"/>
              <w:rPr>
                <w:sz w:val="20"/>
                <w:szCs w:val="20"/>
                <w:color w:val="auto"/>
              </w:rPr>
            </w:pPr>
            <w:r>
              <w:rPr>
                <w:rFonts w:ascii="Arial" w:cs="Arial" w:eastAsia="Arial" w:hAnsi="Arial"/>
                <w:sz w:val="16"/>
                <w:szCs w:val="16"/>
                <w:b w:val="1"/>
                <w:bCs w:val="1"/>
                <w:color w:val="auto"/>
              </w:rPr>
              <w:t>(468)</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(22)</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7640" w:type="dxa"/>
            <w:vAlign w:val="bottom"/>
          </w:tcPr>
          <w:p>
            <w:pPr>
              <w:spacing w:after="0"/>
              <w:rPr>
                <w:sz w:val="20"/>
                <w:szCs w:val="20"/>
                <w:color w:val="auto"/>
              </w:rPr>
            </w:pPr>
            <w:r>
              <w:rPr>
                <w:rFonts w:ascii="Arial" w:cs="Arial" w:eastAsia="Arial" w:hAnsi="Arial"/>
                <w:sz w:val="16"/>
                <w:szCs w:val="16"/>
                <w:color w:val="auto"/>
              </w:rPr>
              <w:t> Derecognition of tax assets that arose in prior years</w:t>
            </w:r>
          </w:p>
        </w:tc>
        <w:tc>
          <w:tcPr>
            <w:tcW w:w="1480" w:type="dxa"/>
            <w:vAlign w:val="bottom"/>
          </w:tcPr>
          <w:p>
            <w:pPr>
              <w:jc w:val="right"/>
              <w:ind w:right="361"/>
              <w:spacing w:after="0"/>
              <w:rPr>
                <w:sz w:val="20"/>
                <w:szCs w:val="20"/>
                <w:color w:val="auto"/>
              </w:rPr>
            </w:pPr>
            <w:r>
              <w:rPr>
                <w:rFonts w:ascii="Arial" w:cs="Arial" w:eastAsia="Arial" w:hAnsi="Arial"/>
                <w:sz w:val="16"/>
                <w:szCs w:val="16"/>
                <w:b w:val="1"/>
                <w:bCs w:val="1"/>
                <w:color w:val="auto"/>
              </w:rPr>
              <w:t>3</w:t>
            </w:r>
          </w:p>
        </w:tc>
        <w:tc>
          <w:tcPr>
            <w:tcW w:w="1700" w:type="dxa"/>
            <w:vAlign w:val="bottom"/>
            <w:gridSpan w:val="3"/>
          </w:tcPr>
          <w:p>
            <w:pPr>
              <w:ind w:left="780"/>
              <w:spacing w:after="0"/>
              <w:rPr>
                <w:sz w:val="20"/>
                <w:szCs w:val="20"/>
                <w:color w:val="auto"/>
              </w:rPr>
            </w:pPr>
            <w:r>
              <w:rPr>
                <w:rFonts w:ascii="Arial" w:cs="Arial" w:eastAsia="Arial" w:hAnsi="Arial"/>
                <w:sz w:val="16"/>
                <w:szCs w:val="16"/>
                <w:color w:val="auto"/>
              </w:rPr>
              <w:t xml:space="preserve">- </w:t>
            </w:r>
          </w:p>
        </w:tc>
      </w:tr>
      <w:tr>
        <w:trPr>
          <w:trHeight w:val="199"/>
        </w:trPr>
        <w:tc>
          <w:tcPr>
            <w:tcW w:w="7640" w:type="dxa"/>
            <w:vAlign w:val="bottom"/>
          </w:tcPr>
          <w:p>
            <w:pPr>
              <w:spacing w:after="0"/>
              <w:rPr>
                <w:sz w:val="20"/>
                <w:szCs w:val="20"/>
                <w:color w:val="auto"/>
              </w:rPr>
            </w:pPr>
            <w:r>
              <w:rPr>
                <w:rFonts w:ascii="Arial" w:cs="Arial" w:eastAsia="Arial" w:hAnsi="Arial"/>
                <w:sz w:val="16"/>
                <w:szCs w:val="16"/>
                <w:color w:val="auto"/>
              </w:rPr>
              <w:t> Impact of changes in tax laws and rates</w:t>
            </w:r>
          </w:p>
        </w:tc>
        <w:tc>
          <w:tcPr>
            <w:tcW w:w="1480" w:type="dxa"/>
            <w:vAlign w:val="bottom"/>
          </w:tcPr>
          <w:p>
            <w:pPr>
              <w:jc w:val="right"/>
              <w:ind w:right="361"/>
              <w:spacing w:after="0"/>
              <w:rPr>
                <w:sz w:val="20"/>
                <w:szCs w:val="20"/>
                <w:color w:val="auto"/>
              </w:rPr>
            </w:pPr>
            <w:r>
              <w:rPr>
                <w:rFonts w:ascii="Arial" w:cs="Arial" w:eastAsia="Arial" w:hAnsi="Arial"/>
                <w:sz w:val="16"/>
                <w:szCs w:val="16"/>
                <w:b w:val="1"/>
                <w:bCs w:val="1"/>
                <w:color w:val="auto"/>
              </w:rPr>
              <w:t>7</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(100)</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7640" w:type="dxa"/>
            <w:vAlign w:val="bottom"/>
          </w:tcPr>
          <w:p>
            <w:pPr>
              <w:spacing w:after="0"/>
              <w:rPr>
                <w:sz w:val="20"/>
                <w:szCs w:val="20"/>
                <w:color w:val="auto"/>
              </w:rPr>
            </w:pPr>
            <w:r>
              <w:rPr>
                <w:rFonts w:ascii="Arial" w:cs="Arial" w:eastAsia="Arial" w:hAnsi="Arial"/>
                <w:sz w:val="16"/>
                <w:szCs w:val="16"/>
                <w:color w:val="auto"/>
              </w:rPr>
              <w:t> Research and development credits</w:t>
            </w:r>
          </w:p>
        </w:tc>
        <w:tc>
          <w:tcPr>
            <w:tcW w:w="1480" w:type="dxa"/>
            <w:vAlign w:val="bottom"/>
          </w:tcPr>
          <w:p>
            <w:pPr>
              <w:jc w:val="right"/>
              <w:ind w:right="361"/>
              <w:spacing w:after="0"/>
              <w:rPr>
                <w:sz w:val="20"/>
                <w:szCs w:val="20"/>
                <w:color w:val="auto"/>
              </w:rPr>
            </w:pPr>
            <w:r>
              <w:rPr>
                <w:rFonts w:ascii="Arial" w:cs="Arial" w:eastAsia="Arial" w:hAnsi="Arial"/>
                <w:sz w:val="16"/>
                <w:szCs w:val="16"/>
                <w:b w:val="1"/>
                <w:bCs w:val="1"/>
                <w:color w:val="auto"/>
              </w:rPr>
              <w:t>(9)</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(12)</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7640" w:type="dxa"/>
            <w:vAlign w:val="bottom"/>
          </w:tcPr>
          <w:p>
            <w:pPr>
              <w:spacing w:after="0"/>
              <w:rPr>
                <w:sz w:val="20"/>
                <w:szCs w:val="20"/>
                <w:color w:val="auto"/>
              </w:rPr>
            </w:pPr>
            <w:r>
              <w:rPr>
                <w:rFonts w:ascii="Arial" w:cs="Arial" w:eastAsia="Arial" w:hAnsi="Arial"/>
                <w:sz w:val="16"/>
                <w:szCs w:val="16"/>
                <w:color w:val="auto"/>
              </w:rPr>
              <w:t> Other adjustments related to prior years</w:t>
            </w:r>
          </w:p>
        </w:tc>
        <w:tc>
          <w:tcPr>
            <w:tcW w:w="1480" w:type="dxa"/>
            <w:vAlign w:val="bottom"/>
          </w:tcPr>
          <w:p>
            <w:pPr>
              <w:jc w:val="right"/>
              <w:ind w:right="361"/>
              <w:spacing w:after="0"/>
              <w:rPr>
                <w:sz w:val="20"/>
                <w:szCs w:val="20"/>
                <w:color w:val="auto"/>
              </w:rPr>
            </w:pPr>
            <w:r>
              <w:rPr>
                <w:rFonts w:ascii="Arial" w:cs="Arial" w:eastAsia="Arial" w:hAnsi="Arial"/>
                <w:sz w:val="16"/>
                <w:szCs w:val="16"/>
                <w:b w:val="1"/>
                <w:bCs w:val="1"/>
                <w:color w:val="auto"/>
              </w:rPr>
              <w:t>17</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24</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7640" w:type="dxa"/>
            <w:vAlign w:val="bottom"/>
          </w:tcPr>
          <w:p>
            <w:pPr>
              <w:spacing w:after="0"/>
              <w:rPr>
                <w:sz w:val="20"/>
                <w:szCs w:val="20"/>
                <w:color w:val="auto"/>
              </w:rPr>
            </w:pPr>
            <w:r>
              <w:rPr>
                <w:rFonts w:ascii="Arial" w:cs="Arial" w:eastAsia="Arial" w:hAnsi="Arial"/>
                <w:sz w:val="16"/>
                <w:szCs w:val="16"/>
                <w:color w:val="auto"/>
              </w:rPr>
              <w:t> Pillar Two top-up tax</w:t>
            </w:r>
          </w:p>
        </w:tc>
        <w:tc>
          <w:tcPr>
            <w:tcW w:w="1480" w:type="dxa"/>
            <w:vAlign w:val="bottom"/>
          </w:tcPr>
          <w:p>
            <w:pPr>
              <w:jc w:val="right"/>
              <w:ind w:right="361"/>
              <w:spacing w:after="0"/>
              <w:rPr>
                <w:sz w:val="20"/>
                <w:szCs w:val="20"/>
                <w:color w:val="auto"/>
              </w:rPr>
            </w:pPr>
            <w:r>
              <w:rPr>
                <w:rFonts w:ascii="Arial" w:cs="Arial" w:eastAsia="Arial" w:hAnsi="Arial"/>
                <w:sz w:val="16"/>
                <w:szCs w:val="16"/>
                <w:b w:val="1"/>
                <w:bCs w:val="1"/>
                <w:color w:val="auto"/>
              </w:rPr>
              <w:t>4</w:t>
            </w:r>
          </w:p>
        </w:tc>
        <w:tc>
          <w:tcPr>
            <w:tcW w:w="1700" w:type="dxa"/>
            <w:vAlign w:val="bottom"/>
            <w:gridSpan w:val="3"/>
          </w:tcPr>
          <w:p>
            <w:pPr>
              <w:ind w:left="780"/>
              <w:spacing w:after="0"/>
              <w:rPr>
                <w:sz w:val="20"/>
                <w:szCs w:val="20"/>
                <w:color w:val="auto"/>
              </w:rPr>
            </w:pPr>
            <w:r>
              <w:rPr>
                <w:rFonts w:ascii="Arial" w:cs="Arial" w:eastAsia="Arial" w:hAnsi="Arial"/>
                <w:sz w:val="16"/>
                <w:szCs w:val="16"/>
                <w:color w:val="auto"/>
              </w:rPr>
              <w:t xml:space="preserve">- </w:t>
            </w:r>
          </w:p>
        </w:tc>
      </w:tr>
      <w:tr>
        <w:trPr>
          <w:trHeight w:val="199"/>
        </w:trPr>
        <w:tc>
          <w:tcPr>
            <w:tcW w:w="7640" w:type="dxa"/>
            <w:vAlign w:val="bottom"/>
          </w:tcPr>
          <w:p>
            <w:pPr>
              <w:spacing w:after="0"/>
              <w:rPr>
                <w:sz w:val="20"/>
                <w:szCs w:val="20"/>
                <w:color w:val="auto"/>
              </w:rPr>
            </w:pPr>
            <w:r>
              <w:rPr>
                <w:rFonts w:ascii="Arial" w:cs="Arial" w:eastAsia="Arial" w:hAnsi="Arial"/>
                <w:sz w:val="16"/>
                <w:szCs w:val="16"/>
                <w:color w:val="auto"/>
              </w:rPr>
              <w:t> Withholding taxes</w:t>
            </w:r>
          </w:p>
        </w:tc>
        <w:tc>
          <w:tcPr>
            <w:tcW w:w="1480" w:type="dxa"/>
            <w:vAlign w:val="bottom"/>
          </w:tcPr>
          <w:p>
            <w:pPr>
              <w:jc w:val="right"/>
              <w:ind w:right="361"/>
              <w:spacing w:after="0"/>
              <w:rPr>
                <w:sz w:val="20"/>
                <w:szCs w:val="20"/>
                <w:color w:val="auto"/>
              </w:rPr>
            </w:pPr>
            <w:r>
              <w:rPr>
                <w:rFonts w:ascii="Arial" w:cs="Arial" w:eastAsia="Arial" w:hAnsi="Arial"/>
                <w:sz w:val="16"/>
                <w:szCs w:val="16"/>
                <w:b w:val="1"/>
                <w:bCs w:val="1"/>
                <w:color w:val="auto"/>
              </w:rPr>
              <w:t>6</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764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Other differences</w:t>
            </w:r>
          </w:p>
        </w:tc>
        <w:tc>
          <w:tcPr>
            <w:tcW w:w="1480" w:type="dxa"/>
            <w:vAlign w:val="bottom"/>
            <w:tcBorders>
              <w:bottom w:val="single" w:sz="8" w:color="B2B2B2"/>
            </w:tcBorders>
          </w:tcPr>
          <w:p>
            <w:pPr>
              <w:jc w:val="right"/>
              <w:ind w:right="361"/>
              <w:spacing w:after="0"/>
              <w:rPr>
                <w:sz w:val="20"/>
                <w:szCs w:val="20"/>
                <w:color w:val="auto"/>
              </w:rPr>
            </w:pPr>
            <w:r>
              <w:rPr>
                <w:rFonts w:ascii="Arial" w:cs="Arial" w:eastAsia="Arial" w:hAnsi="Arial"/>
                <w:sz w:val="16"/>
                <w:szCs w:val="16"/>
                <w:b w:val="1"/>
                <w:bCs w:val="1"/>
                <w:color w:val="auto"/>
              </w:rPr>
              <w:t>1</w:t>
            </w:r>
          </w:p>
        </w:tc>
        <w:tc>
          <w:tcPr>
            <w:tcW w:w="92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5</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7640" w:type="dxa"/>
            <w:vAlign w:val="bottom"/>
            <w:tcBorders>
              <w:bottom w:val="single" w:sz="8" w:color="D64000"/>
            </w:tcBorders>
          </w:tcPr>
          <w:p>
            <w:pPr>
              <w:spacing w:after="0" w:line="183" w:lineRule="exact"/>
              <w:rPr>
                <w:sz w:val="20"/>
                <w:szCs w:val="20"/>
                <w:color w:val="auto"/>
              </w:rPr>
            </w:pPr>
            <w:r>
              <w:rPr>
                <w:rFonts w:ascii="Arial" w:cs="Arial" w:eastAsia="Arial" w:hAnsi="Arial"/>
                <w:sz w:val="16"/>
                <w:szCs w:val="16"/>
                <w:color w:val="auto"/>
              </w:rPr>
              <w:t> Total tax (benefit) expense</w:t>
            </w:r>
          </w:p>
        </w:tc>
        <w:tc>
          <w:tcPr>
            <w:tcW w:w="1480" w:type="dxa"/>
            <w:vAlign w:val="bottom"/>
            <w:tcBorders>
              <w:bottom w:val="single" w:sz="8" w:color="D64000"/>
            </w:tcBorders>
          </w:tcPr>
          <w:p>
            <w:pPr>
              <w:jc w:val="right"/>
              <w:ind w:right="361"/>
              <w:spacing w:after="0" w:line="183" w:lineRule="exact"/>
              <w:rPr>
                <w:sz w:val="20"/>
                <w:szCs w:val="20"/>
                <w:color w:val="auto"/>
              </w:rPr>
            </w:pPr>
            <w:r>
              <w:rPr>
                <w:rFonts w:ascii="Arial" w:cs="Arial" w:eastAsia="Arial" w:hAnsi="Arial"/>
                <w:sz w:val="16"/>
                <w:szCs w:val="16"/>
                <w:b w:val="1"/>
                <w:bCs w:val="1"/>
                <w:color w:val="auto"/>
              </w:rPr>
              <w:t>(123)</w:t>
            </w:r>
          </w:p>
        </w:tc>
        <w:tc>
          <w:tcPr>
            <w:tcW w:w="920" w:type="dxa"/>
            <w:vAlign w:val="bottom"/>
            <w:tcBorders>
              <w:bottom w:val="single" w:sz="8" w:color="D64000"/>
            </w:tcBorders>
          </w:tcPr>
          <w:p>
            <w:pPr>
              <w:jc w:val="right"/>
              <w:ind w:right="1"/>
              <w:spacing w:after="0" w:line="183" w:lineRule="exact"/>
              <w:rPr>
                <w:sz w:val="20"/>
                <w:szCs w:val="20"/>
                <w:color w:val="auto"/>
              </w:rPr>
            </w:pPr>
            <w:r>
              <w:rPr>
                <w:rFonts w:ascii="Arial" w:cs="Arial" w:eastAsia="Arial" w:hAnsi="Arial"/>
                <w:sz w:val="16"/>
                <w:szCs w:val="16"/>
                <w:color w:val="auto"/>
              </w:rPr>
              <w:t>417</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9"/>
        </w:trPr>
        <w:tc>
          <w:tcPr>
            <w:tcW w:w="7640" w:type="dxa"/>
            <w:vAlign w:val="bottom"/>
            <w:tcBorders>
              <w:bottom w:val="single" w:sz="8" w:color="7F7F7F"/>
            </w:tcBorders>
          </w:tcPr>
          <w:p>
            <w:pPr>
              <w:spacing w:after="0"/>
              <w:rPr>
                <w:sz w:val="13"/>
                <w:szCs w:val="13"/>
                <w:color w:val="auto"/>
              </w:rPr>
            </w:pPr>
          </w:p>
        </w:tc>
        <w:tc>
          <w:tcPr>
            <w:tcW w:w="1480" w:type="dxa"/>
            <w:vAlign w:val="bottom"/>
            <w:tcBorders>
              <w:bottom w:val="single" w:sz="8" w:color="7F7F7F"/>
            </w:tcBorders>
          </w:tcPr>
          <w:p>
            <w:pPr>
              <w:spacing w:after="0"/>
              <w:rPr>
                <w:sz w:val="13"/>
                <w:szCs w:val="13"/>
                <w:color w:val="auto"/>
              </w:rPr>
            </w:pPr>
          </w:p>
        </w:tc>
        <w:tc>
          <w:tcPr>
            <w:tcW w:w="920" w:type="dxa"/>
            <w:vAlign w:val="bottom"/>
            <w:tcBorders>
              <w:bottom w:val="single" w:sz="8" w:color="7F7F7F"/>
            </w:tcBorders>
          </w:tcPr>
          <w:p>
            <w:pPr>
              <w:spacing w:after="0"/>
              <w:rPr>
                <w:sz w:val="13"/>
                <w:szCs w:val="13"/>
                <w:color w:val="auto"/>
              </w:rPr>
            </w:pPr>
          </w:p>
        </w:tc>
        <w:tc>
          <w:tcPr>
            <w:tcW w:w="760" w:type="dxa"/>
            <w:vAlign w:val="bottom"/>
            <w:tcBorders>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r>
      <w:tr>
        <w:trPr>
          <w:trHeight w:val="241"/>
        </w:trPr>
        <w:tc>
          <w:tcPr>
            <w:tcW w:w="7640" w:type="dxa"/>
            <w:vAlign w:val="bottom"/>
          </w:tcPr>
          <w:p>
            <w:pPr>
              <w:spacing w:after="0"/>
              <w:rPr>
                <w:sz w:val="20"/>
                <w:szCs w:val="20"/>
                <w:color w:val="auto"/>
              </w:rPr>
            </w:pPr>
            <w:r>
              <w:rPr>
                <w:rFonts w:ascii="Arial" w:cs="Arial" w:eastAsia="Arial" w:hAnsi="Arial"/>
                <w:sz w:val="17"/>
                <w:szCs w:val="17"/>
                <w:b w:val="1"/>
                <w:bCs w:val="1"/>
                <w:color w:val="auto"/>
              </w:rPr>
              <w:t>Thomson Reuters Annual Report 2024</w:t>
            </w:r>
          </w:p>
        </w:tc>
        <w:tc>
          <w:tcPr>
            <w:tcW w:w="1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auto"/>
                <w:w w:val="96"/>
              </w:rPr>
              <w:t>Page 107</w:t>
            </w:r>
          </w:p>
        </w:tc>
      </w:tr>
    </w:tbl>
    <w:p>
      <w:pPr>
        <w:sectPr>
          <w:pgSz w:w="11900" w:h="16838" w:orient="portrait"/>
          <w:cols w:equalWidth="0" w:num="1">
            <w:col w:w="11040"/>
          </w:cols>
          <w:pgMar w:left="320" w:top="477" w:right="5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80"/>
        <w:spacing w:after="0" w:line="234" w:lineRule="auto"/>
        <w:rPr>
          <w:sz w:val="20"/>
          <w:szCs w:val="20"/>
          <w:color w:val="auto"/>
        </w:rPr>
      </w:pPr>
      <w:r>
        <w:rPr>
          <w:rFonts w:ascii="Arial" w:cs="Arial" w:eastAsia="Arial" w:hAnsi="Arial"/>
          <w:sz w:val="17"/>
          <w:szCs w:val="17"/>
          <w:color w:val="auto"/>
        </w:rPr>
        <w:t>The Company’s 2024 effective income tax rate on earnings from continuing operations was not meaningful due to the impact of the $468 million tax benefit discussed above. In 2023, the effective income tax rate on earnings from continuing operations was 13.6%. Typically, the Company’s effective tax rate on earnings from continuing operations is lower than the Canadian corporate tax rate due significantly to the lower tax rates and differing tax rules applicable to certain of the Company’s operating and financing subsidiaries outside Canada. The Company’s effective tax rate depends on the laws of numerous countries and the provisions of multiple income tax conventions between various countries in which the Company operates. A 1% increase in the effective tax rate would have decreased 2024 income tax benefit and decreased earnings from continuing operations by approximately $21 million.</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Note 11: Discontinued Operations</w:t>
      </w:r>
    </w:p>
    <w:p>
      <w:pPr>
        <w:spacing w:after="0" w:line="110" w:lineRule="exact"/>
        <w:rPr>
          <w:sz w:val="20"/>
          <w:szCs w:val="20"/>
          <w:color w:val="auto"/>
        </w:rPr>
      </w:pPr>
    </w:p>
    <w:p>
      <w:pPr>
        <w:ind w:left="220" w:right="20"/>
        <w:spacing w:after="0" w:line="236" w:lineRule="auto"/>
        <w:rPr>
          <w:sz w:val="20"/>
          <w:szCs w:val="20"/>
          <w:color w:val="auto"/>
        </w:rPr>
      </w:pPr>
      <w:r>
        <w:rPr>
          <w:rFonts w:ascii="Arial" w:cs="Arial" w:eastAsia="Arial" w:hAnsi="Arial"/>
          <w:sz w:val="17"/>
          <w:szCs w:val="17"/>
          <w:color w:val="auto"/>
        </w:rPr>
        <w:t>Earnings from discontinued operations, net of tax, was $15 million and $49 million for the years ended December 31, 2024 and December 31, 2023, respectively. In both years, earnings from discontinued operations, net of tax, were primarily comprised of earnings or losses arising on a receivable balance from LSEG relating to a tax indemnity. The earnings or losses included impacts from changes in foreign exchange and interest rates. The year ended December 31, 2024 also included benefits from the release of reserves that are no longer required due to settlements of tax disputes.</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Note 12: Earnings Per Share</w:t>
      </w:r>
    </w:p>
    <w:p>
      <w:pPr>
        <w:spacing w:after="0" w:line="110" w:lineRule="exact"/>
        <w:rPr>
          <w:sz w:val="20"/>
          <w:szCs w:val="20"/>
          <w:color w:val="auto"/>
        </w:rPr>
      </w:pPr>
    </w:p>
    <w:p>
      <w:pPr>
        <w:ind w:left="220" w:right="100"/>
        <w:spacing w:after="0" w:line="238" w:lineRule="auto"/>
        <w:rPr>
          <w:sz w:val="20"/>
          <w:szCs w:val="20"/>
          <w:color w:val="auto"/>
        </w:rPr>
      </w:pPr>
      <w:r>
        <w:rPr>
          <w:rFonts w:ascii="Arial" w:cs="Arial" w:eastAsia="Arial" w:hAnsi="Arial"/>
          <w:sz w:val="17"/>
          <w:szCs w:val="17"/>
          <w:color w:val="auto"/>
        </w:rPr>
        <w:t>Basic earnings per share was calculated by dividing earnings attributable to common shareholders less dividends declared on preference shares by the sum of the weighted-average number of common shares outstanding and vested deferred share units (“DSUs”) outstanding during the period. DSUs represent common shares that certain employees have elected to receive in the future upon vesting of share-based compensation awards or in lieu of cash compensation.</w:t>
      </w:r>
    </w:p>
    <w:p>
      <w:pPr>
        <w:spacing w:after="0" w:line="59" w:lineRule="exact"/>
        <w:rPr>
          <w:sz w:val="20"/>
          <w:szCs w:val="20"/>
          <w:color w:val="auto"/>
        </w:rPr>
      </w:pPr>
    </w:p>
    <w:p>
      <w:pPr>
        <w:ind w:left="220" w:right="460"/>
        <w:spacing w:after="0" w:line="260" w:lineRule="auto"/>
        <w:rPr>
          <w:sz w:val="20"/>
          <w:szCs w:val="20"/>
          <w:color w:val="auto"/>
        </w:rPr>
      </w:pPr>
      <w:r>
        <w:rPr>
          <w:rFonts w:ascii="Arial" w:cs="Arial" w:eastAsia="Arial" w:hAnsi="Arial"/>
          <w:sz w:val="17"/>
          <w:szCs w:val="17"/>
          <w:color w:val="auto"/>
        </w:rPr>
        <w:t>Diluted earnings per share was calculated using the denominator of the basic calculation described above adjusted to include the potentially dilutive effect of outstanding stock options and time-based restricted share units (“TRSUs”).</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Earnings used in determining consolidated earnings per share and earnings per share from continuing operations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142240</wp:posOffset>
            </wp:positionV>
            <wp:extent cx="617537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204" w:lineRule="exact"/>
        <w:rPr>
          <w:sz w:val="20"/>
          <w:szCs w:val="20"/>
          <w:color w:val="auto"/>
        </w:rPr>
      </w:pPr>
    </w:p>
    <w:tbl>
      <w:tblPr>
        <w:tblLayout w:type="fixed"/>
        <w:tblInd w:w="220" w:type="dxa"/>
        <w:tblCellMar>
          <w:top w:w="0" w:type="dxa"/>
          <w:left w:w="0" w:type="dxa"/>
          <w:bottom w:w="0" w:type="dxa"/>
          <w:right w:w="0" w:type="dxa"/>
        </w:tblCellMar>
      </w:tblPr>
      <w:tr>
        <w:trPr>
          <w:trHeight w:val="245"/>
        </w:trPr>
        <w:tc>
          <w:tcPr>
            <w:tcW w:w="6760" w:type="dxa"/>
            <w:vAlign w:val="bottom"/>
          </w:tcPr>
          <w:p>
            <w:pPr>
              <w:spacing w:after="0"/>
              <w:rPr>
                <w:sz w:val="21"/>
                <w:szCs w:val="21"/>
                <w:color w:val="auto"/>
              </w:rPr>
            </w:pPr>
          </w:p>
        </w:tc>
        <w:tc>
          <w:tcPr>
            <w:tcW w:w="2960" w:type="dxa"/>
            <w:vAlign w:val="bottom"/>
            <w:gridSpan w:val="2"/>
            <w:shd w:val="clear" w:color="auto" w:fill="E3F3EE"/>
          </w:tcPr>
          <w:p>
            <w:pPr>
              <w:jc w:val="right"/>
              <w:ind w:right="1"/>
              <w:spacing w:after="0"/>
              <w:rPr>
                <w:sz w:val="20"/>
                <w:szCs w:val="20"/>
                <w:color w:val="auto"/>
              </w:rPr>
            </w:pPr>
            <w:r>
              <w:rPr>
                <w:rFonts w:ascii="Arial" w:cs="Arial" w:eastAsia="Arial" w:hAnsi="Arial"/>
                <w:sz w:val="16"/>
                <w:szCs w:val="16"/>
                <w:b w:val="1"/>
                <w:bCs w:val="1"/>
                <w:color w:val="auto"/>
              </w:rPr>
              <w:t>     Year ended December 31, </w:t>
            </w:r>
          </w:p>
        </w:tc>
      </w:tr>
      <w:tr>
        <w:trPr>
          <w:trHeight w:val="199"/>
        </w:trPr>
        <w:tc>
          <w:tcPr>
            <w:tcW w:w="6760" w:type="dxa"/>
            <w:vAlign w:val="bottom"/>
            <w:tcBorders>
              <w:bottom w:val="single" w:sz="8" w:color="D64000"/>
            </w:tcBorders>
            <w:shd w:val="clear" w:color="auto" w:fill="1F473D"/>
          </w:tcPr>
          <w:p>
            <w:pPr>
              <w:spacing w:after="0"/>
              <w:rPr>
                <w:sz w:val="17"/>
                <w:szCs w:val="17"/>
                <w:color w:val="auto"/>
              </w:rPr>
            </w:pPr>
          </w:p>
        </w:tc>
        <w:tc>
          <w:tcPr>
            <w:tcW w:w="1900" w:type="dxa"/>
            <w:vAlign w:val="bottom"/>
            <w:tcBorders>
              <w:bottom w:val="single" w:sz="8" w:color="D64000"/>
            </w:tcBorders>
            <w:shd w:val="clear" w:color="auto" w:fill="1F473D"/>
          </w:tcPr>
          <w:p>
            <w:pPr>
              <w:jc w:val="right"/>
              <w:ind w:right="481"/>
              <w:spacing w:after="0"/>
              <w:rPr>
                <w:sz w:val="20"/>
                <w:szCs w:val="20"/>
                <w:color w:val="auto"/>
              </w:rPr>
            </w:pPr>
            <w:r>
              <w:rPr>
                <w:rFonts w:ascii="Arial" w:cs="Arial" w:eastAsia="Arial" w:hAnsi="Arial"/>
                <w:sz w:val="16"/>
                <w:szCs w:val="16"/>
                <w:b w:val="1"/>
                <w:bCs w:val="1"/>
                <w:color w:val="FFFFFF"/>
              </w:rPr>
              <w:t>2024</w:t>
            </w:r>
          </w:p>
        </w:tc>
        <w:tc>
          <w:tcPr>
            <w:tcW w:w="106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2023 </w:t>
            </w:r>
          </w:p>
        </w:tc>
      </w:tr>
      <w:tr>
        <w:trPr>
          <w:trHeight w:val="185"/>
        </w:trPr>
        <w:tc>
          <w:tcPr>
            <w:tcW w:w="6760" w:type="dxa"/>
            <w:vAlign w:val="bottom"/>
          </w:tcPr>
          <w:p>
            <w:pPr>
              <w:spacing w:after="0"/>
              <w:rPr>
                <w:sz w:val="20"/>
                <w:szCs w:val="20"/>
                <w:color w:val="auto"/>
              </w:rPr>
            </w:pPr>
            <w:r>
              <w:rPr>
                <w:rFonts w:ascii="Arial" w:cs="Arial" w:eastAsia="Arial" w:hAnsi="Arial"/>
                <w:sz w:val="16"/>
                <w:szCs w:val="16"/>
                <w:color w:val="auto"/>
              </w:rPr>
              <w:t> Earnings attributable to common shareholders</w:t>
            </w:r>
          </w:p>
        </w:tc>
        <w:tc>
          <w:tcPr>
            <w:tcW w:w="1900" w:type="dxa"/>
            <w:vAlign w:val="bottom"/>
          </w:tcPr>
          <w:p>
            <w:pPr>
              <w:jc w:val="right"/>
              <w:ind w:right="481"/>
              <w:spacing w:after="0"/>
              <w:rPr>
                <w:sz w:val="20"/>
                <w:szCs w:val="20"/>
                <w:color w:val="auto"/>
              </w:rPr>
            </w:pPr>
            <w:r>
              <w:rPr>
                <w:rFonts w:ascii="Arial" w:cs="Arial" w:eastAsia="Arial" w:hAnsi="Arial"/>
                <w:sz w:val="16"/>
                <w:szCs w:val="16"/>
                <w:b w:val="1"/>
                <w:bCs w:val="1"/>
                <w:color w:val="auto"/>
              </w:rPr>
              <w:t>2,210</w:t>
            </w:r>
          </w:p>
        </w:tc>
        <w:tc>
          <w:tcPr>
            <w:tcW w:w="1060" w:type="dxa"/>
            <w:vAlign w:val="bottom"/>
          </w:tcPr>
          <w:p>
            <w:pPr>
              <w:jc w:val="right"/>
              <w:spacing w:after="0"/>
              <w:rPr>
                <w:sz w:val="20"/>
                <w:szCs w:val="20"/>
                <w:color w:val="auto"/>
              </w:rPr>
            </w:pPr>
            <w:r>
              <w:rPr>
                <w:rFonts w:ascii="Arial" w:cs="Arial" w:eastAsia="Arial" w:hAnsi="Arial"/>
                <w:sz w:val="16"/>
                <w:szCs w:val="16"/>
                <w:color w:val="auto"/>
              </w:rPr>
              <w:t>2,695  </w:t>
            </w:r>
          </w:p>
        </w:tc>
      </w:tr>
      <w:tr>
        <w:trPr>
          <w:trHeight w:val="200"/>
        </w:trPr>
        <w:tc>
          <w:tcPr>
            <w:tcW w:w="676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Less: Dividends declared on preference shares</w:t>
            </w:r>
          </w:p>
        </w:tc>
        <w:tc>
          <w:tcPr>
            <w:tcW w:w="1900" w:type="dxa"/>
            <w:vAlign w:val="bottom"/>
            <w:tcBorders>
              <w:bottom w:val="single" w:sz="8" w:color="B2B2B2"/>
            </w:tcBorders>
          </w:tcPr>
          <w:p>
            <w:pPr>
              <w:jc w:val="right"/>
              <w:ind w:right="481"/>
              <w:spacing w:after="0"/>
              <w:rPr>
                <w:sz w:val="20"/>
                <w:szCs w:val="20"/>
                <w:color w:val="auto"/>
              </w:rPr>
            </w:pPr>
            <w:r>
              <w:rPr>
                <w:rFonts w:ascii="Arial" w:cs="Arial" w:eastAsia="Arial" w:hAnsi="Arial"/>
                <w:sz w:val="16"/>
                <w:szCs w:val="16"/>
                <w:b w:val="1"/>
                <w:bCs w:val="1"/>
                <w:color w:val="auto"/>
              </w:rPr>
              <w:t>(5)</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  </w:t>
            </w:r>
          </w:p>
        </w:tc>
      </w:tr>
      <w:tr>
        <w:trPr>
          <w:trHeight w:val="178"/>
        </w:trPr>
        <w:tc>
          <w:tcPr>
            <w:tcW w:w="6760" w:type="dxa"/>
            <w:vAlign w:val="bottom"/>
          </w:tcPr>
          <w:p>
            <w:pPr>
              <w:spacing w:after="0" w:line="178" w:lineRule="exact"/>
              <w:rPr>
                <w:sz w:val="20"/>
                <w:szCs w:val="20"/>
                <w:color w:val="auto"/>
              </w:rPr>
            </w:pPr>
            <w:r>
              <w:rPr>
                <w:rFonts w:ascii="Arial" w:cs="Arial" w:eastAsia="Arial" w:hAnsi="Arial"/>
                <w:sz w:val="16"/>
                <w:szCs w:val="16"/>
                <w:color w:val="auto"/>
              </w:rPr>
              <w:t> Earnings used in consolidated earnings per share</w:t>
            </w:r>
          </w:p>
        </w:tc>
        <w:tc>
          <w:tcPr>
            <w:tcW w:w="1900" w:type="dxa"/>
            <w:vAlign w:val="bottom"/>
          </w:tcPr>
          <w:p>
            <w:pPr>
              <w:jc w:val="right"/>
              <w:ind w:right="481"/>
              <w:spacing w:after="0" w:line="178" w:lineRule="exact"/>
              <w:rPr>
                <w:sz w:val="20"/>
                <w:szCs w:val="20"/>
                <w:color w:val="auto"/>
              </w:rPr>
            </w:pPr>
            <w:r>
              <w:rPr>
                <w:rFonts w:ascii="Arial" w:cs="Arial" w:eastAsia="Arial" w:hAnsi="Arial"/>
                <w:sz w:val="16"/>
                <w:szCs w:val="16"/>
                <w:b w:val="1"/>
                <w:bCs w:val="1"/>
                <w:color w:val="auto"/>
              </w:rPr>
              <w:t>2,205</w:t>
            </w:r>
          </w:p>
        </w:tc>
        <w:tc>
          <w:tcPr>
            <w:tcW w:w="1060" w:type="dxa"/>
            <w:vAlign w:val="bottom"/>
          </w:tcPr>
          <w:p>
            <w:pPr>
              <w:jc w:val="right"/>
              <w:spacing w:after="0" w:line="178" w:lineRule="exact"/>
              <w:rPr>
                <w:sz w:val="20"/>
                <w:szCs w:val="20"/>
                <w:color w:val="auto"/>
              </w:rPr>
            </w:pPr>
            <w:r>
              <w:rPr>
                <w:rFonts w:ascii="Arial" w:cs="Arial" w:eastAsia="Arial" w:hAnsi="Arial"/>
                <w:sz w:val="16"/>
                <w:szCs w:val="16"/>
                <w:color w:val="auto"/>
              </w:rPr>
              <w:t>2,690  </w:t>
            </w:r>
          </w:p>
        </w:tc>
      </w:tr>
      <w:tr>
        <w:trPr>
          <w:trHeight w:val="200"/>
        </w:trPr>
        <w:tc>
          <w:tcPr>
            <w:tcW w:w="676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Less: Earnings from discontinued operations, net of tax</w:t>
            </w:r>
          </w:p>
        </w:tc>
        <w:tc>
          <w:tcPr>
            <w:tcW w:w="1900" w:type="dxa"/>
            <w:vAlign w:val="bottom"/>
            <w:tcBorders>
              <w:bottom w:val="single" w:sz="8" w:color="B2B2B2"/>
            </w:tcBorders>
          </w:tcPr>
          <w:p>
            <w:pPr>
              <w:jc w:val="right"/>
              <w:ind w:right="481"/>
              <w:spacing w:after="0"/>
              <w:rPr>
                <w:sz w:val="20"/>
                <w:szCs w:val="20"/>
                <w:color w:val="auto"/>
              </w:rPr>
            </w:pPr>
            <w:r>
              <w:rPr>
                <w:rFonts w:ascii="Arial" w:cs="Arial" w:eastAsia="Arial" w:hAnsi="Arial"/>
                <w:sz w:val="16"/>
                <w:szCs w:val="16"/>
                <w:b w:val="1"/>
                <w:bCs w:val="1"/>
                <w:color w:val="auto"/>
              </w:rPr>
              <w:t>(15)</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(49)  </w:t>
            </w:r>
          </w:p>
        </w:tc>
      </w:tr>
      <w:tr>
        <w:trPr>
          <w:trHeight w:val="185"/>
        </w:trPr>
        <w:tc>
          <w:tcPr>
            <w:tcW w:w="676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color w:val="auto"/>
              </w:rPr>
              <w:t> Earnings used in earnings per share from continuing operations</w:t>
            </w:r>
          </w:p>
        </w:tc>
        <w:tc>
          <w:tcPr>
            <w:tcW w:w="1900" w:type="dxa"/>
            <w:vAlign w:val="bottom"/>
            <w:tcBorders>
              <w:bottom w:val="single" w:sz="8" w:color="D64000"/>
            </w:tcBorders>
          </w:tcPr>
          <w:p>
            <w:pPr>
              <w:jc w:val="right"/>
              <w:ind w:right="481"/>
              <w:spacing w:after="0" w:line="179" w:lineRule="exact"/>
              <w:rPr>
                <w:sz w:val="20"/>
                <w:szCs w:val="20"/>
                <w:color w:val="auto"/>
              </w:rPr>
            </w:pPr>
            <w:r>
              <w:rPr>
                <w:rFonts w:ascii="Arial" w:cs="Arial" w:eastAsia="Arial" w:hAnsi="Arial"/>
                <w:sz w:val="16"/>
                <w:szCs w:val="16"/>
                <w:b w:val="1"/>
                <w:bCs w:val="1"/>
                <w:color w:val="auto"/>
              </w:rPr>
              <w:t>2,190</w:t>
            </w:r>
          </w:p>
        </w:tc>
        <w:tc>
          <w:tcPr>
            <w:tcW w:w="106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2,641  </w:t>
            </w:r>
          </w:p>
        </w:tc>
      </w:tr>
    </w:tbl>
    <w:p>
      <w:pPr>
        <w:spacing w:after="0" w:line="84" w:lineRule="exact"/>
        <w:rPr>
          <w:sz w:val="20"/>
          <w:szCs w:val="20"/>
          <w:color w:val="auto"/>
        </w:rPr>
      </w:pPr>
    </w:p>
    <w:p>
      <w:pPr>
        <w:ind w:left="220" w:right="40"/>
        <w:spacing w:after="0" w:line="243" w:lineRule="auto"/>
        <w:rPr>
          <w:sz w:val="20"/>
          <w:szCs w:val="20"/>
          <w:color w:val="auto"/>
        </w:rPr>
      </w:pPr>
      <w:r>
        <w:rPr>
          <w:rFonts w:ascii="Arial" w:cs="Arial" w:eastAsia="Arial" w:hAnsi="Arial"/>
          <w:sz w:val="17"/>
          <w:szCs w:val="17"/>
          <w:color w:val="auto"/>
        </w:rPr>
        <w:t>The weighted-average number of common shares outstanding, as well as a reconciliation of the weighted-average number of common shares outstanding used in the basic earnings per share computation to the weighted-average number of common shares outstanding used in the diluted earnings per share computation,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125095</wp:posOffset>
            </wp:positionV>
            <wp:extent cx="617537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177"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7320" w:type="dxa"/>
            <w:vAlign w:val="bottom"/>
          </w:tcPr>
          <w:p>
            <w:pPr>
              <w:spacing w:after="0"/>
              <w:rPr>
                <w:sz w:val="17"/>
                <w:szCs w:val="17"/>
                <w:color w:val="auto"/>
              </w:rPr>
            </w:pPr>
          </w:p>
        </w:tc>
        <w:tc>
          <w:tcPr>
            <w:tcW w:w="2400" w:type="dxa"/>
            <w:vAlign w:val="bottom"/>
            <w:gridSpan w:val="2"/>
            <w:shd w:val="clear" w:color="auto" w:fill="E3F3EE"/>
          </w:tcPr>
          <w:p>
            <w:pPr>
              <w:jc w:val="right"/>
              <w:ind w:right="1"/>
              <w:spacing w:after="0"/>
              <w:rPr>
                <w:sz w:val="20"/>
                <w:szCs w:val="20"/>
                <w:color w:val="auto"/>
              </w:rPr>
            </w:pPr>
            <w:r>
              <w:rPr>
                <w:rFonts w:ascii="Arial" w:cs="Arial" w:eastAsia="Arial" w:hAnsi="Arial"/>
                <w:sz w:val="16"/>
                <w:szCs w:val="16"/>
                <w:b w:val="1"/>
                <w:bCs w:val="1"/>
                <w:color w:val="auto"/>
                <w:w w:val="97"/>
              </w:rPr>
              <w:t>     Year ended December 31, </w:t>
            </w:r>
          </w:p>
        </w:tc>
      </w:tr>
      <w:tr>
        <w:trPr>
          <w:trHeight w:val="192"/>
        </w:trPr>
        <w:tc>
          <w:tcPr>
            <w:tcW w:w="7320" w:type="dxa"/>
            <w:vAlign w:val="bottom"/>
            <w:tcBorders>
              <w:bottom w:val="single" w:sz="8" w:color="D64000"/>
            </w:tcBorders>
            <w:shd w:val="clear" w:color="auto" w:fill="1F473D"/>
          </w:tcPr>
          <w:p>
            <w:pPr>
              <w:spacing w:after="0"/>
              <w:rPr>
                <w:sz w:val="16"/>
                <w:szCs w:val="16"/>
                <w:color w:val="auto"/>
              </w:rPr>
            </w:pPr>
          </w:p>
        </w:tc>
        <w:tc>
          <w:tcPr>
            <w:tcW w:w="1260" w:type="dxa"/>
            <w:vAlign w:val="bottom"/>
            <w:tcBorders>
              <w:bottom w:val="single" w:sz="8" w:color="D64000"/>
            </w:tcBorders>
            <w:shd w:val="clear" w:color="auto" w:fill="1F473D"/>
          </w:tcPr>
          <w:p>
            <w:pPr>
              <w:jc w:val="right"/>
              <w:ind w:right="81"/>
              <w:spacing w:after="0"/>
              <w:rPr>
                <w:sz w:val="20"/>
                <w:szCs w:val="20"/>
                <w:color w:val="auto"/>
              </w:rPr>
            </w:pPr>
            <w:r>
              <w:rPr>
                <w:rFonts w:ascii="Arial" w:cs="Arial" w:eastAsia="Arial" w:hAnsi="Arial"/>
                <w:sz w:val="16"/>
                <w:szCs w:val="16"/>
                <w:b w:val="1"/>
                <w:bCs w:val="1"/>
                <w:color w:val="FFFFFF"/>
              </w:rPr>
              <w:t>2024</w:t>
            </w:r>
          </w:p>
        </w:tc>
        <w:tc>
          <w:tcPr>
            <w:tcW w:w="114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2023 </w:t>
            </w:r>
          </w:p>
        </w:tc>
      </w:tr>
      <w:tr>
        <w:trPr>
          <w:trHeight w:val="171"/>
        </w:trPr>
        <w:tc>
          <w:tcPr>
            <w:tcW w:w="7320" w:type="dxa"/>
            <w:vAlign w:val="bottom"/>
          </w:tcPr>
          <w:p>
            <w:pPr>
              <w:spacing w:after="0" w:line="171" w:lineRule="exact"/>
              <w:rPr>
                <w:sz w:val="20"/>
                <w:szCs w:val="20"/>
                <w:color w:val="auto"/>
              </w:rPr>
            </w:pPr>
            <w:r>
              <w:rPr>
                <w:rFonts w:ascii="Arial" w:cs="Arial" w:eastAsia="Arial" w:hAnsi="Arial"/>
                <w:sz w:val="16"/>
                <w:szCs w:val="16"/>
                <w:color w:val="auto"/>
              </w:rPr>
              <w:t> Weighted-average number of common shares outstanding</w:t>
            </w:r>
          </w:p>
        </w:tc>
        <w:tc>
          <w:tcPr>
            <w:tcW w:w="1260" w:type="dxa"/>
            <w:vAlign w:val="bottom"/>
          </w:tcPr>
          <w:p>
            <w:pPr>
              <w:jc w:val="right"/>
              <w:ind w:right="81"/>
              <w:spacing w:after="0" w:line="171" w:lineRule="exact"/>
              <w:rPr>
                <w:sz w:val="20"/>
                <w:szCs w:val="20"/>
                <w:color w:val="auto"/>
              </w:rPr>
            </w:pPr>
            <w:r>
              <w:rPr>
                <w:rFonts w:ascii="Arial" w:cs="Arial" w:eastAsia="Arial" w:hAnsi="Arial"/>
                <w:sz w:val="16"/>
                <w:szCs w:val="16"/>
                <w:b w:val="1"/>
                <w:bCs w:val="1"/>
                <w:color w:val="auto"/>
              </w:rPr>
              <w:t>450,473,207</w:t>
            </w:r>
          </w:p>
        </w:tc>
        <w:tc>
          <w:tcPr>
            <w:tcW w:w="1140" w:type="dxa"/>
            <w:vAlign w:val="bottom"/>
          </w:tcPr>
          <w:p>
            <w:pPr>
              <w:jc w:val="right"/>
              <w:spacing w:after="0" w:line="171" w:lineRule="exact"/>
              <w:rPr>
                <w:sz w:val="20"/>
                <w:szCs w:val="20"/>
                <w:color w:val="auto"/>
              </w:rPr>
            </w:pPr>
            <w:r>
              <w:rPr>
                <w:rFonts w:ascii="Arial" w:cs="Arial" w:eastAsia="Arial" w:hAnsi="Arial"/>
                <w:sz w:val="16"/>
                <w:szCs w:val="16"/>
                <w:color w:val="auto"/>
              </w:rPr>
              <w:t>463,037,839  </w:t>
            </w:r>
          </w:p>
        </w:tc>
      </w:tr>
      <w:tr>
        <w:trPr>
          <w:trHeight w:val="200"/>
        </w:trPr>
        <w:tc>
          <w:tcPr>
            <w:tcW w:w="732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Weighted-average number of vested DSUs</w:t>
            </w:r>
          </w:p>
        </w:tc>
        <w:tc>
          <w:tcPr>
            <w:tcW w:w="1260" w:type="dxa"/>
            <w:vAlign w:val="bottom"/>
            <w:tcBorders>
              <w:bottom w:val="single" w:sz="8" w:color="B2B2B2"/>
            </w:tcBorders>
          </w:tcPr>
          <w:p>
            <w:pPr>
              <w:jc w:val="right"/>
              <w:ind w:right="81"/>
              <w:spacing w:after="0"/>
              <w:rPr>
                <w:sz w:val="20"/>
                <w:szCs w:val="20"/>
                <w:color w:val="auto"/>
              </w:rPr>
            </w:pPr>
            <w:r>
              <w:rPr>
                <w:rFonts w:ascii="Arial" w:cs="Arial" w:eastAsia="Arial" w:hAnsi="Arial"/>
                <w:sz w:val="16"/>
                <w:szCs w:val="16"/>
                <w:b w:val="1"/>
                <w:bCs w:val="1"/>
                <w:color w:val="auto"/>
              </w:rPr>
              <w:t>136,505</w:t>
            </w:r>
          </w:p>
        </w:tc>
        <w:tc>
          <w:tcPr>
            <w:tcW w:w="11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137,204  </w:t>
            </w:r>
          </w:p>
        </w:tc>
      </w:tr>
      <w:tr>
        <w:trPr>
          <w:trHeight w:val="165"/>
        </w:trPr>
        <w:tc>
          <w:tcPr>
            <w:tcW w:w="7320" w:type="dxa"/>
            <w:vAlign w:val="bottom"/>
          </w:tcPr>
          <w:p>
            <w:pPr>
              <w:spacing w:after="0" w:line="165" w:lineRule="exact"/>
              <w:rPr>
                <w:sz w:val="20"/>
                <w:szCs w:val="20"/>
                <w:color w:val="auto"/>
              </w:rPr>
            </w:pPr>
            <w:r>
              <w:rPr>
                <w:rFonts w:ascii="Arial" w:cs="Arial" w:eastAsia="Arial" w:hAnsi="Arial"/>
                <w:sz w:val="16"/>
                <w:szCs w:val="16"/>
                <w:color w:val="auto"/>
              </w:rPr>
              <w:t> Basic</w:t>
            </w:r>
          </w:p>
        </w:tc>
        <w:tc>
          <w:tcPr>
            <w:tcW w:w="1260" w:type="dxa"/>
            <w:vAlign w:val="bottom"/>
          </w:tcPr>
          <w:p>
            <w:pPr>
              <w:jc w:val="right"/>
              <w:ind w:right="81"/>
              <w:spacing w:after="0" w:line="165" w:lineRule="exact"/>
              <w:rPr>
                <w:sz w:val="20"/>
                <w:szCs w:val="20"/>
                <w:color w:val="auto"/>
              </w:rPr>
            </w:pPr>
            <w:r>
              <w:rPr>
                <w:rFonts w:ascii="Arial" w:cs="Arial" w:eastAsia="Arial" w:hAnsi="Arial"/>
                <w:sz w:val="16"/>
                <w:szCs w:val="16"/>
                <w:b w:val="1"/>
                <w:bCs w:val="1"/>
                <w:color w:val="auto"/>
              </w:rPr>
              <w:t>450,609,712</w:t>
            </w:r>
          </w:p>
        </w:tc>
        <w:tc>
          <w:tcPr>
            <w:tcW w:w="1140" w:type="dxa"/>
            <w:vAlign w:val="bottom"/>
          </w:tcPr>
          <w:p>
            <w:pPr>
              <w:jc w:val="right"/>
              <w:spacing w:after="0" w:line="165" w:lineRule="exact"/>
              <w:rPr>
                <w:sz w:val="20"/>
                <w:szCs w:val="20"/>
                <w:color w:val="auto"/>
              </w:rPr>
            </w:pPr>
            <w:r>
              <w:rPr>
                <w:rFonts w:ascii="Arial" w:cs="Arial" w:eastAsia="Arial" w:hAnsi="Arial"/>
                <w:sz w:val="16"/>
                <w:szCs w:val="16"/>
                <w:color w:val="auto"/>
              </w:rPr>
              <w:t>463,175,043  </w:t>
            </w:r>
          </w:p>
        </w:tc>
      </w:tr>
      <w:tr>
        <w:trPr>
          <w:trHeight w:val="200"/>
        </w:trPr>
        <w:tc>
          <w:tcPr>
            <w:tcW w:w="732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Effect of stock options and TRSUs</w:t>
            </w:r>
          </w:p>
        </w:tc>
        <w:tc>
          <w:tcPr>
            <w:tcW w:w="1260" w:type="dxa"/>
            <w:vAlign w:val="bottom"/>
            <w:tcBorders>
              <w:bottom w:val="single" w:sz="8" w:color="B2B2B2"/>
            </w:tcBorders>
          </w:tcPr>
          <w:p>
            <w:pPr>
              <w:jc w:val="right"/>
              <w:ind w:right="81"/>
              <w:spacing w:after="0"/>
              <w:rPr>
                <w:sz w:val="20"/>
                <w:szCs w:val="20"/>
                <w:color w:val="auto"/>
              </w:rPr>
            </w:pPr>
            <w:r>
              <w:rPr>
                <w:rFonts w:ascii="Arial" w:cs="Arial" w:eastAsia="Arial" w:hAnsi="Arial"/>
                <w:sz w:val="16"/>
                <w:szCs w:val="16"/>
                <w:b w:val="1"/>
                <w:bCs w:val="1"/>
                <w:color w:val="auto"/>
              </w:rPr>
              <w:t>629,778</w:t>
            </w:r>
          </w:p>
        </w:tc>
        <w:tc>
          <w:tcPr>
            <w:tcW w:w="11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795,027  </w:t>
            </w:r>
          </w:p>
        </w:tc>
      </w:tr>
      <w:tr>
        <w:trPr>
          <w:trHeight w:val="185"/>
        </w:trPr>
        <w:tc>
          <w:tcPr>
            <w:tcW w:w="732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color w:val="auto"/>
              </w:rPr>
              <w:t> Diluted</w:t>
            </w:r>
          </w:p>
        </w:tc>
        <w:tc>
          <w:tcPr>
            <w:tcW w:w="1260" w:type="dxa"/>
            <w:vAlign w:val="bottom"/>
            <w:tcBorders>
              <w:bottom w:val="single" w:sz="8" w:color="D64000"/>
            </w:tcBorders>
          </w:tcPr>
          <w:p>
            <w:pPr>
              <w:jc w:val="right"/>
              <w:ind w:right="81"/>
              <w:spacing w:after="0" w:line="179" w:lineRule="exact"/>
              <w:rPr>
                <w:sz w:val="20"/>
                <w:szCs w:val="20"/>
                <w:color w:val="auto"/>
              </w:rPr>
            </w:pPr>
            <w:r>
              <w:rPr>
                <w:rFonts w:ascii="Arial" w:cs="Arial" w:eastAsia="Arial" w:hAnsi="Arial"/>
                <w:sz w:val="16"/>
                <w:szCs w:val="16"/>
                <w:b w:val="1"/>
                <w:bCs w:val="1"/>
                <w:color w:val="auto"/>
              </w:rPr>
              <w:t>451,239,490</w:t>
            </w:r>
          </w:p>
        </w:tc>
        <w:tc>
          <w:tcPr>
            <w:tcW w:w="114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463,970,070  </w:t>
            </w:r>
          </w:p>
        </w:tc>
      </w:tr>
    </w:tbl>
    <w:p>
      <w:pPr>
        <w:spacing w:after="0" w:line="84" w:lineRule="exact"/>
        <w:rPr>
          <w:sz w:val="20"/>
          <w:szCs w:val="20"/>
          <w:color w:val="auto"/>
        </w:rPr>
      </w:pPr>
    </w:p>
    <w:p>
      <w:pPr>
        <w:ind w:left="220" w:right="140"/>
        <w:spacing w:after="0" w:line="260" w:lineRule="auto"/>
        <w:rPr>
          <w:sz w:val="20"/>
          <w:szCs w:val="20"/>
          <w:color w:val="auto"/>
        </w:rPr>
      </w:pPr>
      <w:r>
        <w:rPr>
          <w:rFonts w:ascii="Arial" w:cs="Arial" w:eastAsia="Arial" w:hAnsi="Arial"/>
          <w:sz w:val="17"/>
          <w:szCs w:val="17"/>
          <w:color w:val="auto"/>
        </w:rPr>
        <w:t>The impact of the share reduction from the return of capital and share consolidation transaction in June 2023 (see note 25) was factored into the weighted average number of common shares outstanding from the date of the transaction.</w:t>
      </w:r>
    </w:p>
    <w:p>
      <w:pPr>
        <w:spacing w:after="0" w:line="40" w:lineRule="exact"/>
        <w:rPr>
          <w:sz w:val="20"/>
          <w:szCs w:val="20"/>
          <w:color w:val="auto"/>
        </w:rPr>
      </w:pPr>
    </w:p>
    <w:p>
      <w:pPr>
        <w:ind w:left="220" w:right="440"/>
        <w:spacing w:after="0" w:line="260" w:lineRule="auto"/>
        <w:rPr>
          <w:sz w:val="20"/>
          <w:szCs w:val="20"/>
          <w:color w:val="auto"/>
        </w:rPr>
      </w:pPr>
      <w:r>
        <w:rPr>
          <w:rFonts w:ascii="Arial" w:cs="Arial" w:eastAsia="Arial" w:hAnsi="Arial"/>
          <w:sz w:val="17"/>
          <w:szCs w:val="17"/>
          <w:color w:val="auto"/>
        </w:rPr>
        <w:t>There were 224,973 stock options and TRSUs outstanding as of December 31, 2024 that were anti-dilutive, and therefore excluded from the diluted earnings per share computation (2023 – nil).</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Note 13: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151765</wp:posOffset>
            </wp:positionV>
            <wp:extent cx="617537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7740" w:type="dxa"/>
            <w:vAlign w:val="bottom"/>
          </w:tcPr>
          <w:p>
            <w:pPr>
              <w:spacing w:after="0"/>
              <w:rPr>
                <w:sz w:val="17"/>
                <w:szCs w:val="17"/>
                <w:color w:val="auto"/>
              </w:rPr>
            </w:pPr>
          </w:p>
        </w:tc>
        <w:tc>
          <w:tcPr>
            <w:tcW w:w="200" w:type="dxa"/>
            <w:vAlign w:val="bottom"/>
            <w:shd w:val="clear" w:color="auto" w:fill="E3F3EE"/>
          </w:tcPr>
          <w:p>
            <w:pPr>
              <w:ind w:left="100"/>
              <w:spacing w:after="0"/>
              <w:rPr>
                <w:sz w:val="20"/>
                <w:szCs w:val="20"/>
                <w:color w:val="auto"/>
              </w:rPr>
            </w:pPr>
            <w:r>
              <w:rPr>
                <w:rFonts w:ascii="Arial" w:cs="Arial" w:eastAsia="Arial" w:hAnsi="Arial"/>
                <w:sz w:val="11"/>
                <w:szCs w:val="11"/>
                <w:b w:val="1"/>
                <w:bCs w:val="1"/>
                <w:color w:val="auto"/>
                <w:w w:val="72"/>
              </w:rPr>
              <w:t> </w:t>
            </w:r>
          </w:p>
        </w:tc>
        <w:tc>
          <w:tcPr>
            <w:tcW w:w="1780" w:type="dxa"/>
            <w:vAlign w:val="bottom"/>
            <w:gridSpan w:val="2"/>
            <w:shd w:val="clear" w:color="auto" w:fill="E3F3EE"/>
          </w:tcPr>
          <w:p>
            <w:pPr>
              <w:jc w:val="right"/>
              <w:ind w:right="81"/>
              <w:spacing w:after="0"/>
              <w:rPr>
                <w:sz w:val="20"/>
                <w:szCs w:val="20"/>
                <w:color w:val="auto"/>
              </w:rPr>
            </w:pPr>
            <w:r>
              <w:rPr>
                <w:rFonts w:ascii="Arial" w:cs="Arial" w:eastAsia="Arial" w:hAnsi="Arial"/>
                <w:sz w:val="16"/>
                <w:szCs w:val="16"/>
                <w:b w:val="1"/>
                <w:bCs w:val="1"/>
                <w:color w:val="auto"/>
              </w:rPr>
              <w:t xml:space="preserve">      December 31,    </w:t>
            </w:r>
          </w:p>
        </w:tc>
      </w:tr>
      <w:tr>
        <w:trPr>
          <w:trHeight w:val="192"/>
        </w:trPr>
        <w:tc>
          <w:tcPr>
            <w:tcW w:w="7740" w:type="dxa"/>
            <w:vAlign w:val="bottom"/>
            <w:tcBorders>
              <w:bottom w:val="single" w:sz="8" w:color="D64000"/>
            </w:tcBorders>
            <w:shd w:val="clear" w:color="auto" w:fill="1F473D"/>
          </w:tcPr>
          <w:p>
            <w:pPr>
              <w:spacing w:after="0"/>
              <w:rPr>
                <w:sz w:val="16"/>
                <w:szCs w:val="16"/>
                <w:color w:val="auto"/>
              </w:rPr>
            </w:pPr>
          </w:p>
        </w:tc>
        <w:tc>
          <w:tcPr>
            <w:tcW w:w="200" w:type="dxa"/>
            <w:vAlign w:val="bottom"/>
            <w:tcBorders>
              <w:bottom w:val="single" w:sz="8" w:color="D64000"/>
            </w:tcBorders>
            <w:shd w:val="clear" w:color="auto" w:fill="1F473D"/>
          </w:tcPr>
          <w:p>
            <w:pPr>
              <w:spacing w:after="0"/>
              <w:rPr>
                <w:sz w:val="16"/>
                <w:szCs w:val="16"/>
                <w:color w:val="auto"/>
              </w:rPr>
            </w:pPr>
          </w:p>
        </w:tc>
        <w:tc>
          <w:tcPr>
            <w:tcW w:w="960" w:type="dxa"/>
            <w:vAlign w:val="bottom"/>
            <w:tcBorders>
              <w:bottom w:val="single" w:sz="8" w:color="D64000"/>
            </w:tcBorders>
            <w:shd w:val="clear" w:color="auto" w:fill="1F473D"/>
          </w:tcPr>
          <w:p>
            <w:pPr>
              <w:jc w:val="right"/>
              <w:ind w:right="261"/>
              <w:spacing w:after="0"/>
              <w:rPr>
                <w:sz w:val="20"/>
                <w:szCs w:val="20"/>
                <w:color w:val="auto"/>
              </w:rPr>
            </w:pPr>
            <w:r>
              <w:rPr>
                <w:rFonts w:ascii="Arial" w:cs="Arial" w:eastAsia="Arial" w:hAnsi="Arial"/>
                <w:sz w:val="16"/>
                <w:szCs w:val="16"/>
                <w:b w:val="1"/>
                <w:bCs w:val="1"/>
                <w:color w:val="FFFFFF"/>
              </w:rPr>
              <w:t>2024</w:t>
            </w:r>
          </w:p>
        </w:tc>
        <w:tc>
          <w:tcPr>
            <w:tcW w:w="82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2023 </w:t>
            </w:r>
          </w:p>
        </w:tc>
      </w:tr>
      <w:tr>
        <w:trPr>
          <w:trHeight w:val="171"/>
        </w:trPr>
        <w:tc>
          <w:tcPr>
            <w:tcW w:w="7940" w:type="dxa"/>
            <w:vAlign w:val="bottom"/>
            <w:gridSpan w:val="2"/>
          </w:tcPr>
          <w:p>
            <w:pPr>
              <w:spacing w:after="0" w:line="171" w:lineRule="exact"/>
              <w:rPr>
                <w:sz w:val="20"/>
                <w:szCs w:val="20"/>
                <w:color w:val="auto"/>
              </w:rPr>
            </w:pPr>
            <w:r>
              <w:rPr>
                <w:rFonts w:ascii="Arial" w:cs="Arial" w:eastAsia="Arial" w:hAnsi="Arial"/>
                <w:sz w:val="16"/>
                <w:szCs w:val="16"/>
                <w:color w:val="auto"/>
              </w:rPr>
              <w:t>  Cash</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5"/>
        </w:trPr>
        <w:tc>
          <w:tcPr>
            <w:tcW w:w="7940" w:type="dxa"/>
            <w:vAlign w:val="bottom"/>
            <w:gridSpan w:val="2"/>
          </w:tcPr>
          <w:p>
            <w:pPr>
              <w:ind w:left="180"/>
              <w:spacing w:after="0" w:line="185" w:lineRule="exact"/>
              <w:rPr>
                <w:sz w:val="20"/>
                <w:szCs w:val="20"/>
                <w:color w:val="auto"/>
              </w:rPr>
            </w:pPr>
            <w:r>
              <w:rPr>
                <w:rFonts w:ascii="Arial" w:cs="Arial" w:eastAsia="Arial" w:hAnsi="Arial"/>
                <w:sz w:val="16"/>
                <w:szCs w:val="16"/>
                <w:color w:val="auto"/>
              </w:rPr>
              <w:t>Cash at banks and on hand</w:t>
            </w:r>
            <w:r>
              <w:rPr>
                <w:rFonts w:ascii="Arial" w:cs="Arial" w:eastAsia="Arial" w:hAnsi="Arial"/>
                <w:sz w:val="19"/>
                <w:szCs w:val="19"/>
                <w:color w:val="auto"/>
                <w:vertAlign w:val="superscript"/>
              </w:rPr>
              <w:t>(1)</w:t>
            </w:r>
          </w:p>
        </w:tc>
        <w:tc>
          <w:tcPr>
            <w:tcW w:w="960" w:type="dxa"/>
            <w:vAlign w:val="bottom"/>
          </w:tcPr>
          <w:p>
            <w:pPr>
              <w:jc w:val="right"/>
              <w:ind w:right="261"/>
              <w:spacing w:after="0"/>
              <w:rPr>
                <w:sz w:val="20"/>
                <w:szCs w:val="20"/>
                <w:color w:val="auto"/>
              </w:rPr>
            </w:pPr>
            <w:r>
              <w:rPr>
                <w:rFonts w:ascii="Arial" w:cs="Arial" w:eastAsia="Arial" w:hAnsi="Arial"/>
                <w:sz w:val="16"/>
                <w:szCs w:val="16"/>
                <w:b w:val="1"/>
                <w:bCs w:val="1"/>
                <w:color w:val="auto"/>
              </w:rPr>
              <w:t>873</w:t>
            </w:r>
          </w:p>
        </w:tc>
        <w:tc>
          <w:tcPr>
            <w:tcW w:w="820" w:type="dxa"/>
            <w:vAlign w:val="bottom"/>
          </w:tcPr>
          <w:p>
            <w:pPr>
              <w:jc w:val="right"/>
              <w:spacing w:after="0"/>
              <w:rPr>
                <w:sz w:val="20"/>
                <w:szCs w:val="20"/>
                <w:color w:val="auto"/>
              </w:rPr>
            </w:pPr>
            <w:r>
              <w:rPr>
                <w:rFonts w:ascii="Arial" w:cs="Arial" w:eastAsia="Arial" w:hAnsi="Arial"/>
                <w:sz w:val="16"/>
                <w:szCs w:val="16"/>
                <w:color w:val="auto"/>
              </w:rPr>
              <w:t>392  </w:t>
            </w:r>
          </w:p>
        </w:tc>
      </w:tr>
      <w:tr>
        <w:trPr>
          <w:trHeight w:val="186"/>
        </w:trPr>
        <w:tc>
          <w:tcPr>
            <w:tcW w:w="7940" w:type="dxa"/>
            <w:vAlign w:val="bottom"/>
            <w:gridSpan w:val="2"/>
          </w:tcPr>
          <w:p>
            <w:pPr>
              <w:spacing w:after="0"/>
              <w:rPr>
                <w:sz w:val="20"/>
                <w:szCs w:val="20"/>
                <w:color w:val="auto"/>
              </w:rPr>
            </w:pPr>
            <w:r>
              <w:rPr>
                <w:rFonts w:ascii="Arial" w:cs="Arial" w:eastAsia="Arial" w:hAnsi="Arial"/>
                <w:sz w:val="16"/>
                <w:szCs w:val="16"/>
                <w:color w:val="auto"/>
              </w:rPr>
              <w:t> Cash equivalents</w:t>
            </w:r>
          </w:p>
        </w:tc>
        <w:tc>
          <w:tcPr>
            <w:tcW w:w="9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00"/>
        </w:trPr>
        <w:tc>
          <w:tcPr>
            <w:tcW w:w="7940" w:type="dxa"/>
            <w:vAlign w:val="bottom"/>
            <w:tcBorders>
              <w:bottom w:val="single" w:sz="8" w:color="B2B2B2"/>
            </w:tcBorders>
            <w:gridSpan w:val="2"/>
          </w:tcPr>
          <w:p>
            <w:pPr>
              <w:ind w:left="180"/>
              <w:spacing w:after="0"/>
              <w:rPr>
                <w:sz w:val="20"/>
                <w:szCs w:val="20"/>
                <w:color w:val="auto"/>
              </w:rPr>
            </w:pPr>
            <w:r>
              <w:rPr>
                <w:rFonts w:ascii="Arial" w:cs="Arial" w:eastAsia="Arial" w:hAnsi="Arial"/>
                <w:sz w:val="16"/>
                <w:szCs w:val="16"/>
                <w:color w:val="auto"/>
              </w:rPr>
              <w:t>Money market accounts and other securities</w:t>
            </w:r>
          </w:p>
        </w:tc>
        <w:tc>
          <w:tcPr>
            <w:tcW w:w="960" w:type="dxa"/>
            <w:vAlign w:val="bottom"/>
            <w:tcBorders>
              <w:bottom w:val="single" w:sz="8" w:color="B2B2B2"/>
            </w:tcBorders>
          </w:tcPr>
          <w:p>
            <w:pPr>
              <w:jc w:val="right"/>
              <w:ind w:right="261"/>
              <w:spacing w:after="0"/>
              <w:rPr>
                <w:sz w:val="20"/>
                <w:szCs w:val="20"/>
                <w:color w:val="auto"/>
              </w:rPr>
            </w:pPr>
            <w:r>
              <w:rPr>
                <w:rFonts w:ascii="Arial" w:cs="Arial" w:eastAsia="Arial" w:hAnsi="Arial"/>
                <w:sz w:val="16"/>
                <w:szCs w:val="16"/>
                <w:b w:val="1"/>
                <w:bCs w:val="1"/>
                <w:color w:val="auto"/>
              </w:rPr>
              <w:t>1,095</w:t>
            </w: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906  </w:t>
            </w:r>
          </w:p>
        </w:tc>
      </w:tr>
      <w:tr>
        <w:trPr>
          <w:trHeight w:val="185"/>
        </w:trPr>
        <w:tc>
          <w:tcPr>
            <w:tcW w:w="7940" w:type="dxa"/>
            <w:vAlign w:val="bottom"/>
            <w:tcBorders>
              <w:bottom w:val="single" w:sz="8" w:color="D64000"/>
            </w:tcBorders>
            <w:gridSpan w:val="2"/>
          </w:tcPr>
          <w:p>
            <w:pPr>
              <w:spacing w:after="0" w:line="179" w:lineRule="exact"/>
              <w:rPr>
                <w:sz w:val="20"/>
                <w:szCs w:val="20"/>
                <w:color w:val="auto"/>
              </w:rPr>
            </w:pPr>
            <w:r>
              <w:rPr>
                <w:rFonts w:ascii="Arial" w:cs="Arial" w:eastAsia="Arial" w:hAnsi="Arial"/>
                <w:sz w:val="16"/>
                <w:szCs w:val="16"/>
                <w:color w:val="auto"/>
              </w:rPr>
              <w:t> Cash and cash equivalents</w:t>
            </w:r>
          </w:p>
        </w:tc>
        <w:tc>
          <w:tcPr>
            <w:tcW w:w="960" w:type="dxa"/>
            <w:vAlign w:val="bottom"/>
            <w:tcBorders>
              <w:bottom w:val="single" w:sz="8" w:color="D64000"/>
            </w:tcBorders>
          </w:tcPr>
          <w:p>
            <w:pPr>
              <w:jc w:val="right"/>
              <w:ind w:right="261"/>
              <w:spacing w:after="0" w:line="179" w:lineRule="exact"/>
              <w:rPr>
                <w:sz w:val="20"/>
                <w:szCs w:val="20"/>
                <w:color w:val="auto"/>
              </w:rPr>
            </w:pPr>
            <w:r>
              <w:rPr>
                <w:rFonts w:ascii="Arial" w:cs="Arial" w:eastAsia="Arial" w:hAnsi="Arial"/>
                <w:sz w:val="16"/>
                <w:szCs w:val="16"/>
                <w:b w:val="1"/>
                <w:bCs w:val="1"/>
                <w:color w:val="auto"/>
              </w:rPr>
              <w:t>1,968</w:t>
            </w:r>
          </w:p>
        </w:tc>
        <w:tc>
          <w:tcPr>
            <w:tcW w:w="82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1,298  </w:t>
            </w:r>
          </w:p>
        </w:tc>
      </w:tr>
    </w:tbl>
    <w:p>
      <w:pPr>
        <w:spacing w:after="0" w:line="110" w:lineRule="exact"/>
        <w:rPr>
          <w:sz w:val="20"/>
          <w:szCs w:val="20"/>
          <w:color w:val="auto"/>
        </w:rPr>
      </w:pPr>
    </w:p>
    <w:p>
      <w:pPr>
        <w:ind w:left="640" w:right="320" w:hanging="422"/>
        <w:spacing w:after="0" w:line="274" w:lineRule="auto"/>
        <w:tabs>
          <w:tab w:leader="none" w:pos="6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On January 2, 2025, the Company acquired cPaperless, LLC, doing business as SafeSend (“SafeSend”), for $600 million in cash, which was funded from cash at banks and on hand as of December 31, 2024. See note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83820</wp:posOffset>
            </wp:positionV>
            <wp:extent cx="686562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ectPr>
          <w:pgSz w:w="11900" w:h="16838" w:orient="portrait"/>
          <w:cols w:equalWidth="0" w:num="1">
            <w:col w:w="11040"/>
          </w:cols>
          <w:pgMar w:left="320" w:top="477" w:right="539" w:bottom="1440" w:gutter="0" w:footer="0" w:header="0"/>
        </w:sectPr>
      </w:pPr>
    </w:p>
    <w:p>
      <w:pPr>
        <w:spacing w:after="0" w:line="150"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108</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140"/>
        <w:spacing w:after="0" w:line="243" w:lineRule="auto"/>
        <w:rPr>
          <w:sz w:val="20"/>
          <w:szCs w:val="20"/>
          <w:color w:val="auto"/>
        </w:rPr>
      </w:pPr>
      <w:r>
        <w:rPr>
          <w:rFonts w:ascii="Arial" w:cs="Arial" w:eastAsia="Arial" w:hAnsi="Arial"/>
          <w:sz w:val="17"/>
          <w:szCs w:val="17"/>
          <w:color w:val="auto"/>
        </w:rPr>
        <w:t>Of total cash and cash equivalents, $115 million and $100 million as of December 31, 2024 and 2023, respectively, were held in subsidiaries which have regulatory restrictions, contractual restrictions or operate in countries where exchange controls and other legal restrictions apply and were therefore not available for general use by the Company.</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Note 14: Trade and 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151765</wp:posOffset>
            </wp:positionV>
            <wp:extent cx="617537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7740" w:type="dxa"/>
            <w:vAlign w:val="bottom"/>
          </w:tcPr>
          <w:p>
            <w:pPr>
              <w:spacing w:after="0"/>
              <w:rPr>
                <w:sz w:val="17"/>
                <w:szCs w:val="17"/>
                <w:color w:val="auto"/>
              </w:rPr>
            </w:pPr>
          </w:p>
        </w:tc>
        <w:tc>
          <w:tcPr>
            <w:tcW w:w="200" w:type="dxa"/>
            <w:vAlign w:val="bottom"/>
            <w:shd w:val="clear" w:color="auto" w:fill="E3F3EE"/>
          </w:tcPr>
          <w:p>
            <w:pPr>
              <w:ind w:left="100"/>
              <w:spacing w:after="0"/>
              <w:rPr>
                <w:sz w:val="20"/>
                <w:szCs w:val="20"/>
                <w:color w:val="auto"/>
              </w:rPr>
            </w:pPr>
            <w:r>
              <w:rPr>
                <w:rFonts w:ascii="Arial" w:cs="Arial" w:eastAsia="Arial" w:hAnsi="Arial"/>
                <w:sz w:val="11"/>
                <w:szCs w:val="11"/>
                <w:b w:val="1"/>
                <w:bCs w:val="1"/>
                <w:color w:val="auto"/>
                <w:w w:val="72"/>
              </w:rPr>
              <w:t> </w:t>
            </w:r>
          </w:p>
        </w:tc>
        <w:tc>
          <w:tcPr>
            <w:tcW w:w="160" w:type="dxa"/>
            <w:vAlign w:val="bottom"/>
            <w:shd w:val="clear" w:color="auto" w:fill="E3F3EE"/>
          </w:tcPr>
          <w:p>
            <w:pPr>
              <w:ind w:left="60"/>
              <w:spacing w:after="0"/>
              <w:rPr>
                <w:sz w:val="20"/>
                <w:szCs w:val="20"/>
                <w:color w:val="auto"/>
              </w:rPr>
            </w:pPr>
            <w:r>
              <w:rPr>
                <w:rFonts w:ascii="Arial" w:cs="Arial" w:eastAsia="Arial" w:hAnsi="Arial"/>
                <w:sz w:val="11"/>
                <w:szCs w:val="11"/>
                <w:b w:val="1"/>
                <w:bCs w:val="1"/>
                <w:color w:val="auto"/>
                <w:w w:val="72"/>
              </w:rPr>
              <w:t> </w:t>
            </w:r>
          </w:p>
        </w:tc>
        <w:tc>
          <w:tcPr>
            <w:tcW w:w="100" w:type="dxa"/>
            <w:vAlign w:val="bottom"/>
            <w:shd w:val="clear" w:color="auto" w:fill="E3F3EE"/>
          </w:tcPr>
          <w:p>
            <w:pPr>
              <w:ind w:left="60"/>
              <w:spacing w:after="0"/>
              <w:rPr>
                <w:sz w:val="20"/>
                <w:szCs w:val="20"/>
                <w:color w:val="auto"/>
              </w:rPr>
            </w:pPr>
            <w:r>
              <w:rPr>
                <w:rFonts w:ascii="Arial" w:cs="Arial" w:eastAsia="Arial" w:hAnsi="Arial"/>
                <w:sz w:val="2"/>
                <w:szCs w:val="2"/>
                <w:b w:val="1"/>
                <w:bCs w:val="1"/>
                <w:color w:val="auto"/>
                <w:w w:val="97"/>
              </w:rPr>
              <w:t> </w:t>
            </w:r>
          </w:p>
        </w:tc>
        <w:tc>
          <w:tcPr>
            <w:tcW w:w="1520" w:type="dxa"/>
            <w:vAlign w:val="bottom"/>
            <w:gridSpan w:val="2"/>
            <w:shd w:val="clear" w:color="auto" w:fill="E3F3EE"/>
          </w:tcPr>
          <w:p>
            <w:pPr>
              <w:jc w:val="right"/>
              <w:ind w:right="81"/>
              <w:spacing w:after="0"/>
              <w:rPr>
                <w:sz w:val="20"/>
                <w:szCs w:val="20"/>
                <w:color w:val="auto"/>
              </w:rPr>
            </w:pPr>
            <w:r>
              <w:rPr>
                <w:rFonts w:ascii="Arial" w:cs="Arial" w:eastAsia="Arial" w:hAnsi="Arial"/>
                <w:sz w:val="16"/>
                <w:szCs w:val="16"/>
                <w:b w:val="1"/>
                <w:bCs w:val="1"/>
                <w:color w:val="auto"/>
              </w:rPr>
              <w:t xml:space="preserve">December 31,    </w:t>
            </w:r>
          </w:p>
        </w:tc>
      </w:tr>
      <w:tr>
        <w:trPr>
          <w:trHeight w:val="192"/>
        </w:trPr>
        <w:tc>
          <w:tcPr>
            <w:tcW w:w="7740" w:type="dxa"/>
            <w:vAlign w:val="bottom"/>
            <w:tcBorders>
              <w:bottom w:val="single" w:sz="8" w:color="D64000"/>
            </w:tcBorders>
            <w:shd w:val="clear" w:color="auto" w:fill="1F473D"/>
          </w:tcPr>
          <w:p>
            <w:pPr>
              <w:spacing w:after="0"/>
              <w:rPr>
                <w:sz w:val="16"/>
                <w:szCs w:val="16"/>
                <w:color w:val="auto"/>
              </w:rPr>
            </w:pPr>
          </w:p>
        </w:tc>
        <w:tc>
          <w:tcPr>
            <w:tcW w:w="200" w:type="dxa"/>
            <w:vAlign w:val="bottom"/>
            <w:tcBorders>
              <w:bottom w:val="single" w:sz="8" w:color="D64000"/>
            </w:tcBorders>
            <w:shd w:val="clear" w:color="auto" w:fill="1F473D"/>
          </w:tcPr>
          <w:p>
            <w:pPr>
              <w:spacing w:after="0"/>
              <w:rPr>
                <w:sz w:val="16"/>
                <w:szCs w:val="16"/>
                <w:color w:val="auto"/>
              </w:rPr>
            </w:pPr>
          </w:p>
        </w:tc>
        <w:tc>
          <w:tcPr>
            <w:tcW w:w="160" w:type="dxa"/>
            <w:vAlign w:val="bottom"/>
            <w:tcBorders>
              <w:bottom w:val="single" w:sz="8" w:color="D64000"/>
            </w:tcBorders>
            <w:shd w:val="clear" w:color="auto" w:fill="1F473D"/>
          </w:tcPr>
          <w:p>
            <w:pPr>
              <w:spacing w:after="0"/>
              <w:rPr>
                <w:sz w:val="16"/>
                <w:szCs w:val="16"/>
                <w:color w:val="auto"/>
              </w:rPr>
            </w:pPr>
          </w:p>
        </w:tc>
        <w:tc>
          <w:tcPr>
            <w:tcW w:w="100" w:type="dxa"/>
            <w:vAlign w:val="bottom"/>
            <w:tcBorders>
              <w:bottom w:val="single" w:sz="8" w:color="D64000"/>
            </w:tcBorders>
            <w:shd w:val="clear" w:color="auto" w:fill="1F473D"/>
          </w:tcPr>
          <w:p>
            <w:pPr>
              <w:spacing w:after="0"/>
              <w:rPr>
                <w:sz w:val="16"/>
                <w:szCs w:val="16"/>
                <w:color w:val="auto"/>
              </w:rPr>
            </w:pPr>
          </w:p>
        </w:tc>
        <w:tc>
          <w:tcPr>
            <w:tcW w:w="700" w:type="dxa"/>
            <w:vAlign w:val="bottom"/>
            <w:tcBorders>
              <w:bottom w:val="single" w:sz="8" w:color="D64000"/>
            </w:tcBorders>
            <w:shd w:val="clear" w:color="auto" w:fill="1F473D"/>
          </w:tcPr>
          <w:p>
            <w:pPr>
              <w:jc w:val="right"/>
              <w:ind w:right="261"/>
              <w:spacing w:after="0"/>
              <w:rPr>
                <w:sz w:val="20"/>
                <w:szCs w:val="20"/>
                <w:color w:val="auto"/>
              </w:rPr>
            </w:pPr>
            <w:r>
              <w:rPr>
                <w:rFonts w:ascii="Arial" w:cs="Arial" w:eastAsia="Arial" w:hAnsi="Arial"/>
                <w:sz w:val="16"/>
                <w:szCs w:val="16"/>
                <w:b w:val="1"/>
                <w:bCs w:val="1"/>
                <w:color w:val="FFFFFF"/>
                <w:w w:val="95"/>
              </w:rPr>
              <w:t>2024</w:t>
            </w:r>
          </w:p>
        </w:tc>
        <w:tc>
          <w:tcPr>
            <w:tcW w:w="82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2023 </w:t>
            </w:r>
          </w:p>
        </w:tc>
      </w:tr>
      <w:tr>
        <w:trPr>
          <w:trHeight w:val="171"/>
        </w:trPr>
        <w:tc>
          <w:tcPr>
            <w:tcW w:w="7940" w:type="dxa"/>
            <w:vAlign w:val="bottom"/>
            <w:gridSpan w:val="2"/>
          </w:tcPr>
          <w:p>
            <w:pPr>
              <w:spacing w:after="0" w:line="171" w:lineRule="exact"/>
              <w:rPr>
                <w:sz w:val="20"/>
                <w:szCs w:val="20"/>
                <w:color w:val="auto"/>
              </w:rPr>
            </w:pPr>
            <w:r>
              <w:rPr>
                <w:rFonts w:ascii="Arial" w:cs="Arial" w:eastAsia="Arial" w:hAnsi="Arial"/>
                <w:sz w:val="16"/>
                <w:szCs w:val="16"/>
                <w:color w:val="auto"/>
              </w:rPr>
              <w:t> Trade receivables</w:t>
            </w:r>
          </w:p>
        </w:tc>
        <w:tc>
          <w:tcPr>
            <w:tcW w:w="160" w:type="dxa"/>
            <w:vAlign w:val="bottom"/>
          </w:tcPr>
          <w:p>
            <w:pPr>
              <w:spacing w:after="0"/>
              <w:rPr>
                <w:sz w:val="14"/>
                <w:szCs w:val="14"/>
                <w:color w:val="auto"/>
              </w:rPr>
            </w:pPr>
          </w:p>
        </w:tc>
        <w:tc>
          <w:tcPr>
            <w:tcW w:w="800" w:type="dxa"/>
            <w:vAlign w:val="bottom"/>
            <w:gridSpan w:val="2"/>
          </w:tcPr>
          <w:p>
            <w:pPr>
              <w:jc w:val="right"/>
              <w:ind w:right="261"/>
              <w:spacing w:after="0" w:line="171" w:lineRule="exact"/>
              <w:rPr>
                <w:sz w:val="20"/>
                <w:szCs w:val="20"/>
                <w:color w:val="auto"/>
              </w:rPr>
            </w:pPr>
            <w:r>
              <w:rPr>
                <w:rFonts w:ascii="Arial" w:cs="Arial" w:eastAsia="Arial" w:hAnsi="Arial"/>
                <w:sz w:val="16"/>
                <w:szCs w:val="16"/>
                <w:b w:val="1"/>
                <w:bCs w:val="1"/>
                <w:color w:val="auto"/>
              </w:rPr>
              <w:t>1,113</w:t>
            </w:r>
          </w:p>
        </w:tc>
        <w:tc>
          <w:tcPr>
            <w:tcW w:w="820" w:type="dxa"/>
            <w:vAlign w:val="bottom"/>
          </w:tcPr>
          <w:p>
            <w:pPr>
              <w:jc w:val="right"/>
              <w:spacing w:after="0" w:line="171" w:lineRule="exact"/>
              <w:rPr>
                <w:sz w:val="20"/>
                <w:szCs w:val="20"/>
                <w:color w:val="auto"/>
              </w:rPr>
            </w:pPr>
            <w:r>
              <w:rPr>
                <w:rFonts w:ascii="Arial" w:cs="Arial" w:eastAsia="Arial" w:hAnsi="Arial"/>
                <w:sz w:val="16"/>
                <w:szCs w:val="16"/>
                <w:color w:val="auto"/>
              </w:rPr>
              <w:t>1,103  </w:t>
            </w:r>
          </w:p>
        </w:tc>
      </w:tr>
      <w:tr>
        <w:trPr>
          <w:trHeight w:val="186"/>
        </w:trPr>
        <w:tc>
          <w:tcPr>
            <w:tcW w:w="7940" w:type="dxa"/>
            <w:vAlign w:val="bottom"/>
            <w:gridSpan w:val="2"/>
          </w:tcPr>
          <w:p>
            <w:pPr>
              <w:spacing w:after="0"/>
              <w:rPr>
                <w:sz w:val="20"/>
                <w:szCs w:val="20"/>
                <w:color w:val="auto"/>
              </w:rPr>
            </w:pPr>
            <w:r>
              <w:rPr>
                <w:rFonts w:ascii="Arial" w:cs="Arial" w:eastAsia="Arial" w:hAnsi="Arial"/>
                <w:sz w:val="16"/>
                <w:szCs w:val="16"/>
                <w:color w:val="auto"/>
              </w:rPr>
              <w:t> Less: allowance for expected credit losses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261"/>
              <w:spacing w:after="0"/>
              <w:rPr>
                <w:sz w:val="20"/>
                <w:szCs w:val="20"/>
                <w:color w:val="auto"/>
              </w:rPr>
            </w:pPr>
            <w:r>
              <w:rPr>
                <w:rFonts w:ascii="Arial" w:cs="Arial" w:eastAsia="Arial" w:hAnsi="Arial"/>
                <w:sz w:val="16"/>
                <w:szCs w:val="16"/>
                <w:b w:val="1"/>
                <w:bCs w:val="1"/>
                <w:color w:val="auto"/>
              </w:rPr>
              <w:t>(23)</w:t>
            </w:r>
          </w:p>
        </w:tc>
        <w:tc>
          <w:tcPr>
            <w:tcW w:w="82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200"/>
        </w:trPr>
        <w:tc>
          <w:tcPr>
            <w:tcW w:w="794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color w:val="auto"/>
              </w:rPr>
              <w:t> Less: allowance for sales adjustments</w:t>
            </w:r>
          </w:p>
        </w:tc>
        <w:tc>
          <w:tcPr>
            <w:tcW w:w="160" w:type="dxa"/>
            <w:vAlign w:val="bottom"/>
            <w:tcBorders>
              <w:bottom w:val="single" w:sz="8" w:color="B2B2B2"/>
            </w:tcBorders>
          </w:tcPr>
          <w:p>
            <w:pPr>
              <w:spacing w:after="0"/>
              <w:rPr>
                <w:sz w:val="17"/>
                <w:szCs w:val="17"/>
                <w:color w:val="auto"/>
              </w:rPr>
            </w:pPr>
          </w:p>
        </w:tc>
        <w:tc>
          <w:tcPr>
            <w:tcW w:w="100" w:type="dxa"/>
            <w:vAlign w:val="bottom"/>
            <w:tcBorders>
              <w:bottom w:val="single" w:sz="8" w:color="B2B2B2"/>
            </w:tcBorders>
          </w:tcPr>
          <w:p>
            <w:pPr>
              <w:spacing w:after="0"/>
              <w:rPr>
                <w:sz w:val="17"/>
                <w:szCs w:val="17"/>
                <w:color w:val="auto"/>
              </w:rPr>
            </w:pPr>
          </w:p>
        </w:tc>
        <w:tc>
          <w:tcPr>
            <w:tcW w:w="700" w:type="dxa"/>
            <w:vAlign w:val="bottom"/>
            <w:tcBorders>
              <w:bottom w:val="single" w:sz="8" w:color="B2B2B2"/>
            </w:tcBorders>
          </w:tcPr>
          <w:p>
            <w:pPr>
              <w:jc w:val="right"/>
              <w:ind w:right="261"/>
              <w:spacing w:after="0"/>
              <w:rPr>
                <w:sz w:val="20"/>
                <w:szCs w:val="20"/>
                <w:color w:val="auto"/>
              </w:rPr>
            </w:pPr>
            <w:r>
              <w:rPr>
                <w:rFonts w:ascii="Arial" w:cs="Arial" w:eastAsia="Arial" w:hAnsi="Arial"/>
                <w:sz w:val="16"/>
                <w:szCs w:val="16"/>
                <w:b w:val="1"/>
                <w:bCs w:val="1"/>
                <w:color w:val="auto"/>
              </w:rPr>
              <w:t>(32)</w:t>
            </w: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(33)  </w:t>
            </w:r>
          </w:p>
        </w:tc>
      </w:tr>
      <w:tr>
        <w:trPr>
          <w:trHeight w:val="165"/>
        </w:trPr>
        <w:tc>
          <w:tcPr>
            <w:tcW w:w="7940" w:type="dxa"/>
            <w:vAlign w:val="bottom"/>
            <w:gridSpan w:val="2"/>
          </w:tcPr>
          <w:p>
            <w:pPr>
              <w:spacing w:after="0" w:line="165" w:lineRule="exact"/>
              <w:rPr>
                <w:sz w:val="20"/>
                <w:szCs w:val="20"/>
                <w:color w:val="auto"/>
              </w:rPr>
            </w:pPr>
            <w:r>
              <w:rPr>
                <w:rFonts w:ascii="Arial" w:cs="Arial" w:eastAsia="Arial" w:hAnsi="Arial"/>
                <w:sz w:val="16"/>
                <w:szCs w:val="16"/>
                <w:color w:val="auto"/>
              </w:rPr>
              <w:t> Net trade receivables</w:t>
            </w:r>
          </w:p>
        </w:tc>
        <w:tc>
          <w:tcPr>
            <w:tcW w:w="160" w:type="dxa"/>
            <w:vAlign w:val="bottom"/>
          </w:tcPr>
          <w:p>
            <w:pPr>
              <w:spacing w:after="0"/>
              <w:rPr>
                <w:sz w:val="14"/>
                <w:szCs w:val="14"/>
                <w:color w:val="auto"/>
              </w:rPr>
            </w:pPr>
          </w:p>
        </w:tc>
        <w:tc>
          <w:tcPr>
            <w:tcW w:w="800" w:type="dxa"/>
            <w:vAlign w:val="bottom"/>
            <w:gridSpan w:val="2"/>
          </w:tcPr>
          <w:p>
            <w:pPr>
              <w:jc w:val="right"/>
              <w:ind w:right="261"/>
              <w:spacing w:after="0" w:line="165" w:lineRule="exact"/>
              <w:rPr>
                <w:sz w:val="20"/>
                <w:szCs w:val="20"/>
                <w:color w:val="auto"/>
              </w:rPr>
            </w:pPr>
            <w:r>
              <w:rPr>
                <w:rFonts w:ascii="Arial" w:cs="Arial" w:eastAsia="Arial" w:hAnsi="Arial"/>
                <w:sz w:val="16"/>
                <w:szCs w:val="16"/>
                <w:b w:val="1"/>
                <w:bCs w:val="1"/>
                <w:color w:val="auto"/>
              </w:rPr>
              <w:t>1,058</w:t>
            </w:r>
          </w:p>
        </w:tc>
        <w:tc>
          <w:tcPr>
            <w:tcW w:w="820" w:type="dxa"/>
            <w:vAlign w:val="bottom"/>
          </w:tcPr>
          <w:p>
            <w:pPr>
              <w:jc w:val="right"/>
              <w:spacing w:after="0" w:line="165" w:lineRule="exact"/>
              <w:rPr>
                <w:sz w:val="20"/>
                <w:szCs w:val="20"/>
                <w:color w:val="auto"/>
              </w:rPr>
            </w:pPr>
            <w:r>
              <w:rPr>
                <w:rFonts w:ascii="Arial" w:cs="Arial" w:eastAsia="Arial" w:hAnsi="Arial"/>
                <w:sz w:val="16"/>
                <w:szCs w:val="16"/>
                <w:color w:val="auto"/>
              </w:rPr>
              <w:t>1,049  </w:t>
            </w:r>
          </w:p>
        </w:tc>
      </w:tr>
      <w:tr>
        <w:trPr>
          <w:trHeight w:val="200"/>
        </w:trPr>
        <w:tc>
          <w:tcPr>
            <w:tcW w:w="794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color w:val="auto"/>
              </w:rPr>
              <w:t> Other receivables</w:t>
            </w:r>
          </w:p>
        </w:tc>
        <w:tc>
          <w:tcPr>
            <w:tcW w:w="160" w:type="dxa"/>
            <w:vAlign w:val="bottom"/>
            <w:tcBorders>
              <w:bottom w:val="single" w:sz="8" w:color="B2B2B2"/>
            </w:tcBorders>
          </w:tcPr>
          <w:p>
            <w:pPr>
              <w:spacing w:after="0"/>
              <w:rPr>
                <w:sz w:val="17"/>
                <w:szCs w:val="17"/>
                <w:color w:val="auto"/>
              </w:rPr>
            </w:pPr>
          </w:p>
        </w:tc>
        <w:tc>
          <w:tcPr>
            <w:tcW w:w="100" w:type="dxa"/>
            <w:vAlign w:val="bottom"/>
            <w:tcBorders>
              <w:bottom w:val="single" w:sz="8" w:color="B2B2B2"/>
            </w:tcBorders>
          </w:tcPr>
          <w:p>
            <w:pPr>
              <w:spacing w:after="0"/>
              <w:rPr>
                <w:sz w:val="17"/>
                <w:szCs w:val="17"/>
                <w:color w:val="auto"/>
              </w:rPr>
            </w:pPr>
          </w:p>
        </w:tc>
        <w:tc>
          <w:tcPr>
            <w:tcW w:w="700" w:type="dxa"/>
            <w:vAlign w:val="bottom"/>
            <w:tcBorders>
              <w:bottom w:val="single" w:sz="8" w:color="B2B2B2"/>
            </w:tcBorders>
          </w:tcPr>
          <w:p>
            <w:pPr>
              <w:jc w:val="right"/>
              <w:ind w:right="261"/>
              <w:spacing w:after="0"/>
              <w:rPr>
                <w:sz w:val="20"/>
                <w:szCs w:val="20"/>
                <w:color w:val="auto"/>
              </w:rPr>
            </w:pPr>
            <w:r>
              <w:rPr>
                <w:rFonts w:ascii="Arial" w:cs="Arial" w:eastAsia="Arial" w:hAnsi="Arial"/>
                <w:sz w:val="16"/>
                <w:szCs w:val="16"/>
                <w:b w:val="1"/>
                <w:bCs w:val="1"/>
                <w:color w:val="auto"/>
              </w:rPr>
              <w:t>29</w:t>
            </w: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73  </w:t>
            </w:r>
          </w:p>
        </w:tc>
      </w:tr>
      <w:tr>
        <w:trPr>
          <w:trHeight w:val="185"/>
        </w:trPr>
        <w:tc>
          <w:tcPr>
            <w:tcW w:w="7940" w:type="dxa"/>
            <w:vAlign w:val="bottom"/>
            <w:tcBorders>
              <w:bottom w:val="single" w:sz="8" w:color="D64000"/>
            </w:tcBorders>
            <w:gridSpan w:val="2"/>
          </w:tcPr>
          <w:p>
            <w:pPr>
              <w:spacing w:after="0" w:line="179" w:lineRule="exact"/>
              <w:rPr>
                <w:sz w:val="20"/>
                <w:szCs w:val="20"/>
                <w:color w:val="auto"/>
              </w:rPr>
            </w:pPr>
            <w:r>
              <w:rPr>
                <w:rFonts w:ascii="Arial" w:cs="Arial" w:eastAsia="Arial" w:hAnsi="Arial"/>
                <w:sz w:val="16"/>
                <w:szCs w:val="16"/>
                <w:color w:val="auto"/>
              </w:rPr>
              <w:t> Trade and other receivables</w:t>
            </w:r>
          </w:p>
        </w:tc>
        <w:tc>
          <w:tcPr>
            <w:tcW w:w="160" w:type="dxa"/>
            <w:vAlign w:val="bottom"/>
            <w:tcBorders>
              <w:bottom w:val="single" w:sz="8" w:color="D64000"/>
            </w:tcBorders>
          </w:tcPr>
          <w:p>
            <w:pPr>
              <w:spacing w:after="0"/>
              <w:rPr>
                <w:sz w:val="16"/>
                <w:szCs w:val="16"/>
                <w:color w:val="auto"/>
              </w:rPr>
            </w:pPr>
          </w:p>
        </w:tc>
        <w:tc>
          <w:tcPr>
            <w:tcW w:w="800" w:type="dxa"/>
            <w:vAlign w:val="bottom"/>
            <w:tcBorders>
              <w:bottom w:val="single" w:sz="8" w:color="D64000"/>
            </w:tcBorders>
            <w:gridSpan w:val="2"/>
          </w:tcPr>
          <w:p>
            <w:pPr>
              <w:jc w:val="right"/>
              <w:ind w:right="261"/>
              <w:spacing w:after="0" w:line="179" w:lineRule="exact"/>
              <w:rPr>
                <w:sz w:val="20"/>
                <w:szCs w:val="20"/>
                <w:color w:val="auto"/>
              </w:rPr>
            </w:pPr>
            <w:r>
              <w:rPr>
                <w:rFonts w:ascii="Arial" w:cs="Arial" w:eastAsia="Arial" w:hAnsi="Arial"/>
                <w:sz w:val="16"/>
                <w:szCs w:val="16"/>
                <w:b w:val="1"/>
                <w:bCs w:val="1"/>
                <w:color w:val="auto"/>
              </w:rPr>
              <w:t>1,087</w:t>
            </w:r>
          </w:p>
        </w:tc>
        <w:tc>
          <w:tcPr>
            <w:tcW w:w="82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1,122  </w:t>
            </w:r>
          </w:p>
        </w:tc>
      </w:tr>
      <w:tr>
        <w:trPr>
          <w:trHeight w:val="372"/>
        </w:trPr>
        <w:tc>
          <w:tcPr>
            <w:tcW w:w="7940" w:type="dxa"/>
            <w:vAlign w:val="bottom"/>
            <w:gridSpan w:val="2"/>
          </w:tcPr>
          <w:p>
            <w:pPr>
              <w:spacing w:after="0"/>
              <w:rPr>
                <w:sz w:val="20"/>
                <w:szCs w:val="20"/>
                <w:color w:val="auto"/>
              </w:rPr>
            </w:pPr>
            <w:r>
              <w:rPr>
                <w:rFonts w:ascii="Arial" w:cs="Arial" w:eastAsia="Arial" w:hAnsi="Arial"/>
                <w:sz w:val="17"/>
                <w:szCs w:val="17"/>
                <w:color w:val="auto"/>
              </w:rPr>
              <w:t>The aging of trade receivables at each reporting date was as follows: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4"/>
        </w:trPr>
        <w:tc>
          <w:tcPr>
            <w:tcW w:w="7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spacing w:after="0"/>
              <w:rPr>
                <w:sz w:val="19"/>
                <w:szCs w:val="19"/>
                <w:color w:val="auto"/>
              </w:rPr>
            </w:pPr>
          </w:p>
        </w:tc>
      </w:tr>
      <w:tr>
        <w:trPr>
          <w:trHeight w:val="199"/>
        </w:trPr>
        <w:tc>
          <w:tcPr>
            <w:tcW w:w="7740" w:type="dxa"/>
            <w:vAlign w:val="bottom"/>
          </w:tcPr>
          <w:p>
            <w:pPr>
              <w:spacing w:after="0"/>
              <w:rPr>
                <w:sz w:val="17"/>
                <w:szCs w:val="17"/>
                <w:color w:val="auto"/>
              </w:rPr>
            </w:pPr>
          </w:p>
        </w:tc>
        <w:tc>
          <w:tcPr>
            <w:tcW w:w="200" w:type="dxa"/>
            <w:vAlign w:val="bottom"/>
            <w:shd w:val="clear" w:color="auto" w:fill="E3F3EE"/>
          </w:tcPr>
          <w:p>
            <w:pPr>
              <w:ind w:left="100"/>
              <w:spacing w:after="0"/>
              <w:rPr>
                <w:sz w:val="20"/>
                <w:szCs w:val="20"/>
                <w:color w:val="auto"/>
              </w:rPr>
            </w:pPr>
            <w:r>
              <w:rPr>
                <w:rFonts w:ascii="Arial" w:cs="Arial" w:eastAsia="Arial" w:hAnsi="Arial"/>
                <w:sz w:val="11"/>
                <w:szCs w:val="11"/>
                <w:b w:val="1"/>
                <w:bCs w:val="1"/>
                <w:color w:val="auto"/>
                <w:w w:val="72"/>
              </w:rPr>
              <w:t> </w:t>
            </w:r>
          </w:p>
        </w:tc>
        <w:tc>
          <w:tcPr>
            <w:tcW w:w="160" w:type="dxa"/>
            <w:vAlign w:val="bottom"/>
            <w:shd w:val="clear" w:color="auto" w:fill="E3F3EE"/>
          </w:tcPr>
          <w:p>
            <w:pPr>
              <w:ind w:left="60"/>
              <w:spacing w:after="0"/>
              <w:rPr>
                <w:sz w:val="20"/>
                <w:szCs w:val="20"/>
                <w:color w:val="auto"/>
              </w:rPr>
            </w:pPr>
            <w:r>
              <w:rPr>
                <w:rFonts w:ascii="Arial" w:cs="Arial" w:eastAsia="Arial" w:hAnsi="Arial"/>
                <w:sz w:val="11"/>
                <w:szCs w:val="11"/>
                <w:b w:val="1"/>
                <w:bCs w:val="1"/>
                <w:color w:val="auto"/>
                <w:w w:val="72"/>
              </w:rPr>
              <w:t> </w:t>
            </w:r>
          </w:p>
        </w:tc>
        <w:tc>
          <w:tcPr>
            <w:tcW w:w="100" w:type="dxa"/>
            <w:vAlign w:val="bottom"/>
            <w:shd w:val="clear" w:color="auto" w:fill="E3F3EE"/>
          </w:tcPr>
          <w:p>
            <w:pPr>
              <w:ind w:left="60"/>
              <w:spacing w:after="0"/>
              <w:rPr>
                <w:sz w:val="20"/>
                <w:szCs w:val="20"/>
                <w:color w:val="auto"/>
              </w:rPr>
            </w:pPr>
            <w:r>
              <w:rPr>
                <w:rFonts w:ascii="Arial" w:cs="Arial" w:eastAsia="Arial" w:hAnsi="Arial"/>
                <w:sz w:val="2"/>
                <w:szCs w:val="2"/>
                <w:b w:val="1"/>
                <w:bCs w:val="1"/>
                <w:color w:val="auto"/>
                <w:w w:val="97"/>
              </w:rPr>
              <w:t> </w:t>
            </w:r>
          </w:p>
        </w:tc>
        <w:tc>
          <w:tcPr>
            <w:tcW w:w="1520" w:type="dxa"/>
            <w:vAlign w:val="bottom"/>
            <w:gridSpan w:val="2"/>
            <w:shd w:val="clear" w:color="auto" w:fill="E3F3EE"/>
          </w:tcPr>
          <w:p>
            <w:pPr>
              <w:jc w:val="right"/>
              <w:ind w:right="81"/>
              <w:spacing w:after="0"/>
              <w:rPr>
                <w:sz w:val="20"/>
                <w:szCs w:val="20"/>
                <w:color w:val="auto"/>
              </w:rPr>
            </w:pPr>
            <w:r>
              <w:rPr>
                <w:rFonts w:ascii="Arial" w:cs="Arial" w:eastAsia="Arial" w:hAnsi="Arial"/>
                <w:sz w:val="16"/>
                <w:szCs w:val="16"/>
                <w:b w:val="1"/>
                <w:bCs w:val="1"/>
                <w:color w:val="auto"/>
              </w:rPr>
              <w:t xml:space="preserve">December 31,    </w:t>
            </w:r>
          </w:p>
        </w:tc>
      </w:tr>
      <w:tr>
        <w:trPr>
          <w:trHeight w:val="192"/>
        </w:trPr>
        <w:tc>
          <w:tcPr>
            <w:tcW w:w="7740" w:type="dxa"/>
            <w:vAlign w:val="bottom"/>
            <w:tcBorders>
              <w:bottom w:val="single" w:sz="8" w:color="D64000"/>
            </w:tcBorders>
            <w:shd w:val="clear" w:color="auto" w:fill="1F473D"/>
          </w:tcPr>
          <w:p>
            <w:pPr>
              <w:spacing w:after="0"/>
              <w:rPr>
                <w:sz w:val="16"/>
                <w:szCs w:val="16"/>
                <w:color w:val="auto"/>
              </w:rPr>
            </w:pPr>
          </w:p>
        </w:tc>
        <w:tc>
          <w:tcPr>
            <w:tcW w:w="200" w:type="dxa"/>
            <w:vAlign w:val="bottom"/>
            <w:tcBorders>
              <w:bottom w:val="single" w:sz="8" w:color="D64000"/>
            </w:tcBorders>
            <w:shd w:val="clear" w:color="auto" w:fill="1F473D"/>
          </w:tcPr>
          <w:p>
            <w:pPr>
              <w:spacing w:after="0"/>
              <w:rPr>
                <w:sz w:val="16"/>
                <w:szCs w:val="16"/>
                <w:color w:val="auto"/>
              </w:rPr>
            </w:pPr>
          </w:p>
        </w:tc>
        <w:tc>
          <w:tcPr>
            <w:tcW w:w="160" w:type="dxa"/>
            <w:vAlign w:val="bottom"/>
            <w:tcBorders>
              <w:bottom w:val="single" w:sz="8" w:color="D64000"/>
            </w:tcBorders>
            <w:shd w:val="clear" w:color="auto" w:fill="1F473D"/>
          </w:tcPr>
          <w:p>
            <w:pPr>
              <w:spacing w:after="0"/>
              <w:rPr>
                <w:sz w:val="16"/>
                <w:szCs w:val="16"/>
                <w:color w:val="auto"/>
              </w:rPr>
            </w:pPr>
          </w:p>
        </w:tc>
        <w:tc>
          <w:tcPr>
            <w:tcW w:w="100" w:type="dxa"/>
            <w:vAlign w:val="bottom"/>
            <w:tcBorders>
              <w:bottom w:val="single" w:sz="8" w:color="D64000"/>
            </w:tcBorders>
            <w:shd w:val="clear" w:color="auto" w:fill="1F473D"/>
          </w:tcPr>
          <w:p>
            <w:pPr>
              <w:spacing w:after="0"/>
              <w:rPr>
                <w:sz w:val="16"/>
                <w:szCs w:val="16"/>
                <w:color w:val="auto"/>
              </w:rPr>
            </w:pPr>
          </w:p>
        </w:tc>
        <w:tc>
          <w:tcPr>
            <w:tcW w:w="700" w:type="dxa"/>
            <w:vAlign w:val="bottom"/>
            <w:tcBorders>
              <w:bottom w:val="single" w:sz="8" w:color="D64000"/>
            </w:tcBorders>
            <w:shd w:val="clear" w:color="auto" w:fill="1F473D"/>
          </w:tcPr>
          <w:p>
            <w:pPr>
              <w:jc w:val="right"/>
              <w:ind w:right="261"/>
              <w:spacing w:after="0"/>
              <w:rPr>
                <w:sz w:val="20"/>
                <w:szCs w:val="20"/>
                <w:color w:val="auto"/>
              </w:rPr>
            </w:pPr>
            <w:r>
              <w:rPr>
                <w:rFonts w:ascii="Arial" w:cs="Arial" w:eastAsia="Arial" w:hAnsi="Arial"/>
                <w:sz w:val="16"/>
                <w:szCs w:val="16"/>
                <w:b w:val="1"/>
                <w:bCs w:val="1"/>
                <w:color w:val="FFFFFF"/>
                <w:w w:val="95"/>
              </w:rPr>
              <w:t>2024</w:t>
            </w:r>
          </w:p>
        </w:tc>
        <w:tc>
          <w:tcPr>
            <w:tcW w:w="82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2023 </w:t>
            </w:r>
          </w:p>
        </w:tc>
      </w:tr>
      <w:tr>
        <w:trPr>
          <w:trHeight w:val="171"/>
        </w:trPr>
        <w:tc>
          <w:tcPr>
            <w:tcW w:w="7940" w:type="dxa"/>
            <w:vAlign w:val="bottom"/>
            <w:gridSpan w:val="2"/>
          </w:tcPr>
          <w:p>
            <w:pPr>
              <w:spacing w:after="0" w:line="171" w:lineRule="exact"/>
              <w:rPr>
                <w:sz w:val="20"/>
                <w:szCs w:val="20"/>
                <w:color w:val="auto"/>
              </w:rPr>
            </w:pPr>
            <w:r>
              <w:rPr>
                <w:rFonts w:ascii="Arial" w:cs="Arial" w:eastAsia="Arial" w:hAnsi="Arial"/>
                <w:sz w:val="16"/>
                <w:szCs w:val="16"/>
                <w:color w:val="auto"/>
              </w:rPr>
              <w:t>Current - 30 days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61"/>
              <w:spacing w:after="0" w:line="171" w:lineRule="exact"/>
              <w:rPr>
                <w:sz w:val="20"/>
                <w:szCs w:val="20"/>
                <w:color w:val="auto"/>
              </w:rPr>
            </w:pPr>
            <w:r>
              <w:rPr>
                <w:rFonts w:ascii="Arial" w:cs="Arial" w:eastAsia="Arial" w:hAnsi="Arial"/>
                <w:sz w:val="16"/>
                <w:szCs w:val="16"/>
                <w:b w:val="1"/>
                <w:bCs w:val="1"/>
                <w:color w:val="auto"/>
              </w:rPr>
              <w:t>976</w:t>
            </w:r>
          </w:p>
        </w:tc>
        <w:tc>
          <w:tcPr>
            <w:tcW w:w="820" w:type="dxa"/>
            <w:vAlign w:val="bottom"/>
          </w:tcPr>
          <w:p>
            <w:pPr>
              <w:jc w:val="right"/>
              <w:spacing w:after="0" w:line="171" w:lineRule="exact"/>
              <w:rPr>
                <w:sz w:val="20"/>
                <w:szCs w:val="20"/>
                <w:color w:val="auto"/>
              </w:rPr>
            </w:pPr>
            <w:r>
              <w:rPr>
                <w:rFonts w:ascii="Arial" w:cs="Arial" w:eastAsia="Arial" w:hAnsi="Arial"/>
                <w:sz w:val="16"/>
                <w:szCs w:val="16"/>
                <w:color w:val="auto"/>
              </w:rPr>
              <w:t>950</w:t>
            </w:r>
          </w:p>
        </w:tc>
      </w:tr>
      <w:tr>
        <w:trPr>
          <w:trHeight w:val="185"/>
        </w:trPr>
        <w:tc>
          <w:tcPr>
            <w:tcW w:w="7940" w:type="dxa"/>
            <w:vAlign w:val="bottom"/>
            <w:gridSpan w:val="2"/>
          </w:tcPr>
          <w:p>
            <w:pPr>
              <w:spacing w:after="0"/>
              <w:rPr>
                <w:sz w:val="20"/>
                <w:szCs w:val="20"/>
                <w:color w:val="auto"/>
              </w:rPr>
            </w:pPr>
            <w:r>
              <w:rPr>
                <w:rFonts w:ascii="Arial" w:cs="Arial" w:eastAsia="Arial" w:hAnsi="Arial"/>
                <w:sz w:val="16"/>
                <w:szCs w:val="16"/>
                <w:color w:val="auto"/>
              </w:rPr>
              <w:t>Past due 31-60 days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261"/>
              <w:spacing w:after="0"/>
              <w:rPr>
                <w:sz w:val="20"/>
                <w:szCs w:val="20"/>
                <w:color w:val="auto"/>
              </w:rPr>
            </w:pPr>
            <w:r>
              <w:rPr>
                <w:rFonts w:ascii="Arial" w:cs="Arial" w:eastAsia="Arial" w:hAnsi="Arial"/>
                <w:sz w:val="16"/>
                <w:szCs w:val="16"/>
                <w:b w:val="1"/>
                <w:bCs w:val="1"/>
                <w:color w:val="auto"/>
              </w:rPr>
              <w:t>32</w:t>
            </w:r>
          </w:p>
        </w:tc>
        <w:tc>
          <w:tcPr>
            <w:tcW w:w="82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186"/>
        </w:trPr>
        <w:tc>
          <w:tcPr>
            <w:tcW w:w="7940" w:type="dxa"/>
            <w:vAlign w:val="bottom"/>
            <w:gridSpan w:val="2"/>
          </w:tcPr>
          <w:p>
            <w:pPr>
              <w:spacing w:after="0"/>
              <w:rPr>
                <w:sz w:val="20"/>
                <w:szCs w:val="20"/>
                <w:color w:val="auto"/>
              </w:rPr>
            </w:pPr>
            <w:r>
              <w:rPr>
                <w:rFonts w:ascii="Arial" w:cs="Arial" w:eastAsia="Arial" w:hAnsi="Arial"/>
                <w:sz w:val="16"/>
                <w:szCs w:val="16"/>
                <w:color w:val="auto"/>
              </w:rPr>
              <w:t>Past due 61-90 days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261"/>
              <w:spacing w:after="0"/>
              <w:rPr>
                <w:sz w:val="20"/>
                <w:szCs w:val="20"/>
                <w:color w:val="auto"/>
              </w:rPr>
            </w:pPr>
            <w:r>
              <w:rPr>
                <w:rFonts w:ascii="Arial" w:cs="Arial" w:eastAsia="Arial" w:hAnsi="Arial"/>
                <w:sz w:val="16"/>
                <w:szCs w:val="16"/>
                <w:b w:val="1"/>
                <w:bCs w:val="1"/>
                <w:color w:val="auto"/>
              </w:rPr>
              <w:t>34</w:t>
            </w:r>
          </w:p>
        </w:tc>
        <w:tc>
          <w:tcPr>
            <w:tcW w:w="82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186"/>
        </w:trPr>
        <w:tc>
          <w:tcPr>
            <w:tcW w:w="7940" w:type="dxa"/>
            <w:vAlign w:val="bottom"/>
            <w:gridSpan w:val="2"/>
          </w:tcPr>
          <w:p>
            <w:pPr>
              <w:spacing w:after="0"/>
              <w:rPr>
                <w:sz w:val="20"/>
                <w:szCs w:val="20"/>
                <w:color w:val="auto"/>
              </w:rPr>
            </w:pPr>
            <w:r>
              <w:rPr>
                <w:rFonts w:ascii="Arial" w:cs="Arial" w:eastAsia="Arial" w:hAnsi="Arial"/>
                <w:sz w:val="16"/>
                <w:szCs w:val="16"/>
                <w:color w:val="auto"/>
              </w:rPr>
              <w:t>Past due 91-180 days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261"/>
              <w:spacing w:after="0"/>
              <w:rPr>
                <w:sz w:val="20"/>
                <w:szCs w:val="20"/>
                <w:color w:val="auto"/>
              </w:rPr>
            </w:pPr>
            <w:r>
              <w:rPr>
                <w:rFonts w:ascii="Arial" w:cs="Arial" w:eastAsia="Arial" w:hAnsi="Arial"/>
                <w:sz w:val="16"/>
                <w:szCs w:val="16"/>
                <w:b w:val="1"/>
                <w:bCs w:val="1"/>
                <w:color w:val="auto"/>
              </w:rPr>
              <w:t>33</w:t>
            </w:r>
          </w:p>
        </w:tc>
        <w:tc>
          <w:tcPr>
            <w:tcW w:w="8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00"/>
        </w:trPr>
        <w:tc>
          <w:tcPr>
            <w:tcW w:w="794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color w:val="auto"/>
              </w:rPr>
              <w:t>Past due &gt;180 days</w:t>
            </w:r>
          </w:p>
        </w:tc>
        <w:tc>
          <w:tcPr>
            <w:tcW w:w="160" w:type="dxa"/>
            <w:vAlign w:val="bottom"/>
            <w:tcBorders>
              <w:bottom w:val="single" w:sz="8" w:color="B2B2B2"/>
            </w:tcBorders>
          </w:tcPr>
          <w:p>
            <w:pPr>
              <w:spacing w:after="0"/>
              <w:rPr>
                <w:sz w:val="17"/>
                <w:szCs w:val="17"/>
                <w:color w:val="auto"/>
              </w:rPr>
            </w:pPr>
          </w:p>
        </w:tc>
        <w:tc>
          <w:tcPr>
            <w:tcW w:w="100" w:type="dxa"/>
            <w:vAlign w:val="bottom"/>
            <w:tcBorders>
              <w:bottom w:val="single" w:sz="8" w:color="B2B2B2"/>
            </w:tcBorders>
          </w:tcPr>
          <w:p>
            <w:pPr>
              <w:spacing w:after="0"/>
              <w:rPr>
                <w:sz w:val="17"/>
                <w:szCs w:val="17"/>
                <w:color w:val="auto"/>
              </w:rPr>
            </w:pPr>
          </w:p>
        </w:tc>
        <w:tc>
          <w:tcPr>
            <w:tcW w:w="700" w:type="dxa"/>
            <w:vAlign w:val="bottom"/>
            <w:tcBorders>
              <w:bottom w:val="single" w:sz="8" w:color="B2B2B2"/>
            </w:tcBorders>
          </w:tcPr>
          <w:p>
            <w:pPr>
              <w:jc w:val="right"/>
              <w:ind w:right="261"/>
              <w:spacing w:after="0"/>
              <w:rPr>
                <w:sz w:val="20"/>
                <w:szCs w:val="20"/>
                <w:color w:val="auto"/>
              </w:rPr>
            </w:pPr>
            <w:r>
              <w:rPr>
                <w:rFonts w:ascii="Arial" w:cs="Arial" w:eastAsia="Arial" w:hAnsi="Arial"/>
                <w:sz w:val="16"/>
                <w:szCs w:val="16"/>
                <w:b w:val="1"/>
                <w:bCs w:val="1"/>
                <w:color w:val="auto"/>
              </w:rPr>
              <w:t>38</w:t>
            </w:r>
          </w:p>
        </w:tc>
        <w:tc>
          <w:tcPr>
            <w:tcW w:w="8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42</w:t>
            </w:r>
          </w:p>
        </w:tc>
      </w:tr>
      <w:tr>
        <w:trPr>
          <w:trHeight w:val="185"/>
        </w:trPr>
        <w:tc>
          <w:tcPr>
            <w:tcW w:w="7940" w:type="dxa"/>
            <w:vAlign w:val="bottom"/>
            <w:tcBorders>
              <w:bottom w:val="single" w:sz="8" w:color="D64000"/>
            </w:tcBorders>
            <w:gridSpan w:val="2"/>
          </w:tcPr>
          <w:p>
            <w:pPr>
              <w:spacing w:after="0" w:line="179" w:lineRule="exact"/>
              <w:rPr>
                <w:sz w:val="20"/>
                <w:szCs w:val="20"/>
                <w:color w:val="auto"/>
              </w:rPr>
            </w:pPr>
            <w:r>
              <w:rPr>
                <w:rFonts w:ascii="Arial" w:cs="Arial" w:eastAsia="Arial" w:hAnsi="Arial"/>
                <w:sz w:val="16"/>
                <w:szCs w:val="16"/>
                <w:color w:val="auto"/>
              </w:rPr>
              <w:t>Balance as of December 31</w:t>
            </w:r>
          </w:p>
        </w:tc>
        <w:tc>
          <w:tcPr>
            <w:tcW w:w="160" w:type="dxa"/>
            <w:vAlign w:val="bottom"/>
            <w:tcBorders>
              <w:bottom w:val="single" w:sz="8" w:color="D64000"/>
            </w:tcBorders>
          </w:tcPr>
          <w:p>
            <w:pPr>
              <w:spacing w:after="0"/>
              <w:rPr>
                <w:sz w:val="16"/>
                <w:szCs w:val="16"/>
                <w:color w:val="auto"/>
              </w:rPr>
            </w:pPr>
          </w:p>
        </w:tc>
        <w:tc>
          <w:tcPr>
            <w:tcW w:w="800" w:type="dxa"/>
            <w:vAlign w:val="bottom"/>
            <w:tcBorders>
              <w:bottom w:val="single" w:sz="8" w:color="D64000"/>
            </w:tcBorders>
            <w:gridSpan w:val="2"/>
          </w:tcPr>
          <w:p>
            <w:pPr>
              <w:jc w:val="right"/>
              <w:ind w:right="261"/>
              <w:spacing w:after="0" w:line="179" w:lineRule="exact"/>
              <w:rPr>
                <w:sz w:val="20"/>
                <w:szCs w:val="20"/>
                <w:color w:val="auto"/>
              </w:rPr>
            </w:pPr>
            <w:r>
              <w:rPr>
                <w:rFonts w:ascii="Arial" w:cs="Arial" w:eastAsia="Arial" w:hAnsi="Arial"/>
                <w:sz w:val="16"/>
                <w:szCs w:val="16"/>
                <w:b w:val="1"/>
                <w:bCs w:val="1"/>
                <w:color w:val="auto"/>
              </w:rPr>
              <w:t>1,113</w:t>
            </w:r>
          </w:p>
        </w:tc>
        <w:tc>
          <w:tcPr>
            <w:tcW w:w="82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1,103</w:t>
            </w:r>
          </w:p>
        </w:tc>
      </w:tr>
      <w:tr>
        <w:trPr>
          <w:trHeight w:val="314"/>
        </w:trPr>
        <w:tc>
          <w:tcPr>
            <w:tcW w:w="7940" w:type="dxa"/>
            <w:vAlign w:val="bottom"/>
            <w:gridSpan w:val="2"/>
          </w:tcPr>
          <w:p>
            <w:pPr>
              <w:spacing w:after="0"/>
              <w:rPr>
                <w:sz w:val="20"/>
                <w:szCs w:val="20"/>
                <w:color w:val="auto"/>
              </w:rPr>
            </w:pPr>
            <w:r>
              <w:rPr>
                <w:rFonts w:ascii="Arial" w:cs="Arial" w:eastAsia="Arial" w:hAnsi="Arial"/>
                <w:sz w:val="17"/>
                <w:szCs w:val="17"/>
                <w:b w:val="1"/>
                <w:bCs w:val="1"/>
                <w:color w:val="auto"/>
              </w:rPr>
              <w:t>Allowance for expected credit losses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99"/>
        </w:trPr>
        <w:tc>
          <w:tcPr>
            <w:tcW w:w="7940" w:type="dxa"/>
            <w:vAlign w:val="bottom"/>
            <w:gridSpan w:val="2"/>
          </w:tcPr>
          <w:p>
            <w:pPr>
              <w:spacing w:after="0"/>
              <w:rPr>
                <w:sz w:val="20"/>
                <w:szCs w:val="20"/>
                <w:color w:val="auto"/>
              </w:rPr>
            </w:pPr>
            <w:r>
              <w:rPr>
                <w:rFonts w:ascii="Arial" w:cs="Arial" w:eastAsia="Arial" w:hAnsi="Arial"/>
                <w:sz w:val="18"/>
                <w:szCs w:val="18"/>
                <w:color w:val="auto"/>
              </w:rPr>
              <w:t>The change in the allowance for expected credit losses was as follows: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7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spacing w:after="0"/>
              <w:rPr>
                <w:sz w:val="17"/>
                <w:szCs w:val="17"/>
                <w:color w:val="auto"/>
              </w:rPr>
            </w:pPr>
          </w:p>
        </w:tc>
      </w:tr>
      <w:tr>
        <w:trPr>
          <w:trHeight w:val="232"/>
        </w:trPr>
        <w:tc>
          <w:tcPr>
            <w:tcW w:w="7740" w:type="dxa"/>
            <w:vAlign w:val="bottom"/>
          </w:tcPr>
          <w:p>
            <w:pPr>
              <w:spacing w:after="0"/>
              <w:rPr>
                <w:sz w:val="20"/>
                <w:szCs w:val="20"/>
                <w:color w:val="auto"/>
              </w:rPr>
            </w:pPr>
          </w:p>
        </w:tc>
        <w:tc>
          <w:tcPr>
            <w:tcW w:w="200" w:type="dxa"/>
            <w:vAlign w:val="bottom"/>
            <w:tcBorders>
              <w:bottom w:val="single" w:sz="8" w:color="E3F3EE"/>
            </w:tcBorders>
            <w:shd w:val="clear" w:color="auto" w:fill="E3F3EE"/>
          </w:tcPr>
          <w:p>
            <w:pPr>
              <w:ind w:left="100"/>
              <w:spacing w:after="0"/>
              <w:rPr>
                <w:sz w:val="20"/>
                <w:szCs w:val="20"/>
                <w:color w:val="auto"/>
              </w:rPr>
            </w:pPr>
            <w:r>
              <w:rPr>
                <w:rFonts w:ascii="Arial" w:cs="Arial" w:eastAsia="Arial" w:hAnsi="Arial"/>
                <w:sz w:val="11"/>
                <w:szCs w:val="11"/>
                <w:b w:val="1"/>
                <w:bCs w:val="1"/>
                <w:color w:val="auto"/>
                <w:w w:val="72"/>
              </w:rPr>
              <w:t> </w:t>
            </w:r>
          </w:p>
        </w:tc>
        <w:tc>
          <w:tcPr>
            <w:tcW w:w="160" w:type="dxa"/>
            <w:vAlign w:val="bottom"/>
            <w:tcBorders>
              <w:bottom w:val="single" w:sz="8" w:color="E3F3EE"/>
            </w:tcBorders>
            <w:shd w:val="clear" w:color="auto" w:fill="E3F3EE"/>
          </w:tcPr>
          <w:p>
            <w:pPr>
              <w:ind w:left="60"/>
              <w:spacing w:after="0"/>
              <w:rPr>
                <w:sz w:val="20"/>
                <w:szCs w:val="20"/>
                <w:color w:val="auto"/>
              </w:rPr>
            </w:pPr>
            <w:r>
              <w:rPr>
                <w:rFonts w:ascii="Arial" w:cs="Arial" w:eastAsia="Arial" w:hAnsi="Arial"/>
                <w:sz w:val="11"/>
                <w:szCs w:val="11"/>
                <w:b w:val="1"/>
                <w:bCs w:val="1"/>
                <w:color w:val="auto"/>
                <w:w w:val="72"/>
              </w:rPr>
              <w:t> </w:t>
            </w:r>
          </w:p>
        </w:tc>
        <w:tc>
          <w:tcPr>
            <w:tcW w:w="100" w:type="dxa"/>
            <w:vAlign w:val="bottom"/>
            <w:tcBorders>
              <w:bottom w:val="single" w:sz="8" w:color="E3F3EE"/>
            </w:tcBorders>
            <w:shd w:val="clear" w:color="auto" w:fill="E3F3EE"/>
          </w:tcPr>
          <w:p>
            <w:pPr>
              <w:ind w:left="60"/>
              <w:spacing w:after="0"/>
              <w:rPr>
                <w:sz w:val="20"/>
                <w:szCs w:val="20"/>
                <w:color w:val="auto"/>
              </w:rPr>
            </w:pPr>
            <w:r>
              <w:rPr>
                <w:rFonts w:ascii="Arial" w:cs="Arial" w:eastAsia="Arial" w:hAnsi="Arial"/>
                <w:sz w:val="2"/>
                <w:szCs w:val="2"/>
                <w:b w:val="1"/>
                <w:bCs w:val="1"/>
                <w:color w:val="auto"/>
                <w:w w:val="97"/>
              </w:rPr>
              <w:t> </w:t>
            </w:r>
          </w:p>
        </w:tc>
        <w:tc>
          <w:tcPr>
            <w:tcW w:w="1520" w:type="dxa"/>
            <w:vAlign w:val="bottom"/>
            <w:tcBorders>
              <w:bottom w:val="single" w:sz="8" w:color="E3F3EE"/>
            </w:tcBorders>
            <w:gridSpan w:val="2"/>
            <w:shd w:val="clear" w:color="auto" w:fill="E3F3EE"/>
          </w:tcPr>
          <w:p>
            <w:pPr>
              <w:jc w:val="right"/>
              <w:ind w:right="81"/>
              <w:spacing w:after="0"/>
              <w:rPr>
                <w:sz w:val="20"/>
                <w:szCs w:val="20"/>
                <w:color w:val="auto"/>
              </w:rPr>
            </w:pPr>
            <w:r>
              <w:rPr>
                <w:rFonts w:ascii="Arial" w:cs="Arial" w:eastAsia="Arial" w:hAnsi="Arial"/>
                <w:sz w:val="16"/>
                <w:szCs w:val="16"/>
                <w:b w:val="1"/>
                <w:bCs w:val="1"/>
                <w:color w:val="auto"/>
              </w:rPr>
              <w:t xml:space="preserve">December 31,    </w:t>
            </w:r>
          </w:p>
        </w:tc>
      </w:tr>
      <w:tr>
        <w:trPr>
          <w:trHeight w:val="192"/>
        </w:trPr>
        <w:tc>
          <w:tcPr>
            <w:tcW w:w="7740" w:type="dxa"/>
            <w:vAlign w:val="bottom"/>
            <w:tcBorders>
              <w:bottom w:val="single" w:sz="8" w:color="D64000"/>
            </w:tcBorders>
            <w:shd w:val="clear" w:color="auto" w:fill="1F473D"/>
          </w:tcPr>
          <w:p>
            <w:pPr>
              <w:spacing w:after="0"/>
              <w:rPr>
                <w:sz w:val="16"/>
                <w:szCs w:val="16"/>
                <w:color w:val="auto"/>
              </w:rPr>
            </w:pPr>
          </w:p>
        </w:tc>
        <w:tc>
          <w:tcPr>
            <w:tcW w:w="200" w:type="dxa"/>
            <w:vAlign w:val="bottom"/>
            <w:tcBorders>
              <w:bottom w:val="single" w:sz="8" w:color="D64000"/>
            </w:tcBorders>
            <w:shd w:val="clear" w:color="auto" w:fill="1F473D"/>
          </w:tcPr>
          <w:p>
            <w:pPr>
              <w:spacing w:after="0"/>
              <w:rPr>
                <w:sz w:val="16"/>
                <w:szCs w:val="16"/>
                <w:color w:val="auto"/>
              </w:rPr>
            </w:pPr>
          </w:p>
        </w:tc>
        <w:tc>
          <w:tcPr>
            <w:tcW w:w="160" w:type="dxa"/>
            <w:vAlign w:val="bottom"/>
            <w:tcBorders>
              <w:bottom w:val="single" w:sz="8" w:color="D64000"/>
            </w:tcBorders>
            <w:shd w:val="clear" w:color="auto" w:fill="1F473D"/>
          </w:tcPr>
          <w:p>
            <w:pPr>
              <w:spacing w:after="0"/>
              <w:rPr>
                <w:sz w:val="16"/>
                <w:szCs w:val="16"/>
                <w:color w:val="auto"/>
              </w:rPr>
            </w:pPr>
          </w:p>
        </w:tc>
        <w:tc>
          <w:tcPr>
            <w:tcW w:w="100" w:type="dxa"/>
            <w:vAlign w:val="bottom"/>
            <w:tcBorders>
              <w:bottom w:val="single" w:sz="8" w:color="D64000"/>
            </w:tcBorders>
            <w:shd w:val="clear" w:color="auto" w:fill="1F473D"/>
          </w:tcPr>
          <w:p>
            <w:pPr>
              <w:spacing w:after="0"/>
              <w:rPr>
                <w:sz w:val="16"/>
                <w:szCs w:val="16"/>
                <w:color w:val="auto"/>
              </w:rPr>
            </w:pPr>
          </w:p>
        </w:tc>
        <w:tc>
          <w:tcPr>
            <w:tcW w:w="700" w:type="dxa"/>
            <w:vAlign w:val="bottom"/>
            <w:tcBorders>
              <w:bottom w:val="single" w:sz="8" w:color="D64000"/>
            </w:tcBorders>
            <w:shd w:val="clear" w:color="auto" w:fill="1F473D"/>
          </w:tcPr>
          <w:p>
            <w:pPr>
              <w:jc w:val="right"/>
              <w:ind w:right="261"/>
              <w:spacing w:after="0"/>
              <w:rPr>
                <w:sz w:val="20"/>
                <w:szCs w:val="20"/>
                <w:color w:val="auto"/>
              </w:rPr>
            </w:pPr>
            <w:r>
              <w:rPr>
                <w:rFonts w:ascii="Arial" w:cs="Arial" w:eastAsia="Arial" w:hAnsi="Arial"/>
                <w:sz w:val="16"/>
                <w:szCs w:val="16"/>
                <w:b w:val="1"/>
                <w:bCs w:val="1"/>
                <w:color w:val="FFFFFF"/>
                <w:w w:val="95"/>
              </w:rPr>
              <w:t>2024</w:t>
            </w:r>
          </w:p>
        </w:tc>
        <w:tc>
          <w:tcPr>
            <w:tcW w:w="82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2023 </w:t>
            </w:r>
          </w:p>
        </w:tc>
      </w:tr>
      <w:tr>
        <w:trPr>
          <w:trHeight w:val="171"/>
        </w:trPr>
        <w:tc>
          <w:tcPr>
            <w:tcW w:w="7940" w:type="dxa"/>
            <w:vAlign w:val="bottom"/>
            <w:gridSpan w:val="2"/>
          </w:tcPr>
          <w:p>
            <w:pPr>
              <w:spacing w:after="0" w:line="171" w:lineRule="exact"/>
              <w:rPr>
                <w:sz w:val="20"/>
                <w:szCs w:val="20"/>
                <w:color w:val="auto"/>
              </w:rPr>
            </w:pPr>
            <w:r>
              <w:rPr>
                <w:rFonts w:ascii="Arial" w:cs="Arial" w:eastAsia="Arial" w:hAnsi="Arial"/>
                <w:sz w:val="16"/>
                <w:szCs w:val="16"/>
                <w:color w:val="auto"/>
              </w:rPr>
              <w:t> Balance at beginning of year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61"/>
              <w:spacing w:after="0" w:line="171" w:lineRule="exact"/>
              <w:rPr>
                <w:sz w:val="20"/>
                <w:szCs w:val="20"/>
                <w:color w:val="auto"/>
              </w:rPr>
            </w:pPr>
            <w:r>
              <w:rPr>
                <w:rFonts w:ascii="Arial" w:cs="Arial" w:eastAsia="Arial" w:hAnsi="Arial"/>
                <w:sz w:val="16"/>
                <w:szCs w:val="16"/>
                <w:b w:val="1"/>
                <w:bCs w:val="1"/>
                <w:color w:val="auto"/>
              </w:rPr>
              <w:t>21</w:t>
            </w:r>
          </w:p>
        </w:tc>
        <w:tc>
          <w:tcPr>
            <w:tcW w:w="820" w:type="dxa"/>
            <w:vAlign w:val="bottom"/>
          </w:tcPr>
          <w:p>
            <w:pPr>
              <w:jc w:val="right"/>
              <w:spacing w:after="0" w:line="171" w:lineRule="exact"/>
              <w:rPr>
                <w:sz w:val="20"/>
                <w:szCs w:val="20"/>
                <w:color w:val="auto"/>
              </w:rPr>
            </w:pPr>
            <w:r>
              <w:rPr>
                <w:rFonts w:ascii="Arial" w:cs="Arial" w:eastAsia="Arial" w:hAnsi="Arial"/>
                <w:sz w:val="16"/>
                <w:szCs w:val="16"/>
                <w:color w:val="auto"/>
              </w:rPr>
              <w:t>20  </w:t>
            </w:r>
          </w:p>
        </w:tc>
      </w:tr>
      <w:tr>
        <w:trPr>
          <w:trHeight w:val="185"/>
        </w:trPr>
        <w:tc>
          <w:tcPr>
            <w:tcW w:w="7940" w:type="dxa"/>
            <w:vAlign w:val="bottom"/>
            <w:gridSpan w:val="2"/>
          </w:tcPr>
          <w:p>
            <w:pPr>
              <w:spacing w:after="0"/>
              <w:rPr>
                <w:sz w:val="20"/>
                <w:szCs w:val="20"/>
                <w:color w:val="auto"/>
              </w:rPr>
            </w:pPr>
            <w:r>
              <w:rPr>
                <w:rFonts w:ascii="Arial" w:cs="Arial" w:eastAsia="Arial" w:hAnsi="Arial"/>
                <w:sz w:val="16"/>
                <w:szCs w:val="16"/>
                <w:color w:val="auto"/>
              </w:rPr>
              <w:t> Bad debt expense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261"/>
              <w:spacing w:after="0"/>
              <w:rPr>
                <w:sz w:val="20"/>
                <w:szCs w:val="20"/>
                <w:color w:val="auto"/>
              </w:rPr>
            </w:pPr>
            <w:r>
              <w:rPr>
                <w:rFonts w:ascii="Arial" w:cs="Arial" w:eastAsia="Arial" w:hAnsi="Arial"/>
                <w:sz w:val="16"/>
                <w:szCs w:val="16"/>
                <w:b w:val="1"/>
                <w:bCs w:val="1"/>
                <w:color w:val="auto"/>
              </w:rPr>
              <w:t>45</w:t>
            </w:r>
          </w:p>
        </w:tc>
        <w:tc>
          <w:tcPr>
            <w:tcW w:w="820" w:type="dxa"/>
            <w:vAlign w:val="bottom"/>
          </w:tcPr>
          <w:p>
            <w:pPr>
              <w:jc w:val="right"/>
              <w:spacing w:after="0"/>
              <w:rPr>
                <w:sz w:val="20"/>
                <w:szCs w:val="20"/>
                <w:color w:val="auto"/>
              </w:rPr>
            </w:pPr>
            <w:r>
              <w:rPr>
                <w:rFonts w:ascii="Arial" w:cs="Arial" w:eastAsia="Arial" w:hAnsi="Arial"/>
                <w:sz w:val="16"/>
                <w:szCs w:val="16"/>
                <w:color w:val="auto"/>
              </w:rPr>
              <w:t>34  </w:t>
            </w:r>
          </w:p>
        </w:tc>
      </w:tr>
      <w:tr>
        <w:trPr>
          <w:trHeight w:val="185"/>
        </w:trPr>
        <w:tc>
          <w:tcPr>
            <w:tcW w:w="7940" w:type="dxa"/>
            <w:vAlign w:val="bottom"/>
            <w:gridSpan w:val="2"/>
          </w:tcPr>
          <w:p>
            <w:pPr>
              <w:spacing w:after="0"/>
              <w:rPr>
                <w:sz w:val="20"/>
                <w:szCs w:val="20"/>
                <w:color w:val="auto"/>
              </w:rPr>
            </w:pPr>
            <w:r>
              <w:rPr>
                <w:rFonts w:ascii="Arial" w:cs="Arial" w:eastAsia="Arial" w:hAnsi="Arial"/>
                <w:sz w:val="16"/>
                <w:szCs w:val="16"/>
                <w:color w:val="auto"/>
              </w:rPr>
              <w:t> Write-offs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261"/>
              <w:spacing w:after="0"/>
              <w:rPr>
                <w:sz w:val="20"/>
                <w:szCs w:val="20"/>
                <w:color w:val="auto"/>
              </w:rPr>
            </w:pPr>
            <w:r>
              <w:rPr>
                <w:rFonts w:ascii="Arial" w:cs="Arial" w:eastAsia="Arial" w:hAnsi="Arial"/>
                <w:sz w:val="16"/>
                <w:szCs w:val="16"/>
                <w:b w:val="1"/>
                <w:bCs w:val="1"/>
                <w:color w:val="auto"/>
              </w:rPr>
              <w:t>(48)</w:t>
            </w:r>
          </w:p>
        </w:tc>
        <w:tc>
          <w:tcPr>
            <w:tcW w:w="820" w:type="dxa"/>
            <w:vAlign w:val="bottom"/>
          </w:tcPr>
          <w:p>
            <w:pPr>
              <w:jc w:val="right"/>
              <w:spacing w:after="0"/>
              <w:rPr>
                <w:sz w:val="20"/>
                <w:szCs w:val="20"/>
                <w:color w:val="auto"/>
              </w:rPr>
            </w:pPr>
            <w:r>
              <w:rPr>
                <w:rFonts w:ascii="Arial" w:cs="Arial" w:eastAsia="Arial" w:hAnsi="Arial"/>
                <w:sz w:val="16"/>
                <w:szCs w:val="16"/>
                <w:color w:val="auto"/>
              </w:rPr>
              <w:t>(35)  </w:t>
            </w:r>
          </w:p>
        </w:tc>
      </w:tr>
      <w:tr>
        <w:trPr>
          <w:trHeight w:val="185"/>
        </w:trPr>
        <w:tc>
          <w:tcPr>
            <w:tcW w:w="7940" w:type="dxa"/>
            <w:vAlign w:val="bottom"/>
            <w:gridSpan w:val="2"/>
          </w:tcPr>
          <w:p>
            <w:pPr>
              <w:spacing w:after="0"/>
              <w:rPr>
                <w:sz w:val="20"/>
                <w:szCs w:val="20"/>
                <w:color w:val="auto"/>
              </w:rPr>
            </w:pPr>
            <w:r>
              <w:rPr>
                <w:rFonts w:ascii="Arial" w:cs="Arial" w:eastAsia="Arial" w:hAnsi="Arial"/>
                <w:sz w:val="16"/>
                <w:szCs w:val="16"/>
                <w:color w:val="auto"/>
              </w:rPr>
              <w:t> Acquisitions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261"/>
              <w:spacing w:after="0"/>
              <w:rPr>
                <w:sz w:val="20"/>
                <w:szCs w:val="20"/>
                <w:color w:val="auto"/>
              </w:rPr>
            </w:pPr>
            <w:r>
              <w:rPr>
                <w:rFonts w:ascii="Arial" w:cs="Arial" w:eastAsia="Arial" w:hAnsi="Arial"/>
                <w:sz w:val="16"/>
                <w:szCs w:val="16"/>
                <w:b w:val="1"/>
                <w:bCs w:val="1"/>
                <w:color w:val="auto"/>
              </w:rPr>
              <w:t>3</w:t>
            </w:r>
          </w:p>
        </w:tc>
        <w:tc>
          <w:tcPr>
            <w:tcW w:w="8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00"/>
        </w:trPr>
        <w:tc>
          <w:tcPr>
            <w:tcW w:w="7940" w:type="dxa"/>
            <w:vAlign w:val="bottom"/>
            <w:gridSpan w:val="2"/>
          </w:tcPr>
          <w:p>
            <w:pPr>
              <w:spacing w:after="0"/>
              <w:rPr>
                <w:sz w:val="20"/>
                <w:szCs w:val="20"/>
                <w:color w:val="auto"/>
              </w:rPr>
            </w:pPr>
            <w:r>
              <w:rPr>
                <w:rFonts w:ascii="Arial" w:cs="Arial" w:eastAsia="Arial" w:hAnsi="Arial"/>
                <w:sz w:val="16"/>
                <w:szCs w:val="16"/>
                <w:color w:val="auto"/>
              </w:rPr>
              <w:t> Disposals of businesses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261"/>
              <w:spacing w:after="0"/>
              <w:rPr>
                <w:sz w:val="20"/>
                <w:szCs w:val="20"/>
                <w:color w:val="auto"/>
              </w:rPr>
            </w:pPr>
            <w:r>
              <w:rPr>
                <w:rFonts w:ascii="Arial" w:cs="Arial" w:eastAsia="Arial" w:hAnsi="Arial"/>
                <w:sz w:val="16"/>
                <w:szCs w:val="16"/>
                <w:b w:val="1"/>
                <w:bCs w:val="1"/>
                <w:color w:val="auto"/>
              </w:rPr>
              <w:t>(1)</w:t>
            </w:r>
          </w:p>
        </w:tc>
        <w:tc>
          <w:tcPr>
            <w:tcW w:w="82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179"/>
        </w:trPr>
        <w:tc>
          <w:tcPr>
            <w:tcW w:w="774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Translation and other, net</w:t>
            </w:r>
          </w:p>
        </w:tc>
        <w:tc>
          <w:tcPr>
            <w:tcW w:w="200" w:type="dxa"/>
            <w:vAlign w:val="bottom"/>
            <w:tcBorders>
              <w:top w:val="single" w:sz="8" w:color="B2B2B2"/>
              <w:bottom w:val="single" w:sz="8" w:color="B2B2B2"/>
            </w:tcBorders>
          </w:tcPr>
          <w:p>
            <w:pPr>
              <w:spacing w:after="0"/>
              <w:rPr>
                <w:sz w:val="15"/>
                <w:szCs w:val="15"/>
                <w:color w:val="auto"/>
              </w:rPr>
            </w:pPr>
          </w:p>
        </w:tc>
        <w:tc>
          <w:tcPr>
            <w:tcW w:w="160" w:type="dxa"/>
            <w:vAlign w:val="bottom"/>
            <w:tcBorders>
              <w:top w:val="single" w:sz="8" w:color="B2B2B2"/>
              <w:bottom w:val="single" w:sz="8" w:color="B2B2B2"/>
            </w:tcBorders>
          </w:tcPr>
          <w:p>
            <w:pPr>
              <w:spacing w:after="0"/>
              <w:rPr>
                <w:sz w:val="15"/>
                <w:szCs w:val="15"/>
                <w:color w:val="auto"/>
              </w:rPr>
            </w:pPr>
          </w:p>
        </w:tc>
        <w:tc>
          <w:tcPr>
            <w:tcW w:w="100" w:type="dxa"/>
            <w:vAlign w:val="bottom"/>
            <w:tcBorders>
              <w:top w:val="single" w:sz="8" w:color="B2B2B2"/>
              <w:bottom w:val="single" w:sz="8" w:color="B2B2B2"/>
            </w:tcBorders>
          </w:tcPr>
          <w:p>
            <w:pPr>
              <w:spacing w:after="0"/>
              <w:rPr>
                <w:sz w:val="15"/>
                <w:szCs w:val="15"/>
                <w:color w:val="auto"/>
              </w:rPr>
            </w:pPr>
          </w:p>
        </w:tc>
        <w:tc>
          <w:tcPr>
            <w:tcW w:w="700" w:type="dxa"/>
            <w:vAlign w:val="bottom"/>
            <w:tcBorders>
              <w:top w:val="single" w:sz="8" w:color="B2B2B2"/>
              <w:bottom w:val="single" w:sz="8" w:color="B2B2B2"/>
            </w:tcBorders>
          </w:tcPr>
          <w:p>
            <w:pPr>
              <w:jc w:val="right"/>
              <w:ind w:right="261"/>
              <w:spacing w:after="0" w:line="179" w:lineRule="exact"/>
              <w:rPr>
                <w:sz w:val="20"/>
                <w:szCs w:val="20"/>
                <w:color w:val="auto"/>
              </w:rPr>
            </w:pPr>
            <w:r>
              <w:rPr>
                <w:rFonts w:ascii="Arial" w:cs="Arial" w:eastAsia="Arial" w:hAnsi="Arial"/>
                <w:sz w:val="16"/>
                <w:szCs w:val="16"/>
                <w:b w:val="1"/>
                <w:bCs w:val="1"/>
                <w:color w:val="auto"/>
              </w:rPr>
              <w:t>3</w:t>
            </w:r>
          </w:p>
        </w:tc>
        <w:tc>
          <w:tcPr>
            <w:tcW w:w="820" w:type="dxa"/>
            <w:vAlign w:val="bottom"/>
            <w:tcBorders>
              <w:top w:val="single" w:sz="8" w:color="B2B2B2"/>
              <w:bottom w:val="single" w:sz="8" w:color="B2B2B2"/>
            </w:tcBorders>
          </w:tcPr>
          <w:p>
            <w:pPr>
              <w:jc w:val="right"/>
              <w:spacing w:after="0" w:line="179" w:lineRule="exact"/>
              <w:rPr>
                <w:sz w:val="20"/>
                <w:szCs w:val="20"/>
                <w:color w:val="auto"/>
              </w:rPr>
            </w:pPr>
            <w:r>
              <w:rPr>
                <w:rFonts w:ascii="Arial" w:cs="Arial" w:eastAsia="Arial" w:hAnsi="Arial"/>
                <w:sz w:val="16"/>
                <w:szCs w:val="16"/>
                <w:color w:val="auto"/>
              </w:rPr>
              <w:t>3  </w:t>
            </w:r>
          </w:p>
        </w:tc>
      </w:tr>
      <w:tr>
        <w:trPr>
          <w:trHeight w:val="185"/>
        </w:trPr>
        <w:tc>
          <w:tcPr>
            <w:tcW w:w="7940" w:type="dxa"/>
            <w:vAlign w:val="bottom"/>
            <w:tcBorders>
              <w:bottom w:val="single" w:sz="8" w:color="D64000"/>
            </w:tcBorders>
            <w:gridSpan w:val="2"/>
          </w:tcPr>
          <w:p>
            <w:pPr>
              <w:spacing w:after="0" w:line="179" w:lineRule="exact"/>
              <w:rPr>
                <w:sz w:val="20"/>
                <w:szCs w:val="20"/>
                <w:color w:val="auto"/>
              </w:rPr>
            </w:pPr>
            <w:r>
              <w:rPr>
                <w:rFonts w:ascii="Arial" w:cs="Arial" w:eastAsia="Arial" w:hAnsi="Arial"/>
                <w:sz w:val="16"/>
                <w:szCs w:val="16"/>
                <w:color w:val="auto"/>
              </w:rPr>
              <w:t> Balance at end of year</w:t>
            </w:r>
          </w:p>
        </w:tc>
        <w:tc>
          <w:tcPr>
            <w:tcW w:w="160" w:type="dxa"/>
            <w:vAlign w:val="bottom"/>
            <w:tcBorders>
              <w:bottom w:val="single" w:sz="8" w:color="D64000"/>
            </w:tcBorders>
          </w:tcPr>
          <w:p>
            <w:pPr>
              <w:spacing w:after="0"/>
              <w:rPr>
                <w:sz w:val="16"/>
                <w:szCs w:val="16"/>
                <w:color w:val="auto"/>
              </w:rPr>
            </w:pPr>
          </w:p>
        </w:tc>
        <w:tc>
          <w:tcPr>
            <w:tcW w:w="100" w:type="dxa"/>
            <w:vAlign w:val="bottom"/>
            <w:tcBorders>
              <w:bottom w:val="single" w:sz="8" w:color="D64000"/>
            </w:tcBorders>
          </w:tcPr>
          <w:p>
            <w:pPr>
              <w:spacing w:after="0"/>
              <w:rPr>
                <w:sz w:val="16"/>
                <w:szCs w:val="16"/>
                <w:color w:val="auto"/>
              </w:rPr>
            </w:pPr>
          </w:p>
        </w:tc>
        <w:tc>
          <w:tcPr>
            <w:tcW w:w="700" w:type="dxa"/>
            <w:vAlign w:val="bottom"/>
            <w:tcBorders>
              <w:bottom w:val="single" w:sz="8" w:color="D64000"/>
            </w:tcBorders>
          </w:tcPr>
          <w:p>
            <w:pPr>
              <w:jc w:val="right"/>
              <w:ind w:right="261"/>
              <w:spacing w:after="0" w:line="179" w:lineRule="exact"/>
              <w:rPr>
                <w:sz w:val="20"/>
                <w:szCs w:val="20"/>
                <w:color w:val="auto"/>
              </w:rPr>
            </w:pPr>
            <w:r>
              <w:rPr>
                <w:rFonts w:ascii="Arial" w:cs="Arial" w:eastAsia="Arial" w:hAnsi="Arial"/>
                <w:sz w:val="16"/>
                <w:szCs w:val="16"/>
                <w:b w:val="1"/>
                <w:bCs w:val="1"/>
                <w:color w:val="auto"/>
              </w:rPr>
              <w:t>23</w:t>
            </w:r>
          </w:p>
        </w:tc>
        <w:tc>
          <w:tcPr>
            <w:tcW w:w="82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21  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-2658110</wp:posOffset>
            </wp:positionV>
            <wp:extent cx="617537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175375" cy="825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-1151890</wp:posOffset>
            </wp:positionV>
            <wp:extent cx="617537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64" w:lineRule="exact"/>
        <w:rPr>
          <w:sz w:val="20"/>
          <w:szCs w:val="20"/>
          <w:color w:val="auto"/>
        </w:rPr>
      </w:pPr>
    </w:p>
    <w:p>
      <w:pPr>
        <w:ind w:left="220" w:right="580"/>
        <w:spacing w:after="0" w:line="243" w:lineRule="auto"/>
        <w:rPr>
          <w:sz w:val="20"/>
          <w:szCs w:val="20"/>
          <w:color w:val="auto"/>
        </w:rPr>
      </w:pPr>
      <w:r>
        <w:rPr>
          <w:rFonts w:ascii="Arial" w:cs="Arial" w:eastAsia="Arial" w:hAnsi="Arial"/>
          <w:sz w:val="17"/>
          <w:szCs w:val="17"/>
          <w:color w:val="auto"/>
        </w:rPr>
        <w:t>Trade and other receivables are written off when there is no reasonable expectation of recovery, such as the bankruptcy of the debtor. The potential for such losses is mitigated because customer creditworthiness is evaluated before credit is extended and there is no significant exposure to any single customer.</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Note 15: 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151765</wp:posOffset>
            </wp:positionV>
            <wp:extent cx="617537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p>
        </w:tc>
        <w:tc>
          <w:tcPr>
            <w:tcW w:w="200" w:type="dxa"/>
            <w:vAlign w:val="bottom"/>
            <w:shd w:val="clear" w:color="auto" w:fill="E3F3EE"/>
          </w:tcPr>
          <w:p>
            <w:pPr>
              <w:ind w:left="100"/>
              <w:spacing w:after="0"/>
              <w:rPr>
                <w:sz w:val="20"/>
                <w:szCs w:val="20"/>
                <w:color w:val="auto"/>
              </w:rPr>
            </w:pPr>
            <w:r>
              <w:rPr>
                <w:rFonts w:ascii="Arial" w:cs="Arial" w:eastAsia="Arial" w:hAnsi="Arial"/>
                <w:sz w:val="11"/>
                <w:szCs w:val="11"/>
                <w:b w:val="1"/>
                <w:bCs w:val="1"/>
                <w:color w:val="auto"/>
                <w:w w:val="72"/>
              </w:rPr>
              <w:t> </w:t>
            </w:r>
          </w:p>
        </w:tc>
        <w:tc>
          <w:tcPr>
            <w:tcW w:w="1780" w:type="dxa"/>
            <w:vAlign w:val="bottom"/>
            <w:gridSpan w:val="2"/>
            <w:shd w:val="clear" w:color="auto" w:fill="E3F3EE"/>
          </w:tcPr>
          <w:p>
            <w:pPr>
              <w:jc w:val="right"/>
              <w:ind w:right="81"/>
              <w:spacing w:after="0"/>
              <w:rPr>
                <w:sz w:val="20"/>
                <w:szCs w:val="20"/>
                <w:color w:val="auto"/>
              </w:rPr>
            </w:pPr>
            <w:r>
              <w:rPr>
                <w:rFonts w:ascii="Arial" w:cs="Arial" w:eastAsia="Arial" w:hAnsi="Arial"/>
                <w:sz w:val="16"/>
                <w:szCs w:val="16"/>
                <w:b w:val="1"/>
                <w:bCs w:val="1"/>
                <w:color w:val="auto"/>
              </w:rPr>
              <w:t xml:space="preserve">      December 31,    </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7740" w:type="dxa"/>
            <w:vAlign w:val="bottom"/>
            <w:tcBorders>
              <w:bottom w:val="single" w:sz="8" w:color="D64000"/>
            </w:tcBorders>
            <w:shd w:val="clear" w:color="auto" w:fill="1F473D"/>
          </w:tcPr>
          <w:p>
            <w:pPr>
              <w:spacing w:after="0"/>
              <w:rPr>
                <w:sz w:val="17"/>
                <w:szCs w:val="17"/>
                <w:color w:val="auto"/>
              </w:rPr>
            </w:pPr>
          </w:p>
        </w:tc>
        <w:tc>
          <w:tcPr>
            <w:tcW w:w="200" w:type="dxa"/>
            <w:vAlign w:val="bottom"/>
            <w:tcBorders>
              <w:bottom w:val="single" w:sz="8" w:color="D64000"/>
            </w:tcBorders>
            <w:shd w:val="clear" w:color="auto" w:fill="1F473D"/>
          </w:tcPr>
          <w:p>
            <w:pPr>
              <w:spacing w:after="0"/>
              <w:rPr>
                <w:sz w:val="17"/>
                <w:szCs w:val="17"/>
                <w:color w:val="auto"/>
              </w:rPr>
            </w:pPr>
          </w:p>
        </w:tc>
        <w:tc>
          <w:tcPr>
            <w:tcW w:w="980" w:type="dxa"/>
            <w:vAlign w:val="bottom"/>
            <w:tcBorders>
              <w:bottom w:val="single" w:sz="8" w:color="D64000"/>
            </w:tcBorders>
            <w:shd w:val="clear" w:color="auto" w:fill="1F473D"/>
          </w:tcPr>
          <w:p>
            <w:pPr>
              <w:jc w:val="right"/>
              <w:ind w:right="281"/>
              <w:spacing w:after="0"/>
              <w:rPr>
                <w:sz w:val="20"/>
                <w:szCs w:val="20"/>
                <w:color w:val="auto"/>
              </w:rPr>
            </w:pPr>
            <w:r>
              <w:rPr>
                <w:rFonts w:ascii="Arial" w:cs="Arial" w:eastAsia="Arial" w:hAnsi="Arial"/>
                <w:sz w:val="16"/>
                <w:szCs w:val="16"/>
                <w:b w:val="1"/>
                <w:bCs w:val="1"/>
                <w:color w:val="FFFFFF"/>
              </w:rPr>
              <w:t>2024</w:t>
            </w:r>
          </w:p>
        </w:tc>
        <w:tc>
          <w:tcPr>
            <w:tcW w:w="80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2023 </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7940" w:type="dxa"/>
            <w:vAlign w:val="bottom"/>
            <w:gridSpan w:val="2"/>
          </w:tcPr>
          <w:p>
            <w:pPr>
              <w:spacing w:after="0" w:line="171" w:lineRule="exact"/>
              <w:rPr>
                <w:sz w:val="20"/>
                <w:szCs w:val="20"/>
                <w:color w:val="auto"/>
              </w:rPr>
            </w:pPr>
            <w:r>
              <w:rPr>
                <w:rFonts w:ascii="Arial" w:cs="Arial" w:eastAsia="Arial" w:hAnsi="Arial"/>
                <w:sz w:val="16"/>
                <w:szCs w:val="16"/>
                <w:color w:val="auto"/>
              </w:rPr>
              <w:t> Prepaid expenses</w:t>
            </w:r>
          </w:p>
        </w:tc>
        <w:tc>
          <w:tcPr>
            <w:tcW w:w="980" w:type="dxa"/>
            <w:vAlign w:val="bottom"/>
          </w:tcPr>
          <w:p>
            <w:pPr>
              <w:jc w:val="right"/>
              <w:ind w:right="281"/>
              <w:spacing w:after="0" w:line="171" w:lineRule="exact"/>
              <w:rPr>
                <w:sz w:val="20"/>
                <w:szCs w:val="20"/>
                <w:color w:val="auto"/>
              </w:rPr>
            </w:pPr>
            <w:r>
              <w:rPr>
                <w:rFonts w:ascii="Arial" w:cs="Arial" w:eastAsia="Arial" w:hAnsi="Arial"/>
                <w:sz w:val="16"/>
                <w:szCs w:val="16"/>
                <w:b w:val="1"/>
                <w:bCs w:val="1"/>
                <w:color w:val="auto"/>
              </w:rPr>
              <w:t>150</w:t>
            </w:r>
          </w:p>
        </w:tc>
        <w:tc>
          <w:tcPr>
            <w:tcW w:w="800" w:type="dxa"/>
            <w:vAlign w:val="bottom"/>
          </w:tcPr>
          <w:p>
            <w:pPr>
              <w:jc w:val="right"/>
              <w:spacing w:after="0" w:line="171" w:lineRule="exact"/>
              <w:rPr>
                <w:sz w:val="20"/>
                <w:szCs w:val="20"/>
                <w:color w:val="auto"/>
              </w:rPr>
            </w:pPr>
            <w:r>
              <w:rPr>
                <w:rFonts w:ascii="Arial" w:cs="Arial" w:eastAsia="Arial" w:hAnsi="Arial"/>
                <w:sz w:val="16"/>
                <w:szCs w:val="16"/>
                <w:color w:val="auto"/>
              </w:rPr>
              <w:t>161  </w:t>
            </w: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940" w:type="dxa"/>
            <w:vAlign w:val="bottom"/>
            <w:gridSpan w:val="2"/>
          </w:tcPr>
          <w:p>
            <w:pPr>
              <w:spacing w:after="0"/>
              <w:rPr>
                <w:sz w:val="20"/>
                <w:szCs w:val="20"/>
                <w:color w:val="auto"/>
              </w:rPr>
            </w:pPr>
            <w:r>
              <w:rPr>
                <w:rFonts w:ascii="Arial" w:cs="Arial" w:eastAsia="Arial" w:hAnsi="Arial"/>
                <w:sz w:val="16"/>
                <w:szCs w:val="16"/>
                <w:color w:val="auto"/>
              </w:rPr>
              <w:t> Deferred commissions</w:t>
            </w:r>
          </w:p>
        </w:tc>
        <w:tc>
          <w:tcPr>
            <w:tcW w:w="980" w:type="dxa"/>
            <w:vAlign w:val="bottom"/>
          </w:tcPr>
          <w:p>
            <w:pPr>
              <w:jc w:val="right"/>
              <w:ind w:right="281"/>
              <w:spacing w:after="0"/>
              <w:rPr>
                <w:sz w:val="20"/>
                <w:szCs w:val="20"/>
                <w:color w:val="auto"/>
              </w:rPr>
            </w:pPr>
            <w:r>
              <w:rPr>
                <w:rFonts w:ascii="Arial" w:cs="Arial" w:eastAsia="Arial" w:hAnsi="Arial"/>
                <w:sz w:val="16"/>
                <w:szCs w:val="16"/>
                <w:b w:val="1"/>
                <w:bCs w:val="1"/>
                <w:color w:val="auto"/>
              </w:rPr>
              <w:t>112</w:t>
            </w:r>
          </w:p>
        </w:tc>
        <w:tc>
          <w:tcPr>
            <w:tcW w:w="1900" w:type="dxa"/>
            <w:vAlign w:val="bottom"/>
            <w:gridSpan w:val="3"/>
          </w:tcPr>
          <w:p>
            <w:pPr>
              <w:jc w:val="right"/>
              <w:ind w:right="1100"/>
              <w:spacing w:after="0"/>
              <w:rPr>
                <w:sz w:val="20"/>
                <w:szCs w:val="20"/>
                <w:color w:val="auto"/>
              </w:rPr>
            </w:pPr>
            <w:r>
              <w:rPr>
                <w:rFonts w:ascii="Arial" w:cs="Arial" w:eastAsia="Arial" w:hAnsi="Arial"/>
                <w:sz w:val="16"/>
                <w:szCs w:val="16"/>
                <w:color w:val="auto"/>
              </w:rPr>
              <w:t>139  </w:t>
            </w:r>
          </w:p>
        </w:tc>
        <w:tc>
          <w:tcPr>
            <w:tcW w:w="0" w:type="dxa"/>
            <w:vAlign w:val="bottom"/>
          </w:tcPr>
          <w:p>
            <w:pPr>
              <w:spacing w:after="0"/>
              <w:rPr>
                <w:sz w:val="1"/>
                <w:szCs w:val="1"/>
                <w:color w:val="auto"/>
              </w:rPr>
            </w:pPr>
          </w:p>
        </w:tc>
      </w:tr>
      <w:tr>
        <w:trPr>
          <w:trHeight w:val="186"/>
        </w:trPr>
        <w:tc>
          <w:tcPr>
            <w:tcW w:w="7940" w:type="dxa"/>
            <w:vAlign w:val="bottom"/>
            <w:gridSpan w:val="2"/>
          </w:tcPr>
          <w:p>
            <w:pPr>
              <w:spacing w:after="0"/>
              <w:rPr>
                <w:sz w:val="20"/>
                <w:szCs w:val="20"/>
                <w:color w:val="auto"/>
              </w:rPr>
            </w:pPr>
            <w:r>
              <w:rPr>
                <w:rFonts w:ascii="Arial" w:cs="Arial" w:eastAsia="Arial" w:hAnsi="Arial"/>
                <w:sz w:val="16"/>
                <w:szCs w:val="16"/>
                <w:color w:val="auto"/>
              </w:rPr>
              <w:t> Current tax receivables</w:t>
            </w:r>
          </w:p>
        </w:tc>
        <w:tc>
          <w:tcPr>
            <w:tcW w:w="980" w:type="dxa"/>
            <w:vAlign w:val="bottom"/>
          </w:tcPr>
          <w:p>
            <w:pPr>
              <w:jc w:val="right"/>
              <w:ind w:right="281"/>
              <w:spacing w:after="0"/>
              <w:rPr>
                <w:sz w:val="20"/>
                <w:szCs w:val="20"/>
                <w:color w:val="auto"/>
              </w:rPr>
            </w:pPr>
            <w:r>
              <w:rPr>
                <w:rFonts w:ascii="Arial" w:cs="Arial" w:eastAsia="Arial" w:hAnsi="Arial"/>
                <w:sz w:val="16"/>
                <w:szCs w:val="16"/>
                <w:b w:val="1"/>
                <w:bCs w:val="1"/>
                <w:color w:val="auto"/>
              </w:rPr>
              <w:t>67</w:t>
            </w:r>
          </w:p>
        </w:tc>
        <w:tc>
          <w:tcPr>
            <w:tcW w:w="1900" w:type="dxa"/>
            <w:vAlign w:val="bottom"/>
            <w:gridSpan w:val="3"/>
          </w:tcPr>
          <w:p>
            <w:pPr>
              <w:jc w:val="right"/>
              <w:ind w:right="1100"/>
              <w:spacing w:after="0"/>
              <w:rPr>
                <w:sz w:val="20"/>
                <w:szCs w:val="20"/>
                <w:color w:val="auto"/>
              </w:rPr>
            </w:pPr>
            <w:r>
              <w:rPr>
                <w:rFonts w:ascii="Arial" w:cs="Arial" w:eastAsia="Arial" w:hAnsi="Arial"/>
                <w:sz w:val="16"/>
                <w:szCs w:val="16"/>
                <w:color w:val="auto"/>
              </w:rPr>
              <w:t>72  </w:t>
            </w:r>
          </w:p>
        </w:tc>
        <w:tc>
          <w:tcPr>
            <w:tcW w:w="0" w:type="dxa"/>
            <w:vAlign w:val="bottom"/>
          </w:tcPr>
          <w:p>
            <w:pPr>
              <w:spacing w:after="0"/>
              <w:rPr>
                <w:sz w:val="1"/>
                <w:szCs w:val="1"/>
                <w:color w:val="auto"/>
              </w:rPr>
            </w:pPr>
          </w:p>
        </w:tc>
      </w:tr>
      <w:tr>
        <w:trPr>
          <w:trHeight w:val="185"/>
        </w:trPr>
        <w:tc>
          <w:tcPr>
            <w:tcW w:w="7940" w:type="dxa"/>
            <w:vAlign w:val="bottom"/>
            <w:gridSpan w:val="2"/>
          </w:tcPr>
          <w:p>
            <w:pPr>
              <w:spacing w:after="0"/>
              <w:rPr>
                <w:sz w:val="20"/>
                <w:szCs w:val="20"/>
                <w:color w:val="auto"/>
              </w:rPr>
            </w:pPr>
            <w:r>
              <w:rPr>
                <w:rFonts w:ascii="Arial" w:cs="Arial" w:eastAsia="Arial" w:hAnsi="Arial"/>
                <w:sz w:val="16"/>
                <w:szCs w:val="16"/>
                <w:color w:val="auto"/>
              </w:rPr>
              <w:t> Inventory</w:t>
            </w:r>
          </w:p>
        </w:tc>
        <w:tc>
          <w:tcPr>
            <w:tcW w:w="980" w:type="dxa"/>
            <w:vAlign w:val="bottom"/>
          </w:tcPr>
          <w:p>
            <w:pPr>
              <w:jc w:val="right"/>
              <w:ind w:right="281"/>
              <w:spacing w:after="0"/>
              <w:rPr>
                <w:sz w:val="20"/>
                <w:szCs w:val="20"/>
                <w:color w:val="auto"/>
              </w:rPr>
            </w:pPr>
            <w:r>
              <w:rPr>
                <w:rFonts w:ascii="Arial" w:cs="Arial" w:eastAsia="Arial" w:hAnsi="Arial"/>
                <w:sz w:val="16"/>
                <w:szCs w:val="16"/>
                <w:b w:val="1"/>
                <w:bCs w:val="1"/>
                <w:color w:val="auto"/>
              </w:rPr>
              <w:t>21</w:t>
            </w:r>
          </w:p>
        </w:tc>
        <w:tc>
          <w:tcPr>
            <w:tcW w:w="1900" w:type="dxa"/>
            <w:vAlign w:val="bottom"/>
            <w:gridSpan w:val="3"/>
          </w:tcPr>
          <w:p>
            <w:pPr>
              <w:jc w:val="right"/>
              <w:ind w:right="1100"/>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00"/>
        </w:trPr>
        <w:tc>
          <w:tcPr>
            <w:tcW w:w="7940" w:type="dxa"/>
            <w:vAlign w:val="bottom"/>
            <w:gridSpan w:val="2"/>
          </w:tcPr>
          <w:p>
            <w:pPr>
              <w:spacing w:after="0"/>
              <w:rPr>
                <w:sz w:val="20"/>
                <w:szCs w:val="20"/>
                <w:color w:val="auto"/>
              </w:rPr>
            </w:pPr>
            <w:r>
              <w:rPr>
                <w:rFonts w:ascii="Arial" w:cs="Arial" w:eastAsia="Arial" w:hAnsi="Arial"/>
                <w:sz w:val="16"/>
                <w:szCs w:val="16"/>
                <w:color w:val="auto"/>
              </w:rPr>
              <w:t> Other current assets</w:t>
            </w:r>
          </w:p>
        </w:tc>
        <w:tc>
          <w:tcPr>
            <w:tcW w:w="980" w:type="dxa"/>
            <w:vAlign w:val="bottom"/>
          </w:tcPr>
          <w:p>
            <w:pPr>
              <w:jc w:val="right"/>
              <w:ind w:right="281"/>
              <w:spacing w:after="0"/>
              <w:rPr>
                <w:sz w:val="20"/>
                <w:szCs w:val="20"/>
                <w:color w:val="auto"/>
              </w:rPr>
            </w:pPr>
            <w:r>
              <w:rPr>
                <w:rFonts w:ascii="Arial" w:cs="Arial" w:eastAsia="Arial" w:hAnsi="Arial"/>
                <w:sz w:val="16"/>
                <w:szCs w:val="16"/>
                <w:b w:val="1"/>
                <w:bCs w:val="1"/>
                <w:color w:val="auto"/>
              </w:rPr>
              <w:t>50</w:t>
            </w:r>
          </w:p>
        </w:tc>
        <w:tc>
          <w:tcPr>
            <w:tcW w:w="1900" w:type="dxa"/>
            <w:vAlign w:val="bottom"/>
            <w:gridSpan w:val="3"/>
          </w:tcPr>
          <w:p>
            <w:pPr>
              <w:jc w:val="right"/>
              <w:ind w:right="1100"/>
              <w:spacing w:after="0"/>
              <w:rPr>
                <w:sz w:val="20"/>
                <w:szCs w:val="20"/>
                <w:color w:val="auto"/>
              </w:rPr>
            </w:pPr>
            <w:r>
              <w:rPr>
                <w:rFonts w:ascii="Arial" w:cs="Arial" w:eastAsia="Arial" w:hAnsi="Arial"/>
                <w:sz w:val="16"/>
                <w:szCs w:val="16"/>
                <w:color w:val="auto"/>
              </w:rPr>
              <w:t>43  </w:t>
            </w:r>
          </w:p>
        </w:tc>
        <w:tc>
          <w:tcPr>
            <w:tcW w:w="0" w:type="dxa"/>
            <w:vAlign w:val="bottom"/>
          </w:tcPr>
          <w:p>
            <w:pPr>
              <w:spacing w:after="0"/>
              <w:rPr>
                <w:sz w:val="1"/>
                <w:szCs w:val="1"/>
                <w:color w:val="auto"/>
              </w:rPr>
            </w:pPr>
          </w:p>
        </w:tc>
      </w:tr>
      <w:tr>
        <w:trPr>
          <w:trHeight w:val="185"/>
        </w:trPr>
        <w:tc>
          <w:tcPr>
            <w:tcW w:w="7940" w:type="dxa"/>
            <w:vAlign w:val="bottom"/>
            <w:tcBorders>
              <w:top w:val="single" w:sz="8" w:color="B2B2B2"/>
              <w:bottom w:val="single" w:sz="8" w:color="D64000"/>
            </w:tcBorders>
            <w:gridSpan w:val="2"/>
          </w:tcPr>
          <w:p>
            <w:pPr>
              <w:spacing w:after="0" w:line="179" w:lineRule="exact"/>
              <w:rPr>
                <w:sz w:val="20"/>
                <w:szCs w:val="20"/>
                <w:color w:val="auto"/>
              </w:rPr>
            </w:pPr>
            <w:r>
              <w:rPr>
                <w:rFonts w:ascii="Arial" w:cs="Arial" w:eastAsia="Arial" w:hAnsi="Arial"/>
                <w:sz w:val="16"/>
                <w:szCs w:val="16"/>
                <w:color w:val="auto"/>
              </w:rPr>
              <w:t> Prepaid expenses and other current assets</w:t>
            </w:r>
          </w:p>
        </w:tc>
        <w:tc>
          <w:tcPr>
            <w:tcW w:w="980" w:type="dxa"/>
            <w:vAlign w:val="bottom"/>
            <w:tcBorders>
              <w:top w:val="single" w:sz="8" w:color="B2B2B2"/>
              <w:bottom w:val="single" w:sz="8" w:color="D64000"/>
            </w:tcBorders>
          </w:tcPr>
          <w:p>
            <w:pPr>
              <w:jc w:val="right"/>
              <w:ind w:right="281"/>
              <w:spacing w:after="0" w:line="179" w:lineRule="exact"/>
              <w:rPr>
                <w:sz w:val="20"/>
                <w:szCs w:val="20"/>
                <w:color w:val="auto"/>
              </w:rPr>
            </w:pPr>
            <w:r>
              <w:rPr>
                <w:rFonts w:ascii="Arial" w:cs="Arial" w:eastAsia="Arial" w:hAnsi="Arial"/>
                <w:sz w:val="16"/>
                <w:szCs w:val="16"/>
                <w:b w:val="1"/>
                <w:bCs w:val="1"/>
                <w:color w:val="auto"/>
              </w:rPr>
              <w:t>400</w:t>
            </w:r>
          </w:p>
        </w:tc>
        <w:tc>
          <w:tcPr>
            <w:tcW w:w="800" w:type="dxa"/>
            <w:vAlign w:val="bottom"/>
            <w:tcBorders>
              <w:top w:val="single" w:sz="8" w:color="B2B2B2"/>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435  </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7940" w:type="dxa"/>
            <w:vAlign w:val="bottom"/>
            <w:tcBorders>
              <w:bottom w:val="single" w:sz="8" w:color="7F7F7F"/>
            </w:tcBorders>
            <w:gridSpan w:val="2"/>
          </w:tcPr>
          <w:p>
            <w:pPr>
              <w:spacing w:after="0"/>
              <w:rPr>
                <w:sz w:val="13"/>
                <w:szCs w:val="13"/>
                <w:color w:val="auto"/>
              </w:rPr>
            </w:pPr>
          </w:p>
        </w:tc>
        <w:tc>
          <w:tcPr>
            <w:tcW w:w="980" w:type="dxa"/>
            <w:vAlign w:val="bottom"/>
            <w:tcBorders>
              <w:bottom w:val="single" w:sz="8" w:color="7F7F7F"/>
            </w:tcBorders>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1080" w:type="dxa"/>
            <w:vAlign w:val="bottom"/>
            <w:tcBorders>
              <w:bottom w:val="single" w:sz="8" w:color="7F7F7F"/>
            </w:tcBorders>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940" w:type="dxa"/>
            <w:vAlign w:val="bottom"/>
            <w:gridSpan w:val="2"/>
          </w:tcPr>
          <w:p>
            <w:pPr>
              <w:spacing w:after="0"/>
              <w:rPr>
                <w:sz w:val="20"/>
                <w:szCs w:val="20"/>
                <w:color w:val="auto"/>
              </w:rPr>
            </w:pPr>
            <w:r>
              <w:rPr>
                <w:rFonts w:ascii="Arial" w:cs="Arial" w:eastAsia="Arial" w:hAnsi="Arial"/>
                <w:sz w:val="17"/>
                <w:szCs w:val="17"/>
                <w:b w:val="1"/>
                <w:bCs w:val="1"/>
                <w:color w:val="auto"/>
              </w:rPr>
              <w:t>Thomson Reuters Annual Report 2024</w:t>
            </w: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ind w:left="380"/>
              <w:spacing w:after="0"/>
              <w:rPr>
                <w:sz w:val="20"/>
                <w:szCs w:val="20"/>
                <w:color w:val="auto"/>
              </w:rPr>
            </w:pPr>
            <w:r>
              <w:rPr>
                <w:rFonts w:ascii="Arial" w:cs="Arial" w:eastAsia="Arial" w:hAnsi="Arial"/>
                <w:sz w:val="17"/>
                <w:szCs w:val="17"/>
                <w:color w:val="auto"/>
                <w:w w:val="93"/>
              </w:rPr>
              <w:t>Page 109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77" w:right="5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Note 16: Property and Equipment</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Property and equipment consist of the following:</w:t>
      </w:r>
    </w:p>
    <w:p>
      <w:pPr>
        <w:spacing w:after="0" w:line="131"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3380" w:type="dxa"/>
            <w:vAlign w:val="bottom"/>
            <w:shd w:val="clear" w:color="auto" w:fill="1F473D"/>
          </w:tcPr>
          <w:p>
            <w:pPr>
              <w:spacing w:after="0"/>
              <w:rPr>
                <w:sz w:val="16"/>
                <w:szCs w:val="16"/>
                <w:color w:val="auto"/>
              </w:rPr>
            </w:pPr>
          </w:p>
        </w:tc>
        <w:tc>
          <w:tcPr>
            <w:tcW w:w="1740" w:type="dxa"/>
            <w:vAlign w:val="bottom"/>
            <w:shd w:val="clear" w:color="auto" w:fill="1F473D"/>
          </w:tcPr>
          <w:p>
            <w:pPr>
              <w:jc w:val="center"/>
              <w:ind w:right="21"/>
              <w:spacing w:after="0"/>
              <w:rPr>
                <w:sz w:val="20"/>
                <w:szCs w:val="20"/>
                <w:color w:val="auto"/>
              </w:rPr>
            </w:pPr>
            <w:r>
              <w:rPr>
                <w:rFonts w:ascii="Arial" w:cs="Arial" w:eastAsia="Arial" w:hAnsi="Arial"/>
                <w:sz w:val="16"/>
                <w:szCs w:val="16"/>
                <w:b w:val="1"/>
                <w:bCs w:val="1"/>
                <w:color w:val="FFFFFF"/>
                <w:w w:val="99"/>
              </w:rPr>
              <w:t>Land, Buildings</w:t>
            </w:r>
          </w:p>
        </w:tc>
        <w:tc>
          <w:tcPr>
            <w:tcW w:w="1620" w:type="dxa"/>
            <w:vAlign w:val="bottom"/>
            <w:vMerge w:val="restart"/>
            <w:shd w:val="clear" w:color="auto" w:fill="1F473D"/>
          </w:tcPr>
          <w:p>
            <w:pPr>
              <w:jc w:val="right"/>
              <w:ind w:right="441"/>
              <w:spacing w:after="0"/>
              <w:rPr>
                <w:sz w:val="20"/>
                <w:szCs w:val="20"/>
                <w:color w:val="auto"/>
              </w:rPr>
            </w:pPr>
            <w:r>
              <w:rPr>
                <w:rFonts w:ascii="Arial" w:cs="Arial" w:eastAsia="Arial" w:hAnsi="Arial"/>
                <w:sz w:val="16"/>
                <w:szCs w:val="16"/>
                <w:b w:val="1"/>
                <w:bCs w:val="1"/>
                <w:color w:val="FFFFFF"/>
              </w:rPr>
              <w:t>Computer</w:t>
            </w:r>
          </w:p>
        </w:tc>
        <w:tc>
          <w:tcPr>
            <w:tcW w:w="192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9"/>
              </w:rPr>
              <w:t>Furniture,</w:t>
            </w:r>
          </w:p>
        </w:tc>
        <w:tc>
          <w:tcPr>
            <w:tcW w:w="1060" w:type="dxa"/>
            <w:vAlign w:val="bottom"/>
            <w:shd w:val="clear" w:color="auto" w:fill="1F473D"/>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380" w:type="dxa"/>
            <w:vAlign w:val="bottom"/>
            <w:shd w:val="clear" w:color="auto" w:fill="1F473D"/>
          </w:tcPr>
          <w:p>
            <w:pPr>
              <w:spacing w:after="0"/>
              <w:rPr>
                <w:sz w:val="14"/>
                <w:szCs w:val="14"/>
                <w:color w:val="auto"/>
              </w:rPr>
            </w:pPr>
          </w:p>
        </w:tc>
        <w:tc>
          <w:tcPr>
            <w:tcW w:w="1740" w:type="dxa"/>
            <w:vAlign w:val="bottom"/>
            <w:shd w:val="clear" w:color="auto" w:fill="1F473D"/>
          </w:tcPr>
          <w:p>
            <w:pPr>
              <w:jc w:val="center"/>
              <w:ind w:right="21"/>
              <w:spacing w:after="0" w:line="172" w:lineRule="exact"/>
              <w:rPr>
                <w:sz w:val="20"/>
                <w:szCs w:val="20"/>
                <w:color w:val="auto"/>
              </w:rPr>
            </w:pPr>
            <w:r>
              <w:rPr>
                <w:rFonts w:ascii="Arial" w:cs="Arial" w:eastAsia="Arial" w:hAnsi="Arial"/>
                <w:sz w:val="16"/>
                <w:szCs w:val="16"/>
                <w:b w:val="1"/>
                <w:bCs w:val="1"/>
                <w:color w:val="FFFFFF"/>
                <w:w w:val="99"/>
              </w:rPr>
              <w:t>and Building</w:t>
            </w:r>
          </w:p>
        </w:tc>
        <w:tc>
          <w:tcPr>
            <w:tcW w:w="1620" w:type="dxa"/>
            <w:vAlign w:val="bottom"/>
            <w:vMerge w:val="continue"/>
            <w:shd w:val="clear" w:color="auto" w:fill="1F473D"/>
          </w:tcPr>
          <w:p>
            <w:pPr>
              <w:spacing w:after="0"/>
              <w:rPr>
                <w:sz w:val="14"/>
                <w:szCs w:val="14"/>
                <w:color w:val="auto"/>
              </w:rPr>
            </w:pPr>
          </w:p>
        </w:tc>
        <w:tc>
          <w:tcPr>
            <w:tcW w:w="1920" w:type="dxa"/>
            <w:vAlign w:val="bottom"/>
            <w:shd w:val="clear" w:color="auto" w:fill="1F473D"/>
          </w:tcPr>
          <w:p>
            <w:pPr>
              <w:jc w:val="center"/>
              <w:spacing w:after="0" w:line="172" w:lineRule="exact"/>
              <w:rPr>
                <w:sz w:val="20"/>
                <w:szCs w:val="20"/>
                <w:color w:val="auto"/>
              </w:rPr>
            </w:pPr>
            <w:r>
              <w:rPr>
                <w:rFonts w:ascii="Arial" w:cs="Arial" w:eastAsia="Arial" w:hAnsi="Arial"/>
                <w:sz w:val="16"/>
                <w:szCs w:val="16"/>
                <w:b w:val="1"/>
                <w:bCs w:val="1"/>
                <w:color w:val="FFFFFF"/>
                <w:w w:val="98"/>
              </w:rPr>
              <w:t>Fixtures and</w:t>
            </w:r>
          </w:p>
        </w:tc>
        <w:tc>
          <w:tcPr>
            <w:tcW w:w="1060" w:type="dxa"/>
            <w:vAlign w:val="bottom"/>
            <w:shd w:val="clear" w:color="auto" w:fill="1F473D"/>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3380" w:type="dxa"/>
            <w:vAlign w:val="bottom"/>
            <w:shd w:val="clear" w:color="auto" w:fill="1F473D"/>
          </w:tcPr>
          <w:p>
            <w:pPr>
              <w:spacing w:after="0"/>
              <w:rPr>
                <w:sz w:val="20"/>
                <w:szCs w:val="20"/>
                <w:color w:val="auto"/>
              </w:rPr>
            </w:pPr>
          </w:p>
        </w:tc>
        <w:tc>
          <w:tcPr>
            <w:tcW w:w="1740" w:type="dxa"/>
            <w:vAlign w:val="bottom"/>
            <w:shd w:val="clear" w:color="auto" w:fill="1F473D"/>
          </w:tcPr>
          <w:p>
            <w:pPr>
              <w:jc w:val="center"/>
              <w:ind w:right="21"/>
              <w:spacing w:after="0"/>
              <w:rPr>
                <w:sz w:val="20"/>
                <w:szCs w:val="20"/>
                <w:color w:val="auto"/>
              </w:rPr>
            </w:pPr>
            <w:r>
              <w:rPr>
                <w:rFonts w:ascii="Arial" w:cs="Arial" w:eastAsia="Arial" w:hAnsi="Arial"/>
                <w:sz w:val="16"/>
                <w:szCs w:val="16"/>
                <w:b w:val="1"/>
                <w:bCs w:val="1"/>
                <w:color w:val="FFFFFF"/>
                <w:w w:val="98"/>
              </w:rPr>
              <w:t>Improvements</w:t>
            </w:r>
          </w:p>
        </w:tc>
        <w:tc>
          <w:tcPr>
            <w:tcW w:w="1620" w:type="dxa"/>
            <w:vAlign w:val="bottom"/>
            <w:shd w:val="clear" w:color="auto" w:fill="1F473D"/>
          </w:tcPr>
          <w:p>
            <w:pPr>
              <w:jc w:val="right"/>
              <w:ind w:right="361"/>
              <w:spacing w:after="0"/>
              <w:rPr>
                <w:sz w:val="20"/>
                <w:szCs w:val="20"/>
                <w:color w:val="auto"/>
              </w:rPr>
            </w:pPr>
            <w:r>
              <w:rPr>
                <w:rFonts w:ascii="Arial" w:cs="Arial" w:eastAsia="Arial" w:hAnsi="Arial"/>
                <w:sz w:val="16"/>
                <w:szCs w:val="16"/>
                <w:b w:val="1"/>
                <w:bCs w:val="1"/>
                <w:color w:val="FFFFFF"/>
              </w:rPr>
              <w:t>Equipment </w:t>
            </w:r>
          </w:p>
        </w:tc>
        <w:tc>
          <w:tcPr>
            <w:tcW w:w="192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8"/>
              </w:rPr>
              <w:t>Other Equipment</w:t>
            </w:r>
          </w:p>
        </w:tc>
        <w:tc>
          <w:tcPr>
            <w:tcW w:w="1060" w:type="dxa"/>
            <w:vAlign w:val="bottom"/>
            <w:shd w:val="clear" w:color="auto" w:fill="1F473D"/>
          </w:tcPr>
          <w:p>
            <w:pPr>
              <w:jc w:val="right"/>
              <w:ind w:right="81"/>
              <w:spacing w:after="0"/>
              <w:rPr>
                <w:sz w:val="20"/>
                <w:szCs w:val="20"/>
                <w:color w:val="auto"/>
              </w:rPr>
            </w:pPr>
            <w:r>
              <w:rPr>
                <w:rFonts w:ascii="Arial" w:cs="Arial" w:eastAsia="Arial" w:hAnsi="Arial"/>
                <w:sz w:val="16"/>
                <w:szCs w:val="16"/>
                <w:b w:val="1"/>
                <w:bCs w:val="1"/>
                <w:color w:val="FFFFFF"/>
              </w:rPr>
              <w:t xml:space="preserve">Total    </w:t>
            </w:r>
          </w:p>
        </w:tc>
        <w:tc>
          <w:tcPr>
            <w:tcW w:w="0" w:type="dxa"/>
            <w:vAlign w:val="bottom"/>
          </w:tcPr>
          <w:p>
            <w:pPr>
              <w:spacing w:after="0"/>
              <w:rPr>
                <w:sz w:val="1"/>
                <w:szCs w:val="1"/>
                <w:color w:val="auto"/>
              </w:rPr>
            </w:pPr>
          </w:p>
        </w:tc>
      </w:tr>
      <w:tr>
        <w:trPr>
          <w:trHeight w:val="68"/>
        </w:trPr>
        <w:tc>
          <w:tcPr>
            <w:tcW w:w="3380" w:type="dxa"/>
            <w:vAlign w:val="bottom"/>
            <w:tcBorders>
              <w:bottom w:val="single" w:sz="8" w:color="D64000"/>
            </w:tcBorders>
            <w:shd w:val="clear" w:color="auto" w:fill="1F473D"/>
          </w:tcPr>
          <w:p>
            <w:pPr>
              <w:spacing w:after="0"/>
              <w:rPr>
                <w:sz w:val="5"/>
                <w:szCs w:val="5"/>
                <w:color w:val="auto"/>
              </w:rPr>
            </w:pPr>
          </w:p>
        </w:tc>
        <w:tc>
          <w:tcPr>
            <w:tcW w:w="1740" w:type="dxa"/>
            <w:vAlign w:val="bottom"/>
            <w:tcBorders>
              <w:bottom w:val="single" w:sz="8" w:color="D64000"/>
            </w:tcBorders>
            <w:shd w:val="clear" w:color="auto" w:fill="1F473D"/>
          </w:tcPr>
          <w:p>
            <w:pPr>
              <w:spacing w:after="0"/>
              <w:rPr>
                <w:sz w:val="5"/>
                <w:szCs w:val="5"/>
                <w:color w:val="auto"/>
              </w:rPr>
            </w:pPr>
          </w:p>
        </w:tc>
        <w:tc>
          <w:tcPr>
            <w:tcW w:w="1620" w:type="dxa"/>
            <w:vAlign w:val="bottom"/>
            <w:tcBorders>
              <w:bottom w:val="single" w:sz="8" w:color="D64000"/>
            </w:tcBorders>
            <w:shd w:val="clear" w:color="auto" w:fill="1F473D"/>
          </w:tcPr>
          <w:p>
            <w:pPr>
              <w:spacing w:after="0"/>
              <w:rPr>
                <w:sz w:val="5"/>
                <w:szCs w:val="5"/>
                <w:color w:val="auto"/>
              </w:rPr>
            </w:pPr>
          </w:p>
        </w:tc>
        <w:tc>
          <w:tcPr>
            <w:tcW w:w="1920" w:type="dxa"/>
            <w:vAlign w:val="bottom"/>
            <w:tcBorders>
              <w:bottom w:val="single" w:sz="8" w:color="D64000"/>
            </w:tcBorders>
            <w:shd w:val="clear" w:color="auto" w:fill="1F473D"/>
          </w:tcPr>
          <w:p>
            <w:pPr>
              <w:spacing w:after="0"/>
              <w:rPr>
                <w:sz w:val="5"/>
                <w:szCs w:val="5"/>
                <w:color w:val="auto"/>
              </w:rPr>
            </w:pPr>
          </w:p>
        </w:tc>
        <w:tc>
          <w:tcPr>
            <w:tcW w:w="1060" w:type="dxa"/>
            <w:vAlign w:val="bottom"/>
            <w:tcBorders>
              <w:bottom w:val="single" w:sz="8" w:color="D64000"/>
            </w:tcBorders>
            <w:shd w:val="clear" w:color="auto" w:fill="1F473D"/>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3380" w:type="dxa"/>
            <w:vAlign w:val="bottom"/>
          </w:tcPr>
          <w:p>
            <w:pPr>
              <w:spacing w:after="0"/>
              <w:rPr>
                <w:sz w:val="20"/>
                <w:szCs w:val="20"/>
                <w:color w:val="auto"/>
              </w:rPr>
            </w:pPr>
            <w:r>
              <w:rPr>
                <w:rFonts w:ascii="Arial" w:cs="Arial" w:eastAsia="Arial" w:hAnsi="Arial"/>
                <w:sz w:val="16"/>
                <w:szCs w:val="16"/>
                <w:b w:val="1"/>
                <w:bCs w:val="1"/>
                <w:color w:val="auto"/>
              </w:rPr>
              <w:t> Cost:</w:t>
            </w:r>
          </w:p>
        </w:tc>
        <w:tc>
          <w:tcPr>
            <w:tcW w:w="17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380" w:type="dxa"/>
            <w:vAlign w:val="bottom"/>
          </w:tcPr>
          <w:p>
            <w:pPr>
              <w:spacing w:after="0"/>
              <w:rPr>
                <w:sz w:val="20"/>
                <w:szCs w:val="20"/>
                <w:color w:val="auto"/>
              </w:rPr>
            </w:pPr>
            <w:r>
              <w:rPr>
                <w:rFonts w:ascii="Arial" w:cs="Arial" w:eastAsia="Arial" w:hAnsi="Arial"/>
                <w:sz w:val="16"/>
                <w:szCs w:val="16"/>
                <w:color w:val="auto"/>
              </w:rPr>
              <w:t> December 31, 2022</w:t>
            </w:r>
          </w:p>
        </w:tc>
        <w:tc>
          <w:tcPr>
            <w:tcW w:w="1740" w:type="dxa"/>
            <w:vAlign w:val="bottom"/>
          </w:tcPr>
          <w:p>
            <w:pPr>
              <w:jc w:val="right"/>
              <w:ind w:right="241"/>
              <w:spacing w:after="0"/>
              <w:rPr>
                <w:sz w:val="20"/>
                <w:szCs w:val="20"/>
                <w:color w:val="auto"/>
              </w:rPr>
            </w:pPr>
            <w:r>
              <w:rPr>
                <w:rFonts w:ascii="Arial" w:cs="Arial" w:eastAsia="Arial" w:hAnsi="Arial"/>
                <w:sz w:val="16"/>
                <w:szCs w:val="16"/>
                <w:color w:val="auto"/>
              </w:rPr>
              <w:t>838</w:t>
            </w:r>
          </w:p>
        </w:tc>
        <w:tc>
          <w:tcPr>
            <w:tcW w:w="1620" w:type="dxa"/>
            <w:vAlign w:val="bottom"/>
          </w:tcPr>
          <w:p>
            <w:pPr>
              <w:jc w:val="right"/>
              <w:ind w:right="241"/>
              <w:spacing w:after="0"/>
              <w:rPr>
                <w:sz w:val="20"/>
                <w:szCs w:val="20"/>
                <w:color w:val="auto"/>
              </w:rPr>
            </w:pPr>
            <w:r>
              <w:rPr>
                <w:rFonts w:ascii="Arial" w:cs="Arial" w:eastAsia="Arial" w:hAnsi="Arial"/>
                <w:sz w:val="16"/>
                <w:szCs w:val="16"/>
                <w:color w:val="auto"/>
              </w:rPr>
              <w:t>267</w:t>
            </w:r>
          </w:p>
        </w:tc>
        <w:tc>
          <w:tcPr>
            <w:tcW w:w="1920" w:type="dxa"/>
            <w:vAlign w:val="bottom"/>
          </w:tcPr>
          <w:p>
            <w:pPr>
              <w:jc w:val="right"/>
              <w:ind w:right="241"/>
              <w:spacing w:after="0"/>
              <w:rPr>
                <w:sz w:val="20"/>
                <w:szCs w:val="20"/>
                <w:color w:val="auto"/>
              </w:rPr>
            </w:pPr>
            <w:r>
              <w:rPr>
                <w:rFonts w:ascii="Arial" w:cs="Arial" w:eastAsia="Arial" w:hAnsi="Arial"/>
                <w:sz w:val="16"/>
                <w:szCs w:val="16"/>
                <w:color w:val="auto"/>
              </w:rPr>
              <w:t>265</w:t>
            </w:r>
          </w:p>
        </w:tc>
        <w:tc>
          <w:tcPr>
            <w:tcW w:w="1060" w:type="dxa"/>
            <w:vAlign w:val="bottom"/>
          </w:tcPr>
          <w:p>
            <w:pPr>
              <w:jc w:val="right"/>
              <w:spacing w:after="0"/>
              <w:rPr>
                <w:sz w:val="20"/>
                <w:szCs w:val="20"/>
                <w:color w:val="auto"/>
              </w:rPr>
            </w:pPr>
            <w:r>
              <w:rPr>
                <w:rFonts w:ascii="Arial" w:cs="Arial" w:eastAsia="Arial" w:hAnsi="Arial"/>
                <w:sz w:val="16"/>
                <w:szCs w:val="16"/>
                <w:color w:val="auto"/>
              </w:rPr>
              <w:t>1,370  </w:t>
            </w:r>
          </w:p>
        </w:tc>
        <w:tc>
          <w:tcPr>
            <w:tcW w:w="0" w:type="dxa"/>
            <w:vAlign w:val="bottom"/>
          </w:tcPr>
          <w:p>
            <w:pPr>
              <w:spacing w:after="0"/>
              <w:rPr>
                <w:sz w:val="1"/>
                <w:szCs w:val="1"/>
                <w:color w:val="auto"/>
              </w:rPr>
            </w:pPr>
          </w:p>
        </w:tc>
      </w:tr>
      <w:tr>
        <w:trPr>
          <w:trHeight w:val="199"/>
        </w:trPr>
        <w:tc>
          <w:tcPr>
            <w:tcW w:w="3380" w:type="dxa"/>
            <w:vAlign w:val="bottom"/>
          </w:tcPr>
          <w:p>
            <w:pPr>
              <w:spacing w:after="0"/>
              <w:rPr>
                <w:sz w:val="20"/>
                <w:szCs w:val="20"/>
                <w:color w:val="auto"/>
              </w:rPr>
            </w:pPr>
            <w:r>
              <w:rPr>
                <w:rFonts w:ascii="Arial" w:cs="Arial" w:eastAsia="Arial" w:hAnsi="Arial"/>
                <w:sz w:val="16"/>
                <w:szCs w:val="16"/>
                <w:color w:val="auto"/>
              </w:rPr>
              <w:t> Additions:</w:t>
            </w:r>
          </w:p>
        </w:tc>
        <w:tc>
          <w:tcPr>
            <w:tcW w:w="1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99"/>
        </w:trPr>
        <w:tc>
          <w:tcPr>
            <w:tcW w:w="338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1740" w:type="dxa"/>
            <w:vAlign w:val="bottom"/>
          </w:tcPr>
          <w:p>
            <w:pPr>
              <w:jc w:val="right"/>
              <w:ind w:right="241"/>
              <w:spacing w:after="0"/>
              <w:rPr>
                <w:sz w:val="20"/>
                <w:szCs w:val="20"/>
                <w:color w:val="auto"/>
              </w:rPr>
            </w:pPr>
            <w:r>
              <w:rPr>
                <w:rFonts w:ascii="Arial" w:cs="Arial" w:eastAsia="Arial" w:hAnsi="Arial"/>
                <w:sz w:val="16"/>
                <w:szCs w:val="16"/>
                <w:color w:val="auto"/>
              </w:rPr>
              <w:t>19</w:t>
            </w:r>
          </w:p>
        </w:tc>
        <w:tc>
          <w:tcPr>
            <w:tcW w:w="1620" w:type="dxa"/>
            <w:vAlign w:val="bottom"/>
          </w:tcPr>
          <w:p>
            <w:pPr>
              <w:jc w:val="right"/>
              <w:ind w:right="241"/>
              <w:spacing w:after="0"/>
              <w:rPr>
                <w:sz w:val="20"/>
                <w:szCs w:val="20"/>
                <w:color w:val="auto"/>
              </w:rPr>
            </w:pPr>
            <w:r>
              <w:rPr>
                <w:rFonts w:ascii="Arial" w:cs="Arial" w:eastAsia="Arial" w:hAnsi="Arial"/>
                <w:sz w:val="16"/>
                <w:szCs w:val="16"/>
                <w:color w:val="auto"/>
              </w:rPr>
              <w:t>23</w:t>
            </w:r>
          </w:p>
        </w:tc>
        <w:tc>
          <w:tcPr>
            <w:tcW w:w="1920" w:type="dxa"/>
            <w:vAlign w:val="bottom"/>
          </w:tcPr>
          <w:p>
            <w:pPr>
              <w:jc w:val="right"/>
              <w:ind w:right="241"/>
              <w:spacing w:after="0"/>
              <w:rPr>
                <w:sz w:val="20"/>
                <w:szCs w:val="20"/>
                <w:color w:val="auto"/>
              </w:rPr>
            </w:pPr>
            <w:r>
              <w:rPr>
                <w:rFonts w:ascii="Arial" w:cs="Arial" w:eastAsia="Arial" w:hAnsi="Arial"/>
                <w:sz w:val="16"/>
                <w:szCs w:val="16"/>
                <w:color w:val="auto"/>
              </w:rPr>
              <w:t>17</w:t>
            </w:r>
          </w:p>
        </w:tc>
        <w:tc>
          <w:tcPr>
            <w:tcW w:w="1060" w:type="dxa"/>
            <w:vAlign w:val="bottom"/>
          </w:tcPr>
          <w:p>
            <w:pPr>
              <w:jc w:val="right"/>
              <w:spacing w:after="0"/>
              <w:rPr>
                <w:sz w:val="20"/>
                <w:szCs w:val="20"/>
                <w:color w:val="auto"/>
              </w:rPr>
            </w:pPr>
            <w:r>
              <w:rPr>
                <w:rFonts w:ascii="Arial" w:cs="Arial" w:eastAsia="Arial" w:hAnsi="Arial"/>
                <w:sz w:val="16"/>
                <w:szCs w:val="16"/>
                <w:color w:val="auto"/>
              </w:rPr>
              <w:t>59  </w:t>
            </w:r>
          </w:p>
        </w:tc>
        <w:tc>
          <w:tcPr>
            <w:tcW w:w="0" w:type="dxa"/>
            <w:vAlign w:val="bottom"/>
          </w:tcPr>
          <w:p>
            <w:pPr>
              <w:spacing w:after="0"/>
              <w:rPr>
                <w:sz w:val="1"/>
                <w:szCs w:val="1"/>
                <w:color w:val="auto"/>
              </w:rPr>
            </w:pPr>
          </w:p>
        </w:tc>
      </w:tr>
      <w:tr>
        <w:trPr>
          <w:trHeight w:val="199"/>
        </w:trPr>
        <w:tc>
          <w:tcPr>
            <w:tcW w:w="3380" w:type="dxa"/>
            <w:vAlign w:val="bottom"/>
          </w:tcPr>
          <w:p>
            <w:pPr>
              <w:ind w:left="180"/>
              <w:spacing w:after="0"/>
              <w:rPr>
                <w:sz w:val="20"/>
                <w:szCs w:val="20"/>
                <w:color w:val="auto"/>
              </w:rPr>
            </w:pPr>
            <w:r>
              <w:rPr>
                <w:rFonts w:ascii="Arial" w:cs="Arial" w:eastAsia="Arial" w:hAnsi="Arial"/>
                <w:sz w:val="16"/>
                <w:szCs w:val="16"/>
                <w:color w:val="auto"/>
              </w:rPr>
              <w:t>Leases</w:t>
            </w:r>
          </w:p>
        </w:tc>
        <w:tc>
          <w:tcPr>
            <w:tcW w:w="1740" w:type="dxa"/>
            <w:vAlign w:val="bottom"/>
          </w:tcPr>
          <w:p>
            <w:pPr>
              <w:jc w:val="right"/>
              <w:ind w:right="241"/>
              <w:spacing w:after="0"/>
              <w:rPr>
                <w:sz w:val="20"/>
                <w:szCs w:val="20"/>
                <w:color w:val="auto"/>
              </w:rPr>
            </w:pPr>
            <w:r>
              <w:rPr>
                <w:rFonts w:ascii="Arial" w:cs="Arial" w:eastAsia="Arial" w:hAnsi="Arial"/>
                <w:sz w:val="16"/>
                <w:szCs w:val="16"/>
                <w:color w:val="auto"/>
              </w:rPr>
              <w:t>65</w:t>
            </w:r>
          </w:p>
        </w:tc>
        <w:tc>
          <w:tcPr>
            <w:tcW w:w="1620" w:type="dxa"/>
            <w:vAlign w:val="bottom"/>
          </w:tcPr>
          <w:p>
            <w:pPr>
              <w:jc w:val="right"/>
              <w:ind w:right="241"/>
              <w:spacing w:after="0"/>
              <w:rPr>
                <w:sz w:val="20"/>
                <w:szCs w:val="20"/>
                <w:color w:val="auto"/>
              </w:rPr>
            </w:pPr>
            <w:r>
              <w:rPr>
                <w:rFonts w:ascii="Arial" w:cs="Arial" w:eastAsia="Arial" w:hAnsi="Arial"/>
                <w:sz w:val="16"/>
                <w:szCs w:val="16"/>
                <w:color w:val="auto"/>
              </w:rPr>
              <w:t>14</w:t>
            </w:r>
          </w:p>
        </w:tc>
        <w:tc>
          <w:tcPr>
            <w:tcW w:w="1920" w:type="dxa"/>
            <w:vAlign w:val="bottom"/>
          </w:tcPr>
          <w:p>
            <w:pPr>
              <w:jc w:val="right"/>
              <w:ind w:right="241"/>
              <w:spacing w:after="0"/>
              <w:rPr>
                <w:sz w:val="20"/>
                <w:szCs w:val="20"/>
                <w:color w:val="auto"/>
              </w:rPr>
            </w:pPr>
            <w:r>
              <w:rPr>
                <w:rFonts w:ascii="Arial" w:cs="Arial" w:eastAsia="Arial" w:hAnsi="Arial"/>
                <w:sz w:val="16"/>
                <w:szCs w:val="16"/>
                <w:color w:val="auto"/>
              </w:rPr>
              <w:t>1</w:t>
            </w:r>
          </w:p>
        </w:tc>
        <w:tc>
          <w:tcPr>
            <w:tcW w:w="1060" w:type="dxa"/>
            <w:vAlign w:val="bottom"/>
          </w:tcPr>
          <w:p>
            <w:pPr>
              <w:jc w:val="right"/>
              <w:spacing w:after="0"/>
              <w:rPr>
                <w:sz w:val="20"/>
                <w:szCs w:val="20"/>
                <w:color w:val="auto"/>
              </w:rPr>
            </w:pPr>
            <w:r>
              <w:rPr>
                <w:rFonts w:ascii="Arial" w:cs="Arial" w:eastAsia="Arial" w:hAnsi="Arial"/>
                <w:sz w:val="16"/>
                <w:szCs w:val="16"/>
                <w:color w:val="auto"/>
              </w:rPr>
              <w:t>80  </w:t>
            </w:r>
          </w:p>
        </w:tc>
        <w:tc>
          <w:tcPr>
            <w:tcW w:w="0" w:type="dxa"/>
            <w:vAlign w:val="bottom"/>
          </w:tcPr>
          <w:p>
            <w:pPr>
              <w:spacing w:after="0"/>
              <w:rPr>
                <w:sz w:val="1"/>
                <w:szCs w:val="1"/>
                <w:color w:val="auto"/>
              </w:rPr>
            </w:pPr>
          </w:p>
        </w:tc>
      </w:tr>
      <w:tr>
        <w:trPr>
          <w:trHeight w:val="199"/>
        </w:trPr>
        <w:tc>
          <w:tcPr>
            <w:tcW w:w="3380" w:type="dxa"/>
            <w:vAlign w:val="bottom"/>
          </w:tcPr>
          <w:p>
            <w:pPr>
              <w:ind w:left="180"/>
              <w:spacing w:after="0"/>
              <w:rPr>
                <w:sz w:val="20"/>
                <w:szCs w:val="20"/>
                <w:color w:val="auto"/>
              </w:rPr>
            </w:pPr>
            <w:r>
              <w:rPr>
                <w:rFonts w:ascii="Arial" w:cs="Arial" w:eastAsia="Arial" w:hAnsi="Arial"/>
                <w:sz w:val="16"/>
                <w:szCs w:val="16"/>
                <w:color w:val="auto"/>
              </w:rPr>
              <w:t>Acquisitions</w:t>
            </w:r>
          </w:p>
        </w:tc>
        <w:tc>
          <w:tcPr>
            <w:tcW w:w="1740" w:type="dxa"/>
            <w:vAlign w:val="bottom"/>
          </w:tcPr>
          <w:p>
            <w:pPr>
              <w:jc w:val="right"/>
              <w:ind w:right="241"/>
              <w:spacing w:after="0"/>
              <w:rPr>
                <w:sz w:val="20"/>
                <w:szCs w:val="20"/>
                <w:color w:val="auto"/>
              </w:rPr>
            </w:pPr>
            <w:r>
              <w:rPr>
                <w:rFonts w:ascii="Arial" w:cs="Arial" w:eastAsia="Arial" w:hAnsi="Arial"/>
                <w:sz w:val="16"/>
                <w:szCs w:val="16"/>
                <w:color w:val="auto"/>
              </w:rPr>
              <w:t>1</w:t>
            </w:r>
          </w:p>
        </w:tc>
        <w:tc>
          <w:tcPr>
            <w:tcW w:w="1620" w:type="dxa"/>
            <w:vAlign w:val="bottom"/>
          </w:tcPr>
          <w:p>
            <w:pPr>
              <w:jc w:val="right"/>
              <w:ind w:right="241"/>
              <w:spacing w:after="0"/>
              <w:rPr>
                <w:sz w:val="20"/>
                <w:szCs w:val="20"/>
                <w:color w:val="auto"/>
              </w:rPr>
            </w:pPr>
            <w:r>
              <w:rPr>
                <w:rFonts w:ascii="Arial" w:cs="Arial" w:eastAsia="Arial" w:hAnsi="Arial"/>
                <w:sz w:val="16"/>
                <w:szCs w:val="16"/>
                <w:color w:val="auto"/>
              </w:rPr>
              <w:t>1</w:t>
            </w:r>
          </w:p>
        </w:tc>
        <w:tc>
          <w:tcPr>
            <w:tcW w:w="192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199"/>
        </w:trPr>
        <w:tc>
          <w:tcPr>
            <w:tcW w:w="3380" w:type="dxa"/>
            <w:vAlign w:val="bottom"/>
          </w:tcPr>
          <w:p>
            <w:pPr>
              <w:spacing w:after="0"/>
              <w:rPr>
                <w:sz w:val="20"/>
                <w:szCs w:val="20"/>
                <w:color w:val="auto"/>
              </w:rPr>
            </w:pPr>
            <w:r>
              <w:rPr>
                <w:rFonts w:ascii="Arial" w:cs="Arial" w:eastAsia="Arial" w:hAnsi="Arial"/>
                <w:sz w:val="16"/>
                <w:szCs w:val="16"/>
                <w:color w:val="auto"/>
              </w:rPr>
              <w:t> Removed from service</w:t>
            </w:r>
          </w:p>
        </w:tc>
        <w:tc>
          <w:tcPr>
            <w:tcW w:w="1740" w:type="dxa"/>
            <w:vAlign w:val="bottom"/>
          </w:tcPr>
          <w:p>
            <w:pPr>
              <w:jc w:val="right"/>
              <w:ind w:right="241"/>
              <w:spacing w:after="0"/>
              <w:rPr>
                <w:sz w:val="20"/>
                <w:szCs w:val="20"/>
                <w:color w:val="auto"/>
              </w:rPr>
            </w:pPr>
            <w:r>
              <w:rPr>
                <w:rFonts w:ascii="Arial" w:cs="Arial" w:eastAsia="Arial" w:hAnsi="Arial"/>
                <w:sz w:val="16"/>
                <w:szCs w:val="16"/>
                <w:color w:val="auto"/>
              </w:rPr>
              <w:t>(70)</w:t>
            </w:r>
          </w:p>
        </w:tc>
        <w:tc>
          <w:tcPr>
            <w:tcW w:w="1620" w:type="dxa"/>
            <w:vAlign w:val="bottom"/>
          </w:tcPr>
          <w:p>
            <w:pPr>
              <w:jc w:val="right"/>
              <w:ind w:right="241"/>
              <w:spacing w:after="0"/>
              <w:rPr>
                <w:sz w:val="20"/>
                <w:szCs w:val="20"/>
                <w:color w:val="auto"/>
              </w:rPr>
            </w:pPr>
            <w:r>
              <w:rPr>
                <w:rFonts w:ascii="Arial" w:cs="Arial" w:eastAsia="Arial" w:hAnsi="Arial"/>
                <w:sz w:val="16"/>
                <w:szCs w:val="16"/>
                <w:color w:val="auto"/>
              </w:rPr>
              <w:t>(73)</w:t>
            </w:r>
          </w:p>
        </w:tc>
        <w:tc>
          <w:tcPr>
            <w:tcW w:w="1920" w:type="dxa"/>
            <w:vAlign w:val="bottom"/>
          </w:tcPr>
          <w:p>
            <w:pPr>
              <w:jc w:val="right"/>
              <w:ind w:right="241"/>
              <w:spacing w:after="0"/>
              <w:rPr>
                <w:sz w:val="20"/>
                <w:szCs w:val="20"/>
                <w:color w:val="auto"/>
              </w:rPr>
            </w:pPr>
            <w:r>
              <w:rPr>
                <w:rFonts w:ascii="Arial" w:cs="Arial" w:eastAsia="Arial" w:hAnsi="Arial"/>
                <w:sz w:val="16"/>
                <w:szCs w:val="16"/>
                <w:color w:val="auto"/>
              </w:rPr>
              <w:t>(13)</w:t>
            </w:r>
          </w:p>
        </w:tc>
        <w:tc>
          <w:tcPr>
            <w:tcW w:w="1060" w:type="dxa"/>
            <w:vAlign w:val="bottom"/>
          </w:tcPr>
          <w:p>
            <w:pPr>
              <w:jc w:val="right"/>
              <w:spacing w:after="0"/>
              <w:rPr>
                <w:sz w:val="20"/>
                <w:szCs w:val="20"/>
                <w:color w:val="auto"/>
              </w:rPr>
            </w:pPr>
            <w:r>
              <w:rPr>
                <w:rFonts w:ascii="Arial" w:cs="Arial" w:eastAsia="Arial" w:hAnsi="Arial"/>
                <w:sz w:val="16"/>
                <w:szCs w:val="16"/>
                <w:color w:val="auto"/>
              </w:rPr>
              <w:t>(156)  </w:t>
            </w:r>
          </w:p>
        </w:tc>
        <w:tc>
          <w:tcPr>
            <w:tcW w:w="0" w:type="dxa"/>
            <w:vAlign w:val="bottom"/>
          </w:tcPr>
          <w:p>
            <w:pPr>
              <w:spacing w:after="0"/>
              <w:rPr>
                <w:sz w:val="1"/>
                <w:szCs w:val="1"/>
                <w:color w:val="auto"/>
              </w:rPr>
            </w:pPr>
          </w:p>
        </w:tc>
      </w:tr>
      <w:tr>
        <w:trPr>
          <w:trHeight w:val="199"/>
        </w:trPr>
        <w:tc>
          <w:tcPr>
            <w:tcW w:w="3380" w:type="dxa"/>
            <w:vAlign w:val="bottom"/>
          </w:tcPr>
          <w:p>
            <w:pPr>
              <w:spacing w:after="0"/>
              <w:rPr>
                <w:sz w:val="20"/>
                <w:szCs w:val="20"/>
                <w:color w:val="auto"/>
              </w:rPr>
            </w:pPr>
            <w:r>
              <w:rPr>
                <w:rFonts w:ascii="Arial" w:cs="Arial" w:eastAsia="Arial" w:hAnsi="Arial"/>
                <w:sz w:val="16"/>
                <w:szCs w:val="16"/>
                <w:color w:val="auto"/>
              </w:rPr>
              <w:t> Disposals of businesses and property</w:t>
            </w:r>
          </w:p>
        </w:tc>
        <w:tc>
          <w:tcPr>
            <w:tcW w:w="1740" w:type="dxa"/>
            <w:vAlign w:val="bottom"/>
          </w:tcPr>
          <w:p>
            <w:pPr>
              <w:jc w:val="right"/>
              <w:ind w:right="241"/>
              <w:spacing w:after="0"/>
              <w:rPr>
                <w:sz w:val="20"/>
                <w:szCs w:val="20"/>
                <w:color w:val="auto"/>
              </w:rPr>
            </w:pPr>
            <w:r>
              <w:rPr>
                <w:rFonts w:ascii="Arial" w:cs="Arial" w:eastAsia="Arial" w:hAnsi="Arial"/>
                <w:sz w:val="16"/>
                <w:szCs w:val="16"/>
                <w:color w:val="auto"/>
              </w:rPr>
              <w:t>(64)</w:t>
            </w:r>
          </w:p>
        </w:tc>
        <w:tc>
          <w:tcPr>
            <w:tcW w:w="1620" w:type="dxa"/>
            <w:vAlign w:val="bottom"/>
          </w:tcPr>
          <w:p>
            <w:pPr>
              <w:jc w:val="right"/>
              <w:ind w:right="241"/>
              <w:spacing w:after="0"/>
              <w:rPr>
                <w:sz w:val="20"/>
                <w:szCs w:val="20"/>
                <w:color w:val="auto"/>
              </w:rPr>
            </w:pPr>
            <w:r>
              <w:rPr>
                <w:rFonts w:ascii="Arial" w:cs="Arial" w:eastAsia="Arial" w:hAnsi="Arial"/>
                <w:sz w:val="16"/>
                <w:szCs w:val="16"/>
                <w:color w:val="auto"/>
              </w:rPr>
              <w:t>(9)</w:t>
            </w:r>
          </w:p>
        </w:tc>
        <w:tc>
          <w:tcPr>
            <w:tcW w:w="1920" w:type="dxa"/>
            <w:vAlign w:val="bottom"/>
          </w:tcPr>
          <w:p>
            <w:pPr>
              <w:jc w:val="right"/>
              <w:ind w:right="241"/>
              <w:spacing w:after="0"/>
              <w:rPr>
                <w:sz w:val="20"/>
                <w:szCs w:val="20"/>
                <w:color w:val="auto"/>
              </w:rPr>
            </w:pPr>
            <w:r>
              <w:rPr>
                <w:rFonts w:ascii="Arial" w:cs="Arial" w:eastAsia="Arial" w:hAnsi="Arial"/>
                <w:sz w:val="16"/>
                <w:szCs w:val="16"/>
                <w:color w:val="auto"/>
              </w:rPr>
              <w:t>(15)</w:t>
            </w:r>
          </w:p>
        </w:tc>
        <w:tc>
          <w:tcPr>
            <w:tcW w:w="1060" w:type="dxa"/>
            <w:vAlign w:val="bottom"/>
          </w:tcPr>
          <w:p>
            <w:pPr>
              <w:jc w:val="right"/>
              <w:spacing w:after="0"/>
              <w:rPr>
                <w:sz w:val="20"/>
                <w:szCs w:val="20"/>
                <w:color w:val="auto"/>
              </w:rPr>
            </w:pPr>
            <w:r>
              <w:rPr>
                <w:rFonts w:ascii="Arial" w:cs="Arial" w:eastAsia="Arial" w:hAnsi="Arial"/>
                <w:sz w:val="16"/>
                <w:szCs w:val="16"/>
                <w:color w:val="auto"/>
              </w:rPr>
              <w:t>(88)  </w:t>
            </w:r>
          </w:p>
        </w:tc>
        <w:tc>
          <w:tcPr>
            <w:tcW w:w="0" w:type="dxa"/>
            <w:vAlign w:val="bottom"/>
          </w:tcPr>
          <w:p>
            <w:pPr>
              <w:spacing w:after="0"/>
              <w:rPr>
                <w:sz w:val="1"/>
                <w:szCs w:val="1"/>
                <w:color w:val="auto"/>
              </w:rPr>
            </w:pPr>
          </w:p>
        </w:tc>
      </w:tr>
      <w:tr>
        <w:trPr>
          <w:trHeight w:val="200"/>
        </w:trPr>
        <w:tc>
          <w:tcPr>
            <w:tcW w:w="338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Translation and other, net</w:t>
            </w:r>
          </w:p>
        </w:tc>
        <w:tc>
          <w:tcPr>
            <w:tcW w:w="1740" w:type="dxa"/>
            <w:vAlign w:val="bottom"/>
            <w:tcBorders>
              <w:bottom w:val="single" w:sz="8" w:color="B2B2B2"/>
            </w:tcBorders>
          </w:tcPr>
          <w:p>
            <w:pPr>
              <w:jc w:val="right"/>
              <w:ind w:right="241"/>
              <w:spacing w:after="0"/>
              <w:rPr>
                <w:sz w:val="20"/>
                <w:szCs w:val="20"/>
                <w:color w:val="auto"/>
              </w:rPr>
            </w:pPr>
            <w:r>
              <w:rPr>
                <w:rFonts w:ascii="Arial" w:cs="Arial" w:eastAsia="Arial" w:hAnsi="Arial"/>
                <w:sz w:val="16"/>
                <w:szCs w:val="16"/>
                <w:color w:val="auto"/>
              </w:rPr>
              <w:t>12</w:t>
            </w:r>
          </w:p>
        </w:tc>
        <w:tc>
          <w:tcPr>
            <w:tcW w:w="1620" w:type="dxa"/>
            <w:vAlign w:val="bottom"/>
            <w:tcBorders>
              <w:bottom w:val="single" w:sz="8" w:color="B2B2B2"/>
            </w:tcBorders>
          </w:tcPr>
          <w:p>
            <w:pPr>
              <w:jc w:val="right"/>
              <w:ind w:right="241"/>
              <w:spacing w:after="0"/>
              <w:rPr>
                <w:sz w:val="20"/>
                <w:szCs w:val="20"/>
                <w:color w:val="auto"/>
              </w:rPr>
            </w:pPr>
            <w:r>
              <w:rPr>
                <w:rFonts w:ascii="Arial" w:cs="Arial" w:eastAsia="Arial" w:hAnsi="Arial"/>
                <w:sz w:val="16"/>
                <w:szCs w:val="16"/>
                <w:color w:val="auto"/>
              </w:rPr>
              <w:t>5</w:t>
            </w:r>
          </w:p>
        </w:tc>
        <w:tc>
          <w:tcPr>
            <w:tcW w:w="1920" w:type="dxa"/>
            <w:vAlign w:val="bottom"/>
            <w:tcBorders>
              <w:bottom w:val="single" w:sz="8" w:color="B2B2B2"/>
            </w:tcBorders>
          </w:tcPr>
          <w:p>
            <w:pPr>
              <w:jc w:val="right"/>
              <w:ind w:right="241"/>
              <w:spacing w:after="0"/>
              <w:rPr>
                <w:sz w:val="20"/>
                <w:szCs w:val="20"/>
                <w:color w:val="auto"/>
              </w:rPr>
            </w:pPr>
            <w:r>
              <w:rPr>
                <w:rFonts w:ascii="Arial" w:cs="Arial" w:eastAsia="Arial" w:hAnsi="Arial"/>
                <w:sz w:val="16"/>
                <w:szCs w:val="16"/>
                <w:color w:val="auto"/>
              </w:rPr>
              <w:t>12</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179"/>
        </w:trPr>
        <w:tc>
          <w:tcPr>
            <w:tcW w:w="338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December 31, 2023</w:t>
            </w:r>
          </w:p>
        </w:tc>
        <w:tc>
          <w:tcPr>
            <w:tcW w:w="1740" w:type="dxa"/>
            <w:vAlign w:val="bottom"/>
            <w:tcBorders>
              <w:bottom w:val="single" w:sz="8" w:color="B2B2B2"/>
            </w:tcBorders>
          </w:tcPr>
          <w:p>
            <w:pPr>
              <w:jc w:val="right"/>
              <w:ind w:right="241"/>
              <w:spacing w:after="0" w:line="179" w:lineRule="exact"/>
              <w:rPr>
                <w:sz w:val="20"/>
                <w:szCs w:val="20"/>
                <w:color w:val="auto"/>
              </w:rPr>
            </w:pPr>
            <w:r>
              <w:rPr>
                <w:rFonts w:ascii="Arial" w:cs="Arial" w:eastAsia="Arial" w:hAnsi="Arial"/>
                <w:sz w:val="16"/>
                <w:szCs w:val="16"/>
                <w:b w:val="1"/>
                <w:bCs w:val="1"/>
                <w:color w:val="auto"/>
              </w:rPr>
              <w:t>801</w:t>
            </w:r>
          </w:p>
        </w:tc>
        <w:tc>
          <w:tcPr>
            <w:tcW w:w="1620" w:type="dxa"/>
            <w:vAlign w:val="bottom"/>
            <w:tcBorders>
              <w:bottom w:val="single" w:sz="8" w:color="B2B2B2"/>
            </w:tcBorders>
          </w:tcPr>
          <w:p>
            <w:pPr>
              <w:jc w:val="right"/>
              <w:ind w:right="241"/>
              <w:spacing w:after="0" w:line="179" w:lineRule="exact"/>
              <w:rPr>
                <w:sz w:val="20"/>
                <w:szCs w:val="20"/>
                <w:color w:val="auto"/>
              </w:rPr>
            </w:pPr>
            <w:r>
              <w:rPr>
                <w:rFonts w:ascii="Arial" w:cs="Arial" w:eastAsia="Arial" w:hAnsi="Arial"/>
                <w:sz w:val="16"/>
                <w:szCs w:val="16"/>
                <w:b w:val="1"/>
                <w:bCs w:val="1"/>
                <w:color w:val="auto"/>
              </w:rPr>
              <w:t>228</w:t>
            </w:r>
          </w:p>
        </w:tc>
        <w:tc>
          <w:tcPr>
            <w:tcW w:w="1920" w:type="dxa"/>
            <w:vAlign w:val="bottom"/>
            <w:tcBorders>
              <w:bottom w:val="single" w:sz="8" w:color="B2B2B2"/>
            </w:tcBorders>
          </w:tcPr>
          <w:p>
            <w:pPr>
              <w:jc w:val="right"/>
              <w:ind w:right="241"/>
              <w:spacing w:after="0" w:line="179" w:lineRule="exact"/>
              <w:rPr>
                <w:sz w:val="20"/>
                <w:szCs w:val="20"/>
                <w:color w:val="auto"/>
              </w:rPr>
            </w:pPr>
            <w:r>
              <w:rPr>
                <w:rFonts w:ascii="Arial" w:cs="Arial" w:eastAsia="Arial" w:hAnsi="Arial"/>
                <w:sz w:val="16"/>
                <w:szCs w:val="16"/>
                <w:b w:val="1"/>
                <w:bCs w:val="1"/>
                <w:color w:val="auto"/>
              </w:rPr>
              <w:t>267</w:t>
            </w:r>
          </w:p>
        </w:tc>
        <w:tc>
          <w:tcPr>
            <w:tcW w:w="1060" w:type="dxa"/>
            <w:vAlign w:val="bottom"/>
            <w:tcBorders>
              <w:bottom w:val="single" w:sz="8" w:color="B2B2B2"/>
            </w:tcBorders>
          </w:tcPr>
          <w:p>
            <w:pPr>
              <w:jc w:val="right"/>
              <w:ind w:right="1"/>
              <w:spacing w:after="0" w:line="179" w:lineRule="exact"/>
              <w:rPr>
                <w:sz w:val="20"/>
                <w:szCs w:val="20"/>
                <w:color w:val="auto"/>
              </w:rPr>
            </w:pPr>
            <w:r>
              <w:rPr>
                <w:rFonts w:ascii="Arial" w:cs="Arial" w:eastAsia="Arial" w:hAnsi="Arial"/>
                <w:sz w:val="16"/>
                <w:szCs w:val="16"/>
                <w:b w:val="1"/>
                <w:bCs w:val="1"/>
                <w:color w:val="auto"/>
              </w:rPr>
              <w:t>1,296</w:t>
            </w:r>
          </w:p>
        </w:tc>
        <w:tc>
          <w:tcPr>
            <w:tcW w:w="0" w:type="dxa"/>
            <w:vAlign w:val="bottom"/>
          </w:tcPr>
          <w:p>
            <w:pPr>
              <w:spacing w:after="0"/>
              <w:rPr>
                <w:sz w:val="1"/>
                <w:szCs w:val="1"/>
                <w:color w:val="auto"/>
              </w:rPr>
            </w:pPr>
          </w:p>
        </w:tc>
      </w:tr>
      <w:tr>
        <w:trPr>
          <w:trHeight w:val="178"/>
        </w:trPr>
        <w:tc>
          <w:tcPr>
            <w:tcW w:w="3380" w:type="dxa"/>
            <w:vAlign w:val="bottom"/>
          </w:tcPr>
          <w:p>
            <w:pPr>
              <w:spacing w:after="0" w:line="178" w:lineRule="exact"/>
              <w:rPr>
                <w:sz w:val="20"/>
                <w:szCs w:val="20"/>
                <w:color w:val="auto"/>
              </w:rPr>
            </w:pPr>
            <w:r>
              <w:rPr>
                <w:rFonts w:ascii="Arial" w:cs="Arial" w:eastAsia="Arial" w:hAnsi="Arial"/>
                <w:sz w:val="16"/>
                <w:szCs w:val="16"/>
                <w:color w:val="auto"/>
              </w:rPr>
              <w:t> Additions:</w:t>
            </w:r>
          </w:p>
        </w:tc>
        <w:tc>
          <w:tcPr>
            <w:tcW w:w="17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60" w:type="dxa"/>
            <w:vAlign w:val="bottom"/>
          </w:tcPr>
          <w:p>
            <w:pPr>
              <w:jc w:val="right"/>
              <w:spacing w:after="0" w:line="178" w:lineRule="exact"/>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99"/>
        </w:trPr>
        <w:tc>
          <w:tcPr>
            <w:tcW w:w="338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1740" w:type="dxa"/>
            <w:vAlign w:val="bottom"/>
          </w:tcPr>
          <w:p>
            <w:pPr>
              <w:jc w:val="right"/>
              <w:ind w:right="241"/>
              <w:spacing w:after="0"/>
              <w:rPr>
                <w:sz w:val="20"/>
                <w:szCs w:val="20"/>
                <w:color w:val="auto"/>
              </w:rPr>
            </w:pPr>
            <w:r>
              <w:rPr>
                <w:rFonts w:ascii="Arial" w:cs="Arial" w:eastAsia="Arial" w:hAnsi="Arial"/>
                <w:sz w:val="16"/>
                <w:szCs w:val="16"/>
                <w:b w:val="1"/>
                <w:bCs w:val="1"/>
                <w:color w:val="auto"/>
              </w:rPr>
              <w:t>9</w:t>
            </w:r>
          </w:p>
        </w:tc>
        <w:tc>
          <w:tcPr>
            <w:tcW w:w="1620" w:type="dxa"/>
            <w:vAlign w:val="bottom"/>
          </w:tcPr>
          <w:p>
            <w:pPr>
              <w:jc w:val="right"/>
              <w:ind w:right="241"/>
              <w:spacing w:after="0"/>
              <w:rPr>
                <w:sz w:val="20"/>
                <w:szCs w:val="20"/>
                <w:color w:val="auto"/>
              </w:rPr>
            </w:pPr>
            <w:r>
              <w:rPr>
                <w:rFonts w:ascii="Arial" w:cs="Arial" w:eastAsia="Arial" w:hAnsi="Arial"/>
                <w:sz w:val="16"/>
                <w:szCs w:val="16"/>
                <w:b w:val="1"/>
                <w:bCs w:val="1"/>
                <w:color w:val="auto"/>
              </w:rPr>
              <w:t>14</w:t>
            </w:r>
          </w:p>
        </w:tc>
        <w:tc>
          <w:tcPr>
            <w:tcW w:w="1920" w:type="dxa"/>
            <w:vAlign w:val="bottom"/>
          </w:tcPr>
          <w:p>
            <w:pPr>
              <w:jc w:val="right"/>
              <w:ind w:right="241"/>
              <w:spacing w:after="0"/>
              <w:rPr>
                <w:sz w:val="20"/>
                <w:szCs w:val="20"/>
                <w:color w:val="auto"/>
              </w:rPr>
            </w:pPr>
            <w:r>
              <w:rPr>
                <w:rFonts w:ascii="Arial" w:cs="Arial" w:eastAsia="Arial" w:hAnsi="Arial"/>
                <w:sz w:val="16"/>
                <w:szCs w:val="16"/>
                <w:b w:val="1"/>
                <w:bCs w:val="1"/>
                <w:color w:val="auto"/>
              </w:rPr>
              <w:t>15</w:t>
            </w: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38</w:t>
            </w:r>
          </w:p>
        </w:tc>
        <w:tc>
          <w:tcPr>
            <w:tcW w:w="0" w:type="dxa"/>
            <w:vAlign w:val="bottom"/>
          </w:tcPr>
          <w:p>
            <w:pPr>
              <w:spacing w:after="0"/>
              <w:rPr>
                <w:sz w:val="1"/>
                <w:szCs w:val="1"/>
                <w:color w:val="auto"/>
              </w:rPr>
            </w:pPr>
          </w:p>
        </w:tc>
      </w:tr>
      <w:tr>
        <w:trPr>
          <w:trHeight w:val="199"/>
        </w:trPr>
        <w:tc>
          <w:tcPr>
            <w:tcW w:w="3380" w:type="dxa"/>
            <w:vAlign w:val="bottom"/>
          </w:tcPr>
          <w:p>
            <w:pPr>
              <w:ind w:left="180"/>
              <w:spacing w:after="0"/>
              <w:rPr>
                <w:sz w:val="20"/>
                <w:szCs w:val="20"/>
                <w:color w:val="auto"/>
              </w:rPr>
            </w:pPr>
            <w:r>
              <w:rPr>
                <w:rFonts w:ascii="Arial" w:cs="Arial" w:eastAsia="Arial" w:hAnsi="Arial"/>
                <w:sz w:val="16"/>
                <w:szCs w:val="16"/>
                <w:color w:val="auto"/>
              </w:rPr>
              <w:t>Leases</w:t>
            </w:r>
          </w:p>
        </w:tc>
        <w:tc>
          <w:tcPr>
            <w:tcW w:w="1740" w:type="dxa"/>
            <w:vAlign w:val="bottom"/>
          </w:tcPr>
          <w:p>
            <w:pPr>
              <w:jc w:val="right"/>
              <w:ind w:right="241"/>
              <w:spacing w:after="0"/>
              <w:rPr>
                <w:sz w:val="20"/>
                <w:szCs w:val="20"/>
                <w:color w:val="auto"/>
              </w:rPr>
            </w:pPr>
            <w:r>
              <w:rPr>
                <w:rFonts w:ascii="Arial" w:cs="Arial" w:eastAsia="Arial" w:hAnsi="Arial"/>
                <w:sz w:val="16"/>
                <w:szCs w:val="16"/>
                <w:b w:val="1"/>
                <w:bCs w:val="1"/>
                <w:color w:val="auto"/>
              </w:rPr>
              <w:t>30</w:t>
            </w:r>
          </w:p>
        </w:tc>
        <w:tc>
          <w:tcPr>
            <w:tcW w:w="1620" w:type="dxa"/>
            <w:vAlign w:val="bottom"/>
          </w:tcPr>
          <w:p>
            <w:pPr>
              <w:jc w:val="right"/>
              <w:ind w:right="241"/>
              <w:spacing w:after="0"/>
              <w:rPr>
                <w:sz w:val="20"/>
                <w:szCs w:val="20"/>
                <w:color w:val="auto"/>
              </w:rPr>
            </w:pPr>
            <w:r>
              <w:rPr>
                <w:rFonts w:ascii="Arial" w:cs="Arial" w:eastAsia="Arial" w:hAnsi="Arial"/>
                <w:sz w:val="16"/>
                <w:szCs w:val="16"/>
                <w:b w:val="1"/>
                <w:bCs w:val="1"/>
                <w:color w:val="auto"/>
              </w:rPr>
              <w:t>20</w:t>
            </w:r>
          </w:p>
        </w:tc>
        <w:tc>
          <w:tcPr>
            <w:tcW w:w="1920" w:type="dxa"/>
            <w:vAlign w:val="bottom"/>
          </w:tcPr>
          <w:p>
            <w:pPr>
              <w:jc w:val="right"/>
              <w:ind w:right="241"/>
              <w:spacing w:after="0"/>
              <w:rPr>
                <w:sz w:val="20"/>
                <w:szCs w:val="20"/>
                <w:color w:val="auto"/>
              </w:rPr>
            </w:pPr>
            <w:r>
              <w:rPr>
                <w:rFonts w:ascii="Arial" w:cs="Arial" w:eastAsia="Arial" w:hAnsi="Arial"/>
                <w:sz w:val="16"/>
                <w:szCs w:val="16"/>
                <w:b w:val="1"/>
                <w:bCs w:val="1"/>
                <w:color w:val="auto"/>
              </w:rPr>
              <w:t>2</w:t>
            </w: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52</w:t>
            </w:r>
          </w:p>
        </w:tc>
        <w:tc>
          <w:tcPr>
            <w:tcW w:w="0" w:type="dxa"/>
            <w:vAlign w:val="bottom"/>
          </w:tcPr>
          <w:p>
            <w:pPr>
              <w:spacing w:after="0"/>
              <w:rPr>
                <w:sz w:val="1"/>
                <w:szCs w:val="1"/>
                <w:color w:val="auto"/>
              </w:rPr>
            </w:pPr>
          </w:p>
        </w:tc>
      </w:tr>
      <w:tr>
        <w:trPr>
          <w:trHeight w:val="199"/>
        </w:trPr>
        <w:tc>
          <w:tcPr>
            <w:tcW w:w="3380" w:type="dxa"/>
            <w:vAlign w:val="bottom"/>
          </w:tcPr>
          <w:p>
            <w:pPr>
              <w:ind w:left="180"/>
              <w:spacing w:after="0"/>
              <w:rPr>
                <w:sz w:val="20"/>
                <w:szCs w:val="20"/>
                <w:color w:val="auto"/>
              </w:rPr>
            </w:pPr>
            <w:r>
              <w:rPr>
                <w:rFonts w:ascii="Arial" w:cs="Arial" w:eastAsia="Arial" w:hAnsi="Arial"/>
                <w:sz w:val="16"/>
                <w:szCs w:val="16"/>
                <w:color w:val="auto"/>
              </w:rPr>
              <w:t>Acquisitions</w:t>
            </w:r>
          </w:p>
        </w:tc>
        <w:tc>
          <w:tcPr>
            <w:tcW w:w="1740" w:type="dxa"/>
            <w:vAlign w:val="bottom"/>
          </w:tcPr>
          <w:p>
            <w:pPr>
              <w:jc w:val="right"/>
              <w:ind w:right="241"/>
              <w:spacing w:after="0"/>
              <w:rPr>
                <w:sz w:val="20"/>
                <w:szCs w:val="20"/>
                <w:color w:val="auto"/>
              </w:rPr>
            </w:pPr>
            <w:r>
              <w:rPr>
                <w:rFonts w:ascii="Arial" w:cs="Arial" w:eastAsia="Arial" w:hAnsi="Arial"/>
                <w:sz w:val="16"/>
                <w:szCs w:val="16"/>
                <w:b w:val="1"/>
                <w:bCs w:val="1"/>
                <w:color w:val="auto"/>
              </w:rPr>
              <w:t>7</w:t>
            </w:r>
          </w:p>
        </w:tc>
        <w:tc>
          <w:tcPr>
            <w:tcW w:w="1620" w:type="dxa"/>
            <w:vAlign w:val="bottom"/>
          </w:tcPr>
          <w:p>
            <w:pPr>
              <w:jc w:val="right"/>
              <w:ind w:right="241"/>
              <w:spacing w:after="0"/>
              <w:rPr>
                <w:sz w:val="20"/>
                <w:szCs w:val="20"/>
                <w:color w:val="auto"/>
              </w:rPr>
            </w:pPr>
            <w:r>
              <w:rPr>
                <w:rFonts w:ascii="Arial" w:cs="Arial" w:eastAsia="Arial" w:hAnsi="Arial"/>
                <w:sz w:val="16"/>
                <w:szCs w:val="16"/>
                <w:b w:val="1"/>
                <w:bCs w:val="1"/>
                <w:color w:val="auto"/>
              </w:rPr>
              <w:t>1</w:t>
            </w:r>
          </w:p>
        </w:tc>
        <w:tc>
          <w:tcPr>
            <w:tcW w:w="1920" w:type="dxa"/>
            <w:vAlign w:val="bottom"/>
          </w:tcPr>
          <w:p>
            <w:pPr>
              <w:jc w:val="right"/>
              <w:ind w:right="241"/>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8</w:t>
            </w:r>
          </w:p>
        </w:tc>
        <w:tc>
          <w:tcPr>
            <w:tcW w:w="0" w:type="dxa"/>
            <w:vAlign w:val="bottom"/>
          </w:tcPr>
          <w:p>
            <w:pPr>
              <w:spacing w:after="0"/>
              <w:rPr>
                <w:sz w:val="1"/>
                <w:szCs w:val="1"/>
                <w:color w:val="auto"/>
              </w:rPr>
            </w:pPr>
          </w:p>
        </w:tc>
      </w:tr>
      <w:tr>
        <w:trPr>
          <w:trHeight w:val="199"/>
        </w:trPr>
        <w:tc>
          <w:tcPr>
            <w:tcW w:w="3380" w:type="dxa"/>
            <w:vAlign w:val="bottom"/>
          </w:tcPr>
          <w:p>
            <w:pPr>
              <w:spacing w:after="0"/>
              <w:rPr>
                <w:sz w:val="20"/>
                <w:szCs w:val="20"/>
                <w:color w:val="auto"/>
              </w:rPr>
            </w:pPr>
            <w:r>
              <w:rPr>
                <w:rFonts w:ascii="Arial" w:cs="Arial" w:eastAsia="Arial" w:hAnsi="Arial"/>
                <w:sz w:val="16"/>
                <w:szCs w:val="16"/>
                <w:color w:val="auto"/>
              </w:rPr>
              <w:t> Removed from service</w:t>
            </w:r>
          </w:p>
        </w:tc>
        <w:tc>
          <w:tcPr>
            <w:tcW w:w="1740" w:type="dxa"/>
            <w:vAlign w:val="bottom"/>
          </w:tcPr>
          <w:p>
            <w:pPr>
              <w:jc w:val="right"/>
              <w:ind w:right="241"/>
              <w:spacing w:after="0"/>
              <w:rPr>
                <w:sz w:val="20"/>
                <w:szCs w:val="20"/>
                <w:color w:val="auto"/>
              </w:rPr>
            </w:pPr>
            <w:r>
              <w:rPr>
                <w:rFonts w:ascii="Arial" w:cs="Arial" w:eastAsia="Arial" w:hAnsi="Arial"/>
                <w:sz w:val="16"/>
                <w:szCs w:val="16"/>
                <w:b w:val="1"/>
                <w:bCs w:val="1"/>
                <w:color w:val="auto"/>
              </w:rPr>
              <w:t>(2)</w:t>
            </w:r>
          </w:p>
        </w:tc>
        <w:tc>
          <w:tcPr>
            <w:tcW w:w="1620" w:type="dxa"/>
            <w:vAlign w:val="bottom"/>
          </w:tcPr>
          <w:p>
            <w:pPr>
              <w:jc w:val="right"/>
              <w:ind w:right="241"/>
              <w:spacing w:after="0"/>
              <w:rPr>
                <w:sz w:val="20"/>
                <w:szCs w:val="20"/>
                <w:color w:val="auto"/>
              </w:rPr>
            </w:pPr>
            <w:r>
              <w:rPr>
                <w:rFonts w:ascii="Arial" w:cs="Arial" w:eastAsia="Arial" w:hAnsi="Arial"/>
                <w:sz w:val="16"/>
                <w:szCs w:val="16"/>
                <w:b w:val="1"/>
                <w:bCs w:val="1"/>
                <w:color w:val="auto"/>
              </w:rPr>
              <w:t>(24)</w:t>
            </w:r>
          </w:p>
        </w:tc>
        <w:tc>
          <w:tcPr>
            <w:tcW w:w="1920" w:type="dxa"/>
            <w:vAlign w:val="bottom"/>
          </w:tcPr>
          <w:p>
            <w:pPr>
              <w:jc w:val="right"/>
              <w:ind w:right="241"/>
              <w:spacing w:after="0"/>
              <w:rPr>
                <w:sz w:val="20"/>
                <w:szCs w:val="20"/>
                <w:color w:val="auto"/>
              </w:rPr>
            </w:pPr>
            <w:r>
              <w:rPr>
                <w:rFonts w:ascii="Arial" w:cs="Arial" w:eastAsia="Arial" w:hAnsi="Arial"/>
                <w:sz w:val="16"/>
                <w:szCs w:val="16"/>
                <w:b w:val="1"/>
                <w:bCs w:val="1"/>
                <w:color w:val="auto"/>
              </w:rPr>
              <w:t>(1)</w:t>
            </w: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(27)</w:t>
            </w:r>
          </w:p>
        </w:tc>
        <w:tc>
          <w:tcPr>
            <w:tcW w:w="0" w:type="dxa"/>
            <w:vAlign w:val="bottom"/>
          </w:tcPr>
          <w:p>
            <w:pPr>
              <w:spacing w:after="0"/>
              <w:rPr>
                <w:sz w:val="1"/>
                <w:szCs w:val="1"/>
                <w:color w:val="auto"/>
              </w:rPr>
            </w:pPr>
          </w:p>
        </w:tc>
      </w:tr>
      <w:tr>
        <w:trPr>
          <w:trHeight w:val="199"/>
        </w:trPr>
        <w:tc>
          <w:tcPr>
            <w:tcW w:w="3380" w:type="dxa"/>
            <w:vAlign w:val="bottom"/>
          </w:tcPr>
          <w:p>
            <w:pPr>
              <w:spacing w:after="0"/>
              <w:rPr>
                <w:sz w:val="20"/>
                <w:szCs w:val="20"/>
                <w:color w:val="auto"/>
              </w:rPr>
            </w:pPr>
            <w:r>
              <w:rPr>
                <w:rFonts w:ascii="Arial" w:cs="Arial" w:eastAsia="Arial" w:hAnsi="Arial"/>
                <w:sz w:val="16"/>
                <w:szCs w:val="16"/>
                <w:color w:val="auto"/>
              </w:rPr>
              <w:t> Disposals of businesses and property</w:t>
            </w:r>
          </w:p>
        </w:tc>
        <w:tc>
          <w:tcPr>
            <w:tcW w:w="1740" w:type="dxa"/>
            <w:vAlign w:val="bottom"/>
          </w:tcPr>
          <w:p>
            <w:pPr>
              <w:jc w:val="right"/>
              <w:ind w:right="241"/>
              <w:spacing w:after="0"/>
              <w:rPr>
                <w:sz w:val="20"/>
                <w:szCs w:val="20"/>
                <w:color w:val="auto"/>
              </w:rPr>
            </w:pPr>
            <w:r>
              <w:rPr>
                <w:rFonts w:ascii="Arial" w:cs="Arial" w:eastAsia="Arial" w:hAnsi="Arial"/>
                <w:sz w:val="16"/>
                <w:szCs w:val="16"/>
                <w:b w:val="1"/>
                <w:bCs w:val="1"/>
                <w:color w:val="auto"/>
              </w:rPr>
              <w:t>(196)</w:t>
            </w:r>
          </w:p>
        </w:tc>
        <w:tc>
          <w:tcPr>
            <w:tcW w:w="1620" w:type="dxa"/>
            <w:vAlign w:val="bottom"/>
          </w:tcPr>
          <w:p>
            <w:pPr>
              <w:jc w:val="right"/>
              <w:ind w:right="241"/>
              <w:spacing w:after="0"/>
              <w:rPr>
                <w:sz w:val="20"/>
                <w:szCs w:val="20"/>
                <w:color w:val="auto"/>
              </w:rPr>
            </w:pPr>
            <w:r>
              <w:rPr>
                <w:rFonts w:ascii="Arial" w:cs="Arial" w:eastAsia="Arial" w:hAnsi="Arial"/>
                <w:sz w:val="16"/>
                <w:szCs w:val="16"/>
                <w:b w:val="1"/>
                <w:bCs w:val="1"/>
                <w:color w:val="auto"/>
              </w:rPr>
              <w:t>-</w:t>
            </w:r>
          </w:p>
        </w:tc>
        <w:tc>
          <w:tcPr>
            <w:tcW w:w="1920" w:type="dxa"/>
            <w:vAlign w:val="bottom"/>
          </w:tcPr>
          <w:p>
            <w:pPr>
              <w:jc w:val="right"/>
              <w:ind w:right="241"/>
              <w:spacing w:after="0"/>
              <w:rPr>
                <w:sz w:val="20"/>
                <w:szCs w:val="20"/>
                <w:color w:val="auto"/>
              </w:rPr>
            </w:pPr>
            <w:r>
              <w:rPr>
                <w:rFonts w:ascii="Arial" w:cs="Arial" w:eastAsia="Arial" w:hAnsi="Arial"/>
                <w:sz w:val="16"/>
                <w:szCs w:val="16"/>
                <w:b w:val="1"/>
                <w:bCs w:val="1"/>
                <w:color w:val="auto"/>
              </w:rPr>
              <w:t>(82)</w:t>
            </w: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(278)</w:t>
            </w:r>
          </w:p>
        </w:tc>
        <w:tc>
          <w:tcPr>
            <w:tcW w:w="0" w:type="dxa"/>
            <w:vAlign w:val="bottom"/>
          </w:tcPr>
          <w:p>
            <w:pPr>
              <w:spacing w:after="0"/>
              <w:rPr>
                <w:sz w:val="1"/>
                <w:szCs w:val="1"/>
                <w:color w:val="auto"/>
              </w:rPr>
            </w:pPr>
          </w:p>
        </w:tc>
      </w:tr>
      <w:tr>
        <w:trPr>
          <w:trHeight w:val="200"/>
        </w:trPr>
        <w:tc>
          <w:tcPr>
            <w:tcW w:w="338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Translation and other, net</w:t>
            </w:r>
          </w:p>
        </w:tc>
        <w:tc>
          <w:tcPr>
            <w:tcW w:w="1740" w:type="dxa"/>
            <w:vAlign w:val="bottom"/>
            <w:tcBorders>
              <w:bottom w:val="single" w:sz="8" w:color="B2B2B2"/>
            </w:tcBorders>
          </w:tcPr>
          <w:p>
            <w:pPr>
              <w:jc w:val="right"/>
              <w:ind w:right="241"/>
              <w:spacing w:after="0"/>
              <w:rPr>
                <w:sz w:val="20"/>
                <w:szCs w:val="20"/>
                <w:color w:val="auto"/>
              </w:rPr>
            </w:pPr>
            <w:r>
              <w:rPr>
                <w:rFonts w:ascii="Arial" w:cs="Arial" w:eastAsia="Arial" w:hAnsi="Arial"/>
                <w:sz w:val="16"/>
                <w:szCs w:val="16"/>
                <w:b w:val="1"/>
                <w:bCs w:val="1"/>
                <w:color w:val="auto"/>
              </w:rPr>
              <w:t>(29)</w:t>
            </w:r>
          </w:p>
        </w:tc>
        <w:tc>
          <w:tcPr>
            <w:tcW w:w="1620" w:type="dxa"/>
            <w:vAlign w:val="bottom"/>
            <w:tcBorders>
              <w:bottom w:val="single" w:sz="8" w:color="B2B2B2"/>
            </w:tcBorders>
          </w:tcPr>
          <w:p>
            <w:pPr>
              <w:jc w:val="right"/>
              <w:ind w:right="241"/>
              <w:spacing w:after="0"/>
              <w:rPr>
                <w:sz w:val="20"/>
                <w:szCs w:val="20"/>
                <w:color w:val="auto"/>
              </w:rPr>
            </w:pPr>
            <w:r>
              <w:rPr>
                <w:rFonts w:ascii="Arial" w:cs="Arial" w:eastAsia="Arial" w:hAnsi="Arial"/>
                <w:sz w:val="16"/>
                <w:szCs w:val="16"/>
                <w:b w:val="1"/>
                <w:bCs w:val="1"/>
                <w:color w:val="auto"/>
              </w:rPr>
              <w:t>(22)</w:t>
            </w:r>
          </w:p>
        </w:tc>
        <w:tc>
          <w:tcPr>
            <w:tcW w:w="1920" w:type="dxa"/>
            <w:vAlign w:val="bottom"/>
            <w:tcBorders>
              <w:bottom w:val="single" w:sz="8" w:color="B2B2B2"/>
            </w:tcBorders>
          </w:tcPr>
          <w:p>
            <w:pPr>
              <w:jc w:val="right"/>
              <w:ind w:right="241"/>
              <w:spacing w:after="0"/>
              <w:rPr>
                <w:sz w:val="20"/>
                <w:szCs w:val="20"/>
                <w:color w:val="auto"/>
              </w:rPr>
            </w:pPr>
            <w:r>
              <w:rPr>
                <w:rFonts w:ascii="Arial" w:cs="Arial" w:eastAsia="Arial" w:hAnsi="Arial"/>
                <w:sz w:val="16"/>
                <w:szCs w:val="16"/>
                <w:b w:val="1"/>
                <w:bCs w:val="1"/>
                <w:color w:val="auto"/>
              </w:rPr>
              <w:t>(6)</w:t>
            </w:r>
          </w:p>
        </w:tc>
        <w:tc>
          <w:tcPr>
            <w:tcW w:w="106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(57)</w:t>
            </w:r>
          </w:p>
        </w:tc>
        <w:tc>
          <w:tcPr>
            <w:tcW w:w="0" w:type="dxa"/>
            <w:vAlign w:val="bottom"/>
          </w:tcPr>
          <w:p>
            <w:pPr>
              <w:spacing w:after="0"/>
              <w:rPr>
                <w:sz w:val="1"/>
                <w:szCs w:val="1"/>
                <w:color w:val="auto"/>
              </w:rPr>
            </w:pPr>
          </w:p>
        </w:tc>
      </w:tr>
      <w:tr>
        <w:trPr>
          <w:trHeight w:val="179"/>
        </w:trPr>
        <w:tc>
          <w:tcPr>
            <w:tcW w:w="338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b w:val="1"/>
                <w:bCs w:val="1"/>
                <w:color w:val="auto"/>
              </w:rPr>
              <w:t> December 31, 2024</w:t>
            </w:r>
          </w:p>
        </w:tc>
        <w:tc>
          <w:tcPr>
            <w:tcW w:w="1740" w:type="dxa"/>
            <w:vAlign w:val="bottom"/>
            <w:tcBorders>
              <w:bottom w:val="single" w:sz="8" w:color="B2B2B2"/>
            </w:tcBorders>
          </w:tcPr>
          <w:p>
            <w:pPr>
              <w:jc w:val="right"/>
              <w:ind w:right="241"/>
              <w:spacing w:after="0" w:line="179" w:lineRule="exact"/>
              <w:rPr>
                <w:sz w:val="20"/>
                <w:szCs w:val="20"/>
                <w:color w:val="auto"/>
              </w:rPr>
            </w:pPr>
            <w:r>
              <w:rPr>
                <w:rFonts w:ascii="Arial" w:cs="Arial" w:eastAsia="Arial" w:hAnsi="Arial"/>
                <w:sz w:val="16"/>
                <w:szCs w:val="16"/>
                <w:b w:val="1"/>
                <w:bCs w:val="1"/>
                <w:color w:val="auto"/>
              </w:rPr>
              <w:t>620</w:t>
            </w:r>
          </w:p>
        </w:tc>
        <w:tc>
          <w:tcPr>
            <w:tcW w:w="1620" w:type="dxa"/>
            <w:vAlign w:val="bottom"/>
            <w:tcBorders>
              <w:bottom w:val="single" w:sz="8" w:color="B2B2B2"/>
            </w:tcBorders>
          </w:tcPr>
          <w:p>
            <w:pPr>
              <w:jc w:val="right"/>
              <w:ind w:right="241"/>
              <w:spacing w:after="0" w:line="179" w:lineRule="exact"/>
              <w:rPr>
                <w:sz w:val="20"/>
                <w:szCs w:val="20"/>
                <w:color w:val="auto"/>
              </w:rPr>
            </w:pPr>
            <w:r>
              <w:rPr>
                <w:rFonts w:ascii="Arial" w:cs="Arial" w:eastAsia="Arial" w:hAnsi="Arial"/>
                <w:sz w:val="16"/>
                <w:szCs w:val="16"/>
                <w:b w:val="1"/>
                <w:bCs w:val="1"/>
                <w:color w:val="auto"/>
              </w:rPr>
              <w:t>217</w:t>
            </w:r>
          </w:p>
        </w:tc>
        <w:tc>
          <w:tcPr>
            <w:tcW w:w="1920" w:type="dxa"/>
            <w:vAlign w:val="bottom"/>
            <w:tcBorders>
              <w:bottom w:val="single" w:sz="8" w:color="B2B2B2"/>
            </w:tcBorders>
          </w:tcPr>
          <w:p>
            <w:pPr>
              <w:jc w:val="right"/>
              <w:ind w:right="241"/>
              <w:spacing w:after="0" w:line="179" w:lineRule="exact"/>
              <w:rPr>
                <w:sz w:val="20"/>
                <w:szCs w:val="20"/>
                <w:color w:val="auto"/>
              </w:rPr>
            </w:pPr>
            <w:r>
              <w:rPr>
                <w:rFonts w:ascii="Arial" w:cs="Arial" w:eastAsia="Arial" w:hAnsi="Arial"/>
                <w:sz w:val="16"/>
                <w:szCs w:val="16"/>
                <w:b w:val="1"/>
                <w:bCs w:val="1"/>
                <w:color w:val="auto"/>
              </w:rPr>
              <w:t>195</w:t>
            </w:r>
          </w:p>
        </w:tc>
        <w:tc>
          <w:tcPr>
            <w:tcW w:w="1060" w:type="dxa"/>
            <w:vAlign w:val="bottom"/>
            <w:tcBorders>
              <w:bottom w:val="single" w:sz="8" w:color="B2B2B2"/>
            </w:tcBorders>
          </w:tcPr>
          <w:p>
            <w:pPr>
              <w:jc w:val="right"/>
              <w:ind w:right="1"/>
              <w:spacing w:after="0" w:line="179" w:lineRule="exact"/>
              <w:rPr>
                <w:sz w:val="20"/>
                <w:szCs w:val="20"/>
                <w:color w:val="auto"/>
              </w:rPr>
            </w:pPr>
            <w:r>
              <w:rPr>
                <w:rFonts w:ascii="Arial" w:cs="Arial" w:eastAsia="Arial" w:hAnsi="Arial"/>
                <w:sz w:val="16"/>
                <w:szCs w:val="16"/>
                <w:b w:val="1"/>
                <w:bCs w:val="1"/>
                <w:color w:val="auto"/>
              </w:rPr>
              <w:t>1,032</w:t>
            </w:r>
          </w:p>
        </w:tc>
        <w:tc>
          <w:tcPr>
            <w:tcW w:w="0" w:type="dxa"/>
            <w:vAlign w:val="bottom"/>
          </w:tcPr>
          <w:p>
            <w:pPr>
              <w:spacing w:after="0"/>
              <w:rPr>
                <w:sz w:val="1"/>
                <w:szCs w:val="1"/>
                <w:color w:val="auto"/>
              </w:rPr>
            </w:pPr>
          </w:p>
        </w:tc>
      </w:tr>
      <w:tr>
        <w:trPr>
          <w:trHeight w:val="178"/>
        </w:trPr>
        <w:tc>
          <w:tcPr>
            <w:tcW w:w="3380" w:type="dxa"/>
            <w:vAlign w:val="bottom"/>
          </w:tcPr>
          <w:p>
            <w:pPr>
              <w:spacing w:after="0" w:line="178" w:lineRule="exact"/>
              <w:rPr>
                <w:sz w:val="20"/>
                <w:szCs w:val="20"/>
                <w:color w:val="auto"/>
              </w:rPr>
            </w:pPr>
            <w:r>
              <w:rPr>
                <w:rFonts w:ascii="Arial" w:cs="Arial" w:eastAsia="Arial" w:hAnsi="Arial"/>
                <w:sz w:val="16"/>
                <w:szCs w:val="16"/>
                <w:b w:val="1"/>
                <w:bCs w:val="1"/>
                <w:color w:val="auto"/>
              </w:rPr>
              <w:t> Accumulated depreciation:</w:t>
            </w:r>
          </w:p>
        </w:tc>
        <w:tc>
          <w:tcPr>
            <w:tcW w:w="17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60" w:type="dxa"/>
            <w:vAlign w:val="bottom"/>
          </w:tcPr>
          <w:p>
            <w:pPr>
              <w:jc w:val="right"/>
              <w:spacing w:after="0" w:line="178" w:lineRule="exact"/>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99"/>
        </w:trPr>
        <w:tc>
          <w:tcPr>
            <w:tcW w:w="3380" w:type="dxa"/>
            <w:vAlign w:val="bottom"/>
          </w:tcPr>
          <w:p>
            <w:pPr>
              <w:spacing w:after="0"/>
              <w:rPr>
                <w:sz w:val="20"/>
                <w:szCs w:val="20"/>
                <w:color w:val="auto"/>
              </w:rPr>
            </w:pPr>
            <w:r>
              <w:rPr>
                <w:rFonts w:ascii="Arial" w:cs="Arial" w:eastAsia="Arial" w:hAnsi="Arial"/>
                <w:sz w:val="16"/>
                <w:szCs w:val="16"/>
                <w:color w:val="auto"/>
              </w:rPr>
              <w:t> December 31, 2022</w:t>
            </w:r>
          </w:p>
        </w:tc>
        <w:tc>
          <w:tcPr>
            <w:tcW w:w="1740" w:type="dxa"/>
            <w:vAlign w:val="bottom"/>
          </w:tcPr>
          <w:p>
            <w:pPr>
              <w:jc w:val="right"/>
              <w:ind w:right="241"/>
              <w:spacing w:after="0"/>
              <w:rPr>
                <w:sz w:val="20"/>
                <w:szCs w:val="20"/>
                <w:color w:val="auto"/>
              </w:rPr>
            </w:pPr>
            <w:r>
              <w:rPr>
                <w:rFonts w:ascii="Arial" w:cs="Arial" w:eastAsia="Arial" w:hAnsi="Arial"/>
                <w:sz w:val="16"/>
                <w:szCs w:val="16"/>
                <w:color w:val="auto"/>
              </w:rPr>
              <w:t>(526)</w:t>
            </w:r>
          </w:p>
        </w:tc>
        <w:tc>
          <w:tcPr>
            <w:tcW w:w="1620" w:type="dxa"/>
            <w:vAlign w:val="bottom"/>
          </w:tcPr>
          <w:p>
            <w:pPr>
              <w:jc w:val="right"/>
              <w:ind w:right="241"/>
              <w:spacing w:after="0"/>
              <w:rPr>
                <w:sz w:val="20"/>
                <w:szCs w:val="20"/>
                <w:color w:val="auto"/>
              </w:rPr>
            </w:pPr>
            <w:r>
              <w:rPr>
                <w:rFonts w:ascii="Arial" w:cs="Arial" w:eastAsia="Arial" w:hAnsi="Arial"/>
                <w:sz w:val="16"/>
                <w:szCs w:val="16"/>
                <w:color w:val="auto"/>
              </w:rPr>
              <w:t>(219)</w:t>
            </w:r>
          </w:p>
        </w:tc>
        <w:tc>
          <w:tcPr>
            <w:tcW w:w="1920" w:type="dxa"/>
            <w:vAlign w:val="bottom"/>
          </w:tcPr>
          <w:p>
            <w:pPr>
              <w:jc w:val="right"/>
              <w:ind w:right="241"/>
              <w:spacing w:after="0"/>
              <w:rPr>
                <w:sz w:val="20"/>
                <w:szCs w:val="20"/>
                <w:color w:val="auto"/>
              </w:rPr>
            </w:pPr>
            <w:r>
              <w:rPr>
                <w:rFonts w:ascii="Arial" w:cs="Arial" w:eastAsia="Arial" w:hAnsi="Arial"/>
                <w:sz w:val="16"/>
                <w:szCs w:val="16"/>
                <w:color w:val="auto"/>
              </w:rPr>
              <w:t>(211)</w:t>
            </w:r>
          </w:p>
        </w:tc>
        <w:tc>
          <w:tcPr>
            <w:tcW w:w="1060" w:type="dxa"/>
            <w:vAlign w:val="bottom"/>
          </w:tcPr>
          <w:p>
            <w:pPr>
              <w:jc w:val="right"/>
              <w:spacing w:after="0"/>
              <w:rPr>
                <w:sz w:val="20"/>
                <w:szCs w:val="20"/>
                <w:color w:val="auto"/>
              </w:rPr>
            </w:pPr>
            <w:r>
              <w:rPr>
                <w:rFonts w:ascii="Arial" w:cs="Arial" w:eastAsia="Arial" w:hAnsi="Arial"/>
                <w:sz w:val="16"/>
                <w:szCs w:val="16"/>
                <w:color w:val="auto"/>
              </w:rPr>
              <w:t>(956)  </w:t>
            </w:r>
          </w:p>
        </w:tc>
        <w:tc>
          <w:tcPr>
            <w:tcW w:w="0" w:type="dxa"/>
            <w:vAlign w:val="bottom"/>
          </w:tcPr>
          <w:p>
            <w:pPr>
              <w:spacing w:after="0"/>
              <w:rPr>
                <w:sz w:val="1"/>
                <w:szCs w:val="1"/>
                <w:color w:val="auto"/>
              </w:rPr>
            </w:pPr>
          </w:p>
        </w:tc>
      </w:tr>
      <w:tr>
        <w:trPr>
          <w:trHeight w:val="199"/>
        </w:trPr>
        <w:tc>
          <w:tcPr>
            <w:tcW w:w="3380" w:type="dxa"/>
            <w:vAlign w:val="bottom"/>
          </w:tcPr>
          <w:p>
            <w:pPr>
              <w:spacing w:after="0"/>
              <w:rPr>
                <w:sz w:val="20"/>
                <w:szCs w:val="20"/>
                <w:color w:val="auto"/>
              </w:rPr>
            </w:pPr>
            <w:r>
              <w:rPr>
                <w:rFonts w:ascii="Arial" w:cs="Arial" w:eastAsia="Arial" w:hAnsi="Arial"/>
                <w:sz w:val="16"/>
                <w:szCs w:val="16"/>
                <w:color w:val="auto"/>
              </w:rPr>
              <w:t> Depreciation</w:t>
            </w:r>
          </w:p>
        </w:tc>
        <w:tc>
          <w:tcPr>
            <w:tcW w:w="1740" w:type="dxa"/>
            <w:vAlign w:val="bottom"/>
          </w:tcPr>
          <w:p>
            <w:pPr>
              <w:jc w:val="right"/>
              <w:ind w:right="241"/>
              <w:spacing w:after="0"/>
              <w:rPr>
                <w:sz w:val="20"/>
                <w:szCs w:val="20"/>
                <w:color w:val="auto"/>
              </w:rPr>
            </w:pPr>
            <w:r>
              <w:rPr>
                <w:rFonts w:ascii="Arial" w:cs="Arial" w:eastAsia="Arial" w:hAnsi="Arial"/>
                <w:sz w:val="16"/>
                <w:szCs w:val="16"/>
                <w:color w:val="auto"/>
              </w:rPr>
              <w:t>(67)</w:t>
            </w:r>
          </w:p>
        </w:tc>
        <w:tc>
          <w:tcPr>
            <w:tcW w:w="1620" w:type="dxa"/>
            <w:vAlign w:val="bottom"/>
          </w:tcPr>
          <w:p>
            <w:pPr>
              <w:jc w:val="right"/>
              <w:ind w:right="241"/>
              <w:spacing w:after="0"/>
              <w:rPr>
                <w:sz w:val="20"/>
                <w:szCs w:val="20"/>
                <w:color w:val="auto"/>
              </w:rPr>
            </w:pPr>
            <w:r>
              <w:rPr>
                <w:rFonts w:ascii="Arial" w:cs="Arial" w:eastAsia="Arial" w:hAnsi="Arial"/>
                <w:sz w:val="16"/>
                <w:szCs w:val="16"/>
                <w:color w:val="auto"/>
              </w:rPr>
              <w:t>(33)</w:t>
            </w:r>
          </w:p>
        </w:tc>
        <w:tc>
          <w:tcPr>
            <w:tcW w:w="1920" w:type="dxa"/>
            <w:vAlign w:val="bottom"/>
          </w:tcPr>
          <w:p>
            <w:pPr>
              <w:jc w:val="right"/>
              <w:ind w:right="241"/>
              <w:spacing w:after="0"/>
              <w:rPr>
                <w:sz w:val="20"/>
                <w:szCs w:val="20"/>
                <w:color w:val="auto"/>
              </w:rPr>
            </w:pPr>
            <w:r>
              <w:rPr>
                <w:rFonts w:ascii="Arial" w:cs="Arial" w:eastAsia="Arial" w:hAnsi="Arial"/>
                <w:sz w:val="16"/>
                <w:szCs w:val="16"/>
                <w:color w:val="auto"/>
              </w:rPr>
              <w:t>(16)</w:t>
            </w:r>
          </w:p>
        </w:tc>
        <w:tc>
          <w:tcPr>
            <w:tcW w:w="1060" w:type="dxa"/>
            <w:vAlign w:val="bottom"/>
          </w:tcPr>
          <w:p>
            <w:pPr>
              <w:jc w:val="right"/>
              <w:spacing w:after="0"/>
              <w:rPr>
                <w:sz w:val="20"/>
                <w:szCs w:val="20"/>
                <w:color w:val="auto"/>
              </w:rPr>
            </w:pPr>
            <w:r>
              <w:rPr>
                <w:rFonts w:ascii="Arial" w:cs="Arial" w:eastAsia="Arial" w:hAnsi="Arial"/>
                <w:sz w:val="16"/>
                <w:szCs w:val="16"/>
                <w:color w:val="auto"/>
              </w:rPr>
              <w:t>(116)  </w:t>
            </w:r>
          </w:p>
        </w:tc>
        <w:tc>
          <w:tcPr>
            <w:tcW w:w="0" w:type="dxa"/>
            <w:vAlign w:val="bottom"/>
          </w:tcPr>
          <w:p>
            <w:pPr>
              <w:spacing w:after="0"/>
              <w:rPr>
                <w:sz w:val="1"/>
                <w:szCs w:val="1"/>
                <w:color w:val="auto"/>
              </w:rPr>
            </w:pPr>
          </w:p>
        </w:tc>
      </w:tr>
      <w:tr>
        <w:trPr>
          <w:trHeight w:val="199"/>
        </w:trPr>
        <w:tc>
          <w:tcPr>
            <w:tcW w:w="3380" w:type="dxa"/>
            <w:vAlign w:val="bottom"/>
          </w:tcPr>
          <w:p>
            <w:pPr>
              <w:spacing w:after="0"/>
              <w:rPr>
                <w:sz w:val="20"/>
                <w:szCs w:val="20"/>
                <w:color w:val="auto"/>
              </w:rPr>
            </w:pPr>
            <w:r>
              <w:rPr>
                <w:rFonts w:ascii="Arial" w:cs="Arial" w:eastAsia="Arial" w:hAnsi="Arial"/>
                <w:sz w:val="16"/>
                <w:szCs w:val="16"/>
                <w:color w:val="auto"/>
              </w:rPr>
              <w:t> Removed from service</w:t>
            </w:r>
          </w:p>
        </w:tc>
        <w:tc>
          <w:tcPr>
            <w:tcW w:w="1740" w:type="dxa"/>
            <w:vAlign w:val="bottom"/>
          </w:tcPr>
          <w:p>
            <w:pPr>
              <w:jc w:val="right"/>
              <w:ind w:right="241"/>
              <w:spacing w:after="0"/>
              <w:rPr>
                <w:sz w:val="20"/>
                <w:szCs w:val="20"/>
                <w:color w:val="auto"/>
              </w:rPr>
            </w:pPr>
            <w:r>
              <w:rPr>
                <w:rFonts w:ascii="Arial" w:cs="Arial" w:eastAsia="Arial" w:hAnsi="Arial"/>
                <w:sz w:val="16"/>
                <w:szCs w:val="16"/>
                <w:color w:val="auto"/>
              </w:rPr>
              <w:t>70</w:t>
            </w:r>
          </w:p>
        </w:tc>
        <w:tc>
          <w:tcPr>
            <w:tcW w:w="1620" w:type="dxa"/>
            <w:vAlign w:val="bottom"/>
          </w:tcPr>
          <w:p>
            <w:pPr>
              <w:jc w:val="right"/>
              <w:ind w:right="241"/>
              <w:spacing w:after="0"/>
              <w:rPr>
                <w:sz w:val="20"/>
                <w:szCs w:val="20"/>
                <w:color w:val="auto"/>
              </w:rPr>
            </w:pPr>
            <w:r>
              <w:rPr>
                <w:rFonts w:ascii="Arial" w:cs="Arial" w:eastAsia="Arial" w:hAnsi="Arial"/>
                <w:sz w:val="16"/>
                <w:szCs w:val="16"/>
                <w:color w:val="auto"/>
              </w:rPr>
              <w:t>73</w:t>
            </w:r>
          </w:p>
        </w:tc>
        <w:tc>
          <w:tcPr>
            <w:tcW w:w="1920" w:type="dxa"/>
            <w:vAlign w:val="bottom"/>
          </w:tcPr>
          <w:p>
            <w:pPr>
              <w:jc w:val="right"/>
              <w:ind w:right="241"/>
              <w:spacing w:after="0"/>
              <w:rPr>
                <w:sz w:val="20"/>
                <w:szCs w:val="20"/>
                <w:color w:val="auto"/>
              </w:rPr>
            </w:pPr>
            <w:r>
              <w:rPr>
                <w:rFonts w:ascii="Arial" w:cs="Arial" w:eastAsia="Arial" w:hAnsi="Arial"/>
                <w:sz w:val="16"/>
                <w:szCs w:val="16"/>
                <w:color w:val="auto"/>
              </w:rPr>
              <w:t>13</w:t>
            </w:r>
          </w:p>
        </w:tc>
        <w:tc>
          <w:tcPr>
            <w:tcW w:w="1060" w:type="dxa"/>
            <w:vAlign w:val="bottom"/>
          </w:tcPr>
          <w:p>
            <w:pPr>
              <w:jc w:val="right"/>
              <w:spacing w:after="0"/>
              <w:rPr>
                <w:sz w:val="20"/>
                <w:szCs w:val="20"/>
                <w:color w:val="auto"/>
              </w:rPr>
            </w:pPr>
            <w:r>
              <w:rPr>
                <w:rFonts w:ascii="Arial" w:cs="Arial" w:eastAsia="Arial" w:hAnsi="Arial"/>
                <w:sz w:val="16"/>
                <w:szCs w:val="16"/>
                <w:color w:val="auto"/>
              </w:rPr>
              <w:t>156  </w:t>
            </w:r>
          </w:p>
        </w:tc>
        <w:tc>
          <w:tcPr>
            <w:tcW w:w="0" w:type="dxa"/>
            <w:vAlign w:val="bottom"/>
          </w:tcPr>
          <w:p>
            <w:pPr>
              <w:spacing w:after="0"/>
              <w:rPr>
                <w:sz w:val="1"/>
                <w:szCs w:val="1"/>
                <w:color w:val="auto"/>
              </w:rPr>
            </w:pPr>
          </w:p>
        </w:tc>
      </w:tr>
      <w:tr>
        <w:trPr>
          <w:trHeight w:val="199"/>
        </w:trPr>
        <w:tc>
          <w:tcPr>
            <w:tcW w:w="3380" w:type="dxa"/>
            <w:vAlign w:val="bottom"/>
          </w:tcPr>
          <w:p>
            <w:pPr>
              <w:spacing w:after="0"/>
              <w:rPr>
                <w:sz w:val="20"/>
                <w:szCs w:val="20"/>
                <w:color w:val="auto"/>
              </w:rPr>
            </w:pPr>
            <w:r>
              <w:rPr>
                <w:rFonts w:ascii="Arial" w:cs="Arial" w:eastAsia="Arial" w:hAnsi="Arial"/>
                <w:sz w:val="16"/>
                <w:szCs w:val="16"/>
                <w:color w:val="auto"/>
              </w:rPr>
              <w:t> Disposals of businesses and property</w:t>
            </w:r>
          </w:p>
        </w:tc>
        <w:tc>
          <w:tcPr>
            <w:tcW w:w="1740" w:type="dxa"/>
            <w:vAlign w:val="bottom"/>
          </w:tcPr>
          <w:p>
            <w:pPr>
              <w:jc w:val="right"/>
              <w:ind w:right="241"/>
              <w:spacing w:after="0"/>
              <w:rPr>
                <w:sz w:val="20"/>
                <w:szCs w:val="20"/>
                <w:color w:val="auto"/>
              </w:rPr>
            </w:pPr>
            <w:r>
              <w:rPr>
                <w:rFonts w:ascii="Arial" w:cs="Arial" w:eastAsia="Arial" w:hAnsi="Arial"/>
                <w:sz w:val="16"/>
                <w:szCs w:val="16"/>
                <w:color w:val="auto"/>
              </w:rPr>
              <w:t>56</w:t>
            </w:r>
          </w:p>
        </w:tc>
        <w:tc>
          <w:tcPr>
            <w:tcW w:w="1620" w:type="dxa"/>
            <w:vAlign w:val="bottom"/>
          </w:tcPr>
          <w:p>
            <w:pPr>
              <w:jc w:val="right"/>
              <w:ind w:right="241"/>
              <w:spacing w:after="0"/>
              <w:rPr>
                <w:sz w:val="20"/>
                <w:szCs w:val="20"/>
                <w:color w:val="auto"/>
              </w:rPr>
            </w:pPr>
            <w:r>
              <w:rPr>
                <w:rFonts w:ascii="Arial" w:cs="Arial" w:eastAsia="Arial" w:hAnsi="Arial"/>
                <w:sz w:val="16"/>
                <w:szCs w:val="16"/>
                <w:color w:val="auto"/>
              </w:rPr>
              <w:t>9</w:t>
            </w:r>
          </w:p>
        </w:tc>
        <w:tc>
          <w:tcPr>
            <w:tcW w:w="1920" w:type="dxa"/>
            <w:vAlign w:val="bottom"/>
          </w:tcPr>
          <w:p>
            <w:pPr>
              <w:jc w:val="right"/>
              <w:ind w:right="241"/>
              <w:spacing w:after="0"/>
              <w:rPr>
                <w:sz w:val="20"/>
                <w:szCs w:val="20"/>
                <w:color w:val="auto"/>
              </w:rPr>
            </w:pPr>
            <w:r>
              <w:rPr>
                <w:rFonts w:ascii="Arial" w:cs="Arial" w:eastAsia="Arial" w:hAnsi="Arial"/>
                <w:sz w:val="16"/>
                <w:szCs w:val="16"/>
                <w:color w:val="auto"/>
              </w:rPr>
              <w:t>13</w:t>
            </w:r>
          </w:p>
        </w:tc>
        <w:tc>
          <w:tcPr>
            <w:tcW w:w="1060" w:type="dxa"/>
            <w:vAlign w:val="bottom"/>
          </w:tcPr>
          <w:p>
            <w:pPr>
              <w:jc w:val="right"/>
              <w:spacing w:after="0"/>
              <w:rPr>
                <w:sz w:val="20"/>
                <w:szCs w:val="20"/>
                <w:color w:val="auto"/>
              </w:rPr>
            </w:pPr>
            <w:r>
              <w:rPr>
                <w:rFonts w:ascii="Arial" w:cs="Arial" w:eastAsia="Arial" w:hAnsi="Arial"/>
                <w:sz w:val="16"/>
                <w:szCs w:val="16"/>
                <w:color w:val="auto"/>
              </w:rPr>
              <w:t>78  </w:t>
            </w:r>
          </w:p>
        </w:tc>
        <w:tc>
          <w:tcPr>
            <w:tcW w:w="0" w:type="dxa"/>
            <w:vAlign w:val="bottom"/>
          </w:tcPr>
          <w:p>
            <w:pPr>
              <w:spacing w:after="0"/>
              <w:rPr>
                <w:sz w:val="1"/>
                <w:szCs w:val="1"/>
                <w:color w:val="auto"/>
              </w:rPr>
            </w:pPr>
          </w:p>
        </w:tc>
      </w:tr>
      <w:tr>
        <w:trPr>
          <w:trHeight w:val="200"/>
        </w:trPr>
        <w:tc>
          <w:tcPr>
            <w:tcW w:w="338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Translation and other, net</w:t>
            </w:r>
          </w:p>
        </w:tc>
        <w:tc>
          <w:tcPr>
            <w:tcW w:w="1740" w:type="dxa"/>
            <w:vAlign w:val="bottom"/>
            <w:tcBorders>
              <w:bottom w:val="single" w:sz="8" w:color="B2B2B2"/>
            </w:tcBorders>
          </w:tcPr>
          <w:p>
            <w:pPr>
              <w:jc w:val="right"/>
              <w:ind w:right="241"/>
              <w:spacing w:after="0"/>
              <w:rPr>
                <w:sz w:val="20"/>
                <w:szCs w:val="20"/>
                <w:color w:val="auto"/>
              </w:rPr>
            </w:pPr>
            <w:r>
              <w:rPr>
                <w:rFonts w:ascii="Arial" w:cs="Arial" w:eastAsia="Arial" w:hAnsi="Arial"/>
                <w:sz w:val="16"/>
                <w:szCs w:val="16"/>
                <w:color w:val="auto"/>
              </w:rPr>
              <w:t>(8)</w:t>
            </w:r>
          </w:p>
        </w:tc>
        <w:tc>
          <w:tcPr>
            <w:tcW w:w="1620" w:type="dxa"/>
            <w:vAlign w:val="bottom"/>
            <w:tcBorders>
              <w:bottom w:val="single" w:sz="8" w:color="B2B2B2"/>
            </w:tcBorders>
          </w:tcPr>
          <w:p>
            <w:pPr>
              <w:jc w:val="right"/>
              <w:ind w:right="241"/>
              <w:spacing w:after="0"/>
              <w:rPr>
                <w:sz w:val="20"/>
                <w:szCs w:val="20"/>
                <w:color w:val="auto"/>
              </w:rPr>
            </w:pPr>
            <w:r>
              <w:rPr>
                <w:rFonts w:ascii="Arial" w:cs="Arial" w:eastAsia="Arial" w:hAnsi="Arial"/>
                <w:sz w:val="16"/>
                <w:szCs w:val="16"/>
                <w:color w:val="auto"/>
              </w:rPr>
              <w:t>(3)</w:t>
            </w:r>
          </w:p>
        </w:tc>
        <w:tc>
          <w:tcPr>
            <w:tcW w:w="1920" w:type="dxa"/>
            <w:vAlign w:val="bottom"/>
            <w:tcBorders>
              <w:bottom w:val="single" w:sz="8" w:color="B2B2B2"/>
            </w:tcBorders>
          </w:tcPr>
          <w:p>
            <w:pPr>
              <w:jc w:val="right"/>
              <w:ind w:right="24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179"/>
        </w:trPr>
        <w:tc>
          <w:tcPr>
            <w:tcW w:w="338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December 31, 2023</w:t>
            </w:r>
          </w:p>
        </w:tc>
        <w:tc>
          <w:tcPr>
            <w:tcW w:w="1740" w:type="dxa"/>
            <w:vAlign w:val="bottom"/>
            <w:tcBorders>
              <w:bottom w:val="single" w:sz="8" w:color="B2B2B2"/>
            </w:tcBorders>
          </w:tcPr>
          <w:p>
            <w:pPr>
              <w:jc w:val="right"/>
              <w:ind w:right="241"/>
              <w:spacing w:after="0" w:line="179" w:lineRule="exact"/>
              <w:rPr>
                <w:sz w:val="20"/>
                <w:szCs w:val="20"/>
                <w:color w:val="auto"/>
              </w:rPr>
            </w:pPr>
            <w:r>
              <w:rPr>
                <w:rFonts w:ascii="Arial" w:cs="Arial" w:eastAsia="Arial" w:hAnsi="Arial"/>
                <w:sz w:val="16"/>
                <w:szCs w:val="16"/>
                <w:b w:val="1"/>
                <w:bCs w:val="1"/>
                <w:color w:val="auto"/>
              </w:rPr>
              <w:t>(475)</w:t>
            </w:r>
          </w:p>
        </w:tc>
        <w:tc>
          <w:tcPr>
            <w:tcW w:w="1620" w:type="dxa"/>
            <w:vAlign w:val="bottom"/>
            <w:tcBorders>
              <w:bottom w:val="single" w:sz="8" w:color="B2B2B2"/>
            </w:tcBorders>
          </w:tcPr>
          <w:p>
            <w:pPr>
              <w:jc w:val="right"/>
              <w:ind w:right="241"/>
              <w:spacing w:after="0" w:line="179" w:lineRule="exact"/>
              <w:rPr>
                <w:sz w:val="20"/>
                <w:szCs w:val="20"/>
                <w:color w:val="auto"/>
              </w:rPr>
            </w:pPr>
            <w:r>
              <w:rPr>
                <w:rFonts w:ascii="Arial" w:cs="Arial" w:eastAsia="Arial" w:hAnsi="Arial"/>
                <w:sz w:val="16"/>
                <w:szCs w:val="16"/>
                <w:b w:val="1"/>
                <w:bCs w:val="1"/>
                <w:color w:val="auto"/>
              </w:rPr>
              <w:t>(173)</w:t>
            </w:r>
          </w:p>
        </w:tc>
        <w:tc>
          <w:tcPr>
            <w:tcW w:w="1920" w:type="dxa"/>
            <w:vAlign w:val="bottom"/>
            <w:tcBorders>
              <w:bottom w:val="single" w:sz="8" w:color="B2B2B2"/>
            </w:tcBorders>
          </w:tcPr>
          <w:p>
            <w:pPr>
              <w:jc w:val="right"/>
              <w:ind w:right="241"/>
              <w:spacing w:after="0" w:line="179" w:lineRule="exact"/>
              <w:rPr>
                <w:sz w:val="20"/>
                <w:szCs w:val="20"/>
                <w:color w:val="auto"/>
              </w:rPr>
            </w:pPr>
            <w:r>
              <w:rPr>
                <w:rFonts w:ascii="Arial" w:cs="Arial" w:eastAsia="Arial" w:hAnsi="Arial"/>
                <w:sz w:val="16"/>
                <w:szCs w:val="16"/>
                <w:b w:val="1"/>
                <w:bCs w:val="1"/>
                <w:color w:val="auto"/>
              </w:rPr>
              <w:t>(201)</w:t>
            </w:r>
          </w:p>
        </w:tc>
        <w:tc>
          <w:tcPr>
            <w:tcW w:w="1060" w:type="dxa"/>
            <w:vAlign w:val="bottom"/>
            <w:tcBorders>
              <w:bottom w:val="single" w:sz="8" w:color="B2B2B2"/>
            </w:tcBorders>
          </w:tcPr>
          <w:p>
            <w:pPr>
              <w:jc w:val="right"/>
              <w:ind w:right="1"/>
              <w:spacing w:after="0" w:line="179" w:lineRule="exact"/>
              <w:rPr>
                <w:sz w:val="20"/>
                <w:szCs w:val="20"/>
                <w:color w:val="auto"/>
              </w:rPr>
            </w:pPr>
            <w:r>
              <w:rPr>
                <w:rFonts w:ascii="Arial" w:cs="Arial" w:eastAsia="Arial" w:hAnsi="Arial"/>
                <w:sz w:val="16"/>
                <w:szCs w:val="16"/>
                <w:b w:val="1"/>
                <w:bCs w:val="1"/>
                <w:color w:val="auto"/>
              </w:rPr>
              <w:t>(849)</w:t>
            </w:r>
          </w:p>
        </w:tc>
        <w:tc>
          <w:tcPr>
            <w:tcW w:w="0" w:type="dxa"/>
            <w:vAlign w:val="bottom"/>
          </w:tcPr>
          <w:p>
            <w:pPr>
              <w:spacing w:after="0"/>
              <w:rPr>
                <w:sz w:val="1"/>
                <w:szCs w:val="1"/>
                <w:color w:val="auto"/>
              </w:rPr>
            </w:pPr>
          </w:p>
        </w:tc>
      </w:tr>
      <w:tr>
        <w:trPr>
          <w:trHeight w:val="178"/>
        </w:trPr>
        <w:tc>
          <w:tcPr>
            <w:tcW w:w="3380" w:type="dxa"/>
            <w:vAlign w:val="bottom"/>
          </w:tcPr>
          <w:p>
            <w:pPr>
              <w:spacing w:after="0" w:line="178" w:lineRule="exact"/>
              <w:rPr>
                <w:sz w:val="20"/>
                <w:szCs w:val="20"/>
                <w:color w:val="auto"/>
              </w:rPr>
            </w:pPr>
            <w:r>
              <w:rPr>
                <w:rFonts w:ascii="Arial" w:cs="Arial" w:eastAsia="Arial" w:hAnsi="Arial"/>
                <w:sz w:val="16"/>
                <w:szCs w:val="16"/>
                <w:color w:val="auto"/>
              </w:rPr>
              <w:t> Depreciation</w:t>
            </w:r>
          </w:p>
        </w:tc>
        <w:tc>
          <w:tcPr>
            <w:tcW w:w="1740" w:type="dxa"/>
            <w:vAlign w:val="bottom"/>
          </w:tcPr>
          <w:p>
            <w:pPr>
              <w:jc w:val="right"/>
              <w:ind w:right="241"/>
              <w:spacing w:after="0" w:line="178" w:lineRule="exact"/>
              <w:rPr>
                <w:sz w:val="20"/>
                <w:szCs w:val="20"/>
                <w:color w:val="auto"/>
              </w:rPr>
            </w:pPr>
            <w:r>
              <w:rPr>
                <w:rFonts w:ascii="Arial" w:cs="Arial" w:eastAsia="Arial" w:hAnsi="Arial"/>
                <w:sz w:val="16"/>
                <w:szCs w:val="16"/>
                <w:b w:val="1"/>
                <w:bCs w:val="1"/>
                <w:color w:val="auto"/>
              </w:rPr>
              <w:t>(61)</w:t>
            </w:r>
          </w:p>
        </w:tc>
        <w:tc>
          <w:tcPr>
            <w:tcW w:w="1620" w:type="dxa"/>
            <w:vAlign w:val="bottom"/>
          </w:tcPr>
          <w:p>
            <w:pPr>
              <w:jc w:val="right"/>
              <w:ind w:right="241"/>
              <w:spacing w:after="0" w:line="178" w:lineRule="exact"/>
              <w:rPr>
                <w:sz w:val="20"/>
                <w:szCs w:val="20"/>
                <w:color w:val="auto"/>
              </w:rPr>
            </w:pPr>
            <w:r>
              <w:rPr>
                <w:rFonts w:ascii="Arial" w:cs="Arial" w:eastAsia="Arial" w:hAnsi="Arial"/>
                <w:sz w:val="16"/>
                <w:szCs w:val="16"/>
                <w:b w:val="1"/>
                <w:bCs w:val="1"/>
                <w:color w:val="auto"/>
              </w:rPr>
              <w:t>(35)</w:t>
            </w:r>
          </w:p>
        </w:tc>
        <w:tc>
          <w:tcPr>
            <w:tcW w:w="1920" w:type="dxa"/>
            <w:vAlign w:val="bottom"/>
          </w:tcPr>
          <w:p>
            <w:pPr>
              <w:jc w:val="right"/>
              <w:ind w:right="241"/>
              <w:spacing w:after="0" w:line="178" w:lineRule="exact"/>
              <w:rPr>
                <w:sz w:val="20"/>
                <w:szCs w:val="20"/>
                <w:color w:val="auto"/>
              </w:rPr>
            </w:pPr>
            <w:r>
              <w:rPr>
                <w:rFonts w:ascii="Arial" w:cs="Arial" w:eastAsia="Arial" w:hAnsi="Arial"/>
                <w:sz w:val="16"/>
                <w:szCs w:val="16"/>
                <w:b w:val="1"/>
                <w:bCs w:val="1"/>
                <w:color w:val="auto"/>
              </w:rPr>
              <w:t>(17)</w:t>
            </w:r>
          </w:p>
        </w:tc>
        <w:tc>
          <w:tcPr>
            <w:tcW w:w="1060" w:type="dxa"/>
            <w:vAlign w:val="bottom"/>
          </w:tcPr>
          <w:p>
            <w:pPr>
              <w:jc w:val="right"/>
              <w:ind w:right="1"/>
              <w:spacing w:after="0" w:line="178" w:lineRule="exact"/>
              <w:rPr>
                <w:sz w:val="20"/>
                <w:szCs w:val="20"/>
                <w:color w:val="auto"/>
              </w:rPr>
            </w:pPr>
            <w:r>
              <w:rPr>
                <w:rFonts w:ascii="Arial" w:cs="Arial" w:eastAsia="Arial" w:hAnsi="Arial"/>
                <w:sz w:val="16"/>
                <w:szCs w:val="16"/>
                <w:b w:val="1"/>
                <w:bCs w:val="1"/>
                <w:color w:val="auto"/>
              </w:rPr>
              <w:t>(113)</w:t>
            </w:r>
          </w:p>
        </w:tc>
        <w:tc>
          <w:tcPr>
            <w:tcW w:w="0" w:type="dxa"/>
            <w:vAlign w:val="bottom"/>
          </w:tcPr>
          <w:p>
            <w:pPr>
              <w:spacing w:after="0"/>
              <w:rPr>
                <w:sz w:val="1"/>
                <w:szCs w:val="1"/>
                <w:color w:val="auto"/>
              </w:rPr>
            </w:pPr>
          </w:p>
        </w:tc>
      </w:tr>
      <w:tr>
        <w:trPr>
          <w:trHeight w:val="199"/>
        </w:trPr>
        <w:tc>
          <w:tcPr>
            <w:tcW w:w="3380" w:type="dxa"/>
            <w:vAlign w:val="bottom"/>
          </w:tcPr>
          <w:p>
            <w:pPr>
              <w:spacing w:after="0"/>
              <w:rPr>
                <w:sz w:val="20"/>
                <w:szCs w:val="20"/>
                <w:color w:val="auto"/>
              </w:rPr>
            </w:pPr>
            <w:r>
              <w:rPr>
                <w:rFonts w:ascii="Arial" w:cs="Arial" w:eastAsia="Arial" w:hAnsi="Arial"/>
                <w:sz w:val="16"/>
                <w:szCs w:val="16"/>
                <w:color w:val="auto"/>
              </w:rPr>
              <w:t> Removed from service</w:t>
            </w:r>
          </w:p>
        </w:tc>
        <w:tc>
          <w:tcPr>
            <w:tcW w:w="1740" w:type="dxa"/>
            <w:vAlign w:val="bottom"/>
          </w:tcPr>
          <w:p>
            <w:pPr>
              <w:jc w:val="right"/>
              <w:ind w:right="241"/>
              <w:spacing w:after="0"/>
              <w:rPr>
                <w:sz w:val="20"/>
                <w:szCs w:val="20"/>
                <w:color w:val="auto"/>
              </w:rPr>
            </w:pPr>
            <w:r>
              <w:rPr>
                <w:rFonts w:ascii="Arial" w:cs="Arial" w:eastAsia="Arial" w:hAnsi="Arial"/>
                <w:sz w:val="16"/>
                <w:szCs w:val="16"/>
                <w:b w:val="1"/>
                <w:bCs w:val="1"/>
                <w:color w:val="auto"/>
              </w:rPr>
              <w:t>2</w:t>
            </w:r>
          </w:p>
        </w:tc>
        <w:tc>
          <w:tcPr>
            <w:tcW w:w="1620" w:type="dxa"/>
            <w:vAlign w:val="bottom"/>
          </w:tcPr>
          <w:p>
            <w:pPr>
              <w:jc w:val="right"/>
              <w:ind w:right="241"/>
              <w:spacing w:after="0"/>
              <w:rPr>
                <w:sz w:val="20"/>
                <w:szCs w:val="20"/>
                <w:color w:val="auto"/>
              </w:rPr>
            </w:pPr>
            <w:r>
              <w:rPr>
                <w:rFonts w:ascii="Arial" w:cs="Arial" w:eastAsia="Arial" w:hAnsi="Arial"/>
                <w:sz w:val="16"/>
                <w:szCs w:val="16"/>
                <w:b w:val="1"/>
                <w:bCs w:val="1"/>
                <w:color w:val="auto"/>
              </w:rPr>
              <w:t>24</w:t>
            </w:r>
          </w:p>
        </w:tc>
        <w:tc>
          <w:tcPr>
            <w:tcW w:w="1920" w:type="dxa"/>
            <w:vAlign w:val="bottom"/>
          </w:tcPr>
          <w:p>
            <w:pPr>
              <w:jc w:val="right"/>
              <w:ind w:right="241"/>
              <w:spacing w:after="0"/>
              <w:rPr>
                <w:sz w:val="20"/>
                <w:szCs w:val="20"/>
                <w:color w:val="auto"/>
              </w:rPr>
            </w:pPr>
            <w:r>
              <w:rPr>
                <w:rFonts w:ascii="Arial" w:cs="Arial" w:eastAsia="Arial" w:hAnsi="Arial"/>
                <w:sz w:val="16"/>
                <w:szCs w:val="16"/>
                <w:b w:val="1"/>
                <w:bCs w:val="1"/>
                <w:color w:val="auto"/>
              </w:rPr>
              <w:t>1</w:t>
            </w: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27</w:t>
            </w:r>
          </w:p>
        </w:tc>
        <w:tc>
          <w:tcPr>
            <w:tcW w:w="0" w:type="dxa"/>
            <w:vAlign w:val="bottom"/>
          </w:tcPr>
          <w:p>
            <w:pPr>
              <w:spacing w:after="0"/>
              <w:rPr>
                <w:sz w:val="1"/>
                <w:szCs w:val="1"/>
                <w:color w:val="auto"/>
              </w:rPr>
            </w:pPr>
          </w:p>
        </w:tc>
      </w:tr>
      <w:tr>
        <w:trPr>
          <w:trHeight w:val="199"/>
        </w:trPr>
        <w:tc>
          <w:tcPr>
            <w:tcW w:w="3380" w:type="dxa"/>
            <w:vAlign w:val="bottom"/>
          </w:tcPr>
          <w:p>
            <w:pPr>
              <w:spacing w:after="0"/>
              <w:rPr>
                <w:sz w:val="20"/>
                <w:szCs w:val="20"/>
                <w:color w:val="auto"/>
              </w:rPr>
            </w:pPr>
            <w:r>
              <w:rPr>
                <w:rFonts w:ascii="Arial" w:cs="Arial" w:eastAsia="Arial" w:hAnsi="Arial"/>
                <w:sz w:val="16"/>
                <w:szCs w:val="16"/>
                <w:color w:val="auto"/>
              </w:rPr>
              <w:t> Disposals of businesses and property</w:t>
            </w:r>
          </w:p>
        </w:tc>
        <w:tc>
          <w:tcPr>
            <w:tcW w:w="1740" w:type="dxa"/>
            <w:vAlign w:val="bottom"/>
          </w:tcPr>
          <w:p>
            <w:pPr>
              <w:jc w:val="right"/>
              <w:ind w:right="241"/>
              <w:spacing w:after="0"/>
              <w:rPr>
                <w:sz w:val="20"/>
                <w:szCs w:val="20"/>
                <w:color w:val="auto"/>
              </w:rPr>
            </w:pPr>
            <w:r>
              <w:rPr>
                <w:rFonts w:ascii="Arial" w:cs="Arial" w:eastAsia="Arial" w:hAnsi="Arial"/>
                <w:sz w:val="16"/>
                <w:szCs w:val="16"/>
                <w:b w:val="1"/>
                <w:bCs w:val="1"/>
                <w:color w:val="auto"/>
              </w:rPr>
              <w:t>161</w:t>
            </w:r>
          </w:p>
        </w:tc>
        <w:tc>
          <w:tcPr>
            <w:tcW w:w="1620" w:type="dxa"/>
            <w:vAlign w:val="bottom"/>
          </w:tcPr>
          <w:p>
            <w:pPr>
              <w:jc w:val="right"/>
              <w:ind w:right="241"/>
              <w:spacing w:after="0"/>
              <w:rPr>
                <w:sz w:val="20"/>
                <w:szCs w:val="20"/>
                <w:color w:val="auto"/>
              </w:rPr>
            </w:pPr>
            <w:r>
              <w:rPr>
                <w:rFonts w:ascii="Arial" w:cs="Arial" w:eastAsia="Arial" w:hAnsi="Arial"/>
                <w:sz w:val="16"/>
                <w:szCs w:val="16"/>
                <w:b w:val="1"/>
                <w:bCs w:val="1"/>
                <w:color w:val="auto"/>
              </w:rPr>
              <w:t>-</w:t>
            </w:r>
          </w:p>
        </w:tc>
        <w:tc>
          <w:tcPr>
            <w:tcW w:w="1920" w:type="dxa"/>
            <w:vAlign w:val="bottom"/>
          </w:tcPr>
          <w:p>
            <w:pPr>
              <w:jc w:val="right"/>
              <w:ind w:right="241"/>
              <w:spacing w:after="0"/>
              <w:rPr>
                <w:sz w:val="20"/>
                <w:szCs w:val="20"/>
                <w:color w:val="auto"/>
              </w:rPr>
            </w:pPr>
            <w:r>
              <w:rPr>
                <w:rFonts w:ascii="Arial" w:cs="Arial" w:eastAsia="Arial" w:hAnsi="Arial"/>
                <w:sz w:val="16"/>
                <w:szCs w:val="16"/>
                <w:b w:val="1"/>
                <w:bCs w:val="1"/>
                <w:color w:val="auto"/>
              </w:rPr>
              <w:t>81</w:t>
            </w: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242</w:t>
            </w:r>
          </w:p>
        </w:tc>
        <w:tc>
          <w:tcPr>
            <w:tcW w:w="0" w:type="dxa"/>
            <w:vAlign w:val="bottom"/>
          </w:tcPr>
          <w:p>
            <w:pPr>
              <w:spacing w:after="0"/>
              <w:rPr>
                <w:sz w:val="1"/>
                <w:szCs w:val="1"/>
                <w:color w:val="auto"/>
              </w:rPr>
            </w:pPr>
          </w:p>
        </w:tc>
      </w:tr>
      <w:tr>
        <w:trPr>
          <w:trHeight w:val="200"/>
        </w:trPr>
        <w:tc>
          <w:tcPr>
            <w:tcW w:w="338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Translation and other, net</w:t>
            </w:r>
          </w:p>
        </w:tc>
        <w:tc>
          <w:tcPr>
            <w:tcW w:w="1740" w:type="dxa"/>
            <w:vAlign w:val="bottom"/>
            <w:tcBorders>
              <w:bottom w:val="single" w:sz="8" w:color="B2B2B2"/>
            </w:tcBorders>
          </w:tcPr>
          <w:p>
            <w:pPr>
              <w:jc w:val="right"/>
              <w:ind w:right="241"/>
              <w:spacing w:after="0"/>
              <w:rPr>
                <w:sz w:val="20"/>
                <w:szCs w:val="20"/>
                <w:color w:val="auto"/>
              </w:rPr>
            </w:pPr>
            <w:r>
              <w:rPr>
                <w:rFonts w:ascii="Arial" w:cs="Arial" w:eastAsia="Arial" w:hAnsi="Arial"/>
                <w:sz w:val="16"/>
                <w:szCs w:val="16"/>
                <w:b w:val="1"/>
                <w:bCs w:val="1"/>
                <w:color w:val="auto"/>
              </w:rPr>
              <w:t>23</w:t>
            </w:r>
          </w:p>
        </w:tc>
        <w:tc>
          <w:tcPr>
            <w:tcW w:w="1620" w:type="dxa"/>
            <w:vAlign w:val="bottom"/>
            <w:tcBorders>
              <w:bottom w:val="single" w:sz="8" w:color="B2B2B2"/>
            </w:tcBorders>
          </w:tcPr>
          <w:p>
            <w:pPr>
              <w:jc w:val="right"/>
              <w:ind w:right="241"/>
              <w:spacing w:after="0"/>
              <w:rPr>
                <w:sz w:val="20"/>
                <w:szCs w:val="20"/>
                <w:color w:val="auto"/>
              </w:rPr>
            </w:pPr>
            <w:r>
              <w:rPr>
                <w:rFonts w:ascii="Arial" w:cs="Arial" w:eastAsia="Arial" w:hAnsi="Arial"/>
                <w:sz w:val="16"/>
                <w:szCs w:val="16"/>
                <w:b w:val="1"/>
                <w:bCs w:val="1"/>
                <w:color w:val="auto"/>
              </w:rPr>
              <w:t>19</w:t>
            </w:r>
          </w:p>
        </w:tc>
        <w:tc>
          <w:tcPr>
            <w:tcW w:w="1920" w:type="dxa"/>
            <w:vAlign w:val="bottom"/>
            <w:tcBorders>
              <w:bottom w:val="single" w:sz="8" w:color="B2B2B2"/>
            </w:tcBorders>
          </w:tcPr>
          <w:p>
            <w:pPr>
              <w:jc w:val="right"/>
              <w:ind w:right="241"/>
              <w:spacing w:after="0"/>
              <w:rPr>
                <w:sz w:val="20"/>
                <w:szCs w:val="20"/>
                <w:color w:val="auto"/>
              </w:rPr>
            </w:pPr>
            <w:r>
              <w:rPr>
                <w:rFonts w:ascii="Arial" w:cs="Arial" w:eastAsia="Arial" w:hAnsi="Arial"/>
                <w:sz w:val="16"/>
                <w:szCs w:val="16"/>
                <w:b w:val="1"/>
                <w:bCs w:val="1"/>
                <w:color w:val="auto"/>
              </w:rPr>
              <w:t>5</w:t>
            </w:r>
          </w:p>
        </w:tc>
        <w:tc>
          <w:tcPr>
            <w:tcW w:w="106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47</w:t>
            </w:r>
          </w:p>
        </w:tc>
        <w:tc>
          <w:tcPr>
            <w:tcW w:w="0" w:type="dxa"/>
            <w:vAlign w:val="bottom"/>
          </w:tcPr>
          <w:p>
            <w:pPr>
              <w:spacing w:after="0"/>
              <w:rPr>
                <w:sz w:val="1"/>
                <w:szCs w:val="1"/>
                <w:color w:val="auto"/>
              </w:rPr>
            </w:pPr>
          </w:p>
        </w:tc>
      </w:tr>
      <w:tr>
        <w:trPr>
          <w:trHeight w:val="179"/>
        </w:trPr>
        <w:tc>
          <w:tcPr>
            <w:tcW w:w="338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b w:val="1"/>
                <w:bCs w:val="1"/>
                <w:color w:val="auto"/>
              </w:rPr>
              <w:t> December 31, 2024</w:t>
            </w:r>
          </w:p>
        </w:tc>
        <w:tc>
          <w:tcPr>
            <w:tcW w:w="1740" w:type="dxa"/>
            <w:vAlign w:val="bottom"/>
            <w:tcBorders>
              <w:bottom w:val="single" w:sz="8" w:color="B2B2B2"/>
            </w:tcBorders>
          </w:tcPr>
          <w:p>
            <w:pPr>
              <w:jc w:val="right"/>
              <w:ind w:right="241"/>
              <w:spacing w:after="0" w:line="179" w:lineRule="exact"/>
              <w:rPr>
                <w:sz w:val="20"/>
                <w:szCs w:val="20"/>
                <w:color w:val="auto"/>
              </w:rPr>
            </w:pPr>
            <w:r>
              <w:rPr>
                <w:rFonts w:ascii="Arial" w:cs="Arial" w:eastAsia="Arial" w:hAnsi="Arial"/>
                <w:sz w:val="16"/>
                <w:szCs w:val="16"/>
                <w:b w:val="1"/>
                <w:bCs w:val="1"/>
                <w:color w:val="auto"/>
              </w:rPr>
              <w:t>(350)</w:t>
            </w:r>
          </w:p>
        </w:tc>
        <w:tc>
          <w:tcPr>
            <w:tcW w:w="1620" w:type="dxa"/>
            <w:vAlign w:val="bottom"/>
            <w:tcBorders>
              <w:bottom w:val="single" w:sz="8" w:color="B2B2B2"/>
            </w:tcBorders>
          </w:tcPr>
          <w:p>
            <w:pPr>
              <w:jc w:val="right"/>
              <w:ind w:right="241"/>
              <w:spacing w:after="0" w:line="179" w:lineRule="exact"/>
              <w:rPr>
                <w:sz w:val="20"/>
                <w:szCs w:val="20"/>
                <w:color w:val="auto"/>
              </w:rPr>
            </w:pPr>
            <w:r>
              <w:rPr>
                <w:rFonts w:ascii="Arial" w:cs="Arial" w:eastAsia="Arial" w:hAnsi="Arial"/>
                <w:sz w:val="16"/>
                <w:szCs w:val="16"/>
                <w:b w:val="1"/>
                <w:bCs w:val="1"/>
                <w:color w:val="auto"/>
              </w:rPr>
              <w:t>(165)</w:t>
            </w:r>
          </w:p>
        </w:tc>
        <w:tc>
          <w:tcPr>
            <w:tcW w:w="1920" w:type="dxa"/>
            <w:vAlign w:val="bottom"/>
            <w:tcBorders>
              <w:bottom w:val="single" w:sz="8" w:color="B2B2B2"/>
            </w:tcBorders>
          </w:tcPr>
          <w:p>
            <w:pPr>
              <w:jc w:val="right"/>
              <w:ind w:right="241"/>
              <w:spacing w:after="0" w:line="179" w:lineRule="exact"/>
              <w:rPr>
                <w:sz w:val="20"/>
                <w:szCs w:val="20"/>
                <w:color w:val="auto"/>
              </w:rPr>
            </w:pPr>
            <w:r>
              <w:rPr>
                <w:rFonts w:ascii="Arial" w:cs="Arial" w:eastAsia="Arial" w:hAnsi="Arial"/>
                <w:sz w:val="16"/>
                <w:szCs w:val="16"/>
                <w:b w:val="1"/>
                <w:bCs w:val="1"/>
                <w:color w:val="auto"/>
              </w:rPr>
              <w:t>(131)</w:t>
            </w:r>
          </w:p>
        </w:tc>
        <w:tc>
          <w:tcPr>
            <w:tcW w:w="1060" w:type="dxa"/>
            <w:vAlign w:val="bottom"/>
            <w:tcBorders>
              <w:bottom w:val="single" w:sz="8" w:color="B2B2B2"/>
            </w:tcBorders>
          </w:tcPr>
          <w:p>
            <w:pPr>
              <w:jc w:val="right"/>
              <w:ind w:right="1"/>
              <w:spacing w:after="0" w:line="179" w:lineRule="exact"/>
              <w:rPr>
                <w:sz w:val="20"/>
                <w:szCs w:val="20"/>
                <w:color w:val="auto"/>
              </w:rPr>
            </w:pPr>
            <w:r>
              <w:rPr>
                <w:rFonts w:ascii="Arial" w:cs="Arial" w:eastAsia="Arial" w:hAnsi="Arial"/>
                <w:sz w:val="16"/>
                <w:szCs w:val="16"/>
                <w:b w:val="1"/>
                <w:bCs w:val="1"/>
                <w:color w:val="auto"/>
              </w:rPr>
              <w:t>(646)</w:t>
            </w:r>
          </w:p>
        </w:tc>
        <w:tc>
          <w:tcPr>
            <w:tcW w:w="0" w:type="dxa"/>
            <w:vAlign w:val="bottom"/>
          </w:tcPr>
          <w:p>
            <w:pPr>
              <w:spacing w:after="0"/>
              <w:rPr>
                <w:sz w:val="1"/>
                <w:szCs w:val="1"/>
                <w:color w:val="auto"/>
              </w:rPr>
            </w:pPr>
          </w:p>
        </w:tc>
      </w:tr>
      <w:tr>
        <w:trPr>
          <w:trHeight w:val="178"/>
        </w:trPr>
        <w:tc>
          <w:tcPr>
            <w:tcW w:w="3380" w:type="dxa"/>
            <w:vAlign w:val="bottom"/>
          </w:tcPr>
          <w:p>
            <w:pPr>
              <w:spacing w:after="0" w:line="178" w:lineRule="exact"/>
              <w:rPr>
                <w:sz w:val="20"/>
                <w:szCs w:val="20"/>
                <w:color w:val="auto"/>
              </w:rPr>
            </w:pPr>
            <w:r>
              <w:rPr>
                <w:rFonts w:ascii="Arial" w:cs="Arial" w:eastAsia="Arial" w:hAnsi="Arial"/>
                <w:sz w:val="16"/>
                <w:szCs w:val="16"/>
                <w:b w:val="1"/>
                <w:bCs w:val="1"/>
                <w:color w:val="auto"/>
              </w:rPr>
              <w:t> Carrying amount:</w:t>
            </w:r>
          </w:p>
        </w:tc>
        <w:tc>
          <w:tcPr>
            <w:tcW w:w="17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380" w:type="dxa"/>
            <w:vAlign w:val="bottom"/>
          </w:tcPr>
          <w:p>
            <w:pPr>
              <w:spacing w:after="0"/>
              <w:rPr>
                <w:sz w:val="20"/>
                <w:szCs w:val="20"/>
                <w:color w:val="auto"/>
              </w:rPr>
            </w:pPr>
            <w:r>
              <w:rPr>
                <w:rFonts w:ascii="Arial" w:cs="Arial" w:eastAsia="Arial" w:hAnsi="Arial"/>
                <w:sz w:val="16"/>
                <w:szCs w:val="16"/>
                <w:color w:val="auto"/>
              </w:rPr>
              <w:t> December 31, 2023</w:t>
            </w:r>
          </w:p>
        </w:tc>
        <w:tc>
          <w:tcPr>
            <w:tcW w:w="1740" w:type="dxa"/>
            <w:vAlign w:val="bottom"/>
          </w:tcPr>
          <w:p>
            <w:pPr>
              <w:jc w:val="right"/>
              <w:ind w:right="241"/>
              <w:spacing w:after="0"/>
              <w:rPr>
                <w:sz w:val="20"/>
                <w:szCs w:val="20"/>
                <w:color w:val="auto"/>
              </w:rPr>
            </w:pPr>
            <w:r>
              <w:rPr>
                <w:rFonts w:ascii="Arial" w:cs="Arial" w:eastAsia="Arial" w:hAnsi="Arial"/>
                <w:sz w:val="16"/>
                <w:szCs w:val="16"/>
                <w:color w:val="auto"/>
              </w:rPr>
              <w:t>326</w:t>
            </w:r>
          </w:p>
        </w:tc>
        <w:tc>
          <w:tcPr>
            <w:tcW w:w="1620" w:type="dxa"/>
            <w:vAlign w:val="bottom"/>
          </w:tcPr>
          <w:p>
            <w:pPr>
              <w:jc w:val="right"/>
              <w:ind w:right="241"/>
              <w:spacing w:after="0"/>
              <w:rPr>
                <w:sz w:val="20"/>
                <w:szCs w:val="20"/>
                <w:color w:val="auto"/>
              </w:rPr>
            </w:pPr>
            <w:r>
              <w:rPr>
                <w:rFonts w:ascii="Arial" w:cs="Arial" w:eastAsia="Arial" w:hAnsi="Arial"/>
                <w:sz w:val="16"/>
                <w:szCs w:val="16"/>
                <w:color w:val="auto"/>
              </w:rPr>
              <w:t>55</w:t>
            </w:r>
          </w:p>
        </w:tc>
        <w:tc>
          <w:tcPr>
            <w:tcW w:w="1920" w:type="dxa"/>
            <w:vAlign w:val="bottom"/>
          </w:tcPr>
          <w:p>
            <w:pPr>
              <w:jc w:val="right"/>
              <w:ind w:right="241"/>
              <w:spacing w:after="0"/>
              <w:rPr>
                <w:sz w:val="20"/>
                <w:szCs w:val="20"/>
                <w:color w:val="auto"/>
              </w:rPr>
            </w:pPr>
            <w:r>
              <w:rPr>
                <w:rFonts w:ascii="Arial" w:cs="Arial" w:eastAsia="Arial" w:hAnsi="Arial"/>
                <w:sz w:val="16"/>
                <w:szCs w:val="16"/>
                <w:color w:val="auto"/>
              </w:rPr>
              <w:t>66</w:t>
            </w:r>
          </w:p>
        </w:tc>
        <w:tc>
          <w:tcPr>
            <w:tcW w:w="1060" w:type="dxa"/>
            <w:vAlign w:val="bottom"/>
          </w:tcPr>
          <w:p>
            <w:pPr>
              <w:jc w:val="right"/>
              <w:spacing w:after="0"/>
              <w:rPr>
                <w:sz w:val="20"/>
                <w:szCs w:val="20"/>
                <w:color w:val="auto"/>
              </w:rPr>
            </w:pPr>
            <w:r>
              <w:rPr>
                <w:rFonts w:ascii="Arial" w:cs="Arial" w:eastAsia="Arial" w:hAnsi="Arial"/>
                <w:sz w:val="16"/>
                <w:szCs w:val="16"/>
                <w:color w:val="auto"/>
              </w:rPr>
              <w:t>447  </w:t>
            </w:r>
          </w:p>
        </w:tc>
        <w:tc>
          <w:tcPr>
            <w:tcW w:w="0" w:type="dxa"/>
            <w:vAlign w:val="bottom"/>
          </w:tcPr>
          <w:p>
            <w:pPr>
              <w:spacing w:after="0"/>
              <w:rPr>
                <w:sz w:val="1"/>
                <w:szCs w:val="1"/>
                <w:color w:val="auto"/>
              </w:rPr>
            </w:pPr>
          </w:p>
        </w:tc>
      </w:tr>
      <w:tr>
        <w:trPr>
          <w:trHeight w:val="206"/>
        </w:trPr>
        <w:tc>
          <w:tcPr>
            <w:tcW w:w="3380" w:type="dxa"/>
            <w:vAlign w:val="bottom"/>
            <w:tcBorders>
              <w:bottom w:val="single" w:sz="8" w:color="D64000"/>
            </w:tcBorders>
          </w:tcPr>
          <w:p>
            <w:pPr>
              <w:spacing w:after="0"/>
              <w:rPr>
                <w:sz w:val="20"/>
                <w:szCs w:val="20"/>
                <w:color w:val="auto"/>
              </w:rPr>
            </w:pPr>
            <w:r>
              <w:rPr>
                <w:rFonts w:ascii="Arial" w:cs="Arial" w:eastAsia="Arial" w:hAnsi="Arial"/>
                <w:sz w:val="16"/>
                <w:szCs w:val="16"/>
                <w:b w:val="1"/>
                <w:bCs w:val="1"/>
                <w:color w:val="auto"/>
              </w:rPr>
              <w:t> December 31, 2024</w:t>
            </w:r>
          </w:p>
        </w:tc>
        <w:tc>
          <w:tcPr>
            <w:tcW w:w="1740" w:type="dxa"/>
            <w:vAlign w:val="bottom"/>
            <w:tcBorders>
              <w:bottom w:val="single" w:sz="8" w:color="D64000"/>
            </w:tcBorders>
          </w:tcPr>
          <w:p>
            <w:pPr>
              <w:jc w:val="right"/>
              <w:ind w:right="241"/>
              <w:spacing w:after="0"/>
              <w:rPr>
                <w:sz w:val="20"/>
                <w:szCs w:val="20"/>
                <w:color w:val="auto"/>
              </w:rPr>
            </w:pPr>
            <w:r>
              <w:rPr>
                <w:rFonts w:ascii="Arial" w:cs="Arial" w:eastAsia="Arial" w:hAnsi="Arial"/>
                <w:sz w:val="16"/>
                <w:szCs w:val="16"/>
                <w:b w:val="1"/>
                <w:bCs w:val="1"/>
                <w:color w:val="auto"/>
              </w:rPr>
              <w:t>270</w:t>
            </w:r>
          </w:p>
        </w:tc>
        <w:tc>
          <w:tcPr>
            <w:tcW w:w="1620" w:type="dxa"/>
            <w:vAlign w:val="bottom"/>
            <w:tcBorders>
              <w:bottom w:val="single" w:sz="8" w:color="D64000"/>
            </w:tcBorders>
          </w:tcPr>
          <w:p>
            <w:pPr>
              <w:jc w:val="right"/>
              <w:ind w:right="241"/>
              <w:spacing w:after="0"/>
              <w:rPr>
                <w:sz w:val="20"/>
                <w:szCs w:val="20"/>
                <w:color w:val="auto"/>
              </w:rPr>
            </w:pPr>
            <w:r>
              <w:rPr>
                <w:rFonts w:ascii="Arial" w:cs="Arial" w:eastAsia="Arial" w:hAnsi="Arial"/>
                <w:sz w:val="16"/>
                <w:szCs w:val="16"/>
                <w:b w:val="1"/>
                <w:bCs w:val="1"/>
                <w:color w:val="auto"/>
              </w:rPr>
              <w:t>52</w:t>
            </w:r>
          </w:p>
        </w:tc>
        <w:tc>
          <w:tcPr>
            <w:tcW w:w="1920" w:type="dxa"/>
            <w:vAlign w:val="bottom"/>
            <w:tcBorders>
              <w:bottom w:val="single" w:sz="8" w:color="D64000"/>
            </w:tcBorders>
          </w:tcPr>
          <w:p>
            <w:pPr>
              <w:jc w:val="right"/>
              <w:ind w:right="241"/>
              <w:spacing w:after="0"/>
              <w:rPr>
                <w:sz w:val="20"/>
                <w:szCs w:val="20"/>
                <w:color w:val="auto"/>
              </w:rPr>
            </w:pPr>
            <w:r>
              <w:rPr>
                <w:rFonts w:ascii="Arial" w:cs="Arial" w:eastAsia="Arial" w:hAnsi="Arial"/>
                <w:sz w:val="16"/>
                <w:szCs w:val="16"/>
                <w:b w:val="1"/>
                <w:bCs w:val="1"/>
                <w:color w:val="auto"/>
              </w:rPr>
              <w:t>64</w:t>
            </w:r>
          </w:p>
        </w:tc>
        <w:tc>
          <w:tcPr>
            <w:tcW w:w="1060" w:type="dxa"/>
            <w:vAlign w:val="bottom"/>
            <w:tcBorders>
              <w:bottom w:val="single" w:sz="8" w:color="D64000"/>
            </w:tcBorders>
          </w:tcPr>
          <w:p>
            <w:pPr>
              <w:jc w:val="right"/>
              <w:ind w:right="1"/>
              <w:spacing w:after="0"/>
              <w:rPr>
                <w:sz w:val="20"/>
                <w:szCs w:val="20"/>
                <w:color w:val="auto"/>
              </w:rPr>
            </w:pPr>
            <w:r>
              <w:rPr>
                <w:rFonts w:ascii="Arial" w:cs="Arial" w:eastAsia="Arial" w:hAnsi="Arial"/>
                <w:sz w:val="16"/>
                <w:szCs w:val="16"/>
                <w:b w:val="1"/>
                <w:bCs w:val="1"/>
                <w:color w:val="auto"/>
              </w:rPr>
              <w:t>386</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above categories include right-of-use assets. See note 28 for right-of-use assets carrying amounts and other related leases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108585</wp:posOffset>
            </wp:positionV>
            <wp:extent cx="686562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82"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110</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Note 17: Computer Software</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Computer software consists of the following:</w:t>
      </w:r>
    </w:p>
    <w:p>
      <w:pPr>
        <w:spacing w:after="0" w:line="119"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3060" w:type="dxa"/>
            <w:vAlign w:val="bottom"/>
            <w:shd w:val="clear" w:color="auto" w:fill="1F473D"/>
          </w:tcPr>
          <w:p>
            <w:pPr>
              <w:spacing w:after="0"/>
              <w:rPr>
                <w:sz w:val="16"/>
                <w:szCs w:val="16"/>
                <w:color w:val="auto"/>
              </w:rPr>
            </w:pPr>
          </w:p>
        </w:tc>
        <w:tc>
          <w:tcPr>
            <w:tcW w:w="2200" w:type="dxa"/>
            <w:vAlign w:val="bottom"/>
            <w:shd w:val="clear" w:color="auto" w:fill="1F473D"/>
          </w:tcPr>
          <w:p>
            <w:pPr>
              <w:spacing w:after="0"/>
              <w:rPr>
                <w:sz w:val="16"/>
                <w:szCs w:val="16"/>
                <w:color w:val="auto"/>
              </w:rPr>
            </w:pPr>
          </w:p>
        </w:tc>
        <w:tc>
          <w:tcPr>
            <w:tcW w:w="174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8"/>
              </w:rPr>
              <w:t>Acquisitions –</w:t>
            </w:r>
          </w:p>
        </w:tc>
        <w:tc>
          <w:tcPr>
            <w:tcW w:w="1640" w:type="dxa"/>
            <w:vAlign w:val="bottom"/>
            <w:shd w:val="clear" w:color="auto" w:fill="1F473D"/>
          </w:tcPr>
          <w:p>
            <w:pPr>
              <w:spacing w:after="0"/>
              <w:rPr>
                <w:sz w:val="16"/>
                <w:szCs w:val="16"/>
                <w:color w:val="auto"/>
              </w:rPr>
            </w:pPr>
          </w:p>
        </w:tc>
        <w:tc>
          <w:tcPr>
            <w:tcW w:w="1080" w:type="dxa"/>
            <w:vAlign w:val="bottom"/>
            <w:shd w:val="clear" w:color="auto" w:fill="1F473D"/>
          </w:tcPr>
          <w:p>
            <w:pPr>
              <w:spacing w:after="0"/>
              <w:rPr>
                <w:sz w:val="16"/>
                <w:szCs w:val="16"/>
                <w:color w:val="auto"/>
              </w:rPr>
            </w:pPr>
          </w:p>
        </w:tc>
      </w:tr>
      <w:tr>
        <w:trPr>
          <w:trHeight w:val="186"/>
        </w:trPr>
        <w:tc>
          <w:tcPr>
            <w:tcW w:w="3060" w:type="dxa"/>
            <w:vAlign w:val="bottom"/>
            <w:shd w:val="clear" w:color="auto" w:fill="1F473D"/>
          </w:tcPr>
          <w:p>
            <w:pPr>
              <w:spacing w:after="0"/>
              <w:rPr>
                <w:sz w:val="16"/>
                <w:szCs w:val="16"/>
                <w:color w:val="auto"/>
              </w:rPr>
            </w:pPr>
          </w:p>
        </w:tc>
        <w:tc>
          <w:tcPr>
            <w:tcW w:w="2200" w:type="dxa"/>
            <w:vAlign w:val="bottom"/>
            <w:shd w:val="clear" w:color="auto" w:fill="1F473D"/>
          </w:tcPr>
          <w:p>
            <w:pPr>
              <w:jc w:val="right"/>
              <w:ind w:right="301"/>
              <w:spacing w:after="0"/>
              <w:rPr>
                <w:sz w:val="20"/>
                <w:szCs w:val="20"/>
                <w:color w:val="auto"/>
              </w:rPr>
            </w:pPr>
            <w:r>
              <w:rPr>
                <w:rFonts w:ascii="Arial" w:cs="Arial" w:eastAsia="Arial" w:hAnsi="Arial"/>
                <w:sz w:val="16"/>
                <w:szCs w:val="16"/>
                <w:b w:val="1"/>
                <w:bCs w:val="1"/>
                <w:color w:val="FFFFFF"/>
              </w:rPr>
              <w:t>Internally</w:t>
            </w:r>
          </w:p>
        </w:tc>
        <w:tc>
          <w:tcPr>
            <w:tcW w:w="174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rPr>
              <w:t>Business</w:t>
            </w:r>
          </w:p>
        </w:tc>
        <w:tc>
          <w:tcPr>
            <w:tcW w:w="1640" w:type="dxa"/>
            <w:vAlign w:val="bottom"/>
            <w:shd w:val="clear" w:color="auto" w:fill="1F473D"/>
          </w:tcPr>
          <w:p>
            <w:pPr>
              <w:spacing w:after="0"/>
              <w:rPr>
                <w:sz w:val="16"/>
                <w:szCs w:val="16"/>
                <w:color w:val="auto"/>
              </w:rPr>
            </w:pPr>
          </w:p>
        </w:tc>
        <w:tc>
          <w:tcPr>
            <w:tcW w:w="1080" w:type="dxa"/>
            <w:vAlign w:val="bottom"/>
            <w:shd w:val="clear" w:color="auto" w:fill="1F473D"/>
          </w:tcPr>
          <w:p>
            <w:pPr>
              <w:spacing w:after="0"/>
              <w:rPr>
                <w:sz w:val="16"/>
                <w:szCs w:val="16"/>
                <w:color w:val="auto"/>
              </w:rPr>
            </w:pPr>
          </w:p>
        </w:tc>
      </w:tr>
      <w:tr>
        <w:trPr>
          <w:trHeight w:val="219"/>
        </w:trPr>
        <w:tc>
          <w:tcPr>
            <w:tcW w:w="3060" w:type="dxa"/>
            <w:vAlign w:val="bottom"/>
            <w:tcBorders>
              <w:bottom w:val="single" w:sz="8" w:color="D64000"/>
            </w:tcBorders>
            <w:shd w:val="clear" w:color="auto" w:fill="1F473D"/>
          </w:tcPr>
          <w:p>
            <w:pPr>
              <w:spacing w:after="0"/>
              <w:rPr>
                <w:sz w:val="19"/>
                <w:szCs w:val="19"/>
                <w:color w:val="auto"/>
              </w:rPr>
            </w:pPr>
          </w:p>
        </w:tc>
        <w:tc>
          <w:tcPr>
            <w:tcW w:w="2200" w:type="dxa"/>
            <w:vAlign w:val="bottom"/>
            <w:tcBorders>
              <w:bottom w:val="single" w:sz="8" w:color="D64000"/>
            </w:tcBorders>
            <w:shd w:val="clear" w:color="auto" w:fill="1F473D"/>
          </w:tcPr>
          <w:p>
            <w:pPr>
              <w:jc w:val="right"/>
              <w:ind w:right="281"/>
              <w:spacing w:after="0"/>
              <w:rPr>
                <w:sz w:val="20"/>
                <w:szCs w:val="20"/>
                <w:color w:val="auto"/>
              </w:rPr>
            </w:pPr>
            <w:r>
              <w:rPr>
                <w:rFonts w:ascii="Arial" w:cs="Arial" w:eastAsia="Arial" w:hAnsi="Arial"/>
                <w:sz w:val="16"/>
                <w:szCs w:val="16"/>
                <w:b w:val="1"/>
                <w:bCs w:val="1"/>
                <w:color w:val="FFFFFF"/>
              </w:rPr>
              <w:t>Developed </w:t>
            </w:r>
          </w:p>
        </w:tc>
        <w:tc>
          <w:tcPr>
            <w:tcW w:w="1740" w:type="dxa"/>
            <w:vAlign w:val="bottom"/>
            <w:tcBorders>
              <w:bottom w:val="single" w:sz="8" w:color="D64000"/>
            </w:tcBorders>
            <w:shd w:val="clear" w:color="auto" w:fill="1F473D"/>
          </w:tcPr>
          <w:p>
            <w:pPr>
              <w:jc w:val="center"/>
              <w:spacing w:after="0" w:line="213" w:lineRule="exact"/>
              <w:rPr>
                <w:sz w:val="20"/>
                <w:szCs w:val="20"/>
                <w:color w:val="auto"/>
              </w:rPr>
            </w:pPr>
            <w:r>
              <w:rPr>
                <w:rFonts w:ascii="Arial" w:cs="Arial" w:eastAsia="Arial" w:hAnsi="Arial"/>
                <w:sz w:val="16"/>
                <w:szCs w:val="16"/>
                <w:b w:val="1"/>
                <w:bCs w:val="1"/>
                <w:color w:val="FFFFFF"/>
              </w:rPr>
              <w:t>Combinations</w:t>
            </w:r>
            <w:r>
              <w:rPr>
                <w:rFonts w:ascii="Arial" w:cs="Arial" w:eastAsia="Arial" w:hAnsi="Arial"/>
                <w:sz w:val="19"/>
                <w:szCs w:val="19"/>
                <w:b w:val="1"/>
                <w:bCs w:val="1"/>
                <w:color w:val="FFFFFF"/>
                <w:vertAlign w:val="superscript"/>
              </w:rPr>
              <w:t>(1)</w:t>
            </w:r>
            <w:r>
              <w:rPr>
                <w:rFonts w:ascii="Arial" w:cs="Arial" w:eastAsia="Arial" w:hAnsi="Arial"/>
                <w:sz w:val="16"/>
                <w:szCs w:val="16"/>
                <w:b w:val="1"/>
                <w:bCs w:val="1"/>
                <w:color w:val="FFFFFF"/>
              </w:rPr>
              <w:t xml:space="preserve"> </w:t>
            </w:r>
          </w:p>
        </w:tc>
        <w:tc>
          <w:tcPr>
            <w:tcW w:w="1640" w:type="dxa"/>
            <w:vAlign w:val="bottom"/>
            <w:tcBorders>
              <w:bottom w:val="single" w:sz="8" w:color="D64000"/>
            </w:tcBorders>
            <w:shd w:val="clear" w:color="auto" w:fill="1F473D"/>
          </w:tcPr>
          <w:p>
            <w:pPr>
              <w:jc w:val="right"/>
              <w:ind w:right="301"/>
              <w:spacing w:after="0"/>
              <w:rPr>
                <w:sz w:val="20"/>
                <w:szCs w:val="20"/>
                <w:color w:val="auto"/>
              </w:rPr>
            </w:pPr>
            <w:r>
              <w:rPr>
                <w:rFonts w:ascii="Arial" w:cs="Arial" w:eastAsia="Arial" w:hAnsi="Arial"/>
                <w:sz w:val="16"/>
                <w:szCs w:val="16"/>
                <w:b w:val="1"/>
                <w:bCs w:val="1"/>
                <w:color w:val="FFFFFF"/>
              </w:rPr>
              <w:t xml:space="preserve">Purchased    </w:t>
            </w:r>
          </w:p>
        </w:tc>
        <w:tc>
          <w:tcPr>
            <w:tcW w:w="1080" w:type="dxa"/>
            <w:vAlign w:val="bottom"/>
            <w:tcBorders>
              <w:bottom w:val="single" w:sz="8" w:color="D64000"/>
            </w:tcBorders>
            <w:shd w:val="clear" w:color="auto" w:fill="1F473D"/>
          </w:tcPr>
          <w:p>
            <w:pPr>
              <w:jc w:val="right"/>
              <w:ind w:right="81"/>
              <w:spacing w:after="0"/>
              <w:rPr>
                <w:sz w:val="20"/>
                <w:szCs w:val="20"/>
                <w:color w:val="auto"/>
              </w:rPr>
            </w:pPr>
            <w:r>
              <w:rPr>
                <w:rFonts w:ascii="Arial" w:cs="Arial" w:eastAsia="Arial" w:hAnsi="Arial"/>
                <w:sz w:val="16"/>
                <w:szCs w:val="16"/>
                <w:b w:val="1"/>
                <w:bCs w:val="1"/>
                <w:color w:val="FFFFFF"/>
              </w:rPr>
              <w:t xml:space="preserve">Total      </w:t>
            </w:r>
          </w:p>
        </w:tc>
      </w:tr>
      <w:tr>
        <w:trPr>
          <w:trHeight w:val="171"/>
        </w:trPr>
        <w:tc>
          <w:tcPr>
            <w:tcW w:w="3060" w:type="dxa"/>
            <w:vAlign w:val="bottom"/>
          </w:tcPr>
          <w:p>
            <w:pPr>
              <w:spacing w:after="0" w:line="171" w:lineRule="exact"/>
              <w:rPr>
                <w:sz w:val="20"/>
                <w:szCs w:val="20"/>
                <w:color w:val="auto"/>
              </w:rPr>
            </w:pPr>
            <w:r>
              <w:rPr>
                <w:rFonts w:ascii="Arial" w:cs="Arial" w:eastAsia="Arial" w:hAnsi="Arial"/>
                <w:sz w:val="16"/>
                <w:szCs w:val="16"/>
                <w:b w:val="1"/>
                <w:bCs w:val="1"/>
                <w:color w:val="auto"/>
              </w:rPr>
              <w:t> Cost:</w:t>
            </w:r>
          </w:p>
        </w:tc>
        <w:tc>
          <w:tcPr>
            <w:tcW w:w="2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5"/>
        </w:trPr>
        <w:tc>
          <w:tcPr>
            <w:tcW w:w="3060" w:type="dxa"/>
            <w:vAlign w:val="bottom"/>
          </w:tcPr>
          <w:p>
            <w:pPr>
              <w:spacing w:after="0"/>
              <w:rPr>
                <w:sz w:val="20"/>
                <w:szCs w:val="20"/>
                <w:color w:val="auto"/>
              </w:rPr>
            </w:pPr>
            <w:r>
              <w:rPr>
                <w:rFonts w:ascii="Arial" w:cs="Arial" w:eastAsia="Arial" w:hAnsi="Arial"/>
                <w:sz w:val="16"/>
                <w:szCs w:val="16"/>
                <w:color w:val="auto"/>
              </w:rPr>
              <w:t> December 31, 2022</w:t>
            </w:r>
          </w:p>
        </w:tc>
        <w:tc>
          <w:tcPr>
            <w:tcW w:w="2200" w:type="dxa"/>
            <w:vAlign w:val="bottom"/>
          </w:tcPr>
          <w:p>
            <w:pPr>
              <w:jc w:val="right"/>
              <w:ind w:right="161"/>
              <w:spacing w:after="0"/>
              <w:rPr>
                <w:sz w:val="20"/>
                <w:szCs w:val="20"/>
                <w:color w:val="auto"/>
              </w:rPr>
            </w:pPr>
            <w:r>
              <w:rPr>
                <w:rFonts w:ascii="Arial" w:cs="Arial" w:eastAsia="Arial" w:hAnsi="Arial"/>
                <w:sz w:val="16"/>
                <w:szCs w:val="16"/>
                <w:color w:val="auto"/>
              </w:rPr>
              <w:t>5,054</w:t>
            </w:r>
          </w:p>
        </w:tc>
        <w:tc>
          <w:tcPr>
            <w:tcW w:w="1740" w:type="dxa"/>
            <w:vAlign w:val="bottom"/>
          </w:tcPr>
          <w:p>
            <w:pPr>
              <w:jc w:val="right"/>
              <w:ind w:right="161"/>
              <w:spacing w:after="0"/>
              <w:rPr>
                <w:sz w:val="20"/>
                <w:szCs w:val="20"/>
                <w:color w:val="auto"/>
              </w:rPr>
            </w:pPr>
            <w:r>
              <w:rPr>
                <w:rFonts w:ascii="Arial" w:cs="Arial" w:eastAsia="Arial" w:hAnsi="Arial"/>
                <w:sz w:val="16"/>
                <w:szCs w:val="16"/>
                <w:color w:val="auto"/>
              </w:rPr>
              <w:t>264</w:t>
            </w:r>
          </w:p>
        </w:tc>
        <w:tc>
          <w:tcPr>
            <w:tcW w:w="1640" w:type="dxa"/>
            <w:vAlign w:val="bottom"/>
          </w:tcPr>
          <w:p>
            <w:pPr>
              <w:jc w:val="right"/>
              <w:ind w:right="181"/>
              <w:spacing w:after="0"/>
              <w:rPr>
                <w:sz w:val="20"/>
                <w:szCs w:val="20"/>
                <w:color w:val="auto"/>
              </w:rPr>
            </w:pPr>
            <w:r>
              <w:rPr>
                <w:rFonts w:ascii="Arial" w:cs="Arial" w:eastAsia="Arial" w:hAnsi="Arial"/>
                <w:sz w:val="16"/>
                <w:szCs w:val="16"/>
                <w:color w:val="auto"/>
              </w:rPr>
              <w:t>80</w:t>
            </w:r>
          </w:p>
        </w:tc>
        <w:tc>
          <w:tcPr>
            <w:tcW w:w="1080" w:type="dxa"/>
            <w:vAlign w:val="bottom"/>
          </w:tcPr>
          <w:p>
            <w:pPr>
              <w:jc w:val="right"/>
              <w:spacing w:after="0"/>
              <w:rPr>
                <w:sz w:val="20"/>
                <w:szCs w:val="20"/>
                <w:color w:val="auto"/>
              </w:rPr>
            </w:pPr>
            <w:r>
              <w:rPr>
                <w:rFonts w:ascii="Arial" w:cs="Arial" w:eastAsia="Arial" w:hAnsi="Arial"/>
                <w:sz w:val="16"/>
                <w:szCs w:val="16"/>
                <w:color w:val="auto"/>
              </w:rPr>
              <w:t>5,398</w:t>
            </w:r>
          </w:p>
        </w:tc>
      </w:tr>
      <w:tr>
        <w:trPr>
          <w:trHeight w:val="186"/>
        </w:trPr>
        <w:tc>
          <w:tcPr>
            <w:tcW w:w="3060" w:type="dxa"/>
            <w:vAlign w:val="bottom"/>
          </w:tcPr>
          <w:p>
            <w:pPr>
              <w:spacing w:after="0"/>
              <w:rPr>
                <w:sz w:val="20"/>
                <w:szCs w:val="20"/>
                <w:color w:val="auto"/>
              </w:rPr>
            </w:pPr>
            <w:r>
              <w:rPr>
                <w:rFonts w:ascii="Arial" w:cs="Arial" w:eastAsia="Arial" w:hAnsi="Arial"/>
                <w:sz w:val="16"/>
                <w:szCs w:val="16"/>
                <w:color w:val="auto"/>
              </w:rPr>
              <w:t> Additions</w:t>
            </w:r>
          </w:p>
        </w:tc>
        <w:tc>
          <w:tcPr>
            <w:tcW w:w="2200" w:type="dxa"/>
            <w:vAlign w:val="bottom"/>
          </w:tcPr>
          <w:p>
            <w:pPr>
              <w:jc w:val="right"/>
              <w:ind w:right="161"/>
              <w:spacing w:after="0"/>
              <w:rPr>
                <w:sz w:val="20"/>
                <w:szCs w:val="20"/>
                <w:color w:val="auto"/>
              </w:rPr>
            </w:pPr>
            <w:r>
              <w:rPr>
                <w:rFonts w:ascii="Arial" w:cs="Arial" w:eastAsia="Arial" w:hAnsi="Arial"/>
                <w:sz w:val="16"/>
                <w:szCs w:val="16"/>
                <w:color w:val="auto"/>
              </w:rPr>
              <w:t>472</w:t>
            </w:r>
          </w:p>
        </w:tc>
        <w:tc>
          <w:tcPr>
            <w:tcW w:w="1740" w:type="dxa"/>
            <w:vAlign w:val="bottom"/>
          </w:tcPr>
          <w:p>
            <w:pPr>
              <w:jc w:val="right"/>
              <w:ind w:right="161"/>
              <w:spacing w:after="0"/>
              <w:rPr>
                <w:sz w:val="20"/>
                <w:szCs w:val="20"/>
                <w:color w:val="auto"/>
              </w:rPr>
            </w:pPr>
            <w:r>
              <w:rPr>
                <w:rFonts w:ascii="Arial" w:cs="Arial" w:eastAsia="Arial" w:hAnsi="Arial"/>
                <w:sz w:val="16"/>
                <w:szCs w:val="16"/>
                <w:color w:val="auto"/>
              </w:rPr>
              <w:t>374</w:t>
            </w:r>
          </w:p>
        </w:tc>
        <w:tc>
          <w:tcPr>
            <w:tcW w:w="1640" w:type="dxa"/>
            <w:vAlign w:val="bottom"/>
          </w:tcPr>
          <w:p>
            <w:pPr>
              <w:jc w:val="right"/>
              <w:ind w:right="181"/>
              <w:spacing w:after="0"/>
              <w:rPr>
                <w:sz w:val="20"/>
                <w:szCs w:val="20"/>
                <w:color w:val="auto"/>
              </w:rPr>
            </w:pPr>
            <w:r>
              <w:rPr>
                <w:rFonts w:ascii="Arial" w:cs="Arial" w:eastAsia="Arial" w:hAnsi="Arial"/>
                <w:sz w:val="16"/>
                <w:szCs w:val="16"/>
                <w:color w:val="auto"/>
              </w:rPr>
              <w:t>1</w:t>
            </w:r>
          </w:p>
        </w:tc>
        <w:tc>
          <w:tcPr>
            <w:tcW w:w="1080" w:type="dxa"/>
            <w:vAlign w:val="bottom"/>
          </w:tcPr>
          <w:p>
            <w:pPr>
              <w:jc w:val="right"/>
              <w:spacing w:after="0"/>
              <w:rPr>
                <w:sz w:val="20"/>
                <w:szCs w:val="20"/>
                <w:color w:val="auto"/>
              </w:rPr>
            </w:pPr>
            <w:r>
              <w:rPr>
                <w:rFonts w:ascii="Arial" w:cs="Arial" w:eastAsia="Arial" w:hAnsi="Arial"/>
                <w:sz w:val="16"/>
                <w:szCs w:val="16"/>
                <w:color w:val="auto"/>
              </w:rPr>
              <w:t>847</w:t>
            </w:r>
          </w:p>
        </w:tc>
      </w:tr>
      <w:tr>
        <w:trPr>
          <w:trHeight w:val="186"/>
        </w:trPr>
        <w:tc>
          <w:tcPr>
            <w:tcW w:w="3060" w:type="dxa"/>
            <w:vAlign w:val="bottom"/>
          </w:tcPr>
          <w:p>
            <w:pPr>
              <w:spacing w:after="0"/>
              <w:rPr>
                <w:sz w:val="20"/>
                <w:szCs w:val="20"/>
                <w:color w:val="auto"/>
              </w:rPr>
            </w:pPr>
            <w:r>
              <w:rPr>
                <w:rFonts w:ascii="Arial" w:cs="Arial" w:eastAsia="Arial" w:hAnsi="Arial"/>
                <w:sz w:val="16"/>
                <w:szCs w:val="16"/>
                <w:color w:val="auto"/>
              </w:rPr>
              <w:t> Removed from service</w:t>
            </w:r>
          </w:p>
        </w:tc>
        <w:tc>
          <w:tcPr>
            <w:tcW w:w="2200" w:type="dxa"/>
            <w:vAlign w:val="bottom"/>
          </w:tcPr>
          <w:p>
            <w:pPr>
              <w:jc w:val="right"/>
              <w:ind w:right="161"/>
              <w:spacing w:after="0"/>
              <w:rPr>
                <w:sz w:val="20"/>
                <w:szCs w:val="20"/>
                <w:color w:val="auto"/>
              </w:rPr>
            </w:pPr>
            <w:r>
              <w:rPr>
                <w:rFonts w:ascii="Arial" w:cs="Arial" w:eastAsia="Arial" w:hAnsi="Arial"/>
                <w:sz w:val="16"/>
                <w:szCs w:val="16"/>
                <w:color w:val="auto"/>
              </w:rPr>
              <w:t>(190)</w:t>
            </w:r>
          </w:p>
        </w:tc>
        <w:tc>
          <w:tcPr>
            <w:tcW w:w="1740" w:type="dxa"/>
            <w:vAlign w:val="bottom"/>
          </w:tcPr>
          <w:p>
            <w:pPr>
              <w:jc w:val="right"/>
              <w:ind w:right="161"/>
              <w:spacing w:after="0"/>
              <w:rPr>
                <w:sz w:val="20"/>
                <w:szCs w:val="20"/>
                <w:color w:val="auto"/>
              </w:rPr>
            </w:pPr>
            <w:r>
              <w:rPr>
                <w:rFonts w:ascii="Arial" w:cs="Arial" w:eastAsia="Arial" w:hAnsi="Arial"/>
                <w:sz w:val="16"/>
                <w:szCs w:val="16"/>
                <w:color w:val="auto"/>
              </w:rPr>
              <w:t>(2)</w:t>
            </w:r>
          </w:p>
        </w:tc>
        <w:tc>
          <w:tcPr>
            <w:tcW w:w="16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185"/>
        </w:trPr>
        <w:tc>
          <w:tcPr>
            <w:tcW w:w="3060" w:type="dxa"/>
            <w:vAlign w:val="bottom"/>
          </w:tcPr>
          <w:p>
            <w:pPr>
              <w:spacing w:after="0"/>
              <w:rPr>
                <w:sz w:val="20"/>
                <w:szCs w:val="20"/>
                <w:color w:val="auto"/>
              </w:rPr>
            </w:pPr>
            <w:r>
              <w:rPr>
                <w:rFonts w:ascii="Arial" w:cs="Arial" w:eastAsia="Arial" w:hAnsi="Arial"/>
                <w:sz w:val="16"/>
                <w:szCs w:val="16"/>
                <w:color w:val="auto"/>
              </w:rPr>
              <w:t> Disposals of businesses</w:t>
            </w:r>
          </w:p>
        </w:tc>
        <w:tc>
          <w:tcPr>
            <w:tcW w:w="2200" w:type="dxa"/>
            <w:vAlign w:val="bottom"/>
          </w:tcPr>
          <w:p>
            <w:pPr>
              <w:jc w:val="right"/>
              <w:ind w:right="161"/>
              <w:spacing w:after="0"/>
              <w:rPr>
                <w:sz w:val="20"/>
                <w:szCs w:val="20"/>
                <w:color w:val="auto"/>
              </w:rPr>
            </w:pPr>
            <w:r>
              <w:rPr>
                <w:rFonts w:ascii="Arial" w:cs="Arial" w:eastAsia="Arial" w:hAnsi="Arial"/>
                <w:sz w:val="16"/>
                <w:szCs w:val="16"/>
                <w:color w:val="auto"/>
              </w:rPr>
              <w:t>(219)</w:t>
            </w:r>
          </w:p>
        </w:tc>
        <w:tc>
          <w:tcPr>
            <w:tcW w:w="174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200"/>
        </w:trPr>
        <w:tc>
          <w:tcPr>
            <w:tcW w:w="306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Translation and other, net</w:t>
            </w:r>
          </w:p>
        </w:tc>
        <w:tc>
          <w:tcPr>
            <w:tcW w:w="2200" w:type="dxa"/>
            <w:vAlign w:val="bottom"/>
            <w:tcBorders>
              <w:bottom w:val="single" w:sz="8" w:color="B2B2B2"/>
            </w:tcBorders>
          </w:tcPr>
          <w:p>
            <w:pPr>
              <w:jc w:val="right"/>
              <w:ind w:right="161"/>
              <w:spacing w:after="0"/>
              <w:rPr>
                <w:sz w:val="20"/>
                <w:szCs w:val="20"/>
                <w:color w:val="auto"/>
              </w:rPr>
            </w:pPr>
            <w:r>
              <w:rPr>
                <w:rFonts w:ascii="Arial" w:cs="Arial" w:eastAsia="Arial" w:hAnsi="Arial"/>
                <w:sz w:val="16"/>
                <w:szCs w:val="16"/>
                <w:color w:val="auto"/>
              </w:rPr>
              <w:t>23</w:t>
            </w:r>
          </w:p>
        </w:tc>
        <w:tc>
          <w:tcPr>
            <w:tcW w:w="1740" w:type="dxa"/>
            <w:vAlign w:val="bottom"/>
            <w:tcBorders>
              <w:bottom w:val="single" w:sz="8" w:color="B2B2B2"/>
            </w:tcBorders>
          </w:tcPr>
          <w:p>
            <w:pPr>
              <w:jc w:val="right"/>
              <w:ind w:right="161"/>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color w:val="auto"/>
              </w:rPr>
              <w:t>1</w:t>
            </w: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24</w:t>
            </w:r>
          </w:p>
        </w:tc>
      </w:tr>
      <w:tr>
        <w:trPr>
          <w:trHeight w:val="179"/>
        </w:trPr>
        <w:tc>
          <w:tcPr>
            <w:tcW w:w="306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December 31, 2023</w:t>
            </w:r>
          </w:p>
        </w:tc>
        <w:tc>
          <w:tcPr>
            <w:tcW w:w="2200" w:type="dxa"/>
            <w:vAlign w:val="bottom"/>
            <w:tcBorders>
              <w:bottom w:val="single" w:sz="8" w:color="B2B2B2"/>
            </w:tcBorders>
          </w:tcPr>
          <w:p>
            <w:pPr>
              <w:jc w:val="right"/>
              <w:ind w:right="161"/>
              <w:spacing w:after="0" w:line="179" w:lineRule="exact"/>
              <w:rPr>
                <w:sz w:val="20"/>
                <w:szCs w:val="20"/>
                <w:color w:val="auto"/>
              </w:rPr>
            </w:pPr>
            <w:r>
              <w:rPr>
                <w:rFonts w:ascii="Arial" w:cs="Arial" w:eastAsia="Arial" w:hAnsi="Arial"/>
                <w:sz w:val="16"/>
                <w:szCs w:val="16"/>
                <w:b w:val="1"/>
                <w:bCs w:val="1"/>
                <w:color w:val="auto"/>
              </w:rPr>
              <w:t>5,140</w:t>
            </w:r>
          </w:p>
        </w:tc>
        <w:tc>
          <w:tcPr>
            <w:tcW w:w="1740" w:type="dxa"/>
            <w:vAlign w:val="bottom"/>
            <w:tcBorders>
              <w:bottom w:val="single" w:sz="8" w:color="B2B2B2"/>
            </w:tcBorders>
          </w:tcPr>
          <w:p>
            <w:pPr>
              <w:jc w:val="right"/>
              <w:ind w:right="161"/>
              <w:spacing w:after="0" w:line="179" w:lineRule="exact"/>
              <w:rPr>
                <w:sz w:val="20"/>
                <w:szCs w:val="20"/>
                <w:color w:val="auto"/>
              </w:rPr>
            </w:pPr>
            <w:r>
              <w:rPr>
                <w:rFonts w:ascii="Arial" w:cs="Arial" w:eastAsia="Arial" w:hAnsi="Arial"/>
                <w:sz w:val="16"/>
                <w:szCs w:val="16"/>
                <w:b w:val="1"/>
                <w:bCs w:val="1"/>
                <w:color w:val="auto"/>
              </w:rPr>
              <w:t>636</w:t>
            </w:r>
          </w:p>
        </w:tc>
        <w:tc>
          <w:tcPr>
            <w:tcW w:w="1640" w:type="dxa"/>
            <w:vAlign w:val="bottom"/>
            <w:tcBorders>
              <w:bottom w:val="single" w:sz="8" w:color="B2B2B2"/>
            </w:tcBorders>
          </w:tcPr>
          <w:p>
            <w:pPr>
              <w:jc w:val="right"/>
              <w:ind w:right="181"/>
              <w:spacing w:after="0" w:line="179" w:lineRule="exact"/>
              <w:rPr>
                <w:sz w:val="20"/>
                <w:szCs w:val="20"/>
                <w:color w:val="auto"/>
              </w:rPr>
            </w:pPr>
            <w:r>
              <w:rPr>
                <w:rFonts w:ascii="Arial" w:cs="Arial" w:eastAsia="Arial" w:hAnsi="Arial"/>
                <w:sz w:val="16"/>
                <w:szCs w:val="16"/>
                <w:b w:val="1"/>
                <w:bCs w:val="1"/>
                <w:color w:val="auto"/>
              </w:rPr>
              <w:t>82</w:t>
            </w:r>
          </w:p>
        </w:tc>
        <w:tc>
          <w:tcPr>
            <w:tcW w:w="108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b w:val="1"/>
                <w:bCs w:val="1"/>
                <w:color w:val="auto"/>
              </w:rPr>
              <w:t>5,858</w:t>
            </w:r>
          </w:p>
        </w:tc>
      </w:tr>
      <w:tr>
        <w:trPr>
          <w:trHeight w:val="165"/>
        </w:trPr>
        <w:tc>
          <w:tcPr>
            <w:tcW w:w="3060" w:type="dxa"/>
            <w:vAlign w:val="bottom"/>
          </w:tcPr>
          <w:p>
            <w:pPr>
              <w:spacing w:after="0" w:line="165" w:lineRule="exact"/>
              <w:rPr>
                <w:sz w:val="20"/>
                <w:szCs w:val="20"/>
                <w:color w:val="auto"/>
              </w:rPr>
            </w:pPr>
            <w:r>
              <w:rPr>
                <w:rFonts w:ascii="Arial" w:cs="Arial" w:eastAsia="Arial" w:hAnsi="Arial"/>
                <w:sz w:val="16"/>
                <w:szCs w:val="16"/>
                <w:color w:val="auto"/>
              </w:rPr>
              <w:t> Additions</w:t>
            </w:r>
          </w:p>
        </w:tc>
        <w:tc>
          <w:tcPr>
            <w:tcW w:w="2200" w:type="dxa"/>
            <w:vAlign w:val="bottom"/>
          </w:tcPr>
          <w:p>
            <w:pPr>
              <w:jc w:val="right"/>
              <w:ind w:right="161"/>
              <w:spacing w:after="0" w:line="165" w:lineRule="exact"/>
              <w:rPr>
                <w:sz w:val="20"/>
                <w:szCs w:val="20"/>
                <w:color w:val="auto"/>
              </w:rPr>
            </w:pPr>
            <w:r>
              <w:rPr>
                <w:rFonts w:ascii="Arial" w:cs="Arial" w:eastAsia="Arial" w:hAnsi="Arial"/>
                <w:sz w:val="16"/>
                <w:szCs w:val="16"/>
                <w:b w:val="1"/>
                <w:bCs w:val="1"/>
                <w:color w:val="auto"/>
              </w:rPr>
              <w:t>569</w:t>
            </w:r>
          </w:p>
        </w:tc>
        <w:tc>
          <w:tcPr>
            <w:tcW w:w="1740" w:type="dxa"/>
            <w:vAlign w:val="bottom"/>
          </w:tcPr>
          <w:p>
            <w:pPr>
              <w:jc w:val="right"/>
              <w:ind w:right="161"/>
              <w:spacing w:after="0" w:line="165" w:lineRule="exact"/>
              <w:rPr>
                <w:sz w:val="20"/>
                <w:szCs w:val="20"/>
                <w:color w:val="auto"/>
              </w:rPr>
            </w:pPr>
            <w:r>
              <w:rPr>
                <w:rFonts w:ascii="Arial" w:cs="Arial" w:eastAsia="Arial" w:hAnsi="Arial"/>
                <w:sz w:val="16"/>
                <w:szCs w:val="16"/>
                <w:b w:val="1"/>
                <w:bCs w:val="1"/>
                <w:color w:val="auto"/>
              </w:rPr>
              <w:t>306</w:t>
            </w:r>
          </w:p>
        </w:tc>
        <w:tc>
          <w:tcPr>
            <w:tcW w:w="1640" w:type="dxa"/>
            <w:vAlign w:val="bottom"/>
          </w:tcPr>
          <w:p>
            <w:pPr>
              <w:jc w:val="right"/>
              <w:ind w:right="181"/>
              <w:spacing w:after="0" w:line="165" w:lineRule="exact"/>
              <w:rPr>
                <w:sz w:val="20"/>
                <w:szCs w:val="20"/>
                <w:color w:val="auto"/>
              </w:rPr>
            </w:pPr>
            <w:r>
              <w:rPr>
                <w:rFonts w:ascii="Arial" w:cs="Arial" w:eastAsia="Arial" w:hAnsi="Arial"/>
                <w:sz w:val="16"/>
                <w:szCs w:val="16"/>
                <w:b w:val="1"/>
                <w:bCs w:val="1"/>
                <w:color w:val="auto"/>
              </w:rPr>
              <w:t>2</w:t>
            </w:r>
          </w:p>
        </w:tc>
        <w:tc>
          <w:tcPr>
            <w:tcW w:w="108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877</w:t>
            </w:r>
          </w:p>
        </w:tc>
      </w:tr>
      <w:tr>
        <w:trPr>
          <w:trHeight w:val="185"/>
        </w:trPr>
        <w:tc>
          <w:tcPr>
            <w:tcW w:w="3060" w:type="dxa"/>
            <w:vAlign w:val="bottom"/>
          </w:tcPr>
          <w:p>
            <w:pPr>
              <w:spacing w:after="0"/>
              <w:rPr>
                <w:sz w:val="20"/>
                <w:szCs w:val="20"/>
                <w:color w:val="auto"/>
              </w:rPr>
            </w:pPr>
            <w:r>
              <w:rPr>
                <w:rFonts w:ascii="Arial" w:cs="Arial" w:eastAsia="Arial" w:hAnsi="Arial"/>
                <w:sz w:val="16"/>
                <w:szCs w:val="16"/>
                <w:color w:val="auto"/>
              </w:rPr>
              <w:t> Removed from service</w:t>
            </w:r>
          </w:p>
        </w:tc>
        <w:tc>
          <w:tcPr>
            <w:tcW w:w="2200" w:type="dxa"/>
            <w:vAlign w:val="bottom"/>
          </w:tcPr>
          <w:p>
            <w:pPr>
              <w:jc w:val="right"/>
              <w:ind w:right="161"/>
              <w:spacing w:after="0"/>
              <w:rPr>
                <w:sz w:val="20"/>
                <w:szCs w:val="20"/>
                <w:color w:val="auto"/>
              </w:rPr>
            </w:pPr>
            <w:r>
              <w:rPr>
                <w:rFonts w:ascii="Arial" w:cs="Arial" w:eastAsia="Arial" w:hAnsi="Arial"/>
                <w:sz w:val="16"/>
                <w:szCs w:val="16"/>
                <w:b w:val="1"/>
                <w:bCs w:val="1"/>
                <w:color w:val="auto"/>
              </w:rPr>
              <w:t>(99)</w:t>
            </w:r>
          </w:p>
        </w:tc>
        <w:tc>
          <w:tcPr>
            <w:tcW w:w="1740" w:type="dxa"/>
            <w:vAlign w:val="bottom"/>
          </w:tcPr>
          <w:p>
            <w:pPr>
              <w:jc w:val="right"/>
              <w:ind w:right="161"/>
              <w:spacing w:after="0"/>
              <w:rPr>
                <w:sz w:val="20"/>
                <w:szCs w:val="20"/>
                <w:color w:val="auto"/>
              </w:rPr>
            </w:pPr>
            <w:r>
              <w:rPr>
                <w:rFonts w:ascii="Arial" w:cs="Arial" w:eastAsia="Arial" w:hAnsi="Arial"/>
                <w:sz w:val="16"/>
                <w:szCs w:val="16"/>
                <w:b w:val="1"/>
                <w:bCs w:val="1"/>
                <w:color w:val="auto"/>
              </w:rPr>
              <w:t>-</w:t>
            </w:r>
          </w:p>
        </w:tc>
        <w:tc>
          <w:tcPr>
            <w:tcW w:w="1640" w:type="dxa"/>
            <w:vAlign w:val="bottom"/>
          </w:tcPr>
          <w:p>
            <w:pPr>
              <w:jc w:val="right"/>
              <w:ind w:right="181"/>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(99)</w:t>
            </w:r>
          </w:p>
        </w:tc>
      </w:tr>
      <w:tr>
        <w:trPr>
          <w:trHeight w:val="186"/>
        </w:trPr>
        <w:tc>
          <w:tcPr>
            <w:tcW w:w="3060" w:type="dxa"/>
            <w:vAlign w:val="bottom"/>
          </w:tcPr>
          <w:p>
            <w:pPr>
              <w:spacing w:after="0"/>
              <w:rPr>
                <w:sz w:val="20"/>
                <w:szCs w:val="20"/>
                <w:color w:val="auto"/>
              </w:rPr>
            </w:pPr>
            <w:r>
              <w:rPr>
                <w:rFonts w:ascii="Arial" w:cs="Arial" w:eastAsia="Arial" w:hAnsi="Arial"/>
                <w:sz w:val="16"/>
                <w:szCs w:val="16"/>
                <w:color w:val="auto"/>
              </w:rPr>
              <w:t> Disposals of businesses</w:t>
            </w:r>
          </w:p>
        </w:tc>
        <w:tc>
          <w:tcPr>
            <w:tcW w:w="2200" w:type="dxa"/>
            <w:vAlign w:val="bottom"/>
          </w:tcPr>
          <w:p>
            <w:pPr>
              <w:jc w:val="right"/>
              <w:ind w:right="161"/>
              <w:spacing w:after="0"/>
              <w:rPr>
                <w:sz w:val="20"/>
                <w:szCs w:val="20"/>
                <w:color w:val="auto"/>
              </w:rPr>
            </w:pPr>
            <w:r>
              <w:rPr>
                <w:rFonts w:ascii="Arial" w:cs="Arial" w:eastAsia="Arial" w:hAnsi="Arial"/>
                <w:sz w:val="16"/>
                <w:szCs w:val="16"/>
                <w:b w:val="1"/>
                <w:bCs w:val="1"/>
                <w:color w:val="auto"/>
              </w:rPr>
              <w:t>(52)</w:t>
            </w:r>
          </w:p>
        </w:tc>
        <w:tc>
          <w:tcPr>
            <w:tcW w:w="1740" w:type="dxa"/>
            <w:vAlign w:val="bottom"/>
          </w:tcPr>
          <w:p>
            <w:pPr>
              <w:jc w:val="right"/>
              <w:ind w:right="161"/>
              <w:spacing w:after="0"/>
              <w:rPr>
                <w:sz w:val="20"/>
                <w:szCs w:val="20"/>
                <w:color w:val="auto"/>
              </w:rPr>
            </w:pPr>
            <w:r>
              <w:rPr>
                <w:rFonts w:ascii="Arial" w:cs="Arial" w:eastAsia="Arial" w:hAnsi="Arial"/>
                <w:sz w:val="16"/>
                <w:szCs w:val="16"/>
                <w:b w:val="1"/>
                <w:bCs w:val="1"/>
                <w:color w:val="auto"/>
              </w:rPr>
              <w:t>-</w:t>
            </w:r>
          </w:p>
        </w:tc>
        <w:tc>
          <w:tcPr>
            <w:tcW w:w="1640" w:type="dxa"/>
            <w:vAlign w:val="bottom"/>
          </w:tcPr>
          <w:p>
            <w:pPr>
              <w:jc w:val="right"/>
              <w:ind w:right="181"/>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(52)</w:t>
            </w:r>
          </w:p>
        </w:tc>
      </w:tr>
      <w:tr>
        <w:trPr>
          <w:trHeight w:val="200"/>
        </w:trPr>
        <w:tc>
          <w:tcPr>
            <w:tcW w:w="306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Translation and other, net</w:t>
            </w:r>
          </w:p>
        </w:tc>
        <w:tc>
          <w:tcPr>
            <w:tcW w:w="2200" w:type="dxa"/>
            <w:vAlign w:val="bottom"/>
            <w:tcBorders>
              <w:bottom w:val="single" w:sz="8" w:color="B2B2B2"/>
            </w:tcBorders>
          </w:tcPr>
          <w:p>
            <w:pPr>
              <w:jc w:val="right"/>
              <w:ind w:right="161"/>
              <w:spacing w:after="0"/>
              <w:rPr>
                <w:sz w:val="20"/>
                <w:szCs w:val="20"/>
                <w:color w:val="auto"/>
              </w:rPr>
            </w:pPr>
            <w:r>
              <w:rPr>
                <w:rFonts w:ascii="Arial" w:cs="Arial" w:eastAsia="Arial" w:hAnsi="Arial"/>
                <w:sz w:val="16"/>
                <w:szCs w:val="16"/>
                <w:b w:val="1"/>
                <w:bCs w:val="1"/>
                <w:color w:val="auto"/>
              </w:rPr>
              <w:t>8</w:t>
            </w:r>
          </w:p>
        </w:tc>
        <w:tc>
          <w:tcPr>
            <w:tcW w:w="1740" w:type="dxa"/>
            <w:vAlign w:val="bottom"/>
            <w:tcBorders>
              <w:bottom w:val="single" w:sz="8" w:color="B2B2B2"/>
            </w:tcBorders>
          </w:tcPr>
          <w:p>
            <w:pPr>
              <w:jc w:val="right"/>
              <w:ind w:right="161"/>
              <w:spacing w:after="0"/>
              <w:rPr>
                <w:sz w:val="20"/>
                <w:szCs w:val="20"/>
                <w:color w:val="auto"/>
              </w:rPr>
            </w:pPr>
            <w:r>
              <w:rPr>
                <w:rFonts w:ascii="Arial" w:cs="Arial" w:eastAsia="Arial" w:hAnsi="Arial"/>
                <w:sz w:val="16"/>
                <w:szCs w:val="16"/>
                <w:b w:val="1"/>
                <w:bCs w:val="1"/>
                <w:color w:val="auto"/>
              </w:rPr>
              <w:t>(20)</w:t>
            </w:r>
          </w:p>
        </w:tc>
        <w:tc>
          <w:tcPr>
            <w:tcW w:w="164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b w:val="1"/>
                <w:bCs w:val="1"/>
                <w:color w:val="auto"/>
              </w:rPr>
              <w:t>(2)</w:t>
            </w: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(14)</w:t>
            </w:r>
          </w:p>
        </w:tc>
      </w:tr>
      <w:tr>
        <w:trPr>
          <w:trHeight w:val="179"/>
        </w:trPr>
        <w:tc>
          <w:tcPr>
            <w:tcW w:w="306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b w:val="1"/>
                <w:bCs w:val="1"/>
                <w:color w:val="auto"/>
              </w:rPr>
              <w:t> December 31, 2024</w:t>
            </w:r>
          </w:p>
        </w:tc>
        <w:tc>
          <w:tcPr>
            <w:tcW w:w="2200" w:type="dxa"/>
            <w:vAlign w:val="bottom"/>
            <w:tcBorders>
              <w:bottom w:val="single" w:sz="8" w:color="B2B2B2"/>
            </w:tcBorders>
          </w:tcPr>
          <w:p>
            <w:pPr>
              <w:jc w:val="right"/>
              <w:ind w:right="161"/>
              <w:spacing w:after="0" w:line="179" w:lineRule="exact"/>
              <w:rPr>
                <w:sz w:val="20"/>
                <w:szCs w:val="20"/>
                <w:color w:val="auto"/>
              </w:rPr>
            </w:pPr>
            <w:r>
              <w:rPr>
                <w:rFonts w:ascii="Arial" w:cs="Arial" w:eastAsia="Arial" w:hAnsi="Arial"/>
                <w:sz w:val="16"/>
                <w:szCs w:val="16"/>
                <w:b w:val="1"/>
                <w:bCs w:val="1"/>
                <w:color w:val="auto"/>
              </w:rPr>
              <w:t>5,566</w:t>
            </w:r>
          </w:p>
        </w:tc>
        <w:tc>
          <w:tcPr>
            <w:tcW w:w="1740" w:type="dxa"/>
            <w:vAlign w:val="bottom"/>
            <w:tcBorders>
              <w:bottom w:val="single" w:sz="8" w:color="B2B2B2"/>
            </w:tcBorders>
          </w:tcPr>
          <w:p>
            <w:pPr>
              <w:jc w:val="right"/>
              <w:ind w:right="161"/>
              <w:spacing w:after="0" w:line="179" w:lineRule="exact"/>
              <w:rPr>
                <w:sz w:val="20"/>
                <w:szCs w:val="20"/>
                <w:color w:val="auto"/>
              </w:rPr>
            </w:pPr>
            <w:r>
              <w:rPr>
                <w:rFonts w:ascii="Arial" w:cs="Arial" w:eastAsia="Arial" w:hAnsi="Arial"/>
                <w:sz w:val="16"/>
                <w:szCs w:val="16"/>
                <w:b w:val="1"/>
                <w:bCs w:val="1"/>
                <w:color w:val="auto"/>
              </w:rPr>
              <w:t>922</w:t>
            </w:r>
          </w:p>
        </w:tc>
        <w:tc>
          <w:tcPr>
            <w:tcW w:w="1640" w:type="dxa"/>
            <w:vAlign w:val="bottom"/>
            <w:tcBorders>
              <w:bottom w:val="single" w:sz="8" w:color="B2B2B2"/>
            </w:tcBorders>
          </w:tcPr>
          <w:p>
            <w:pPr>
              <w:jc w:val="right"/>
              <w:ind w:right="181"/>
              <w:spacing w:after="0" w:line="179" w:lineRule="exact"/>
              <w:rPr>
                <w:sz w:val="20"/>
                <w:szCs w:val="20"/>
                <w:color w:val="auto"/>
              </w:rPr>
            </w:pPr>
            <w:r>
              <w:rPr>
                <w:rFonts w:ascii="Arial" w:cs="Arial" w:eastAsia="Arial" w:hAnsi="Arial"/>
                <w:sz w:val="16"/>
                <w:szCs w:val="16"/>
                <w:b w:val="1"/>
                <w:bCs w:val="1"/>
                <w:color w:val="auto"/>
              </w:rPr>
              <w:t>82</w:t>
            </w:r>
          </w:p>
        </w:tc>
        <w:tc>
          <w:tcPr>
            <w:tcW w:w="108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b w:val="1"/>
                <w:bCs w:val="1"/>
                <w:color w:val="auto"/>
              </w:rPr>
              <w:t>6,570</w:t>
            </w:r>
          </w:p>
        </w:tc>
      </w:tr>
      <w:tr>
        <w:trPr>
          <w:trHeight w:val="165"/>
        </w:trPr>
        <w:tc>
          <w:tcPr>
            <w:tcW w:w="3060" w:type="dxa"/>
            <w:vAlign w:val="bottom"/>
          </w:tcPr>
          <w:p>
            <w:pPr>
              <w:spacing w:after="0" w:line="165" w:lineRule="exact"/>
              <w:rPr>
                <w:sz w:val="20"/>
                <w:szCs w:val="20"/>
                <w:color w:val="auto"/>
              </w:rPr>
            </w:pPr>
            <w:r>
              <w:rPr>
                <w:rFonts w:ascii="Arial" w:cs="Arial" w:eastAsia="Arial" w:hAnsi="Arial"/>
                <w:sz w:val="16"/>
                <w:szCs w:val="16"/>
                <w:b w:val="1"/>
                <w:bCs w:val="1"/>
                <w:color w:val="auto"/>
              </w:rPr>
              <w:t> Accumulated amortization:</w:t>
            </w:r>
          </w:p>
        </w:tc>
        <w:tc>
          <w:tcPr>
            <w:tcW w:w="2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5"/>
        </w:trPr>
        <w:tc>
          <w:tcPr>
            <w:tcW w:w="3060" w:type="dxa"/>
            <w:vAlign w:val="bottom"/>
          </w:tcPr>
          <w:p>
            <w:pPr>
              <w:spacing w:after="0"/>
              <w:rPr>
                <w:sz w:val="20"/>
                <w:szCs w:val="20"/>
                <w:color w:val="auto"/>
              </w:rPr>
            </w:pPr>
            <w:r>
              <w:rPr>
                <w:rFonts w:ascii="Arial" w:cs="Arial" w:eastAsia="Arial" w:hAnsi="Arial"/>
                <w:sz w:val="16"/>
                <w:szCs w:val="16"/>
                <w:color w:val="auto"/>
              </w:rPr>
              <w:t> December 31, 2022</w:t>
            </w:r>
          </w:p>
        </w:tc>
        <w:tc>
          <w:tcPr>
            <w:tcW w:w="2200" w:type="dxa"/>
            <w:vAlign w:val="bottom"/>
          </w:tcPr>
          <w:p>
            <w:pPr>
              <w:jc w:val="right"/>
              <w:ind w:right="161"/>
              <w:spacing w:after="0"/>
              <w:rPr>
                <w:sz w:val="20"/>
                <w:szCs w:val="20"/>
                <w:color w:val="auto"/>
              </w:rPr>
            </w:pPr>
            <w:r>
              <w:rPr>
                <w:rFonts w:ascii="Arial" w:cs="Arial" w:eastAsia="Arial" w:hAnsi="Arial"/>
                <w:sz w:val="16"/>
                <w:szCs w:val="16"/>
                <w:color w:val="auto"/>
              </w:rPr>
              <w:t>(4,201)</w:t>
            </w:r>
          </w:p>
        </w:tc>
        <w:tc>
          <w:tcPr>
            <w:tcW w:w="1740" w:type="dxa"/>
            <w:vAlign w:val="bottom"/>
          </w:tcPr>
          <w:p>
            <w:pPr>
              <w:jc w:val="right"/>
              <w:ind w:right="161"/>
              <w:spacing w:after="0"/>
              <w:rPr>
                <w:sz w:val="20"/>
                <w:szCs w:val="20"/>
                <w:color w:val="auto"/>
              </w:rPr>
            </w:pPr>
            <w:r>
              <w:rPr>
                <w:rFonts w:ascii="Arial" w:cs="Arial" w:eastAsia="Arial" w:hAnsi="Arial"/>
                <w:sz w:val="16"/>
                <w:szCs w:val="16"/>
                <w:color w:val="auto"/>
              </w:rPr>
              <w:t>(187)</w:t>
            </w:r>
          </w:p>
        </w:tc>
        <w:tc>
          <w:tcPr>
            <w:tcW w:w="1640" w:type="dxa"/>
            <w:vAlign w:val="bottom"/>
          </w:tcPr>
          <w:p>
            <w:pPr>
              <w:jc w:val="right"/>
              <w:ind w:right="181"/>
              <w:spacing w:after="0"/>
              <w:rPr>
                <w:sz w:val="20"/>
                <w:szCs w:val="20"/>
                <w:color w:val="auto"/>
              </w:rPr>
            </w:pPr>
            <w:r>
              <w:rPr>
                <w:rFonts w:ascii="Arial" w:cs="Arial" w:eastAsia="Arial" w:hAnsi="Arial"/>
                <w:sz w:val="16"/>
                <w:szCs w:val="16"/>
                <w:color w:val="auto"/>
              </w:rPr>
              <w:t>(75)</w:t>
            </w:r>
          </w:p>
        </w:tc>
        <w:tc>
          <w:tcPr>
            <w:tcW w:w="1080" w:type="dxa"/>
            <w:vAlign w:val="bottom"/>
          </w:tcPr>
          <w:p>
            <w:pPr>
              <w:jc w:val="right"/>
              <w:spacing w:after="0"/>
              <w:rPr>
                <w:sz w:val="20"/>
                <w:szCs w:val="20"/>
                <w:color w:val="auto"/>
              </w:rPr>
            </w:pPr>
            <w:r>
              <w:rPr>
                <w:rFonts w:ascii="Arial" w:cs="Arial" w:eastAsia="Arial" w:hAnsi="Arial"/>
                <w:sz w:val="16"/>
                <w:szCs w:val="16"/>
                <w:color w:val="auto"/>
              </w:rPr>
              <w:t>(4,463)</w:t>
            </w:r>
          </w:p>
        </w:tc>
      </w:tr>
      <w:tr>
        <w:trPr>
          <w:trHeight w:val="186"/>
        </w:trPr>
        <w:tc>
          <w:tcPr>
            <w:tcW w:w="3060" w:type="dxa"/>
            <w:vAlign w:val="bottom"/>
          </w:tcPr>
          <w:p>
            <w:pPr>
              <w:spacing w:after="0"/>
              <w:rPr>
                <w:sz w:val="20"/>
                <w:szCs w:val="20"/>
                <w:color w:val="auto"/>
              </w:rPr>
            </w:pPr>
            <w:r>
              <w:rPr>
                <w:rFonts w:ascii="Arial" w:cs="Arial" w:eastAsia="Arial" w:hAnsi="Arial"/>
                <w:sz w:val="16"/>
                <w:szCs w:val="16"/>
                <w:color w:val="auto"/>
              </w:rPr>
              <w:t> Amortization</w:t>
            </w:r>
          </w:p>
        </w:tc>
        <w:tc>
          <w:tcPr>
            <w:tcW w:w="2200" w:type="dxa"/>
            <w:vAlign w:val="bottom"/>
          </w:tcPr>
          <w:p>
            <w:pPr>
              <w:jc w:val="right"/>
              <w:ind w:right="161"/>
              <w:spacing w:after="0"/>
              <w:rPr>
                <w:sz w:val="20"/>
                <w:szCs w:val="20"/>
                <w:color w:val="auto"/>
              </w:rPr>
            </w:pPr>
            <w:r>
              <w:rPr>
                <w:rFonts w:ascii="Arial" w:cs="Arial" w:eastAsia="Arial" w:hAnsi="Arial"/>
                <w:sz w:val="16"/>
                <w:szCs w:val="16"/>
                <w:color w:val="auto"/>
              </w:rPr>
              <w:t>(437)</w:t>
            </w:r>
          </w:p>
        </w:tc>
        <w:tc>
          <w:tcPr>
            <w:tcW w:w="1740" w:type="dxa"/>
            <w:vAlign w:val="bottom"/>
          </w:tcPr>
          <w:p>
            <w:pPr>
              <w:jc w:val="right"/>
              <w:ind w:right="161"/>
              <w:spacing w:after="0"/>
              <w:rPr>
                <w:sz w:val="20"/>
                <w:szCs w:val="20"/>
                <w:color w:val="auto"/>
              </w:rPr>
            </w:pPr>
            <w:r>
              <w:rPr>
                <w:rFonts w:ascii="Arial" w:cs="Arial" w:eastAsia="Arial" w:hAnsi="Arial"/>
                <w:sz w:val="16"/>
                <w:szCs w:val="16"/>
                <w:color w:val="auto"/>
              </w:rPr>
              <w:t>(72)</w:t>
            </w:r>
          </w:p>
        </w:tc>
        <w:tc>
          <w:tcPr>
            <w:tcW w:w="1640" w:type="dxa"/>
            <w:vAlign w:val="bottom"/>
          </w:tcPr>
          <w:p>
            <w:pPr>
              <w:jc w:val="right"/>
              <w:ind w:right="181"/>
              <w:spacing w:after="0"/>
              <w:rPr>
                <w:sz w:val="20"/>
                <w:szCs w:val="20"/>
                <w:color w:val="auto"/>
              </w:rPr>
            </w:pPr>
            <w:r>
              <w:rPr>
                <w:rFonts w:ascii="Arial" w:cs="Arial" w:eastAsia="Arial" w:hAnsi="Arial"/>
                <w:sz w:val="16"/>
                <w:szCs w:val="16"/>
                <w:color w:val="auto"/>
              </w:rPr>
              <w:t>(3)</w:t>
            </w:r>
          </w:p>
        </w:tc>
        <w:tc>
          <w:tcPr>
            <w:tcW w:w="1080" w:type="dxa"/>
            <w:vAlign w:val="bottom"/>
          </w:tcPr>
          <w:p>
            <w:pPr>
              <w:jc w:val="right"/>
              <w:spacing w:after="0"/>
              <w:rPr>
                <w:sz w:val="20"/>
                <w:szCs w:val="20"/>
                <w:color w:val="auto"/>
              </w:rPr>
            </w:pPr>
            <w:r>
              <w:rPr>
                <w:rFonts w:ascii="Arial" w:cs="Arial" w:eastAsia="Arial" w:hAnsi="Arial"/>
                <w:sz w:val="16"/>
                <w:szCs w:val="16"/>
                <w:color w:val="auto"/>
              </w:rPr>
              <w:t>(512)</w:t>
            </w:r>
          </w:p>
        </w:tc>
      </w:tr>
      <w:tr>
        <w:trPr>
          <w:trHeight w:val="185"/>
        </w:trPr>
        <w:tc>
          <w:tcPr>
            <w:tcW w:w="3060" w:type="dxa"/>
            <w:vAlign w:val="bottom"/>
          </w:tcPr>
          <w:p>
            <w:pPr>
              <w:spacing w:after="0"/>
              <w:rPr>
                <w:sz w:val="20"/>
                <w:szCs w:val="20"/>
                <w:color w:val="auto"/>
              </w:rPr>
            </w:pPr>
            <w:r>
              <w:rPr>
                <w:rFonts w:ascii="Arial" w:cs="Arial" w:eastAsia="Arial" w:hAnsi="Arial"/>
                <w:sz w:val="16"/>
                <w:szCs w:val="16"/>
                <w:color w:val="auto"/>
              </w:rPr>
              <w:t> Removed from service</w:t>
            </w:r>
          </w:p>
        </w:tc>
        <w:tc>
          <w:tcPr>
            <w:tcW w:w="2200" w:type="dxa"/>
            <w:vAlign w:val="bottom"/>
          </w:tcPr>
          <w:p>
            <w:pPr>
              <w:jc w:val="right"/>
              <w:ind w:right="161"/>
              <w:spacing w:after="0"/>
              <w:rPr>
                <w:sz w:val="20"/>
                <w:szCs w:val="20"/>
                <w:color w:val="auto"/>
              </w:rPr>
            </w:pPr>
            <w:r>
              <w:rPr>
                <w:rFonts w:ascii="Arial" w:cs="Arial" w:eastAsia="Arial" w:hAnsi="Arial"/>
                <w:sz w:val="16"/>
                <w:szCs w:val="16"/>
                <w:color w:val="auto"/>
              </w:rPr>
              <w:t>190</w:t>
            </w:r>
          </w:p>
        </w:tc>
        <w:tc>
          <w:tcPr>
            <w:tcW w:w="1740" w:type="dxa"/>
            <w:vAlign w:val="bottom"/>
          </w:tcPr>
          <w:p>
            <w:pPr>
              <w:jc w:val="right"/>
              <w:ind w:right="161"/>
              <w:spacing w:after="0"/>
              <w:rPr>
                <w:sz w:val="20"/>
                <w:szCs w:val="20"/>
                <w:color w:val="auto"/>
              </w:rPr>
            </w:pPr>
            <w:r>
              <w:rPr>
                <w:rFonts w:ascii="Arial" w:cs="Arial" w:eastAsia="Arial" w:hAnsi="Arial"/>
                <w:sz w:val="16"/>
                <w:szCs w:val="16"/>
                <w:color w:val="auto"/>
              </w:rPr>
              <w:t>2</w:t>
            </w:r>
          </w:p>
        </w:tc>
        <w:tc>
          <w:tcPr>
            <w:tcW w:w="16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186"/>
        </w:trPr>
        <w:tc>
          <w:tcPr>
            <w:tcW w:w="3060" w:type="dxa"/>
            <w:vAlign w:val="bottom"/>
          </w:tcPr>
          <w:p>
            <w:pPr>
              <w:spacing w:after="0"/>
              <w:rPr>
                <w:sz w:val="20"/>
                <w:szCs w:val="20"/>
                <w:color w:val="auto"/>
              </w:rPr>
            </w:pPr>
            <w:r>
              <w:rPr>
                <w:rFonts w:ascii="Arial" w:cs="Arial" w:eastAsia="Arial" w:hAnsi="Arial"/>
                <w:sz w:val="16"/>
                <w:szCs w:val="16"/>
                <w:color w:val="auto"/>
              </w:rPr>
              <w:t> Disposals of businesses</w:t>
            </w:r>
          </w:p>
        </w:tc>
        <w:tc>
          <w:tcPr>
            <w:tcW w:w="2200" w:type="dxa"/>
            <w:vAlign w:val="bottom"/>
          </w:tcPr>
          <w:p>
            <w:pPr>
              <w:jc w:val="right"/>
              <w:ind w:right="161"/>
              <w:spacing w:after="0"/>
              <w:rPr>
                <w:sz w:val="20"/>
                <w:szCs w:val="20"/>
                <w:color w:val="auto"/>
              </w:rPr>
            </w:pPr>
            <w:r>
              <w:rPr>
                <w:rFonts w:ascii="Arial" w:cs="Arial" w:eastAsia="Arial" w:hAnsi="Arial"/>
                <w:sz w:val="16"/>
                <w:szCs w:val="16"/>
                <w:color w:val="auto"/>
              </w:rPr>
              <w:t>183</w:t>
            </w:r>
          </w:p>
        </w:tc>
        <w:tc>
          <w:tcPr>
            <w:tcW w:w="174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200"/>
        </w:trPr>
        <w:tc>
          <w:tcPr>
            <w:tcW w:w="306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Translation and other, net</w:t>
            </w:r>
          </w:p>
        </w:tc>
        <w:tc>
          <w:tcPr>
            <w:tcW w:w="2200" w:type="dxa"/>
            <w:vAlign w:val="bottom"/>
            <w:tcBorders>
              <w:bottom w:val="single" w:sz="8" w:color="B2B2B2"/>
            </w:tcBorders>
          </w:tcPr>
          <w:p>
            <w:pPr>
              <w:jc w:val="right"/>
              <w:ind w:right="161"/>
              <w:spacing w:after="0"/>
              <w:rPr>
                <w:sz w:val="20"/>
                <w:szCs w:val="20"/>
                <w:color w:val="auto"/>
              </w:rPr>
            </w:pPr>
            <w:r>
              <w:rPr>
                <w:rFonts w:ascii="Arial" w:cs="Arial" w:eastAsia="Arial" w:hAnsi="Arial"/>
                <w:sz w:val="16"/>
                <w:szCs w:val="16"/>
                <w:color w:val="auto"/>
              </w:rPr>
              <w:t>(23)</w:t>
            </w:r>
          </w:p>
        </w:tc>
        <w:tc>
          <w:tcPr>
            <w:tcW w:w="1740" w:type="dxa"/>
            <w:vAlign w:val="bottom"/>
            <w:tcBorders>
              <w:bottom w:val="single" w:sz="8" w:color="B2B2B2"/>
            </w:tcBorders>
          </w:tcPr>
          <w:p>
            <w:pPr>
              <w:jc w:val="right"/>
              <w:ind w:right="161"/>
              <w:spacing w:after="0"/>
              <w:rPr>
                <w:sz w:val="20"/>
                <w:szCs w:val="20"/>
                <w:color w:val="auto"/>
              </w:rPr>
            </w:pPr>
            <w:r>
              <w:rPr>
                <w:rFonts w:ascii="Arial" w:cs="Arial" w:eastAsia="Arial" w:hAnsi="Arial"/>
                <w:sz w:val="16"/>
                <w:szCs w:val="16"/>
                <w:color w:val="auto"/>
              </w:rPr>
              <w:t>1</w:t>
            </w:r>
          </w:p>
        </w:tc>
        <w:tc>
          <w:tcPr>
            <w:tcW w:w="164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(22)</w:t>
            </w:r>
          </w:p>
        </w:tc>
      </w:tr>
      <w:tr>
        <w:trPr>
          <w:trHeight w:val="179"/>
        </w:trPr>
        <w:tc>
          <w:tcPr>
            <w:tcW w:w="306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December 31, 2023</w:t>
            </w:r>
          </w:p>
        </w:tc>
        <w:tc>
          <w:tcPr>
            <w:tcW w:w="2200" w:type="dxa"/>
            <w:vAlign w:val="bottom"/>
            <w:tcBorders>
              <w:bottom w:val="single" w:sz="8" w:color="B2B2B2"/>
            </w:tcBorders>
          </w:tcPr>
          <w:p>
            <w:pPr>
              <w:jc w:val="right"/>
              <w:ind w:right="161"/>
              <w:spacing w:after="0" w:line="179" w:lineRule="exact"/>
              <w:rPr>
                <w:sz w:val="20"/>
                <w:szCs w:val="20"/>
                <w:color w:val="auto"/>
              </w:rPr>
            </w:pPr>
            <w:r>
              <w:rPr>
                <w:rFonts w:ascii="Arial" w:cs="Arial" w:eastAsia="Arial" w:hAnsi="Arial"/>
                <w:sz w:val="16"/>
                <w:szCs w:val="16"/>
                <w:b w:val="1"/>
                <w:bCs w:val="1"/>
                <w:color w:val="auto"/>
              </w:rPr>
              <w:t>(4,288)</w:t>
            </w:r>
          </w:p>
        </w:tc>
        <w:tc>
          <w:tcPr>
            <w:tcW w:w="1740" w:type="dxa"/>
            <w:vAlign w:val="bottom"/>
            <w:tcBorders>
              <w:bottom w:val="single" w:sz="8" w:color="B2B2B2"/>
            </w:tcBorders>
          </w:tcPr>
          <w:p>
            <w:pPr>
              <w:jc w:val="right"/>
              <w:ind w:right="161"/>
              <w:spacing w:after="0" w:line="179" w:lineRule="exact"/>
              <w:rPr>
                <w:sz w:val="20"/>
                <w:szCs w:val="20"/>
                <w:color w:val="auto"/>
              </w:rPr>
            </w:pPr>
            <w:r>
              <w:rPr>
                <w:rFonts w:ascii="Arial" w:cs="Arial" w:eastAsia="Arial" w:hAnsi="Arial"/>
                <w:sz w:val="16"/>
                <w:szCs w:val="16"/>
                <w:b w:val="1"/>
                <w:bCs w:val="1"/>
                <w:color w:val="auto"/>
              </w:rPr>
              <w:t>(256)</w:t>
            </w:r>
          </w:p>
        </w:tc>
        <w:tc>
          <w:tcPr>
            <w:tcW w:w="1640" w:type="dxa"/>
            <w:vAlign w:val="bottom"/>
            <w:tcBorders>
              <w:bottom w:val="single" w:sz="8" w:color="B2B2B2"/>
            </w:tcBorders>
          </w:tcPr>
          <w:p>
            <w:pPr>
              <w:jc w:val="right"/>
              <w:ind w:right="181"/>
              <w:spacing w:after="0" w:line="179" w:lineRule="exact"/>
              <w:rPr>
                <w:sz w:val="20"/>
                <w:szCs w:val="20"/>
                <w:color w:val="auto"/>
              </w:rPr>
            </w:pPr>
            <w:r>
              <w:rPr>
                <w:rFonts w:ascii="Arial" w:cs="Arial" w:eastAsia="Arial" w:hAnsi="Arial"/>
                <w:sz w:val="16"/>
                <w:szCs w:val="16"/>
                <w:b w:val="1"/>
                <w:bCs w:val="1"/>
                <w:color w:val="auto"/>
              </w:rPr>
              <w:t>(78)</w:t>
            </w:r>
          </w:p>
        </w:tc>
        <w:tc>
          <w:tcPr>
            <w:tcW w:w="108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b w:val="1"/>
                <w:bCs w:val="1"/>
                <w:color w:val="auto"/>
              </w:rPr>
              <w:t>(4,622)</w:t>
            </w:r>
          </w:p>
        </w:tc>
      </w:tr>
      <w:tr>
        <w:trPr>
          <w:trHeight w:val="165"/>
        </w:trPr>
        <w:tc>
          <w:tcPr>
            <w:tcW w:w="3060" w:type="dxa"/>
            <w:vAlign w:val="bottom"/>
          </w:tcPr>
          <w:p>
            <w:pPr>
              <w:spacing w:after="0" w:line="165" w:lineRule="exact"/>
              <w:rPr>
                <w:sz w:val="20"/>
                <w:szCs w:val="20"/>
                <w:color w:val="auto"/>
              </w:rPr>
            </w:pPr>
            <w:r>
              <w:rPr>
                <w:rFonts w:ascii="Arial" w:cs="Arial" w:eastAsia="Arial" w:hAnsi="Arial"/>
                <w:sz w:val="16"/>
                <w:szCs w:val="16"/>
                <w:color w:val="auto"/>
              </w:rPr>
              <w:t> Amortization</w:t>
            </w:r>
          </w:p>
        </w:tc>
        <w:tc>
          <w:tcPr>
            <w:tcW w:w="2200" w:type="dxa"/>
            <w:vAlign w:val="bottom"/>
          </w:tcPr>
          <w:p>
            <w:pPr>
              <w:jc w:val="right"/>
              <w:ind w:right="161"/>
              <w:spacing w:after="0" w:line="165" w:lineRule="exact"/>
              <w:rPr>
                <w:sz w:val="20"/>
                <w:szCs w:val="20"/>
                <w:color w:val="auto"/>
              </w:rPr>
            </w:pPr>
            <w:r>
              <w:rPr>
                <w:rFonts w:ascii="Arial" w:cs="Arial" w:eastAsia="Arial" w:hAnsi="Arial"/>
                <w:sz w:val="16"/>
                <w:szCs w:val="16"/>
                <w:b w:val="1"/>
                <w:bCs w:val="1"/>
                <w:color w:val="auto"/>
              </w:rPr>
              <w:t>(469)</w:t>
            </w:r>
          </w:p>
        </w:tc>
        <w:tc>
          <w:tcPr>
            <w:tcW w:w="1740" w:type="dxa"/>
            <w:vAlign w:val="bottom"/>
          </w:tcPr>
          <w:p>
            <w:pPr>
              <w:jc w:val="right"/>
              <w:ind w:right="161"/>
              <w:spacing w:after="0" w:line="165" w:lineRule="exact"/>
              <w:rPr>
                <w:sz w:val="20"/>
                <w:szCs w:val="20"/>
                <w:color w:val="auto"/>
              </w:rPr>
            </w:pPr>
            <w:r>
              <w:rPr>
                <w:rFonts w:ascii="Arial" w:cs="Arial" w:eastAsia="Arial" w:hAnsi="Arial"/>
                <w:sz w:val="16"/>
                <w:szCs w:val="16"/>
                <w:b w:val="1"/>
                <w:bCs w:val="1"/>
                <w:color w:val="auto"/>
              </w:rPr>
              <w:t>(147)</w:t>
            </w:r>
          </w:p>
        </w:tc>
        <w:tc>
          <w:tcPr>
            <w:tcW w:w="1640" w:type="dxa"/>
            <w:vAlign w:val="bottom"/>
          </w:tcPr>
          <w:p>
            <w:pPr>
              <w:jc w:val="right"/>
              <w:ind w:right="181"/>
              <w:spacing w:after="0" w:line="165" w:lineRule="exact"/>
              <w:rPr>
                <w:sz w:val="20"/>
                <w:szCs w:val="20"/>
                <w:color w:val="auto"/>
              </w:rPr>
            </w:pPr>
            <w:r>
              <w:rPr>
                <w:rFonts w:ascii="Arial" w:cs="Arial" w:eastAsia="Arial" w:hAnsi="Arial"/>
                <w:sz w:val="16"/>
                <w:szCs w:val="16"/>
                <w:b w:val="1"/>
                <w:bCs w:val="1"/>
                <w:color w:val="auto"/>
              </w:rPr>
              <w:t>(2)</w:t>
            </w:r>
          </w:p>
        </w:tc>
        <w:tc>
          <w:tcPr>
            <w:tcW w:w="108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(618)</w:t>
            </w:r>
          </w:p>
        </w:tc>
      </w:tr>
      <w:tr>
        <w:trPr>
          <w:trHeight w:val="186"/>
        </w:trPr>
        <w:tc>
          <w:tcPr>
            <w:tcW w:w="3060" w:type="dxa"/>
            <w:vAlign w:val="bottom"/>
          </w:tcPr>
          <w:p>
            <w:pPr>
              <w:spacing w:after="0"/>
              <w:rPr>
                <w:sz w:val="20"/>
                <w:szCs w:val="20"/>
                <w:color w:val="auto"/>
              </w:rPr>
            </w:pPr>
            <w:r>
              <w:rPr>
                <w:rFonts w:ascii="Arial" w:cs="Arial" w:eastAsia="Arial" w:hAnsi="Arial"/>
                <w:sz w:val="16"/>
                <w:szCs w:val="16"/>
                <w:color w:val="auto"/>
              </w:rPr>
              <w:t> Removed from service</w:t>
            </w:r>
          </w:p>
        </w:tc>
        <w:tc>
          <w:tcPr>
            <w:tcW w:w="2200" w:type="dxa"/>
            <w:vAlign w:val="bottom"/>
          </w:tcPr>
          <w:p>
            <w:pPr>
              <w:jc w:val="right"/>
              <w:ind w:right="161"/>
              <w:spacing w:after="0"/>
              <w:rPr>
                <w:sz w:val="20"/>
                <w:szCs w:val="20"/>
                <w:color w:val="auto"/>
              </w:rPr>
            </w:pPr>
            <w:r>
              <w:rPr>
                <w:rFonts w:ascii="Arial" w:cs="Arial" w:eastAsia="Arial" w:hAnsi="Arial"/>
                <w:sz w:val="16"/>
                <w:szCs w:val="16"/>
                <w:b w:val="1"/>
                <w:bCs w:val="1"/>
                <w:color w:val="auto"/>
              </w:rPr>
              <w:t>99</w:t>
            </w:r>
          </w:p>
        </w:tc>
        <w:tc>
          <w:tcPr>
            <w:tcW w:w="1740" w:type="dxa"/>
            <w:vAlign w:val="bottom"/>
          </w:tcPr>
          <w:p>
            <w:pPr>
              <w:jc w:val="right"/>
              <w:ind w:right="161"/>
              <w:spacing w:after="0"/>
              <w:rPr>
                <w:sz w:val="20"/>
                <w:szCs w:val="20"/>
                <w:color w:val="auto"/>
              </w:rPr>
            </w:pPr>
            <w:r>
              <w:rPr>
                <w:rFonts w:ascii="Arial" w:cs="Arial" w:eastAsia="Arial" w:hAnsi="Arial"/>
                <w:sz w:val="16"/>
                <w:szCs w:val="16"/>
                <w:b w:val="1"/>
                <w:bCs w:val="1"/>
                <w:color w:val="auto"/>
              </w:rPr>
              <w:t>-</w:t>
            </w:r>
          </w:p>
        </w:tc>
        <w:tc>
          <w:tcPr>
            <w:tcW w:w="1640" w:type="dxa"/>
            <w:vAlign w:val="bottom"/>
          </w:tcPr>
          <w:p>
            <w:pPr>
              <w:jc w:val="right"/>
              <w:ind w:right="181"/>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99</w:t>
            </w:r>
          </w:p>
        </w:tc>
      </w:tr>
      <w:tr>
        <w:trPr>
          <w:trHeight w:val="186"/>
        </w:trPr>
        <w:tc>
          <w:tcPr>
            <w:tcW w:w="3060" w:type="dxa"/>
            <w:vAlign w:val="bottom"/>
          </w:tcPr>
          <w:p>
            <w:pPr>
              <w:spacing w:after="0"/>
              <w:rPr>
                <w:sz w:val="20"/>
                <w:szCs w:val="20"/>
                <w:color w:val="auto"/>
              </w:rPr>
            </w:pPr>
            <w:r>
              <w:rPr>
                <w:rFonts w:ascii="Arial" w:cs="Arial" w:eastAsia="Arial" w:hAnsi="Arial"/>
                <w:sz w:val="16"/>
                <w:szCs w:val="16"/>
                <w:color w:val="auto"/>
              </w:rPr>
              <w:t> Disposals of businesses</w:t>
            </w:r>
          </w:p>
        </w:tc>
        <w:tc>
          <w:tcPr>
            <w:tcW w:w="2200" w:type="dxa"/>
            <w:vAlign w:val="bottom"/>
          </w:tcPr>
          <w:p>
            <w:pPr>
              <w:jc w:val="right"/>
              <w:ind w:right="161"/>
              <w:spacing w:after="0"/>
              <w:rPr>
                <w:sz w:val="20"/>
                <w:szCs w:val="20"/>
                <w:color w:val="auto"/>
              </w:rPr>
            </w:pPr>
            <w:r>
              <w:rPr>
                <w:rFonts w:ascii="Arial" w:cs="Arial" w:eastAsia="Arial" w:hAnsi="Arial"/>
                <w:sz w:val="16"/>
                <w:szCs w:val="16"/>
                <w:b w:val="1"/>
                <w:bCs w:val="1"/>
                <w:color w:val="auto"/>
              </w:rPr>
              <w:t>27</w:t>
            </w:r>
          </w:p>
        </w:tc>
        <w:tc>
          <w:tcPr>
            <w:tcW w:w="1740" w:type="dxa"/>
            <w:vAlign w:val="bottom"/>
          </w:tcPr>
          <w:p>
            <w:pPr>
              <w:jc w:val="right"/>
              <w:ind w:right="161"/>
              <w:spacing w:after="0"/>
              <w:rPr>
                <w:sz w:val="20"/>
                <w:szCs w:val="20"/>
                <w:color w:val="auto"/>
              </w:rPr>
            </w:pPr>
            <w:r>
              <w:rPr>
                <w:rFonts w:ascii="Arial" w:cs="Arial" w:eastAsia="Arial" w:hAnsi="Arial"/>
                <w:sz w:val="16"/>
                <w:szCs w:val="16"/>
                <w:b w:val="1"/>
                <w:bCs w:val="1"/>
                <w:color w:val="auto"/>
              </w:rPr>
              <w:t>-</w:t>
            </w:r>
          </w:p>
        </w:tc>
        <w:tc>
          <w:tcPr>
            <w:tcW w:w="1640" w:type="dxa"/>
            <w:vAlign w:val="bottom"/>
          </w:tcPr>
          <w:p>
            <w:pPr>
              <w:jc w:val="right"/>
              <w:ind w:right="181"/>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27</w:t>
            </w:r>
          </w:p>
        </w:tc>
      </w:tr>
      <w:tr>
        <w:trPr>
          <w:trHeight w:val="200"/>
        </w:trPr>
        <w:tc>
          <w:tcPr>
            <w:tcW w:w="306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Translation and other, net</w:t>
            </w:r>
          </w:p>
        </w:tc>
        <w:tc>
          <w:tcPr>
            <w:tcW w:w="2200" w:type="dxa"/>
            <w:vAlign w:val="bottom"/>
            <w:tcBorders>
              <w:bottom w:val="single" w:sz="8" w:color="B2B2B2"/>
            </w:tcBorders>
          </w:tcPr>
          <w:p>
            <w:pPr>
              <w:jc w:val="right"/>
              <w:ind w:right="161"/>
              <w:spacing w:after="0"/>
              <w:rPr>
                <w:sz w:val="20"/>
                <w:szCs w:val="20"/>
                <w:color w:val="auto"/>
              </w:rPr>
            </w:pPr>
            <w:r>
              <w:rPr>
                <w:rFonts w:ascii="Arial" w:cs="Arial" w:eastAsia="Arial" w:hAnsi="Arial"/>
                <w:sz w:val="16"/>
                <w:szCs w:val="16"/>
                <w:b w:val="1"/>
                <w:bCs w:val="1"/>
                <w:color w:val="auto"/>
              </w:rPr>
              <w:t>(3)</w:t>
            </w:r>
          </w:p>
        </w:tc>
        <w:tc>
          <w:tcPr>
            <w:tcW w:w="1740" w:type="dxa"/>
            <w:vAlign w:val="bottom"/>
            <w:tcBorders>
              <w:bottom w:val="single" w:sz="8" w:color="B2B2B2"/>
            </w:tcBorders>
          </w:tcPr>
          <w:p>
            <w:pPr>
              <w:jc w:val="right"/>
              <w:ind w:right="161"/>
              <w:spacing w:after="0"/>
              <w:rPr>
                <w:sz w:val="20"/>
                <w:szCs w:val="20"/>
                <w:color w:val="auto"/>
              </w:rPr>
            </w:pPr>
            <w:r>
              <w:rPr>
                <w:rFonts w:ascii="Arial" w:cs="Arial" w:eastAsia="Arial" w:hAnsi="Arial"/>
                <w:sz w:val="16"/>
                <w:szCs w:val="16"/>
                <w:b w:val="1"/>
                <w:bCs w:val="1"/>
                <w:color w:val="auto"/>
              </w:rPr>
              <w:t>(1)</w:t>
            </w:r>
          </w:p>
        </w:tc>
        <w:tc>
          <w:tcPr>
            <w:tcW w:w="164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b w:val="1"/>
                <w:bCs w:val="1"/>
                <w:color w:val="auto"/>
              </w:rPr>
              <w:t>1</w:t>
            </w:r>
          </w:p>
        </w:tc>
        <w:tc>
          <w:tcPr>
            <w:tcW w:w="10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(3)</w:t>
            </w:r>
          </w:p>
        </w:tc>
      </w:tr>
      <w:tr>
        <w:trPr>
          <w:trHeight w:val="179"/>
        </w:trPr>
        <w:tc>
          <w:tcPr>
            <w:tcW w:w="306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b w:val="1"/>
                <w:bCs w:val="1"/>
                <w:color w:val="auto"/>
              </w:rPr>
              <w:t> December 31, 2024</w:t>
            </w:r>
          </w:p>
        </w:tc>
        <w:tc>
          <w:tcPr>
            <w:tcW w:w="2200" w:type="dxa"/>
            <w:vAlign w:val="bottom"/>
            <w:tcBorders>
              <w:bottom w:val="single" w:sz="8" w:color="B2B2B2"/>
            </w:tcBorders>
          </w:tcPr>
          <w:p>
            <w:pPr>
              <w:jc w:val="right"/>
              <w:ind w:right="161"/>
              <w:spacing w:after="0" w:line="179" w:lineRule="exact"/>
              <w:rPr>
                <w:sz w:val="20"/>
                <w:szCs w:val="20"/>
                <w:color w:val="auto"/>
              </w:rPr>
            </w:pPr>
            <w:r>
              <w:rPr>
                <w:rFonts w:ascii="Arial" w:cs="Arial" w:eastAsia="Arial" w:hAnsi="Arial"/>
                <w:sz w:val="16"/>
                <w:szCs w:val="16"/>
                <w:b w:val="1"/>
                <w:bCs w:val="1"/>
                <w:color w:val="auto"/>
              </w:rPr>
              <w:t>(4,634)</w:t>
            </w:r>
          </w:p>
        </w:tc>
        <w:tc>
          <w:tcPr>
            <w:tcW w:w="1740" w:type="dxa"/>
            <w:vAlign w:val="bottom"/>
            <w:tcBorders>
              <w:bottom w:val="single" w:sz="8" w:color="B2B2B2"/>
            </w:tcBorders>
          </w:tcPr>
          <w:p>
            <w:pPr>
              <w:jc w:val="right"/>
              <w:ind w:right="161"/>
              <w:spacing w:after="0" w:line="179" w:lineRule="exact"/>
              <w:rPr>
                <w:sz w:val="20"/>
                <w:szCs w:val="20"/>
                <w:color w:val="auto"/>
              </w:rPr>
            </w:pPr>
            <w:r>
              <w:rPr>
                <w:rFonts w:ascii="Arial" w:cs="Arial" w:eastAsia="Arial" w:hAnsi="Arial"/>
                <w:sz w:val="16"/>
                <w:szCs w:val="16"/>
                <w:b w:val="1"/>
                <w:bCs w:val="1"/>
                <w:color w:val="auto"/>
              </w:rPr>
              <w:t>(404)</w:t>
            </w:r>
          </w:p>
        </w:tc>
        <w:tc>
          <w:tcPr>
            <w:tcW w:w="1640" w:type="dxa"/>
            <w:vAlign w:val="bottom"/>
            <w:tcBorders>
              <w:bottom w:val="single" w:sz="8" w:color="B2B2B2"/>
            </w:tcBorders>
          </w:tcPr>
          <w:p>
            <w:pPr>
              <w:jc w:val="right"/>
              <w:ind w:right="181"/>
              <w:spacing w:after="0" w:line="179" w:lineRule="exact"/>
              <w:rPr>
                <w:sz w:val="20"/>
                <w:szCs w:val="20"/>
                <w:color w:val="auto"/>
              </w:rPr>
            </w:pPr>
            <w:r>
              <w:rPr>
                <w:rFonts w:ascii="Arial" w:cs="Arial" w:eastAsia="Arial" w:hAnsi="Arial"/>
                <w:sz w:val="16"/>
                <w:szCs w:val="16"/>
                <w:b w:val="1"/>
                <w:bCs w:val="1"/>
                <w:color w:val="auto"/>
              </w:rPr>
              <w:t>(79)</w:t>
            </w:r>
          </w:p>
        </w:tc>
        <w:tc>
          <w:tcPr>
            <w:tcW w:w="108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b w:val="1"/>
                <w:bCs w:val="1"/>
                <w:color w:val="auto"/>
              </w:rPr>
              <w:t>(5,117)</w:t>
            </w:r>
          </w:p>
        </w:tc>
      </w:tr>
      <w:tr>
        <w:trPr>
          <w:trHeight w:val="165"/>
        </w:trPr>
        <w:tc>
          <w:tcPr>
            <w:tcW w:w="3060" w:type="dxa"/>
            <w:vAlign w:val="bottom"/>
          </w:tcPr>
          <w:p>
            <w:pPr>
              <w:spacing w:after="0" w:line="165" w:lineRule="exact"/>
              <w:rPr>
                <w:sz w:val="20"/>
                <w:szCs w:val="20"/>
                <w:color w:val="auto"/>
              </w:rPr>
            </w:pPr>
            <w:r>
              <w:rPr>
                <w:rFonts w:ascii="Arial" w:cs="Arial" w:eastAsia="Arial" w:hAnsi="Arial"/>
                <w:sz w:val="16"/>
                <w:szCs w:val="16"/>
                <w:b w:val="1"/>
                <w:bCs w:val="1"/>
                <w:color w:val="auto"/>
              </w:rPr>
              <w:t> Carrying amount:</w:t>
            </w:r>
          </w:p>
        </w:tc>
        <w:tc>
          <w:tcPr>
            <w:tcW w:w="2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5"/>
        </w:trPr>
        <w:tc>
          <w:tcPr>
            <w:tcW w:w="3060" w:type="dxa"/>
            <w:vAlign w:val="bottom"/>
          </w:tcPr>
          <w:p>
            <w:pPr>
              <w:spacing w:after="0"/>
              <w:rPr>
                <w:sz w:val="20"/>
                <w:szCs w:val="20"/>
                <w:color w:val="auto"/>
              </w:rPr>
            </w:pPr>
            <w:r>
              <w:rPr>
                <w:rFonts w:ascii="Arial" w:cs="Arial" w:eastAsia="Arial" w:hAnsi="Arial"/>
                <w:sz w:val="16"/>
                <w:szCs w:val="16"/>
                <w:color w:val="auto"/>
              </w:rPr>
              <w:t> December 31, 2023</w:t>
            </w:r>
          </w:p>
        </w:tc>
        <w:tc>
          <w:tcPr>
            <w:tcW w:w="2200" w:type="dxa"/>
            <w:vAlign w:val="bottom"/>
          </w:tcPr>
          <w:p>
            <w:pPr>
              <w:jc w:val="right"/>
              <w:ind w:right="161"/>
              <w:spacing w:after="0"/>
              <w:rPr>
                <w:sz w:val="20"/>
                <w:szCs w:val="20"/>
                <w:color w:val="auto"/>
              </w:rPr>
            </w:pPr>
            <w:r>
              <w:rPr>
                <w:rFonts w:ascii="Arial" w:cs="Arial" w:eastAsia="Arial" w:hAnsi="Arial"/>
                <w:sz w:val="16"/>
                <w:szCs w:val="16"/>
                <w:color w:val="auto"/>
              </w:rPr>
              <w:t>852</w:t>
            </w:r>
          </w:p>
        </w:tc>
        <w:tc>
          <w:tcPr>
            <w:tcW w:w="1740" w:type="dxa"/>
            <w:vAlign w:val="bottom"/>
          </w:tcPr>
          <w:p>
            <w:pPr>
              <w:jc w:val="right"/>
              <w:ind w:right="161"/>
              <w:spacing w:after="0"/>
              <w:rPr>
                <w:sz w:val="20"/>
                <w:szCs w:val="20"/>
                <w:color w:val="auto"/>
              </w:rPr>
            </w:pPr>
            <w:r>
              <w:rPr>
                <w:rFonts w:ascii="Arial" w:cs="Arial" w:eastAsia="Arial" w:hAnsi="Arial"/>
                <w:sz w:val="16"/>
                <w:szCs w:val="16"/>
                <w:color w:val="auto"/>
              </w:rPr>
              <w:t>380</w:t>
            </w:r>
          </w:p>
        </w:tc>
        <w:tc>
          <w:tcPr>
            <w:tcW w:w="1640" w:type="dxa"/>
            <w:vAlign w:val="bottom"/>
          </w:tcPr>
          <w:p>
            <w:pPr>
              <w:jc w:val="right"/>
              <w:ind w:right="181"/>
              <w:spacing w:after="0"/>
              <w:rPr>
                <w:sz w:val="20"/>
                <w:szCs w:val="20"/>
                <w:color w:val="auto"/>
              </w:rPr>
            </w:pPr>
            <w:r>
              <w:rPr>
                <w:rFonts w:ascii="Arial" w:cs="Arial" w:eastAsia="Arial" w:hAnsi="Arial"/>
                <w:sz w:val="16"/>
                <w:szCs w:val="16"/>
                <w:color w:val="auto"/>
              </w:rPr>
              <w:t>4</w:t>
            </w:r>
          </w:p>
        </w:tc>
        <w:tc>
          <w:tcPr>
            <w:tcW w:w="1080" w:type="dxa"/>
            <w:vAlign w:val="bottom"/>
          </w:tcPr>
          <w:p>
            <w:pPr>
              <w:jc w:val="right"/>
              <w:spacing w:after="0"/>
              <w:rPr>
                <w:sz w:val="20"/>
                <w:szCs w:val="20"/>
                <w:color w:val="auto"/>
              </w:rPr>
            </w:pPr>
            <w:r>
              <w:rPr>
                <w:rFonts w:ascii="Arial" w:cs="Arial" w:eastAsia="Arial" w:hAnsi="Arial"/>
                <w:sz w:val="16"/>
                <w:szCs w:val="16"/>
                <w:color w:val="auto"/>
              </w:rPr>
              <w:t>1,236</w:t>
            </w:r>
          </w:p>
        </w:tc>
      </w:tr>
      <w:tr>
        <w:trPr>
          <w:trHeight w:val="206"/>
        </w:trPr>
        <w:tc>
          <w:tcPr>
            <w:tcW w:w="3060" w:type="dxa"/>
            <w:vAlign w:val="bottom"/>
            <w:tcBorders>
              <w:bottom w:val="single" w:sz="8" w:color="D64000"/>
            </w:tcBorders>
          </w:tcPr>
          <w:p>
            <w:pPr>
              <w:spacing w:after="0"/>
              <w:rPr>
                <w:sz w:val="20"/>
                <w:szCs w:val="20"/>
                <w:color w:val="auto"/>
              </w:rPr>
            </w:pPr>
            <w:r>
              <w:rPr>
                <w:rFonts w:ascii="Arial" w:cs="Arial" w:eastAsia="Arial" w:hAnsi="Arial"/>
                <w:sz w:val="16"/>
                <w:szCs w:val="16"/>
                <w:b w:val="1"/>
                <w:bCs w:val="1"/>
                <w:color w:val="auto"/>
              </w:rPr>
              <w:t> December 31, 2024</w:t>
            </w:r>
          </w:p>
        </w:tc>
        <w:tc>
          <w:tcPr>
            <w:tcW w:w="2200" w:type="dxa"/>
            <w:vAlign w:val="bottom"/>
            <w:tcBorders>
              <w:bottom w:val="single" w:sz="8" w:color="D64000"/>
            </w:tcBorders>
          </w:tcPr>
          <w:p>
            <w:pPr>
              <w:jc w:val="right"/>
              <w:ind w:right="161"/>
              <w:spacing w:after="0"/>
              <w:rPr>
                <w:sz w:val="20"/>
                <w:szCs w:val="20"/>
                <w:color w:val="auto"/>
              </w:rPr>
            </w:pPr>
            <w:r>
              <w:rPr>
                <w:rFonts w:ascii="Arial" w:cs="Arial" w:eastAsia="Arial" w:hAnsi="Arial"/>
                <w:sz w:val="16"/>
                <w:szCs w:val="16"/>
                <w:b w:val="1"/>
                <w:bCs w:val="1"/>
                <w:color w:val="auto"/>
              </w:rPr>
              <w:t>932</w:t>
            </w:r>
          </w:p>
        </w:tc>
        <w:tc>
          <w:tcPr>
            <w:tcW w:w="1740" w:type="dxa"/>
            <w:vAlign w:val="bottom"/>
            <w:tcBorders>
              <w:bottom w:val="single" w:sz="8" w:color="D64000"/>
            </w:tcBorders>
          </w:tcPr>
          <w:p>
            <w:pPr>
              <w:jc w:val="right"/>
              <w:ind w:right="161"/>
              <w:spacing w:after="0"/>
              <w:rPr>
                <w:sz w:val="20"/>
                <w:szCs w:val="20"/>
                <w:color w:val="auto"/>
              </w:rPr>
            </w:pPr>
            <w:r>
              <w:rPr>
                <w:rFonts w:ascii="Arial" w:cs="Arial" w:eastAsia="Arial" w:hAnsi="Arial"/>
                <w:sz w:val="16"/>
                <w:szCs w:val="16"/>
                <w:b w:val="1"/>
                <w:bCs w:val="1"/>
                <w:color w:val="auto"/>
              </w:rPr>
              <w:t>518</w:t>
            </w:r>
          </w:p>
        </w:tc>
        <w:tc>
          <w:tcPr>
            <w:tcW w:w="1640" w:type="dxa"/>
            <w:vAlign w:val="bottom"/>
            <w:tcBorders>
              <w:bottom w:val="single" w:sz="8" w:color="D64000"/>
            </w:tcBorders>
          </w:tcPr>
          <w:p>
            <w:pPr>
              <w:jc w:val="right"/>
              <w:ind w:right="181"/>
              <w:spacing w:after="0"/>
              <w:rPr>
                <w:sz w:val="20"/>
                <w:szCs w:val="20"/>
                <w:color w:val="auto"/>
              </w:rPr>
            </w:pPr>
            <w:r>
              <w:rPr>
                <w:rFonts w:ascii="Arial" w:cs="Arial" w:eastAsia="Arial" w:hAnsi="Arial"/>
                <w:sz w:val="16"/>
                <w:szCs w:val="16"/>
                <w:b w:val="1"/>
                <w:bCs w:val="1"/>
                <w:color w:val="auto"/>
              </w:rPr>
              <w:t>3</w:t>
            </w:r>
          </w:p>
        </w:tc>
        <w:tc>
          <w:tcPr>
            <w:tcW w:w="1080" w:type="dxa"/>
            <w:vAlign w:val="bottom"/>
            <w:tcBorders>
              <w:bottom w:val="single" w:sz="8" w:color="D64000"/>
            </w:tcBorders>
          </w:tcPr>
          <w:p>
            <w:pPr>
              <w:jc w:val="right"/>
              <w:spacing w:after="0"/>
              <w:rPr>
                <w:sz w:val="20"/>
                <w:szCs w:val="20"/>
                <w:color w:val="auto"/>
              </w:rPr>
            </w:pPr>
            <w:r>
              <w:rPr>
                <w:rFonts w:ascii="Arial" w:cs="Arial" w:eastAsia="Arial" w:hAnsi="Arial"/>
                <w:sz w:val="16"/>
                <w:szCs w:val="16"/>
                <w:b w:val="1"/>
                <w:bCs w:val="1"/>
                <w:color w:val="auto"/>
              </w:rPr>
              <w:t>1,453</w:t>
            </w:r>
          </w:p>
        </w:tc>
      </w:tr>
    </w:tbl>
    <w:p>
      <w:pPr>
        <w:spacing w:after="0" w:line="110" w:lineRule="exact"/>
        <w:rPr>
          <w:sz w:val="20"/>
          <w:szCs w:val="20"/>
          <w:color w:val="auto"/>
        </w:rPr>
      </w:pPr>
    </w:p>
    <w:p>
      <w:pPr>
        <w:ind w:left="540" w:hanging="322"/>
        <w:spacing w:after="0"/>
        <w:tabs>
          <w:tab w:leader="none" w:pos="5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See note 30 for further information on acquired software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105410</wp:posOffset>
            </wp:positionV>
            <wp:extent cx="686562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77" w:lineRule="exact"/>
        <w:rPr>
          <w:sz w:val="20"/>
          <w:szCs w:val="20"/>
          <w:color w:val="auto"/>
        </w:rPr>
      </w:pPr>
    </w:p>
    <w:p>
      <w:pPr>
        <w:ind w:left="220"/>
        <w:spacing w:after="0"/>
        <w:tabs>
          <w:tab w:leader="none" w:pos="1032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6"/>
          <w:szCs w:val="16"/>
          <w:color w:val="auto"/>
        </w:rPr>
        <w:t>Page 111</w:t>
      </w:r>
    </w:p>
    <w:p>
      <w:pPr>
        <w:sectPr>
          <w:pgSz w:w="11900" w:h="16838" w:orient="portrait"/>
          <w:cols w:equalWidth="0" w:num="1">
            <w:col w:w="11040"/>
          </w:cols>
          <w:pgMar w:left="320" w:top="477" w:right="5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Note 18: Other Identifiable Intangible Assets</w:t>
      </w:r>
    </w:p>
    <w:p>
      <w:pPr>
        <w:spacing w:after="0" w:line="254"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040" w:type="dxa"/>
            <w:vAlign w:val="bottom"/>
            <w:shd w:val="clear" w:color="auto" w:fill="1F473D"/>
          </w:tcPr>
          <w:p>
            <w:pPr>
              <w:spacing w:after="0"/>
              <w:rPr>
                <w:sz w:val="14"/>
                <w:szCs w:val="14"/>
                <w:color w:val="auto"/>
              </w:rPr>
            </w:pPr>
          </w:p>
        </w:tc>
        <w:tc>
          <w:tcPr>
            <w:tcW w:w="1100" w:type="dxa"/>
            <w:vAlign w:val="bottom"/>
            <w:shd w:val="clear" w:color="auto" w:fill="1F473D"/>
          </w:tcPr>
          <w:p>
            <w:pPr>
              <w:jc w:val="center"/>
              <w:ind w:left="9"/>
              <w:spacing w:after="0"/>
              <w:rPr>
                <w:sz w:val="20"/>
                <w:szCs w:val="20"/>
                <w:color w:val="auto"/>
              </w:rPr>
            </w:pPr>
            <w:r>
              <w:rPr>
                <w:rFonts w:ascii="Arial" w:cs="Arial" w:eastAsia="Arial" w:hAnsi="Arial"/>
                <w:sz w:val="14"/>
                <w:szCs w:val="14"/>
                <w:b w:val="1"/>
                <w:bCs w:val="1"/>
                <w:color w:val="FFFFFF"/>
                <w:w w:val="99"/>
              </w:rPr>
              <w:t>Indefinite</w:t>
            </w:r>
          </w:p>
        </w:tc>
        <w:tc>
          <w:tcPr>
            <w:tcW w:w="220" w:type="dxa"/>
            <w:vAlign w:val="bottom"/>
            <w:shd w:val="clear" w:color="auto" w:fill="1F473D"/>
          </w:tcPr>
          <w:p>
            <w:pPr>
              <w:spacing w:after="0"/>
              <w:rPr>
                <w:sz w:val="14"/>
                <w:szCs w:val="14"/>
                <w:color w:val="auto"/>
              </w:rPr>
            </w:pPr>
          </w:p>
        </w:tc>
        <w:tc>
          <w:tcPr>
            <w:tcW w:w="1280" w:type="dxa"/>
            <w:vAlign w:val="bottom"/>
            <w:shd w:val="clear" w:color="auto" w:fill="1F473D"/>
          </w:tcPr>
          <w:p>
            <w:pPr>
              <w:spacing w:after="0"/>
              <w:rPr>
                <w:sz w:val="14"/>
                <w:szCs w:val="14"/>
                <w:color w:val="auto"/>
              </w:rPr>
            </w:pPr>
          </w:p>
        </w:tc>
        <w:tc>
          <w:tcPr>
            <w:tcW w:w="1260" w:type="dxa"/>
            <w:vAlign w:val="bottom"/>
            <w:shd w:val="clear" w:color="auto" w:fill="1F473D"/>
          </w:tcPr>
          <w:p>
            <w:pPr>
              <w:spacing w:after="0"/>
              <w:rPr>
                <w:sz w:val="14"/>
                <w:szCs w:val="14"/>
                <w:color w:val="auto"/>
              </w:rPr>
            </w:pPr>
          </w:p>
        </w:tc>
        <w:tc>
          <w:tcPr>
            <w:tcW w:w="1180" w:type="dxa"/>
            <w:vAlign w:val="bottom"/>
            <w:shd w:val="clear" w:color="auto" w:fill="1F473D"/>
          </w:tcPr>
          <w:p>
            <w:pPr>
              <w:spacing w:after="0"/>
              <w:rPr>
                <w:sz w:val="14"/>
                <w:szCs w:val="14"/>
                <w:color w:val="auto"/>
              </w:rPr>
            </w:pPr>
          </w:p>
        </w:tc>
        <w:tc>
          <w:tcPr>
            <w:tcW w:w="700" w:type="dxa"/>
            <w:vAlign w:val="bottom"/>
            <w:shd w:val="clear" w:color="auto" w:fill="1F473D"/>
          </w:tcPr>
          <w:p>
            <w:pPr>
              <w:spacing w:after="0"/>
              <w:rPr>
                <w:sz w:val="14"/>
                <w:szCs w:val="14"/>
                <w:color w:val="auto"/>
              </w:rPr>
            </w:pPr>
          </w:p>
        </w:tc>
        <w:tc>
          <w:tcPr>
            <w:tcW w:w="220" w:type="dxa"/>
            <w:vAlign w:val="bottom"/>
            <w:shd w:val="clear" w:color="auto" w:fill="1F473D"/>
          </w:tcPr>
          <w:p>
            <w:pPr>
              <w:spacing w:after="0"/>
              <w:rPr>
                <w:sz w:val="14"/>
                <w:szCs w:val="14"/>
                <w:color w:val="auto"/>
              </w:rPr>
            </w:pPr>
          </w:p>
        </w:tc>
        <w:tc>
          <w:tcPr>
            <w:tcW w:w="720" w:type="dxa"/>
            <w:vAlign w:val="bottom"/>
            <w:shd w:val="clear" w:color="auto" w:fill="1F473D"/>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tcBorders>
              <w:bottom w:val="single" w:sz="8" w:color="1F473D"/>
            </w:tcBorders>
            <w:shd w:val="clear" w:color="auto" w:fill="1F473D"/>
          </w:tcPr>
          <w:p>
            <w:pPr>
              <w:spacing w:after="0"/>
              <w:rPr>
                <w:sz w:val="15"/>
                <w:szCs w:val="15"/>
                <w:color w:val="auto"/>
              </w:rPr>
            </w:pPr>
          </w:p>
        </w:tc>
        <w:tc>
          <w:tcPr>
            <w:tcW w:w="1100" w:type="dxa"/>
            <w:vAlign w:val="bottom"/>
            <w:tcBorders>
              <w:bottom w:val="single" w:sz="8" w:color="D64000"/>
            </w:tcBorders>
            <w:shd w:val="clear" w:color="auto" w:fill="1F473D"/>
          </w:tcPr>
          <w:p>
            <w:pPr>
              <w:jc w:val="center"/>
              <w:spacing w:after="0"/>
              <w:rPr>
                <w:sz w:val="20"/>
                <w:szCs w:val="20"/>
                <w:color w:val="auto"/>
              </w:rPr>
            </w:pPr>
            <w:r>
              <w:rPr>
                <w:rFonts w:ascii="Arial" w:cs="Arial" w:eastAsia="Arial" w:hAnsi="Arial"/>
                <w:sz w:val="14"/>
                <w:szCs w:val="14"/>
                <w:b w:val="1"/>
                <w:bCs w:val="1"/>
                <w:color w:val="FFFFFF"/>
              </w:rPr>
              <w:t>Useful Life</w:t>
            </w:r>
          </w:p>
        </w:tc>
        <w:tc>
          <w:tcPr>
            <w:tcW w:w="220" w:type="dxa"/>
            <w:vAlign w:val="bottom"/>
            <w:tcBorders>
              <w:bottom w:val="single" w:sz="8" w:color="1F473D"/>
            </w:tcBorders>
            <w:shd w:val="clear" w:color="auto" w:fill="1F473D"/>
          </w:tcPr>
          <w:p>
            <w:pPr>
              <w:spacing w:after="0"/>
              <w:rPr>
                <w:sz w:val="15"/>
                <w:szCs w:val="15"/>
                <w:color w:val="auto"/>
              </w:rPr>
            </w:pPr>
          </w:p>
        </w:tc>
        <w:tc>
          <w:tcPr>
            <w:tcW w:w="1280" w:type="dxa"/>
            <w:vAlign w:val="bottom"/>
            <w:tcBorders>
              <w:bottom w:val="single" w:sz="8" w:color="D64000"/>
            </w:tcBorders>
            <w:shd w:val="clear" w:color="auto" w:fill="1F473D"/>
          </w:tcPr>
          <w:p>
            <w:pPr>
              <w:spacing w:after="0"/>
              <w:rPr>
                <w:sz w:val="15"/>
                <w:szCs w:val="15"/>
                <w:color w:val="auto"/>
              </w:rPr>
            </w:pPr>
          </w:p>
        </w:tc>
        <w:tc>
          <w:tcPr>
            <w:tcW w:w="2440" w:type="dxa"/>
            <w:vAlign w:val="bottom"/>
            <w:tcBorders>
              <w:bottom w:val="single" w:sz="8" w:color="D64000"/>
            </w:tcBorders>
            <w:gridSpan w:val="2"/>
            <w:shd w:val="clear" w:color="auto" w:fill="1F473D"/>
          </w:tcPr>
          <w:p>
            <w:pPr>
              <w:jc w:val="right"/>
              <w:ind w:right="809"/>
              <w:spacing w:after="0"/>
              <w:rPr>
                <w:sz w:val="20"/>
                <w:szCs w:val="20"/>
                <w:color w:val="auto"/>
              </w:rPr>
            </w:pPr>
            <w:r>
              <w:rPr>
                <w:rFonts w:ascii="Arial" w:cs="Arial" w:eastAsia="Arial" w:hAnsi="Arial"/>
                <w:sz w:val="14"/>
                <w:szCs w:val="14"/>
                <w:b w:val="1"/>
                <w:bCs w:val="1"/>
                <w:color w:val="FFFFFF"/>
              </w:rPr>
              <w:t>Finite Useful Life</w:t>
            </w:r>
          </w:p>
        </w:tc>
        <w:tc>
          <w:tcPr>
            <w:tcW w:w="700" w:type="dxa"/>
            <w:vAlign w:val="bottom"/>
            <w:tcBorders>
              <w:bottom w:val="single" w:sz="8" w:color="D64000"/>
            </w:tcBorders>
            <w:shd w:val="clear" w:color="auto" w:fill="1F473D"/>
          </w:tcPr>
          <w:p>
            <w:pPr>
              <w:spacing w:after="0"/>
              <w:rPr>
                <w:sz w:val="15"/>
                <w:szCs w:val="15"/>
                <w:color w:val="auto"/>
              </w:rPr>
            </w:pPr>
          </w:p>
        </w:tc>
        <w:tc>
          <w:tcPr>
            <w:tcW w:w="220" w:type="dxa"/>
            <w:vAlign w:val="bottom"/>
            <w:tcBorders>
              <w:bottom w:val="single" w:sz="8" w:color="D64000"/>
            </w:tcBorders>
            <w:shd w:val="clear" w:color="auto" w:fill="1F473D"/>
          </w:tcPr>
          <w:p>
            <w:pPr>
              <w:spacing w:after="0"/>
              <w:rPr>
                <w:sz w:val="15"/>
                <w:szCs w:val="15"/>
                <w:color w:val="auto"/>
              </w:rPr>
            </w:pPr>
          </w:p>
        </w:tc>
        <w:tc>
          <w:tcPr>
            <w:tcW w:w="720" w:type="dxa"/>
            <w:vAlign w:val="bottom"/>
            <w:tcBorders>
              <w:bottom w:val="single" w:sz="8" w:color="1F473D"/>
            </w:tcBorders>
            <w:shd w:val="clear" w:color="auto" w:fill="1F473D"/>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3040" w:type="dxa"/>
            <w:vAlign w:val="bottom"/>
            <w:shd w:val="clear" w:color="auto" w:fill="1F473D"/>
          </w:tcPr>
          <w:p>
            <w:pPr>
              <w:spacing w:after="0"/>
              <w:rPr>
                <w:sz w:val="13"/>
                <w:szCs w:val="13"/>
                <w:color w:val="auto"/>
              </w:rPr>
            </w:pPr>
          </w:p>
        </w:tc>
        <w:tc>
          <w:tcPr>
            <w:tcW w:w="1100" w:type="dxa"/>
            <w:vAlign w:val="bottom"/>
            <w:shd w:val="clear" w:color="auto" w:fill="1F473D"/>
          </w:tcPr>
          <w:p>
            <w:pPr>
              <w:spacing w:after="0"/>
              <w:rPr>
                <w:sz w:val="13"/>
                <w:szCs w:val="13"/>
                <w:color w:val="auto"/>
              </w:rPr>
            </w:pPr>
          </w:p>
        </w:tc>
        <w:tc>
          <w:tcPr>
            <w:tcW w:w="220" w:type="dxa"/>
            <w:vAlign w:val="bottom"/>
            <w:shd w:val="clear" w:color="auto" w:fill="1F473D"/>
          </w:tcPr>
          <w:p>
            <w:pPr>
              <w:spacing w:after="0"/>
              <w:rPr>
                <w:sz w:val="13"/>
                <w:szCs w:val="13"/>
                <w:color w:val="auto"/>
              </w:rPr>
            </w:pPr>
          </w:p>
        </w:tc>
        <w:tc>
          <w:tcPr>
            <w:tcW w:w="1280" w:type="dxa"/>
            <w:vAlign w:val="bottom"/>
            <w:shd w:val="clear" w:color="auto" w:fill="1F473D"/>
          </w:tcPr>
          <w:p>
            <w:pPr>
              <w:spacing w:after="0"/>
              <w:rPr>
                <w:sz w:val="13"/>
                <w:szCs w:val="13"/>
                <w:color w:val="auto"/>
              </w:rPr>
            </w:pPr>
          </w:p>
        </w:tc>
        <w:tc>
          <w:tcPr>
            <w:tcW w:w="1260" w:type="dxa"/>
            <w:vAlign w:val="bottom"/>
            <w:shd w:val="clear" w:color="auto" w:fill="1F473D"/>
          </w:tcPr>
          <w:p>
            <w:pPr>
              <w:jc w:val="right"/>
              <w:ind w:right="309"/>
              <w:spacing w:after="0" w:line="150" w:lineRule="exact"/>
              <w:rPr>
                <w:sz w:val="20"/>
                <w:szCs w:val="20"/>
                <w:color w:val="auto"/>
              </w:rPr>
            </w:pPr>
            <w:r>
              <w:rPr>
                <w:rFonts w:ascii="Arial" w:cs="Arial" w:eastAsia="Arial" w:hAnsi="Arial"/>
                <w:sz w:val="14"/>
                <w:szCs w:val="14"/>
                <w:b w:val="1"/>
                <w:bCs w:val="1"/>
                <w:color w:val="FFFFFF"/>
              </w:rPr>
              <w:t>Customer</w:t>
            </w:r>
          </w:p>
        </w:tc>
        <w:tc>
          <w:tcPr>
            <w:tcW w:w="1180" w:type="dxa"/>
            <w:vAlign w:val="bottom"/>
            <w:shd w:val="clear" w:color="auto" w:fill="1F473D"/>
          </w:tcPr>
          <w:p>
            <w:pPr>
              <w:jc w:val="right"/>
              <w:ind w:right="29"/>
              <w:spacing w:after="0" w:line="150" w:lineRule="exact"/>
              <w:rPr>
                <w:sz w:val="20"/>
                <w:szCs w:val="20"/>
                <w:color w:val="auto"/>
              </w:rPr>
            </w:pPr>
            <w:r>
              <w:rPr>
                <w:rFonts w:ascii="Arial" w:cs="Arial" w:eastAsia="Arial" w:hAnsi="Arial"/>
                <w:sz w:val="14"/>
                <w:szCs w:val="14"/>
                <w:b w:val="1"/>
                <w:bCs w:val="1"/>
                <w:color w:val="FFFFFF"/>
              </w:rPr>
              <w:t>Databases and</w:t>
            </w:r>
          </w:p>
        </w:tc>
        <w:tc>
          <w:tcPr>
            <w:tcW w:w="700" w:type="dxa"/>
            <w:vAlign w:val="bottom"/>
            <w:shd w:val="clear" w:color="auto" w:fill="1F473D"/>
          </w:tcPr>
          <w:p>
            <w:pPr>
              <w:spacing w:after="0"/>
              <w:rPr>
                <w:sz w:val="13"/>
                <w:szCs w:val="13"/>
                <w:color w:val="auto"/>
              </w:rPr>
            </w:pPr>
          </w:p>
        </w:tc>
        <w:tc>
          <w:tcPr>
            <w:tcW w:w="220" w:type="dxa"/>
            <w:vAlign w:val="bottom"/>
            <w:shd w:val="clear" w:color="auto" w:fill="1F473D"/>
          </w:tcPr>
          <w:p>
            <w:pPr>
              <w:spacing w:after="0"/>
              <w:rPr>
                <w:sz w:val="13"/>
                <w:szCs w:val="13"/>
                <w:color w:val="auto"/>
              </w:rPr>
            </w:pPr>
          </w:p>
        </w:tc>
        <w:tc>
          <w:tcPr>
            <w:tcW w:w="720" w:type="dxa"/>
            <w:vAlign w:val="bottom"/>
            <w:shd w:val="clear" w:color="auto" w:fill="1F473D"/>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040" w:type="dxa"/>
            <w:vAlign w:val="bottom"/>
            <w:tcBorders>
              <w:bottom w:val="single" w:sz="8" w:color="D64000"/>
            </w:tcBorders>
            <w:shd w:val="clear" w:color="auto" w:fill="1F473D"/>
          </w:tcPr>
          <w:p>
            <w:pPr>
              <w:spacing w:after="0"/>
              <w:rPr>
                <w:sz w:val="15"/>
                <w:szCs w:val="15"/>
                <w:color w:val="auto"/>
              </w:rPr>
            </w:pPr>
          </w:p>
        </w:tc>
        <w:tc>
          <w:tcPr>
            <w:tcW w:w="1100" w:type="dxa"/>
            <w:vAlign w:val="bottom"/>
            <w:tcBorders>
              <w:bottom w:val="single" w:sz="8" w:color="D64000"/>
            </w:tcBorders>
            <w:shd w:val="clear" w:color="auto" w:fill="1F473D"/>
          </w:tcPr>
          <w:p>
            <w:pPr>
              <w:jc w:val="center"/>
              <w:spacing w:after="0"/>
              <w:rPr>
                <w:sz w:val="20"/>
                <w:szCs w:val="20"/>
                <w:color w:val="auto"/>
              </w:rPr>
            </w:pPr>
            <w:r>
              <w:rPr>
                <w:rFonts w:ascii="Arial" w:cs="Arial" w:eastAsia="Arial" w:hAnsi="Arial"/>
                <w:sz w:val="14"/>
                <w:szCs w:val="14"/>
                <w:b w:val="1"/>
                <w:bCs w:val="1"/>
                <w:color w:val="FFFFFF"/>
                <w:w w:val="96"/>
              </w:rPr>
              <w:t>Trade Names </w:t>
            </w:r>
          </w:p>
        </w:tc>
        <w:tc>
          <w:tcPr>
            <w:tcW w:w="220" w:type="dxa"/>
            <w:vAlign w:val="bottom"/>
            <w:tcBorders>
              <w:bottom w:val="single" w:sz="8" w:color="D64000"/>
            </w:tcBorders>
            <w:shd w:val="clear" w:color="auto" w:fill="1F473D"/>
          </w:tcPr>
          <w:p>
            <w:pPr>
              <w:spacing w:after="0"/>
              <w:rPr>
                <w:sz w:val="15"/>
                <w:szCs w:val="15"/>
                <w:color w:val="auto"/>
              </w:rPr>
            </w:pPr>
          </w:p>
        </w:tc>
        <w:tc>
          <w:tcPr>
            <w:tcW w:w="1280" w:type="dxa"/>
            <w:vAlign w:val="bottom"/>
            <w:tcBorders>
              <w:bottom w:val="single" w:sz="8" w:color="D64000"/>
            </w:tcBorders>
            <w:shd w:val="clear" w:color="auto" w:fill="1F473D"/>
          </w:tcPr>
          <w:p>
            <w:pPr>
              <w:jc w:val="right"/>
              <w:ind w:right="149"/>
              <w:spacing w:after="0"/>
              <w:rPr>
                <w:sz w:val="20"/>
                <w:szCs w:val="20"/>
                <w:color w:val="auto"/>
              </w:rPr>
            </w:pPr>
            <w:r>
              <w:rPr>
                <w:rFonts w:ascii="Arial" w:cs="Arial" w:eastAsia="Arial" w:hAnsi="Arial"/>
                <w:sz w:val="14"/>
                <w:szCs w:val="14"/>
                <w:b w:val="1"/>
                <w:bCs w:val="1"/>
                <w:color w:val="FFFFFF"/>
              </w:rPr>
              <w:t>Trade Names </w:t>
            </w:r>
          </w:p>
        </w:tc>
        <w:tc>
          <w:tcPr>
            <w:tcW w:w="1260" w:type="dxa"/>
            <w:vAlign w:val="bottom"/>
            <w:tcBorders>
              <w:bottom w:val="single" w:sz="8" w:color="D64000"/>
            </w:tcBorders>
            <w:shd w:val="clear" w:color="auto" w:fill="1F473D"/>
          </w:tcPr>
          <w:p>
            <w:pPr>
              <w:jc w:val="right"/>
              <w:ind w:right="129"/>
              <w:spacing w:after="0"/>
              <w:rPr>
                <w:sz w:val="20"/>
                <w:szCs w:val="20"/>
                <w:color w:val="auto"/>
              </w:rPr>
            </w:pPr>
            <w:r>
              <w:rPr>
                <w:rFonts w:ascii="Arial" w:cs="Arial" w:eastAsia="Arial" w:hAnsi="Arial"/>
                <w:sz w:val="14"/>
                <w:szCs w:val="14"/>
                <w:b w:val="1"/>
                <w:bCs w:val="1"/>
                <w:color w:val="FFFFFF"/>
                <w:w w:val="98"/>
              </w:rPr>
              <w:t>Relationships </w:t>
            </w:r>
          </w:p>
        </w:tc>
        <w:tc>
          <w:tcPr>
            <w:tcW w:w="1180" w:type="dxa"/>
            <w:vAlign w:val="bottom"/>
            <w:tcBorders>
              <w:bottom w:val="single" w:sz="8" w:color="D64000"/>
            </w:tcBorders>
            <w:shd w:val="clear" w:color="auto" w:fill="1F473D"/>
          </w:tcPr>
          <w:p>
            <w:pPr>
              <w:jc w:val="right"/>
              <w:ind w:right="249"/>
              <w:spacing w:after="0"/>
              <w:rPr>
                <w:sz w:val="20"/>
                <w:szCs w:val="20"/>
                <w:color w:val="auto"/>
              </w:rPr>
            </w:pPr>
            <w:r>
              <w:rPr>
                <w:rFonts w:ascii="Arial" w:cs="Arial" w:eastAsia="Arial" w:hAnsi="Arial"/>
                <w:sz w:val="14"/>
                <w:szCs w:val="14"/>
                <w:b w:val="1"/>
                <w:bCs w:val="1"/>
                <w:color w:val="FFFFFF"/>
              </w:rPr>
              <w:t>Content</w:t>
            </w:r>
          </w:p>
        </w:tc>
        <w:tc>
          <w:tcPr>
            <w:tcW w:w="700" w:type="dxa"/>
            <w:vAlign w:val="bottom"/>
            <w:tcBorders>
              <w:bottom w:val="single" w:sz="8" w:color="D64000"/>
            </w:tcBorders>
            <w:shd w:val="clear" w:color="auto" w:fill="1F473D"/>
          </w:tcPr>
          <w:p>
            <w:pPr>
              <w:jc w:val="right"/>
              <w:ind w:right="69"/>
              <w:spacing w:after="0"/>
              <w:rPr>
                <w:sz w:val="20"/>
                <w:szCs w:val="20"/>
                <w:color w:val="auto"/>
              </w:rPr>
            </w:pPr>
            <w:r>
              <w:rPr>
                <w:rFonts w:ascii="Arial" w:cs="Arial" w:eastAsia="Arial" w:hAnsi="Arial"/>
                <w:sz w:val="14"/>
                <w:szCs w:val="14"/>
                <w:b w:val="1"/>
                <w:bCs w:val="1"/>
                <w:color w:val="FFFFFF"/>
                <w:w w:val="96"/>
              </w:rPr>
              <w:t>Other  </w:t>
            </w:r>
          </w:p>
        </w:tc>
        <w:tc>
          <w:tcPr>
            <w:tcW w:w="220" w:type="dxa"/>
            <w:vAlign w:val="bottom"/>
            <w:tcBorders>
              <w:bottom w:val="single" w:sz="8" w:color="D64000"/>
            </w:tcBorders>
            <w:shd w:val="clear" w:color="auto" w:fill="1F473D"/>
          </w:tcPr>
          <w:p>
            <w:pPr>
              <w:spacing w:after="0"/>
              <w:rPr>
                <w:sz w:val="15"/>
                <w:szCs w:val="15"/>
                <w:color w:val="auto"/>
              </w:rPr>
            </w:pPr>
          </w:p>
        </w:tc>
        <w:tc>
          <w:tcPr>
            <w:tcW w:w="72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4"/>
                <w:szCs w:val="14"/>
                <w:b w:val="1"/>
                <w:bCs w:val="1"/>
                <w:color w:val="FFFFFF"/>
              </w:rPr>
              <w:t xml:space="preserve">Total    </w:t>
            </w:r>
          </w:p>
        </w:tc>
        <w:tc>
          <w:tcPr>
            <w:tcW w:w="0" w:type="dxa"/>
            <w:vAlign w:val="bottom"/>
          </w:tcPr>
          <w:p>
            <w:pPr>
              <w:spacing w:after="0"/>
              <w:rPr>
                <w:sz w:val="1"/>
                <w:szCs w:val="1"/>
                <w:color w:val="auto"/>
              </w:rPr>
            </w:pPr>
          </w:p>
        </w:tc>
      </w:tr>
      <w:tr>
        <w:trPr>
          <w:trHeight w:val="150"/>
        </w:trPr>
        <w:tc>
          <w:tcPr>
            <w:tcW w:w="3040" w:type="dxa"/>
            <w:vAlign w:val="bottom"/>
          </w:tcPr>
          <w:p>
            <w:pPr>
              <w:spacing w:after="0" w:line="150" w:lineRule="exact"/>
              <w:rPr>
                <w:sz w:val="20"/>
                <w:szCs w:val="20"/>
                <w:color w:val="auto"/>
              </w:rPr>
            </w:pPr>
            <w:r>
              <w:rPr>
                <w:rFonts w:ascii="Arial" w:cs="Arial" w:eastAsia="Arial" w:hAnsi="Arial"/>
                <w:sz w:val="14"/>
                <w:szCs w:val="14"/>
                <w:b w:val="1"/>
                <w:bCs w:val="1"/>
                <w:color w:val="auto"/>
              </w:rPr>
              <w:t> Cost:</w:t>
            </w: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line="150"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9"/>
        </w:trPr>
        <w:tc>
          <w:tcPr>
            <w:tcW w:w="3040" w:type="dxa"/>
            <w:vAlign w:val="bottom"/>
          </w:tcPr>
          <w:p>
            <w:pPr>
              <w:spacing w:after="0" w:line="159" w:lineRule="exact"/>
              <w:rPr>
                <w:sz w:val="20"/>
                <w:szCs w:val="20"/>
                <w:color w:val="auto"/>
              </w:rPr>
            </w:pPr>
            <w:r>
              <w:rPr>
                <w:rFonts w:ascii="Arial" w:cs="Arial" w:eastAsia="Arial" w:hAnsi="Arial"/>
                <w:sz w:val="14"/>
                <w:szCs w:val="14"/>
                <w:color w:val="auto"/>
              </w:rPr>
              <w:t> December 31, 2022</w:t>
            </w:r>
          </w:p>
        </w:tc>
        <w:tc>
          <w:tcPr>
            <w:tcW w:w="1100" w:type="dxa"/>
            <w:vAlign w:val="bottom"/>
          </w:tcPr>
          <w:p>
            <w:pPr>
              <w:jc w:val="right"/>
              <w:spacing w:after="0" w:line="159" w:lineRule="exact"/>
              <w:rPr>
                <w:sz w:val="20"/>
                <w:szCs w:val="20"/>
                <w:color w:val="auto"/>
              </w:rPr>
            </w:pPr>
            <w:r>
              <w:rPr>
                <w:rFonts w:ascii="Arial" w:cs="Arial" w:eastAsia="Arial" w:hAnsi="Arial"/>
                <w:sz w:val="14"/>
                <w:szCs w:val="14"/>
                <w:color w:val="auto"/>
              </w:rPr>
              <w:t>2,646</w:t>
            </w:r>
          </w:p>
        </w:tc>
        <w:tc>
          <w:tcPr>
            <w:tcW w:w="220" w:type="dxa"/>
            <w:vAlign w:val="bottom"/>
          </w:tcPr>
          <w:p>
            <w:pPr>
              <w:spacing w:after="0"/>
              <w:rPr>
                <w:sz w:val="13"/>
                <w:szCs w:val="13"/>
                <w:color w:val="auto"/>
              </w:rPr>
            </w:pPr>
          </w:p>
        </w:tc>
        <w:tc>
          <w:tcPr>
            <w:tcW w:w="12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130</w:t>
            </w:r>
          </w:p>
        </w:tc>
        <w:tc>
          <w:tcPr>
            <w:tcW w:w="1260" w:type="dxa"/>
            <w:vAlign w:val="bottom"/>
          </w:tcPr>
          <w:p>
            <w:pPr>
              <w:jc w:val="right"/>
              <w:ind w:right="29"/>
              <w:spacing w:after="0" w:line="159" w:lineRule="exact"/>
              <w:rPr>
                <w:sz w:val="20"/>
                <w:szCs w:val="20"/>
                <w:color w:val="auto"/>
              </w:rPr>
            </w:pPr>
            <w:r>
              <w:rPr>
                <w:rFonts w:ascii="Arial" w:cs="Arial" w:eastAsia="Arial" w:hAnsi="Arial"/>
                <w:sz w:val="14"/>
                <w:szCs w:val="14"/>
                <w:color w:val="auto"/>
              </w:rPr>
              <w:t>1,767</w:t>
            </w:r>
          </w:p>
        </w:tc>
        <w:tc>
          <w:tcPr>
            <w:tcW w:w="11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630</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739</w:t>
            </w:r>
          </w:p>
        </w:tc>
        <w:tc>
          <w:tcPr>
            <w:tcW w:w="2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5,912  </w:t>
            </w:r>
          </w:p>
        </w:tc>
        <w:tc>
          <w:tcPr>
            <w:tcW w:w="0" w:type="dxa"/>
            <w:vAlign w:val="bottom"/>
          </w:tcPr>
          <w:p>
            <w:pPr>
              <w:spacing w:after="0"/>
              <w:rPr>
                <w:sz w:val="1"/>
                <w:szCs w:val="1"/>
                <w:color w:val="auto"/>
              </w:rPr>
            </w:pPr>
          </w:p>
        </w:tc>
      </w:tr>
      <w:tr>
        <w:trPr>
          <w:trHeight w:val="159"/>
        </w:trPr>
        <w:tc>
          <w:tcPr>
            <w:tcW w:w="3040" w:type="dxa"/>
            <w:vAlign w:val="bottom"/>
          </w:tcPr>
          <w:p>
            <w:pPr>
              <w:spacing w:after="0" w:line="159" w:lineRule="exact"/>
              <w:rPr>
                <w:sz w:val="20"/>
                <w:szCs w:val="20"/>
                <w:color w:val="auto"/>
              </w:rPr>
            </w:pPr>
            <w:r>
              <w:rPr>
                <w:rFonts w:ascii="Arial" w:cs="Arial" w:eastAsia="Arial" w:hAnsi="Arial"/>
                <w:sz w:val="14"/>
                <w:szCs w:val="14"/>
                <w:color w:val="auto"/>
              </w:rPr>
              <w:t> Acquisitions</w:t>
            </w:r>
          </w:p>
        </w:tc>
        <w:tc>
          <w:tcPr>
            <w:tcW w:w="11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18</w:t>
            </w:r>
          </w:p>
        </w:tc>
        <w:tc>
          <w:tcPr>
            <w:tcW w:w="1260" w:type="dxa"/>
            <w:vAlign w:val="bottom"/>
          </w:tcPr>
          <w:p>
            <w:pPr>
              <w:jc w:val="right"/>
              <w:ind w:right="29"/>
              <w:spacing w:after="0" w:line="159" w:lineRule="exact"/>
              <w:rPr>
                <w:sz w:val="20"/>
                <w:szCs w:val="20"/>
                <w:color w:val="auto"/>
              </w:rPr>
            </w:pPr>
            <w:r>
              <w:rPr>
                <w:rFonts w:ascii="Arial" w:cs="Arial" w:eastAsia="Arial" w:hAnsi="Arial"/>
                <w:sz w:val="14"/>
                <w:szCs w:val="14"/>
                <w:color w:val="auto"/>
              </w:rPr>
              <w:t>19</w:t>
            </w:r>
          </w:p>
        </w:tc>
        <w:tc>
          <w:tcPr>
            <w:tcW w:w="11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37   </w:t>
            </w:r>
          </w:p>
        </w:tc>
        <w:tc>
          <w:tcPr>
            <w:tcW w:w="0" w:type="dxa"/>
            <w:vAlign w:val="bottom"/>
          </w:tcPr>
          <w:p>
            <w:pPr>
              <w:spacing w:after="0"/>
              <w:rPr>
                <w:sz w:val="1"/>
                <w:szCs w:val="1"/>
                <w:color w:val="auto"/>
              </w:rPr>
            </w:pPr>
          </w:p>
        </w:tc>
      </w:tr>
      <w:tr>
        <w:trPr>
          <w:trHeight w:val="159"/>
        </w:trPr>
        <w:tc>
          <w:tcPr>
            <w:tcW w:w="3040" w:type="dxa"/>
            <w:vAlign w:val="bottom"/>
          </w:tcPr>
          <w:p>
            <w:pPr>
              <w:spacing w:after="0" w:line="159" w:lineRule="exact"/>
              <w:rPr>
                <w:sz w:val="20"/>
                <w:szCs w:val="20"/>
                <w:color w:val="auto"/>
              </w:rPr>
            </w:pPr>
            <w:r>
              <w:rPr>
                <w:rFonts w:ascii="Arial" w:cs="Arial" w:eastAsia="Arial" w:hAnsi="Arial"/>
                <w:sz w:val="14"/>
                <w:szCs w:val="14"/>
                <w:color w:val="auto"/>
              </w:rPr>
              <w:t> Disposals of businesses</w:t>
            </w:r>
          </w:p>
        </w:tc>
        <w:tc>
          <w:tcPr>
            <w:tcW w:w="11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(14)</w:t>
            </w:r>
          </w:p>
        </w:tc>
        <w:tc>
          <w:tcPr>
            <w:tcW w:w="1260" w:type="dxa"/>
            <w:vAlign w:val="bottom"/>
          </w:tcPr>
          <w:p>
            <w:pPr>
              <w:jc w:val="right"/>
              <w:ind w:right="29"/>
              <w:spacing w:after="0" w:line="159" w:lineRule="exact"/>
              <w:rPr>
                <w:sz w:val="20"/>
                <w:szCs w:val="20"/>
                <w:color w:val="auto"/>
              </w:rPr>
            </w:pPr>
            <w:r>
              <w:rPr>
                <w:rFonts w:ascii="Arial" w:cs="Arial" w:eastAsia="Arial" w:hAnsi="Arial"/>
                <w:sz w:val="14"/>
                <w:szCs w:val="14"/>
                <w:color w:val="auto"/>
              </w:rPr>
              <w:t>(31)</w:t>
            </w:r>
          </w:p>
        </w:tc>
        <w:tc>
          <w:tcPr>
            <w:tcW w:w="11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(45)  </w:t>
            </w:r>
          </w:p>
        </w:tc>
        <w:tc>
          <w:tcPr>
            <w:tcW w:w="0" w:type="dxa"/>
            <w:vAlign w:val="bottom"/>
          </w:tcPr>
          <w:p>
            <w:pPr>
              <w:spacing w:after="0"/>
              <w:rPr>
                <w:sz w:val="1"/>
                <w:szCs w:val="1"/>
                <w:color w:val="auto"/>
              </w:rPr>
            </w:pPr>
          </w:p>
        </w:tc>
      </w:tr>
      <w:tr>
        <w:trPr>
          <w:trHeight w:val="168"/>
        </w:trPr>
        <w:tc>
          <w:tcPr>
            <w:tcW w:w="3040" w:type="dxa"/>
            <w:vAlign w:val="bottom"/>
            <w:tcBorders>
              <w:bottom w:val="single" w:sz="8" w:color="B2B2B2"/>
            </w:tcBorders>
          </w:tcPr>
          <w:p>
            <w:pPr>
              <w:spacing w:after="0"/>
              <w:rPr>
                <w:sz w:val="20"/>
                <w:szCs w:val="20"/>
                <w:color w:val="auto"/>
              </w:rPr>
            </w:pPr>
            <w:r>
              <w:rPr>
                <w:rFonts w:ascii="Arial" w:cs="Arial" w:eastAsia="Arial" w:hAnsi="Arial"/>
                <w:sz w:val="14"/>
                <w:szCs w:val="14"/>
                <w:color w:val="auto"/>
              </w:rPr>
              <w:t> Translation and other, net</w:t>
            </w:r>
          </w:p>
        </w:tc>
        <w:tc>
          <w:tcPr>
            <w:tcW w:w="110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85"/>
              </w:rPr>
              <w:t> </w:t>
            </w:r>
          </w:p>
        </w:tc>
        <w:tc>
          <w:tcPr>
            <w:tcW w:w="1280" w:type="dxa"/>
            <w:vAlign w:val="bottom"/>
            <w:tcBorders>
              <w:bottom w:val="single" w:sz="8" w:color="B2B2B2"/>
            </w:tcBorders>
          </w:tcPr>
          <w:p>
            <w:pPr>
              <w:jc w:val="right"/>
              <w:ind w:right="2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B2B2B2"/>
            </w:tcBorders>
          </w:tcPr>
          <w:p>
            <w:pPr>
              <w:jc w:val="right"/>
              <w:ind w:right="29"/>
              <w:spacing w:after="0"/>
              <w:rPr>
                <w:sz w:val="20"/>
                <w:szCs w:val="20"/>
                <w:color w:val="auto"/>
              </w:rPr>
            </w:pPr>
            <w:r>
              <w:rPr>
                <w:rFonts w:ascii="Arial" w:cs="Arial" w:eastAsia="Arial" w:hAnsi="Arial"/>
                <w:sz w:val="14"/>
                <w:szCs w:val="14"/>
                <w:color w:val="auto"/>
              </w:rPr>
              <w:t>27</w:t>
            </w:r>
          </w:p>
        </w:tc>
        <w:tc>
          <w:tcPr>
            <w:tcW w:w="1180" w:type="dxa"/>
            <w:vAlign w:val="bottom"/>
            <w:tcBorders>
              <w:bottom w:val="single" w:sz="8" w:color="B2B2B2"/>
            </w:tcBorders>
          </w:tcPr>
          <w:p>
            <w:pPr>
              <w:jc w:val="right"/>
              <w:ind w:right="29"/>
              <w:spacing w:after="0"/>
              <w:rPr>
                <w:sz w:val="20"/>
                <w:szCs w:val="20"/>
                <w:color w:val="auto"/>
              </w:rPr>
            </w:pPr>
            <w:r>
              <w:rPr>
                <w:rFonts w:ascii="Arial" w:cs="Arial" w:eastAsia="Arial" w:hAnsi="Arial"/>
                <w:sz w:val="14"/>
                <w:szCs w:val="14"/>
                <w:color w:val="auto"/>
              </w:rPr>
              <w:t>3</w:t>
            </w:r>
          </w:p>
        </w:tc>
        <w:tc>
          <w:tcPr>
            <w:tcW w:w="70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8</w:t>
            </w:r>
          </w:p>
        </w:tc>
        <w:tc>
          <w:tcPr>
            <w:tcW w:w="22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85"/>
              </w:rPr>
              <w:t> </w:t>
            </w:r>
          </w:p>
        </w:tc>
        <w:tc>
          <w:tcPr>
            <w:tcW w:w="7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38  </w:t>
            </w:r>
          </w:p>
        </w:tc>
        <w:tc>
          <w:tcPr>
            <w:tcW w:w="0" w:type="dxa"/>
            <w:vAlign w:val="bottom"/>
          </w:tcPr>
          <w:p>
            <w:pPr>
              <w:spacing w:after="0"/>
              <w:rPr>
                <w:sz w:val="1"/>
                <w:szCs w:val="1"/>
                <w:color w:val="auto"/>
              </w:rPr>
            </w:pPr>
          </w:p>
        </w:tc>
      </w:tr>
      <w:tr>
        <w:trPr>
          <w:trHeight w:val="152"/>
        </w:trPr>
        <w:tc>
          <w:tcPr>
            <w:tcW w:w="3040" w:type="dxa"/>
            <w:vAlign w:val="bottom"/>
            <w:tcBorders>
              <w:bottom w:val="single" w:sz="8" w:color="B2B2B2"/>
            </w:tcBorders>
          </w:tcPr>
          <w:p>
            <w:pPr>
              <w:spacing w:after="0" w:line="152" w:lineRule="exact"/>
              <w:rPr>
                <w:sz w:val="20"/>
                <w:szCs w:val="20"/>
                <w:color w:val="auto"/>
              </w:rPr>
            </w:pPr>
            <w:r>
              <w:rPr>
                <w:rFonts w:ascii="Arial" w:cs="Arial" w:eastAsia="Arial" w:hAnsi="Arial"/>
                <w:sz w:val="14"/>
                <w:szCs w:val="14"/>
                <w:color w:val="auto"/>
              </w:rPr>
              <w:t> December 31, 2023</w:t>
            </w:r>
          </w:p>
        </w:tc>
        <w:tc>
          <w:tcPr>
            <w:tcW w:w="1100" w:type="dxa"/>
            <w:vAlign w:val="bottom"/>
            <w:tcBorders>
              <w:bottom w:val="single" w:sz="8" w:color="B2B2B2"/>
            </w:tcBorders>
          </w:tcPr>
          <w:p>
            <w:pPr>
              <w:jc w:val="right"/>
              <w:spacing w:after="0" w:line="152" w:lineRule="exact"/>
              <w:rPr>
                <w:sz w:val="20"/>
                <w:szCs w:val="20"/>
                <w:color w:val="auto"/>
              </w:rPr>
            </w:pPr>
            <w:r>
              <w:rPr>
                <w:rFonts w:ascii="Arial" w:cs="Arial" w:eastAsia="Arial" w:hAnsi="Arial"/>
                <w:sz w:val="14"/>
                <w:szCs w:val="14"/>
                <w:b w:val="1"/>
                <w:bCs w:val="1"/>
                <w:color w:val="auto"/>
              </w:rPr>
              <w:t>2,646</w:t>
            </w:r>
          </w:p>
        </w:tc>
        <w:tc>
          <w:tcPr>
            <w:tcW w:w="220" w:type="dxa"/>
            <w:vAlign w:val="bottom"/>
            <w:vMerge w:val="continue"/>
          </w:tcPr>
          <w:p>
            <w:pPr>
              <w:spacing w:after="0"/>
              <w:rPr>
                <w:sz w:val="13"/>
                <w:szCs w:val="13"/>
                <w:color w:val="auto"/>
              </w:rPr>
            </w:pPr>
          </w:p>
        </w:tc>
        <w:tc>
          <w:tcPr>
            <w:tcW w:w="1280" w:type="dxa"/>
            <w:vAlign w:val="bottom"/>
            <w:tcBorders>
              <w:bottom w:val="single" w:sz="8" w:color="B2B2B2"/>
            </w:tcBorders>
          </w:tcPr>
          <w:p>
            <w:pPr>
              <w:jc w:val="right"/>
              <w:ind w:right="29"/>
              <w:spacing w:after="0" w:line="152" w:lineRule="exact"/>
              <w:rPr>
                <w:sz w:val="20"/>
                <w:szCs w:val="20"/>
                <w:color w:val="auto"/>
              </w:rPr>
            </w:pPr>
            <w:r>
              <w:rPr>
                <w:rFonts w:ascii="Arial" w:cs="Arial" w:eastAsia="Arial" w:hAnsi="Arial"/>
                <w:sz w:val="14"/>
                <w:szCs w:val="14"/>
                <w:b w:val="1"/>
                <w:bCs w:val="1"/>
                <w:color w:val="auto"/>
              </w:rPr>
              <w:t>134</w:t>
            </w:r>
          </w:p>
        </w:tc>
        <w:tc>
          <w:tcPr>
            <w:tcW w:w="1260" w:type="dxa"/>
            <w:vAlign w:val="bottom"/>
            <w:tcBorders>
              <w:bottom w:val="single" w:sz="8" w:color="B2B2B2"/>
            </w:tcBorders>
          </w:tcPr>
          <w:p>
            <w:pPr>
              <w:jc w:val="right"/>
              <w:ind w:right="29"/>
              <w:spacing w:after="0" w:line="152" w:lineRule="exact"/>
              <w:rPr>
                <w:sz w:val="20"/>
                <w:szCs w:val="20"/>
                <w:color w:val="auto"/>
              </w:rPr>
            </w:pPr>
            <w:r>
              <w:rPr>
                <w:rFonts w:ascii="Arial" w:cs="Arial" w:eastAsia="Arial" w:hAnsi="Arial"/>
                <w:sz w:val="14"/>
                <w:szCs w:val="14"/>
                <w:b w:val="1"/>
                <w:bCs w:val="1"/>
                <w:color w:val="auto"/>
              </w:rPr>
              <w:t>1,782</w:t>
            </w:r>
          </w:p>
        </w:tc>
        <w:tc>
          <w:tcPr>
            <w:tcW w:w="1180" w:type="dxa"/>
            <w:vAlign w:val="bottom"/>
            <w:tcBorders>
              <w:bottom w:val="single" w:sz="8" w:color="B2B2B2"/>
            </w:tcBorders>
          </w:tcPr>
          <w:p>
            <w:pPr>
              <w:jc w:val="right"/>
              <w:ind w:right="29"/>
              <w:spacing w:after="0" w:line="152" w:lineRule="exact"/>
              <w:rPr>
                <w:sz w:val="20"/>
                <w:szCs w:val="20"/>
                <w:color w:val="auto"/>
              </w:rPr>
            </w:pPr>
            <w:r>
              <w:rPr>
                <w:rFonts w:ascii="Arial" w:cs="Arial" w:eastAsia="Arial" w:hAnsi="Arial"/>
                <w:sz w:val="14"/>
                <w:szCs w:val="14"/>
                <w:b w:val="1"/>
                <w:bCs w:val="1"/>
                <w:color w:val="auto"/>
              </w:rPr>
              <w:t>633</w:t>
            </w:r>
          </w:p>
        </w:tc>
        <w:tc>
          <w:tcPr>
            <w:tcW w:w="700" w:type="dxa"/>
            <w:vAlign w:val="bottom"/>
            <w:tcBorders>
              <w:bottom w:val="single" w:sz="8" w:color="B2B2B2"/>
            </w:tcBorders>
          </w:tcPr>
          <w:p>
            <w:pPr>
              <w:jc w:val="right"/>
              <w:spacing w:after="0" w:line="152" w:lineRule="exact"/>
              <w:rPr>
                <w:sz w:val="20"/>
                <w:szCs w:val="20"/>
                <w:color w:val="auto"/>
              </w:rPr>
            </w:pPr>
            <w:r>
              <w:rPr>
                <w:rFonts w:ascii="Arial" w:cs="Arial" w:eastAsia="Arial" w:hAnsi="Arial"/>
                <w:sz w:val="14"/>
                <w:szCs w:val="14"/>
                <w:b w:val="1"/>
                <w:bCs w:val="1"/>
                <w:color w:val="auto"/>
              </w:rPr>
              <w:t>747</w:t>
            </w:r>
          </w:p>
        </w:tc>
        <w:tc>
          <w:tcPr>
            <w:tcW w:w="220" w:type="dxa"/>
            <w:vAlign w:val="bottom"/>
            <w:vMerge w:val="continue"/>
          </w:tcPr>
          <w:p>
            <w:pPr>
              <w:spacing w:after="0"/>
              <w:rPr>
                <w:sz w:val="13"/>
                <w:szCs w:val="13"/>
                <w:color w:val="auto"/>
              </w:rPr>
            </w:pPr>
          </w:p>
        </w:tc>
        <w:tc>
          <w:tcPr>
            <w:tcW w:w="720" w:type="dxa"/>
            <w:vAlign w:val="bottom"/>
            <w:tcBorders>
              <w:bottom w:val="single" w:sz="8" w:color="B2B2B2"/>
            </w:tcBorders>
          </w:tcPr>
          <w:p>
            <w:pPr>
              <w:jc w:val="right"/>
              <w:spacing w:after="0" w:line="152" w:lineRule="exact"/>
              <w:rPr>
                <w:sz w:val="20"/>
                <w:szCs w:val="20"/>
                <w:color w:val="auto"/>
              </w:rPr>
            </w:pPr>
            <w:r>
              <w:rPr>
                <w:rFonts w:ascii="Arial" w:cs="Arial" w:eastAsia="Arial" w:hAnsi="Arial"/>
                <w:sz w:val="14"/>
                <w:szCs w:val="14"/>
                <w:b w:val="1"/>
                <w:bCs w:val="1"/>
                <w:color w:val="auto"/>
              </w:rPr>
              <w:t>5,942</w:t>
            </w:r>
          </w:p>
        </w:tc>
        <w:tc>
          <w:tcPr>
            <w:tcW w:w="0" w:type="dxa"/>
            <w:vAlign w:val="bottom"/>
          </w:tcPr>
          <w:p>
            <w:pPr>
              <w:spacing w:after="0"/>
              <w:rPr>
                <w:sz w:val="1"/>
                <w:szCs w:val="1"/>
                <w:color w:val="auto"/>
              </w:rPr>
            </w:pPr>
          </w:p>
        </w:tc>
      </w:tr>
      <w:tr>
        <w:trPr>
          <w:trHeight w:val="143"/>
        </w:trPr>
        <w:tc>
          <w:tcPr>
            <w:tcW w:w="3040" w:type="dxa"/>
            <w:vAlign w:val="bottom"/>
          </w:tcPr>
          <w:p>
            <w:pPr>
              <w:spacing w:after="0" w:line="143" w:lineRule="exact"/>
              <w:rPr>
                <w:sz w:val="20"/>
                <w:szCs w:val="20"/>
                <w:color w:val="auto"/>
              </w:rPr>
            </w:pPr>
            <w:r>
              <w:rPr>
                <w:rFonts w:ascii="Arial" w:cs="Arial" w:eastAsia="Arial" w:hAnsi="Arial"/>
                <w:sz w:val="14"/>
                <w:szCs w:val="14"/>
                <w:color w:val="auto"/>
              </w:rPr>
              <w:t> Acquisitions</w:t>
            </w:r>
          </w:p>
        </w:tc>
        <w:tc>
          <w:tcPr>
            <w:tcW w:w="110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280" w:type="dxa"/>
            <w:vAlign w:val="bottom"/>
          </w:tcPr>
          <w:p>
            <w:pPr>
              <w:jc w:val="right"/>
              <w:ind w:right="29"/>
              <w:spacing w:after="0" w:line="143" w:lineRule="exact"/>
              <w:rPr>
                <w:sz w:val="20"/>
                <w:szCs w:val="20"/>
                <w:color w:val="auto"/>
              </w:rPr>
            </w:pPr>
            <w:r>
              <w:rPr>
                <w:rFonts w:ascii="Arial" w:cs="Arial" w:eastAsia="Arial" w:hAnsi="Arial"/>
                <w:sz w:val="14"/>
                <w:szCs w:val="14"/>
                <w:b w:val="1"/>
                <w:bCs w:val="1"/>
                <w:color w:val="auto"/>
              </w:rPr>
              <w:t>27</w:t>
            </w:r>
          </w:p>
        </w:tc>
        <w:tc>
          <w:tcPr>
            <w:tcW w:w="1260" w:type="dxa"/>
            <w:vAlign w:val="bottom"/>
          </w:tcPr>
          <w:p>
            <w:pPr>
              <w:jc w:val="right"/>
              <w:ind w:right="29"/>
              <w:spacing w:after="0" w:line="143" w:lineRule="exact"/>
              <w:rPr>
                <w:sz w:val="20"/>
                <w:szCs w:val="20"/>
                <w:color w:val="auto"/>
              </w:rPr>
            </w:pPr>
            <w:r>
              <w:rPr>
                <w:rFonts w:ascii="Arial" w:cs="Arial" w:eastAsia="Arial" w:hAnsi="Arial"/>
                <w:sz w:val="14"/>
                <w:szCs w:val="14"/>
                <w:b w:val="1"/>
                <w:bCs w:val="1"/>
                <w:color w:val="auto"/>
              </w:rPr>
              <w:t>36</w:t>
            </w:r>
          </w:p>
        </w:tc>
        <w:tc>
          <w:tcPr>
            <w:tcW w:w="1180" w:type="dxa"/>
            <w:vAlign w:val="bottom"/>
          </w:tcPr>
          <w:p>
            <w:pPr>
              <w:jc w:val="right"/>
              <w:ind w:right="29"/>
              <w:spacing w:after="0" w:line="143"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7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63</w:t>
            </w:r>
          </w:p>
        </w:tc>
        <w:tc>
          <w:tcPr>
            <w:tcW w:w="0" w:type="dxa"/>
            <w:vAlign w:val="bottom"/>
          </w:tcPr>
          <w:p>
            <w:pPr>
              <w:spacing w:after="0"/>
              <w:rPr>
                <w:sz w:val="1"/>
                <w:szCs w:val="1"/>
                <w:color w:val="auto"/>
              </w:rPr>
            </w:pPr>
          </w:p>
        </w:tc>
      </w:tr>
      <w:tr>
        <w:trPr>
          <w:trHeight w:val="159"/>
        </w:trPr>
        <w:tc>
          <w:tcPr>
            <w:tcW w:w="3040" w:type="dxa"/>
            <w:vAlign w:val="bottom"/>
          </w:tcPr>
          <w:p>
            <w:pPr>
              <w:spacing w:after="0" w:line="159" w:lineRule="exact"/>
              <w:rPr>
                <w:sz w:val="20"/>
                <w:szCs w:val="20"/>
                <w:color w:val="auto"/>
              </w:rPr>
            </w:pPr>
            <w:r>
              <w:rPr>
                <w:rFonts w:ascii="Arial" w:cs="Arial" w:eastAsia="Arial" w:hAnsi="Arial"/>
                <w:sz w:val="14"/>
                <w:szCs w:val="14"/>
                <w:color w:val="auto"/>
              </w:rPr>
              <w:t> Disposals of businesses</w:t>
            </w:r>
          </w:p>
        </w:tc>
        <w:tc>
          <w:tcPr>
            <w:tcW w:w="110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2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(1)</w:t>
            </w:r>
          </w:p>
        </w:tc>
        <w:tc>
          <w:tcPr>
            <w:tcW w:w="70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68"/>
        </w:trPr>
        <w:tc>
          <w:tcPr>
            <w:tcW w:w="3040" w:type="dxa"/>
            <w:vAlign w:val="bottom"/>
            <w:tcBorders>
              <w:bottom w:val="single" w:sz="8" w:color="B2B2B2"/>
            </w:tcBorders>
          </w:tcPr>
          <w:p>
            <w:pPr>
              <w:spacing w:after="0"/>
              <w:rPr>
                <w:sz w:val="20"/>
                <w:szCs w:val="20"/>
                <w:color w:val="auto"/>
              </w:rPr>
            </w:pPr>
            <w:r>
              <w:rPr>
                <w:rFonts w:ascii="Arial" w:cs="Arial" w:eastAsia="Arial" w:hAnsi="Arial"/>
                <w:sz w:val="14"/>
                <w:szCs w:val="14"/>
                <w:color w:val="auto"/>
              </w:rPr>
              <w:t> Translation and other, net</w:t>
            </w:r>
          </w:p>
        </w:tc>
        <w:tc>
          <w:tcPr>
            <w:tcW w:w="1100" w:type="dxa"/>
            <w:vAlign w:val="bottom"/>
            <w:tcBorders>
              <w:bottom w:val="single" w:sz="8" w:color="B2B2B2"/>
            </w:tcBorders>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280" w:type="dxa"/>
            <w:vAlign w:val="bottom"/>
            <w:tcBorders>
              <w:bottom w:val="single" w:sz="8" w:color="B2B2B2"/>
            </w:tcBorders>
          </w:tcPr>
          <w:p>
            <w:pPr>
              <w:jc w:val="right"/>
              <w:ind w:right="29"/>
              <w:spacing w:after="0"/>
              <w:rPr>
                <w:sz w:val="20"/>
                <w:szCs w:val="20"/>
                <w:color w:val="auto"/>
              </w:rPr>
            </w:pPr>
            <w:r>
              <w:rPr>
                <w:rFonts w:ascii="Arial" w:cs="Arial" w:eastAsia="Arial" w:hAnsi="Arial"/>
                <w:sz w:val="14"/>
                <w:szCs w:val="14"/>
                <w:b w:val="1"/>
                <w:bCs w:val="1"/>
                <w:color w:val="auto"/>
              </w:rPr>
              <w:t>(5)</w:t>
            </w:r>
          </w:p>
        </w:tc>
        <w:tc>
          <w:tcPr>
            <w:tcW w:w="1260" w:type="dxa"/>
            <w:vAlign w:val="bottom"/>
            <w:tcBorders>
              <w:bottom w:val="single" w:sz="8" w:color="B2B2B2"/>
            </w:tcBorders>
          </w:tcPr>
          <w:p>
            <w:pPr>
              <w:jc w:val="right"/>
              <w:ind w:right="29"/>
              <w:spacing w:after="0"/>
              <w:rPr>
                <w:sz w:val="20"/>
                <w:szCs w:val="20"/>
                <w:color w:val="auto"/>
              </w:rPr>
            </w:pPr>
            <w:r>
              <w:rPr>
                <w:rFonts w:ascii="Arial" w:cs="Arial" w:eastAsia="Arial" w:hAnsi="Arial"/>
                <w:sz w:val="14"/>
                <w:szCs w:val="14"/>
                <w:b w:val="1"/>
                <w:bCs w:val="1"/>
                <w:color w:val="auto"/>
              </w:rPr>
              <w:t>(25)</w:t>
            </w:r>
          </w:p>
        </w:tc>
        <w:tc>
          <w:tcPr>
            <w:tcW w:w="1180" w:type="dxa"/>
            <w:vAlign w:val="bottom"/>
            <w:tcBorders>
              <w:bottom w:val="single" w:sz="8" w:color="B2B2B2"/>
            </w:tcBorders>
          </w:tcPr>
          <w:p>
            <w:pPr>
              <w:jc w:val="right"/>
              <w:ind w:right="29"/>
              <w:spacing w:after="0"/>
              <w:rPr>
                <w:sz w:val="20"/>
                <w:szCs w:val="20"/>
                <w:color w:val="auto"/>
              </w:rPr>
            </w:pPr>
            <w:r>
              <w:rPr>
                <w:rFonts w:ascii="Arial" w:cs="Arial" w:eastAsia="Arial" w:hAnsi="Arial"/>
                <w:sz w:val="14"/>
                <w:szCs w:val="14"/>
                <w:b w:val="1"/>
                <w:bCs w:val="1"/>
                <w:color w:val="auto"/>
              </w:rPr>
              <w:t>(2)</w:t>
            </w:r>
          </w:p>
        </w:tc>
        <w:tc>
          <w:tcPr>
            <w:tcW w:w="700" w:type="dxa"/>
            <w:vAlign w:val="bottom"/>
            <w:tcBorders>
              <w:bottom w:val="single" w:sz="8" w:color="B2B2B2"/>
            </w:tcBorders>
          </w:tcPr>
          <w:p>
            <w:pPr>
              <w:jc w:val="right"/>
              <w:spacing w:after="0"/>
              <w:rPr>
                <w:sz w:val="20"/>
                <w:szCs w:val="20"/>
                <w:color w:val="auto"/>
              </w:rPr>
            </w:pPr>
            <w:r>
              <w:rPr>
                <w:rFonts w:ascii="Arial" w:cs="Arial" w:eastAsia="Arial" w:hAnsi="Arial"/>
                <w:sz w:val="14"/>
                <w:szCs w:val="14"/>
                <w:b w:val="1"/>
                <w:bCs w:val="1"/>
                <w:color w:val="auto"/>
              </w:rPr>
              <w:t>(15)</w:t>
            </w:r>
          </w:p>
        </w:tc>
        <w:tc>
          <w:tcPr>
            <w:tcW w:w="220" w:type="dxa"/>
            <w:vAlign w:val="bottom"/>
          </w:tcPr>
          <w:p>
            <w:pPr>
              <w:spacing w:after="0"/>
              <w:rPr>
                <w:sz w:val="14"/>
                <w:szCs w:val="14"/>
                <w:color w:val="auto"/>
              </w:rPr>
            </w:pPr>
          </w:p>
        </w:tc>
        <w:tc>
          <w:tcPr>
            <w:tcW w:w="720" w:type="dxa"/>
            <w:vAlign w:val="bottom"/>
            <w:tcBorders>
              <w:bottom w:val="single" w:sz="8" w:color="B2B2B2"/>
            </w:tcBorders>
          </w:tcPr>
          <w:p>
            <w:pPr>
              <w:jc w:val="right"/>
              <w:spacing w:after="0"/>
              <w:rPr>
                <w:sz w:val="20"/>
                <w:szCs w:val="20"/>
                <w:color w:val="auto"/>
              </w:rPr>
            </w:pPr>
            <w:r>
              <w:rPr>
                <w:rFonts w:ascii="Arial" w:cs="Arial" w:eastAsia="Arial" w:hAnsi="Arial"/>
                <w:sz w:val="14"/>
                <w:szCs w:val="14"/>
                <w:b w:val="1"/>
                <w:bCs w:val="1"/>
                <w:color w:val="auto"/>
              </w:rPr>
              <w:t>(47)</w:t>
            </w:r>
          </w:p>
        </w:tc>
        <w:tc>
          <w:tcPr>
            <w:tcW w:w="0" w:type="dxa"/>
            <w:vAlign w:val="bottom"/>
          </w:tcPr>
          <w:p>
            <w:pPr>
              <w:spacing w:after="0"/>
              <w:rPr>
                <w:sz w:val="1"/>
                <w:szCs w:val="1"/>
                <w:color w:val="auto"/>
              </w:rPr>
            </w:pPr>
          </w:p>
        </w:tc>
      </w:tr>
      <w:tr>
        <w:trPr>
          <w:trHeight w:val="152"/>
        </w:trPr>
        <w:tc>
          <w:tcPr>
            <w:tcW w:w="3040" w:type="dxa"/>
            <w:vAlign w:val="bottom"/>
            <w:tcBorders>
              <w:bottom w:val="single" w:sz="8" w:color="B2B2B2"/>
            </w:tcBorders>
          </w:tcPr>
          <w:p>
            <w:pPr>
              <w:spacing w:after="0" w:line="152" w:lineRule="exact"/>
              <w:rPr>
                <w:sz w:val="20"/>
                <w:szCs w:val="20"/>
                <w:color w:val="auto"/>
              </w:rPr>
            </w:pPr>
            <w:r>
              <w:rPr>
                <w:rFonts w:ascii="Arial" w:cs="Arial" w:eastAsia="Arial" w:hAnsi="Arial"/>
                <w:sz w:val="14"/>
                <w:szCs w:val="14"/>
                <w:b w:val="1"/>
                <w:bCs w:val="1"/>
                <w:color w:val="auto"/>
              </w:rPr>
              <w:t> December 31, 2024</w:t>
            </w:r>
          </w:p>
        </w:tc>
        <w:tc>
          <w:tcPr>
            <w:tcW w:w="1100" w:type="dxa"/>
            <w:vAlign w:val="bottom"/>
            <w:tcBorders>
              <w:bottom w:val="single" w:sz="8" w:color="B2B2B2"/>
            </w:tcBorders>
          </w:tcPr>
          <w:p>
            <w:pPr>
              <w:jc w:val="right"/>
              <w:spacing w:after="0" w:line="152" w:lineRule="exact"/>
              <w:rPr>
                <w:sz w:val="20"/>
                <w:szCs w:val="20"/>
                <w:color w:val="auto"/>
              </w:rPr>
            </w:pPr>
            <w:r>
              <w:rPr>
                <w:rFonts w:ascii="Arial" w:cs="Arial" w:eastAsia="Arial" w:hAnsi="Arial"/>
                <w:sz w:val="14"/>
                <w:szCs w:val="14"/>
                <w:b w:val="1"/>
                <w:bCs w:val="1"/>
                <w:color w:val="auto"/>
              </w:rPr>
              <w:t>2,646</w:t>
            </w:r>
          </w:p>
        </w:tc>
        <w:tc>
          <w:tcPr>
            <w:tcW w:w="220" w:type="dxa"/>
            <w:vAlign w:val="bottom"/>
          </w:tcPr>
          <w:p>
            <w:pPr>
              <w:spacing w:after="0"/>
              <w:rPr>
                <w:sz w:val="13"/>
                <w:szCs w:val="13"/>
                <w:color w:val="auto"/>
              </w:rPr>
            </w:pPr>
          </w:p>
        </w:tc>
        <w:tc>
          <w:tcPr>
            <w:tcW w:w="1280" w:type="dxa"/>
            <w:vAlign w:val="bottom"/>
            <w:tcBorders>
              <w:bottom w:val="single" w:sz="8" w:color="B2B2B2"/>
            </w:tcBorders>
          </w:tcPr>
          <w:p>
            <w:pPr>
              <w:jc w:val="right"/>
              <w:ind w:right="29"/>
              <w:spacing w:after="0" w:line="152" w:lineRule="exact"/>
              <w:rPr>
                <w:sz w:val="20"/>
                <w:szCs w:val="20"/>
                <w:color w:val="auto"/>
              </w:rPr>
            </w:pPr>
            <w:r>
              <w:rPr>
                <w:rFonts w:ascii="Arial" w:cs="Arial" w:eastAsia="Arial" w:hAnsi="Arial"/>
                <w:sz w:val="14"/>
                <w:szCs w:val="14"/>
                <w:b w:val="1"/>
                <w:bCs w:val="1"/>
                <w:color w:val="auto"/>
              </w:rPr>
              <w:t>156</w:t>
            </w:r>
          </w:p>
        </w:tc>
        <w:tc>
          <w:tcPr>
            <w:tcW w:w="1260" w:type="dxa"/>
            <w:vAlign w:val="bottom"/>
            <w:tcBorders>
              <w:bottom w:val="single" w:sz="8" w:color="B2B2B2"/>
            </w:tcBorders>
          </w:tcPr>
          <w:p>
            <w:pPr>
              <w:jc w:val="right"/>
              <w:ind w:right="29"/>
              <w:spacing w:after="0" w:line="152" w:lineRule="exact"/>
              <w:rPr>
                <w:sz w:val="20"/>
                <w:szCs w:val="20"/>
                <w:color w:val="auto"/>
              </w:rPr>
            </w:pPr>
            <w:r>
              <w:rPr>
                <w:rFonts w:ascii="Arial" w:cs="Arial" w:eastAsia="Arial" w:hAnsi="Arial"/>
                <w:sz w:val="14"/>
                <w:szCs w:val="14"/>
                <w:b w:val="1"/>
                <w:bCs w:val="1"/>
                <w:color w:val="auto"/>
              </w:rPr>
              <w:t>1,793</w:t>
            </w:r>
          </w:p>
        </w:tc>
        <w:tc>
          <w:tcPr>
            <w:tcW w:w="1180" w:type="dxa"/>
            <w:vAlign w:val="bottom"/>
            <w:tcBorders>
              <w:bottom w:val="single" w:sz="8" w:color="B2B2B2"/>
            </w:tcBorders>
          </w:tcPr>
          <w:p>
            <w:pPr>
              <w:jc w:val="right"/>
              <w:ind w:right="29"/>
              <w:spacing w:after="0" w:line="152" w:lineRule="exact"/>
              <w:rPr>
                <w:sz w:val="20"/>
                <w:szCs w:val="20"/>
                <w:color w:val="auto"/>
              </w:rPr>
            </w:pPr>
            <w:r>
              <w:rPr>
                <w:rFonts w:ascii="Arial" w:cs="Arial" w:eastAsia="Arial" w:hAnsi="Arial"/>
                <w:sz w:val="14"/>
                <w:szCs w:val="14"/>
                <w:b w:val="1"/>
                <w:bCs w:val="1"/>
                <w:color w:val="auto"/>
              </w:rPr>
              <w:t>630</w:t>
            </w:r>
          </w:p>
        </w:tc>
        <w:tc>
          <w:tcPr>
            <w:tcW w:w="700" w:type="dxa"/>
            <w:vAlign w:val="bottom"/>
            <w:tcBorders>
              <w:bottom w:val="single" w:sz="8" w:color="B2B2B2"/>
            </w:tcBorders>
          </w:tcPr>
          <w:p>
            <w:pPr>
              <w:jc w:val="right"/>
              <w:spacing w:after="0" w:line="152" w:lineRule="exact"/>
              <w:rPr>
                <w:sz w:val="20"/>
                <w:szCs w:val="20"/>
                <w:color w:val="auto"/>
              </w:rPr>
            </w:pPr>
            <w:r>
              <w:rPr>
                <w:rFonts w:ascii="Arial" w:cs="Arial" w:eastAsia="Arial" w:hAnsi="Arial"/>
                <w:sz w:val="14"/>
                <w:szCs w:val="14"/>
                <w:b w:val="1"/>
                <w:bCs w:val="1"/>
                <w:color w:val="auto"/>
              </w:rPr>
              <w:t>732</w:t>
            </w:r>
          </w:p>
        </w:tc>
        <w:tc>
          <w:tcPr>
            <w:tcW w:w="220" w:type="dxa"/>
            <w:vAlign w:val="bottom"/>
          </w:tcPr>
          <w:p>
            <w:pPr>
              <w:spacing w:after="0"/>
              <w:rPr>
                <w:sz w:val="13"/>
                <w:szCs w:val="13"/>
                <w:color w:val="auto"/>
              </w:rPr>
            </w:pPr>
          </w:p>
        </w:tc>
        <w:tc>
          <w:tcPr>
            <w:tcW w:w="720" w:type="dxa"/>
            <w:vAlign w:val="bottom"/>
            <w:tcBorders>
              <w:bottom w:val="single" w:sz="8" w:color="B2B2B2"/>
            </w:tcBorders>
          </w:tcPr>
          <w:p>
            <w:pPr>
              <w:jc w:val="right"/>
              <w:spacing w:after="0" w:line="152" w:lineRule="exact"/>
              <w:rPr>
                <w:sz w:val="20"/>
                <w:szCs w:val="20"/>
                <w:color w:val="auto"/>
              </w:rPr>
            </w:pPr>
            <w:r>
              <w:rPr>
                <w:rFonts w:ascii="Arial" w:cs="Arial" w:eastAsia="Arial" w:hAnsi="Arial"/>
                <w:sz w:val="14"/>
                <w:szCs w:val="14"/>
                <w:b w:val="1"/>
                <w:bCs w:val="1"/>
                <w:color w:val="auto"/>
              </w:rPr>
              <w:t>5,957</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20"/>
                <w:szCs w:val="20"/>
                <w:color w:val="auto"/>
              </w:rPr>
            </w:pPr>
            <w:r>
              <w:rPr>
                <w:rFonts w:ascii="Arial" w:cs="Arial" w:eastAsia="Arial" w:hAnsi="Arial"/>
                <w:sz w:val="14"/>
                <w:szCs w:val="14"/>
                <w:b w:val="1"/>
                <w:bCs w:val="1"/>
                <w:color w:val="auto"/>
              </w:rPr>
              <w:t> Accumulated amortization:</w:t>
            </w: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9"/>
        </w:trPr>
        <w:tc>
          <w:tcPr>
            <w:tcW w:w="3040" w:type="dxa"/>
            <w:vAlign w:val="bottom"/>
          </w:tcPr>
          <w:p>
            <w:pPr>
              <w:spacing w:after="0" w:line="159" w:lineRule="exact"/>
              <w:rPr>
                <w:sz w:val="20"/>
                <w:szCs w:val="20"/>
                <w:color w:val="auto"/>
              </w:rPr>
            </w:pPr>
            <w:r>
              <w:rPr>
                <w:rFonts w:ascii="Arial" w:cs="Arial" w:eastAsia="Arial" w:hAnsi="Arial"/>
                <w:sz w:val="14"/>
                <w:szCs w:val="14"/>
                <w:color w:val="auto"/>
              </w:rPr>
              <w:t> December 31, 2022</w:t>
            </w:r>
          </w:p>
        </w:tc>
        <w:tc>
          <w:tcPr>
            <w:tcW w:w="11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(118)</w:t>
            </w:r>
          </w:p>
        </w:tc>
        <w:tc>
          <w:tcPr>
            <w:tcW w:w="1260" w:type="dxa"/>
            <w:vAlign w:val="bottom"/>
          </w:tcPr>
          <w:p>
            <w:pPr>
              <w:jc w:val="right"/>
              <w:ind w:right="29"/>
              <w:spacing w:after="0" w:line="159" w:lineRule="exact"/>
              <w:rPr>
                <w:sz w:val="20"/>
                <w:szCs w:val="20"/>
                <w:color w:val="auto"/>
              </w:rPr>
            </w:pPr>
            <w:r>
              <w:rPr>
                <w:rFonts w:ascii="Arial" w:cs="Arial" w:eastAsia="Arial" w:hAnsi="Arial"/>
                <w:sz w:val="14"/>
                <w:szCs w:val="14"/>
                <w:color w:val="auto"/>
              </w:rPr>
              <w:t>(1,287)</w:t>
            </w:r>
          </w:p>
        </w:tc>
        <w:tc>
          <w:tcPr>
            <w:tcW w:w="11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(573)</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(715)</w:t>
            </w:r>
          </w:p>
        </w:tc>
        <w:tc>
          <w:tcPr>
            <w:tcW w:w="2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(2,693)  </w:t>
            </w:r>
          </w:p>
        </w:tc>
        <w:tc>
          <w:tcPr>
            <w:tcW w:w="0" w:type="dxa"/>
            <w:vAlign w:val="bottom"/>
          </w:tcPr>
          <w:p>
            <w:pPr>
              <w:spacing w:after="0"/>
              <w:rPr>
                <w:sz w:val="1"/>
                <w:szCs w:val="1"/>
                <w:color w:val="auto"/>
              </w:rPr>
            </w:pPr>
          </w:p>
        </w:tc>
      </w:tr>
      <w:tr>
        <w:trPr>
          <w:trHeight w:val="159"/>
        </w:trPr>
        <w:tc>
          <w:tcPr>
            <w:tcW w:w="3040" w:type="dxa"/>
            <w:vAlign w:val="bottom"/>
          </w:tcPr>
          <w:p>
            <w:pPr>
              <w:spacing w:after="0" w:line="159" w:lineRule="exact"/>
              <w:rPr>
                <w:sz w:val="20"/>
                <w:szCs w:val="20"/>
                <w:color w:val="auto"/>
              </w:rPr>
            </w:pPr>
            <w:r>
              <w:rPr>
                <w:rFonts w:ascii="Arial" w:cs="Arial" w:eastAsia="Arial" w:hAnsi="Arial"/>
                <w:sz w:val="14"/>
                <w:szCs w:val="14"/>
                <w:color w:val="auto"/>
              </w:rPr>
              <w:t> Amortization</w:t>
            </w:r>
          </w:p>
        </w:tc>
        <w:tc>
          <w:tcPr>
            <w:tcW w:w="11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(11)</w:t>
            </w:r>
          </w:p>
        </w:tc>
        <w:tc>
          <w:tcPr>
            <w:tcW w:w="1260" w:type="dxa"/>
            <w:vAlign w:val="bottom"/>
          </w:tcPr>
          <w:p>
            <w:pPr>
              <w:jc w:val="right"/>
              <w:ind w:right="29"/>
              <w:spacing w:after="0" w:line="159" w:lineRule="exact"/>
              <w:rPr>
                <w:sz w:val="20"/>
                <w:szCs w:val="20"/>
                <w:color w:val="auto"/>
              </w:rPr>
            </w:pPr>
            <w:r>
              <w:rPr>
                <w:rFonts w:ascii="Arial" w:cs="Arial" w:eastAsia="Arial" w:hAnsi="Arial"/>
                <w:sz w:val="14"/>
                <w:szCs w:val="14"/>
                <w:color w:val="auto"/>
              </w:rPr>
              <w:t>(63)</w:t>
            </w:r>
          </w:p>
        </w:tc>
        <w:tc>
          <w:tcPr>
            <w:tcW w:w="11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(19)</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(4)</w:t>
            </w:r>
          </w:p>
        </w:tc>
        <w:tc>
          <w:tcPr>
            <w:tcW w:w="2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(97)  </w:t>
            </w:r>
          </w:p>
        </w:tc>
        <w:tc>
          <w:tcPr>
            <w:tcW w:w="0" w:type="dxa"/>
            <w:vAlign w:val="bottom"/>
          </w:tcPr>
          <w:p>
            <w:pPr>
              <w:spacing w:after="0"/>
              <w:rPr>
                <w:sz w:val="1"/>
                <w:szCs w:val="1"/>
                <w:color w:val="auto"/>
              </w:rPr>
            </w:pPr>
          </w:p>
        </w:tc>
      </w:tr>
      <w:tr>
        <w:trPr>
          <w:trHeight w:val="159"/>
        </w:trPr>
        <w:tc>
          <w:tcPr>
            <w:tcW w:w="3040" w:type="dxa"/>
            <w:vAlign w:val="bottom"/>
          </w:tcPr>
          <w:p>
            <w:pPr>
              <w:spacing w:after="0" w:line="159" w:lineRule="exact"/>
              <w:rPr>
                <w:sz w:val="20"/>
                <w:szCs w:val="20"/>
                <w:color w:val="auto"/>
              </w:rPr>
            </w:pPr>
            <w:r>
              <w:rPr>
                <w:rFonts w:ascii="Arial" w:cs="Arial" w:eastAsia="Arial" w:hAnsi="Arial"/>
                <w:sz w:val="14"/>
                <w:szCs w:val="14"/>
                <w:color w:val="auto"/>
              </w:rPr>
              <w:t> Disposals of businesses</w:t>
            </w:r>
          </w:p>
        </w:tc>
        <w:tc>
          <w:tcPr>
            <w:tcW w:w="11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14</w:t>
            </w:r>
          </w:p>
        </w:tc>
        <w:tc>
          <w:tcPr>
            <w:tcW w:w="1260" w:type="dxa"/>
            <w:vAlign w:val="bottom"/>
          </w:tcPr>
          <w:p>
            <w:pPr>
              <w:jc w:val="right"/>
              <w:ind w:right="29"/>
              <w:spacing w:after="0" w:line="159" w:lineRule="exact"/>
              <w:rPr>
                <w:sz w:val="20"/>
                <w:szCs w:val="20"/>
                <w:color w:val="auto"/>
              </w:rPr>
            </w:pPr>
            <w:r>
              <w:rPr>
                <w:rFonts w:ascii="Arial" w:cs="Arial" w:eastAsia="Arial" w:hAnsi="Arial"/>
                <w:sz w:val="14"/>
                <w:szCs w:val="14"/>
                <w:color w:val="auto"/>
              </w:rPr>
              <w:t>31</w:t>
            </w:r>
          </w:p>
        </w:tc>
        <w:tc>
          <w:tcPr>
            <w:tcW w:w="11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45  </w:t>
            </w:r>
          </w:p>
        </w:tc>
        <w:tc>
          <w:tcPr>
            <w:tcW w:w="0" w:type="dxa"/>
            <w:vAlign w:val="bottom"/>
          </w:tcPr>
          <w:p>
            <w:pPr>
              <w:spacing w:after="0"/>
              <w:rPr>
                <w:sz w:val="1"/>
                <w:szCs w:val="1"/>
                <w:color w:val="auto"/>
              </w:rPr>
            </w:pPr>
          </w:p>
        </w:tc>
      </w:tr>
      <w:tr>
        <w:trPr>
          <w:trHeight w:val="168"/>
        </w:trPr>
        <w:tc>
          <w:tcPr>
            <w:tcW w:w="3040" w:type="dxa"/>
            <w:vAlign w:val="bottom"/>
            <w:tcBorders>
              <w:bottom w:val="single" w:sz="8" w:color="B2B2B2"/>
            </w:tcBorders>
          </w:tcPr>
          <w:p>
            <w:pPr>
              <w:spacing w:after="0"/>
              <w:rPr>
                <w:sz w:val="20"/>
                <w:szCs w:val="20"/>
                <w:color w:val="auto"/>
              </w:rPr>
            </w:pPr>
            <w:r>
              <w:rPr>
                <w:rFonts w:ascii="Arial" w:cs="Arial" w:eastAsia="Arial" w:hAnsi="Arial"/>
                <w:sz w:val="14"/>
                <w:szCs w:val="14"/>
                <w:color w:val="auto"/>
              </w:rPr>
              <w:t> Translation and other, net</w:t>
            </w:r>
          </w:p>
        </w:tc>
        <w:tc>
          <w:tcPr>
            <w:tcW w:w="110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80" w:type="dxa"/>
            <w:vAlign w:val="bottom"/>
            <w:tcBorders>
              <w:bottom w:val="single" w:sz="8" w:color="B2B2B2"/>
            </w:tcBorders>
          </w:tcPr>
          <w:p>
            <w:pPr>
              <w:jc w:val="right"/>
              <w:ind w:right="2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B2B2B2"/>
            </w:tcBorders>
          </w:tcPr>
          <w:p>
            <w:pPr>
              <w:jc w:val="right"/>
              <w:ind w:right="29"/>
              <w:spacing w:after="0"/>
              <w:rPr>
                <w:sz w:val="20"/>
                <w:szCs w:val="20"/>
                <w:color w:val="auto"/>
              </w:rPr>
            </w:pPr>
            <w:r>
              <w:rPr>
                <w:rFonts w:ascii="Arial" w:cs="Arial" w:eastAsia="Arial" w:hAnsi="Arial"/>
                <w:sz w:val="14"/>
                <w:szCs w:val="14"/>
                <w:color w:val="auto"/>
              </w:rPr>
              <w:t>(22)</w:t>
            </w:r>
          </w:p>
        </w:tc>
        <w:tc>
          <w:tcPr>
            <w:tcW w:w="1180" w:type="dxa"/>
            <w:vAlign w:val="bottom"/>
            <w:tcBorders>
              <w:bottom w:val="single" w:sz="8" w:color="B2B2B2"/>
            </w:tcBorders>
          </w:tcPr>
          <w:p>
            <w:pPr>
              <w:jc w:val="right"/>
              <w:ind w:right="29"/>
              <w:spacing w:after="0"/>
              <w:rPr>
                <w:sz w:val="20"/>
                <w:szCs w:val="20"/>
                <w:color w:val="auto"/>
              </w:rPr>
            </w:pPr>
            <w:r>
              <w:rPr>
                <w:rFonts w:ascii="Arial" w:cs="Arial" w:eastAsia="Arial" w:hAnsi="Arial"/>
                <w:sz w:val="14"/>
                <w:szCs w:val="14"/>
                <w:color w:val="auto"/>
              </w:rPr>
              <w:t>(2)</w:t>
            </w:r>
          </w:p>
        </w:tc>
        <w:tc>
          <w:tcPr>
            <w:tcW w:w="70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4"/>
                <w:szCs w:val="14"/>
                <w:color w:val="auto"/>
              </w:rPr>
            </w:pPr>
          </w:p>
        </w:tc>
        <w:tc>
          <w:tcPr>
            <w:tcW w:w="720" w:type="dxa"/>
            <w:vAlign w:val="bottom"/>
            <w:tcBorders>
              <w:bottom w:val="single" w:sz="8" w:color="B2B2B2"/>
            </w:tcBorders>
          </w:tcPr>
          <w:p>
            <w:pPr>
              <w:jc w:val="right"/>
              <w:spacing w:after="0"/>
              <w:rPr>
                <w:sz w:val="20"/>
                <w:szCs w:val="20"/>
                <w:color w:val="auto"/>
              </w:rPr>
            </w:pPr>
            <w:r>
              <w:rPr>
                <w:rFonts w:ascii="Arial" w:cs="Arial" w:eastAsia="Arial" w:hAnsi="Arial"/>
                <w:sz w:val="14"/>
                <w:szCs w:val="14"/>
                <w:color w:val="auto"/>
              </w:rPr>
              <w:t>(32)  </w:t>
            </w:r>
          </w:p>
        </w:tc>
        <w:tc>
          <w:tcPr>
            <w:tcW w:w="0" w:type="dxa"/>
            <w:vAlign w:val="bottom"/>
          </w:tcPr>
          <w:p>
            <w:pPr>
              <w:spacing w:after="0"/>
              <w:rPr>
                <w:sz w:val="1"/>
                <w:szCs w:val="1"/>
                <w:color w:val="auto"/>
              </w:rPr>
            </w:pPr>
          </w:p>
        </w:tc>
      </w:tr>
      <w:tr>
        <w:trPr>
          <w:trHeight w:val="152"/>
        </w:trPr>
        <w:tc>
          <w:tcPr>
            <w:tcW w:w="3040" w:type="dxa"/>
            <w:vAlign w:val="bottom"/>
            <w:tcBorders>
              <w:bottom w:val="single" w:sz="8" w:color="B2B2B2"/>
            </w:tcBorders>
          </w:tcPr>
          <w:p>
            <w:pPr>
              <w:spacing w:after="0" w:line="152" w:lineRule="exact"/>
              <w:rPr>
                <w:sz w:val="20"/>
                <w:szCs w:val="20"/>
                <w:color w:val="auto"/>
              </w:rPr>
            </w:pPr>
            <w:r>
              <w:rPr>
                <w:rFonts w:ascii="Arial" w:cs="Arial" w:eastAsia="Arial" w:hAnsi="Arial"/>
                <w:sz w:val="14"/>
                <w:szCs w:val="14"/>
                <w:color w:val="auto"/>
              </w:rPr>
              <w:t> December 31, 2023</w:t>
            </w:r>
          </w:p>
        </w:tc>
        <w:tc>
          <w:tcPr>
            <w:tcW w:w="1100" w:type="dxa"/>
            <w:vAlign w:val="bottom"/>
            <w:tcBorders>
              <w:bottom w:val="single" w:sz="8" w:color="B2B2B2"/>
            </w:tcBorders>
          </w:tcPr>
          <w:p>
            <w:pPr>
              <w:jc w:val="right"/>
              <w:spacing w:after="0" w:line="15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280" w:type="dxa"/>
            <w:vAlign w:val="bottom"/>
            <w:tcBorders>
              <w:bottom w:val="single" w:sz="8" w:color="B2B2B2"/>
            </w:tcBorders>
          </w:tcPr>
          <w:p>
            <w:pPr>
              <w:jc w:val="right"/>
              <w:ind w:right="29"/>
              <w:spacing w:after="0" w:line="152" w:lineRule="exact"/>
              <w:rPr>
                <w:sz w:val="20"/>
                <w:szCs w:val="20"/>
                <w:color w:val="auto"/>
              </w:rPr>
            </w:pPr>
            <w:r>
              <w:rPr>
                <w:rFonts w:ascii="Arial" w:cs="Arial" w:eastAsia="Arial" w:hAnsi="Arial"/>
                <w:sz w:val="14"/>
                <w:szCs w:val="14"/>
                <w:b w:val="1"/>
                <w:bCs w:val="1"/>
                <w:color w:val="auto"/>
              </w:rPr>
              <w:t>(115)</w:t>
            </w:r>
          </w:p>
        </w:tc>
        <w:tc>
          <w:tcPr>
            <w:tcW w:w="1260" w:type="dxa"/>
            <w:vAlign w:val="bottom"/>
            <w:tcBorders>
              <w:bottom w:val="single" w:sz="8" w:color="B2B2B2"/>
            </w:tcBorders>
          </w:tcPr>
          <w:p>
            <w:pPr>
              <w:jc w:val="right"/>
              <w:ind w:right="29"/>
              <w:spacing w:after="0" w:line="152" w:lineRule="exact"/>
              <w:rPr>
                <w:sz w:val="20"/>
                <w:szCs w:val="20"/>
                <w:color w:val="auto"/>
              </w:rPr>
            </w:pPr>
            <w:r>
              <w:rPr>
                <w:rFonts w:ascii="Arial" w:cs="Arial" w:eastAsia="Arial" w:hAnsi="Arial"/>
                <w:sz w:val="14"/>
                <w:szCs w:val="14"/>
                <w:b w:val="1"/>
                <w:bCs w:val="1"/>
                <w:color w:val="auto"/>
              </w:rPr>
              <w:t>(1,341)</w:t>
            </w:r>
          </w:p>
        </w:tc>
        <w:tc>
          <w:tcPr>
            <w:tcW w:w="1180" w:type="dxa"/>
            <w:vAlign w:val="bottom"/>
            <w:tcBorders>
              <w:bottom w:val="single" w:sz="8" w:color="B2B2B2"/>
            </w:tcBorders>
          </w:tcPr>
          <w:p>
            <w:pPr>
              <w:jc w:val="right"/>
              <w:ind w:right="29"/>
              <w:spacing w:after="0" w:line="152" w:lineRule="exact"/>
              <w:rPr>
                <w:sz w:val="20"/>
                <w:szCs w:val="20"/>
                <w:color w:val="auto"/>
              </w:rPr>
            </w:pPr>
            <w:r>
              <w:rPr>
                <w:rFonts w:ascii="Arial" w:cs="Arial" w:eastAsia="Arial" w:hAnsi="Arial"/>
                <w:sz w:val="14"/>
                <w:szCs w:val="14"/>
                <w:b w:val="1"/>
                <w:bCs w:val="1"/>
                <w:color w:val="auto"/>
              </w:rPr>
              <w:t>(594)</w:t>
            </w:r>
          </w:p>
        </w:tc>
        <w:tc>
          <w:tcPr>
            <w:tcW w:w="700" w:type="dxa"/>
            <w:vAlign w:val="bottom"/>
            <w:tcBorders>
              <w:bottom w:val="single" w:sz="8" w:color="B2B2B2"/>
            </w:tcBorders>
          </w:tcPr>
          <w:p>
            <w:pPr>
              <w:jc w:val="right"/>
              <w:spacing w:after="0" w:line="152" w:lineRule="exact"/>
              <w:rPr>
                <w:sz w:val="20"/>
                <w:szCs w:val="20"/>
                <w:color w:val="auto"/>
              </w:rPr>
            </w:pPr>
            <w:r>
              <w:rPr>
                <w:rFonts w:ascii="Arial" w:cs="Arial" w:eastAsia="Arial" w:hAnsi="Arial"/>
                <w:sz w:val="14"/>
                <w:szCs w:val="14"/>
                <w:b w:val="1"/>
                <w:bCs w:val="1"/>
                <w:color w:val="auto"/>
              </w:rPr>
              <w:t>(727)</w:t>
            </w:r>
          </w:p>
        </w:tc>
        <w:tc>
          <w:tcPr>
            <w:tcW w:w="220" w:type="dxa"/>
            <w:vAlign w:val="bottom"/>
          </w:tcPr>
          <w:p>
            <w:pPr>
              <w:spacing w:after="0"/>
              <w:rPr>
                <w:sz w:val="13"/>
                <w:szCs w:val="13"/>
                <w:color w:val="auto"/>
              </w:rPr>
            </w:pPr>
          </w:p>
        </w:tc>
        <w:tc>
          <w:tcPr>
            <w:tcW w:w="720" w:type="dxa"/>
            <w:vAlign w:val="bottom"/>
            <w:tcBorders>
              <w:bottom w:val="single" w:sz="8" w:color="B2B2B2"/>
            </w:tcBorders>
          </w:tcPr>
          <w:p>
            <w:pPr>
              <w:jc w:val="right"/>
              <w:spacing w:after="0" w:line="152" w:lineRule="exact"/>
              <w:rPr>
                <w:sz w:val="20"/>
                <w:szCs w:val="20"/>
                <w:color w:val="auto"/>
              </w:rPr>
            </w:pPr>
            <w:r>
              <w:rPr>
                <w:rFonts w:ascii="Arial" w:cs="Arial" w:eastAsia="Arial" w:hAnsi="Arial"/>
                <w:sz w:val="14"/>
                <w:szCs w:val="14"/>
                <w:b w:val="1"/>
                <w:bCs w:val="1"/>
                <w:color w:val="auto"/>
              </w:rPr>
              <w:t>(2,777)</w:t>
            </w:r>
          </w:p>
        </w:tc>
        <w:tc>
          <w:tcPr>
            <w:tcW w:w="0" w:type="dxa"/>
            <w:vAlign w:val="bottom"/>
          </w:tcPr>
          <w:p>
            <w:pPr>
              <w:spacing w:after="0"/>
              <w:rPr>
                <w:sz w:val="1"/>
                <w:szCs w:val="1"/>
                <w:color w:val="auto"/>
              </w:rPr>
            </w:pPr>
          </w:p>
        </w:tc>
      </w:tr>
      <w:tr>
        <w:trPr>
          <w:trHeight w:val="143"/>
        </w:trPr>
        <w:tc>
          <w:tcPr>
            <w:tcW w:w="3040" w:type="dxa"/>
            <w:vAlign w:val="bottom"/>
          </w:tcPr>
          <w:p>
            <w:pPr>
              <w:spacing w:after="0" w:line="143" w:lineRule="exact"/>
              <w:rPr>
                <w:sz w:val="20"/>
                <w:szCs w:val="20"/>
                <w:color w:val="auto"/>
              </w:rPr>
            </w:pPr>
            <w:r>
              <w:rPr>
                <w:rFonts w:ascii="Arial" w:cs="Arial" w:eastAsia="Arial" w:hAnsi="Arial"/>
                <w:sz w:val="14"/>
                <w:szCs w:val="14"/>
                <w:color w:val="auto"/>
              </w:rPr>
              <w:t> Amortization</w:t>
            </w:r>
          </w:p>
        </w:tc>
        <w:tc>
          <w:tcPr>
            <w:tcW w:w="110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280" w:type="dxa"/>
            <w:vAlign w:val="bottom"/>
          </w:tcPr>
          <w:p>
            <w:pPr>
              <w:jc w:val="right"/>
              <w:ind w:right="29"/>
              <w:spacing w:after="0" w:line="143" w:lineRule="exact"/>
              <w:rPr>
                <w:sz w:val="20"/>
                <w:szCs w:val="20"/>
                <w:color w:val="auto"/>
              </w:rPr>
            </w:pPr>
            <w:r>
              <w:rPr>
                <w:rFonts w:ascii="Arial" w:cs="Arial" w:eastAsia="Arial" w:hAnsi="Arial"/>
                <w:sz w:val="14"/>
                <w:szCs w:val="14"/>
                <w:b w:val="1"/>
                <w:bCs w:val="1"/>
                <w:color w:val="auto"/>
              </w:rPr>
              <w:t>(10)</w:t>
            </w:r>
          </w:p>
        </w:tc>
        <w:tc>
          <w:tcPr>
            <w:tcW w:w="1260" w:type="dxa"/>
            <w:vAlign w:val="bottom"/>
          </w:tcPr>
          <w:p>
            <w:pPr>
              <w:jc w:val="right"/>
              <w:ind w:right="29"/>
              <w:spacing w:after="0" w:line="143" w:lineRule="exact"/>
              <w:rPr>
                <w:sz w:val="20"/>
                <w:szCs w:val="20"/>
                <w:color w:val="auto"/>
              </w:rPr>
            </w:pPr>
            <w:r>
              <w:rPr>
                <w:rFonts w:ascii="Arial" w:cs="Arial" w:eastAsia="Arial" w:hAnsi="Arial"/>
                <w:sz w:val="14"/>
                <w:szCs w:val="14"/>
                <w:b w:val="1"/>
                <w:bCs w:val="1"/>
                <w:color w:val="auto"/>
              </w:rPr>
              <w:t>(67)</w:t>
            </w:r>
          </w:p>
        </w:tc>
        <w:tc>
          <w:tcPr>
            <w:tcW w:w="1180" w:type="dxa"/>
            <w:vAlign w:val="bottom"/>
          </w:tcPr>
          <w:p>
            <w:pPr>
              <w:jc w:val="right"/>
              <w:ind w:right="29"/>
              <w:spacing w:after="0" w:line="143" w:lineRule="exact"/>
              <w:rPr>
                <w:sz w:val="20"/>
                <w:szCs w:val="20"/>
                <w:color w:val="auto"/>
              </w:rPr>
            </w:pPr>
            <w:r>
              <w:rPr>
                <w:rFonts w:ascii="Arial" w:cs="Arial" w:eastAsia="Arial" w:hAnsi="Arial"/>
                <w:sz w:val="14"/>
                <w:szCs w:val="14"/>
                <w:b w:val="1"/>
                <w:bCs w:val="1"/>
                <w:color w:val="auto"/>
              </w:rPr>
              <w:t>(14)</w:t>
            </w:r>
          </w:p>
        </w:tc>
        <w:tc>
          <w:tcPr>
            <w:tcW w:w="70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7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(91)</w:t>
            </w:r>
          </w:p>
        </w:tc>
        <w:tc>
          <w:tcPr>
            <w:tcW w:w="0" w:type="dxa"/>
            <w:vAlign w:val="bottom"/>
          </w:tcPr>
          <w:p>
            <w:pPr>
              <w:spacing w:after="0"/>
              <w:rPr>
                <w:sz w:val="1"/>
                <w:szCs w:val="1"/>
                <w:color w:val="auto"/>
              </w:rPr>
            </w:pPr>
          </w:p>
        </w:tc>
      </w:tr>
      <w:tr>
        <w:trPr>
          <w:trHeight w:val="159"/>
        </w:trPr>
        <w:tc>
          <w:tcPr>
            <w:tcW w:w="3040" w:type="dxa"/>
            <w:vAlign w:val="bottom"/>
          </w:tcPr>
          <w:p>
            <w:pPr>
              <w:spacing w:after="0" w:line="159" w:lineRule="exact"/>
              <w:rPr>
                <w:sz w:val="20"/>
                <w:szCs w:val="20"/>
                <w:color w:val="auto"/>
              </w:rPr>
            </w:pPr>
            <w:r>
              <w:rPr>
                <w:rFonts w:ascii="Arial" w:cs="Arial" w:eastAsia="Arial" w:hAnsi="Arial"/>
                <w:sz w:val="14"/>
                <w:szCs w:val="14"/>
                <w:color w:val="auto"/>
              </w:rPr>
              <w:t> Disposals of businesses</w:t>
            </w:r>
          </w:p>
        </w:tc>
        <w:tc>
          <w:tcPr>
            <w:tcW w:w="110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2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auto"/>
              </w:rPr>
              <w:t>1</w:t>
            </w:r>
          </w:p>
        </w:tc>
        <w:tc>
          <w:tcPr>
            <w:tcW w:w="70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68"/>
        </w:trPr>
        <w:tc>
          <w:tcPr>
            <w:tcW w:w="3040" w:type="dxa"/>
            <w:vAlign w:val="bottom"/>
            <w:tcBorders>
              <w:bottom w:val="single" w:sz="8" w:color="B2B2B2"/>
            </w:tcBorders>
          </w:tcPr>
          <w:p>
            <w:pPr>
              <w:spacing w:after="0"/>
              <w:rPr>
                <w:sz w:val="20"/>
                <w:szCs w:val="20"/>
                <w:color w:val="auto"/>
              </w:rPr>
            </w:pPr>
            <w:r>
              <w:rPr>
                <w:rFonts w:ascii="Arial" w:cs="Arial" w:eastAsia="Arial" w:hAnsi="Arial"/>
                <w:sz w:val="14"/>
                <w:szCs w:val="14"/>
                <w:color w:val="auto"/>
              </w:rPr>
              <w:t> Translation and other, net</w:t>
            </w:r>
          </w:p>
        </w:tc>
        <w:tc>
          <w:tcPr>
            <w:tcW w:w="1100" w:type="dxa"/>
            <w:vAlign w:val="bottom"/>
            <w:tcBorders>
              <w:bottom w:val="single" w:sz="8" w:color="B2B2B2"/>
            </w:tcBorders>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280" w:type="dxa"/>
            <w:vAlign w:val="bottom"/>
            <w:tcBorders>
              <w:bottom w:val="single" w:sz="8" w:color="B2B2B2"/>
            </w:tcBorders>
          </w:tcPr>
          <w:p>
            <w:pPr>
              <w:jc w:val="right"/>
              <w:ind w:right="29"/>
              <w:spacing w:after="0"/>
              <w:rPr>
                <w:sz w:val="20"/>
                <w:szCs w:val="20"/>
                <w:color w:val="auto"/>
              </w:rPr>
            </w:pPr>
            <w:r>
              <w:rPr>
                <w:rFonts w:ascii="Arial" w:cs="Arial" w:eastAsia="Arial" w:hAnsi="Arial"/>
                <w:sz w:val="14"/>
                <w:szCs w:val="14"/>
                <w:b w:val="1"/>
                <w:bCs w:val="1"/>
                <w:color w:val="auto"/>
              </w:rPr>
              <w:t>4</w:t>
            </w:r>
          </w:p>
        </w:tc>
        <w:tc>
          <w:tcPr>
            <w:tcW w:w="1260" w:type="dxa"/>
            <w:vAlign w:val="bottom"/>
            <w:tcBorders>
              <w:bottom w:val="single" w:sz="8" w:color="B2B2B2"/>
            </w:tcBorders>
          </w:tcPr>
          <w:p>
            <w:pPr>
              <w:jc w:val="right"/>
              <w:ind w:right="29"/>
              <w:spacing w:after="0"/>
              <w:rPr>
                <w:sz w:val="20"/>
                <w:szCs w:val="20"/>
                <w:color w:val="auto"/>
              </w:rPr>
            </w:pPr>
            <w:r>
              <w:rPr>
                <w:rFonts w:ascii="Arial" w:cs="Arial" w:eastAsia="Arial" w:hAnsi="Arial"/>
                <w:sz w:val="14"/>
                <w:szCs w:val="14"/>
                <w:b w:val="1"/>
                <w:bCs w:val="1"/>
                <w:color w:val="auto"/>
              </w:rPr>
              <w:t>23</w:t>
            </w:r>
          </w:p>
        </w:tc>
        <w:tc>
          <w:tcPr>
            <w:tcW w:w="1180" w:type="dxa"/>
            <w:vAlign w:val="bottom"/>
            <w:tcBorders>
              <w:bottom w:val="single" w:sz="8" w:color="B2B2B2"/>
            </w:tcBorders>
          </w:tcPr>
          <w:p>
            <w:pPr>
              <w:jc w:val="right"/>
              <w:ind w:right="29"/>
              <w:spacing w:after="0"/>
              <w:rPr>
                <w:sz w:val="20"/>
                <w:szCs w:val="20"/>
                <w:color w:val="auto"/>
              </w:rPr>
            </w:pPr>
            <w:r>
              <w:rPr>
                <w:rFonts w:ascii="Arial" w:cs="Arial" w:eastAsia="Arial" w:hAnsi="Arial"/>
                <w:sz w:val="14"/>
                <w:szCs w:val="14"/>
                <w:b w:val="1"/>
                <w:bCs w:val="1"/>
                <w:color w:val="auto"/>
              </w:rPr>
              <w:t>2</w:t>
            </w:r>
          </w:p>
        </w:tc>
        <w:tc>
          <w:tcPr>
            <w:tcW w:w="700" w:type="dxa"/>
            <w:vAlign w:val="bottom"/>
            <w:tcBorders>
              <w:bottom w:val="single" w:sz="8" w:color="B2B2B2"/>
            </w:tcBorders>
          </w:tcPr>
          <w:p>
            <w:pPr>
              <w:jc w:val="right"/>
              <w:spacing w:after="0"/>
              <w:rPr>
                <w:sz w:val="20"/>
                <w:szCs w:val="20"/>
                <w:color w:val="auto"/>
              </w:rPr>
            </w:pPr>
            <w:r>
              <w:rPr>
                <w:rFonts w:ascii="Arial" w:cs="Arial" w:eastAsia="Arial" w:hAnsi="Arial"/>
                <w:sz w:val="14"/>
                <w:szCs w:val="14"/>
                <w:b w:val="1"/>
                <w:bCs w:val="1"/>
                <w:color w:val="auto"/>
              </w:rPr>
              <w:t>15</w:t>
            </w:r>
          </w:p>
        </w:tc>
        <w:tc>
          <w:tcPr>
            <w:tcW w:w="220" w:type="dxa"/>
            <w:vAlign w:val="bottom"/>
          </w:tcPr>
          <w:p>
            <w:pPr>
              <w:spacing w:after="0"/>
              <w:rPr>
                <w:sz w:val="14"/>
                <w:szCs w:val="14"/>
                <w:color w:val="auto"/>
              </w:rPr>
            </w:pPr>
          </w:p>
        </w:tc>
        <w:tc>
          <w:tcPr>
            <w:tcW w:w="720" w:type="dxa"/>
            <w:vAlign w:val="bottom"/>
            <w:tcBorders>
              <w:bottom w:val="single" w:sz="8" w:color="B2B2B2"/>
            </w:tcBorders>
          </w:tcPr>
          <w:p>
            <w:pPr>
              <w:jc w:val="right"/>
              <w:spacing w:after="0"/>
              <w:rPr>
                <w:sz w:val="20"/>
                <w:szCs w:val="20"/>
                <w:color w:val="auto"/>
              </w:rPr>
            </w:pPr>
            <w:r>
              <w:rPr>
                <w:rFonts w:ascii="Arial" w:cs="Arial" w:eastAsia="Arial" w:hAnsi="Arial"/>
                <w:sz w:val="14"/>
                <w:szCs w:val="14"/>
                <w:b w:val="1"/>
                <w:bCs w:val="1"/>
                <w:color w:val="auto"/>
              </w:rPr>
              <w:t>44</w:t>
            </w:r>
          </w:p>
        </w:tc>
        <w:tc>
          <w:tcPr>
            <w:tcW w:w="0" w:type="dxa"/>
            <w:vAlign w:val="bottom"/>
          </w:tcPr>
          <w:p>
            <w:pPr>
              <w:spacing w:after="0"/>
              <w:rPr>
                <w:sz w:val="1"/>
                <w:szCs w:val="1"/>
                <w:color w:val="auto"/>
              </w:rPr>
            </w:pPr>
          </w:p>
        </w:tc>
      </w:tr>
      <w:tr>
        <w:trPr>
          <w:trHeight w:val="152"/>
        </w:trPr>
        <w:tc>
          <w:tcPr>
            <w:tcW w:w="3040" w:type="dxa"/>
            <w:vAlign w:val="bottom"/>
            <w:tcBorders>
              <w:bottom w:val="single" w:sz="8" w:color="B2B2B2"/>
            </w:tcBorders>
          </w:tcPr>
          <w:p>
            <w:pPr>
              <w:spacing w:after="0" w:line="152" w:lineRule="exact"/>
              <w:rPr>
                <w:sz w:val="20"/>
                <w:szCs w:val="20"/>
                <w:color w:val="auto"/>
              </w:rPr>
            </w:pPr>
            <w:r>
              <w:rPr>
                <w:rFonts w:ascii="Arial" w:cs="Arial" w:eastAsia="Arial" w:hAnsi="Arial"/>
                <w:sz w:val="14"/>
                <w:szCs w:val="14"/>
                <w:b w:val="1"/>
                <w:bCs w:val="1"/>
                <w:color w:val="auto"/>
              </w:rPr>
              <w:t> December 31, 2024</w:t>
            </w:r>
          </w:p>
        </w:tc>
        <w:tc>
          <w:tcPr>
            <w:tcW w:w="1100" w:type="dxa"/>
            <w:vAlign w:val="bottom"/>
            <w:tcBorders>
              <w:bottom w:val="single" w:sz="8" w:color="B2B2B2"/>
            </w:tcBorders>
          </w:tcPr>
          <w:p>
            <w:pPr>
              <w:jc w:val="right"/>
              <w:spacing w:after="0" w:line="15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280" w:type="dxa"/>
            <w:vAlign w:val="bottom"/>
            <w:tcBorders>
              <w:bottom w:val="single" w:sz="8" w:color="B2B2B2"/>
            </w:tcBorders>
          </w:tcPr>
          <w:p>
            <w:pPr>
              <w:jc w:val="right"/>
              <w:ind w:right="29"/>
              <w:spacing w:after="0" w:line="152" w:lineRule="exact"/>
              <w:rPr>
                <w:sz w:val="20"/>
                <w:szCs w:val="20"/>
                <w:color w:val="auto"/>
              </w:rPr>
            </w:pPr>
            <w:r>
              <w:rPr>
                <w:rFonts w:ascii="Arial" w:cs="Arial" w:eastAsia="Arial" w:hAnsi="Arial"/>
                <w:sz w:val="14"/>
                <w:szCs w:val="14"/>
                <w:b w:val="1"/>
                <w:bCs w:val="1"/>
                <w:color w:val="auto"/>
              </w:rPr>
              <w:t>(121)</w:t>
            </w:r>
          </w:p>
        </w:tc>
        <w:tc>
          <w:tcPr>
            <w:tcW w:w="1260" w:type="dxa"/>
            <w:vAlign w:val="bottom"/>
            <w:tcBorders>
              <w:bottom w:val="single" w:sz="8" w:color="B2B2B2"/>
            </w:tcBorders>
          </w:tcPr>
          <w:p>
            <w:pPr>
              <w:jc w:val="right"/>
              <w:ind w:right="29"/>
              <w:spacing w:after="0" w:line="152" w:lineRule="exact"/>
              <w:rPr>
                <w:sz w:val="20"/>
                <w:szCs w:val="20"/>
                <w:color w:val="auto"/>
              </w:rPr>
            </w:pPr>
            <w:r>
              <w:rPr>
                <w:rFonts w:ascii="Arial" w:cs="Arial" w:eastAsia="Arial" w:hAnsi="Arial"/>
                <w:sz w:val="14"/>
                <w:szCs w:val="14"/>
                <w:b w:val="1"/>
                <w:bCs w:val="1"/>
                <w:color w:val="auto"/>
              </w:rPr>
              <w:t>(1,385)</w:t>
            </w:r>
          </w:p>
        </w:tc>
        <w:tc>
          <w:tcPr>
            <w:tcW w:w="1180" w:type="dxa"/>
            <w:vAlign w:val="bottom"/>
            <w:tcBorders>
              <w:bottom w:val="single" w:sz="8" w:color="B2B2B2"/>
            </w:tcBorders>
          </w:tcPr>
          <w:p>
            <w:pPr>
              <w:jc w:val="right"/>
              <w:ind w:right="29"/>
              <w:spacing w:after="0" w:line="152" w:lineRule="exact"/>
              <w:rPr>
                <w:sz w:val="20"/>
                <w:szCs w:val="20"/>
                <w:color w:val="auto"/>
              </w:rPr>
            </w:pPr>
            <w:r>
              <w:rPr>
                <w:rFonts w:ascii="Arial" w:cs="Arial" w:eastAsia="Arial" w:hAnsi="Arial"/>
                <w:sz w:val="14"/>
                <w:szCs w:val="14"/>
                <w:b w:val="1"/>
                <w:bCs w:val="1"/>
                <w:color w:val="auto"/>
              </w:rPr>
              <w:t>(605)</w:t>
            </w:r>
          </w:p>
        </w:tc>
        <w:tc>
          <w:tcPr>
            <w:tcW w:w="700" w:type="dxa"/>
            <w:vAlign w:val="bottom"/>
            <w:tcBorders>
              <w:bottom w:val="single" w:sz="8" w:color="B2B2B2"/>
            </w:tcBorders>
          </w:tcPr>
          <w:p>
            <w:pPr>
              <w:jc w:val="right"/>
              <w:spacing w:after="0" w:line="152" w:lineRule="exact"/>
              <w:rPr>
                <w:sz w:val="20"/>
                <w:szCs w:val="20"/>
                <w:color w:val="auto"/>
              </w:rPr>
            </w:pPr>
            <w:r>
              <w:rPr>
                <w:rFonts w:ascii="Arial" w:cs="Arial" w:eastAsia="Arial" w:hAnsi="Arial"/>
                <w:sz w:val="14"/>
                <w:szCs w:val="14"/>
                <w:b w:val="1"/>
                <w:bCs w:val="1"/>
                <w:color w:val="auto"/>
              </w:rPr>
              <w:t>(712)</w:t>
            </w:r>
          </w:p>
        </w:tc>
        <w:tc>
          <w:tcPr>
            <w:tcW w:w="220" w:type="dxa"/>
            <w:vAlign w:val="bottom"/>
          </w:tcPr>
          <w:p>
            <w:pPr>
              <w:spacing w:after="0"/>
              <w:rPr>
                <w:sz w:val="13"/>
                <w:szCs w:val="13"/>
                <w:color w:val="auto"/>
              </w:rPr>
            </w:pPr>
          </w:p>
        </w:tc>
        <w:tc>
          <w:tcPr>
            <w:tcW w:w="720" w:type="dxa"/>
            <w:vAlign w:val="bottom"/>
            <w:tcBorders>
              <w:bottom w:val="single" w:sz="8" w:color="B2B2B2"/>
            </w:tcBorders>
          </w:tcPr>
          <w:p>
            <w:pPr>
              <w:jc w:val="right"/>
              <w:spacing w:after="0" w:line="152" w:lineRule="exact"/>
              <w:rPr>
                <w:sz w:val="20"/>
                <w:szCs w:val="20"/>
                <w:color w:val="auto"/>
              </w:rPr>
            </w:pPr>
            <w:r>
              <w:rPr>
                <w:rFonts w:ascii="Arial" w:cs="Arial" w:eastAsia="Arial" w:hAnsi="Arial"/>
                <w:sz w:val="14"/>
                <w:szCs w:val="14"/>
                <w:b w:val="1"/>
                <w:bCs w:val="1"/>
                <w:color w:val="auto"/>
              </w:rPr>
              <w:t>(2,823)</w:t>
            </w:r>
          </w:p>
        </w:tc>
        <w:tc>
          <w:tcPr>
            <w:tcW w:w="0" w:type="dxa"/>
            <w:vAlign w:val="bottom"/>
          </w:tcPr>
          <w:p>
            <w:pPr>
              <w:spacing w:after="0"/>
              <w:rPr>
                <w:sz w:val="1"/>
                <w:szCs w:val="1"/>
                <w:color w:val="auto"/>
              </w:rPr>
            </w:pPr>
          </w:p>
        </w:tc>
      </w:tr>
      <w:tr>
        <w:trPr>
          <w:trHeight w:val="143"/>
        </w:trPr>
        <w:tc>
          <w:tcPr>
            <w:tcW w:w="3040" w:type="dxa"/>
            <w:vAlign w:val="bottom"/>
          </w:tcPr>
          <w:p>
            <w:pPr>
              <w:spacing w:after="0" w:line="143" w:lineRule="exact"/>
              <w:rPr>
                <w:sz w:val="20"/>
                <w:szCs w:val="20"/>
                <w:color w:val="auto"/>
              </w:rPr>
            </w:pPr>
            <w:r>
              <w:rPr>
                <w:rFonts w:ascii="Arial" w:cs="Arial" w:eastAsia="Arial" w:hAnsi="Arial"/>
                <w:sz w:val="14"/>
                <w:szCs w:val="14"/>
                <w:b w:val="1"/>
                <w:bCs w:val="1"/>
                <w:color w:val="auto"/>
              </w:rPr>
              <w:t> Carrying amount:</w:t>
            </w: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9"/>
        </w:trPr>
        <w:tc>
          <w:tcPr>
            <w:tcW w:w="3040" w:type="dxa"/>
            <w:vAlign w:val="bottom"/>
          </w:tcPr>
          <w:p>
            <w:pPr>
              <w:spacing w:after="0" w:line="159" w:lineRule="exact"/>
              <w:rPr>
                <w:sz w:val="20"/>
                <w:szCs w:val="20"/>
                <w:color w:val="auto"/>
              </w:rPr>
            </w:pPr>
            <w:r>
              <w:rPr>
                <w:rFonts w:ascii="Arial" w:cs="Arial" w:eastAsia="Arial" w:hAnsi="Arial"/>
                <w:sz w:val="14"/>
                <w:szCs w:val="14"/>
                <w:color w:val="auto"/>
              </w:rPr>
              <w:t> December 31, 2023</w:t>
            </w:r>
          </w:p>
        </w:tc>
        <w:tc>
          <w:tcPr>
            <w:tcW w:w="1100" w:type="dxa"/>
            <w:vAlign w:val="bottom"/>
          </w:tcPr>
          <w:p>
            <w:pPr>
              <w:jc w:val="right"/>
              <w:spacing w:after="0" w:line="159" w:lineRule="exact"/>
              <w:rPr>
                <w:sz w:val="20"/>
                <w:szCs w:val="20"/>
                <w:color w:val="auto"/>
              </w:rPr>
            </w:pPr>
            <w:r>
              <w:rPr>
                <w:rFonts w:ascii="Arial" w:cs="Arial" w:eastAsia="Arial" w:hAnsi="Arial"/>
                <w:sz w:val="14"/>
                <w:szCs w:val="14"/>
                <w:color w:val="auto"/>
              </w:rPr>
              <w:t>2,646</w:t>
            </w:r>
          </w:p>
        </w:tc>
        <w:tc>
          <w:tcPr>
            <w:tcW w:w="220" w:type="dxa"/>
            <w:vAlign w:val="bottom"/>
          </w:tcPr>
          <w:p>
            <w:pPr>
              <w:spacing w:after="0"/>
              <w:rPr>
                <w:sz w:val="13"/>
                <w:szCs w:val="13"/>
                <w:color w:val="auto"/>
              </w:rPr>
            </w:pPr>
          </w:p>
        </w:tc>
        <w:tc>
          <w:tcPr>
            <w:tcW w:w="12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19</w:t>
            </w:r>
          </w:p>
        </w:tc>
        <w:tc>
          <w:tcPr>
            <w:tcW w:w="1260" w:type="dxa"/>
            <w:vAlign w:val="bottom"/>
          </w:tcPr>
          <w:p>
            <w:pPr>
              <w:jc w:val="right"/>
              <w:ind w:right="29"/>
              <w:spacing w:after="0" w:line="159" w:lineRule="exact"/>
              <w:rPr>
                <w:sz w:val="20"/>
                <w:szCs w:val="20"/>
                <w:color w:val="auto"/>
              </w:rPr>
            </w:pPr>
            <w:r>
              <w:rPr>
                <w:rFonts w:ascii="Arial" w:cs="Arial" w:eastAsia="Arial" w:hAnsi="Arial"/>
                <w:sz w:val="14"/>
                <w:szCs w:val="14"/>
                <w:color w:val="auto"/>
              </w:rPr>
              <w:t>441</w:t>
            </w:r>
          </w:p>
        </w:tc>
        <w:tc>
          <w:tcPr>
            <w:tcW w:w="11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39</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20</w:t>
            </w:r>
          </w:p>
        </w:tc>
        <w:tc>
          <w:tcPr>
            <w:tcW w:w="2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3,165  </w:t>
            </w:r>
          </w:p>
        </w:tc>
        <w:tc>
          <w:tcPr>
            <w:tcW w:w="0" w:type="dxa"/>
            <w:vAlign w:val="bottom"/>
          </w:tcPr>
          <w:p>
            <w:pPr>
              <w:spacing w:after="0"/>
              <w:rPr>
                <w:sz w:val="1"/>
                <w:szCs w:val="1"/>
                <w:color w:val="auto"/>
              </w:rPr>
            </w:pPr>
          </w:p>
        </w:tc>
      </w:tr>
      <w:tr>
        <w:trPr>
          <w:trHeight w:val="175"/>
        </w:trPr>
        <w:tc>
          <w:tcPr>
            <w:tcW w:w="3040" w:type="dxa"/>
            <w:vAlign w:val="bottom"/>
            <w:tcBorders>
              <w:bottom w:val="single" w:sz="8" w:color="D64000"/>
            </w:tcBorders>
          </w:tcPr>
          <w:p>
            <w:pPr>
              <w:spacing w:after="0"/>
              <w:rPr>
                <w:sz w:val="20"/>
                <w:szCs w:val="20"/>
                <w:color w:val="auto"/>
              </w:rPr>
            </w:pPr>
            <w:r>
              <w:rPr>
                <w:rFonts w:ascii="Arial" w:cs="Arial" w:eastAsia="Arial" w:hAnsi="Arial"/>
                <w:sz w:val="14"/>
                <w:szCs w:val="14"/>
                <w:b w:val="1"/>
                <w:bCs w:val="1"/>
                <w:color w:val="auto"/>
              </w:rPr>
              <w:t> December 31, 2024</w:t>
            </w:r>
          </w:p>
        </w:tc>
        <w:tc>
          <w:tcPr>
            <w:tcW w:w="1100" w:type="dxa"/>
            <w:vAlign w:val="bottom"/>
            <w:tcBorders>
              <w:bottom w:val="single" w:sz="8" w:color="D64000"/>
            </w:tcBorders>
          </w:tcPr>
          <w:p>
            <w:pPr>
              <w:jc w:val="right"/>
              <w:spacing w:after="0"/>
              <w:rPr>
                <w:sz w:val="20"/>
                <w:szCs w:val="20"/>
                <w:color w:val="auto"/>
              </w:rPr>
            </w:pPr>
            <w:r>
              <w:rPr>
                <w:rFonts w:ascii="Arial" w:cs="Arial" w:eastAsia="Arial" w:hAnsi="Arial"/>
                <w:sz w:val="14"/>
                <w:szCs w:val="14"/>
                <w:b w:val="1"/>
                <w:bCs w:val="1"/>
                <w:color w:val="auto"/>
              </w:rPr>
              <w:t>2,646</w:t>
            </w:r>
          </w:p>
        </w:tc>
        <w:tc>
          <w:tcPr>
            <w:tcW w:w="220" w:type="dxa"/>
            <w:vAlign w:val="bottom"/>
            <w:tcBorders>
              <w:bottom w:val="single" w:sz="8" w:color="D64000"/>
            </w:tcBorders>
          </w:tcPr>
          <w:p>
            <w:pPr>
              <w:spacing w:after="0"/>
              <w:rPr>
                <w:sz w:val="15"/>
                <w:szCs w:val="15"/>
                <w:color w:val="auto"/>
              </w:rPr>
            </w:pPr>
          </w:p>
        </w:tc>
        <w:tc>
          <w:tcPr>
            <w:tcW w:w="1280" w:type="dxa"/>
            <w:vAlign w:val="bottom"/>
            <w:tcBorders>
              <w:bottom w:val="single" w:sz="8" w:color="D64000"/>
            </w:tcBorders>
          </w:tcPr>
          <w:p>
            <w:pPr>
              <w:jc w:val="right"/>
              <w:ind w:right="29"/>
              <w:spacing w:after="0"/>
              <w:rPr>
                <w:sz w:val="20"/>
                <w:szCs w:val="20"/>
                <w:color w:val="auto"/>
              </w:rPr>
            </w:pPr>
            <w:r>
              <w:rPr>
                <w:rFonts w:ascii="Arial" w:cs="Arial" w:eastAsia="Arial" w:hAnsi="Arial"/>
                <w:sz w:val="14"/>
                <w:szCs w:val="14"/>
                <w:b w:val="1"/>
                <w:bCs w:val="1"/>
                <w:color w:val="auto"/>
              </w:rPr>
              <w:t>35</w:t>
            </w:r>
          </w:p>
        </w:tc>
        <w:tc>
          <w:tcPr>
            <w:tcW w:w="1260" w:type="dxa"/>
            <w:vAlign w:val="bottom"/>
            <w:tcBorders>
              <w:bottom w:val="single" w:sz="8" w:color="D64000"/>
            </w:tcBorders>
          </w:tcPr>
          <w:p>
            <w:pPr>
              <w:jc w:val="right"/>
              <w:ind w:right="29"/>
              <w:spacing w:after="0"/>
              <w:rPr>
                <w:sz w:val="20"/>
                <w:szCs w:val="20"/>
                <w:color w:val="auto"/>
              </w:rPr>
            </w:pPr>
            <w:r>
              <w:rPr>
                <w:rFonts w:ascii="Arial" w:cs="Arial" w:eastAsia="Arial" w:hAnsi="Arial"/>
                <w:sz w:val="14"/>
                <w:szCs w:val="14"/>
                <w:b w:val="1"/>
                <w:bCs w:val="1"/>
                <w:color w:val="auto"/>
              </w:rPr>
              <w:t>408</w:t>
            </w:r>
          </w:p>
        </w:tc>
        <w:tc>
          <w:tcPr>
            <w:tcW w:w="1180" w:type="dxa"/>
            <w:vAlign w:val="bottom"/>
            <w:tcBorders>
              <w:bottom w:val="single" w:sz="8" w:color="D64000"/>
            </w:tcBorders>
          </w:tcPr>
          <w:p>
            <w:pPr>
              <w:jc w:val="right"/>
              <w:ind w:right="29"/>
              <w:spacing w:after="0"/>
              <w:rPr>
                <w:sz w:val="20"/>
                <w:szCs w:val="20"/>
                <w:color w:val="auto"/>
              </w:rPr>
            </w:pPr>
            <w:r>
              <w:rPr>
                <w:rFonts w:ascii="Arial" w:cs="Arial" w:eastAsia="Arial" w:hAnsi="Arial"/>
                <w:sz w:val="14"/>
                <w:szCs w:val="14"/>
                <w:b w:val="1"/>
                <w:bCs w:val="1"/>
                <w:color w:val="auto"/>
              </w:rPr>
              <w:t>25</w:t>
            </w:r>
          </w:p>
        </w:tc>
        <w:tc>
          <w:tcPr>
            <w:tcW w:w="700" w:type="dxa"/>
            <w:vAlign w:val="bottom"/>
            <w:tcBorders>
              <w:bottom w:val="single" w:sz="8" w:color="D64000"/>
            </w:tcBorders>
          </w:tcPr>
          <w:p>
            <w:pPr>
              <w:jc w:val="right"/>
              <w:spacing w:after="0"/>
              <w:rPr>
                <w:sz w:val="20"/>
                <w:szCs w:val="20"/>
                <w:color w:val="auto"/>
              </w:rPr>
            </w:pPr>
            <w:r>
              <w:rPr>
                <w:rFonts w:ascii="Arial" w:cs="Arial" w:eastAsia="Arial" w:hAnsi="Arial"/>
                <w:sz w:val="14"/>
                <w:szCs w:val="14"/>
                <w:b w:val="1"/>
                <w:bCs w:val="1"/>
                <w:color w:val="auto"/>
              </w:rPr>
              <w:t>20</w:t>
            </w:r>
          </w:p>
        </w:tc>
        <w:tc>
          <w:tcPr>
            <w:tcW w:w="220" w:type="dxa"/>
            <w:vAlign w:val="bottom"/>
            <w:tcBorders>
              <w:bottom w:val="single" w:sz="8" w:color="D64000"/>
            </w:tcBorders>
          </w:tcPr>
          <w:p>
            <w:pPr>
              <w:spacing w:after="0"/>
              <w:rPr>
                <w:sz w:val="15"/>
                <w:szCs w:val="15"/>
                <w:color w:val="auto"/>
              </w:rPr>
            </w:pPr>
          </w:p>
        </w:tc>
        <w:tc>
          <w:tcPr>
            <w:tcW w:w="720" w:type="dxa"/>
            <w:vAlign w:val="bottom"/>
            <w:tcBorders>
              <w:bottom w:val="single" w:sz="8" w:color="D64000"/>
            </w:tcBorders>
          </w:tcPr>
          <w:p>
            <w:pPr>
              <w:jc w:val="right"/>
              <w:spacing w:after="0"/>
              <w:rPr>
                <w:sz w:val="20"/>
                <w:szCs w:val="20"/>
                <w:color w:val="auto"/>
              </w:rPr>
            </w:pPr>
            <w:r>
              <w:rPr>
                <w:rFonts w:ascii="Arial" w:cs="Arial" w:eastAsia="Arial" w:hAnsi="Arial"/>
                <w:sz w:val="14"/>
                <w:szCs w:val="14"/>
                <w:b w:val="1"/>
                <w:bCs w:val="1"/>
                <w:color w:val="auto"/>
              </w:rPr>
              <w:t>3,134</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20" w:right="40"/>
        <w:spacing w:after="0" w:line="235" w:lineRule="auto"/>
        <w:rPr>
          <w:sz w:val="20"/>
          <w:szCs w:val="20"/>
          <w:color w:val="auto"/>
        </w:rPr>
      </w:pPr>
      <w:r>
        <w:rPr>
          <w:rFonts w:ascii="Arial" w:cs="Arial" w:eastAsia="Arial" w:hAnsi="Arial"/>
          <w:sz w:val="17"/>
          <w:szCs w:val="17"/>
          <w:color w:val="auto"/>
        </w:rPr>
        <w:t>The carrying amount of indefinite-lived trade names as of December 31, 2024 and 2023 was comprised of the Reuters and West tradenames in the amounts of $1,939 million and $707 million, respectively. Due to widespread brand recognition, long history and expected future use, these trade names have been assigned indefinite lives. For purposes of impairment testing, the West trade name was allocated to the Legal Professionals, Corporates and Global Print CGUs as it primarily benefits those CGUs. The Reuters trade name is considered a corporate asset, because it is used in the Company’s name, and therefore its carrying value was compared to the combined excess fair value of all the Company’s CGUs. The Company performed its annual test for impairment as of October 1, 2024. No impairment was recorded. See note 19.</w:t>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Note 19: Goodwill</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presents the movement in goodwill 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83185</wp:posOffset>
            </wp:positionV>
            <wp:extent cx="617537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111"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52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640" w:type="dxa"/>
            <w:vAlign w:val="bottom"/>
            <w:gridSpan w:val="2"/>
            <w:shd w:val="clear" w:color="auto" w:fill="E3F3EE"/>
          </w:tcPr>
          <w:p>
            <w:pPr>
              <w:jc w:val="right"/>
              <w:ind w:right="141"/>
              <w:spacing w:after="0"/>
              <w:rPr>
                <w:sz w:val="20"/>
                <w:szCs w:val="20"/>
                <w:color w:val="auto"/>
              </w:rPr>
            </w:pPr>
            <w:r>
              <w:rPr>
                <w:rFonts w:ascii="Arial" w:cs="Arial" w:eastAsia="Arial" w:hAnsi="Arial"/>
                <w:sz w:val="16"/>
                <w:szCs w:val="16"/>
                <w:b w:val="1"/>
                <w:bCs w:val="1"/>
                <w:color w:val="auto"/>
              </w:rPr>
              <w:t xml:space="preserve">December 31,   </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2"/>
        </w:trPr>
        <w:tc>
          <w:tcPr>
            <w:tcW w:w="5280" w:type="dxa"/>
            <w:vAlign w:val="bottom"/>
            <w:tcBorders>
              <w:bottom w:val="single" w:sz="8" w:color="D64000"/>
            </w:tcBorders>
            <w:shd w:val="clear" w:color="auto" w:fill="1F473D"/>
          </w:tcPr>
          <w:p>
            <w:pPr>
              <w:spacing w:after="0"/>
              <w:rPr>
                <w:sz w:val="16"/>
                <w:szCs w:val="16"/>
                <w:color w:val="auto"/>
              </w:rPr>
            </w:pPr>
          </w:p>
        </w:tc>
        <w:tc>
          <w:tcPr>
            <w:tcW w:w="2800" w:type="dxa"/>
            <w:vAlign w:val="bottom"/>
            <w:tcBorders>
              <w:bottom w:val="single" w:sz="8" w:color="D64000"/>
            </w:tcBorders>
            <w:shd w:val="clear" w:color="auto" w:fill="1F473D"/>
          </w:tcPr>
          <w:p>
            <w:pPr>
              <w:spacing w:after="0"/>
              <w:rPr>
                <w:sz w:val="16"/>
                <w:szCs w:val="16"/>
                <w:color w:val="auto"/>
              </w:rPr>
            </w:pPr>
          </w:p>
        </w:tc>
        <w:tc>
          <w:tcPr>
            <w:tcW w:w="920" w:type="dxa"/>
            <w:vAlign w:val="bottom"/>
            <w:tcBorders>
              <w:bottom w:val="single" w:sz="8" w:color="D64000"/>
            </w:tcBorders>
            <w:shd w:val="clear" w:color="auto" w:fill="1F473D"/>
          </w:tcPr>
          <w:p>
            <w:pPr>
              <w:jc w:val="right"/>
              <w:ind w:right="181"/>
              <w:spacing w:after="0"/>
              <w:rPr>
                <w:sz w:val="20"/>
                <w:szCs w:val="20"/>
                <w:color w:val="auto"/>
              </w:rPr>
            </w:pPr>
            <w:r>
              <w:rPr>
                <w:rFonts w:ascii="Arial" w:cs="Arial" w:eastAsia="Arial" w:hAnsi="Arial"/>
                <w:sz w:val="16"/>
                <w:szCs w:val="16"/>
                <w:b w:val="1"/>
                <w:bCs w:val="1"/>
                <w:color w:val="FFFFFF"/>
              </w:rPr>
              <w:t>2024</w:t>
            </w:r>
          </w:p>
        </w:tc>
        <w:tc>
          <w:tcPr>
            <w:tcW w:w="720" w:type="dxa"/>
            <w:vAlign w:val="bottom"/>
            <w:tcBorders>
              <w:bottom w:val="single" w:sz="8" w:color="D64000"/>
            </w:tcBorders>
            <w:shd w:val="clear" w:color="auto" w:fill="1F473D"/>
          </w:tcPr>
          <w:p>
            <w:pPr>
              <w:jc w:val="right"/>
              <w:ind w:right="101"/>
              <w:spacing w:after="0"/>
              <w:rPr>
                <w:sz w:val="20"/>
                <w:szCs w:val="20"/>
                <w:color w:val="auto"/>
              </w:rPr>
            </w:pPr>
            <w:r>
              <w:rPr>
                <w:rFonts w:ascii="Arial" w:cs="Arial" w:eastAsia="Arial" w:hAnsi="Arial"/>
                <w:sz w:val="16"/>
                <w:szCs w:val="16"/>
                <w:color w:val="FFFFFF"/>
              </w:rPr>
              <w:t>2023</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5280" w:type="dxa"/>
            <w:vAlign w:val="bottom"/>
          </w:tcPr>
          <w:p>
            <w:pPr>
              <w:spacing w:after="0" w:line="171" w:lineRule="exact"/>
              <w:rPr>
                <w:sz w:val="20"/>
                <w:szCs w:val="20"/>
                <w:color w:val="auto"/>
              </w:rPr>
            </w:pPr>
            <w:r>
              <w:rPr>
                <w:rFonts w:ascii="Arial" w:cs="Arial" w:eastAsia="Arial" w:hAnsi="Arial"/>
                <w:sz w:val="16"/>
                <w:szCs w:val="16"/>
                <w:b w:val="1"/>
                <w:bCs w:val="1"/>
                <w:color w:val="auto"/>
              </w:rPr>
              <w:t> Cost:</w:t>
            </w:r>
          </w:p>
        </w:tc>
        <w:tc>
          <w:tcPr>
            <w:tcW w:w="2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5280" w:type="dxa"/>
            <w:vAlign w:val="bottom"/>
          </w:tcPr>
          <w:p>
            <w:pPr>
              <w:spacing w:after="0"/>
              <w:rPr>
                <w:sz w:val="20"/>
                <w:szCs w:val="20"/>
                <w:color w:val="auto"/>
              </w:rPr>
            </w:pPr>
            <w:r>
              <w:rPr>
                <w:rFonts w:ascii="Arial" w:cs="Arial" w:eastAsia="Arial" w:hAnsi="Arial"/>
                <w:sz w:val="16"/>
                <w:szCs w:val="16"/>
                <w:color w:val="auto"/>
              </w:rPr>
              <w:t> Balance as of January 1,</w:t>
            </w:r>
          </w:p>
        </w:tc>
        <w:tc>
          <w:tcPr>
            <w:tcW w:w="3720" w:type="dxa"/>
            <w:vAlign w:val="bottom"/>
            <w:gridSpan w:val="2"/>
          </w:tcPr>
          <w:p>
            <w:pPr>
              <w:jc w:val="right"/>
              <w:ind w:right="81"/>
              <w:spacing w:after="0"/>
              <w:rPr>
                <w:sz w:val="20"/>
                <w:szCs w:val="20"/>
                <w:color w:val="auto"/>
              </w:rPr>
            </w:pPr>
            <w:r>
              <w:rPr>
                <w:rFonts w:ascii="Arial" w:cs="Arial" w:eastAsia="Arial" w:hAnsi="Arial"/>
                <w:sz w:val="16"/>
                <w:szCs w:val="16"/>
                <w:b w:val="1"/>
                <w:bCs w:val="1"/>
                <w:color w:val="auto"/>
              </w:rPr>
              <w:t>6,719</w:t>
            </w:r>
          </w:p>
        </w:tc>
        <w:tc>
          <w:tcPr>
            <w:tcW w:w="720" w:type="dxa"/>
            <w:vAlign w:val="bottom"/>
          </w:tcPr>
          <w:p>
            <w:pPr>
              <w:jc w:val="right"/>
              <w:spacing w:after="0"/>
              <w:rPr>
                <w:sz w:val="20"/>
                <w:szCs w:val="20"/>
                <w:color w:val="auto"/>
              </w:rPr>
            </w:pPr>
            <w:r>
              <w:rPr>
                <w:rFonts w:ascii="Arial" w:cs="Arial" w:eastAsia="Arial" w:hAnsi="Arial"/>
                <w:sz w:val="16"/>
                <w:szCs w:val="16"/>
                <w:color w:val="auto"/>
              </w:rPr>
              <w:t>5,869</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5280" w:type="dxa"/>
            <w:vAlign w:val="bottom"/>
          </w:tcPr>
          <w:p>
            <w:pPr>
              <w:spacing w:after="0"/>
              <w:rPr>
                <w:sz w:val="20"/>
                <w:szCs w:val="20"/>
                <w:color w:val="auto"/>
              </w:rPr>
            </w:pPr>
            <w:r>
              <w:rPr>
                <w:rFonts w:ascii="Arial" w:cs="Arial" w:eastAsia="Arial" w:hAnsi="Arial"/>
                <w:sz w:val="16"/>
                <w:szCs w:val="16"/>
                <w:color w:val="auto"/>
              </w:rPr>
              <w:t> Acquisitions</w:t>
            </w:r>
          </w:p>
        </w:tc>
        <w:tc>
          <w:tcPr>
            <w:tcW w:w="3720" w:type="dxa"/>
            <w:vAlign w:val="bottom"/>
            <w:gridSpan w:val="2"/>
          </w:tcPr>
          <w:p>
            <w:pPr>
              <w:jc w:val="right"/>
              <w:ind w:right="81"/>
              <w:spacing w:after="0"/>
              <w:rPr>
                <w:sz w:val="20"/>
                <w:szCs w:val="20"/>
                <w:color w:val="auto"/>
              </w:rPr>
            </w:pPr>
            <w:r>
              <w:rPr>
                <w:rFonts w:ascii="Arial" w:cs="Arial" w:eastAsia="Arial" w:hAnsi="Arial"/>
                <w:sz w:val="16"/>
                <w:szCs w:val="16"/>
                <w:b w:val="1"/>
                <w:bCs w:val="1"/>
                <w:color w:val="auto"/>
              </w:rPr>
              <w:t>714</w:t>
            </w:r>
          </w:p>
        </w:tc>
        <w:tc>
          <w:tcPr>
            <w:tcW w:w="720" w:type="dxa"/>
            <w:vAlign w:val="bottom"/>
          </w:tcPr>
          <w:p>
            <w:pPr>
              <w:jc w:val="right"/>
              <w:spacing w:after="0"/>
              <w:rPr>
                <w:sz w:val="20"/>
                <w:szCs w:val="20"/>
                <w:color w:val="auto"/>
              </w:rPr>
            </w:pPr>
            <w:r>
              <w:rPr>
                <w:rFonts w:ascii="Arial" w:cs="Arial" w:eastAsia="Arial" w:hAnsi="Arial"/>
                <w:sz w:val="16"/>
                <w:szCs w:val="16"/>
                <w:color w:val="auto"/>
              </w:rPr>
              <w:t>879</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5280" w:type="dxa"/>
            <w:vAlign w:val="bottom"/>
          </w:tcPr>
          <w:p>
            <w:pPr>
              <w:spacing w:after="0"/>
              <w:rPr>
                <w:sz w:val="20"/>
                <w:szCs w:val="20"/>
                <w:color w:val="auto"/>
              </w:rPr>
            </w:pPr>
            <w:r>
              <w:rPr>
                <w:rFonts w:ascii="Arial" w:cs="Arial" w:eastAsia="Arial" w:hAnsi="Arial"/>
                <w:sz w:val="16"/>
                <w:szCs w:val="16"/>
                <w:color w:val="auto"/>
              </w:rPr>
              <w:t> Disposals of businesses</w:t>
            </w:r>
          </w:p>
        </w:tc>
        <w:tc>
          <w:tcPr>
            <w:tcW w:w="3720" w:type="dxa"/>
            <w:vAlign w:val="bottom"/>
            <w:gridSpan w:val="2"/>
          </w:tcPr>
          <w:p>
            <w:pPr>
              <w:jc w:val="right"/>
              <w:ind w:right="81"/>
              <w:spacing w:after="0"/>
              <w:rPr>
                <w:sz w:val="20"/>
                <w:szCs w:val="20"/>
                <w:color w:val="auto"/>
              </w:rPr>
            </w:pPr>
            <w:r>
              <w:rPr>
                <w:rFonts w:ascii="Arial" w:cs="Arial" w:eastAsia="Arial" w:hAnsi="Arial"/>
                <w:sz w:val="16"/>
                <w:szCs w:val="16"/>
                <w:b w:val="1"/>
                <w:bCs w:val="1"/>
                <w:color w:val="auto"/>
              </w:rPr>
              <w:t>(87)</w:t>
            </w:r>
          </w:p>
        </w:tc>
        <w:tc>
          <w:tcPr>
            <w:tcW w:w="720" w:type="dxa"/>
            <w:vAlign w:val="bottom"/>
          </w:tcPr>
          <w:p>
            <w:pPr>
              <w:jc w:val="right"/>
              <w:spacing w:after="0"/>
              <w:rPr>
                <w:sz w:val="20"/>
                <w:szCs w:val="20"/>
                <w:color w:val="auto"/>
              </w:rPr>
            </w:pPr>
            <w:r>
              <w:rPr>
                <w:rFonts w:ascii="Arial" w:cs="Arial" w:eastAsia="Arial" w:hAnsi="Arial"/>
                <w:sz w:val="16"/>
                <w:szCs w:val="16"/>
                <w:color w:val="auto"/>
              </w:rPr>
              <w:t>(104)</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528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Translation and other, net</w:t>
            </w:r>
          </w:p>
        </w:tc>
        <w:tc>
          <w:tcPr>
            <w:tcW w:w="3720" w:type="dxa"/>
            <w:vAlign w:val="bottom"/>
            <w:tcBorders>
              <w:bottom w:val="single" w:sz="8" w:color="B2B2B2"/>
            </w:tcBorders>
            <w:gridSpan w:val="2"/>
          </w:tcPr>
          <w:p>
            <w:pPr>
              <w:jc w:val="right"/>
              <w:ind w:right="81"/>
              <w:spacing w:after="0"/>
              <w:rPr>
                <w:sz w:val="20"/>
                <w:szCs w:val="20"/>
                <w:color w:val="auto"/>
              </w:rPr>
            </w:pPr>
            <w:r>
              <w:rPr>
                <w:rFonts w:ascii="Arial" w:cs="Arial" w:eastAsia="Arial" w:hAnsi="Arial"/>
                <w:sz w:val="16"/>
                <w:szCs w:val="16"/>
                <w:b w:val="1"/>
                <w:bCs w:val="1"/>
                <w:color w:val="auto"/>
              </w:rPr>
              <w:t>(84)</w:t>
            </w:r>
          </w:p>
        </w:tc>
        <w:tc>
          <w:tcPr>
            <w:tcW w:w="7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75</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5"/>
        </w:trPr>
        <w:tc>
          <w:tcPr>
            <w:tcW w:w="528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b w:val="1"/>
                <w:bCs w:val="1"/>
                <w:color w:val="auto"/>
              </w:rPr>
              <w:t> Carrying amount as of December 31:</w:t>
            </w:r>
          </w:p>
        </w:tc>
        <w:tc>
          <w:tcPr>
            <w:tcW w:w="3720" w:type="dxa"/>
            <w:vAlign w:val="bottom"/>
            <w:tcBorders>
              <w:bottom w:val="single" w:sz="8" w:color="D64000"/>
            </w:tcBorders>
            <w:gridSpan w:val="2"/>
          </w:tcPr>
          <w:p>
            <w:pPr>
              <w:jc w:val="right"/>
              <w:ind w:right="81"/>
              <w:spacing w:after="0" w:line="179" w:lineRule="exact"/>
              <w:rPr>
                <w:sz w:val="20"/>
                <w:szCs w:val="20"/>
                <w:color w:val="auto"/>
              </w:rPr>
            </w:pPr>
            <w:r>
              <w:rPr>
                <w:rFonts w:ascii="Arial" w:cs="Arial" w:eastAsia="Arial" w:hAnsi="Arial"/>
                <w:sz w:val="16"/>
                <w:szCs w:val="16"/>
                <w:b w:val="1"/>
                <w:bCs w:val="1"/>
                <w:color w:val="auto"/>
              </w:rPr>
              <w:t>7,262</w:t>
            </w:r>
          </w:p>
        </w:tc>
        <w:tc>
          <w:tcPr>
            <w:tcW w:w="72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6,719</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9"/>
        </w:trPr>
        <w:tc>
          <w:tcPr>
            <w:tcW w:w="5280" w:type="dxa"/>
            <w:vAlign w:val="bottom"/>
            <w:tcBorders>
              <w:bottom w:val="single" w:sz="8" w:color="7F7F7F"/>
            </w:tcBorders>
          </w:tcPr>
          <w:p>
            <w:pPr>
              <w:spacing w:after="0"/>
              <w:rPr>
                <w:sz w:val="13"/>
                <w:szCs w:val="13"/>
                <w:color w:val="auto"/>
              </w:rPr>
            </w:pPr>
          </w:p>
        </w:tc>
        <w:tc>
          <w:tcPr>
            <w:tcW w:w="5520" w:type="dxa"/>
            <w:vAlign w:val="bottom"/>
            <w:tcBorders>
              <w:bottom w:val="single" w:sz="8" w:color="7F7F7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41"/>
        </w:trPr>
        <w:tc>
          <w:tcPr>
            <w:tcW w:w="5280" w:type="dxa"/>
            <w:vAlign w:val="bottom"/>
          </w:tcPr>
          <w:p>
            <w:pPr>
              <w:spacing w:after="0"/>
              <w:rPr>
                <w:sz w:val="20"/>
                <w:szCs w:val="20"/>
                <w:color w:val="auto"/>
              </w:rPr>
            </w:pPr>
            <w:r>
              <w:rPr>
                <w:rFonts w:ascii="Arial" w:cs="Arial" w:eastAsia="Arial" w:hAnsi="Arial"/>
                <w:sz w:val="17"/>
                <w:szCs w:val="17"/>
                <w:color w:val="auto"/>
              </w:rPr>
              <w:t>Page 112</w:t>
            </w:r>
          </w:p>
        </w:tc>
        <w:tc>
          <w:tcPr>
            <w:tcW w:w="5540" w:type="dxa"/>
            <w:vAlign w:val="bottom"/>
            <w:gridSpan w:val="5"/>
          </w:tcPr>
          <w:p>
            <w:pPr>
              <w:ind w:left="2480"/>
              <w:spacing w:after="0"/>
              <w:rPr>
                <w:sz w:val="20"/>
                <w:szCs w:val="20"/>
                <w:color w:val="auto"/>
              </w:rPr>
            </w:pPr>
            <w:r>
              <w:rPr>
                <w:rFonts w:ascii="Arial" w:cs="Arial" w:eastAsia="Arial" w:hAnsi="Arial"/>
                <w:sz w:val="17"/>
                <w:szCs w:val="17"/>
                <w:b w:val="1"/>
                <w:bCs w:val="1"/>
                <w:color w:val="auto"/>
                <w:w w:val="98"/>
              </w:rPr>
              <w:t>Thomson Reuters Annual Report 2024</w:t>
            </w:r>
          </w:p>
        </w:tc>
      </w:tr>
    </w:tbl>
    <w:p>
      <w:pPr>
        <w:sectPr>
          <w:pgSz w:w="11900" w:h="16838" w:orient="portrait"/>
          <w:cols w:equalWidth="0" w:num="1">
            <w:col w:w="11040"/>
          </w:cols>
          <w:pgMar w:left="320" w:top="477" w:right="5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Impairment test of goodwill</w:t>
      </w:r>
    </w:p>
    <w:p>
      <w:pPr>
        <w:spacing w:after="0" w:line="6" w:lineRule="exact"/>
        <w:rPr>
          <w:sz w:val="20"/>
          <w:szCs w:val="20"/>
          <w:color w:val="auto"/>
        </w:rPr>
      </w:pPr>
    </w:p>
    <w:p>
      <w:pPr>
        <w:ind w:left="220" w:right="240"/>
        <w:spacing w:after="0" w:line="233" w:lineRule="auto"/>
        <w:rPr>
          <w:sz w:val="20"/>
          <w:szCs w:val="20"/>
          <w:color w:val="auto"/>
        </w:rPr>
      </w:pPr>
      <w:r>
        <w:rPr>
          <w:rFonts w:ascii="Arial" w:cs="Arial" w:eastAsia="Arial" w:hAnsi="Arial"/>
          <w:sz w:val="17"/>
          <w:szCs w:val="17"/>
          <w:color w:val="auto"/>
        </w:rPr>
        <w:t>The Company performed its annual goodwill impairment test as of October 1, 2024. No goodwill impairment was recorded as the estimated fair value less costs of disposal of each CGU exceeded their carrying values by a substantial amount. The Company performed the test for each CGU to which goodwill was allocated and monitored by management at the date of the test. The following table shows the carrying amount of goodwill by CGU that was tested for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144145</wp:posOffset>
            </wp:positionV>
            <wp:extent cx="617537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8500" w:type="dxa"/>
            <w:vAlign w:val="bottom"/>
          </w:tcPr>
          <w:p>
            <w:pPr>
              <w:spacing w:after="0"/>
              <w:rPr>
                <w:sz w:val="17"/>
                <w:szCs w:val="17"/>
                <w:color w:val="auto"/>
              </w:rPr>
            </w:pPr>
          </w:p>
        </w:tc>
        <w:tc>
          <w:tcPr>
            <w:tcW w:w="1220" w:type="dxa"/>
            <w:vAlign w:val="bottom"/>
            <w:shd w:val="clear" w:color="auto" w:fill="E3F3EE"/>
          </w:tcPr>
          <w:p>
            <w:pPr>
              <w:jc w:val="right"/>
              <w:ind w:right="21"/>
              <w:spacing w:after="0"/>
              <w:rPr>
                <w:sz w:val="20"/>
                <w:szCs w:val="20"/>
                <w:color w:val="auto"/>
              </w:rPr>
            </w:pPr>
            <w:r>
              <w:rPr>
                <w:rFonts w:ascii="Arial" w:cs="Arial" w:eastAsia="Arial" w:hAnsi="Arial"/>
                <w:sz w:val="16"/>
                <w:szCs w:val="16"/>
                <w:color w:val="auto"/>
              </w:rPr>
              <w:t>October 1,</w:t>
            </w:r>
          </w:p>
        </w:tc>
      </w:tr>
      <w:tr>
        <w:trPr>
          <w:trHeight w:val="192"/>
        </w:trPr>
        <w:tc>
          <w:tcPr>
            <w:tcW w:w="8500" w:type="dxa"/>
            <w:vAlign w:val="bottom"/>
            <w:tcBorders>
              <w:bottom w:val="single" w:sz="8" w:color="D64000"/>
            </w:tcBorders>
            <w:shd w:val="clear" w:color="auto" w:fill="1F473D"/>
          </w:tcPr>
          <w:p>
            <w:pPr>
              <w:spacing w:after="0"/>
              <w:rPr>
                <w:sz w:val="16"/>
                <w:szCs w:val="16"/>
                <w:color w:val="auto"/>
              </w:rPr>
            </w:pPr>
          </w:p>
        </w:tc>
        <w:tc>
          <w:tcPr>
            <w:tcW w:w="1220" w:type="dxa"/>
            <w:vAlign w:val="bottom"/>
            <w:tcBorders>
              <w:bottom w:val="single" w:sz="8" w:color="D64000"/>
            </w:tcBorders>
            <w:shd w:val="clear" w:color="auto" w:fill="1F473D"/>
          </w:tcPr>
          <w:p>
            <w:pPr>
              <w:jc w:val="right"/>
              <w:ind w:right="21"/>
              <w:spacing w:after="0"/>
              <w:rPr>
                <w:sz w:val="20"/>
                <w:szCs w:val="20"/>
                <w:color w:val="auto"/>
              </w:rPr>
            </w:pPr>
            <w:r>
              <w:rPr>
                <w:rFonts w:ascii="Arial" w:cs="Arial" w:eastAsia="Arial" w:hAnsi="Arial"/>
                <w:sz w:val="16"/>
                <w:szCs w:val="16"/>
                <w:color w:val="FFFFFF"/>
              </w:rPr>
              <w:t>2024</w:t>
            </w:r>
          </w:p>
        </w:tc>
      </w:tr>
      <w:tr>
        <w:trPr>
          <w:trHeight w:val="171"/>
        </w:trPr>
        <w:tc>
          <w:tcPr>
            <w:tcW w:w="8500" w:type="dxa"/>
            <w:vAlign w:val="bottom"/>
          </w:tcPr>
          <w:p>
            <w:pPr>
              <w:spacing w:after="0" w:line="171" w:lineRule="exact"/>
              <w:rPr>
                <w:sz w:val="20"/>
                <w:szCs w:val="20"/>
                <w:color w:val="auto"/>
              </w:rPr>
            </w:pPr>
            <w:r>
              <w:rPr>
                <w:rFonts w:ascii="Arial" w:cs="Arial" w:eastAsia="Arial" w:hAnsi="Arial"/>
                <w:sz w:val="16"/>
                <w:szCs w:val="16"/>
                <w:color w:val="auto"/>
              </w:rPr>
              <w:t>Legal Professionals</w:t>
            </w:r>
          </w:p>
        </w:tc>
        <w:tc>
          <w:tcPr>
            <w:tcW w:w="1220" w:type="dxa"/>
            <w:vAlign w:val="bottom"/>
          </w:tcPr>
          <w:p>
            <w:pPr>
              <w:jc w:val="right"/>
              <w:spacing w:after="0" w:line="171" w:lineRule="exact"/>
              <w:rPr>
                <w:sz w:val="20"/>
                <w:szCs w:val="20"/>
                <w:color w:val="auto"/>
              </w:rPr>
            </w:pPr>
            <w:r>
              <w:rPr>
                <w:rFonts w:ascii="Arial" w:cs="Arial" w:eastAsia="Arial" w:hAnsi="Arial"/>
                <w:sz w:val="16"/>
                <w:szCs w:val="16"/>
                <w:color w:val="auto"/>
              </w:rPr>
              <w:t>3,689</w:t>
            </w:r>
          </w:p>
        </w:tc>
      </w:tr>
      <w:tr>
        <w:trPr>
          <w:trHeight w:val="186"/>
        </w:trPr>
        <w:tc>
          <w:tcPr>
            <w:tcW w:w="8500" w:type="dxa"/>
            <w:vAlign w:val="bottom"/>
          </w:tcPr>
          <w:p>
            <w:pPr>
              <w:spacing w:after="0"/>
              <w:rPr>
                <w:sz w:val="20"/>
                <w:szCs w:val="20"/>
                <w:color w:val="auto"/>
              </w:rPr>
            </w:pPr>
            <w:r>
              <w:rPr>
                <w:rFonts w:ascii="Arial" w:cs="Arial" w:eastAsia="Arial" w:hAnsi="Arial"/>
                <w:sz w:val="16"/>
                <w:szCs w:val="16"/>
                <w:color w:val="auto"/>
              </w:rPr>
              <w:t>Corporates</w:t>
            </w:r>
          </w:p>
        </w:tc>
        <w:tc>
          <w:tcPr>
            <w:tcW w:w="1220" w:type="dxa"/>
            <w:vAlign w:val="bottom"/>
          </w:tcPr>
          <w:p>
            <w:pPr>
              <w:jc w:val="right"/>
              <w:spacing w:after="0"/>
              <w:rPr>
                <w:sz w:val="20"/>
                <w:szCs w:val="20"/>
                <w:color w:val="auto"/>
              </w:rPr>
            </w:pPr>
            <w:r>
              <w:rPr>
                <w:rFonts w:ascii="Arial" w:cs="Arial" w:eastAsia="Arial" w:hAnsi="Arial"/>
                <w:sz w:val="16"/>
                <w:szCs w:val="16"/>
                <w:color w:val="auto"/>
              </w:rPr>
              <w:t>2,027</w:t>
            </w:r>
          </w:p>
        </w:tc>
      </w:tr>
      <w:tr>
        <w:trPr>
          <w:trHeight w:val="186"/>
        </w:trPr>
        <w:tc>
          <w:tcPr>
            <w:tcW w:w="8500" w:type="dxa"/>
            <w:vAlign w:val="bottom"/>
          </w:tcPr>
          <w:p>
            <w:pPr>
              <w:spacing w:after="0"/>
              <w:rPr>
                <w:sz w:val="20"/>
                <w:szCs w:val="20"/>
                <w:color w:val="auto"/>
              </w:rPr>
            </w:pPr>
            <w:r>
              <w:rPr>
                <w:rFonts w:ascii="Arial" w:cs="Arial" w:eastAsia="Arial" w:hAnsi="Arial"/>
                <w:sz w:val="16"/>
                <w:szCs w:val="16"/>
                <w:color w:val="auto"/>
              </w:rPr>
              <w:t>Tax &amp; Accounting Professionals</w:t>
            </w:r>
          </w:p>
        </w:tc>
        <w:tc>
          <w:tcPr>
            <w:tcW w:w="1220" w:type="dxa"/>
            <w:vAlign w:val="bottom"/>
          </w:tcPr>
          <w:p>
            <w:pPr>
              <w:jc w:val="right"/>
              <w:spacing w:after="0"/>
              <w:rPr>
                <w:sz w:val="20"/>
                <w:szCs w:val="20"/>
                <w:color w:val="auto"/>
              </w:rPr>
            </w:pPr>
            <w:r>
              <w:rPr>
                <w:rFonts w:ascii="Arial" w:cs="Arial" w:eastAsia="Arial" w:hAnsi="Arial"/>
                <w:sz w:val="16"/>
                <w:szCs w:val="16"/>
                <w:color w:val="auto"/>
              </w:rPr>
              <w:t>1,148</w:t>
            </w:r>
          </w:p>
        </w:tc>
      </w:tr>
      <w:tr>
        <w:trPr>
          <w:trHeight w:val="185"/>
        </w:trPr>
        <w:tc>
          <w:tcPr>
            <w:tcW w:w="8500" w:type="dxa"/>
            <w:vAlign w:val="bottom"/>
          </w:tcPr>
          <w:p>
            <w:pPr>
              <w:spacing w:after="0"/>
              <w:rPr>
                <w:sz w:val="20"/>
                <w:szCs w:val="20"/>
                <w:color w:val="auto"/>
              </w:rPr>
            </w:pPr>
            <w:r>
              <w:rPr>
                <w:rFonts w:ascii="Arial" w:cs="Arial" w:eastAsia="Arial" w:hAnsi="Arial"/>
                <w:sz w:val="16"/>
                <w:szCs w:val="16"/>
                <w:color w:val="auto"/>
              </w:rPr>
              <w:t>Reuters News</w:t>
            </w:r>
          </w:p>
        </w:tc>
        <w:tc>
          <w:tcPr>
            <w:tcW w:w="1220" w:type="dxa"/>
            <w:vAlign w:val="bottom"/>
          </w:tcPr>
          <w:p>
            <w:pPr>
              <w:jc w:val="right"/>
              <w:spacing w:after="0"/>
              <w:rPr>
                <w:sz w:val="20"/>
                <w:szCs w:val="20"/>
                <w:color w:val="auto"/>
              </w:rPr>
            </w:pPr>
            <w:r>
              <w:rPr>
                <w:rFonts w:ascii="Arial" w:cs="Arial" w:eastAsia="Arial" w:hAnsi="Arial"/>
                <w:sz w:val="16"/>
                <w:szCs w:val="16"/>
                <w:color w:val="auto"/>
              </w:rPr>
              <w:t>230</w:t>
            </w:r>
          </w:p>
        </w:tc>
      </w:tr>
      <w:tr>
        <w:trPr>
          <w:trHeight w:val="200"/>
        </w:trPr>
        <w:tc>
          <w:tcPr>
            <w:tcW w:w="85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Global Print</w:t>
            </w:r>
          </w:p>
        </w:tc>
        <w:tc>
          <w:tcPr>
            <w:tcW w:w="12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248</w:t>
            </w:r>
          </w:p>
        </w:tc>
      </w:tr>
      <w:tr>
        <w:trPr>
          <w:trHeight w:val="185"/>
        </w:trPr>
        <w:tc>
          <w:tcPr>
            <w:tcW w:w="8500" w:type="dxa"/>
            <w:vAlign w:val="bottom"/>
            <w:tcBorders>
              <w:bottom w:val="single" w:sz="8" w:color="D64000"/>
            </w:tcBorders>
          </w:tcPr>
          <w:p>
            <w:pPr>
              <w:spacing w:after="0"/>
              <w:rPr>
                <w:sz w:val="16"/>
                <w:szCs w:val="16"/>
                <w:color w:val="auto"/>
              </w:rPr>
            </w:pPr>
          </w:p>
        </w:tc>
        <w:tc>
          <w:tcPr>
            <w:tcW w:w="122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7,342</w:t>
            </w:r>
          </w:p>
        </w:tc>
      </w:tr>
    </w:tbl>
    <w:p>
      <w:pPr>
        <w:spacing w:after="0" w:line="84" w:lineRule="exact"/>
        <w:rPr>
          <w:sz w:val="20"/>
          <w:szCs w:val="20"/>
          <w:color w:val="auto"/>
        </w:rPr>
      </w:pPr>
    </w:p>
    <w:p>
      <w:pPr>
        <w:ind w:left="220" w:right="80"/>
        <w:spacing w:after="0" w:line="236" w:lineRule="auto"/>
        <w:rPr>
          <w:sz w:val="20"/>
          <w:szCs w:val="20"/>
          <w:color w:val="auto"/>
        </w:rPr>
      </w:pPr>
      <w:r>
        <w:rPr>
          <w:rFonts w:ascii="Arial" w:cs="Arial" w:eastAsia="Arial" w:hAnsi="Arial"/>
          <w:sz w:val="17"/>
          <w:szCs w:val="17"/>
          <w:color w:val="auto"/>
        </w:rPr>
        <w:t xml:space="preserve">As allowed under IAS 36, </w:t>
      </w:r>
      <w:r>
        <w:rPr>
          <w:rFonts w:ascii="Arial" w:cs="Arial" w:eastAsia="Arial" w:hAnsi="Arial"/>
          <w:sz w:val="17"/>
          <w:szCs w:val="17"/>
          <w:i w:val="1"/>
          <w:iCs w:val="1"/>
          <w:color w:val="auto"/>
        </w:rPr>
        <w:t>Impairment of Assets</w:t>
      </w:r>
      <w:r>
        <w:rPr>
          <w:rFonts w:ascii="Arial" w:cs="Arial" w:eastAsia="Arial" w:hAnsi="Arial"/>
          <w:sz w:val="17"/>
          <w:szCs w:val="17"/>
          <w:color w:val="auto"/>
        </w:rPr>
        <w:t>, the Company did not re-estimate the recoverable value of these CGUs for the 2024 impairment test but rather carried forward the recoverable value from 2023 because management concluded that no events or changes in circumstances indicated that the carrying value of these CGUs might not be recoverable. In the 2023 impairment test, the fair value less costs of disposal for each CGU exceeded their respective carrying values by a substantial amount. The valuation techniques, significant assumptions and sensitivities described below relate to the recoverable values determined in the 2023 impairment test.</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Valuation Techniques</w:t>
      </w:r>
    </w:p>
    <w:p>
      <w:pPr>
        <w:spacing w:after="0" w:line="6" w:lineRule="exact"/>
        <w:rPr>
          <w:sz w:val="20"/>
          <w:szCs w:val="20"/>
          <w:color w:val="auto"/>
        </w:rPr>
      </w:pPr>
    </w:p>
    <w:p>
      <w:pPr>
        <w:ind w:left="220" w:right="40"/>
        <w:spacing w:after="0" w:line="231" w:lineRule="auto"/>
        <w:rPr>
          <w:sz w:val="20"/>
          <w:szCs w:val="20"/>
          <w:color w:val="auto"/>
        </w:rPr>
      </w:pPr>
      <w:r>
        <w:rPr>
          <w:rFonts w:ascii="Arial" w:cs="Arial" w:eastAsia="Arial" w:hAnsi="Arial"/>
          <w:sz w:val="17"/>
          <w:szCs w:val="17"/>
          <w:color w:val="auto"/>
        </w:rPr>
        <w:t xml:space="preserve">The selection and application of valuation techniques and the determination of significant assumptions requires judgment. As with previous impairment tests, the recoverable value of each CGU was based on fair value less costs of disposal, using a weighted average of the income approach and market approach. IFRS 13, </w:t>
      </w:r>
      <w:r>
        <w:rPr>
          <w:rFonts w:ascii="Arial" w:cs="Arial" w:eastAsia="Arial" w:hAnsi="Arial"/>
          <w:sz w:val="17"/>
          <w:szCs w:val="17"/>
          <w:i w:val="1"/>
          <w:iCs w:val="1"/>
          <w:color w:val="auto"/>
        </w:rPr>
        <w:t>Fair Value Measurement</w:t>
      </w:r>
      <w:r>
        <w:rPr>
          <w:rFonts w:ascii="Arial" w:cs="Arial" w:eastAsia="Arial" w:hAnsi="Arial"/>
          <w:sz w:val="17"/>
          <w:szCs w:val="17"/>
          <w:color w:val="auto"/>
        </w:rPr>
        <w:t>, defines fair value as a market-based measurement rather than an entity-specific measurement. Therefore, the fair value of the CGU must be measured using the assumptions that market participants would use rather than those related specifically to the Company. To calculate market participant assumptions, publicly available data was gathered from companies operating in businesses similar to each CGU, which includes key competitors. As certain inputs to the valuation are not based on observable market data, the recoverable value of each CGU is categorized in Level 3 of the fair value measurement hierarchy.</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Income approach</w:t>
      </w:r>
    </w:p>
    <w:p>
      <w:pPr>
        <w:spacing w:after="0" w:line="6" w:lineRule="exact"/>
        <w:rPr>
          <w:sz w:val="20"/>
          <w:szCs w:val="20"/>
          <w:color w:val="auto"/>
        </w:rPr>
      </w:pPr>
    </w:p>
    <w:p>
      <w:pPr>
        <w:ind w:left="220" w:right="20"/>
        <w:spacing w:after="0" w:line="233" w:lineRule="auto"/>
        <w:rPr>
          <w:sz w:val="20"/>
          <w:szCs w:val="20"/>
          <w:color w:val="auto"/>
        </w:rPr>
      </w:pPr>
      <w:r>
        <w:rPr>
          <w:rFonts w:ascii="Arial" w:cs="Arial" w:eastAsia="Arial" w:hAnsi="Arial"/>
          <w:sz w:val="17"/>
          <w:szCs w:val="17"/>
          <w:color w:val="auto"/>
        </w:rPr>
        <w:t>The income approach is predicated upon the value of the future cash flows that a business will generate. The Company used the discounted cash flow (“DCF”) method, which involves projecting cash flows and converting them into a present value equivalent through discounting. The discounting process uses a rate of return that is commensurate with the risk associated with the business and the time value of money. This approach requires assumptions about revenue growth rates, operating margins, capital expenditures, tax rates and discount rates.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Market approach</w:t>
      </w:r>
    </w:p>
    <w:p>
      <w:pPr>
        <w:spacing w:after="0" w:line="6" w:lineRule="exact"/>
        <w:rPr>
          <w:sz w:val="20"/>
          <w:szCs w:val="20"/>
          <w:color w:val="auto"/>
        </w:rPr>
      </w:pPr>
    </w:p>
    <w:p>
      <w:pPr>
        <w:ind w:left="220" w:right="180"/>
        <w:spacing w:after="0" w:line="251" w:lineRule="auto"/>
        <w:rPr>
          <w:sz w:val="20"/>
          <w:szCs w:val="20"/>
          <w:color w:val="auto"/>
        </w:rPr>
      </w:pPr>
      <w:r>
        <w:rPr>
          <w:rFonts w:ascii="Arial" w:cs="Arial" w:eastAsia="Arial" w:hAnsi="Arial"/>
          <w:sz w:val="16"/>
          <w:szCs w:val="16"/>
          <w:color w:val="auto"/>
        </w:rPr>
        <w:t>The market approach assumes that companies operating in the same industry will share similar characteristics and that company values will correlate to those characteristics. Therefore, a comparison of a CGU to similar companies whose financial information is publicly available may provide a reasonable basis to estimate fair value. Under the market approach, fair value is calculated based on EBITDA multiples of benchmark companies comparable to the businesses in each CGU. Data for the benchmark companies was obtained from publicly available information.</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Significant Assumptions</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Weighting of Valuation Techniques</w:t>
      </w:r>
    </w:p>
    <w:p>
      <w:pPr>
        <w:spacing w:after="0" w:line="6" w:lineRule="exact"/>
        <w:rPr>
          <w:sz w:val="20"/>
          <w:szCs w:val="20"/>
          <w:color w:val="auto"/>
        </w:rPr>
      </w:pPr>
    </w:p>
    <w:p>
      <w:pPr>
        <w:ind w:left="220" w:right="20"/>
        <w:spacing w:after="0" w:line="236" w:lineRule="auto"/>
        <w:rPr>
          <w:sz w:val="20"/>
          <w:szCs w:val="20"/>
          <w:color w:val="auto"/>
        </w:rPr>
      </w:pPr>
      <w:r>
        <w:rPr>
          <w:rFonts w:ascii="Arial" w:cs="Arial" w:eastAsia="Arial" w:hAnsi="Arial"/>
          <w:sz w:val="17"/>
          <w:szCs w:val="17"/>
          <w:color w:val="auto"/>
        </w:rPr>
        <w:t>The Company weighted the results of the two valuation techniques noted above, consistently applied to each CGU, as follows: 60% income approach/40% market approach. The Company believes that given volatility in capital markets, it is appropriate to apply a heavier weighting to the income approach.</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Cash Flow Projections</w:t>
      </w:r>
    </w:p>
    <w:p>
      <w:pPr>
        <w:spacing w:after="0" w:line="6" w:lineRule="exact"/>
        <w:rPr>
          <w:sz w:val="20"/>
          <w:szCs w:val="20"/>
          <w:color w:val="auto"/>
        </w:rPr>
      </w:pPr>
    </w:p>
    <w:p>
      <w:pPr>
        <w:ind w:left="220" w:right="40"/>
        <w:spacing w:after="0" w:line="232" w:lineRule="auto"/>
        <w:rPr>
          <w:sz w:val="20"/>
          <w:szCs w:val="20"/>
          <w:color w:val="auto"/>
        </w:rPr>
      </w:pPr>
      <w:r>
        <w:rPr>
          <w:rFonts w:ascii="Arial" w:cs="Arial" w:eastAsia="Arial" w:hAnsi="Arial"/>
          <w:sz w:val="17"/>
          <w:szCs w:val="17"/>
          <w:color w:val="auto"/>
        </w:rPr>
        <w:t>Cash flow projections were based on the Company’s internal budget. The Company projected cash flows for a period of three years and applied a perpetual growth rate thereafter, as prescribed by IAS 36. To project cash flows for the three-year period, the Company considered growth in revenues and costs as well as capital expenditures. In preparing its projections, the Company considered experience, economic trends such as GDP growth and inflation as well as industry and market trends. The projections also considered the expected impact from efficiency initiatives, new product launches, customer retention, as well as the maturity of the markets in which each business operates.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Discount Rate</w:t>
      </w:r>
    </w:p>
    <w:p>
      <w:pPr>
        <w:spacing w:after="0" w:line="6" w:lineRule="exact"/>
        <w:rPr>
          <w:sz w:val="20"/>
          <w:szCs w:val="20"/>
          <w:color w:val="auto"/>
        </w:rPr>
      </w:pPr>
    </w:p>
    <w:p>
      <w:pPr>
        <w:ind w:left="220" w:right="220"/>
        <w:spacing w:after="0" w:line="233" w:lineRule="auto"/>
        <w:rPr>
          <w:sz w:val="20"/>
          <w:szCs w:val="20"/>
          <w:color w:val="auto"/>
        </w:rPr>
      </w:pPr>
      <w:r>
        <w:rPr>
          <w:rFonts w:ascii="Arial" w:cs="Arial" w:eastAsia="Arial" w:hAnsi="Arial"/>
          <w:sz w:val="17"/>
          <w:szCs w:val="17"/>
          <w:color w:val="auto"/>
        </w:rPr>
        <w:t>The Company assumed a discount rate to calculate the present value of its projected cash flows. The discount rate represented a weighted-average cost of capital (“WACC”) for comparable companies operating in similar industries as the applicable CGU, based on publicly available information. The WACC is an estimate of the overall required rate of return on an investment for both debt and equity owners and serves as the basis for developing an appropriate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93980</wp:posOffset>
            </wp:positionV>
            <wp:extent cx="68656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9" w:lineRule="exact"/>
        <w:rPr>
          <w:sz w:val="20"/>
          <w:szCs w:val="20"/>
          <w:color w:val="auto"/>
        </w:rPr>
      </w:pPr>
    </w:p>
    <w:p>
      <w:pPr>
        <w:ind w:left="220"/>
        <w:spacing w:after="0"/>
        <w:tabs>
          <w:tab w:leader="none" w:pos="1030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6"/>
          <w:szCs w:val="16"/>
          <w:color w:val="auto"/>
        </w:rPr>
        <w:t>Page 113</w:t>
      </w:r>
    </w:p>
    <w:p>
      <w:pPr>
        <w:sectPr>
          <w:pgSz w:w="11900" w:h="16838" w:orient="portrait"/>
          <w:cols w:equalWidth="0" w:num="1">
            <w:col w:w="11040"/>
          </w:cols>
          <w:pgMar w:left="320" w:top="477" w:right="5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40"/>
        <w:spacing w:after="0" w:line="243" w:lineRule="auto"/>
        <w:rPr>
          <w:sz w:val="20"/>
          <w:szCs w:val="20"/>
          <w:color w:val="auto"/>
        </w:rPr>
      </w:pPr>
      <w:r>
        <w:rPr>
          <w:rFonts w:ascii="Arial" w:cs="Arial" w:eastAsia="Arial" w:hAnsi="Arial"/>
          <w:sz w:val="17"/>
          <w:szCs w:val="17"/>
          <w:color w:val="auto"/>
        </w:rPr>
        <w:t>Determination of the WACC requires separate analysis of the cost of equity and the cost of debt. The cost of equity reflects the long-term risk-free interest rate associated with U.S. Treasury bonds and considers a risk premium based on an assessment of risks related to the projected cash flows of each CGU.</w:t>
      </w:r>
    </w:p>
    <w:p>
      <w:pPr>
        <w:spacing w:after="0" w:line="69" w:lineRule="exact"/>
        <w:rPr>
          <w:sz w:val="20"/>
          <w:szCs w:val="20"/>
          <w:color w:val="auto"/>
        </w:rPr>
      </w:pPr>
    </w:p>
    <w:p>
      <w:pPr>
        <w:ind w:left="220" w:right="240"/>
        <w:spacing w:after="0" w:line="243" w:lineRule="auto"/>
        <w:rPr>
          <w:sz w:val="20"/>
          <w:szCs w:val="20"/>
          <w:color w:val="auto"/>
        </w:rPr>
      </w:pPr>
      <w:r>
        <w:rPr>
          <w:rFonts w:ascii="Arial" w:cs="Arial" w:eastAsia="Arial" w:hAnsi="Arial"/>
          <w:sz w:val="17"/>
          <w:szCs w:val="17"/>
          <w:color w:val="auto"/>
        </w:rPr>
        <w:t>Lower discount rates were applied to CGUs whose cash flows are expected to be less volatile due to factors such as the maturity of the market they serve and their market position. Higher discount rates were applied to CGUs whose cash flows are expected to be more volatile due to competition or participation in less stable geographic markets.</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Tax Rate</w:t>
      </w:r>
    </w:p>
    <w:p>
      <w:pPr>
        <w:spacing w:after="0" w:line="6" w:lineRule="exact"/>
        <w:rPr>
          <w:sz w:val="20"/>
          <w:szCs w:val="20"/>
          <w:color w:val="auto"/>
        </w:rPr>
      </w:pPr>
    </w:p>
    <w:p>
      <w:pPr>
        <w:ind w:left="220" w:right="460"/>
        <w:spacing w:after="0" w:line="236" w:lineRule="auto"/>
        <w:rPr>
          <w:sz w:val="20"/>
          <w:szCs w:val="20"/>
          <w:color w:val="auto"/>
        </w:rPr>
      </w:pPr>
      <w:r>
        <w:rPr>
          <w:rFonts w:ascii="Arial" w:cs="Arial" w:eastAsia="Arial" w:hAnsi="Arial"/>
          <w:sz w:val="17"/>
          <w:szCs w:val="17"/>
          <w:color w:val="auto"/>
        </w:rPr>
        <w:t>The tax rates applied to the projections were based on effective tax rates of comparable companies operating in similar industries as the applicable CGU, based on publicly available information or statutory tax rates. Tax assumptions are sensitive to changes in tax laws and the jurisdictions in which profits are earned.</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key assumptions used in performing the impairment test, by CGU, are presented below:</w:t>
      </w:r>
    </w:p>
    <w:p>
      <w:pPr>
        <w:spacing w:after="0" w:line="238"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4020" w:type="dxa"/>
            <w:vAlign w:val="bottom"/>
            <w:shd w:val="clear" w:color="auto" w:fill="1F473D"/>
          </w:tcPr>
          <w:p>
            <w:pPr>
              <w:spacing w:after="0"/>
              <w:rPr>
                <w:sz w:val="16"/>
                <w:szCs w:val="16"/>
                <w:color w:val="auto"/>
              </w:rPr>
            </w:pPr>
          </w:p>
        </w:tc>
        <w:tc>
          <w:tcPr>
            <w:tcW w:w="3260" w:type="dxa"/>
            <w:vAlign w:val="bottom"/>
            <w:shd w:val="clear" w:color="auto" w:fill="1F473D"/>
          </w:tcPr>
          <w:p>
            <w:pPr>
              <w:jc w:val="right"/>
              <w:ind w:right="341"/>
              <w:spacing w:after="0"/>
              <w:rPr>
                <w:sz w:val="20"/>
                <w:szCs w:val="20"/>
                <w:color w:val="auto"/>
              </w:rPr>
            </w:pPr>
            <w:r>
              <w:rPr>
                <w:rFonts w:ascii="Arial" w:cs="Arial" w:eastAsia="Arial" w:hAnsi="Arial"/>
                <w:sz w:val="16"/>
                <w:szCs w:val="16"/>
                <w:b w:val="1"/>
                <w:bCs w:val="1"/>
                <w:color w:val="FFFFFF"/>
              </w:rPr>
              <w:t>Perpetual</w:t>
            </w:r>
          </w:p>
        </w:tc>
        <w:tc>
          <w:tcPr>
            <w:tcW w:w="1500" w:type="dxa"/>
            <w:vAlign w:val="bottom"/>
            <w:shd w:val="clear" w:color="auto" w:fill="1F473D"/>
          </w:tcPr>
          <w:p>
            <w:pPr>
              <w:jc w:val="right"/>
              <w:ind w:right="321"/>
              <w:spacing w:after="0"/>
              <w:rPr>
                <w:sz w:val="20"/>
                <w:szCs w:val="20"/>
                <w:color w:val="auto"/>
              </w:rPr>
            </w:pPr>
            <w:r>
              <w:rPr>
                <w:rFonts w:ascii="Arial" w:cs="Arial" w:eastAsia="Arial" w:hAnsi="Arial"/>
                <w:sz w:val="16"/>
                <w:szCs w:val="16"/>
                <w:b w:val="1"/>
                <w:bCs w:val="1"/>
                <w:color w:val="FFFFFF"/>
              </w:rPr>
              <w:t>Discount</w:t>
            </w:r>
          </w:p>
        </w:tc>
        <w:tc>
          <w:tcPr>
            <w:tcW w:w="940" w:type="dxa"/>
            <w:vAlign w:val="bottom"/>
            <w:shd w:val="clear" w:color="auto" w:fill="1F473D"/>
          </w:tcPr>
          <w:p>
            <w:pPr>
              <w:jc w:val="right"/>
              <w:ind w:right="61"/>
              <w:spacing w:after="0"/>
              <w:rPr>
                <w:sz w:val="20"/>
                <w:szCs w:val="20"/>
                <w:color w:val="auto"/>
              </w:rPr>
            </w:pPr>
            <w:r>
              <w:rPr>
                <w:rFonts w:ascii="Arial" w:cs="Arial" w:eastAsia="Arial" w:hAnsi="Arial"/>
                <w:sz w:val="16"/>
                <w:szCs w:val="16"/>
                <w:b w:val="1"/>
                <w:bCs w:val="1"/>
                <w:color w:val="FFFFFF"/>
              </w:rPr>
              <w:t>Tax</w:t>
            </w:r>
          </w:p>
        </w:tc>
      </w:tr>
      <w:tr>
        <w:trPr>
          <w:trHeight w:val="206"/>
        </w:trPr>
        <w:tc>
          <w:tcPr>
            <w:tcW w:w="402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b w:val="1"/>
                <w:bCs w:val="1"/>
                <w:color w:val="FFFFFF"/>
              </w:rPr>
              <w:t>Cash-Generating Unit</w:t>
            </w:r>
          </w:p>
        </w:tc>
        <w:tc>
          <w:tcPr>
            <w:tcW w:w="3260" w:type="dxa"/>
            <w:vAlign w:val="bottom"/>
            <w:tcBorders>
              <w:bottom w:val="single" w:sz="8" w:color="D64000"/>
            </w:tcBorders>
            <w:shd w:val="clear" w:color="auto" w:fill="1F473D"/>
          </w:tcPr>
          <w:p>
            <w:pPr>
              <w:jc w:val="right"/>
              <w:ind w:right="341"/>
              <w:spacing w:after="0" w:line="200" w:lineRule="exact"/>
              <w:rPr>
                <w:sz w:val="20"/>
                <w:szCs w:val="20"/>
                <w:color w:val="auto"/>
              </w:rPr>
            </w:pPr>
            <w:r>
              <w:rPr>
                <w:rFonts w:ascii="Arial" w:cs="Arial" w:eastAsia="Arial" w:hAnsi="Arial"/>
                <w:sz w:val="16"/>
                <w:szCs w:val="16"/>
                <w:b w:val="1"/>
                <w:bCs w:val="1"/>
                <w:color w:val="FFFFFF"/>
              </w:rPr>
              <w:t>Growth Rate</w:t>
            </w:r>
            <w:r>
              <w:rPr>
                <w:rFonts w:ascii="Arial" w:cs="Arial" w:eastAsia="Arial" w:hAnsi="Arial"/>
                <w:sz w:val="19"/>
                <w:szCs w:val="19"/>
                <w:b w:val="1"/>
                <w:bCs w:val="1"/>
                <w:color w:val="FFFFFF"/>
                <w:vertAlign w:val="superscript"/>
              </w:rPr>
              <w:t>(1)</w:t>
            </w:r>
          </w:p>
        </w:tc>
        <w:tc>
          <w:tcPr>
            <w:tcW w:w="1500" w:type="dxa"/>
            <w:vAlign w:val="bottom"/>
            <w:tcBorders>
              <w:bottom w:val="single" w:sz="8" w:color="D64000"/>
            </w:tcBorders>
            <w:shd w:val="clear" w:color="auto" w:fill="1F473D"/>
          </w:tcPr>
          <w:p>
            <w:pPr>
              <w:jc w:val="right"/>
              <w:ind w:right="321"/>
              <w:spacing w:after="0"/>
              <w:rPr>
                <w:sz w:val="20"/>
                <w:szCs w:val="20"/>
                <w:color w:val="auto"/>
              </w:rPr>
            </w:pPr>
            <w:r>
              <w:rPr>
                <w:rFonts w:ascii="Arial" w:cs="Arial" w:eastAsia="Arial" w:hAnsi="Arial"/>
                <w:sz w:val="16"/>
                <w:szCs w:val="16"/>
                <w:b w:val="1"/>
                <w:bCs w:val="1"/>
                <w:color w:val="FFFFFF"/>
              </w:rPr>
              <w:t>Rate</w:t>
            </w:r>
          </w:p>
        </w:tc>
        <w:tc>
          <w:tcPr>
            <w:tcW w:w="940" w:type="dxa"/>
            <w:vAlign w:val="bottom"/>
            <w:tcBorders>
              <w:bottom w:val="single" w:sz="8" w:color="D64000"/>
            </w:tcBorders>
            <w:shd w:val="clear" w:color="auto" w:fill="1F473D"/>
          </w:tcPr>
          <w:p>
            <w:pPr>
              <w:jc w:val="right"/>
              <w:ind w:right="1"/>
              <w:spacing w:after="0"/>
              <w:rPr>
                <w:sz w:val="20"/>
                <w:szCs w:val="20"/>
                <w:color w:val="auto"/>
              </w:rPr>
            </w:pPr>
            <w:r>
              <w:rPr>
                <w:rFonts w:ascii="Arial" w:cs="Arial" w:eastAsia="Arial" w:hAnsi="Arial"/>
                <w:sz w:val="16"/>
                <w:szCs w:val="16"/>
                <w:b w:val="1"/>
                <w:bCs w:val="1"/>
                <w:color w:val="FFFFFF"/>
              </w:rPr>
              <w:t>Rate</w:t>
            </w:r>
          </w:p>
        </w:tc>
      </w:tr>
      <w:tr>
        <w:trPr>
          <w:trHeight w:val="171"/>
        </w:trPr>
        <w:tc>
          <w:tcPr>
            <w:tcW w:w="4020" w:type="dxa"/>
            <w:vAlign w:val="bottom"/>
          </w:tcPr>
          <w:p>
            <w:pPr>
              <w:spacing w:after="0" w:line="171" w:lineRule="exact"/>
              <w:rPr>
                <w:sz w:val="20"/>
                <w:szCs w:val="20"/>
                <w:color w:val="auto"/>
              </w:rPr>
            </w:pPr>
            <w:r>
              <w:rPr>
                <w:rFonts w:ascii="Arial" w:cs="Arial" w:eastAsia="Arial" w:hAnsi="Arial"/>
                <w:sz w:val="16"/>
                <w:szCs w:val="16"/>
                <w:color w:val="auto"/>
              </w:rPr>
              <w:t> Legal Professionals</w:t>
            </w:r>
          </w:p>
        </w:tc>
        <w:tc>
          <w:tcPr>
            <w:tcW w:w="3260" w:type="dxa"/>
            <w:vAlign w:val="bottom"/>
          </w:tcPr>
          <w:p>
            <w:pPr>
              <w:jc w:val="right"/>
              <w:ind w:right="341"/>
              <w:spacing w:after="0" w:line="171" w:lineRule="exact"/>
              <w:rPr>
                <w:sz w:val="20"/>
                <w:szCs w:val="20"/>
                <w:color w:val="auto"/>
              </w:rPr>
            </w:pPr>
            <w:r>
              <w:rPr>
                <w:rFonts w:ascii="Arial" w:cs="Arial" w:eastAsia="Arial" w:hAnsi="Arial"/>
                <w:sz w:val="16"/>
                <w:szCs w:val="16"/>
                <w:color w:val="auto"/>
              </w:rPr>
              <w:t>2.5%</w:t>
            </w:r>
          </w:p>
        </w:tc>
        <w:tc>
          <w:tcPr>
            <w:tcW w:w="1500" w:type="dxa"/>
            <w:vAlign w:val="bottom"/>
          </w:tcPr>
          <w:p>
            <w:pPr>
              <w:jc w:val="right"/>
              <w:ind w:right="321"/>
              <w:spacing w:after="0" w:line="171" w:lineRule="exact"/>
              <w:rPr>
                <w:sz w:val="20"/>
                <w:szCs w:val="20"/>
                <w:color w:val="auto"/>
              </w:rPr>
            </w:pPr>
            <w:r>
              <w:rPr>
                <w:rFonts w:ascii="Arial" w:cs="Arial" w:eastAsia="Arial" w:hAnsi="Arial"/>
                <w:sz w:val="16"/>
                <w:szCs w:val="16"/>
                <w:color w:val="auto"/>
              </w:rPr>
              <w:t>11.0%</w:t>
            </w:r>
          </w:p>
        </w:tc>
        <w:tc>
          <w:tcPr>
            <w:tcW w:w="940" w:type="dxa"/>
            <w:vAlign w:val="bottom"/>
          </w:tcPr>
          <w:p>
            <w:pPr>
              <w:jc w:val="right"/>
              <w:ind w:right="1"/>
              <w:spacing w:after="0" w:line="171" w:lineRule="exact"/>
              <w:rPr>
                <w:sz w:val="20"/>
                <w:szCs w:val="20"/>
                <w:color w:val="auto"/>
              </w:rPr>
            </w:pPr>
            <w:r>
              <w:rPr>
                <w:rFonts w:ascii="Arial" w:cs="Arial" w:eastAsia="Arial" w:hAnsi="Arial"/>
                <w:sz w:val="16"/>
                <w:szCs w:val="16"/>
                <w:color w:val="auto"/>
              </w:rPr>
              <w:t>26.6%</w:t>
            </w:r>
          </w:p>
        </w:tc>
      </w:tr>
      <w:tr>
        <w:trPr>
          <w:trHeight w:val="186"/>
        </w:trPr>
        <w:tc>
          <w:tcPr>
            <w:tcW w:w="4020" w:type="dxa"/>
            <w:vAlign w:val="bottom"/>
          </w:tcPr>
          <w:p>
            <w:pPr>
              <w:spacing w:after="0"/>
              <w:rPr>
                <w:sz w:val="20"/>
                <w:szCs w:val="20"/>
                <w:color w:val="auto"/>
              </w:rPr>
            </w:pPr>
            <w:r>
              <w:rPr>
                <w:rFonts w:ascii="Arial" w:cs="Arial" w:eastAsia="Arial" w:hAnsi="Arial"/>
                <w:sz w:val="16"/>
                <w:szCs w:val="16"/>
                <w:color w:val="auto"/>
              </w:rPr>
              <w:t> Corporates</w:t>
            </w:r>
          </w:p>
        </w:tc>
        <w:tc>
          <w:tcPr>
            <w:tcW w:w="3260" w:type="dxa"/>
            <w:vAlign w:val="bottom"/>
          </w:tcPr>
          <w:p>
            <w:pPr>
              <w:jc w:val="right"/>
              <w:ind w:right="341"/>
              <w:spacing w:after="0"/>
              <w:rPr>
                <w:sz w:val="20"/>
                <w:szCs w:val="20"/>
                <w:color w:val="auto"/>
              </w:rPr>
            </w:pPr>
            <w:r>
              <w:rPr>
                <w:rFonts w:ascii="Arial" w:cs="Arial" w:eastAsia="Arial" w:hAnsi="Arial"/>
                <w:sz w:val="16"/>
                <w:szCs w:val="16"/>
                <w:color w:val="auto"/>
              </w:rPr>
              <w:t>2.5%</w:t>
            </w:r>
          </w:p>
        </w:tc>
        <w:tc>
          <w:tcPr>
            <w:tcW w:w="1500" w:type="dxa"/>
            <w:vAlign w:val="bottom"/>
          </w:tcPr>
          <w:p>
            <w:pPr>
              <w:jc w:val="right"/>
              <w:ind w:right="321"/>
              <w:spacing w:after="0"/>
              <w:rPr>
                <w:sz w:val="20"/>
                <w:szCs w:val="20"/>
                <w:color w:val="auto"/>
              </w:rPr>
            </w:pPr>
            <w:r>
              <w:rPr>
                <w:rFonts w:ascii="Arial" w:cs="Arial" w:eastAsia="Arial" w:hAnsi="Arial"/>
                <w:sz w:val="16"/>
                <w:szCs w:val="16"/>
                <w:color w:val="auto"/>
              </w:rPr>
              <w:t>11.0%</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26.8%</w:t>
            </w:r>
          </w:p>
        </w:tc>
      </w:tr>
      <w:tr>
        <w:trPr>
          <w:trHeight w:val="185"/>
        </w:trPr>
        <w:tc>
          <w:tcPr>
            <w:tcW w:w="4020" w:type="dxa"/>
            <w:vAlign w:val="bottom"/>
          </w:tcPr>
          <w:p>
            <w:pPr>
              <w:spacing w:after="0"/>
              <w:rPr>
                <w:sz w:val="20"/>
                <w:szCs w:val="20"/>
                <w:color w:val="auto"/>
              </w:rPr>
            </w:pPr>
            <w:r>
              <w:rPr>
                <w:rFonts w:ascii="Arial" w:cs="Arial" w:eastAsia="Arial" w:hAnsi="Arial"/>
                <w:sz w:val="16"/>
                <w:szCs w:val="16"/>
                <w:color w:val="auto"/>
              </w:rPr>
              <w:t> Tax &amp; Accounting Professionals</w:t>
            </w:r>
          </w:p>
        </w:tc>
        <w:tc>
          <w:tcPr>
            <w:tcW w:w="3260" w:type="dxa"/>
            <w:vAlign w:val="bottom"/>
          </w:tcPr>
          <w:p>
            <w:pPr>
              <w:jc w:val="right"/>
              <w:ind w:right="341"/>
              <w:spacing w:after="0"/>
              <w:rPr>
                <w:sz w:val="20"/>
                <w:szCs w:val="20"/>
                <w:color w:val="auto"/>
              </w:rPr>
            </w:pPr>
            <w:r>
              <w:rPr>
                <w:rFonts w:ascii="Arial" w:cs="Arial" w:eastAsia="Arial" w:hAnsi="Arial"/>
                <w:sz w:val="16"/>
                <w:szCs w:val="16"/>
                <w:color w:val="auto"/>
              </w:rPr>
              <w:t>3.0%</w:t>
            </w:r>
          </w:p>
        </w:tc>
        <w:tc>
          <w:tcPr>
            <w:tcW w:w="1500" w:type="dxa"/>
            <w:vAlign w:val="bottom"/>
          </w:tcPr>
          <w:p>
            <w:pPr>
              <w:jc w:val="right"/>
              <w:ind w:right="321"/>
              <w:spacing w:after="0"/>
              <w:rPr>
                <w:sz w:val="20"/>
                <w:szCs w:val="20"/>
                <w:color w:val="auto"/>
              </w:rPr>
            </w:pPr>
            <w:r>
              <w:rPr>
                <w:rFonts w:ascii="Arial" w:cs="Arial" w:eastAsia="Arial" w:hAnsi="Arial"/>
                <w:sz w:val="16"/>
                <w:szCs w:val="16"/>
                <w:color w:val="auto"/>
              </w:rPr>
              <w:t>11.5%</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27.6%</w:t>
            </w:r>
          </w:p>
        </w:tc>
      </w:tr>
      <w:tr>
        <w:trPr>
          <w:trHeight w:val="186"/>
        </w:trPr>
        <w:tc>
          <w:tcPr>
            <w:tcW w:w="4020" w:type="dxa"/>
            <w:vAlign w:val="bottom"/>
          </w:tcPr>
          <w:p>
            <w:pPr>
              <w:spacing w:after="0"/>
              <w:rPr>
                <w:sz w:val="20"/>
                <w:szCs w:val="20"/>
                <w:color w:val="auto"/>
              </w:rPr>
            </w:pPr>
            <w:r>
              <w:rPr>
                <w:rFonts w:ascii="Arial" w:cs="Arial" w:eastAsia="Arial" w:hAnsi="Arial"/>
                <w:sz w:val="16"/>
                <w:szCs w:val="16"/>
                <w:color w:val="auto"/>
              </w:rPr>
              <w:t> Reuters News</w:t>
            </w:r>
          </w:p>
        </w:tc>
        <w:tc>
          <w:tcPr>
            <w:tcW w:w="3260" w:type="dxa"/>
            <w:vAlign w:val="bottom"/>
          </w:tcPr>
          <w:p>
            <w:pPr>
              <w:jc w:val="right"/>
              <w:ind w:right="341"/>
              <w:spacing w:after="0"/>
              <w:rPr>
                <w:sz w:val="20"/>
                <w:szCs w:val="20"/>
                <w:color w:val="auto"/>
              </w:rPr>
            </w:pPr>
            <w:r>
              <w:rPr>
                <w:rFonts w:ascii="Arial" w:cs="Arial" w:eastAsia="Arial" w:hAnsi="Arial"/>
                <w:sz w:val="16"/>
                <w:szCs w:val="16"/>
                <w:color w:val="auto"/>
              </w:rPr>
              <w:t>2.5%</w:t>
            </w:r>
          </w:p>
        </w:tc>
        <w:tc>
          <w:tcPr>
            <w:tcW w:w="1500" w:type="dxa"/>
            <w:vAlign w:val="bottom"/>
          </w:tcPr>
          <w:p>
            <w:pPr>
              <w:jc w:val="right"/>
              <w:ind w:right="321"/>
              <w:spacing w:after="0"/>
              <w:rPr>
                <w:sz w:val="20"/>
                <w:szCs w:val="20"/>
                <w:color w:val="auto"/>
              </w:rPr>
            </w:pPr>
            <w:r>
              <w:rPr>
                <w:rFonts w:ascii="Arial" w:cs="Arial" w:eastAsia="Arial" w:hAnsi="Arial"/>
                <w:sz w:val="16"/>
                <w:szCs w:val="16"/>
                <w:color w:val="auto"/>
              </w:rPr>
              <w:t>13.0%</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25.0%</w:t>
            </w:r>
          </w:p>
        </w:tc>
      </w:tr>
      <w:tr>
        <w:trPr>
          <w:trHeight w:val="206"/>
        </w:trPr>
        <w:tc>
          <w:tcPr>
            <w:tcW w:w="4020" w:type="dxa"/>
            <w:vAlign w:val="bottom"/>
            <w:tcBorders>
              <w:bottom w:val="single" w:sz="8" w:color="D64000"/>
            </w:tcBorders>
          </w:tcPr>
          <w:p>
            <w:pPr>
              <w:spacing w:after="0"/>
              <w:rPr>
                <w:sz w:val="20"/>
                <w:szCs w:val="20"/>
                <w:color w:val="auto"/>
              </w:rPr>
            </w:pPr>
            <w:r>
              <w:rPr>
                <w:rFonts w:ascii="Arial" w:cs="Arial" w:eastAsia="Arial" w:hAnsi="Arial"/>
                <w:sz w:val="16"/>
                <w:szCs w:val="16"/>
                <w:color w:val="auto"/>
              </w:rPr>
              <w:t> Global Print</w:t>
            </w:r>
          </w:p>
        </w:tc>
        <w:tc>
          <w:tcPr>
            <w:tcW w:w="3260" w:type="dxa"/>
            <w:vAlign w:val="bottom"/>
            <w:tcBorders>
              <w:bottom w:val="single" w:sz="8" w:color="D64000"/>
            </w:tcBorders>
          </w:tcPr>
          <w:p>
            <w:pPr>
              <w:jc w:val="right"/>
              <w:ind w:right="341"/>
              <w:spacing w:after="0"/>
              <w:rPr>
                <w:sz w:val="20"/>
                <w:szCs w:val="20"/>
                <w:color w:val="auto"/>
              </w:rPr>
            </w:pPr>
            <w:r>
              <w:rPr>
                <w:rFonts w:ascii="Arial" w:cs="Arial" w:eastAsia="Arial" w:hAnsi="Arial"/>
                <w:sz w:val="16"/>
                <w:szCs w:val="16"/>
                <w:color w:val="auto"/>
              </w:rPr>
              <w:t>(5.5%)</w:t>
            </w:r>
          </w:p>
        </w:tc>
        <w:tc>
          <w:tcPr>
            <w:tcW w:w="1500" w:type="dxa"/>
            <w:vAlign w:val="bottom"/>
            <w:tcBorders>
              <w:bottom w:val="single" w:sz="8" w:color="D64000"/>
            </w:tcBorders>
          </w:tcPr>
          <w:p>
            <w:pPr>
              <w:jc w:val="right"/>
              <w:ind w:right="321"/>
              <w:spacing w:after="0"/>
              <w:rPr>
                <w:sz w:val="20"/>
                <w:szCs w:val="20"/>
                <w:color w:val="auto"/>
              </w:rPr>
            </w:pPr>
            <w:r>
              <w:rPr>
                <w:rFonts w:ascii="Arial" w:cs="Arial" w:eastAsia="Arial" w:hAnsi="Arial"/>
                <w:sz w:val="16"/>
                <w:szCs w:val="16"/>
                <w:color w:val="auto"/>
              </w:rPr>
              <w:t>11.5%</w:t>
            </w:r>
          </w:p>
        </w:tc>
        <w:tc>
          <w:tcPr>
            <w:tcW w:w="940" w:type="dxa"/>
            <w:vAlign w:val="bottom"/>
            <w:tcBorders>
              <w:bottom w:val="single" w:sz="8" w:color="D64000"/>
            </w:tcBorders>
          </w:tcPr>
          <w:p>
            <w:pPr>
              <w:jc w:val="right"/>
              <w:ind w:right="1"/>
              <w:spacing w:after="0"/>
              <w:rPr>
                <w:sz w:val="20"/>
                <w:szCs w:val="20"/>
                <w:color w:val="auto"/>
              </w:rPr>
            </w:pPr>
            <w:r>
              <w:rPr>
                <w:rFonts w:ascii="Arial" w:cs="Arial" w:eastAsia="Arial" w:hAnsi="Arial"/>
                <w:sz w:val="16"/>
                <w:szCs w:val="16"/>
                <w:color w:val="auto"/>
              </w:rPr>
              <w:t>26.8%</w:t>
            </w:r>
          </w:p>
        </w:tc>
      </w:tr>
    </w:tbl>
    <w:p>
      <w:pPr>
        <w:spacing w:after="0" w:line="110" w:lineRule="exact"/>
        <w:rPr>
          <w:sz w:val="20"/>
          <w:szCs w:val="20"/>
          <w:color w:val="auto"/>
        </w:rPr>
      </w:pPr>
    </w:p>
    <w:p>
      <w:pPr>
        <w:ind w:left="540" w:hanging="322"/>
        <w:spacing w:after="0"/>
        <w:tabs>
          <w:tab w:leader="none" w:pos="5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The perpetual growth rate is applied to the final year of cash flow projections.</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Results and Sensitivities</w:t>
      </w:r>
    </w:p>
    <w:p>
      <w:pPr>
        <w:spacing w:after="0" w:line="6" w:lineRule="exact"/>
        <w:rPr>
          <w:sz w:val="20"/>
          <w:szCs w:val="20"/>
          <w:color w:val="auto"/>
        </w:rPr>
      </w:pPr>
    </w:p>
    <w:p>
      <w:pPr>
        <w:ind w:left="220" w:right="140"/>
        <w:spacing w:after="0" w:line="236" w:lineRule="auto"/>
        <w:rPr>
          <w:sz w:val="20"/>
          <w:szCs w:val="20"/>
          <w:color w:val="auto"/>
        </w:rPr>
      </w:pPr>
      <w:r>
        <w:rPr>
          <w:rFonts w:ascii="Arial" w:cs="Arial" w:eastAsia="Arial" w:hAnsi="Arial"/>
          <w:sz w:val="17"/>
          <w:szCs w:val="17"/>
          <w:color w:val="auto"/>
        </w:rPr>
        <w:t>As the fair value for each CGU exceeded its carrying value by a substantial amount, the sensitivity analysis demonstrated that no reasonably possible change in the perpetual growth rate, discount rate or income tax assumptions would cause the carrying amounts of any CGU to exceed its recoverable amount.</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Note 20: Financial Instruments</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Financial assets and liabilities</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Financial assets and liabilities in the consolidated statement of financial position were as follows:</w:t>
      </w:r>
    </w:p>
    <w:p>
      <w:pPr>
        <w:spacing w:after="0" w:line="222"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2660" w:type="dxa"/>
            <w:vAlign w:val="bottom"/>
            <w:shd w:val="clear" w:color="auto" w:fill="E3F3EE"/>
          </w:tcPr>
          <w:p>
            <w:pPr>
              <w:spacing w:after="0"/>
              <w:rPr>
                <w:sz w:val="16"/>
                <w:szCs w:val="16"/>
                <w:color w:val="auto"/>
              </w:rPr>
            </w:pPr>
          </w:p>
        </w:tc>
        <w:tc>
          <w:tcPr>
            <w:tcW w:w="1680" w:type="dxa"/>
            <w:vAlign w:val="bottom"/>
            <w:shd w:val="clear" w:color="auto" w:fill="1F473D"/>
          </w:tcPr>
          <w:p>
            <w:pPr>
              <w:spacing w:after="0"/>
              <w:rPr>
                <w:sz w:val="16"/>
                <w:szCs w:val="16"/>
                <w:color w:val="auto"/>
              </w:rPr>
            </w:pPr>
          </w:p>
        </w:tc>
        <w:tc>
          <w:tcPr>
            <w:tcW w:w="1760" w:type="dxa"/>
            <w:vAlign w:val="bottom"/>
            <w:shd w:val="clear" w:color="auto" w:fill="1F473D"/>
          </w:tcPr>
          <w:p>
            <w:pPr>
              <w:spacing w:after="0"/>
              <w:rPr>
                <w:sz w:val="16"/>
                <w:szCs w:val="16"/>
                <w:color w:val="auto"/>
              </w:rPr>
            </w:pPr>
          </w:p>
        </w:tc>
        <w:tc>
          <w:tcPr>
            <w:tcW w:w="154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9"/>
              </w:rPr>
              <w:t>Assets at Fair</w:t>
            </w:r>
          </w:p>
        </w:tc>
        <w:tc>
          <w:tcPr>
            <w:tcW w:w="1320" w:type="dxa"/>
            <w:vAlign w:val="bottom"/>
            <w:shd w:val="clear" w:color="auto" w:fill="1F473D"/>
          </w:tcPr>
          <w:p>
            <w:pPr>
              <w:spacing w:after="0"/>
              <w:rPr>
                <w:sz w:val="16"/>
                <w:szCs w:val="16"/>
                <w:color w:val="auto"/>
              </w:rPr>
            </w:pPr>
          </w:p>
        </w:tc>
        <w:tc>
          <w:tcPr>
            <w:tcW w:w="760" w:type="dxa"/>
            <w:vAlign w:val="bottom"/>
            <w:shd w:val="clear" w:color="auto" w:fill="1F473D"/>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2660" w:type="dxa"/>
            <w:vAlign w:val="bottom"/>
            <w:shd w:val="clear" w:color="auto" w:fill="E3F3EE"/>
          </w:tcPr>
          <w:p>
            <w:pPr>
              <w:spacing w:after="0"/>
              <w:rPr>
                <w:sz w:val="16"/>
                <w:szCs w:val="16"/>
                <w:color w:val="auto"/>
              </w:rPr>
            </w:pPr>
          </w:p>
        </w:tc>
        <w:tc>
          <w:tcPr>
            <w:tcW w:w="1680" w:type="dxa"/>
            <w:vAlign w:val="bottom"/>
            <w:shd w:val="clear" w:color="auto" w:fill="1F473D"/>
          </w:tcPr>
          <w:p>
            <w:pPr>
              <w:spacing w:after="0"/>
              <w:rPr>
                <w:sz w:val="16"/>
                <w:szCs w:val="16"/>
                <w:color w:val="auto"/>
              </w:rPr>
            </w:pPr>
          </w:p>
        </w:tc>
        <w:tc>
          <w:tcPr>
            <w:tcW w:w="1760" w:type="dxa"/>
            <w:vAlign w:val="bottom"/>
            <w:shd w:val="clear" w:color="auto" w:fill="1F473D"/>
          </w:tcPr>
          <w:p>
            <w:pPr>
              <w:jc w:val="center"/>
              <w:ind w:right="1"/>
              <w:spacing w:after="0"/>
              <w:rPr>
                <w:sz w:val="20"/>
                <w:szCs w:val="20"/>
                <w:color w:val="auto"/>
              </w:rPr>
            </w:pPr>
            <w:r>
              <w:rPr>
                <w:rFonts w:ascii="Arial" w:cs="Arial" w:eastAsia="Arial" w:hAnsi="Arial"/>
                <w:sz w:val="16"/>
                <w:szCs w:val="16"/>
                <w:b w:val="1"/>
                <w:bCs w:val="1"/>
                <w:color w:val="FFFFFF"/>
                <w:w w:val="98"/>
              </w:rPr>
              <w:t>Assets/</w:t>
            </w:r>
          </w:p>
        </w:tc>
        <w:tc>
          <w:tcPr>
            <w:tcW w:w="154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8"/>
              </w:rPr>
              <w:t>Value through</w:t>
            </w:r>
          </w:p>
        </w:tc>
        <w:tc>
          <w:tcPr>
            <w:tcW w:w="1320" w:type="dxa"/>
            <w:vAlign w:val="bottom"/>
            <w:shd w:val="clear" w:color="auto" w:fill="1F473D"/>
          </w:tcPr>
          <w:p>
            <w:pPr>
              <w:spacing w:after="0"/>
              <w:rPr>
                <w:sz w:val="16"/>
                <w:szCs w:val="16"/>
                <w:color w:val="auto"/>
              </w:rPr>
            </w:pPr>
          </w:p>
        </w:tc>
        <w:tc>
          <w:tcPr>
            <w:tcW w:w="760" w:type="dxa"/>
            <w:vAlign w:val="bottom"/>
            <w:shd w:val="clear" w:color="auto" w:fill="1F473D"/>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2660" w:type="dxa"/>
            <w:vAlign w:val="bottom"/>
            <w:shd w:val="clear" w:color="auto" w:fill="E3F3EE"/>
          </w:tcPr>
          <w:p>
            <w:pPr>
              <w:spacing w:after="0"/>
              <w:rPr>
                <w:sz w:val="16"/>
                <w:szCs w:val="16"/>
                <w:color w:val="auto"/>
              </w:rPr>
            </w:pPr>
          </w:p>
        </w:tc>
        <w:tc>
          <w:tcPr>
            <w:tcW w:w="168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rPr>
              <w:t>Assets/</w:t>
            </w:r>
          </w:p>
        </w:tc>
        <w:tc>
          <w:tcPr>
            <w:tcW w:w="1760" w:type="dxa"/>
            <w:vAlign w:val="bottom"/>
            <w:shd w:val="clear" w:color="auto" w:fill="1F473D"/>
          </w:tcPr>
          <w:p>
            <w:pPr>
              <w:jc w:val="center"/>
              <w:ind w:right="1"/>
              <w:spacing w:after="0"/>
              <w:rPr>
                <w:sz w:val="20"/>
                <w:szCs w:val="20"/>
                <w:color w:val="auto"/>
              </w:rPr>
            </w:pPr>
            <w:r>
              <w:rPr>
                <w:rFonts w:ascii="Arial" w:cs="Arial" w:eastAsia="Arial" w:hAnsi="Arial"/>
                <w:sz w:val="16"/>
                <w:szCs w:val="16"/>
                <w:b w:val="1"/>
                <w:bCs w:val="1"/>
                <w:color w:val="FFFFFF"/>
                <w:w w:val="99"/>
              </w:rPr>
              <w:t>(Liabilities) at Fair</w:t>
            </w:r>
          </w:p>
        </w:tc>
        <w:tc>
          <w:tcPr>
            <w:tcW w:w="154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rPr>
              <w:t>Other</w:t>
            </w:r>
          </w:p>
        </w:tc>
        <w:tc>
          <w:tcPr>
            <w:tcW w:w="132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8"/>
              </w:rPr>
              <w:t>Derivatives</w:t>
            </w:r>
          </w:p>
        </w:tc>
        <w:tc>
          <w:tcPr>
            <w:tcW w:w="760" w:type="dxa"/>
            <w:vAlign w:val="bottom"/>
            <w:shd w:val="clear" w:color="auto" w:fill="1F473D"/>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2660" w:type="dxa"/>
            <w:vAlign w:val="bottom"/>
            <w:shd w:val="clear" w:color="auto" w:fill="E3F3EE"/>
          </w:tcPr>
          <w:p>
            <w:pPr>
              <w:spacing w:after="0"/>
              <w:rPr>
                <w:sz w:val="16"/>
                <w:szCs w:val="16"/>
                <w:color w:val="auto"/>
              </w:rPr>
            </w:pPr>
          </w:p>
        </w:tc>
        <w:tc>
          <w:tcPr>
            <w:tcW w:w="168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8"/>
              </w:rPr>
              <w:t>(Liabilities) at</w:t>
            </w:r>
          </w:p>
        </w:tc>
        <w:tc>
          <w:tcPr>
            <w:tcW w:w="176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8"/>
              </w:rPr>
              <w:t>Value through</w:t>
            </w:r>
          </w:p>
        </w:tc>
        <w:tc>
          <w:tcPr>
            <w:tcW w:w="154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9"/>
              </w:rPr>
              <w:t>Comprehensive</w:t>
            </w:r>
          </w:p>
        </w:tc>
        <w:tc>
          <w:tcPr>
            <w:tcW w:w="132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8"/>
              </w:rPr>
              <w:t>Used for</w:t>
            </w:r>
          </w:p>
        </w:tc>
        <w:tc>
          <w:tcPr>
            <w:tcW w:w="760" w:type="dxa"/>
            <w:vAlign w:val="bottom"/>
            <w:shd w:val="clear" w:color="auto" w:fill="1F473D"/>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2660" w:type="dxa"/>
            <w:vAlign w:val="bottom"/>
            <w:tcBorders>
              <w:bottom w:val="single" w:sz="8" w:color="D64000"/>
            </w:tcBorders>
            <w:shd w:val="clear" w:color="auto" w:fill="E3F3EE"/>
          </w:tcPr>
          <w:p>
            <w:pPr>
              <w:spacing w:after="0"/>
              <w:rPr>
                <w:sz w:val="20"/>
                <w:szCs w:val="20"/>
                <w:color w:val="auto"/>
              </w:rPr>
            </w:pPr>
            <w:r>
              <w:rPr>
                <w:rFonts w:ascii="Arial" w:cs="Arial" w:eastAsia="Arial" w:hAnsi="Arial"/>
                <w:sz w:val="16"/>
                <w:szCs w:val="16"/>
                <w:b w:val="1"/>
                <w:bCs w:val="1"/>
                <w:color w:val="auto"/>
              </w:rPr>
              <w:t>December 31, 2024</w:t>
            </w:r>
          </w:p>
        </w:tc>
        <w:tc>
          <w:tcPr>
            <w:tcW w:w="1680" w:type="dxa"/>
            <w:vAlign w:val="bottom"/>
            <w:tcBorders>
              <w:bottom w:val="single" w:sz="8" w:color="D64000"/>
            </w:tcBorders>
            <w:shd w:val="clear" w:color="auto" w:fill="1F473D"/>
          </w:tcPr>
          <w:p>
            <w:pPr>
              <w:jc w:val="center"/>
              <w:spacing w:after="0"/>
              <w:rPr>
                <w:sz w:val="20"/>
                <w:szCs w:val="20"/>
                <w:color w:val="auto"/>
              </w:rPr>
            </w:pPr>
            <w:r>
              <w:rPr>
                <w:rFonts w:ascii="Arial" w:cs="Arial" w:eastAsia="Arial" w:hAnsi="Arial"/>
                <w:sz w:val="16"/>
                <w:szCs w:val="16"/>
                <w:b w:val="1"/>
                <w:bCs w:val="1"/>
                <w:color w:val="FFFFFF"/>
                <w:w w:val="99"/>
              </w:rPr>
              <w:t>Amortized Cost</w:t>
            </w:r>
          </w:p>
        </w:tc>
        <w:tc>
          <w:tcPr>
            <w:tcW w:w="1760" w:type="dxa"/>
            <w:vAlign w:val="bottom"/>
            <w:tcBorders>
              <w:bottom w:val="single" w:sz="8" w:color="D64000"/>
            </w:tcBorders>
            <w:shd w:val="clear" w:color="auto" w:fill="1F473D"/>
          </w:tcPr>
          <w:p>
            <w:pPr>
              <w:jc w:val="center"/>
              <w:ind w:right="1"/>
              <w:spacing w:after="0"/>
              <w:rPr>
                <w:sz w:val="20"/>
                <w:szCs w:val="20"/>
                <w:color w:val="auto"/>
              </w:rPr>
            </w:pPr>
            <w:r>
              <w:rPr>
                <w:rFonts w:ascii="Arial" w:cs="Arial" w:eastAsia="Arial" w:hAnsi="Arial"/>
                <w:sz w:val="16"/>
                <w:szCs w:val="16"/>
                <w:b w:val="1"/>
                <w:bCs w:val="1"/>
                <w:color w:val="FFFFFF"/>
                <w:w w:val="99"/>
              </w:rPr>
              <w:t>Earnings</w:t>
            </w:r>
          </w:p>
        </w:tc>
        <w:tc>
          <w:tcPr>
            <w:tcW w:w="1540" w:type="dxa"/>
            <w:vAlign w:val="bottom"/>
            <w:tcBorders>
              <w:bottom w:val="single" w:sz="8" w:color="D64000"/>
            </w:tcBorders>
            <w:shd w:val="clear" w:color="auto" w:fill="1F473D"/>
          </w:tcPr>
          <w:p>
            <w:pPr>
              <w:jc w:val="center"/>
              <w:spacing w:after="0"/>
              <w:rPr>
                <w:sz w:val="20"/>
                <w:szCs w:val="20"/>
                <w:color w:val="auto"/>
              </w:rPr>
            </w:pPr>
            <w:r>
              <w:rPr>
                <w:rFonts w:ascii="Arial" w:cs="Arial" w:eastAsia="Arial" w:hAnsi="Arial"/>
                <w:sz w:val="16"/>
                <w:szCs w:val="16"/>
                <w:b w:val="1"/>
                <w:bCs w:val="1"/>
                <w:color w:val="FFFFFF"/>
                <w:w w:val="98"/>
              </w:rPr>
              <w:t>Income or Loss</w:t>
            </w:r>
          </w:p>
        </w:tc>
        <w:tc>
          <w:tcPr>
            <w:tcW w:w="1320" w:type="dxa"/>
            <w:vAlign w:val="bottom"/>
            <w:tcBorders>
              <w:bottom w:val="single" w:sz="8" w:color="D64000"/>
            </w:tcBorders>
            <w:shd w:val="clear" w:color="auto" w:fill="1F473D"/>
          </w:tcPr>
          <w:p>
            <w:pPr>
              <w:jc w:val="center"/>
              <w:spacing w:after="0" w:line="200" w:lineRule="exact"/>
              <w:rPr>
                <w:sz w:val="20"/>
                <w:szCs w:val="20"/>
                <w:color w:val="auto"/>
              </w:rPr>
            </w:pPr>
            <w:r>
              <w:rPr>
                <w:rFonts w:ascii="Arial" w:cs="Arial" w:eastAsia="Arial" w:hAnsi="Arial"/>
                <w:sz w:val="16"/>
                <w:szCs w:val="16"/>
                <w:b w:val="1"/>
                <w:bCs w:val="1"/>
                <w:color w:val="FFFFFF"/>
                <w:w w:val="95"/>
              </w:rPr>
              <w:t>Hedging</w:t>
            </w:r>
            <w:r>
              <w:rPr>
                <w:rFonts w:ascii="Arial" w:cs="Arial" w:eastAsia="Arial" w:hAnsi="Arial"/>
                <w:sz w:val="19"/>
                <w:szCs w:val="19"/>
                <w:b w:val="1"/>
                <w:bCs w:val="1"/>
                <w:color w:val="FFFFFF"/>
                <w:w w:val="95"/>
                <w:vertAlign w:val="superscript"/>
              </w:rPr>
              <w:t>(1)</w:t>
            </w:r>
          </w:p>
        </w:tc>
        <w:tc>
          <w:tcPr>
            <w:tcW w:w="760" w:type="dxa"/>
            <w:vAlign w:val="bottom"/>
            <w:tcBorders>
              <w:bottom w:val="single" w:sz="8" w:color="D64000"/>
            </w:tcBorders>
            <w:shd w:val="clear" w:color="auto" w:fill="1F473D"/>
          </w:tcPr>
          <w:p>
            <w:pPr>
              <w:jc w:val="right"/>
              <w:ind w:right="101"/>
              <w:spacing w:after="0"/>
              <w:rPr>
                <w:sz w:val="20"/>
                <w:szCs w:val="20"/>
                <w:color w:val="auto"/>
              </w:rPr>
            </w:pPr>
            <w:r>
              <w:rPr>
                <w:rFonts w:ascii="Arial" w:cs="Arial" w:eastAsia="Arial" w:hAnsi="Arial"/>
                <w:sz w:val="16"/>
                <w:szCs w:val="16"/>
                <w:b w:val="1"/>
                <w:bCs w:val="1"/>
                <w:color w:val="FFFFFF"/>
              </w:rPr>
              <w:t>Total</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1"/>
        </w:trPr>
        <w:tc>
          <w:tcPr>
            <w:tcW w:w="2660" w:type="dxa"/>
            <w:vAlign w:val="bottom"/>
          </w:tcPr>
          <w:p>
            <w:pPr>
              <w:spacing w:after="0" w:line="171" w:lineRule="exact"/>
              <w:rPr>
                <w:sz w:val="20"/>
                <w:szCs w:val="20"/>
                <w:color w:val="auto"/>
              </w:rPr>
            </w:pPr>
            <w:r>
              <w:rPr>
                <w:rFonts w:ascii="Arial" w:cs="Arial" w:eastAsia="Arial" w:hAnsi="Arial"/>
                <w:sz w:val="16"/>
                <w:szCs w:val="16"/>
                <w:color w:val="auto"/>
              </w:rPr>
              <w:t>Cash and cash equivalents</w:t>
            </w:r>
          </w:p>
        </w:tc>
        <w:tc>
          <w:tcPr>
            <w:tcW w:w="1680" w:type="dxa"/>
            <w:vAlign w:val="bottom"/>
          </w:tcPr>
          <w:p>
            <w:pPr>
              <w:jc w:val="right"/>
              <w:ind w:right="81"/>
              <w:spacing w:after="0" w:line="171" w:lineRule="exact"/>
              <w:rPr>
                <w:sz w:val="20"/>
                <w:szCs w:val="20"/>
                <w:color w:val="auto"/>
              </w:rPr>
            </w:pPr>
            <w:r>
              <w:rPr>
                <w:rFonts w:ascii="Arial" w:cs="Arial" w:eastAsia="Arial" w:hAnsi="Arial"/>
                <w:sz w:val="16"/>
                <w:szCs w:val="16"/>
                <w:b w:val="1"/>
                <w:bCs w:val="1"/>
                <w:color w:val="auto"/>
              </w:rPr>
              <w:t>873</w:t>
            </w:r>
          </w:p>
        </w:tc>
        <w:tc>
          <w:tcPr>
            <w:tcW w:w="1760" w:type="dxa"/>
            <w:vAlign w:val="bottom"/>
          </w:tcPr>
          <w:p>
            <w:pPr>
              <w:jc w:val="right"/>
              <w:ind w:right="101"/>
              <w:spacing w:after="0" w:line="171" w:lineRule="exact"/>
              <w:rPr>
                <w:sz w:val="20"/>
                <w:szCs w:val="20"/>
                <w:color w:val="auto"/>
              </w:rPr>
            </w:pPr>
            <w:r>
              <w:rPr>
                <w:rFonts w:ascii="Arial" w:cs="Arial" w:eastAsia="Arial" w:hAnsi="Arial"/>
                <w:sz w:val="16"/>
                <w:szCs w:val="16"/>
                <w:b w:val="1"/>
                <w:bCs w:val="1"/>
                <w:color w:val="auto"/>
              </w:rPr>
              <w:t>1,095</w:t>
            </w:r>
          </w:p>
        </w:tc>
        <w:tc>
          <w:tcPr>
            <w:tcW w:w="1540" w:type="dxa"/>
            <w:vAlign w:val="bottom"/>
          </w:tcPr>
          <w:p>
            <w:pPr>
              <w:jc w:val="right"/>
              <w:ind w:right="41"/>
              <w:spacing w:after="0" w:line="171" w:lineRule="exact"/>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120"/>
              <w:spacing w:after="0" w:line="171" w:lineRule="exact"/>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1,968</w:t>
            </w: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2660" w:type="dxa"/>
            <w:vAlign w:val="bottom"/>
          </w:tcPr>
          <w:p>
            <w:pPr>
              <w:spacing w:after="0"/>
              <w:rPr>
                <w:sz w:val="20"/>
                <w:szCs w:val="20"/>
                <w:color w:val="auto"/>
              </w:rPr>
            </w:pPr>
            <w:r>
              <w:rPr>
                <w:rFonts w:ascii="Arial" w:cs="Arial" w:eastAsia="Arial" w:hAnsi="Arial"/>
                <w:sz w:val="16"/>
                <w:szCs w:val="16"/>
                <w:color w:val="auto"/>
              </w:rPr>
              <w:t>Trade and other receivables</w:t>
            </w:r>
          </w:p>
        </w:tc>
        <w:tc>
          <w:tcPr>
            <w:tcW w:w="1680" w:type="dxa"/>
            <w:vAlign w:val="bottom"/>
          </w:tcPr>
          <w:p>
            <w:pPr>
              <w:jc w:val="right"/>
              <w:ind w:right="81"/>
              <w:spacing w:after="0"/>
              <w:rPr>
                <w:sz w:val="20"/>
                <w:szCs w:val="20"/>
                <w:color w:val="auto"/>
              </w:rPr>
            </w:pPr>
            <w:r>
              <w:rPr>
                <w:rFonts w:ascii="Arial" w:cs="Arial" w:eastAsia="Arial" w:hAnsi="Arial"/>
                <w:sz w:val="16"/>
                <w:szCs w:val="16"/>
                <w:b w:val="1"/>
                <w:bCs w:val="1"/>
                <w:color w:val="auto"/>
              </w:rPr>
              <w:t>1,087</w:t>
            </w:r>
          </w:p>
        </w:tc>
        <w:tc>
          <w:tcPr>
            <w:tcW w:w="1760" w:type="dxa"/>
            <w:vAlign w:val="bottom"/>
          </w:tcPr>
          <w:p>
            <w:pPr>
              <w:jc w:val="right"/>
              <w:ind w:right="101"/>
              <w:spacing w:after="0"/>
              <w:rPr>
                <w:sz w:val="20"/>
                <w:szCs w:val="20"/>
                <w:color w:val="auto"/>
              </w:rPr>
            </w:pPr>
            <w:r>
              <w:rPr>
                <w:rFonts w:ascii="Arial" w:cs="Arial" w:eastAsia="Arial" w:hAnsi="Arial"/>
                <w:sz w:val="16"/>
                <w:szCs w:val="16"/>
                <w:b w:val="1"/>
                <w:bCs w:val="1"/>
                <w:color w:val="auto"/>
              </w:rPr>
              <w:t>-</w:t>
            </w:r>
          </w:p>
        </w:tc>
        <w:tc>
          <w:tcPr>
            <w:tcW w:w="15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12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1,087</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2660" w:type="dxa"/>
            <w:vAlign w:val="bottom"/>
          </w:tcPr>
          <w:p>
            <w:pPr>
              <w:spacing w:after="0"/>
              <w:rPr>
                <w:sz w:val="20"/>
                <w:szCs w:val="20"/>
                <w:color w:val="auto"/>
              </w:rPr>
            </w:pPr>
            <w:r>
              <w:rPr>
                <w:rFonts w:ascii="Arial" w:cs="Arial" w:eastAsia="Arial" w:hAnsi="Arial"/>
                <w:sz w:val="16"/>
                <w:szCs w:val="16"/>
                <w:color w:val="auto"/>
              </w:rPr>
              <w:t>Other financial assets - current</w:t>
            </w:r>
          </w:p>
        </w:tc>
        <w:tc>
          <w:tcPr>
            <w:tcW w:w="1680" w:type="dxa"/>
            <w:vAlign w:val="bottom"/>
          </w:tcPr>
          <w:p>
            <w:pPr>
              <w:jc w:val="right"/>
              <w:ind w:right="81"/>
              <w:spacing w:after="0"/>
              <w:rPr>
                <w:sz w:val="20"/>
                <w:szCs w:val="20"/>
                <w:color w:val="auto"/>
              </w:rPr>
            </w:pPr>
            <w:r>
              <w:rPr>
                <w:rFonts w:ascii="Arial" w:cs="Arial" w:eastAsia="Arial" w:hAnsi="Arial"/>
                <w:sz w:val="16"/>
                <w:szCs w:val="16"/>
                <w:b w:val="1"/>
                <w:bCs w:val="1"/>
                <w:color w:val="auto"/>
              </w:rPr>
              <w:t>7</w:t>
            </w:r>
          </w:p>
        </w:tc>
        <w:tc>
          <w:tcPr>
            <w:tcW w:w="1760" w:type="dxa"/>
            <w:vAlign w:val="bottom"/>
          </w:tcPr>
          <w:p>
            <w:pPr>
              <w:jc w:val="right"/>
              <w:ind w:right="101"/>
              <w:spacing w:after="0"/>
              <w:rPr>
                <w:sz w:val="20"/>
                <w:szCs w:val="20"/>
                <w:color w:val="auto"/>
              </w:rPr>
            </w:pPr>
            <w:r>
              <w:rPr>
                <w:rFonts w:ascii="Arial" w:cs="Arial" w:eastAsia="Arial" w:hAnsi="Arial"/>
                <w:sz w:val="16"/>
                <w:szCs w:val="16"/>
                <w:b w:val="1"/>
                <w:bCs w:val="1"/>
                <w:color w:val="auto"/>
              </w:rPr>
              <w:t>28</w:t>
            </w:r>
          </w:p>
        </w:tc>
        <w:tc>
          <w:tcPr>
            <w:tcW w:w="15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12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35</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2660" w:type="dxa"/>
            <w:vAlign w:val="bottom"/>
          </w:tcPr>
          <w:p>
            <w:pPr>
              <w:spacing w:after="0"/>
              <w:rPr>
                <w:sz w:val="20"/>
                <w:szCs w:val="20"/>
                <w:color w:val="auto"/>
              </w:rPr>
            </w:pPr>
            <w:r>
              <w:rPr>
                <w:rFonts w:ascii="Arial" w:cs="Arial" w:eastAsia="Arial" w:hAnsi="Arial"/>
                <w:sz w:val="16"/>
                <w:szCs w:val="16"/>
                <w:color w:val="auto"/>
              </w:rPr>
              <w:t>Other financial assets - non-current</w:t>
            </w:r>
          </w:p>
        </w:tc>
        <w:tc>
          <w:tcPr>
            <w:tcW w:w="1680" w:type="dxa"/>
            <w:vAlign w:val="bottom"/>
          </w:tcPr>
          <w:p>
            <w:pPr>
              <w:jc w:val="right"/>
              <w:ind w:right="81"/>
              <w:spacing w:after="0"/>
              <w:rPr>
                <w:sz w:val="20"/>
                <w:szCs w:val="20"/>
                <w:color w:val="auto"/>
              </w:rPr>
            </w:pPr>
            <w:r>
              <w:rPr>
                <w:rFonts w:ascii="Arial" w:cs="Arial" w:eastAsia="Arial" w:hAnsi="Arial"/>
                <w:sz w:val="16"/>
                <w:szCs w:val="16"/>
                <w:b w:val="1"/>
                <w:bCs w:val="1"/>
                <w:color w:val="auto"/>
              </w:rPr>
              <w:t>11</w:t>
            </w:r>
          </w:p>
        </w:tc>
        <w:tc>
          <w:tcPr>
            <w:tcW w:w="1760" w:type="dxa"/>
            <w:vAlign w:val="bottom"/>
          </w:tcPr>
          <w:p>
            <w:pPr>
              <w:jc w:val="right"/>
              <w:ind w:right="101"/>
              <w:spacing w:after="0"/>
              <w:rPr>
                <w:sz w:val="20"/>
                <w:szCs w:val="20"/>
                <w:color w:val="auto"/>
              </w:rPr>
            </w:pPr>
            <w:r>
              <w:rPr>
                <w:rFonts w:ascii="Arial" w:cs="Arial" w:eastAsia="Arial" w:hAnsi="Arial"/>
                <w:sz w:val="16"/>
                <w:szCs w:val="16"/>
                <w:b w:val="1"/>
                <w:bCs w:val="1"/>
                <w:color w:val="auto"/>
              </w:rPr>
              <w:t>332</w:t>
            </w:r>
          </w:p>
        </w:tc>
        <w:tc>
          <w:tcPr>
            <w:tcW w:w="1540" w:type="dxa"/>
            <w:vAlign w:val="bottom"/>
          </w:tcPr>
          <w:p>
            <w:pPr>
              <w:jc w:val="right"/>
              <w:ind w:right="41"/>
              <w:spacing w:after="0"/>
              <w:rPr>
                <w:sz w:val="20"/>
                <w:szCs w:val="20"/>
                <w:color w:val="auto"/>
              </w:rPr>
            </w:pPr>
            <w:r>
              <w:rPr>
                <w:rFonts w:ascii="Arial" w:cs="Arial" w:eastAsia="Arial" w:hAnsi="Arial"/>
                <w:sz w:val="16"/>
                <w:szCs w:val="16"/>
                <w:b w:val="1"/>
                <w:bCs w:val="1"/>
                <w:color w:val="auto"/>
              </w:rPr>
              <w:t>99</w:t>
            </w:r>
          </w:p>
        </w:tc>
        <w:tc>
          <w:tcPr>
            <w:tcW w:w="1320" w:type="dxa"/>
            <w:vAlign w:val="bottom"/>
          </w:tcPr>
          <w:p>
            <w:pPr>
              <w:jc w:val="right"/>
              <w:ind w:right="12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442</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2660" w:type="dxa"/>
            <w:vAlign w:val="bottom"/>
          </w:tcPr>
          <w:p>
            <w:pPr>
              <w:spacing w:after="0"/>
              <w:rPr>
                <w:sz w:val="20"/>
                <w:szCs w:val="20"/>
                <w:color w:val="auto"/>
              </w:rPr>
            </w:pPr>
            <w:r>
              <w:rPr>
                <w:rFonts w:ascii="Arial" w:cs="Arial" w:eastAsia="Arial" w:hAnsi="Arial"/>
                <w:sz w:val="16"/>
                <w:szCs w:val="16"/>
                <w:color w:val="auto"/>
              </w:rPr>
              <w:t>Current indebtedness</w:t>
            </w:r>
          </w:p>
        </w:tc>
        <w:tc>
          <w:tcPr>
            <w:tcW w:w="1680" w:type="dxa"/>
            <w:vAlign w:val="bottom"/>
          </w:tcPr>
          <w:p>
            <w:pPr>
              <w:jc w:val="right"/>
              <w:ind w:right="81"/>
              <w:spacing w:after="0"/>
              <w:rPr>
                <w:sz w:val="20"/>
                <w:szCs w:val="20"/>
                <w:color w:val="auto"/>
              </w:rPr>
            </w:pPr>
            <w:r>
              <w:rPr>
                <w:rFonts w:ascii="Arial" w:cs="Arial" w:eastAsia="Arial" w:hAnsi="Arial"/>
                <w:sz w:val="16"/>
                <w:szCs w:val="16"/>
                <w:b w:val="1"/>
                <w:bCs w:val="1"/>
                <w:color w:val="auto"/>
              </w:rPr>
              <w:t>(973)</w:t>
            </w:r>
          </w:p>
        </w:tc>
        <w:tc>
          <w:tcPr>
            <w:tcW w:w="1760" w:type="dxa"/>
            <w:vAlign w:val="bottom"/>
          </w:tcPr>
          <w:p>
            <w:pPr>
              <w:jc w:val="right"/>
              <w:ind w:right="101"/>
              <w:spacing w:after="0"/>
              <w:rPr>
                <w:sz w:val="20"/>
                <w:szCs w:val="20"/>
                <w:color w:val="auto"/>
              </w:rPr>
            </w:pPr>
            <w:r>
              <w:rPr>
                <w:rFonts w:ascii="Arial" w:cs="Arial" w:eastAsia="Arial" w:hAnsi="Arial"/>
                <w:sz w:val="16"/>
                <w:szCs w:val="16"/>
                <w:b w:val="1"/>
                <w:bCs w:val="1"/>
                <w:color w:val="auto"/>
              </w:rPr>
              <w:t>-</w:t>
            </w:r>
          </w:p>
        </w:tc>
        <w:tc>
          <w:tcPr>
            <w:tcW w:w="15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12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(973)</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2660" w:type="dxa"/>
            <w:vAlign w:val="bottom"/>
          </w:tcPr>
          <w:p>
            <w:pPr>
              <w:spacing w:after="0"/>
              <w:rPr>
                <w:sz w:val="20"/>
                <w:szCs w:val="20"/>
                <w:color w:val="auto"/>
              </w:rPr>
            </w:pPr>
            <w:r>
              <w:rPr>
                <w:rFonts w:ascii="Arial" w:cs="Arial" w:eastAsia="Arial" w:hAnsi="Arial"/>
                <w:sz w:val="16"/>
                <w:szCs w:val="16"/>
                <w:color w:val="auto"/>
              </w:rPr>
              <w:t>Trade payables (see note 22)</w:t>
            </w:r>
          </w:p>
        </w:tc>
        <w:tc>
          <w:tcPr>
            <w:tcW w:w="1680" w:type="dxa"/>
            <w:vAlign w:val="bottom"/>
          </w:tcPr>
          <w:p>
            <w:pPr>
              <w:jc w:val="right"/>
              <w:ind w:right="81"/>
              <w:spacing w:after="0"/>
              <w:rPr>
                <w:sz w:val="20"/>
                <w:szCs w:val="20"/>
                <w:color w:val="auto"/>
              </w:rPr>
            </w:pPr>
            <w:r>
              <w:rPr>
                <w:rFonts w:ascii="Arial" w:cs="Arial" w:eastAsia="Arial" w:hAnsi="Arial"/>
                <w:sz w:val="16"/>
                <w:szCs w:val="16"/>
                <w:b w:val="1"/>
                <w:bCs w:val="1"/>
                <w:color w:val="auto"/>
              </w:rPr>
              <w:t>(176)</w:t>
            </w:r>
          </w:p>
        </w:tc>
        <w:tc>
          <w:tcPr>
            <w:tcW w:w="1760" w:type="dxa"/>
            <w:vAlign w:val="bottom"/>
          </w:tcPr>
          <w:p>
            <w:pPr>
              <w:jc w:val="right"/>
              <w:ind w:right="101"/>
              <w:spacing w:after="0"/>
              <w:rPr>
                <w:sz w:val="20"/>
                <w:szCs w:val="20"/>
                <w:color w:val="auto"/>
              </w:rPr>
            </w:pPr>
            <w:r>
              <w:rPr>
                <w:rFonts w:ascii="Arial" w:cs="Arial" w:eastAsia="Arial" w:hAnsi="Arial"/>
                <w:sz w:val="16"/>
                <w:szCs w:val="16"/>
                <w:b w:val="1"/>
                <w:bCs w:val="1"/>
                <w:color w:val="auto"/>
              </w:rPr>
              <w:t>-</w:t>
            </w:r>
          </w:p>
        </w:tc>
        <w:tc>
          <w:tcPr>
            <w:tcW w:w="15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12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(176)</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2660" w:type="dxa"/>
            <w:vAlign w:val="bottom"/>
          </w:tcPr>
          <w:p>
            <w:pPr>
              <w:spacing w:after="0"/>
              <w:rPr>
                <w:sz w:val="20"/>
                <w:szCs w:val="20"/>
                <w:color w:val="auto"/>
              </w:rPr>
            </w:pPr>
            <w:r>
              <w:rPr>
                <w:rFonts w:ascii="Arial" w:cs="Arial" w:eastAsia="Arial" w:hAnsi="Arial"/>
                <w:sz w:val="16"/>
                <w:szCs w:val="16"/>
                <w:color w:val="auto"/>
              </w:rPr>
              <w:t>Accruals (see note 22)</w:t>
            </w:r>
          </w:p>
        </w:tc>
        <w:tc>
          <w:tcPr>
            <w:tcW w:w="1680" w:type="dxa"/>
            <w:vAlign w:val="bottom"/>
          </w:tcPr>
          <w:p>
            <w:pPr>
              <w:jc w:val="right"/>
              <w:ind w:right="81"/>
              <w:spacing w:after="0"/>
              <w:rPr>
                <w:sz w:val="20"/>
                <w:szCs w:val="20"/>
                <w:color w:val="auto"/>
              </w:rPr>
            </w:pPr>
            <w:r>
              <w:rPr>
                <w:rFonts w:ascii="Arial" w:cs="Arial" w:eastAsia="Arial" w:hAnsi="Arial"/>
                <w:sz w:val="16"/>
                <w:szCs w:val="16"/>
                <w:b w:val="1"/>
                <w:bCs w:val="1"/>
                <w:color w:val="auto"/>
              </w:rPr>
              <w:t>(799)</w:t>
            </w:r>
          </w:p>
        </w:tc>
        <w:tc>
          <w:tcPr>
            <w:tcW w:w="1760" w:type="dxa"/>
            <w:vAlign w:val="bottom"/>
          </w:tcPr>
          <w:p>
            <w:pPr>
              <w:jc w:val="right"/>
              <w:ind w:right="101"/>
              <w:spacing w:after="0"/>
              <w:rPr>
                <w:sz w:val="20"/>
                <w:szCs w:val="20"/>
                <w:color w:val="auto"/>
              </w:rPr>
            </w:pPr>
            <w:r>
              <w:rPr>
                <w:rFonts w:ascii="Arial" w:cs="Arial" w:eastAsia="Arial" w:hAnsi="Arial"/>
                <w:sz w:val="16"/>
                <w:szCs w:val="16"/>
                <w:b w:val="1"/>
                <w:bCs w:val="1"/>
                <w:color w:val="auto"/>
              </w:rPr>
              <w:t>-</w:t>
            </w:r>
          </w:p>
        </w:tc>
        <w:tc>
          <w:tcPr>
            <w:tcW w:w="15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12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(799)</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2660" w:type="dxa"/>
            <w:vAlign w:val="bottom"/>
          </w:tcPr>
          <w:p>
            <w:pPr>
              <w:spacing w:after="0" w:line="185" w:lineRule="exact"/>
              <w:rPr>
                <w:sz w:val="20"/>
                <w:szCs w:val="20"/>
                <w:color w:val="auto"/>
              </w:rPr>
            </w:pPr>
            <w:r>
              <w:rPr>
                <w:rFonts w:ascii="Arial" w:cs="Arial" w:eastAsia="Arial" w:hAnsi="Arial"/>
                <w:sz w:val="16"/>
                <w:szCs w:val="16"/>
                <w:color w:val="auto"/>
              </w:rPr>
              <w:t>Other financial liabilities - current</w:t>
            </w:r>
            <w:r>
              <w:rPr>
                <w:rFonts w:ascii="Arial" w:cs="Arial" w:eastAsia="Arial" w:hAnsi="Arial"/>
                <w:sz w:val="19"/>
                <w:szCs w:val="19"/>
                <w:color w:val="auto"/>
                <w:vertAlign w:val="superscript"/>
              </w:rPr>
              <w:t>(2)</w:t>
            </w:r>
          </w:p>
        </w:tc>
        <w:tc>
          <w:tcPr>
            <w:tcW w:w="1680" w:type="dxa"/>
            <w:vAlign w:val="bottom"/>
          </w:tcPr>
          <w:p>
            <w:pPr>
              <w:jc w:val="right"/>
              <w:ind w:right="81"/>
              <w:spacing w:after="0"/>
              <w:rPr>
                <w:sz w:val="20"/>
                <w:szCs w:val="20"/>
                <w:color w:val="auto"/>
              </w:rPr>
            </w:pPr>
            <w:r>
              <w:rPr>
                <w:rFonts w:ascii="Arial" w:cs="Arial" w:eastAsia="Arial" w:hAnsi="Arial"/>
                <w:sz w:val="16"/>
                <w:szCs w:val="16"/>
                <w:b w:val="1"/>
                <w:bCs w:val="1"/>
                <w:color w:val="auto"/>
              </w:rPr>
              <w:t>(75)</w:t>
            </w:r>
          </w:p>
        </w:tc>
        <w:tc>
          <w:tcPr>
            <w:tcW w:w="1760" w:type="dxa"/>
            <w:vAlign w:val="bottom"/>
          </w:tcPr>
          <w:p>
            <w:pPr>
              <w:jc w:val="right"/>
              <w:ind w:right="101"/>
              <w:spacing w:after="0"/>
              <w:rPr>
                <w:sz w:val="20"/>
                <w:szCs w:val="20"/>
                <w:color w:val="auto"/>
              </w:rPr>
            </w:pPr>
            <w:r>
              <w:rPr>
                <w:rFonts w:ascii="Arial" w:cs="Arial" w:eastAsia="Arial" w:hAnsi="Arial"/>
                <w:sz w:val="16"/>
                <w:szCs w:val="16"/>
                <w:b w:val="1"/>
                <w:bCs w:val="1"/>
                <w:color w:val="auto"/>
              </w:rPr>
              <w:t>(17)</w:t>
            </w:r>
          </w:p>
        </w:tc>
        <w:tc>
          <w:tcPr>
            <w:tcW w:w="15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120"/>
              <w:spacing w:after="0"/>
              <w:rPr>
                <w:sz w:val="20"/>
                <w:szCs w:val="20"/>
                <w:color w:val="auto"/>
              </w:rPr>
            </w:pPr>
            <w:r>
              <w:rPr>
                <w:rFonts w:ascii="Arial" w:cs="Arial" w:eastAsia="Arial" w:hAnsi="Arial"/>
                <w:sz w:val="16"/>
                <w:szCs w:val="16"/>
                <w:b w:val="1"/>
                <w:bCs w:val="1"/>
                <w:color w:val="auto"/>
              </w:rPr>
              <w:t>(21)</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(113)</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2660" w:type="dxa"/>
            <w:vAlign w:val="bottom"/>
          </w:tcPr>
          <w:p>
            <w:pPr>
              <w:spacing w:after="0"/>
              <w:rPr>
                <w:sz w:val="20"/>
                <w:szCs w:val="20"/>
                <w:color w:val="auto"/>
              </w:rPr>
            </w:pPr>
            <w:r>
              <w:rPr>
                <w:rFonts w:ascii="Arial" w:cs="Arial" w:eastAsia="Arial" w:hAnsi="Arial"/>
                <w:sz w:val="16"/>
                <w:szCs w:val="16"/>
                <w:color w:val="auto"/>
              </w:rPr>
              <w:t>Long-term indebtedness</w:t>
            </w:r>
          </w:p>
        </w:tc>
        <w:tc>
          <w:tcPr>
            <w:tcW w:w="1680" w:type="dxa"/>
            <w:vAlign w:val="bottom"/>
          </w:tcPr>
          <w:p>
            <w:pPr>
              <w:jc w:val="right"/>
              <w:ind w:right="81"/>
              <w:spacing w:after="0"/>
              <w:rPr>
                <w:sz w:val="20"/>
                <w:szCs w:val="20"/>
                <w:color w:val="auto"/>
              </w:rPr>
            </w:pPr>
            <w:r>
              <w:rPr>
                <w:rFonts w:ascii="Arial" w:cs="Arial" w:eastAsia="Arial" w:hAnsi="Arial"/>
                <w:sz w:val="16"/>
                <w:szCs w:val="16"/>
                <w:b w:val="1"/>
                <w:bCs w:val="1"/>
                <w:color w:val="auto"/>
              </w:rPr>
              <w:t>(1,847)</w:t>
            </w:r>
          </w:p>
        </w:tc>
        <w:tc>
          <w:tcPr>
            <w:tcW w:w="1760" w:type="dxa"/>
            <w:vAlign w:val="bottom"/>
          </w:tcPr>
          <w:p>
            <w:pPr>
              <w:jc w:val="right"/>
              <w:ind w:right="101"/>
              <w:spacing w:after="0"/>
              <w:rPr>
                <w:sz w:val="20"/>
                <w:szCs w:val="20"/>
                <w:color w:val="auto"/>
              </w:rPr>
            </w:pPr>
            <w:r>
              <w:rPr>
                <w:rFonts w:ascii="Arial" w:cs="Arial" w:eastAsia="Arial" w:hAnsi="Arial"/>
                <w:sz w:val="16"/>
                <w:szCs w:val="16"/>
                <w:b w:val="1"/>
                <w:bCs w:val="1"/>
                <w:color w:val="auto"/>
              </w:rPr>
              <w:t>-</w:t>
            </w:r>
          </w:p>
        </w:tc>
        <w:tc>
          <w:tcPr>
            <w:tcW w:w="15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12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(1,847)</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2660" w:type="dxa"/>
            <w:vAlign w:val="bottom"/>
          </w:tcPr>
          <w:p>
            <w:pPr>
              <w:spacing w:after="0"/>
              <w:rPr>
                <w:sz w:val="20"/>
                <w:szCs w:val="20"/>
                <w:color w:val="auto"/>
              </w:rPr>
            </w:pPr>
            <w:r>
              <w:rPr>
                <w:rFonts w:ascii="Arial" w:cs="Arial" w:eastAsia="Arial" w:hAnsi="Arial"/>
                <w:sz w:val="16"/>
                <w:szCs w:val="16"/>
                <w:color w:val="auto"/>
              </w:rPr>
              <w:t>Other financial liabilities -</w:t>
            </w:r>
          </w:p>
        </w:tc>
        <w:tc>
          <w:tcPr>
            <w:tcW w:w="16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2660" w:type="dxa"/>
            <w:vAlign w:val="bottom"/>
            <w:tcBorders>
              <w:bottom w:val="single" w:sz="8" w:color="B2B2B2"/>
            </w:tcBorders>
          </w:tcPr>
          <w:p>
            <w:pPr>
              <w:spacing w:after="0" w:line="200" w:lineRule="exact"/>
              <w:rPr>
                <w:sz w:val="20"/>
                <w:szCs w:val="20"/>
                <w:color w:val="auto"/>
              </w:rPr>
            </w:pPr>
            <w:r>
              <w:rPr>
                <w:rFonts w:ascii="Arial" w:cs="Arial" w:eastAsia="Arial" w:hAnsi="Arial"/>
                <w:sz w:val="16"/>
                <w:szCs w:val="16"/>
                <w:color w:val="auto"/>
              </w:rPr>
              <w:t>non-current</w:t>
            </w:r>
            <w:r>
              <w:rPr>
                <w:rFonts w:ascii="Arial" w:cs="Arial" w:eastAsia="Arial" w:hAnsi="Arial"/>
                <w:sz w:val="19"/>
                <w:szCs w:val="19"/>
                <w:color w:val="auto"/>
                <w:vertAlign w:val="superscript"/>
              </w:rPr>
              <w:t>(3)</w:t>
            </w:r>
          </w:p>
        </w:tc>
        <w:tc>
          <w:tcPr>
            <w:tcW w:w="1680" w:type="dxa"/>
            <w:vAlign w:val="bottom"/>
            <w:tcBorders>
              <w:bottom w:val="single" w:sz="8" w:color="B2B2B2"/>
            </w:tcBorders>
          </w:tcPr>
          <w:p>
            <w:pPr>
              <w:jc w:val="right"/>
              <w:ind w:right="81"/>
              <w:spacing w:after="0"/>
              <w:rPr>
                <w:sz w:val="20"/>
                <w:szCs w:val="20"/>
                <w:color w:val="auto"/>
              </w:rPr>
            </w:pPr>
            <w:r>
              <w:rPr>
                <w:rFonts w:ascii="Arial" w:cs="Arial" w:eastAsia="Arial" w:hAnsi="Arial"/>
                <w:sz w:val="16"/>
                <w:szCs w:val="16"/>
                <w:b w:val="1"/>
                <w:bCs w:val="1"/>
                <w:color w:val="auto"/>
              </w:rPr>
              <w:t>(198)</w:t>
            </w:r>
          </w:p>
        </w:tc>
        <w:tc>
          <w:tcPr>
            <w:tcW w:w="1760" w:type="dxa"/>
            <w:vAlign w:val="bottom"/>
            <w:tcBorders>
              <w:bottom w:val="single" w:sz="8" w:color="B2B2B2"/>
            </w:tcBorders>
          </w:tcPr>
          <w:p>
            <w:pPr>
              <w:jc w:val="right"/>
              <w:ind w:right="101"/>
              <w:spacing w:after="0"/>
              <w:rPr>
                <w:sz w:val="20"/>
                <w:szCs w:val="20"/>
                <w:color w:val="auto"/>
              </w:rPr>
            </w:pPr>
            <w:r>
              <w:rPr>
                <w:rFonts w:ascii="Arial" w:cs="Arial" w:eastAsia="Arial" w:hAnsi="Arial"/>
                <w:sz w:val="16"/>
                <w:szCs w:val="16"/>
                <w:b w:val="1"/>
                <w:bCs w:val="1"/>
                <w:color w:val="auto"/>
              </w:rPr>
              <w:t>(34)</w:t>
            </w:r>
          </w:p>
        </w:tc>
        <w:tc>
          <w:tcPr>
            <w:tcW w:w="154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B2B2B2"/>
            </w:tcBorders>
          </w:tcPr>
          <w:p>
            <w:pPr>
              <w:jc w:val="right"/>
              <w:ind w:right="120"/>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(232)</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5"/>
        </w:trPr>
        <w:tc>
          <w:tcPr>
            <w:tcW w:w="266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color w:val="auto"/>
              </w:rPr>
              <w:t>Total</w:t>
            </w:r>
          </w:p>
        </w:tc>
        <w:tc>
          <w:tcPr>
            <w:tcW w:w="1680" w:type="dxa"/>
            <w:vAlign w:val="bottom"/>
            <w:tcBorders>
              <w:bottom w:val="single" w:sz="8" w:color="D64000"/>
            </w:tcBorders>
          </w:tcPr>
          <w:p>
            <w:pPr>
              <w:jc w:val="right"/>
              <w:ind w:right="81"/>
              <w:spacing w:after="0" w:line="179" w:lineRule="exact"/>
              <w:rPr>
                <w:sz w:val="20"/>
                <w:szCs w:val="20"/>
                <w:color w:val="auto"/>
              </w:rPr>
            </w:pPr>
            <w:r>
              <w:rPr>
                <w:rFonts w:ascii="Arial" w:cs="Arial" w:eastAsia="Arial" w:hAnsi="Arial"/>
                <w:sz w:val="16"/>
                <w:szCs w:val="16"/>
                <w:b w:val="1"/>
                <w:bCs w:val="1"/>
                <w:color w:val="auto"/>
              </w:rPr>
              <w:t>(2,090)</w:t>
            </w:r>
          </w:p>
        </w:tc>
        <w:tc>
          <w:tcPr>
            <w:tcW w:w="1760" w:type="dxa"/>
            <w:vAlign w:val="bottom"/>
            <w:tcBorders>
              <w:bottom w:val="single" w:sz="8" w:color="D64000"/>
            </w:tcBorders>
          </w:tcPr>
          <w:p>
            <w:pPr>
              <w:jc w:val="right"/>
              <w:ind w:right="101"/>
              <w:spacing w:after="0" w:line="179" w:lineRule="exact"/>
              <w:rPr>
                <w:sz w:val="20"/>
                <w:szCs w:val="20"/>
                <w:color w:val="auto"/>
              </w:rPr>
            </w:pPr>
            <w:r>
              <w:rPr>
                <w:rFonts w:ascii="Arial" w:cs="Arial" w:eastAsia="Arial" w:hAnsi="Arial"/>
                <w:sz w:val="16"/>
                <w:szCs w:val="16"/>
                <w:b w:val="1"/>
                <w:bCs w:val="1"/>
                <w:color w:val="auto"/>
              </w:rPr>
              <w:t>1,404</w:t>
            </w:r>
          </w:p>
        </w:tc>
        <w:tc>
          <w:tcPr>
            <w:tcW w:w="1540" w:type="dxa"/>
            <w:vAlign w:val="bottom"/>
            <w:tcBorders>
              <w:bottom w:val="single" w:sz="8" w:color="D64000"/>
            </w:tcBorders>
          </w:tcPr>
          <w:p>
            <w:pPr>
              <w:jc w:val="right"/>
              <w:ind w:right="41"/>
              <w:spacing w:after="0" w:line="179" w:lineRule="exact"/>
              <w:rPr>
                <w:sz w:val="20"/>
                <w:szCs w:val="20"/>
                <w:color w:val="auto"/>
              </w:rPr>
            </w:pPr>
            <w:r>
              <w:rPr>
                <w:rFonts w:ascii="Arial" w:cs="Arial" w:eastAsia="Arial" w:hAnsi="Arial"/>
                <w:sz w:val="16"/>
                <w:szCs w:val="16"/>
                <w:b w:val="1"/>
                <w:bCs w:val="1"/>
                <w:color w:val="auto"/>
              </w:rPr>
              <w:t>99</w:t>
            </w:r>
          </w:p>
        </w:tc>
        <w:tc>
          <w:tcPr>
            <w:tcW w:w="1320" w:type="dxa"/>
            <w:vAlign w:val="bottom"/>
            <w:tcBorders>
              <w:bottom w:val="single" w:sz="8" w:color="D64000"/>
            </w:tcBorders>
          </w:tcPr>
          <w:p>
            <w:pPr>
              <w:jc w:val="right"/>
              <w:ind w:right="120"/>
              <w:spacing w:after="0" w:line="179" w:lineRule="exact"/>
              <w:rPr>
                <w:sz w:val="20"/>
                <w:szCs w:val="20"/>
                <w:color w:val="auto"/>
              </w:rPr>
            </w:pPr>
            <w:r>
              <w:rPr>
                <w:rFonts w:ascii="Arial" w:cs="Arial" w:eastAsia="Arial" w:hAnsi="Arial"/>
                <w:sz w:val="16"/>
                <w:szCs w:val="16"/>
                <w:b w:val="1"/>
                <w:bCs w:val="1"/>
                <w:color w:val="auto"/>
              </w:rPr>
              <w:t>(21)</w:t>
            </w:r>
          </w:p>
        </w:tc>
        <w:tc>
          <w:tcPr>
            <w:tcW w:w="76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b w:val="1"/>
                <w:bCs w:val="1"/>
                <w:color w:val="auto"/>
              </w:rPr>
              <w:t>(608)</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71"/>
        </w:trPr>
        <w:tc>
          <w:tcPr>
            <w:tcW w:w="2660" w:type="dxa"/>
            <w:vAlign w:val="bottom"/>
            <w:tcBorders>
              <w:bottom w:val="single" w:sz="8" w:color="B2B2B2"/>
            </w:tcBorders>
          </w:tcPr>
          <w:p>
            <w:pPr>
              <w:spacing w:after="0"/>
              <w:rPr>
                <w:sz w:val="24"/>
                <w:szCs w:val="24"/>
                <w:color w:val="auto"/>
              </w:rPr>
            </w:pPr>
          </w:p>
        </w:tc>
        <w:tc>
          <w:tcPr>
            <w:tcW w:w="1680" w:type="dxa"/>
            <w:vAlign w:val="bottom"/>
            <w:tcBorders>
              <w:bottom w:val="single" w:sz="8" w:color="B2B2B2"/>
            </w:tcBorders>
          </w:tcPr>
          <w:p>
            <w:pPr>
              <w:spacing w:after="0"/>
              <w:rPr>
                <w:sz w:val="24"/>
                <w:szCs w:val="24"/>
                <w:color w:val="auto"/>
              </w:rPr>
            </w:pPr>
          </w:p>
        </w:tc>
        <w:tc>
          <w:tcPr>
            <w:tcW w:w="1760" w:type="dxa"/>
            <w:vAlign w:val="bottom"/>
            <w:tcBorders>
              <w:bottom w:val="single" w:sz="8" w:color="B2B2B2"/>
            </w:tcBorders>
          </w:tcPr>
          <w:p>
            <w:pPr>
              <w:spacing w:after="0"/>
              <w:rPr>
                <w:sz w:val="24"/>
                <w:szCs w:val="24"/>
                <w:color w:val="auto"/>
              </w:rPr>
            </w:pPr>
          </w:p>
        </w:tc>
        <w:tc>
          <w:tcPr>
            <w:tcW w:w="1540" w:type="dxa"/>
            <w:vAlign w:val="bottom"/>
            <w:tcBorders>
              <w:bottom w:val="single" w:sz="8" w:color="B2B2B2"/>
            </w:tcBorders>
          </w:tcPr>
          <w:p>
            <w:pPr>
              <w:spacing w:after="0"/>
              <w:rPr>
                <w:sz w:val="24"/>
                <w:szCs w:val="24"/>
                <w:color w:val="auto"/>
              </w:rPr>
            </w:pPr>
          </w:p>
        </w:tc>
        <w:tc>
          <w:tcPr>
            <w:tcW w:w="3160" w:type="dxa"/>
            <w:vAlign w:val="bottom"/>
            <w:tcBorders>
              <w:bottom w:val="single" w:sz="8" w:color="B2B2B2"/>
            </w:tcBorders>
            <w:gridSpan w:val="3"/>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2660" w:type="dxa"/>
            <w:vAlign w:val="bottom"/>
          </w:tcPr>
          <w:p>
            <w:pPr>
              <w:spacing w:after="0"/>
              <w:rPr>
                <w:sz w:val="20"/>
                <w:szCs w:val="20"/>
                <w:color w:val="auto"/>
              </w:rPr>
            </w:pPr>
            <w:r>
              <w:rPr>
                <w:rFonts w:ascii="Arial" w:cs="Arial" w:eastAsia="Arial" w:hAnsi="Arial"/>
                <w:sz w:val="17"/>
                <w:szCs w:val="17"/>
                <w:color w:val="auto"/>
              </w:rPr>
              <w:t>Page 114</w:t>
            </w:r>
          </w:p>
        </w:tc>
        <w:tc>
          <w:tcPr>
            <w:tcW w:w="1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180" w:type="dxa"/>
            <w:vAlign w:val="bottom"/>
            <w:gridSpan w:val="4"/>
          </w:tcPr>
          <w:p>
            <w:pPr>
              <w:ind w:left="120"/>
              <w:spacing w:after="0"/>
              <w:rPr>
                <w:sz w:val="20"/>
                <w:szCs w:val="20"/>
                <w:color w:val="auto"/>
              </w:rPr>
            </w:pPr>
            <w:r>
              <w:rPr>
                <w:rFonts w:ascii="Arial" w:cs="Arial" w:eastAsia="Arial" w:hAnsi="Arial"/>
                <w:sz w:val="17"/>
                <w:szCs w:val="17"/>
                <w:b w:val="1"/>
                <w:bCs w:val="1"/>
                <w:color w:val="auto"/>
                <w:w w:val="98"/>
              </w:rPr>
              <w:t>Thomson Reuters Annual Report 2024</w:t>
            </w:r>
          </w:p>
        </w:tc>
      </w:tr>
    </w:tbl>
    <w:p>
      <w:pPr>
        <w:sectPr>
          <w:pgSz w:w="11900" w:h="16838" w:orient="portrait"/>
          <w:cols w:equalWidth="0" w:num="1">
            <w:col w:w="11040"/>
          </w:cols>
          <w:pgMar w:left="320" w:top="477" w:right="5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18"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2580" w:type="dxa"/>
            <w:vAlign w:val="bottom"/>
            <w:shd w:val="clear" w:color="auto" w:fill="E3F3EE"/>
          </w:tcPr>
          <w:p>
            <w:pPr>
              <w:spacing w:after="0"/>
              <w:rPr>
                <w:sz w:val="16"/>
                <w:szCs w:val="16"/>
                <w:color w:val="auto"/>
              </w:rPr>
            </w:pPr>
          </w:p>
        </w:tc>
        <w:tc>
          <w:tcPr>
            <w:tcW w:w="1620" w:type="dxa"/>
            <w:vAlign w:val="bottom"/>
            <w:vMerge w:val="restart"/>
            <w:shd w:val="clear" w:color="auto" w:fill="1F473D"/>
          </w:tcPr>
          <w:p>
            <w:pPr>
              <w:jc w:val="center"/>
              <w:ind w:left="1"/>
              <w:spacing w:after="0"/>
              <w:rPr>
                <w:sz w:val="20"/>
                <w:szCs w:val="20"/>
                <w:color w:val="auto"/>
              </w:rPr>
            </w:pPr>
            <w:r>
              <w:rPr>
                <w:rFonts w:ascii="Arial" w:cs="Arial" w:eastAsia="Arial" w:hAnsi="Arial"/>
                <w:sz w:val="16"/>
                <w:szCs w:val="16"/>
                <w:b w:val="1"/>
                <w:bCs w:val="1"/>
                <w:color w:val="FFFFFF"/>
              </w:rPr>
              <w:t>Assets/</w:t>
            </w:r>
          </w:p>
        </w:tc>
        <w:tc>
          <w:tcPr>
            <w:tcW w:w="1800" w:type="dxa"/>
            <w:vAlign w:val="bottom"/>
            <w:shd w:val="clear" w:color="auto" w:fill="1F473D"/>
          </w:tcPr>
          <w:p>
            <w:pPr>
              <w:spacing w:after="0"/>
              <w:rPr>
                <w:sz w:val="16"/>
                <w:szCs w:val="16"/>
                <w:color w:val="auto"/>
              </w:rPr>
            </w:pPr>
          </w:p>
        </w:tc>
        <w:tc>
          <w:tcPr>
            <w:tcW w:w="162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9"/>
              </w:rPr>
              <w:t>Assets at Fair</w:t>
            </w:r>
          </w:p>
        </w:tc>
        <w:tc>
          <w:tcPr>
            <w:tcW w:w="1320" w:type="dxa"/>
            <w:vAlign w:val="bottom"/>
            <w:shd w:val="clear" w:color="auto" w:fill="1F473D"/>
          </w:tcPr>
          <w:p>
            <w:pPr>
              <w:spacing w:after="0"/>
              <w:rPr>
                <w:sz w:val="16"/>
                <w:szCs w:val="16"/>
                <w:color w:val="auto"/>
              </w:rPr>
            </w:pPr>
          </w:p>
        </w:tc>
        <w:tc>
          <w:tcPr>
            <w:tcW w:w="780" w:type="dxa"/>
            <w:vAlign w:val="bottom"/>
            <w:shd w:val="clear" w:color="auto" w:fill="1F473D"/>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580" w:type="dxa"/>
            <w:vAlign w:val="bottom"/>
            <w:shd w:val="clear" w:color="auto" w:fill="E3F3EE"/>
          </w:tcPr>
          <w:p>
            <w:pPr>
              <w:spacing w:after="0"/>
              <w:rPr>
                <w:sz w:val="14"/>
                <w:szCs w:val="14"/>
                <w:color w:val="auto"/>
              </w:rPr>
            </w:pPr>
          </w:p>
        </w:tc>
        <w:tc>
          <w:tcPr>
            <w:tcW w:w="1620" w:type="dxa"/>
            <w:vAlign w:val="bottom"/>
            <w:vMerge w:val="continue"/>
            <w:shd w:val="clear" w:color="auto" w:fill="1F473D"/>
          </w:tcPr>
          <w:p>
            <w:pPr>
              <w:spacing w:after="0"/>
              <w:rPr>
                <w:sz w:val="14"/>
                <w:szCs w:val="14"/>
                <w:color w:val="auto"/>
              </w:rPr>
            </w:pPr>
          </w:p>
        </w:tc>
        <w:tc>
          <w:tcPr>
            <w:tcW w:w="1800" w:type="dxa"/>
            <w:vAlign w:val="bottom"/>
            <w:shd w:val="clear" w:color="auto" w:fill="1F473D"/>
          </w:tcPr>
          <w:p>
            <w:pPr>
              <w:jc w:val="center"/>
              <w:ind w:right="1"/>
              <w:spacing w:after="0" w:line="172" w:lineRule="exact"/>
              <w:rPr>
                <w:sz w:val="20"/>
                <w:szCs w:val="20"/>
                <w:color w:val="auto"/>
              </w:rPr>
            </w:pPr>
            <w:r>
              <w:rPr>
                <w:rFonts w:ascii="Arial" w:cs="Arial" w:eastAsia="Arial" w:hAnsi="Arial"/>
                <w:sz w:val="16"/>
                <w:szCs w:val="16"/>
                <w:b w:val="1"/>
                <w:bCs w:val="1"/>
                <w:color w:val="FFFFFF"/>
                <w:w w:val="98"/>
              </w:rPr>
              <w:t>Assets/</w:t>
            </w:r>
          </w:p>
        </w:tc>
        <w:tc>
          <w:tcPr>
            <w:tcW w:w="1620" w:type="dxa"/>
            <w:vAlign w:val="bottom"/>
            <w:shd w:val="clear" w:color="auto" w:fill="1F473D"/>
          </w:tcPr>
          <w:p>
            <w:pPr>
              <w:jc w:val="center"/>
              <w:spacing w:after="0" w:line="172" w:lineRule="exact"/>
              <w:rPr>
                <w:sz w:val="20"/>
                <w:szCs w:val="20"/>
                <w:color w:val="auto"/>
              </w:rPr>
            </w:pPr>
            <w:r>
              <w:rPr>
                <w:rFonts w:ascii="Arial" w:cs="Arial" w:eastAsia="Arial" w:hAnsi="Arial"/>
                <w:sz w:val="16"/>
                <w:szCs w:val="16"/>
                <w:b w:val="1"/>
                <w:bCs w:val="1"/>
                <w:color w:val="FFFFFF"/>
                <w:w w:val="98"/>
              </w:rPr>
              <w:t>Value through</w:t>
            </w:r>
          </w:p>
        </w:tc>
        <w:tc>
          <w:tcPr>
            <w:tcW w:w="1320" w:type="dxa"/>
            <w:vAlign w:val="bottom"/>
            <w:shd w:val="clear" w:color="auto" w:fill="1F473D"/>
          </w:tcPr>
          <w:p>
            <w:pPr>
              <w:spacing w:after="0"/>
              <w:rPr>
                <w:sz w:val="14"/>
                <w:szCs w:val="14"/>
                <w:color w:val="auto"/>
              </w:rPr>
            </w:pPr>
          </w:p>
        </w:tc>
        <w:tc>
          <w:tcPr>
            <w:tcW w:w="780" w:type="dxa"/>
            <w:vAlign w:val="bottom"/>
            <w:shd w:val="clear" w:color="auto" w:fill="1F473D"/>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580" w:type="dxa"/>
            <w:vAlign w:val="bottom"/>
            <w:shd w:val="clear" w:color="auto" w:fill="E3F3EE"/>
          </w:tcPr>
          <w:p>
            <w:pPr>
              <w:spacing w:after="0"/>
              <w:rPr>
                <w:sz w:val="16"/>
                <w:szCs w:val="16"/>
                <w:color w:val="auto"/>
              </w:rPr>
            </w:pPr>
          </w:p>
        </w:tc>
        <w:tc>
          <w:tcPr>
            <w:tcW w:w="1620" w:type="dxa"/>
            <w:vAlign w:val="bottom"/>
            <w:shd w:val="clear" w:color="auto" w:fill="1F473D"/>
          </w:tcPr>
          <w:p>
            <w:pPr>
              <w:jc w:val="center"/>
              <w:ind w:left="1"/>
              <w:spacing w:after="0"/>
              <w:rPr>
                <w:sz w:val="20"/>
                <w:szCs w:val="20"/>
                <w:color w:val="auto"/>
              </w:rPr>
            </w:pPr>
            <w:r>
              <w:rPr>
                <w:rFonts w:ascii="Arial" w:cs="Arial" w:eastAsia="Arial" w:hAnsi="Arial"/>
                <w:sz w:val="16"/>
                <w:szCs w:val="16"/>
                <w:b w:val="1"/>
                <w:bCs w:val="1"/>
                <w:color w:val="FFFFFF"/>
                <w:w w:val="98"/>
              </w:rPr>
              <w:t>(Liabilities) at</w:t>
            </w:r>
          </w:p>
        </w:tc>
        <w:tc>
          <w:tcPr>
            <w:tcW w:w="1800" w:type="dxa"/>
            <w:vAlign w:val="bottom"/>
            <w:shd w:val="clear" w:color="auto" w:fill="1F473D"/>
          </w:tcPr>
          <w:p>
            <w:pPr>
              <w:jc w:val="center"/>
              <w:ind w:right="1"/>
              <w:spacing w:after="0"/>
              <w:rPr>
                <w:sz w:val="20"/>
                <w:szCs w:val="20"/>
                <w:color w:val="auto"/>
              </w:rPr>
            </w:pPr>
            <w:r>
              <w:rPr>
                <w:rFonts w:ascii="Arial" w:cs="Arial" w:eastAsia="Arial" w:hAnsi="Arial"/>
                <w:sz w:val="16"/>
                <w:szCs w:val="16"/>
                <w:b w:val="1"/>
                <w:bCs w:val="1"/>
                <w:color w:val="FFFFFF"/>
                <w:w w:val="99"/>
              </w:rPr>
              <w:t>(Liabilities) at Fair</w:t>
            </w:r>
          </w:p>
        </w:tc>
        <w:tc>
          <w:tcPr>
            <w:tcW w:w="162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8"/>
              </w:rPr>
              <w:t>Other</w:t>
            </w:r>
          </w:p>
        </w:tc>
        <w:tc>
          <w:tcPr>
            <w:tcW w:w="1320" w:type="dxa"/>
            <w:vAlign w:val="bottom"/>
            <w:shd w:val="clear" w:color="auto" w:fill="1F473D"/>
          </w:tcPr>
          <w:p>
            <w:pPr>
              <w:jc w:val="center"/>
              <w:ind w:right="1"/>
              <w:spacing w:after="0"/>
              <w:rPr>
                <w:sz w:val="20"/>
                <w:szCs w:val="20"/>
                <w:color w:val="auto"/>
              </w:rPr>
            </w:pPr>
            <w:r>
              <w:rPr>
                <w:rFonts w:ascii="Arial" w:cs="Arial" w:eastAsia="Arial" w:hAnsi="Arial"/>
                <w:sz w:val="16"/>
                <w:szCs w:val="16"/>
                <w:b w:val="1"/>
                <w:bCs w:val="1"/>
                <w:color w:val="FFFFFF"/>
                <w:w w:val="98"/>
              </w:rPr>
              <w:t>Derivatives</w:t>
            </w:r>
          </w:p>
        </w:tc>
        <w:tc>
          <w:tcPr>
            <w:tcW w:w="780" w:type="dxa"/>
            <w:vAlign w:val="bottom"/>
            <w:shd w:val="clear" w:color="auto" w:fill="1F473D"/>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580" w:type="dxa"/>
            <w:vAlign w:val="bottom"/>
            <w:shd w:val="clear" w:color="auto" w:fill="E3F3EE"/>
          </w:tcPr>
          <w:p>
            <w:pPr>
              <w:spacing w:after="0"/>
              <w:rPr>
                <w:sz w:val="16"/>
                <w:szCs w:val="16"/>
                <w:color w:val="auto"/>
              </w:rPr>
            </w:pPr>
          </w:p>
        </w:tc>
        <w:tc>
          <w:tcPr>
            <w:tcW w:w="1620" w:type="dxa"/>
            <w:vAlign w:val="bottom"/>
            <w:shd w:val="clear" w:color="auto" w:fill="1F473D"/>
          </w:tcPr>
          <w:p>
            <w:pPr>
              <w:jc w:val="center"/>
              <w:ind w:left="1"/>
              <w:spacing w:after="0"/>
              <w:rPr>
                <w:sz w:val="20"/>
                <w:szCs w:val="20"/>
                <w:color w:val="auto"/>
              </w:rPr>
            </w:pPr>
            <w:r>
              <w:rPr>
                <w:rFonts w:ascii="Arial" w:cs="Arial" w:eastAsia="Arial" w:hAnsi="Arial"/>
                <w:sz w:val="16"/>
                <w:szCs w:val="16"/>
                <w:b w:val="1"/>
                <w:bCs w:val="1"/>
                <w:color w:val="FFFFFF"/>
                <w:w w:val="99"/>
              </w:rPr>
              <w:t>Amortized</w:t>
            </w:r>
          </w:p>
        </w:tc>
        <w:tc>
          <w:tcPr>
            <w:tcW w:w="180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8"/>
              </w:rPr>
              <w:t>Value through</w:t>
            </w:r>
          </w:p>
        </w:tc>
        <w:tc>
          <w:tcPr>
            <w:tcW w:w="162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9"/>
              </w:rPr>
              <w:t>Comprehensive</w:t>
            </w:r>
          </w:p>
        </w:tc>
        <w:tc>
          <w:tcPr>
            <w:tcW w:w="1320" w:type="dxa"/>
            <w:vAlign w:val="bottom"/>
            <w:shd w:val="clear" w:color="auto" w:fill="1F473D"/>
          </w:tcPr>
          <w:p>
            <w:pPr>
              <w:jc w:val="center"/>
              <w:ind w:right="1"/>
              <w:spacing w:after="0"/>
              <w:rPr>
                <w:sz w:val="20"/>
                <w:szCs w:val="20"/>
                <w:color w:val="auto"/>
              </w:rPr>
            </w:pPr>
            <w:r>
              <w:rPr>
                <w:rFonts w:ascii="Arial" w:cs="Arial" w:eastAsia="Arial" w:hAnsi="Arial"/>
                <w:sz w:val="16"/>
                <w:szCs w:val="16"/>
                <w:b w:val="1"/>
                <w:bCs w:val="1"/>
                <w:color w:val="FFFFFF"/>
                <w:w w:val="98"/>
              </w:rPr>
              <w:t>Used for</w:t>
            </w:r>
          </w:p>
        </w:tc>
        <w:tc>
          <w:tcPr>
            <w:tcW w:w="780" w:type="dxa"/>
            <w:vAlign w:val="bottom"/>
            <w:shd w:val="clear" w:color="auto" w:fill="1F473D"/>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580" w:type="dxa"/>
            <w:vAlign w:val="bottom"/>
            <w:tcBorders>
              <w:bottom w:val="single" w:sz="8" w:color="D64000"/>
            </w:tcBorders>
            <w:shd w:val="clear" w:color="auto" w:fill="E3F3EE"/>
          </w:tcPr>
          <w:p>
            <w:pPr>
              <w:spacing w:after="0"/>
              <w:rPr>
                <w:sz w:val="20"/>
                <w:szCs w:val="20"/>
                <w:color w:val="auto"/>
              </w:rPr>
            </w:pPr>
            <w:r>
              <w:rPr>
                <w:rFonts w:ascii="Arial" w:cs="Arial" w:eastAsia="Arial" w:hAnsi="Arial"/>
                <w:sz w:val="16"/>
                <w:szCs w:val="16"/>
                <w:color w:val="auto"/>
              </w:rPr>
              <w:t>December 31, 2023</w:t>
            </w:r>
          </w:p>
        </w:tc>
        <w:tc>
          <w:tcPr>
            <w:tcW w:w="1620" w:type="dxa"/>
            <w:vAlign w:val="bottom"/>
            <w:tcBorders>
              <w:bottom w:val="single" w:sz="8" w:color="D64000"/>
            </w:tcBorders>
            <w:shd w:val="clear" w:color="auto" w:fill="1F473D"/>
          </w:tcPr>
          <w:p>
            <w:pPr>
              <w:jc w:val="center"/>
              <w:ind w:left="1"/>
              <w:spacing w:after="0"/>
              <w:rPr>
                <w:sz w:val="20"/>
                <w:szCs w:val="20"/>
                <w:color w:val="auto"/>
              </w:rPr>
            </w:pPr>
            <w:r>
              <w:rPr>
                <w:rFonts w:ascii="Arial" w:cs="Arial" w:eastAsia="Arial" w:hAnsi="Arial"/>
                <w:sz w:val="16"/>
                <w:szCs w:val="16"/>
                <w:b w:val="1"/>
                <w:bCs w:val="1"/>
                <w:color w:val="FFFFFF"/>
                <w:w w:val="95"/>
              </w:rPr>
              <w:t>Cost</w:t>
            </w:r>
          </w:p>
        </w:tc>
        <w:tc>
          <w:tcPr>
            <w:tcW w:w="1800" w:type="dxa"/>
            <w:vAlign w:val="bottom"/>
            <w:tcBorders>
              <w:bottom w:val="single" w:sz="8" w:color="D64000"/>
            </w:tcBorders>
            <w:shd w:val="clear" w:color="auto" w:fill="1F473D"/>
          </w:tcPr>
          <w:p>
            <w:pPr>
              <w:jc w:val="center"/>
              <w:ind w:right="1"/>
              <w:spacing w:after="0"/>
              <w:rPr>
                <w:sz w:val="20"/>
                <w:szCs w:val="20"/>
                <w:color w:val="auto"/>
              </w:rPr>
            </w:pPr>
            <w:r>
              <w:rPr>
                <w:rFonts w:ascii="Arial" w:cs="Arial" w:eastAsia="Arial" w:hAnsi="Arial"/>
                <w:sz w:val="16"/>
                <w:szCs w:val="16"/>
                <w:b w:val="1"/>
                <w:bCs w:val="1"/>
                <w:color w:val="FFFFFF"/>
                <w:w w:val="99"/>
              </w:rPr>
              <w:t>Earnings</w:t>
            </w:r>
          </w:p>
        </w:tc>
        <w:tc>
          <w:tcPr>
            <w:tcW w:w="1620" w:type="dxa"/>
            <w:vAlign w:val="bottom"/>
            <w:tcBorders>
              <w:bottom w:val="single" w:sz="8" w:color="D64000"/>
            </w:tcBorders>
            <w:shd w:val="clear" w:color="auto" w:fill="1F473D"/>
          </w:tcPr>
          <w:p>
            <w:pPr>
              <w:jc w:val="center"/>
              <w:spacing w:after="0"/>
              <w:rPr>
                <w:sz w:val="20"/>
                <w:szCs w:val="20"/>
                <w:color w:val="auto"/>
              </w:rPr>
            </w:pPr>
            <w:r>
              <w:rPr>
                <w:rFonts w:ascii="Arial" w:cs="Arial" w:eastAsia="Arial" w:hAnsi="Arial"/>
                <w:sz w:val="16"/>
                <w:szCs w:val="16"/>
                <w:b w:val="1"/>
                <w:bCs w:val="1"/>
                <w:color w:val="FFFFFF"/>
                <w:w w:val="98"/>
              </w:rPr>
              <w:t>Income or Loss</w:t>
            </w:r>
          </w:p>
        </w:tc>
        <w:tc>
          <w:tcPr>
            <w:tcW w:w="1320" w:type="dxa"/>
            <w:vAlign w:val="bottom"/>
            <w:tcBorders>
              <w:bottom w:val="single" w:sz="8" w:color="D64000"/>
            </w:tcBorders>
            <w:shd w:val="clear" w:color="auto" w:fill="1F473D"/>
          </w:tcPr>
          <w:p>
            <w:pPr>
              <w:jc w:val="center"/>
              <w:ind w:right="1"/>
              <w:spacing w:after="0" w:line="213" w:lineRule="exact"/>
              <w:rPr>
                <w:sz w:val="20"/>
                <w:szCs w:val="20"/>
                <w:color w:val="auto"/>
              </w:rPr>
            </w:pPr>
            <w:r>
              <w:rPr>
                <w:rFonts w:ascii="Arial" w:cs="Arial" w:eastAsia="Arial" w:hAnsi="Arial"/>
                <w:sz w:val="16"/>
                <w:szCs w:val="16"/>
                <w:b w:val="1"/>
                <w:bCs w:val="1"/>
                <w:color w:val="FFFFFF"/>
                <w:w w:val="95"/>
              </w:rPr>
              <w:t>Hedging</w:t>
            </w:r>
            <w:r>
              <w:rPr>
                <w:rFonts w:ascii="Arial" w:cs="Arial" w:eastAsia="Arial" w:hAnsi="Arial"/>
                <w:sz w:val="19"/>
                <w:szCs w:val="19"/>
                <w:b w:val="1"/>
                <w:bCs w:val="1"/>
                <w:color w:val="FFFFFF"/>
                <w:w w:val="95"/>
                <w:vertAlign w:val="superscript"/>
              </w:rPr>
              <w:t>(1)</w:t>
            </w:r>
          </w:p>
        </w:tc>
        <w:tc>
          <w:tcPr>
            <w:tcW w:w="780" w:type="dxa"/>
            <w:vAlign w:val="bottom"/>
            <w:tcBorders>
              <w:bottom w:val="single" w:sz="8" w:color="D64000"/>
            </w:tcBorders>
            <w:shd w:val="clear" w:color="auto" w:fill="1F473D"/>
          </w:tcPr>
          <w:p>
            <w:pPr>
              <w:jc w:val="right"/>
              <w:ind w:right="101"/>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171"/>
        </w:trPr>
        <w:tc>
          <w:tcPr>
            <w:tcW w:w="2580" w:type="dxa"/>
            <w:vAlign w:val="bottom"/>
          </w:tcPr>
          <w:p>
            <w:pPr>
              <w:spacing w:after="0" w:line="171" w:lineRule="exact"/>
              <w:rPr>
                <w:sz w:val="20"/>
                <w:szCs w:val="20"/>
                <w:color w:val="auto"/>
              </w:rPr>
            </w:pPr>
            <w:r>
              <w:rPr>
                <w:rFonts w:ascii="Arial" w:cs="Arial" w:eastAsia="Arial" w:hAnsi="Arial"/>
                <w:sz w:val="16"/>
                <w:szCs w:val="16"/>
                <w:color w:val="auto"/>
              </w:rPr>
              <w:t>Cash and cash equivalents</w:t>
            </w:r>
          </w:p>
        </w:tc>
        <w:tc>
          <w:tcPr>
            <w:tcW w:w="1620" w:type="dxa"/>
            <w:vAlign w:val="bottom"/>
          </w:tcPr>
          <w:p>
            <w:pPr>
              <w:jc w:val="right"/>
              <w:ind w:right="121"/>
              <w:spacing w:after="0" w:line="171" w:lineRule="exact"/>
              <w:rPr>
                <w:sz w:val="20"/>
                <w:szCs w:val="20"/>
                <w:color w:val="auto"/>
              </w:rPr>
            </w:pPr>
            <w:r>
              <w:rPr>
                <w:rFonts w:ascii="Arial" w:cs="Arial" w:eastAsia="Arial" w:hAnsi="Arial"/>
                <w:sz w:val="16"/>
                <w:szCs w:val="16"/>
                <w:color w:val="auto"/>
              </w:rPr>
              <w:t>392</w:t>
            </w:r>
          </w:p>
        </w:tc>
        <w:tc>
          <w:tcPr>
            <w:tcW w:w="1800" w:type="dxa"/>
            <w:vAlign w:val="bottom"/>
          </w:tcPr>
          <w:p>
            <w:pPr>
              <w:jc w:val="right"/>
              <w:ind w:right="121"/>
              <w:spacing w:after="0" w:line="171" w:lineRule="exact"/>
              <w:rPr>
                <w:sz w:val="20"/>
                <w:szCs w:val="20"/>
                <w:color w:val="auto"/>
              </w:rPr>
            </w:pPr>
            <w:r>
              <w:rPr>
                <w:rFonts w:ascii="Arial" w:cs="Arial" w:eastAsia="Arial" w:hAnsi="Arial"/>
                <w:sz w:val="16"/>
                <w:szCs w:val="16"/>
                <w:color w:val="auto"/>
              </w:rPr>
              <w:t>906</w:t>
            </w:r>
          </w:p>
        </w:tc>
        <w:tc>
          <w:tcPr>
            <w:tcW w:w="1620" w:type="dxa"/>
            <w:vAlign w:val="bottom"/>
          </w:tcPr>
          <w:p>
            <w:pPr>
              <w:jc w:val="right"/>
              <w:ind w:right="101"/>
              <w:spacing w:after="0" w:line="171"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141"/>
              <w:spacing w:after="0" w:line="171"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71" w:lineRule="exact"/>
              <w:rPr>
                <w:sz w:val="20"/>
                <w:szCs w:val="20"/>
                <w:color w:val="auto"/>
              </w:rPr>
            </w:pPr>
            <w:r>
              <w:rPr>
                <w:rFonts w:ascii="Arial" w:cs="Arial" w:eastAsia="Arial" w:hAnsi="Arial"/>
                <w:sz w:val="16"/>
                <w:szCs w:val="16"/>
                <w:color w:val="auto"/>
              </w:rPr>
              <w:t>1,298</w:t>
            </w:r>
          </w:p>
        </w:tc>
        <w:tc>
          <w:tcPr>
            <w:tcW w:w="0" w:type="dxa"/>
            <w:vAlign w:val="bottom"/>
          </w:tcPr>
          <w:p>
            <w:pPr>
              <w:spacing w:after="0"/>
              <w:rPr>
                <w:sz w:val="1"/>
                <w:szCs w:val="1"/>
                <w:color w:val="auto"/>
              </w:rPr>
            </w:pPr>
          </w:p>
        </w:tc>
      </w:tr>
      <w:tr>
        <w:trPr>
          <w:trHeight w:val="185"/>
        </w:trPr>
        <w:tc>
          <w:tcPr>
            <w:tcW w:w="2580" w:type="dxa"/>
            <w:vAlign w:val="bottom"/>
          </w:tcPr>
          <w:p>
            <w:pPr>
              <w:spacing w:after="0"/>
              <w:rPr>
                <w:sz w:val="20"/>
                <w:szCs w:val="20"/>
                <w:color w:val="auto"/>
              </w:rPr>
            </w:pPr>
            <w:r>
              <w:rPr>
                <w:rFonts w:ascii="Arial" w:cs="Arial" w:eastAsia="Arial" w:hAnsi="Arial"/>
                <w:sz w:val="16"/>
                <w:szCs w:val="16"/>
                <w:color w:val="auto"/>
              </w:rPr>
              <w:t>Trade and other receivables</w:t>
            </w:r>
          </w:p>
        </w:tc>
        <w:tc>
          <w:tcPr>
            <w:tcW w:w="1620" w:type="dxa"/>
            <w:vAlign w:val="bottom"/>
          </w:tcPr>
          <w:p>
            <w:pPr>
              <w:jc w:val="right"/>
              <w:ind w:right="121"/>
              <w:spacing w:after="0"/>
              <w:rPr>
                <w:sz w:val="20"/>
                <w:szCs w:val="20"/>
                <w:color w:val="auto"/>
              </w:rPr>
            </w:pPr>
            <w:r>
              <w:rPr>
                <w:rFonts w:ascii="Arial" w:cs="Arial" w:eastAsia="Arial" w:hAnsi="Arial"/>
                <w:sz w:val="16"/>
                <w:szCs w:val="16"/>
                <w:color w:val="auto"/>
              </w:rPr>
              <w:t>1,122</w:t>
            </w:r>
          </w:p>
        </w:tc>
        <w:tc>
          <w:tcPr>
            <w:tcW w:w="180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1,122</w:t>
            </w:r>
          </w:p>
        </w:tc>
        <w:tc>
          <w:tcPr>
            <w:tcW w:w="0" w:type="dxa"/>
            <w:vAlign w:val="bottom"/>
          </w:tcPr>
          <w:p>
            <w:pPr>
              <w:spacing w:after="0"/>
              <w:rPr>
                <w:sz w:val="1"/>
                <w:szCs w:val="1"/>
                <w:color w:val="auto"/>
              </w:rPr>
            </w:pPr>
          </w:p>
        </w:tc>
      </w:tr>
      <w:tr>
        <w:trPr>
          <w:trHeight w:val="186"/>
        </w:trPr>
        <w:tc>
          <w:tcPr>
            <w:tcW w:w="2580" w:type="dxa"/>
            <w:vAlign w:val="bottom"/>
          </w:tcPr>
          <w:p>
            <w:pPr>
              <w:spacing w:after="0"/>
              <w:rPr>
                <w:sz w:val="20"/>
                <w:szCs w:val="20"/>
                <w:color w:val="auto"/>
              </w:rPr>
            </w:pPr>
            <w:r>
              <w:rPr>
                <w:rFonts w:ascii="Arial" w:cs="Arial" w:eastAsia="Arial" w:hAnsi="Arial"/>
                <w:sz w:val="16"/>
                <w:szCs w:val="16"/>
                <w:color w:val="auto"/>
              </w:rPr>
              <w:t>Other financial assets - current</w:t>
            </w:r>
          </w:p>
        </w:tc>
        <w:tc>
          <w:tcPr>
            <w:tcW w:w="1620" w:type="dxa"/>
            <w:vAlign w:val="bottom"/>
          </w:tcPr>
          <w:p>
            <w:pPr>
              <w:jc w:val="right"/>
              <w:ind w:right="121"/>
              <w:spacing w:after="0"/>
              <w:rPr>
                <w:sz w:val="20"/>
                <w:szCs w:val="20"/>
                <w:color w:val="auto"/>
              </w:rPr>
            </w:pPr>
            <w:r>
              <w:rPr>
                <w:rFonts w:ascii="Arial" w:cs="Arial" w:eastAsia="Arial" w:hAnsi="Arial"/>
                <w:sz w:val="16"/>
                <w:szCs w:val="16"/>
                <w:color w:val="auto"/>
              </w:rPr>
              <w:t>8</w:t>
            </w:r>
          </w:p>
        </w:tc>
        <w:tc>
          <w:tcPr>
            <w:tcW w:w="1800" w:type="dxa"/>
            <w:vAlign w:val="bottom"/>
          </w:tcPr>
          <w:p>
            <w:pPr>
              <w:jc w:val="right"/>
              <w:ind w:right="121"/>
              <w:spacing w:after="0"/>
              <w:rPr>
                <w:sz w:val="20"/>
                <w:szCs w:val="20"/>
                <w:color w:val="auto"/>
              </w:rPr>
            </w:pPr>
            <w:r>
              <w:rPr>
                <w:rFonts w:ascii="Arial" w:cs="Arial" w:eastAsia="Arial" w:hAnsi="Arial"/>
                <w:sz w:val="16"/>
                <w:szCs w:val="16"/>
                <w:color w:val="auto"/>
              </w:rPr>
              <w:t>58</w:t>
            </w:r>
          </w:p>
        </w:tc>
        <w:tc>
          <w:tcPr>
            <w:tcW w:w="162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86"/>
        </w:trPr>
        <w:tc>
          <w:tcPr>
            <w:tcW w:w="2580" w:type="dxa"/>
            <w:vAlign w:val="bottom"/>
          </w:tcPr>
          <w:p>
            <w:pPr>
              <w:spacing w:after="0"/>
              <w:rPr>
                <w:sz w:val="20"/>
                <w:szCs w:val="20"/>
                <w:color w:val="auto"/>
              </w:rPr>
            </w:pPr>
            <w:r>
              <w:rPr>
                <w:rFonts w:ascii="Arial" w:cs="Arial" w:eastAsia="Arial" w:hAnsi="Arial"/>
                <w:sz w:val="16"/>
                <w:szCs w:val="16"/>
                <w:color w:val="auto"/>
              </w:rPr>
              <w:t>Other financial assets - non-current</w:t>
            </w:r>
          </w:p>
        </w:tc>
        <w:tc>
          <w:tcPr>
            <w:tcW w:w="1620" w:type="dxa"/>
            <w:vAlign w:val="bottom"/>
          </w:tcPr>
          <w:p>
            <w:pPr>
              <w:jc w:val="right"/>
              <w:ind w:right="121"/>
              <w:spacing w:after="0"/>
              <w:rPr>
                <w:sz w:val="20"/>
                <w:szCs w:val="20"/>
                <w:color w:val="auto"/>
              </w:rPr>
            </w:pPr>
            <w:r>
              <w:rPr>
                <w:rFonts w:ascii="Arial" w:cs="Arial" w:eastAsia="Arial" w:hAnsi="Arial"/>
                <w:sz w:val="16"/>
                <w:szCs w:val="16"/>
                <w:color w:val="auto"/>
              </w:rPr>
              <w:t>18</w:t>
            </w:r>
          </w:p>
        </w:tc>
        <w:tc>
          <w:tcPr>
            <w:tcW w:w="1800" w:type="dxa"/>
            <w:vAlign w:val="bottom"/>
          </w:tcPr>
          <w:p>
            <w:pPr>
              <w:jc w:val="right"/>
              <w:ind w:right="121"/>
              <w:spacing w:after="0"/>
              <w:rPr>
                <w:sz w:val="20"/>
                <w:szCs w:val="20"/>
                <w:color w:val="auto"/>
              </w:rPr>
            </w:pPr>
            <w:r>
              <w:rPr>
                <w:rFonts w:ascii="Arial" w:cs="Arial" w:eastAsia="Arial" w:hAnsi="Arial"/>
                <w:sz w:val="16"/>
                <w:szCs w:val="16"/>
                <w:color w:val="auto"/>
              </w:rPr>
              <w:t>263</w:t>
            </w:r>
          </w:p>
        </w:tc>
        <w:tc>
          <w:tcPr>
            <w:tcW w:w="1620" w:type="dxa"/>
            <w:vAlign w:val="bottom"/>
          </w:tcPr>
          <w:p>
            <w:pPr>
              <w:jc w:val="right"/>
              <w:ind w:right="101"/>
              <w:spacing w:after="0"/>
              <w:rPr>
                <w:sz w:val="20"/>
                <w:szCs w:val="20"/>
                <w:color w:val="auto"/>
              </w:rPr>
            </w:pPr>
            <w:r>
              <w:rPr>
                <w:rFonts w:ascii="Arial" w:cs="Arial" w:eastAsia="Arial" w:hAnsi="Arial"/>
                <w:sz w:val="16"/>
                <w:szCs w:val="16"/>
                <w:color w:val="auto"/>
              </w:rPr>
              <w:t>98</w:t>
            </w:r>
          </w:p>
        </w:tc>
        <w:tc>
          <w:tcPr>
            <w:tcW w:w="1320" w:type="dxa"/>
            <w:vAlign w:val="bottom"/>
          </w:tcPr>
          <w:p>
            <w:pPr>
              <w:jc w:val="right"/>
              <w:ind w:right="141"/>
              <w:spacing w:after="0"/>
              <w:rPr>
                <w:sz w:val="20"/>
                <w:szCs w:val="20"/>
                <w:color w:val="auto"/>
              </w:rPr>
            </w:pPr>
            <w:r>
              <w:rPr>
                <w:rFonts w:ascii="Arial" w:cs="Arial" w:eastAsia="Arial" w:hAnsi="Arial"/>
                <w:sz w:val="16"/>
                <w:szCs w:val="16"/>
                <w:color w:val="auto"/>
              </w:rPr>
              <w:t>65</w:t>
            </w:r>
          </w:p>
        </w:tc>
        <w:tc>
          <w:tcPr>
            <w:tcW w:w="780" w:type="dxa"/>
            <w:vAlign w:val="bottom"/>
          </w:tcPr>
          <w:p>
            <w:pPr>
              <w:jc w:val="right"/>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185"/>
        </w:trPr>
        <w:tc>
          <w:tcPr>
            <w:tcW w:w="2580" w:type="dxa"/>
            <w:vAlign w:val="bottom"/>
          </w:tcPr>
          <w:p>
            <w:pPr>
              <w:spacing w:after="0"/>
              <w:rPr>
                <w:sz w:val="20"/>
                <w:szCs w:val="20"/>
                <w:color w:val="auto"/>
              </w:rPr>
            </w:pPr>
            <w:r>
              <w:rPr>
                <w:rFonts w:ascii="Arial" w:cs="Arial" w:eastAsia="Arial" w:hAnsi="Arial"/>
                <w:sz w:val="16"/>
                <w:szCs w:val="16"/>
                <w:color w:val="auto"/>
              </w:rPr>
              <w:t>Current indebtedness</w:t>
            </w:r>
          </w:p>
        </w:tc>
        <w:tc>
          <w:tcPr>
            <w:tcW w:w="1620" w:type="dxa"/>
            <w:vAlign w:val="bottom"/>
          </w:tcPr>
          <w:p>
            <w:pPr>
              <w:jc w:val="right"/>
              <w:ind w:right="121"/>
              <w:spacing w:after="0"/>
              <w:rPr>
                <w:sz w:val="20"/>
                <w:szCs w:val="20"/>
                <w:color w:val="auto"/>
              </w:rPr>
            </w:pPr>
            <w:r>
              <w:rPr>
                <w:rFonts w:ascii="Arial" w:cs="Arial" w:eastAsia="Arial" w:hAnsi="Arial"/>
                <w:sz w:val="16"/>
                <w:szCs w:val="16"/>
                <w:color w:val="auto"/>
              </w:rPr>
              <w:t>(372)</w:t>
            </w:r>
          </w:p>
        </w:tc>
        <w:tc>
          <w:tcPr>
            <w:tcW w:w="180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186"/>
        </w:trPr>
        <w:tc>
          <w:tcPr>
            <w:tcW w:w="2580" w:type="dxa"/>
            <w:vAlign w:val="bottom"/>
          </w:tcPr>
          <w:p>
            <w:pPr>
              <w:spacing w:after="0"/>
              <w:rPr>
                <w:sz w:val="20"/>
                <w:szCs w:val="20"/>
                <w:color w:val="auto"/>
              </w:rPr>
            </w:pPr>
            <w:r>
              <w:rPr>
                <w:rFonts w:ascii="Arial" w:cs="Arial" w:eastAsia="Arial" w:hAnsi="Arial"/>
                <w:sz w:val="16"/>
                <w:szCs w:val="16"/>
                <w:color w:val="auto"/>
              </w:rPr>
              <w:t>Trade payables (see note 22)</w:t>
            </w:r>
          </w:p>
        </w:tc>
        <w:tc>
          <w:tcPr>
            <w:tcW w:w="1620" w:type="dxa"/>
            <w:vAlign w:val="bottom"/>
          </w:tcPr>
          <w:p>
            <w:pPr>
              <w:jc w:val="right"/>
              <w:ind w:right="121"/>
              <w:spacing w:after="0"/>
              <w:rPr>
                <w:sz w:val="20"/>
                <w:szCs w:val="20"/>
                <w:color w:val="auto"/>
              </w:rPr>
            </w:pPr>
            <w:r>
              <w:rPr>
                <w:rFonts w:ascii="Arial" w:cs="Arial" w:eastAsia="Arial" w:hAnsi="Arial"/>
                <w:sz w:val="16"/>
                <w:szCs w:val="16"/>
                <w:color w:val="auto"/>
              </w:rPr>
              <w:t>(181)</w:t>
            </w:r>
          </w:p>
        </w:tc>
        <w:tc>
          <w:tcPr>
            <w:tcW w:w="180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185"/>
        </w:trPr>
        <w:tc>
          <w:tcPr>
            <w:tcW w:w="2580" w:type="dxa"/>
            <w:vAlign w:val="bottom"/>
          </w:tcPr>
          <w:p>
            <w:pPr>
              <w:spacing w:after="0"/>
              <w:rPr>
                <w:sz w:val="20"/>
                <w:szCs w:val="20"/>
                <w:color w:val="auto"/>
              </w:rPr>
            </w:pPr>
            <w:r>
              <w:rPr>
                <w:rFonts w:ascii="Arial" w:cs="Arial" w:eastAsia="Arial" w:hAnsi="Arial"/>
                <w:sz w:val="16"/>
                <w:szCs w:val="16"/>
                <w:color w:val="auto"/>
              </w:rPr>
              <w:t>Accruals (see note 22)</w:t>
            </w:r>
          </w:p>
        </w:tc>
        <w:tc>
          <w:tcPr>
            <w:tcW w:w="1620" w:type="dxa"/>
            <w:vAlign w:val="bottom"/>
          </w:tcPr>
          <w:p>
            <w:pPr>
              <w:jc w:val="right"/>
              <w:ind w:right="121"/>
              <w:spacing w:after="0"/>
              <w:rPr>
                <w:sz w:val="20"/>
                <w:szCs w:val="20"/>
                <w:color w:val="auto"/>
              </w:rPr>
            </w:pPr>
            <w:r>
              <w:rPr>
                <w:rFonts w:ascii="Arial" w:cs="Arial" w:eastAsia="Arial" w:hAnsi="Arial"/>
                <w:sz w:val="16"/>
                <w:szCs w:val="16"/>
                <w:color w:val="auto"/>
              </w:rPr>
              <w:t>(798)</w:t>
            </w:r>
          </w:p>
        </w:tc>
        <w:tc>
          <w:tcPr>
            <w:tcW w:w="180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(798)</w:t>
            </w:r>
          </w:p>
        </w:tc>
        <w:tc>
          <w:tcPr>
            <w:tcW w:w="0" w:type="dxa"/>
            <w:vAlign w:val="bottom"/>
          </w:tcPr>
          <w:p>
            <w:pPr>
              <w:spacing w:after="0"/>
              <w:rPr>
                <w:sz w:val="1"/>
                <w:szCs w:val="1"/>
                <w:color w:val="auto"/>
              </w:rPr>
            </w:pPr>
          </w:p>
        </w:tc>
      </w:tr>
      <w:tr>
        <w:trPr>
          <w:trHeight w:val="186"/>
        </w:trPr>
        <w:tc>
          <w:tcPr>
            <w:tcW w:w="2580" w:type="dxa"/>
            <w:vAlign w:val="bottom"/>
          </w:tcPr>
          <w:p>
            <w:pPr>
              <w:spacing w:after="0" w:line="185" w:lineRule="exact"/>
              <w:rPr>
                <w:sz w:val="20"/>
                <w:szCs w:val="20"/>
                <w:color w:val="auto"/>
              </w:rPr>
            </w:pPr>
            <w:r>
              <w:rPr>
                <w:rFonts w:ascii="Arial" w:cs="Arial" w:eastAsia="Arial" w:hAnsi="Arial"/>
                <w:sz w:val="16"/>
                <w:szCs w:val="16"/>
                <w:color w:val="auto"/>
                <w:w w:val="97"/>
              </w:rPr>
              <w:t>Other financial liabilities - current</w:t>
            </w:r>
            <w:r>
              <w:rPr>
                <w:rFonts w:ascii="Arial" w:cs="Arial" w:eastAsia="Arial" w:hAnsi="Arial"/>
                <w:sz w:val="19"/>
                <w:szCs w:val="19"/>
                <w:color w:val="auto"/>
                <w:w w:val="97"/>
                <w:vertAlign w:val="superscript"/>
              </w:rPr>
              <w:t>(2)(4)</w:t>
            </w:r>
          </w:p>
        </w:tc>
        <w:tc>
          <w:tcPr>
            <w:tcW w:w="1620" w:type="dxa"/>
            <w:vAlign w:val="bottom"/>
          </w:tcPr>
          <w:p>
            <w:pPr>
              <w:jc w:val="right"/>
              <w:ind w:right="121"/>
              <w:spacing w:after="0"/>
              <w:rPr>
                <w:sz w:val="20"/>
                <w:szCs w:val="20"/>
                <w:color w:val="auto"/>
              </w:rPr>
            </w:pPr>
            <w:r>
              <w:rPr>
                <w:rFonts w:ascii="Arial" w:cs="Arial" w:eastAsia="Arial" w:hAnsi="Arial"/>
                <w:sz w:val="16"/>
                <w:szCs w:val="16"/>
                <w:color w:val="auto"/>
              </w:rPr>
              <w:t>(463)</w:t>
            </w:r>
          </w:p>
        </w:tc>
        <w:tc>
          <w:tcPr>
            <w:tcW w:w="1800" w:type="dxa"/>
            <w:vAlign w:val="bottom"/>
          </w:tcPr>
          <w:p>
            <w:pPr>
              <w:jc w:val="right"/>
              <w:ind w:right="121"/>
              <w:spacing w:after="0"/>
              <w:rPr>
                <w:sz w:val="20"/>
                <w:szCs w:val="20"/>
                <w:color w:val="auto"/>
              </w:rPr>
            </w:pPr>
            <w:r>
              <w:rPr>
                <w:rFonts w:ascii="Arial" w:cs="Arial" w:eastAsia="Arial" w:hAnsi="Arial"/>
                <w:sz w:val="16"/>
                <w:szCs w:val="16"/>
                <w:color w:val="auto"/>
              </w:rPr>
              <w:t>(44)</w:t>
            </w:r>
          </w:p>
        </w:tc>
        <w:tc>
          <w:tcPr>
            <w:tcW w:w="162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186"/>
        </w:trPr>
        <w:tc>
          <w:tcPr>
            <w:tcW w:w="2580" w:type="dxa"/>
            <w:vAlign w:val="bottom"/>
          </w:tcPr>
          <w:p>
            <w:pPr>
              <w:spacing w:after="0"/>
              <w:rPr>
                <w:sz w:val="20"/>
                <w:szCs w:val="20"/>
                <w:color w:val="auto"/>
              </w:rPr>
            </w:pPr>
            <w:r>
              <w:rPr>
                <w:rFonts w:ascii="Arial" w:cs="Arial" w:eastAsia="Arial" w:hAnsi="Arial"/>
                <w:sz w:val="16"/>
                <w:szCs w:val="16"/>
                <w:color w:val="auto"/>
              </w:rPr>
              <w:t>Long-term indebtedness</w:t>
            </w:r>
          </w:p>
        </w:tc>
        <w:tc>
          <w:tcPr>
            <w:tcW w:w="1620" w:type="dxa"/>
            <w:vAlign w:val="bottom"/>
          </w:tcPr>
          <w:p>
            <w:pPr>
              <w:jc w:val="right"/>
              <w:ind w:right="121"/>
              <w:spacing w:after="0"/>
              <w:rPr>
                <w:sz w:val="20"/>
                <w:szCs w:val="20"/>
                <w:color w:val="auto"/>
              </w:rPr>
            </w:pPr>
            <w:r>
              <w:rPr>
                <w:rFonts w:ascii="Arial" w:cs="Arial" w:eastAsia="Arial" w:hAnsi="Arial"/>
                <w:sz w:val="16"/>
                <w:szCs w:val="16"/>
                <w:color w:val="auto"/>
              </w:rPr>
              <w:t>(2,905)</w:t>
            </w:r>
          </w:p>
        </w:tc>
        <w:tc>
          <w:tcPr>
            <w:tcW w:w="180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(2,905)</w:t>
            </w:r>
          </w:p>
        </w:tc>
        <w:tc>
          <w:tcPr>
            <w:tcW w:w="0" w:type="dxa"/>
            <w:vAlign w:val="bottom"/>
          </w:tcPr>
          <w:p>
            <w:pPr>
              <w:spacing w:after="0"/>
              <w:rPr>
                <w:sz w:val="1"/>
                <w:szCs w:val="1"/>
                <w:color w:val="auto"/>
              </w:rPr>
            </w:pPr>
          </w:p>
        </w:tc>
      </w:tr>
      <w:tr>
        <w:trPr>
          <w:trHeight w:val="185"/>
        </w:trPr>
        <w:tc>
          <w:tcPr>
            <w:tcW w:w="2580" w:type="dxa"/>
            <w:vAlign w:val="bottom"/>
          </w:tcPr>
          <w:p>
            <w:pPr>
              <w:spacing w:after="0"/>
              <w:rPr>
                <w:sz w:val="20"/>
                <w:szCs w:val="20"/>
                <w:color w:val="auto"/>
              </w:rPr>
            </w:pPr>
            <w:r>
              <w:rPr>
                <w:rFonts w:ascii="Arial" w:cs="Arial" w:eastAsia="Arial" w:hAnsi="Arial"/>
                <w:sz w:val="16"/>
                <w:szCs w:val="16"/>
                <w:color w:val="auto"/>
              </w:rPr>
              <w:t>Other financial liabilities -</w:t>
            </w:r>
          </w:p>
        </w:tc>
        <w:tc>
          <w:tcPr>
            <w:tcW w:w="16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580" w:type="dxa"/>
            <w:vAlign w:val="bottom"/>
            <w:tcBorders>
              <w:bottom w:val="single" w:sz="8" w:color="B2B2B2"/>
            </w:tcBorders>
          </w:tcPr>
          <w:p>
            <w:pPr>
              <w:spacing w:after="0" w:line="200" w:lineRule="exact"/>
              <w:rPr>
                <w:sz w:val="20"/>
                <w:szCs w:val="20"/>
                <w:color w:val="auto"/>
              </w:rPr>
            </w:pPr>
            <w:r>
              <w:rPr>
                <w:rFonts w:ascii="Arial" w:cs="Arial" w:eastAsia="Arial" w:hAnsi="Arial"/>
                <w:sz w:val="16"/>
                <w:szCs w:val="16"/>
                <w:color w:val="auto"/>
              </w:rPr>
              <w:t>non-current</w:t>
            </w:r>
            <w:r>
              <w:rPr>
                <w:rFonts w:ascii="Arial" w:cs="Arial" w:eastAsia="Arial" w:hAnsi="Arial"/>
                <w:sz w:val="19"/>
                <w:szCs w:val="19"/>
                <w:color w:val="auto"/>
                <w:vertAlign w:val="superscript"/>
              </w:rPr>
              <w:t>(3)</w:t>
            </w:r>
          </w:p>
        </w:tc>
        <w:tc>
          <w:tcPr>
            <w:tcW w:w="1620" w:type="dxa"/>
            <w:vAlign w:val="bottom"/>
            <w:tcBorders>
              <w:bottom w:val="single" w:sz="8" w:color="B2B2B2"/>
            </w:tcBorders>
          </w:tcPr>
          <w:p>
            <w:pPr>
              <w:jc w:val="right"/>
              <w:ind w:right="121"/>
              <w:spacing w:after="0"/>
              <w:rPr>
                <w:sz w:val="20"/>
                <w:szCs w:val="20"/>
                <w:color w:val="auto"/>
              </w:rPr>
            </w:pPr>
            <w:r>
              <w:rPr>
                <w:rFonts w:ascii="Arial" w:cs="Arial" w:eastAsia="Arial" w:hAnsi="Arial"/>
                <w:sz w:val="16"/>
                <w:szCs w:val="16"/>
                <w:color w:val="auto"/>
              </w:rPr>
              <w:t>(227)</w:t>
            </w:r>
          </w:p>
        </w:tc>
        <w:tc>
          <w:tcPr>
            <w:tcW w:w="1800" w:type="dxa"/>
            <w:vAlign w:val="bottom"/>
            <w:tcBorders>
              <w:bottom w:val="single" w:sz="8" w:color="B2B2B2"/>
            </w:tcBorders>
          </w:tcPr>
          <w:p>
            <w:pPr>
              <w:jc w:val="right"/>
              <w:ind w:right="121"/>
              <w:spacing w:after="0"/>
              <w:rPr>
                <w:sz w:val="20"/>
                <w:szCs w:val="20"/>
                <w:color w:val="auto"/>
              </w:rPr>
            </w:pPr>
            <w:r>
              <w:rPr>
                <w:rFonts w:ascii="Arial" w:cs="Arial" w:eastAsia="Arial" w:hAnsi="Arial"/>
                <w:sz w:val="16"/>
                <w:szCs w:val="16"/>
                <w:color w:val="auto"/>
              </w:rPr>
              <w:t>(10)</w:t>
            </w:r>
          </w:p>
        </w:tc>
        <w:tc>
          <w:tcPr>
            <w:tcW w:w="1620" w:type="dxa"/>
            <w:vAlign w:val="bottom"/>
            <w:tcBorders>
              <w:bottom w:val="single" w:sz="8" w:color="B2B2B2"/>
            </w:tcBorders>
          </w:tcPr>
          <w:p>
            <w:pPr>
              <w:jc w:val="right"/>
              <w:ind w:right="10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B2B2B2"/>
            </w:tcBorders>
          </w:tcPr>
          <w:p>
            <w:pPr>
              <w:jc w:val="right"/>
              <w:ind w:right="14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185"/>
        </w:trPr>
        <w:tc>
          <w:tcPr>
            <w:tcW w:w="258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color w:val="auto"/>
              </w:rPr>
              <w:t>Total</w:t>
            </w:r>
          </w:p>
        </w:tc>
        <w:tc>
          <w:tcPr>
            <w:tcW w:w="1620" w:type="dxa"/>
            <w:vAlign w:val="bottom"/>
            <w:tcBorders>
              <w:bottom w:val="single" w:sz="8" w:color="D64000"/>
            </w:tcBorders>
          </w:tcPr>
          <w:p>
            <w:pPr>
              <w:jc w:val="right"/>
              <w:ind w:right="121"/>
              <w:spacing w:after="0" w:line="179" w:lineRule="exact"/>
              <w:rPr>
                <w:sz w:val="20"/>
                <w:szCs w:val="20"/>
                <w:color w:val="auto"/>
              </w:rPr>
            </w:pPr>
            <w:r>
              <w:rPr>
                <w:rFonts w:ascii="Arial" w:cs="Arial" w:eastAsia="Arial" w:hAnsi="Arial"/>
                <w:sz w:val="16"/>
                <w:szCs w:val="16"/>
                <w:color w:val="auto"/>
              </w:rPr>
              <w:t>(3,406)</w:t>
            </w:r>
          </w:p>
        </w:tc>
        <w:tc>
          <w:tcPr>
            <w:tcW w:w="1800" w:type="dxa"/>
            <w:vAlign w:val="bottom"/>
            <w:tcBorders>
              <w:bottom w:val="single" w:sz="8" w:color="D64000"/>
            </w:tcBorders>
          </w:tcPr>
          <w:p>
            <w:pPr>
              <w:jc w:val="right"/>
              <w:ind w:right="121"/>
              <w:spacing w:after="0" w:line="179" w:lineRule="exact"/>
              <w:rPr>
                <w:sz w:val="20"/>
                <w:szCs w:val="20"/>
                <w:color w:val="auto"/>
              </w:rPr>
            </w:pPr>
            <w:r>
              <w:rPr>
                <w:rFonts w:ascii="Arial" w:cs="Arial" w:eastAsia="Arial" w:hAnsi="Arial"/>
                <w:sz w:val="16"/>
                <w:szCs w:val="16"/>
                <w:color w:val="auto"/>
              </w:rPr>
              <w:t>1,173</w:t>
            </w:r>
          </w:p>
        </w:tc>
        <w:tc>
          <w:tcPr>
            <w:tcW w:w="1620" w:type="dxa"/>
            <w:vAlign w:val="bottom"/>
            <w:tcBorders>
              <w:bottom w:val="single" w:sz="8" w:color="D64000"/>
            </w:tcBorders>
          </w:tcPr>
          <w:p>
            <w:pPr>
              <w:jc w:val="right"/>
              <w:ind w:right="101"/>
              <w:spacing w:after="0" w:line="179" w:lineRule="exact"/>
              <w:rPr>
                <w:sz w:val="20"/>
                <w:szCs w:val="20"/>
                <w:color w:val="auto"/>
              </w:rPr>
            </w:pPr>
            <w:r>
              <w:rPr>
                <w:rFonts w:ascii="Arial" w:cs="Arial" w:eastAsia="Arial" w:hAnsi="Arial"/>
                <w:sz w:val="16"/>
                <w:szCs w:val="16"/>
                <w:color w:val="auto"/>
              </w:rPr>
              <w:t>98</w:t>
            </w:r>
          </w:p>
        </w:tc>
        <w:tc>
          <w:tcPr>
            <w:tcW w:w="1320" w:type="dxa"/>
            <w:vAlign w:val="bottom"/>
            <w:tcBorders>
              <w:bottom w:val="single" w:sz="8" w:color="D64000"/>
            </w:tcBorders>
          </w:tcPr>
          <w:p>
            <w:pPr>
              <w:jc w:val="right"/>
              <w:ind w:right="141"/>
              <w:spacing w:after="0" w:line="179" w:lineRule="exact"/>
              <w:rPr>
                <w:sz w:val="20"/>
                <w:szCs w:val="20"/>
                <w:color w:val="auto"/>
              </w:rPr>
            </w:pPr>
            <w:r>
              <w:rPr>
                <w:rFonts w:ascii="Arial" w:cs="Arial" w:eastAsia="Arial" w:hAnsi="Arial"/>
                <w:sz w:val="16"/>
                <w:szCs w:val="16"/>
                <w:color w:val="auto"/>
              </w:rPr>
              <w:t>65</w:t>
            </w:r>
          </w:p>
        </w:tc>
        <w:tc>
          <w:tcPr>
            <w:tcW w:w="78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(2,070)</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640" w:right="180" w:hanging="422"/>
        <w:spacing w:after="0" w:line="247" w:lineRule="auto"/>
        <w:tabs>
          <w:tab w:leader="none" w:pos="6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Derivatives are entered into with specific objectives for each transaction, and are linked to specific assets, liabilities, firm commitments or highly probable forecasted transactions.</w:t>
      </w:r>
    </w:p>
    <w:p>
      <w:pPr>
        <w:ind w:left="640" w:hanging="422"/>
        <w:spacing w:after="0" w:line="237" w:lineRule="auto"/>
        <w:tabs>
          <w:tab w:leader="none" w:pos="6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Includes lease liabilities of $58 million (2023 - $56 million).</w:t>
      </w:r>
    </w:p>
    <w:p>
      <w:pPr>
        <w:ind w:left="640" w:hanging="422"/>
        <w:spacing w:after="0" w:line="237" w:lineRule="auto"/>
        <w:tabs>
          <w:tab w:leader="none" w:pos="6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Includes lease liabilities of $198 million (2023- $209 million).</w:t>
      </w:r>
    </w:p>
    <w:p>
      <w:pPr>
        <w:ind w:left="640" w:right="360" w:hanging="422"/>
        <w:spacing w:after="0" w:line="253" w:lineRule="auto"/>
        <w:tabs>
          <w:tab w:leader="none" w:pos="6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Includes a commitment to repurchase up to $400 million of shares related to the Company’s pre-defined plan with its broker to repurchase the Company’s shares during its internal trading blackout period. See note 25.</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Fair Value</w:t>
      </w:r>
    </w:p>
    <w:p>
      <w:pPr>
        <w:spacing w:after="0" w:line="6" w:lineRule="exact"/>
        <w:rPr>
          <w:sz w:val="20"/>
          <w:szCs w:val="20"/>
          <w:color w:val="auto"/>
        </w:rPr>
      </w:pPr>
    </w:p>
    <w:p>
      <w:pPr>
        <w:ind w:left="220" w:right="380"/>
        <w:spacing w:after="0" w:line="270" w:lineRule="auto"/>
        <w:rPr>
          <w:sz w:val="20"/>
          <w:szCs w:val="20"/>
          <w:color w:val="auto"/>
        </w:rPr>
      </w:pPr>
      <w:r>
        <w:rPr>
          <w:rFonts w:ascii="Arial" w:cs="Arial" w:eastAsia="Arial" w:hAnsi="Arial"/>
          <w:sz w:val="16"/>
          <w:szCs w:val="16"/>
          <w:color w:val="auto"/>
        </w:rPr>
        <w:t>The fair values of cash and cash equivalents, trade and other receivables, trade payables and accruals approximate their carrying amounts because of the short-term maturity of these instruments. The fair value of long-term debt and related derivative instruments is set forth below.</w:t>
      </w:r>
    </w:p>
    <w:p>
      <w:pPr>
        <w:spacing w:after="0" w:line="4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Debt and Related Derivative Instruments</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Carrying Amounts</w:t>
      </w:r>
    </w:p>
    <w:p>
      <w:pPr>
        <w:spacing w:after="0" w:line="6" w:lineRule="exact"/>
        <w:rPr>
          <w:sz w:val="20"/>
          <w:szCs w:val="20"/>
          <w:color w:val="auto"/>
        </w:rPr>
      </w:pPr>
    </w:p>
    <w:p>
      <w:pPr>
        <w:ind w:left="220" w:right="100"/>
        <w:spacing w:after="0" w:line="256" w:lineRule="auto"/>
        <w:rPr>
          <w:sz w:val="20"/>
          <w:szCs w:val="20"/>
          <w:color w:val="auto"/>
        </w:rPr>
      </w:pPr>
      <w:r>
        <w:rPr>
          <w:rFonts w:ascii="Arial" w:cs="Arial" w:eastAsia="Arial" w:hAnsi="Arial"/>
          <w:sz w:val="16"/>
          <w:szCs w:val="16"/>
          <w:color w:val="auto"/>
        </w:rPr>
        <w:t>Amounts recorded in the consolidated statement of financial position are referred to as “carrying amounts”. The carrying amounts of primary debt are reflected in “Current indebtedness” or “Long-term indebtedness” and the carrying amounts of derivative instruments are included in “Other financial assets” and “Other financial liabilities”, current or non-current as appropriate, in the consolidated statement of financial position.</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Fair Value</w:t>
      </w:r>
    </w:p>
    <w:p>
      <w:pPr>
        <w:spacing w:after="0" w:line="6" w:lineRule="exact"/>
        <w:rPr>
          <w:sz w:val="20"/>
          <w:szCs w:val="20"/>
          <w:color w:val="auto"/>
        </w:rPr>
      </w:pPr>
    </w:p>
    <w:p>
      <w:pPr>
        <w:ind w:left="220" w:right="140"/>
        <w:spacing w:after="0" w:line="236" w:lineRule="auto"/>
        <w:rPr>
          <w:sz w:val="20"/>
          <w:szCs w:val="20"/>
          <w:color w:val="auto"/>
        </w:rPr>
      </w:pPr>
      <w:r>
        <w:rPr>
          <w:rFonts w:ascii="Arial" w:cs="Arial" w:eastAsia="Arial" w:hAnsi="Arial"/>
          <w:sz w:val="17"/>
          <w:szCs w:val="17"/>
          <w:color w:val="auto"/>
        </w:rPr>
        <w:t>The fair value of debt is estimated based on either quoted market prices for similar issues or current rates offered to the Company for debt of the same maturity. The fair value of interest rate swaps is estimated based upon discounted cash flows using applicable current market rates and considering non-performance risk.</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is a summary of debt and related derivative instruments that hedge the cash flows of debt:</w:t>
      </w:r>
    </w:p>
    <w:p>
      <w:pPr>
        <w:spacing w:after="0" w:line="251" w:lineRule="exact"/>
        <w:rPr>
          <w:sz w:val="20"/>
          <w:szCs w:val="20"/>
          <w:color w:val="auto"/>
        </w:rPr>
      </w:pPr>
    </w:p>
    <w:tbl>
      <w:tblPr>
        <w:tblLayout w:type="fixed"/>
        <w:tblInd w:w="220" w:type="dxa"/>
        <w:tblCellMar>
          <w:top w:w="0" w:type="dxa"/>
          <w:left w:w="0" w:type="dxa"/>
          <w:bottom w:w="0" w:type="dxa"/>
          <w:right w:w="0" w:type="dxa"/>
        </w:tblCellMar>
      </w:tblPr>
      <w:tr>
        <w:trPr>
          <w:trHeight w:val="218"/>
        </w:trPr>
        <w:tc>
          <w:tcPr>
            <w:tcW w:w="3620" w:type="dxa"/>
            <w:vAlign w:val="bottom"/>
            <w:tcBorders>
              <w:bottom w:val="single" w:sz="8" w:color="E3F3EE"/>
            </w:tcBorders>
            <w:shd w:val="clear" w:color="auto" w:fill="E3F3EE"/>
          </w:tcPr>
          <w:p>
            <w:pPr>
              <w:spacing w:after="0"/>
              <w:rPr>
                <w:sz w:val="19"/>
                <w:szCs w:val="19"/>
                <w:color w:val="auto"/>
              </w:rPr>
            </w:pPr>
          </w:p>
        </w:tc>
        <w:tc>
          <w:tcPr>
            <w:tcW w:w="460" w:type="dxa"/>
            <w:vAlign w:val="bottom"/>
            <w:tcBorders>
              <w:bottom w:val="single" w:sz="8" w:color="D64000"/>
            </w:tcBorders>
            <w:shd w:val="clear" w:color="auto" w:fill="1F473D"/>
          </w:tcPr>
          <w:p>
            <w:pPr>
              <w:spacing w:after="0"/>
              <w:rPr>
                <w:sz w:val="19"/>
                <w:szCs w:val="19"/>
                <w:color w:val="auto"/>
              </w:rPr>
            </w:pPr>
          </w:p>
        </w:tc>
        <w:tc>
          <w:tcPr>
            <w:tcW w:w="2300" w:type="dxa"/>
            <w:vAlign w:val="bottom"/>
            <w:tcBorders>
              <w:bottom w:val="single" w:sz="8" w:color="D64000"/>
            </w:tcBorders>
            <w:gridSpan w:val="2"/>
            <w:shd w:val="clear" w:color="auto" w:fill="1F473D"/>
          </w:tcPr>
          <w:p>
            <w:pPr>
              <w:ind w:left="540"/>
              <w:spacing w:after="0"/>
              <w:rPr>
                <w:sz w:val="20"/>
                <w:szCs w:val="20"/>
                <w:color w:val="auto"/>
              </w:rPr>
            </w:pPr>
            <w:r>
              <w:rPr>
                <w:rFonts w:ascii="Arial" w:cs="Arial" w:eastAsia="Arial" w:hAnsi="Arial"/>
                <w:sz w:val="16"/>
                <w:szCs w:val="16"/>
                <w:b w:val="1"/>
                <w:bCs w:val="1"/>
                <w:color w:val="FFFFFF"/>
              </w:rPr>
              <w:t>Carrying Amount</w:t>
            </w:r>
          </w:p>
        </w:tc>
        <w:tc>
          <w:tcPr>
            <w:tcW w:w="300" w:type="dxa"/>
            <w:vAlign w:val="bottom"/>
            <w:tcBorders>
              <w:bottom w:val="single" w:sz="8" w:color="D64000"/>
            </w:tcBorders>
            <w:shd w:val="clear" w:color="auto" w:fill="1F473D"/>
          </w:tcPr>
          <w:p>
            <w:pPr>
              <w:spacing w:after="0"/>
              <w:rPr>
                <w:sz w:val="19"/>
                <w:szCs w:val="19"/>
                <w:color w:val="auto"/>
              </w:rPr>
            </w:pPr>
          </w:p>
        </w:tc>
        <w:tc>
          <w:tcPr>
            <w:tcW w:w="420" w:type="dxa"/>
            <w:vAlign w:val="bottom"/>
            <w:tcBorders>
              <w:bottom w:val="single" w:sz="8" w:color="D64000"/>
            </w:tcBorders>
            <w:shd w:val="clear" w:color="auto" w:fill="1F473D"/>
          </w:tcPr>
          <w:p>
            <w:pPr>
              <w:spacing w:after="0"/>
              <w:rPr>
                <w:sz w:val="19"/>
                <w:szCs w:val="19"/>
                <w:color w:val="auto"/>
              </w:rPr>
            </w:pPr>
          </w:p>
        </w:tc>
        <w:tc>
          <w:tcPr>
            <w:tcW w:w="2620" w:type="dxa"/>
            <w:vAlign w:val="bottom"/>
            <w:tcBorders>
              <w:bottom w:val="single" w:sz="8" w:color="D64000"/>
            </w:tcBorders>
            <w:gridSpan w:val="2"/>
            <w:shd w:val="clear" w:color="auto" w:fill="1F473D"/>
          </w:tcPr>
          <w:p>
            <w:pPr>
              <w:jc w:val="right"/>
              <w:ind w:right="941"/>
              <w:spacing w:after="0"/>
              <w:rPr>
                <w:sz w:val="20"/>
                <w:szCs w:val="20"/>
                <w:color w:val="auto"/>
              </w:rPr>
            </w:pPr>
            <w:r>
              <w:rPr>
                <w:rFonts w:ascii="Arial" w:cs="Arial" w:eastAsia="Arial" w:hAnsi="Arial"/>
                <w:sz w:val="16"/>
                <w:szCs w:val="16"/>
                <w:b w:val="1"/>
                <w:bCs w:val="1"/>
                <w:color w:val="FFFFFF"/>
              </w:rPr>
              <w:t>Fair Value</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5"/>
        </w:trPr>
        <w:tc>
          <w:tcPr>
            <w:tcW w:w="3620" w:type="dxa"/>
            <w:vAlign w:val="bottom"/>
            <w:shd w:val="clear" w:color="auto" w:fill="E3F3EE"/>
          </w:tcPr>
          <w:p>
            <w:pPr>
              <w:spacing w:after="0"/>
              <w:rPr>
                <w:sz w:val="16"/>
                <w:szCs w:val="16"/>
                <w:color w:val="auto"/>
              </w:rPr>
            </w:pPr>
          </w:p>
        </w:tc>
        <w:tc>
          <w:tcPr>
            <w:tcW w:w="460" w:type="dxa"/>
            <w:vAlign w:val="bottom"/>
            <w:shd w:val="clear" w:color="auto" w:fill="1F473D"/>
          </w:tcPr>
          <w:p>
            <w:pPr>
              <w:ind w:left="320"/>
              <w:spacing w:after="0"/>
              <w:rPr>
                <w:sz w:val="20"/>
                <w:szCs w:val="20"/>
                <w:color w:val="auto"/>
              </w:rPr>
            </w:pPr>
            <w:r>
              <w:rPr>
                <w:rFonts w:ascii="Arial" w:cs="Arial" w:eastAsia="Arial" w:hAnsi="Arial"/>
                <w:sz w:val="16"/>
                <w:szCs w:val="16"/>
                <w:b w:val="1"/>
                <w:bCs w:val="1"/>
                <w:color w:val="FFFFFF"/>
                <w:w w:val="74"/>
              </w:rPr>
              <w:t> </w:t>
            </w:r>
          </w:p>
        </w:tc>
        <w:tc>
          <w:tcPr>
            <w:tcW w:w="1240" w:type="dxa"/>
            <w:vAlign w:val="bottom"/>
            <w:shd w:val="clear" w:color="auto" w:fill="1F473D"/>
          </w:tcPr>
          <w:p>
            <w:pPr>
              <w:jc w:val="right"/>
              <w:ind w:right="141"/>
              <w:spacing w:after="0"/>
              <w:rPr>
                <w:sz w:val="20"/>
                <w:szCs w:val="20"/>
                <w:color w:val="auto"/>
              </w:rPr>
            </w:pPr>
            <w:r>
              <w:rPr>
                <w:rFonts w:ascii="Arial" w:cs="Arial" w:eastAsia="Arial" w:hAnsi="Arial"/>
                <w:sz w:val="16"/>
                <w:szCs w:val="16"/>
                <w:b w:val="1"/>
                <w:bCs w:val="1"/>
                <w:color w:val="FFFFFF"/>
              </w:rPr>
              <w:t>Primary Debt</w:t>
            </w:r>
          </w:p>
        </w:tc>
        <w:tc>
          <w:tcPr>
            <w:tcW w:w="1060" w:type="dxa"/>
            <w:vAlign w:val="bottom"/>
            <w:shd w:val="clear" w:color="auto" w:fill="1F473D"/>
          </w:tcPr>
          <w:p>
            <w:pPr>
              <w:ind w:left="280"/>
              <w:spacing w:after="0"/>
              <w:rPr>
                <w:sz w:val="20"/>
                <w:szCs w:val="20"/>
                <w:color w:val="auto"/>
              </w:rPr>
            </w:pPr>
            <w:r>
              <w:rPr>
                <w:rFonts w:ascii="Arial" w:cs="Arial" w:eastAsia="Arial" w:hAnsi="Arial"/>
                <w:sz w:val="16"/>
                <w:szCs w:val="16"/>
                <w:b w:val="1"/>
                <w:bCs w:val="1"/>
                <w:color w:val="FFFFFF"/>
                <w:w w:val="99"/>
              </w:rPr>
              <w:t>Derivative</w:t>
            </w:r>
          </w:p>
        </w:tc>
        <w:tc>
          <w:tcPr>
            <w:tcW w:w="300" w:type="dxa"/>
            <w:vAlign w:val="bottom"/>
            <w:shd w:val="clear" w:color="auto" w:fill="1F473D"/>
          </w:tcPr>
          <w:p>
            <w:pPr>
              <w:spacing w:after="0"/>
              <w:rPr>
                <w:sz w:val="16"/>
                <w:szCs w:val="16"/>
                <w:color w:val="auto"/>
              </w:rPr>
            </w:pPr>
          </w:p>
        </w:tc>
        <w:tc>
          <w:tcPr>
            <w:tcW w:w="420" w:type="dxa"/>
            <w:vAlign w:val="bottom"/>
            <w:shd w:val="clear" w:color="auto" w:fill="1F473D"/>
          </w:tcPr>
          <w:p>
            <w:pPr>
              <w:ind w:left="320"/>
              <w:spacing w:after="0"/>
              <w:rPr>
                <w:sz w:val="20"/>
                <w:szCs w:val="20"/>
                <w:color w:val="auto"/>
              </w:rPr>
            </w:pPr>
            <w:r>
              <w:rPr>
                <w:rFonts w:ascii="Arial" w:cs="Arial" w:eastAsia="Arial" w:hAnsi="Arial"/>
                <w:sz w:val="11"/>
                <w:szCs w:val="11"/>
                <w:b w:val="1"/>
                <w:bCs w:val="1"/>
                <w:color w:val="FFFFFF"/>
                <w:w w:val="72"/>
              </w:rPr>
              <w:t> </w:t>
            </w:r>
          </w:p>
        </w:tc>
        <w:tc>
          <w:tcPr>
            <w:tcW w:w="1260" w:type="dxa"/>
            <w:vAlign w:val="bottom"/>
            <w:shd w:val="clear" w:color="auto" w:fill="1F473D"/>
          </w:tcPr>
          <w:p>
            <w:pPr>
              <w:jc w:val="right"/>
              <w:ind w:right="141"/>
              <w:spacing w:after="0"/>
              <w:rPr>
                <w:sz w:val="20"/>
                <w:szCs w:val="20"/>
                <w:color w:val="auto"/>
              </w:rPr>
            </w:pPr>
            <w:r>
              <w:rPr>
                <w:rFonts w:ascii="Arial" w:cs="Arial" w:eastAsia="Arial" w:hAnsi="Arial"/>
                <w:sz w:val="16"/>
                <w:szCs w:val="16"/>
                <w:b w:val="1"/>
                <w:bCs w:val="1"/>
                <w:color w:val="FFFFFF"/>
              </w:rPr>
              <w:t>Primary Debt</w:t>
            </w:r>
          </w:p>
        </w:tc>
        <w:tc>
          <w:tcPr>
            <w:tcW w:w="1360" w:type="dxa"/>
            <w:vAlign w:val="bottom"/>
            <w:shd w:val="clear" w:color="auto" w:fill="1F473D"/>
          </w:tcPr>
          <w:p>
            <w:pPr>
              <w:jc w:val="right"/>
              <w:ind w:right="241"/>
              <w:spacing w:after="0"/>
              <w:rPr>
                <w:sz w:val="20"/>
                <w:szCs w:val="20"/>
                <w:color w:val="auto"/>
              </w:rPr>
            </w:pPr>
            <w:r>
              <w:rPr>
                <w:rFonts w:ascii="Arial" w:cs="Arial" w:eastAsia="Arial" w:hAnsi="Arial"/>
                <w:sz w:val="16"/>
                <w:szCs w:val="16"/>
                <w:b w:val="1"/>
                <w:bCs w:val="1"/>
                <w:color w:val="FFFFFF"/>
              </w:rPr>
              <w:t>Derivative</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3"/>
        </w:trPr>
        <w:tc>
          <w:tcPr>
            <w:tcW w:w="3620" w:type="dxa"/>
            <w:vAlign w:val="bottom"/>
            <w:tcBorders>
              <w:bottom w:val="single" w:sz="8" w:color="D64000"/>
            </w:tcBorders>
            <w:shd w:val="clear" w:color="auto" w:fill="E3F3EE"/>
          </w:tcPr>
          <w:p>
            <w:pPr>
              <w:spacing w:after="0"/>
              <w:rPr>
                <w:sz w:val="20"/>
                <w:szCs w:val="20"/>
                <w:color w:val="auto"/>
              </w:rPr>
            </w:pPr>
            <w:r>
              <w:rPr>
                <w:rFonts w:ascii="Arial" w:cs="Arial" w:eastAsia="Arial" w:hAnsi="Arial"/>
                <w:sz w:val="16"/>
                <w:szCs w:val="16"/>
                <w:b w:val="1"/>
                <w:bCs w:val="1"/>
                <w:color w:val="auto"/>
              </w:rPr>
              <w:t> December 31, 2024</w:t>
            </w:r>
          </w:p>
        </w:tc>
        <w:tc>
          <w:tcPr>
            <w:tcW w:w="460" w:type="dxa"/>
            <w:vAlign w:val="bottom"/>
            <w:tcBorders>
              <w:bottom w:val="single" w:sz="8" w:color="D64000"/>
            </w:tcBorders>
            <w:shd w:val="clear" w:color="auto" w:fill="1F473D"/>
          </w:tcPr>
          <w:p>
            <w:pPr>
              <w:ind w:left="360"/>
              <w:spacing w:after="0"/>
              <w:rPr>
                <w:sz w:val="20"/>
                <w:szCs w:val="20"/>
                <w:color w:val="auto"/>
              </w:rPr>
            </w:pPr>
            <w:r>
              <w:rPr>
                <w:rFonts w:ascii="Arial" w:cs="Arial" w:eastAsia="Arial" w:hAnsi="Arial"/>
                <w:sz w:val="11"/>
                <w:szCs w:val="11"/>
                <w:b w:val="1"/>
                <w:bCs w:val="1"/>
                <w:color w:val="FFFFFF"/>
                <w:w w:val="72"/>
              </w:rPr>
              <w:t> </w:t>
            </w:r>
          </w:p>
        </w:tc>
        <w:tc>
          <w:tcPr>
            <w:tcW w:w="1240" w:type="dxa"/>
            <w:vAlign w:val="bottom"/>
            <w:tcBorders>
              <w:bottom w:val="single" w:sz="8" w:color="D64000"/>
            </w:tcBorders>
            <w:shd w:val="clear" w:color="auto" w:fill="1F473D"/>
          </w:tcPr>
          <w:p>
            <w:pPr>
              <w:jc w:val="right"/>
              <w:ind w:right="141"/>
              <w:spacing w:after="0"/>
              <w:rPr>
                <w:sz w:val="20"/>
                <w:szCs w:val="20"/>
                <w:color w:val="auto"/>
              </w:rPr>
            </w:pPr>
            <w:r>
              <w:rPr>
                <w:rFonts w:ascii="Arial" w:cs="Arial" w:eastAsia="Arial" w:hAnsi="Arial"/>
                <w:sz w:val="16"/>
                <w:szCs w:val="16"/>
                <w:b w:val="1"/>
                <w:bCs w:val="1"/>
                <w:color w:val="FFFFFF"/>
                <w:w w:val="92"/>
              </w:rPr>
              <w:t>Instruments </w:t>
            </w:r>
          </w:p>
        </w:tc>
        <w:tc>
          <w:tcPr>
            <w:tcW w:w="1780" w:type="dxa"/>
            <w:vAlign w:val="bottom"/>
            <w:tcBorders>
              <w:bottom w:val="single" w:sz="8" w:color="D64000"/>
            </w:tcBorders>
            <w:gridSpan w:val="3"/>
            <w:shd w:val="clear" w:color="auto" w:fill="1F473D"/>
          </w:tcPr>
          <w:p>
            <w:pPr>
              <w:ind w:left="40"/>
              <w:spacing w:after="0"/>
              <w:rPr>
                <w:sz w:val="20"/>
                <w:szCs w:val="20"/>
                <w:color w:val="auto"/>
              </w:rPr>
            </w:pPr>
            <w:r>
              <w:rPr>
                <w:rFonts w:ascii="Arial" w:cs="Arial" w:eastAsia="Arial" w:hAnsi="Arial"/>
                <w:sz w:val="16"/>
                <w:szCs w:val="16"/>
                <w:b w:val="1"/>
                <w:bCs w:val="1"/>
                <w:color w:val="FFFFFF"/>
              </w:rPr>
              <w:t xml:space="preserve">   Instruments </w:t>
            </w:r>
          </w:p>
        </w:tc>
        <w:tc>
          <w:tcPr>
            <w:tcW w:w="1260" w:type="dxa"/>
            <w:vAlign w:val="bottom"/>
            <w:tcBorders>
              <w:bottom w:val="single" w:sz="8" w:color="D64000"/>
            </w:tcBorders>
            <w:shd w:val="clear" w:color="auto" w:fill="1F473D"/>
          </w:tcPr>
          <w:p>
            <w:pPr>
              <w:jc w:val="right"/>
              <w:ind w:right="181"/>
              <w:spacing w:after="0"/>
              <w:rPr>
                <w:sz w:val="20"/>
                <w:szCs w:val="20"/>
                <w:color w:val="auto"/>
              </w:rPr>
            </w:pPr>
            <w:r>
              <w:rPr>
                <w:rFonts w:ascii="Arial" w:cs="Arial" w:eastAsia="Arial" w:hAnsi="Arial"/>
                <w:sz w:val="16"/>
                <w:szCs w:val="16"/>
                <w:b w:val="1"/>
                <w:bCs w:val="1"/>
                <w:color w:val="FFFFFF"/>
              </w:rPr>
              <w:t>Instruments</w:t>
            </w:r>
          </w:p>
        </w:tc>
        <w:tc>
          <w:tcPr>
            <w:tcW w:w="1360" w:type="dxa"/>
            <w:vAlign w:val="bottom"/>
            <w:tcBorders>
              <w:bottom w:val="single" w:sz="8" w:color="D64000"/>
            </w:tcBorders>
            <w:shd w:val="clear" w:color="auto" w:fill="1F473D"/>
          </w:tcPr>
          <w:p>
            <w:pPr>
              <w:jc w:val="right"/>
              <w:ind w:right="121"/>
              <w:spacing w:after="0"/>
              <w:rPr>
                <w:sz w:val="20"/>
                <w:szCs w:val="20"/>
                <w:color w:val="auto"/>
              </w:rPr>
            </w:pPr>
            <w:r>
              <w:rPr>
                <w:rFonts w:ascii="Arial" w:cs="Arial" w:eastAsia="Arial" w:hAnsi="Arial"/>
                <w:sz w:val="16"/>
                <w:szCs w:val="16"/>
                <w:b w:val="1"/>
                <w:bCs w:val="1"/>
                <w:color w:val="FFFFFF"/>
                <w:w w:val="97"/>
              </w:rPr>
              <w:t xml:space="preserve">   Instruments </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1"/>
        </w:trPr>
        <w:tc>
          <w:tcPr>
            <w:tcW w:w="3620" w:type="dxa"/>
            <w:vAlign w:val="bottom"/>
          </w:tcPr>
          <w:p>
            <w:pPr>
              <w:spacing w:after="0" w:line="171" w:lineRule="exact"/>
              <w:rPr>
                <w:sz w:val="20"/>
                <w:szCs w:val="20"/>
                <w:color w:val="auto"/>
              </w:rPr>
            </w:pPr>
            <w:r>
              <w:rPr>
                <w:rFonts w:ascii="Arial" w:cs="Arial" w:eastAsia="Arial" w:hAnsi="Arial"/>
                <w:sz w:val="16"/>
                <w:szCs w:val="16"/>
                <w:color w:val="auto"/>
              </w:rPr>
              <w:t> C$1,400 2.239% Notes due 2025</w:t>
            </w:r>
          </w:p>
        </w:tc>
        <w:tc>
          <w:tcPr>
            <w:tcW w:w="460" w:type="dxa"/>
            <w:vAlign w:val="bottom"/>
          </w:tcPr>
          <w:p>
            <w:pPr>
              <w:spacing w:after="0"/>
              <w:rPr>
                <w:sz w:val="14"/>
                <w:szCs w:val="14"/>
                <w:color w:val="auto"/>
              </w:rPr>
            </w:pPr>
          </w:p>
        </w:tc>
        <w:tc>
          <w:tcPr>
            <w:tcW w:w="124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973</w:t>
            </w:r>
          </w:p>
        </w:tc>
        <w:tc>
          <w:tcPr>
            <w:tcW w:w="1060" w:type="dxa"/>
            <w:vAlign w:val="bottom"/>
          </w:tcPr>
          <w:p>
            <w:pPr>
              <w:spacing w:after="0"/>
              <w:rPr>
                <w:sz w:val="14"/>
                <w:szCs w:val="14"/>
                <w:color w:val="auto"/>
              </w:rPr>
            </w:pPr>
          </w:p>
        </w:tc>
        <w:tc>
          <w:tcPr>
            <w:tcW w:w="300" w:type="dxa"/>
            <w:vAlign w:val="bottom"/>
          </w:tcPr>
          <w:p>
            <w:pPr>
              <w:jc w:val="right"/>
              <w:ind w:right="1"/>
              <w:spacing w:after="0" w:line="171" w:lineRule="exact"/>
              <w:rPr>
                <w:sz w:val="20"/>
                <w:szCs w:val="20"/>
                <w:color w:val="auto"/>
              </w:rPr>
            </w:pPr>
            <w:r>
              <w:rPr>
                <w:rFonts w:ascii="Arial" w:cs="Arial" w:eastAsia="Arial" w:hAnsi="Arial"/>
                <w:sz w:val="16"/>
                <w:szCs w:val="16"/>
                <w:b w:val="1"/>
                <w:bCs w:val="1"/>
                <w:color w:val="auto"/>
              </w:rPr>
              <w:t>21</w:t>
            </w:r>
          </w:p>
        </w:tc>
        <w:tc>
          <w:tcPr>
            <w:tcW w:w="420" w:type="dxa"/>
            <w:vAlign w:val="bottom"/>
          </w:tcPr>
          <w:p>
            <w:pPr>
              <w:spacing w:after="0"/>
              <w:rPr>
                <w:sz w:val="14"/>
                <w:szCs w:val="14"/>
                <w:color w:val="auto"/>
              </w:rPr>
            </w:pPr>
          </w:p>
        </w:tc>
        <w:tc>
          <w:tcPr>
            <w:tcW w:w="126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968</w:t>
            </w:r>
          </w:p>
        </w:tc>
        <w:tc>
          <w:tcPr>
            <w:tcW w:w="1360" w:type="dxa"/>
            <w:vAlign w:val="bottom"/>
          </w:tcPr>
          <w:p>
            <w:pPr>
              <w:jc w:val="right"/>
              <w:ind w:right="1"/>
              <w:spacing w:after="0" w:line="171" w:lineRule="exact"/>
              <w:rPr>
                <w:sz w:val="20"/>
                <w:szCs w:val="20"/>
                <w:color w:val="auto"/>
              </w:rPr>
            </w:pPr>
            <w:r>
              <w:rPr>
                <w:rFonts w:ascii="Arial" w:cs="Arial" w:eastAsia="Arial" w:hAnsi="Arial"/>
                <w:sz w:val="16"/>
                <w:szCs w:val="16"/>
                <w:b w:val="1"/>
                <w:bCs w:val="1"/>
                <w:color w:val="auto"/>
              </w:rPr>
              <w:t>21</w:t>
            </w: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3620" w:type="dxa"/>
            <w:vAlign w:val="bottom"/>
          </w:tcPr>
          <w:p>
            <w:pPr>
              <w:spacing w:after="0"/>
              <w:rPr>
                <w:sz w:val="20"/>
                <w:szCs w:val="20"/>
                <w:color w:val="auto"/>
              </w:rPr>
            </w:pPr>
            <w:r>
              <w:rPr>
                <w:rFonts w:ascii="Arial" w:cs="Arial" w:eastAsia="Arial" w:hAnsi="Arial"/>
                <w:sz w:val="16"/>
                <w:szCs w:val="16"/>
                <w:color w:val="auto"/>
              </w:rPr>
              <w:t> $500 3.35% Notes due 2026</w:t>
            </w:r>
          </w:p>
        </w:tc>
        <w:tc>
          <w:tcPr>
            <w:tcW w:w="4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499</w:t>
            </w:r>
          </w:p>
        </w:tc>
        <w:tc>
          <w:tcPr>
            <w:tcW w:w="1060" w:type="dxa"/>
            <w:vAlign w:val="bottom"/>
          </w:tcPr>
          <w:p>
            <w:pPr>
              <w:spacing w:after="0"/>
              <w:rPr>
                <w:sz w:val="16"/>
                <w:szCs w:val="16"/>
                <w:color w:val="auto"/>
              </w:rPr>
            </w:pPr>
          </w:p>
        </w:tc>
        <w:tc>
          <w:tcPr>
            <w:tcW w:w="3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491</w:t>
            </w:r>
          </w:p>
        </w:tc>
        <w:tc>
          <w:tcPr>
            <w:tcW w:w="136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620" w:type="dxa"/>
            <w:vAlign w:val="bottom"/>
          </w:tcPr>
          <w:p>
            <w:pPr>
              <w:spacing w:after="0"/>
              <w:rPr>
                <w:sz w:val="20"/>
                <w:szCs w:val="20"/>
                <w:color w:val="auto"/>
              </w:rPr>
            </w:pPr>
            <w:r>
              <w:rPr>
                <w:rFonts w:ascii="Arial" w:cs="Arial" w:eastAsia="Arial" w:hAnsi="Arial"/>
                <w:sz w:val="16"/>
                <w:szCs w:val="16"/>
                <w:color w:val="auto"/>
              </w:rPr>
              <w:t> $500 5.85% Notes due 2040</w:t>
            </w:r>
          </w:p>
        </w:tc>
        <w:tc>
          <w:tcPr>
            <w:tcW w:w="4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493</w:t>
            </w:r>
          </w:p>
        </w:tc>
        <w:tc>
          <w:tcPr>
            <w:tcW w:w="1060" w:type="dxa"/>
            <w:vAlign w:val="bottom"/>
          </w:tcPr>
          <w:p>
            <w:pPr>
              <w:spacing w:after="0"/>
              <w:rPr>
                <w:sz w:val="16"/>
                <w:szCs w:val="16"/>
                <w:color w:val="auto"/>
              </w:rPr>
            </w:pPr>
          </w:p>
        </w:tc>
        <w:tc>
          <w:tcPr>
            <w:tcW w:w="3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507</w:t>
            </w:r>
          </w:p>
        </w:tc>
        <w:tc>
          <w:tcPr>
            <w:tcW w:w="136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620" w:type="dxa"/>
            <w:vAlign w:val="bottom"/>
          </w:tcPr>
          <w:p>
            <w:pPr>
              <w:spacing w:after="0" w:line="185" w:lineRule="exact"/>
              <w:rPr>
                <w:sz w:val="20"/>
                <w:szCs w:val="20"/>
                <w:color w:val="auto"/>
              </w:rPr>
            </w:pPr>
            <w:r>
              <w:rPr>
                <w:rFonts w:ascii="Arial" w:cs="Arial" w:eastAsia="Arial" w:hAnsi="Arial"/>
                <w:sz w:val="16"/>
                <w:szCs w:val="16"/>
                <w:color w:val="auto"/>
              </w:rPr>
              <w:t> $119 4.50% Notes due 2043</w:t>
            </w:r>
            <w:r>
              <w:rPr>
                <w:rFonts w:ascii="Arial" w:cs="Arial" w:eastAsia="Arial" w:hAnsi="Arial"/>
                <w:sz w:val="19"/>
                <w:szCs w:val="19"/>
                <w:color w:val="auto"/>
                <w:vertAlign w:val="superscript"/>
              </w:rPr>
              <w:t>(1)</w:t>
            </w:r>
          </w:p>
        </w:tc>
        <w:tc>
          <w:tcPr>
            <w:tcW w:w="4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116</w:t>
            </w:r>
          </w:p>
        </w:tc>
        <w:tc>
          <w:tcPr>
            <w:tcW w:w="1060" w:type="dxa"/>
            <w:vAlign w:val="bottom"/>
          </w:tcPr>
          <w:p>
            <w:pPr>
              <w:spacing w:after="0"/>
              <w:rPr>
                <w:sz w:val="16"/>
                <w:szCs w:val="16"/>
                <w:color w:val="auto"/>
              </w:rPr>
            </w:pPr>
          </w:p>
        </w:tc>
        <w:tc>
          <w:tcPr>
            <w:tcW w:w="3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94</w:t>
            </w:r>
          </w:p>
        </w:tc>
        <w:tc>
          <w:tcPr>
            <w:tcW w:w="136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620" w:type="dxa"/>
            <w:vAlign w:val="bottom"/>
          </w:tcPr>
          <w:p>
            <w:pPr>
              <w:spacing w:after="0"/>
              <w:rPr>
                <w:sz w:val="20"/>
                <w:szCs w:val="20"/>
                <w:color w:val="auto"/>
              </w:rPr>
            </w:pPr>
            <w:r>
              <w:rPr>
                <w:rFonts w:ascii="Arial" w:cs="Arial" w:eastAsia="Arial" w:hAnsi="Arial"/>
                <w:sz w:val="16"/>
                <w:szCs w:val="16"/>
                <w:color w:val="auto"/>
              </w:rPr>
              <w:t> $350 5.65% Notes due 2043</w:t>
            </w:r>
          </w:p>
        </w:tc>
        <w:tc>
          <w:tcPr>
            <w:tcW w:w="4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342</w:t>
            </w:r>
          </w:p>
        </w:tc>
        <w:tc>
          <w:tcPr>
            <w:tcW w:w="1060" w:type="dxa"/>
            <w:vAlign w:val="bottom"/>
          </w:tcPr>
          <w:p>
            <w:pPr>
              <w:spacing w:after="0"/>
              <w:rPr>
                <w:sz w:val="16"/>
                <w:szCs w:val="16"/>
                <w:color w:val="auto"/>
              </w:rPr>
            </w:pPr>
          </w:p>
        </w:tc>
        <w:tc>
          <w:tcPr>
            <w:tcW w:w="3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338</w:t>
            </w:r>
          </w:p>
        </w:tc>
        <w:tc>
          <w:tcPr>
            <w:tcW w:w="136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362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$400 5.50% Debentures due 2035</w:t>
            </w:r>
          </w:p>
        </w:tc>
        <w:tc>
          <w:tcPr>
            <w:tcW w:w="460" w:type="dxa"/>
            <w:vAlign w:val="bottom"/>
            <w:tcBorders>
              <w:bottom w:val="single" w:sz="8" w:color="B2B2B2"/>
            </w:tcBorders>
          </w:tcPr>
          <w:p>
            <w:pPr>
              <w:spacing w:after="0"/>
              <w:rPr>
                <w:sz w:val="17"/>
                <w:szCs w:val="17"/>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397</w:t>
            </w:r>
          </w:p>
        </w:tc>
        <w:tc>
          <w:tcPr>
            <w:tcW w:w="1060" w:type="dxa"/>
            <w:vAlign w:val="bottom"/>
            <w:tcBorders>
              <w:bottom w:val="single" w:sz="8" w:color="B2B2B2"/>
            </w:tcBorders>
          </w:tcPr>
          <w:p>
            <w:pPr>
              <w:spacing w:after="0"/>
              <w:rPr>
                <w:sz w:val="17"/>
                <w:szCs w:val="17"/>
                <w:color w:val="auto"/>
              </w:rPr>
            </w:pPr>
          </w:p>
        </w:tc>
        <w:tc>
          <w:tcPr>
            <w:tcW w:w="30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B2B2B2"/>
            </w:tcBorders>
          </w:tcPr>
          <w:p>
            <w:pPr>
              <w:spacing w:after="0"/>
              <w:rPr>
                <w:sz w:val="17"/>
                <w:szCs w:val="17"/>
                <w:color w:val="auto"/>
              </w:rPr>
            </w:pPr>
          </w:p>
        </w:tc>
        <w:tc>
          <w:tcPr>
            <w:tcW w:w="12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401</w:t>
            </w:r>
          </w:p>
        </w:tc>
        <w:tc>
          <w:tcPr>
            <w:tcW w:w="136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9"/>
        </w:trPr>
        <w:tc>
          <w:tcPr>
            <w:tcW w:w="362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Total</w:t>
            </w:r>
          </w:p>
        </w:tc>
        <w:tc>
          <w:tcPr>
            <w:tcW w:w="460" w:type="dxa"/>
            <w:vAlign w:val="bottom"/>
            <w:tcBorders>
              <w:bottom w:val="single" w:sz="8" w:color="B2B2B2"/>
            </w:tcBorders>
          </w:tcPr>
          <w:p>
            <w:pPr>
              <w:spacing w:after="0"/>
              <w:rPr>
                <w:sz w:val="15"/>
                <w:szCs w:val="15"/>
                <w:color w:val="auto"/>
              </w:rPr>
            </w:pPr>
          </w:p>
        </w:tc>
        <w:tc>
          <w:tcPr>
            <w:tcW w:w="124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b w:val="1"/>
                <w:bCs w:val="1"/>
                <w:color w:val="auto"/>
              </w:rPr>
              <w:t>2,820</w:t>
            </w:r>
          </w:p>
        </w:tc>
        <w:tc>
          <w:tcPr>
            <w:tcW w:w="1060" w:type="dxa"/>
            <w:vAlign w:val="bottom"/>
            <w:tcBorders>
              <w:bottom w:val="single" w:sz="8" w:color="B2B2B2"/>
            </w:tcBorders>
          </w:tcPr>
          <w:p>
            <w:pPr>
              <w:spacing w:after="0"/>
              <w:rPr>
                <w:sz w:val="15"/>
                <w:szCs w:val="15"/>
                <w:color w:val="auto"/>
              </w:rPr>
            </w:pPr>
          </w:p>
        </w:tc>
        <w:tc>
          <w:tcPr>
            <w:tcW w:w="300" w:type="dxa"/>
            <w:vAlign w:val="bottom"/>
            <w:tcBorders>
              <w:bottom w:val="single" w:sz="8" w:color="B2B2B2"/>
            </w:tcBorders>
          </w:tcPr>
          <w:p>
            <w:pPr>
              <w:jc w:val="right"/>
              <w:ind w:right="1"/>
              <w:spacing w:after="0" w:line="179" w:lineRule="exact"/>
              <w:rPr>
                <w:sz w:val="20"/>
                <w:szCs w:val="20"/>
                <w:color w:val="auto"/>
              </w:rPr>
            </w:pPr>
            <w:r>
              <w:rPr>
                <w:rFonts w:ascii="Arial" w:cs="Arial" w:eastAsia="Arial" w:hAnsi="Arial"/>
                <w:sz w:val="16"/>
                <w:szCs w:val="16"/>
                <w:b w:val="1"/>
                <w:bCs w:val="1"/>
                <w:color w:val="auto"/>
              </w:rPr>
              <w:t>21</w:t>
            </w:r>
          </w:p>
        </w:tc>
        <w:tc>
          <w:tcPr>
            <w:tcW w:w="420" w:type="dxa"/>
            <w:vAlign w:val="bottom"/>
            <w:tcBorders>
              <w:bottom w:val="single" w:sz="8" w:color="B2B2B2"/>
            </w:tcBorders>
          </w:tcPr>
          <w:p>
            <w:pPr>
              <w:spacing w:after="0"/>
              <w:rPr>
                <w:sz w:val="15"/>
                <w:szCs w:val="15"/>
                <w:color w:val="auto"/>
              </w:rPr>
            </w:pPr>
          </w:p>
        </w:tc>
        <w:tc>
          <w:tcPr>
            <w:tcW w:w="126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b w:val="1"/>
                <w:bCs w:val="1"/>
                <w:color w:val="auto"/>
              </w:rPr>
              <w:t>2,799</w:t>
            </w:r>
          </w:p>
        </w:tc>
        <w:tc>
          <w:tcPr>
            <w:tcW w:w="1360" w:type="dxa"/>
            <w:vAlign w:val="bottom"/>
            <w:tcBorders>
              <w:bottom w:val="single" w:sz="8" w:color="B2B2B2"/>
            </w:tcBorders>
          </w:tcPr>
          <w:p>
            <w:pPr>
              <w:jc w:val="right"/>
              <w:ind w:right="1"/>
              <w:spacing w:after="0" w:line="179" w:lineRule="exact"/>
              <w:rPr>
                <w:sz w:val="20"/>
                <w:szCs w:val="20"/>
                <w:color w:val="auto"/>
              </w:rPr>
            </w:pPr>
            <w:r>
              <w:rPr>
                <w:rFonts w:ascii="Arial" w:cs="Arial" w:eastAsia="Arial" w:hAnsi="Arial"/>
                <w:sz w:val="16"/>
                <w:szCs w:val="16"/>
                <w:b w:val="1"/>
                <w:bCs w:val="1"/>
                <w:color w:val="auto"/>
              </w:rPr>
              <w:t>21</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5"/>
        </w:trPr>
        <w:tc>
          <w:tcPr>
            <w:tcW w:w="3620" w:type="dxa"/>
            <w:vAlign w:val="bottom"/>
          </w:tcPr>
          <w:p>
            <w:pPr>
              <w:spacing w:after="0" w:line="165" w:lineRule="exact"/>
              <w:rPr>
                <w:sz w:val="20"/>
                <w:szCs w:val="20"/>
                <w:color w:val="auto"/>
              </w:rPr>
            </w:pPr>
            <w:r>
              <w:rPr>
                <w:rFonts w:ascii="Arial" w:cs="Arial" w:eastAsia="Arial" w:hAnsi="Arial"/>
                <w:sz w:val="16"/>
                <w:szCs w:val="16"/>
                <w:color w:val="auto"/>
              </w:rPr>
              <w:t> Current portion</w:t>
            </w:r>
          </w:p>
        </w:tc>
        <w:tc>
          <w:tcPr>
            <w:tcW w:w="460" w:type="dxa"/>
            <w:vAlign w:val="bottom"/>
          </w:tcPr>
          <w:p>
            <w:pPr>
              <w:spacing w:after="0"/>
              <w:rPr>
                <w:sz w:val="14"/>
                <w:szCs w:val="14"/>
                <w:color w:val="auto"/>
              </w:rPr>
            </w:pPr>
          </w:p>
        </w:tc>
        <w:tc>
          <w:tcPr>
            <w:tcW w:w="124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973</w:t>
            </w:r>
          </w:p>
        </w:tc>
        <w:tc>
          <w:tcPr>
            <w:tcW w:w="1060" w:type="dxa"/>
            <w:vAlign w:val="bottom"/>
          </w:tcPr>
          <w:p>
            <w:pPr>
              <w:spacing w:after="0"/>
              <w:rPr>
                <w:sz w:val="14"/>
                <w:szCs w:val="14"/>
                <w:color w:val="auto"/>
              </w:rPr>
            </w:pPr>
          </w:p>
        </w:tc>
        <w:tc>
          <w:tcPr>
            <w:tcW w:w="300" w:type="dxa"/>
            <w:vAlign w:val="bottom"/>
          </w:tcPr>
          <w:p>
            <w:pPr>
              <w:jc w:val="right"/>
              <w:ind w:right="1"/>
              <w:spacing w:after="0" w:line="165" w:lineRule="exact"/>
              <w:rPr>
                <w:sz w:val="20"/>
                <w:szCs w:val="20"/>
                <w:color w:val="auto"/>
              </w:rPr>
            </w:pPr>
            <w:r>
              <w:rPr>
                <w:rFonts w:ascii="Arial" w:cs="Arial" w:eastAsia="Arial" w:hAnsi="Arial"/>
                <w:sz w:val="16"/>
                <w:szCs w:val="16"/>
                <w:b w:val="1"/>
                <w:bCs w:val="1"/>
                <w:color w:val="auto"/>
              </w:rPr>
              <w:t>21</w:t>
            </w: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3620" w:type="dxa"/>
            <w:vAlign w:val="bottom"/>
            <w:tcBorders>
              <w:bottom w:val="single" w:sz="8" w:color="D64000"/>
            </w:tcBorders>
          </w:tcPr>
          <w:p>
            <w:pPr>
              <w:spacing w:after="0"/>
              <w:rPr>
                <w:sz w:val="20"/>
                <w:szCs w:val="20"/>
                <w:color w:val="auto"/>
              </w:rPr>
            </w:pPr>
            <w:r>
              <w:rPr>
                <w:rFonts w:ascii="Arial" w:cs="Arial" w:eastAsia="Arial" w:hAnsi="Arial"/>
                <w:sz w:val="16"/>
                <w:szCs w:val="16"/>
                <w:color w:val="auto"/>
              </w:rPr>
              <w:t> Long-term portion</w:t>
            </w:r>
          </w:p>
        </w:tc>
        <w:tc>
          <w:tcPr>
            <w:tcW w:w="460" w:type="dxa"/>
            <w:vAlign w:val="bottom"/>
            <w:tcBorders>
              <w:bottom w:val="single" w:sz="8" w:color="D64000"/>
            </w:tcBorders>
          </w:tcPr>
          <w:p>
            <w:pPr>
              <w:spacing w:after="0"/>
              <w:rPr>
                <w:sz w:val="17"/>
                <w:szCs w:val="17"/>
                <w:color w:val="auto"/>
              </w:rPr>
            </w:pPr>
          </w:p>
        </w:tc>
        <w:tc>
          <w:tcPr>
            <w:tcW w:w="1240" w:type="dxa"/>
            <w:vAlign w:val="bottom"/>
            <w:tcBorders>
              <w:bottom w:val="single" w:sz="8" w:color="D64000"/>
            </w:tcBorders>
          </w:tcPr>
          <w:p>
            <w:pPr>
              <w:jc w:val="right"/>
              <w:spacing w:after="0"/>
              <w:rPr>
                <w:sz w:val="20"/>
                <w:szCs w:val="20"/>
                <w:color w:val="auto"/>
              </w:rPr>
            </w:pPr>
            <w:r>
              <w:rPr>
                <w:rFonts w:ascii="Arial" w:cs="Arial" w:eastAsia="Arial" w:hAnsi="Arial"/>
                <w:sz w:val="16"/>
                <w:szCs w:val="16"/>
                <w:b w:val="1"/>
                <w:bCs w:val="1"/>
                <w:color w:val="auto"/>
              </w:rPr>
              <w:t>1,847</w:t>
            </w:r>
          </w:p>
        </w:tc>
        <w:tc>
          <w:tcPr>
            <w:tcW w:w="1060" w:type="dxa"/>
            <w:vAlign w:val="bottom"/>
            <w:tcBorders>
              <w:bottom w:val="single" w:sz="8" w:color="D64000"/>
            </w:tcBorders>
          </w:tcPr>
          <w:p>
            <w:pPr>
              <w:spacing w:after="0"/>
              <w:rPr>
                <w:sz w:val="17"/>
                <w:szCs w:val="17"/>
                <w:color w:val="auto"/>
              </w:rPr>
            </w:pPr>
          </w:p>
        </w:tc>
        <w:tc>
          <w:tcPr>
            <w:tcW w:w="300" w:type="dxa"/>
            <w:vAlign w:val="bottom"/>
            <w:tcBorders>
              <w:bottom w:val="single" w:sz="8" w:color="D64000"/>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9"/>
        </w:trPr>
        <w:tc>
          <w:tcPr>
            <w:tcW w:w="3620" w:type="dxa"/>
            <w:vAlign w:val="bottom"/>
            <w:tcBorders>
              <w:bottom w:val="single" w:sz="8" w:color="B2B2B2"/>
            </w:tcBorders>
          </w:tcPr>
          <w:p>
            <w:pPr>
              <w:spacing w:after="0"/>
              <w:rPr>
                <w:sz w:val="13"/>
                <w:szCs w:val="13"/>
                <w:color w:val="auto"/>
              </w:rPr>
            </w:pPr>
          </w:p>
        </w:tc>
        <w:tc>
          <w:tcPr>
            <w:tcW w:w="460" w:type="dxa"/>
            <w:vAlign w:val="bottom"/>
            <w:tcBorders>
              <w:bottom w:val="single" w:sz="8" w:color="B2B2B2"/>
            </w:tcBorders>
          </w:tcPr>
          <w:p>
            <w:pPr>
              <w:spacing w:after="0"/>
              <w:rPr>
                <w:sz w:val="13"/>
                <w:szCs w:val="13"/>
                <w:color w:val="auto"/>
              </w:rPr>
            </w:pPr>
          </w:p>
        </w:tc>
        <w:tc>
          <w:tcPr>
            <w:tcW w:w="1240" w:type="dxa"/>
            <w:vAlign w:val="bottom"/>
            <w:tcBorders>
              <w:bottom w:val="single" w:sz="8" w:color="B2B2B2"/>
            </w:tcBorders>
          </w:tcPr>
          <w:p>
            <w:pPr>
              <w:spacing w:after="0"/>
              <w:rPr>
                <w:sz w:val="13"/>
                <w:szCs w:val="13"/>
                <w:color w:val="auto"/>
              </w:rPr>
            </w:pPr>
          </w:p>
        </w:tc>
        <w:tc>
          <w:tcPr>
            <w:tcW w:w="1060" w:type="dxa"/>
            <w:vAlign w:val="bottom"/>
            <w:tcBorders>
              <w:bottom w:val="single" w:sz="8" w:color="B2B2B2"/>
            </w:tcBorders>
          </w:tcPr>
          <w:p>
            <w:pPr>
              <w:spacing w:after="0"/>
              <w:rPr>
                <w:sz w:val="13"/>
                <w:szCs w:val="13"/>
                <w:color w:val="auto"/>
              </w:rPr>
            </w:pPr>
          </w:p>
        </w:tc>
        <w:tc>
          <w:tcPr>
            <w:tcW w:w="300" w:type="dxa"/>
            <w:vAlign w:val="bottom"/>
            <w:tcBorders>
              <w:bottom w:val="single" w:sz="8" w:color="B2B2B2"/>
            </w:tcBorders>
          </w:tcPr>
          <w:p>
            <w:pPr>
              <w:spacing w:after="0"/>
              <w:rPr>
                <w:sz w:val="13"/>
                <w:szCs w:val="13"/>
                <w:color w:val="auto"/>
              </w:rPr>
            </w:pPr>
          </w:p>
        </w:tc>
        <w:tc>
          <w:tcPr>
            <w:tcW w:w="420" w:type="dxa"/>
            <w:vAlign w:val="bottom"/>
            <w:tcBorders>
              <w:bottom w:val="single" w:sz="8" w:color="B2B2B2"/>
            </w:tcBorders>
          </w:tcPr>
          <w:p>
            <w:pPr>
              <w:spacing w:after="0"/>
              <w:rPr>
                <w:sz w:val="13"/>
                <w:szCs w:val="13"/>
                <w:color w:val="auto"/>
              </w:rPr>
            </w:pPr>
          </w:p>
        </w:tc>
        <w:tc>
          <w:tcPr>
            <w:tcW w:w="1260" w:type="dxa"/>
            <w:vAlign w:val="bottom"/>
            <w:tcBorders>
              <w:bottom w:val="single" w:sz="8" w:color="B2B2B2"/>
            </w:tcBorders>
          </w:tcPr>
          <w:p>
            <w:pPr>
              <w:spacing w:after="0"/>
              <w:rPr>
                <w:sz w:val="13"/>
                <w:szCs w:val="13"/>
                <w:color w:val="auto"/>
              </w:rPr>
            </w:pPr>
          </w:p>
        </w:tc>
        <w:tc>
          <w:tcPr>
            <w:tcW w:w="1360" w:type="dxa"/>
            <w:vAlign w:val="bottom"/>
            <w:tcBorders>
              <w:bottom w:val="single" w:sz="8" w:color="B2B2B2"/>
            </w:tcBorders>
          </w:tcPr>
          <w:p>
            <w:pPr>
              <w:spacing w:after="0"/>
              <w:rPr>
                <w:sz w:val="13"/>
                <w:szCs w:val="13"/>
                <w:color w:val="auto"/>
              </w:rPr>
            </w:pPr>
          </w:p>
        </w:tc>
        <w:tc>
          <w:tcPr>
            <w:tcW w:w="1080" w:type="dxa"/>
            <w:vAlign w:val="bottom"/>
            <w:tcBorders>
              <w:bottom w:val="single" w:sz="8" w:color="B2B2B2"/>
            </w:tcBorders>
          </w:tcPr>
          <w:p>
            <w:pPr>
              <w:spacing w:after="0"/>
              <w:rPr>
                <w:sz w:val="13"/>
                <w:szCs w:val="13"/>
                <w:color w:val="auto"/>
              </w:rPr>
            </w:pPr>
          </w:p>
        </w:tc>
        <w:tc>
          <w:tcPr>
            <w:tcW w:w="20" w:type="dxa"/>
            <w:vAlign w:val="bottom"/>
          </w:tcPr>
          <w:p>
            <w:pPr>
              <w:spacing w:after="0"/>
              <w:rPr>
                <w:sz w:val="13"/>
                <w:szCs w:val="13"/>
                <w:color w:val="auto"/>
              </w:rPr>
            </w:pPr>
          </w:p>
        </w:tc>
      </w:tr>
      <w:tr>
        <w:trPr>
          <w:trHeight w:val="241"/>
        </w:trPr>
        <w:tc>
          <w:tcPr>
            <w:tcW w:w="3620" w:type="dxa"/>
            <w:vAlign w:val="bottom"/>
          </w:tcPr>
          <w:p>
            <w:pPr>
              <w:spacing w:after="0"/>
              <w:rPr>
                <w:sz w:val="20"/>
                <w:szCs w:val="20"/>
                <w:color w:val="auto"/>
              </w:rPr>
            </w:pPr>
            <w:r>
              <w:rPr>
                <w:rFonts w:ascii="Arial" w:cs="Arial" w:eastAsia="Arial" w:hAnsi="Arial"/>
                <w:sz w:val="17"/>
                <w:szCs w:val="17"/>
                <w:b w:val="1"/>
                <w:bCs w:val="1"/>
                <w:color w:val="auto"/>
              </w:rPr>
              <w:t>Thomson Reuters Annual Report 2024</w:t>
            </w: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00" w:type="dxa"/>
            <w:vAlign w:val="bottom"/>
            <w:gridSpan w:val="2"/>
          </w:tcPr>
          <w:p>
            <w:pPr>
              <w:ind w:left="380"/>
              <w:spacing w:after="0"/>
              <w:rPr>
                <w:sz w:val="20"/>
                <w:szCs w:val="20"/>
                <w:color w:val="auto"/>
              </w:rPr>
            </w:pPr>
            <w:r>
              <w:rPr>
                <w:rFonts w:ascii="Arial" w:cs="Arial" w:eastAsia="Arial" w:hAnsi="Arial"/>
                <w:sz w:val="17"/>
                <w:szCs w:val="17"/>
                <w:color w:val="auto"/>
                <w:w w:val="96"/>
              </w:rPr>
              <w:t>Page 115</w:t>
            </w:r>
          </w:p>
        </w:tc>
      </w:tr>
    </w:tbl>
    <w:p>
      <w:pPr>
        <w:sectPr>
          <w:pgSz w:w="11900" w:h="16838" w:orient="portrait"/>
          <w:cols w:equalWidth="0" w:num="1">
            <w:col w:w="11040"/>
          </w:cols>
          <w:pgMar w:left="320" w:top="477" w:right="5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30" w:lineRule="exact"/>
        <w:rPr>
          <w:sz w:val="20"/>
          <w:szCs w:val="20"/>
          <w:color w:val="auto"/>
        </w:rPr>
      </w:pPr>
    </w:p>
    <w:tbl>
      <w:tblPr>
        <w:tblLayout w:type="fixed"/>
        <w:tblInd w:w="220" w:type="dxa"/>
        <w:tblCellMar>
          <w:top w:w="0" w:type="dxa"/>
          <w:left w:w="0" w:type="dxa"/>
          <w:bottom w:w="0" w:type="dxa"/>
          <w:right w:w="0" w:type="dxa"/>
        </w:tblCellMar>
      </w:tblPr>
      <w:tr>
        <w:trPr>
          <w:trHeight w:val="218"/>
        </w:trPr>
        <w:tc>
          <w:tcPr>
            <w:tcW w:w="3620" w:type="dxa"/>
            <w:vAlign w:val="bottom"/>
            <w:tcBorders>
              <w:bottom w:val="single" w:sz="8" w:color="E3F3EE"/>
            </w:tcBorders>
            <w:shd w:val="clear" w:color="auto" w:fill="E3F3EE"/>
          </w:tcPr>
          <w:p>
            <w:pPr>
              <w:spacing w:after="0"/>
              <w:rPr>
                <w:sz w:val="19"/>
                <w:szCs w:val="19"/>
                <w:color w:val="auto"/>
              </w:rPr>
            </w:pPr>
          </w:p>
        </w:tc>
        <w:tc>
          <w:tcPr>
            <w:tcW w:w="460" w:type="dxa"/>
            <w:vAlign w:val="bottom"/>
            <w:tcBorders>
              <w:bottom w:val="single" w:sz="8" w:color="D64000"/>
            </w:tcBorders>
            <w:shd w:val="clear" w:color="auto" w:fill="1F473D"/>
          </w:tcPr>
          <w:p>
            <w:pPr>
              <w:spacing w:after="0"/>
              <w:rPr>
                <w:sz w:val="19"/>
                <w:szCs w:val="19"/>
                <w:color w:val="auto"/>
              </w:rPr>
            </w:pPr>
          </w:p>
        </w:tc>
        <w:tc>
          <w:tcPr>
            <w:tcW w:w="2600" w:type="dxa"/>
            <w:vAlign w:val="bottom"/>
            <w:tcBorders>
              <w:bottom w:val="single" w:sz="8" w:color="D64000"/>
            </w:tcBorders>
            <w:gridSpan w:val="2"/>
            <w:shd w:val="clear" w:color="auto" w:fill="1F473D"/>
          </w:tcPr>
          <w:p>
            <w:pPr>
              <w:jc w:val="right"/>
              <w:ind w:right="661"/>
              <w:spacing w:after="0"/>
              <w:rPr>
                <w:sz w:val="20"/>
                <w:szCs w:val="20"/>
                <w:color w:val="auto"/>
              </w:rPr>
            </w:pPr>
            <w:r>
              <w:rPr>
                <w:rFonts w:ascii="Arial" w:cs="Arial" w:eastAsia="Arial" w:hAnsi="Arial"/>
                <w:sz w:val="16"/>
                <w:szCs w:val="16"/>
                <w:b w:val="1"/>
                <w:bCs w:val="1"/>
                <w:color w:val="FFFFFF"/>
              </w:rPr>
              <w:t>Carrying Amount</w:t>
            </w:r>
          </w:p>
        </w:tc>
        <w:tc>
          <w:tcPr>
            <w:tcW w:w="3040" w:type="dxa"/>
            <w:vAlign w:val="bottom"/>
            <w:tcBorders>
              <w:bottom w:val="single" w:sz="8" w:color="D64000"/>
            </w:tcBorders>
            <w:gridSpan w:val="2"/>
            <w:shd w:val="clear" w:color="auto" w:fill="1F473D"/>
          </w:tcPr>
          <w:p>
            <w:pPr>
              <w:jc w:val="right"/>
              <w:ind w:right="941"/>
              <w:spacing w:after="0"/>
              <w:rPr>
                <w:sz w:val="20"/>
                <w:szCs w:val="20"/>
                <w:color w:val="auto"/>
              </w:rPr>
            </w:pPr>
            <w:r>
              <w:rPr>
                <w:rFonts w:ascii="Arial" w:cs="Arial" w:eastAsia="Arial" w:hAnsi="Arial"/>
                <w:sz w:val="16"/>
                <w:szCs w:val="16"/>
                <w:b w:val="1"/>
                <w:bCs w:val="1"/>
                <w:color w:val="FFFFFF"/>
              </w:rPr>
              <w:t>Fair Value</w:t>
            </w:r>
          </w:p>
        </w:tc>
      </w:tr>
      <w:tr>
        <w:trPr>
          <w:trHeight w:val="185"/>
        </w:trPr>
        <w:tc>
          <w:tcPr>
            <w:tcW w:w="3620" w:type="dxa"/>
            <w:vAlign w:val="bottom"/>
            <w:shd w:val="clear" w:color="auto" w:fill="E3F3EE"/>
          </w:tcPr>
          <w:p>
            <w:pPr>
              <w:spacing w:after="0"/>
              <w:rPr>
                <w:sz w:val="16"/>
                <w:szCs w:val="16"/>
                <w:color w:val="auto"/>
              </w:rPr>
            </w:pPr>
          </w:p>
        </w:tc>
        <w:tc>
          <w:tcPr>
            <w:tcW w:w="460" w:type="dxa"/>
            <w:vAlign w:val="bottom"/>
            <w:shd w:val="clear" w:color="auto" w:fill="1F473D"/>
          </w:tcPr>
          <w:p>
            <w:pPr>
              <w:spacing w:after="0"/>
              <w:rPr>
                <w:sz w:val="16"/>
                <w:szCs w:val="16"/>
                <w:color w:val="auto"/>
              </w:rPr>
            </w:pPr>
          </w:p>
        </w:tc>
        <w:tc>
          <w:tcPr>
            <w:tcW w:w="1240" w:type="dxa"/>
            <w:vAlign w:val="bottom"/>
            <w:shd w:val="clear" w:color="auto" w:fill="1F473D"/>
          </w:tcPr>
          <w:p>
            <w:pPr>
              <w:spacing w:after="0"/>
              <w:rPr>
                <w:sz w:val="16"/>
                <w:szCs w:val="16"/>
                <w:color w:val="auto"/>
              </w:rPr>
            </w:pPr>
          </w:p>
        </w:tc>
        <w:tc>
          <w:tcPr>
            <w:tcW w:w="1360" w:type="dxa"/>
            <w:vAlign w:val="bottom"/>
            <w:shd w:val="clear" w:color="auto" w:fill="1F473D"/>
          </w:tcPr>
          <w:p>
            <w:pPr>
              <w:jc w:val="right"/>
              <w:ind w:right="221"/>
              <w:spacing w:after="0"/>
              <w:rPr>
                <w:sz w:val="20"/>
                <w:szCs w:val="20"/>
                <w:color w:val="auto"/>
              </w:rPr>
            </w:pPr>
            <w:r>
              <w:rPr>
                <w:rFonts w:ascii="Arial" w:cs="Arial" w:eastAsia="Arial" w:hAnsi="Arial"/>
                <w:sz w:val="16"/>
                <w:szCs w:val="16"/>
                <w:b w:val="1"/>
                <w:bCs w:val="1"/>
                <w:color w:val="FFFFFF"/>
              </w:rPr>
              <w:t>Derivative</w:t>
            </w:r>
          </w:p>
        </w:tc>
        <w:tc>
          <w:tcPr>
            <w:tcW w:w="1680" w:type="dxa"/>
            <w:vAlign w:val="bottom"/>
            <w:shd w:val="clear" w:color="auto" w:fill="1F473D"/>
          </w:tcPr>
          <w:p>
            <w:pPr>
              <w:spacing w:after="0"/>
              <w:rPr>
                <w:sz w:val="16"/>
                <w:szCs w:val="16"/>
                <w:color w:val="auto"/>
              </w:rPr>
            </w:pPr>
          </w:p>
        </w:tc>
        <w:tc>
          <w:tcPr>
            <w:tcW w:w="1360" w:type="dxa"/>
            <w:vAlign w:val="bottom"/>
            <w:shd w:val="clear" w:color="auto" w:fill="1F473D"/>
          </w:tcPr>
          <w:p>
            <w:pPr>
              <w:jc w:val="right"/>
              <w:ind w:right="241"/>
              <w:spacing w:after="0"/>
              <w:rPr>
                <w:sz w:val="20"/>
                <w:szCs w:val="20"/>
                <w:color w:val="auto"/>
              </w:rPr>
            </w:pPr>
            <w:r>
              <w:rPr>
                <w:rFonts w:ascii="Arial" w:cs="Arial" w:eastAsia="Arial" w:hAnsi="Arial"/>
                <w:sz w:val="16"/>
                <w:szCs w:val="16"/>
                <w:b w:val="1"/>
                <w:bCs w:val="1"/>
                <w:color w:val="FFFFFF"/>
              </w:rPr>
              <w:t>Derivative</w:t>
            </w:r>
          </w:p>
        </w:tc>
      </w:tr>
      <w:tr>
        <w:trPr>
          <w:trHeight w:val="185"/>
        </w:trPr>
        <w:tc>
          <w:tcPr>
            <w:tcW w:w="3620" w:type="dxa"/>
            <w:vAlign w:val="bottom"/>
            <w:shd w:val="clear" w:color="auto" w:fill="E3F3EE"/>
          </w:tcPr>
          <w:p>
            <w:pPr>
              <w:spacing w:after="0"/>
              <w:rPr>
                <w:sz w:val="16"/>
                <w:szCs w:val="16"/>
                <w:color w:val="auto"/>
              </w:rPr>
            </w:pPr>
          </w:p>
        </w:tc>
        <w:tc>
          <w:tcPr>
            <w:tcW w:w="460" w:type="dxa"/>
            <w:vAlign w:val="bottom"/>
            <w:shd w:val="clear" w:color="auto" w:fill="1F473D"/>
          </w:tcPr>
          <w:p>
            <w:pPr>
              <w:ind w:left="320"/>
              <w:spacing w:after="0"/>
              <w:rPr>
                <w:sz w:val="20"/>
                <w:szCs w:val="20"/>
                <w:color w:val="auto"/>
              </w:rPr>
            </w:pPr>
            <w:r>
              <w:rPr>
                <w:rFonts w:ascii="Arial" w:cs="Arial" w:eastAsia="Arial" w:hAnsi="Arial"/>
                <w:sz w:val="16"/>
                <w:szCs w:val="16"/>
                <w:b w:val="1"/>
                <w:bCs w:val="1"/>
                <w:color w:val="FFFFFF"/>
                <w:w w:val="74"/>
              </w:rPr>
              <w:t> </w:t>
            </w:r>
          </w:p>
        </w:tc>
        <w:tc>
          <w:tcPr>
            <w:tcW w:w="1240" w:type="dxa"/>
            <w:vAlign w:val="bottom"/>
            <w:shd w:val="clear" w:color="auto" w:fill="1F473D"/>
          </w:tcPr>
          <w:p>
            <w:pPr>
              <w:jc w:val="right"/>
              <w:ind w:right="141"/>
              <w:spacing w:after="0"/>
              <w:rPr>
                <w:sz w:val="20"/>
                <w:szCs w:val="20"/>
                <w:color w:val="auto"/>
              </w:rPr>
            </w:pPr>
            <w:r>
              <w:rPr>
                <w:rFonts w:ascii="Arial" w:cs="Arial" w:eastAsia="Arial" w:hAnsi="Arial"/>
                <w:sz w:val="16"/>
                <w:szCs w:val="16"/>
                <w:b w:val="1"/>
                <w:bCs w:val="1"/>
                <w:color w:val="FFFFFF"/>
              </w:rPr>
              <w:t>Primary Debt</w:t>
            </w:r>
          </w:p>
        </w:tc>
        <w:tc>
          <w:tcPr>
            <w:tcW w:w="1360" w:type="dxa"/>
            <w:vAlign w:val="bottom"/>
            <w:shd w:val="clear" w:color="auto" w:fill="1F473D"/>
          </w:tcPr>
          <w:p>
            <w:pPr>
              <w:jc w:val="right"/>
              <w:ind w:right="141"/>
              <w:spacing w:after="0"/>
              <w:rPr>
                <w:sz w:val="20"/>
                <w:szCs w:val="20"/>
                <w:color w:val="auto"/>
              </w:rPr>
            </w:pPr>
            <w:r>
              <w:rPr>
                <w:rFonts w:ascii="Arial" w:cs="Arial" w:eastAsia="Arial" w:hAnsi="Arial"/>
                <w:sz w:val="16"/>
                <w:szCs w:val="16"/>
                <w:b w:val="1"/>
                <w:bCs w:val="1"/>
                <w:color w:val="FFFFFF"/>
                <w:w w:val="96"/>
              </w:rPr>
              <w:t>   Instruments</w:t>
            </w:r>
          </w:p>
        </w:tc>
        <w:tc>
          <w:tcPr>
            <w:tcW w:w="1680" w:type="dxa"/>
            <w:vAlign w:val="bottom"/>
            <w:shd w:val="clear" w:color="auto" w:fill="1F473D"/>
          </w:tcPr>
          <w:p>
            <w:pPr>
              <w:jc w:val="right"/>
              <w:ind w:right="141"/>
              <w:spacing w:after="0"/>
              <w:rPr>
                <w:sz w:val="20"/>
                <w:szCs w:val="20"/>
                <w:color w:val="auto"/>
              </w:rPr>
            </w:pPr>
            <w:r>
              <w:rPr>
                <w:rFonts w:ascii="Arial" w:cs="Arial" w:eastAsia="Arial" w:hAnsi="Arial"/>
                <w:sz w:val="16"/>
                <w:szCs w:val="16"/>
                <w:b w:val="1"/>
                <w:bCs w:val="1"/>
                <w:color w:val="FFFFFF"/>
              </w:rPr>
              <w:t>   Primary Debt</w:t>
            </w:r>
          </w:p>
        </w:tc>
        <w:tc>
          <w:tcPr>
            <w:tcW w:w="1360" w:type="dxa"/>
            <w:vAlign w:val="bottom"/>
            <w:shd w:val="clear" w:color="auto" w:fill="1F473D"/>
          </w:tcPr>
          <w:p>
            <w:pPr>
              <w:jc w:val="right"/>
              <w:ind w:right="161"/>
              <w:spacing w:after="0"/>
              <w:rPr>
                <w:sz w:val="20"/>
                <w:szCs w:val="20"/>
                <w:color w:val="auto"/>
              </w:rPr>
            </w:pPr>
            <w:r>
              <w:rPr>
                <w:rFonts w:ascii="Arial" w:cs="Arial" w:eastAsia="Arial" w:hAnsi="Arial"/>
                <w:sz w:val="16"/>
                <w:szCs w:val="16"/>
                <w:b w:val="1"/>
                <w:bCs w:val="1"/>
                <w:color w:val="FFFFFF"/>
                <w:w w:val="94"/>
              </w:rPr>
              <w:t>   Instruments</w:t>
            </w:r>
          </w:p>
        </w:tc>
      </w:tr>
      <w:tr>
        <w:trPr>
          <w:trHeight w:val="233"/>
        </w:trPr>
        <w:tc>
          <w:tcPr>
            <w:tcW w:w="3620" w:type="dxa"/>
            <w:vAlign w:val="bottom"/>
            <w:tcBorders>
              <w:bottom w:val="single" w:sz="8" w:color="D64000"/>
            </w:tcBorders>
            <w:shd w:val="clear" w:color="auto" w:fill="E3F3EE"/>
          </w:tcPr>
          <w:p>
            <w:pPr>
              <w:spacing w:after="0"/>
              <w:rPr>
                <w:sz w:val="20"/>
                <w:szCs w:val="20"/>
                <w:color w:val="auto"/>
              </w:rPr>
            </w:pPr>
            <w:r>
              <w:rPr>
                <w:rFonts w:ascii="Arial" w:cs="Arial" w:eastAsia="Arial" w:hAnsi="Arial"/>
                <w:sz w:val="16"/>
                <w:szCs w:val="16"/>
                <w:color w:val="auto"/>
              </w:rPr>
              <w:t> December 31, 2023</w:t>
            </w:r>
          </w:p>
        </w:tc>
        <w:tc>
          <w:tcPr>
            <w:tcW w:w="460" w:type="dxa"/>
            <w:vAlign w:val="bottom"/>
            <w:tcBorders>
              <w:bottom w:val="single" w:sz="8" w:color="D64000"/>
            </w:tcBorders>
            <w:shd w:val="clear" w:color="auto" w:fill="1F473D"/>
          </w:tcPr>
          <w:p>
            <w:pPr>
              <w:ind w:left="360"/>
              <w:spacing w:after="0"/>
              <w:rPr>
                <w:sz w:val="20"/>
                <w:szCs w:val="20"/>
                <w:color w:val="auto"/>
              </w:rPr>
            </w:pPr>
            <w:r>
              <w:rPr>
                <w:rFonts w:ascii="Arial" w:cs="Arial" w:eastAsia="Arial" w:hAnsi="Arial"/>
                <w:sz w:val="11"/>
                <w:szCs w:val="11"/>
                <w:b w:val="1"/>
                <w:bCs w:val="1"/>
                <w:color w:val="FFFFFF"/>
                <w:w w:val="72"/>
              </w:rPr>
              <w:t> </w:t>
            </w:r>
          </w:p>
        </w:tc>
        <w:tc>
          <w:tcPr>
            <w:tcW w:w="1240" w:type="dxa"/>
            <w:vAlign w:val="bottom"/>
            <w:tcBorders>
              <w:bottom w:val="single" w:sz="8" w:color="D64000"/>
            </w:tcBorders>
            <w:shd w:val="clear" w:color="auto" w:fill="1F473D"/>
          </w:tcPr>
          <w:p>
            <w:pPr>
              <w:jc w:val="right"/>
              <w:ind w:right="141"/>
              <w:spacing w:after="0"/>
              <w:rPr>
                <w:sz w:val="20"/>
                <w:szCs w:val="20"/>
                <w:color w:val="auto"/>
              </w:rPr>
            </w:pPr>
            <w:r>
              <w:rPr>
                <w:rFonts w:ascii="Arial" w:cs="Arial" w:eastAsia="Arial" w:hAnsi="Arial"/>
                <w:sz w:val="16"/>
                <w:szCs w:val="16"/>
                <w:b w:val="1"/>
                <w:bCs w:val="1"/>
                <w:color w:val="FFFFFF"/>
                <w:w w:val="92"/>
              </w:rPr>
              <w:t>Instruments </w:t>
            </w:r>
          </w:p>
        </w:tc>
        <w:tc>
          <w:tcPr>
            <w:tcW w:w="1360" w:type="dxa"/>
            <w:vAlign w:val="bottom"/>
            <w:tcBorders>
              <w:bottom w:val="single" w:sz="8" w:color="D64000"/>
            </w:tcBorders>
            <w:shd w:val="clear" w:color="auto" w:fill="1F473D"/>
          </w:tcPr>
          <w:p>
            <w:pPr>
              <w:jc w:val="right"/>
              <w:ind w:right="321"/>
              <w:spacing w:after="0"/>
              <w:rPr>
                <w:sz w:val="20"/>
                <w:szCs w:val="20"/>
                <w:color w:val="auto"/>
              </w:rPr>
            </w:pPr>
            <w:r>
              <w:rPr>
                <w:rFonts w:ascii="Arial" w:cs="Arial" w:eastAsia="Arial" w:hAnsi="Arial"/>
                <w:sz w:val="16"/>
                <w:szCs w:val="16"/>
                <w:b w:val="1"/>
                <w:bCs w:val="1"/>
                <w:color w:val="FFFFFF"/>
              </w:rPr>
              <w:t>(Asset)</w:t>
            </w:r>
          </w:p>
        </w:tc>
        <w:tc>
          <w:tcPr>
            <w:tcW w:w="1680" w:type="dxa"/>
            <w:vAlign w:val="bottom"/>
            <w:tcBorders>
              <w:bottom w:val="single" w:sz="8" w:color="D64000"/>
            </w:tcBorders>
            <w:shd w:val="clear" w:color="auto" w:fill="1F473D"/>
          </w:tcPr>
          <w:p>
            <w:pPr>
              <w:jc w:val="right"/>
              <w:ind w:right="181"/>
              <w:spacing w:after="0"/>
              <w:rPr>
                <w:sz w:val="20"/>
                <w:szCs w:val="20"/>
                <w:color w:val="auto"/>
              </w:rPr>
            </w:pPr>
            <w:r>
              <w:rPr>
                <w:rFonts w:ascii="Arial" w:cs="Arial" w:eastAsia="Arial" w:hAnsi="Arial"/>
                <w:sz w:val="16"/>
                <w:szCs w:val="16"/>
                <w:b w:val="1"/>
                <w:bCs w:val="1"/>
                <w:color w:val="FFFFFF"/>
              </w:rPr>
              <w:t>Instruments</w:t>
            </w:r>
          </w:p>
        </w:tc>
        <w:tc>
          <w:tcPr>
            <w:tcW w:w="1360" w:type="dxa"/>
            <w:vAlign w:val="bottom"/>
            <w:tcBorders>
              <w:bottom w:val="single" w:sz="8" w:color="D64000"/>
            </w:tcBorders>
            <w:shd w:val="clear" w:color="auto" w:fill="1F473D"/>
          </w:tcPr>
          <w:p>
            <w:pPr>
              <w:jc w:val="right"/>
              <w:ind w:right="341"/>
              <w:spacing w:after="0"/>
              <w:rPr>
                <w:sz w:val="20"/>
                <w:szCs w:val="20"/>
                <w:color w:val="auto"/>
              </w:rPr>
            </w:pPr>
            <w:r>
              <w:rPr>
                <w:rFonts w:ascii="Arial" w:cs="Arial" w:eastAsia="Arial" w:hAnsi="Arial"/>
                <w:sz w:val="16"/>
                <w:szCs w:val="16"/>
                <w:b w:val="1"/>
                <w:bCs w:val="1"/>
                <w:color w:val="FFFFFF"/>
              </w:rPr>
              <w:t>(Asset)</w:t>
            </w:r>
          </w:p>
        </w:tc>
      </w:tr>
      <w:tr>
        <w:trPr>
          <w:trHeight w:val="171"/>
        </w:trPr>
        <w:tc>
          <w:tcPr>
            <w:tcW w:w="3620" w:type="dxa"/>
            <w:vAlign w:val="bottom"/>
          </w:tcPr>
          <w:p>
            <w:pPr>
              <w:spacing w:after="0" w:line="171" w:lineRule="exact"/>
              <w:rPr>
                <w:sz w:val="20"/>
                <w:szCs w:val="20"/>
                <w:color w:val="auto"/>
              </w:rPr>
            </w:pPr>
            <w:r>
              <w:rPr>
                <w:rFonts w:ascii="Arial" w:cs="Arial" w:eastAsia="Arial" w:hAnsi="Arial"/>
                <w:sz w:val="16"/>
                <w:szCs w:val="16"/>
                <w:color w:val="auto"/>
              </w:rPr>
              <w:t> Commercial paper</w:t>
            </w:r>
          </w:p>
        </w:tc>
        <w:tc>
          <w:tcPr>
            <w:tcW w:w="460" w:type="dxa"/>
            <w:vAlign w:val="bottom"/>
          </w:tcPr>
          <w:p>
            <w:pPr>
              <w:spacing w:after="0"/>
              <w:rPr>
                <w:sz w:val="14"/>
                <w:szCs w:val="14"/>
                <w:color w:val="auto"/>
              </w:rPr>
            </w:pPr>
          </w:p>
        </w:tc>
        <w:tc>
          <w:tcPr>
            <w:tcW w:w="1240" w:type="dxa"/>
            <w:vAlign w:val="bottom"/>
          </w:tcPr>
          <w:p>
            <w:pPr>
              <w:jc w:val="right"/>
              <w:spacing w:after="0" w:line="171" w:lineRule="exact"/>
              <w:rPr>
                <w:sz w:val="20"/>
                <w:szCs w:val="20"/>
                <w:color w:val="auto"/>
              </w:rPr>
            </w:pPr>
            <w:r>
              <w:rPr>
                <w:rFonts w:ascii="Arial" w:cs="Arial" w:eastAsia="Arial" w:hAnsi="Arial"/>
                <w:sz w:val="16"/>
                <w:szCs w:val="16"/>
                <w:color w:val="auto"/>
              </w:rPr>
              <w:t>130</w:t>
            </w:r>
          </w:p>
        </w:tc>
        <w:tc>
          <w:tcPr>
            <w:tcW w:w="1360" w:type="dxa"/>
            <w:vAlign w:val="bottom"/>
          </w:tcPr>
          <w:p>
            <w:pPr>
              <w:jc w:val="right"/>
              <w:spacing w:after="0" w:line="171" w:lineRule="exact"/>
              <w:rPr>
                <w:sz w:val="20"/>
                <w:szCs w:val="20"/>
                <w:color w:val="auto"/>
              </w:rPr>
            </w:pPr>
            <w:r>
              <w:rPr>
                <w:rFonts w:ascii="Arial" w:cs="Arial" w:eastAsia="Arial" w:hAnsi="Arial"/>
                <w:sz w:val="16"/>
                <w:szCs w:val="16"/>
                <w:color w:val="auto"/>
              </w:rPr>
              <w:t>-</w:t>
            </w:r>
          </w:p>
        </w:tc>
        <w:tc>
          <w:tcPr>
            <w:tcW w:w="1680" w:type="dxa"/>
            <w:vAlign w:val="bottom"/>
          </w:tcPr>
          <w:p>
            <w:pPr>
              <w:jc w:val="right"/>
              <w:spacing w:after="0" w:line="171" w:lineRule="exact"/>
              <w:rPr>
                <w:sz w:val="20"/>
                <w:szCs w:val="20"/>
                <w:color w:val="auto"/>
              </w:rPr>
            </w:pPr>
            <w:r>
              <w:rPr>
                <w:rFonts w:ascii="Arial" w:cs="Arial" w:eastAsia="Arial" w:hAnsi="Arial"/>
                <w:sz w:val="16"/>
                <w:szCs w:val="16"/>
                <w:color w:val="auto"/>
              </w:rPr>
              <w:t>130</w:t>
            </w:r>
          </w:p>
        </w:tc>
        <w:tc>
          <w:tcPr>
            <w:tcW w:w="1360" w:type="dxa"/>
            <w:vAlign w:val="bottom"/>
          </w:tcPr>
          <w:p>
            <w:pPr>
              <w:jc w:val="right"/>
              <w:ind w:right="1"/>
              <w:spacing w:after="0" w:line="171" w:lineRule="exact"/>
              <w:rPr>
                <w:sz w:val="20"/>
                <w:szCs w:val="20"/>
                <w:color w:val="auto"/>
              </w:rPr>
            </w:pPr>
            <w:r>
              <w:rPr>
                <w:rFonts w:ascii="Arial" w:cs="Arial" w:eastAsia="Arial" w:hAnsi="Arial"/>
                <w:sz w:val="16"/>
                <w:szCs w:val="16"/>
                <w:color w:val="auto"/>
              </w:rPr>
              <w:t>-</w:t>
            </w:r>
          </w:p>
        </w:tc>
      </w:tr>
      <w:tr>
        <w:trPr>
          <w:trHeight w:val="186"/>
        </w:trPr>
        <w:tc>
          <w:tcPr>
            <w:tcW w:w="3620" w:type="dxa"/>
            <w:vAlign w:val="bottom"/>
          </w:tcPr>
          <w:p>
            <w:pPr>
              <w:spacing w:after="0"/>
              <w:rPr>
                <w:sz w:val="20"/>
                <w:szCs w:val="20"/>
                <w:color w:val="auto"/>
              </w:rPr>
            </w:pPr>
            <w:r>
              <w:rPr>
                <w:rFonts w:ascii="Arial" w:cs="Arial" w:eastAsia="Arial" w:hAnsi="Arial"/>
                <w:sz w:val="16"/>
                <w:szCs w:val="16"/>
                <w:color w:val="auto"/>
              </w:rPr>
              <w:t> C$1,400 2.239% Notes due 2025</w:t>
            </w:r>
          </w:p>
        </w:tc>
        <w:tc>
          <w:tcPr>
            <w:tcW w:w="4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1,060</w:t>
            </w:r>
          </w:p>
        </w:tc>
        <w:tc>
          <w:tcPr>
            <w:tcW w:w="1360" w:type="dxa"/>
            <w:vAlign w:val="bottom"/>
          </w:tcPr>
          <w:p>
            <w:pPr>
              <w:jc w:val="right"/>
              <w:spacing w:after="0"/>
              <w:rPr>
                <w:sz w:val="20"/>
                <w:szCs w:val="20"/>
                <w:color w:val="auto"/>
              </w:rPr>
            </w:pPr>
            <w:r>
              <w:rPr>
                <w:rFonts w:ascii="Arial" w:cs="Arial" w:eastAsia="Arial" w:hAnsi="Arial"/>
                <w:sz w:val="16"/>
                <w:szCs w:val="16"/>
                <w:color w:val="auto"/>
              </w:rPr>
              <w:t>(65)</w:t>
            </w:r>
          </w:p>
        </w:tc>
        <w:tc>
          <w:tcPr>
            <w:tcW w:w="1680" w:type="dxa"/>
            <w:vAlign w:val="bottom"/>
          </w:tcPr>
          <w:p>
            <w:pPr>
              <w:jc w:val="right"/>
              <w:spacing w:after="0"/>
              <w:rPr>
                <w:sz w:val="20"/>
                <w:szCs w:val="20"/>
                <w:color w:val="auto"/>
              </w:rPr>
            </w:pPr>
            <w:r>
              <w:rPr>
                <w:rFonts w:ascii="Arial" w:cs="Arial" w:eastAsia="Arial" w:hAnsi="Arial"/>
                <w:sz w:val="16"/>
                <w:szCs w:val="16"/>
                <w:color w:val="auto"/>
              </w:rPr>
              <w:t>1,026</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(65)</w:t>
            </w:r>
          </w:p>
        </w:tc>
      </w:tr>
      <w:tr>
        <w:trPr>
          <w:trHeight w:val="185"/>
        </w:trPr>
        <w:tc>
          <w:tcPr>
            <w:tcW w:w="3620" w:type="dxa"/>
            <w:vAlign w:val="bottom"/>
          </w:tcPr>
          <w:p>
            <w:pPr>
              <w:spacing w:after="0" w:line="185" w:lineRule="exact"/>
              <w:rPr>
                <w:sz w:val="20"/>
                <w:szCs w:val="20"/>
                <w:color w:val="auto"/>
              </w:rPr>
            </w:pPr>
            <w:r>
              <w:rPr>
                <w:rFonts w:ascii="Arial" w:cs="Arial" w:eastAsia="Arial" w:hAnsi="Arial"/>
                <w:sz w:val="16"/>
                <w:szCs w:val="16"/>
                <w:color w:val="auto"/>
              </w:rPr>
              <w:t> $242 3.85% Notes due 2024</w:t>
            </w:r>
            <w:r>
              <w:rPr>
                <w:rFonts w:ascii="Arial" w:cs="Arial" w:eastAsia="Arial" w:hAnsi="Arial"/>
                <w:sz w:val="19"/>
                <w:szCs w:val="19"/>
                <w:color w:val="auto"/>
                <w:vertAlign w:val="superscript"/>
              </w:rPr>
              <w:t>(2)</w:t>
            </w:r>
          </w:p>
        </w:tc>
        <w:tc>
          <w:tcPr>
            <w:tcW w:w="4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242</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239</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186"/>
        </w:trPr>
        <w:tc>
          <w:tcPr>
            <w:tcW w:w="3620" w:type="dxa"/>
            <w:vAlign w:val="bottom"/>
          </w:tcPr>
          <w:p>
            <w:pPr>
              <w:spacing w:after="0"/>
              <w:rPr>
                <w:sz w:val="20"/>
                <w:szCs w:val="20"/>
                <w:color w:val="auto"/>
              </w:rPr>
            </w:pPr>
            <w:r>
              <w:rPr>
                <w:rFonts w:ascii="Arial" w:cs="Arial" w:eastAsia="Arial" w:hAnsi="Arial"/>
                <w:sz w:val="16"/>
                <w:szCs w:val="16"/>
                <w:color w:val="auto"/>
              </w:rPr>
              <w:t> $500 3.35% Notes due 2026</w:t>
            </w:r>
          </w:p>
        </w:tc>
        <w:tc>
          <w:tcPr>
            <w:tcW w:w="4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499</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482</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186"/>
        </w:trPr>
        <w:tc>
          <w:tcPr>
            <w:tcW w:w="3620" w:type="dxa"/>
            <w:vAlign w:val="bottom"/>
          </w:tcPr>
          <w:p>
            <w:pPr>
              <w:spacing w:after="0"/>
              <w:rPr>
                <w:sz w:val="20"/>
                <w:szCs w:val="20"/>
                <w:color w:val="auto"/>
              </w:rPr>
            </w:pPr>
            <w:r>
              <w:rPr>
                <w:rFonts w:ascii="Arial" w:cs="Arial" w:eastAsia="Arial" w:hAnsi="Arial"/>
                <w:sz w:val="16"/>
                <w:szCs w:val="16"/>
                <w:color w:val="auto"/>
              </w:rPr>
              <w:t> $500 5.85% Notes due 2040</w:t>
            </w:r>
          </w:p>
        </w:tc>
        <w:tc>
          <w:tcPr>
            <w:tcW w:w="4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492</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519</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185"/>
        </w:trPr>
        <w:tc>
          <w:tcPr>
            <w:tcW w:w="3620" w:type="dxa"/>
            <w:vAlign w:val="bottom"/>
          </w:tcPr>
          <w:p>
            <w:pPr>
              <w:spacing w:after="0" w:line="185" w:lineRule="exact"/>
              <w:rPr>
                <w:sz w:val="20"/>
                <w:szCs w:val="20"/>
                <w:color w:val="auto"/>
              </w:rPr>
            </w:pPr>
            <w:r>
              <w:rPr>
                <w:rFonts w:ascii="Arial" w:cs="Arial" w:eastAsia="Arial" w:hAnsi="Arial"/>
                <w:sz w:val="16"/>
                <w:szCs w:val="16"/>
                <w:color w:val="auto"/>
              </w:rPr>
              <w:t> $119 4.50% Notes due 2043</w:t>
            </w:r>
            <w:r>
              <w:rPr>
                <w:rFonts w:ascii="Arial" w:cs="Arial" w:eastAsia="Arial" w:hAnsi="Arial"/>
                <w:sz w:val="19"/>
                <w:szCs w:val="19"/>
                <w:color w:val="auto"/>
                <w:vertAlign w:val="superscript"/>
              </w:rPr>
              <w:t>(1)</w:t>
            </w:r>
          </w:p>
        </w:tc>
        <w:tc>
          <w:tcPr>
            <w:tcW w:w="4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116</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95</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186"/>
        </w:trPr>
        <w:tc>
          <w:tcPr>
            <w:tcW w:w="3620" w:type="dxa"/>
            <w:vAlign w:val="bottom"/>
          </w:tcPr>
          <w:p>
            <w:pPr>
              <w:spacing w:after="0"/>
              <w:rPr>
                <w:sz w:val="20"/>
                <w:szCs w:val="20"/>
                <w:color w:val="auto"/>
              </w:rPr>
            </w:pPr>
            <w:r>
              <w:rPr>
                <w:rFonts w:ascii="Arial" w:cs="Arial" w:eastAsia="Arial" w:hAnsi="Arial"/>
                <w:sz w:val="16"/>
                <w:szCs w:val="16"/>
                <w:color w:val="auto"/>
              </w:rPr>
              <w:t> $350 5.65% Notes due 2043</w:t>
            </w:r>
          </w:p>
        </w:tc>
        <w:tc>
          <w:tcPr>
            <w:tcW w:w="4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342</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346</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00"/>
        </w:trPr>
        <w:tc>
          <w:tcPr>
            <w:tcW w:w="362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$400 5.50% Debentures due 2035</w:t>
            </w:r>
          </w:p>
        </w:tc>
        <w:tc>
          <w:tcPr>
            <w:tcW w:w="460" w:type="dxa"/>
            <w:vAlign w:val="bottom"/>
            <w:tcBorders>
              <w:bottom w:val="single" w:sz="8" w:color="B2B2B2"/>
            </w:tcBorders>
          </w:tcPr>
          <w:p>
            <w:pPr>
              <w:spacing w:after="0"/>
              <w:rPr>
                <w:sz w:val="17"/>
                <w:szCs w:val="17"/>
                <w:color w:val="auto"/>
              </w:rPr>
            </w:pP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396</w:t>
            </w:r>
          </w:p>
        </w:tc>
        <w:tc>
          <w:tcPr>
            <w:tcW w:w="13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415</w:t>
            </w:r>
          </w:p>
        </w:tc>
        <w:tc>
          <w:tcPr>
            <w:tcW w:w="136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w:t>
            </w:r>
          </w:p>
        </w:tc>
      </w:tr>
      <w:tr>
        <w:trPr>
          <w:trHeight w:val="179"/>
        </w:trPr>
        <w:tc>
          <w:tcPr>
            <w:tcW w:w="362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Total</w:t>
            </w:r>
          </w:p>
        </w:tc>
        <w:tc>
          <w:tcPr>
            <w:tcW w:w="460" w:type="dxa"/>
            <w:vAlign w:val="bottom"/>
            <w:tcBorders>
              <w:bottom w:val="single" w:sz="8" w:color="B2B2B2"/>
            </w:tcBorders>
          </w:tcPr>
          <w:p>
            <w:pPr>
              <w:spacing w:after="0"/>
              <w:rPr>
                <w:sz w:val="15"/>
                <w:szCs w:val="15"/>
                <w:color w:val="auto"/>
              </w:rPr>
            </w:pPr>
          </w:p>
        </w:tc>
        <w:tc>
          <w:tcPr>
            <w:tcW w:w="124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color w:val="auto"/>
              </w:rPr>
              <w:t>3,277</w:t>
            </w:r>
          </w:p>
        </w:tc>
        <w:tc>
          <w:tcPr>
            <w:tcW w:w="136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color w:val="auto"/>
              </w:rPr>
              <w:t>(65)</w:t>
            </w:r>
          </w:p>
        </w:tc>
        <w:tc>
          <w:tcPr>
            <w:tcW w:w="168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color w:val="auto"/>
              </w:rPr>
              <w:t>3,252</w:t>
            </w:r>
          </w:p>
        </w:tc>
        <w:tc>
          <w:tcPr>
            <w:tcW w:w="1360" w:type="dxa"/>
            <w:vAlign w:val="bottom"/>
            <w:tcBorders>
              <w:bottom w:val="single" w:sz="8" w:color="B2B2B2"/>
            </w:tcBorders>
          </w:tcPr>
          <w:p>
            <w:pPr>
              <w:jc w:val="right"/>
              <w:ind w:right="1"/>
              <w:spacing w:after="0" w:line="179" w:lineRule="exact"/>
              <w:rPr>
                <w:sz w:val="20"/>
                <w:szCs w:val="20"/>
                <w:color w:val="auto"/>
              </w:rPr>
            </w:pPr>
            <w:r>
              <w:rPr>
                <w:rFonts w:ascii="Arial" w:cs="Arial" w:eastAsia="Arial" w:hAnsi="Arial"/>
                <w:sz w:val="16"/>
                <w:szCs w:val="16"/>
                <w:color w:val="auto"/>
              </w:rPr>
              <w:t>(65)</w:t>
            </w:r>
          </w:p>
        </w:tc>
      </w:tr>
      <w:tr>
        <w:trPr>
          <w:trHeight w:val="165"/>
        </w:trPr>
        <w:tc>
          <w:tcPr>
            <w:tcW w:w="3620" w:type="dxa"/>
            <w:vAlign w:val="bottom"/>
          </w:tcPr>
          <w:p>
            <w:pPr>
              <w:spacing w:after="0" w:line="165" w:lineRule="exact"/>
              <w:rPr>
                <w:sz w:val="20"/>
                <w:szCs w:val="20"/>
                <w:color w:val="auto"/>
              </w:rPr>
            </w:pPr>
            <w:r>
              <w:rPr>
                <w:rFonts w:ascii="Arial" w:cs="Arial" w:eastAsia="Arial" w:hAnsi="Arial"/>
                <w:sz w:val="16"/>
                <w:szCs w:val="16"/>
                <w:color w:val="auto"/>
              </w:rPr>
              <w:t> Current portion</w:t>
            </w:r>
          </w:p>
        </w:tc>
        <w:tc>
          <w:tcPr>
            <w:tcW w:w="460" w:type="dxa"/>
            <w:vAlign w:val="bottom"/>
          </w:tcPr>
          <w:p>
            <w:pPr>
              <w:spacing w:after="0"/>
              <w:rPr>
                <w:sz w:val="14"/>
                <w:szCs w:val="14"/>
                <w:color w:val="auto"/>
              </w:rPr>
            </w:pPr>
          </w:p>
        </w:tc>
        <w:tc>
          <w:tcPr>
            <w:tcW w:w="1240" w:type="dxa"/>
            <w:vAlign w:val="bottom"/>
          </w:tcPr>
          <w:p>
            <w:pPr>
              <w:jc w:val="right"/>
              <w:spacing w:after="0" w:line="165" w:lineRule="exact"/>
              <w:rPr>
                <w:sz w:val="20"/>
                <w:szCs w:val="20"/>
                <w:color w:val="auto"/>
              </w:rPr>
            </w:pPr>
            <w:r>
              <w:rPr>
                <w:rFonts w:ascii="Arial" w:cs="Arial" w:eastAsia="Arial" w:hAnsi="Arial"/>
                <w:sz w:val="16"/>
                <w:szCs w:val="16"/>
                <w:color w:val="auto"/>
              </w:rPr>
              <w:t>372</w:t>
            </w:r>
          </w:p>
        </w:tc>
        <w:tc>
          <w:tcPr>
            <w:tcW w:w="13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6"/>
        </w:trPr>
        <w:tc>
          <w:tcPr>
            <w:tcW w:w="3620" w:type="dxa"/>
            <w:vAlign w:val="bottom"/>
            <w:tcBorders>
              <w:bottom w:val="single" w:sz="8" w:color="D64000"/>
            </w:tcBorders>
          </w:tcPr>
          <w:p>
            <w:pPr>
              <w:spacing w:after="0"/>
              <w:rPr>
                <w:sz w:val="20"/>
                <w:szCs w:val="20"/>
                <w:color w:val="auto"/>
              </w:rPr>
            </w:pPr>
            <w:r>
              <w:rPr>
                <w:rFonts w:ascii="Arial" w:cs="Arial" w:eastAsia="Arial" w:hAnsi="Arial"/>
                <w:sz w:val="16"/>
                <w:szCs w:val="16"/>
                <w:color w:val="auto"/>
              </w:rPr>
              <w:t> Long-term portion</w:t>
            </w:r>
          </w:p>
        </w:tc>
        <w:tc>
          <w:tcPr>
            <w:tcW w:w="460" w:type="dxa"/>
            <w:vAlign w:val="bottom"/>
            <w:tcBorders>
              <w:bottom w:val="single" w:sz="8" w:color="D64000"/>
            </w:tcBorders>
          </w:tcPr>
          <w:p>
            <w:pPr>
              <w:spacing w:after="0"/>
              <w:rPr>
                <w:sz w:val="17"/>
                <w:szCs w:val="17"/>
                <w:color w:val="auto"/>
              </w:rPr>
            </w:pPr>
          </w:p>
        </w:tc>
        <w:tc>
          <w:tcPr>
            <w:tcW w:w="1240" w:type="dxa"/>
            <w:vAlign w:val="bottom"/>
            <w:tcBorders>
              <w:bottom w:val="single" w:sz="8" w:color="D64000"/>
            </w:tcBorders>
          </w:tcPr>
          <w:p>
            <w:pPr>
              <w:jc w:val="right"/>
              <w:spacing w:after="0"/>
              <w:rPr>
                <w:sz w:val="20"/>
                <w:szCs w:val="20"/>
                <w:color w:val="auto"/>
              </w:rPr>
            </w:pPr>
            <w:r>
              <w:rPr>
                <w:rFonts w:ascii="Arial" w:cs="Arial" w:eastAsia="Arial" w:hAnsi="Arial"/>
                <w:sz w:val="16"/>
                <w:szCs w:val="16"/>
                <w:color w:val="auto"/>
              </w:rPr>
              <w:t>2,905</w:t>
            </w:r>
          </w:p>
        </w:tc>
        <w:tc>
          <w:tcPr>
            <w:tcW w:w="1360" w:type="dxa"/>
            <w:vAlign w:val="bottom"/>
            <w:tcBorders>
              <w:bottom w:val="single" w:sz="8" w:color="D64000"/>
            </w:tcBorders>
          </w:tcPr>
          <w:p>
            <w:pPr>
              <w:jc w:val="right"/>
              <w:spacing w:after="0"/>
              <w:rPr>
                <w:sz w:val="20"/>
                <w:szCs w:val="20"/>
                <w:color w:val="auto"/>
              </w:rPr>
            </w:pPr>
            <w:r>
              <w:rPr>
                <w:rFonts w:ascii="Arial" w:cs="Arial" w:eastAsia="Arial" w:hAnsi="Arial"/>
                <w:sz w:val="16"/>
                <w:szCs w:val="16"/>
                <w:color w:val="auto"/>
              </w:rPr>
              <w:t>(65)</w:t>
            </w:r>
          </w:p>
        </w:tc>
        <w:tc>
          <w:tcPr>
            <w:tcW w:w="1680" w:type="dxa"/>
            <w:vAlign w:val="bottom"/>
          </w:tcPr>
          <w:p>
            <w:pPr>
              <w:spacing w:after="0"/>
              <w:rPr>
                <w:sz w:val="17"/>
                <w:szCs w:val="17"/>
                <w:color w:val="auto"/>
              </w:rPr>
            </w:pPr>
          </w:p>
        </w:tc>
        <w:tc>
          <w:tcPr>
            <w:tcW w:w="1360" w:type="dxa"/>
            <w:vAlign w:val="bottom"/>
          </w:tcPr>
          <w:p>
            <w:pPr>
              <w:spacing w:after="0"/>
              <w:rPr>
                <w:sz w:val="17"/>
                <w:szCs w:val="17"/>
                <w:color w:val="auto"/>
              </w:rPr>
            </w:pPr>
          </w:p>
        </w:tc>
      </w:tr>
    </w:tbl>
    <w:p>
      <w:pPr>
        <w:spacing w:after="0" w:line="110" w:lineRule="exact"/>
        <w:rPr>
          <w:sz w:val="20"/>
          <w:szCs w:val="20"/>
          <w:color w:val="auto"/>
        </w:rPr>
      </w:pPr>
    </w:p>
    <w:p>
      <w:pPr>
        <w:ind w:left="640" w:hanging="422"/>
        <w:spacing w:after="0"/>
        <w:tabs>
          <w:tab w:leader="none" w:pos="6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Originally issued $350 million of notes, of which the Company redeemed $231 million in October 2018.</w:t>
      </w:r>
    </w:p>
    <w:p>
      <w:pPr>
        <w:spacing w:after="0" w:line="12" w:lineRule="exact"/>
        <w:rPr>
          <w:rFonts w:ascii="Arial" w:cs="Arial" w:eastAsia="Arial" w:hAnsi="Arial"/>
          <w:sz w:val="14"/>
          <w:szCs w:val="14"/>
          <w:color w:val="auto"/>
        </w:rPr>
      </w:pPr>
    </w:p>
    <w:p>
      <w:pPr>
        <w:ind w:left="640" w:hanging="422"/>
        <w:spacing w:after="0"/>
        <w:tabs>
          <w:tab w:leader="none" w:pos="6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Originally issued $450 million of notes, of which the Company redeemed $208 million in October 2018.</w:t>
      </w:r>
    </w:p>
    <w:p>
      <w:pPr>
        <w:spacing w:after="0" w:line="77" w:lineRule="exact"/>
        <w:rPr>
          <w:sz w:val="20"/>
          <w:szCs w:val="20"/>
          <w:color w:val="auto"/>
        </w:rPr>
      </w:pPr>
    </w:p>
    <w:p>
      <w:pPr>
        <w:ind w:left="220" w:right="140"/>
        <w:spacing w:after="0" w:line="260" w:lineRule="auto"/>
        <w:rPr>
          <w:sz w:val="20"/>
          <w:szCs w:val="20"/>
          <w:color w:val="auto"/>
        </w:rPr>
      </w:pPr>
      <w:r>
        <w:rPr>
          <w:rFonts w:ascii="Arial" w:cs="Arial" w:eastAsia="Arial" w:hAnsi="Arial"/>
          <w:sz w:val="17"/>
          <w:szCs w:val="17"/>
          <w:color w:val="auto"/>
        </w:rPr>
        <w:t>In September 2024, the Company repaid upon maturity the outstanding $242 million balance of its $450 million 3.85% notes due 2024 with cash on hand. In November 2023, the Company repaid upon maturity its $600 million 4.30% notes due 2023 with cash on hand.</w:t>
      </w:r>
    </w:p>
    <w:p>
      <w:pPr>
        <w:spacing w:after="0" w:line="53" w:lineRule="exact"/>
        <w:rPr>
          <w:sz w:val="20"/>
          <w:szCs w:val="20"/>
          <w:color w:val="auto"/>
        </w:rPr>
      </w:pPr>
    </w:p>
    <w:p>
      <w:pPr>
        <w:jc w:val="both"/>
        <w:ind w:left="220" w:right="700"/>
        <w:spacing w:after="0" w:line="243" w:lineRule="auto"/>
        <w:rPr>
          <w:sz w:val="20"/>
          <w:szCs w:val="20"/>
          <w:color w:val="auto"/>
        </w:rPr>
      </w:pPr>
      <w:r>
        <w:rPr>
          <w:rFonts w:ascii="Arial" w:cs="Arial" w:eastAsia="Arial" w:hAnsi="Arial"/>
          <w:sz w:val="17"/>
          <w:szCs w:val="17"/>
          <w:color w:val="auto"/>
        </w:rPr>
        <w:t>On February 11, 2025, the Company commenced offers to exchange any or all validly tendered and accepted notes of Thomson Reuters Corporation (“TRC”) of the series of notes below for new notes issued by TR Finance LLC (“TR Finance”), an indirect 100% owned U.S. subsidiary of TRC. See note 33 for additional details.</w:t>
      </w:r>
    </w:p>
    <w:p>
      <w:pPr>
        <w:spacing w:after="0" w:line="82" w:lineRule="exact"/>
        <w:rPr>
          <w:sz w:val="20"/>
          <w:szCs w:val="20"/>
          <w:color w:val="auto"/>
        </w:rPr>
      </w:pPr>
    </w:p>
    <w:p>
      <w:pPr>
        <w:ind w:left="540" w:hanging="322"/>
        <w:spacing w:after="0"/>
        <w:tabs>
          <w:tab w:leader="none" w:pos="540" w:val="left"/>
        </w:tabs>
        <w:numPr>
          <w:ilvl w:val="0"/>
          <w:numId w:val="121"/>
        </w:numPr>
        <w:rPr>
          <w:rFonts w:ascii="Arial" w:cs="Arial" w:eastAsia="Arial" w:hAnsi="Arial"/>
          <w:sz w:val="17"/>
          <w:szCs w:val="17"/>
          <w:color w:val="D64000"/>
        </w:rPr>
      </w:pPr>
      <w:r>
        <w:rPr>
          <w:rFonts w:ascii="Arial" w:cs="Arial" w:eastAsia="Arial" w:hAnsi="Arial"/>
          <w:sz w:val="17"/>
          <w:szCs w:val="17"/>
          <w:color w:val="auto"/>
        </w:rPr>
        <w:t>$500 million 3.35% Notes due 2026;</w:t>
      </w:r>
    </w:p>
    <w:p>
      <w:pPr>
        <w:spacing w:after="0" w:line="29" w:lineRule="exact"/>
        <w:rPr>
          <w:rFonts w:ascii="Arial" w:cs="Arial" w:eastAsia="Arial" w:hAnsi="Arial"/>
          <w:sz w:val="17"/>
          <w:szCs w:val="17"/>
          <w:color w:val="D64000"/>
        </w:rPr>
      </w:pPr>
    </w:p>
    <w:p>
      <w:pPr>
        <w:ind w:left="540" w:hanging="322"/>
        <w:spacing w:after="0"/>
        <w:tabs>
          <w:tab w:leader="none" w:pos="540" w:val="left"/>
        </w:tabs>
        <w:numPr>
          <w:ilvl w:val="0"/>
          <w:numId w:val="121"/>
        </w:numPr>
        <w:rPr>
          <w:rFonts w:ascii="Arial" w:cs="Arial" w:eastAsia="Arial" w:hAnsi="Arial"/>
          <w:sz w:val="17"/>
          <w:szCs w:val="17"/>
          <w:color w:val="D64000"/>
        </w:rPr>
      </w:pPr>
      <w:r>
        <w:rPr>
          <w:rFonts w:ascii="Arial" w:cs="Arial" w:eastAsia="Arial" w:hAnsi="Arial"/>
          <w:sz w:val="17"/>
          <w:szCs w:val="17"/>
          <w:color w:val="auto"/>
        </w:rPr>
        <w:t>$500 million 5.85% Notes due 2040;</w:t>
      </w:r>
    </w:p>
    <w:p>
      <w:pPr>
        <w:spacing w:after="0" w:line="29" w:lineRule="exact"/>
        <w:rPr>
          <w:rFonts w:ascii="Arial" w:cs="Arial" w:eastAsia="Arial" w:hAnsi="Arial"/>
          <w:sz w:val="17"/>
          <w:szCs w:val="17"/>
          <w:color w:val="D64000"/>
        </w:rPr>
      </w:pPr>
    </w:p>
    <w:p>
      <w:pPr>
        <w:ind w:left="540" w:hanging="322"/>
        <w:spacing w:after="0"/>
        <w:tabs>
          <w:tab w:leader="none" w:pos="540" w:val="left"/>
        </w:tabs>
        <w:numPr>
          <w:ilvl w:val="0"/>
          <w:numId w:val="121"/>
        </w:numPr>
        <w:rPr>
          <w:rFonts w:ascii="Arial" w:cs="Arial" w:eastAsia="Arial" w:hAnsi="Arial"/>
          <w:sz w:val="17"/>
          <w:szCs w:val="17"/>
          <w:color w:val="D64000"/>
        </w:rPr>
      </w:pPr>
      <w:r>
        <w:rPr>
          <w:rFonts w:ascii="Arial" w:cs="Arial" w:eastAsia="Arial" w:hAnsi="Arial"/>
          <w:sz w:val="17"/>
          <w:szCs w:val="17"/>
          <w:color w:val="auto"/>
        </w:rPr>
        <w:t>$119 million 4.50% Notes due 2043;</w:t>
      </w:r>
    </w:p>
    <w:p>
      <w:pPr>
        <w:spacing w:after="0" w:line="29" w:lineRule="exact"/>
        <w:rPr>
          <w:rFonts w:ascii="Arial" w:cs="Arial" w:eastAsia="Arial" w:hAnsi="Arial"/>
          <w:sz w:val="17"/>
          <w:szCs w:val="17"/>
          <w:color w:val="D64000"/>
        </w:rPr>
      </w:pPr>
    </w:p>
    <w:p>
      <w:pPr>
        <w:ind w:left="540" w:hanging="322"/>
        <w:spacing w:after="0"/>
        <w:tabs>
          <w:tab w:leader="none" w:pos="540" w:val="left"/>
        </w:tabs>
        <w:numPr>
          <w:ilvl w:val="0"/>
          <w:numId w:val="121"/>
        </w:numPr>
        <w:rPr>
          <w:rFonts w:ascii="Arial" w:cs="Arial" w:eastAsia="Arial" w:hAnsi="Arial"/>
          <w:sz w:val="17"/>
          <w:szCs w:val="17"/>
          <w:color w:val="D64000"/>
        </w:rPr>
      </w:pPr>
      <w:r>
        <w:rPr>
          <w:rFonts w:ascii="Arial" w:cs="Arial" w:eastAsia="Arial" w:hAnsi="Arial"/>
          <w:sz w:val="17"/>
          <w:szCs w:val="17"/>
          <w:color w:val="auto"/>
        </w:rPr>
        <w:t>$350 million 5.65% Notes due 2043; and</w:t>
      </w:r>
    </w:p>
    <w:p>
      <w:pPr>
        <w:spacing w:after="0" w:line="29" w:lineRule="exact"/>
        <w:rPr>
          <w:rFonts w:ascii="Arial" w:cs="Arial" w:eastAsia="Arial" w:hAnsi="Arial"/>
          <w:sz w:val="17"/>
          <w:szCs w:val="17"/>
          <w:color w:val="D64000"/>
        </w:rPr>
      </w:pPr>
    </w:p>
    <w:p>
      <w:pPr>
        <w:ind w:left="540" w:hanging="322"/>
        <w:spacing w:after="0"/>
        <w:tabs>
          <w:tab w:leader="none" w:pos="540" w:val="left"/>
        </w:tabs>
        <w:numPr>
          <w:ilvl w:val="0"/>
          <w:numId w:val="121"/>
        </w:numPr>
        <w:rPr>
          <w:rFonts w:ascii="Arial" w:cs="Arial" w:eastAsia="Arial" w:hAnsi="Arial"/>
          <w:sz w:val="17"/>
          <w:szCs w:val="17"/>
          <w:color w:val="D64000"/>
        </w:rPr>
      </w:pPr>
      <w:r>
        <w:rPr>
          <w:rFonts w:ascii="Arial" w:cs="Arial" w:eastAsia="Arial" w:hAnsi="Arial"/>
          <w:sz w:val="17"/>
          <w:szCs w:val="17"/>
          <w:color w:val="auto"/>
        </w:rPr>
        <w:t>$400 million 5.50% Debentures due 2035.</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Cross-currency interest rate swaps</w:t>
      </w:r>
    </w:p>
    <w:p>
      <w:pPr>
        <w:spacing w:after="0" w:line="6" w:lineRule="exact"/>
        <w:rPr>
          <w:sz w:val="20"/>
          <w:szCs w:val="20"/>
          <w:color w:val="auto"/>
        </w:rPr>
      </w:pPr>
    </w:p>
    <w:p>
      <w:pPr>
        <w:jc w:val="both"/>
        <w:ind w:left="220" w:right="140"/>
        <w:spacing w:after="0" w:line="241" w:lineRule="auto"/>
        <w:rPr>
          <w:sz w:val="20"/>
          <w:szCs w:val="20"/>
          <w:color w:val="auto"/>
        </w:rPr>
      </w:pPr>
      <w:r>
        <w:rPr>
          <w:rFonts w:ascii="Arial" w:cs="Arial" w:eastAsia="Arial" w:hAnsi="Arial"/>
          <w:sz w:val="16"/>
          <w:szCs w:val="16"/>
          <w:color w:val="auto"/>
        </w:rPr>
        <w:t>The Company uses fixed-to-fixed cross-currency interest rate swaps to hedge its currency exposures on indebtedness. These instruments swap Canadian dollar denominated principal and interest payments into U.S. dollars. The critical terms of the swap, such as the timing and amount of cash flows, match the terms of the related indebtedness, creating an economic relationship that is expected to result in a highly effective hedge.</w:t>
      </w:r>
    </w:p>
    <w:p>
      <w:pPr>
        <w:spacing w:after="0" w:line="2" w:lineRule="exact"/>
        <w:rPr>
          <w:sz w:val="20"/>
          <w:szCs w:val="20"/>
          <w:color w:val="auto"/>
        </w:rPr>
      </w:pPr>
    </w:p>
    <w:p>
      <w:pPr>
        <w:ind w:left="220" w:right="60"/>
        <w:spacing w:after="0" w:line="232" w:lineRule="auto"/>
        <w:rPr>
          <w:sz w:val="20"/>
          <w:szCs w:val="20"/>
          <w:color w:val="auto"/>
        </w:rPr>
      </w:pPr>
      <w:r>
        <w:rPr>
          <w:rFonts w:ascii="Arial" w:cs="Arial" w:eastAsia="Arial" w:hAnsi="Arial"/>
          <w:sz w:val="17"/>
          <w:szCs w:val="17"/>
          <w:color w:val="auto"/>
        </w:rPr>
        <w:t>To test for hedge ineffectiveness at hedge inception and subsequent reporting periods, the Company performs qualitative tests to confirm that the terms of the instruments have not changed, as well as quantitative tests to assess if the future cash flows of the swap and the indebtedness will offset one another. Ineffectiveness may arise from changes in cross currency basis spreads or the credit risk inherent in the swaps. As the Company’s risk management objective is to mitigate debt-related currency exposures, it seeks to achieve a 1:1 hedge ratio between the notional principal amount of the swaps and the underlying debt exposures, in which all the critical terms of the instruments match.</w:t>
      </w:r>
    </w:p>
    <w:p>
      <w:pPr>
        <w:spacing w:after="0" w:line="73" w:lineRule="exact"/>
        <w:rPr>
          <w:sz w:val="20"/>
          <w:szCs w:val="20"/>
          <w:color w:val="auto"/>
        </w:rPr>
      </w:pPr>
    </w:p>
    <w:p>
      <w:pPr>
        <w:ind w:left="220" w:right="20"/>
        <w:spacing w:after="0" w:line="291" w:lineRule="auto"/>
        <w:rPr>
          <w:sz w:val="20"/>
          <w:szCs w:val="20"/>
          <w:color w:val="auto"/>
        </w:rPr>
      </w:pPr>
      <w:r>
        <w:rPr>
          <w:rFonts w:ascii="Arial" w:cs="Arial" w:eastAsia="Arial" w:hAnsi="Arial"/>
          <w:sz w:val="16"/>
          <w:szCs w:val="16"/>
          <w:color w:val="auto"/>
        </w:rPr>
        <w:t>As of December 31, 2024 and December 31, 2023, the Company recorded swaps outstanding in the consolidated statement of financial position at their fair value, which was a liability of $21 million and an asset of $65 million, respectively. These swaps were designated as cash flow hedges.</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details of these instruments for the years ended December 31, 2024 and 2023 are set forth below:</w:t>
      </w:r>
    </w:p>
    <w:p>
      <w:pPr>
        <w:spacing w:after="0" w:line="238"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2600" w:type="dxa"/>
            <w:vAlign w:val="bottom"/>
            <w:shd w:val="clear" w:color="auto" w:fill="1F473D"/>
          </w:tcPr>
          <w:p>
            <w:pPr>
              <w:spacing w:after="0"/>
              <w:rPr>
                <w:sz w:val="16"/>
                <w:szCs w:val="16"/>
                <w:color w:val="auto"/>
              </w:rPr>
            </w:pPr>
          </w:p>
        </w:tc>
        <w:tc>
          <w:tcPr>
            <w:tcW w:w="2580" w:type="dxa"/>
            <w:vAlign w:val="bottom"/>
            <w:shd w:val="clear" w:color="auto" w:fill="1F473D"/>
          </w:tcPr>
          <w:p>
            <w:pPr>
              <w:spacing w:after="0"/>
              <w:rPr>
                <w:sz w:val="16"/>
                <w:szCs w:val="16"/>
                <w:color w:val="auto"/>
              </w:rPr>
            </w:pPr>
          </w:p>
        </w:tc>
        <w:tc>
          <w:tcPr>
            <w:tcW w:w="2000" w:type="dxa"/>
            <w:vAlign w:val="bottom"/>
            <w:shd w:val="clear" w:color="auto" w:fill="1F473D"/>
          </w:tcPr>
          <w:p>
            <w:pPr>
              <w:spacing w:after="0"/>
              <w:rPr>
                <w:sz w:val="16"/>
                <w:szCs w:val="16"/>
                <w:color w:val="auto"/>
              </w:rPr>
            </w:pPr>
          </w:p>
        </w:tc>
        <w:tc>
          <w:tcPr>
            <w:tcW w:w="1360" w:type="dxa"/>
            <w:vAlign w:val="bottom"/>
            <w:shd w:val="clear" w:color="auto" w:fill="1F473D"/>
          </w:tcPr>
          <w:p>
            <w:pPr>
              <w:ind w:left="340"/>
              <w:spacing w:after="0"/>
              <w:rPr>
                <w:sz w:val="20"/>
                <w:szCs w:val="20"/>
                <w:color w:val="auto"/>
              </w:rPr>
            </w:pPr>
            <w:r>
              <w:rPr>
                <w:rFonts w:ascii="Arial" w:cs="Arial" w:eastAsia="Arial" w:hAnsi="Arial"/>
                <w:sz w:val="16"/>
                <w:szCs w:val="16"/>
                <w:b w:val="1"/>
                <w:bCs w:val="1"/>
                <w:color w:val="FFFFFF"/>
              </w:rPr>
              <w:t>Year of</w:t>
            </w:r>
          </w:p>
        </w:tc>
        <w:tc>
          <w:tcPr>
            <w:tcW w:w="1180" w:type="dxa"/>
            <w:vAlign w:val="bottom"/>
            <w:shd w:val="clear" w:color="auto" w:fill="1F473D"/>
          </w:tcPr>
          <w:p>
            <w:pPr>
              <w:ind w:left="420"/>
              <w:spacing w:after="0"/>
              <w:rPr>
                <w:sz w:val="20"/>
                <w:szCs w:val="20"/>
                <w:color w:val="auto"/>
              </w:rPr>
            </w:pPr>
            <w:r>
              <w:rPr>
                <w:rFonts w:ascii="Arial" w:cs="Arial" w:eastAsia="Arial" w:hAnsi="Arial"/>
                <w:sz w:val="16"/>
                <w:szCs w:val="16"/>
                <w:b w:val="1"/>
                <w:bCs w:val="1"/>
                <w:color w:val="FFFFFF"/>
              </w:rPr>
              <w:t>Principal</w:t>
            </w:r>
          </w:p>
        </w:tc>
      </w:tr>
      <w:tr>
        <w:trPr>
          <w:trHeight w:val="206"/>
        </w:trPr>
        <w:tc>
          <w:tcPr>
            <w:tcW w:w="260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b w:val="1"/>
                <w:bCs w:val="1"/>
                <w:color w:val="FFFFFF"/>
              </w:rPr>
              <w:t> Received</w:t>
            </w:r>
          </w:p>
        </w:tc>
        <w:tc>
          <w:tcPr>
            <w:tcW w:w="2580" w:type="dxa"/>
            <w:vAlign w:val="bottom"/>
            <w:tcBorders>
              <w:bottom w:val="single" w:sz="8" w:color="D64000"/>
            </w:tcBorders>
            <w:shd w:val="clear" w:color="auto" w:fill="1F473D"/>
          </w:tcPr>
          <w:p>
            <w:pPr>
              <w:ind w:left="1060"/>
              <w:spacing w:after="0"/>
              <w:rPr>
                <w:sz w:val="20"/>
                <w:szCs w:val="20"/>
                <w:color w:val="auto"/>
              </w:rPr>
            </w:pPr>
            <w:r>
              <w:rPr>
                <w:rFonts w:ascii="Arial" w:cs="Arial" w:eastAsia="Arial" w:hAnsi="Arial"/>
                <w:sz w:val="16"/>
                <w:szCs w:val="16"/>
                <w:b w:val="1"/>
                <w:bCs w:val="1"/>
                <w:color w:val="FFFFFF"/>
              </w:rPr>
              <w:t>Paid</w:t>
            </w:r>
          </w:p>
        </w:tc>
        <w:tc>
          <w:tcPr>
            <w:tcW w:w="2000" w:type="dxa"/>
            <w:vAlign w:val="bottom"/>
            <w:tcBorders>
              <w:bottom w:val="single" w:sz="8" w:color="D64000"/>
            </w:tcBorders>
            <w:shd w:val="clear" w:color="auto" w:fill="1F473D"/>
          </w:tcPr>
          <w:p>
            <w:pPr>
              <w:ind w:left="380"/>
              <w:spacing w:after="0"/>
              <w:rPr>
                <w:sz w:val="20"/>
                <w:szCs w:val="20"/>
                <w:color w:val="auto"/>
              </w:rPr>
            </w:pPr>
            <w:r>
              <w:rPr>
                <w:rFonts w:ascii="Arial" w:cs="Arial" w:eastAsia="Arial" w:hAnsi="Arial"/>
                <w:sz w:val="16"/>
                <w:szCs w:val="16"/>
                <w:b w:val="1"/>
                <w:bCs w:val="1"/>
                <w:color w:val="FFFFFF"/>
              </w:rPr>
              <w:t>Hedged Risk</w:t>
            </w:r>
          </w:p>
        </w:tc>
        <w:tc>
          <w:tcPr>
            <w:tcW w:w="1360" w:type="dxa"/>
            <w:vAlign w:val="bottom"/>
            <w:tcBorders>
              <w:bottom w:val="single" w:sz="8" w:color="D64000"/>
            </w:tcBorders>
            <w:shd w:val="clear" w:color="auto" w:fill="1F473D"/>
          </w:tcPr>
          <w:p>
            <w:pPr>
              <w:ind w:left="340"/>
              <w:spacing w:after="0"/>
              <w:rPr>
                <w:sz w:val="20"/>
                <w:szCs w:val="20"/>
                <w:color w:val="auto"/>
              </w:rPr>
            </w:pPr>
            <w:r>
              <w:rPr>
                <w:rFonts w:ascii="Arial" w:cs="Arial" w:eastAsia="Arial" w:hAnsi="Arial"/>
                <w:sz w:val="16"/>
                <w:szCs w:val="16"/>
                <w:b w:val="1"/>
                <w:bCs w:val="1"/>
                <w:color w:val="FFFFFF"/>
              </w:rPr>
              <w:t>Maturity</w:t>
            </w:r>
          </w:p>
        </w:tc>
        <w:tc>
          <w:tcPr>
            <w:tcW w:w="1180" w:type="dxa"/>
            <w:vAlign w:val="bottom"/>
            <w:tcBorders>
              <w:bottom w:val="single" w:sz="8" w:color="D64000"/>
            </w:tcBorders>
            <w:shd w:val="clear" w:color="auto" w:fill="1F473D"/>
          </w:tcPr>
          <w:p>
            <w:pPr>
              <w:ind w:left="420"/>
              <w:spacing w:after="0"/>
              <w:rPr>
                <w:sz w:val="20"/>
                <w:szCs w:val="20"/>
                <w:color w:val="auto"/>
              </w:rPr>
            </w:pPr>
            <w:r>
              <w:rPr>
                <w:rFonts w:ascii="Arial" w:cs="Arial" w:eastAsia="Arial" w:hAnsi="Arial"/>
                <w:sz w:val="16"/>
                <w:szCs w:val="16"/>
                <w:b w:val="1"/>
                <w:bCs w:val="1"/>
                <w:color w:val="FFFFFF"/>
              </w:rPr>
              <w:t>Amount</w:t>
            </w:r>
          </w:p>
        </w:tc>
      </w:tr>
      <w:tr>
        <w:trPr>
          <w:trHeight w:val="171"/>
        </w:trPr>
        <w:tc>
          <w:tcPr>
            <w:tcW w:w="2600" w:type="dxa"/>
            <w:vAlign w:val="bottom"/>
          </w:tcPr>
          <w:p>
            <w:pPr>
              <w:spacing w:after="0" w:line="171" w:lineRule="exact"/>
              <w:rPr>
                <w:sz w:val="20"/>
                <w:szCs w:val="20"/>
                <w:color w:val="auto"/>
              </w:rPr>
            </w:pPr>
            <w:r>
              <w:rPr>
                <w:rFonts w:ascii="Arial" w:cs="Arial" w:eastAsia="Arial" w:hAnsi="Arial"/>
                <w:sz w:val="16"/>
                <w:szCs w:val="16"/>
                <w:b w:val="1"/>
                <w:bCs w:val="1"/>
                <w:color w:val="auto"/>
              </w:rPr>
              <w:t> Cash flow hedges</w:t>
            </w:r>
          </w:p>
        </w:tc>
        <w:tc>
          <w:tcPr>
            <w:tcW w:w="2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6"/>
        </w:trPr>
        <w:tc>
          <w:tcPr>
            <w:tcW w:w="2600" w:type="dxa"/>
            <w:vAlign w:val="bottom"/>
            <w:tcBorders>
              <w:bottom w:val="single" w:sz="8" w:color="D64000"/>
            </w:tcBorders>
          </w:tcPr>
          <w:p>
            <w:pPr>
              <w:spacing w:after="0"/>
              <w:rPr>
                <w:sz w:val="20"/>
                <w:szCs w:val="20"/>
                <w:color w:val="auto"/>
              </w:rPr>
            </w:pPr>
            <w:r>
              <w:rPr>
                <w:rFonts w:ascii="Arial" w:cs="Arial" w:eastAsia="Arial" w:hAnsi="Arial"/>
                <w:sz w:val="16"/>
                <w:szCs w:val="16"/>
                <w:color w:val="auto"/>
              </w:rPr>
              <w:t> Canadian dollar fixed</w:t>
            </w:r>
          </w:p>
        </w:tc>
        <w:tc>
          <w:tcPr>
            <w:tcW w:w="2580" w:type="dxa"/>
            <w:vAlign w:val="bottom"/>
            <w:tcBorders>
              <w:bottom w:val="single" w:sz="8" w:color="D64000"/>
            </w:tcBorders>
          </w:tcPr>
          <w:p>
            <w:pPr>
              <w:ind w:left="1060"/>
              <w:spacing w:after="0"/>
              <w:rPr>
                <w:sz w:val="20"/>
                <w:szCs w:val="20"/>
                <w:color w:val="auto"/>
              </w:rPr>
            </w:pPr>
            <w:r>
              <w:rPr>
                <w:rFonts w:ascii="Arial" w:cs="Arial" w:eastAsia="Arial" w:hAnsi="Arial"/>
                <w:sz w:val="16"/>
                <w:szCs w:val="16"/>
                <w:color w:val="auto"/>
              </w:rPr>
              <w:t>U.S. dollar fixed</w:t>
            </w:r>
          </w:p>
        </w:tc>
        <w:tc>
          <w:tcPr>
            <w:tcW w:w="2000" w:type="dxa"/>
            <w:vAlign w:val="bottom"/>
            <w:tcBorders>
              <w:bottom w:val="single" w:sz="8" w:color="D64000"/>
            </w:tcBorders>
          </w:tcPr>
          <w:p>
            <w:pPr>
              <w:ind w:left="380"/>
              <w:spacing w:after="0"/>
              <w:rPr>
                <w:sz w:val="20"/>
                <w:szCs w:val="20"/>
                <w:color w:val="auto"/>
              </w:rPr>
            </w:pPr>
            <w:r>
              <w:rPr>
                <w:rFonts w:ascii="Arial" w:cs="Arial" w:eastAsia="Arial" w:hAnsi="Arial"/>
                <w:sz w:val="16"/>
                <w:szCs w:val="16"/>
                <w:color w:val="auto"/>
              </w:rPr>
              <w:t>Foreign exchange</w:t>
            </w:r>
          </w:p>
        </w:tc>
        <w:tc>
          <w:tcPr>
            <w:tcW w:w="1360" w:type="dxa"/>
            <w:vAlign w:val="bottom"/>
            <w:tcBorders>
              <w:bottom w:val="single" w:sz="8" w:color="D64000"/>
            </w:tcBorders>
          </w:tcPr>
          <w:p>
            <w:pPr>
              <w:ind w:left="340"/>
              <w:spacing w:after="0"/>
              <w:rPr>
                <w:sz w:val="20"/>
                <w:szCs w:val="20"/>
                <w:color w:val="auto"/>
              </w:rPr>
            </w:pPr>
            <w:r>
              <w:rPr>
                <w:rFonts w:ascii="Arial" w:cs="Arial" w:eastAsia="Arial" w:hAnsi="Arial"/>
                <w:sz w:val="16"/>
                <w:szCs w:val="16"/>
                <w:color w:val="auto"/>
              </w:rPr>
              <w:t>2025</w:t>
            </w:r>
          </w:p>
        </w:tc>
        <w:tc>
          <w:tcPr>
            <w:tcW w:w="1180" w:type="dxa"/>
            <w:vAlign w:val="bottom"/>
            <w:tcBorders>
              <w:bottom w:val="single" w:sz="8" w:color="D64000"/>
            </w:tcBorders>
          </w:tcPr>
          <w:p>
            <w:pPr>
              <w:ind w:left="420"/>
              <w:spacing w:after="0"/>
              <w:rPr>
                <w:sz w:val="20"/>
                <w:szCs w:val="20"/>
                <w:color w:val="auto"/>
              </w:rPr>
            </w:pPr>
            <w:r>
              <w:rPr>
                <w:rFonts w:ascii="Arial" w:cs="Arial" w:eastAsia="Arial" w:hAnsi="Arial"/>
                <w:sz w:val="16"/>
                <w:szCs w:val="16"/>
                <w:color w:val="auto"/>
              </w:rPr>
              <w:t>US$999</w:t>
            </w:r>
          </w:p>
        </w:tc>
      </w:tr>
    </w:tbl>
    <w:p>
      <w:pPr>
        <w:spacing w:after="0" w:line="8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Currency Risk Exposures</w:t>
      </w:r>
    </w:p>
    <w:p>
      <w:pPr>
        <w:spacing w:after="0" w:line="6" w:lineRule="exact"/>
        <w:rPr>
          <w:sz w:val="20"/>
          <w:szCs w:val="20"/>
          <w:color w:val="auto"/>
        </w:rPr>
      </w:pPr>
    </w:p>
    <w:p>
      <w:pPr>
        <w:ind w:left="220" w:right="840"/>
        <w:spacing w:after="0"/>
        <w:rPr>
          <w:sz w:val="20"/>
          <w:szCs w:val="20"/>
          <w:color w:val="auto"/>
        </w:rPr>
      </w:pPr>
      <w:r>
        <w:rPr>
          <w:rFonts w:ascii="Arial" w:cs="Arial" w:eastAsia="Arial" w:hAnsi="Arial"/>
          <w:sz w:val="17"/>
          <w:szCs w:val="17"/>
          <w:color w:val="auto"/>
        </w:rPr>
        <w:t>At each reporting date presented, substantially all indebtedness was denominated in U.S. dollars or had been swapped into U.S. dollar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92075</wp:posOffset>
            </wp:positionV>
            <wp:extent cx="686562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6"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116</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carrying amount of debt, all of which is unsecured, was denominated in the following 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159385</wp:posOffset>
            </wp:positionV>
            <wp:extent cx="617537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5060" w:type="dxa"/>
            <w:vAlign w:val="bottom"/>
          </w:tcPr>
          <w:p>
            <w:pPr>
              <w:spacing w:after="0"/>
              <w:rPr>
                <w:sz w:val="17"/>
                <w:szCs w:val="17"/>
                <w:color w:val="auto"/>
              </w:rPr>
            </w:pPr>
          </w:p>
        </w:tc>
        <w:tc>
          <w:tcPr>
            <w:tcW w:w="1740" w:type="dxa"/>
            <w:vAlign w:val="bottom"/>
            <w:shd w:val="clear" w:color="auto" w:fill="E3F3EE"/>
          </w:tcPr>
          <w:p>
            <w:pPr>
              <w:jc w:val="right"/>
              <w:spacing w:after="0"/>
              <w:rPr>
                <w:sz w:val="20"/>
                <w:szCs w:val="20"/>
                <w:color w:val="auto"/>
              </w:rPr>
            </w:pPr>
            <w:r>
              <w:rPr>
                <w:rFonts w:ascii="Arial" w:cs="Arial" w:eastAsia="Arial" w:hAnsi="Arial"/>
                <w:sz w:val="16"/>
                <w:szCs w:val="16"/>
                <w:b w:val="1"/>
                <w:bCs w:val="1"/>
                <w:color w:val="auto"/>
              </w:rPr>
              <w:t>December 31,</w:t>
            </w:r>
          </w:p>
        </w:tc>
        <w:tc>
          <w:tcPr>
            <w:tcW w:w="760" w:type="dxa"/>
            <w:vAlign w:val="bottom"/>
            <w:shd w:val="clear" w:color="auto" w:fill="E3F3EE"/>
          </w:tcPr>
          <w:p>
            <w:pPr>
              <w:spacing w:after="0"/>
              <w:rPr>
                <w:sz w:val="17"/>
                <w:szCs w:val="17"/>
                <w:color w:val="auto"/>
              </w:rPr>
            </w:pPr>
          </w:p>
        </w:tc>
        <w:tc>
          <w:tcPr>
            <w:tcW w:w="1700" w:type="dxa"/>
            <w:vAlign w:val="bottom"/>
            <w:shd w:val="clear" w:color="auto" w:fill="E3F3EE"/>
          </w:tcPr>
          <w:p>
            <w:pPr>
              <w:jc w:val="right"/>
              <w:spacing w:after="0"/>
              <w:rPr>
                <w:sz w:val="20"/>
                <w:szCs w:val="20"/>
                <w:color w:val="auto"/>
              </w:rPr>
            </w:pPr>
            <w:r>
              <w:rPr>
                <w:rFonts w:ascii="Arial" w:cs="Arial" w:eastAsia="Arial" w:hAnsi="Arial"/>
                <w:sz w:val="16"/>
                <w:szCs w:val="16"/>
                <w:b w:val="1"/>
                <w:bCs w:val="1"/>
                <w:color w:val="auto"/>
              </w:rPr>
              <w:t>December 31,</w:t>
            </w:r>
          </w:p>
        </w:tc>
        <w:tc>
          <w:tcPr>
            <w:tcW w:w="460" w:type="dxa"/>
            <w:vAlign w:val="bottom"/>
            <w:shd w:val="clear" w:color="auto" w:fill="E3F3EE"/>
          </w:tcPr>
          <w:p>
            <w:pPr>
              <w:spacing w:after="0"/>
              <w:rPr>
                <w:sz w:val="17"/>
                <w:szCs w:val="17"/>
                <w:color w:val="auto"/>
              </w:rPr>
            </w:pPr>
          </w:p>
        </w:tc>
      </w:tr>
      <w:tr>
        <w:trPr>
          <w:trHeight w:val="205"/>
        </w:trPr>
        <w:tc>
          <w:tcPr>
            <w:tcW w:w="5060" w:type="dxa"/>
            <w:vAlign w:val="bottom"/>
            <w:tcBorders>
              <w:bottom w:val="single" w:sz="8" w:color="D64000"/>
            </w:tcBorders>
          </w:tcPr>
          <w:p>
            <w:pPr>
              <w:spacing w:after="0"/>
              <w:rPr>
                <w:sz w:val="17"/>
                <w:szCs w:val="17"/>
                <w:color w:val="auto"/>
              </w:rPr>
            </w:pPr>
          </w:p>
        </w:tc>
        <w:tc>
          <w:tcPr>
            <w:tcW w:w="1740" w:type="dxa"/>
            <w:vAlign w:val="bottom"/>
            <w:tcBorders>
              <w:bottom w:val="single" w:sz="8" w:color="D64000"/>
            </w:tcBorders>
            <w:shd w:val="clear" w:color="auto" w:fill="E3F3EE"/>
          </w:tcPr>
          <w:p>
            <w:pPr>
              <w:jc w:val="right"/>
              <w:ind w:right="681"/>
              <w:spacing w:after="0"/>
              <w:rPr>
                <w:sz w:val="20"/>
                <w:szCs w:val="20"/>
                <w:color w:val="auto"/>
              </w:rPr>
            </w:pPr>
            <w:r>
              <w:rPr>
                <w:rFonts w:ascii="Arial" w:cs="Arial" w:eastAsia="Arial" w:hAnsi="Arial"/>
                <w:sz w:val="16"/>
                <w:szCs w:val="16"/>
                <w:b w:val="1"/>
                <w:bCs w:val="1"/>
                <w:color w:val="auto"/>
              </w:rPr>
              <w:t>2024 </w:t>
            </w:r>
          </w:p>
        </w:tc>
        <w:tc>
          <w:tcPr>
            <w:tcW w:w="760" w:type="dxa"/>
            <w:vAlign w:val="bottom"/>
            <w:tcBorders>
              <w:bottom w:val="single" w:sz="8" w:color="D64000"/>
            </w:tcBorders>
            <w:shd w:val="clear" w:color="auto" w:fill="E3F3EE"/>
          </w:tcPr>
          <w:p>
            <w:pPr>
              <w:ind w:left="60"/>
              <w:spacing w:after="0"/>
              <w:rPr>
                <w:sz w:val="20"/>
                <w:szCs w:val="20"/>
                <w:color w:val="auto"/>
              </w:rPr>
            </w:pPr>
            <w:r>
              <w:rPr>
                <w:rFonts w:ascii="Arial" w:cs="Arial" w:eastAsia="Arial" w:hAnsi="Arial"/>
                <w:sz w:val="16"/>
                <w:szCs w:val="16"/>
                <w:color w:val="auto"/>
              </w:rPr>
              <w:t>2023  </w:t>
            </w:r>
          </w:p>
        </w:tc>
        <w:tc>
          <w:tcPr>
            <w:tcW w:w="1700" w:type="dxa"/>
            <w:vAlign w:val="bottom"/>
            <w:tcBorders>
              <w:bottom w:val="single" w:sz="8" w:color="D64000"/>
            </w:tcBorders>
            <w:shd w:val="clear" w:color="auto" w:fill="E3F3EE"/>
          </w:tcPr>
          <w:p>
            <w:pPr>
              <w:jc w:val="right"/>
              <w:ind w:right="641"/>
              <w:spacing w:after="0"/>
              <w:rPr>
                <w:sz w:val="20"/>
                <w:szCs w:val="20"/>
                <w:color w:val="auto"/>
              </w:rPr>
            </w:pPr>
            <w:r>
              <w:rPr>
                <w:rFonts w:ascii="Arial" w:cs="Arial" w:eastAsia="Arial" w:hAnsi="Arial"/>
                <w:sz w:val="16"/>
                <w:szCs w:val="16"/>
                <w:b w:val="1"/>
                <w:bCs w:val="1"/>
                <w:color w:val="auto"/>
              </w:rPr>
              <w:t>2024 </w:t>
            </w:r>
          </w:p>
        </w:tc>
        <w:tc>
          <w:tcPr>
            <w:tcW w:w="460" w:type="dxa"/>
            <w:vAlign w:val="bottom"/>
            <w:tcBorders>
              <w:bottom w:val="single" w:sz="8" w:color="D64000"/>
            </w:tcBorders>
            <w:shd w:val="clear" w:color="auto" w:fill="E3F3EE"/>
          </w:tcPr>
          <w:p>
            <w:pPr>
              <w:jc w:val="right"/>
              <w:spacing w:after="0"/>
              <w:rPr>
                <w:sz w:val="20"/>
                <w:szCs w:val="20"/>
                <w:color w:val="auto"/>
              </w:rPr>
            </w:pPr>
            <w:r>
              <w:rPr>
                <w:rFonts w:ascii="Arial" w:cs="Arial" w:eastAsia="Arial" w:hAnsi="Arial"/>
                <w:sz w:val="16"/>
                <w:szCs w:val="16"/>
                <w:color w:val="auto"/>
              </w:rPr>
              <w:t>2023  </w:t>
            </w:r>
          </w:p>
        </w:tc>
      </w:tr>
      <w:tr>
        <w:trPr>
          <w:trHeight w:val="171"/>
        </w:trPr>
        <w:tc>
          <w:tcPr>
            <w:tcW w:w="5060" w:type="dxa"/>
            <w:vAlign w:val="bottom"/>
            <w:shd w:val="clear" w:color="auto" w:fill="1F473D"/>
          </w:tcPr>
          <w:p>
            <w:pPr>
              <w:spacing w:after="0"/>
              <w:rPr>
                <w:sz w:val="14"/>
                <w:szCs w:val="14"/>
                <w:color w:val="auto"/>
              </w:rPr>
            </w:pPr>
          </w:p>
        </w:tc>
        <w:tc>
          <w:tcPr>
            <w:tcW w:w="2500" w:type="dxa"/>
            <w:vAlign w:val="bottom"/>
            <w:gridSpan w:val="2"/>
            <w:shd w:val="clear" w:color="auto" w:fill="1F473D"/>
          </w:tcPr>
          <w:p>
            <w:pPr>
              <w:ind w:left="200"/>
              <w:spacing w:after="0" w:line="171" w:lineRule="exact"/>
              <w:rPr>
                <w:sz w:val="20"/>
                <w:szCs w:val="20"/>
                <w:color w:val="auto"/>
              </w:rPr>
            </w:pPr>
            <w:r>
              <w:rPr>
                <w:rFonts w:ascii="Arial" w:cs="Arial" w:eastAsia="Arial" w:hAnsi="Arial"/>
                <w:sz w:val="16"/>
                <w:szCs w:val="16"/>
                <w:b w:val="1"/>
                <w:bCs w:val="1"/>
                <w:color w:val="FFFFFF"/>
              </w:rPr>
              <w:t>Before Currency Hedging</w:t>
            </w:r>
          </w:p>
        </w:tc>
        <w:tc>
          <w:tcPr>
            <w:tcW w:w="2160" w:type="dxa"/>
            <w:vAlign w:val="bottom"/>
            <w:gridSpan w:val="2"/>
            <w:shd w:val="clear" w:color="auto" w:fill="1F473D"/>
          </w:tcPr>
          <w:p>
            <w:pPr>
              <w:jc w:val="right"/>
              <w:ind w:right="41"/>
              <w:spacing w:after="0" w:line="171" w:lineRule="exact"/>
              <w:rPr>
                <w:sz w:val="20"/>
                <w:szCs w:val="20"/>
                <w:color w:val="auto"/>
              </w:rPr>
            </w:pPr>
            <w:r>
              <w:rPr>
                <w:rFonts w:ascii="Arial" w:cs="Arial" w:eastAsia="Arial" w:hAnsi="Arial"/>
                <w:sz w:val="16"/>
                <w:szCs w:val="16"/>
                <w:b w:val="1"/>
                <w:bCs w:val="1"/>
                <w:color w:val="FFFFFF"/>
              </w:rPr>
              <w:t>After Currency Hedging</w:t>
            </w:r>
          </w:p>
        </w:tc>
      </w:tr>
      <w:tr>
        <w:trPr>
          <w:trHeight w:val="206"/>
        </w:trPr>
        <w:tc>
          <w:tcPr>
            <w:tcW w:w="5060" w:type="dxa"/>
            <w:vAlign w:val="bottom"/>
            <w:tcBorders>
              <w:bottom w:val="single" w:sz="8" w:color="D64000"/>
            </w:tcBorders>
            <w:shd w:val="clear" w:color="auto" w:fill="1F473D"/>
          </w:tcPr>
          <w:p>
            <w:pPr>
              <w:spacing w:after="0"/>
              <w:rPr>
                <w:sz w:val="17"/>
                <w:szCs w:val="17"/>
                <w:color w:val="auto"/>
              </w:rPr>
            </w:pPr>
          </w:p>
        </w:tc>
        <w:tc>
          <w:tcPr>
            <w:tcW w:w="174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b w:val="1"/>
                <w:bCs w:val="1"/>
                <w:color w:val="FFFFFF"/>
              </w:rPr>
              <w:t>Arrangements</w:t>
            </w:r>
          </w:p>
        </w:tc>
        <w:tc>
          <w:tcPr>
            <w:tcW w:w="760" w:type="dxa"/>
            <w:vAlign w:val="bottom"/>
            <w:tcBorders>
              <w:bottom w:val="single" w:sz="8" w:color="D64000"/>
            </w:tcBorders>
            <w:shd w:val="clear" w:color="auto" w:fill="1F473D"/>
          </w:tcPr>
          <w:p>
            <w:pPr>
              <w:spacing w:after="0"/>
              <w:rPr>
                <w:sz w:val="17"/>
                <w:szCs w:val="17"/>
                <w:color w:val="auto"/>
              </w:rPr>
            </w:pPr>
          </w:p>
        </w:tc>
        <w:tc>
          <w:tcPr>
            <w:tcW w:w="2160" w:type="dxa"/>
            <w:vAlign w:val="bottom"/>
            <w:tcBorders>
              <w:bottom w:val="single" w:sz="8" w:color="D64000"/>
            </w:tcBorders>
            <w:gridSpan w:val="2"/>
            <w:shd w:val="clear" w:color="auto" w:fill="1F473D"/>
          </w:tcPr>
          <w:p>
            <w:pPr>
              <w:jc w:val="right"/>
              <w:ind w:right="341"/>
              <w:spacing w:after="0" w:line="200" w:lineRule="exact"/>
              <w:rPr>
                <w:sz w:val="20"/>
                <w:szCs w:val="20"/>
                <w:color w:val="auto"/>
              </w:rPr>
            </w:pPr>
            <w:r>
              <w:rPr>
                <w:rFonts w:ascii="Arial" w:cs="Arial" w:eastAsia="Arial" w:hAnsi="Arial"/>
                <w:sz w:val="16"/>
                <w:szCs w:val="16"/>
                <w:b w:val="1"/>
                <w:bCs w:val="1"/>
                <w:color w:val="FFFFFF"/>
              </w:rPr>
              <w:t>Arrangements</w:t>
            </w:r>
            <w:r>
              <w:rPr>
                <w:rFonts w:ascii="Arial" w:cs="Arial" w:eastAsia="Arial" w:hAnsi="Arial"/>
                <w:sz w:val="19"/>
                <w:szCs w:val="19"/>
                <w:b w:val="1"/>
                <w:bCs w:val="1"/>
                <w:color w:val="FFFFFF"/>
                <w:vertAlign w:val="superscript"/>
              </w:rPr>
              <w:t>(1)</w:t>
            </w:r>
          </w:p>
        </w:tc>
      </w:tr>
      <w:tr>
        <w:trPr>
          <w:trHeight w:val="171"/>
        </w:trPr>
        <w:tc>
          <w:tcPr>
            <w:tcW w:w="5060" w:type="dxa"/>
            <w:vAlign w:val="bottom"/>
          </w:tcPr>
          <w:p>
            <w:pPr>
              <w:spacing w:after="0" w:line="171" w:lineRule="exact"/>
              <w:rPr>
                <w:sz w:val="20"/>
                <w:szCs w:val="20"/>
                <w:color w:val="auto"/>
              </w:rPr>
            </w:pPr>
            <w:r>
              <w:rPr>
                <w:rFonts w:ascii="Arial" w:cs="Arial" w:eastAsia="Arial" w:hAnsi="Arial"/>
                <w:sz w:val="16"/>
                <w:szCs w:val="16"/>
                <w:color w:val="auto"/>
              </w:rPr>
              <w:t> Canadian dollar</w:t>
            </w:r>
          </w:p>
        </w:tc>
        <w:tc>
          <w:tcPr>
            <w:tcW w:w="1740" w:type="dxa"/>
            <w:vAlign w:val="bottom"/>
          </w:tcPr>
          <w:p>
            <w:pPr>
              <w:jc w:val="right"/>
              <w:ind w:right="701"/>
              <w:spacing w:after="0" w:line="171" w:lineRule="exact"/>
              <w:rPr>
                <w:sz w:val="20"/>
                <w:szCs w:val="20"/>
                <w:color w:val="auto"/>
              </w:rPr>
            </w:pPr>
            <w:r>
              <w:rPr>
                <w:rFonts w:ascii="Arial" w:cs="Arial" w:eastAsia="Arial" w:hAnsi="Arial"/>
                <w:sz w:val="16"/>
                <w:szCs w:val="16"/>
                <w:b w:val="1"/>
                <w:bCs w:val="1"/>
                <w:color w:val="auto"/>
              </w:rPr>
              <w:t>973</w:t>
            </w:r>
          </w:p>
        </w:tc>
        <w:tc>
          <w:tcPr>
            <w:tcW w:w="760" w:type="dxa"/>
            <w:vAlign w:val="bottom"/>
          </w:tcPr>
          <w:p>
            <w:pPr>
              <w:ind w:left="40"/>
              <w:spacing w:after="0" w:line="171" w:lineRule="exact"/>
              <w:rPr>
                <w:sz w:val="20"/>
                <w:szCs w:val="20"/>
                <w:color w:val="auto"/>
              </w:rPr>
            </w:pPr>
            <w:r>
              <w:rPr>
                <w:rFonts w:ascii="Arial" w:cs="Arial" w:eastAsia="Arial" w:hAnsi="Arial"/>
                <w:sz w:val="16"/>
                <w:szCs w:val="16"/>
                <w:color w:val="auto"/>
              </w:rPr>
              <w:t>1,060</w:t>
            </w:r>
          </w:p>
        </w:tc>
        <w:tc>
          <w:tcPr>
            <w:tcW w:w="1700" w:type="dxa"/>
            <w:vAlign w:val="bottom"/>
          </w:tcPr>
          <w:p>
            <w:pPr>
              <w:jc w:val="right"/>
              <w:ind w:right="641"/>
              <w:spacing w:after="0" w:line="171" w:lineRule="exact"/>
              <w:rPr>
                <w:sz w:val="20"/>
                <w:szCs w:val="20"/>
                <w:color w:val="auto"/>
              </w:rPr>
            </w:pPr>
            <w:r>
              <w:rPr>
                <w:rFonts w:ascii="Arial" w:cs="Arial" w:eastAsia="Arial" w:hAnsi="Arial"/>
                <w:sz w:val="16"/>
                <w:szCs w:val="16"/>
                <w:b w:val="1"/>
                <w:bCs w:val="1"/>
                <w:color w:val="auto"/>
              </w:rPr>
              <w:t>-</w:t>
            </w:r>
          </w:p>
        </w:tc>
        <w:tc>
          <w:tcPr>
            <w:tcW w:w="460" w:type="dxa"/>
            <w:vAlign w:val="bottom"/>
          </w:tcPr>
          <w:p>
            <w:pPr>
              <w:jc w:val="right"/>
              <w:spacing w:after="0" w:line="171" w:lineRule="exact"/>
              <w:rPr>
                <w:sz w:val="20"/>
                <w:szCs w:val="20"/>
                <w:color w:val="auto"/>
              </w:rPr>
            </w:pPr>
            <w:r>
              <w:rPr>
                <w:rFonts w:ascii="Arial" w:cs="Arial" w:eastAsia="Arial" w:hAnsi="Arial"/>
                <w:sz w:val="16"/>
                <w:szCs w:val="16"/>
                <w:color w:val="auto"/>
              </w:rPr>
              <w:t>-</w:t>
            </w:r>
          </w:p>
        </w:tc>
      </w:tr>
      <w:tr>
        <w:trPr>
          <w:trHeight w:val="200"/>
        </w:trPr>
        <w:tc>
          <w:tcPr>
            <w:tcW w:w="506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U.S. dollar</w:t>
            </w:r>
          </w:p>
        </w:tc>
        <w:tc>
          <w:tcPr>
            <w:tcW w:w="1740" w:type="dxa"/>
            <w:vAlign w:val="bottom"/>
            <w:tcBorders>
              <w:bottom w:val="single" w:sz="8" w:color="B2B2B2"/>
            </w:tcBorders>
          </w:tcPr>
          <w:p>
            <w:pPr>
              <w:jc w:val="right"/>
              <w:ind w:right="701"/>
              <w:spacing w:after="0"/>
              <w:rPr>
                <w:sz w:val="20"/>
                <w:szCs w:val="20"/>
                <w:color w:val="auto"/>
              </w:rPr>
            </w:pPr>
            <w:r>
              <w:rPr>
                <w:rFonts w:ascii="Arial" w:cs="Arial" w:eastAsia="Arial" w:hAnsi="Arial"/>
                <w:sz w:val="16"/>
                <w:szCs w:val="16"/>
                <w:b w:val="1"/>
                <w:bCs w:val="1"/>
                <w:color w:val="auto"/>
              </w:rPr>
              <w:t>1,847</w:t>
            </w:r>
          </w:p>
        </w:tc>
        <w:tc>
          <w:tcPr>
            <w:tcW w:w="760" w:type="dxa"/>
            <w:vAlign w:val="bottom"/>
            <w:tcBorders>
              <w:bottom w:val="single" w:sz="8" w:color="B2B2B2"/>
            </w:tcBorders>
          </w:tcPr>
          <w:p>
            <w:pPr>
              <w:ind w:left="40"/>
              <w:spacing w:after="0"/>
              <w:rPr>
                <w:sz w:val="20"/>
                <w:szCs w:val="20"/>
                <w:color w:val="auto"/>
              </w:rPr>
            </w:pPr>
            <w:r>
              <w:rPr>
                <w:rFonts w:ascii="Arial" w:cs="Arial" w:eastAsia="Arial" w:hAnsi="Arial"/>
                <w:sz w:val="16"/>
                <w:szCs w:val="16"/>
                <w:color w:val="auto"/>
              </w:rPr>
              <w:t>2,217</w:t>
            </w:r>
          </w:p>
        </w:tc>
        <w:tc>
          <w:tcPr>
            <w:tcW w:w="1700" w:type="dxa"/>
            <w:vAlign w:val="bottom"/>
            <w:tcBorders>
              <w:bottom w:val="single" w:sz="8" w:color="B2B2B2"/>
            </w:tcBorders>
          </w:tcPr>
          <w:p>
            <w:pPr>
              <w:jc w:val="right"/>
              <w:ind w:right="641"/>
              <w:spacing w:after="0"/>
              <w:rPr>
                <w:sz w:val="20"/>
                <w:szCs w:val="20"/>
                <w:color w:val="auto"/>
              </w:rPr>
            </w:pPr>
            <w:r>
              <w:rPr>
                <w:rFonts w:ascii="Arial" w:cs="Arial" w:eastAsia="Arial" w:hAnsi="Arial"/>
                <w:sz w:val="16"/>
                <w:szCs w:val="16"/>
                <w:b w:val="1"/>
                <w:bCs w:val="1"/>
                <w:color w:val="auto"/>
              </w:rPr>
              <w:t>2,841</w:t>
            </w:r>
          </w:p>
        </w:tc>
        <w:tc>
          <w:tcPr>
            <w:tcW w:w="4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w w:val="99"/>
              </w:rPr>
              <w:t>3,212</w:t>
            </w:r>
          </w:p>
        </w:tc>
      </w:tr>
      <w:tr>
        <w:trPr>
          <w:trHeight w:val="185"/>
        </w:trPr>
        <w:tc>
          <w:tcPr>
            <w:tcW w:w="5060" w:type="dxa"/>
            <w:vAlign w:val="bottom"/>
            <w:tcBorders>
              <w:bottom w:val="single" w:sz="8" w:color="D64000"/>
            </w:tcBorders>
          </w:tcPr>
          <w:p>
            <w:pPr>
              <w:spacing w:after="0"/>
              <w:rPr>
                <w:sz w:val="16"/>
                <w:szCs w:val="16"/>
                <w:color w:val="auto"/>
              </w:rPr>
            </w:pPr>
          </w:p>
        </w:tc>
        <w:tc>
          <w:tcPr>
            <w:tcW w:w="1740" w:type="dxa"/>
            <w:vAlign w:val="bottom"/>
            <w:tcBorders>
              <w:bottom w:val="single" w:sz="8" w:color="D64000"/>
            </w:tcBorders>
          </w:tcPr>
          <w:p>
            <w:pPr>
              <w:jc w:val="right"/>
              <w:ind w:right="701"/>
              <w:spacing w:after="0" w:line="179" w:lineRule="exact"/>
              <w:rPr>
                <w:sz w:val="20"/>
                <w:szCs w:val="20"/>
                <w:color w:val="auto"/>
              </w:rPr>
            </w:pPr>
            <w:r>
              <w:rPr>
                <w:rFonts w:ascii="Arial" w:cs="Arial" w:eastAsia="Arial" w:hAnsi="Arial"/>
                <w:sz w:val="16"/>
                <w:szCs w:val="16"/>
                <w:b w:val="1"/>
                <w:bCs w:val="1"/>
                <w:color w:val="auto"/>
              </w:rPr>
              <w:t>2,820</w:t>
            </w:r>
          </w:p>
        </w:tc>
        <w:tc>
          <w:tcPr>
            <w:tcW w:w="760" w:type="dxa"/>
            <w:vAlign w:val="bottom"/>
            <w:tcBorders>
              <w:bottom w:val="single" w:sz="8" w:color="D64000"/>
            </w:tcBorders>
          </w:tcPr>
          <w:p>
            <w:pPr>
              <w:ind w:left="40"/>
              <w:spacing w:after="0" w:line="179" w:lineRule="exact"/>
              <w:rPr>
                <w:sz w:val="20"/>
                <w:szCs w:val="20"/>
                <w:color w:val="auto"/>
              </w:rPr>
            </w:pPr>
            <w:r>
              <w:rPr>
                <w:rFonts w:ascii="Arial" w:cs="Arial" w:eastAsia="Arial" w:hAnsi="Arial"/>
                <w:sz w:val="16"/>
                <w:szCs w:val="16"/>
                <w:color w:val="auto"/>
              </w:rPr>
              <w:t>3,277</w:t>
            </w:r>
          </w:p>
        </w:tc>
        <w:tc>
          <w:tcPr>
            <w:tcW w:w="1700" w:type="dxa"/>
            <w:vAlign w:val="bottom"/>
            <w:tcBorders>
              <w:bottom w:val="single" w:sz="8" w:color="D64000"/>
            </w:tcBorders>
          </w:tcPr>
          <w:p>
            <w:pPr>
              <w:jc w:val="right"/>
              <w:ind w:right="641"/>
              <w:spacing w:after="0" w:line="179" w:lineRule="exact"/>
              <w:rPr>
                <w:sz w:val="20"/>
                <w:szCs w:val="20"/>
                <w:color w:val="auto"/>
              </w:rPr>
            </w:pPr>
            <w:r>
              <w:rPr>
                <w:rFonts w:ascii="Arial" w:cs="Arial" w:eastAsia="Arial" w:hAnsi="Arial"/>
                <w:sz w:val="16"/>
                <w:szCs w:val="16"/>
                <w:b w:val="1"/>
                <w:bCs w:val="1"/>
                <w:color w:val="auto"/>
              </w:rPr>
              <w:t>2,841</w:t>
            </w:r>
          </w:p>
        </w:tc>
        <w:tc>
          <w:tcPr>
            <w:tcW w:w="46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w w:val="99"/>
              </w:rPr>
              <w:t>3,212</w:t>
            </w:r>
          </w:p>
        </w:tc>
      </w:tr>
    </w:tbl>
    <w:p>
      <w:pPr>
        <w:spacing w:after="0" w:line="110" w:lineRule="exact"/>
        <w:rPr>
          <w:sz w:val="20"/>
          <w:szCs w:val="20"/>
          <w:color w:val="auto"/>
        </w:rPr>
      </w:pPr>
    </w:p>
    <w:p>
      <w:pPr>
        <w:ind w:left="640" w:right="80" w:hanging="422"/>
        <w:spacing w:after="0" w:line="274" w:lineRule="auto"/>
        <w:tabs>
          <w:tab w:leader="none" w:pos="64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Includes fair value adjustments of $5 million and $2 million as of December 31, 2024 and 2023, respectively, associated with the interest related fair value component of hedging instruments.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Interest Rate Risk Exposures</w:t>
      </w:r>
    </w:p>
    <w:p>
      <w:pPr>
        <w:spacing w:after="0" w:line="6" w:lineRule="exact"/>
        <w:rPr>
          <w:sz w:val="20"/>
          <w:szCs w:val="20"/>
          <w:color w:val="auto"/>
        </w:rPr>
      </w:pPr>
    </w:p>
    <w:p>
      <w:pPr>
        <w:ind w:left="220" w:right="200"/>
        <w:spacing w:after="0" w:line="236" w:lineRule="auto"/>
        <w:rPr>
          <w:sz w:val="20"/>
          <w:szCs w:val="20"/>
          <w:color w:val="auto"/>
        </w:rPr>
      </w:pPr>
      <w:r>
        <w:rPr>
          <w:rFonts w:ascii="Arial" w:cs="Arial" w:eastAsia="Arial" w:hAnsi="Arial"/>
          <w:sz w:val="17"/>
          <w:szCs w:val="17"/>
          <w:color w:val="auto"/>
        </w:rPr>
        <w:t>As of December 31, 2024 and 2023, the Company’s notes and debentures (after swaps) pay interest at fixed rates. The weighted-average interest rate of all Company borrowings, including commercial paper issuances when such amounts are outstanding, was 4.1% in 2024 (2023 – 4.2%).</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Foreign Exchange Contracts</w:t>
      </w:r>
    </w:p>
    <w:p>
      <w:pPr>
        <w:spacing w:after="0" w:line="6" w:lineRule="exact"/>
        <w:rPr>
          <w:sz w:val="20"/>
          <w:szCs w:val="20"/>
          <w:color w:val="auto"/>
        </w:rPr>
      </w:pPr>
    </w:p>
    <w:p>
      <w:pPr>
        <w:ind w:left="220" w:right="400"/>
        <w:spacing w:after="0" w:line="233" w:lineRule="auto"/>
        <w:rPr>
          <w:sz w:val="20"/>
          <w:szCs w:val="20"/>
          <w:color w:val="auto"/>
        </w:rPr>
      </w:pPr>
      <w:r>
        <w:rPr>
          <w:rFonts w:ascii="Arial" w:cs="Arial" w:eastAsia="Arial" w:hAnsi="Arial"/>
          <w:sz w:val="17"/>
          <w:szCs w:val="17"/>
          <w:color w:val="auto"/>
        </w:rPr>
        <w:t>The Company previously entered into foreign exchange contracts that were intended to reduce foreign currency risk related to a portion of its former indirect investment in LSEG, which was denominated in British pounds sterling. These instruments were not related to changes in the LSEG share price. In May 2024, the Company settled its remaining foreign exchange contracts in conjunction with the sale of its remaining shares in LSEG (see note 9).</w:t>
      </w:r>
    </w:p>
    <w:p>
      <w:pPr>
        <w:spacing w:after="0" w:line="73" w:lineRule="exact"/>
        <w:rPr>
          <w:sz w:val="20"/>
          <w:szCs w:val="20"/>
          <w:color w:val="auto"/>
        </w:rPr>
      </w:pPr>
    </w:p>
    <w:p>
      <w:pPr>
        <w:ind w:left="220" w:right="20"/>
        <w:spacing w:after="0" w:line="243" w:lineRule="auto"/>
        <w:rPr>
          <w:sz w:val="20"/>
          <w:szCs w:val="20"/>
          <w:color w:val="auto"/>
        </w:rPr>
      </w:pPr>
      <w:r>
        <w:rPr>
          <w:rFonts w:ascii="Arial" w:cs="Arial" w:eastAsia="Arial" w:hAnsi="Arial"/>
          <w:sz w:val="17"/>
          <w:szCs w:val="17"/>
          <w:color w:val="auto"/>
        </w:rPr>
        <w:t>During 2024, the Company settled foreign exchange contracts with a notional amount of £1.2 billion ($1.6 billion) for net proceeds of $24 million in conjunction with the sale of 16.0 million LSEG shares. During 2023, the Company settled foreign exchange contracts with a notional amount of £2.7 billion ($3.5 billion) for net proceeds of $151 million in conjunction with the sale of 43.8 million of LSEG shares.</w:t>
      </w:r>
    </w:p>
    <w:p>
      <w:pPr>
        <w:spacing w:after="0" w:line="69" w:lineRule="exact"/>
        <w:rPr>
          <w:sz w:val="20"/>
          <w:szCs w:val="20"/>
          <w:color w:val="auto"/>
        </w:rPr>
      </w:pPr>
    </w:p>
    <w:p>
      <w:pPr>
        <w:ind w:left="220" w:right="40"/>
        <w:spacing w:after="0" w:line="235" w:lineRule="auto"/>
        <w:rPr>
          <w:sz w:val="20"/>
          <w:szCs w:val="20"/>
          <w:color w:val="auto"/>
        </w:rPr>
      </w:pPr>
      <w:r>
        <w:rPr>
          <w:rFonts w:ascii="Arial" w:cs="Arial" w:eastAsia="Arial" w:hAnsi="Arial"/>
          <w:sz w:val="17"/>
          <w:szCs w:val="17"/>
          <w:color w:val="auto"/>
        </w:rPr>
        <w:t>Foreign exchange contracts are reported at fair value on the consolidated statement of financial position, with changes in their fair value recorded through the consolidated income statement. In 2024, losses of $2 million (2023 – losses of $132 million) were reported within “Other finance income (costs)” in the consolidated income statement (see note 8) with respect to these foreign exchange contracts due to fluctuations in the U.S. dollar – British pounds sterling exchange rate. There were no foreign exchange contracts outstanding as of December 31, 2024. The associated net fair value of these contracts were an asset of $26 million as of December 31, 2023, which was recorded within other current financial assets or liabilities as appropriate, in the consolidated statement of financial position.</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Fair value gains and losses from derivative financial instruments</w:t>
      </w:r>
    </w:p>
    <w:p>
      <w:pPr>
        <w:spacing w:after="0" w:line="6" w:lineRule="exact"/>
        <w:rPr>
          <w:sz w:val="20"/>
          <w:szCs w:val="20"/>
          <w:color w:val="auto"/>
        </w:rPr>
      </w:pPr>
    </w:p>
    <w:p>
      <w:pPr>
        <w:ind w:left="220" w:right="100"/>
        <w:spacing w:after="0"/>
        <w:rPr>
          <w:sz w:val="20"/>
          <w:szCs w:val="20"/>
          <w:color w:val="auto"/>
        </w:rPr>
      </w:pPr>
      <w:r>
        <w:rPr>
          <w:rFonts w:ascii="Arial" w:cs="Arial" w:eastAsia="Arial" w:hAnsi="Arial"/>
          <w:sz w:val="17"/>
          <w:szCs w:val="17"/>
          <w:color w:val="auto"/>
        </w:rPr>
        <w:t>Fair value gains and losses from derivative financial instruments recognized in the consolidated income statement and consolidated statement of changes in equity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142875</wp:posOffset>
            </wp:positionV>
            <wp:extent cx="617537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205"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4340" w:type="dxa"/>
            <w:vAlign w:val="bottom"/>
          </w:tcPr>
          <w:p>
            <w:pPr>
              <w:spacing w:after="0"/>
              <w:rPr>
                <w:sz w:val="17"/>
                <w:szCs w:val="17"/>
                <w:color w:val="auto"/>
              </w:rPr>
            </w:pPr>
          </w:p>
        </w:tc>
        <w:tc>
          <w:tcPr>
            <w:tcW w:w="1340" w:type="dxa"/>
            <w:vAlign w:val="bottom"/>
            <w:shd w:val="clear" w:color="auto" w:fill="E3F3EE"/>
          </w:tcPr>
          <w:p>
            <w:pPr>
              <w:spacing w:after="0"/>
              <w:rPr>
                <w:sz w:val="17"/>
                <w:szCs w:val="17"/>
                <w:color w:val="auto"/>
              </w:rPr>
            </w:pPr>
          </w:p>
        </w:tc>
        <w:tc>
          <w:tcPr>
            <w:tcW w:w="2740" w:type="dxa"/>
            <w:vAlign w:val="bottom"/>
            <w:gridSpan w:val="2"/>
            <w:shd w:val="clear" w:color="auto" w:fill="E3F3EE"/>
          </w:tcPr>
          <w:p>
            <w:pPr>
              <w:jc w:val="right"/>
              <w:ind w:right="361"/>
              <w:spacing w:after="0"/>
              <w:rPr>
                <w:sz w:val="20"/>
                <w:szCs w:val="20"/>
                <w:color w:val="auto"/>
              </w:rPr>
            </w:pPr>
            <w:r>
              <w:rPr>
                <w:rFonts w:ascii="Arial" w:cs="Arial" w:eastAsia="Arial" w:hAnsi="Arial"/>
                <w:sz w:val="16"/>
                <w:szCs w:val="16"/>
                <w:b w:val="1"/>
                <w:bCs w:val="1"/>
                <w:color w:val="auto"/>
              </w:rPr>
              <w:t>Year ended December 31,</w:t>
            </w:r>
          </w:p>
        </w:tc>
        <w:tc>
          <w:tcPr>
            <w:tcW w:w="1300" w:type="dxa"/>
            <w:vAlign w:val="bottom"/>
            <w:shd w:val="clear" w:color="auto" w:fill="E3F3E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40" w:type="dxa"/>
            <w:vAlign w:val="bottom"/>
          </w:tcPr>
          <w:p>
            <w:pPr>
              <w:spacing w:after="0"/>
              <w:rPr>
                <w:sz w:val="17"/>
                <w:szCs w:val="17"/>
                <w:color w:val="auto"/>
              </w:rPr>
            </w:pPr>
          </w:p>
        </w:tc>
        <w:tc>
          <w:tcPr>
            <w:tcW w:w="2700" w:type="dxa"/>
            <w:vAlign w:val="bottom"/>
            <w:gridSpan w:val="2"/>
            <w:shd w:val="clear" w:color="auto" w:fill="E3F3EE"/>
          </w:tcPr>
          <w:p>
            <w:pPr>
              <w:jc w:val="right"/>
              <w:ind w:right="1101"/>
              <w:spacing w:after="0"/>
              <w:rPr>
                <w:sz w:val="20"/>
                <w:szCs w:val="20"/>
                <w:color w:val="auto"/>
              </w:rPr>
            </w:pPr>
            <w:r>
              <w:rPr>
                <w:rFonts w:ascii="Arial" w:cs="Arial" w:eastAsia="Arial" w:hAnsi="Arial"/>
                <w:sz w:val="16"/>
                <w:szCs w:val="16"/>
                <w:b w:val="1"/>
                <w:bCs w:val="1"/>
                <w:color w:val="auto"/>
              </w:rPr>
              <w:t>2024</w:t>
            </w:r>
          </w:p>
        </w:tc>
        <w:tc>
          <w:tcPr>
            <w:tcW w:w="2680" w:type="dxa"/>
            <w:vAlign w:val="bottom"/>
            <w:gridSpan w:val="2"/>
            <w:shd w:val="clear" w:color="auto" w:fill="E3F3EE"/>
          </w:tcPr>
          <w:p>
            <w:pPr>
              <w:jc w:val="right"/>
              <w:ind w:right="1101"/>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171"/>
        </w:trPr>
        <w:tc>
          <w:tcPr>
            <w:tcW w:w="4340" w:type="dxa"/>
            <w:vAlign w:val="bottom"/>
            <w:shd w:val="clear" w:color="auto" w:fill="1F473D"/>
          </w:tcPr>
          <w:p>
            <w:pPr>
              <w:spacing w:after="0"/>
              <w:rPr>
                <w:sz w:val="14"/>
                <w:szCs w:val="14"/>
                <w:color w:val="auto"/>
              </w:rPr>
            </w:pPr>
          </w:p>
        </w:tc>
        <w:tc>
          <w:tcPr>
            <w:tcW w:w="1340" w:type="dxa"/>
            <w:vAlign w:val="bottom"/>
            <w:shd w:val="clear" w:color="auto" w:fill="1F473D"/>
          </w:tcPr>
          <w:p>
            <w:pPr>
              <w:jc w:val="center"/>
              <w:ind w:right="1"/>
              <w:spacing w:after="0" w:line="171" w:lineRule="exact"/>
              <w:rPr>
                <w:sz w:val="20"/>
                <w:szCs w:val="20"/>
                <w:color w:val="auto"/>
              </w:rPr>
            </w:pPr>
            <w:r>
              <w:rPr>
                <w:rFonts w:ascii="Arial" w:cs="Arial" w:eastAsia="Arial" w:hAnsi="Arial"/>
                <w:sz w:val="16"/>
                <w:szCs w:val="16"/>
                <w:b w:val="1"/>
                <w:bCs w:val="1"/>
                <w:color w:val="FFFFFF"/>
                <w:w w:val="99"/>
              </w:rPr>
              <w:t>Fair Value Loss</w:t>
            </w:r>
          </w:p>
        </w:tc>
        <w:tc>
          <w:tcPr>
            <w:tcW w:w="1360" w:type="dxa"/>
            <w:vAlign w:val="bottom"/>
            <w:vMerge w:val="restart"/>
            <w:shd w:val="clear" w:color="auto" w:fill="1F473D"/>
          </w:tcPr>
          <w:p>
            <w:pPr>
              <w:jc w:val="right"/>
              <w:ind w:right="61"/>
              <w:spacing w:after="0"/>
              <w:rPr>
                <w:sz w:val="20"/>
                <w:szCs w:val="20"/>
                <w:color w:val="auto"/>
              </w:rPr>
            </w:pPr>
            <w:r>
              <w:rPr>
                <w:rFonts w:ascii="Arial" w:cs="Arial" w:eastAsia="Arial" w:hAnsi="Arial"/>
                <w:sz w:val="16"/>
                <w:szCs w:val="16"/>
                <w:b w:val="1"/>
                <w:bCs w:val="1"/>
                <w:color w:val="FFFFFF"/>
              </w:rPr>
              <w:t>Fair Value Gain</w:t>
            </w:r>
          </w:p>
        </w:tc>
        <w:tc>
          <w:tcPr>
            <w:tcW w:w="1380" w:type="dxa"/>
            <w:vAlign w:val="bottom"/>
            <w:shd w:val="clear" w:color="auto" w:fill="1F473D"/>
          </w:tcPr>
          <w:p>
            <w:pPr>
              <w:jc w:val="center"/>
              <w:spacing w:after="0" w:line="171" w:lineRule="exact"/>
              <w:rPr>
                <w:sz w:val="20"/>
                <w:szCs w:val="20"/>
                <w:color w:val="auto"/>
              </w:rPr>
            </w:pPr>
            <w:r>
              <w:rPr>
                <w:rFonts w:ascii="Arial" w:cs="Arial" w:eastAsia="Arial" w:hAnsi="Arial"/>
                <w:sz w:val="16"/>
                <w:szCs w:val="16"/>
                <w:color w:val="FFFFFF"/>
                <w:w w:val="98"/>
              </w:rPr>
              <w:t>Fair Value (Loss)</w:t>
            </w:r>
          </w:p>
        </w:tc>
        <w:tc>
          <w:tcPr>
            <w:tcW w:w="1300" w:type="dxa"/>
            <w:vAlign w:val="bottom"/>
            <w:shd w:val="clear" w:color="auto" w:fill="1F473D"/>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40" w:type="dxa"/>
            <w:vAlign w:val="bottom"/>
            <w:shd w:val="clear" w:color="auto" w:fill="1F473D"/>
          </w:tcPr>
          <w:p>
            <w:pPr>
              <w:spacing w:after="0"/>
              <w:rPr>
                <w:sz w:val="14"/>
                <w:szCs w:val="14"/>
                <w:color w:val="auto"/>
              </w:rPr>
            </w:pPr>
          </w:p>
        </w:tc>
        <w:tc>
          <w:tcPr>
            <w:tcW w:w="1340" w:type="dxa"/>
            <w:vAlign w:val="bottom"/>
            <w:shd w:val="clear" w:color="auto" w:fill="1F473D"/>
          </w:tcPr>
          <w:p>
            <w:pPr>
              <w:jc w:val="center"/>
              <w:ind w:right="21"/>
              <w:spacing w:after="0" w:line="172" w:lineRule="exact"/>
              <w:rPr>
                <w:sz w:val="20"/>
                <w:szCs w:val="20"/>
                <w:color w:val="auto"/>
              </w:rPr>
            </w:pPr>
            <w:r>
              <w:rPr>
                <w:rFonts w:ascii="Arial" w:cs="Arial" w:eastAsia="Arial" w:hAnsi="Arial"/>
                <w:sz w:val="16"/>
                <w:szCs w:val="16"/>
                <w:b w:val="1"/>
                <w:bCs w:val="1"/>
                <w:color w:val="FFFFFF"/>
                <w:w w:val="98"/>
              </w:rPr>
              <w:t>Through</w:t>
            </w:r>
          </w:p>
        </w:tc>
        <w:tc>
          <w:tcPr>
            <w:tcW w:w="1360" w:type="dxa"/>
            <w:vAlign w:val="bottom"/>
            <w:vMerge w:val="continue"/>
            <w:shd w:val="clear" w:color="auto" w:fill="1F473D"/>
          </w:tcPr>
          <w:p>
            <w:pPr>
              <w:spacing w:after="0"/>
              <w:rPr>
                <w:sz w:val="14"/>
                <w:szCs w:val="14"/>
                <w:color w:val="auto"/>
              </w:rPr>
            </w:pPr>
          </w:p>
        </w:tc>
        <w:tc>
          <w:tcPr>
            <w:tcW w:w="1380" w:type="dxa"/>
            <w:vAlign w:val="bottom"/>
            <w:shd w:val="clear" w:color="auto" w:fill="1F473D"/>
          </w:tcPr>
          <w:p>
            <w:pPr>
              <w:jc w:val="center"/>
              <w:spacing w:after="0" w:line="172" w:lineRule="exact"/>
              <w:rPr>
                <w:sz w:val="20"/>
                <w:szCs w:val="20"/>
                <w:color w:val="auto"/>
              </w:rPr>
            </w:pPr>
            <w:r>
              <w:rPr>
                <w:rFonts w:ascii="Arial" w:cs="Arial" w:eastAsia="Arial" w:hAnsi="Arial"/>
                <w:sz w:val="16"/>
                <w:szCs w:val="16"/>
                <w:color w:val="FFFFFF"/>
                <w:w w:val="98"/>
              </w:rPr>
              <w:t>Gain Through</w:t>
            </w:r>
          </w:p>
        </w:tc>
        <w:tc>
          <w:tcPr>
            <w:tcW w:w="1300" w:type="dxa"/>
            <w:vAlign w:val="bottom"/>
            <w:shd w:val="clear" w:color="auto" w:fill="1F473D"/>
          </w:tcPr>
          <w:p>
            <w:pPr>
              <w:jc w:val="right"/>
              <w:ind w:right="61"/>
              <w:spacing w:after="0" w:line="172" w:lineRule="exact"/>
              <w:rPr>
                <w:sz w:val="20"/>
                <w:szCs w:val="20"/>
                <w:color w:val="auto"/>
              </w:rPr>
            </w:pPr>
            <w:r>
              <w:rPr>
                <w:rFonts w:ascii="Arial" w:cs="Arial" w:eastAsia="Arial" w:hAnsi="Arial"/>
                <w:sz w:val="16"/>
                <w:szCs w:val="16"/>
                <w:color w:val="FFFFFF"/>
              </w:rPr>
              <w:t>Fair Value Loss</w:t>
            </w:r>
          </w:p>
        </w:tc>
        <w:tc>
          <w:tcPr>
            <w:tcW w:w="0" w:type="dxa"/>
            <w:vAlign w:val="bottom"/>
          </w:tcPr>
          <w:p>
            <w:pPr>
              <w:spacing w:after="0"/>
              <w:rPr>
                <w:sz w:val="1"/>
                <w:szCs w:val="1"/>
                <w:color w:val="auto"/>
              </w:rPr>
            </w:pPr>
          </w:p>
        </w:tc>
      </w:tr>
      <w:tr>
        <w:trPr>
          <w:trHeight w:val="219"/>
        </w:trPr>
        <w:tc>
          <w:tcPr>
            <w:tcW w:w="4340" w:type="dxa"/>
            <w:vAlign w:val="bottom"/>
            <w:tcBorders>
              <w:bottom w:val="single" w:sz="8" w:color="D64000"/>
            </w:tcBorders>
            <w:shd w:val="clear" w:color="auto" w:fill="1F473D"/>
          </w:tcPr>
          <w:p>
            <w:pPr>
              <w:spacing w:after="0"/>
              <w:rPr>
                <w:sz w:val="19"/>
                <w:szCs w:val="19"/>
                <w:color w:val="auto"/>
              </w:rPr>
            </w:pPr>
          </w:p>
        </w:tc>
        <w:tc>
          <w:tcPr>
            <w:tcW w:w="1340" w:type="dxa"/>
            <w:vAlign w:val="bottom"/>
            <w:tcBorders>
              <w:bottom w:val="single" w:sz="8" w:color="D64000"/>
            </w:tcBorders>
            <w:shd w:val="clear" w:color="auto" w:fill="1F473D"/>
          </w:tcPr>
          <w:p>
            <w:pPr>
              <w:jc w:val="center"/>
              <w:ind w:right="21"/>
              <w:spacing w:after="0"/>
              <w:rPr>
                <w:sz w:val="20"/>
                <w:szCs w:val="20"/>
                <w:color w:val="auto"/>
              </w:rPr>
            </w:pPr>
            <w:r>
              <w:rPr>
                <w:rFonts w:ascii="Arial" w:cs="Arial" w:eastAsia="Arial" w:hAnsi="Arial"/>
                <w:sz w:val="16"/>
                <w:szCs w:val="16"/>
                <w:b w:val="1"/>
                <w:bCs w:val="1"/>
                <w:color w:val="FFFFFF"/>
                <w:w w:val="99"/>
              </w:rPr>
              <w:t>Earnings</w:t>
            </w:r>
          </w:p>
        </w:tc>
        <w:tc>
          <w:tcPr>
            <w:tcW w:w="1360" w:type="dxa"/>
            <w:vAlign w:val="bottom"/>
            <w:tcBorders>
              <w:bottom w:val="single" w:sz="8" w:color="D64000"/>
            </w:tcBorders>
            <w:shd w:val="clear" w:color="auto" w:fill="1F473D"/>
          </w:tcPr>
          <w:p>
            <w:pPr>
              <w:jc w:val="right"/>
              <w:ind w:right="41"/>
              <w:spacing w:after="0"/>
              <w:rPr>
                <w:sz w:val="20"/>
                <w:szCs w:val="20"/>
                <w:color w:val="auto"/>
              </w:rPr>
            </w:pPr>
            <w:r>
              <w:rPr>
                <w:rFonts w:ascii="Arial" w:cs="Arial" w:eastAsia="Arial" w:hAnsi="Arial"/>
                <w:sz w:val="16"/>
                <w:szCs w:val="16"/>
                <w:b w:val="1"/>
                <w:bCs w:val="1"/>
                <w:color w:val="FFFFFF"/>
              </w:rPr>
              <w:t>Through Equity</w:t>
            </w:r>
          </w:p>
        </w:tc>
        <w:tc>
          <w:tcPr>
            <w:tcW w:w="1380" w:type="dxa"/>
            <w:vAlign w:val="bottom"/>
            <w:tcBorders>
              <w:bottom w:val="single" w:sz="8" w:color="D64000"/>
            </w:tcBorders>
            <w:shd w:val="clear" w:color="auto" w:fill="1F473D"/>
          </w:tcPr>
          <w:p>
            <w:pPr>
              <w:jc w:val="center"/>
              <w:spacing w:after="0"/>
              <w:rPr>
                <w:sz w:val="20"/>
                <w:szCs w:val="20"/>
                <w:color w:val="auto"/>
              </w:rPr>
            </w:pPr>
            <w:r>
              <w:rPr>
                <w:rFonts w:ascii="Arial" w:cs="Arial" w:eastAsia="Arial" w:hAnsi="Arial"/>
                <w:sz w:val="16"/>
                <w:szCs w:val="16"/>
                <w:color w:val="FFFFFF"/>
              </w:rPr>
              <w:t>Earnings</w:t>
            </w:r>
          </w:p>
        </w:tc>
        <w:tc>
          <w:tcPr>
            <w:tcW w:w="1300" w:type="dxa"/>
            <w:vAlign w:val="bottom"/>
            <w:tcBorders>
              <w:bottom w:val="single" w:sz="8" w:color="D64000"/>
            </w:tcBorders>
            <w:shd w:val="clear" w:color="auto" w:fill="1F473D"/>
          </w:tcPr>
          <w:p>
            <w:pPr>
              <w:jc w:val="right"/>
              <w:ind w:right="61"/>
              <w:spacing w:after="0"/>
              <w:rPr>
                <w:sz w:val="20"/>
                <w:szCs w:val="20"/>
                <w:color w:val="auto"/>
              </w:rPr>
            </w:pPr>
            <w:r>
              <w:rPr>
                <w:rFonts w:ascii="Arial" w:cs="Arial" w:eastAsia="Arial" w:hAnsi="Arial"/>
                <w:sz w:val="16"/>
                <w:szCs w:val="16"/>
                <w:color w:val="FFFFFF"/>
              </w:rPr>
              <w:t>Through Equity</w:t>
            </w:r>
          </w:p>
        </w:tc>
        <w:tc>
          <w:tcPr>
            <w:tcW w:w="0" w:type="dxa"/>
            <w:vAlign w:val="bottom"/>
          </w:tcPr>
          <w:p>
            <w:pPr>
              <w:spacing w:after="0"/>
              <w:rPr>
                <w:sz w:val="1"/>
                <w:szCs w:val="1"/>
                <w:color w:val="auto"/>
              </w:rPr>
            </w:pPr>
          </w:p>
        </w:tc>
      </w:tr>
      <w:tr>
        <w:trPr>
          <w:trHeight w:val="171"/>
        </w:trPr>
        <w:tc>
          <w:tcPr>
            <w:tcW w:w="4340" w:type="dxa"/>
            <w:vAlign w:val="bottom"/>
          </w:tcPr>
          <w:p>
            <w:pPr>
              <w:spacing w:after="0" w:line="171" w:lineRule="exact"/>
              <w:rPr>
                <w:sz w:val="20"/>
                <w:szCs w:val="20"/>
                <w:color w:val="auto"/>
              </w:rPr>
            </w:pPr>
            <w:r>
              <w:rPr>
                <w:rFonts w:ascii="Arial" w:cs="Arial" w:eastAsia="Arial" w:hAnsi="Arial"/>
                <w:sz w:val="16"/>
                <w:szCs w:val="16"/>
                <w:color w:val="auto"/>
              </w:rPr>
              <w:t>Foreign exchange contracts</w:t>
            </w:r>
          </w:p>
        </w:tc>
        <w:tc>
          <w:tcPr>
            <w:tcW w:w="1340" w:type="dxa"/>
            <w:vAlign w:val="bottom"/>
          </w:tcPr>
          <w:p>
            <w:pPr>
              <w:jc w:val="right"/>
              <w:ind w:right="1"/>
              <w:spacing w:after="0" w:line="171" w:lineRule="exact"/>
              <w:rPr>
                <w:sz w:val="20"/>
                <w:szCs w:val="20"/>
                <w:color w:val="auto"/>
              </w:rPr>
            </w:pPr>
            <w:r>
              <w:rPr>
                <w:rFonts w:ascii="Arial" w:cs="Arial" w:eastAsia="Arial" w:hAnsi="Arial"/>
                <w:sz w:val="16"/>
                <w:szCs w:val="16"/>
                <w:b w:val="1"/>
                <w:bCs w:val="1"/>
                <w:color w:val="auto"/>
              </w:rPr>
              <w:t>(2)</w:t>
            </w:r>
          </w:p>
        </w:tc>
        <w:tc>
          <w:tcPr>
            <w:tcW w:w="1360" w:type="dxa"/>
            <w:vAlign w:val="bottom"/>
          </w:tcPr>
          <w:p>
            <w:pPr>
              <w:jc w:val="right"/>
              <w:ind w:right="1"/>
              <w:spacing w:after="0" w:line="171" w:lineRule="exact"/>
              <w:rPr>
                <w:sz w:val="20"/>
                <w:szCs w:val="20"/>
                <w:color w:val="auto"/>
              </w:rPr>
            </w:pPr>
            <w:r>
              <w:rPr>
                <w:rFonts w:ascii="Arial" w:cs="Arial" w:eastAsia="Arial" w:hAnsi="Arial"/>
                <w:sz w:val="16"/>
                <w:szCs w:val="16"/>
                <w:b w:val="1"/>
                <w:bCs w:val="1"/>
                <w:color w:val="auto"/>
              </w:rPr>
              <w:t>-</w:t>
            </w:r>
          </w:p>
        </w:tc>
        <w:tc>
          <w:tcPr>
            <w:tcW w:w="1380" w:type="dxa"/>
            <w:vAlign w:val="bottom"/>
          </w:tcPr>
          <w:p>
            <w:pPr>
              <w:jc w:val="right"/>
              <w:spacing w:after="0" w:line="171" w:lineRule="exact"/>
              <w:rPr>
                <w:sz w:val="20"/>
                <w:szCs w:val="20"/>
                <w:color w:val="auto"/>
              </w:rPr>
            </w:pPr>
            <w:r>
              <w:rPr>
                <w:rFonts w:ascii="Arial" w:cs="Arial" w:eastAsia="Arial" w:hAnsi="Arial"/>
                <w:sz w:val="16"/>
                <w:szCs w:val="16"/>
                <w:color w:val="auto"/>
              </w:rPr>
              <w:t>(132)</w:t>
            </w:r>
          </w:p>
        </w:tc>
        <w:tc>
          <w:tcPr>
            <w:tcW w:w="1300" w:type="dxa"/>
            <w:vAlign w:val="bottom"/>
          </w:tcPr>
          <w:p>
            <w:pPr>
              <w:jc w:val="right"/>
              <w:ind w:right="1"/>
              <w:spacing w:after="0" w:line="17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4340" w:type="dxa"/>
            <w:vAlign w:val="bottom"/>
          </w:tcPr>
          <w:p>
            <w:pPr>
              <w:spacing w:after="0"/>
              <w:rPr>
                <w:sz w:val="20"/>
                <w:szCs w:val="20"/>
                <w:color w:val="auto"/>
              </w:rPr>
            </w:pPr>
            <w:r>
              <w:rPr>
                <w:rFonts w:ascii="Arial" w:cs="Arial" w:eastAsia="Arial" w:hAnsi="Arial"/>
                <w:sz w:val="16"/>
                <w:szCs w:val="16"/>
                <w:color w:val="auto"/>
              </w:rPr>
              <w:t>Hedging instruments:</w:t>
            </w: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40" w:type="dxa"/>
            <w:vAlign w:val="bottom"/>
          </w:tcPr>
          <w:p>
            <w:pPr>
              <w:ind w:left="160"/>
              <w:spacing w:after="0"/>
              <w:rPr>
                <w:sz w:val="20"/>
                <w:szCs w:val="20"/>
                <w:color w:val="auto"/>
              </w:rPr>
            </w:pPr>
            <w:r>
              <w:rPr>
                <w:rFonts w:ascii="Arial" w:cs="Arial" w:eastAsia="Arial" w:hAnsi="Arial"/>
                <w:sz w:val="16"/>
                <w:szCs w:val="16"/>
                <w:color w:val="auto"/>
              </w:rPr>
              <w:t>Cross currency interest rate swaps - cash flow hedges</w:t>
            </w:r>
          </w:p>
        </w:tc>
        <w:tc>
          <w:tcPr>
            <w:tcW w:w="1340" w:type="dxa"/>
            <w:vAlign w:val="bottom"/>
          </w:tcPr>
          <w:p>
            <w:pPr>
              <w:jc w:val="right"/>
              <w:ind w:right="1"/>
              <w:spacing w:after="0"/>
              <w:rPr>
                <w:sz w:val="20"/>
                <w:szCs w:val="20"/>
                <w:color w:val="auto"/>
              </w:rPr>
            </w:pPr>
            <w:r>
              <w:rPr>
                <w:rFonts w:ascii="Arial" w:cs="Arial" w:eastAsia="Arial" w:hAnsi="Arial"/>
                <w:sz w:val="16"/>
                <w:szCs w:val="16"/>
                <w:b w:val="1"/>
                <w:bCs w:val="1"/>
                <w:color w:val="auto"/>
              </w:rPr>
              <w:t>(97)</w:t>
            </w:r>
          </w:p>
        </w:tc>
        <w:tc>
          <w:tcPr>
            <w:tcW w:w="1360" w:type="dxa"/>
            <w:vAlign w:val="bottom"/>
          </w:tcPr>
          <w:p>
            <w:pPr>
              <w:jc w:val="right"/>
              <w:ind w:right="1"/>
              <w:spacing w:after="0"/>
              <w:rPr>
                <w:sz w:val="20"/>
                <w:szCs w:val="20"/>
                <w:color w:val="auto"/>
              </w:rPr>
            </w:pPr>
            <w:r>
              <w:rPr>
                <w:rFonts w:ascii="Arial" w:cs="Arial" w:eastAsia="Arial" w:hAnsi="Arial"/>
                <w:sz w:val="16"/>
                <w:szCs w:val="16"/>
                <w:b w:val="1"/>
                <w:bCs w:val="1"/>
                <w:color w:val="auto"/>
              </w:rPr>
              <w:t>13</w:t>
            </w:r>
          </w:p>
        </w:tc>
        <w:tc>
          <w:tcPr>
            <w:tcW w:w="1380" w:type="dxa"/>
            <w:vAlign w:val="bottom"/>
          </w:tcPr>
          <w:p>
            <w:pPr>
              <w:jc w:val="right"/>
              <w:spacing w:after="0"/>
              <w:rPr>
                <w:sz w:val="20"/>
                <w:szCs w:val="20"/>
                <w:color w:val="auto"/>
              </w:rPr>
            </w:pPr>
            <w:r>
              <w:rPr>
                <w:rFonts w:ascii="Arial" w:cs="Arial" w:eastAsia="Arial" w:hAnsi="Arial"/>
                <w:sz w:val="16"/>
                <w:szCs w:val="16"/>
                <w:color w:val="auto"/>
              </w:rPr>
              <w:t>29</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0"/>
        </w:trPr>
        <w:tc>
          <w:tcPr>
            <w:tcW w:w="4340" w:type="dxa"/>
            <w:vAlign w:val="bottom"/>
            <w:tcBorders>
              <w:bottom w:val="single" w:sz="8" w:color="B2B2B2"/>
            </w:tcBorders>
          </w:tcPr>
          <w:p>
            <w:pPr>
              <w:ind w:left="160"/>
              <w:spacing w:after="0"/>
              <w:rPr>
                <w:sz w:val="20"/>
                <w:szCs w:val="20"/>
                <w:color w:val="auto"/>
              </w:rPr>
            </w:pPr>
            <w:r>
              <w:rPr>
                <w:rFonts w:ascii="Arial" w:cs="Arial" w:eastAsia="Arial" w:hAnsi="Arial"/>
                <w:sz w:val="16"/>
                <w:szCs w:val="16"/>
                <w:color w:val="auto"/>
              </w:rPr>
              <w:t>Forward interest rate swaps - cash flow hedges</w:t>
            </w:r>
          </w:p>
        </w:tc>
        <w:tc>
          <w:tcPr>
            <w:tcW w:w="134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w:t>
            </w:r>
          </w:p>
        </w:tc>
        <w:tc>
          <w:tcPr>
            <w:tcW w:w="130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4340" w:type="dxa"/>
            <w:vAlign w:val="bottom"/>
            <w:tcBorders>
              <w:bottom w:val="single" w:sz="8" w:color="D64000"/>
            </w:tcBorders>
          </w:tcPr>
          <w:p>
            <w:pPr>
              <w:spacing w:after="0"/>
              <w:rPr>
                <w:sz w:val="16"/>
                <w:szCs w:val="16"/>
                <w:color w:val="auto"/>
              </w:rPr>
            </w:pPr>
          </w:p>
        </w:tc>
        <w:tc>
          <w:tcPr>
            <w:tcW w:w="1340" w:type="dxa"/>
            <w:vAlign w:val="bottom"/>
            <w:tcBorders>
              <w:bottom w:val="single" w:sz="8" w:color="D64000"/>
            </w:tcBorders>
          </w:tcPr>
          <w:p>
            <w:pPr>
              <w:jc w:val="right"/>
              <w:ind w:right="1"/>
              <w:spacing w:after="0" w:line="179" w:lineRule="exact"/>
              <w:rPr>
                <w:sz w:val="20"/>
                <w:szCs w:val="20"/>
                <w:color w:val="auto"/>
              </w:rPr>
            </w:pPr>
            <w:r>
              <w:rPr>
                <w:rFonts w:ascii="Arial" w:cs="Arial" w:eastAsia="Arial" w:hAnsi="Arial"/>
                <w:sz w:val="16"/>
                <w:szCs w:val="16"/>
                <w:b w:val="1"/>
                <w:bCs w:val="1"/>
                <w:color w:val="auto"/>
              </w:rPr>
              <w:t>(99)</w:t>
            </w:r>
          </w:p>
        </w:tc>
        <w:tc>
          <w:tcPr>
            <w:tcW w:w="1360" w:type="dxa"/>
            <w:vAlign w:val="bottom"/>
            <w:tcBorders>
              <w:bottom w:val="single" w:sz="8" w:color="D64000"/>
            </w:tcBorders>
          </w:tcPr>
          <w:p>
            <w:pPr>
              <w:jc w:val="right"/>
              <w:ind w:right="1"/>
              <w:spacing w:after="0" w:line="179" w:lineRule="exact"/>
              <w:rPr>
                <w:sz w:val="20"/>
                <w:szCs w:val="20"/>
                <w:color w:val="auto"/>
              </w:rPr>
            </w:pPr>
            <w:r>
              <w:rPr>
                <w:rFonts w:ascii="Arial" w:cs="Arial" w:eastAsia="Arial" w:hAnsi="Arial"/>
                <w:sz w:val="16"/>
                <w:szCs w:val="16"/>
                <w:b w:val="1"/>
                <w:bCs w:val="1"/>
                <w:color w:val="auto"/>
              </w:rPr>
              <w:t>13</w:t>
            </w:r>
          </w:p>
        </w:tc>
        <w:tc>
          <w:tcPr>
            <w:tcW w:w="138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(102)</w:t>
            </w:r>
          </w:p>
        </w:tc>
        <w:tc>
          <w:tcPr>
            <w:tcW w:w="1300" w:type="dxa"/>
            <w:vAlign w:val="bottom"/>
            <w:tcBorders>
              <w:bottom w:val="single" w:sz="8" w:color="D64000"/>
            </w:tcBorders>
          </w:tcPr>
          <w:p>
            <w:pPr>
              <w:jc w:val="right"/>
              <w:ind w:right="1"/>
              <w:spacing w:after="0" w:line="179"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Financial Risk Management</w:t>
      </w:r>
    </w:p>
    <w:p>
      <w:pPr>
        <w:spacing w:after="0" w:line="6" w:lineRule="exact"/>
        <w:rPr>
          <w:sz w:val="20"/>
          <w:szCs w:val="20"/>
          <w:color w:val="auto"/>
        </w:rPr>
      </w:pPr>
    </w:p>
    <w:p>
      <w:pPr>
        <w:ind w:left="220" w:right="140"/>
        <w:spacing w:after="0" w:line="232" w:lineRule="auto"/>
        <w:rPr>
          <w:sz w:val="20"/>
          <w:szCs w:val="20"/>
          <w:color w:val="auto"/>
        </w:rPr>
      </w:pPr>
      <w:r>
        <w:rPr>
          <w:rFonts w:ascii="Arial" w:cs="Arial" w:eastAsia="Arial" w:hAnsi="Arial"/>
          <w:sz w:val="17"/>
          <w:szCs w:val="17"/>
          <w:color w:val="auto"/>
        </w:rPr>
        <w:t>The Company is exposed to a variety of financial risks including market risk (primarily currency risk and interest rate risk), credit risk and liquidity risk, as its operations are diverse and global. A centralized corporate treasury group works to minimize the potential adverse effects from these risks by using hedging strategies, where applicable, as well as associating with high quality financial institutions, limiting exposures to counterparties and ensuring flexible sources of funding. The Chief Financial Officer oversees the overall approach and ensures the use of strict guidelines and internal control processes.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Market Risk</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Currency Risk</w:t>
      </w:r>
    </w:p>
    <w:p>
      <w:pPr>
        <w:spacing w:after="0" w:line="6" w:lineRule="exact"/>
        <w:rPr>
          <w:sz w:val="20"/>
          <w:szCs w:val="20"/>
          <w:color w:val="auto"/>
        </w:rPr>
      </w:pPr>
    </w:p>
    <w:p>
      <w:pPr>
        <w:ind w:left="220" w:right="380"/>
        <w:spacing w:after="0" w:line="270" w:lineRule="auto"/>
        <w:rPr>
          <w:sz w:val="20"/>
          <w:szCs w:val="20"/>
          <w:color w:val="auto"/>
        </w:rPr>
      </w:pPr>
      <w:r>
        <w:rPr>
          <w:rFonts w:ascii="Arial" w:cs="Arial" w:eastAsia="Arial" w:hAnsi="Arial"/>
          <w:sz w:val="16"/>
          <w:szCs w:val="16"/>
          <w:color w:val="auto"/>
        </w:rPr>
        <w:t>The Company’s consolidated financial statements are expressed in U.S. dollars. However, the Company transacts a portion of its business in other currencies and is therefore subject to the effects of foreign currency translation into U.S. dollars as well as currency transaction risk.</w:t>
      </w:r>
    </w:p>
    <w:p>
      <w:pPr>
        <w:spacing w:after="0" w:line="47" w:lineRule="exact"/>
        <w:rPr>
          <w:sz w:val="20"/>
          <w:szCs w:val="20"/>
          <w:color w:val="auto"/>
        </w:rPr>
      </w:pPr>
    </w:p>
    <w:p>
      <w:pPr>
        <w:ind w:left="220" w:right="80"/>
        <w:spacing w:after="0" w:line="260" w:lineRule="auto"/>
        <w:rPr>
          <w:sz w:val="20"/>
          <w:szCs w:val="20"/>
          <w:color w:val="auto"/>
        </w:rPr>
      </w:pPr>
      <w:r>
        <w:rPr>
          <w:rFonts w:ascii="Arial" w:cs="Arial" w:eastAsia="Arial" w:hAnsi="Arial"/>
          <w:sz w:val="17"/>
          <w:szCs w:val="17"/>
          <w:color w:val="auto"/>
        </w:rPr>
        <w:t>The impact of foreign currency translation from changes in exchange rates between 2023 and 2024 had no net impact on consolidated revenues, decreased operating expenses by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81915</wp:posOffset>
            </wp:positionV>
            <wp:extent cx="686562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9" w:lineRule="exact"/>
        <w:rPr>
          <w:sz w:val="20"/>
          <w:szCs w:val="20"/>
          <w:color w:val="auto"/>
        </w:rPr>
      </w:pPr>
    </w:p>
    <w:p>
      <w:pPr>
        <w:ind w:left="220"/>
        <w:spacing w:after="0"/>
        <w:tabs>
          <w:tab w:leader="none" w:pos="1030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6"/>
          <w:szCs w:val="16"/>
          <w:color w:val="auto"/>
        </w:rPr>
        <w:t>Page 117</w:t>
      </w:r>
    </w:p>
    <w:p>
      <w:pPr>
        <w:sectPr>
          <w:pgSz w:w="11900" w:h="16838" w:orient="portrait"/>
          <w:cols w:equalWidth="0" w:num="1">
            <w:col w:w="11040"/>
          </w:cols>
          <w:pgMar w:left="320" w:top="477" w:right="5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600"/>
        <w:spacing w:after="0" w:line="260" w:lineRule="auto"/>
        <w:rPr>
          <w:sz w:val="20"/>
          <w:szCs w:val="20"/>
          <w:color w:val="auto"/>
        </w:rPr>
      </w:pPr>
      <w:r>
        <w:rPr>
          <w:rFonts w:ascii="Arial" w:cs="Arial" w:eastAsia="Arial" w:hAnsi="Arial"/>
          <w:sz w:val="17"/>
          <w:szCs w:val="17"/>
          <w:color w:val="auto"/>
        </w:rPr>
        <w:t>Foreign currency translation also generated $173 million of net translation losses (2023 - $130 million of net translation gains), which were recorded within accumulated other comprehensive loss in shareholders’ equity.</w:t>
      </w:r>
    </w:p>
    <w:p>
      <w:pPr>
        <w:spacing w:after="0" w:line="53" w:lineRule="exact"/>
        <w:rPr>
          <w:sz w:val="20"/>
          <w:szCs w:val="20"/>
          <w:color w:val="auto"/>
        </w:rPr>
      </w:pPr>
    </w:p>
    <w:p>
      <w:pPr>
        <w:jc w:val="both"/>
        <w:ind w:left="220" w:right="340"/>
        <w:spacing w:after="0" w:line="243" w:lineRule="auto"/>
        <w:rPr>
          <w:sz w:val="20"/>
          <w:szCs w:val="20"/>
          <w:color w:val="auto"/>
        </w:rPr>
      </w:pPr>
      <w:r>
        <w:rPr>
          <w:rFonts w:ascii="Arial" w:cs="Arial" w:eastAsia="Arial" w:hAnsi="Arial"/>
          <w:sz w:val="17"/>
          <w:szCs w:val="17"/>
          <w:color w:val="auto"/>
        </w:rPr>
        <w:t>Exposure to currency transaction risk is minimized as the Company generally bills customers and incurs operating expenses in the functional currency of the legal entity that records the transaction. However, the Company is exposed to currency transaction risk from the revaluation of non-permanent intercompany loans in certain of its legal entities, which impacts earnings.</w:t>
      </w:r>
    </w:p>
    <w:p>
      <w:pPr>
        <w:spacing w:after="0" w:line="69" w:lineRule="exact"/>
        <w:rPr>
          <w:sz w:val="20"/>
          <w:szCs w:val="20"/>
          <w:color w:val="auto"/>
        </w:rPr>
      </w:pPr>
    </w:p>
    <w:p>
      <w:pPr>
        <w:jc w:val="both"/>
        <w:ind w:left="220" w:right="340"/>
        <w:spacing w:after="0" w:line="260" w:lineRule="auto"/>
        <w:rPr>
          <w:sz w:val="20"/>
          <w:szCs w:val="20"/>
          <w:color w:val="auto"/>
        </w:rPr>
      </w:pPr>
      <w:r>
        <w:rPr>
          <w:rFonts w:ascii="Arial" w:cs="Arial" w:eastAsia="Arial" w:hAnsi="Arial"/>
          <w:sz w:val="17"/>
          <w:szCs w:val="17"/>
          <w:color w:val="auto"/>
        </w:rPr>
        <w:t>The table below shows the impact on earnings that a hypothetical 10% strengthening of the U.S. dollar against other foreign currencies would have due to changes in fair values of financial instruments as of December 31, 2024.</w:t>
      </w:r>
    </w:p>
    <w:p>
      <w:pPr>
        <w:spacing w:after="0" w:line="76"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4280" w:type="dxa"/>
            <w:vAlign w:val="bottom"/>
            <w:shd w:val="clear" w:color="auto" w:fill="1F473D"/>
          </w:tcPr>
          <w:p>
            <w:pPr>
              <w:spacing w:after="0"/>
              <w:rPr>
                <w:sz w:val="16"/>
                <w:szCs w:val="16"/>
                <w:color w:val="auto"/>
              </w:rPr>
            </w:pPr>
          </w:p>
        </w:tc>
        <w:tc>
          <w:tcPr>
            <w:tcW w:w="1460" w:type="dxa"/>
            <w:vAlign w:val="bottom"/>
            <w:shd w:val="clear" w:color="auto" w:fill="1F473D"/>
          </w:tcPr>
          <w:p>
            <w:pPr>
              <w:spacing w:after="0"/>
              <w:rPr>
                <w:sz w:val="16"/>
                <w:szCs w:val="16"/>
                <w:color w:val="auto"/>
              </w:rPr>
            </w:pPr>
          </w:p>
        </w:tc>
        <w:tc>
          <w:tcPr>
            <w:tcW w:w="880" w:type="dxa"/>
            <w:vAlign w:val="bottom"/>
            <w:shd w:val="clear" w:color="auto" w:fill="1F473D"/>
          </w:tcPr>
          <w:p>
            <w:pPr>
              <w:spacing w:after="0"/>
              <w:rPr>
                <w:sz w:val="16"/>
                <w:szCs w:val="16"/>
                <w:color w:val="auto"/>
              </w:rPr>
            </w:pPr>
          </w:p>
        </w:tc>
        <w:tc>
          <w:tcPr>
            <w:tcW w:w="860" w:type="dxa"/>
            <w:vAlign w:val="bottom"/>
            <w:shd w:val="clear" w:color="auto" w:fill="1F473D"/>
          </w:tcPr>
          <w:p>
            <w:pPr>
              <w:spacing w:after="0"/>
              <w:rPr>
                <w:sz w:val="16"/>
                <w:szCs w:val="16"/>
                <w:color w:val="auto"/>
              </w:rPr>
            </w:pPr>
          </w:p>
        </w:tc>
        <w:tc>
          <w:tcPr>
            <w:tcW w:w="1460" w:type="dxa"/>
            <w:vAlign w:val="bottom"/>
            <w:shd w:val="clear" w:color="auto" w:fill="1F473D"/>
          </w:tcPr>
          <w:p>
            <w:pPr>
              <w:jc w:val="right"/>
              <w:ind w:right="241"/>
              <w:spacing w:after="0"/>
              <w:rPr>
                <w:sz w:val="20"/>
                <w:szCs w:val="20"/>
                <w:color w:val="auto"/>
              </w:rPr>
            </w:pPr>
            <w:r>
              <w:rPr>
                <w:rFonts w:ascii="Arial" w:cs="Arial" w:eastAsia="Arial" w:hAnsi="Arial"/>
                <w:sz w:val="16"/>
                <w:szCs w:val="16"/>
                <w:b w:val="1"/>
                <w:bCs w:val="1"/>
                <w:color w:val="FFFFFF"/>
              </w:rPr>
              <w:t>Other</w:t>
            </w:r>
          </w:p>
        </w:tc>
        <w:tc>
          <w:tcPr>
            <w:tcW w:w="780" w:type="dxa"/>
            <w:vAlign w:val="bottom"/>
            <w:shd w:val="clear" w:color="auto" w:fill="1F473D"/>
          </w:tcPr>
          <w:p>
            <w:pPr>
              <w:spacing w:after="0"/>
              <w:rPr>
                <w:sz w:val="16"/>
                <w:szCs w:val="16"/>
                <w:color w:val="auto"/>
              </w:rPr>
            </w:pPr>
          </w:p>
        </w:tc>
      </w:tr>
      <w:tr>
        <w:trPr>
          <w:trHeight w:val="206"/>
        </w:trPr>
        <w:tc>
          <w:tcPr>
            <w:tcW w:w="428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b w:val="1"/>
                <w:bCs w:val="1"/>
                <w:color w:val="FFFFFF"/>
              </w:rPr>
              <w:t> Increase (decrease) impact on earnings from:</w:t>
            </w:r>
          </w:p>
        </w:tc>
        <w:tc>
          <w:tcPr>
            <w:tcW w:w="1460" w:type="dxa"/>
            <w:vAlign w:val="bottom"/>
            <w:tcBorders>
              <w:bottom w:val="single" w:sz="8" w:color="D64000"/>
            </w:tcBorders>
            <w:shd w:val="clear" w:color="auto" w:fill="1F473D"/>
          </w:tcPr>
          <w:p>
            <w:pPr>
              <w:jc w:val="right"/>
              <w:ind w:right="261"/>
              <w:spacing w:after="0"/>
              <w:rPr>
                <w:sz w:val="20"/>
                <w:szCs w:val="20"/>
                <w:color w:val="auto"/>
              </w:rPr>
            </w:pPr>
            <w:r>
              <w:rPr>
                <w:rFonts w:ascii="Arial" w:cs="Arial" w:eastAsia="Arial" w:hAnsi="Arial"/>
                <w:sz w:val="16"/>
                <w:szCs w:val="16"/>
                <w:b w:val="1"/>
                <w:bCs w:val="1"/>
                <w:color w:val="FFFFFF"/>
              </w:rPr>
              <w:t>£</w:t>
            </w:r>
          </w:p>
        </w:tc>
        <w:tc>
          <w:tcPr>
            <w:tcW w:w="880" w:type="dxa"/>
            <w:vAlign w:val="bottom"/>
            <w:tcBorders>
              <w:bottom w:val="single" w:sz="8" w:color="D64000"/>
            </w:tcBorders>
            <w:shd w:val="clear" w:color="auto" w:fill="1F473D"/>
          </w:tcPr>
          <w:p>
            <w:pPr>
              <w:jc w:val="right"/>
              <w:ind w:right="261"/>
              <w:spacing w:after="0"/>
              <w:rPr>
                <w:sz w:val="20"/>
                <w:szCs w:val="20"/>
                <w:color w:val="auto"/>
              </w:rPr>
            </w:pPr>
            <w:r>
              <w:rPr>
                <w:rFonts w:ascii="Arial" w:cs="Arial" w:eastAsia="Arial" w:hAnsi="Arial"/>
                <w:sz w:val="16"/>
                <w:szCs w:val="16"/>
                <w:b w:val="1"/>
                <w:bCs w:val="1"/>
                <w:color w:val="FFFFFF"/>
              </w:rPr>
              <w:t>€</w:t>
            </w:r>
          </w:p>
        </w:tc>
        <w:tc>
          <w:tcPr>
            <w:tcW w:w="860" w:type="dxa"/>
            <w:vAlign w:val="bottom"/>
            <w:tcBorders>
              <w:bottom w:val="single" w:sz="8" w:color="D64000"/>
            </w:tcBorders>
            <w:shd w:val="clear" w:color="auto" w:fill="1F473D"/>
          </w:tcPr>
          <w:p>
            <w:pPr>
              <w:jc w:val="right"/>
              <w:ind w:right="241"/>
              <w:spacing w:after="0"/>
              <w:rPr>
                <w:sz w:val="20"/>
                <w:szCs w:val="20"/>
                <w:color w:val="auto"/>
              </w:rPr>
            </w:pPr>
            <w:r>
              <w:rPr>
                <w:rFonts w:ascii="Arial" w:cs="Arial" w:eastAsia="Arial" w:hAnsi="Arial"/>
                <w:sz w:val="16"/>
                <w:szCs w:val="16"/>
                <w:b w:val="1"/>
                <w:bCs w:val="1"/>
                <w:color w:val="FFFFFF"/>
              </w:rPr>
              <w:t>C$</w:t>
            </w:r>
          </w:p>
        </w:tc>
        <w:tc>
          <w:tcPr>
            <w:tcW w:w="1460" w:type="dxa"/>
            <w:vAlign w:val="bottom"/>
            <w:tcBorders>
              <w:bottom w:val="single" w:sz="8" w:color="D64000"/>
            </w:tcBorders>
            <w:shd w:val="clear" w:color="auto" w:fill="1F473D"/>
          </w:tcPr>
          <w:p>
            <w:pPr>
              <w:jc w:val="right"/>
              <w:ind w:right="241"/>
              <w:spacing w:after="0"/>
              <w:rPr>
                <w:sz w:val="20"/>
                <w:szCs w:val="20"/>
                <w:color w:val="auto"/>
              </w:rPr>
            </w:pPr>
            <w:r>
              <w:rPr>
                <w:rFonts w:ascii="Arial" w:cs="Arial" w:eastAsia="Arial" w:hAnsi="Arial"/>
                <w:sz w:val="16"/>
                <w:szCs w:val="16"/>
                <w:b w:val="1"/>
                <w:bCs w:val="1"/>
                <w:color w:val="FFFFFF"/>
              </w:rPr>
              <w:t>Currencies</w:t>
            </w:r>
          </w:p>
        </w:tc>
        <w:tc>
          <w:tcPr>
            <w:tcW w:w="78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b w:val="1"/>
                <w:bCs w:val="1"/>
                <w:color w:val="FFFFFF"/>
              </w:rPr>
              <w:t>Total </w:t>
            </w:r>
          </w:p>
        </w:tc>
      </w:tr>
      <w:tr>
        <w:trPr>
          <w:trHeight w:val="171"/>
        </w:trPr>
        <w:tc>
          <w:tcPr>
            <w:tcW w:w="4280" w:type="dxa"/>
            <w:vAlign w:val="bottom"/>
          </w:tcPr>
          <w:p>
            <w:pPr>
              <w:spacing w:after="0" w:line="172" w:lineRule="exact"/>
              <w:rPr>
                <w:sz w:val="20"/>
                <w:szCs w:val="20"/>
                <w:color w:val="auto"/>
              </w:rPr>
            </w:pPr>
            <w:r>
              <w:rPr>
                <w:rFonts w:ascii="Arial" w:cs="Arial" w:eastAsia="Arial" w:hAnsi="Arial"/>
                <w:sz w:val="16"/>
                <w:szCs w:val="16"/>
                <w:color w:val="auto"/>
              </w:rPr>
              <w:t> Financial assets and liabilities</w:t>
            </w:r>
            <w:r>
              <w:rPr>
                <w:rFonts w:ascii="Arial" w:cs="Arial" w:eastAsia="Arial" w:hAnsi="Arial"/>
                <w:sz w:val="19"/>
                <w:szCs w:val="19"/>
                <w:color w:val="auto"/>
                <w:vertAlign w:val="superscript"/>
              </w:rPr>
              <w:t>(1)</w:t>
            </w:r>
          </w:p>
        </w:tc>
        <w:tc>
          <w:tcPr>
            <w:tcW w:w="1460" w:type="dxa"/>
            <w:vAlign w:val="bottom"/>
          </w:tcPr>
          <w:p>
            <w:pPr>
              <w:jc w:val="right"/>
              <w:ind w:right="261"/>
              <w:spacing w:after="0" w:line="171" w:lineRule="exact"/>
              <w:rPr>
                <w:sz w:val="20"/>
                <w:szCs w:val="20"/>
                <w:color w:val="auto"/>
              </w:rPr>
            </w:pPr>
            <w:r>
              <w:rPr>
                <w:rFonts w:ascii="Arial" w:cs="Arial" w:eastAsia="Arial" w:hAnsi="Arial"/>
                <w:sz w:val="16"/>
                <w:szCs w:val="16"/>
                <w:b w:val="1"/>
                <w:bCs w:val="1"/>
                <w:color w:val="auto"/>
              </w:rPr>
              <w:t>1</w:t>
            </w:r>
          </w:p>
        </w:tc>
        <w:tc>
          <w:tcPr>
            <w:tcW w:w="880" w:type="dxa"/>
            <w:vAlign w:val="bottom"/>
          </w:tcPr>
          <w:p>
            <w:pPr>
              <w:jc w:val="right"/>
              <w:ind w:right="261"/>
              <w:spacing w:after="0" w:line="171" w:lineRule="exact"/>
              <w:rPr>
                <w:sz w:val="20"/>
                <w:szCs w:val="20"/>
                <w:color w:val="auto"/>
              </w:rPr>
            </w:pPr>
            <w:r>
              <w:rPr>
                <w:rFonts w:ascii="Arial" w:cs="Arial" w:eastAsia="Arial" w:hAnsi="Arial"/>
                <w:sz w:val="16"/>
                <w:szCs w:val="16"/>
                <w:b w:val="1"/>
                <w:bCs w:val="1"/>
                <w:color w:val="auto"/>
              </w:rPr>
              <w:t>(1)</w:t>
            </w:r>
          </w:p>
        </w:tc>
        <w:tc>
          <w:tcPr>
            <w:tcW w:w="860" w:type="dxa"/>
            <w:vAlign w:val="bottom"/>
          </w:tcPr>
          <w:p>
            <w:pPr>
              <w:jc w:val="right"/>
              <w:ind w:right="241"/>
              <w:spacing w:after="0" w:line="171" w:lineRule="exact"/>
              <w:rPr>
                <w:sz w:val="20"/>
                <w:szCs w:val="20"/>
                <w:color w:val="auto"/>
              </w:rPr>
            </w:pPr>
            <w:r>
              <w:rPr>
                <w:rFonts w:ascii="Arial" w:cs="Arial" w:eastAsia="Arial" w:hAnsi="Arial"/>
                <w:sz w:val="16"/>
                <w:szCs w:val="16"/>
                <w:b w:val="1"/>
                <w:bCs w:val="1"/>
                <w:color w:val="auto"/>
              </w:rPr>
              <w:t>1</w:t>
            </w:r>
          </w:p>
        </w:tc>
        <w:tc>
          <w:tcPr>
            <w:tcW w:w="1460" w:type="dxa"/>
            <w:vAlign w:val="bottom"/>
          </w:tcPr>
          <w:p>
            <w:pPr>
              <w:jc w:val="right"/>
              <w:ind w:right="241"/>
              <w:spacing w:after="0" w:line="171" w:lineRule="exact"/>
              <w:rPr>
                <w:sz w:val="20"/>
                <w:szCs w:val="20"/>
                <w:color w:val="auto"/>
              </w:rPr>
            </w:pPr>
            <w:r>
              <w:rPr>
                <w:rFonts w:ascii="Arial" w:cs="Arial" w:eastAsia="Arial" w:hAnsi="Arial"/>
                <w:sz w:val="16"/>
                <w:szCs w:val="16"/>
                <w:b w:val="1"/>
                <w:bCs w:val="1"/>
                <w:color w:val="auto"/>
              </w:rPr>
              <w:t>2</w:t>
            </w:r>
          </w:p>
        </w:tc>
        <w:tc>
          <w:tcPr>
            <w:tcW w:w="780" w:type="dxa"/>
            <w:vAlign w:val="bottom"/>
          </w:tcPr>
          <w:p>
            <w:pPr>
              <w:jc w:val="right"/>
              <w:ind w:right="1"/>
              <w:spacing w:after="0" w:line="171" w:lineRule="exact"/>
              <w:rPr>
                <w:sz w:val="20"/>
                <w:szCs w:val="20"/>
                <w:color w:val="auto"/>
              </w:rPr>
            </w:pPr>
            <w:r>
              <w:rPr>
                <w:rFonts w:ascii="Arial" w:cs="Arial" w:eastAsia="Arial" w:hAnsi="Arial"/>
                <w:sz w:val="16"/>
                <w:szCs w:val="16"/>
                <w:b w:val="1"/>
                <w:bCs w:val="1"/>
                <w:color w:val="auto"/>
              </w:rPr>
              <w:t>3</w:t>
            </w:r>
          </w:p>
        </w:tc>
      </w:tr>
      <w:tr>
        <w:trPr>
          <w:trHeight w:val="185"/>
        </w:trPr>
        <w:tc>
          <w:tcPr>
            <w:tcW w:w="4280" w:type="dxa"/>
            <w:vAlign w:val="bottom"/>
          </w:tcPr>
          <w:p>
            <w:pPr>
              <w:spacing w:after="0"/>
              <w:rPr>
                <w:sz w:val="20"/>
                <w:szCs w:val="20"/>
                <w:color w:val="auto"/>
              </w:rPr>
            </w:pPr>
            <w:r>
              <w:rPr>
                <w:rFonts w:ascii="Arial" w:cs="Arial" w:eastAsia="Arial" w:hAnsi="Arial"/>
                <w:sz w:val="16"/>
                <w:szCs w:val="16"/>
                <w:color w:val="auto"/>
              </w:rPr>
              <w:t> Receivables under indemnification arrangement</w:t>
            </w:r>
          </w:p>
        </w:tc>
        <w:tc>
          <w:tcPr>
            <w:tcW w:w="1460" w:type="dxa"/>
            <w:vAlign w:val="bottom"/>
          </w:tcPr>
          <w:p>
            <w:pPr>
              <w:jc w:val="right"/>
              <w:ind w:right="261"/>
              <w:spacing w:after="0"/>
              <w:rPr>
                <w:sz w:val="20"/>
                <w:szCs w:val="20"/>
                <w:color w:val="auto"/>
              </w:rPr>
            </w:pPr>
            <w:r>
              <w:rPr>
                <w:rFonts w:ascii="Arial" w:cs="Arial" w:eastAsia="Arial" w:hAnsi="Arial"/>
                <w:sz w:val="16"/>
                <w:szCs w:val="16"/>
                <w:b w:val="1"/>
                <w:bCs w:val="1"/>
                <w:color w:val="auto"/>
              </w:rPr>
              <w:t>(24)</w:t>
            </w:r>
          </w:p>
        </w:tc>
        <w:tc>
          <w:tcPr>
            <w:tcW w:w="880" w:type="dxa"/>
            <w:vAlign w:val="bottom"/>
          </w:tcPr>
          <w:p>
            <w:pPr>
              <w:jc w:val="right"/>
              <w:ind w:right="261"/>
              <w:spacing w:after="0"/>
              <w:rPr>
                <w:sz w:val="20"/>
                <w:szCs w:val="20"/>
                <w:color w:val="auto"/>
              </w:rPr>
            </w:pPr>
            <w:r>
              <w:rPr>
                <w:rFonts w:ascii="Arial" w:cs="Arial" w:eastAsia="Arial" w:hAnsi="Arial"/>
                <w:sz w:val="16"/>
                <w:szCs w:val="16"/>
                <w:b w:val="1"/>
                <w:bCs w:val="1"/>
                <w:color w:val="auto"/>
              </w:rPr>
              <w:t>(1)</w:t>
            </w:r>
          </w:p>
        </w:tc>
        <w:tc>
          <w:tcPr>
            <w:tcW w:w="860" w:type="dxa"/>
            <w:vAlign w:val="bottom"/>
          </w:tcPr>
          <w:p>
            <w:pPr>
              <w:jc w:val="right"/>
              <w:ind w:right="241"/>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ind w:right="241"/>
              <w:spacing w:after="0"/>
              <w:rPr>
                <w:sz w:val="20"/>
                <w:szCs w:val="20"/>
                <w:color w:val="auto"/>
              </w:rPr>
            </w:pPr>
            <w:r>
              <w:rPr>
                <w:rFonts w:ascii="Arial" w:cs="Arial" w:eastAsia="Arial" w:hAnsi="Arial"/>
                <w:sz w:val="16"/>
                <w:szCs w:val="16"/>
                <w:b w:val="1"/>
                <w:bCs w:val="1"/>
                <w:color w:val="auto"/>
              </w:rPr>
              <w:t>(2)</w:t>
            </w:r>
          </w:p>
        </w:tc>
        <w:tc>
          <w:tcPr>
            <w:tcW w:w="780" w:type="dxa"/>
            <w:vAlign w:val="bottom"/>
          </w:tcPr>
          <w:p>
            <w:pPr>
              <w:jc w:val="right"/>
              <w:ind w:right="1"/>
              <w:spacing w:after="0"/>
              <w:rPr>
                <w:sz w:val="20"/>
                <w:szCs w:val="20"/>
                <w:color w:val="auto"/>
              </w:rPr>
            </w:pPr>
            <w:r>
              <w:rPr>
                <w:rFonts w:ascii="Arial" w:cs="Arial" w:eastAsia="Arial" w:hAnsi="Arial"/>
                <w:sz w:val="16"/>
                <w:szCs w:val="16"/>
                <w:b w:val="1"/>
                <w:bCs w:val="1"/>
                <w:color w:val="auto"/>
              </w:rPr>
              <w:t>(27)</w:t>
            </w:r>
          </w:p>
        </w:tc>
      </w:tr>
      <w:tr>
        <w:trPr>
          <w:trHeight w:val="200"/>
        </w:trPr>
        <w:tc>
          <w:tcPr>
            <w:tcW w:w="428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Non-permanent intercompany loans</w:t>
            </w:r>
          </w:p>
        </w:tc>
        <w:tc>
          <w:tcPr>
            <w:tcW w:w="1460" w:type="dxa"/>
            <w:vAlign w:val="bottom"/>
            <w:tcBorders>
              <w:bottom w:val="single" w:sz="8" w:color="B2B2B2"/>
            </w:tcBorders>
          </w:tcPr>
          <w:p>
            <w:pPr>
              <w:jc w:val="right"/>
              <w:ind w:right="261"/>
              <w:spacing w:after="0"/>
              <w:rPr>
                <w:sz w:val="20"/>
                <w:szCs w:val="20"/>
                <w:color w:val="auto"/>
              </w:rPr>
            </w:pPr>
            <w:r>
              <w:rPr>
                <w:rFonts w:ascii="Arial" w:cs="Arial" w:eastAsia="Arial" w:hAnsi="Arial"/>
                <w:sz w:val="16"/>
                <w:szCs w:val="16"/>
                <w:b w:val="1"/>
                <w:bCs w:val="1"/>
                <w:color w:val="auto"/>
              </w:rPr>
              <w:t>7</w:t>
            </w:r>
          </w:p>
        </w:tc>
        <w:tc>
          <w:tcPr>
            <w:tcW w:w="880" w:type="dxa"/>
            <w:vAlign w:val="bottom"/>
            <w:tcBorders>
              <w:bottom w:val="single" w:sz="8" w:color="B2B2B2"/>
            </w:tcBorders>
          </w:tcPr>
          <w:p>
            <w:pPr>
              <w:jc w:val="right"/>
              <w:ind w:right="261"/>
              <w:spacing w:after="0"/>
              <w:rPr>
                <w:sz w:val="20"/>
                <w:szCs w:val="20"/>
                <w:color w:val="auto"/>
              </w:rPr>
            </w:pPr>
            <w:r>
              <w:rPr>
                <w:rFonts w:ascii="Arial" w:cs="Arial" w:eastAsia="Arial" w:hAnsi="Arial"/>
                <w:sz w:val="16"/>
                <w:szCs w:val="16"/>
                <w:b w:val="1"/>
                <w:bCs w:val="1"/>
                <w:color w:val="auto"/>
              </w:rPr>
              <w:t>8</w:t>
            </w:r>
          </w:p>
        </w:tc>
        <w:tc>
          <w:tcPr>
            <w:tcW w:w="860" w:type="dxa"/>
            <w:vAlign w:val="bottom"/>
            <w:tcBorders>
              <w:bottom w:val="single" w:sz="8" w:color="B2B2B2"/>
            </w:tcBorders>
          </w:tcPr>
          <w:p>
            <w:pPr>
              <w:jc w:val="right"/>
              <w:ind w:right="241"/>
              <w:spacing w:after="0"/>
              <w:rPr>
                <w:sz w:val="20"/>
                <w:szCs w:val="20"/>
                <w:color w:val="auto"/>
              </w:rPr>
            </w:pPr>
            <w:r>
              <w:rPr>
                <w:rFonts w:ascii="Arial" w:cs="Arial" w:eastAsia="Arial" w:hAnsi="Arial"/>
                <w:sz w:val="16"/>
                <w:szCs w:val="16"/>
                <w:b w:val="1"/>
                <w:bCs w:val="1"/>
                <w:color w:val="auto"/>
              </w:rPr>
              <w:t>63</w:t>
            </w:r>
          </w:p>
        </w:tc>
        <w:tc>
          <w:tcPr>
            <w:tcW w:w="1460" w:type="dxa"/>
            <w:vAlign w:val="bottom"/>
            <w:tcBorders>
              <w:bottom w:val="single" w:sz="8" w:color="B2B2B2"/>
            </w:tcBorders>
          </w:tcPr>
          <w:p>
            <w:pPr>
              <w:jc w:val="right"/>
              <w:ind w:right="241"/>
              <w:spacing w:after="0"/>
              <w:rPr>
                <w:sz w:val="20"/>
                <w:szCs w:val="20"/>
                <w:color w:val="auto"/>
              </w:rPr>
            </w:pPr>
            <w:r>
              <w:rPr>
                <w:rFonts w:ascii="Arial" w:cs="Arial" w:eastAsia="Arial" w:hAnsi="Arial"/>
                <w:sz w:val="16"/>
                <w:szCs w:val="16"/>
                <w:b w:val="1"/>
                <w:bCs w:val="1"/>
                <w:color w:val="auto"/>
              </w:rPr>
              <w:t>18</w:t>
            </w:r>
          </w:p>
        </w:tc>
        <w:tc>
          <w:tcPr>
            <w:tcW w:w="78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96</w:t>
            </w:r>
          </w:p>
        </w:tc>
      </w:tr>
      <w:tr>
        <w:trPr>
          <w:trHeight w:val="185"/>
        </w:trPr>
        <w:tc>
          <w:tcPr>
            <w:tcW w:w="428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color w:val="auto"/>
              </w:rPr>
              <w:t> Total impact on earnings</w:t>
            </w:r>
          </w:p>
        </w:tc>
        <w:tc>
          <w:tcPr>
            <w:tcW w:w="1460" w:type="dxa"/>
            <w:vAlign w:val="bottom"/>
            <w:tcBorders>
              <w:bottom w:val="single" w:sz="8" w:color="D64000"/>
            </w:tcBorders>
          </w:tcPr>
          <w:p>
            <w:pPr>
              <w:jc w:val="right"/>
              <w:ind w:right="261"/>
              <w:spacing w:after="0" w:line="179" w:lineRule="exact"/>
              <w:rPr>
                <w:sz w:val="20"/>
                <w:szCs w:val="20"/>
                <w:color w:val="auto"/>
              </w:rPr>
            </w:pPr>
            <w:r>
              <w:rPr>
                <w:rFonts w:ascii="Arial" w:cs="Arial" w:eastAsia="Arial" w:hAnsi="Arial"/>
                <w:sz w:val="16"/>
                <w:szCs w:val="16"/>
                <w:b w:val="1"/>
                <w:bCs w:val="1"/>
                <w:color w:val="auto"/>
              </w:rPr>
              <w:t>(16)</w:t>
            </w:r>
          </w:p>
        </w:tc>
        <w:tc>
          <w:tcPr>
            <w:tcW w:w="880" w:type="dxa"/>
            <w:vAlign w:val="bottom"/>
            <w:tcBorders>
              <w:bottom w:val="single" w:sz="8" w:color="D64000"/>
            </w:tcBorders>
          </w:tcPr>
          <w:p>
            <w:pPr>
              <w:jc w:val="right"/>
              <w:ind w:right="261"/>
              <w:spacing w:after="0" w:line="179" w:lineRule="exact"/>
              <w:rPr>
                <w:sz w:val="20"/>
                <w:szCs w:val="20"/>
                <w:color w:val="auto"/>
              </w:rPr>
            </w:pPr>
            <w:r>
              <w:rPr>
                <w:rFonts w:ascii="Arial" w:cs="Arial" w:eastAsia="Arial" w:hAnsi="Arial"/>
                <w:sz w:val="16"/>
                <w:szCs w:val="16"/>
                <w:b w:val="1"/>
                <w:bCs w:val="1"/>
                <w:color w:val="auto"/>
              </w:rPr>
              <w:t>6</w:t>
            </w:r>
          </w:p>
        </w:tc>
        <w:tc>
          <w:tcPr>
            <w:tcW w:w="860" w:type="dxa"/>
            <w:vAlign w:val="bottom"/>
            <w:tcBorders>
              <w:bottom w:val="single" w:sz="8" w:color="D64000"/>
            </w:tcBorders>
          </w:tcPr>
          <w:p>
            <w:pPr>
              <w:jc w:val="right"/>
              <w:ind w:right="241"/>
              <w:spacing w:after="0" w:line="179" w:lineRule="exact"/>
              <w:rPr>
                <w:sz w:val="20"/>
                <w:szCs w:val="20"/>
                <w:color w:val="auto"/>
              </w:rPr>
            </w:pPr>
            <w:r>
              <w:rPr>
                <w:rFonts w:ascii="Arial" w:cs="Arial" w:eastAsia="Arial" w:hAnsi="Arial"/>
                <w:sz w:val="16"/>
                <w:szCs w:val="16"/>
                <w:b w:val="1"/>
                <w:bCs w:val="1"/>
                <w:color w:val="auto"/>
              </w:rPr>
              <w:t>64</w:t>
            </w:r>
          </w:p>
        </w:tc>
        <w:tc>
          <w:tcPr>
            <w:tcW w:w="1460" w:type="dxa"/>
            <w:vAlign w:val="bottom"/>
            <w:tcBorders>
              <w:bottom w:val="single" w:sz="8" w:color="D64000"/>
            </w:tcBorders>
          </w:tcPr>
          <w:p>
            <w:pPr>
              <w:jc w:val="right"/>
              <w:ind w:right="241"/>
              <w:spacing w:after="0" w:line="179" w:lineRule="exact"/>
              <w:rPr>
                <w:sz w:val="20"/>
                <w:szCs w:val="20"/>
                <w:color w:val="auto"/>
              </w:rPr>
            </w:pPr>
            <w:r>
              <w:rPr>
                <w:rFonts w:ascii="Arial" w:cs="Arial" w:eastAsia="Arial" w:hAnsi="Arial"/>
                <w:sz w:val="16"/>
                <w:szCs w:val="16"/>
                <w:b w:val="1"/>
                <w:bCs w:val="1"/>
                <w:color w:val="auto"/>
              </w:rPr>
              <w:t>18</w:t>
            </w:r>
          </w:p>
        </w:tc>
        <w:tc>
          <w:tcPr>
            <w:tcW w:w="780" w:type="dxa"/>
            <w:vAlign w:val="bottom"/>
            <w:tcBorders>
              <w:bottom w:val="single" w:sz="8" w:color="D64000"/>
            </w:tcBorders>
          </w:tcPr>
          <w:p>
            <w:pPr>
              <w:jc w:val="right"/>
              <w:ind w:right="1"/>
              <w:spacing w:after="0" w:line="179" w:lineRule="exact"/>
              <w:rPr>
                <w:sz w:val="20"/>
                <w:szCs w:val="20"/>
                <w:color w:val="auto"/>
              </w:rPr>
            </w:pPr>
            <w:r>
              <w:rPr>
                <w:rFonts w:ascii="Arial" w:cs="Arial" w:eastAsia="Arial" w:hAnsi="Arial"/>
                <w:sz w:val="16"/>
                <w:szCs w:val="16"/>
                <w:b w:val="1"/>
                <w:bCs w:val="1"/>
                <w:color w:val="auto"/>
              </w:rPr>
              <w:t>72</w:t>
            </w:r>
          </w:p>
        </w:tc>
      </w:tr>
    </w:tbl>
    <w:p>
      <w:pPr>
        <w:spacing w:after="0" w:line="70" w:lineRule="exact"/>
        <w:rPr>
          <w:sz w:val="20"/>
          <w:szCs w:val="20"/>
          <w:color w:val="auto"/>
        </w:rPr>
      </w:pPr>
    </w:p>
    <w:p>
      <w:pPr>
        <w:ind w:left="640" w:hanging="422"/>
        <w:spacing w:after="0"/>
        <w:tabs>
          <w:tab w:leader="none" w:pos="64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Excludes debt which has been swapped into U.S. dollar obligations.</w:t>
      </w:r>
    </w:p>
    <w:p>
      <w:pPr>
        <w:spacing w:after="0" w:line="91" w:lineRule="exact"/>
        <w:rPr>
          <w:sz w:val="20"/>
          <w:szCs w:val="20"/>
          <w:color w:val="auto"/>
        </w:rPr>
      </w:pPr>
    </w:p>
    <w:p>
      <w:pPr>
        <w:ind w:left="220" w:right="120"/>
        <w:spacing w:after="0" w:line="260" w:lineRule="auto"/>
        <w:rPr>
          <w:sz w:val="20"/>
          <w:szCs w:val="20"/>
          <w:color w:val="auto"/>
        </w:rPr>
      </w:pPr>
      <w:r>
        <w:rPr>
          <w:rFonts w:ascii="Arial" w:cs="Arial" w:eastAsia="Arial" w:hAnsi="Arial"/>
          <w:sz w:val="17"/>
          <w:szCs w:val="17"/>
          <w:color w:val="auto"/>
        </w:rPr>
        <w:t>The Company only uses derivative instruments to reduce foreign currency and interest rate exposures. Canadian dollar borrowings are generally converted to U.S. dollar obligations through currency swap arrangements.</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Interest Rate Risk</w:t>
      </w:r>
    </w:p>
    <w:p>
      <w:pPr>
        <w:spacing w:after="0" w:line="6" w:lineRule="exact"/>
        <w:rPr>
          <w:sz w:val="20"/>
          <w:szCs w:val="20"/>
          <w:color w:val="auto"/>
        </w:rPr>
      </w:pPr>
    </w:p>
    <w:p>
      <w:pPr>
        <w:ind w:left="220" w:right="160"/>
        <w:spacing w:after="0" w:line="231" w:lineRule="auto"/>
        <w:rPr>
          <w:sz w:val="20"/>
          <w:szCs w:val="20"/>
          <w:color w:val="auto"/>
        </w:rPr>
      </w:pPr>
      <w:r>
        <w:rPr>
          <w:rFonts w:ascii="Arial" w:cs="Arial" w:eastAsia="Arial" w:hAnsi="Arial"/>
          <w:sz w:val="17"/>
          <w:szCs w:val="17"/>
          <w:color w:val="auto"/>
        </w:rPr>
        <w:t>The Company is exposed to fluctuations in interest rates with respect to cash and cash equivalents. As of December 31, 2024, the majority of $1,968 million (2023 - $1,298 million) in cash and cash equivalents was comprised of interest-bearing assets. Based on amounts as of December 31, 2024, a 100-basis point increase or decrease in interest rates would have increased or decreased annual interest income by approximately $16 million. The Company has no significant exposure to fluctuations in interest rates with respect to long-term borrowings. As of December 31, 2024, the Company’s notes and debentures (after swaps) pay interest at fixed rates, and there were no derivatives designated as fair value hedges.</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Price Risk</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has no significant exposure to price risk from commodities in the normal course of business.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Credit Risk</w:t>
      </w:r>
    </w:p>
    <w:p>
      <w:pPr>
        <w:spacing w:after="0" w:line="6" w:lineRule="exact"/>
        <w:rPr>
          <w:sz w:val="20"/>
          <w:szCs w:val="20"/>
          <w:color w:val="auto"/>
        </w:rPr>
      </w:pPr>
    </w:p>
    <w:p>
      <w:pPr>
        <w:ind w:left="220" w:right="760"/>
        <w:spacing w:after="0"/>
        <w:rPr>
          <w:sz w:val="20"/>
          <w:szCs w:val="20"/>
          <w:color w:val="auto"/>
        </w:rPr>
      </w:pPr>
      <w:r>
        <w:rPr>
          <w:rFonts w:ascii="Arial" w:cs="Arial" w:eastAsia="Arial" w:hAnsi="Arial"/>
          <w:sz w:val="17"/>
          <w:szCs w:val="17"/>
          <w:color w:val="auto"/>
        </w:rPr>
        <w:t>Credit risk arises from cash and cash equivalents and derivative financial instruments, as well as credit exposure to customers including outstanding receivables. The Company attempts to minimize credit exposure as follows:</w:t>
      </w:r>
    </w:p>
    <w:p>
      <w:pPr>
        <w:spacing w:after="0" w:line="83" w:lineRule="exact"/>
        <w:rPr>
          <w:sz w:val="20"/>
          <w:szCs w:val="20"/>
          <w:color w:val="auto"/>
        </w:rPr>
      </w:pPr>
    </w:p>
    <w:p>
      <w:pPr>
        <w:ind w:left="640" w:right="20" w:hanging="422"/>
        <w:spacing w:after="0" w:line="239" w:lineRule="auto"/>
        <w:tabs>
          <w:tab w:leader="none" w:pos="640" w:val="left"/>
        </w:tabs>
        <w:numPr>
          <w:ilvl w:val="0"/>
          <w:numId w:val="124"/>
        </w:numPr>
        <w:rPr>
          <w:rFonts w:ascii="Arial" w:cs="Arial" w:eastAsia="Arial" w:hAnsi="Arial"/>
          <w:sz w:val="17"/>
          <w:szCs w:val="17"/>
          <w:color w:val="D64000"/>
        </w:rPr>
      </w:pPr>
      <w:r>
        <w:rPr>
          <w:rFonts w:ascii="Arial" w:cs="Arial" w:eastAsia="Arial" w:hAnsi="Arial"/>
          <w:sz w:val="17"/>
          <w:szCs w:val="17"/>
          <w:color w:val="auto"/>
        </w:rPr>
        <w:t>Cash investments are placed with high-quality financial institutions with limited exposure to any one institution. As of December 31, 2024, approximately 99% of cash and cash equivalents were held by institutions that were rated at “A-“ or higher by at least one of the major credit rating agencies;</w:t>
      </w:r>
    </w:p>
    <w:p>
      <w:pPr>
        <w:spacing w:after="0" w:line="1" w:lineRule="exact"/>
        <w:rPr>
          <w:rFonts w:ascii="Arial" w:cs="Arial" w:eastAsia="Arial" w:hAnsi="Arial"/>
          <w:sz w:val="17"/>
          <w:szCs w:val="17"/>
          <w:color w:val="D64000"/>
        </w:rPr>
      </w:pPr>
    </w:p>
    <w:p>
      <w:pPr>
        <w:ind w:left="640" w:right="40" w:hanging="422"/>
        <w:spacing w:after="0" w:line="235" w:lineRule="auto"/>
        <w:tabs>
          <w:tab w:leader="none" w:pos="640" w:val="left"/>
        </w:tabs>
        <w:numPr>
          <w:ilvl w:val="0"/>
          <w:numId w:val="124"/>
        </w:numPr>
        <w:rPr>
          <w:rFonts w:ascii="Arial" w:cs="Arial" w:eastAsia="Arial" w:hAnsi="Arial"/>
          <w:sz w:val="17"/>
          <w:szCs w:val="17"/>
          <w:color w:val="D64000"/>
        </w:rPr>
      </w:pPr>
      <w:r>
        <w:rPr>
          <w:rFonts w:ascii="Arial" w:cs="Arial" w:eastAsia="Arial" w:hAnsi="Arial"/>
          <w:sz w:val="17"/>
          <w:szCs w:val="17"/>
          <w:color w:val="auto"/>
        </w:rPr>
        <w:t>Counterparties to derivative contracts are major investment-grade international financial institutions and exposure to any single counterparty is monitored and limited; and</w:t>
      </w:r>
    </w:p>
    <w:p>
      <w:pPr>
        <w:spacing w:after="0" w:line="1" w:lineRule="exact"/>
        <w:rPr>
          <w:rFonts w:ascii="Arial" w:cs="Arial" w:eastAsia="Arial" w:hAnsi="Arial"/>
          <w:sz w:val="17"/>
          <w:szCs w:val="17"/>
          <w:color w:val="D64000"/>
        </w:rPr>
      </w:pPr>
    </w:p>
    <w:p>
      <w:pPr>
        <w:ind w:left="640" w:hanging="422"/>
        <w:spacing w:after="0"/>
        <w:tabs>
          <w:tab w:leader="none" w:pos="640" w:val="left"/>
        </w:tabs>
        <w:numPr>
          <w:ilvl w:val="0"/>
          <w:numId w:val="124"/>
        </w:numPr>
        <w:rPr>
          <w:rFonts w:ascii="Arial" w:cs="Arial" w:eastAsia="Arial" w:hAnsi="Arial"/>
          <w:sz w:val="17"/>
          <w:szCs w:val="17"/>
          <w:color w:val="D64000"/>
        </w:rPr>
      </w:pPr>
      <w:r>
        <w:rPr>
          <w:rFonts w:ascii="Arial" w:cs="Arial" w:eastAsia="Arial" w:hAnsi="Arial"/>
          <w:sz w:val="17"/>
          <w:szCs w:val="17"/>
          <w:color w:val="auto"/>
        </w:rPr>
        <w:t>The Company assesses the creditworthiness of its customers.</w:t>
      </w:r>
    </w:p>
    <w:p>
      <w:pPr>
        <w:spacing w:after="0" w:line="80" w:lineRule="exact"/>
        <w:rPr>
          <w:sz w:val="20"/>
          <w:szCs w:val="20"/>
          <w:color w:val="auto"/>
        </w:rPr>
      </w:pPr>
    </w:p>
    <w:p>
      <w:pPr>
        <w:ind w:left="220" w:right="240"/>
        <w:spacing w:after="0" w:line="243" w:lineRule="auto"/>
        <w:rPr>
          <w:sz w:val="20"/>
          <w:szCs w:val="20"/>
          <w:color w:val="auto"/>
        </w:rPr>
      </w:pPr>
      <w:r>
        <w:rPr>
          <w:rFonts w:ascii="Arial" w:cs="Arial" w:eastAsia="Arial" w:hAnsi="Arial"/>
          <w:sz w:val="17"/>
          <w:szCs w:val="17"/>
          <w:color w:val="auto"/>
        </w:rPr>
        <w:t>No allowance for credit losses on financial assets was required as of December 31, 2024, other than the allowance for expected credit losses (see note 14) and for credit risk associated with a receivable under an indemnification arrangement and contingent receivables (see “Fair value estimation” section below). Further, no financial or other assets have been pledged.</w:t>
      </w:r>
    </w:p>
    <w:p>
      <w:pPr>
        <w:spacing w:after="0" w:line="42" w:lineRule="exact"/>
        <w:rPr>
          <w:sz w:val="20"/>
          <w:szCs w:val="20"/>
          <w:color w:val="auto"/>
        </w:rPr>
      </w:pPr>
    </w:p>
    <w:p>
      <w:pPr>
        <w:ind w:left="220" w:right="400"/>
        <w:spacing w:after="0" w:line="243" w:lineRule="auto"/>
        <w:rPr>
          <w:sz w:val="20"/>
          <w:szCs w:val="20"/>
          <w:color w:val="auto"/>
        </w:rPr>
      </w:pPr>
      <w:r>
        <w:rPr>
          <w:rFonts w:ascii="Arial" w:cs="Arial" w:eastAsia="Arial" w:hAnsi="Arial"/>
          <w:sz w:val="17"/>
          <w:szCs w:val="17"/>
          <w:color w:val="auto"/>
        </w:rPr>
        <w:t>The Company’s maximum exposure with respect to credit, assuming no mitigating factors, would be the aggregate of its cash and cash equivalents of $1,968 million (2023 - $1,298 million), trade and other receivables of $1,087 million (2023 - $1,122 million), derivative financial assets of nil (2023 - $123 million) and other financial assets of $378 million (2023 - $289 million).</w:t>
      </w:r>
    </w:p>
    <w:p>
      <w:pPr>
        <w:spacing w:after="0" w:line="69" w:lineRule="exact"/>
        <w:rPr>
          <w:sz w:val="20"/>
          <w:szCs w:val="20"/>
          <w:color w:val="auto"/>
        </w:rPr>
      </w:pPr>
    </w:p>
    <w:p>
      <w:pPr>
        <w:ind w:left="220" w:right="1720"/>
        <w:spacing w:after="0" w:line="302" w:lineRule="auto"/>
        <w:rPr>
          <w:sz w:val="20"/>
          <w:szCs w:val="20"/>
          <w:color w:val="auto"/>
        </w:rPr>
      </w:pPr>
      <w:r>
        <w:rPr>
          <w:rFonts w:ascii="Arial" w:cs="Arial" w:eastAsia="Arial" w:hAnsi="Arial"/>
          <w:sz w:val="17"/>
          <w:szCs w:val="17"/>
          <w:color w:val="auto"/>
        </w:rPr>
        <w:t xml:space="preserve">The Company is also exposed to credit risk from the guarantee related to its investment in 3XSQ Associates (see note 31). </w:t>
      </w:r>
      <w:r>
        <w:rPr>
          <w:rFonts w:ascii="Arial" w:cs="Arial" w:eastAsia="Arial" w:hAnsi="Arial"/>
          <w:sz w:val="17"/>
          <w:szCs w:val="17"/>
          <w:b w:val="1"/>
          <w:bCs w:val="1"/>
          <w:color w:val="auto"/>
        </w:rPr>
        <w:t>Liquidity Risk</w:t>
      </w:r>
    </w:p>
    <w:p>
      <w:pPr>
        <w:spacing w:after="0" w:line="1" w:lineRule="exact"/>
        <w:rPr>
          <w:sz w:val="20"/>
          <w:szCs w:val="20"/>
          <w:color w:val="auto"/>
        </w:rPr>
      </w:pPr>
    </w:p>
    <w:p>
      <w:pPr>
        <w:ind w:left="220" w:right="180"/>
        <w:spacing w:after="0" w:line="233" w:lineRule="auto"/>
        <w:rPr>
          <w:sz w:val="20"/>
          <w:szCs w:val="20"/>
          <w:color w:val="auto"/>
        </w:rPr>
      </w:pPr>
      <w:r>
        <w:rPr>
          <w:rFonts w:ascii="Arial" w:cs="Arial" w:eastAsia="Arial" w:hAnsi="Arial"/>
          <w:sz w:val="17"/>
          <w:szCs w:val="17"/>
          <w:color w:val="auto"/>
        </w:rPr>
        <w:t>A centralized treasury function provides flexibility in cash management, including forecasting future cash flow expectations. Cash holdings are supplemented by maintaining sufficient capacity under the Company’s borrowing facilities. Cash flow estimates are based on rolling forecasts of operating, investing and financing flows. Such forecasting also considers account borrowing limits, cash restrictions and compliance with debt covenants.</w:t>
      </w:r>
    </w:p>
    <w:p>
      <w:pPr>
        <w:spacing w:after="0" w:line="73" w:lineRule="exact"/>
        <w:rPr>
          <w:sz w:val="20"/>
          <w:szCs w:val="20"/>
          <w:color w:val="auto"/>
        </w:rPr>
      </w:pPr>
    </w:p>
    <w:p>
      <w:pPr>
        <w:jc w:val="both"/>
        <w:ind w:left="220" w:right="580"/>
        <w:spacing w:after="0" w:line="243" w:lineRule="auto"/>
        <w:rPr>
          <w:sz w:val="20"/>
          <w:szCs w:val="20"/>
          <w:color w:val="auto"/>
        </w:rPr>
      </w:pPr>
      <w:r>
        <w:rPr>
          <w:rFonts w:ascii="Arial" w:cs="Arial" w:eastAsia="Arial" w:hAnsi="Arial"/>
          <w:sz w:val="17"/>
          <w:szCs w:val="17"/>
          <w:color w:val="auto"/>
        </w:rPr>
        <w:t>The majority of cash is invested in money market funds or bank deposits with overnight accessibility. In addition, the Company maintains a $2.0 billion commercial paper program, which provides cost-effective and flexible short-term funding, and a $2.0 billion credit facility, which provides additional liquidity, as further described below.</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Commercial Paper Program</w:t>
      </w:r>
    </w:p>
    <w:p>
      <w:pPr>
        <w:spacing w:after="0" w:line="6" w:lineRule="exact"/>
        <w:rPr>
          <w:sz w:val="20"/>
          <w:szCs w:val="20"/>
          <w:color w:val="auto"/>
        </w:rPr>
      </w:pPr>
    </w:p>
    <w:p>
      <w:pPr>
        <w:ind w:left="220" w:right="260"/>
        <w:spacing w:after="0" w:line="236" w:lineRule="auto"/>
        <w:rPr>
          <w:sz w:val="20"/>
          <w:szCs w:val="20"/>
          <w:color w:val="auto"/>
        </w:rPr>
      </w:pPr>
      <w:r>
        <w:rPr>
          <w:rFonts w:ascii="Arial" w:cs="Arial" w:eastAsia="Arial" w:hAnsi="Arial"/>
          <w:sz w:val="17"/>
          <w:szCs w:val="17"/>
          <w:color w:val="auto"/>
        </w:rPr>
        <w:t>The Company’s $2.0 billion commercial paper program provides cost effective and flexible short-term funding. There was no commercial paper outstanding as of December 31, 2024. As of December 31, 2023, the carrying amount of outstanding commercial paper of $130 million was included in “Current indebtedness” within the consolidated statement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100330</wp:posOffset>
            </wp:positionV>
            <wp:extent cx="686562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6"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118</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Credit Facility</w:t>
      </w:r>
    </w:p>
    <w:p>
      <w:pPr>
        <w:spacing w:after="0" w:line="6" w:lineRule="exact"/>
        <w:rPr>
          <w:sz w:val="20"/>
          <w:szCs w:val="20"/>
          <w:color w:val="auto"/>
        </w:rPr>
      </w:pPr>
    </w:p>
    <w:p>
      <w:pPr>
        <w:ind w:left="220" w:right="80"/>
        <w:spacing w:after="0" w:line="230" w:lineRule="auto"/>
        <w:rPr>
          <w:sz w:val="20"/>
          <w:szCs w:val="20"/>
          <w:color w:val="auto"/>
        </w:rPr>
      </w:pPr>
      <w:r>
        <w:rPr>
          <w:rFonts w:ascii="Arial" w:cs="Arial" w:eastAsia="Arial" w:hAnsi="Arial"/>
          <w:sz w:val="17"/>
          <w:szCs w:val="17"/>
          <w:color w:val="auto"/>
        </w:rPr>
        <w:t>The Company has a $2.0 billion syndicated credit facility agreement which matures in November 2027 and may be used to provide liquidity for general corporate purposes (including acquisitions or support for its commercial paper program). There were no outstanding borrowings under the credit facility as of December 31, 2024 and 2023. Based on the Company’s current credit ratings, the cost of borrowing under the facility is priced at the Term Secured Overnight Financing Rate (“SOFR”)/Euro Interbank Offered Rate (“EURiBOR”)/Simple Sterling Overnight Index Average (“SONIA”) plus 102.5 basis points. The Company has the option to request an increase, subject to approval by applicable lenders, in the lenders’ commitments in an aggregate amount of $600 million for a maximum credit facility commitment of $2.6 billion. If the Company’s debt rating is downgraded by at least two ratings agencies consisting of Moody’s, S&amp;P or Fitch, the facility fees and borrowing costs could increase, although contractual availability would be unaffected. Conversely, an upgrade in the Company’s rating may reduce the facility fees and borrowing costs.</w:t>
      </w:r>
    </w:p>
    <w:p>
      <w:pPr>
        <w:spacing w:after="0" w:line="74" w:lineRule="exact"/>
        <w:rPr>
          <w:sz w:val="20"/>
          <w:szCs w:val="20"/>
          <w:color w:val="auto"/>
        </w:rPr>
      </w:pPr>
    </w:p>
    <w:p>
      <w:pPr>
        <w:ind w:left="220" w:right="80"/>
        <w:spacing w:after="0" w:line="233" w:lineRule="auto"/>
        <w:rPr>
          <w:sz w:val="20"/>
          <w:szCs w:val="20"/>
          <w:color w:val="auto"/>
        </w:rPr>
      </w:pPr>
      <w:r>
        <w:rPr>
          <w:rFonts w:ascii="Arial" w:cs="Arial" w:eastAsia="Arial" w:hAnsi="Arial"/>
          <w:sz w:val="17"/>
          <w:szCs w:val="17"/>
          <w:color w:val="auto"/>
        </w:rPr>
        <w:t>The Company guarantees borrowings by its subsidiaries under the credit facility. The Company must also maintain a ratio of net debt as defined in the credit agreement (total debt after swaps less cash and cash equivalents) as of the last day of each fiscal quarter to EBITDA as defined in the credit agreement (earnings before interest, income taxes, depreciation and amortization and other modifications described in the credit agreement) for the last four quarters ended of not more than 4.5:1. If the Company were to complete an acquisition with a purchase price of over $500 million, the Company may elect, subject to notification, to temporarily increase the ratio of net debt to EBITDA to 5.0:1 at the end of the quarter within which the transaction closed and for each of the three immediately following fiscal quarters. At the end of that period, the ratio would revert to 4.5:1. As of December 31, 2024, the Company complied with this covenant as its ratio of net debt to EBITDA, as calculated under the terms of its syndicated credit facility, was 0.3:1.</w:t>
      </w:r>
    </w:p>
    <w:p>
      <w:pPr>
        <w:spacing w:after="0" w:line="45" w:lineRule="exact"/>
        <w:rPr>
          <w:sz w:val="20"/>
          <w:szCs w:val="20"/>
          <w:color w:val="auto"/>
        </w:rPr>
      </w:pPr>
    </w:p>
    <w:p>
      <w:pPr>
        <w:ind w:left="220" w:right="280"/>
        <w:spacing w:after="0" w:line="260" w:lineRule="auto"/>
        <w:rPr>
          <w:sz w:val="20"/>
          <w:szCs w:val="20"/>
          <w:color w:val="auto"/>
        </w:rPr>
      </w:pPr>
      <w:r>
        <w:rPr>
          <w:rFonts w:ascii="Arial" w:cs="Arial" w:eastAsia="Arial" w:hAnsi="Arial"/>
          <w:sz w:val="17"/>
          <w:szCs w:val="17"/>
          <w:color w:val="auto"/>
        </w:rPr>
        <w:t>The tables below set forth non-derivative and derivative financial liabilities by maturity based on the remaining period from December 31, 2024 and 2023, respectively, to the contractual maturity date. The amounts disclosed are the contractual undiscounted cash flows.</w:t>
      </w:r>
    </w:p>
    <w:p>
      <w:pPr>
        <w:spacing w:after="0" w:line="208"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5260" w:type="dxa"/>
            <w:vAlign w:val="bottom"/>
            <w:tcBorders>
              <w:bottom w:val="single" w:sz="8" w:color="D64000"/>
            </w:tcBorders>
            <w:shd w:val="clear" w:color="auto" w:fill="E3F3EE"/>
          </w:tcPr>
          <w:p>
            <w:pPr>
              <w:spacing w:after="0"/>
              <w:rPr>
                <w:sz w:val="20"/>
                <w:szCs w:val="20"/>
                <w:color w:val="auto"/>
              </w:rPr>
            </w:pPr>
            <w:r>
              <w:rPr>
                <w:rFonts w:ascii="Arial" w:cs="Arial" w:eastAsia="Arial" w:hAnsi="Arial"/>
                <w:sz w:val="16"/>
                <w:szCs w:val="16"/>
                <w:b w:val="1"/>
                <w:bCs w:val="1"/>
                <w:color w:val="auto"/>
              </w:rPr>
              <w:t> December 31, 2024</w:t>
            </w:r>
          </w:p>
        </w:tc>
        <w:tc>
          <w:tcPr>
            <w:tcW w:w="780" w:type="dxa"/>
            <w:vAlign w:val="bottom"/>
            <w:tcBorders>
              <w:bottom w:val="single" w:sz="8" w:color="D64000"/>
            </w:tcBorders>
            <w:shd w:val="clear" w:color="auto" w:fill="1F473D"/>
          </w:tcPr>
          <w:p>
            <w:pPr>
              <w:jc w:val="right"/>
              <w:ind w:right="141"/>
              <w:spacing w:after="0"/>
              <w:rPr>
                <w:sz w:val="20"/>
                <w:szCs w:val="20"/>
                <w:color w:val="auto"/>
              </w:rPr>
            </w:pPr>
            <w:r>
              <w:rPr>
                <w:rFonts w:ascii="Arial" w:cs="Arial" w:eastAsia="Arial" w:hAnsi="Arial"/>
                <w:sz w:val="16"/>
                <w:szCs w:val="16"/>
                <w:b w:val="1"/>
                <w:bCs w:val="1"/>
                <w:color w:val="FFFFFF"/>
              </w:rPr>
              <w:t>2025</w:t>
            </w:r>
          </w:p>
        </w:tc>
        <w:tc>
          <w:tcPr>
            <w:tcW w:w="700" w:type="dxa"/>
            <w:vAlign w:val="bottom"/>
            <w:tcBorders>
              <w:bottom w:val="single" w:sz="8" w:color="D64000"/>
            </w:tcBorders>
            <w:shd w:val="clear" w:color="auto" w:fill="1F473D"/>
          </w:tcPr>
          <w:p>
            <w:pPr>
              <w:jc w:val="right"/>
              <w:ind w:right="101"/>
              <w:spacing w:after="0"/>
              <w:rPr>
                <w:sz w:val="20"/>
                <w:szCs w:val="20"/>
                <w:color w:val="auto"/>
              </w:rPr>
            </w:pPr>
            <w:r>
              <w:rPr>
                <w:rFonts w:ascii="Arial" w:cs="Arial" w:eastAsia="Arial" w:hAnsi="Arial"/>
                <w:sz w:val="16"/>
                <w:szCs w:val="16"/>
                <w:b w:val="1"/>
                <w:bCs w:val="1"/>
                <w:color w:val="FFFFFF"/>
              </w:rPr>
              <w:t>2026</w:t>
            </w:r>
          </w:p>
        </w:tc>
        <w:tc>
          <w:tcPr>
            <w:tcW w:w="520" w:type="dxa"/>
            <w:vAlign w:val="bottom"/>
            <w:tcBorders>
              <w:bottom w:val="single" w:sz="8" w:color="D64000"/>
            </w:tcBorders>
            <w:shd w:val="clear" w:color="auto" w:fill="1F473D"/>
          </w:tcPr>
          <w:p>
            <w:pPr>
              <w:jc w:val="right"/>
              <w:ind w:right="1"/>
              <w:spacing w:after="0"/>
              <w:rPr>
                <w:sz w:val="20"/>
                <w:szCs w:val="20"/>
                <w:color w:val="auto"/>
              </w:rPr>
            </w:pPr>
            <w:r>
              <w:rPr>
                <w:rFonts w:ascii="Arial" w:cs="Arial" w:eastAsia="Arial" w:hAnsi="Arial"/>
                <w:sz w:val="16"/>
                <w:szCs w:val="16"/>
                <w:b w:val="1"/>
                <w:bCs w:val="1"/>
                <w:color w:val="FFFFFF"/>
              </w:rPr>
              <w:t>2027</w:t>
            </w:r>
          </w:p>
        </w:tc>
        <w:tc>
          <w:tcPr>
            <w:tcW w:w="520" w:type="dxa"/>
            <w:vAlign w:val="bottom"/>
            <w:tcBorders>
              <w:bottom w:val="single" w:sz="8" w:color="D64000"/>
            </w:tcBorders>
            <w:shd w:val="clear" w:color="auto" w:fill="1F473D"/>
          </w:tcPr>
          <w:p>
            <w:pPr>
              <w:jc w:val="right"/>
              <w:ind w:right="1"/>
              <w:spacing w:after="0"/>
              <w:rPr>
                <w:sz w:val="20"/>
                <w:szCs w:val="20"/>
                <w:color w:val="auto"/>
              </w:rPr>
            </w:pPr>
            <w:r>
              <w:rPr>
                <w:rFonts w:ascii="Arial" w:cs="Arial" w:eastAsia="Arial" w:hAnsi="Arial"/>
                <w:sz w:val="16"/>
                <w:szCs w:val="16"/>
                <w:b w:val="1"/>
                <w:bCs w:val="1"/>
                <w:color w:val="FFFFFF"/>
              </w:rPr>
              <w:t>2028</w:t>
            </w:r>
          </w:p>
        </w:tc>
        <w:tc>
          <w:tcPr>
            <w:tcW w:w="520" w:type="dxa"/>
            <w:vAlign w:val="bottom"/>
            <w:tcBorders>
              <w:bottom w:val="single" w:sz="8" w:color="D64000"/>
            </w:tcBorders>
            <w:shd w:val="clear" w:color="auto" w:fill="1F473D"/>
          </w:tcPr>
          <w:p>
            <w:pPr>
              <w:jc w:val="right"/>
              <w:ind w:right="1"/>
              <w:spacing w:after="0"/>
              <w:rPr>
                <w:sz w:val="20"/>
                <w:szCs w:val="20"/>
                <w:color w:val="auto"/>
              </w:rPr>
            </w:pPr>
            <w:r>
              <w:rPr>
                <w:rFonts w:ascii="Arial" w:cs="Arial" w:eastAsia="Arial" w:hAnsi="Arial"/>
                <w:sz w:val="16"/>
                <w:szCs w:val="16"/>
                <w:b w:val="1"/>
                <w:bCs w:val="1"/>
                <w:color w:val="FFFFFF"/>
              </w:rPr>
              <w:t>2029</w:t>
            </w:r>
          </w:p>
        </w:tc>
        <w:tc>
          <w:tcPr>
            <w:tcW w:w="960" w:type="dxa"/>
            <w:vAlign w:val="bottom"/>
            <w:tcBorders>
              <w:bottom w:val="single" w:sz="8" w:color="D64000"/>
            </w:tcBorders>
            <w:shd w:val="clear" w:color="auto" w:fill="1F473D"/>
          </w:tcPr>
          <w:p>
            <w:pPr>
              <w:jc w:val="right"/>
              <w:ind w:right="21"/>
              <w:spacing w:after="0"/>
              <w:rPr>
                <w:sz w:val="20"/>
                <w:szCs w:val="20"/>
                <w:color w:val="auto"/>
              </w:rPr>
            </w:pPr>
            <w:r>
              <w:rPr>
                <w:rFonts w:ascii="Arial" w:cs="Arial" w:eastAsia="Arial" w:hAnsi="Arial"/>
                <w:sz w:val="16"/>
                <w:szCs w:val="16"/>
                <w:b w:val="1"/>
                <w:bCs w:val="1"/>
                <w:color w:val="FFFFFF"/>
              </w:rPr>
              <w:t>Thereafter</w:t>
            </w:r>
          </w:p>
        </w:tc>
        <w:tc>
          <w:tcPr>
            <w:tcW w:w="680" w:type="dxa"/>
            <w:vAlign w:val="bottom"/>
            <w:tcBorders>
              <w:bottom w:val="single" w:sz="8" w:color="D64000"/>
            </w:tcBorders>
            <w:shd w:val="clear" w:color="auto" w:fill="1F473D"/>
          </w:tcPr>
          <w:p>
            <w:pPr>
              <w:jc w:val="right"/>
              <w:ind w:right="81"/>
              <w:spacing w:after="0"/>
              <w:rPr>
                <w:sz w:val="20"/>
                <w:szCs w:val="20"/>
                <w:color w:val="auto"/>
              </w:rPr>
            </w:pPr>
            <w:r>
              <w:rPr>
                <w:rFonts w:ascii="Arial" w:cs="Arial" w:eastAsia="Arial" w:hAnsi="Arial"/>
                <w:sz w:val="16"/>
                <w:szCs w:val="16"/>
                <w:b w:val="1"/>
                <w:bCs w:val="1"/>
                <w:color w:val="FFFFFF"/>
              </w:rPr>
              <w:t>Total</w:t>
            </w:r>
          </w:p>
        </w:tc>
      </w:tr>
      <w:tr>
        <w:trPr>
          <w:trHeight w:val="171"/>
        </w:trPr>
        <w:tc>
          <w:tcPr>
            <w:tcW w:w="5260" w:type="dxa"/>
            <w:vAlign w:val="bottom"/>
          </w:tcPr>
          <w:p>
            <w:pPr>
              <w:spacing w:after="0" w:line="172" w:lineRule="exact"/>
              <w:rPr>
                <w:sz w:val="20"/>
                <w:szCs w:val="20"/>
                <w:color w:val="auto"/>
              </w:rPr>
            </w:pPr>
            <w:r>
              <w:rPr>
                <w:rFonts w:ascii="Arial" w:cs="Arial" w:eastAsia="Arial" w:hAnsi="Arial"/>
                <w:sz w:val="16"/>
                <w:szCs w:val="16"/>
                <w:color w:val="auto"/>
              </w:rPr>
              <w:t> Notes/debentures</w:t>
            </w:r>
            <w:r>
              <w:rPr>
                <w:rFonts w:ascii="Arial" w:cs="Arial" w:eastAsia="Arial" w:hAnsi="Arial"/>
                <w:sz w:val="19"/>
                <w:szCs w:val="19"/>
                <w:color w:val="auto"/>
                <w:vertAlign w:val="superscript"/>
              </w:rPr>
              <w:t>(1)</w:t>
            </w:r>
          </w:p>
        </w:tc>
        <w:tc>
          <w:tcPr>
            <w:tcW w:w="780" w:type="dxa"/>
            <w:vAlign w:val="bottom"/>
          </w:tcPr>
          <w:p>
            <w:pPr>
              <w:jc w:val="right"/>
              <w:ind w:right="21"/>
              <w:spacing w:after="0" w:line="171" w:lineRule="exact"/>
              <w:rPr>
                <w:sz w:val="20"/>
                <w:szCs w:val="20"/>
                <w:color w:val="auto"/>
              </w:rPr>
            </w:pPr>
            <w:r>
              <w:rPr>
                <w:rFonts w:ascii="Arial" w:cs="Arial" w:eastAsia="Arial" w:hAnsi="Arial"/>
                <w:sz w:val="16"/>
                <w:szCs w:val="16"/>
                <w:b w:val="1"/>
                <w:bCs w:val="1"/>
                <w:color w:val="auto"/>
              </w:rPr>
              <w:t>973</w:t>
            </w:r>
          </w:p>
        </w:tc>
        <w:tc>
          <w:tcPr>
            <w:tcW w:w="700" w:type="dxa"/>
            <w:vAlign w:val="bottom"/>
          </w:tcPr>
          <w:p>
            <w:pPr>
              <w:jc w:val="right"/>
              <w:ind w:right="1"/>
              <w:spacing w:after="0" w:line="171" w:lineRule="exact"/>
              <w:rPr>
                <w:sz w:val="20"/>
                <w:szCs w:val="20"/>
                <w:color w:val="auto"/>
              </w:rPr>
            </w:pPr>
            <w:r>
              <w:rPr>
                <w:rFonts w:ascii="Arial" w:cs="Arial" w:eastAsia="Arial" w:hAnsi="Arial"/>
                <w:sz w:val="16"/>
                <w:szCs w:val="16"/>
                <w:b w:val="1"/>
                <w:bCs w:val="1"/>
                <w:color w:val="auto"/>
              </w:rPr>
              <w:t>500</w:t>
            </w:r>
          </w:p>
        </w:tc>
        <w:tc>
          <w:tcPr>
            <w:tcW w:w="520" w:type="dxa"/>
            <w:vAlign w:val="bottom"/>
          </w:tcPr>
          <w:p>
            <w:pPr>
              <w:jc w:val="right"/>
              <w:ind w:right="1"/>
              <w:spacing w:after="0" w:line="171" w:lineRule="exact"/>
              <w:rPr>
                <w:sz w:val="20"/>
                <w:szCs w:val="20"/>
                <w:color w:val="auto"/>
              </w:rPr>
            </w:pPr>
            <w:r>
              <w:rPr>
                <w:rFonts w:ascii="Arial" w:cs="Arial" w:eastAsia="Arial" w:hAnsi="Arial"/>
                <w:sz w:val="16"/>
                <w:szCs w:val="16"/>
                <w:b w:val="1"/>
                <w:bCs w:val="1"/>
                <w:color w:val="auto"/>
              </w:rPr>
              <w:t>-</w:t>
            </w:r>
          </w:p>
        </w:tc>
        <w:tc>
          <w:tcPr>
            <w:tcW w:w="520" w:type="dxa"/>
            <w:vAlign w:val="bottom"/>
          </w:tcPr>
          <w:p>
            <w:pPr>
              <w:jc w:val="right"/>
              <w:ind w:right="1"/>
              <w:spacing w:after="0" w:line="171" w:lineRule="exact"/>
              <w:rPr>
                <w:sz w:val="20"/>
                <w:szCs w:val="20"/>
                <w:color w:val="auto"/>
              </w:rPr>
            </w:pPr>
            <w:r>
              <w:rPr>
                <w:rFonts w:ascii="Arial" w:cs="Arial" w:eastAsia="Arial" w:hAnsi="Arial"/>
                <w:sz w:val="16"/>
                <w:szCs w:val="16"/>
                <w:b w:val="1"/>
                <w:bCs w:val="1"/>
                <w:color w:val="auto"/>
              </w:rPr>
              <w:t>-</w:t>
            </w:r>
          </w:p>
        </w:tc>
        <w:tc>
          <w:tcPr>
            <w:tcW w:w="520" w:type="dxa"/>
            <w:vAlign w:val="bottom"/>
          </w:tcPr>
          <w:p>
            <w:pPr>
              <w:jc w:val="right"/>
              <w:ind w:right="1"/>
              <w:spacing w:after="0" w:line="171" w:lineRule="exact"/>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1"/>
              <w:spacing w:after="0" w:line="171" w:lineRule="exact"/>
              <w:rPr>
                <w:sz w:val="20"/>
                <w:szCs w:val="20"/>
                <w:color w:val="auto"/>
              </w:rPr>
            </w:pPr>
            <w:r>
              <w:rPr>
                <w:rFonts w:ascii="Arial" w:cs="Arial" w:eastAsia="Arial" w:hAnsi="Arial"/>
                <w:sz w:val="16"/>
                <w:szCs w:val="16"/>
                <w:b w:val="1"/>
                <w:bCs w:val="1"/>
                <w:color w:val="auto"/>
              </w:rPr>
              <w:t>1,369</w:t>
            </w:r>
          </w:p>
        </w:tc>
        <w:tc>
          <w:tcPr>
            <w:tcW w:w="68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2,842</w:t>
            </w:r>
          </w:p>
        </w:tc>
      </w:tr>
      <w:tr>
        <w:trPr>
          <w:trHeight w:val="186"/>
        </w:trPr>
        <w:tc>
          <w:tcPr>
            <w:tcW w:w="5260" w:type="dxa"/>
            <w:vAlign w:val="bottom"/>
          </w:tcPr>
          <w:p>
            <w:pPr>
              <w:spacing w:after="0" w:line="185" w:lineRule="exact"/>
              <w:rPr>
                <w:sz w:val="20"/>
                <w:szCs w:val="20"/>
                <w:color w:val="auto"/>
              </w:rPr>
            </w:pPr>
            <w:r>
              <w:rPr>
                <w:rFonts w:ascii="Arial" w:cs="Arial" w:eastAsia="Arial" w:hAnsi="Arial"/>
                <w:sz w:val="16"/>
                <w:szCs w:val="16"/>
                <w:color w:val="auto"/>
              </w:rPr>
              <w:t> Interest payable</w:t>
            </w:r>
            <w:r>
              <w:rPr>
                <w:rFonts w:ascii="Arial" w:cs="Arial" w:eastAsia="Arial" w:hAnsi="Arial"/>
                <w:sz w:val="19"/>
                <w:szCs w:val="19"/>
                <w:color w:val="auto"/>
                <w:vertAlign w:val="superscript"/>
              </w:rPr>
              <w:t>(1)</w:t>
            </w:r>
          </w:p>
        </w:tc>
        <w:tc>
          <w:tcPr>
            <w:tcW w:w="780" w:type="dxa"/>
            <w:vAlign w:val="bottom"/>
          </w:tcPr>
          <w:p>
            <w:pPr>
              <w:jc w:val="right"/>
              <w:ind w:right="21"/>
              <w:spacing w:after="0"/>
              <w:rPr>
                <w:sz w:val="20"/>
                <w:szCs w:val="20"/>
                <w:color w:val="auto"/>
              </w:rPr>
            </w:pPr>
            <w:r>
              <w:rPr>
                <w:rFonts w:ascii="Arial" w:cs="Arial" w:eastAsia="Arial" w:hAnsi="Arial"/>
                <w:sz w:val="16"/>
                <w:szCs w:val="16"/>
                <w:b w:val="1"/>
                <w:bCs w:val="1"/>
                <w:color w:val="auto"/>
              </w:rPr>
              <w:t>104</w:t>
            </w:r>
          </w:p>
        </w:tc>
        <w:tc>
          <w:tcPr>
            <w:tcW w:w="700" w:type="dxa"/>
            <w:vAlign w:val="bottom"/>
          </w:tcPr>
          <w:p>
            <w:pPr>
              <w:jc w:val="right"/>
              <w:ind w:right="1"/>
              <w:spacing w:after="0"/>
              <w:rPr>
                <w:sz w:val="20"/>
                <w:szCs w:val="20"/>
                <w:color w:val="auto"/>
              </w:rPr>
            </w:pPr>
            <w:r>
              <w:rPr>
                <w:rFonts w:ascii="Arial" w:cs="Arial" w:eastAsia="Arial" w:hAnsi="Arial"/>
                <w:sz w:val="16"/>
                <w:szCs w:val="16"/>
                <w:b w:val="1"/>
                <w:bCs w:val="1"/>
                <w:color w:val="auto"/>
              </w:rPr>
              <w:t>84</w:t>
            </w: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76</w:t>
            </w: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76</w:t>
            </w: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76</w:t>
            </w: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791</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1,207</w:t>
            </w:r>
          </w:p>
        </w:tc>
      </w:tr>
      <w:tr>
        <w:trPr>
          <w:trHeight w:val="185"/>
        </w:trPr>
        <w:tc>
          <w:tcPr>
            <w:tcW w:w="5260" w:type="dxa"/>
            <w:vAlign w:val="bottom"/>
          </w:tcPr>
          <w:p>
            <w:pPr>
              <w:spacing w:after="0" w:line="185" w:lineRule="exact"/>
              <w:rPr>
                <w:sz w:val="20"/>
                <w:szCs w:val="20"/>
                <w:color w:val="auto"/>
              </w:rPr>
            </w:pPr>
            <w:r>
              <w:rPr>
                <w:rFonts w:ascii="Arial" w:cs="Arial" w:eastAsia="Arial" w:hAnsi="Arial"/>
                <w:sz w:val="16"/>
                <w:szCs w:val="16"/>
                <w:color w:val="auto"/>
              </w:rPr>
              <w:t> Debt-related hedges outflows</w:t>
            </w:r>
            <w:r>
              <w:rPr>
                <w:rFonts w:ascii="Arial" w:cs="Arial" w:eastAsia="Arial" w:hAnsi="Arial"/>
                <w:sz w:val="19"/>
                <w:szCs w:val="19"/>
                <w:color w:val="auto"/>
                <w:vertAlign w:val="superscript"/>
              </w:rPr>
              <w:t>(2)</w:t>
            </w:r>
          </w:p>
        </w:tc>
        <w:tc>
          <w:tcPr>
            <w:tcW w:w="780" w:type="dxa"/>
            <w:vAlign w:val="bottom"/>
          </w:tcPr>
          <w:p>
            <w:pPr>
              <w:jc w:val="right"/>
              <w:ind w:right="21"/>
              <w:spacing w:after="0"/>
              <w:rPr>
                <w:sz w:val="20"/>
                <w:szCs w:val="20"/>
                <w:color w:val="auto"/>
              </w:rPr>
            </w:pPr>
            <w:r>
              <w:rPr>
                <w:rFonts w:ascii="Arial" w:cs="Arial" w:eastAsia="Arial" w:hAnsi="Arial"/>
                <w:sz w:val="16"/>
                <w:szCs w:val="16"/>
                <w:b w:val="1"/>
                <w:bCs w:val="1"/>
                <w:color w:val="auto"/>
              </w:rPr>
              <w:t>1,011</w:t>
            </w:r>
          </w:p>
        </w:tc>
        <w:tc>
          <w:tcPr>
            <w:tcW w:w="7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1,011</w:t>
            </w:r>
          </w:p>
        </w:tc>
      </w:tr>
      <w:tr>
        <w:trPr>
          <w:trHeight w:val="186"/>
        </w:trPr>
        <w:tc>
          <w:tcPr>
            <w:tcW w:w="5260" w:type="dxa"/>
            <w:vAlign w:val="bottom"/>
          </w:tcPr>
          <w:p>
            <w:pPr>
              <w:spacing w:after="0" w:line="185" w:lineRule="exact"/>
              <w:rPr>
                <w:sz w:val="20"/>
                <w:szCs w:val="20"/>
                <w:color w:val="auto"/>
              </w:rPr>
            </w:pPr>
            <w:r>
              <w:rPr>
                <w:rFonts w:ascii="Arial" w:cs="Arial" w:eastAsia="Arial" w:hAnsi="Arial"/>
                <w:sz w:val="16"/>
                <w:szCs w:val="16"/>
                <w:color w:val="auto"/>
              </w:rPr>
              <w:t> Debt-related hedges inflows</w:t>
            </w:r>
            <w:r>
              <w:rPr>
                <w:rFonts w:ascii="Arial" w:cs="Arial" w:eastAsia="Arial" w:hAnsi="Arial"/>
                <w:sz w:val="19"/>
                <w:szCs w:val="19"/>
                <w:color w:val="auto"/>
                <w:vertAlign w:val="superscript"/>
              </w:rPr>
              <w:t>(1)</w:t>
            </w:r>
          </w:p>
        </w:tc>
        <w:tc>
          <w:tcPr>
            <w:tcW w:w="780" w:type="dxa"/>
            <w:vAlign w:val="bottom"/>
          </w:tcPr>
          <w:p>
            <w:pPr>
              <w:jc w:val="right"/>
              <w:ind w:right="21"/>
              <w:spacing w:after="0"/>
              <w:rPr>
                <w:sz w:val="20"/>
                <w:szCs w:val="20"/>
                <w:color w:val="auto"/>
              </w:rPr>
            </w:pPr>
            <w:r>
              <w:rPr>
                <w:rFonts w:ascii="Arial" w:cs="Arial" w:eastAsia="Arial" w:hAnsi="Arial"/>
                <w:sz w:val="16"/>
                <w:szCs w:val="16"/>
                <w:b w:val="1"/>
                <w:bCs w:val="1"/>
                <w:color w:val="auto"/>
              </w:rPr>
              <w:t>(984)</w:t>
            </w:r>
          </w:p>
        </w:tc>
        <w:tc>
          <w:tcPr>
            <w:tcW w:w="7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(984)</w:t>
            </w:r>
          </w:p>
        </w:tc>
      </w:tr>
      <w:tr>
        <w:trPr>
          <w:trHeight w:val="185"/>
        </w:trPr>
        <w:tc>
          <w:tcPr>
            <w:tcW w:w="5260" w:type="dxa"/>
            <w:vAlign w:val="bottom"/>
          </w:tcPr>
          <w:p>
            <w:pPr>
              <w:spacing w:after="0"/>
              <w:rPr>
                <w:sz w:val="20"/>
                <w:szCs w:val="20"/>
                <w:color w:val="auto"/>
              </w:rPr>
            </w:pPr>
            <w:r>
              <w:rPr>
                <w:rFonts w:ascii="Arial" w:cs="Arial" w:eastAsia="Arial" w:hAnsi="Arial"/>
                <w:sz w:val="16"/>
                <w:szCs w:val="16"/>
                <w:color w:val="auto"/>
              </w:rPr>
              <w:t> Trade payables</w:t>
            </w:r>
          </w:p>
        </w:tc>
        <w:tc>
          <w:tcPr>
            <w:tcW w:w="780" w:type="dxa"/>
            <w:vAlign w:val="bottom"/>
          </w:tcPr>
          <w:p>
            <w:pPr>
              <w:jc w:val="right"/>
              <w:ind w:right="21"/>
              <w:spacing w:after="0"/>
              <w:rPr>
                <w:sz w:val="20"/>
                <w:szCs w:val="20"/>
                <w:color w:val="auto"/>
              </w:rPr>
            </w:pPr>
            <w:r>
              <w:rPr>
                <w:rFonts w:ascii="Arial" w:cs="Arial" w:eastAsia="Arial" w:hAnsi="Arial"/>
                <w:sz w:val="16"/>
                <w:szCs w:val="16"/>
                <w:b w:val="1"/>
                <w:bCs w:val="1"/>
                <w:color w:val="auto"/>
              </w:rPr>
              <w:t>176</w:t>
            </w:r>
          </w:p>
        </w:tc>
        <w:tc>
          <w:tcPr>
            <w:tcW w:w="7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176</w:t>
            </w:r>
          </w:p>
        </w:tc>
      </w:tr>
      <w:tr>
        <w:trPr>
          <w:trHeight w:val="186"/>
        </w:trPr>
        <w:tc>
          <w:tcPr>
            <w:tcW w:w="5260" w:type="dxa"/>
            <w:vAlign w:val="bottom"/>
          </w:tcPr>
          <w:p>
            <w:pPr>
              <w:spacing w:after="0"/>
              <w:rPr>
                <w:sz w:val="20"/>
                <w:szCs w:val="20"/>
                <w:color w:val="auto"/>
              </w:rPr>
            </w:pPr>
            <w:r>
              <w:rPr>
                <w:rFonts w:ascii="Arial" w:cs="Arial" w:eastAsia="Arial" w:hAnsi="Arial"/>
                <w:sz w:val="16"/>
                <w:szCs w:val="16"/>
                <w:color w:val="auto"/>
              </w:rPr>
              <w:t> Accruals</w:t>
            </w:r>
          </w:p>
        </w:tc>
        <w:tc>
          <w:tcPr>
            <w:tcW w:w="780" w:type="dxa"/>
            <w:vAlign w:val="bottom"/>
          </w:tcPr>
          <w:p>
            <w:pPr>
              <w:jc w:val="right"/>
              <w:ind w:right="21"/>
              <w:spacing w:after="0"/>
              <w:rPr>
                <w:sz w:val="20"/>
                <w:szCs w:val="20"/>
                <w:color w:val="auto"/>
              </w:rPr>
            </w:pPr>
            <w:r>
              <w:rPr>
                <w:rFonts w:ascii="Arial" w:cs="Arial" w:eastAsia="Arial" w:hAnsi="Arial"/>
                <w:sz w:val="16"/>
                <w:szCs w:val="16"/>
                <w:b w:val="1"/>
                <w:bCs w:val="1"/>
                <w:color w:val="auto"/>
              </w:rPr>
              <w:t>799</w:t>
            </w:r>
          </w:p>
        </w:tc>
        <w:tc>
          <w:tcPr>
            <w:tcW w:w="7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799</w:t>
            </w:r>
          </w:p>
        </w:tc>
      </w:tr>
      <w:tr>
        <w:trPr>
          <w:trHeight w:val="185"/>
        </w:trPr>
        <w:tc>
          <w:tcPr>
            <w:tcW w:w="5260" w:type="dxa"/>
            <w:vAlign w:val="bottom"/>
          </w:tcPr>
          <w:p>
            <w:pPr>
              <w:spacing w:after="0"/>
              <w:rPr>
                <w:sz w:val="20"/>
                <w:szCs w:val="20"/>
                <w:color w:val="auto"/>
              </w:rPr>
            </w:pPr>
            <w:r>
              <w:rPr>
                <w:rFonts w:ascii="Arial" w:cs="Arial" w:eastAsia="Arial" w:hAnsi="Arial"/>
                <w:sz w:val="16"/>
                <w:szCs w:val="16"/>
                <w:color w:val="auto"/>
              </w:rPr>
              <w:t> Lease liabilities</w:t>
            </w:r>
          </w:p>
        </w:tc>
        <w:tc>
          <w:tcPr>
            <w:tcW w:w="780" w:type="dxa"/>
            <w:vAlign w:val="bottom"/>
          </w:tcPr>
          <w:p>
            <w:pPr>
              <w:jc w:val="right"/>
              <w:ind w:right="21"/>
              <w:spacing w:after="0"/>
              <w:rPr>
                <w:sz w:val="20"/>
                <w:szCs w:val="20"/>
                <w:color w:val="auto"/>
              </w:rPr>
            </w:pPr>
            <w:r>
              <w:rPr>
                <w:rFonts w:ascii="Arial" w:cs="Arial" w:eastAsia="Arial" w:hAnsi="Arial"/>
                <w:sz w:val="16"/>
                <w:szCs w:val="16"/>
                <w:b w:val="1"/>
                <w:bCs w:val="1"/>
                <w:color w:val="auto"/>
              </w:rPr>
              <w:t>72</w:t>
            </w:r>
          </w:p>
        </w:tc>
        <w:tc>
          <w:tcPr>
            <w:tcW w:w="700" w:type="dxa"/>
            <w:vAlign w:val="bottom"/>
          </w:tcPr>
          <w:p>
            <w:pPr>
              <w:jc w:val="right"/>
              <w:ind w:right="1"/>
              <w:spacing w:after="0"/>
              <w:rPr>
                <w:sz w:val="20"/>
                <w:szCs w:val="20"/>
                <w:color w:val="auto"/>
              </w:rPr>
            </w:pPr>
            <w:r>
              <w:rPr>
                <w:rFonts w:ascii="Arial" w:cs="Arial" w:eastAsia="Arial" w:hAnsi="Arial"/>
                <w:sz w:val="16"/>
                <w:szCs w:val="16"/>
                <w:b w:val="1"/>
                <w:bCs w:val="1"/>
                <w:color w:val="auto"/>
              </w:rPr>
              <w:t>60</w:t>
            </w: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45</w:t>
            </w: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30</w:t>
            </w:r>
          </w:p>
        </w:tc>
        <w:tc>
          <w:tcPr>
            <w:tcW w:w="520" w:type="dxa"/>
            <w:vAlign w:val="bottom"/>
          </w:tcPr>
          <w:p>
            <w:pPr>
              <w:jc w:val="right"/>
              <w:ind w:right="1"/>
              <w:spacing w:after="0"/>
              <w:rPr>
                <w:sz w:val="20"/>
                <w:szCs w:val="20"/>
                <w:color w:val="auto"/>
              </w:rPr>
            </w:pPr>
            <w:r>
              <w:rPr>
                <w:rFonts w:ascii="Arial" w:cs="Arial" w:eastAsia="Arial" w:hAnsi="Arial"/>
                <w:sz w:val="16"/>
                <w:szCs w:val="16"/>
                <w:b w:val="1"/>
                <w:bCs w:val="1"/>
                <w:color w:val="auto"/>
              </w:rPr>
              <w:t>24</w:t>
            </w: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73</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304</w:t>
            </w:r>
          </w:p>
        </w:tc>
      </w:tr>
      <w:tr>
        <w:trPr>
          <w:trHeight w:val="200"/>
        </w:trPr>
        <w:tc>
          <w:tcPr>
            <w:tcW w:w="526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Other financial liabilities</w:t>
            </w:r>
          </w:p>
        </w:tc>
        <w:tc>
          <w:tcPr>
            <w:tcW w:w="78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b w:val="1"/>
                <w:bCs w:val="1"/>
                <w:color w:val="auto"/>
              </w:rPr>
              <w:t>34</w:t>
            </w:r>
          </w:p>
        </w:tc>
        <w:tc>
          <w:tcPr>
            <w:tcW w:w="70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34</w:t>
            </w:r>
          </w:p>
        </w:tc>
        <w:tc>
          <w:tcPr>
            <w:tcW w:w="52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68</w:t>
            </w:r>
          </w:p>
        </w:tc>
      </w:tr>
      <w:tr>
        <w:trPr>
          <w:trHeight w:val="185"/>
        </w:trPr>
        <w:tc>
          <w:tcPr>
            <w:tcW w:w="526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color w:val="auto"/>
              </w:rPr>
              <w:t> Total</w:t>
            </w:r>
          </w:p>
        </w:tc>
        <w:tc>
          <w:tcPr>
            <w:tcW w:w="780" w:type="dxa"/>
            <w:vAlign w:val="bottom"/>
            <w:tcBorders>
              <w:bottom w:val="single" w:sz="8" w:color="D64000"/>
            </w:tcBorders>
          </w:tcPr>
          <w:p>
            <w:pPr>
              <w:jc w:val="right"/>
              <w:ind w:right="21"/>
              <w:spacing w:after="0" w:line="179" w:lineRule="exact"/>
              <w:rPr>
                <w:sz w:val="20"/>
                <w:szCs w:val="20"/>
                <w:color w:val="auto"/>
              </w:rPr>
            </w:pPr>
            <w:r>
              <w:rPr>
                <w:rFonts w:ascii="Arial" w:cs="Arial" w:eastAsia="Arial" w:hAnsi="Arial"/>
                <w:sz w:val="16"/>
                <w:szCs w:val="16"/>
                <w:b w:val="1"/>
                <w:bCs w:val="1"/>
                <w:color w:val="auto"/>
              </w:rPr>
              <w:t>2,185</w:t>
            </w:r>
          </w:p>
        </w:tc>
        <w:tc>
          <w:tcPr>
            <w:tcW w:w="700" w:type="dxa"/>
            <w:vAlign w:val="bottom"/>
            <w:tcBorders>
              <w:bottom w:val="single" w:sz="8" w:color="D64000"/>
            </w:tcBorders>
          </w:tcPr>
          <w:p>
            <w:pPr>
              <w:jc w:val="right"/>
              <w:ind w:right="1"/>
              <w:spacing w:after="0" w:line="179" w:lineRule="exact"/>
              <w:rPr>
                <w:sz w:val="20"/>
                <w:szCs w:val="20"/>
                <w:color w:val="auto"/>
              </w:rPr>
            </w:pPr>
            <w:r>
              <w:rPr>
                <w:rFonts w:ascii="Arial" w:cs="Arial" w:eastAsia="Arial" w:hAnsi="Arial"/>
                <w:sz w:val="16"/>
                <w:szCs w:val="16"/>
                <w:b w:val="1"/>
                <w:bCs w:val="1"/>
                <w:color w:val="auto"/>
              </w:rPr>
              <w:t>678</w:t>
            </w:r>
          </w:p>
        </w:tc>
        <w:tc>
          <w:tcPr>
            <w:tcW w:w="520" w:type="dxa"/>
            <w:vAlign w:val="bottom"/>
            <w:tcBorders>
              <w:bottom w:val="single" w:sz="8" w:color="D64000"/>
            </w:tcBorders>
          </w:tcPr>
          <w:p>
            <w:pPr>
              <w:jc w:val="right"/>
              <w:ind w:right="1"/>
              <w:spacing w:after="0" w:line="179" w:lineRule="exact"/>
              <w:rPr>
                <w:sz w:val="20"/>
                <w:szCs w:val="20"/>
                <w:color w:val="auto"/>
              </w:rPr>
            </w:pPr>
            <w:r>
              <w:rPr>
                <w:rFonts w:ascii="Arial" w:cs="Arial" w:eastAsia="Arial" w:hAnsi="Arial"/>
                <w:sz w:val="16"/>
                <w:szCs w:val="16"/>
                <w:b w:val="1"/>
                <w:bCs w:val="1"/>
                <w:color w:val="auto"/>
              </w:rPr>
              <w:t>121</w:t>
            </w:r>
          </w:p>
        </w:tc>
        <w:tc>
          <w:tcPr>
            <w:tcW w:w="520" w:type="dxa"/>
            <w:vAlign w:val="bottom"/>
            <w:tcBorders>
              <w:bottom w:val="single" w:sz="8" w:color="D64000"/>
            </w:tcBorders>
          </w:tcPr>
          <w:p>
            <w:pPr>
              <w:jc w:val="right"/>
              <w:ind w:right="1"/>
              <w:spacing w:after="0" w:line="179" w:lineRule="exact"/>
              <w:rPr>
                <w:sz w:val="20"/>
                <w:szCs w:val="20"/>
                <w:color w:val="auto"/>
              </w:rPr>
            </w:pPr>
            <w:r>
              <w:rPr>
                <w:rFonts w:ascii="Arial" w:cs="Arial" w:eastAsia="Arial" w:hAnsi="Arial"/>
                <w:sz w:val="16"/>
                <w:szCs w:val="16"/>
                <w:b w:val="1"/>
                <w:bCs w:val="1"/>
                <w:color w:val="auto"/>
              </w:rPr>
              <w:t>106</w:t>
            </w:r>
          </w:p>
        </w:tc>
        <w:tc>
          <w:tcPr>
            <w:tcW w:w="520" w:type="dxa"/>
            <w:vAlign w:val="bottom"/>
            <w:tcBorders>
              <w:bottom w:val="single" w:sz="8" w:color="D64000"/>
            </w:tcBorders>
          </w:tcPr>
          <w:p>
            <w:pPr>
              <w:jc w:val="right"/>
              <w:ind w:right="1"/>
              <w:spacing w:after="0" w:line="179" w:lineRule="exact"/>
              <w:rPr>
                <w:sz w:val="20"/>
                <w:szCs w:val="20"/>
                <w:color w:val="auto"/>
              </w:rPr>
            </w:pPr>
            <w:r>
              <w:rPr>
                <w:rFonts w:ascii="Arial" w:cs="Arial" w:eastAsia="Arial" w:hAnsi="Arial"/>
                <w:sz w:val="16"/>
                <w:szCs w:val="16"/>
                <w:b w:val="1"/>
                <w:bCs w:val="1"/>
                <w:color w:val="auto"/>
              </w:rPr>
              <w:t>100</w:t>
            </w:r>
          </w:p>
        </w:tc>
        <w:tc>
          <w:tcPr>
            <w:tcW w:w="960" w:type="dxa"/>
            <w:vAlign w:val="bottom"/>
            <w:tcBorders>
              <w:bottom w:val="single" w:sz="8" w:color="D64000"/>
            </w:tcBorders>
          </w:tcPr>
          <w:p>
            <w:pPr>
              <w:jc w:val="right"/>
              <w:ind w:right="21"/>
              <w:spacing w:after="0" w:line="179" w:lineRule="exact"/>
              <w:rPr>
                <w:sz w:val="20"/>
                <w:szCs w:val="20"/>
                <w:color w:val="auto"/>
              </w:rPr>
            </w:pPr>
            <w:r>
              <w:rPr>
                <w:rFonts w:ascii="Arial" w:cs="Arial" w:eastAsia="Arial" w:hAnsi="Arial"/>
                <w:sz w:val="16"/>
                <w:szCs w:val="16"/>
                <w:b w:val="1"/>
                <w:bCs w:val="1"/>
                <w:color w:val="auto"/>
              </w:rPr>
              <w:t>2,233</w:t>
            </w:r>
          </w:p>
        </w:tc>
        <w:tc>
          <w:tcPr>
            <w:tcW w:w="68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b w:val="1"/>
                <w:bCs w:val="1"/>
                <w:color w:val="auto"/>
              </w:rPr>
              <w:t>5,423</w:t>
            </w:r>
          </w:p>
        </w:tc>
      </w:tr>
      <w:tr>
        <w:trPr>
          <w:trHeight w:val="199"/>
        </w:trPr>
        <w:tc>
          <w:tcPr>
            <w:tcW w:w="5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2"/>
        </w:trPr>
        <w:tc>
          <w:tcPr>
            <w:tcW w:w="5260" w:type="dxa"/>
            <w:vAlign w:val="bottom"/>
            <w:tcBorders>
              <w:bottom w:val="single" w:sz="8" w:color="D64000"/>
            </w:tcBorders>
            <w:shd w:val="clear" w:color="auto" w:fill="E3F3EE"/>
          </w:tcPr>
          <w:p>
            <w:pPr>
              <w:spacing w:after="0"/>
              <w:rPr>
                <w:sz w:val="20"/>
                <w:szCs w:val="20"/>
                <w:color w:val="auto"/>
              </w:rPr>
            </w:pPr>
            <w:r>
              <w:rPr>
                <w:rFonts w:ascii="Arial" w:cs="Arial" w:eastAsia="Arial" w:hAnsi="Arial"/>
                <w:sz w:val="16"/>
                <w:szCs w:val="16"/>
                <w:color w:val="auto"/>
              </w:rPr>
              <w:t> December 31, 2023</w:t>
            </w:r>
          </w:p>
        </w:tc>
        <w:tc>
          <w:tcPr>
            <w:tcW w:w="780" w:type="dxa"/>
            <w:vAlign w:val="bottom"/>
            <w:tcBorders>
              <w:bottom w:val="single" w:sz="8" w:color="D64000"/>
            </w:tcBorders>
            <w:shd w:val="clear" w:color="auto" w:fill="1F473D"/>
          </w:tcPr>
          <w:p>
            <w:pPr>
              <w:jc w:val="right"/>
              <w:ind w:right="141"/>
              <w:spacing w:after="0"/>
              <w:rPr>
                <w:sz w:val="20"/>
                <w:szCs w:val="20"/>
                <w:color w:val="auto"/>
              </w:rPr>
            </w:pPr>
            <w:r>
              <w:rPr>
                <w:rFonts w:ascii="Arial" w:cs="Arial" w:eastAsia="Arial" w:hAnsi="Arial"/>
                <w:sz w:val="16"/>
                <w:szCs w:val="16"/>
                <w:b w:val="1"/>
                <w:bCs w:val="1"/>
                <w:color w:val="FFFFFF"/>
              </w:rPr>
              <w:t>2024</w:t>
            </w:r>
          </w:p>
        </w:tc>
        <w:tc>
          <w:tcPr>
            <w:tcW w:w="700" w:type="dxa"/>
            <w:vAlign w:val="bottom"/>
            <w:tcBorders>
              <w:bottom w:val="single" w:sz="8" w:color="D64000"/>
            </w:tcBorders>
            <w:shd w:val="clear" w:color="auto" w:fill="1F473D"/>
          </w:tcPr>
          <w:p>
            <w:pPr>
              <w:jc w:val="right"/>
              <w:ind w:right="101"/>
              <w:spacing w:after="0"/>
              <w:rPr>
                <w:sz w:val="20"/>
                <w:szCs w:val="20"/>
                <w:color w:val="auto"/>
              </w:rPr>
            </w:pPr>
            <w:r>
              <w:rPr>
                <w:rFonts w:ascii="Arial" w:cs="Arial" w:eastAsia="Arial" w:hAnsi="Arial"/>
                <w:sz w:val="16"/>
                <w:szCs w:val="16"/>
                <w:b w:val="1"/>
                <w:bCs w:val="1"/>
                <w:color w:val="FFFFFF"/>
              </w:rPr>
              <w:t>2025</w:t>
            </w:r>
          </w:p>
        </w:tc>
        <w:tc>
          <w:tcPr>
            <w:tcW w:w="520" w:type="dxa"/>
            <w:vAlign w:val="bottom"/>
            <w:tcBorders>
              <w:bottom w:val="single" w:sz="8" w:color="D64000"/>
            </w:tcBorders>
            <w:shd w:val="clear" w:color="auto" w:fill="1F473D"/>
          </w:tcPr>
          <w:p>
            <w:pPr>
              <w:jc w:val="right"/>
              <w:ind w:right="1"/>
              <w:spacing w:after="0"/>
              <w:rPr>
                <w:sz w:val="20"/>
                <w:szCs w:val="20"/>
                <w:color w:val="auto"/>
              </w:rPr>
            </w:pPr>
            <w:r>
              <w:rPr>
                <w:rFonts w:ascii="Arial" w:cs="Arial" w:eastAsia="Arial" w:hAnsi="Arial"/>
                <w:sz w:val="16"/>
                <w:szCs w:val="16"/>
                <w:b w:val="1"/>
                <w:bCs w:val="1"/>
                <w:color w:val="FFFFFF"/>
              </w:rPr>
              <w:t>2026</w:t>
            </w:r>
          </w:p>
        </w:tc>
        <w:tc>
          <w:tcPr>
            <w:tcW w:w="520" w:type="dxa"/>
            <w:vAlign w:val="bottom"/>
            <w:tcBorders>
              <w:bottom w:val="single" w:sz="8" w:color="D64000"/>
            </w:tcBorders>
            <w:shd w:val="clear" w:color="auto" w:fill="1F473D"/>
          </w:tcPr>
          <w:p>
            <w:pPr>
              <w:jc w:val="right"/>
              <w:ind w:right="1"/>
              <w:spacing w:after="0"/>
              <w:rPr>
                <w:sz w:val="20"/>
                <w:szCs w:val="20"/>
                <w:color w:val="auto"/>
              </w:rPr>
            </w:pPr>
            <w:r>
              <w:rPr>
                <w:rFonts w:ascii="Arial" w:cs="Arial" w:eastAsia="Arial" w:hAnsi="Arial"/>
                <w:sz w:val="16"/>
                <w:szCs w:val="16"/>
                <w:b w:val="1"/>
                <w:bCs w:val="1"/>
                <w:color w:val="FFFFFF"/>
              </w:rPr>
              <w:t>2027</w:t>
            </w:r>
          </w:p>
        </w:tc>
        <w:tc>
          <w:tcPr>
            <w:tcW w:w="520" w:type="dxa"/>
            <w:vAlign w:val="bottom"/>
            <w:tcBorders>
              <w:bottom w:val="single" w:sz="8" w:color="D64000"/>
            </w:tcBorders>
            <w:shd w:val="clear" w:color="auto" w:fill="1F473D"/>
          </w:tcPr>
          <w:p>
            <w:pPr>
              <w:jc w:val="right"/>
              <w:ind w:right="1"/>
              <w:spacing w:after="0"/>
              <w:rPr>
                <w:sz w:val="20"/>
                <w:szCs w:val="20"/>
                <w:color w:val="auto"/>
              </w:rPr>
            </w:pPr>
            <w:r>
              <w:rPr>
                <w:rFonts w:ascii="Arial" w:cs="Arial" w:eastAsia="Arial" w:hAnsi="Arial"/>
                <w:sz w:val="16"/>
                <w:szCs w:val="16"/>
                <w:b w:val="1"/>
                <w:bCs w:val="1"/>
                <w:color w:val="FFFFFF"/>
              </w:rPr>
              <w:t>2028</w:t>
            </w:r>
          </w:p>
        </w:tc>
        <w:tc>
          <w:tcPr>
            <w:tcW w:w="960" w:type="dxa"/>
            <w:vAlign w:val="bottom"/>
            <w:tcBorders>
              <w:bottom w:val="single" w:sz="8" w:color="D64000"/>
            </w:tcBorders>
            <w:shd w:val="clear" w:color="auto" w:fill="1F473D"/>
          </w:tcPr>
          <w:p>
            <w:pPr>
              <w:jc w:val="right"/>
              <w:ind w:right="21"/>
              <w:spacing w:after="0"/>
              <w:rPr>
                <w:sz w:val="20"/>
                <w:szCs w:val="20"/>
                <w:color w:val="auto"/>
              </w:rPr>
            </w:pPr>
            <w:r>
              <w:rPr>
                <w:rFonts w:ascii="Arial" w:cs="Arial" w:eastAsia="Arial" w:hAnsi="Arial"/>
                <w:sz w:val="16"/>
                <w:szCs w:val="16"/>
                <w:b w:val="1"/>
                <w:bCs w:val="1"/>
                <w:color w:val="FFFFFF"/>
              </w:rPr>
              <w:t>Thereafter</w:t>
            </w:r>
          </w:p>
        </w:tc>
        <w:tc>
          <w:tcPr>
            <w:tcW w:w="680" w:type="dxa"/>
            <w:vAlign w:val="bottom"/>
            <w:tcBorders>
              <w:bottom w:val="single" w:sz="8" w:color="D64000"/>
            </w:tcBorders>
            <w:shd w:val="clear" w:color="auto" w:fill="1F473D"/>
          </w:tcPr>
          <w:p>
            <w:pPr>
              <w:jc w:val="right"/>
              <w:ind w:right="81"/>
              <w:spacing w:after="0"/>
              <w:rPr>
                <w:sz w:val="20"/>
                <w:szCs w:val="20"/>
                <w:color w:val="auto"/>
              </w:rPr>
            </w:pPr>
            <w:r>
              <w:rPr>
                <w:rFonts w:ascii="Arial" w:cs="Arial" w:eastAsia="Arial" w:hAnsi="Arial"/>
                <w:sz w:val="16"/>
                <w:szCs w:val="16"/>
                <w:b w:val="1"/>
                <w:bCs w:val="1"/>
                <w:color w:val="FFFFFF"/>
              </w:rPr>
              <w:t>Total</w:t>
            </w:r>
          </w:p>
        </w:tc>
      </w:tr>
      <w:tr>
        <w:trPr>
          <w:trHeight w:val="171"/>
        </w:trPr>
        <w:tc>
          <w:tcPr>
            <w:tcW w:w="5260" w:type="dxa"/>
            <w:vAlign w:val="bottom"/>
          </w:tcPr>
          <w:p>
            <w:pPr>
              <w:spacing w:after="0" w:line="171" w:lineRule="exact"/>
              <w:rPr>
                <w:sz w:val="20"/>
                <w:szCs w:val="20"/>
                <w:color w:val="auto"/>
              </w:rPr>
            </w:pPr>
            <w:r>
              <w:rPr>
                <w:rFonts w:ascii="Arial" w:cs="Arial" w:eastAsia="Arial" w:hAnsi="Arial"/>
                <w:sz w:val="16"/>
                <w:szCs w:val="16"/>
                <w:color w:val="auto"/>
              </w:rPr>
              <w:t> Commercial paper</w:t>
            </w:r>
          </w:p>
        </w:tc>
        <w:tc>
          <w:tcPr>
            <w:tcW w:w="780" w:type="dxa"/>
            <w:vAlign w:val="bottom"/>
          </w:tcPr>
          <w:p>
            <w:pPr>
              <w:jc w:val="right"/>
              <w:ind w:right="21"/>
              <w:spacing w:after="0" w:line="171" w:lineRule="exact"/>
              <w:rPr>
                <w:sz w:val="20"/>
                <w:szCs w:val="20"/>
                <w:color w:val="auto"/>
              </w:rPr>
            </w:pPr>
            <w:r>
              <w:rPr>
                <w:rFonts w:ascii="Arial" w:cs="Arial" w:eastAsia="Arial" w:hAnsi="Arial"/>
                <w:sz w:val="16"/>
                <w:szCs w:val="16"/>
                <w:color w:val="auto"/>
              </w:rPr>
              <w:t>130</w:t>
            </w:r>
          </w:p>
        </w:tc>
        <w:tc>
          <w:tcPr>
            <w:tcW w:w="700" w:type="dxa"/>
            <w:vAlign w:val="bottom"/>
          </w:tcPr>
          <w:p>
            <w:pPr>
              <w:jc w:val="right"/>
              <w:ind w:right="1"/>
              <w:spacing w:after="0" w:line="171" w:lineRule="exact"/>
              <w:rPr>
                <w:sz w:val="20"/>
                <w:szCs w:val="20"/>
                <w:color w:val="auto"/>
              </w:rPr>
            </w:pPr>
            <w:r>
              <w:rPr>
                <w:rFonts w:ascii="Arial" w:cs="Arial" w:eastAsia="Arial" w:hAnsi="Arial"/>
                <w:sz w:val="16"/>
                <w:szCs w:val="16"/>
                <w:color w:val="auto"/>
              </w:rPr>
              <w:t>-</w:t>
            </w:r>
          </w:p>
        </w:tc>
        <w:tc>
          <w:tcPr>
            <w:tcW w:w="520" w:type="dxa"/>
            <w:vAlign w:val="bottom"/>
          </w:tcPr>
          <w:p>
            <w:pPr>
              <w:jc w:val="right"/>
              <w:ind w:right="1"/>
              <w:spacing w:after="0" w:line="171" w:lineRule="exact"/>
              <w:rPr>
                <w:sz w:val="20"/>
                <w:szCs w:val="20"/>
                <w:color w:val="auto"/>
              </w:rPr>
            </w:pPr>
            <w:r>
              <w:rPr>
                <w:rFonts w:ascii="Arial" w:cs="Arial" w:eastAsia="Arial" w:hAnsi="Arial"/>
                <w:sz w:val="16"/>
                <w:szCs w:val="16"/>
                <w:color w:val="auto"/>
              </w:rPr>
              <w:t>-</w:t>
            </w:r>
          </w:p>
        </w:tc>
        <w:tc>
          <w:tcPr>
            <w:tcW w:w="520" w:type="dxa"/>
            <w:vAlign w:val="bottom"/>
          </w:tcPr>
          <w:p>
            <w:pPr>
              <w:jc w:val="right"/>
              <w:ind w:right="1"/>
              <w:spacing w:after="0" w:line="171" w:lineRule="exact"/>
              <w:rPr>
                <w:sz w:val="20"/>
                <w:szCs w:val="20"/>
                <w:color w:val="auto"/>
              </w:rPr>
            </w:pPr>
            <w:r>
              <w:rPr>
                <w:rFonts w:ascii="Arial" w:cs="Arial" w:eastAsia="Arial" w:hAnsi="Arial"/>
                <w:sz w:val="16"/>
                <w:szCs w:val="16"/>
                <w:color w:val="auto"/>
              </w:rPr>
              <w:t>-</w:t>
            </w:r>
          </w:p>
        </w:tc>
        <w:tc>
          <w:tcPr>
            <w:tcW w:w="520" w:type="dxa"/>
            <w:vAlign w:val="bottom"/>
          </w:tcPr>
          <w:p>
            <w:pPr>
              <w:jc w:val="right"/>
              <w:ind w:right="1"/>
              <w:spacing w:after="0" w:line="171"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line="171" w:lineRule="exact"/>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71" w:lineRule="exact"/>
              <w:rPr>
                <w:sz w:val="20"/>
                <w:szCs w:val="20"/>
                <w:color w:val="auto"/>
              </w:rPr>
            </w:pPr>
            <w:r>
              <w:rPr>
                <w:rFonts w:ascii="Arial" w:cs="Arial" w:eastAsia="Arial" w:hAnsi="Arial"/>
                <w:sz w:val="16"/>
                <w:szCs w:val="16"/>
                <w:color w:val="auto"/>
              </w:rPr>
              <w:t>130</w:t>
            </w:r>
          </w:p>
        </w:tc>
      </w:tr>
      <w:tr>
        <w:trPr>
          <w:trHeight w:val="185"/>
        </w:trPr>
        <w:tc>
          <w:tcPr>
            <w:tcW w:w="5260" w:type="dxa"/>
            <w:vAlign w:val="bottom"/>
          </w:tcPr>
          <w:p>
            <w:pPr>
              <w:spacing w:after="0" w:line="185" w:lineRule="exact"/>
              <w:rPr>
                <w:sz w:val="20"/>
                <w:szCs w:val="20"/>
                <w:color w:val="auto"/>
              </w:rPr>
            </w:pPr>
            <w:r>
              <w:rPr>
                <w:rFonts w:ascii="Arial" w:cs="Arial" w:eastAsia="Arial" w:hAnsi="Arial"/>
                <w:sz w:val="16"/>
                <w:szCs w:val="16"/>
                <w:color w:val="auto"/>
              </w:rPr>
              <w:t> Notes/debentures</w:t>
            </w:r>
            <w:r>
              <w:rPr>
                <w:rFonts w:ascii="Arial" w:cs="Arial" w:eastAsia="Arial" w:hAnsi="Arial"/>
                <w:sz w:val="19"/>
                <w:szCs w:val="19"/>
                <w:color w:val="auto"/>
                <w:vertAlign w:val="superscript"/>
              </w:rPr>
              <w:t>(1)</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242</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1,062</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500</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1,369</w:t>
            </w:r>
          </w:p>
        </w:tc>
        <w:tc>
          <w:tcPr>
            <w:tcW w:w="680" w:type="dxa"/>
            <w:vAlign w:val="bottom"/>
          </w:tcPr>
          <w:p>
            <w:pPr>
              <w:jc w:val="right"/>
              <w:spacing w:after="0"/>
              <w:rPr>
                <w:sz w:val="20"/>
                <w:szCs w:val="20"/>
                <w:color w:val="auto"/>
              </w:rPr>
            </w:pPr>
            <w:r>
              <w:rPr>
                <w:rFonts w:ascii="Arial" w:cs="Arial" w:eastAsia="Arial" w:hAnsi="Arial"/>
                <w:sz w:val="16"/>
                <w:szCs w:val="16"/>
                <w:color w:val="auto"/>
              </w:rPr>
              <w:t>3,173</w:t>
            </w:r>
          </w:p>
        </w:tc>
      </w:tr>
      <w:tr>
        <w:trPr>
          <w:trHeight w:val="185"/>
        </w:trPr>
        <w:tc>
          <w:tcPr>
            <w:tcW w:w="5260" w:type="dxa"/>
            <w:vAlign w:val="bottom"/>
          </w:tcPr>
          <w:p>
            <w:pPr>
              <w:spacing w:after="0" w:line="185" w:lineRule="exact"/>
              <w:rPr>
                <w:sz w:val="20"/>
                <w:szCs w:val="20"/>
                <w:color w:val="auto"/>
              </w:rPr>
            </w:pPr>
            <w:r>
              <w:rPr>
                <w:rFonts w:ascii="Arial" w:cs="Arial" w:eastAsia="Arial" w:hAnsi="Arial"/>
                <w:sz w:val="16"/>
                <w:szCs w:val="16"/>
                <w:color w:val="auto"/>
              </w:rPr>
              <w:t> Interest payable</w:t>
            </w:r>
            <w:r>
              <w:rPr>
                <w:rFonts w:ascii="Arial" w:cs="Arial" w:eastAsia="Arial" w:hAnsi="Arial"/>
                <w:sz w:val="19"/>
                <w:szCs w:val="19"/>
                <w:color w:val="auto"/>
                <w:vertAlign w:val="superscript"/>
              </w:rPr>
              <w:t>(1)</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126</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105</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84</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76</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76</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867</w:t>
            </w:r>
          </w:p>
        </w:tc>
        <w:tc>
          <w:tcPr>
            <w:tcW w:w="680" w:type="dxa"/>
            <w:vAlign w:val="bottom"/>
          </w:tcPr>
          <w:p>
            <w:pPr>
              <w:jc w:val="right"/>
              <w:spacing w:after="0"/>
              <w:rPr>
                <w:sz w:val="20"/>
                <w:szCs w:val="20"/>
                <w:color w:val="auto"/>
              </w:rPr>
            </w:pPr>
            <w:r>
              <w:rPr>
                <w:rFonts w:ascii="Arial" w:cs="Arial" w:eastAsia="Arial" w:hAnsi="Arial"/>
                <w:sz w:val="16"/>
                <w:szCs w:val="16"/>
                <w:color w:val="auto"/>
              </w:rPr>
              <w:t>1,334</w:t>
            </w:r>
          </w:p>
        </w:tc>
      </w:tr>
      <w:tr>
        <w:trPr>
          <w:trHeight w:val="185"/>
        </w:trPr>
        <w:tc>
          <w:tcPr>
            <w:tcW w:w="5260" w:type="dxa"/>
            <w:vAlign w:val="bottom"/>
          </w:tcPr>
          <w:p>
            <w:pPr>
              <w:spacing w:after="0" w:line="185" w:lineRule="exact"/>
              <w:rPr>
                <w:sz w:val="20"/>
                <w:szCs w:val="20"/>
                <w:color w:val="auto"/>
              </w:rPr>
            </w:pPr>
            <w:r>
              <w:rPr>
                <w:rFonts w:ascii="Arial" w:cs="Arial" w:eastAsia="Arial" w:hAnsi="Arial"/>
                <w:sz w:val="16"/>
                <w:szCs w:val="16"/>
                <w:color w:val="auto"/>
              </w:rPr>
              <w:t> Debt-related hedges outflows</w:t>
            </w:r>
            <w:r>
              <w:rPr>
                <w:rFonts w:ascii="Arial" w:cs="Arial" w:eastAsia="Arial" w:hAnsi="Arial"/>
                <w:sz w:val="19"/>
                <w:szCs w:val="19"/>
                <w:color w:val="auto"/>
                <w:vertAlign w:val="superscript"/>
              </w:rPr>
              <w:t>(2)</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1,011</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1,033</w:t>
            </w:r>
          </w:p>
        </w:tc>
      </w:tr>
      <w:tr>
        <w:trPr>
          <w:trHeight w:val="185"/>
        </w:trPr>
        <w:tc>
          <w:tcPr>
            <w:tcW w:w="5260" w:type="dxa"/>
            <w:vAlign w:val="bottom"/>
          </w:tcPr>
          <w:p>
            <w:pPr>
              <w:spacing w:after="0" w:line="185" w:lineRule="exact"/>
              <w:rPr>
                <w:sz w:val="20"/>
                <w:szCs w:val="20"/>
                <w:color w:val="auto"/>
              </w:rPr>
            </w:pPr>
            <w:r>
              <w:rPr>
                <w:rFonts w:ascii="Arial" w:cs="Arial" w:eastAsia="Arial" w:hAnsi="Arial"/>
                <w:sz w:val="16"/>
                <w:szCs w:val="16"/>
                <w:color w:val="auto"/>
              </w:rPr>
              <w:t> Debt-related hedges inflows</w:t>
            </w:r>
            <w:r>
              <w:rPr>
                <w:rFonts w:ascii="Arial" w:cs="Arial" w:eastAsia="Arial" w:hAnsi="Arial"/>
                <w:sz w:val="19"/>
                <w:szCs w:val="19"/>
                <w:color w:val="auto"/>
                <w:vertAlign w:val="superscript"/>
              </w:rPr>
              <w:t>(1)</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(24)</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(1,074)</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(1,098)</w:t>
            </w:r>
          </w:p>
        </w:tc>
      </w:tr>
      <w:tr>
        <w:trPr>
          <w:trHeight w:val="186"/>
        </w:trPr>
        <w:tc>
          <w:tcPr>
            <w:tcW w:w="5260" w:type="dxa"/>
            <w:vAlign w:val="bottom"/>
          </w:tcPr>
          <w:p>
            <w:pPr>
              <w:spacing w:after="0"/>
              <w:rPr>
                <w:sz w:val="20"/>
                <w:szCs w:val="20"/>
                <w:color w:val="auto"/>
              </w:rPr>
            </w:pPr>
            <w:r>
              <w:rPr>
                <w:rFonts w:ascii="Arial" w:cs="Arial" w:eastAsia="Arial" w:hAnsi="Arial"/>
                <w:sz w:val="16"/>
                <w:szCs w:val="16"/>
                <w:color w:val="auto"/>
              </w:rPr>
              <w:t> Trade payables</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181</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185"/>
        </w:trPr>
        <w:tc>
          <w:tcPr>
            <w:tcW w:w="5260" w:type="dxa"/>
            <w:vAlign w:val="bottom"/>
          </w:tcPr>
          <w:p>
            <w:pPr>
              <w:spacing w:after="0"/>
              <w:rPr>
                <w:sz w:val="20"/>
                <w:szCs w:val="20"/>
                <w:color w:val="auto"/>
              </w:rPr>
            </w:pPr>
            <w:r>
              <w:rPr>
                <w:rFonts w:ascii="Arial" w:cs="Arial" w:eastAsia="Arial" w:hAnsi="Arial"/>
                <w:sz w:val="16"/>
                <w:szCs w:val="16"/>
                <w:color w:val="auto"/>
              </w:rPr>
              <w:t> Accruals</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798</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798</w:t>
            </w:r>
          </w:p>
        </w:tc>
      </w:tr>
      <w:tr>
        <w:trPr>
          <w:trHeight w:val="185"/>
        </w:trPr>
        <w:tc>
          <w:tcPr>
            <w:tcW w:w="5260" w:type="dxa"/>
            <w:vAlign w:val="bottom"/>
          </w:tcPr>
          <w:p>
            <w:pPr>
              <w:spacing w:after="0"/>
              <w:rPr>
                <w:sz w:val="20"/>
                <w:szCs w:val="20"/>
                <w:color w:val="auto"/>
              </w:rPr>
            </w:pPr>
            <w:r>
              <w:rPr>
                <w:rFonts w:ascii="Arial" w:cs="Arial" w:eastAsia="Arial" w:hAnsi="Arial"/>
                <w:sz w:val="16"/>
                <w:szCs w:val="16"/>
                <w:color w:val="auto"/>
              </w:rPr>
              <w:t> Lease liabilities</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67</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59</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47</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36</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24</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91</w:t>
            </w:r>
          </w:p>
        </w:tc>
        <w:tc>
          <w:tcPr>
            <w:tcW w:w="680" w:type="dxa"/>
            <w:vAlign w:val="bottom"/>
          </w:tcPr>
          <w:p>
            <w:pPr>
              <w:jc w:val="right"/>
              <w:spacing w:after="0"/>
              <w:rPr>
                <w:sz w:val="20"/>
                <w:szCs w:val="20"/>
                <w:color w:val="auto"/>
              </w:rPr>
            </w:pPr>
            <w:r>
              <w:rPr>
                <w:rFonts w:ascii="Arial" w:cs="Arial" w:eastAsia="Arial" w:hAnsi="Arial"/>
                <w:sz w:val="16"/>
                <w:szCs w:val="16"/>
                <w:color w:val="auto"/>
              </w:rPr>
              <w:t>324</w:t>
            </w:r>
          </w:p>
        </w:tc>
      </w:tr>
      <w:tr>
        <w:trPr>
          <w:trHeight w:val="185"/>
        </w:trPr>
        <w:tc>
          <w:tcPr>
            <w:tcW w:w="5260" w:type="dxa"/>
            <w:vAlign w:val="bottom"/>
          </w:tcPr>
          <w:p>
            <w:pPr>
              <w:spacing w:after="0" w:line="185" w:lineRule="exact"/>
              <w:rPr>
                <w:sz w:val="20"/>
                <w:szCs w:val="20"/>
                <w:color w:val="auto"/>
              </w:rPr>
            </w:pPr>
            <w:r>
              <w:rPr>
                <w:rFonts w:ascii="Arial" w:cs="Arial" w:eastAsia="Arial" w:hAnsi="Arial"/>
                <w:sz w:val="16"/>
                <w:szCs w:val="16"/>
                <w:color w:val="auto"/>
              </w:rPr>
              <w:t> Foreign exchange contracts outflows</w:t>
            </w:r>
            <w:r>
              <w:rPr>
                <w:rFonts w:ascii="Arial" w:cs="Arial" w:eastAsia="Arial" w:hAnsi="Arial"/>
                <w:sz w:val="19"/>
                <w:szCs w:val="19"/>
                <w:color w:val="auto"/>
                <w:vertAlign w:val="superscript"/>
              </w:rPr>
              <w:t>(3)</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1,575</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1,575</w:t>
            </w:r>
          </w:p>
        </w:tc>
      </w:tr>
      <w:tr>
        <w:trPr>
          <w:trHeight w:val="185"/>
        </w:trPr>
        <w:tc>
          <w:tcPr>
            <w:tcW w:w="5260" w:type="dxa"/>
            <w:vAlign w:val="bottom"/>
          </w:tcPr>
          <w:p>
            <w:pPr>
              <w:spacing w:after="0" w:line="185" w:lineRule="exact"/>
              <w:rPr>
                <w:sz w:val="20"/>
                <w:szCs w:val="20"/>
                <w:color w:val="auto"/>
              </w:rPr>
            </w:pPr>
            <w:r>
              <w:rPr>
                <w:rFonts w:ascii="Arial" w:cs="Arial" w:eastAsia="Arial" w:hAnsi="Arial"/>
                <w:sz w:val="16"/>
                <w:szCs w:val="16"/>
                <w:color w:val="auto"/>
              </w:rPr>
              <w:t> Foreign exchange contracts inflows</w:t>
            </w:r>
            <w:r>
              <w:rPr>
                <w:rFonts w:ascii="Arial" w:cs="Arial" w:eastAsia="Arial" w:hAnsi="Arial"/>
                <w:sz w:val="19"/>
                <w:szCs w:val="19"/>
                <w:color w:val="auto"/>
                <w:vertAlign w:val="superscript"/>
              </w:rPr>
              <w:t>(4)</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(1,601)</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(1,601)</w:t>
            </w:r>
          </w:p>
        </w:tc>
      </w:tr>
      <w:tr>
        <w:trPr>
          <w:trHeight w:val="200"/>
        </w:trPr>
        <w:tc>
          <w:tcPr>
            <w:tcW w:w="526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Other financial liabilities</w:t>
            </w:r>
          </w:p>
        </w:tc>
        <w:tc>
          <w:tcPr>
            <w:tcW w:w="78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419</w:t>
            </w:r>
          </w:p>
        </w:tc>
        <w:tc>
          <w:tcPr>
            <w:tcW w:w="70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28</w:t>
            </w:r>
          </w:p>
        </w:tc>
        <w:tc>
          <w:tcPr>
            <w:tcW w:w="52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447</w:t>
            </w:r>
          </w:p>
        </w:tc>
      </w:tr>
      <w:tr>
        <w:trPr>
          <w:trHeight w:val="185"/>
        </w:trPr>
        <w:tc>
          <w:tcPr>
            <w:tcW w:w="526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color w:val="auto"/>
              </w:rPr>
              <w:t> Total</w:t>
            </w:r>
          </w:p>
        </w:tc>
        <w:tc>
          <w:tcPr>
            <w:tcW w:w="780" w:type="dxa"/>
            <w:vAlign w:val="bottom"/>
            <w:tcBorders>
              <w:bottom w:val="single" w:sz="8" w:color="D64000"/>
            </w:tcBorders>
          </w:tcPr>
          <w:p>
            <w:pPr>
              <w:jc w:val="right"/>
              <w:ind w:right="21"/>
              <w:spacing w:after="0" w:line="179" w:lineRule="exact"/>
              <w:rPr>
                <w:sz w:val="20"/>
                <w:szCs w:val="20"/>
                <w:color w:val="auto"/>
              </w:rPr>
            </w:pPr>
            <w:r>
              <w:rPr>
                <w:rFonts w:ascii="Arial" w:cs="Arial" w:eastAsia="Arial" w:hAnsi="Arial"/>
                <w:sz w:val="16"/>
                <w:szCs w:val="16"/>
                <w:color w:val="auto"/>
              </w:rPr>
              <w:t>1,935</w:t>
            </w:r>
          </w:p>
        </w:tc>
        <w:tc>
          <w:tcPr>
            <w:tcW w:w="700" w:type="dxa"/>
            <w:vAlign w:val="bottom"/>
            <w:tcBorders>
              <w:bottom w:val="single" w:sz="8" w:color="D64000"/>
            </w:tcBorders>
          </w:tcPr>
          <w:p>
            <w:pPr>
              <w:jc w:val="right"/>
              <w:ind w:right="1"/>
              <w:spacing w:after="0" w:line="179" w:lineRule="exact"/>
              <w:rPr>
                <w:sz w:val="20"/>
                <w:szCs w:val="20"/>
                <w:color w:val="auto"/>
              </w:rPr>
            </w:pPr>
            <w:r>
              <w:rPr>
                <w:rFonts w:ascii="Arial" w:cs="Arial" w:eastAsia="Arial" w:hAnsi="Arial"/>
                <w:sz w:val="16"/>
                <w:szCs w:val="16"/>
                <w:color w:val="auto"/>
              </w:rPr>
              <w:t>1,191</w:t>
            </w:r>
          </w:p>
        </w:tc>
        <w:tc>
          <w:tcPr>
            <w:tcW w:w="520" w:type="dxa"/>
            <w:vAlign w:val="bottom"/>
            <w:tcBorders>
              <w:bottom w:val="single" w:sz="8" w:color="D64000"/>
            </w:tcBorders>
          </w:tcPr>
          <w:p>
            <w:pPr>
              <w:jc w:val="right"/>
              <w:ind w:right="1"/>
              <w:spacing w:after="0" w:line="179" w:lineRule="exact"/>
              <w:rPr>
                <w:sz w:val="20"/>
                <w:szCs w:val="20"/>
                <w:color w:val="auto"/>
              </w:rPr>
            </w:pPr>
            <w:r>
              <w:rPr>
                <w:rFonts w:ascii="Arial" w:cs="Arial" w:eastAsia="Arial" w:hAnsi="Arial"/>
                <w:sz w:val="16"/>
                <w:szCs w:val="16"/>
                <w:color w:val="auto"/>
              </w:rPr>
              <w:t>631</w:t>
            </w:r>
          </w:p>
        </w:tc>
        <w:tc>
          <w:tcPr>
            <w:tcW w:w="520" w:type="dxa"/>
            <w:vAlign w:val="bottom"/>
            <w:tcBorders>
              <w:bottom w:val="single" w:sz="8" w:color="D64000"/>
            </w:tcBorders>
          </w:tcPr>
          <w:p>
            <w:pPr>
              <w:jc w:val="right"/>
              <w:ind w:right="1"/>
              <w:spacing w:after="0" w:line="179" w:lineRule="exact"/>
              <w:rPr>
                <w:sz w:val="20"/>
                <w:szCs w:val="20"/>
                <w:color w:val="auto"/>
              </w:rPr>
            </w:pPr>
            <w:r>
              <w:rPr>
                <w:rFonts w:ascii="Arial" w:cs="Arial" w:eastAsia="Arial" w:hAnsi="Arial"/>
                <w:sz w:val="16"/>
                <w:szCs w:val="16"/>
                <w:color w:val="auto"/>
              </w:rPr>
              <w:t>112</w:t>
            </w:r>
          </w:p>
        </w:tc>
        <w:tc>
          <w:tcPr>
            <w:tcW w:w="520" w:type="dxa"/>
            <w:vAlign w:val="bottom"/>
            <w:tcBorders>
              <w:bottom w:val="single" w:sz="8" w:color="D64000"/>
            </w:tcBorders>
          </w:tcPr>
          <w:p>
            <w:pPr>
              <w:jc w:val="right"/>
              <w:ind w:right="1"/>
              <w:spacing w:after="0" w:line="179" w:lineRule="exact"/>
              <w:rPr>
                <w:sz w:val="20"/>
                <w:szCs w:val="20"/>
                <w:color w:val="auto"/>
              </w:rPr>
            </w:pPr>
            <w:r>
              <w:rPr>
                <w:rFonts w:ascii="Arial" w:cs="Arial" w:eastAsia="Arial" w:hAnsi="Arial"/>
                <w:sz w:val="16"/>
                <w:szCs w:val="16"/>
                <w:color w:val="auto"/>
              </w:rPr>
              <w:t>100</w:t>
            </w:r>
          </w:p>
        </w:tc>
        <w:tc>
          <w:tcPr>
            <w:tcW w:w="960" w:type="dxa"/>
            <w:vAlign w:val="bottom"/>
            <w:tcBorders>
              <w:bottom w:val="single" w:sz="8" w:color="D64000"/>
            </w:tcBorders>
          </w:tcPr>
          <w:p>
            <w:pPr>
              <w:jc w:val="right"/>
              <w:ind w:right="21"/>
              <w:spacing w:after="0" w:line="179" w:lineRule="exact"/>
              <w:rPr>
                <w:sz w:val="20"/>
                <w:szCs w:val="20"/>
                <w:color w:val="auto"/>
              </w:rPr>
            </w:pPr>
            <w:r>
              <w:rPr>
                <w:rFonts w:ascii="Arial" w:cs="Arial" w:eastAsia="Arial" w:hAnsi="Arial"/>
                <w:sz w:val="16"/>
                <w:szCs w:val="16"/>
                <w:color w:val="auto"/>
              </w:rPr>
              <w:t>2,327</w:t>
            </w:r>
          </w:p>
        </w:tc>
        <w:tc>
          <w:tcPr>
            <w:tcW w:w="68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6,296</w:t>
            </w:r>
          </w:p>
        </w:tc>
      </w:tr>
    </w:tbl>
    <w:p>
      <w:pPr>
        <w:spacing w:after="0" w:line="229" w:lineRule="exact"/>
        <w:rPr>
          <w:sz w:val="20"/>
          <w:szCs w:val="20"/>
          <w:color w:val="auto"/>
        </w:rPr>
      </w:pPr>
    </w:p>
    <w:p>
      <w:pPr>
        <w:ind w:left="640" w:hanging="422"/>
        <w:spacing w:after="0"/>
        <w:tabs>
          <w:tab w:leader="none" w:pos="6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Represents contractual cash flows calculated using spot foreign exchange rates as of the period then ended.</w:t>
      </w:r>
    </w:p>
    <w:p>
      <w:pPr>
        <w:spacing w:after="0" w:line="12" w:lineRule="exact"/>
        <w:rPr>
          <w:rFonts w:ascii="Arial" w:cs="Arial" w:eastAsia="Arial" w:hAnsi="Arial"/>
          <w:sz w:val="14"/>
          <w:szCs w:val="14"/>
          <w:color w:val="auto"/>
        </w:rPr>
      </w:pPr>
    </w:p>
    <w:p>
      <w:pPr>
        <w:ind w:left="640" w:hanging="422"/>
        <w:spacing w:after="0" w:line="237" w:lineRule="auto"/>
        <w:tabs>
          <w:tab w:leader="none" w:pos="6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Represents contractual U.S. dollar cash flows.</w:t>
      </w:r>
    </w:p>
    <w:p>
      <w:pPr>
        <w:ind w:left="640" w:hanging="422"/>
        <w:spacing w:after="0" w:line="237" w:lineRule="auto"/>
        <w:tabs>
          <w:tab w:leader="none" w:pos="6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Represents contractual cash flows translated at the contract rate.</w:t>
      </w:r>
    </w:p>
    <w:p>
      <w:pPr>
        <w:ind w:left="640" w:hanging="422"/>
        <w:spacing w:after="0"/>
        <w:tabs>
          <w:tab w:leader="none" w:pos="6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Represents contractual cash flows calculated using forward foreign exchange rates as of the period then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105410</wp:posOffset>
            </wp:positionV>
            <wp:extent cx="686562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63" w:lineRule="exact"/>
        <w:rPr>
          <w:sz w:val="20"/>
          <w:szCs w:val="20"/>
          <w:color w:val="auto"/>
        </w:rPr>
      </w:pPr>
    </w:p>
    <w:p>
      <w:pPr>
        <w:ind w:left="220"/>
        <w:spacing w:after="0"/>
        <w:tabs>
          <w:tab w:leader="none" w:pos="1030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6"/>
          <w:szCs w:val="16"/>
          <w:color w:val="auto"/>
        </w:rPr>
        <w:t>Page 119</w:t>
      </w:r>
    </w:p>
    <w:p>
      <w:pPr>
        <w:sectPr>
          <w:pgSz w:w="11900" w:h="16838" w:orient="portrait"/>
          <w:cols w:equalWidth="0" w:num="1">
            <w:col w:w="11040"/>
          </w:cols>
          <w:pgMar w:left="320" w:top="477" w:right="5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Capital Management</w:t>
      </w:r>
    </w:p>
    <w:p>
      <w:pPr>
        <w:spacing w:after="0" w:line="6" w:lineRule="exact"/>
        <w:rPr>
          <w:sz w:val="20"/>
          <w:szCs w:val="20"/>
          <w:color w:val="auto"/>
        </w:rPr>
      </w:pPr>
    </w:p>
    <w:p>
      <w:pPr>
        <w:ind w:left="220" w:right="140"/>
        <w:spacing w:after="0" w:line="236" w:lineRule="auto"/>
        <w:rPr>
          <w:sz w:val="20"/>
          <w:szCs w:val="20"/>
          <w:color w:val="auto"/>
        </w:rPr>
      </w:pPr>
      <w:r>
        <w:rPr>
          <w:rFonts w:ascii="Arial" w:cs="Arial" w:eastAsia="Arial" w:hAnsi="Arial"/>
          <w:sz w:val="17"/>
          <w:szCs w:val="17"/>
          <w:color w:val="auto"/>
        </w:rPr>
        <w:t>The Company’s capital management strategy is focused on ensuring that it has the investment capacity to drive revenue growth both organically and through acquisitions, while also maintaining its long-term financial leverage and credit ratings and continuing to provide returns to shareholders.</w:t>
      </w:r>
    </w:p>
    <w:p>
      <w:pPr>
        <w:spacing w:after="0" w:line="70" w:lineRule="exact"/>
        <w:rPr>
          <w:sz w:val="20"/>
          <w:szCs w:val="20"/>
          <w:color w:val="auto"/>
        </w:rPr>
      </w:pPr>
    </w:p>
    <w:p>
      <w:pPr>
        <w:ind w:left="220" w:right="80"/>
        <w:spacing w:after="0" w:line="258" w:lineRule="auto"/>
        <w:rPr>
          <w:sz w:val="20"/>
          <w:szCs w:val="20"/>
          <w:color w:val="auto"/>
        </w:rPr>
      </w:pPr>
      <w:r>
        <w:rPr>
          <w:rFonts w:ascii="Arial" w:cs="Arial" w:eastAsia="Arial" w:hAnsi="Arial"/>
          <w:sz w:val="16"/>
          <w:szCs w:val="16"/>
          <w:color w:val="auto"/>
        </w:rPr>
        <w:t>The Company’s principal sources of liquidity are cash and cash equivalents and cash provided by operating activities. From time to time, the Company issues commercial paper, issues debt securities and borrows under its credit facility. The Company’s principal uses of cash are for debt repayments, debt servicing costs, dividend payments, capital expenditures, share repurchases and acquisitions. The Company believes that its existing sources of liquidity will be sufficient to fund its expected cash requirements in the normal course of business for the next 12 months.</w:t>
      </w:r>
    </w:p>
    <w:p>
      <w:pPr>
        <w:spacing w:after="0" w:line="57" w:lineRule="exact"/>
        <w:rPr>
          <w:sz w:val="20"/>
          <w:szCs w:val="20"/>
          <w:color w:val="auto"/>
        </w:rPr>
      </w:pPr>
    </w:p>
    <w:p>
      <w:pPr>
        <w:ind w:left="220" w:right="140"/>
        <w:spacing w:after="0" w:line="243" w:lineRule="auto"/>
        <w:rPr>
          <w:sz w:val="20"/>
          <w:szCs w:val="20"/>
          <w:color w:val="auto"/>
        </w:rPr>
      </w:pPr>
      <w:r>
        <w:rPr>
          <w:rFonts w:ascii="Arial" w:cs="Arial" w:eastAsia="Arial" w:hAnsi="Arial"/>
          <w:sz w:val="17"/>
          <w:szCs w:val="17"/>
          <w:color w:val="auto"/>
        </w:rPr>
        <w:t>Additionally, the Company targets a leverage ratio of net debt, as defined below, to adjusted EBITDA of no more than 2.5x as a measure of its financial flexibility and ability to maintain investment grade credit ratings. As of December 31, 2024, the Company was below its maximum target ratio.</w:t>
      </w:r>
    </w:p>
    <w:p>
      <w:pPr>
        <w:spacing w:after="0" w:line="69" w:lineRule="exact"/>
        <w:rPr>
          <w:sz w:val="20"/>
          <w:szCs w:val="20"/>
          <w:color w:val="auto"/>
        </w:rPr>
      </w:pPr>
    </w:p>
    <w:p>
      <w:pPr>
        <w:ind w:left="220" w:right="260"/>
        <w:spacing w:after="0" w:line="243" w:lineRule="auto"/>
        <w:rPr>
          <w:sz w:val="20"/>
          <w:szCs w:val="20"/>
          <w:color w:val="auto"/>
        </w:rPr>
      </w:pPr>
      <w:r>
        <w:rPr>
          <w:rFonts w:ascii="Arial" w:cs="Arial" w:eastAsia="Arial" w:hAnsi="Arial"/>
          <w:sz w:val="17"/>
          <w:szCs w:val="17"/>
          <w:color w:val="auto"/>
        </w:rPr>
        <w:t>The Company’s investment grade credit ratings provide additional financial flexibility and the ability to borrow to support the operations and growth strategies of the business. The following table sets forth the credit ratings from rating agencies in respect of the Company’s outstanding securities as of December 31, 2024:</w:t>
      </w:r>
    </w:p>
    <w:p>
      <w:pPr>
        <w:spacing w:after="0" w:line="223"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3860" w:type="dxa"/>
            <w:vAlign w:val="bottom"/>
            <w:tcBorders>
              <w:bottom w:val="single" w:sz="8" w:color="D64000"/>
            </w:tcBorders>
            <w:shd w:val="clear" w:color="auto" w:fill="1F473D"/>
          </w:tcPr>
          <w:p>
            <w:pPr>
              <w:ind w:left="3760"/>
              <w:spacing w:after="0"/>
              <w:rPr>
                <w:sz w:val="20"/>
                <w:szCs w:val="20"/>
                <w:color w:val="auto"/>
              </w:rPr>
            </w:pPr>
            <w:r>
              <w:rPr>
                <w:rFonts w:ascii="Arial" w:cs="Arial" w:eastAsia="Arial" w:hAnsi="Arial"/>
                <w:sz w:val="11"/>
                <w:szCs w:val="11"/>
                <w:b w:val="1"/>
                <w:bCs w:val="1"/>
                <w:color w:val="FFFFFF"/>
                <w:w w:val="72"/>
              </w:rPr>
              <w:t> </w:t>
            </w:r>
          </w:p>
        </w:tc>
        <w:tc>
          <w:tcPr>
            <w:tcW w:w="1020" w:type="dxa"/>
            <w:vAlign w:val="bottom"/>
            <w:tcBorders>
              <w:bottom w:val="single" w:sz="8" w:color="D64000"/>
            </w:tcBorders>
            <w:shd w:val="clear" w:color="auto" w:fill="1F473D"/>
          </w:tcPr>
          <w:p>
            <w:pPr>
              <w:jc w:val="center"/>
              <w:ind w:right="141"/>
              <w:spacing w:after="0"/>
              <w:rPr>
                <w:sz w:val="20"/>
                <w:szCs w:val="20"/>
                <w:color w:val="auto"/>
              </w:rPr>
            </w:pPr>
            <w:r>
              <w:rPr>
                <w:rFonts w:ascii="Arial" w:cs="Arial" w:eastAsia="Arial" w:hAnsi="Arial"/>
                <w:sz w:val="16"/>
                <w:szCs w:val="16"/>
                <w:b w:val="1"/>
                <w:bCs w:val="1"/>
                <w:color w:val="FFFFFF"/>
                <w:w w:val="83"/>
              </w:rPr>
              <w:t>Moody’s </w:t>
            </w:r>
          </w:p>
        </w:tc>
        <w:tc>
          <w:tcPr>
            <w:tcW w:w="2300" w:type="dxa"/>
            <w:vAlign w:val="bottom"/>
            <w:tcBorders>
              <w:bottom w:val="single" w:sz="8" w:color="D64000"/>
            </w:tcBorders>
            <w:shd w:val="clear" w:color="auto" w:fill="1F473D"/>
          </w:tcPr>
          <w:p>
            <w:pPr>
              <w:ind w:left="300"/>
              <w:spacing w:after="0"/>
              <w:rPr>
                <w:sz w:val="20"/>
                <w:szCs w:val="20"/>
                <w:color w:val="auto"/>
              </w:rPr>
            </w:pPr>
            <w:r>
              <w:rPr>
                <w:rFonts w:ascii="Arial" w:cs="Arial" w:eastAsia="Arial" w:hAnsi="Arial"/>
                <w:sz w:val="16"/>
                <w:szCs w:val="16"/>
                <w:b w:val="1"/>
                <w:bCs w:val="1"/>
                <w:color w:val="FFFFFF"/>
              </w:rPr>
              <w:t>   S&amp;P Global Ratings </w:t>
            </w:r>
          </w:p>
        </w:tc>
        <w:tc>
          <w:tcPr>
            <w:tcW w:w="1840" w:type="dxa"/>
            <w:vAlign w:val="bottom"/>
            <w:tcBorders>
              <w:bottom w:val="single" w:sz="8" w:color="D64000"/>
            </w:tcBorders>
            <w:shd w:val="clear" w:color="auto" w:fill="1F473D"/>
          </w:tcPr>
          <w:p>
            <w:pPr>
              <w:ind w:left="280"/>
              <w:spacing w:after="0"/>
              <w:rPr>
                <w:sz w:val="20"/>
                <w:szCs w:val="20"/>
                <w:color w:val="auto"/>
              </w:rPr>
            </w:pPr>
            <w:r>
              <w:rPr>
                <w:rFonts w:ascii="Arial" w:cs="Arial" w:eastAsia="Arial" w:hAnsi="Arial"/>
                <w:sz w:val="16"/>
                <w:szCs w:val="16"/>
                <w:b w:val="1"/>
                <w:bCs w:val="1"/>
                <w:color w:val="FFFFFF"/>
              </w:rPr>
              <w:t>   DBRS Limited </w:t>
            </w:r>
          </w:p>
        </w:tc>
        <w:tc>
          <w:tcPr>
            <w:tcW w:w="920" w:type="dxa"/>
            <w:vAlign w:val="bottom"/>
            <w:tcBorders>
              <w:bottom w:val="single" w:sz="8" w:color="D64000"/>
            </w:tcBorders>
            <w:shd w:val="clear" w:color="auto" w:fill="1F473D"/>
          </w:tcPr>
          <w:p>
            <w:pPr>
              <w:jc w:val="center"/>
              <w:ind w:left="61"/>
              <w:spacing w:after="0"/>
              <w:rPr>
                <w:sz w:val="20"/>
                <w:szCs w:val="20"/>
                <w:color w:val="auto"/>
              </w:rPr>
            </w:pPr>
            <w:r>
              <w:rPr>
                <w:rFonts w:ascii="Arial" w:cs="Arial" w:eastAsia="Arial" w:hAnsi="Arial"/>
                <w:sz w:val="16"/>
                <w:szCs w:val="16"/>
                <w:b w:val="1"/>
                <w:bCs w:val="1"/>
                <w:color w:val="FFFFFF"/>
                <w:w w:val="99"/>
              </w:rPr>
              <w:t>Fitch</w:t>
            </w:r>
          </w:p>
        </w:tc>
      </w:tr>
      <w:tr>
        <w:trPr>
          <w:trHeight w:val="171"/>
        </w:trPr>
        <w:tc>
          <w:tcPr>
            <w:tcW w:w="3860" w:type="dxa"/>
            <w:vAlign w:val="bottom"/>
          </w:tcPr>
          <w:p>
            <w:pPr>
              <w:spacing w:after="0" w:line="171" w:lineRule="exact"/>
              <w:rPr>
                <w:sz w:val="20"/>
                <w:szCs w:val="20"/>
                <w:color w:val="auto"/>
              </w:rPr>
            </w:pPr>
            <w:r>
              <w:rPr>
                <w:rFonts w:ascii="Arial" w:cs="Arial" w:eastAsia="Arial" w:hAnsi="Arial"/>
                <w:sz w:val="16"/>
                <w:szCs w:val="16"/>
                <w:color w:val="auto"/>
              </w:rPr>
              <w:t>Long-term debt</w:t>
            </w:r>
          </w:p>
        </w:tc>
        <w:tc>
          <w:tcPr>
            <w:tcW w:w="1020" w:type="dxa"/>
            <w:vAlign w:val="bottom"/>
          </w:tcPr>
          <w:p>
            <w:pPr>
              <w:jc w:val="center"/>
              <w:ind w:right="201"/>
              <w:spacing w:after="0" w:line="171" w:lineRule="exact"/>
              <w:rPr>
                <w:sz w:val="20"/>
                <w:szCs w:val="20"/>
                <w:color w:val="auto"/>
              </w:rPr>
            </w:pPr>
            <w:r>
              <w:rPr>
                <w:rFonts w:ascii="Arial" w:cs="Arial" w:eastAsia="Arial" w:hAnsi="Arial"/>
                <w:sz w:val="16"/>
                <w:szCs w:val="16"/>
                <w:color w:val="auto"/>
              </w:rPr>
              <w:t>Baa1</w:t>
            </w:r>
          </w:p>
        </w:tc>
        <w:tc>
          <w:tcPr>
            <w:tcW w:w="2300" w:type="dxa"/>
            <w:vAlign w:val="bottom"/>
          </w:tcPr>
          <w:p>
            <w:pPr>
              <w:jc w:val="center"/>
              <w:ind w:left="41"/>
              <w:spacing w:after="0" w:line="171" w:lineRule="exact"/>
              <w:rPr>
                <w:sz w:val="20"/>
                <w:szCs w:val="20"/>
                <w:color w:val="auto"/>
              </w:rPr>
            </w:pPr>
            <w:r>
              <w:rPr>
                <w:rFonts w:ascii="Arial" w:cs="Arial" w:eastAsia="Arial" w:hAnsi="Arial"/>
                <w:sz w:val="16"/>
                <w:szCs w:val="16"/>
                <w:color w:val="auto"/>
              </w:rPr>
              <w:t>BBB+</w:t>
            </w:r>
          </w:p>
        </w:tc>
        <w:tc>
          <w:tcPr>
            <w:tcW w:w="1840" w:type="dxa"/>
            <w:vAlign w:val="bottom"/>
          </w:tcPr>
          <w:p>
            <w:pPr>
              <w:jc w:val="center"/>
              <w:ind w:left="21"/>
              <w:spacing w:after="0" w:line="171" w:lineRule="exact"/>
              <w:rPr>
                <w:sz w:val="20"/>
                <w:szCs w:val="20"/>
                <w:color w:val="auto"/>
              </w:rPr>
            </w:pPr>
            <w:r>
              <w:rPr>
                <w:rFonts w:ascii="Arial" w:cs="Arial" w:eastAsia="Arial" w:hAnsi="Arial"/>
                <w:sz w:val="16"/>
                <w:szCs w:val="16"/>
                <w:color w:val="auto"/>
              </w:rPr>
              <w:t>BBB (high)</w:t>
            </w:r>
          </w:p>
        </w:tc>
        <w:tc>
          <w:tcPr>
            <w:tcW w:w="920" w:type="dxa"/>
            <w:vAlign w:val="bottom"/>
          </w:tcPr>
          <w:p>
            <w:pPr>
              <w:jc w:val="center"/>
              <w:ind w:left="61"/>
              <w:spacing w:after="0" w:line="171" w:lineRule="exact"/>
              <w:rPr>
                <w:sz w:val="20"/>
                <w:szCs w:val="20"/>
                <w:color w:val="auto"/>
              </w:rPr>
            </w:pPr>
            <w:r>
              <w:rPr>
                <w:rFonts w:ascii="Arial" w:cs="Arial" w:eastAsia="Arial" w:hAnsi="Arial"/>
                <w:sz w:val="16"/>
                <w:szCs w:val="16"/>
                <w:color w:val="auto"/>
              </w:rPr>
              <w:t>BBB+</w:t>
            </w:r>
          </w:p>
        </w:tc>
      </w:tr>
      <w:tr>
        <w:trPr>
          <w:trHeight w:val="185"/>
        </w:trPr>
        <w:tc>
          <w:tcPr>
            <w:tcW w:w="3860" w:type="dxa"/>
            <w:vAlign w:val="bottom"/>
          </w:tcPr>
          <w:p>
            <w:pPr>
              <w:spacing w:after="0"/>
              <w:rPr>
                <w:sz w:val="20"/>
                <w:szCs w:val="20"/>
                <w:color w:val="auto"/>
              </w:rPr>
            </w:pPr>
            <w:r>
              <w:rPr>
                <w:rFonts w:ascii="Arial" w:cs="Arial" w:eastAsia="Arial" w:hAnsi="Arial"/>
                <w:sz w:val="16"/>
                <w:szCs w:val="16"/>
                <w:color w:val="auto"/>
              </w:rPr>
              <w:t>Commercial paper</w:t>
            </w:r>
          </w:p>
        </w:tc>
        <w:tc>
          <w:tcPr>
            <w:tcW w:w="1020" w:type="dxa"/>
            <w:vAlign w:val="bottom"/>
          </w:tcPr>
          <w:p>
            <w:pPr>
              <w:jc w:val="center"/>
              <w:ind w:right="201"/>
              <w:spacing w:after="0"/>
              <w:rPr>
                <w:sz w:val="20"/>
                <w:szCs w:val="20"/>
                <w:color w:val="auto"/>
              </w:rPr>
            </w:pPr>
            <w:r>
              <w:rPr>
                <w:rFonts w:ascii="Arial" w:cs="Arial" w:eastAsia="Arial" w:hAnsi="Arial"/>
                <w:sz w:val="16"/>
                <w:szCs w:val="16"/>
                <w:color w:val="auto"/>
              </w:rPr>
              <w:t>P-2</w:t>
            </w:r>
          </w:p>
        </w:tc>
        <w:tc>
          <w:tcPr>
            <w:tcW w:w="2300" w:type="dxa"/>
            <w:vAlign w:val="bottom"/>
          </w:tcPr>
          <w:p>
            <w:pPr>
              <w:jc w:val="center"/>
              <w:ind w:left="41"/>
              <w:spacing w:after="0"/>
              <w:rPr>
                <w:sz w:val="20"/>
                <w:szCs w:val="20"/>
                <w:color w:val="auto"/>
              </w:rPr>
            </w:pPr>
            <w:r>
              <w:rPr>
                <w:rFonts w:ascii="Arial" w:cs="Arial" w:eastAsia="Arial" w:hAnsi="Arial"/>
                <w:sz w:val="16"/>
                <w:szCs w:val="16"/>
                <w:color w:val="auto"/>
              </w:rPr>
              <w:t>A-2</w:t>
            </w:r>
          </w:p>
        </w:tc>
        <w:tc>
          <w:tcPr>
            <w:tcW w:w="1840" w:type="dxa"/>
            <w:vAlign w:val="bottom"/>
          </w:tcPr>
          <w:p>
            <w:pPr>
              <w:jc w:val="center"/>
              <w:ind w:left="21"/>
              <w:spacing w:after="0"/>
              <w:rPr>
                <w:sz w:val="20"/>
                <w:szCs w:val="20"/>
                <w:color w:val="auto"/>
              </w:rPr>
            </w:pPr>
            <w:r>
              <w:rPr>
                <w:rFonts w:ascii="Arial" w:cs="Arial" w:eastAsia="Arial" w:hAnsi="Arial"/>
                <w:sz w:val="16"/>
                <w:szCs w:val="16"/>
                <w:color w:val="auto"/>
                <w:w w:val="98"/>
              </w:rPr>
              <w:t>R-2 (high)</w:t>
            </w:r>
          </w:p>
        </w:tc>
        <w:tc>
          <w:tcPr>
            <w:tcW w:w="920" w:type="dxa"/>
            <w:vAlign w:val="bottom"/>
          </w:tcPr>
          <w:p>
            <w:pPr>
              <w:jc w:val="center"/>
              <w:ind w:left="61"/>
              <w:spacing w:after="0"/>
              <w:rPr>
                <w:sz w:val="20"/>
                <w:szCs w:val="20"/>
                <w:color w:val="auto"/>
              </w:rPr>
            </w:pPr>
            <w:r>
              <w:rPr>
                <w:rFonts w:ascii="Arial" w:cs="Arial" w:eastAsia="Arial" w:hAnsi="Arial"/>
                <w:sz w:val="16"/>
                <w:szCs w:val="16"/>
                <w:color w:val="auto"/>
                <w:w w:val="96"/>
              </w:rPr>
              <w:t>F1</w:t>
            </w:r>
          </w:p>
        </w:tc>
      </w:tr>
      <w:tr>
        <w:trPr>
          <w:trHeight w:val="206"/>
        </w:trPr>
        <w:tc>
          <w:tcPr>
            <w:tcW w:w="3860" w:type="dxa"/>
            <w:vAlign w:val="bottom"/>
            <w:tcBorders>
              <w:bottom w:val="single" w:sz="8" w:color="D64000"/>
            </w:tcBorders>
          </w:tcPr>
          <w:p>
            <w:pPr>
              <w:spacing w:after="0"/>
              <w:rPr>
                <w:sz w:val="20"/>
                <w:szCs w:val="20"/>
                <w:color w:val="auto"/>
              </w:rPr>
            </w:pPr>
            <w:r>
              <w:rPr>
                <w:rFonts w:ascii="Arial" w:cs="Arial" w:eastAsia="Arial" w:hAnsi="Arial"/>
                <w:sz w:val="16"/>
                <w:szCs w:val="16"/>
                <w:color w:val="auto"/>
              </w:rPr>
              <w:t>Trend/Outlook</w:t>
            </w:r>
          </w:p>
        </w:tc>
        <w:tc>
          <w:tcPr>
            <w:tcW w:w="1020" w:type="dxa"/>
            <w:vAlign w:val="bottom"/>
            <w:tcBorders>
              <w:bottom w:val="single" w:sz="8" w:color="D64000"/>
            </w:tcBorders>
          </w:tcPr>
          <w:p>
            <w:pPr>
              <w:jc w:val="center"/>
              <w:ind w:right="201"/>
              <w:spacing w:after="0"/>
              <w:rPr>
                <w:sz w:val="20"/>
                <w:szCs w:val="20"/>
                <w:color w:val="auto"/>
              </w:rPr>
            </w:pPr>
            <w:r>
              <w:rPr>
                <w:rFonts w:ascii="Arial" w:cs="Arial" w:eastAsia="Arial" w:hAnsi="Arial"/>
                <w:sz w:val="16"/>
                <w:szCs w:val="16"/>
                <w:color w:val="auto"/>
              </w:rPr>
              <w:t>Stable</w:t>
            </w:r>
          </w:p>
        </w:tc>
        <w:tc>
          <w:tcPr>
            <w:tcW w:w="2300" w:type="dxa"/>
            <w:vAlign w:val="bottom"/>
            <w:tcBorders>
              <w:bottom w:val="single" w:sz="8" w:color="D64000"/>
            </w:tcBorders>
          </w:tcPr>
          <w:p>
            <w:pPr>
              <w:jc w:val="center"/>
              <w:ind w:left="41"/>
              <w:spacing w:after="0"/>
              <w:rPr>
                <w:sz w:val="20"/>
                <w:szCs w:val="20"/>
                <w:color w:val="auto"/>
              </w:rPr>
            </w:pPr>
            <w:r>
              <w:rPr>
                <w:rFonts w:ascii="Arial" w:cs="Arial" w:eastAsia="Arial" w:hAnsi="Arial"/>
                <w:sz w:val="16"/>
                <w:szCs w:val="16"/>
                <w:color w:val="auto"/>
              </w:rPr>
              <w:t>Stable</w:t>
            </w:r>
          </w:p>
        </w:tc>
        <w:tc>
          <w:tcPr>
            <w:tcW w:w="1840" w:type="dxa"/>
            <w:vAlign w:val="bottom"/>
            <w:tcBorders>
              <w:bottom w:val="single" w:sz="8" w:color="D64000"/>
            </w:tcBorders>
          </w:tcPr>
          <w:p>
            <w:pPr>
              <w:jc w:val="center"/>
              <w:ind w:left="21"/>
              <w:spacing w:after="0"/>
              <w:rPr>
                <w:sz w:val="20"/>
                <w:szCs w:val="20"/>
                <w:color w:val="auto"/>
              </w:rPr>
            </w:pPr>
            <w:r>
              <w:rPr>
                <w:rFonts w:ascii="Arial" w:cs="Arial" w:eastAsia="Arial" w:hAnsi="Arial"/>
                <w:sz w:val="16"/>
                <w:szCs w:val="16"/>
                <w:color w:val="auto"/>
              </w:rPr>
              <w:t>Stable</w:t>
            </w:r>
          </w:p>
        </w:tc>
        <w:tc>
          <w:tcPr>
            <w:tcW w:w="920" w:type="dxa"/>
            <w:vAlign w:val="bottom"/>
            <w:tcBorders>
              <w:bottom w:val="single" w:sz="8" w:color="D64000"/>
            </w:tcBorders>
          </w:tcPr>
          <w:p>
            <w:pPr>
              <w:jc w:val="center"/>
              <w:ind w:left="61"/>
              <w:spacing w:after="0"/>
              <w:rPr>
                <w:sz w:val="20"/>
                <w:szCs w:val="20"/>
                <w:color w:val="auto"/>
              </w:rPr>
            </w:pPr>
            <w:r>
              <w:rPr>
                <w:rFonts w:ascii="Arial" w:cs="Arial" w:eastAsia="Arial" w:hAnsi="Arial"/>
                <w:sz w:val="16"/>
                <w:szCs w:val="16"/>
                <w:color w:val="auto"/>
              </w:rPr>
              <w:t>Stable</w:t>
            </w:r>
          </w:p>
        </w:tc>
      </w:tr>
    </w:tbl>
    <w:p>
      <w:pPr>
        <w:spacing w:after="0" w:line="150" w:lineRule="exact"/>
        <w:rPr>
          <w:sz w:val="20"/>
          <w:szCs w:val="20"/>
          <w:color w:val="auto"/>
        </w:rPr>
      </w:pPr>
    </w:p>
    <w:p>
      <w:pPr>
        <w:ind w:left="220" w:right="140"/>
        <w:spacing w:after="0" w:line="236" w:lineRule="auto"/>
        <w:rPr>
          <w:sz w:val="20"/>
          <w:szCs w:val="20"/>
          <w:color w:val="auto"/>
        </w:rPr>
      </w:pPr>
      <w:r>
        <w:rPr>
          <w:rFonts w:ascii="Arial" w:cs="Arial" w:eastAsia="Arial" w:hAnsi="Arial"/>
          <w:sz w:val="17"/>
          <w:szCs w:val="17"/>
          <w:color w:val="auto"/>
        </w:rPr>
        <w:t>Net debt is defined as total indebtedness (excluding the associated unamortized transaction costs and premiums or discounts) plus the currency related fair value of associated hedging instruments, and lease liabilities less cash and cash equivalents. As the Company hedges some of its debt to reduce risk, the hedging instruments are included in the measurement of the total obligation associated with its outstanding debt. However, because the Company generally intends to hold the debt and related hedges to maturity, it does not consider the associated fair value of the interest-related component of hedging instruments in the measurement of net debt.</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presents the calculation of net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159385</wp:posOffset>
            </wp:positionV>
            <wp:extent cx="630999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309995" cy="8255"/>
                    </a:xfrm>
                    <a:prstGeom prst="rect">
                      <a:avLst/>
                    </a:prstGeom>
                    <a:noFill/>
                  </pic:spPr>
                </pic:pic>
              </a:graphicData>
            </a:graphic>
          </wp:anchor>
        </w:drawing>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7080" w:type="dxa"/>
            <w:vAlign w:val="bottom"/>
          </w:tcPr>
          <w:p>
            <w:pPr>
              <w:spacing w:after="0"/>
              <w:rPr>
                <w:sz w:val="17"/>
                <w:szCs w:val="17"/>
                <w:color w:val="auto"/>
              </w:rPr>
            </w:pPr>
          </w:p>
        </w:tc>
        <w:tc>
          <w:tcPr>
            <w:tcW w:w="820" w:type="dxa"/>
            <w:vAlign w:val="bottom"/>
            <w:shd w:val="clear" w:color="auto" w:fill="E3F3EE"/>
          </w:tcPr>
          <w:p>
            <w:pPr>
              <w:ind w:left="760"/>
              <w:spacing w:after="0"/>
              <w:rPr>
                <w:sz w:val="20"/>
                <w:szCs w:val="20"/>
                <w:color w:val="auto"/>
              </w:rPr>
            </w:pPr>
            <w:r>
              <w:rPr>
                <w:rFonts w:ascii="Arial" w:cs="Arial" w:eastAsia="Arial" w:hAnsi="Arial"/>
                <w:sz w:val="5"/>
                <w:szCs w:val="5"/>
                <w:b w:val="1"/>
                <w:bCs w:val="1"/>
                <w:color w:val="auto"/>
                <w:w w:val="79"/>
              </w:rPr>
              <w:t> </w:t>
            </w:r>
          </w:p>
        </w:tc>
        <w:tc>
          <w:tcPr>
            <w:tcW w:w="540" w:type="dxa"/>
            <w:vAlign w:val="bottom"/>
            <w:shd w:val="clear" w:color="auto" w:fill="E3F3EE"/>
          </w:tcPr>
          <w:p>
            <w:pPr>
              <w:jc w:val="right"/>
              <w:ind w:right="1"/>
              <w:spacing w:after="0"/>
              <w:rPr>
                <w:sz w:val="20"/>
                <w:szCs w:val="20"/>
                <w:color w:val="auto"/>
              </w:rPr>
            </w:pPr>
            <w:r>
              <w:rPr>
                <w:rFonts w:ascii="Arial" w:cs="Arial" w:eastAsia="Arial" w:hAnsi="Arial"/>
                <w:sz w:val="16"/>
                <w:szCs w:val="16"/>
                <w:b w:val="1"/>
                <w:bCs w:val="1"/>
                <w:color w:val="auto"/>
              </w:rPr>
              <w:t xml:space="preserve">       </w:t>
            </w:r>
          </w:p>
        </w:tc>
        <w:tc>
          <w:tcPr>
            <w:tcW w:w="1500" w:type="dxa"/>
            <w:vAlign w:val="bottom"/>
            <w:shd w:val="clear" w:color="auto" w:fill="E3F3EE"/>
          </w:tcPr>
          <w:p>
            <w:pPr>
              <w:jc w:val="right"/>
              <w:ind w:right="141"/>
              <w:spacing w:after="0"/>
              <w:rPr>
                <w:sz w:val="20"/>
                <w:szCs w:val="20"/>
                <w:color w:val="auto"/>
              </w:rPr>
            </w:pPr>
            <w:r>
              <w:rPr>
                <w:rFonts w:ascii="Arial" w:cs="Arial" w:eastAsia="Arial" w:hAnsi="Arial"/>
                <w:sz w:val="16"/>
                <w:szCs w:val="16"/>
                <w:b w:val="1"/>
                <w:bCs w:val="1"/>
                <w:color w:val="auto"/>
              </w:rPr>
              <w:t xml:space="preserve">December 31,    </w:t>
            </w:r>
          </w:p>
        </w:tc>
      </w:tr>
      <w:tr>
        <w:trPr>
          <w:trHeight w:val="192"/>
        </w:trPr>
        <w:tc>
          <w:tcPr>
            <w:tcW w:w="7080" w:type="dxa"/>
            <w:vAlign w:val="bottom"/>
            <w:tcBorders>
              <w:bottom w:val="single" w:sz="8" w:color="D64000"/>
            </w:tcBorders>
            <w:shd w:val="clear" w:color="auto" w:fill="1F473D"/>
          </w:tcPr>
          <w:p>
            <w:pPr>
              <w:spacing w:after="0"/>
              <w:rPr>
                <w:sz w:val="16"/>
                <w:szCs w:val="16"/>
                <w:color w:val="auto"/>
              </w:rPr>
            </w:pPr>
          </w:p>
        </w:tc>
        <w:tc>
          <w:tcPr>
            <w:tcW w:w="820" w:type="dxa"/>
            <w:vAlign w:val="bottom"/>
            <w:tcBorders>
              <w:bottom w:val="single" w:sz="8" w:color="D64000"/>
            </w:tcBorders>
            <w:shd w:val="clear" w:color="auto" w:fill="1F473D"/>
          </w:tcPr>
          <w:p>
            <w:pPr>
              <w:ind w:left="760"/>
              <w:spacing w:after="0"/>
              <w:rPr>
                <w:sz w:val="20"/>
                <w:szCs w:val="20"/>
                <w:color w:val="auto"/>
              </w:rPr>
            </w:pPr>
            <w:r>
              <w:rPr>
                <w:rFonts w:ascii="Arial" w:cs="Arial" w:eastAsia="Arial" w:hAnsi="Arial"/>
                <w:sz w:val="5"/>
                <w:szCs w:val="5"/>
                <w:b w:val="1"/>
                <w:bCs w:val="1"/>
                <w:color w:val="FFFFFF"/>
                <w:w w:val="79"/>
              </w:rPr>
              <w:t> </w:t>
            </w:r>
          </w:p>
        </w:tc>
        <w:tc>
          <w:tcPr>
            <w:tcW w:w="540" w:type="dxa"/>
            <w:vAlign w:val="bottom"/>
            <w:tcBorders>
              <w:bottom w:val="single" w:sz="8" w:color="D64000"/>
            </w:tcBorders>
            <w:shd w:val="clear" w:color="auto" w:fill="1F473D"/>
          </w:tcPr>
          <w:p>
            <w:pPr>
              <w:jc w:val="right"/>
              <w:ind w:right="1"/>
              <w:spacing w:after="0"/>
              <w:rPr>
                <w:sz w:val="20"/>
                <w:szCs w:val="20"/>
                <w:color w:val="auto"/>
              </w:rPr>
            </w:pPr>
            <w:r>
              <w:rPr>
                <w:rFonts w:ascii="Arial" w:cs="Arial" w:eastAsia="Arial" w:hAnsi="Arial"/>
                <w:sz w:val="16"/>
                <w:szCs w:val="16"/>
                <w:b w:val="1"/>
                <w:bCs w:val="1"/>
                <w:color w:val="FFFFFF"/>
              </w:rPr>
              <w:t>2024</w:t>
            </w:r>
          </w:p>
        </w:tc>
        <w:tc>
          <w:tcPr>
            <w:tcW w:w="1500" w:type="dxa"/>
            <w:vAlign w:val="bottom"/>
            <w:tcBorders>
              <w:bottom w:val="single" w:sz="8" w:color="D64000"/>
            </w:tcBorders>
            <w:shd w:val="clear" w:color="auto" w:fill="1F473D"/>
          </w:tcPr>
          <w:p>
            <w:pPr>
              <w:jc w:val="right"/>
              <w:ind w:right="21"/>
              <w:spacing w:after="0"/>
              <w:rPr>
                <w:sz w:val="20"/>
                <w:szCs w:val="20"/>
                <w:color w:val="auto"/>
              </w:rPr>
            </w:pPr>
            <w:r>
              <w:rPr>
                <w:rFonts w:ascii="Arial" w:cs="Arial" w:eastAsia="Arial" w:hAnsi="Arial"/>
                <w:sz w:val="16"/>
                <w:szCs w:val="16"/>
                <w:color w:val="FFFFFF"/>
              </w:rPr>
              <w:t>   2023</w:t>
            </w:r>
          </w:p>
        </w:tc>
      </w:tr>
      <w:tr>
        <w:trPr>
          <w:trHeight w:val="171"/>
        </w:trPr>
        <w:tc>
          <w:tcPr>
            <w:tcW w:w="7900" w:type="dxa"/>
            <w:vAlign w:val="bottom"/>
            <w:gridSpan w:val="2"/>
          </w:tcPr>
          <w:p>
            <w:pPr>
              <w:spacing w:after="0" w:line="171" w:lineRule="exact"/>
              <w:rPr>
                <w:sz w:val="20"/>
                <w:szCs w:val="20"/>
                <w:color w:val="auto"/>
              </w:rPr>
            </w:pPr>
            <w:r>
              <w:rPr>
                <w:rFonts w:ascii="Arial" w:cs="Arial" w:eastAsia="Arial" w:hAnsi="Arial"/>
                <w:sz w:val="16"/>
                <w:szCs w:val="16"/>
                <w:color w:val="auto"/>
              </w:rPr>
              <w:t>Current indebtedness</w:t>
            </w:r>
          </w:p>
        </w:tc>
        <w:tc>
          <w:tcPr>
            <w:tcW w:w="54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973</w:t>
            </w:r>
          </w:p>
        </w:tc>
        <w:tc>
          <w:tcPr>
            <w:tcW w:w="1500" w:type="dxa"/>
            <w:vAlign w:val="bottom"/>
          </w:tcPr>
          <w:p>
            <w:pPr>
              <w:jc w:val="right"/>
              <w:spacing w:after="0" w:line="171" w:lineRule="exact"/>
              <w:rPr>
                <w:sz w:val="20"/>
                <w:szCs w:val="20"/>
                <w:color w:val="auto"/>
              </w:rPr>
            </w:pPr>
            <w:r>
              <w:rPr>
                <w:rFonts w:ascii="Arial" w:cs="Arial" w:eastAsia="Arial" w:hAnsi="Arial"/>
                <w:sz w:val="16"/>
                <w:szCs w:val="16"/>
                <w:color w:val="auto"/>
              </w:rPr>
              <w:t>372</w:t>
            </w:r>
          </w:p>
        </w:tc>
      </w:tr>
      <w:tr>
        <w:trPr>
          <w:trHeight w:val="200"/>
        </w:trPr>
        <w:tc>
          <w:tcPr>
            <w:tcW w:w="790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color w:val="auto"/>
              </w:rPr>
              <w:t>Long-term indebtedness</w:t>
            </w:r>
          </w:p>
        </w:tc>
        <w:tc>
          <w:tcPr>
            <w:tcW w:w="5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1,847</w:t>
            </w:r>
          </w:p>
        </w:tc>
        <w:tc>
          <w:tcPr>
            <w:tcW w:w="15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2,905</w:t>
            </w:r>
          </w:p>
        </w:tc>
      </w:tr>
      <w:tr>
        <w:trPr>
          <w:trHeight w:val="165"/>
        </w:trPr>
        <w:tc>
          <w:tcPr>
            <w:tcW w:w="7900" w:type="dxa"/>
            <w:vAlign w:val="bottom"/>
            <w:gridSpan w:val="2"/>
          </w:tcPr>
          <w:p>
            <w:pPr>
              <w:spacing w:after="0" w:line="165" w:lineRule="exact"/>
              <w:rPr>
                <w:sz w:val="20"/>
                <w:szCs w:val="20"/>
                <w:color w:val="auto"/>
              </w:rPr>
            </w:pPr>
            <w:r>
              <w:rPr>
                <w:rFonts w:ascii="Arial" w:cs="Arial" w:eastAsia="Arial" w:hAnsi="Arial"/>
                <w:sz w:val="16"/>
                <w:szCs w:val="16"/>
                <w:color w:val="auto"/>
              </w:rPr>
              <w:t>Total debt</w:t>
            </w:r>
          </w:p>
        </w:tc>
        <w:tc>
          <w:tcPr>
            <w:tcW w:w="54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2,820</w:t>
            </w:r>
          </w:p>
        </w:tc>
        <w:tc>
          <w:tcPr>
            <w:tcW w:w="1500" w:type="dxa"/>
            <w:vAlign w:val="bottom"/>
          </w:tcPr>
          <w:p>
            <w:pPr>
              <w:jc w:val="right"/>
              <w:spacing w:after="0" w:line="165" w:lineRule="exact"/>
              <w:rPr>
                <w:sz w:val="20"/>
                <w:szCs w:val="20"/>
                <w:color w:val="auto"/>
              </w:rPr>
            </w:pPr>
            <w:r>
              <w:rPr>
                <w:rFonts w:ascii="Arial" w:cs="Arial" w:eastAsia="Arial" w:hAnsi="Arial"/>
                <w:sz w:val="16"/>
                <w:szCs w:val="16"/>
                <w:color w:val="auto"/>
              </w:rPr>
              <w:t>3,277</w:t>
            </w:r>
          </w:p>
        </w:tc>
      </w:tr>
      <w:tr>
        <w:trPr>
          <w:trHeight w:val="200"/>
        </w:trPr>
        <w:tc>
          <w:tcPr>
            <w:tcW w:w="790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color w:val="auto"/>
              </w:rPr>
              <w:t>Swaps</w:t>
            </w:r>
          </w:p>
        </w:tc>
        <w:tc>
          <w:tcPr>
            <w:tcW w:w="5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21</w:t>
            </w:r>
          </w:p>
        </w:tc>
        <w:tc>
          <w:tcPr>
            <w:tcW w:w="15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(65)</w:t>
            </w:r>
          </w:p>
        </w:tc>
      </w:tr>
      <w:tr>
        <w:trPr>
          <w:trHeight w:val="165"/>
        </w:trPr>
        <w:tc>
          <w:tcPr>
            <w:tcW w:w="7900" w:type="dxa"/>
            <w:vAlign w:val="bottom"/>
            <w:gridSpan w:val="2"/>
          </w:tcPr>
          <w:p>
            <w:pPr>
              <w:spacing w:after="0" w:line="165" w:lineRule="exact"/>
              <w:rPr>
                <w:sz w:val="20"/>
                <w:szCs w:val="20"/>
                <w:color w:val="auto"/>
              </w:rPr>
            </w:pPr>
            <w:r>
              <w:rPr>
                <w:rFonts w:ascii="Arial" w:cs="Arial" w:eastAsia="Arial" w:hAnsi="Arial"/>
                <w:sz w:val="16"/>
                <w:szCs w:val="16"/>
                <w:color w:val="auto"/>
              </w:rPr>
              <w:t>Total debt after swaps</w:t>
            </w:r>
          </w:p>
        </w:tc>
        <w:tc>
          <w:tcPr>
            <w:tcW w:w="54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2,841</w:t>
            </w:r>
          </w:p>
        </w:tc>
        <w:tc>
          <w:tcPr>
            <w:tcW w:w="1500" w:type="dxa"/>
            <w:vAlign w:val="bottom"/>
          </w:tcPr>
          <w:p>
            <w:pPr>
              <w:jc w:val="right"/>
              <w:spacing w:after="0" w:line="165" w:lineRule="exact"/>
              <w:rPr>
                <w:sz w:val="20"/>
                <w:szCs w:val="20"/>
                <w:color w:val="auto"/>
              </w:rPr>
            </w:pPr>
            <w:r>
              <w:rPr>
                <w:rFonts w:ascii="Arial" w:cs="Arial" w:eastAsia="Arial" w:hAnsi="Arial"/>
                <w:sz w:val="16"/>
                <w:szCs w:val="16"/>
                <w:color w:val="auto"/>
              </w:rPr>
              <w:t>3,212</w:t>
            </w:r>
          </w:p>
        </w:tc>
      </w:tr>
      <w:tr>
        <w:trPr>
          <w:trHeight w:val="200"/>
        </w:trPr>
        <w:tc>
          <w:tcPr>
            <w:tcW w:w="7900" w:type="dxa"/>
            <w:vAlign w:val="bottom"/>
            <w:tcBorders>
              <w:bottom w:val="single" w:sz="8" w:color="B2B2B2"/>
            </w:tcBorders>
            <w:gridSpan w:val="2"/>
          </w:tcPr>
          <w:p>
            <w:pPr>
              <w:spacing w:after="0" w:line="200" w:lineRule="exact"/>
              <w:rPr>
                <w:sz w:val="20"/>
                <w:szCs w:val="20"/>
                <w:color w:val="auto"/>
              </w:rPr>
            </w:pPr>
            <w:r>
              <w:rPr>
                <w:rFonts w:ascii="Arial" w:cs="Arial" w:eastAsia="Arial" w:hAnsi="Arial"/>
                <w:sz w:val="16"/>
                <w:szCs w:val="16"/>
                <w:color w:val="auto"/>
              </w:rPr>
              <w:t>Remove fair value adjustments for hedges</w:t>
            </w:r>
            <w:r>
              <w:rPr>
                <w:rFonts w:ascii="Arial" w:cs="Arial" w:eastAsia="Arial" w:hAnsi="Arial"/>
                <w:sz w:val="19"/>
                <w:szCs w:val="19"/>
                <w:color w:val="auto"/>
                <w:vertAlign w:val="superscript"/>
              </w:rPr>
              <w:t>(1)</w:t>
            </w:r>
          </w:p>
        </w:tc>
        <w:tc>
          <w:tcPr>
            <w:tcW w:w="5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5</w:t>
            </w:r>
          </w:p>
        </w:tc>
        <w:tc>
          <w:tcPr>
            <w:tcW w:w="15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w:t>
            </w:r>
          </w:p>
        </w:tc>
      </w:tr>
      <w:tr>
        <w:trPr>
          <w:trHeight w:val="165"/>
        </w:trPr>
        <w:tc>
          <w:tcPr>
            <w:tcW w:w="7900" w:type="dxa"/>
            <w:vAlign w:val="bottom"/>
            <w:gridSpan w:val="2"/>
          </w:tcPr>
          <w:p>
            <w:pPr>
              <w:spacing w:after="0" w:line="165" w:lineRule="exact"/>
              <w:rPr>
                <w:sz w:val="20"/>
                <w:szCs w:val="20"/>
                <w:color w:val="auto"/>
              </w:rPr>
            </w:pPr>
            <w:r>
              <w:rPr>
                <w:rFonts w:ascii="Arial" w:cs="Arial" w:eastAsia="Arial" w:hAnsi="Arial"/>
                <w:sz w:val="16"/>
                <w:szCs w:val="16"/>
                <w:color w:val="auto"/>
              </w:rPr>
              <w:t>Total debt after currency hedging arrangements</w:t>
            </w:r>
          </w:p>
        </w:tc>
        <w:tc>
          <w:tcPr>
            <w:tcW w:w="54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2,846</w:t>
            </w:r>
          </w:p>
        </w:tc>
        <w:tc>
          <w:tcPr>
            <w:tcW w:w="1500" w:type="dxa"/>
            <w:vAlign w:val="bottom"/>
          </w:tcPr>
          <w:p>
            <w:pPr>
              <w:jc w:val="right"/>
              <w:spacing w:after="0" w:line="165" w:lineRule="exact"/>
              <w:rPr>
                <w:sz w:val="20"/>
                <w:szCs w:val="20"/>
                <w:color w:val="auto"/>
              </w:rPr>
            </w:pPr>
            <w:r>
              <w:rPr>
                <w:rFonts w:ascii="Arial" w:cs="Arial" w:eastAsia="Arial" w:hAnsi="Arial"/>
                <w:sz w:val="16"/>
                <w:szCs w:val="16"/>
                <w:color w:val="auto"/>
              </w:rPr>
              <w:t>3,214</w:t>
            </w:r>
          </w:p>
        </w:tc>
      </w:tr>
      <w:tr>
        <w:trPr>
          <w:trHeight w:val="185"/>
        </w:trPr>
        <w:tc>
          <w:tcPr>
            <w:tcW w:w="7900" w:type="dxa"/>
            <w:vAlign w:val="bottom"/>
            <w:gridSpan w:val="2"/>
          </w:tcPr>
          <w:p>
            <w:pPr>
              <w:spacing w:after="0"/>
              <w:rPr>
                <w:sz w:val="20"/>
                <w:szCs w:val="20"/>
                <w:color w:val="auto"/>
              </w:rPr>
            </w:pPr>
            <w:r>
              <w:rPr>
                <w:rFonts w:ascii="Arial" w:cs="Arial" w:eastAsia="Arial" w:hAnsi="Arial"/>
                <w:sz w:val="16"/>
                <w:szCs w:val="16"/>
                <w:color w:val="auto"/>
              </w:rPr>
              <w:t>Remove transaction costs, premiums or discounts, included in the carrying value of debt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15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85"/>
        </w:trPr>
        <w:tc>
          <w:tcPr>
            <w:tcW w:w="7900" w:type="dxa"/>
            <w:vAlign w:val="bottom"/>
            <w:gridSpan w:val="2"/>
          </w:tcPr>
          <w:p>
            <w:pPr>
              <w:spacing w:after="0"/>
              <w:rPr>
                <w:sz w:val="20"/>
                <w:szCs w:val="20"/>
                <w:color w:val="auto"/>
              </w:rPr>
            </w:pPr>
            <w:r>
              <w:rPr>
                <w:rFonts w:ascii="Arial" w:cs="Arial" w:eastAsia="Arial" w:hAnsi="Arial"/>
                <w:sz w:val="16"/>
                <w:szCs w:val="16"/>
                <w:color w:val="auto"/>
              </w:rPr>
              <w:t>Add: Lease liabilities (current and non-current)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256</w:t>
            </w:r>
          </w:p>
        </w:tc>
        <w:tc>
          <w:tcPr>
            <w:tcW w:w="1500" w:type="dxa"/>
            <w:vAlign w:val="bottom"/>
          </w:tcPr>
          <w:p>
            <w:pPr>
              <w:jc w:val="right"/>
              <w:spacing w:after="0"/>
              <w:rPr>
                <w:sz w:val="20"/>
                <w:szCs w:val="20"/>
                <w:color w:val="auto"/>
              </w:rPr>
            </w:pPr>
            <w:r>
              <w:rPr>
                <w:rFonts w:ascii="Arial" w:cs="Arial" w:eastAsia="Arial" w:hAnsi="Arial"/>
                <w:sz w:val="16"/>
                <w:szCs w:val="16"/>
                <w:color w:val="auto"/>
              </w:rPr>
              <w:t>265</w:t>
            </w:r>
          </w:p>
        </w:tc>
      </w:tr>
      <w:tr>
        <w:trPr>
          <w:trHeight w:val="200"/>
        </w:trPr>
        <w:tc>
          <w:tcPr>
            <w:tcW w:w="790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color w:val="auto"/>
              </w:rPr>
              <w:t>Less: cash and cash equivalents</w:t>
            </w:r>
          </w:p>
        </w:tc>
        <w:tc>
          <w:tcPr>
            <w:tcW w:w="5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w w:val="98"/>
              </w:rPr>
              <w:t>(1,968)</w:t>
            </w:r>
          </w:p>
        </w:tc>
        <w:tc>
          <w:tcPr>
            <w:tcW w:w="15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(1,298)</w:t>
            </w:r>
          </w:p>
        </w:tc>
      </w:tr>
      <w:tr>
        <w:trPr>
          <w:trHeight w:val="185"/>
        </w:trPr>
        <w:tc>
          <w:tcPr>
            <w:tcW w:w="7900" w:type="dxa"/>
            <w:vAlign w:val="bottom"/>
            <w:tcBorders>
              <w:bottom w:val="single" w:sz="8" w:color="D64000"/>
            </w:tcBorders>
            <w:gridSpan w:val="2"/>
          </w:tcPr>
          <w:p>
            <w:pPr>
              <w:spacing w:after="0" w:line="179" w:lineRule="exact"/>
              <w:rPr>
                <w:sz w:val="20"/>
                <w:szCs w:val="20"/>
                <w:color w:val="auto"/>
              </w:rPr>
            </w:pPr>
            <w:r>
              <w:rPr>
                <w:rFonts w:ascii="Arial" w:cs="Arial" w:eastAsia="Arial" w:hAnsi="Arial"/>
                <w:sz w:val="16"/>
                <w:szCs w:val="16"/>
                <w:color w:val="auto"/>
              </w:rPr>
              <w:t>Net debt</w:t>
            </w:r>
          </w:p>
        </w:tc>
        <w:tc>
          <w:tcPr>
            <w:tcW w:w="54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b w:val="1"/>
                <w:bCs w:val="1"/>
                <w:color w:val="auto"/>
              </w:rPr>
              <w:t>1,156</w:t>
            </w:r>
          </w:p>
        </w:tc>
        <w:tc>
          <w:tcPr>
            <w:tcW w:w="150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2,207</w:t>
            </w:r>
          </w:p>
        </w:tc>
      </w:tr>
    </w:tbl>
    <w:p>
      <w:pPr>
        <w:spacing w:after="0" w:line="70" w:lineRule="exact"/>
        <w:rPr>
          <w:sz w:val="20"/>
          <w:szCs w:val="20"/>
          <w:color w:val="auto"/>
        </w:rPr>
      </w:pPr>
    </w:p>
    <w:p>
      <w:pPr>
        <w:ind w:left="540" w:hanging="322"/>
        <w:spacing w:after="0"/>
        <w:tabs>
          <w:tab w:leader="none" w:pos="54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Represents the interest-related fair value component of hedging instruments that are removed to reflect net cash outflow upon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105410</wp:posOffset>
            </wp:positionV>
            <wp:extent cx="686562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64"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120</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reconciles movements of liabilities to cash flows arising from financing activities for the years ended December 31, 2024 and 2023:</w:t>
      </w:r>
    </w:p>
    <w:p>
      <w:pPr>
        <w:spacing w:after="0" w:line="249"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2560" w:type="dxa"/>
            <w:vAlign w:val="bottom"/>
            <w:shd w:val="clear" w:color="auto" w:fill="1F473D"/>
          </w:tcPr>
          <w:p>
            <w:pPr>
              <w:spacing w:after="0"/>
              <w:rPr>
                <w:sz w:val="16"/>
                <w:szCs w:val="16"/>
                <w:color w:val="auto"/>
              </w:rPr>
            </w:pPr>
          </w:p>
        </w:tc>
        <w:tc>
          <w:tcPr>
            <w:tcW w:w="1380" w:type="dxa"/>
            <w:vAlign w:val="bottom"/>
            <w:shd w:val="clear" w:color="auto" w:fill="1F473D"/>
          </w:tcPr>
          <w:p>
            <w:pPr>
              <w:spacing w:after="0"/>
              <w:rPr>
                <w:sz w:val="16"/>
                <w:szCs w:val="16"/>
                <w:color w:val="auto"/>
              </w:rPr>
            </w:pPr>
          </w:p>
        </w:tc>
        <w:tc>
          <w:tcPr>
            <w:tcW w:w="1540" w:type="dxa"/>
            <w:vAlign w:val="bottom"/>
            <w:shd w:val="clear" w:color="auto" w:fill="1F473D"/>
          </w:tcPr>
          <w:p>
            <w:pPr>
              <w:spacing w:after="0"/>
              <w:rPr>
                <w:sz w:val="16"/>
                <w:szCs w:val="16"/>
                <w:color w:val="auto"/>
              </w:rPr>
            </w:pPr>
          </w:p>
        </w:tc>
        <w:tc>
          <w:tcPr>
            <w:tcW w:w="1520" w:type="dxa"/>
            <w:vAlign w:val="bottom"/>
            <w:shd w:val="clear" w:color="auto" w:fill="1F473D"/>
          </w:tcPr>
          <w:p>
            <w:pPr>
              <w:jc w:val="center"/>
              <w:ind w:right="1"/>
              <w:spacing w:after="0"/>
              <w:rPr>
                <w:sz w:val="20"/>
                <w:szCs w:val="20"/>
                <w:color w:val="auto"/>
              </w:rPr>
            </w:pPr>
            <w:r>
              <w:rPr>
                <w:rFonts w:ascii="Arial" w:cs="Arial" w:eastAsia="Arial" w:hAnsi="Arial"/>
                <w:sz w:val="16"/>
                <w:szCs w:val="16"/>
                <w:b w:val="1"/>
                <w:bCs w:val="1"/>
                <w:color w:val="FFFFFF"/>
                <w:w w:val="99"/>
              </w:rPr>
              <w:t>Derivative</w:t>
            </w:r>
          </w:p>
        </w:tc>
        <w:tc>
          <w:tcPr>
            <w:tcW w:w="1360" w:type="dxa"/>
            <w:vAlign w:val="bottom"/>
            <w:shd w:val="clear" w:color="auto" w:fill="1F473D"/>
          </w:tcPr>
          <w:p>
            <w:pPr>
              <w:spacing w:after="0"/>
              <w:rPr>
                <w:sz w:val="16"/>
                <w:szCs w:val="16"/>
                <w:color w:val="auto"/>
              </w:rPr>
            </w:pPr>
          </w:p>
        </w:tc>
        <w:tc>
          <w:tcPr>
            <w:tcW w:w="1580" w:type="dxa"/>
            <w:vAlign w:val="bottom"/>
            <w:shd w:val="clear" w:color="auto" w:fill="1F473D"/>
          </w:tcPr>
          <w:p>
            <w:pPr>
              <w:spacing w:after="0"/>
              <w:rPr>
                <w:sz w:val="16"/>
                <w:szCs w:val="16"/>
                <w:color w:val="auto"/>
              </w:rPr>
            </w:pPr>
          </w:p>
        </w:tc>
      </w:tr>
      <w:tr>
        <w:trPr>
          <w:trHeight w:val="186"/>
        </w:trPr>
        <w:tc>
          <w:tcPr>
            <w:tcW w:w="2560" w:type="dxa"/>
            <w:vAlign w:val="bottom"/>
            <w:shd w:val="clear" w:color="auto" w:fill="1F473D"/>
          </w:tcPr>
          <w:p>
            <w:pPr>
              <w:spacing w:after="0"/>
              <w:rPr>
                <w:sz w:val="16"/>
                <w:szCs w:val="16"/>
                <w:color w:val="auto"/>
              </w:rPr>
            </w:pPr>
          </w:p>
        </w:tc>
        <w:tc>
          <w:tcPr>
            <w:tcW w:w="1380" w:type="dxa"/>
            <w:vAlign w:val="bottom"/>
            <w:shd w:val="clear" w:color="auto" w:fill="1F473D"/>
          </w:tcPr>
          <w:p>
            <w:pPr>
              <w:spacing w:after="0"/>
              <w:rPr>
                <w:sz w:val="16"/>
                <w:szCs w:val="16"/>
                <w:color w:val="auto"/>
              </w:rPr>
            </w:pPr>
          </w:p>
        </w:tc>
        <w:tc>
          <w:tcPr>
            <w:tcW w:w="1540" w:type="dxa"/>
            <w:vAlign w:val="bottom"/>
            <w:shd w:val="clear" w:color="auto" w:fill="1F473D"/>
          </w:tcPr>
          <w:p>
            <w:pPr>
              <w:spacing w:after="0"/>
              <w:rPr>
                <w:sz w:val="16"/>
                <w:szCs w:val="16"/>
                <w:color w:val="auto"/>
              </w:rPr>
            </w:pPr>
          </w:p>
        </w:tc>
        <w:tc>
          <w:tcPr>
            <w:tcW w:w="1520" w:type="dxa"/>
            <w:vAlign w:val="bottom"/>
            <w:shd w:val="clear" w:color="auto" w:fill="1F473D"/>
          </w:tcPr>
          <w:p>
            <w:pPr>
              <w:jc w:val="center"/>
              <w:ind w:right="21"/>
              <w:spacing w:after="0"/>
              <w:rPr>
                <w:sz w:val="20"/>
                <w:szCs w:val="20"/>
                <w:color w:val="auto"/>
              </w:rPr>
            </w:pPr>
            <w:r>
              <w:rPr>
                <w:rFonts w:ascii="Arial" w:cs="Arial" w:eastAsia="Arial" w:hAnsi="Arial"/>
                <w:sz w:val="16"/>
                <w:szCs w:val="16"/>
                <w:b w:val="1"/>
                <w:bCs w:val="1"/>
                <w:color w:val="FFFFFF"/>
              </w:rPr>
              <w:t xml:space="preserve">Instruments   </w:t>
            </w:r>
          </w:p>
        </w:tc>
        <w:tc>
          <w:tcPr>
            <w:tcW w:w="1360" w:type="dxa"/>
            <w:vAlign w:val="bottom"/>
            <w:shd w:val="clear" w:color="auto" w:fill="1F473D"/>
          </w:tcPr>
          <w:p>
            <w:pPr>
              <w:spacing w:after="0"/>
              <w:rPr>
                <w:sz w:val="16"/>
                <w:szCs w:val="16"/>
                <w:color w:val="auto"/>
              </w:rPr>
            </w:pPr>
          </w:p>
        </w:tc>
        <w:tc>
          <w:tcPr>
            <w:tcW w:w="1580" w:type="dxa"/>
            <w:vAlign w:val="bottom"/>
            <w:shd w:val="clear" w:color="auto" w:fill="1F473D"/>
          </w:tcPr>
          <w:p>
            <w:pPr>
              <w:jc w:val="right"/>
              <w:ind w:right="141"/>
              <w:spacing w:after="0"/>
              <w:rPr>
                <w:sz w:val="20"/>
                <w:szCs w:val="20"/>
                <w:color w:val="auto"/>
              </w:rPr>
            </w:pPr>
            <w:r>
              <w:rPr>
                <w:rFonts w:ascii="Arial" w:cs="Arial" w:eastAsia="Arial" w:hAnsi="Arial"/>
                <w:sz w:val="16"/>
                <w:szCs w:val="16"/>
                <w:b w:val="1"/>
                <w:bCs w:val="1"/>
                <w:color w:val="FFFFFF"/>
              </w:rPr>
              <w:t>Total Liabilities</w:t>
            </w:r>
          </w:p>
        </w:tc>
      </w:tr>
      <w:tr>
        <w:trPr>
          <w:trHeight w:val="185"/>
        </w:trPr>
        <w:tc>
          <w:tcPr>
            <w:tcW w:w="2560" w:type="dxa"/>
            <w:vAlign w:val="bottom"/>
            <w:shd w:val="clear" w:color="auto" w:fill="1F473D"/>
          </w:tcPr>
          <w:p>
            <w:pPr>
              <w:spacing w:after="0"/>
              <w:rPr>
                <w:sz w:val="16"/>
                <w:szCs w:val="16"/>
                <w:color w:val="auto"/>
              </w:rPr>
            </w:pPr>
          </w:p>
        </w:tc>
        <w:tc>
          <w:tcPr>
            <w:tcW w:w="1380" w:type="dxa"/>
            <w:vAlign w:val="bottom"/>
            <w:shd w:val="clear" w:color="auto" w:fill="1F473D"/>
          </w:tcPr>
          <w:p>
            <w:pPr>
              <w:jc w:val="right"/>
              <w:ind w:right="301"/>
              <w:spacing w:after="0"/>
              <w:rPr>
                <w:sz w:val="20"/>
                <w:szCs w:val="20"/>
                <w:color w:val="auto"/>
              </w:rPr>
            </w:pPr>
            <w:r>
              <w:rPr>
                <w:rFonts w:ascii="Arial" w:cs="Arial" w:eastAsia="Arial" w:hAnsi="Arial"/>
                <w:sz w:val="16"/>
                <w:szCs w:val="16"/>
                <w:b w:val="1"/>
                <w:bCs w:val="1"/>
                <w:color w:val="FFFFFF"/>
              </w:rPr>
              <w:t>Notes and</w:t>
            </w:r>
          </w:p>
        </w:tc>
        <w:tc>
          <w:tcPr>
            <w:tcW w:w="1540" w:type="dxa"/>
            <w:vAlign w:val="bottom"/>
            <w:shd w:val="clear" w:color="auto" w:fill="1F473D"/>
          </w:tcPr>
          <w:p>
            <w:pPr>
              <w:jc w:val="right"/>
              <w:ind w:right="221"/>
              <w:spacing w:after="0"/>
              <w:rPr>
                <w:sz w:val="20"/>
                <w:szCs w:val="20"/>
                <w:color w:val="auto"/>
              </w:rPr>
            </w:pPr>
            <w:r>
              <w:rPr>
                <w:rFonts w:ascii="Arial" w:cs="Arial" w:eastAsia="Arial" w:hAnsi="Arial"/>
                <w:sz w:val="16"/>
                <w:szCs w:val="16"/>
                <w:b w:val="1"/>
                <w:bCs w:val="1"/>
                <w:color w:val="FFFFFF"/>
              </w:rPr>
              <w:t xml:space="preserve">Commercial   </w:t>
            </w:r>
          </w:p>
        </w:tc>
        <w:tc>
          <w:tcPr>
            <w:tcW w:w="152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8"/>
              </w:rPr>
              <w:t>(Assets)</w:t>
            </w:r>
          </w:p>
        </w:tc>
        <w:tc>
          <w:tcPr>
            <w:tcW w:w="1360" w:type="dxa"/>
            <w:vAlign w:val="bottom"/>
            <w:shd w:val="clear" w:color="auto" w:fill="1F473D"/>
          </w:tcPr>
          <w:p>
            <w:pPr>
              <w:jc w:val="right"/>
              <w:ind w:right="421"/>
              <w:spacing w:after="0"/>
              <w:rPr>
                <w:sz w:val="20"/>
                <w:szCs w:val="20"/>
                <w:color w:val="auto"/>
              </w:rPr>
            </w:pPr>
            <w:r>
              <w:rPr>
                <w:rFonts w:ascii="Arial" w:cs="Arial" w:eastAsia="Arial" w:hAnsi="Arial"/>
                <w:sz w:val="16"/>
                <w:szCs w:val="16"/>
                <w:b w:val="1"/>
                <w:bCs w:val="1"/>
                <w:color w:val="FFFFFF"/>
              </w:rPr>
              <w:t>Lease</w:t>
            </w:r>
          </w:p>
        </w:tc>
        <w:tc>
          <w:tcPr>
            <w:tcW w:w="1580" w:type="dxa"/>
            <w:vAlign w:val="bottom"/>
            <w:shd w:val="clear" w:color="auto" w:fill="1F473D"/>
          </w:tcPr>
          <w:p>
            <w:pPr>
              <w:jc w:val="right"/>
              <w:ind w:right="101"/>
              <w:spacing w:after="0"/>
              <w:rPr>
                <w:sz w:val="20"/>
                <w:szCs w:val="20"/>
                <w:color w:val="auto"/>
              </w:rPr>
            </w:pPr>
            <w:r>
              <w:rPr>
                <w:rFonts w:ascii="Arial" w:cs="Arial" w:eastAsia="Arial" w:hAnsi="Arial"/>
                <w:sz w:val="16"/>
                <w:szCs w:val="16"/>
                <w:b w:val="1"/>
                <w:bCs w:val="1"/>
                <w:color w:val="FFFFFF"/>
              </w:rPr>
              <w:t>From Financing</w:t>
            </w:r>
          </w:p>
        </w:tc>
      </w:tr>
      <w:tr>
        <w:trPr>
          <w:trHeight w:val="219"/>
        </w:trPr>
        <w:tc>
          <w:tcPr>
            <w:tcW w:w="2560" w:type="dxa"/>
            <w:vAlign w:val="bottom"/>
            <w:tcBorders>
              <w:bottom w:val="single" w:sz="8" w:color="D64000"/>
            </w:tcBorders>
            <w:shd w:val="clear" w:color="auto" w:fill="1F473D"/>
          </w:tcPr>
          <w:p>
            <w:pPr>
              <w:spacing w:after="0"/>
              <w:rPr>
                <w:sz w:val="19"/>
                <w:szCs w:val="19"/>
                <w:color w:val="auto"/>
              </w:rPr>
            </w:pPr>
          </w:p>
        </w:tc>
        <w:tc>
          <w:tcPr>
            <w:tcW w:w="1380" w:type="dxa"/>
            <w:vAlign w:val="bottom"/>
            <w:tcBorders>
              <w:bottom w:val="single" w:sz="8" w:color="D64000"/>
            </w:tcBorders>
            <w:shd w:val="clear" w:color="auto" w:fill="1F473D"/>
          </w:tcPr>
          <w:p>
            <w:pPr>
              <w:jc w:val="right"/>
              <w:ind w:right="201"/>
              <w:spacing w:after="0"/>
              <w:rPr>
                <w:sz w:val="20"/>
                <w:szCs w:val="20"/>
                <w:color w:val="auto"/>
              </w:rPr>
            </w:pPr>
            <w:r>
              <w:rPr>
                <w:rFonts w:ascii="Arial" w:cs="Arial" w:eastAsia="Arial" w:hAnsi="Arial"/>
                <w:sz w:val="16"/>
                <w:szCs w:val="16"/>
                <w:b w:val="1"/>
                <w:bCs w:val="1"/>
                <w:color w:val="FFFFFF"/>
              </w:rPr>
              <w:t>Debentures </w:t>
            </w:r>
          </w:p>
        </w:tc>
        <w:tc>
          <w:tcPr>
            <w:tcW w:w="1540" w:type="dxa"/>
            <w:vAlign w:val="bottom"/>
            <w:tcBorders>
              <w:bottom w:val="single" w:sz="8" w:color="D64000"/>
            </w:tcBorders>
            <w:shd w:val="clear" w:color="auto" w:fill="1F473D"/>
          </w:tcPr>
          <w:p>
            <w:pPr>
              <w:jc w:val="right"/>
              <w:ind w:right="501"/>
              <w:spacing w:after="0"/>
              <w:rPr>
                <w:sz w:val="20"/>
                <w:szCs w:val="20"/>
                <w:color w:val="auto"/>
              </w:rPr>
            </w:pPr>
            <w:r>
              <w:rPr>
                <w:rFonts w:ascii="Arial" w:cs="Arial" w:eastAsia="Arial" w:hAnsi="Arial"/>
                <w:sz w:val="16"/>
                <w:szCs w:val="16"/>
                <w:b w:val="1"/>
                <w:bCs w:val="1"/>
                <w:color w:val="FFFFFF"/>
              </w:rPr>
              <w:t>Paper</w:t>
            </w:r>
          </w:p>
        </w:tc>
        <w:tc>
          <w:tcPr>
            <w:tcW w:w="1520" w:type="dxa"/>
            <w:vAlign w:val="bottom"/>
            <w:tcBorders>
              <w:bottom w:val="single" w:sz="8" w:color="D64000"/>
            </w:tcBorders>
            <w:shd w:val="clear" w:color="auto" w:fill="1F473D"/>
          </w:tcPr>
          <w:p>
            <w:pPr>
              <w:jc w:val="center"/>
              <w:spacing w:after="0"/>
              <w:rPr>
                <w:sz w:val="20"/>
                <w:szCs w:val="20"/>
                <w:color w:val="auto"/>
              </w:rPr>
            </w:pPr>
            <w:r>
              <w:rPr>
                <w:rFonts w:ascii="Arial" w:cs="Arial" w:eastAsia="Arial" w:hAnsi="Arial"/>
                <w:sz w:val="16"/>
                <w:szCs w:val="16"/>
                <w:b w:val="1"/>
                <w:bCs w:val="1"/>
                <w:color w:val="FFFFFF"/>
              </w:rPr>
              <w:t>Liabilities</w:t>
            </w:r>
          </w:p>
        </w:tc>
        <w:tc>
          <w:tcPr>
            <w:tcW w:w="1360" w:type="dxa"/>
            <w:vAlign w:val="bottom"/>
            <w:tcBorders>
              <w:bottom w:val="single" w:sz="8" w:color="D64000"/>
            </w:tcBorders>
            <w:shd w:val="clear" w:color="auto" w:fill="1F473D"/>
          </w:tcPr>
          <w:p>
            <w:pPr>
              <w:jc w:val="right"/>
              <w:ind w:right="221"/>
              <w:spacing w:after="0"/>
              <w:rPr>
                <w:sz w:val="20"/>
                <w:szCs w:val="20"/>
                <w:color w:val="auto"/>
              </w:rPr>
            </w:pPr>
            <w:r>
              <w:rPr>
                <w:rFonts w:ascii="Arial" w:cs="Arial" w:eastAsia="Arial" w:hAnsi="Arial"/>
                <w:sz w:val="16"/>
                <w:szCs w:val="16"/>
                <w:b w:val="1"/>
                <w:bCs w:val="1"/>
                <w:color w:val="FFFFFF"/>
              </w:rPr>
              <w:t xml:space="preserve">Liabilities   </w:t>
            </w:r>
          </w:p>
        </w:tc>
        <w:tc>
          <w:tcPr>
            <w:tcW w:w="1580" w:type="dxa"/>
            <w:vAlign w:val="bottom"/>
            <w:tcBorders>
              <w:bottom w:val="single" w:sz="8" w:color="D64000"/>
            </w:tcBorders>
            <w:shd w:val="clear" w:color="auto" w:fill="1F473D"/>
          </w:tcPr>
          <w:p>
            <w:pPr>
              <w:jc w:val="right"/>
              <w:ind w:right="321"/>
              <w:spacing w:after="0"/>
              <w:rPr>
                <w:sz w:val="20"/>
                <w:szCs w:val="20"/>
                <w:color w:val="auto"/>
              </w:rPr>
            </w:pPr>
            <w:r>
              <w:rPr>
                <w:rFonts w:ascii="Arial" w:cs="Arial" w:eastAsia="Arial" w:hAnsi="Arial"/>
                <w:sz w:val="16"/>
                <w:szCs w:val="16"/>
                <w:b w:val="1"/>
                <w:bCs w:val="1"/>
                <w:color w:val="FFFFFF"/>
              </w:rPr>
              <w:t>Activities</w:t>
            </w:r>
          </w:p>
        </w:tc>
      </w:tr>
      <w:tr>
        <w:trPr>
          <w:trHeight w:val="171"/>
        </w:trPr>
        <w:tc>
          <w:tcPr>
            <w:tcW w:w="2560" w:type="dxa"/>
            <w:vAlign w:val="bottom"/>
          </w:tcPr>
          <w:p>
            <w:pPr>
              <w:spacing w:after="0" w:line="171" w:lineRule="exact"/>
              <w:rPr>
                <w:sz w:val="20"/>
                <w:szCs w:val="20"/>
                <w:color w:val="auto"/>
              </w:rPr>
            </w:pPr>
            <w:r>
              <w:rPr>
                <w:rFonts w:ascii="Arial" w:cs="Arial" w:eastAsia="Arial" w:hAnsi="Arial"/>
                <w:sz w:val="16"/>
                <w:szCs w:val="16"/>
                <w:color w:val="auto"/>
              </w:rPr>
              <w:t>December 31, 2022</w:t>
            </w:r>
          </w:p>
        </w:tc>
        <w:tc>
          <w:tcPr>
            <w:tcW w:w="1380" w:type="dxa"/>
            <w:vAlign w:val="bottom"/>
          </w:tcPr>
          <w:p>
            <w:pPr>
              <w:jc w:val="right"/>
              <w:ind w:right="121"/>
              <w:spacing w:after="0" w:line="171" w:lineRule="exact"/>
              <w:rPr>
                <w:sz w:val="20"/>
                <w:szCs w:val="20"/>
                <w:color w:val="auto"/>
              </w:rPr>
            </w:pPr>
            <w:r>
              <w:rPr>
                <w:rFonts w:ascii="Arial" w:cs="Arial" w:eastAsia="Arial" w:hAnsi="Arial"/>
                <w:sz w:val="16"/>
                <w:szCs w:val="16"/>
                <w:color w:val="auto"/>
              </w:rPr>
              <w:t>3,713</w:t>
            </w:r>
          </w:p>
        </w:tc>
        <w:tc>
          <w:tcPr>
            <w:tcW w:w="1540" w:type="dxa"/>
            <w:vAlign w:val="bottom"/>
          </w:tcPr>
          <w:p>
            <w:pPr>
              <w:jc w:val="right"/>
              <w:ind w:right="121"/>
              <w:spacing w:after="0" w:line="171" w:lineRule="exact"/>
              <w:rPr>
                <w:sz w:val="20"/>
                <w:szCs w:val="20"/>
                <w:color w:val="auto"/>
              </w:rPr>
            </w:pPr>
            <w:r>
              <w:rPr>
                <w:rFonts w:ascii="Arial" w:cs="Arial" w:eastAsia="Arial" w:hAnsi="Arial"/>
                <w:sz w:val="16"/>
                <w:szCs w:val="16"/>
                <w:color w:val="auto"/>
              </w:rPr>
              <w:t>1,048</w:t>
            </w:r>
          </w:p>
        </w:tc>
        <w:tc>
          <w:tcPr>
            <w:tcW w:w="1520" w:type="dxa"/>
            <w:vAlign w:val="bottom"/>
          </w:tcPr>
          <w:p>
            <w:pPr>
              <w:jc w:val="right"/>
              <w:ind w:right="121"/>
              <w:spacing w:after="0" w:line="171" w:lineRule="exact"/>
              <w:rPr>
                <w:sz w:val="20"/>
                <w:szCs w:val="20"/>
                <w:color w:val="auto"/>
              </w:rPr>
            </w:pPr>
            <w:r>
              <w:rPr>
                <w:rFonts w:ascii="Arial" w:cs="Arial" w:eastAsia="Arial" w:hAnsi="Arial"/>
                <w:sz w:val="16"/>
                <w:szCs w:val="16"/>
                <w:color w:val="auto"/>
              </w:rPr>
              <w:t>(42)</w:t>
            </w:r>
          </w:p>
        </w:tc>
        <w:tc>
          <w:tcPr>
            <w:tcW w:w="1360" w:type="dxa"/>
            <w:vAlign w:val="bottom"/>
          </w:tcPr>
          <w:p>
            <w:pPr>
              <w:jc w:val="right"/>
              <w:ind w:right="141"/>
              <w:spacing w:after="0" w:line="171" w:lineRule="exact"/>
              <w:rPr>
                <w:sz w:val="20"/>
                <w:szCs w:val="20"/>
                <w:color w:val="auto"/>
              </w:rPr>
            </w:pPr>
            <w:r>
              <w:rPr>
                <w:rFonts w:ascii="Arial" w:cs="Arial" w:eastAsia="Arial" w:hAnsi="Arial"/>
                <w:sz w:val="16"/>
                <w:szCs w:val="16"/>
                <w:color w:val="auto"/>
              </w:rPr>
              <w:t>235</w:t>
            </w:r>
          </w:p>
        </w:tc>
        <w:tc>
          <w:tcPr>
            <w:tcW w:w="1580" w:type="dxa"/>
            <w:vAlign w:val="bottom"/>
          </w:tcPr>
          <w:p>
            <w:pPr>
              <w:jc w:val="right"/>
              <w:spacing w:after="0" w:line="171" w:lineRule="exact"/>
              <w:rPr>
                <w:sz w:val="20"/>
                <w:szCs w:val="20"/>
                <w:color w:val="auto"/>
              </w:rPr>
            </w:pPr>
            <w:r>
              <w:rPr>
                <w:rFonts w:ascii="Arial" w:cs="Arial" w:eastAsia="Arial" w:hAnsi="Arial"/>
                <w:sz w:val="16"/>
                <w:szCs w:val="16"/>
                <w:color w:val="auto"/>
              </w:rPr>
              <w:t>4,954</w:t>
            </w:r>
          </w:p>
        </w:tc>
      </w:tr>
      <w:tr>
        <w:trPr>
          <w:trHeight w:val="185"/>
        </w:trPr>
        <w:tc>
          <w:tcPr>
            <w:tcW w:w="2560" w:type="dxa"/>
            <w:vAlign w:val="bottom"/>
          </w:tcPr>
          <w:p>
            <w:pPr>
              <w:spacing w:after="0"/>
              <w:rPr>
                <w:sz w:val="20"/>
                <w:szCs w:val="20"/>
                <w:color w:val="auto"/>
              </w:rPr>
            </w:pPr>
            <w:r>
              <w:rPr>
                <w:rFonts w:ascii="Arial" w:cs="Arial" w:eastAsia="Arial" w:hAnsi="Arial"/>
                <w:sz w:val="16"/>
                <w:szCs w:val="16"/>
                <w:color w:val="auto"/>
              </w:rPr>
              <w:t>Repayments of debt</w:t>
            </w:r>
          </w:p>
        </w:tc>
        <w:tc>
          <w:tcPr>
            <w:tcW w:w="1380" w:type="dxa"/>
            <w:vAlign w:val="bottom"/>
          </w:tcPr>
          <w:p>
            <w:pPr>
              <w:jc w:val="right"/>
              <w:ind w:right="121"/>
              <w:spacing w:after="0"/>
              <w:rPr>
                <w:sz w:val="20"/>
                <w:szCs w:val="20"/>
                <w:color w:val="auto"/>
              </w:rPr>
            </w:pPr>
            <w:r>
              <w:rPr>
                <w:rFonts w:ascii="Arial" w:cs="Arial" w:eastAsia="Arial" w:hAnsi="Arial"/>
                <w:sz w:val="16"/>
                <w:szCs w:val="16"/>
                <w:color w:val="auto"/>
              </w:rPr>
              <w:t>(600)</w:t>
            </w:r>
          </w:p>
        </w:tc>
        <w:tc>
          <w:tcPr>
            <w:tcW w:w="15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186"/>
        </w:trPr>
        <w:tc>
          <w:tcPr>
            <w:tcW w:w="2560" w:type="dxa"/>
            <w:vAlign w:val="bottom"/>
          </w:tcPr>
          <w:p>
            <w:pPr>
              <w:spacing w:after="0"/>
              <w:rPr>
                <w:sz w:val="20"/>
                <w:szCs w:val="20"/>
                <w:color w:val="auto"/>
              </w:rPr>
            </w:pPr>
            <w:r>
              <w:rPr>
                <w:rFonts w:ascii="Arial" w:cs="Arial" w:eastAsia="Arial" w:hAnsi="Arial"/>
                <w:sz w:val="16"/>
                <w:szCs w:val="16"/>
                <w:color w:val="auto"/>
              </w:rPr>
              <w:t>Proceeds from commercial paper</w:t>
            </w:r>
          </w:p>
        </w:tc>
        <w:tc>
          <w:tcPr>
            <w:tcW w:w="13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21"/>
              <w:spacing w:after="0"/>
              <w:rPr>
                <w:sz w:val="20"/>
                <w:szCs w:val="20"/>
                <w:color w:val="auto"/>
              </w:rPr>
            </w:pPr>
            <w:r>
              <w:rPr>
                <w:rFonts w:ascii="Arial" w:cs="Arial" w:eastAsia="Arial" w:hAnsi="Arial"/>
                <w:sz w:val="16"/>
                <w:szCs w:val="16"/>
                <w:color w:val="auto"/>
              </w:rPr>
              <w:t>9,587</w:t>
            </w:r>
          </w:p>
        </w:tc>
        <w:tc>
          <w:tcPr>
            <w:tcW w:w="15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9,587</w:t>
            </w:r>
          </w:p>
        </w:tc>
      </w:tr>
      <w:tr>
        <w:trPr>
          <w:trHeight w:val="185"/>
        </w:trPr>
        <w:tc>
          <w:tcPr>
            <w:tcW w:w="2560" w:type="dxa"/>
            <w:vAlign w:val="bottom"/>
          </w:tcPr>
          <w:p>
            <w:pPr>
              <w:spacing w:after="0"/>
              <w:rPr>
                <w:sz w:val="20"/>
                <w:szCs w:val="20"/>
                <w:color w:val="auto"/>
              </w:rPr>
            </w:pPr>
            <w:r>
              <w:rPr>
                <w:rFonts w:ascii="Arial" w:cs="Arial" w:eastAsia="Arial" w:hAnsi="Arial"/>
                <w:sz w:val="16"/>
                <w:szCs w:val="16"/>
                <w:color w:val="auto"/>
              </w:rPr>
              <w:t>Repayments of commercial paper</w:t>
            </w:r>
          </w:p>
        </w:tc>
        <w:tc>
          <w:tcPr>
            <w:tcW w:w="13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21"/>
              <w:spacing w:after="0"/>
              <w:rPr>
                <w:sz w:val="20"/>
                <w:szCs w:val="20"/>
                <w:color w:val="auto"/>
              </w:rPr>
            </w:pPr>
            <w:r>
              <w:rPr>
                <w:rFonts w:ascii="Arial" w:cs="Arial" w:eastAsia="Arial" w:hAnsi="Arial"/>
                <w:sz w:val="16"/>
                <w:szCs w:val="16"/>
                <w:color w:val="auto"/>
              </w:rPr>
              <w:t>(10,543)</w:t>
            </w:r>
          </w:p>
        </w:tc>
        <w:tc>
          <w:tcPr>
            <w:tcW w:w="15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(10,543)</w:t>
            </w:r>
          </w:p>
        </w:tc>
      </w:tr>
      <w:tr>
        <w:trPr>
          <w:trHeight w:val="186"/>
        </w:trPr>
        <w:tc>
          <w:tcPr>
            <w:tcW w:w="2560" w:type="dxa"/>
            <w:vAlign w:val="bottom"/>
          </w:tcPr>
          <w:p>
            <w:pPr>
              <w:spacing w:after="0"/>
              <w:rPr>
                <w:sz w:val="20"/>
                <w:szCs w:val="20"/>
                <w:color w:val="auto"/>
              </w:rPr>
            </w:pPr>
            <w:r>
              <w:rPr>
                <w:rFonts w:ascii="Arial" w:cs="Arial" w:eastAsia="Arial" w:hAnsi="Arial"/>
                <w:sz w:val="16"/>
                <w:szCs w:val="16"/>
                <w:color w:val="auto"/>
              </w:rPr>
              <w:t>Payments of lease principal</w:t>
            </w:r>
          </w:p>
        </w:tc>
        <w:tc>
          <w:tcPr>
            <w:tcW w:w="13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41"/>
              <w:spacing w:after="0"/>
              <w:rPr>
                <w:sz w:val="20"/>
                <w:szCs w:val="20"/>
                <w:color w:val="auto"/>
              </w:rPr>
            </w:pPr>
            <w:r>
              <w:rPr>
                <w:rFonts w:ascii="Arial" w:cs="Arial" w:eastAsia="Arial" w:hAnsi="Arial"/>
                <w:sz w:val="16"/>
                <w:szCs w:val="16"/>
                <w:color w:val="auto"/>
              </w:rPr>
              <w:t>(58)</w:t>
            </w:r>
          </w:p>
        </w:tc>
        <w:tc>
          <w:tcPr>
            <w:tcW w:w="15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186"/>
        </w:trPr>
        <w:tc>
          <w:tcPr>
            <w:tcW w:w="2560" w:type="dxa"/>
            <w:vAlign w:val="bottom"/>
          </w:tcPr>
          <w:p>
            <w:pPr>
              <w:spacing w:after="0"/>
              <w:rPr>
                <w:sz w:val="20"/>
                <w:szCs w:val="20"/>
                <w:color w:val="auto"/>
              </w:rPr>
            </w:pPr>
            <w:r>
              <w:rPr>
                <w:rFonts w:ascii="Arial" w:cs="Arial" w:eastAsia="Arial" w:hAnsi="Arial"/>
                <w:sz w:val="16"/>
                <w:szCs w:val="16"/>
                <w:color w:val="auto"/>
              </w:rPr>
              <w:t>Additional leases</w:t>
            </w:r>
          </w:p>
        </w:tc>
        <w:tc>
          <w:tcPr>
            <w:tcW w:w="13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41"/>
              <w:spacing w:after="0"/>
              <w:rPr>
                <w:sz w:val="20"/>
                <w:szCs w:val="20"/>
                <w:color w:val="auto"/>
              </w:rPr>
            </w:pPr>
            <w:r>
              <w:rPr>
                <w:rFonts w:ascii="Arial" w:cs="Arial" w:eastAsia="Arial" w:hAnsi="Arial"/>
                <w:sz w:val="16"/>
                <w:szCs w:val="16"/>
                <w:color w:val="auto"/>
              </w:rPr>
              <w:t>80</w:t>
            </w:r>
          </w:p>
        </w:tc>
        <w:tc>
          <w:tcPr>
            <w:tcW w:w="158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185"/>
        </w:trPr>
        <w:tc>
          <w:tcPr>
            <w:tcW w:w="2560" w:type="dxa"/>
            <w:vAlign w:val="bottom"/>
          </w:tcPr>
          <w:p>
            <w:pPr>
              <w:spacing w:after="0"/>
              <w:rPr>
                <w:sz w:val="20"/>
                <w:szCs w:val="20"/>
                <w:color w:val="auto"/>
              </w:rPr>
            </w:pPr>
            <w:r>
              <w:rPr>
                <w:rFonts w:ascii="Arial" w:cs="Arial" w:eastAsia="Arial" w:hAnsi="Arial"/>
                <w:sz w:val="16"/>
                <w:szCs w:val="16"/>
                <w:color w:val="auto"/>
              </w:rPr>
              <w:t>Foreign exchange movements</w:t>
            </w:r>
          </w:p>
        </w:tc>
        <w:tc>
          <w:tcPr>
            <w:tcW w:w="1380" w:type="dxa"/>
            <w:vAlign w:val="bottom"/>
          </w:tcPr>
          <w:p>
            <w:pPr>
              <w:jc w:val="right"/>
              <w:ind w:right="121"/>
              <w:spacing w:after="0"/>
              <w:rPr>
                <w:sz w:val="20"/>
                <w:szCs w:val="20"/>
                <w:color w:val="auto"/>
              </w:rPr>
            </w:pPr>
            <w:r>
              <w:rPr>
                <w:rFonts w:ascii="Arial" w:cs="Arial" w:eastAsia="Arial" w:hAnsi="Arial"/>
                <w:sz w:val="16"/>
                <w:szCs w:val="16"/>
                <w:color w:val="auto"/>
              </w:rPr>
              <w:t>29</w:t>
            </w:r>
          </w:p>
        </w:tc>
        <w:tc>
          <w:tcPr>
            <w:tcW w:w="15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21"/>
              <w:spacing w:after="0"/>
              <w:rPr>
                <w:sz w:val="20"/>
                <w:szCs w:val="20"/>
                <w:color w:val="auto"/>
              </w:rPr>
            </w:pPr>
            <w:r>
              <w:rPr>
                <w:rFonts w:ascii="Arial" w:cs="Arial" w:eastAsia="Arial" w:hAnsi="Arial"/>
                <w:sz w:val="16"/>
                <w:szCs w:val="16"/>
                <w:color w:val="auto"/>
              </w:rPr>
              <w:t>(29)</w:t>
            </w:r>
          </w:p>
        </w:tc>
        <w:tc>
          <w:tcPr>
            <w:tcW w:w="1360" w:type="dxa"/>
            <w:vAlign w:val="bottom"/>
          </w:tcPr>
          <w:p>
            <w:pPr>
              <w:jc w:val="right"/>
              <w:ind w:right="141"/>
              <w:spacing w:after="0"/>
              <w:rPr>
                <w:sz w:val="20"/>
                <w:szCs w:val="20"/>
                <w:color w:val="auto"/>
              </w:rPr>
            </w:pPr>
            <w:r>
              <w:rPr>
                <w:rFonts w:ascii="Arial" w:cs="Arial" w:eastAsia="Arial" w:hAnsi="Arial"/>
                <w:sz w:val="16"/>
                <w:szCs w:val="16"/>
                <w:color w:val="auto"/>
              </w:rPr>
              <w:t>5</w:t>
            </w:r>
          </w:p>
        </w:tc>
        <w:tc>
          <w:tcPr>
            <w:tcW w:w="15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0"/>
        </w:trPr>
        <w:tc>
          <w:tcPr>
            <w:tcW w:w="2560" w:type="dxa"/>
            <w:vAlign w:val="bottom"/>
            <w:tcBorders>
              <w:bottom w:val="single" w:sz="8" w:color="B2B2B2"/>
            </w:tcBorders>
          </w:tcPr>
          <w:p>
            <w:pPr>
              <w:spacing w:after="0" w:line="200" w:lineRule="exact"/>
              <w:rPr>
                <w:sz w:val="20"/>
                <w:szCs w:val="20"/>
                <w:color w:val="auto"/>
              </w:rPr>
            </w:pPr>
            <w:r>
              <w:rPr>
                <w:rFonts w:ascii="Arial" w:cs="Arial" w:eastAsia="Arial" w:hAnsi="Arial"/>
                <w:sz w:val="16"/>
                <w:szCs w:val="16"/>
                <w:color w:val="auto"/>
              </w:rPr>
              <w:t>Other, net</w:t>
            </w:r>
            <w:r>
              <w:rPr>
                <w:rFonts w:ascii="Arial" w:cs="Arial" w:eastAsia="Arial" w:hAnsi="Arial"/>
                <w:sz w:val="19"/>
                <w:szCs w:val="19"/>
                <w:color w:val="auto"/>
                <w:vertAlign w:val="superscript"/>
              </w:rPr>
              <w:t>(1)</w:t>
            </w:r>
          </w:p>
        </w:tc>
        <w:tc>
          <w:tcPr>
            <w:tcW w:w="1380" w:type="dxa"/>
            <w:vAlign w:val="bottom"/>
            <w:tcBorders>
              <w:bottom w:val="single" w:sz="8" w:color="B2B2B2"/>
            </w:tcBorders>
          </w:tcPr>
          <w:p>
            <w:pPr>
              <w:jc w:val="right"/>
              <w:ind w:right="121"/>
              <w:spacing w:after="0"/>
              <w:rPr>
                <w:sz w:val="20"/>
                <w:szCs w:val="20"/>
                <w:color w:val="auto"/>
              </w:rPr>
            </w:pPr>
            <w:r>
              <w:rPr>
                <w:rFonts w:ascii="Arial" w:cs="Arial" w:eastAsia="Arial" w:hAnsi="Arial"/>
                <w:sz w:val="16"/>
                <w:szCs w:val="16"/>
                <w:color w:val="auto"/>
              </w:rPr>
              <w:t>5</w:t>
            </w:r>
          </w:p>
        </w:tc>
        <w:tc>
          <w:tcPr>
            <w:tcW w:w="1540" w:type="dxa"/>
            <w:vAlign w:val="bottom"/>
            <w:tcBorders>
              <w:bottom w:val="single" w:sz="8" w:color="B2B2B2"/>
            </w:tcBorders>
          </w:tcPr>
          <w:p>
            <w:pPr>
              <w:jc w:val="right"/>
              <w:ind w:right="121"/>
              <w:spacing w:after="0"/>
              <w:rPr>
                <w:sz w:val="20"/>
                <w:szCs w:val="20"/>
                <w:color w:val="auto"/>
              </w:rPr>
            </w:pPr>
            <w:r>
              <w:rPr>
                <w:rFonts w:ascii="Arial" w:cs="Arial" w:eastAsia="Arial" w:hAnsi="Arial"/>
                <w:sz w:val="16"/>
                <w:szCs w:val="16"/>
                <w:color w:val="auto"/>
              </w:rPr>
              <w:t>38</w:t>
            </w:r>
          </w:p>
        </w:tc>
        <w:tc>
          <w:tcPr>
            <w:tcW w:w="1520" w:type="dxa"/>
            <w:vAlign w:val="bottom"/>
            <w:tcBorders>
              <w:bottom w:val="single" w:sz="8" w:color="B2B2B2"/>
            </w:tcBorders>
          </w:tcPr>
          <w:p>
            <w:pPr>
              <w:jc w:val="right"/>
              <w:ind w:right="121"/>
              <w:spacing w:after="0"/>
              <w:rPr>
                <w:sz w:val="20"/>
                <w:szCs w:val="20"/>
                <w:color w:val="auto"/>
              </w:rPr>
            </w:pPr>
            <w:r>
              <w:rPr>
                <w:rFonts w:ascii="Arial" w:cs="Arial" w:eastAsia="Arial" w:hAnsi="Arial"/>
                <w:sz w:val="16"/>
                <w:szCs w:val="16"/>
                <w:color w:val="auto"/>
              </w:rPr>
              <w:t>6</w:t>
            </w:r>
          </w:p>
        </w:tc>
        <w:tc>
          <w:tcPr>
            <w:tcW w:w="1360" w:type="dxa"/>
            <w:vAlign w:val="bottom"/>
            <w:tcBorders>
              <w:bottom w:val="single" w:sz="8" w:color="B2B2B2"/>
            </w:tcBorders>
          </w:tcPr>
          <w:p>
            <w:pPr>
              <w:jc w:val="right"/>
              <w:ind w:right="141"/>
              <w:spacing w:after="0"/>
              <w:rPr>
                <w:sz w:val="20"/>
                <w:szCs w:val="20"/>
                <w:color w:val="auto"/>
              </w:rPr>
            </w:pPr>
            <w:r>
              <w:rPr>
                <w:rFonts w:ascii="Arial" w:cs="Arial" w:eastAsia="Arial" w:hAnsi="Arial"/>
                <w:sz w:val="16"/>
                <w:szCs w:val="16"/>
                <w:color w:val="auto"/>
              </w:rPr>
              <w:t>3</w:t>
            </w:r>
          </w:p>
        </w:tc>
        <w:tc>
          <w:tcPr>
            <w:tcW w:w="1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52</w:t>
            </w:r>
          </w:p>
        </w:tc>
      </w:tr>
      <w:tr>
        <w:trPr>
          <w:trHeight w:val="179"/>
        </w:trPr>
        <w:tc>
          <w:tcPr>
            <w:tcW w:w="256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December 31, 2023</w:t>
            </w:r>
          </w:p>
        </w:tc>
        <w:tc>
          <w:tcPr>
            <w:tcW w:w="1380" w:type="dxa"/>
            <w:vAlign w:val="bottom"/>
            <w:tcBorders>
              <w:bottom w:val="single" w:sz="8" w:color="B2B2B2"/>
            </w:tcBorders>
          </w:tcPr>
          <w:p>
            <w:pPr>
              <w:jc w:val="right"/>
              <w:ind w:right="121"/>
              <w:spacing w:after="0" w:line="179" w:lineRule="exact"/>
              <w:rPr>
                <w:sz w:val="20"/>
                <w:szCs w:val="20"/>
                <w:color w:val="auto"/>
              </w:rPr>
            </w:pPr>
            <w:r>
              <w:rPr>
                <w:rFonts w:ascii="Arial" w:cs="Arial" w:eastAsia="Arial" w:hAnsi="Arial"/>
                <w:sz w:val="16"/>
                <w:szCs w:val="16"/>
                <w:b w:val="1"/>
                <w:bCs w:val="1"/>
                <w:color w:val="auto"/>
              </w:rPr>
              <w:t>3,147</w:t>
            </w:r>
          </w:p>
        </w:tc>
        <w:tc>
          <w:tcPr>
            <w:tcW w:w="1540" w:type="dxa"/>
            <w:vAlign w:val="bottom"/>
            <w:tcBorders>
              <w:bottom w:val="single" w:sz="8" w:color="B2B2B2"/>
            </w:tcBorders>
          </w:tcPr>
          <w:p>
            <w:pPr>
              <w:jc w:val="right"/>
              <w:ind w:right="121"/>
              <w:spacing w:after="0" w:line="179" w:lineRule="exact"/>
              <w:rPr>
                <w:sz w:val="20"/>
                <w:szCs w:val="20"/>
                <w:color w:val="auto"/>
              </w:rPr>
            </w:pPr>
            <w:r>
              <w:rPr>
                <w:rFonts w:ascii="Arial" w:cs="Arial" w:eastAsia="Arial" w:hAnsi="Arial"/>
                <w:sz w:val="16"/>
                <w:szCs w:val="16"/>
                <w:b w:val="1"/>
                <w:bCs w:val="1"/>
                <w:color w:val="auto"/>
              </w:rPr>
              <w:t>130</w:t>
            </w:r>
          </w:p>
        </w:tc>
        <w:tc>
          <w:tcPr>
            <w:tcW w:w="1520" w:type="dxa"/>
            <w:vAlign w:val="bottom"/>
            <w:tcBorders>
              <w:bottom w:val="single" w:sz="8" w:color="B2B2B2"/>
            </w:tcBorders>
          </w:tcPr>
          <w:p>
            <w:pPr>
              <w:jc w:val="right"/>
              <w:ind w:right="121"/>
              <w:spacing w:after="0" w:line="179" w:lineRule="exact"/>
              <w:rPr>
                <w:sz w:val="20"/>
                <w:szCs w:val="20"/>
                <w:color w:val="auto"/>
              </w:rPr>
            </w:pPr>
            <w:r>
              <w:rPr>
                <w:rFonts w:ascii="Arial" w:cs="Arial" w:eastAsia="Arial" w:hAnsi="Arial"/>
                <w:sz w:val="16"/>
                <w:szCs w:val="16"/>
                <w:b w:val="1"/>
                <w:bCs w:val="1"/>
                <w:color w:val="auto"/>
              </w:rPr>
              <w:t>(65)</w:t>
            </w:r>
          </w:p>
        </w:tc>
        <w:tc>
          <w:tcPr>
            <w:tcW w:w="1360" w:type="dxa"/>
            <w:vAlign w:val="bottom"/>
            <w:tcBorders>
              <w:bottom w:val="single" w:sz="8" w:color="B2B2B2"/>
            </w:tcBorders>
          </w:tcPr>
          <w:p>
            <w:pPr>
              <w:jc w:val="right"/>
              <w:ind w:right="141"/>
              <w:spacing w:after="0" w:line="179" w:lineRule="exact"/>
              <w:rPr>
                <w:sz w:val="20"/>
                <w:szCs w:val="20"/>
                <w:color w:val="auto"/>
              </w:rPr>
            </w:pPr>
            <w:r>
              <w:rPr>
                <w:rFonts w:ascii="Arial" w:cs="Arial" w:eastAsia="Arial" w:hAnsi="Arial"/>
                <w:sz w:val="16"/>
                <w:szCs w:val="16"/>
                <w:b w:val="1"/>
                <w:bCs w:val="1"/>
                <w:color w:val="auto"/>
              </w:rPr>
              <w:t>265</w:t>
            </w:r>
          </w:p>
        </w:tc>
        <w:tc>
          <w:tcPr>
            <w:tcW w:w="158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b w:val="1"/>
                <w:bCs w:val="1"/>
                <w:color w:val="auto"/>
              </w:rPr>
              <w:t>3,477</w:t>
            </w:r>
          </w:p>
        </w:tc>
      </w:tr>
      <w:tr>
        <w:trPr>
          <w:trHeight w:val="165"/>
        </w:trPr>
        <w:tc>
          <w:tcPr>
            <w:tcW w:w="2560" w:type="dxa"/>
            <w:vAlign w:val="bottom"/>
          </w:tcPr>
          <w:p>
            <w:pPr>
              <w:spacing w:after="0" w:line="165" w:lineRule="exact"/>
              <w:rPr>
                <w:sz w:val="20"/>
                <w:szCs w:val="20"/>
                <w:color w:val="auto"/>
              </w:rPr>
            </w:pPr>
            <w:r>
              <w:rPr>
                <w:rFonts w:ascii="Arial" w:cs="Arial" w:eastAsia="Arial" w:hAnsi="Arial"/>
                <w:sz w:val="16"/>
                <w:szCs w:val="16"/>
                <w:color w:val="auto"/>
              </w:rPr>
              <w:t>Repayments of debt</w:t>
            </w:r>
          </w:p>
        </w:tc>
        <w:tc>
          <w:tcPr>
            <w:tcW w:w="1380" w:type="dxa"/>
            <w:vAlign w:val="bottom"/>
          </w:tcPr>
          <w:p>
            <w:pPr>
              <w:jc w:val="right"/>
              <w:ind w:right="121"/>
              <w:spacing w:after="0" w:line="165" w:lineRule="exact"/>
              <w:rPr>
                <w:sz w:val="20"/>
                <w:szCs w:val="20"/>
                <w:color w:val="auto"/>
              </w:rPr>
            </w:pPr>
            <w:r>
              <w:rPr>
                <w:rFonts w:ascii="Arial" w:cs="Arial" w:eastAsia="Arial" w:hAnsi="Arial"/>
                <w:sz w:val="16"/>
                <w:szCs w:val="16"/>
                <w:b w:val="1"/>
                <w:bCs w:val="1"/>
                <w:color w:val="auto"/>
              </w:rPr>
              <w:t>(290)</w:t>
            </w:r>
          </w:p>
        </w:tc>
        <w:tc>
          <w:tcPr>
            <w:tcW w:w="1540" w:type="dxa"/>
            <w:vAlign w:val="bottom"/>
          </w:tcPr>
          <w:p>
            <w:pPr>
              <w:jc w:val="right"/>
              <w:ind w:right="121"/>
              <w:spacing w:after="0" w:line="165" w:lineRule="exact"/>
              <w:rPr>
                <w:sz w:val="20"/>
                <w:szCs w:val="20"/>
                <w:color w:val="auto"/>
              </w:rPr>
            </w:pPr>
            <w:r>
              <w:rPr>
                <w:rFonts w:ascii="Arial" w:cs="Arial" w:eastAsia="Arial" w:hAnsi="Arial"/>
                <w:sz w:val="16"/>
                <w:szCs w:val="16"/>
                <w:b w:val="1"/>
                <w:bCs w:val="1"/>
                <w:color w:val="auto"/>
              </w:rPr>
              <w:t>-</w:t>
            </w:r>
          </w:p>
        </w:tc>
        <w:tc>
          <w:tcPr>
            <w:tcW w:w="1520" w:type="dxa"/>
            <w:vAlign w:val="bottom"/>
          </w:tcPr>
          <w:p>
            <w:pPr>
              <w:jc w:val="right"/>
              <w:ind w:right="121"/>
              <w:spacing w:after="0" w:line="165" w:lineRule="exact"/>
              <w:rPr>
                <w:sz w:val="20"/>
                <w:szCs w:val="20"/>
                <w:color w:val="auto"/>
              </w:rPr>
            </w:pPr>
            <w:r>
              <w:rPr>
                <w:rFonts w:ascii="Arial" w:cs="Arial" w:eastAsia="Arial" w:hAnsi="Arial"/>
                <w:sz w:val="16"/>
                <w:szCs w:val="16"/>
                <w:b w:val="1"/>
                <w:bCs w:val="1"/>
                <w:color w:val="auto"/>
              </w:rPr>
              <w:t>-</w:t>
            </w:r>
          </w:p>
        </w:tc>
        <w:tc>
          <w:tcPr>
            <w:tcW w:w="1360" w:type="dxa"/>
            <w:vAlign w:val="bottom"/>
          </w:tcPr>
          <w:p>
            <w:pPr>
              <w:jc w:val="right"/>
              <w:ind w:right="141"/>
              <w:spacing w:after="0" w:line="165" w:lineRule="exact"/>
              <w:rPr>
                <w:sz w:val="20"/>
                <w:szCs w:val="20"/>
                <w:color w:val="auto"/>
              </w:rPr>
            </w:pPr>
            <w:r>
              <w:rPr>
                <w:rFonts w:ascii="Arial" w:cs="Arial" w:eastAsia="Arial" w:hAnsi="Arial"/>
                <w:sz w:val="16"/>
                <w:szCs w:val="16"/>
                <w:b w:val="1"/>
                <w:bCs w:val="1"/>
                <w:color w:val="auto"/>
              </w:rPr>
              <w:t>-</w:t>
            </w:r>
          </w:p>
        </w:tc>
        <w:tc>
          <w:tcPr>
            <w:tcW w:w="158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(290)</w:t>
            </w:r>
          </w:p>
        </w:tc>
      </w:tr>
      <w:tr>
        <w:trPr>
          <w:trHeight w:val="185"/>
        </w:trPr>
        <w:tc>
          <w:tcPr>
            <w:tcW w:w="2560" w:type="dxa"/>
            <w:vAlign w:val="bottom"/>
          </w:tcPr>
          <w:p>
            <w:pPr>
              <w:spacing w:after="0"/>
              <w:rPr>
                <w:sz w:val="20"/>
                <w:szCs w:val="20"/>
                <w:color w:val="auto"/>
              </w:rPr>
            </w:pPr>
            <w:r>
              <w:rPr>
                <w:rFonts w:ascii="Arial" w:cs="Arial" w:eastAsia="Arial" w:hAnsi="Arial"/>
                <w:sz w:val="16"/>
                <w:szCs w:val="16"/>
                <w:color w:val="auto"/>
              </w:rPr>
              <w:t>Proceeds from commercial paper</w:t>
            </w:r>
          </w:p>
        </w:tc>
        <w:tc>
          <w:tcPr>
            <w:tcW w:w="138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540" w:type="dxa"/>
            <w:vAlign w:val="bottom"/>
          </w:tcPr>
          <w:p>
            <w:pPr>
              <w:jc w:val="right"/>
              <w:ind w:right="121"/>
              <w:spacing w:after="0"/>
              <w:rPr>
                <w:sz w:val="20"/>
                <w:szCs w:val="20"/>
                <w:color w:val="auto"/>
              </w:rPr>
            </w:pPr>
            <w:r>
              <w:rPr>
                <w:rFonts w:ascii="Arial" w:cs="Arial" w:eastAsia="Arial" w:hAnsi="Arial"/>
                <w:sz w:val="16"/>
                <w:szCs w:val="16"/>
                <w:b w:val="1"/>
                <w:bCs w:val="1"/>
                <w:color w:val="auto"/>
              </w:rPr>
              <w:t>3,280</w:t>
            </w:r>
          </w:p>
        </w:tc>
        <w:tc>
          <w:tcPr>
            <w:tcW w:w="152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ind w:right="141"/>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3,280</w:t>
            </w:r>
          </w:p>
        </w:tc>
      </w:tr>
      <w:tr>
        <w:trPr>
          <w:trHeight w:val="186"/>
        </w:trPr>
        <w:tc>
          <w:tcPr>
            <w:tcW w:w="2560" w:type="dxa"/>
            <w:vAlign w:val="bottom"/>
          </w:tcPr>
          <w:p>
            <w:pPr>
              <w:spacing w:after="0"/>
              <w:rPr>
                <w:sz w:val="20"/>
                <w:szCs w:val="20"/>
                <w:color w:val="auto"/>
              </w:rPr>
            </w:pPr>
            <w:r>
              <w:rPr>
                <w:rFonts w:ascii="Arial" w:cs="Arial" w:eastAsia="Arial" w:hAnsi="Arial"/>
                <w:sz w:val="16"/>
                <w:szCs w:val="16"/>
                <w:color w:val="auto"/>
              </w:rPr>
              <w:t>Repayments of commercial paper</w:t>
            </w:r>
          </w:p>
        </w:tc>
        <w:tc>
          <w:tcPr>
            <w:tcW w:w="138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540" w:type="dxa"/>
            <w:vAlign w:val="bottom"/>
          </w:tcPr>
          <w:p>
            <w:pPr>
              <w:jc w:val="right"/>
              <w:ind w:right="121"/>
              <w:spacing w:after="0"/>
              <w:rPr>
                <w:sz w:val="20"/>
                <w:szCs w:val="20"/>
                <w:color w:val="auto"/>
              </w:rPr>
            </w:pPr>
            <w:r>
              <w:rPr>
                <w:rFonts w:ascii="Arial" w:cs="Arial" w:eastAsia="Arial" w:hAnsi="Arial"/>
                <w:sz w:val="16"/>
                <w:szCs w:val="16"/>
                <w:b w:val="1"/>
                <w:bCs w:val="1"/>
                <w:color w:val="auto"/>
              </w:rPr>
              <w:t>(3,420)</w:t>
            </w:r>
          </w:p>
        </w:tc>
        <w:tc>
          <w:tcPr>
            <w:tcW w:w="152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ind w:right="141"/>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(3,420)</w:t>
            </w:r>
          </w:p>
        </w:tc>
      </w:tr>
      <w:tr>
        <w:trPr>
          <w:trHeight w:val="186"/>
        </w:trPr>
        <w:tc>
          <w:tcPr>
            <w:tcW w:w="2560" w:type="dxa"/>
            <w:vAlign w:val="bottom"/>
          </w:tcPr>
          <w:p>
            <w:pPr>
              <w:spacing w:after="0"/>
              <w:rPr>
                <w:sz w:val="20"/>
                <w:szCs w:val="20"/>
                <w:color w:val="auto"/>
              </w:rPr>
            </w:pPr>
            <w:r>
              <w:rPr>
                <w:rFonts w:ascii="Arial" w:cs="Arial" w:eastAsia="Arial" w:hAnsi="Arial"/>
                <w:sz w:val="16"/>
                <w:szCs w:val="16"/>
                <w:color w:val="auto"/>
              </w:rPr>
              <w:t>Payments of lease principal</w:t>
            </w:r>
          </w:p>
        </w:tc>
        <w:tc>
          <w:tcPr>
            <w:tcW w:w="138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54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ind w:right="141"/>
              <w:spacing w:after="0"/>
              <w:rPr>
                <w:sz w:val="20"/>
                <w:szCs w:val="20"/>
                <w:color w:val="auto"/>
              </w:rPr>
            </w:pPr>
            <w:r>
              <w:rPr>
                <w:rFonts w:ascii="Arial" w:cs="Arial" w:eastAsia="Arial" w:hAnsi="Arial"/>
                <w:sz w:val="16"/>
                <w:szCs w:val="16"/>
                <w:b w:val="1"/>
                <w:bCs w:val="1"/>
                <w:color w:val="auto"/>
              </w:rPr>
              <w:t>(63)</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(63)</w:t>
            </w:r>
          </w:p>
        </w:tc>
      </w:tr>
      <w:tr>
        <w:trPr>
          <w:trHeight w:val="185"/>
        </w:trPr>
        <w:tc>
          <w:tcPr>
            <w:tcW w:w="2560" w:type="dxa"/>
            <w:vAlign w:val="bottom"/>
          </w:tcPr>
          <w:p>
            <w:pPr>
              <w:spacing w:after="0"/>
              <w:rPr>
                <w:sz w:val="20"/>
                <w:szCs w:val="20"/>
                <w:color w:val="auto"/>
              </w:rPr>
            </w:pPr>
            <w:r>
              <w:rPr>
                <w:rFonts w:ascii="Arial" w:cs="Arial" w:eastAsia="Arial" w:hAnsi="Arial"/>
                <w:sz w:val="16"/>
                <w:szCs w:val="16"/>
                <w:color w:val="auto"/>
              </w:rPr>
              <w:t>Additional leases</w:t>
            </w:r>
          </w:p>
        </w:tc>
        <w:tc>
          <w:tcPr>
            <w:tcW w:w="138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54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ind w:right="141"/>
              <w:spacing w:after="0"/>
              <w:rPr>
                <w:sz w:val="20"/>
                <w:szCs w:val="20"/>
                <w:color w:val="auto"/>
              </w:rPr>
            </w:pPr>
            <w:r>
              <w:rPr>
                <w:rFonts w:ascii="Arial" w:cs="Arial" w:eastAsia="Arial" w:hAnsi="Arial"/>
                <w:sz w:val="16"/>
                <w:szCs w:val="16"/>
                <w:b w:val="1"/>
                <w:bCs w:val="1"/>
                <w:color w:val="auto"/>
              </w:rPr>
              <w:t>52</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52</w:t>
            </w:r>
          </w:p>
        </w:tc>
      </w:tr>
      <w:tr>
        <w:trPr>
          <w:trHeight w:val="186"/>
        </w:trPr>
        <w:tc>
          <w:tcPr>
            <w:tcW w:w="2560" w:type="dxa"/>
            <w:vAlign w:val="bottom"/>
          </w:tcPr>
          <w:p>
            <w:pPr>
              <w:spacing w:after="0"/>
              <w:rPr>
                <w:sz w:val="20"/>
                <w:szCs w:val="20"/>
                <w:color w:val="auto"/>
              </w:rPr>
            </w:pPr>
            <w:r>
              <w:rPr>
                <w:rFonts w:ascii="Arial" w:cs="Arial" w:eastAsia="Arial" w:hAnsi="Arial"/>
                <w:sz w:val="16"/>
                <w:szCs w:val="16"/>
                <w:color w:val="auto"/>
              </w:rPr>
              <w:t>Acquisitions</w:t>
            </w:r>
          </w:p>
        </w:tc>
        <w:tc>
          <w:tcPr>
            <w:tcW w:w="1380" w:type="dxa"/>
            <w:vAlign w:val="bottom"/>
          </w:tcPr>
          <w:p>
            <w:pPr>
              <w:jc w:val="right"/>
              <w:ind w:right="121"/>
              <w:spacing w:after="0"/>
              <w:rPr>
                <w:sz w:val="20"/>
                <w:szCs w:val="20"/>
                <w:color w:val="auto"/>
              </w:rPr>
            </w:pPr>
            <w:r>
              <w:rPr>
                <w:rFonts w:ascii="Arial" w:cs="Arial" w:eastAsia="Arial" w:hAnsi="Arial"/>
                <w:sz w:val="16"/>
                <w:szCs w:val="16"/>
                <w:b w:val="1"/>
                <w:bCs w:val="1"/>
                <w:color w:val="auto"/>
              </w:rPr>
              <w:t>48</w:t>
            </w:r>
          </w:p>
        </w:tc>
        <w:tc>
          <w:tcPr>
            <w:tcW w:w="154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ind w:right="141"/>
              <w:spacing w:after="0"/>
              <w:rPr>
                <w:sz w:val="20"/>
                <w:szCs w:val="20"/>
                <w:color w:val="auto"/>
              </w:rPr>
            </w:pPr>
            <w:r>
              <w:rPr>
                <w:rFonts w:ascii="Arial" w:cs="Arial" w:eastAsia="Arial" w:hAnsi="Arial"/>
                <w:sz w:val="16"/>
                <w:szCs w:val="16"/>
                <w:b w:val="1"/>
                <w:bCs w:val="1"/>
                <w:color w:val="auto"/>
              </w:rPr>
              <w:t>6</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54</w:t>
            </w:r>
          </w:p>
        </w:tc>
      </w:tr>
      <w:tr>
        <w:trPr>
          <w:trHeight w:val="185"/>
        </w:trPr>
        <w:tc>
          <w:tcPr>
            <w:tcW w:w="2560" w:type="dxa"/>
            <w:vAlign w:val="bottom"/>
          </w:tcPr>
          <w:p>
            <w:pPr>
              <w:spacing w:after="0"/>
              <w:rPr>
                <w:sz w:val="20"/>
                <w:szCs w:val="20"/>
                <w:color w:val="auto"/>
              </w:rPr>
            </w:pPr>
            <w:r>
              <w:rPr>
                <w:rFonts w:ascii="Arial" w:cs="Arial" w:eastAsia="Arial" w:hAnsi="Arial"/>
                <w:sz w:val="16"/>
                <w:szCs w:val="16"/>
                <w:color w:val="auto"/>
              </w:rPr>
              <w:t>Foreign exchange movements</w:t>
            </w:r>
          </w:p>
        </w:tc>
        <w:tc>
          <w:tcPr>
            <w:tcW w:w="1380" w:type="dxa"/>
            <w:vAlign w:val="bottom"/>
          </w:tcPr>
          <w:p>
            <w:pPr>
              <w:jc w:val="right"/>
              <w:ind w:right="121"/>
              <w:spacing w:after="0"/>
              <w:rPr>
                <w:sz w:val="20"/>
                <w:szCs w:val="20"/>
                <w:color w:val="auto"/>
              </w:rPr>
            </w:pPr>
            <w:r>
              <w:rPr>
                <w:rFonts w:ascii="Arial" w:cs="Arial" w:eastAsia="Arial" w:hAnsi="Arial"/>
                <w:sz w:val="16"/>
                <w:szCs w:val="16"/>
                <w:b w:val="1"/>
                <w:bCs w:val="1"/>
                <w:color w:val="auto"/>
              </w:rPr>
              <w:t>(88)</w:t>
            </w:r>
          </w:p>
        </w:tc>
        <w:tc>
          <w:tcPr>
            <w:tcW w:w="154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right"/>
              <w:ind w:right="121"/>
              <w:spacing w:after="0"/>
              <w:rPr>
                <w:sz w:val="20"/>
                <w:szCs w:val="20"/>
                <w:color w:val="auto"/>
              </w:rPr>
            </w:pPr>
            <w:r>
              <w:rPr>
                <w:rFonts w:ascii="Arial" w:cs="Arial" w:eastAsia="Arial" w:hAnsi="Arial"/>
                <w:sz w:val="16"/>
                <w:szCs w:val="16"/>
                <w:b w:val="1"/>
                <w:bCs w:val="1"/>
                <w:color w:val="auto"/>
              </w:rPr>
              <w:t>88</w:t>
            </w:r>
          </w:p>
        </w:tc>
        <w:tc>
          <w:tcPr>
            <w:tcW w:w="1360" w:type="dxa"/>
            <w:vAlign w:val="bottom"/>
          </w:tcPr>
          <w:p>
            <w:pPr>
              <w:jc w:val="right"/>
              <w:ind w:right="141"/>
              <w:spacing w:after="0"/>
              <w:rPr>
                <w:sz w:val="20"/>
                <w:szCs w:val="20"/>
                <w:color w:val="auto"/>
              </w:rPr>
            </w:pPr>
            <w:r>
              <w:rPr>
                <w:rFonts w:ascii="Arial" w:cs="Arial" w:eastAsia="Arial" w:hAnsi="Arial"/>
                <w:sz w:val="16"/>
                <w:szCs w:val="16"/>
                <w:b w:val="1"/>
                <w:bCs w:val="1"/>
                <w:color w:val="auto"/>
              </w:rPr>
              <w:t>(10)</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(10)</w:t>
            </w:r>
          </w:p>
        </w:tc>
      </w:tr>
      <w:tr>
        <w:trPr>
          <w:trHeight w:val="200"/>
        </w:trPr>
        <w:tc>
          <w:tcPr>
            <w:tcW w:w="2560" w:type="dxa"/>
            <w:vAlign w:val="bottom"/>
            <w:tcBorders>
              <w:bottom w:val="single" w:sz="8" w:color="B2B2B2"/>
            </w:tcBorders>
          </w:tcPr>
          <w:p>
            <w:pPr>
              <w:spacing w:after="0" w:line="200" w:lineRule="exact"/>
              <w:rPr>
                <w:sz w:val="20"/>
                <w:szCs w:val="20"/>
                <w:color w:val="auto"/>
              </w:rPr>
            </w:pPr>
            <w:r>
              <w:rPr>
                <w:rFonts w:ascii="Arial" w:cs="Arial" w:eastAsia="Arial" w:hAnsi="Arial"/>
                <w:sz w:val="16"/>
                <w:szCs w:val="16"/>
                <w:color w:val="auto"/>
              </w:rPr>
              <w:t>Other, net</w:t>
            </w:r>
            <w:r>
              <w:rPr>
                <w:rFonts w:ascii="Arial" w:cs="Arial" w:eastAsia="Arial" w:hAnsi="Arial"/>
                <w:sz w:val="19"/>
                <w:szCs w:val="19"/>
                <w:color w:val="auto"/>
                <w:vertAlign w:val="superscript"/>
              </w:rPr>
              <w:t>(1)</w:t>
            </w:r>
          </w:p>
        </w:tc>
        <w:tc>
          <w:tcPr>
            <w:tcW w:w="1380" w:type="dxa"/>
            <w:vAlign w:val="bottom"/>
            <w:tcBorders>
              <w:bottom w:val="single" w:sz="8" w:color="B2B2B2"/>
            </w:tcBorders>
          </w:tcPr>
          <w:p>
            <w:pPr>
              <w:jc w:val="right"/>
              <w:ind w:right="121"/>
              <w:spacing w:after="0"/>
              <w:rPr>
                <w:sz w:val="20"/>
                <w:szCs w:val="20"/>
                <w:color w:val="auto"/>
              </w:rPr>
            </w:pPr>
            <w:r>
              <w:rPr>
                <w:rFonts w:ascii="Arial" w:cs="Arial" w:eastAsia="Arial" w:hAnsi="Arial"/>
                <w:sz w:val="16"/>
                <w:szCs w:val="16"/>
                <w:b w:val="1"/>
                <w:bCs w:val="1"/>
                <w:color w:val="auto"/>
              </w:rPr>
              <w:t>3</w:t>
            </w:r>
          </w:p>
        </w:tc>
        <w:tc>
          <w:tcPr>
            <w:tcW w:w="1540" w:type="dxa"/>
            <w:vAlign w:val="bottom"/>
            <w:tcBorders>
              <w:bottom w:val="single" w:sz="8" w:color="B2B2B2"/>
            </w:tcBorders>
          </w:tcPr>
          <w:p>
            <w:pPr>
              <w:jc w:val="right"/>
              <w:ind w:right="121"/>
              <w:spacing w:after="0"/>
              <w:rPr>
                <w:sz w:val="20"/>
                <w:szCs w:val="20"/>
                <w:color w:val="auto"/>
              </w:rPr>
            </w:pPr>
            <w:r>
              <w:rPr>
                <w:rFonts w:ascii="Arial" w:cs="Arial" w:eastAsia="Arial" w:hAnsi="Arial"/>
                <w:sz w:val="16"/>
                <w:szCs w:val="16"/>
                <w:b w:val="1"/>
                <w:bCs w:val="1"/>
                <w:color w:val="auto"/>
              </w:rPr>
              <w:t>10</w:t>
            </w:r>
          </w:p>
        </w:tc>
        <w:tc>
          <w:tcPr>
            <w:tcW w:w="1520" w:type="dxa"/>
            <w:vAlign w:val="bottom"/>
            <w:tcBorders>
              <w:bottom w:val="single" w:sz="8" w:color="B2B2B2"/>
            </w:tcBorders>
          </w:tcPr>
          <w:p>
            <w:pPr>
              <w:jc w:val="right"/>
              <w:ind w:right="121"/>
              <w:spacing w:after="0"/>
              <w:rPr>
                <w:sz w:val="20"/>
                <w:szCs w:val="20"/>
                <w:color w:val="auto"/>
              </w:rPr>
            </w:pPr>
            <w:r>
              <w:rPr>
                <w:rFonts w:ascii="Arial" w:cs="Arial" w:eastAsia="Arial" w:hAnsi="Arial"/>
                <w:sz w:val="16"/>
                <w:szCs w:val="16"/>
                <w:b w:val="1"/>
                <w:bCs w:val="1"/>
                <w:color w:val="auto"/>
              </w:rPr>
              <w:t>(2)</w:t>
            </w:r>
          </w:p>
        </w:tc>
        <w:tc>
          <w:tcPr>
            <w:tcW w:w="1360" w:type="dxa"/>
            <w:vAlign w:val="bottom"/>
            <w:tcBorders>
              <w:bottom w:val="single" w:sz="8" w:color="B2B2B2"/>
            </w:tcBorders>
          </w:tcPr>
          <w:p>
            <w:pPr>
              <w:jc w:val="right"/>
              <w:ind w:right="141"/>
              <w:spacing w:after="0"/>
              <w:rPr>
                <w:sz w:val="20"/>
                <w:szCs w:val="20"/>
                <w:color w:val="auto"/>
              </w:rPr>
            </w:pPr>
            <w:r>
              <w:rPr>
                <w:rFonts w:ascii="Arial" w:cs="Arial" w:eastAsia="Arial" w:hAnsi="Arial"/>
                <w:sz w:val="16"/>
                <w:szCs w:val="16"/>
                <w:b w:val="1"/>
                <w:bCs w:val="1"/>
                <w:color w:val="auto"/>
              </w:rPr>
              <w:t>6</w:t>
            </w:r>
          </w:p>
        </w:tc>
        <w:tc>
          <w:tcPr>
            <w:tcW w:w="15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17</w:t>
            </w:r>
          </w:p>
        </w:tc>
      </w:tr>
      <w:tr>
        <w:trPr>
          <w:trHeight w:val="185"/>
        </w:trPr>
        <w:tc>
          <w:tcPr>
            <w:tcW w:w="256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b w:val="1"/>
                <w:bCs w:val="1"/>
                <w:color w:val="auto"/>
              </w:rPr>
              <w:t>December 31, 2024</w:t>
            </w:r>
          </w:p>
        </w:tc>
        <w:tc>
          <w:tcPr>
            <w:tcW w:w="1380" w:type="dxa"/>
            <w:vAlign w:val="bottom"/>
            <w:tcBorders>
              <w:bottom w:val="single" w:sz="8" w:color="D64000"/>
            </w:tcBorders>
          </w:tcPr>
          <w:p>
            <w:pPr>
              <w:jc w:val="right"/>
              <w:ind w:right="121"/>
              <w:spacing w:after="0" w:line="179" w:lineRule="exact"/>
              <w:rPr>
                <w:sz w:val="20"/>
                <w:szCs w:val="20"/>
                <w:color w:val="auto"/>
              </w:rPr>
            </w:pPr>
            <w:r>
              <w:rPr>
                <w:rFonts w:ascii="Arial" w:cs="Arial" w:eastAsia="Arial" w:hAnsi="Arial"/>
                <w:sz w:val="16"/>
                <w:szCs w:val="16"/>
                <w:b w:val="1"/>
                <w:bCs w:val="1"/>
                <w:color w:val="auto"/>
              </w:rPr>
              <w:t>2,820</w:t>
            </w:r>
          </w:p>
        </w:tc>
        <w:tc>
          <w:tcPr>
            <w:tcW w:w="1540" w:type="dxa"/>
            <w:vAlign w:val="bottom"/>
            <w:tcBorders>
              <w:bottom w:val="single" w:sz="8" w:color="D64000"/>
            </w:tcBorders>
          </w:tcPr>
          <w:p>
            <w:pPr>
              <w:jc w:val="right"/>
              <w:ind w:right="121"/>
              <w:spacing w:after="0" w:line="179" w:lineRule="exact"/>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D64000"/>
            </w:tcBorders>
          </w:tcPr>
          <w:p>
            <w:pPr>
              <w:jc w:val="right"/>
              <w:ind w:right="121"/>
              <w:spacing w:after="0" w:line="179" w:lineRule="exact"/>
              <w:rPr>
                <w:sz w:val="20"/>
                <w:szCs w:val="20"/>
                <w:color w:val="auto"/>
              </w:rPr>
            </w:pPr>
            <w:r>
              <w:rPr>
                <w:rFonts w:ascii="Arial" w:cs="Arial" w:eastAsia="Arial" w:hAnsi="Arial"/>
                <w:sz w:val="16"/>
                <w:szCs w:val="16"/>
                <w:b w:val="1"/>
                <w:bCs w:val="1"/>
                <w:color w:val="auto"/>
              </w:rPr>
              <w:t>21</w:t>
            </w:r>
          </w:p>
        </w:tc>
        <w:tc>
          <w:tcPr>
            <w:tcW w:w="1360" w:type="dxa"/>
            <w:vAlign w:val="bottom"/>
            <w:tcBorders>
              <w:bottom w:val="single" w:sz="8" w:color="D64000"/>
            </w:tcBorders>
          </w:tcPr>
          <w:p>
            <w:pPr>
              <w:jc w:val="right"/>
              <w:ind w:right="141"/>
              <w:spacing w:after="0" w:line="179" w:lineRule="exact"/>
              <w:rPr>
                <w:sz w:val="20"/>
                <w:szCs w:val="20"/>
                <w:color w:val="auto"/>
              </w:rPr>
            </w:pPr>
            <w:r>
              <w:rPr>
                <w:rFonts w:ascii="Arial" w:cs="Arial" w:eastAsia="Arial" w:hAnsi="Arial"/>
                <w:sz w:val="16"/>
                <w:szCs w:val="16"/>
                <w:b w:val="1"/>
                <w:bCs w:val="1"/>
                <w:color w:val="auto"/>
              </w:rPr>
              <w:t>256</w:t>
            </w:r>
          </w:p>
        </w:tc>
        <w:tc>
          <w:tcPr>
            <w:tcW w:w="158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b w:val="1"/>
                <w:bCs w:val="1"/>
                <w:color w:val="auto"/>
              </w:rPr>
              <w:t>3,097</w:t>
            </w:r>
          </w:p>
        </w:tc>
      </w:tr>
    </w:tbl>
    <w:p>
      <w:pPr>
        <w:spacing w:after="0" w:line="70" w:lineRule="exact"/>
        <w:rPr>
          <w:sz w:val="20"/>
          <w:szCs w:val="20"/>
          <w:color w:val="auto"/>
        </w:rPr>
      </w:pPr>
    </w:p>
    <w:p>
      <w:pPr>
        <w:ind w:left="540" w:hanging="322"/>
        <w:spacing w:after="0"/>
        <w:tabs>
          <w:tab w:leader="none" w:pos="54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Includes amortization of transaction and discount costs as well as fair value movements on derivatives.</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Fair value estimation</w:t>
      </w:r>
    </w:p>
    <w:p>
      <w:pPr>
        <w:spacing w:after="0" w:line="6" w:lineRule="exact"/>
        <w:rPr>
          <w:sz w:val="20"/>
          <w:szCs w:val="20"/>
          <w:color w:val="auto"/>
        </w:rPr>
      </w:pPr>
    </w:p>
    <w:p>
      <w:pPr>
        <w:ind w:left="220" w:right="420"/>
        <w:spacing w:after="0"/>
        <w:rPr>
          <w:sz w:val="20"/>
          <w:szCs w:val="20"/>
          <w:color w:val="auto"/>
        </w:rPr>
      </w:pPr>
      <w:r>
        <w:rPr>
          <w:rFonts w:ascii="Arial" w:cs="Arial" w:eastAsia="Arial" w:hAnsi="Arial"/>
          <w:sz w:val="17"/>
          <w:szCs w:val="17"/>
          <w:color w:val="auto"/>
        </w:rPr>
        <w:t>The following fair value measurement hierarchy is used for financial instruments that are measured in the consolidated statement of financial position at fair value:</w:t>
      </w:r>
    </w:p>
    <w:p>
      <w:pPr>
        <w:spacing w:after="0" w:line="83" w:lineRule="exact"/>
        <w:rPr>
          <w:sz w:val="20"/>
          <w:szCs w:val="20"/>
          <w:color w:val="auto"/>
        </w:rPr>
      </w:pPr>
    </w:p>
    <w:p>
      <w:pPr>
        <w:ind w:left="640" w:hanging="422"/>
        <w:spacing w:after="0"/>
        <w:tabs>
          <w:tab w:leader="none" w:pos="640" w:val="left"/>
        </w:tabs>
        <w:numPr>
          <w:ilvl w:val="0"/>
          <w:numId w:val="128"/>
        </w:numPr>
        <w:rPr>
          <w:rFonts w:ascii="Arial" w:cs="Arial" w:eastAsia="Arial" w:hAnsi="Arial"/>
          <w:sz w:val="17"/>
          <w:szCs w:val="17"/>
          <w:color w:val="D64000"/>
        </w:rPr>
      </w:pPr>
      <w:r>
        <w:rPr>
          <w:rFonts w:ascii="Arial" w:cs="Arial" w:eastAsia="Arial" w:hAnsi="Arial"/>
          <w:sz w:val="17"/>
          <w:szCs w:val="17"/>
          <w:color w:val="auto"/>
        </w:rPr>
        <w:t>Level 1 – quoted prices (unadjusted) in active markets for identical assets or liabilities;</w:t>
      </w:r>
    </w:p>
    <w:p>
      <w:pPr>
        <w:spacing w:after="0" w:line="19" w:lineRule="exact"/>
        <w:rPr>
          <w:rFonts w:ascii="Arial" w:cs="Arial" w:eastAsia="Arial" w:hAnsi="Arial"/>
          <w:sz w:val="17"/>
          <w:szCs w:val="17"/>
          <w:color w:val="D64000"/>
        </w:rPr>
      </w:pPr>
    </w:p>
    <w:p>
      <w:pPr>
        <w:ind w:left="640" w:right="40" w:hanging="422"/>
        <w:spacing w:after="0" w:line="235" w:lineRule="auto"/>
        <w:tabs>
          <w:tab w:leader="none" w:pos="640" w:val="left"/>
        </w:tabs>
        <w:numPr>
          <w:ilvl w:val="0"/>
          <w:numId w:val="128"/>
        </w:numPr>
        <w:rPr>
          <w:rFonts w:ascii="Arial" w:cs="Arial" w:eastAsia="Arial" w:hAnsi="Arial"/>
          <w:sz w:val="17"/>
          <w:szCs w:val="17"/>
          <w:color w:val="D64000"/>
        </w:rPr>
      </w:pPr>
      <w:r>
        <w:rPr>
          <w:rFonts w:ascii="Arial" w:cs="Arial" w:eastAsia="Arial" w:hAnsi="Arial"/>
          <w:sz w:val="17"/>
          <w:szCs w:val="17"/>
          <w:color w:val="auto"/>
        </w:rPr>
        <w:t>Level 2 – inputs other than quoted prices included within level 1 that are observable for the asset or liability, either directly (that is, as prices) or indirectly (that is, derived from prices); and</w:t>
      </w:r>
    </w:p>
    <w:p>
      <w:pPr>
        <w:spacing w:after="0" w:line="1" w:lineRule="exact"/>
        <w:rPr>
          <w:rFonts w:ascii="Arial" w:cs="Arial" w:eastAsia="Arial" w:hAnsi="Arial"/>
          <w:sz w:val="17"/>
          <w:szCs w:val="17"/>
          <w:color w:val="D64000"/>
        </w:rPr>
      </w:pPr>
    </w:p>
    <w:p>
      <w:pPr>
        <w:ind w:left="640" w:hanging="422"/>
        <w:spacing w:after="0"/>
        <w:tabs>
          <w:tab w:leader="none" w:pos="640" w:val="left"/>
        </w:tabs>
        <w:numPr>
          <w:ilvl w:val="0"/>
          <w:numId w:val="128"/>
        </w:numPr>
        <w:rPr>
          <w:rFonts w:ascii="Arial" w:cs="Arial" w:eastAsia="Arial" w:hAnsi="Arial"/>
          <w:sz w:val="17"/>
          <w:szCs w:val="17"/>
          <w:color w:val="D64000"/>
        </w:rPr>
      </w:pPr>
      <w:r>
        <w:rPr>
          <w:rFonts w:ascii="Arial" w:cs="Arial" w:eastAsia="Arial" w:hAnsi="Arial"/>
          <w:sz w:val="17"/>
          <w:szCs w:val="17"/>
          <w:color w:val="auto"/>
        </w:rPr>
        <w:t>Level 3 – inputs for the asset or liability that are not based on observable market data (that is, unobservable inputs).</w:t>
      </w:r>
    </w:p>
    <w:p>
      <w:pPr>
        <w:spacing w:after="0" w:line="199" w:lineRule="exact"/>
        <w:rPr>
          <w:sz w:val="20"/>
          <w:szCs w:val="20"/>
          <w:color w:val="auto"/>
        </w:rPr>
      </w:pPr>
    </w:p>
    <w:p>
      <w:pPr>
        <w:ind w:left="220" w:right="620"/>
        <w:spacing w:after="0" w:line="260" w:lineRule="auto"/>
        <w:rPr>
          <w:sz w:val="20"/>
          <w:szCs w:val="20"/>
          <w:color w:val="auto"/>
        </w:rPr>
      </w:pPr>
      <w:r>
        <w:rPr>
          <w:rFonts w:ascii="Arial" w:cs="Arial" w:eastAsia="Arial" w:hAnsi="Arial"/>
          <w:sz w:val="17"/>
          <w:szCs w:val="17"/>
          <w:color w:val="auto"/>
        </w:rPr>
        <w:t>The levels used to determine fair value measurements for those instruments carried at fair value in the consolidated statement of financial position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132080</wp:posOffset>
            </wp:positionV>
            <wp:extent cx="630999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309995" cy="8255"/>
                    </a:xfrm>
                    <a:prstGeom prst="rect">
                      <a:avLst/>
                    </a:prstGeom>
                    <a:noFill/>
                  </pic:spPr>
                </pic:pic>
              </a:graphicData>
            </a:graphic>
          </wp:anchor>
        </w:drawing>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3560" w:type="dxa"/>
            <w:vAlign w:val="bottom"/>
            <w:tcBorders>
              <w:bottom w:val="single" w:sz="8" w:color="E3F3EE"/>
            </w:tcBorders>
            <w:shd w:val="clear" w:color="auto" w:fill="E3F3EE"/>
          </w:tcPr>
          <w:p>
            <w:pPr>
              <w:spacing w:after="0"/>
              <w:rPr>
                <w:sz w:val="20"/>
                <w:szCs w:val="20"/>
                <w:color w:val="auto"/>
              </w:rPr>
            </w:pPr>
            <w:r>
              <w:rPr>
                <w:rFonts w:ascii="Arial" w:cs="Arial" w:eastAsia="Arial" w:hAnsi="Arial"/>
                <w:sz w:val="16"/>
                <w:szCs w:val="16"/>
                <w:b w:val="1"/>
                <w:bCs w:val="1"/>
                <w:color w:val="auto"/>
              </w:rPr>
              <w:t> December 31, 2024</w:t>
            </w:r>
          </w:p>
        </w:tc>
        <w:tc>
          <w:tcPr>
            <w:tcW w:w="2640" w:type="dxa"/>
            <w:vAlign w:val="bottom"/>
            <w:tcBorders>
              <w:bottom w:val="single" w:sz="8" w:color="1F473D"/>
            </w:tcBorders>
            <w:shd w:val="clear" w:color="auto" w:fill="1F473D"/>
          </w:tcPr>
          <w:p>
            <w:pPr>
              <w:spacing w:after="0"/>
              <w:rPr>
                <w:sz w:val="16"/>
                <w:szCs w:val="16"/>
                <w:color w:val="auto"/>
              </w:rPr>
            </w:pPr>
          </w:p>
        </w:tc>
        <w:tc>
          <w:tcPr>
            <w:tcW w:w="1300" w:type="dxa"/>
            <w:vAlign w:val="bottom"/>
            <w:tcBorders>
              <w:bottom w:val="single" w:sz="8" w:color="1F473D"/>
            </w:tcBorders>
            <w:shd w:val="clear" w:color="auto" w:fill="1F473D"/>
          </w:tcPr>
          <w:p>
            <w:pPr>
              <w:spacing w:after="0"/>
              <w:rPr>
                <w:sz w:val="16"/>
                <w:szCs w:val="16"/>
                <w:color w:val="auto"/>
              </w:rPr>
            </w:pPr>
          </w:p>
        </w:tc>
        <w:tc>
          <w:tcPr>
            <w:tcW w:w="1280" w:type="dxa"/>
            <w:vAlign w:val="bottom"/>
            <w:tcBorders>
              <w:bottom w:val="single" w:sz="8" w:color="1F473D"/>
            </w:tcBorders>
            <w:shd w:val="clear" w:color="auto" w:fill="1F473D"/>
          </w:tcPr>
          <w:p>
            <w:pPr>
              <w:spacing w:after="0"/>
              <w:rPr>
                <w:sz w:val="16"/>
                <w:szCs w:val="16"/>
                <w:color w:val="auto"/>
              </w:rPr>
            </w:pPr>
          </w:p>
        </w:tc>
        <w:tc>
          <w:tcPr>
            <w:tcW w:w="1160" w:type="dxa"/>
            <w:vAlign w:val="bottom"/>
            <w:tcBorders>
              <w:bottom w:val="single" w:sz="8" w:color="1F473D"/>
            </w:tcBorders>
            <w:shd w:val="clear" w:color="auto" w:fill="1F473D"/>
          </w:tcPr>
          <w:p>
            <w:pPr>
              <w:jc w:val="right"/>
              <w:ind w:right="21"/>
              <w:spacing w:after="0"/>
              <w:rPr>
                <w:sz w:val="20"/>
                <w:szCs w:val="20"/>
                <w:color w:val="auto"/>
              </w:rPr>
            </w:pPr>
            <w:r>
              <w:rPr>
                <w:rFonts w:ascii="Arial" w:cs="Arial" w:eastAsia="Arial" w:hAnsi="Arial"/>
                <w:sz w:val="16"/>
                <w:szCs w:val="16"/>
                <w:b w:val="1"/>
                <w:bCs w:val="1"/>
                <w:color w:val="FFFFFF"/>
              </w:rPr>
              <w:t>Total</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9"/>
        </w:trPr>
        <w:tc>
          <w:tcPr>
            <w:tcW w:w="3560" w:type="dxa"/>
            <w:vAlign w:val="bottom"/>
          </w:tcPr>
          <w:p>
            <w:pPr>
              <w:spacing w:after="0" w:line="172" w:lineRule="exact"/>
              <w:rPr>
                <w:sz w:val="20"/>
                <w:szCs w:val="20"/>
                <w:color w:val="auto"/>
              </w:rPr>
            </w:pPr>
            <w:r>
              <w:rPr>
                <w:rFonts w:ascii="Arial" w:cs="Arial" w:eastAsia="Arial" w:hAnsi="Arial"/>
                <w:sz w:val="16"/>
                <w:szCs w:val="16"/>
                <w:color w:val="auto"/>
              </w:rPr>
              <w:t> Assets</w:t>
            </w:r>
          </w:p>
        </w:tc>
        <w:tc>
          <w:tcPr>
            <w:tcW w:w="2640" w:type="dxa"/>
            <w:vAlign w:val="bottom"/>
            <w:tcBorders>
              <w:bottom w:val="single" w:sz="8" w:color="D64000"/>
            </w:tcBorders>
            <w:shd w:val="clear" w:color="auto" w:fill="1F473D"/>
          </w:tcPr>
          <w:p>
            <w:pPr>
              <w:jc w:val="right"/>
              <w:ind w:right="261"/>
              <w:spacing w:after="0" w:line="172" w:lineRule="exact"/>
              <w:rPr>
                <w:sz w:val="20"/>
                <w:szCs w:val="20"/>
                <w:color w:val="auto"/>
              </w:rPr>
            </w:pPr>
            <w:r>
              <w:rPr>
                <w:rFonts w:ascii="Arial" w:cs="Arial" w:eastAsia="Arial" w:hAnsi="Arial"/>
                <w:sz w:val="16"/>
                <w:szCs w:val="16"/>
                <w:b w:val="1"/>
                <w:bCs w:val="1"/>
                <w:color w:val="FFFFFF"/>
              </w:rPr>
              <w:t>                        Level 1</w:t>
            </w:r>
          </w:p>
        </w:tc>
        <w:tc>
          <w:tcPr>
            <w:tcW w:w="1300" w:type="dxa"/>
            <w:vAlign w:val="bottom"/>
            <w:tcBorders>
              <w:bottom w:val="single" w:sz="8" w:color="D64000"/>
            </w:tcBorders>
            <w:shd w:val="clear" w:color="auto" w:fill="1F473D"/>
          </w:tcPr>
          <w:p>
            <w:pPr>
              <w:jc w:val="right"/>
              <w:ind w:right="261"/>
              <w:spacing w:after="0" w:line="172" w:lineRule="exact"/>
              <w:rPr>
                <w:sz w:val="20"/>
                <w:szCs w:val="20"/>
                <w:color w:val="auto"/>
              </w:rPr>
            </w:pPr>
            <w:r>
              <w:rPr>
                <w:rFonts w:ascii="Arial" w:cs="Arial" w:eastAsia="Arial" w:hAnsi="Arial"/>
                <w:sz w:val="16"/>
                <w:szCs w:val="16"/>
                <w:b w:val="1"/>
                <w:bCs w:val="1"/>
                <w:color w:val="FFFFFF"/>
              </w:rPr>
              <w:t>   Level 2</w:t>
            </w:r>
          </w:p>
        </w:tc>
        <w:tc>
          <w:tcPr>
            <w:tcW w:w="1280" w:type="dxa"/>
            <w:vAlign w:val="bottom"/>
            <w:tcBorders>
              <w:bottom w:val="single" w:sz="8" w:color="D64000"/>
            </w:tcBorders>
            <w:shd w:val="clear" w:color="auto" w:fill="1F473D"/>
          </w:tcPr>
          <w:p>
            <w:pPr>
              <w:jc w:val="right"/>
              <w:ind w:right="241"/>
              <w:spacing w:after="0" w:line="172" w:lineRule="exact"/>
              <w:rPr>
                <w:sz w:val="20"/>
                <w:szCs w:val="20"/>
                <w:color w:val="auto"/>
              </w:rPr>
            </w:pPr>
            <w:r>
              <w:rPr>
                <w:rFonts w:ascii="Arial" w:cs="Arial" w:eastAsia="Arial" w:hAnsi="Arial"/>
                <w:sz w:val="16"/>
                <w:szCs w:val="16"/>
                <w:b w:val="1"/>
                <w:bCs w:val="1"/>
                <w:color w:val="FFFFFF"/>
              </w:rPr>
              <w:t>   Level 3</w:t>
            </w:r>
          </w:p>
        </w:tc>
        <w:tc>
          <w:tcPr>
            <w:tcW w:w="1160" w:type="dxa"/>
            <w:vAlign w:val="bottom"/>
            <w:tcBorders>
              <w:bottom w:val="single" w:sz="8" w:color="D64000"/>
            </w:tcBorders>
            <w:shd w:val="clear" w:color="auto" w:fill="1F473D"/>
          </w:tcPr>
          <w:p>
            <w:pPr>
              <w:jc w:val="right"/>
              <w:ind w:right="21"/>
              <w:spacing w:after="0" w:line="172" w:lineRule="exact"/>
              <w:rPr>
                <w:sz w:val="20"/>
                <w:szCs w:val="20"/>
                <w:color w:val="auto"/>
              </w:rPr>
            </w:pPr>
            <w:r>
              <w:rPr>
                <w:rFonts w:ascii="Arial" w:cs="Arial" w:eastAsia="Arial" w:hAnsi="Arial"/>
                <w:sz w:val="16"/>
                <w:szCs w:val="16"/>
                <w:b w:val="1"/>
                <w:bCs w:val="1"/>
                <w:color w:val="FFFFFF"/>
              </w:rPr>
              <w:t>   Balance</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1"/>
        </w:trPr>
        <w:tc>
          <w:tcPr>
            <w:tcW w:w="3560" w:type="dxa"/>
            <w:vAlign w:val="bottom"/>
          </w:tcPr>
          <w:p>
            <w:pPr>
              <w:ind w:left="180"/>
              <w:spacing w:after="0" w:line="171" w:lineRule="exact"/>
              <w:rPr>
                <w:sz w:val="20"/>
                <w:szCs w:val="20"/>
                <w:color w:val="auto"/>
              </w:rPr>
            </w:pPr>
            <w:r>
              <w:rPr>
                <w:rFonts w:ascii="Arial" w:cs="Arial" w:eastAsia="Arial" w:hAnsi="Arial"/>
                <w:sz w:val="16"/>
                <w:szCs w:val="16"/>
                <w:color w:val="auto"/>
              </w:rPr>
              <w:t> Money market accounts and other securities</w:t>
            </w:r>
          </w:p>
        </w:tc>
        <w:tc>
          <w:tcPr>
            <w:tcW w:w="2640" w:type="dxa"/>
            <w:vAlign w:val="bottom"/>
          </w:tcPr>
          <w:p>
            <w:pPr>
              <w:jc w:val="right"/>
              <w:ind w:right="201"/>
              <w:spacing w:after="0" w:line="171" w:lineRule="exact"/>
              <w:rPr>
                <w:sz w:val="20"/>
                <w:szCs w:val="20"/>
                <w:color w:val="auto"/>
              </w:rPr>
            </w:pPr>
            <w:r>
              <w:rPr>
                <w:rFonts w:ascii="Arial" w:cs="Arial" w:eastAsia="Arial" w:hAnsi="Arial"/>
                <w:sz w:val="16"/>
                <w:szCs w:val="16"/>
                <w:b w:val="1"/>
                <w:bCs w:val="1"/>
                <w:color w:val="auto"/>
              </w:rPr>
              <w:t>-</w:t>
            </w:r>
          </w:p>
        </w:tc>
        <w:tc>
          <w:tcPr>
            <w:tcW w:w="1300" w:type="dxa"/>
            <w:vAlign w:val="bottom"/>
          </w:tcPr>
          <w:p>
            <w:pPr>
              <w:jc w:val="right"/>
              <w:ind w:right="201"/>
              <w:spacing w:after="0" w:line="171" w:lineRule="exact"/>
              <w:rPr>
                <w:sz w:val="20"/>
                <w:szCs w:val="20"/>
                <w:color w:val="auto"/>
              </w:rPr>
            </w:pPr>
            <w:r>
              <w:rPr>
                <w:rFonts w:ascii="Arial" w:cs="Arial" w:eastAsia="Arial" w:hAnsi="Arial"/>
                <w:sz w:val="16"/>
                <w:szCs w:val="16"/>
                <w:b w:val="1"/>
                <w:bCs w:val="1"/>
                <w:color w:val="auto"/>
              </w:rPr>
              <w:t>1,095</w:t>
            </w:r>
          </w:p>
        </w:tc>
        <w:tc>
          <w:tcPr>
            <w:tcW w:w="1280" w:type="dxa"/>
            <w:vAlign w:val="bottom"/>
          </w:tcPr>
          <w:p>
            <w:pPr>
              <w:jc w:val="right"/>
              <w:ind w:right="181"/>
              <w:spacing w:after="0" w:line="171" w:lineRule="exact"/>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1,095</w:t>
            </w: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0"/>
        </w:trPr>
        <w:tc>
          <w:tcPr>
            <w:tcW w:w="3560" w:type="dxa"/>
            <w:vAlign w:val="bottom"/>
            <w:tcBorders>
              <w:bottom w:val="single" w:sz="8" w:color="B2B2B2"/>
            </w:tcBorders>
          </w:tcPr>
          <w:p>
            <w:pPr>
              <w:ind w:left="180"/>
              <w:spacing w:after="0" w:line="200" w:lineRule="exact"/>
              <w:rPr>
                <w:sz w:val="20"/>
                <w:szCs w:val="20"/>
                <w:color w:val="auto"/>
              </w:rPr>
            </w:pPr>
            <w:r>
              <w:rPr>
                <w:rFonts w:ascii="Arial" w:cs="Arial" w:eastAsia="Arial" w:hAnsi="Arial"/>
                <w:sz w:val="16"/>
                <w:szCs w:val="16"/>
                <w:color w:val="auto"/>
              </w:rPr>
              <w:t> Other receivables</w:t>
            </w:r>
            <w:r>
              <w:rPr>
                <w:rFonts w:ascii="Arial" w:cs="Arial" w:eastAsia="Arial" w:hAnsi="Arial"/>
                <w:sz w:val="19"/>
                <w:szCs w:val="19"/>
                <w:color w:val="auto"/>
                <w:vertAlign w:val="superscript"/>
              </w:rPr>
              <w:t>(1)</w:t>
            </w:r>
          </w:p>
        </w:tc>
        <w:tc>
          <w:tcPr>
            <w:tcW w:w="2640" w:type="dxa"/>
            <w:vAlign w:val="bottom"/>
            <w:tcBorders>
              <w:bottom w:val="single" w:sz="8" w:color="B2B2B2"/>
            </w:tcBorders>
          </w:tcPr>
          <w:p>
            <w:pPr>
              <w:jc w:val="right"/>
              <w:ind w:right="201"/>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B2B2B2"/>
            </w:tcBorders>
          </w:tcPr>
          <w:p>
            <w:pPr>
              <w:jc w:val="right"/>
              <w:ind w:right="201"/>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b w:val="1"/>
                <w:bCs w:val="1"/>
                <w:color w:val="auto"/>
              </w:rPr>
              <w:t>360</w:t>
            </w: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360</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9"/>
        </w:trPr>
        <w:tc>
          <w:tcPr>
            <w:tcW w:w="356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Financial assets at fair value through earnings</w:t>
            </w:r>
          </w:p>
        </w:tc>
        <w:tc>
          <w:tcPr>
            <w:tcW w:w="2640" w:type="dxa"/>
            <w:vAlign w:val="bottom"/>
            <w:tcBorders>
              <w:bottom w:val="single" w:sz="8" w:color="B2B2B2"/>
            </w:tcBorders>
          </w:tcPr>
          <w:p>
            <w:pPr>
              <w:jc w:val="right"/>
              <w:ind w:right="201"/>
              <w:spacing w:after="0" w:line="179" w:lineRule="exact"/>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B2B2B2"/>
            </w:tcBorders>
          </w:tcPr>
          <w:p>
            <w:pPr>
              <w:jc w:val="right"/>
              <w:ind w:right="201"/>
              <w:spacing w:after="0" w:line="179" w:lineRule="exact"/>
              <w:rPr>
                <w:sz w:val="20"/>
                <w:szCs w:val="20"/>
                <w:color w:val="auto"/>
              </w:rPr>
            </w:pPr>
            <w:r>
              <w:rPr>
                <w:rFonts w:ascii="Arial" w:cs="Arial" w:eastAsia="Arial" w:hAnsi="Arial"/>
                <w:sz w:val="16"/>
                <w:szCs w:val="16"/>
                <w:b w:val="1"/>
                <w:bCs w:val="1"/>
                <w:color w:val="auto"/>
              </w:rPr>
              <w:t>1,095</w:t>
            </w:r>
          </w:p>
        </w:tc>
        <w:tc>
          <w:tcPr>
            <w:tcW w:w="1280" w:type="dxa"/>
            <w:vAlign w:val="bottom"/>
            <w:tcBorders>
              <w:bottom w:val="single" w:sz="8" w:color="B2B2B2"/>
            </w:tcBorders>
          </w:tcPr>
          <w:p>
            <w:pPr>
              <w:jc w:val="right"/>
              <w:ind w:right="181"/>
              <w:spacing w:after="0" w:line="179" w:lineRule="exact"/>
              <w:rPr>
                <w:sz w:val="20"/>
                <w:szCs w:val="20"/>
                <w:color w:val="auto"/>
              </w:rPr>
            </w:pPr>
            <w:r>
              <w:rPr>
                <w:rFonts w:ascii="Arial" w:cs="Arial" w:eastAsia="Arial" w:hAnsi="Arial"/>
                <w:sz w:val="16"/>
                <w:szCs w:val="16"/>
                <w:b w:val="1"/>
                <w:bCs w:val="1"/>
                <w:color w:val="auto"/>
              </w:rPr>
              <w:t>360</w:t>
            </w:r>
          </w:p>
        </w:tc>
        <w:tc>
          <w:tcPr>
            <w:tcW w:w="116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b w:val="1"/>
                <w:bCs w:val="1"/>
                <w:color w:val="auto"/>
              </w:rPr>
              <w:t>1,455</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5"/>
        </w:trPr>
        <w:tc>
          <w:tcPr>
            <w:tcW w:w="3560" w:type="dxa"/>
            <w:vAlign w:val="bottom"/>
          </w:tcPr>
          <w:p>
            <w:pPr>
              <w:spacing w:after="0" w:line="165" w:lineRule="exact"/>
              <w:rPr>
                <w:sz w:val="20"/>
                <w:szCs w:val="20"/>
                <w:color w:val="auto"/>
              </w:rPr>
            </w:pPr>
            <w:r>
              <w:rPr>
                <w:rFonts w:ascii="Arial" w:cs="Arial" w:eastAsia="Arial" w:hAnsi="Arial"/>
                <w:sz w:val="16"/>
                <w:szCs w:val="16"/>
                <w:color w:val="auto"/>
              </w:rPr>
              <w:t> Financial assets at fair value through other</w:t>
            </w:r>
          </w:p>
        </w:tc>
        <w:tc>
          <w:tcPr>
            <w:tcW w:w="2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0"/>
        </w:trPr>
        <w:tc>
          <w:tcPr>
            <w:tcW w:w="3560" w:type="dxa"/>
            <w:vAlign w:val="bottom"/>
            <w:tcBorders>
              <w:bottom w:val="single" w:sz="8" w:color="B2B2B2"/>
            </w:tcBorders>
          </w:tcPr>
          <w:p>
            <w:pPr>
              <w:spacing w:after="0" w:line="200" w:lineRule="exact"/>
              <w:rPr>
                <w:sz w:val="20"/>
                <w:szCs w:val="20"/>
                <w:color w:val="auto"/>
              </w:rPr>
            </w:pPr>
            <w:r>
              <w:rPr>
                <w:rFonts w:ascii="Arial" w:cs="Arial" w:eastAsia="Arial" w:hAnsi="Arial"/>
                <w:sz w:val="16"/>
                <w:szCs w:val="16"/>
                <w:color w:val="auto"/>
              </w:rPr>
              <w:t>comprehensive income</w:t>
            </w:r>
            <w:r>
              <w:rPr>
                <w:rFonts w:ascii="Arial" w:cs="Arial" w:eastAsia="Arial" w:hAnsi="Arial"/>
                <w:sz w:val="19"/>
                <w:szCs w:val="19"/>
                <w:color w:val="auto"/>
                <w:vertAlign w:val="superscript"/>
              </w:rPr>
              <w:t>(2)</w:t>
            </w:r>
          </w:p>
        </w:tc>
        <w:tc>
          <w:tcPr>
            <w:tcW w:w="2640" w:type="dxa"/>
            <w:vAlign w:val="bottom"/>
            <w:tcBorders>
              <w:bottom w:val="single" w:sz="8" w:color="B2B2B2"/>
            </w:tcBorders>
          </w:tcPr>
          <w:p>
            <w:pPr>
              <w:jc w:val="right"/>
              <w:ind w:right="201"/>
              <w:spacing w:after="0"/>
              <w:rPr>
                <w:sz w:val="20"/>
                <w:szCs w:val="20"/>
                <w:color w:val="auto"/>
              </w:rPr>
            </w:pPr>
            <w:r>
              <w:rPr>
                <w:rFonts w:ascii="Arial" w:cs="Arial" w:eastAsia="Arial" w:hAnsi="Arial"/>
                <w:sz w:val="16"/>
                <w:szCs w:val="16"/>
                <w:b w:val="1"/>
                <w:bCs w:val="1"/>
                <w:color w:val="auto"/>
              </w:rPr>
              <w:t>1</w:t>
            </w:r>
          </w:p>
        </w:tc>
        <w:tc>
          <w:tcPr>
            <w:tcW w:w="1300" w:type="dxa"/>
            <w:vAlign w:val="bottom"/>
            <w:tcBorders>
              <w:bottom w:val="single" w:sz="8" w:color="B2B2B2"/>
            </w:tcBorders>
          </w:tcPr>
          <w:p>
            <w:pPr>
              <w:jc w:val="right"/>
              <w:ind w:right="201"/>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b w:val="1"/>
                <w:bCs w:val="1"/>
                <w:color w:val="auto"/>
              </w:rPr>
              <w:t>98</w:t>
            </w: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99</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9"/>
        </w:trPr>
        <w:tc>
          <w:tcPr>
            <w:tcW w:w="356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Total assets</w:t>
            </w:r>
          </w:p>
        </w:tc>
        <w:tc>
          <w:tcPr>
            <w:tcW w:w="2640" w:type="dxa"/>
            <w:vAlign w:val="bottom"/>
            <w:tcBorders>
              <w:bottom w:val="single" w:sz="8" w:color="B2B2B2"/>
            </w:tcBorders>
          </w:tcPr>
          <w:p>
            <w:pPr>
              <w:jc w:val="right"/>
              <w:ind w:right="201"/>
              <w:spacing w:after="0" w:line="179" w:lineRule="exact"/>
              <w:rPr>
                <w:sz w:val="20"/>
                <w:szCs w:val="20"/>
                <w:color w:val="auto"/>
              </w:rPr>
            </w:pPr>
            <w:r>
              <w:rPr>
                <w:rFonts w:ascii="Arial" w:cs="Arial" w:eastAsia="Arial" w:hAnsi="Arial"/>
                <w:sz w:val="16"/>
                <w:szCs w:val="16"/>
                <w:b w:val="1"/>
                <w:bCs w:val="1"/>
                <w:color w:val="auto"/>
              </w:rPr>
              <w:t>1</w:t>
            </w:r>
          </w:p>
        </w:tc>
        <w:tc>
          <w:tcPr>
            <w:tcW w:w="1300" w:type="dxa"/>
            <w:vAlign w:val="bottom"/>
            <w:tcBorders>
              <w:bottom w:val="single" w:sz="8" w:color="B2B2B2"/>
            </w:tcBorders>
          </w:tcPr>
          <w:p>
            <w:pPr>
              <w:jc w:val="right"/>
              <w:ind w:right="201"/>
              <w:spacing w:after="0" w:line="179" w:lineRule="exact"/>
              <w:rPr>
                <w:sz w:val="20"/>
                <w:szCs w:val="20"/>
                <w:color w:val="auto"/>
              </w:rPr>
            </w:pPr>
            <w:r>
              <w:rPr>
                <w:rFonts w:ascii="Arial" w:cs="Arial" w:eastAsia="Arial" w:hAnsi="Arial"/>
                <w:sz w:val="16"/>
                <w:szCs w:val="16"/>
                <w:b w:val="1"/>
                <w:bCs w:val="1"/>
                <w:color w:val="auto"/>
              </w:rPr>
              <w:t>1,095</w:t>
            </w:r>
          </w:p>
        </w:tc>
        <w:tc>
          <w:tcPr>
            <w:tcW w:w="1280" w:type="dxa"/>
            <w:vAlign w:val="bottom"/>
            <w:tcBorders>
              <w:bottom w:val="single" w:sz="8" w:color="B2B2B2"/>
            </w:tcBorders>
          </w:tcPr>
          <w:p>
            <w:pPr>
              <w:jc w:val="right"/>
              <w:ind w:right="181"/>
              <w:spacing w:after="0" w:line="179" w:lineRule="exact"/>
              <w:rPr>
                <w:sz w:val="20"/>
                <w:szCs w:val="20"/>
                <w:color w:val="auto"/>
              </w:rPr>
            </w:pPr>
            <w:r>
              <w:rPr>
                <w:rFonts w:ascii="Arial" w:cs="Arial" w:eastAsia="Arial" w:hAnsi="Arial"/>
                <w:sz w:val="16"/>
                <w:szCs w:val="16"/>
                <w:b w:val="1"/>
                <w:bCs w:val="1"/>
                <w:color w:val="auto"/>
              </w:rPr>
              <w:t>458</w:t>
            </w:r>
          </w:p>
        </w:tc>
        <w:tc>
          <w:tcPr>
            <w:tcW w:w="116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b w:val="1"/>
                <w:bCs w:val="1"/>
                <w:color w:val="auto"/>
              </w:rPr>
              <w:t>1,554</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5"/>
        </w:trPr>
        <w:tc>
          <w:tcPr>
            <w:tcW w:w="3560" w:type="dxa"/>
            <w:vAlign w:val="bottom"/>
          </w:tcPr>
          <w:p>
            <w:pPr>
              <w:spacing w:after="0" w:line="165" w:lineRule="exact"/>
              <w:rPr>
                <w:sz w:val="20"/>
                <w:szCs w:val="20"/>
                <w:color w:val="auto"/>
              </w:rPr>
            </w:pPr>
            <w:r>
              <w:rPr>
                <w:rFonts w:ascii="Arial" w:cs="Arial" w:eastAsia="Arial" w:hAnsi="Arial"/>
                <w:sz w:val="16"/>
                <w:szCs w:val="16"/>
                <w:color w:val="auto"/>
              </w:rPr>
              <w:t> Liabilities</w:t>
            </w:r>
          </w:p>
        </w:tc>
        <w:tc>
          <w:tcPr>
            <w:tcW w:w="2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3560" w:type="dxa"/>
            <w:vAlign w:val="bottom"/>
          </w:tcPr>
          <w:p>
            <w:pPr>
              <w:ind w:left="180"/>
              <w:spacing w:after="0" w:line="185" w:lineRule="exact"/>
              <w:rPr>
                <w:sz w:val="20"/>
                <w:szCs w:val="20"/>
                <w:color w:val="auto"/>
              </w:rPr>
            </w:pPr>
            <w:r>
              <w:rPr>
                <w:rFonts w:ascii="Arial" w:cs="Arial" w:eastAsia="Arial" w:hAnsi="Arial"/>
                <w:sz w:val="16"/>
                <w:szCs w:val="16"/>
                <w:color w:val="auto"/>
              </w:rPr>
              <w:t> Derivatives used for hedging</w:t>
            </w:r>
            <w:r>
              <w:rPr>
                <w:rFonts w:ascii="Arial" w:cs="Arial" w:eastAsia="Arial" w:hAnsi="Arial"/>
                <w:sz w:val="19"/>
                <w:szCs w:val="19"/>
                <w:color w:val="auto"/>
                <w:vertAlign w:val="superscript"/>
              </w:rPr>
              <w:t>(3)</w:t>
            </w:r>
          </w:p>
        </w:tc>
        <w:tc>
          <w:tcPr>
            <w:tcW w:w="2640" w:type="dxa"/>
            <w:vAlign w:val="bottom"/>
          </w:tcPr>
          <w:p>
            <w:pPr>
              <w:jc w:val="right"/>
              <w:ind w:right="201"/>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ind w:right="201"/>
              <w:spacing w:after="0"/>
              <w:rPr>
                <w:sz w:val="20"/>
                <w:szCs w:val="20"/>
                <w:color w:val="auto"/>
              </w:rPr>
            </w:pPr>
            <w:r>
              <w:rPr>
                <w:rFonts w:ascii="Arial" w:cs="Arial" w:eastAsia="Arial" w:hAnsi="Arial"/>
                <w:sz w:val="16"/>
                <w:szCs w:val="16"/>
                <w:b w:val="1"/>
                <w:bCs w:val="1"/>
                <w:color w:val="auto"/>
              </w:rPr>
              <w:t>(21)</w:t>
            </w:r>
          </w:p>
        </w:tc>
        <w:tc>
          <w:tcPr>
            <w:tcW w:w="1280" w:type="dxa"/>
            <w:vAlign w:val="bottom"/>
          </w:tcPr>
          <w:p>
            <w:pPr>
              <w:jc w:val="right"/>
              <w:ind w:right="181"/>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3560" w:type="dxa"/>
            <w:vAlign w:val="bottom"/>
            <w:tcBorders>
              <w:bottom w:val="single" w:sz="8" w:color="B2B2B2"/>
            </w:tcBorders>
          </w:tcPr>
          <w:p>
            <w:pPr>
              <w:ind w:left="180"/>
              <w:spacing w:after="0" w:line="200" w:lineRule="exact"/>
              <w:rPr>
                <w:sz w:val="20"/>
                <w:szCs w:val="20"/>
                <w:color w:val="auto"/>
              </w:rPr>
            </w:pPr>
            <w:r>
              <w:rPr>
                <w:rFonts w:ascii="Arial" w:cs="Arial" w:eastAsia="Arial" w:hAnsi="Arial"/>
                <w:sz w:val="16"/>
                <w:szCs w:val="16"/>
                <w:color w:val="auto"/>
              </w:rPr>
              <w:t> Contingent consideration</w:t>
            </w:r>
            <w:r>
              <w:rPr>
                <w:rFonts w:ascii="Arial" w:cs="Arial" w:eastAsia="Arial" w:hAnsi="Arial"/>
                <w:sz w:val="19"/>
                <w:szCs w:val="19"/>
                <w:color w:val="auto"/>
                <w:vertAlign w:val="superscript"/>
              </w:rPr>
              <w:t>(4)</w:t>
            </w:r>
          </w:p>
        </w:tc>
        <w:tc>
          <w:tcPr>
            <w:tcW w:w="2640" w:type="dxa"/>
            <w:vAlign w:val="bottom"/>
            <w:tcBorders>
              <w:bottom w:val="single" w:sz="8" w:color="B2B2B2"/>
            </w:tcBorders>
          </w:tcPr>
          <w:p>
            <w:pPr>
              <w:jc w:val="right"/>
              <w:ind w:right="201"/>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B2B2B2"/>
            </w:tcBorders>
          </w:tcPr>
          <w:p>
            <w:pPr>
              <w:jc w:val="right"/>
              <w:ind w:right="201"/>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b w:val="1"/>
                <w:bCs w:val="1"/>
                <w:color w:val="auto"/>
              </w:rPr>
              <w:t>(51)</w:t>
            </w:r>
          </w:p>
        </w:tc>
        <w:tc>
          <w:tcPr>
            <w:tcW w:w="11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(51)</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9"/>
        </w:trPr>
        <w:tc>
          <w:tcPr>
            <w:tcW w:w="356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Financial liabilities at fair value through earnings</w:t>
            </w:r>
          </w:p>
        </w:tc>
        <w:tc>
          <w:tcPr>
            <w:tcW w:w="2640" w:type="dxa"/>
            <w:vAlign w:val="bottom"/>
            <w:tcBorders>
              <w:bottom w:val="single" w:sz="8" w:color="B2B2B2"/>
            </w:tcBorders>
          </w:tcPr>
          <w:p>
            <w:pPr>
              <w:jc w:val="right"/>
              <w:ind w:right="201"/>
              <w:spacing w:after="0" w:line="179" w:lineRule="exact"/>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B2B2B2"/>
            </w:tcBorders>
          </w:tcPr>
          <w:p>
            <w:pPr>
              <w:jc w:val="right"/>
              <w:ind w:right="201"/>
              <w:spacing w:after="0" w:line="179" w:lineRule="exact"/>
              <w:rPr>
                <w:sz w:val="20"/>
                <w:szCs w:val="20"/>
                <w:color w:val="auto"/>
              </w:rPr>
            </w:pPr>
            <w:r>
              <w:rPr>
                <w:rFonts w:ascii="Arial" w:cs="Arial" w:eastAsia="Arial" w:hAnsi="Arial"/>
                <w:sz w:val="16"/>
                <w:szCs w:val="16"/>
                <w:b w:val="1"/>
                <w:bCs w:val="1"/>
                <w:color w:val="auto"/>
              </w:rPr>
              <w:t>(21)</w:t>
            </w:r>
          </w:p>
        </w:tc>
        <w:tc>
          <w:tcPr>
            <w:tcW w:w="1280" w:type="dxa"/>
            <w:vAlign w:val="bottom"/>
            <w:tcBorders>
              <w:bottom w:val="single" w:sz="8" w:color="B2B2B2"/>
            </w:tcBorders>
          </w:tcPr>
          <w:p>
            <w:pPr>
              <w:jc w:val="right"/>
              <w:ind w:right="181"/>
              <w:spacing w:after="0" w:line="179" w:lineRule="exact"/>
              <w:rPr>
                <w:sz w:val="20"/>
                <w:szCs w:val="20"/>
                <w:color w:val="auto"/>
              </w:rPr>
            </w:pPr>
            <w:r>
              <w:rPr>
                <w:rFonts w:ascii="Arial" w:cs="Arial" w:eastAsia="Arial" w:hAnsi="Arial"/>
                <w:sz w:val="16"/>
                <w:szCs w:val="16"/>
                <w:b w:val="1"/>
                <w:bCs w:val="1"/>
                <w:color w:val="auto"/>
              </w:rPr>
              <w:t>(51)</w:t>
            </w:r>
          </w:p>
        </w:tc>
        <w:tc>
          <w:tcPr>
            <w:tcW w:w="116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b w:val="1"/>
                <w:bCs w:val="1"/>
                <w:color w:val="auto"/>
              </w:rPr>
              <w:t>(72)</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356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color w:val="auto"/>
              </w:rPr>
              <w:t> Total liabilities</w:t>
            </w:r>
          </w:p>
        </w:tc>
        <w:tc>
          <w:tcPr>
            <w:tcW w:w="2640" w:type="dxa"/>
            <w:vAlign w:val="bottom"/>
            <w:tcBorders>
              <w:bottom w:val="single" w:sz="8" w:color="D64000"/>
            </w:tcBorders>
          </w:tcPr>
          <w:p>
            <w:pPr>
              <w:jc w:val="right"/>
              <w:ind w:right="201"/>
              <w:spacing w:after="0" w:line="179" w:lineRule="exact"/>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D64000"/>
            </w:tcBorders>
          </w:tcPr>
          <w:p>
            <w:pPr>
              <w:jc w:val="right"/>
              <w:ind w:right="201"/>
              <w:spacing w:after="0" w:line="179" w:lineRule="exact"/>
              <w:rPr>
                <w:sz w:val="20"/>
                <w:szCs w:val="20"/>
                <w:color w:val="auto"/>
              </w:rPr>
            </w:pPr>
            <w:r>
              <w:rPr>
                <w:rFonts w:ascii="Arial" w:cs="Arial" w:eastAsia="Arial" w:hAnsi="Arial"/>
                <w:sz w:val="16"/>
                <w:szCs w:val="16"/>
                <w:b w:val="1"/>
                <w:bCs w:val="1"/>
                <w:color w:val="auto"/>
              </w:rPr>
              <w:t>(21)</w:t>
            </w:r>
          </w:p>
        </w:tc>
        <w:tc>
          <w:tcPr>
            <w:tcW w:w="1280" w:type="dxa"/>
            <w:vAlign w:val="bottom"/>
            <w:tcBorders>
              <w:bottom w:val="single" w:sz="8" w:color="D64000"/>
            </w:tcBorders>
          </w:tcPr>
          <w:p>
            <w:pPr>
              <w:jc w:val="right"/>
              <w:ind w:right="181"/>
              <w:spacing w:after="0" w:line="179" w:lineRule="exact"/>
              <w:rPr>
                <w:sz w:val="20"/>
                <w:szCs w:val="20"/>
                <w:color w:val="auto"/>
              </w:rPr>
            </w:pPr>
            <w:r>
              <w:rPr>
                <w:rFonts w:ascii="Arial" w:cs="Arial" w:eastAsia="Arial" w:hAnsi="Arial"/>
                <w:sz w:val="16"/>
                <w:szCs w:val="16"/>
                <w:b w:val="1"/>
                <w:bCs w:val="1"/>
                <w:color w:val="auto"/>
              </w:rPr>
              <w:t>(51)</w:t>
            </w:r>
          </w:p>
        </w:tc>
        <w:tc>
          <w:tcPr>
            <w:tcW w:w="116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b w:val="1"/>
                <w:bCs w:val="1"/>
                <w:color w:val="auto"/>
              </w:rPr>
              <w:t>(72)</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9"/>
        </w:trPr>
        <w:tc>
          <w:tcPr>
            <w:tcW w:w="3560" w:type="dxa"/>
            <w:vAlign w:val="bottom"/>
            <w:tcBorders>
              <w:bottom w:val="single" w:sz="8" w:color="7F7F7F"/>
            </w:tcBorders>
          </w:tcPr>
          <w:p>
            <w:pPr>
              <w:spacing w:after="0"/>
              <w:rPr>
                <w:sz w:val="13"/>
                <w:szCs w:val="13"/>
                <w:color w:val="auto"/>
              </w:rPr>
            </w:pPr>
          </w:p>
        </w:tc>
        <w:tc>
          <w:tcPr>
            <w:tcW w:w="2640" w:type="dxa"/>
            <w:vAlign w:val="bottom"/>
            <w:tcBorders>
              <w:bottom w:val="single" w:sz="8" w:color="7F7F7F"/>
            </w:tcBorders>
          </w:tcPr>
          <w:p>
            <w:pPr>
              <w:spacing w:after="0"/>
              <w:rPr>
                <w:sz w:val="13"/>
                <w:szCs w:val="13"/>
                <w:color w:val="auto"/>
              </w:rPr>
            </w:pPr>
          </w:p>
        </w:tc>
        <w:tc>
          <w:tcPr>
            <w:tcW w:w="1300" w:type="dxa"/>
            <w:vAlign w:val="bottom"/>
            <w:tcBorders>
              <w:bottom w:val="single" w:sz="8" w:color="7F7F7F"/>
            </w:tcBorders>
          </w:tcPr>
          <w:p>
            <w:pPr>
              <w:spacing w:after="0"/>
              <w:rPr>
                <w:sz w:val="13"/>
                <w:szCs w:val="13"/>
                <w:color w:val="auto"/>
              </w:rPr>
            </w:pPr>
          </w:p>
        </w:tc>
        <w:tc>
          <w:tcPr>
            <w:tcW w:w="1280" w:type="dxa"/>
            <w:vAlign w:val="bottom"/>
            <w:tcBorders>
              <w:bottom w:val="single" w:sz="8" w:color="7F7F7F"/>
            </w:tcBorders>
          </w:tcPr>
          <w:p>
            <w:pPr>
              <w:spacing w:after="0"/>
              <w:rPr>
                <w:sz w:val="13"/>
                <w:szCs w:val="13"/>
                <w:color w:val="auto"/>
              </w:rPr>
            </w:pPr>
          </w:p>
        </w:tc>
        <w:tc>
          <w:tcPr>
            <w:tcW w:w="1160" w:type="dxa"/>
            <w:vAlign w:val="bottom"/>
            <w:tcBorders>
              <w:bottom w:val="single" w:sz="8" w:color="7F7F7F"/>
            </w:tcBorders>
          </w:tcPr>
          <w:p>
            <w:pPr>
              <w:spacing w:after="0"/>
              <w:rPr>
                <w:sz w:val="13"/>
                <w:szCs w:val="13"/>
                <w:color w:val="auto"/>
              </w:rPr>
            </w:pPr>
          </w:p>
        </w:tc>
        <w:tc>
          <w:tcPr>
            <w:tcW w:w="860" w:type="dxa"/>
            <w:vAlign w:val="bottom"/>
            <w:tcBorders>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r>
      <w:tr>
        <w:trPr>
          <w:trHeight w:val="228"/>
        </w:trPr>
        <w:tc>
          <w:tcPr>
            <w:tcW w:w="3560" w:type="dxa"/>
            <w:vAlign w:val="bottom"/>
          </w:tcPr>
          <w:p>
            <w:pPr>
              <w:spacing w:after="0"/>
              <w:rPr>
                <w:sz w:val="20"/>
                <w:szCs w:val="20"/>
                <w:color w:val="auto"/>
              </w:rPr>
            </w:pPr>
            <w:r>
              <w:rPr>
                <w:rFonts w:ascii="Arial" w:cs="Arial" w:eastAsia="Arial" w:hAnsi="Arial"/>
                <w:sz w:val="17"/>
                <w:szCs w:val="17"/>
                <w:b w:val="1"/>
                <w:bCs w:val="1"/>
                <w:color w:val="auto"/>
              </w:rPr>
              <w:t>Thomson Reuters Annual Report 2024</w:t>
            </w:r>
          </w:p>
        </w:tc>
        <w:tc>
          <w:tcPr>
            <w:tcW w:w="2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gridSpan w:val="2"/>
          </w:tcPr>
          <w:p>
            <w:pPr>
              <w:ind w:left="160"/>
              <w:spacing w:after="0"/>
              <w:rPr>
                <w:sz w:val="20"/>
                <w:szCs w:val="20"/>
                <w:color w:val="auto"/>
              </w:rPr>
            </w:pPr>
            <w:r>
              <w:rPr>
                <w:rFonts w:ascii="Arial" w:cs="Arial" w:eastAsia="Arial" w:hAnsi="Arial"/>
                <w:sz w:val="17"/>
                <w:szCs w:val="17"/>
                <w:color w:val="auto"/>
                <w:w w:val="96"/>
              </w:rPr>
              <w:t>Page 121</w:t>
            </w:r>
          </w:p>
        </w:tc>
      </w:tr>
    </w:tbl>
    <w:p>
      <w:pPr>
        <w:sectPr>
          <w:pgSz w:w="11900" w:h="16838" w:orient="portrait"/>
          <w:cols w:equalWidth="0" w:num="1">
            <w:col w:w="11040"/>
          </w:cols>
          <w:pgMar w:left="320" w:top="477" w:right="5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209550</wp:posOffset>
            </wp:positionV>
            <wp:extent cx="630999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309995" cy="8255"/>
                    </a:xfrm>
                    <a:prstGeom prst="rect">
                      <a:avLst/>
                    </a:prstGeom>
                    <a:noFill/>
                  </pic:spPr>
                </pic:pic>
              </a:graphicData>
            </a:graphic>
          </wp:anchor>
        </w:drawing>
      </w:r>
    </w:p>
    <w:p>
      <w:pPr>
        <w:spacing w:after="0" w:line="310"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3780" w:type="dxa"/>
            <w:vAlign w:val="bottom"/>
            <w:tcBorders>
              <w:bottom w:val="single" w:sz="8" w:color="E3F3EE"/>
            </w:tcBorders>
            <w:shd w:val="clear" w:color="auto" w:fill="E3F3EE"/>
          </w:tcPr>
          <w:p>
            <w:pPr>
              <w:spacing w:after="0"/>
              <w:rPr>
                <w:sz w:val="20"/>
                <w:szCs w:val="20"/>
                <w:color w:val="auto"/>
              </w:rPr>
            </w:pPr>
            <w:r>
              <w:rPr>
                <w:rFonts w:ascii="Arial" w:cs="Arial" w:eastAsia="Arial" w:hAnsi="Arial"/>
                <w:sz w:val="16"/>
                <w:szCs w:val="16"/>
                <w:color w:val="auto"/>
              </w:rPr>
              <w:t>December 31, 2023</w:t>
            </w:r>
          </w:p>
        </w:tc>
        <w:tc>
          <w:tcPr>
            <w:tcW w:w="2540" w:type="dxa"/>
            <w:vAlign w:val="bottom"/>
            <w:tcBorders>
              <w:bottom w:val="single" w:sz="8" w:color="1F473D"/>
            </w:tcBorders>
            <w:shd w:val="clear" w:color="auto" w:fill="1F473D"/>
          </w:tcPr>
          <w:p>
            <w:pPr>
              <w:spacing w:after="0"/>
              <w:rPr>
                <w:sz w:val="16"/>
                <w:szCs w:val="16"/>
                <w:color w:val="auto"/>
              </w:rPr>
            </w:pPr>
          </w:p>
        </w:tc>
        <w:tc>
          <w:tcPr>
            <w:tcW w:w="1260" w:type="dxa"/>
            <w:vAlign w:val="bottom"/>
            <w:tcBorders>
              <w:bottom w:val="single" w:sz="8" w:color="1F473D"/>
            </w:tcBorders>
            <w:shd w:val="clear" w:color="auto" w:fill="1F473D"/>
          </w:tcPr>
          <w:p>
            <w:pPr>
              <w:spacing w:after="0"/>
              <w:rPr>
                <w:sz w:val="16"/>
                <w:szCs w:val="16"/>
                <w:color w:val="auto"/>
              </w:rPr>
            </w:pPr>
          </w:p>
        </w:tc>
        <w:tc>
          <w:tcPr>
            <w:tcW w:w="1240" w:type="dxa"/>
            <w:vAlign w:val="bottom"/>
            <w:tcBorders>
              <w:bottom w:val="single" w:sz="8" w:color="1F473D"/>
            </w:tcBorders>
            <w:shd w:val="clear" w:color="auto" w:fill="1F473D"/>
          </w:tcPr>
          <w:p>
            <w:pPr>
              <w:spacing w:after="0"/>
              <w:rPr>
                <w:sz w:val="16"/>
                <w:szCs w:val="16"/>
                <w:color w:val="auto"/>
              </w:rPr>
            </w:pPr>
          </w:p>
        </w:tc>
        <w:tc>
          <w:tcPr>
            <w:tcW w:w="1120" w:type="dxa"/>
            <w:vAlign w:val="bottom"/>
            <w:tcBorders>
              <w:bottom w:val="single" w:sz="8" w:color="1F473D"/>
            </w:tcBorders>
            <w:shd w:val="clear" w:color="auto" w:fill="1F473D"/>
          </w:tcPr>
          <w:p>
            <w:pPr>
              <w:jc w:val="right"/>
              <w:ind w:right="21"/>
              <w:spacing w:after="0"/>
              <w:rPr>
                <w:sz w:val="20"/>
                <w:szCs w:val="20"/>
                <w:color w:val="auto"/>
              </w:rPr>
            </w:pPr>
            <w:r>
              <w:rPr>
                <w:rFonts w:ascii="Arial" w:cs="Arial" w:eastAsia="Arial" w:hAnsi="Arial"/>
                <w:sz w:val="16"/>
                <w:szCs w:val="16"/>
                <w:b w:val="1"/>
                <w:bCs w:val="1"/>
                <w:color w:val="FFFFFF"/>
              </w:rPr>
              <w:t>Total</w:t>
            </w:r>
          </w:p>
        </w:tc>
      </w:tr>
      <w:tr>
        <w:trPr>
          <w:trHeight w:val="179"/>
        </w:trPr>
        <w:tc>
          <w:tcPr>
            <w:tcW w:w="3780" w:type="dxa"/>
            <w:vAlign w:val="bottom"/>
          </w:tcPr>
          <w:p>
            <w:pPr>
              <w:spacing w:after="0" w:line="172" w:lineRule="exact"/>
              <w:rPr>
                <w:sz w:val="20"/>
                <w:szCs w:val="20"/>
                <w:color w:val="auto"/>
              </w:rPr>
            </w:pPr>
            <w:r>
              <w:rPr>
                <w:rFonts w:ascii="Arial" w:cs="Arial" w:eastAsia="Arial" w:hAnsi="Arial"/>
                <w:sz w:val="16"/>
                <w:szCs w:val="16"/>
                <w:color w:val="auto"/>
              </w:rPr>
              <w:t> Assets</w:t>
            </w:r>
          </w:p>
        </w:tc>
        <w:tc>
          <w:tcPr>
            <w:tcW w:w="2540" w:type="dxa"/>
            <w:vAlign w:val="bottom"/>
            <w:tcBorders>
              <w:bottom w:val="single" w:sz="8" w:color="D64000"/>
            </w:tcBorders>
            <w:shd w:val="clear" w:color="auto" w:fill="1F473D"/>
          </w:tcPr>
          <w:p>
            <w:pPr>
              <w:jc w:val="right"/>
              <w:ind w:right="221"/>
              <w:spacing w:after="0" w:line="172" w:lineRule="exact"/>
              <w:rPr>
                <w:sz w:val="20"/>
                <w:szCs w:val="20"/>
                <w:color w:val="auto"/>
              </w:rPr>
            </w:pPr>
            <w:r>
              <w:rPr>
                <w:rFonts w:ascii="Arial" w:cs="Arial" w:eastAsia="Arial" w:hAnsi="Arial"/>
                <w:sz w:val="16"/>
                <w:szCs w:val="16"/>
                <w:b w:val="1"/>
                <w:bCs w:val="1"/>
                <w:color w:val="FFFFFF"/>
              </w:rPr>
              <w:t>                        Level 1</w:t>
            </w:r>
          </w:p>
        </w:tc>
        <w:tc>
          <w:tcPr>
            <w:tcW w:w="1260" w:type="dxa"/>
            <w:vAlign w:val="bottom"/>
            <w:tcBorders>
              <w:bottom w:val="single" w:sz="8" w:color="D64000"/>
            </w:tcBorders>
            <w:shd w:val="clear" w:color="auto" w:fill="1F473D"/>
          </w:tcPr>
          <w:p>
            <w:pPr>
              <w:jc w:val="right"/>
              <w:ind w:right="221"/>
              <w:spacing w:after="0" w:line="172" w:lineRule="exact"/>
              <w:rPr>
                <w:sz w:val="20"/>
                <w:szCs w:val="20"/>
                <w:color w:val="auto"/>
              </w:rPr>
            </w:pPr>
            <w:r>
              <w:rPr>
                <w:rFonts w:ascii="Arial" w:cs="Arial" w:eastAsia="Arial" w:hAnsi="Arial"/>
                <w:sz w:val="16"/>
                <w:szCs w:val="16"/>
                <w:b w:val="1"/>
                <w:bCs w:val="1"/>
                <w:color w:val="FFFFFF"/>
              </w:rPr>
              <w:t>   Level 2</w:t>
            </w:r>
          </w:p>
        </w:tc>
        <w:tc>
          <w:tcPr>
            <w:tcW w:w="1240" w:type="dxa"/>
            <w:vAlign w:val="bottom"/>
            <w:tcBorders>
              <w:bottom w:val="single" w:sz="8" w:color="D64000"/>
            </w:tcBorders>
            <w:shd w:val="clear" w:color="auto" w:fill="1F473D"/>
          </w:tcPr>
          <w:p>
            <w:pPr>
              <w:jc w:val="right"/>
              <w:ind w:right="221"/>
              <w:spacing w:after="0" w:line="172" w:lineRule="exact"/>
              <w:rPr>
                <w:sz w:val="20"/>
                <w:szCs w:val="20"/>
                <w:color w:val="auto"/>
              </w:rPr>
            </w:pPr>
            <w:r>
              <w:rPr>
                <w:rFonts w:ascii="Arial" w:cs="Arial" w:eastAsia="Arial" w:hAnsi="Arial"/>
                <w:sz w:val="16"/>
                <w:szCs w:val="16"/>
                <w:b w:val="1"/>
                <w:bCs w:val="1"/>
                <w:color w:val="FFFFFF"/>
              </w:rPr>
              <w:t>   Level 3</w:t>
            </w:r>
          </w:p>
        </w:tc>
        <w:tc>
          <w:tcPr>
            <w:tcW w:w="1120" w:type="dxa"/>
            <w:vAlign w:val="bottom"/>
            <w:tcBorders>
              <w:bottom w:val="single" w:sz="8" w:color="D64000"/>
            </w:tcBorders>
            <w:shd w:val="clear" w:color="auto" w:fill="1F473D"/>
          </w:tcPr>
          <w:p>
            <w:pPr>
              <w:jc w:val="right"/>
              <w:ind w:right="21"/>
              <w:spacing w:after="0" w:line="172" w:lineRule="exact"/>
              <w:rPr>
                <w:sz w:val="20"/>
                <w:szCs w:val="20"/>
                <w:color w:val="auto"/>
              </w:rPr>
            </w:pPr>
            <w:r>
              <w:rPr>
                <w:rFonts w:ascii="Arial" w:cs="Arial" w:eastAsia="Arial" w:hAnsi="Arial"/>
                <w:sz w:val="16"/>
                <w:szCs w:val="16"/>
                <w:b w:val="1"/>
                <w:bCs w:val="1"/>
                <w:color w:val="FFFFFF"/>
              </w:rPr>
              <w:t>   Balance</w:t>
            </w:r>
          </w:p>
        </w:tc>
      </w:tr>
      <w:tr>
        <w:trPr>
          <w:trHeight w:val="171"/>
        </w:trPr>
        <w:tc>
          <w:tcPr>
            <w:tcW w:w="3780" w:type="dxa"/>
            <w:vAlign w:val="bottom"/>
          </w:tcPr>
          <w:p>
            <w:pPr>
              <w:ind w:left="180"/>
              <w:spacing w:after="0" w:line="171" w:lineRule="exact"/>
              <w:rPr>
                <w:sz w:val="20"/>
                <w:szCs w:val="20"/>
                <w:color w:val="auto"/>
              </w:rPr>
            </w:pPr>
            <w:r>
              <w:rPr>
                <w:rFonts w:ascii="Arial" w:cs="Arial" w:eastAsia="Arial" w:hAnsi="Arial"/>
                <w:sz w:val="16"/>
                <w:szCs w:val="16"/>
                <w:color w:val="auto"/>
              </w:rPr>
              <w:t> Money market accounts</w:t>
            </w:r>
          </w:p>
        </w:tc>
        <w:tc>
          <w:tcPr>
            <w:tcW w:w="2540" w:type="dxa"/>
            <w:vAlign w:val="bottom"/>
          </w:tcPr>
          <w:p>
            <w:pPr>
              <w:jc w:val="right"/>
              <w:ind w:right="161"/>
              <w:spacing w:after="0" w:line="171"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181"/>
              <w:spacing w:after="0" w:line="171" w:lineRule="exact"/>
              <w:rPr>
                <w:sz w:val="20"/>
                <w:szCs w:val="20"/>
                <w:color w:val="auto"/>
              </w:rPr>
            </w:pPr>
            <w:r>
              <w:rPr>
                <w:rFonts w:ascii="Arial" w:cs="Arial" w:eastAsia="Arial" w:hAnsi="Arial"/>
                <w:sz w:val="16"/>
                <w:szCs w:val="16"/>
                <w:color w:val="auto"/>
              </w:rPr>
              <w:t>906</w:t>
            </w:r>
          </w:p>
        </w:tc>
        <w:tc>
          <w:tcPr>
            <w:tcW w:w="1240" w:type="dxa"/>
            <w:vAlign w:val="bottom"/>
          </w:tcPr>
          <w:p>
            <w:pPr>
              <w:jc w:val="right"/>
              <w:ind w:right="161"/>
              <w:spacing w:after="0" w:line="171"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71" w:lineRule="exact"/>
              <w:rPr>
                <w:sz w:val="20"/>
                <w:szCs w:val="20"/>
                <w:color w:val="auto"/>
              </w:rPr>
            </w:pPr>
            <w:r>
              <w:rPr>
                <w:rFonts w:ascii="Arial" w:cs="Arial" w:eastAsia="Arial" w:hAnsi="Arial"/>
                <w:sz w:val="16"/>
                <w:szCs w:val="16"/>
                <w:color w:val="auto"/>
              </w:rPr>
              <w:t>906</w:t>
            </w:r>
          </w:p>
        </w:tc>
      </w:tr>
      <w:tr>
        <w:trPr>
          <w:trHeight w:val="185"/>
        </w:trPr>
        <w:tc>
          <w:tcPr>
            <w:tcW w:w="3780" w:type="dxa"/>
            <w:vAlign w:val="bottom"/>
          </w:tcPr>
          <w:p>
            <w:pPr>
              <w:ind w:left="180"/>
              <w:spacing w:after="0" w:line="185" w:lineRule="exact"/>
              <w:rPr>
                <w:sz w:val="20"/>
                <w:szCs w:val="20"/>
                <w:color w:val="auto"/>
              </w:rPr>
            </w:pPr>
            <w:r>
              <w:rPr>
                <w:rFonts w:ascii="Arial" w:cs="Arial" w:eastAsia="Arial" w:hAnsi="Arial"/>
                <w:sz w:val="16"/>
                <w:szCs w:val="16"/>
                <w:color w:val="auto"/>
              </w:rPr>
              <w:t> Other receivables</w:t>
            </w:r>
            <w:r>
              <w:rPr>
                <w:rFonts w:ascii="Arial" w:cs="Arial" w:eastAsia="Arial" w:hAnsi="Arial"/>
                <w:sz w:val="19"/>
                <w:szCs w:val="19"/>
                <w:color w:val="auto"/>
                <w:vertAlign w:val="superscript"/>
              </w:rPr>
              <w:t>(1)</w:t>
            </w:r>
          </w:p>
        </w:tc>
        <w:tc>
          <w:tcPr>
            <w:tcW w:w="254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61"/>
              <w:spacing w:after="0"/>
              <w:rPr>
                <w:sz w:val="20"/>
                <w:szCs w:val="20"/>
                <w:color w:val="auto"/>
              </w:rPr>
            </w:pPr>
            <w:r>
              <w:rPr>
                <w:rFonts w:ascii="Arial" w:cs="Arial" w:eastAsia="Arial" w:hAnsi="Arial"/>
                <w:sz w:val="16"/>
                <w:szCs w:val="16"/>
                <w:color w:val="auto"/>
              </w:rPr>
              <w:t>263</w:t>
            </w:r>
          </w:p>
        </w:tc>
        <w:tc>
          <w:tcPr>
            <w:tcW w:w="1120" w:type="dxa"/>
            <w:vAlign w:val="bottom"/>
          </w:tcPr>
          <w:p>
            <w:pPr>
              <w:jc w:val="right"/>
              <w:spacing w:after="0"/>
              <w:rPr>
                <w:sz w:val="20"/>
                <w:szCs w:val="20"/>
                <w:color w:val="auto"/>
              </w:rPr>
            </w:pPr>
            <w:r>
              <w:rPr>
                <w:rFonts w:ascii="Arial" w:cs="Arial" w:eastAsia="Arial" w:hAnsi="Arial"/>
                <w:sz w:val="16"/>
                <w:szCs w:val="16"/>
                <w:color w:val="auto"/>
              </w:rPr>
              <w:t>263</w:t>
            </w:r>
          </w:p>
        </w:tc>
      </w:tr>
      <w:tr>
        <w:trPr>
          <w:trHeight w:val="200"/>
        </w:trPr>
        <w:tc>
          <w:tcPr>
            <w:tcW w:w="3780" w:type="dxa"/>
            <w:vAlign w:val="bottom"/>
            <w:tcBorders>
              <w:bottom w:val="single" w:sz="8" w:color="B2B2B2"/>
            </w:tcBorders>
          </w:tcPr>
          <w:p>
            <w:pPr>
              <w:ind w:left="180"/>
              <w:spacing w:after="0" w:line="200" w:lineRule="exact"/>
              <w:rPr>
                <w:sz w:val="20"/>
                <w:szCs w:val="20"/>
                <w:color w:val="auto"/>
              </w:rPr>
            </w:pPr>
            <w:r>
              <w:rPr>
                <w:rFonts w:ascii="Arial" w:cs="Arial" w:eastAsia="Arial" w:hAnsi="Arial"/>
                <w:sz w:val="16"/>
                <w:szCs w:val="16"/>
                <w:color w:val="auto"/>
              </w:rPr>
              <w:t> Foreign exchange contracts</w:t>
            </w:r>
            <w:r>
              <w:rPr>
                <w:rFonts w:ascii="Arial" w:cs="Arial" w:eastAsia="Arial" w:hAnsi="Arial"/>
                <w:sz w:val="19"/>
                <w:szCs w:val="19"/>
                <w:color w:val="auto"/>
                <w:vertAlign w:val="superscript"/>
              </w:rPr>
              <w:t>(5)</w:t>
            </w:r>
          </w:p>
        </w:tc>
        <w:tc>
          <w:tcPr>
            <w:tcW w:w="2540" w:type="dxa"/>
            <w:vAlign w:val="bottom"/>
            <w:tcBorders>
              <w:bottom w:val="single" w:sz="8" w:color="B2B2B2"/>
            </w:tcBorders>
          </w:tcPr>
          <w:p>
            <w:pPr>
              <w:jc w:val="right"/>
              <w:ind w:right="16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color w:val="auto"/>
              </w:rPr>
              <w:t>58</w:t>
            </w:r>
          </w:p>
        </w:tc>
        <w:tc>
          <w:tcPr>
            <w:tcW w:w="1240" w:type="dxa"/>
            <w:vAlign w:val="bottom"/>
            <w:tcBorders>
              <w:bottom w:val="single" w:sz="8" w:color="B2B2B2"/>
            </w:tcBorders>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58</w:t>
            </w:r>
          </w:p>
        </w:tc>
      </w:tr>
      <w:tr>
        <w:trPr>
          <w:trHeight w:val="179"/>
        </w:trPr>
        <w:tc>
          <w:tcPr>
            <w:tcW w:w="378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Financial assets at fair value through earnings</w:t>
            </w:r>
          </w:p>
        </w:tc>
        <w:tc>
          <w:tcPr>
            <w:tcW w:w="2540" w:type="dxa"/>
            <w:vAlign w:val="bottom"/>
            <w:tcBorders>
              <w:bottom w:val="single" w:sz="8" w:color="B2B2B2"/>
            </w:tcBorders>
          </w:tcPr>
          <w:p>
            <w:pPr>
              <w:jc w:val="right"/>
              <w:ind w:right="161"/>
              <w:spacing w:after="0" w:line="179"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B2B2B2"/>
            </w:tcBorders>
          </w:tcPr>
          <w:p>
            <w:pPr>
              <w:jc w:val="right"/>
              <w:ind w:right="181"/>
              <w:spacing w:after="0" w:line="179" w:lineRule="exact"/>
              <w:rPr>
                <w:sz w:val="20"/>
                <w:szCs w:val="20"/>
                <w:color w:val="auto"/>
              </w:rPr>
            </w:pPr>
            <w:r>
              <w:rPr>
                <w:rFonts w:ascii="Arial" w:cs="Arial" w:eastAsia="Arial" w:hAnsi="Arial"/>
                <w:sz w:val="16"/>
                <w:szCs w:val="16"/>
                <w:color w:val="auto"/>
              </w:rPr>
              <w:t>964</w:t>
            </w:r>
          </w:p>
        </w:tc>
        <w:tc>
          <w:tcPr>
            <w:tcW w:w="1240" w:type="dxa"/>
            <w:vAlign w:val="bottom"/>
            <w:tcBorders>
              <w:bottom w:val="single" w:sz="8" w:color="B2B2B2"/>
            </w:tcBorders>
          </w:tcPr>
          <w:p>
            <w:pPr>
              <w:jc w:val="right"/>
              <w:ind w:right="161"/>
              <w:spacing w:after="0" w:line="179" w:lineRule="exact"/>
              <w:rPr>
                <w:sz w:val="20"/>
                <w:szCs w:val="20"/>
                <w:color w:val="auto"/>
              </w:rPr>
            </w:pPr>
            <w:r>
              <w:rPr>
                <w:rFonts w:ascii="Arial" w:cs="Arial" w:eastAsia="Arial" w:hAnsi="Arial"/>
                <w:sz w:val="16"/>
                <w:szCs w:val="16"/>
                <w:color w:val="auto"/>
              </w:rPr>
              <w:t>263</w:t>
            </w:r>
          </w:p>
        </w:tc>
        <w:tc>
          <w:tcPr>
            <w:tcW w:w="112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color w:val="auto"/>
              </w:rPr>
              <w:t>1,227</w:t>
            </w:r>
          </w:p>
        </w:tc>
      </w:tr>
      <w:tr>
        <w:trPr>
          <w:trHeight w:val="165"/>
        </w:trPr>
        <w:tc>
          <w:tcPr>
            <w:tcW w:w="3780" w:type="dxa"/>
            <w:vAlign w:val="bottom"/>
          </w:tcPr>
          <w:p>
            <w:pPr>
              <w:spacing w:after="0" w:line="165" w:lineRule="exact"/>
              <w:rPr>
                <w:sz w:val="20"/>
                <w:szCs w:val="20"/>
                <w:color w:val="auto"/>
              </w:rPr>
            </w:pPr>
            <w:r>
              <w:rPr>
                <w:rFonts w:ascii="Arial" w:cs="Arial" w:eastAsia="Arial" w:hAnsi="Arial"/>
                <w:sz w:val="16"/>
                <w:szCs w:val="16"/>
                <w:color w:val="auto"/>
              </w:rPr>
              <w:t> Financial assets at fair value through other</w:t>
            </w:r>
          </w:p>
        </w:tc>
        <w:tc>
          <w:tcPr>
            <w:tcW w:w="2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0"/>
        </w:trPr>
        <w:tc>
          <w:tcPr>
            <w:tcW w:w="3780" w:type="dxa"/>
            <w:vAlign w:val="bottom"/>
            <w:tcBorders>
              <w:bottom w:val="single" w:sz="8" w:color="B2B2B2"/>
            </w:tcBorders>
          </w:tcPr>
          <w:p>
            <w:pPr>
              <w:spacing w:after="0" w:line="200" w:lineRule="exact"/>
              <w:rPr>
                <w:sz w:val="20"/>
                <w:szCs w:val="20"/>
                <w:color w:val="auto"/>
              </w:rPr>
            </w:pPr>
            <w:r>
              <w:rPr>
                <w:rFonts w:ascii="Arial" w:cs="Arial" w:eastAsia="Arial" w:hAnsi="Arial"/>
                <w:sz w:val="16"/>
                <w:szCs w:val="16"/>
                <w:color w:val="auto"/>
              </w:rPr>
              <w:t>comprehensive income</w:t>
            </w:r>
            <w:r>
              <w:rPr>
                <w:rFonts w:ascii="Arial" w:cs="Arial" w:eastAsia="Arial" w:hAnsi="Arial"/>
                <w:sz w:val="19"/>
                <w:szCs w:val="19"/>
                <w:color w:val="auto"/>
                <w:vertAlign w:val="superscript"/>
              </w:rPr>
              <w:t>(2)</w:t>
            </w:r>
          </w:p>
        </w:tc>
        <w:tc>
          <w:tcPr>
            <w:tcW w:w="2540" w:type="dxa"/>
            <w:vAlign w:val="bottom"/>
            <w:tcBorders>
              <w:bottom w:val="single" w:sz="8" w:color="B2B2B2"/>
            </w:tcBorders>
          </w:tcPr>
          <w:p>
            <w:pPr>
              <w:jc w:val="right"/>
              <w:ind w:right="161"/>
              <w:spacing w:after="0"/>
              <w:rPr>
                <w:sz w:val="20"/>
                <w:szCs w:val="20"/>
                <w:color w:val="auto"/>
              </w:rPr>
            </w:pPr>
            <w:r>
              <w:rPr>
                <w:rFonts w:ascii="Arial" w:cs="Arial" w:eastAsia="Arial" w:hAnsi="Arial"/>
                <w:sz w:val="16"/>
                <w:szCs w:val="16"/>
                <w:color w:val="auto"/>
              </w:rPr>
              <w:t>33</w:t>
            </w:r>
          </w:p>
        </w:tc>
        <w:tc>
          <w:tcPr>
            <w:tcW w:w="126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B2B2B2"/>
            </w:tcBorders>
          </w:tcPr>
          <w:p>
            <w:pPr>
              <w:jc w:val="right"/>
              <w:ind w:right="161"/>
              <w:spacing w:after="0"/>
              <w:rPr>
                <w:sz w:val="20"/>
                <w:szCs w:val="20"/>
                <w:color w:val="auto"/>
              </w:rPr>
            </w:pPr>
            <w:r>
              <w:rPr>
                <w:rFonts w:ascii="Arial" w:cs="Arial" w:eastAsia="Arial" w:hAnsi="Arial"/>
                <w:sz w:val="16"/>
                <w:szCs w:val="16"/>
                <w:color w:val="auto"/>
              </w:rPr>
              <w:t>65</w:t>
            </w:r>
          </w:p>
        </w:tc>
        <w:tc>
          <w:tcPr>
            <w:tcW w:w="11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98</w:t>
            </w:r>
          </w:p>
        </w:tc>
      </w:tr>
      <w:tr>
        <w:trPr>
          <w:trHeight w:val="179"/>
        </w:trPr>
        <w:tc>
          <w:tcPr>
            <w:tcW w:w="378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Derivatives used for hedging</w:t>
            </w:r>
            <w:r>
              <w:rPr>
                <w:rFonts w:ascii="Arial" w:cs="Arial" w:eastAsia="Arial" w:hAnsi="Arial"/>
                <w:sz w:val="19"/>
                <w:szCs w:val="19"/>
                <w:color w:val="auto"/>
                <w:vertAlign w:val="superscript"/>
              </w:rPr>
              <w:t>(3)</w:t>
            </w:r>
          </w:p>
        </w:tc>
        <w:tc>
          <w:tcPr>
            <w:tcW w:w="2540" w:type="dxa"/>
            <w:vAlign w:val="bottom"/>
            <w:tcBorders>
              <w:bottom w:val="single" w:sz="8" w:color="B2B2B2"/>
            </w:tcBorders>
          </w:tcPr>
          <w:p>
            <w:pPr>
              <w:jc w:val="right"/>
              <w:ind w:right="161"/>
              <w:spacing w:after="0" w:line="179"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B2B2B2"/>
            </w:tcBorders>
          </w:tcPr>
          <w:p>
            <w:pPr>
              <w:jc w:val="right"/>
              <w:ind w:right="181"/>
              <w:spacing w:after="0" w:line="179" w:lineRule="exact"/>
              <w:rPr>
                <w:sz w:val="20"/>
                <w:szCs w:val="20"/>
                <w:color w:val="auto"/>
              </w:rPr>
            </w:pPr>
            <w:r>
              <w:rPr>
                <w:rFonts w:ascii="Arial" w:cs="Arial" w:eastAsia="Arial" w:hAnsi="Arial"/>
                <w:sz w:val="16"/>
                <w:szCs w:val="16"/>
                <w:color w:val="auto"/>
              </w:rPr>
              <w:t>65</w:t>
            </w:r>
          </w:p>
        </w:tc>
        <w:tc>
          <w:tcPr>
            <w:tcW w:w="1240" w:type="dxa"/>
            <w:vAlign w:val="bottom"/>
            <w:tcBorders>
              <w:bottom w:val="single" w:sz="8" w:color="B2B2B2"/>
            </w:tcBorders>
          </w:tcPr>
          <w:p>
            <w:pPr>
              <w:jc w:val="right"/>
              <w:ind w:right="161"/>
              <w:spacing w:after="0" w:line="179"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color w:val="auto"/>
              </w:rPr>
              <w:t>65</w:t>
            </w:r>
          </w:p>
        </w:tc>
      </w:tr>
      <w:tr>
        <w:trPr>
          <w:trHeight w:val="179"/>
        </w:trPr>
        <w:tc>
          <w:tcPr>
            <w:tcW w:w="378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Total assets</w:t>
            </w:r>
          </w:p>
        </w:tc>
        <w:tc>
          <w:tcPr>
            <w:tcW w:w="2540" w:type="dxa"/>
            <w:vAlign w:val="bottom"/>
            <w:tcBorders>
              <w:bottom w:val="single" w:sz="8" w:color="B2B2B2"/>
            </w:tcBorders>
          </w:tcPr>
          <w:p>
            <w:pPr>
              <w:jc w:val="right"/>
              <w:ind w:right="161"/>
              <w:spacing w:after="0" w:line="179" w:lineRule="exact"/>
              <w:rPr>
                <w:sz w:val="20"/>
                <w:szCs w:val="20"/>
                <w:color w:val="auto"/>
              </w:rPr>
            </w:pPr>
            <w:r>
              <w:rPr>
                <w:rFonts w:ascii="Arial" w:cs="Arial" w:eastAsia="Arial" w:hAnsi="Arial"/>
                <w:sz w:val="16"/>
                <w:szCs w:val="16"/>
                <w:color w:val="auto"/>
              </w:rPr>
              <w:t>33</w:t>
            </w:r>
          </w:p>
        </w:tc>
        <w:tc>
          <w:tcPr>
            <w:tcW w:w="1260" w:type="dxa"/>
            <w:vAlign w:val="bottom"/>
            <w:tcBorders>
              <w:bottom w:val="single" w:sz="8" w:color="B2B2B2"/>
            </w:tcBorders>
          </w:tcPr>
          <w:p>
            <w:pPr>
              <w:jc w:val="right"/>
              <w:ind w:right="181"/>
              <w:spacing w:after="0" w:line="179" w:lineRule="exact"/>
              <w:rPr>
                <w:sz w:val="20"/>
                <w:szCs w:val="20"/>
                <w:color w:val="auto"/>
              </w:rPr>
            </w:pPr>
            <w:r>
              <w:rPr>
                <w:rFonts w:ascii="Arial" w:cs="Arial" w:eastAsia="Arial" w:hAnsi="Arial"/>
                <w:sz w:val="16"/>
                <w:szCs w:val="16"/>
                <w:color w:val="auto"/>
              </w:rPr>
              <w:t>1,029</w:t>
            </w:r>
          </w:p>
        </w:tc>
        <w:tc>
          <w:tcPr>
            <w:tcW w:w="1240" w:type="dxa"/>
            <w:vAlign w:val="bottom"/>
            <w:tcBorders>
              <w:bottom w:val="single" w:sz="8" w:color="B2B2B2"/>
            </w:tcBorders>
          </w:tcPr>
          <w:p>
            <w:pPr>
              <w:jc w:val="right"/>
              <w:ind w:right="161"/>
              <w:spacing w:after="0" w:line="179" w:lineRule="exact"/>
              <w:rPr>
                <w:sz w:val="20"/>
                <w:szCs w:val="20"/>
                <w:color w:val="auto"/>
              </w:rPr>
            </w:pPr>
            <w:r>
              <w:rPr>
                <w:rFonts w:ascii="Arial" w:cs="Arial" w:eastAsia="Arial" w:hAnsi="Arial"/>
                <w:sz w:val="16"/>
                <w:szCs w:val="16"/>
                <w:color w:val="auto"/>
              </w:rPr>
              <w:t>328</w:t>
            </w:r>
          </w:p>
        </w:tc>
        <w:tc>
          <w:tcPr>
            <w:tcW w:w="112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color w:val="auto"/>
              </w:rPr>
              <w:t>1,390</w:t>
            </w:r>
          </w:p>
        </w:tc>
      </w:tr>
      <w:tr>
        <w:trPr>
          <w:trHeight w:val="257"/>
        </w:trPr>
        <w:tc>
          <w:tcPr>
            <w:tcW w:w="3780" w:type="dxa"/>
            <w:vAlign w:val="bottom"/>
          </w:tcPr>
          <w:p>
            <w:pPr>
              <w:spacing w:after="0"/>
              <w:rPr>
                <w:sz w:val="20"/>
                <w:szCs w:val="20"/>
                <w:color w:val="auto"/>
              </w:rPr>
            </w:pPr>
            <w:r>
              <w:rPr>
                <w:rFonts w:ascii="Arial" w:cs="Arial" w:eastAsia="Arial" w:hAnsi="Arial"/>
                <w:sz w:val="16"/>
                <w:szCs w:val="16"/>
                <w:color w:val="auto"/>
              </w:rPr>
              <w:t> Liabilities</w:t>
            </w:r>
          </w:p>
        </w:tc>
        <w:tc>
          <w:tcPr>
            <w:tcW w:w="25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186"/>
        </w:trPr>
        <w:tc>
          <w:tcPr>
            <w:tcW w:w="3780" w:type="dxa"/>
            <w:vAlign w:val="bottom"/>
          </w:tcPr>
          <w:p>
            <w:pPr>
              <w:ind w:left="180"/>
              <w:spacing w:after="0" w:line="185" w:lineRule="exact"/>
              <w:rPr>
                <w:sz w:val="20"/>
                <w:szCs w:val="20"/>
                <w:color w:val="auto"/>
              </w:rPr>
            </w:pPr>
            <w:r>
              <w:rPr>
                <w:rFonts w:ascii="Arial" w:cs="Arial" w:eastAsia="Arial" w:hAnsi="Arial"/>
                <w:sz w:val="16"/>
                <w:szCs w:val="16"/>
                <w:color w:val="auto"/>
              </w:rPr>
              <w:t> Foreign exchange contracts</w:t>
            </w:r>
            <w:r>
              <w:rPr>
                <w:rFonts w:ascii="Arial" w:cs="Arial" w:eastAsia="Arial" w:hAnsi="Arial"/>
                <w:sz w:val="19"/>
                <w:szCs w:val="19"/>
                <w:color w:val="auto"/>
                <w:vertAlign w:val="superscript"/>
              </w:rPr>
              <w:t>(5)</w:t>
            </w:r>
          </w:p>
        </w:tc>
        <w:tc>
          <w:tcPr>
            <w:tcW w:w="254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81"/>
              <w:spacing w:after="0"/>
              <w:rPr>
                <w:sz w:val="20"/>
                <w:szCs w:val="20"/>
                <w:color w:val="auto"/>
              </w:rPr>
            </w:pPr>
            <w:r>
              <w:rPr>
                <w:rFonts w:ascii="Arial" w:cs="Arial" w:eastAsia="Arial" w:hAnsi="Arial"/>
                <w:sz w:val="16"/>
                <w:szCs w:val="16"/>
                <w:color w:val="auto"/>
              </w:rPr>
              <w:t>(32)</w:t>
            </w:r>
          </w:p>
        </w:tc>
        <w:tc>
          <w:tcPr>
            <w:tcW w:w="124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00"/>
        </w:trPr>
        <w:tc>
          <w:tcPr>
            <w:tcW w:w="3780" w:type="dxa"/>
            <w:vAlign w:val="bottom"/>
            <w:tcBorders>
              <w:bottom w:val="single" w:sz="8" w:color="B2B2B2"/>
            </w:tcBorders>
          </w:tcPr>
          <w:p>
            <w:pPr>
              <w:ind w:left="180"/>
              <w:spacing w:after="0" w:line="200" w:lineRule="exact"/>
              <w:rPr>
                <w:sz w:val="20"/>
                <w:szCs w:val="20"/>
                <w:color w:val="auto"/>
              </w:rPr>
            </w:pPr>
            <w:r>
              <w:rPr>
                <w:rFonts w:ascii="Arial" w:cs="Arial" w:eastAsia="Arial" w:hAnsi="Arial"/>
                <w:sz w:val="16"/>
                <w:szCs w:val="16"/>
                <w:color w:val="auto"/>
              </w:rPr>
              <w:t> Contingent consideration</w:t>
            </w:r>
            <w:r>
              <w:rPr>
                <w:rFonts w:ascii="Arial" w:cs="Arial" w:eastAsia="Arial" w:hAnsi="Arial"/>
                <w:sz w:val="19"/>
                <w:szCs w:val="19"/>
                <w:color w:val="auto"/>
                <w:vertAlign w:val="superscript"/>
              </w:rPr>
              <w:t>(4)</w:t>
            </w:r>
          </w:p>
        </w:tc>
        <w:tc>
          <w:tcPr>
            <w:tcW w:w="2540" w:type="dxa"/>
            <w:vAlign w:val="bottom"/>
            <w:tcBorders>
              <w:bottom w:val="single" w:sz="8" w:color="B2B2B2"/>
            </w:tcBorders>
          </w:tcPr>
          <w:p>
            <w:pPr>
              <w:jc w:val="right"/>
              <w:ind w:right="16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B2B2B2"/>
            </w:tcBorders>
          </w:tcPr>
          <w:p>
            <w:pPr>
              <w:jc w:val="right"/>
              <w:ind w:right="161"/>
              <w:spacing w:after="0"/>
              <w:rPr>
                <w:sz w:val="20"/>
                <w:szCs w:val="20"/>
                <w:color w:val="auto"/>
              </w:rPr>
            </w:pPr>
            <w:r>
              <w:rPr>
                <w:rFonts w:ascii="Arial" w:cs="Arial" w:eastAsia="Arial" w:hAnsi="Arial"/>
                <w:sz w:val="16"/>
                <w:szCs w:val="16"/>
                <w:color w:val="auto"/>
              </w:rPr>
              <w:t>(22)</w:t>
            </w:r>
          </w:p>
        </w:tc>
        <w:tc>
          <w:tcPr>
            <w:tcW w:w="11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(22)</w:t>
            </w:r>
          </w:p>
        </w:tc>
      </w:tr>
      <w:tr>
        <w:trPr>
          <w:trHeight w:val="179"/>
        </w:trPr>
        <w:tc>
          <w:tcPr>
            <w:tcW w:w="378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Financial liabilities at fair value through earnings</w:t>
            </w:r>
          </w:p>
        </w:tc>
        <w:tc>
          <w:tcPr>
            <w:tcW w:w="2540" w:type="dxa"/>
            <w:vAlign w:val="bottom"/>
            <w:tcBorders>
              <w:bottom w:val="single" w:sz="8" w:color="B2B2B2"/>
            </w:tcBorders>
          </w:tcPr>
          <w:p>
            <w:pPr>
              <w:jc w:val="right"/>
              <w:ind w:right="161"/>
              <w:spacing w:after="0" w:line="179"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B2B2B2"/>
            </w:tcBorders>
          </w:tcPr>
          <w:p>
            <w:pPr>
              <w:jc w:val="right"/>
              <w:ind w:right="181"/>
              <w:spacing w:after="0" w:line="179" w:lineRule="exact"/>
              <w:rPr>
                <w:sz w:val="20"/>
                <w:szCs w:val="20"/>
                <w:color w:val="auto"/>
              </w:rPr>
            </w:pPr>
            <w:r>
              <w:rPr>
                <w:rFonts w:ascii="Arial" w:cs="Arial" w:eastAsia="Arial" w:hAnsi="Arial"/>
                <w:sz w:val="16"/>
                <w:szCs w:val="16"/>
                <w:color w:val="auto"/>
              </w:rPr>
              <w:t>(32)</w:t>
            </w:r>
          </w:p>
        </w:tc>
        <w:tc>
          <w:tcPr>
            <w:tcW w:w="1240" w:type="dxa"/>
            <w:vAlign w:val="bottom"/>
            <w:tcBorders>
              <w:bottom w:val="single" w:sz="8" w:color="B2B2B2"/>
            </w:tcBorders>
          </w:tcPr>
          <w:p>
            <w:pPr>
              <w:jc w:val="right"/>
              <w:ind w:right="161"/>
              <w:spacing w:after="0" w:line="179" w:lineRule="exact"/>
              <w:rPr>
                <w:sz w:val="20"/>
                <w:szCs w:val="20"/>
                <w:color w:val="auto"/>
              </w:rPr>
            </w:pPr>
            <w:r>
              <w:rPr>
                <w:rFonts w:ascii="Arial" w:cs="Arial" w:eastAsia="Arial" w:hAnsi="Arial"/>
                <w:sz w:val="16"/>
                <w:szCs w:val="16"/>
                <w:color w:val="auto"/>
              </w:rPr>
              <w:t>(22)</w:t>
            </w:r>
          </w:p>
        </w:tc>
        <w:tc>
          <w:tcPr>
            <w:tcW w:w="112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color w:val="auto"/>
              </w:rPr>
              <w:t>(54)</w:t>
            </w:r>
          </w:p>
        </w:tc>
      </w:tr>
      <w:tr>
        <w:trPr>
          <w:trHeight w:val="185"/>
        </w:trPr>
        <w:tc>
          <w:tcPr>
            <w:tcW w:w="378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color w:val="auto"/>
              </w:rPr>
              <w:t> Total liabilities</w:t>
            </w:r>
          </w:p>
        </w:tc>
        <w:tc>
          <w:tcPr>
            <w:tcW w:w="2540" w:type="dxa"/>
            <w:vAlign w:val="bottom"/>
            <w:tcBorders>
              <w:bottom w:val="single" w:sz="8" w:color="D64000"/>
            </w:tcBorders>
          </w:tcPr>
          <w:p>
            <w:pPr>
              <w:jc w:val="right"/>
              <w:ind w:right="161"/>
              <w:spacing w:after="0" w:line="179"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D64000"/>
            </w:tcBorders>
          </w:tcPr>
          <w:p>
            <w:pPr>
              <w:jc w:val="right"/>
              <w:ind w:right="181"/>
              <w:spacing w:after="0" w:line="179" w:lineRule="exact"/>
              <w:rPr>
                <w:sz w:val="20"/>
                <w:szCs w:val="20"/>
                <w:color w:val="auto"/>
              </w:rPr>
            </w:pPr>
            <w:r>
              <w:rPr>
                <w:rFonts w:ascii="Arial" w:cs="Arial" w:eastAsia="Arial" w:hAnsi="Arial"/>
                <w:sz w:val="16"/>
                <w:szCs w:val="16"/>
                <w:color w:val="auto"/>
              </w:rPr>
              <w:t>(32)</w:t>
            </w:r>
          </w:p>
        </w:tc>
        <w:tc>
          <w:tcPr>
            <w:tcW w:w="1240" w:type="dxa"/>
            <w:vAlign w:val="bottom"/>
            <w:tcBorders>
              <w:bottom w:val="single" w:sz="8" w:color="D64000"/>
            </w:tcBorders>
          </w:tcPr>
          <w:p>
            <w:pPr>
              <w:jc w:val="right"/>
              <w:ind w:right="161"/>
              <w:spacing w:after="0" w:line="179" w:lineRule="exact"/>
              <w:rPr>
                <w:sz w:val="20"/>
                <w:szCs w:val="20"/>
                <w:color w:val="auto"/>
              </w:rPr>
            </w:pPr>
            <w:r>
              <w:rPr>
                <w:rFonts w:ascii="Arial" w:cs="Arial" w:eastAsia="Arial" w:hAnsi="Arial"/>
                <w:sz w:val="16"/>
                <w:szCs w:val="16"/>
                <w:color w:val="auto"/>
              </w:rPr>
              <w:t>(22)</w:t>
            </w:r>
          </w:p>
        </w:tc>
        <w:tc>
          <w:tcPr>
            <w:tcW w:w="112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(54)</w:t>
            </w:r>
          </w:p>
        </w:tc>
      </w:tr>
    </w:tbl>
    <w:p>
      <w:pPr>
        <w:spacing w:after="0" w:line="110" w:lineRule="exact"/>
        <w:rPr>
          <w:sz w:val="20"/>
          <w:szCs w:val="20"/>
          <w:color w:val="auto"/>
        </w:rPr>
      </w:pPr>
    </w:p>
    <w:p>
      <w:pPr>
        <w:ind w:left="540" w:hanging="322"/>
        <w:spacing w:after="0"/>
        <w:tabs>
          <w:tab w:leader="none" w:pos="5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Receivable under an indemnification arrangement and contingent receivable (see below).</w:t>
      </w:r>
    </w:p>
    <w:p>
      <w:pPr>
        <w:spacing w:after="0" w:line="24" w:lineRule="exact"/>
        <w:rPr>
          <w:rFonts w:ascii="Arial" w:cs="Arial" w:eastAsia="Arial" w:hAnsi="Arial"/>
          <w:sz w:val="14"/>
          <w:szCs w:val="14"/>
          <w:color w:val="auto"/>
        </w:rPr>
      </w:pPr>
    </w:p>
    <w:p>
      <w:pPr>
        <w:ind w:left="540" w:hanging="322"/>
        <w:spacing w:after="0"/>
        <w:tabs>
          <w:tab w:leader="none" w:pos="5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Investments in entities over which the Company does not have control, joint control or significant influence.</w:t>
      </w:r>
    </w:p>
    <w:p>
      <w:pPr>
        <w:spacing w:after="0" w:line="11" w:lineRule="exact"/>
        <w:rPr>
          <w:rFonts w:ascii="Arial" w:cs="Arial" w:eastAsia="Arial" w:hAnsi="Arial"/>
          <w:sz w:val="14"/>
          <w:szCs w:val="14"/>
          <w:color w:val="auto"/>
        </w:rPr>
      </w:pPr>
    </w:p>
    <w:p>
      <w:pPr>
        <w:ind w:left="540" w:hanging="322"/>
        <w:spacing w:after="0"/>
        <w:tabs>
          <w:tab w:leader="none" w:pos="5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Comprised of fixed-to-fixed cross-currency swaps on indebtedness.</w:t>
      </w:r>
    </w:p>
    <w:p>
      <w:pPr>
        <w:spacing w:after="0" w:line="11" w:lineRule="exact"/>
        <w:rPr>
          <w:rFonts w:ascii="Arial" w:cs="Arial" w:eastAsia="Arial" w:hAnsi="Arial"/>
          <w:sz w:val="14"/>
          <w:szCs w:val="14"/>
          <w:color w:val="auto"/>
        </w:rPr>
      </w:pPr>
    </w:p>
    <w:p>
      <w:pPr>
        <w:ind w:left="540" w:right="360" w:hanging="322"/>
        <w:spacing w:after="0" w:line="246" w:lineRule="auto"/>
        <w:tabs>
          <w:tab w:leader="none" w:pos="5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Obligations to pay additional consideration for prior acquisitions, based upon performance measures contractually agreed at the time of purchase, and to purchase shares from minority owners of a subsidiary.</w:t>
      </w:r>
    </w:p>
    <w:p>
      <w:pPr>
        <w:spacing w:after="0" w:line="1" w:lineRule="exact"/>
        <w:rPr>
          <w:rFonts w:ascii="Arial" w:cs="Arial" w:eastAsia="Arial" w:hAnsi="Arial"/>
          <w:sz w:val="14"/>
          <w:szCs w:val="14"/>
          <w:color w:val="auto"/>
        </w:rPr>
      </w:pPr>
    </w:p>
    <w:p>
      <w:pPr>
        <w:ind w:left="540" w:hanging="322"/>
        <w:spacing w:after="0"/>
        <w:tabs>
          <w:tab w:leader="none" w:pos="5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Related to the management of foreign exchange risk on a portion of the Company’s former indirect investment in LSEG.</w:t>
      </w:r>
    </w:p>
    <w:p>
      <w:pPr>
        <w:spacing w:after="0" w:line="51" w:lineRule="exact"/>
        <w:rPr>
          <w:sz w:val="20"/>
          <w:szCs w:val="20"/>
          <w:color w:val="auto"/>
        </w:rPr>
      </w:pPr>
    </w:p>
    <w:p>
      <w:pPr>
        <w:ind w:left="220" w:right="60"/>
        <w:spacing w:after="0" w:line="235" w:lineRule="auto"/>
        <w:rPr>
          <w:sz w:val="20"/>
          <w:szCs w:val="20"/>
          <w:color w:val="auto"/>
        </w:rPr>
      </w:pPr>
      <w:r>
        <w:rPr>
          <w:rFonts w:ascii="Arial" w:cs="Arial" w:eastAsia="Arial" w:hAnsi="Arial"/>
          <w:sz w:val="17"/>
          <w:szCs w:val="17"/>
          <w:color w:val="auto"/>
        </w:rPr>
        <w:t>As of December 31, 2024, other receivables in level 3 of the fair value measurement hierarchy include amounts due from an indemnification arrangement and $88 million in contingent receivables from the sale of FindLaw (see note 7), the fair value of which is subject to the achievement of certain performance milestones over the next six to eighteen months. The increase in the receivable between December 31, 2023 and December 31, 2024 reflects the establishment of the receivables from the sale of FindLaw and to a lesser extent, fair value gains associated with the indemnification arrangement. The fair value movements associated with the indemnification receivable are included within “Earnings from discontinued operations, net of tax”, in the consolidated income statement.</w:t>
      </w:r>
    </w:p>
    <w:p>
      <w:pPr>
        <w:spacing w:after="0" w:line="57" w:lineRule="exact"/>
        <w:rPr>
          <w:sz w:val="20"/>
          <w:szCs w:val="20"/>
          <w:color w:val="auto"/>
        </w:rPr>
      </w:pPr>
    </w:p>
    <w:p>
      <w:pPr>
        <w:ind w:left="220" w:right="400"/>
        <w:spacing w:after="0" w:line="243" w:lineRule="auto"/>
        <w:rPr>
          <w:sz w:val="20"/>
          <w:szCs w:val="20"/>
          <w:color w:val="auto"/>
        </w:rPr>
      </w:pPr>
      <w:r>
        <w:rPr>
          <w:rFonts w:ascii="Arial" w:cs="Arial" w:eastAsia="Arial" w:hAnsi="Arial"/>
          <w:sz w:val="17"/>
          <w:szCs w:val="17"/>
          <w:color w:val="auto"/>
        </w:rPr>
        <w:t>The Company recognizes transfers into and out of the fair value measurement hierarchy levels at the end of the reporting period in which the event or change in circumstances that caused the transfer occurred. There were no transfers between hierarchy levels for the year ended December 31, 2024.</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Valuation Techniques</w:t>
      </w:r>
    </w:p>
    <w:p>
      <w:pPr>
        <w:spacing w:after="0" w:line="6" w:lineRule="exact"/>
        <w:rPr>
          <w:sz w:val="20"/>
          <w:szCs w:val="20"/>
          <w:color w:val="auto"/>
        </w:rPr>
      </w:pPr>
    </w:p>
    <w:p>
      <w:pPr>
        <w:ind w:left="220" w:right="120"/>
        <w:spacing w:after="0" w:line="233" w:lineRule="auto"/>
        <w:rPr>
          <w:sz w:val="20"/>
          <w:szCs w:val="20"/>
          <w:color w:val="auto"/>
        </w:rPr>
      </w:pPr>
      <w:r>
        <w:rPr>
          <w:rFonts w:ascii="Arial" w:cs="Arial" w:eastAsia="Arial" w:hAnsi="Arial"/>
          <w:sz w:val="17"/>
          <w:szCs w:val="17"/>
          <w:color w:val="auto"/>
        </w:rPr>
        <w:t>The fair value of financial instruments that are not traded in an active market (for example, over-the-counter derivatives) is determined by using valuation techniques. These valuation techniques maximize the use of observable market data where it is available and rely as little as possible on entity specific estimates. If all significant inputs required to fair value an instrument are observable, the instrument is included in level 2. If one or more of the significant inputs is not based on observable market data, the instrument is included in level 3.</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Specific valuation techniques used to value financial instruments include:</w:t>
      </w:r>
    </w:p>
    <w:p>
      <w:pPr>
        <w:spacing w:after="0" w:line="109" w:lineRule="exact"/>
        <w:rPr>
          <w:sz w:val="20"/>
          <w:szCs w:val="20"/>
          <w:color w:val="auto"/>
        </w:rPr>
      </w:pPr>
    </w:p>
    <w:p>
      <w:pPr>
        <w:ind w:left="640" w:hanging="422"/>
        <w:spacing w:after="0"/>
        <w:tabs>
          <w:tab w:leader="none" w:pos="640" w:val="left"/>
        </w:tabs>
        <w:numPr>
          <w:ilvl w:val="0"/>
          <w:numId w:val="130"/>
        </w:numPr>
        <w:rPr>
          <w:rFonts w:ascii="Arial" w:cs="Arial" w:eastAsia="Arial" w:hAnsi="Arial"/>
          <w:sz w:val="17"/>
          <w:szCs w:val="17"/>
          <w:color w:val="D64000"/>
        </w:rPr>
      </w:pPr>
      <w:r>
        <w:rPr>
          <w:rFonts w:ascii="Arial" w:cs="Arial" w:eastAsia="Arial" w:hAnsi="Arial"/>
          <w:sz w:val="17"/>
          <w:szCs w:val="17"/>
          <w:color w:val="auto"/>
        </w:rPr>
        <w:t>The fair value of investments reflect pricing from equity funding rounds, as applicable, and quoted market prices;</w:t>
      </w:r>
    </w:p>
    <w:p>
      <w:pPr>
        <w:spacing w:after="0" w:line="19" w:lineRule="exact"/>
        <w:rPr>
          <w:rFonts w:ascii="Arial" w:cs="Arial" w:eastAsia="Arial" w:hAnsi="Arial"/>
          <w:sz w:val="17"/>
          <w:szCs w:val="17"/>
          <w:color w:val="D64000"/>
        </w:rPr>
      </w:pPr>
    </w:p>
    <w:p>
      <w:pPr>
        <w:ind w:left="640" w:right="320" w:hanging="422"/>
        <w:spacing w:after="0" w:line="235" w:lineRule="auto"/>
        <w:tabs>
          <w:tab w:leader="none" w:pos="640" w:val="left"/>
        </w:tabs>
        <w:numPr>
          <w:ilvl w:val="0"/>
          <w:numId w:val="130"/>
        </w:numPr>
        <w:rPr>
          <w:rFonts w:ascii="Arial" w:cs="Arial" w:eastAsia="Arial" w:hAnsi="Arial"/>
          <w:sz w:val="17"/>
          <w:szCs w:val="17"/>
          <w:color w:val="D64000"/>
        </w:rPr>
      </w:pPr>
      <w:r>
        <w:rPr>
          <w:rFonts w:ascii="Arial" w:cs="Arial" w:eastAsia="Arial" w:hAnsi="Arial"/>
          <w:sz w:val="17"/>
          <w:szCs w:val="17"/>
          <w:color w:val="auto"/>
        </w:rPr>
        <w:t>The fair value of cross-currency interest rate swaps and foreign exchange contracts are calculated as the present value of the estimated future cash flows based on observable yield curves;</w:t>
      </w:r>
    </w:p>
    <w:p>
      <w:pPr>
        <w:spacing w:after="0" w:line="1" w:lineRule="exact"/>
        <w:rPr>
          <w:rFonts w:ascii="Arial" w:cs="Arial" w:eastAsia="Arial" w:hAnsi="Arial"/>
          <w:sz w:val="17"/>
          <w:szCs w:val="17"/>
          <w:color w:val="D64000"/>
        </w:rPr>
      </w:pPr>
    </w:p>
    <w:p>
      <w:pPr>
        <w:ind w:left="640" w:right="300" w:hanging="422"/>
        <w:spacing w:after="0" w:line="235" w:lineRule="auto"/>
        <w:tabs>
          <w:tab w:leader="none" w:pos="640" w:val="left"/>
        </w:tabs>
        <w:numPr>
          <w:ilvl w:val="0"/>
          <w:numId w:val="130"/>
        </w:numPr>
        <w:rPr>
          <w:rFonts w:ascii="Arial" w:cs="Arial" w:eastAsia="Arial" w:hAnsi="Arial"/>
          <w:sz w:val="17"/>
          <w:szCs w:val="17"/>
          <w:color w:val="D64000"/>
        </w:rPr>
      </w:pPr>
      <w:r>
        <w:rPr>
          <w:rFonts w:ascii="Arial" w:cs="Arial" w:eastAsia="Arial" w:hAnsi="Arial"/>
          <w:sz w:val="17"/>
          <w:szCs w:val="17"/>
          <w:color w:val="auto"/>
        </w:rPr>
        <w:t>The fair value of receivables due under indemnification arrangement considers estimated future cash flows, current market interest rates and non-performance risk;</w:t>
      </w:r>
    </w:p>
    <w:p>
      <w:pPr>
        <w:spacing w:after="0" w:line="1" w:lineRule="exact"/>
        <w:rPr>
          <w:rFonts w:ascii="Arial" w:cs="Arial" w:eastAsia="Arial" w:hAnsi="Arial"/>
          <w:sz w:val="17"/>
          <w:szCs w:val="17"/>
          <w:color w:val="D64000"/>
        </w:rPr>
      </w:pPr>
    </w:p>
    <w:p>
      <w:pPr>
        <w:ind w:left="640" w:hanging="422"/>
        <w:spacing w:after="0"/>
        <w:tabs>
          <w:tab w:leader="none" w:pos="640" w:val="left"/>
        </w:tabs>
        <w:numPr>
          <w:ilvl w:val="0"/>
          <w:numId w:val="130"/>
        </w:numPr>
        <w:rPr>
          <w:rFonts w:ascii="Arial" w:cs="Arial" w:eastAsia="Arial" w:hAnsi="Arial"/>
          <w:sz w:val="17"/>
          <w:szCs w:val="17"/>
          <w:color w:val="D64000"/>
        </w:rPr>
      </w:pPr>
      <w:r>
        <w:rPr>
          <w:rFonts w:ascii="Arial" w:cs="Arial" w:eastAsia="Arial" w:hAnsi="Arial"/>
          <w:sz w:val="17"/>
          <w:szCs w:val="17"/>
          <w:color w:val="auto"/>
        </w:rPr>
        <w:t>The fair value of contingent receivables from the sale of FindLaw are based on a discounted cash flow analysis;</w:t>
      </w:r>
    </w:p>
    <w:p>
      <w:pPr>
        <w:spacing w:after="0" w:line="3" w:lineRule="exact"/>
        <w:rPr>
          <w:rFonts w:ascii="Arial" w:cs="Arial" w:eastAsia="Arial" w:hAnsi="Arial"/>
          <w:sz w:val="17"/>
          <w:szCs w:val="17"/>
          <w:color w:val="D64000"/>
        </w:rPr>
      </w:pPr>
    </w:p>
    <w:p>
      <w:pPr>
        <w:ind w:left="640" w:right="340" w:hanging="422"/>
        <w:spacing w:after="0"/>
        <w:tabs>
          <w:tab w:leader="none" w:pos="640" w:val="left"/>
        </w:tabs>
        <w:numPr>
          <w:ilvl w:val="0"/>
          <w:numId w:val="130"/>
        </w:numPr>
        <w:rPr>
          <w:rFonts w:ascii="Arial" w:cs="Arial" w:eastAsia="Arial" w:hAnsi="Arial"/>
          <w:sz w:val="17"/>
          <w:szCs w:val="17"/>
          <w:color w:val="D64000"/>
        </w:rPr>
      </w:pPr>
      <w:r>
        <w:rPr>
          <w:rFonts w:ascii="Arial" w:cs="Arial" w:eastAsia="Arial" w:hAnsi="Arial"/>
          <w:sz w:val="17"/>
          <w:szCs w:val="17"/>
          <w:color w:val="auto"/>
        </w:rPr>
        <w:t>The fair value of contingent consideration liability is calculated based on estimates of future revenue performance or the achievement of certain commercial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92075</wp:posOffset>
            </wp:positionV>
            <wp:extent cx="686562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6"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122</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Offsetting Financial Assets and Financial Liabilities</w:t>
      </w:r>
    </w:p>
    <w:p>
      <w:pPr>
        <w:spacing w:after="0" w:line="6" w:lineRule="exact"/>
        <w:rPr>
          <w:sz w:val="20"/>
          <w:szCs w:val="20"/>
          <w:color w:val="auto"/>
        </w:rPr>
      </w:pPr>
    </w:p>
    <w:p>
      <w:pPr>
        <w:ind w:left="220" w:right="60"/>
        <w:spacing w:after="0" w:line="232" w:lineRule="auto"/>
        <w:rPr>
          <w:sz w:val="20"/>
          <w:szCs w:val="20"/>
          <w:color w:val="auto"/>
        </w:rPr>
      </w:pPr>
      <w:r>
        <w:rPr>
          <w:rFonts w:ascii="Arial" w:cs="Arial" w:eastAsia="Arial" w:hAnsi="Arial"/>
          <w:sz w:val="17"/>
          <w:szCs w:val="17"/>
          <w:color w:val="auto"/>
        </w:rPr>
        <w:t>The Company is subject to master netting arrangements with certain counterparties. Certain of these arrangements allow for the netting of assets and liabilities in the ordinary course of business and are reflected on a net basis in the consolidated statement of financial position. In other circumstances, netting is permitted only in the event of bankruptcy or default of either party to the agreement, and such amounts are not netted in the consolidated statement of financial position. The following table sets forth balances that are subject to master netting arrangements, however there were no offsetting amounts as of December 31, 2024 or 2023.</w:t>
      </w:r>
    </w:p>
    <w:p>
      <w:pPr>
        <w:spacing w:after="0" w:line="196"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2340" w:type="dxa"/>
            <w:vAlign w:val="bottom"/>
            <w:shd w:val="clear" w:color="auto" w:fill="1F473D"/>
          </w:tcPr>
          <w:p>
            <w:pPr>
              <w:spacing w:after="0"/>
              <w:rPr>
                <w:sz w:val="14"/>
                <w:szCs w:val="14"/>
                <w:color w:val="auto"/>
              </w:rPr>
            </w:pPr>
          </w:p>
        </w:tc>
        <w:tc>
          <w:tcPr>
            <w:tcW w:w="1580" w:type="dxa"/>
            <w:vAlign w:val="bottom"/>
            <w:shd w:val="clear" w:color="auto" w:fill="1F473D"/>
          </w:tcPr>
          <w:p>
            <w:pPr>
              <w:spacing w:after="0"/>
              <w:rPr>
                <w:sz w:val="14"/>
                <w:szCs w:val="14"/>
                <w:color w:val="auto"/>
              </w:rPr>
            </w:pPr>
          </w:p>
        </w:tc>
        <w:tc>
          <w:tcPr>
            <w:tcW w:w="1480" w:type="dxa"/>
            <w:vAlign w:val="bottom"/>
            <w:shd w:val="clear" w:color="auto" w:fill="1F473D"/>
          </w:tcPr>
          <w:p>
            <w:pPr>
              <w:spacing w:after="0"/>
              <w:rPr>
                <w:sz w:val="14"/>
                <w:szCs w:val="14"/>
                <w:color w:val="auto"/>
              </w:rPr>
            </w:pPr>
          </w:p>
        </w:tc>
        <w:tc>
          <w:tcPr>
            <w:tcW w:w="2020" w:type="dxa"/>
            <w:vAlign w:val="bottom"/>
            <w:shd w:val="clear" w:color="auto" w:fill="1F473D"/>
          </w:tcPr>
          <w:p>
            <w:pPr>
              <w:jc w:val="center"/>
              <w:ind w:right="44"/>
              <w:spacing w:after="0"/>
              <w:rPr>
                <w:sz w:val="20"/>
                <w:szCs w:val="20"/>
                <w:color w:val="auto"/>
              </w:rPr>
            </w:pPr>
            <w:r>
              <w:rPr>
                <w:rFonts w:ascii="Arial" w:cs="Arial" w:eastAsia="Arial" w:hAnsi="Arial"/>
                <w:sz w:val="15"/>
                <w:szCs w:val="15"/>
                <w:b w:val="1"/>
                <w:bCs w:val="1"/>
                <w:color w:val="FFFFFF"/>
                <w:w w:val="99"/>
              </w:rPr>
              <w:t>Net Financial Assets</w:t>
            </w:r>
          </w:p>
        </w:tc>
        <w:tc>
          <w:tcPr>
            <w:tcW w:w="1480" w:type="dxa"/>
            <w:vAlign w:val="bottom"/>
            <w:shd w:val="clear" w:color="auto" w:fill="1F473D"/>
          </w:tcPr>
          <w:p>
            <w:pPr>
              <w:spacing w:after="0"/>
              <w:rPr>
                <w:sz w:val="14"/>
                <w:szCs w:val="14"/>
                <w:color w:val="auto"/>
              </w:rPr>
            </w:pPr>
          </w:p>
        </w:tc>
        <w:tc>
          <w:tcPr>
            <w:tcW w:w="1040" w:type="dxa"/>
            <w:vAlign w:val="bottom"/>
            <w:shd w:val="clear" w:color="auto" w:fill="1F473D"/>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340" w:type="dxa"/>
            <w:vAlign w:val="bottom"/>
            <w:shd w:val="clear" w:color="auto" w:fill="1F473D"/>
          </w:tcPr>
          <w:p>
            <w:pPr>
              <w:spacing w:after="0"/>
              <w:rPr>
                <w:sz w:val="14"/>
                <w:szCs w:val="14"/>
                <w:color w:val="auto"/>
              </w:rPr>
            </w:pPr>
          </w:p>
        </w:tc>
        <w:tc>
          <w:tcPr>
            <w:tcW w:w="1580" w:type="dxa"/>
            <w:vAlign w:val="bottom"/>
            <w:vMerge w:val="restart"/>
            <w:shd w:val="clear" w:color="auto" w:fill="1F473D"/>
          </w:tcPr>
          <w:p>
            <w:pPr>
              <w:jc w:val="center"/>
              <w:ind w:left="162"/>
              <w:spacing w:after="0"/>
              <w:rPr>
                <w:sz w:val="20"/>
                <w:szCs w:val="20"/>
                <w:color w:val="auto"/>
              </w:rPr>
            </w:pPr>
            <w:r>
              <w:rPr>
                <w:rFonts w:ascii="Arial" w:cs="Arial" w:eastAsia="Arial" w:hAnsi="Arial"/>
                <w:sz w:val="15"/>
                <w:szCs w:val="15"/>
                <w:b w:val="1"/>
                <w:bCs w:val="1"/>
                <w:color w:val="FFFFFF"/>
              </w:rPr>
              <w:t>Gross Financial</w:t>
            </w:r>
          </w:p>
        </w:tc>
        <w:tc>
          <w:tcPr>
            <w:tcW w:w="1480" w:type="dxa"/>
            <w:vAlign w:val="bottom"/>
            <w:shd w:val="clear" w:color="auto" w:fill="1F473D"/>
          </w:tcPr>
          <w:p>
            <w:pPr>
              <w:jc w:val="center"/>
              <w:spacing w:after="0" w:line="163" w:lineRule="exact"/>
              <w:rPr>
                <w:sz w:val="20"/>
                <w:szCs w:val="20"/>
                <w:color w:val="auto"/>
              </w:rPr>
            </w:pPr>
            <w:r>
              <w:rPr>
                <w:rFonts w:ascii="Arial" w:cs="Arial" w:eastAsia="Arial" w:hAnsi="Arial"/>
                <w:sz w:val="15"/>
                <w:szCs w:val="15"/>
                <w:b w:val="1"/>
                <w:bCs w:val="1"/>
                <w:color w:val="FFFFFF"/>
              </w:rPr>
              <w:t>Gross Financial</w:t>
            </w:r>
          </w:p>
        </w:tc>
        <w:tc>
          <w:tcPr>
            <w:tcW w:w="2020" w:type="dxa"/>
            <w:vAlign w:val="bottom"/>
            <w:shd w:val="clear" w:color="auto" w:fill="1F473D"/>
          </w:tcPr>
          <w:p>
            <w:pPr>
              <w:jc w:val="center"/>
              <w:ind w:right="24"/>
              <w:spacing w:after="0" w:line="163" w:lineRule="exact"/>
              <w:rPr>
                <w:sz w:val="20"/>
                <w:szCs w:val="20"/>
                <w:color w:val="auto"/>
              </w:rPr>
            </w:pPr>
            <w:r>
              <w:rPr>
                <w:rFonts w:ascii="Arial" w:cs="Arial" w:eastAsia="Arial" w:hAnsi="Arial"/>
                <w:sz w:val="15"/>
                <w:szCs w:val="15"/>
                <w:b w:val="1"/>
                <w:bCs w:val="1"/>
                <w:color w:val="FFFFFF"/>
              </w:rPr>
              <w:t>in the Consolidated</w:t>
            </w:r>
          </w:p>
        </w:tc>
        <w:tc>
          <w:tcPr>
            <w:tcW w:w="1480" w:type="dxa"/>
            <w:vAlign w:val="bottom"/>
            <w:shd w:val="clear" w:color="auto" w:fill="1F473D"/>
          </w:tcPr>
          <w:p>
            <w:pPr>
              <w:jc w:val="right"/>
              <w:ind w:right="22"/>
              <w:spacing w:after="0" w:line="163" w:lineRule="exact"/>
              <w:rPr>
                <w:sz w:val="20"/>
                <w:szCs w:val="20"/>
                <w:color w:val="auto"/>
              </w:rPr>
            </w:pPr>
            <w:r>
              <w:rPr>
                <w:rFonts w:ascii="Arial" w:cs="Arial" w:eastAsia="Arial" w:hAnsi="Arial"/>
                <w:sz w:val="15"/>
                <w:szCs w:val="15"/>
                <w:b w:val="1"/>
                <w:bCs w:val="1"/>
                <w:color w:val="FFFFFF"/>
              </w:rPr>
              <w:t>Related Financial</w:t>
            </w:r>
          </w:p>
        </w:tc>
        <w:tc>
          <w:tcPr>
            <w:tcW w:w="1040" w:type="dxa"/>
            <w:vAlign w:val="bottom"/>
            <w:shd w:val="clear" w:color="auto" w:fill="1F473D"/>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340" w:type="dxa"/>
            <w:vAlign w:val="bottom"/>
            <w:vMerge w:val="restart"/>
            <w:shd w:val="clear" w:color="auto" w:fill="1F473D"/>
          </w:tcPr>
          <w:p>
            <w:pPr>
              <w:spacing w:after="0"/>
              <w:rPr>
                <w:sz w:val="20"/>
                <w:szCs w:val="20"/>
                <w:color w:val="auto"/>
              </w:rPr>
            </w:pPr>
            <w:r>
              <w:rPr>
                <w:rFonts w:ascii="Arial" w:cs="Arial" w:eastAsia="Arial" w:hAnsi="Arial"/>
                <w:sz w:val="15"/>
                <w:szCs w:val="15"/>
                <w:b w:val="1"/>
                <w:bCs w:val="1"/>
                <w:color w:val="FFFFFF"/>
              </w:rPr>
              <w:t> Financial assets</w:t>
            </w:r>
          </w:p>
        </w:tc>
        <w:tc>
          <w:tcPr>
            <w:tcW w:w="1580" w:type="dxa"/>
            <w:vAlign w:val="bottom"/>
            <w:vMerge w:val="continue"/>
            <w:shd w:val="clear" w:color="auto" w:fill="1F473D"/>
          </w:tcPr>
          <w:p>
            <w:pPr>
              <w:spacing w:after="0"/>
              <w:rPr>
                <w:sz w:val="13"/>
                <w:szCs w:val="13"/>
                <w:color w:val="auto"/>
              </w:rPr>
            </w:pPr>
          </w:p>
        </w:tc>
        <w:tc>
          <w:tcPr>
            <w:tcW w:w="1480" w:type="dxa"/>
            <w:vAlign w:val="bottom"/>
            <w:shd w:val="clear" w:color="auto" w:fill="1F473D"/>
          </w:tcPr>
          <w:p>
            <w:pPr>
              <w:jc w:val="center"/>
              <w:spacing w:after="0" w:line="159" w:lineRule="exact"/>
              <w:rPr>
                <w:sz w:val="20"/>
                <w:szCs w:val="20"/>
                <w:color w:val="auto"/>
              </w:rPr>
            </w:pPr>
            <w:r>
              <w:rPr>
                <w:rFonts w:ascii="Arial" w:cs="Arial" w:eastAsia="Arial" w:hAnsi="Arial"/>
                <w:sz w:val="15"/>
                <w:szCs w:val="15"/>
                <w:b w:val="1"/>
                <w:bCs w:val="1"/>
                <w:color w:val="FFFFFF"/>
                <w:w w:val="99"/>
              </w:rPr>
              <w:t>Liabilities Netted</w:t>
            </w:r>
          </w:p>
        </w:tc>
        <w:tc>
          <w:tcPr>
            <w:tcW w:w="2020" w:type="dxa"/>
            <w:vAlign w:val="bottom"/>
            <w:shd w:val="clear" w:color="auto" w:fill="1F473D"/>
          </w:tcPr>
          <w:p>
            <w:pPr>
              <w:jc w:val="center"/>
              <w:ind w:right="24"/>
              <w:spacing w:after="0" w:line="159" w:lineRule="exact"/>
              <w:rPr>
                <w:sz w:val="20"/>
                <w:szCs w:val="20"/>
                <w:color w:val="auto"/>
              </w:rPr>
            </w:pPr>
            <w:r>
              <w:rPr>
                <w:rFonts w:ascii="Arial" w:cs="Arial" w:eastAsia="Arial" w:hAnsi="Arial"/>
                <w:sz w:val="15"/>
                <w:szCs w:val="15"/>
                <w:b w:val="1"/>
                <w:bCs w:val="1"/>
                <w:color w:val="FFFFFF"/>
              </w:rPr>
              <w:t>Statement of</w:t>
            </w:r>
          </w:p>
        </w:tc>
        <w:tc>
          <w:tcPr>
            <w:tcW w:w="1480" w:type="dxa"/>
            <w:vAlign w:val="bottom"/>
            <w:shd w:val="clear" w:color="auto" w:fill="1F473D"/>
          </w:tcPr>
          <w:p>
            <w:pPr>
              <w:jc w:val="center"/>
              <w:spacing w:after="0" w:line="159" w:lineRule="exact"/>
              <w:rPr>
                <w:sz w:val="20"/>
                <w:szCs w:val="20"/>
                <w:color w:val="auto"/>
              </w:rPr>
            </w:pPr>
            <w:r>
              <w:rPr>
                <w:rFonts w:ascii="Arial" w:cs="Arial" w:eastAsia="Arial" w:hAnsi="Arial"/>
                <w:sz w:val="15"/>
                <w:szCs w:val="15"/>
                <w:b w:val="1"/>
                <w:bCs w:val="1"/>
                <w:color w:val="FFFFFF"/>
                <w:w w:val="99"/>
              </w:rPr>
              <w:t>Liabilities Not</w:t>
            </w:r>
          </w:p>
        </w:tc>
        <w:tc>
          <w:tcPr>
            <w:tcW w:w="1040" w:type="dxa"/>
            <w:vAlign w:val="bottom"/>
            <w:vMerge w:val="restart"/>
            <w:shd w:val="clear" w:color="auto" w:fill="1F473D"/>
          </w:tcPr>
          <w:p>
            <w:pPr>
              <w:jc w:val="right"/>
              <w:ind w:right="1"/>
              <w:spacing w:after="0"/>
              <w:rPr>
                <w:sz w:val="20"/>
                <w:szCs w:val="20"/>
                <w:color w:val="auto"/>
              </w:rPr>
            </w:pPr>
            <w:r>
              <w:rPr>
                <w:rFonts w:ascii="Arial" w:cs="Arial" w:eastAsia="Arial" w:hAnsi="Arial"/>
                <w:sz w:val="15"/>
                <w:szCs w:val="15"/>
                <w:b w:val="1"/>
                <w:bCs w:val="1"/>
                <w:color w:val="FFFFFF"/>
              </w:rPr>
              <w:t>Net Amount</w:t>
            </w:r>
          </w:p>
        </w:tc>
        <w:tc>
          <w:tcPr>
            <w:tcW w:w="0" w:type="dxa"/>
            <w:vAlign w:val="bottom"/>
          </w:tcPr>
          <w:p>
            <w:pPr>
              <w:spacing w:after="0"/>
              <w:rPr>
                <w:sz w:val="1"/>
                <w:szCs w:val="1"/>
                <w:color w:val="auto"/>
              </w:rPr>
            </w:pPr>
          </w:p>
        </w:tc>
      </w:tr>
      <w:tr>
        <w:trPr>
          <w:trHeight w:val="192"/>
        </w:trPr>
        <w:tc>
          <w:tcPr>
            <w:tcW w:w="2340" w:type="dxa"/>
            <w:vAlign w:val="bottom"/>
            <w:tcBorders>
              <w:bottom w:val="single" w:sz="8" w:color="D64000"/>
            </w:tcBorders>
            <w:vMerge w:val="continue"/>
            <w:shd w:val="clear" w:color="auto" w:fill="1F473D"/>
          </w:tcPr>
          <w:p>
            <w:pPr>
              <w:spacing w:after="0"/>
              <w:rPr>
                <w:sz w:val="16"/>
                <w:szCs w:val="16"/>
                <w:color w:val="auto"/>
              </w:rPr>
            </w:pPr>
          </w:p>
        </w:tc>
        <w:tc>
          <w:tcPr>
            <w:tcW w:w="1580" w:type="dxa"/>
            <w:vAlign w:val="bottom"/>
            <w:tcBorders>
              <w:bottom w:val="single" w:sz="8" w:color="D64000"/>
            </w:tcBorders>
            <w:shd w:val="clear" w:color="auto" w:fill="1F473D"/>
          </w:tcPr>
          <w:p>
            <w:pPr>
              <w:jc w:val="center"/>
              <w:ind w:left="162"/>
              <w:spacing w:after="0"/>
              <w:rPr>
                <w:sz w:val="20"/>
                <w:szCs w:val="20"/>
                <w:color w:val="auto"/>
              </w:rPr>
            </w:pPr>
            <w:r>
              <w:rPr>
                <w:rFonts w:ascii="Arial" w:cs="Arial" w:eastAsia="Arial" w:hAnsi="Arial"/>
                <w:sz w:val="15"/>
                <w:szCs w:val="15"/>
                <w:b w:val="1"/>
                <w:bCs w:val="1"/>
                <w:color w:val="FFFFFF"/>
              </w:rPr>
              <w:t>Assets</w:t>
            </w:r>
          </w:p>
        </w:tc>
        <w:tc>
          <w:tcPr>
            <w:tcW w:w="1480" w:type="dxa"/>
            <w:vAlign w:val="bottom"/>
            <w:tcBorders>
              <w:bottom w:val="single" w:sz="8" w:color="D64000"/>
            </w:tcBorders>
            <w:shd w:val="clear" w:color="auto" w:fill="1F473D"/>
          </w:tcPr>
          <w:p>
            <w:pPr>
              <w:jc w:val="center"/>
              <w:spacing w:after="0"/>
              <w:rPr>
                <w:sz w:val="20"/>
                <w:szCs w:val="20"/>
                <w:color w:val="auto"/>
              </w:rPr>
            </w:pPr>
            <w:r>
              <w:rPr>
                <w:rFonts w:ascii="Arial" w:cs="Arial" w:eastAsia="Arial" w:hAnsi="Arial"/>
                <w:sz w:val="15"/>
                <w:szCs w:val="15"/>
                <w:b w:val="1"/>
                <w:bCs w:val="1"/>
                <w:color w:val="FFFFFF"/>
              </w:rPr>
              <w:t>Against Assets</w:t>
            </w:r>
          </w:p>
        </w:tc>
        <w:tc>
          <w:tcPr>
            <w:tcW w:w="2020" w:type="dxa"/>
            <w:vAlign w:val="bottom"/>
            <w:tcBorders>
              <w:bottom w:val="single" w:sz="8" w:color="D64000"/>
            </w:tcBorders>
            <w:shd w:val="clear" w:color="auto" w:fill="1F473D"/>
          </w:tcPr>
          <w:p>
            <w:pPr>
              <w:jc w:val="center"/>
              <w:ind w:right="24"/>
              <w:spacing w:after="0"/>
              <w:rPr>
                <w:sz w:val="20"/>
                <w:szCs w:val="20"/>
                <w:color w:val="auto"/>
              </w:rPr>
            </w:pPr>
            <w:r>
              <w:rPr>
                <w:rFonts w:ascii="Arial" w:cs="Arial" w:eastAsia="Arial" w:hAnsi="Arial"/>
                <w:sz w:val="15"/>
                <w:szCs w:val="15"/>
                <w:b w:val="1"/>
                <w:bCs w:val="1"/>
                <w:color w:val="FFFFFF"/>
                <w:w w:val="99"/>
              </w:rPr>
              <w:t>Financial Position</w:t>
            </w:r>
          </w:p>
        </w:tc>
        <w:tc>
          <w:tcPr>
            <w:tcW w:w="1480" w:type="dxa"/>
            <w:vAlign w:val="bottom"/>
            <w:tcBorders>
              <w:bottom w:val="single" w:sz="8" w:color="D64000"/>
            </w:tcBorders>
            <w:shd w:val="clear" w:color="auto" w:fill="1F473D"/>
          </w:tcPr>
          <w:p>
            <w:pPr>
              <w:jc w:val="center"/>
              <w:spacing w:after="0"/>
              <w:rPr>
                <w:sz w:val="20"/>
                <w:szCs w:val="20"/>
                <w:color w:val="auto"/>
              </w:rPr>
            </w:pPr>
            <w:r>
              <w:rPr>
                <w:rFonts w:ascii="Arial" w:cs="Arial" w:eastAsia="Arial" w:hAnsi="Arial"/>
                <w:sz w:val="15"/>
                <w:szCs w:val="15"/>
                <w:b w:val="1"/>
                <w:bCs w:val="1"/>
                <w:color w:val="FFFFFF"/>
                <w:w w:val="98"/>
              </w:rPr>
              <w:t>Netted</w:t>
            </w:r>
          </w:p>
        </w:tc>
        <w:tc>
          <w:tcPr>
            <w:tcW w:w="1040" w:type="dxa"/>
            <w:vAlign w:val="bottom"/>
            <w:tcBorders>
              <w:bottom w:val="single" w:sz="8" w:color="D64000"/>
            </w:tcBorders>
            <w:vMerge w:val="continue"/>
            <w:shd w:val="clear" w:color="auto" w:fill="1F473D"/>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34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Cash and cash equivalents</w:t>
            </w:r>
          </w:p>
        </w:tc>
        <w:tc>
          <w:tcPr>
            <w:tcW w:w="1580" w:type="dxa"/>
            <w:vAlign w:val="bottom"/>
            <w:tcBorders>
              <w:bottom w:val="single" w:sz="8" w:color="B2B2B2"/>
            </w:tcBorders>
          </w:tcPr>
          <w:p>
            <w:pPr>
              <w:jc w:val="right"/>
              <w:ind w:right="22"/>
              <w:spacing w:after="0"/>
              <w:rPr>
                <w:sz w:val="20"/>
                <w:szCs w:val="20"/>
                <w:color w:val="auto"/>
              </w:rPr>
            </w:pPr>
            <w:r>
              <w:rPr>
                <w:rFonts w:ascii="Arial" w:cs="Arial" w:eastAsia="Arial" w:hAnsi="Arial"/>
                <w:sz w:val="16"/>
                <w:szCs w:val="16"/>
                <w:b w:val="1"/>
                <w:bCs w:val="1"/>
                <w:color w:val="auto"/>
              </w:rPr>
              <w:t>51</w:t>
            </w:r>
          </w:p>
        </w:tc>
        <w:tc>
          <w:tcPr>
            <w:tcW w:w="1480" w:type="dxa"/>
            <w:vAlign w:val="bottom"/>
            <w:tcBorders>
              <w:bottom w:val="single" w:sz="8" w:color="B2B2B2"/>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2020" w:type="dxa"/>
            <w:vAlign w:val="bottom"/>
            <w:tcBorders>
              <w:bottom w:val="single" w:sz="8" w:color="B2B2B2"/>
            </w:tcBorders>
            <w:shd w:val="clear" w:color="auto" w:fill="E3F3EE"/>
          </w:tcPr>
          <w:p>
            <w:pPr>
              <w:ind w:left="1620"/>
              <w:spacing w:after="0" w:line="199" w:lineRule="exact"/>
              <w:rPr>
                <w:sz w:val="20"/>
                <w:szCs w:val="20"/>
                <w:color w:val="auto"/>
              </w:rPr>
            </w:pPr>
            <w:r>
              <w:rPr>
                <w:rFonts w:ascii="Arial" w:cs="Arial" w:eastAsia="Arial" w:hAnsi="Arial"/>
                <w:sz w:val="16"/>
                <w:szCs w:val="16"/>
                <w:b w:val="1"/>
                <w:bCs w:val="1"/>
                <w:color w:val="auto"/>
                <w:w w:val="98"/>
              </w:rPr>
              <w:t>51 </w:t>
            </w:r>
            <w:r>
              <w:rPr>
                <w:rFonts w:ascii="Arial" w:cs="Arial" w:eastAsia="Arial" w:hAnsi="Arial"/>
                <w:sz w:val="19"/>
                <w:szCs w:val="19"/>
                <w:b w:val="1"/>
                <w:bCs w:val="1"/>
                <w:color w:val="auto"/>
                <w:w w:val="98"/>
                <w:vertAlign w:val="superscript"/>
              </w:rPr>
              <w:t>(1)</w:t>
            </w:r>
          </w:p>
        </w:tc>
        <w:tc>
          <w:tcPr>
            <w:tcW w:w="1480" w:type="dxa"/>
            <w:vAlign w:val="bottom"/>
            <w:tcBorders>
              <w:bottom w:val="single" w:sz="8" w:color="B2B2B2"/>
            </w:tcBorders>
          </w:tcPr>
          <w:p>
            <w:pPr>
              <w:jc w:val="right"/>
              <w:ind w:right="22"/>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51</w:t>
            </w:r>
          </w:p>
        </w:tc>
        <w:tc>
          <w:tcPr>
            <w:tcW w:w="0" w:type="dxa"/>
            <w:vAlign w:val="bottom"/>
          </w:tcPr>
          <w:p>
            <w:pPr>
              <w:spacing w:after="0"/>
              <w:rPr>
                <w:sz w:val="1"/>
                <w:szCs w:val="1"/>
                <w:color w:val="auto"/>
              </w:rPr>
            </w:pPr>
          </w:p>
        </w:tc>
      </w:tr>
      <w:tr>
        <w:trPr>
          <w:trHeight w:val="192"/>
        </w:trPr>
        <w:tc>
          <w:tcPr>
            <w:tcW w:w="2340" w:type="dxa"/>
            <w:vAlign w:val="bottom"/>
            <w:tcBorders>
              <w:bottom w:val="single" w:sz="8" w:color="B2B2B2"/>
            </w:tcBorders>
          </w:tcPr>
          <w:p>
            <w:pPr>
              <w:spacing w:after="0"/>
              <w:rPr>
                <w:sz w:val="20"/>
                <w:szCs w:val="20"/>
                <w:color w:val="auto"/>
              </w:rPr>
            </w:pPr>
            <w:r>
              <w:rPr>
                <w:rFonts w:ascii="Arial" w:cs="Arial" w:eastAsia="Arial" w:hAnsi="Arial"/>
                <w:sz w:val="16"/>
                <w:szCs w:val="16"/>
                <w:b w:val="1"/>
                <w:bCs w:val="1"/>
                <w:color w:val="auto"/>
              </w:rPr>
              <w:t> December 31, 2024</w:t>
            </w:r>
          </w:p>
        </w:tc>
        <w:tc>
          <w:tcPr>
            <w:tcW w:w="1580" w:type="dxa"/>
            <w:vAlign w:val="bottom"/>
            <w:tcBorders>
              <w:bottom w:val="single" w:sz="8" w:color="B2B2B2"/>
            </w:tcBorders>
          </w:tcPr>
          <w:p>
            <w:pPr>
              <w:jc w:val="right"/>
              <w:ind w:right="22"/>
              <w:spacing w:after="0"/>
              <w:rPr>
                <w:sz w:val="20"/>
                <w:szCs w:val="20"/>
                <w:color w:val="auto"/>
              </w:rPr>
            </w:pPr>
            <w:r>
              <w:rPr>
                <w:rFonts w:ascii="Arial" w:cs="Arial" w:eastAsia="Arial" w:hAnsi="Arial"/>
                <w:sz w:val="16"/>
                <w:szCs w:val="16"/>
                <w:b w:val="1"/>
                <w:bCs w:val="1"/>
                <w:color w:val="auto"/>
              </w:rPr>
              <w:t>51</w:t>
            </w:r>
          </w:p>
        </w:tc>
        <w:tc>
          <w:tcPr>
            <w:tcW w:w="1480" w:type="dxa"/>
            <w:vAlign w:val="bottom"/>
            <w:tcBorders>
              <w:bottom w:val="single" w:sz="8" w:color="B2B2B2"/>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2020" w:type="dxa"/>
            <w:vAlign w:val="bottom"/>
            <w:tcBorders>
              <w:bottom w:val="single" w:sz="8" w:color="B2B2B2"/>
            </w:tcBorders>
            <w:shd w:val="clear" w:color="auto" w:fill="E3F3EE"/>
          </w:tcPr>
          <w:p>
            <w:pPr>
              <w:ind w:left="1620"/>
              <w:spacing w:after="0"/>
              <w:rPr>
                <w:sz w:val="20"/>
                <w:szCs w:val="20"/>
                <w:color w:val="auto"/>
              </w:rPr>
            </w:pPr>
            <w:r>
              <w:rPr>
                <w:rFonts w:ascii="Arial" w:cs="Arial" w:eastAsia="Arial" w:hAnsi="Arial"/>
                <w:sz w:val="16"/>
                <w:szCs w:val="16"/>
                <w:b w:val="1"/>
                <w:bCs w:val="1"/>
                <w:color w:val="auto"/>
              </w:rPr>
              <w:t>51</w:t>
            </w:r>
          </w:p>
        </w:tc>
        <w:tc>
          <w:tcPr>
            <w:tcW w:w="1480" w:type="dxa"/>
            <w:vAlign w:val="bottom"/>
            <w:tcBorders>
              <w:bottom w:val="single" w:sz="8" w:color="B2B2B2"/>
            </w:tcBorders>
          </w:tcPr>
          <w:p>
            <w:pPr>
              <w:jc w:val="right"/>
              <w:ind w:right="22"/>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51</w:t>
            </w:r>
          </w:p>
        </w:tc>
        <w:tc>
          <w:tcPr>
            <w:tcW w:w="0" w:type="dxa"/>
            <w:vAlign w:val="bottom"/>
          </w:tcPr>
          <w:p>
            <w:pPr>
              <w:spacing w:after="0"/>
              <w:rPr>
                <w:sz w:val="1"/>
                <w:szCs w:val="1"/>
                <w:color w:val="auto"/>
              </w:rPr>
            </w:pPr>
          </w:p>
        </w:tc>
      </w:tr>
      <w:tr>
        <w:trPr>
          <w:trHeight w:val="285"/>
        </w:trPr>
        <w:tc>
          <w:tcPr>
            <w:tcW w:w="2340" w:type="dxa"/>
            <w:vAlign w:val="bottom"/>
          </w:tcPr>
          <w:p>
            <w:pPr>
              <w:spacing w:after="0"/>
              <w:rPr>
                <w:sz w:val="20"/>
                <w:szCs w:val="20"/>
                <w:color w:val="auto"/>
              </w:rPr>
            </w:pPr>
            <w:r>
              <w:rPr>
                <w:rFonts w:ascii="Arial" w:cs="Arial" w:eastAsia="Arial" w:hAnsi="Arial"/>
                <w:sz w:val="16"/>
                <w:szCs w:val="16"/>
                <w:color w:val="auto"/>
              </w:rPr>
              <w:t> Derivative financial assets</w:t>
            </w:r>
          </w:p>
        </w:tc>
        <w:tc>
          <w:tcPr>
            <w:tcW w:w="1580" w:type="dxa"/>
            <w:vAlign w:val="bottom"/>
          </w:tcPr>
          <w:p>
            <w:pPr>
              <w:jc w:val="right"/>
              <w:ind w:right="22"/>
              <w:spacing w:after="0"/>
              <w:rPr>
                <w:sz w:val="20"/>
                <w:szCs w:val="20"/>
                <w:color w:val="auto"/>
              </w:rPr>
            </w:pPr>
            <w:r>
              <w:rPr>
                <w:rFonts w:ascii="Arial" w:cs="Arial" w:eastAsia="Arial" w:hAnsi="Arial"/>
                <w:sz w:val="16"/>
                <w:szCs w:val="16"/>
                <w:color w:val="auto"/>
              </w:rPr>
              <w:t>123</w:t>
            </w: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020" w:type="dxa"/>
            <w:vAlign w:val="bottom"/>
            <w:shd w:val="clear" w:color="auto" w:fill="E3F3EE"/>
          </w:tcPr>
          <w:p>
            <w:pPr>
              <w:ind w:left="1520"/>
              <w:spacing w:after="0"/>
              <w:rPr>
                <w:sz w:val="20"/>
                <w:szCs w:val="20"/>
                <w:color w:val="auto"/>
              </w:rPr>
            </w:pPr>
            <w:r>
              <w:rPr>
                <w:rFonts w:ascii="Arial" w:cs="Arial" w:eastAsia="Arial" w:hAnsi="Arial"/>
                <w:sz w:val="16"/>
                <w:szCs w:val="16"/>
                <w:color w:val="auto"/>
              </w:rPr>
              <w:t>123 </w:t>
            </w:r>
            <w:r>
              <w:rPr>
                <w:rFonts w:ascii="Arial" w:cs="Arial" w:eastAsia="Arial" w:hAnsi="Arial"/>
                <w:sz w:val="19"/>
                <w:szCs w:val="19"/>
                <w:color w:val="auto"/>
                <w:vertAlign w:val="superscript"/>
              </w:rPr>
              <w:t>(2)</w:t>
            </w:r>
          </w:p>
        </w:tc>
        <w:tc>
          <w:tcPr>
            <w:tcW w:w="14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99"/>
        </w:trPr>
        <w:tc>
          <w:tcPr>
            <w:tcW w:w="234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Cash and cash equivalents</w:t>
            </w:r>
          </w:p>
        </w:tc>
        <w:tc>
          <w:tcPr>
            <w:tcW w:w="1580" w:type="dxa"/>
            <w:vAlign w:val="bottom"/>
            <w:tcBorders>
              <w:bottom w:val="single" w:sz="8" w:color="B2B2B2"/>
            </w:tcBorders>
          </w:tcPr>
          <w:p>
            <w:pPr>
              <w:jc w:val="right"/>
              <w:ind w:right="22"/>
              <w:spacing w:after="0"/>
              <w:rPr>
                <w:sz w:val="20"/>
                <w:szCs w:val="20"/>
                <w:color w:val="auto"/>
              </w:rPr>
            </w:pPr>
            <w:r>
              <w:rPr>
                <w:rFonts w:ascii="Arial" w:cs="Arial" w:eastAsia="Arial" w:hAnsi="Arial"/>
                <w:sz w:val="16"/>
                <w:szCs w:val="16"/>
                <w:color w:val="auto"/>
              </w:rPr>
              <w:t>63</w:t>
            </w:r>
          </w:p>
        </w:tc>
        <w:tc>
          <w:tcPr>
            <w:tcW w:w="1480" w:type="dxa"/>
            <w:vAlign w:val="bottom"/>
            <w:tcBorders>
              <w:bottom w:val="single" w:sz="8" w:color="B2B2B2"/>
            </w:tcBorders>
          </w:tcPr>
          <w:p>
            <w:pPr>
              <w:jc w:val="right"/>
              <w:ind w:right="2"/>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B2B2B2"/>
            </w:tcBorders>
            <w:shd w:val="clear" w:color="auto" w:fill="E3F3EE"/>
          </w:tcPr>
          <w:p>
            <w:pPr>
              <w:ind w:left="1620"/>
              <w:spacing w:after="0" w:line="199" w:lineRule="exact"/>
              <w:rPr>
                <w:sz w:val="20"/>
                <w:szCs w:val="20"/>
                <w:color w:val="auto"/>
              </w:rPr>
            </w:pPr>
            <w:r>
              <w:rPr>
                <w:rFonts w:ascii="Arial" w:cs="Arial" w:eastAsia="Arial" w:hAnsi="Arial"/>
                <w:sz w:val="16"/>
                <w:szCs w:val="16"/>
                <w:color w:val="auto"/>
                <w:w w:val="98"/>
              </w:rPr>
              <w:t>63 </w:t>
            </w:r>
            <w:r>
              <w:rPr>
                <w:rFonts w:ascii="Arial" w:cs="Arial" w:eastAsia="Arial" w:hAnsi="Arial"/>
                <w:sz w:val="19"/>
                <w:szCs w:val="19"/>
                <w:color w:val="auto"/>
                <w:w w:val="98"/>
                <w:vertAlign w:val="superscript"/>
              </w:rPr>
              <w:t>(1)</w:t>
            </w:r>
          </w:p>
        </w:tc>
        <w:tc>
          <w:tcPr>
            <w:tcW w:w="1480" w:type="dxa"/>
            <w:vAlign w:val="bottom"/>
            <w:tcBorders>
              <w:bottom w:val="single" w:sz="8" w:color="B2B2B2"/>
            </w:tcBorders>
          </w:tcPr>
          <w:p>
            <w:pPr>
              <w:jc w:val="right"/>
              <w:ind w:right="2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98"/>
        </w:trPr>
        <w:tc>
          <w:tcPr>
            <w:tcW w:w="2340" w:type="dxa"/>
            <w:vAlign w:val="bottom"/>
            <w:tcBorders>
              <w:bottom w:val="single" w:sz="8" w:color="D64000"/>
            </w:tcBorders>
          </w:tcPr>
          <w:p>
            <w:pPr>
              <w:spacing w:after="0"/>
              <w:rPr>
                <w:sz w:val="20"/>
                <w:szCs w:val="20"/>
                <w:color w:val="auto"/>
              </w:rPr>
            </w:pPr>
            <w:r>
              <w:rPr>
                <w:rFonts w:ascii="Arial" w:cs="Arial" w:eastAsia="Arial" w:hAnsi="Arial"/>
                <w:sz w:val="16"/>
                <w:szCs w:val="16"/>
                <w:color w:val="auto"/>
              </w:rPr>
              <w:t> December 31, 2023</w:t>
            </w:r>
          </w:p>
        </w:tc>
        <w:tc>
          <w:tcPr>
            <w:tcW w:w="1580" w:type="dxa"/>
            <w:vAlign w:val="bottom"/>
            <w:tcBorders>
              <w:bottom w:val="single" w:sz="8" w:color="D64000"/>
            </w:tcBorders>
          </w:tcPr>
          <w:p>
            <w:pPr>
              <w:jc w:val="right"/>
              <w:ind w:right="22"/>
              <w:spacing w:after="0"/>
              <w:rPr>
                <w:sz w:val="20"/>
                <w:szCs w:val="20"/>
                <w:color w:val="auto"/>
              </w:rPr>
            </w:pPr>
            <w:r>
              <w:rPr>
                <w:rFonts w:ascii="Arial" w:cs="Arial" w:eastAsia="Arial" w:hAnsi="Arial"/>
                <w:sz w:val="16"/>
                <w:szCs w:val="16"/>
                <w:color w:val="auto"/>
              </w:rPr>
              <w:t>186</w:t>
            </w:r>
          </w:p>
        </w:tc>
        <w:tc>
          <w:tcPr>
            <w:tcW w:w="1480" w:type="dxa"/>
            <w:vAlign w:val="bottom"/>
            <w:tcBorders>
              <w:bottom w:val="single" w:sz="8" w:color="D64000"/>
            </w:tcBorders>
          </w:tcPr>
          <w:p>
            <w:pPr>
              <w:jc w:val="right"/>
              <w:ind w:right="2"/>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D64000"/>
            </w:tcBorders>
            <w:shd w:val="clear" w:color="auto" w:fill="E3F3EE"/>
          </w:tcPr>
          <w:p>
            <w:pPr>
              <w:ind w:left="1520"/>
              <w:spacing w:after="0"/>
              <w:rPr>
                <w:sz w:val="20"/>
                <w:szCs w:val="20"/>
                <w:color w:val="auto"/>
              </w:rPr>
            </w:pPr>
            <w:r>
              <w:rPr>
                <w:rFonts w:ascii="Arial" w:cs="Arial" w:eastAsia="Arial" w:hAnsi="Arial"/>
                <w:sz w:val="16"/>
                <w:szCs w:val="16"/>
                <w:color w:val="auto"/>
              </w:rPr>
              <w:t>186</w:t>
            </w:r>
          </w:p>
        </w:tc>
        <w:tc>
          <w:tcPr>
            <w:tcW w:w="1480" w:type="dxa"/>
            <w:vAlign w:val="bottom"/>
            <w:tcBorders>
              <w:bottom w:val="single" w:sz="8" w:color="D64000"/>
            </w:tcBorders>
          </w:tcPr>
          <w:p>
            <w:pPr>
              <w:jc w:val="right"/>
              <w:ind w:right="2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64000"/>
            </w:tcBorders>
          </w:tcPr>
          <w:p>
            <w:pPr>
              <w:jc w:val="right"/>
              <w:ind w:right="1"/>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2"/>
        </w:trPr>
        <w:tc>
          <w:tcPr>
            <w:tcW w:w="2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340" w:type="dxa"/>
            <w:vAlign w:val="bottom"/>
            <w:shd w:val="clear" w:color="auto" w:fill="1F473D"/>
          </w:tcPr>
          <w:p>
            <w:pPr>
              <w:spacing w:after="0"/>
              <w:rPr>
                <w:sz w:val="12"/>
                <w:szCs w:val="12"/>
                <w:color w:val="auto"/>
              </w:rPr>
            </w:pPr>
          </w:p>
        </w:tc>
        <w:tc>
          <w:tcPr>
            <w:tcW w:w="1580" w:type="dxa"/>
            <w:vAlign w:val="bottom"/>
            <w:shd w:val="clear" w:color="auto" w:fill="1F473D"/>
          </w:tcPr>
          <w:p>
            <w:pPr>
              <w:spacing w:after="0"/>
              <w:rPr>
                <w:sz w:val="12"/>
                <w:szCs w:val="12"/>
                <w:color w:val="auto"/>
              </w:rPr>
            </w:pPr>
          </w:p>
        </w:tc>
        <w:tc>
          <w:tcPr>
            <w:tcW w:w="1480" w:type="dxa"/>
            <w:vAlign w:val="bottom"/>
            <w:shd w:val="clear" w:color="auto" w:fill="1F473D"/>
          </w:tcPr>
          <w:p>
            <w:pPr>
              <w:spacing w:after="0"/>
              <w:rPr>
                <w:sz w:val="12"/>
                <w:szCs w:val="12"/>
                <w:color w:val="auto"/>
              </w:rPr>
            </w:pPr>
          </w:p>
        </w:tc>
        <w:tc>
          <w:tcPr>
            <w:tcW w:w="2020" w:type="dxa"/>
            <w:vAlign w:val="bottom"/>
            <w:shd w:val="clear" w:color="auto" w:fill="1F473D"/>
          </w:tcPr>
          <w:p>
            <w:pPr>
              <w:jc w:val="center"/>
              <w:ind w:right="24"/>
              <w:spacing w:after="0" w:line="142" w:lineRule="exact"/>
              <w:rPr>
                <w:sz w:val="20"/>
                <w:szCs w:val="20"/>
                <w:color w:val="auto"/>
              </w:rPr>
            </w:pPr>
            <w:r>
              <w:rPr>
                <w:rFonts w:ascii="Arial" w:cs="Arial" w:eastAsia="Arial" w:hAnsi="Arial"/>
                <w:sz w:val="15"/>
                <w:szCs w:val="15"/>
                <w:b w:val="1"/>
                <w:bCs w:val="1"/>
                <w:color w:val="FFFFFF"/>
              </w:rPr>
              <w:t>Net Financial Liabilities</w:t>
            </w:r>
          </w:p>
        </w:tc>
        <w:tc>
          <w:tcPr>
            <w:tcW w:w="1480" w:type="dxa"/>
            <w:vAlign w:val="bottom"/>
            <w:shd w:val="clear" w:color="auto" w:fill="1F473D"/>
          </w:tcPr>
          <w:p>
            <w:pPr>
              <w:spacing w:after="0"/>
              <w:rPr>
                <w:sz w:val="12"/>
                <w:szCs w:val="12"/>
                <w:color w:val="auto"/>
              </w:rPr>
            </w:pPr>
          </w:p>
        </w:tc>
        <w:tc>
          <w:tcPr>
            <w:tcW w:w="1040" w:type="dxa"/>
            <w:vAlign w:val="bottom"/>
            <w:shd w:val="clear" w:color="auto" w:fill="1F473D"/>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340" w:type="dxa"/>
            <w:vAlign w:val="bottom"/>
            <w:shd w:val="clear" w:color="auto" w:fill="1F473D"/>
          </w:tcPr>
          <w:p>
            <w:pPr>
              <w:spacing w:after="0"/>
              <w:rPr>
                <w:sz w:val="14"/>
                <w:szCs w:val="14"/>
                <w:color w:val="auto"/>
              </w:rPr>
            </w:pPr>
          </w:p>
        </w:tc>
        <w:tc>
          <w:tcPr>
            <w:tcW w:w="1580" w:type="dxa"/>
            <w:vAlign w:val="bottom"/>
            <w:vMerge w:val="restart"/>
            <w:shd w:val="clear" w:color="auto" w:fill="1F473D"/>
          </w:tcPr>
          <w:p>
            <w:pPr>
              <w:jc w:val="center"/>
              <w:ind w:left="162"/>
              <w:spacing w:after="0"/>
              <w:rPr>
                <w:sz w:val="20"/>
                <w:szCs w:val="20"/>
                <w:color w:val="auto"/>
              </w:rPr>
            </w:pPr>
            <w:r>
              <w:rPr>
                <w:rFonts w:ascii="Arial" w:cs="Arial" w:eastAsia="Arial" w:hAnsi="Arial"/>
                <w:sz w:val="15"/>
                <w:szCs w:val="15"/>
                <w:b w:val="1"/>
                <w:bCs w:val="1"/>
                <w:color w:val="FFFFFF"/>
              </w:rPr>
              <w:t>Gross Financial</w:t>
            </w:r>
          </w:p>
        </w:tc>
        <w:tc>
          <w:tcPr>
            <w:tcW w:w="1480" w:type="dxa"/>
            <w:vAlign w:val="bottom"/>
            <w:shd w:val="clear" w:color="auto" w:fill="1F473D"/>
          </w:tcPr>
          <w:p>
            <w:pPr>
              <w:jc w:val="center"/>
              <w:spacing w:after="0" w:line="163" w:lineRule="exact"/>
              <w:rPr>
                <w:sz w:val="20"/>
                <w:szCs w:val="20"/>
                <w:color w:val="auto"/>
              </w:rPr>
            </w:pPr>
            <w:r>
              <w:rPr>
                <w:rFonts w:ascii="Arial" w:cs="Arial" w:eastAsia="Arial" w:hAnsi="Arial"/>
                <w:sz w:val="15"/>
                <w:szCs w:val="15"/>
                <w:b w:val="1"/>
                <w:bCs w:val="1"/>
                <w:color w:val="FFFFFF"/>
              </w:rPr>
              <w:t>Gross Financial</w:t>
            </w:r>
          </w:p>
        </w:tc>
        <w:tc>
          <w:tcPr>
            <w:tcW w:w="2020" w:type="dxa"/>
            <w:vAlign w:val="bottom"/>
            <w:shd w:val="clear" w:color="auto" w:fill="1F473D"/>
          </w:tcPr>
          <w:p>
            <w:pPr>
              <w:jc w:val="center"/>
              <w:ind w:right="24"/>
              <w:spacing w:after="0" w:line="163" w:lineRule="exact"/>
              <w:rPr>
                <w:sz w:val="20"/>
                <w:szCs w:val="20"/>
                <w:color w:val="auto"/>
              </w:rPr>
            </w:pPr>
            <w:r>
              <w:rPr>
                <w:rFonts w:ascii="Arial" w:cs="Arial" w:eastAsia="Arial" w:hAnsi="Arial"/>
                <w:sz w:val="15"/>
                <w:szCs w:val="15"/>
                <w:b w:val="1"/>
                <w:bCs w:val="1"/>
                <w:color w:val="FFFFFF"/>
              </w:rPr>
              <w:t>in the Consolidated</w:t>
            </w:r>
          </w:p>
        </w:tc>
        <w:tc>
          <w:tcPr>
            <w:tcW w:w="1480" w:type="dxa"/>
            <w:vAlign w:val="bottom"/>
            <w:shd w:val="clear" w:color="auto" w:fill="1F473D"/>
          </w:tcPr>
          <w:p>
            <w:pPr>
              <w:jc w:val="right"/>
              <w:ind w:right="22"/>
              <w:spacing w:after="0" w:line="163" w:lineRule="exact"/>
              <w:rPr>
                <w:sz w:val="20"/>
                <w:szCs w:val="20"/>
                <w:color w:val="auto"/>
              </w:rPr>
            </w:pPr>
            <w:r>
              <w:rPr>
                <w:rFonts w:ascii="Arial" w:cs="Arial" w:eastAsia="Arial" w:hAnsi="Arial"/>
                <w:sz w:val="15"/>
                <w:szCs w:val="15"/>
                <w:b w:val="1"/>
                <w:bCs w:val="1"/>
                <w:color w:val="FFFFFF"/>
              </w:rPr>
              <w:t>Related Financial</w:t>
            </w:r>
          </w:p>
        </w:tc>
        <w:tc>
          <w:tcPr>
            <w:tcW w:w="1040" w:type="dxa"/>
            <w:vAlign w:val="bottom"/>
            <w:shd w:val="clear" w:color="auto" w:fill="1F473D"/>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340" w:type="dxa"/>
            <w:vAlign w:val="bottom"/>
            <w:vMerge w:val="restart"/>
            <w:shd w:val="clear" w:color="auto" w:fill="1F473D"/>
          </w:tcPr>
          <w:p>
            <w:pPr>
              <w:spacing w:after="0"/>
              <w:rPr>
                <w:sz w:val="20"/>
                <w:szCs w:val="20"/>
                <w:color w:val="auto"/>
              </w:rPr>
            </w:pPr>
            <w:r>
              <w:rPr>
                <w:rFonts w:ascii="Arial" w:cs="Arial" w:eastAsia="Arial" w:hAnsi="Arial"/>
                <w:sz w:val="15"/>
                <w:szCs w:val="15"/>
                <w:b w:val="1"/>
                <w:bCs w:val="1"/>
                <w:color w:val="FFFFFF"/>
              </w:rPr>
              <w:t> Financial liabilities</w:t>
            </w:r>
          </w:p>
        </w:tc>
        <w:tc>
          <w:tcPr>
            <w:tcW w:w="1580" w:type="dxa"/>
            <w:vAlign w:val="bottom"/>
            <w:vMerge w:val="continue"/>
            <w:shd w:val="clear" w:color="auto" w:fill="1F473D"/>
          </w:tcPr>
          <w:p>
            <w:pPr>
              <w:spacing w:after="0"/>
              <w:rPr>
                <w:sz w:val="13"/>
                <w:szCs w:val="13"/>
                <w:color w:val="auto"/>
              </w:rPr>
            </w:pPr>
          </w:p>
        </w:tc>
        <w:tc>
          <w:tcPr>
            <w:tcW w:w="1480" w:type="dxa"/>
            <w:vAlign w:val="bottom"/>
            <w:shd w:val="clear" w:color="auto" w:fill="1F473D"/>
          </w:tcPr>
          <w:p>
            <w:pPr>
              <w:jc w:val="center"/>
              <w:spacing w:after="0" w:line="159" w:lineRule="exact"/>
              <w:rPr>
                <w:sz w:val="20"/>
                <w:szCs w:val="20"/>
                <w:color w:val="auto"/>
              </w:rPr>
            </w:pPr>
            <w:r>
              <w:rPr>
                <w:rFonts w:ascii="Arial" w:cs="Arial" w:eastAsia="Arial" w:hAnsi="Arial"/>
                <w:sz w:val="15"/>
                <w:szCs w:val="15"/>
                <w:b w:val="1"/>
                <w:bCs w:val="1"/>
                <w:color w:val="FFFFFF"/>
                <w:w w:val="99"/>
              </w:rPr>
              <w:t>Assets Netted</w:t>
            </w:r>
          </w:p>
        </w:tc>
        <w:tc>
          <w:tcPr>
            <w:tcW w:w="2020" w:type="dxa"/>
            <w:vAlign w:val="bottom"/>
            <w:shd w:val="clear" w:color="auto" w:fill="1F473D"/>
          </w:tcPr>
          <w:p>
            <w:pPr>
              <w:jc w:val="center"/>
              <w:ind w:right="24"/>
              <w:spacing w:after="0" w:line="159" w:lineRule="exact"/>
              <w:rPr>
                <w:sz w:val="20"/>
                <w:szCs w:val="20"/>
                <w:color w:val="auto"/>
              </w:rPr>
            </w:pPr>
            <w:r>
              <w:rPr>
                <w:rFonts w:ascii="Arial" w:cs="Arial" w:eastAsia="Arial" w:hAnsi="Arial"/>
                <w:sz w:val="15"/>
                <w:szCs w:val="15"/>
                <w:b w:val="1"/>
                <w:bCs w:val="1"/>
                <w:color w:val="FFFFFF"/>
              </w:rPr>
              <w:t>Statement of</w:t>
            </w:r>
          </w:p>
        </w:tc>
        <w:tc>
          <w:tcPr>
            <w:tcW w:w="1480" w:type="dxa"/>
            <w:vAlign w:val="bottom"/>
            <w:shd w:val="clear" w:color="auto" w:fill="1F473D"/>
          </w:tcPr>
          <w:p>
            <w:pPr>
              <w:jc w:val="center"/>
              <w:spacing w:after="0" w:line="159" w:lineRule="exact"/>
              <w:rPr>
                <w:sz w:val="20"/>
                <w:szCs w:val="20"/>
                <w:color w:val="auto"/>
              </w:rPr>
            </w:pPr>
            <w:r>
              <w:rPr>
                <w:rFonts w:ascii="Arial" w:cs="Arial" w:eastAsia="Arial" w:hAnsi="Arial"/>
                <w:sz w:val="15"/>
                <w:szCs w:val="15"/>
                <w:b w:val="1"/>
                <w:bCs w:val="1"/>
                <w:color w:val="FFFFFF"/>
                <w:w w:val="99"/>
              </w:rPr>
              <w:t>Assets Not</w:t>
            </w:r>
          </w:p>
        </w:tc>
        <w:tc>
          <w:tcPr>
            <w:tcW w:w="1040" w:type="dxa"/>
            <w:vAlign w:val="bottom"/>
            <w:vMerge w:val="restart"/>
            <w:shd w:val="clear" w:color="auto" w:fill="1F473D"/>
          </w:tcPr>
          <w:p>
            <w:pPr>
              <w:jc w:val="right"/>
              <w:ind w:right="1"/>
              <w:spacing w:after="0"/>
              <w:rPr>
                <w:sz w:val="20"/>
                <w:szCs w:val="20"/>
                <w:color w:val="auto"/>
              </w:rPr>
            </w:pPr>
            <w:r>
              <w:rPr>
                <w:rFonts w:ascii="Arial" w:cs="Arial" w:eastAsia="Arial" w:hAnsi="Arial"/>
                <w:sz w:val="15"/>
                <w:szCs w:val="15"/>
                <w:b w:val="1"/>
                <w:bCs w:val="1"/>
                <w:color w:val="FFFFFF"/>
              </w:rPr>
              <w:t>Net Amount</w:t>
            </w:r>
          </w:p>
        </w:tc>
        <w:tc>
          <w:tcPr>
            <w:tcW w:w="0" w:type="dxa"/>
            <w:vAlign w:val="bottom"/>
          </w:tcPr>
          <w:p>
            <w:pPr>
              <w:spacing w:after="0"/>
              <w:rPr>
                <w:sz w:val="1"/>
                <w:szCs w:val="1"/>
                <w:color w:val="auto"/>
              </w:rPr>
            </w:pPr>
          </w:p>
        </w:tc>
      </w:tr>
      <w:tr>
        <w:trPr>
          <w:trHeight w:val="192"/>
        </w:trPr>
        <w:tc>
          <w:tcPr>
            <w:tcW w:w="2340" w:type="dxa"/>
            <w:vAlign w:val="bottom"/>
            <w:tcBorders>
              <w:bottom w:val="single" w:sz="8" w:color="D64000"/>
            </w:tcBorders>
            <w:vMerge w:val="continue"/>
            <w:shd w:val="clear" w:color="auto" w:fill="1F473D"/>
          </w:tcPr>
          <w:p>
            <w:pPr>
              <w:spacing w:after="0"/>
              <w:rPr>
                <w:sz w:val="16"/>
                <w:szCs w:val="16"/>
                <w:color w:val="auto"/>
              </w:rPr>
            </w:pPr>
          </w:p>
        </w:tc>
        <w:tc>
          <w:tcPr>
            <w:tcW w:w="1580" w:type="dxa"/>
            <w:vAlign w:val="bottom"/>
            <w:tcBorders>
              <w:bottom w:val="single" w:sz="8" w:color="D64000"/>
            </w:tcBorders>
            <w:shd w:val="clear" w:color="auto" w:fill="1F473D"/>
          </w:tcPr>
          <w:p>
            <w:pPr>
              <w:jc w:val="center"/>
              <w:ind w:left="162"/>
              <w:spacing w:after="0"/>
              <w:rPr>
                <w:sz w:val="20"/>
                <w:szCs w:val="20"/>
                <w:color w:val="auto"/>
              </w:rPr>
            </w:pPr>
            <w:r>
              <w:rPr>
                <w:rFonts w:ascii="Arial" w:cs="Arial" w:eastAsia="Arial" w:hAnsi="Arial"/>
                <w:sz w:val="15"/>
                <w:szCs w:val="15"/>
                <w:b w:val="1"/>
                <w:bCs w:val="1"/>
                <w:color w:val="FFFFFF"/>
              </w:rPr>
              <w:t>Liabilities</w:t>
            </w:r>
          </w:p>
        </w:tc>
        <w:tc>
          <w:tcPr>
            <w:tcW w:w="1480" w:type="dxa"/>
            <w:vAlign w:val="bottom"/>
            <w:tcBorders>
              <w:bottom w:val="single" w:sz="8" w:color="D64000"/>
            </w:tcBorders>
            <w:shd w:val="clear" w:color="auto" w:fill="1F473D"/>
          </w:tcPr>
          <w:p>
            <w:pPr>
              <w:jc w:val="right"/>
              <w:ind w:right="2"/>
              <w:spacing w:after="0"/>
              <w:rPr>
                <w:sz w:val="20"/>
                <w:szCs w:val="20"/>
                <w:color w:val="auto"/>
              </w:rPr>
            </w:pPr>
            <w:r>
              <w:rPr>
                <w:rFonts w:ascii="Arial" w:cs="Arial" w:eastAsia="Arial" w:hAnsi="Arial"/>
                <w:sz w:val="15"/>
                <w:szCs w:val="15"/>
                <w:b w:val="1"/>
                <w:bCs w:val="1"/>
                <w:color w:val="FFFFFF"/>
              </w:rPr>
              <w:t>Against Liabilities</w:t>
            </w:r>
          </w:p>
        </w:tc>
        <w:tc>
          <w:tcPr>
            <w:tcW w:w="2020" w:type="dxa"/>
            <w:vAlign w:val="bottom"/>
            <w:tcBorders>
              <w:bottom w:val="single" w:sz="8" w:color="D64000"/>
            </w:tcBorders>
            <w:shd w:val="clear" w:color="auto" w:fill="1F473D"/>
          </w:tcPr>
          <w:p>
            <w:pPr>
              <w:jc w:val="center"/>
              <w:ind w:right="24"/>
              <w:spacing w:after="0"/>
              <w:rPr>
                <w:sz w:val="20"/>
                <w:szCs w:val="20"/>
                <w:color w:val="auto"/>
              </w:rPr>
            </w:pPr>
            <w:r>
              <w:rPr>
                <w:rFonts w:ascii="Arial" w:cs="Arial" w:eastAsia="Arial" w:hAnsi="Arial"/>
                <w:sz w:val="15"/>
                <w:szCs w:val="15"/>
                <w:b w:val="1"/>
                <w:bCs w:val="1"/>
                <w:color w:val="FFFFFF"/>
                <w:w w:val="99"/>
              </w:rPr>
              <w:t>Financial Position</w:t>
            </w:r>
          </w:p>
        </w:tc>
        <w:tc>
          <w:tcPr>
            <w:tcW w:w="1480" w:type="dxa"/>
            <w:vAlign w:val="bottom"/>
            <w:tcBorders>
              <w:bottom w:val="single" w:sz="8" w:color="D64000"/>
            </w:tcBorders>
            <w:shd w:val="clear" w:color="auto" w:fill="1F473D"/>
          </w:tcPr>
          <w:p>
            <w:pPr>
              <w:jc w:val="center"/>
              <w:spacing w:after="0"/>
              <w:rPr>
                <w:sz w:val="20"/>
                <w:szCs w:val="20"/>
                <w:color w:val="auto"/>
              </w:rPr>
            </w:pPr>
            <w:r>
              <w:rPr>
                <w:rFonts w:ascii="Arial" w:cs="Arial" w:eastAsia="Arial" w:hAnsi="Arial"/>
                <w:sz w:val="15"/>
                <w:szCs w:val="15"/>
                <w:b w:val="1"/>
                <w:bCs w:val="1"/>
                <w:color w:val="FFFFFF"/>
                <w:w w:val="98"/>
              </w:rPr>
              <w:t>Netted</w:t>
            </w:r>
          </w:p>
        </w:tc>
        <w:tc>
          <w:tcPr>
            <w:tcW w:w="1040" w:type="dxa"/>
            <w:vAlign w:val="bottom"/>
            <w:tcBorders>
              <w:bottom w:val="single" w:sz="8" w:color="D64000"/>
            </w:tcBorders>
            <w:vMerge w:val="continue"/>
            <w:shd w:val="clear" w:color="auto" w:fill="1F473D"/>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34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Derivative financial liabilities</w:t>
            </w:r>
          </w:p>
        </w:tc>
        <w:tc>
          <w:tcPr>
            <w:tcW w:w="1580" w:type="dxa"/>
            <w:vAlign w:val="bottom"/>
            <w:tcBorders>
              <w:bottom w:val="single" w:sz="8" w:color="B2B2B2"/>
            </w:tcBorders>
          </w:tcPr>
          <w:p>
            <w:pPr>
              <w:jc w:val="right"/>
              <w:ind w:right="22"/>
              <w:spacing w:after="0"/>
              <w:rPr>
                <w:sz w:val="20"/>
                <w:szCs w:val="20"/>
                <w:color w:val="auto"/>
              </w:rPr>
            </w:pPr>
            <w:r>
              <w:rPr>
                <w:rFonts w:ascii="Arial" w:cs="Arial" w:eastAsia="Arial" w:hAnsi="Arial"/>
                <w:sz w:val="16"/>
                <w:szCs w:val="16"/>
                <w:b w:val="1"/>
                <w:bCs w:val="1"/>
                <w:color w:val="auto"/>
              </w:rPr>
              <w:t>21</w:t>
            </w:r>
          </w:p>
        </w:tc>
        <w:tc>
          <w:tcPr>
            <w:tcW w:w="1480" w:type="dxa"/>
            <w:vAlign w:val="bottom"/>
            <w:tcBorders>
              <w:bottom w:val="single" w:sz="8" w:color="B2B2B2"/>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2020" w:type="dxa"/>
            <w:vAlign w:val="bottom"/>
            <w:tcBorders>
              <w:bottom w:val="single" w:sz="8" w:color="B2B2B2"/>
            </w:tcBorders>
            <w:shd w:val="clear" w:color="auto" w:fill="E3F3EE"/>
          </w:tcPr>
          <w:p>
            <w:pPr>
              <w:ind w:left="1620"/>
              <w:spacing w:after="0" w:line="199" w:lineRule="exact"/>
              <w:rPr>
                <w:sz w:val="20"/>
                <w:szCs w:val="20"/>
                <w:color w:val="auto"/>
              </w:rPr>
            </w:pPr>
            <w:r>
              <w:rPr>
                <w:rFonts w:ascii="Arial" w:cs="Arial" w:eastAsia="Arial" w:hAnsi="Arial"/>
                <w:sz w:val="16"/>
                <w:szCs w:val="16"/>
                <w:b w:val="1"/>
                <w:bCs w:val="1"/>
                <w:color w:val="auto"/>
                <w:w w:val="98"/>
              </w:rPr>
              <w:t>21 </w:t>
            </w:r>
            <w:r>
              <w:rPr>
                <w:rFonts w:ascii="Arial" w:cs="Arial" w:eastAsia="Arial" w:hAnsi="Arial"/>
                <w:sz w:val="19"/>
                <w:szCs w:val="19"/>
                <w:b w:val="1"/>
                <w:bCs w:val="1"/>
                <w:color w:val="auto"/>
                <w:w w:val="98"/>
                <w:vertAlign w:val="superscript"/>
              </w:rPr>
              <w:t>(3)</w:t>
            </w:r>
          </w:p>
        </w:tc>
        <w:tc>
          <w:tcPr>
            <w:tcW w:w="1480" w:type="dxa"/>
            <w:vAlign w:val="bottom"/>
            <w:tcBorders>
              <w:bottom w:val="single" w:sz="8" w:color="B2B2B2"/>
            </w:tcBorders>
          </w:tcPr>
          <w:p>
            <w:pPr>
              <w:jc w:val="right"/>
              <w:ind w:right="22"/>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21</w:t>
            </w:r>
          </w:p>
        </w:tc>
        <w:tc>
          <w:tcPr>
            <w:tcW w:w="0" w:type="dxa"/>
            <w:vAlign w:val="bottom"/>
          </w:tcPr>
          <w:p>
            <w:pPr>
              <w:spacing w:after="0"/>
              <w:rPr>
                <w:sz w:val="1"/>
                <w:szCs w:val="1"/>
                <w:color w:val="auto"/>
              </w:rPr>
            </w:pPr>
          </w:p>
        </w:tc>
      </w:tr>
      <w:tr>
        <w:trPr>
          <w:trHeight w:val="192"/>
        </w:trPr>
        <w:tc>
          <w:tcPr>
            <w:tcW w:w="2340" w:type="dxa"/>
            <w:vAlign w:val="bottom"/>
            <w:tcBorders>
              <w:bottom w:val="single" w:sz="8" w:color="B2B2B2"/>
            </w:tcBorders>
          </w:tcPr>
          <w:p>
            <w:pPr>
              <w:spacing w:after="0"/>
              <w:rPr>
                <w:sz w:val="20"/>
                <w:szCs w:val="20"/>
                <w:color w:val="auto"/>
              </w:rPr>
            </w:pPr>
            <w:r>
              <w:rPr>
                <w:rFonts w:ascii="Arial" w:cs="Arial" w:eastAsia="Arial" w:hAnsi="Arial"/>
                <w:sz w:val="16"/>
                <w:szCs w:val="16"/>
                <w:b w:val="1"/>
                <w:bCs w:val="1"/>
                <w:color w:val="auto"/>
              </w:rPr>
              <w:t> December 31, 2024</w:t>
            </w:r>
          </w:p>
        </w:tc>
        <w:tc>
          <w:tcPr>
            <w:tcW w:w="1580" w:type="dxa"/>
            <w:vAlign w:val="bottom"/>
            <w:tcBorders>
              <w:bottom w:val="single" w:sz="8" w:color="B2B2B2"/>
            </w:tcBorders>
          </w:tcPr>
          <w:p>
            <w:pPr>
              <w:jc w:val="right"/>
              <w:ind w:right="22"/>
              <w:spacing w:after="0"/>
              <w:rPr>
                <w:sz w:val="20"/>
                <w:szCs w:val="20"/>
                <w:color w:val="auto"/>
              </w:rPr>
            </w:pPr>
            <w:r>
              <w:rPr>
                <w:rFonts w:ascii="Arial" w:cs="Arial" w:eastAsia="Arial" w:hAnsi="Arial"/>
                <w:sz w:val="16"/>
                <w:szCs w:val="16"/>
                <w:b w:val="1"/>
                <w:bCs w:val="1"/>
                <w:color w:val="auto"/>
              </w:rPr>
              <w:t>21</w:t>
            </w:r>
          </w:p>
        </w:tc>
        <w:tc>
          <w:tcPr>
            <w:tcW w:w="1480" w:type="dxa"/>
            <w:vAlign w:val="bottom"/>
            <w:tcBorders>
              <w:bottom w:val="single" w:sz="8" w:color="B2B2B2"/>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2020" w:type="dxa"/>
            <w:vAlign w:val="bottom"/>
            <w:tcBorders>
              <w:bottom w:val="single" w:sz="8" w:color="B2B2B2"/>
            </w:tcBorders>
            <w:shd w:val="clear" w:color="auto" w:fill="E3F3EE"/>
          </w:tcPr>
          <w:p>
            <w:pPr>
              <w:ind w:left="1620"/>
              <w:spacing w:after="0"/>
              <w:rPr>
                <w:sz w:val="20"/>
                <w:szCs w:val="20"/>
                <w:color w:val="auto"/>
              </w:rPr>
            </w:pPr>
            <w:r>
              <w:rPr>
                <w:rFonts w:ascii="Arial" w:cs="Arial" w:eastAsia="Arial" w:hAnsi="Arial"/>
                <w:sz w:val="16"/>
                <w:szCs w:val="16"/>
                <w:b w:val="1"/>
                <w:bCs w:val="1"/>
                <w:color w:val="auto"/>
              </w:rPr>
              <w:t>21</w:t>
            </w:r>
          </w:p>
        </w:tc>
        <w:tc>
          <w:tcPr>
            <w:tcW w:w="1480" w:type="dxa"/>
            <w:vAlign w:val="bottom"/>
            <w:tcBorders>
              <w:bottom w:val="single" w:sz="8" w:color="B2B2B2"/>
            </w:tcBorders>
          </w:tcPr>
          <w:p>
            <w:pPr>
              <w:jc w:val="right"/>
              <w:ind w:right="22"/>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21</w:t>
            </w:r>
          </w:p>
        </w:tc>
        <w:tc>
          <w:tcPr>
            <w:tcW w:w="0" w:type="dxa"/>
            <w:vAlign w:val="bottom"/>
          </w:tcPr>
          <w:p>
            <w:pPr>
              <w:spacing w:after="0"/>
              <w:rPr>
                <w:sz w:val="1"/>
                <w:szCs w:val="1"/>
                <w:color w:val="auto"/>
              </w:rPr>
            </w:pPr>
          </w:p>
        </w:tc>
      </w:tr>
      <w:tr>
        <w:trPr>
          <w:trHeight w:val="285"/>
        </w:trPr>
        <w:tc>
          <w:tcPr>
            <w:tcW w:w="234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Derivative financial liabilities</w:t>
            </w:r>
          </w:p>
        </w:tc>
        <w:tc>
          <w:tcPr>
            <w:tcW w:w="1580" w:type="dxa"/>
            <w:vAlign w:val="bottom"/>
            <w:tcBorders>
              <w:bottom w:val="single" w:sz="8" w:color="B2B2B2"/>
            </w:tcBorders>
          </w:tcPr>
          <w:p>
            <w:pPr>
              <w:jc w:val="right"/>
              <w:ind w:right="22"/>
              <w:spacing w:after="0"/>
              <w:rPr>
                <w:sz w:val="20"/>
                <w:szCs w:val="20"/>
                <w:color w:val="auto"/>
              </w:rPr>
            </w:pPr>
            <w:r>
              <w:rPr>
                <w:rFonts w:ascii="Arial" w:cs="Arial" w:eastAsia="Arial" w:hAnsi="Arial"/>
                <w:sz w:val="16"/>
                <w:szCs w:val="16"/>
                <w:color w:val="auto"/>
              </w:rPr>
              <w:t>32</w:t>
            </w:r>
          </w:p>
        </w:tc>
        <w:tc>
          <w:tcPr>
            <w:tcW w:w="1480" w:type="dxa"/>
            <w:vAlign w:val="bottom"/>
            <w:tcBorders>
              <w:bottom w:val="single" w:sz="8" w:color="B2B2B2"/>
            </w:tcBorders>
          </w:tcPr>
          <w:p>
            <w:pPr>
              <w:jc w:val="right"/>
              <w:ind w:right="2"/>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B2B2B2"/>
            </w:tcBorders>
            <w:shd w:val="clear" w:color="auto" w:fill="E3F3EE"/>
          </w:tcPr>
          <w:p>
            <w:pPr>
              <w:ind w:left="1620"/>
              <w:spacing w:after="0" w:line="284" w:lineRule="exact"/>
              <w:rPr>
                <w:sz w:val="20"/>
                <w:szCs w:val="20"/>
                <w:color w:val="auto"/>
              </w:rPr>
            </w:pPr>
            <w:r>
              <w:rPr>
                <w:rFonts w:ascii="Arial" w:cs="Arial" w:eastAsia="Arial" w:hAnsi="Arial"/>
                <w:sz w:val="31"/>
                <w:szCs w:val="31"/>
                <w:color w:val="auto"/>
                <w:w w:val="90"/>
                <w:vertAlign w:val="subscript"/>
              </w:rPr>
              <w:t>32 </w:t>
            </w:r>
            <w:r>
              <w:rPr>
                <w:rFonts w:ascii="Arial" w:cs="Arial" w:eastAsia="Arial" w:hAnsi="Arial"/>
                <w:sz w:val="10"/>
                <w:szCs w:val="10"/>
                <w:color w:val="auto"/>
                <w:w w:val="90"/>
              </w:rPr>
              <w:t>(3)</w:t>
            </w:r>
          </w:p>
        </w:tc>
        <w:tc>
          <w:tcPr>
            <w:tcW w:w="1480" w:type="dxa"/>
            <w:vAlign w:val="bottom"/>
            <w:tcBorders>
              <w:bottom w:val="single" w:sz="8" w:color="B2B2B2"/>
            </w:tcBorders>
          </w:tcPr>
          <w:p>
            <w:pPr>
              <w:jc w:val="right"/>
              <w:ind w:right="2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9"/>
        </w:trPr>
        <w:tc>
          <w:tcPr>
            <w:tcW w:w="2340" w:type="dxa"/>
            <w:vAlign w:val="bottom"/>
            <w:tcBorders>
              <w:bottom w:val="single" w:sz="8" w:color="D64000"/>
            </w:tcBorders>
          </w:tcPr>
          <w:p>
            <w:pPr>
              <w:spacing w:after="0"/>
              <w:rPr>
                <w:sz w:val="20"/>
                <w:szCs w:val="20"/>
                <w:color w:val="auto"/>
              </w:rPr>
            </w:pPr>
            <w:r>
              <w:rPr>
                <w:rFonts w:ascii="Arial" w:cs="Arial" w:eastAsia="Arial" w:hAnsi="Arial"/>
                <w:sz w:val="16"/>
                <w:szCs w:val="16"/>
                <w:color w:val="auto"/>
              </w:rPr>
              <w:t> December 31, 2023</w:t>
            </w:r>
          </w:p>
        </w:tc>
        <w:tc>
          <w:tcPr>
            <w:tcW w:w="1580" w:type="dxa"/>
            <w:vAlign w:val="bottom"/>
            <w:tcBorders>
              <w:bottom w:val="single" w:sz="8" w:color="D64000"/>
            </w:tcBorders>
          </w:tcPr>
          <w:p>
            <w:pPr>
              <w:jc w:val="right"/>
              <w:ind w:right="22"/>
              <w:spacing w:after="0"/>
              <w:rPr>
                <w:sz w:val="20"/>
                <w:szCs w:val="20"/>
                <w:color w:val="auto"/>
              </w:rPr>
            </w:pPr>
            <w:r>
              <w:rPr>
                <w:rFonts w:ascii="Arial" w:cs="Arial" w:eastAsia="Arial" w:hAnsi="Arial"/>
                <w:sz w:val="16"/>
                <w:szCs w:val="16"/>
                <w:color w:val="auto"/>
              </w:rPr>
              <w:t>32</w:t>
            </w:r>
          </w:p>
        </w:tc>
        <w:tc>
          <w:tcPr>
            <w:tcW w:w="1480" w:type="dxa"/>
            <w:vAlign w:val="bottom"/>
            <w:tcBorders>
              <w:bottom w:val="single" w:sz="8" w:color="D64000"/>
            </w:tcBorders>
          </w:tcPr>
          <w:p>
            <w:pPr>
              <w:jc w:val="right"/>
              <w:ind w:right="2"/>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D64000"/>
            </w:tcBorders>
            <w:shd w:val="clear" w:color="auto" w:fill="E3F3EE"/>
          </w:tcPr>
          <w:p>
            <w:pPr>
              <w:ind w:left="1620"/>
              <w:spacing w:after="0"/>
              <w:rPr>
                <w:sz w:val="20"/>
                <w:szCs w:val="20"/>
                <w:color w:val="auto"/>
              </w:rPr>
            </w:pPr>
            <w:r>
              <w:rPr>
                <w:rFonts w:ascii="Arial" w:cs="Arial" w:eastAsia="Arial" w:hAnsi="Arial"/>
                <w:sz w:val="16"/>
                <w:szCs w:val="16"/>
                <w:color w:val="auto"/>
              </w:rPr>
              <w:t>32</w:t>
            </w:r>
          </w:p>
        </w:tc>
        <w:tc>
          <w:tcPr>
            <w:tcW w:w="1480" w:type="dxa"/>
            <w:vAlign w:val="bottom"/>
            <w:tcBorders>
              <w:bottom w:val="single" w:sz="8" w:color="D64000"/>
            </w:tcBorders>
          </w:tcPr>
          <w:p>
            <w:pPr>
              <w:jc w:val="right"/>
              <w:ind w:right="2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64000"/>
            </w:tcBorders>
          </w:tcPr>
          <w:p>
            <w:pPr>
              <w:jc w:val="right"/>
              <w:ind w:right="1"/>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640" w:hanging="422"/>
        <w:spacing w:after="0"/>
        <w:tabs>
          <w:tab w:leader="none" w:pos="64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Included within “Cash and cash equivalents” in the consolidated statement of financial position.</w:t>
      </w:r>
    </w:p>
    <w:p>
      <w:pPr>
        <w:spacing w:after="0" w:line="12" w:lineRule="exact"/>
        <w:rPr>
          <w:rFonts w:ascii="Arial" w:cs="Arial" w:eastAsia="Arial" w:hAnsi="Arial"/>
          <w:sz w:val="14"/>
          <w:szCs w:val="14"/>
          <w:color w:val="auto"/>
        </w:rPr>
      </w:pPr>
    </w:p>
    <w:p>
      <w:pPr>
        <w:ind w:left="640" w:hanging="422"/>
        <w:spacing w:after="0" w:line="237" w:lineRule="auto"/>
        <w:tabs>
          <w:tab w:leader="none" w:pos="64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Included within “Other financial assets”, current or non-current as appropriate, in the consolidated statement of financial position.</w:t>
      </w:r>
    </w:p>
    <w:p>
      <w:pPr>
        <w:ind w:left="640" w:hanging="422"/>
        <w:spacing w:after="0"/>
        <w:tabs>
          <w:tab w:leader="none" w:pos="64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Included within “Other financial liabilities”, current or non-current as appropriate, in the consolidated statement of financial position.</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Note 21: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92710</wp:posOffset>
            </wp:positionV>
            <wp:extent cx="630999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309995" cy="8255"/>
                    </a:xfrm>
                    <a:prstGeom prst="rect">
                      <a:avLst/>
                    </a:prstGeom>
                    <a:noFill/>
                  </pic:spPr>
                </pic:pic>
              </a:graphicData>
            </a:graphic>
          </wp:anchor>
        </w:drawing>
      </w:r>
    </w:p>
    <w:p>
      <w:pPr>
        <w:spacing w:after="0" w:line="126"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6060" w:type="dxa"/>
            <w:vAlign w:val="bottom"/>
          </w:tcPr>
          <w:p>
            <w:pPr>
              <w:spacing w:after="0"/>
              <w:rPr>
                <w:sz w:val="17"/>
                <w:szCs w:val="17"/>
                <w:color w:val="auto"/>
              </w:rPr>
            </w:pPr>
          </w:p>
        </w:tc>
        <w:tc>
          <w:tcPr>
            <w:tcW w:w="1100" w:type="dxa"/>
            <w:vAlign w:val="bottom"/>
            <w:shd w:val="clear" w:color="auto" w:fill="E3F3EE"/>
          </w:tcPr>
          <w:p>
            <w:pPr>
              <w:ind w:left="1000"/>
              <w:spacing w:after="0"/>
              <w:rPr>
                <w:sz w:val="20"/>
                <w:szCs w:val="20"/>
                <w:color w:val="auto"/>
              </w:rPr>
            </w:pPr>
            <w:r>
              <w:rPr>
                <w:rFonts w:ascii="Arial" w:cs="Arial" w:eastAsia="Arial" w:hAnsi="Arial"/>
                <w:sz w:val="11"/>
                <w:szCs w:val="11"/>
                <w:b w:val="1"/>
                <w:bCs w:val="1"/>
                <w:color w:val="auto"/>
                <w:w w:val="72"/>
              </w:rPr>
              <w:t> </w:t>
            </w:r>
          </w:p>
        </w:tc>
        <w:tc>
          <w:tcPr>
            <w:tcW w:w="160" w:type="dxa"/>
            <w:vAlign w:val="bottom"/>
            <w:shd w:val="clear" w:color="auto" w:fill="E3F3EE"/>
          </w:tcPr>
          <w:p>
            <w:pPr>
              <w:ind w:left="60"/>
              <w:spacing w:after="0"/>
              <w:rPr>
                <w:sz w:val="20"/>
                <w:szCs w:val="20"/>
                <w:color w:val="auto"/>
              </w:rPr>
            </w:pPr>
            <w:r>
              <w:rPr>
                <w:rFonts w:ascii="Arial" w:cs="Arial" w:eastAsia="Arial" w:hAnsi="Arial"/>
                <w:sz w:val="11"/>
                <w:szCs w:val="11"/>
                <w:b w:val="1"/>
                <w:bCs w:val="1"/>
                <w:color w:val="auto"/>
                <w:w w:val="72"/>
              </w:rPr>
              <w:t> </w:t>
            </w:r>
          </w:p>
        </w:tc>
        <w:tc>
          <w:tcPr>
            <w:tcW w:w="160" w:type="dxa"/>
            <w:vAlign w:val="bottom"/>
            <w:shd w:val="clear" w:color="auto" w:fill="E3F3EE"/>
          </w:tcPr>
          <w:p>
            <w:pPr>
              <w:ind w:left="60"/>
              <w:spacing w:after="0"/>
              <w:rPr>
                <w:sz w:val="20"/>
                <w:szCs w:val="20"/>
                <w:color w:val="auto"/>
              </w:rPr>
            </w:pPr>
            <w:r>
              <w:rPr>
                <w:rFonts w:ascii="Arial" w:cs="Arial" w:eastAsia="Arial" w:hAnsi="Arial"/>
                <w:sz w:val="11"/>
                <w:szCs w:val="11"/>
                <w:b w:val="1"/>
                <w:bCs w:val="1"/>
                <w:color w:val="auto"/>
                <w:w w:val="72"/>
              </w:rPr>
              <w:t> </w:t>
            </w:r>
          </w:p>
        </w:tc>
        <w:tc>
          <w:tcPr>
            <w:tcW w:w="500" w:type="dxa"/>
            <w:vAlign w:val="bottom"/>
            <w:shd w:val="clear" w:color="auto" w:fill="E3F3EE"/>
          </w:tcPr>
          <w:p>
            <w:pPr>
              <w:jc w:val="right"/>
              <w:ind w:right="1"/>
              <w:spacing w:after="0"/>
              <w:rPr>
                <w:sz w:val="20"/>
                <w:szCs w:val="20"/>
                <w:color w:val="auto"/>
              </w:rPr>
            </w:pPr>
            <w:r>
              <w:rPr>
                <w:rFonts w:ascii="Arial" w:cs="Arial" w:eastAsia="Arial" w:hAnsi="Arial"/>
                <w:sz w:val="16"/>
                <w:szCs w:val="16"/>
                <w:b w:val="1"/>
                <w:bCs w:val="1"/>
                <w:color w:val="auto"/>
              </w:rPr>
              <w:t xml:space="preserve">       </w:t>
            </w:r>
          </w:p>
        </w:tc>
        <w:tc>
          <w:tcPr>
            <w:tcW w:w="1140" w:type="dxa"/>
            <w:vAlign w:val="bottom"/>
            <w:shd w:val="clear" w:color="auto" w:fill="E3F3EE"/>
          </w:tcPr>
          <w:p>
            <w:pPr>
              <w:ind w:left="40"/>
              <w:spacing w:after="0"/>
              <w:rPr>
                <w:sz w:val="20"/>
                <w:szCs w:val="20"/>
                <w:color w:val="auto"/>
              </w:rPr>
            </w:pPr>
            <w:r>
              <w:rPr>
                <w:rFonts w:ascii="Arial" w:cs="Arial" w:eastAsia="Arial" w:hAnsi="Arial"/>
                <w:sz w:val="16"/>
                <w:szCs w:val="16"/>
                <w:b w:val="1"/>
                <w:bCs w:val="1"/>
                <w:color w:val="auto"/>
                <w:w w:val="89"/>
              </w:rPr>
              <w:t>December 31, </w:t>
            </w:r>
          </w:p>
        </w:tc>
        <w:tc>
          <w:tcPr>
            <w:tcW w:w="160" w:type="dxa"/>
            <w:vAlign w:val="bottom"/>
            <w:shd w:val="clear" w:color="auto" w:fill="E3F3EE"/>
          </w:tcPr>
          <w:p>
            <w:pPr>
              <w:ind w:left="100"/>
              <w:spacing w:after="0"/>
              <w:rPr>
                <w:sz w:val="20"/>
                <w:szCs w:val="20"/>
                <w:color w:val="auto"/>
              </w:rPr>
            </w:pPr>
            <w:r>
              <w:rPr>
                <w:rFonts w:ascii="Arial" w:cs="Arial" w:eastAsia="Arial" w:hAnsi="Arial"/>
                <w:sz w:val="5"/>
                <w:szCs w:val="5"/>
                <w:b w:val="1"/>
                <w:bCs w:val="1"/>
                <w:color w:val="auto"/>
                <w:w w:val="79"/>
              </w:rPr>
              <w:t> </w:t>
            </w:r>
          </w:p>
        </w:tc>
        <w:tc>
          <w:tcPr>
            <w:tcW w:w="660" w:type="dxa"/>
            <w:vAlign w:val="bottom"/>
            <w:shd w:val="clear" w:color="auto" w:fill="E3F3EE"/>
          </w:tcPr>
          <w:p>
            <w:pPr>
              <w:jc w:val="right"/>
              <w:ind w:right="441"/>
              <w:spacing w:after="0"/>
              <w:rPr>
                <w:sz w:val="20"/>
                <w:szCs w:val="20"/>
                <w:color w:val="auto"/>
              </w:rPr>
            </w:pPr>
            <w:r>
              <w:rPr>
                <w:rFonts w:ascii="Arial" w:cs="Arial" w:eastAsia="Arial" w:hAnsi="Arial"/>
                <w:sz w:val="16"/>
                <w:szCs w:val="16"/>
                <w:b w:val="1"/>
                <w:bCs w:val="1"/>
                <w:color w:val="auto"/>
                <w:w w:val="74"/>
              </w:rPr>
              <w:t> </w:t>
            </w:r>
          </w:p>
        </w:tc>
      </w:tr>
      <w:tr>
        <w:trPr>
          <w:trHeight w:val="192"/>
        </w:trPr>
        <w:tc>
          <w:tcPr>
            <w:tcW w:w="6060" w:type="dxa"/>
            <w:vAlign w:val="bottom"/>
            <w:tcBorders>
              <w:bottom w:val="single" w:sz="8" w:color="D64000"/>
            </w:tcBorders>
            <w:shd w:val="clear" w:color="auto" w:fill="1F473D"/>
          </w:tcPr>
          <w:p>
            <w:pPr>
              <w:spacing w:after="0"/>
              <w:rPr>
                <w:sz w:val="16"/>
                <w:szCs w:val="16"/>
                <w:color w:val="auto"/>
              </w:rPr>
            </w:pPr>
          </w:p>
        </w:tc>
        <w:tc>
          <w:tcPr>
            <w:tcW w:w="1100" w:type="dxa"/>
            <w:vAlign w:val="bottom"/>
            <w:tcBorders>
              <w:bottom w:val="single" w:sz="8" w:color="D64000"/>
            </w:tcBorders>
            <w:shd w:val="clear" w:color="auto" w:fill="1F473D"/>
          </w:tcPr>
          <w:p>
            <w:pPr>
              <w:ind w:left="980"/>
              <w:spacing w:after="0"/>
              <w:rPr>
                <w:sz w:val="20"/>
                <w:szCs w:val="20"/>
                <w:color w:val="auto"/>
              </w:rPr>
            </w:pPr>
            <w:r>
              <w:rPr>
                <w:rFonts w:ascii="Arial" w:cs="Arial" w:eastAsia="Arial" w:hAnsi="Arial"/>
                <w:sz w:val="14"/>
                <w:szCs w:val="14"/>
                <w:b w:val="1"/>
                <w:bCs w:val="1"/>
                <w:color w:val="FFFFFF"/>
                <w:w w:val="71"/>
              </w:rPr>
              <w:t> </w:t>
            </w:r>
          </w:p>
        </w:tc>
        <w:tc>
          <w:tcPr>
            <w:tcW w:w="160" w:type="dxa"/>
            <w:vAlign w:val="bottom"/>
            <w:tcBorders>
              <w:bottom w:val="single" w:sz="8" w:color="D64000"/>
            </w:tcBorders>
            <w:shd w:val="clear" w:color="auto" w:fill="1F473D"/>
          </w:tcPr>
          <w:p>
            <w:pPr>
              <w:ind w:left="40"/>
              <w:spacing w:after="0"/>
              <w:rPr>
                <w:sz w:val="20"/>
                <w:szCs w:val="20"/>
                <w:color w:val="auto"/>
              </w:rPr>
            </w:pPr>
            <w:r>
              <w:rPr>
                <w:rFonts w:ascii="Arial" w:cs="Arial" w:eastAsia="Arial" w:hAnsi="Arial"/>
                <w:sz w:val="14"/>
                <w:szCs w:val="14"/>
                <w:b w:val="1"/>
                <w:bCs w:val="1"/>
                <w:color w:val="FFFFFF"/>
                <w:w w:val="71"/>
              </w:rPr>
              <w:t> </w:t>
            </w:r>
          </w:p>
        </w:tc>
        <w:tc>
          <w:tcPr>
            <w:tcW w:w="160" w:type="dxa"/>
            <w:vAlign w:val="bottom"/>
            <w:tcBorders>
              <w:bottom w:val="single" w:sz="8" w:color="D64000"/>
            </w:tcBorders>
            <w:shd w:val="clear" w:color="auto" w:fill="1F473D"/>
          </w:tcPr>
          <w:p>
            <w:pPr>
              <w:ind w:left="40"/>
              <w:spacing w:after="0"/>
              <w:rPr>
                <w:sz w:val="20"/>
                <w:szCs w:val="20"/>
                <w:color w:val="auto"/>
              </w:rPr>
            </w:pPr>
            <w:r>
              <w:rPr>
                <w:rFonts w:ascii="Arial" w:cs="Arial" w:eastAsia="Arial" w:hAnsi="Arial"/>
                <w:sz w:val="14"/>
                <w:szCs w:val="14"/>
                <w:b w:val="1"/>
                <w:bCs w:val="1"/>
                <w:color w:val="FFFFFF"/>
                <w:w w:val="71"/>
              </w:rPr>
              <w:t> </w:t>
            </w:r>
          </w:p>
        </w:tc>
        <w:tc>
          <w:tcPr>
            <w:tcW w:w="500" w:type="dxa"/>
            <w:vAlign w:val="bottom"/>
            <w:tcBorders>
              <w:bottom w:val="single" w:sz="8" w:color="D64000"/>
            </w:tcBorders>
            <w:shd w:val="clear" w:color="auto" w:fill="1F473D"/>
          </w:tcPr>
          <w:p>
            <w:pPr>
              <w:jc w:val="right"/>
              <w:ind w:right="41"/>
              <w:spacing w:after="0"/>
              <w:rPr>
                <w:sz w:val="20"/>
                <w:szCs w:val="20"/>
                <w:color w:val="auto"/>
              </w:rPr>
            </w:pPr>
            <w:r>
              <w:rPr>
                <w:rFonts w:ascii="Arial" w:cs="Arial" w:eastAsia="Arial" w:hAnsi="Arial"/>
                <w:sz w:val="16"/>
                <w:szCs w:val="16"/>
                <w:b w:val="1"/>
                <w:bCs w:val="1"/>
                <w:color w:val="FFFFFF"/>
              </w:rPr>
              <w:t>2024</w:t>
            </w:r>
          </w:p>
        </w:tc>
        <w:tc>
          <w:tcPr>
            <w:tcW w:w="1140" w:type="dxa"/>
            <w:vAlign w:val="bottom"/>
            <w:tcBorders>
              <w:bottom w:val="single" w:sz="8" w:color="D64000"/>
            </w:tcBorders>
            <w:shd w:val="clear" w:color="auto" w:fill="1F473D"/>
          </w:tcPr>
          <w:p>
            <w:pPr>
              <w:ind w:left="1020"/>
              <w:spacing w:after="0"/>
              <w:rPr>
                <w:sz w:val="20"/>
                <w:szCs w:val="20"/>
                <w:color w:val="auto"/>
              </w:rPr>
            </w:pPr>
            <w:r>
              <w:rPr>
                <w:rFonts w:ascii="Arial" w:cs="Arial" w:eastAsia="Arial" w:hAnsi="Arial"/>
                <w:sz w:val="14"/>
                <w:szCs w:val="14"/>
                <w:color w:val="FFFFFF"/>
                <w:w w:val="71"/>
              </w:rPr>
              <w:t> </w:t>
            </w:r>
          </w:p>
        </w:tc>
        <w:tc>
          <w:tcPr>
            <w:tcW w:w="160" w:type="dxa"/>
            <w:vAlign w:val="bottom"/>
            <w:tcBorders>
              <w:bottom w:val="single" w:sz="8" w:color="D64000"/>
            </w:tcBorders>
            <w:shd w:val="clear" w:color="auto" w:fill="1F473D"/>
          </w:tcPr>
          <w:p>
            <w:pPr>
              <w:ind w:left="40"/>
              <w:spacing w:after="0"/>
              <w:rPr>
                <w:sz w:val="20"/>
                <w:szCs w:val="20"/>
                <w:color w:val="auto"/>
              </w:rPr>
            </w:pPr>
            <w:r>
              <w:rPr>
                <w:rFonts w:ascii="Arial" w:cs="Arial" w:eastAsia="Arial" w:hAnsi="Arial"/>
                <w:sz w:val="14"/>
                <w:szCs w:val="14"/>
                <w:color w:val="FFFFFF"/>
                <w:w w:val="71"/>
              </w:rPr>
              <w:t> </w:t>
            </w:r>
          </w:p>
        </w:tc>
        <w:tc>
          <w:tcPr>
            <w:tcW w:w="660" w:type="dxa"/>
            <w:vAlign w:val="bottom"/>
            <w:tcBorders>
              <w:bottom w:val="single" w:sz="8" w:color="D64000"/>
            </w:tcBorders>
            <w:shd w:val="clear" w:color="auto" w:fill="1F473D"/>
          </w:tcPr>
          <w:p>
            <w:pPr>
              <w:jc w:val="right"/>
              <w:ind w:right="21"/>
              <w:spacing w:after="0"/>
              <w:rPr>
                <w:sz w:val="20"/>
                <w:szCs w:val="20"/>
                <w:color w:val="auto"/>
              </w:rPr>
            </w:pPr>
            <w:r>
              <w:rPr>
                <w:rFonts w:ascii="Arial" w:cs="Arial" w:eastAsia="Arial" w:hAnsi="Arial"/>
                <w:sz w:val="16"/>
                <w:szCs w:val="16"/>
                <w:color w:val="FFFFFF"/>
                <w:w w:val="89"/>
              </w:rPr>
              <w:t>   2023</w:t>
            </w:r>
          </w:p>
        </w:tc>
      </w:tr>
      <w:tr>
        <w:trPr>
          <w:trHeight w:val="171"/>
        </w:trPr>
        <w:tc>
          <w:tcPr>
            <w:tcW w:w="7160" w:type="dxa"/>
            <w:vAlign w:val="bottom"/>
            <w:gridSpan w:val="2"/>
          </w:tcPr>
          <w:p>
            <w:pPr>
              <w:spacing w:after="0" w:line="171" w:lineRule="exact"/>
              <w:rPr>
                <w:sz w:val="20"/>
                <w:szCs w:val="20"/>
                <w:color w:val="auto"/>
              </w:rPr>
            </w:pPr>
            <w:r>
              <w:rPr>
                <w:rFonts w:ascii="Arial" w:cs="Arial" w:eastAsia="Arial" w:hAnsi="Arial"/>
                <w:sz w:val="16"/>
                <w:szCs w:val="16"/>
                <w:color w:val="auto"/>
              </w:rPr>
              <w:t> Cash surrender value of life insurance policies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370</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line="171" w:lineRule="exact"/>
              <w:rPr>
                <w:sz w:val="20"/>
                <w:szCs w:val="20"/>
                <w:color w:val="auto"/>
              </w:rPr>
            </w:pPr>
            <w:r>
              <w:rPr>
                <w:rFonts w:ascii="Arial" w:cs="Arial" w:eastAsia="Arial" w:hAnsi="Arial"/>
                <w:sz w:val="16"/>
                <w:szCs w:val="16"/>
                <w:color w:val="auto"/>
              </w:rPr>
              <w:t>354</w:t>
            </w:r>
          </w:p>
        </w:tc>
      </w:tr>
      <w:tr>
        <w:trPr>
          <w:trHeight w:val="186"/>
        </w:trPr>
        <w:tc>
          <w:tcPr>
            <w:tcW w:w="7160" w:type="dxa"/>
            <w:vAlign w:val="bottom"/>
            <w:gridSpan w:val="2"/>
          </w:tcPr>
          <w:p>
            <w:pPr>
              <w:spacing w:after="0"/>
              <w:rPr>
                <w:sz w:val="20"/>
                <w:szCs w:val="20"/>
                <w:color w:val="auto"/>
              </w:rPr>
            </w:pPr>
            <w:r>
              <w:rPr>
                <w:rFonts w:ascii="Arial" w:cs="Arial" w:eastAsia="Arial" w:hAnsi="Arial"/>
                <w:sz w:val="16"/>
                <w:szCs w:val="16"/>
                <w:color w:val="auto"/>
              </w:rPr>
              <w:t> Deferred commissions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98</w:t>
            </w: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185"/>
        </w:trPr>
        <w:tc>
          <w:tcPr>
            <w:tcW w:w="7160" w:type="dxa"/>
            <w:vAlign w:val="bottom"/>
            <w:gridSpan w:val="2"/>
          </w:tcPr>
          <w:p>
            <w:pPr>
              <w:spacing w:after="0"/>
              <w:rPr>
                <w:sz w:val="20"/>
                <w:szCs w:val="20"/>
                <w:color w:val="auto"/>
              </w:rPr>
            </w:pPr>
            <w:r>
              <w:rPr>
                <w:rFonts w:ascii="Arial" w:cs="Arial" w:eastAsia="Arial" w:hAnsi="Arial"/>
                <w:sz w:val="16"/>
                <w:szCs w:val="16"/>
                <w:color w:val="auto"/>
              </w:rPr>
              <w:t> Net defined benefit plan surpluses (see note 27)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40</w:t>
            </w: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00"/>
        </w:trPr>
        <w:tc>
          <w:tcPr>
            <w:tcW w:w="7160" w:type="dxa"/>
            <w:vAlign w:val="bottom"/>
            <w:tcBorders>
              <w:bottom w:val="single" w:sz="8" w:color="B2B2B2"/>
            </w:tcBorders>
            <w:gridSpan w:val="2"/>
          </w:tcPr>
          <w:p>
            <w:pPr>
              <w:spacing w:after="0" w:line="200" w:lineRule="exact"/>
              <w:rPr>
                <w:sz w:val="20"/>
                <w:szCs w:val="20"/>
                <w:color w:val="auto"/>
              </w:rPr>
            </w:pPr>
            <w:r>
              <w:rPr>
                <w:rFonts w:ascii="Arial" w:cs="Arial" w:eastAsia="Arial" w:hAnsi="Arial"/>
                <w:sz w:val="16"/>
                <w:szCs w:val="16"/>
                <w:color w:val="auto"/>
              </w:rPr>
              <w:t> Other non-current assets</w:t>
            </w:r>
            <w:r>
              <w:rPr>
                <w:rFonts w:ascii="Arial" w:cs="Arial" w:eastAsia="Arial" w:hAnsi="Arial"/>
                <w:sz w:val="19"/>
                <w:szCs w:val="19"/>
                <w:color w:val="auto"/>
                <w:vertAlign w:val="superscript"/>
              </w:rPr>
              <w:t>(1)</w:t>
            </w:r>
          </w:p>
        </w:tc>
        <w:tc>
          <w:tcPr>
            <w:tcW w:w="160" w:type="dxa"/>
            <w:vAlign w:val="bottom"/>
            <w:tcBorders>
              <w:bottom w:val="single" w:sz="8" w:color="B2B2B2"/>
            </w:tcBorders>
          </w:tcPr>
          <w:p>
            <w:pPr>
              <w:spacing w:after="0"/>
              <w:rPr>
                <w:sz w:val="17"/>
                <w:szCs w:val="17"/>
                <w:color w:val="auto"/>
              </w:rPr>
            </w:pPr>
          </w:p>
        </w:tc>
        <w:tc>
          <w:tcPr>
            <w:tcW w:w="160" w:type="dxa"/>
            <w:vAlign w:val="bottom"/>
            <w:tcBorders>
              <w:bottom w:val="single" w:sz="8" w:color="B2B2B2"/>
            </w:tcBorders>
          </w:tcPr>
          <w:p>
            <w:pPr>
              <w:spacing w:after="0"/>
              <w:rPr>
                <w:sz w:val="17"/>
                <w:szCs w:val="17"/>
                <w:color w:val="auto"/>
              </w:rPr>
            </w:pPr>
          </w:p>
        </w:tc>
        <w:tc>
          <w:tcPr>
            <w:tcW w:w="5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117</w:t>
            </w:r>
          </w:p>
        </w:tc>
        <w:tc>
          <w:tcPr>
            <w:tcW w:w="1140" w:type="dxa"/>
            <w:vAlign w:val="bottom"/>
            <w:tcBorders>
              <w:bottom w:val="single" w:sz="8" w:color="B2B2B2"/>
            </w:tcBorders>
          </w:tcPr>
          <w:p>
            <w:pPr>
              <w:spacing w:after="0"/>
              <w:rPr>
                <w:sz w:val="17"/>
                <w:szCs w:val="17"/>
                <w:color w:val="auto"/>
              </w:rPr>
            </w:pPr>
          </w:p>
        </w:tc>
        <w:tc>
          <w:tcPr>
            <w:tcW w:w="160" w:type="dxa"/>
            <w:vAlign w:val="bottom"/>
            <w:tcBorders>
              <w:bottom w:val="single" w:sz="8" w:color="B2B2B2"/>
            </w:tcBorders>
          </w:tcPr>
          <w:p>
            <w:pPr>
              <w:spacing w:after="0"/>
              <w:rPr>
                <w:sz w:val="17"/>
                <w:szCs w:val="17"/>
                <w:color w:val="auto"/>
              </w:rPr>
            </w:pPr>
          </w:p>
        </w:tc>
        <w:tc>
          <w:tcPr>
            <w:tcW w:w="6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111</w:t>
            </w:r>
          </w:p>
        </w:tc>
      </w:tr>
      <w:tr>
        <w:trPr>
          <w:trHeight w:val="185"/>
        </w:trPr>
        <w:tc>
          <w:tcPr>
            <w:tcW w:w="7160" w:type="dxa"/>
            <w:vAlign w:val="bottom"/>
            <w:tcBorders>
              <w:bottom w:val="single" w:sz="8" w:color="D64000"/>
            </w:tcBorders>
            <w:gridSpan w:val="2"/>
          </w:tcPr>
          <w:p>
            <w:pPr>
              <w:spacing w:after="0" w:line="179" w:lineRule="exact"/>
              <w:rPr>
                <w:sz w:val="20"/>
                <w:szCs w:val="20"/>
                <w:color w:val="auto"/>
              </w:rPr>
            </w:pPr>
            <w:r>
              <w:rPr>
                <w:rFonts w:ascii="Arial" w:cs="Arial" w:eastAsia="Arial" w:hAnsi="Arial"/>
                <w:sz w:val="16"/>
                <w:szCs w:val="16"/>
                <w:color w:val="auto"/>
              </w:rPr>
              <w:t> Total other non-current assets</w:t>
            </w:r>
          </w:p>
        </w:tc>
        <w:tc>
          <w:tcPr>
            <w:tcW w:w="160" w:type="dxa"/>
            <w:vAlign w:val="bottom"/>
            <w:tcBorders>
              <w:bottom w:val="single" w:sz="8" w:color="D64000"/>
            </w:tcBorders>
          </w:tcPr>
          <w:p>
            <w:pPr>
              <w:spacing w:after="0"/>
              <w:rPr>
                <w:sz w:val="16"/>
                <w:szCs w:val="16"/>
                <w:color w:val="auto"/>
              </w:rPr>
            </w:pPr>
          </w:p>
        </w:tc>
        <w:tc>
          <w:tcPr>
            <w:tcW w:w="160" w:type="dxa"/>
            <w:vAlign w:val="bottom"/>
            <w:tcBorders>
              <w:bottom w:val="single" w:sz="8" w:color="D64000"/>
            </w:tcBorders>
          </w:tcPr>
          <w:p>
            <w:pPr>
              <w:spacing w:after="0"/>
              <w:rPr>
                <w:sz w:val="16"/>
                <w:szCs w:val="16"/>
                <w:color w:val="auto"/>
              </w:rPr>
            </w:pPr>
          </w:p>
        </w:tc>
        <w:tc>
          <w:tcPr>
            <w:tcW w:w="50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b w:val="1"/>
                <w:bCs w:val="1"/>
                <w:color w:val="auto"/>
              </w:rPr>
              <w:t>625</w:t>
            </w:r>
          </w:p>
        </w:tc>
        <w:tc>
          <w:tcPr>
            <w:tcW w:w="1140" w:type="dxa"/>
            <w:vAlign w:val="bottom"/>
            <w:tcBorders>
              <w:bottom w:val="single" w:sz="8" w:color="D64000"/>
            </w:tcBorders>
          </w:tcPr>
          <w:p>
            <w:pPr>
              <w:spacing w:after="0"/>
              <w:rPr>
                <w:sz w:val="16"/>
                <w:szCs w:val="16"/>
                <w:color w:val="auto"/>
              </w:rPr>
            </w:pPr>
          </w:p>
        </w:tc>
        <w:tc>
          <w:tcPr>
            <w:tcW w:w="160" w:type="dxa"/>
            <w:vAlign w:val="bottom"/>
            <w:tcBorders>
              <w:bottom w:val="single" w:sz="8" w:color="D64000"/>
            </w:tcBorders>
          </w:tcPr>
          <w:p>
            <w:pPr>
              <w:spacing w:after="0"/>
              <w:rPr>
                <w:sz w:val="16"/>
                <w:szCs w:val="16"/>
                <w:color w:val="auto"/>
              </w:rPr>
            </w:pPr>
          </w:p>
        </w:tc>
        <w:tc>
          <w:tcPr>
            <w:tcW w:w="66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618</w:t>
            </w:r>
          </w:p>
        </w:tc>
      </w:tr>
    </w:tbl>
    <w:p>
      <w:pPr>
        <w:spacing w:after="0" w:line="110" w:lineRule="exact"/>
        <w:rPr>
          <w:sz w:val="20"/>
          <w:szCs w:val="20"/>
          <w:color w:val="auto"/>
        </w:rPr>
      </w:pPr>
    </w:p>
    <w:p>
      <w:pPr>
        <w:ind w:left="540" w:hanging="322"/>
        <w:spacing w:after="0"/>
        <w:tabs>
          <w:tab w:leader="none" w:pos="5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Includes a tax receivable from HM Revenue &amp; Customs (“HMRC”) of $89 million and $91 million as of December 31, 2024 and 2023, respectively (see note 31).</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Note 22: Payables, Accruals and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92710</wp:posOffset>
            </wp:positionV>
            <wp:extent cx="630999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309995" cy="8255"/>
                    </a:xfrm>
                    <a:prstGeom prst="rect">
                      <a:avLst/>
                    </a:prstGeom>
                    <a:noFill/>
                  </pic:spPr>
                </pic:pic>
              </a:graphicData>
            </a:graphic>
          </wp:anchor>
        </w:drawing>
      </w:r>
    </w:p>
    <w:p>
      <w:pPr>
        <w:spacing w:after="0" w:line="126"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6020" w:type="dxa"/>
            <w:vAlign w:val="bottom"/>
          </w:tcPr>
          <w:p>
            <w:pPr>
              <w:spacing w:after="0"/>
              <w:rPr>
                <w:sz w:val="17"/>
                <w:szCs w:val="17"/>
                <w:color w:val="auto"/>
              </w:rPr>
            </w:pPr>
          </w:p>
        </w:tc>
        <w:tc>
          <w:tcPr>
            <w:tcW w:w="1120" w:type="dxa"/>
            <w:vAlign w:val="bottom"/>
            <w:shd w:val="clear" w:color="auto" w:fill="E3F3EE"/>
          </w:tcPr>
          <w:p>
            <w:pPr>
              <w:ind w:left="1040"/>
              <w:spacing w:after="0"/>
              <w:rPr>
                <w:sz w:val="20"/>
                <w:szCs w:val="20"/>
                <w:color w:val="auto"/>
              </w:rPr>
            </w:pPr>
            <w:r>
              <w:rPr>
                <w:rFonts w:ascii="Arial" w:cs="Arial" w:eastAsia="Arial" w:hAnsi="Arial"/>
                <w:sz w:val="8"/>
                <w:szCs w:val="8"/>
                <w:b w:val="1"/>
                <w:bCs w:val="1"/>
                <w:color w:val="auto"/>
                <w:w w:val="74"/>
              </w:rPr>
              <w:t> </w:t>
            </w:r>
          </w:p>
        </w:tc>
        <w:tc>
          <w:tcPr>
            <w:tcW w:w="160" w:type="dxa"/>
            <w:vAlign w:val="bottom"/>
            <w:shd w:val="clear" w:color="auto" w:fill="E3F3EE"/>
          </w:tcPr>
          <w:p>
            <w:pPr>
              <w:ind w:left="80"/>
              <w:spacing w:after="0"/>
              <w:rPr>
                <w:sz w:val="20"/>
                <w:szCs w:val="20"/>
                <w:color w:val="auto"/>
              </w:rPr>
            </w:pPr>
            <w:r>
              <w:rPr>
                <w:rFonts w:ascii="Arial" w:cs="Arial" w:eastAsia="Arial" w:hAnsi="Arial"/>
                <w:sz w:val="8"/>
                <w:szCs w:val="8"/>
                <w:b w:val="1"/>
                <w:bCs w:val="1"/>
                <w:color w:val="auto"/>
                <w:w w:val="74"/>
              </w:rPr>
              <w:t> </w:t>
            </w:r>
          </w:p>
        </w:tc>
        <w:tc>
          <w:tcPr>
            <w:tcW w:w="160" w:type="dxa"/>
            <w:vAlign w:val="bottom"/>
            <w:shd w:val="clear" w:color="auto" w:fill="E3F3EE"/>
          </w:tcPr>
          <w:p>
            <w:pPr>
              <w:ind w:left="80"/>
              <w:spacing w:after="0"/>
              <w:rPr>
                <w:sz w:val="20"/>
                <w:szCs w:val="20"/>
                <w:color w:val="auto"/>
              </w:rPr>
            </w:pPr>
            <w:r>
              <w:rPr>
                <w:rFonts w:ascii="Arial" w:cs="Arial" w:eastAsia="Arial" w:hAnsi="Arial"/>
                <w:sz w:val="8"/>
                <w:szCs w:val="8"/>
                <w:b w:val="1"/>
                <w:bCs w:val="1"/>
                <w:color w:val="auto"/>
                <w:w w:val="74"/>
              </w:rPr>
              <w:t> </w:t>
            </w:r>
          </w:p>
        </w:tc>
        <w:tc>
          <w:tcPr>
            <w:tcW w:w="500" w:type="dxa"/>
            <w:vAlign w:val="bottom"/>
            <w:shd w:val="clear" w:color="auto" w:fill="E3F3EE"/>
          </w:tcPr>
          <w:p>
            <w:pPr>
              <w:jc w:val="right"/>
              <w:spacing w:after="0"/>
              <w:rPr>
                <w:sz w:val="20"/>
                <w:szCs w:val="20"/>
                <w:color w:val="auto"/>
              </w:rPr>
            </w:pPr>
            <w:r>
              <w:rPr>
                <w:rFonts w:ascii="Arial" w:cs="Arial" w:eastAsia="Arial" w:hAnsi="Arial"/>
                <w:sz w:val="16"/>
                <w:szCs w:val="16"/>
                <w:b w:val="1"/>
                <w:bCs w:val="1"/>
                <w:color w:val="auto"/>
              </w:rPr>
              <w:t xml:space="preserve">       </w:t>
            </w:r>
          </w:p>
        </w:tc>
        <w:tc>
          <w:tcPr>
            <w:tcW w:w="1160" w:type="dxa"/>
            <w:vAlign w:val="bottom"/>
            <w:shd w:val="clear" w:color="auto" w:fill="E3F3EE"/>
          </w:tcPr>
          <w:p>
            <w:pPr>
              <w:ind w:left="60"/>
              <w:spacing w:after="0"/>
              <w:rPr>
                <w:sz w:val="20"/>
                <w:szCs w:val="20"/>
                <w:color w:val="auto"/>
              </w:rPr>
            </w:pPr>
            <w:r>
              <w:rPr>
                <w:rFonts w:ascii="Arial" w:cs="Arial" w:eastAsia="Arial" w:hAnsi="Arial"/>
                <w:sz w:val="16"/>
                <w:szCs w:val="16"/>
                <w:b w:val="1"/>
                <w:bCs w:val="1"/>
                <w:color w:val="auto"/>
                <w:w w:val="89"/>
              </w:rPr>
              <w:t>December 31, </w:t>
            </w:r>
          </w:p>
        </w:tc>
        <w:tc>
          <w:tcPr>
            <w:tcW w:w="160" w:type="dxa"/>
            <w:vAlign w:val="bottom"/>
            <w:shd w:val="clear" w:color="auto" w:fill="E3F3EE"/>
          </w:tcPr>
          <w:p>
            <w:pPr>
              <w:ind w:left="80"/>
              <w:spacing w:after="0"/>
              <w:rPr>
                <w:sz w:val="20"/>
                <w:szCs w:val="20"/>
                <w:color w:val="auto"/>
              </w:rPr>
            </w:pPr>
            <w:r>
              <w:rPr>
                <w:rFonts w:ascii="Arial" w:cs="Arial" w:eastAsia="Arial" w:hAnsi="Arial"/>
                <w:sz w:val="8"/>
                <w:szCs w:val="8"/>
                <w:b w:val="1"/>
                <w:bCs w:val="1"/>
                <w:color w:val="auto"/>
                <w:w w:val="74"/>
              </w:rPr>
              <w:t> </w:t>
            </w:r>
          </w:p>
        </w:tc>
        <w:tc>
          <w:tcPr>
            <w:tcW w:w="660" w:type="dxa"/>
            <w:vAlign w:val="bottom"/>
            <w:shd w:val="clear" w:color="auto" w:fill="E3F3EE"/>
          </w:tcPr>
          <w:p>
            <w:pPr>
              <w:jc w:val="right"/>
              <w:ind w:right="441"/>
              <w:spacing w:after="0"/>
              <w:rPr>
                <w:sz w:val="20"/>
                <w:szCs w:val="20"/>
                <w:color w:val="auto"/>
              </w:rPr>
            </w:pPr>
            <w:r>
              <w:rPr>
                <w:rFonts w:ascii="Arial" w:cs="Arial" w:eastAsia="Arial" w:hAnsi="Arial"/>
                <w:sz w:val="16"/>
                <w:szCs w:val="16"/>
                <w:b w:val="1"/>
                <w:bCs w:val="1"/>
                <w:color w:val="auto"/>
                <w:w w:val="74"/>
              </w:rPr>
              <w:t> </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2"/>
        </w:trPr>
        <w:tc>
          <w:tcPr>
            <w:tcW w:w="6020" w:type="dxa"/>
            <w:vAlign w:val="bottom"/>
            <w:tcBorders>
              <w:bottom w:val="single" w:sz="8" w:color="D64000"/>
            </w:tcBorders>
            <w:shd w:val="clear" w:color="auto" w:fill="1F473D"/>
          </w:tcPr>
          <w:p>
            <w:pPr>
              <w:spacing w:after="0"/>
              <w:rPr>
                <w:sz w:val="16"/>
                <w:szCs w:val="16"/>
                <w:color w:val="auto"/>
              </w:rPr>
            </w:pPr>
          </w:p>
        </w:tc>
        <w:tc>
          <w:tcPr>
            <w:tcW w:w="1120" w:type="dxa"/>
            <w:vAlign w:val="bottom"/>
            <w:tcBorders>
              <w:bottom w:val="single" w:sz="8" w:color="D64000"/>
            </w:tcBorders>
            <w:shd w:val="clear" w:color="auto" w:fill="1F473D"/>
          </w:tcPr>
          <w:p>
            <w:pPr>
              <w:ind w:left="1000"/>
              <w:spacing w:after="0"/>
              <w:rPr>
                <w:sz w:val="20"/>
                <w:szCs w:val="20"/>
                <w:color w:val="auto"/>
              </w:rPr>
            </w:pPr>
            <w:r>
              <w:rPr>
                <w:rFonts w:ascii="Arial" w:cs="Arial" w:eastAsia="Arial" w:hAnsi="Arial"/>
                <w:sz w:val="14"/>
                <w:szCs w:val="14"/>
                <w:b w:val="1"/>
                <w:bCs w:val="1"/>
                <w:color w:val="FFFFFF"/>
                <w:w w:val="71"/>
              </w:rPr>
              <w:t> </w:t>
            </w:r>
          </w:p>
        </w:tc>
        <w:tc>
          <w:tcPr>
            <w:tcW w:w="160" w:type="dxa"/>
            <w:vAlign w:val="bottom"/>
            <w:tcBorders>
              <w:bottom w:val="single" w:sz="8" w:color="D64000"/>
            </w:tcBorders>
            <w:shd w:val="clear" w:color="auto" w:fill="1F473D"/>
          </w:tcPr>
          <w:p>
            <w:pPr>
              <w:ind w:left="40"/>
              <w:spacing w:after="0"/>
              <w:rPr>
                <w:sz w:val="20"/>
                <w:szCs w:val="20"/>
                <w:color w:val="auto"/>
              </w:rPr>
            </w:pPr>
            <w:r>
              <w:rPr>
                <w:rFonts w:ascii="Arial" w:cs="Arial" w:eastAsia="Arial" w:hAnsi="Arial"/>
                <w:sz w:val="14"/>
                <w:szCs w:val="14"/>
                <w:b w:val="1"/>
                <w:bCs w:val="1"/>
                <w:color w:val="FFFFFF"/>
                <w:w w:val="71"/>
              </w:rPr>
              <w:t> </w:t>
            </w:r>
          </w:p>
        </w:tc>
        <w:tc>
          <w:tcPr>
            <w:tcW w:w="160" w:type="dxa"/>
            <w:vAlign w:val="bottom"/>
            <w:tcBorders>
              <w:bottom w:val="single" w:sz="8" w:color="D64000"/>
            </w:tcBorders>
            <w:shd w:val="clear" w:color="auto" w:fill="1F473D"/>
          </w:tcPr>
          <w:p>
            <w:pPr>
              <w:ind w:left="40"/>
              <w:spacing w:after="0"/>
              <w:rPr>
                <w:sz w:val="20"/>
                <w:szCs w:val="20"/>
                <w:color w:val="auto"/>
              </w:rPr>
            </w:pPr>
            <w:r>
              <w:rPr>
                <w:rFonts w:ascii="Arial" w:cs="Arial" w:eastAsia="Arial" w:hAnsi="Arial"/>
                <w:sz w:val="14"/>
                <w:szCs w:val="14"/>
                <w:b w:val="1"/>
                <w:bCs w:val="1"/>
                <w:color w:val="FFFFFF"/>
                <w:w w:val="71"/>
              </w:rPr>
              <w:t> </w:t>
            </w:r>
          </w:p>
        </w:tc>
        <w:tc>
          <w:tcPr>
            <w:tcW w:w="500" w:type="dxa"/>
            <w:vAlign w:val="bottom"/>
            <w:tcBorders>
              <w:bottom w:val="single" w:sz="8" w:color="D64000"/>
            </w:tcBorders>
            <w:shd w:val="clear" w:color="auto" w:fill="1F473D"/>
          </w:tcPr>
          <w:p>
            <w:pPr>
              <w:jc w:val="right"/>
              <w:ind w:right="21"/>
              <w:spacing w:after="0"/>
              <w:rPr>
                <w:sz w:val="20"/>
                <w:szCs w:val="20"/>
                <w:color w:val="auto"/>
              </w:rPr>
            </w:pPr>
            <w:r>
              <w:rPr>
                <w:rFonts w:ascii="Arial" w:cs="Arial" w:eastAsia="Arial" w:hAnsi="Arial"/>
                <w:sz w:val="16"/>
                <w:szCs w:val="16"/>
                <w:b w:val="1"/>
                <w:bCs w:val="1"/>
                <w:color w:val="FFFFFF"/>
              </w:rPr>
              <w:t>2024</w:t>
            </w:r>
          </w:p>
        </w:tc>
        <w:tc>
          <w:tcPr>
            <w:tcW w:w="1160" w:type="dxa"/>
            <w:vAlign w:val="bottom"/>
            <w:tcBorders>
              <w:bottom w:val="single" w:sz="8" w:color="D64000"/>
            </w:tcBorders>
            <w:shd w:val="clear" w:color="auto" w:fill="1F473D"/>
          </w:tcPr>
          <w:p>
            <w:pPr>
              <w:ind w:left="1040"/>
              <w:spacing w:after="0"/>
              <w:rPr>
                <w:sz w:val="20"/>
                <w:szCs w:val="20"/>
                <w:color w:val="auto"/>
              </w:rPr>
            </w:pPr>
            <w:r>
              <w:rPr>
                <w:rFonts w:ascii="Arial" w:cs="Arial" w:eastAsia="Arial" w:hAnsi="Arial"/>
                <w:sz w:val="14"/>
                <w:szCs w:val="14"/>
                <w:b w:val="1"/>
                <w:bCs w:val="1"/>
                <w:color w:val="FFFFFF"/>
                <w:w w:val="71"/>
              </w:rPr>
              <w:t> </w:t>
            </w:r>
          </w:p>
        </w:tc>
        <w:tc>
          <w:tcPr>
            <w:tcW w:w="160" w:type="dxa"/>
            <w:vAlign w:val="bottom"/>
            <w:tcBorders>
              <w:bottom w:val="single" w:sz="8" w:color="D64000"/>
            </w:tcBorders>
            <w:shd w:val="clear" w:color="auto" w:fill="1F473D"/>
          </w:tcPr>
          <w:p>
            <w:pPr>
              <w:ind w:left="40"/>
              <w:spacing w:after="0"/>
              <w:rPr>
                <w:sz w:val="20"/>
                <w:szCs w:val="20"/>
                <w:color w:val="auto"/>
              </w:rPr>
            </w:pPr>
            <w:r>
              <w:rPr>
                <w:rFonts w:ascii="Arial" w:cs="Arial" w:eastAsia="Arial" w:hAnsi="Arial"/>
                <w:sz w:val="14"/>
                <w:szCs w:val="14"/>
                <w:b w:val="1"/>
                <w:bCs w:val="1"/>
                <w:color w:val="FFFFFF"/>
                <w:w w:val="71"/>
              </w:rPr>
              <w:t> </w:t>
            </w:r>
          </w:p>
        </w:tc>
        <w:tc>
          <w:tcPr>
            <w:tcW w:w="660" w:type="dxa"/>
            <w:vAlign w:val="bottom"/>
            <w:tcBorders>
              <w:bottom w:val="single" w:sz="8" w:color="D64000"/>
            </w:tcBorders>
            <w:shd w:val="clear" w:color="auto" w:fill="1F473D"/>
          </w:tcPr>
          <w:p>
            <w:pPr>
              <w:jc w:val="right"/>
              <w:ind w:right="21"/>
              <w:spacing w:after="0"/>
              <w:rPr>
                <w:sz w:val="20"/>
                <w:szCs w:val="20"/>
                <w:color w:val="auto"/>
              </w:rPr>
            </w:pPr>
            <w:r>
              <w:rPr>
                <w:rFonts w:ascii="Arial" w:cs="Arial" w:eastAsia="Arial" w:hAnsi="Arial"/>
                <w:sz w:val="16"/>
                <w:szCs w:val="16"/>
                <w:b w:val="1"/>
                <w:bCs w:val="1"/>
                <w:color w:val="FFFFFF"/>
                <w:w w:val="89"/>
              </w:rPr>
              <w:t>   2023</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7140" w:type="dxa"/>
            <w:vAlign w:val="bottom"/>
            <w:gridSpan w:val="2"/>
          </w:tcPr>
          <w:p>
            <w:pPr>
              <w:spacing w:after="0" w:line="171" w:lineRule="exact"/>
              <w:rPr>
                <w:sz w:val="20"/>
                <w:szCs w:val="20"/>
                <w:color w:val="auto"/>
              </w:rPr>
            </w:pPr>
            <w:r>
              <w:rPr>
                <w:rFonts w:ascii="Arial" w:cs="Arial" w:eastAsia="Arial" w:hAnsi="Arial"/>
                <w:sz w:val="16"/>
                <w:szCs w:val="16"/>
                <w:color w:val="auto"/>
              </w:rPr>
              <w:t>Trade payables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176</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line="171" w:lineRule="exact"/>
              <w:rPr>
                <w:sz w:val="20"/>
                <w:szCs w:val="20"/>
                <w:color w:val="auto"/>
              </w:rPr>
            </w:pPr>
            <w:r>
              <w:rPr>
                <w:rFonts w:ascii="Arial" w:cs="Arial" w:eastAsia="Arial" w:hAnsi="Arial"/>
                <w:sz w:val="16"/>
                <w:szCs w:val="16"/>
                <w:color w:val="auto"/>
              </w:rPr>
              <w:t>181</w:t>
            </w: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7140" w:type="dxa"/>
            <w:vAlign w:val="bottom"/>
            <w:gridSpan w:val="2"/>
          </w:tcPr>
          <w:p>
            <w:pPr>
              <w:spacing w:after="0"/>
              <w:rPr>
                <w:sz w:val="20"/>
                <w:szCs w:val="20"/>
                <w:color w:val="auto"/>
              </w:rPr>
            </w:pPr>
            <w:r>
              <w:rPr>
                <w:rFonts w:ascii="Arial" w:cs="Arial" w:eastAsia="Arial" w:hAnsi="Arial"/>
                <w:sz w:val="16"/>
                <w:szCs w:val="16"/>
                <w:color w:val="auto"/>
              </w:rPr>
              <w:t>Accruals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799</w:t>
            </w: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798</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7140" w:type="dxa"/>
            <w:vAlign w:val="bottom"/>
            <w:gridSpan w:val="2"/>
          </w:tcPr>
          <w:p>
            <w:pPr>
              <w:spacing w:after="0"/>
              <w:rPr>
                <w:sz w:val="20"/>
                <w:szCs w:val="20"/>
                <w:color w:val="auto"/>
              </w:rPr>
            </w:pPr>
            <w:r>
              <w:rPr>
                <w:rFonts w:ascii="Arial" w:cs="Arial" w:eastAsia="Arial" w:hAnsi="Arial"/>
                <w:sz w:val="16"/>
                <w:szCs w:val="16"/>
                <w:color w:val="auto"/>
              </w:rPr>
              <w:t>Provisions (see note 23)</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63</w:t>
            </w: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92</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714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B2B2B2"/>
            </w:tcBorders>
          </w:tcPr>
          <w:p>
            <w:pPr>
              <w:spacing w:after="0"/>
              <w:rPr>
                <w:sz w:val="17"/>
                <w:szCs w:val="17"/>
                <w:color w:val="auto"/>
              </w:rPr>
            </w:pPr>
          </w:p>
        </w:tc>
        <w:tc>
          <w:tcPr>
            <w:tcW w:w="160" w:type="dxa"/>
            <w:vAlign w:val="bottom"/>
            <w:tcBorders>
              <w:bottom w:val="single" w:sz="8" w:color="B2B2B2"/>
            </w:tcBorders>
          </w:tcPr>
          <w:p>
            <w:pPr>
              <w:spacing w:after="0"/>
              <w:rPr>
                <w:sz w:val="17"/>
                <w:szCs w:val="17"/>
                <w:color w:val="auto"/>
              </w:rPr>
            </w:pPr>
          </w:p>
        </w:tc>
        <w:tc>
          <w:tcPr>
            <w:tcW w:w="5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53</w:t>
            </w:r>
          </w:p>
        </w:tc>
        <w:tc>
          <w:tcPr>
            <w:tcW w:w="1160" w:type="dxa"/>
            <w:vAlign w:val="bottom"/>
            <w:tcBorders>
              <w:bottom w:val="single" w:sz="8" w:color="B2B2B2"/>
            </w:tcBorders>
          </w:tcPr>
          <w:p>
            <w:pPr>
              <w:spacing w:after="0"/>
              <w:rPr>
                <w:sz w:val="17"/>
                <w:szCs w:val="17"/>
                <w:color w:val="auto"/>
              </w:rPr>
            </w:pPr>
          </w:p>
        </w:tc>
        <w:tc>
          <w:tcPr>
            <w:tcW w:w="160" w:type="dxa"/>
            <w:vAlign w:val="bottom"/>
            <w:tcBorders>
              <w:bottom w:val="single" w:sz="8" w:color="B2B2B2"/>
            </w:tcBorders>
          </w:tcPr>
          <w:p>
            <w:pPr>
              <w:spacing w:after="0"/>
              <w:rPr>
                <w:sz w:val="17"/>
                <w:szCs w:val="17"/>
                <w:color w:val="auto"/>
              </w:rPr>
            </w:pPr>
          </w:p>
        </w:tc>
        <w:tc>
          <w:tcPr>
            <w:tcW w:w="6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43</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5"/>
        </w:trPr>
        <w:tc>
          <w:tcPr>
            <w:tcW w:w="7140" w:type="dxa"/>
            <w:vAlign w:val="bottom"/>
            <w:tcBorders>
              <w:bottom w:val="single" w:sz="8" w:color="D64000"/>
            </w:tcBorders>
            <w:gridSpan w:val="2"/>
          </w:tcPr>
          <w:p>
            <w:pPr>
              <w:spacing w:after="0" w:line="179" w:lineRule="exact"/>
              <w:rPr>
                <w:sz w:val="20"/>
                <w:szCs w:val="20"/>
                <w:color w:val="auto"/>
              </w:rPr>
            </w:pPr>
            <w:r>
              <w:rPr>
                <w:rFonts w:ascii="Arial" w:cs="Arial" w:eastAsia="Arial" w:hAnsi="Arial"/>
                <w:sz w:val="16"/>
                <w:szCs w:val="16"/>
                <w:color w:val="auto"/>
              </w:rPr>
              <w:t>Total payables, accruals and provisions</w:t>
            </w:r>
          </w:p>
        </w:tc>
        <w:tc>
          <w:tcPr>
            <w:tcW w:w="160" w:type="dxa"/>
            <w:vAlign w:val="bottom"/>
            <w:tcBorders>
              <w:bottom w:val="single" w:sz="8" w:color="D64000"/>
            </w:tcBorders>
          </w:tcPr>
          <w:p>
            <w:pPr>
              <w:spacing w:after="0"/>
              <w:rPr>
                <w:sz w:val="16"/>
                <w:szCs w:val="16"/>
                <w:color w:val="auto"/>
              </w:rPr>
            </w:pPr>
          </w:p>
        </w:tc>
        <w:tc>
          <w:tcPr>
            <w:tcW w:w="160" w:type="dxa"/>
            <w:vAlign w:val="bottom"/>
            <w:tcBorders>
              <w:bottom w:val="single" w:sz="8" w:color="D64000"/>
            </w:tcBorders>
          </w:tcPr>
          <w:p>
            <w:pPr>
              <w:spacing w:after="0"/>
              <w:rPr>
                <w:sz w:val="16"/>
                <w:szCs w:val="16"/>
                <w:color w:val="auto"/>
              </w:rPr>
            </w:pPr>
          </w:p>
        </w:tc>
        <w:tc>
          <w:tcPr>
            <w:tcW w:w="50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b w:val="1"/>
                <w:bCs w:val="1"/>
                <w:color w:val="auto"/>
              </w:rPr>
              <w:t>1,091</w:t>
            </w:r>
          </w:p>
        </w:tc>
        <w:tc>
          <w:tcPr>
            <w:tcW w:w="1160" w:type="dxa"/>
            <w:vAlign w:val="bottom"/>
            <w:tcBorders>
              <w:bottom w:val="single" w:sz="8" w:color="D64000"/>
            </w:tcBorders>
          </w:tcPr>
          <w:p>
            <w:pPr>
              <w:spacing w:after="0"/>
              <w:rPr>
                <w:sz w:val="16"/>
                <w:szCs w:val="16"/>
                <w:color w:val="auto"/>
              </w:rPr>
            </w:pPr>
          </w:p>
        </w:tc>
        <w:tc>
          <w:tcPr>
            <w:tcW w:w="160" w:type="dxa"/>
            <w:vAlign w:val="bottom"/>
            <w:tcBorders>
              <w:bottom w:val="single" w:sz="8" w:color="D64000"/>
            </w:tcBorders>
          </w:tcPr>
          <w:p>
            <w:pPr>
              <w:spacing w:after="0"/>
              <w:rPr>
                <w:sz w:val="16"/>
                <w:szCs w:val="16"/>
                <w:color w:val="auto"/>
              </w:rPr>
            </w:pPr>
          </w:p>
        </w:tc>
        <w:tc>
          <w:tcPr>
            <w:tcW w:w="66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1,114</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9"/>
        </w:trPr>
        <w:tc>
          <w:tcPr>
            <w:tcW w:w="7140" w:type="dxa"/>
            <w:vAlign w:val="bottom"/>
            <w:tcBorders>
              <w:bottom w:val="single" w:sz="8" w:color="7F7F7F"/>
            </w:tcBorders>
            <w:gridSpan w:val="2"/>
          </w:tcPr>
          <w:p>
            <w:pPr>
              <w:spacing w:after="0"/>
              <w:rPr>
                <w:sz w:val="13"/>
                <w:szCs w:val="13"/>
                <w:color w:val="auto"/>
              </w:rPr>
            </w:pPr>
          </w:p>
        </w:tc>
        <w:tc>
          <w:tcPr>
            <w:tcW w:w="160" w:type="dxa"/>
            <w:vAlign w:val="bottom"/>
            <w:tcBorders>
              <w:bottom w:val="single" w:sz="8" w:color="7F7F7F"/>
            </w:tcBorders>
          </w:tcPr>
          <w:p>
            <w:pPr>
              <w:spacing w:after="0"/>
              <w:rPr>
                <w:sz w:val="13"/>
                <w:szCs w:val="13"/>
                <w:color w:val="auto"/>
              </w:rPr>
            </w:pPr>
          </w:p>
        </w:tc>
        <w:tc>
          <w:tcPr>
            <w:tcW w:w="160" w:type="dxa"/>
            <w:vAlign w:val="bottom"/>
            <w:tcBorders>
              <w:bottom w:val="single" w:sz="8" w:color="7F7F7F"/>
            </w:tcBorders>
          </w:tcPr>
          <w:p>
            <w:pPr>
              <w:spacing w:after="0"/>
              <w:rPr>
                <w:sz w:val="13"/>
                <w:szCs w:val="13"/>
                <w:color w:val="auto"/>
              </w:rPr>
            </w:pPr>
          </w:p>
        </w:tc>
        <w:tc>
          <w:tcPr>
            <w:tcW w:w="500" w:type="dxa"/>
            <w:vAlign w:val="bottom"/>
            <w:tcBorders>
              <w:bottom w:val="single" w:sz="8" w:color="7F7F7F"/>
            </w:tcBorders>
          </w:tcPr>
          <w:p>
            <w:pPr>
              <w:spacing w:after="0"/>
              <w:rPr>
                <w:sz w:val="13"/>
                <w:szCs w:val="13"/>
                <w:color w:val="auto"/>
              </w:rPr>
            </w:pPr>
          </w:p>
        </w:tc>
        <w:tc>
          <w:tcPr>
            <w:tcW w:w="1160" w:type="dxa"/>
            <w:vAlign w:val="bottom"/>
            <w:tcBorders>
              <w:bottom w:val="single" w:sz="8" w:color="7F7F7F"/>
            </w:tcBorders>
          </w:tcPr>
          <w:p>
            <w:pPr>
              <w:spacing w:after="0"/>
              <w:rPr>
                <w:sz w:val="13"/>
                <w:szCs w:val="13"/>
                <w:color w:val="auto"/>
              </w:rPr>
            </w:pPr>
          </w:p>
        </w:tc>
        <w:tc>
          <w:tcPr>
            <w:tcW w:w="160" w:type="dxa"/>
            <w:vAlign w:val="bottom"/>
            <w:tcBorders>
              <w:bottom w:val="single" w:sz="8" w:color="7F7F7F"/>
            </w:tcBorders>
          </w:tcPr>
          <w:p>
            <w:pPr>
              <w:spacing w:after="0"/>
              <w:rPr>
                <w:sz w:val="13"/>
                <w:szCs w:val="13"/>
                <w:color w:val="auto"/>
              </w:rPr>
            </w:pPr>
          </w:p>
        </w:tc>
        <w:tc>
          <w:tcPr>
            <w:tcW w:w="660" w:type="dxa"/>
            <w:vAlign w:val="bottom"/>
            <w:tcBorders>
              <w:bottom w:val="single" w:sz="8" w:color="7F7F7F"/>
            </w:tcBorders>
          </w:tcPr>
          <w:p>
            <w:pPr>
              <w:spacing w:after="0"/>
              <w:rPr>
                <w:sz w:val="13"/>
                <w:szCs w:val="13"/>
                <w:color w:val="auto"/>
              </w:rPr>
            </w:pPr>
          </w:p>
        </w:tc>
        <w:tc>
          <w:tcPr>
            <w:tcW w:w="860" w:type="dxa"/>
            <w:vAlign w:val="bottom"/>
            <w:tcBorders>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r>
      <w:tr>
        <w:trPr>
          <w:trHeight w:val="241"/>
        </w:trPr>
        <w:tc>
          <w:tcPr>
            <w:tcW w:w="7140" w:type="dxa"/>
            <w:vAlign w:val="bottom"/>
            <w:gridSpan w:val="2"/>
          </w:tcPr>
          <w:p>
            <w:pPr>
              <w:spacing w:after="0"/>
              <w:rPr>
                <w:sz w:val="20"/>
                <w:szCs w:val="20"/>
                <w:color w:val="auto"/>
              </w:rPr>
            </w:pPr>
            <w:r>
              <w:rPr>
                <w:rFonts w:ascii="Arial" w:cs="Arial" w:eastAsia="Arial" w:hAnsi="Arial"/>
                <w:sz w:val="17"/>
                <w:szCs w:val="17"/>
                <w:b w:val="1"/>
                <w:bCs w:val="1"/>
                <w:color w:val="auto"/>
              </w:rPr>
              <w:t>Thomson Reuters Annual Report 2024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gridSpan w:val="2"/>
          </w:tcPr>
          <w:p>
            <w:pPr>
              <w:ind w:left="160"/>
              <w:spacing w:after="0"/>
              <w:rPr>
                <w:sz w:val="20"/>
                <w:szCs w:val="20"/>
                <w:color w:val="auto"/>
              </w:rPr>
            </w:pPr>
            <w:r>
              <w:rPr>
                <w:rFonts w:ascii="Arial" w:cs="Arial" w:eastAsia="Arial" w:hAnsi="Arial"/>
                <w:sz w:val="17"/>
                <w:szCs w:val="17"/>
                <w:color w:val="auto"/>
                <w:w w:val="96"/>
              </w:rPr>
              <w:t>Page 123</w:t>
            </w:r>
          </w:p>
        </w:tc>
      </w:tr>
    </w:tbl>
    <w:p>
      <w:pPr>
        <w:sectPr>
          <w:pgSz w:w="11900" w:h="16838" w:orient="portrait"/>
          <w:cols w:equalWidth="0" w:num="1">
            <w:col w:w="11040"/>
          </w:cols>
          <w:pgMar w:left="320" w:top="477" w:right="5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Note 23: Provisions and 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92710</wp:posOffset>
            </wp:positionV>
            <wp:extent cx="630999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309995" cy="8255"/>
                    </a:xfrm>
                    <a:prstGeom prst="rect">
                      <a:avLst/>
                    </a:prstGeom>
                    <a:noFill/>
                  </pic:spPr>
                </pic:pic>
              </a:graphicData>
            </a:graphic>
          </wp:anchor>
        </w:drawing>
      </w:r>
    </w:p>
    <w:p>
      <w:pPr>
        <w:spacing w:after="0" w:line="126"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36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00" w:type="dxa"/>
            <w:vAlign w:val="bottom"/>
            <w:gridSpan w:val="2"/>
            <w:shd w:val="clear" w:color="auto" w:fill="E3F3EE"/>
          </w:tcPr>
          <w:p>
            <w:pPr>
              <w:jc w:val="right"/>
              <w:ind w:right="1"/>
              <w:spacing w:after="0"/>
              <w:rPr>
                <w:sz w:val="20"/>
                <w:szCs w:val="20"/>
                <w:color w:val="auto"/>
              </w:rPr>
            </w:pPr>
            <w:r>
              <w:rPr>
                <w:rFonts w:ascii="Arial" w:cs="Arial" w:eastAsia="Arial" w:hAnsi="Arial"/>
                <w:sz w:val="16"/>
                <w:szCs w:val="16"/>
                <w:b w:val="1"/>
                <w:bCs w:val="1"/>
                <w:color w:val="auto"/>
              </w:rPr>
              <w:t xml:space="preserve">                </w:t>
            </w:r>
          </w:p>
        </w:tc>
        <w:tc>
          <w:tcPr>
            <w:tcW w:w="1120" w:type="dxa"/>
            <w:vAlign w:val="bottom"/>
            <w:shd w:val="clear" w:color="auto" w:fill="E3F3EE"/>
          </w:tcPr>
          <w:p>
            <w:pPr>
              <w:jc w:val="right"/>
              <w:spacing w:after="0"/>
              <w:rPr>
                <w:sz w:val="20"/>
                <w:szCs w:val="20"/>
                <w:color w:val="auto"/>
              </w:rPr>
            </w:pPr>
            <w:r>
              <w:rPr>
                <w:rFonts w:ascii="Arial" w:cs="Arial" w:eastAsia="Arial" w:hAnsi="Arial"/>
                <w:sz w:val="16"/>
                <w:szCs w:val="16"/>
                <w:b w:val="1"/>
                <w:bCs w:val="1"/>
                <w:color w:val="auto"/>
                <w:w w:val="91"/>
              </w:rPr>
              <w:t>December 31, </w:t>
            </w:r>
          </w:p>
        </w:tc>
        <w:tc>
          <w:tcPr>
            <w:tcW w:w="240" w:type="dxa"/>
            <w:vAlign w:val="bottom"/>
            <w:shd w:val="clear" w:color="auto" w:fill="E3F3EE"/>
          </w:tcPr>
          <w:p>
            <w:pPr>
              <w:ind w:left="120"/>
              <w:spacing w:after="0"/>
              <w:rPr>
                <w:sz w:val="20"/>
                <w:szCs w:val="20"/>
                <w:color w:val="auto"/>
              </w:rPr>
            </w:pPr>
            <w:r>
              <w:rPr>
                <w:rFonts w:ascii="Arial" w:cs="Arial" w:eastAsia="Arial" w:hAnsi="Arial"/>
                <w:sz w:val="14"/>
                <w:szCs w:val="14"/>
                <w:b w:val="1"/>
                <w:bCs w:val="1"/>
                <w:color w:val="auto"/>
                <w:w w:val="71"/>
              </w:rPr>
              <w:t> </w:t>
            </w:r>
          </w:p>
        </w:tc>
        <w:tc>
          <w:tcPr>
            <w:tcW w:w="560" w:type="dxa"/>
            <w:vAlign w:val="bottom"/>
            <w:shd w:val="clear" w:color="auto" w:fill="E3F3EE"/>
          </w:tcPr>
          <w:p>
            <w:pPr>
              <w:jc w:val="right"/>
              <w:ind w:right="402"/>
              <w:spacing w:after="0"/>
              <w:rPr>
                <w:sz w:val="20"/>
                <w:szCs w:val="20"/>
                <w:color w:val="auto"/>
              </w:rPr>
            </w:pPr>
            <w:r>
              <w:rPr>
                <w:rFonts w:ascii="Arial" w:cs="Arial" w:eastAsia="Arial" w:hAnsi="Arial"/>
                <w:sz w:val="8"/>
                <w:szCs w:val="8"/>
                <w:b w:val="1"/>
                <w:bCs w:val="1"/>
                <w:color w:val="auto"/>
                <w:w w:val="74"/>
              </w:rPr>
              <w:t> </w:t>
            </w:r>
          </w:p>
        </w:tc>
      </w:tr>
      <w:tr>
        <w:trPr>
          <w:trHeight w:val="192"/>
        </w:trPr>
        <w:tc>
          <w:tcPr>
            <w:tcW w:w="3640" w:type="dxa"/>
            <w:vAlign w:val="bottom"/>
            <w:tcBorders>
              <w:bottom w:val="single" w:sz="8" w:color="D64000"/>
            </w:tcBorders>
            <w:shd w:val="clear" w:color="auto" w:fill="1F473D"/>
          </w:tcPr>
          <w:p>
            <w:pPr>
              <w:spacing w:after="0"/>
              <w:rPr>
                <w:sz w:val="16"/>
                <w:szCs w:val="16"/>
                <w:color w:val="auto"/>
              </w:rPr>
            </w:pPr>
          </w:p>
        </w:tc>
        <w:tc>
          <w:tcPr>
            <w:tcW w:w="1880" w:type="dxa"/>
            <w:vAlign w:val="bottom"/>
            <w:tcBorders>
              <w:bottom w:val="single" w:sz="8" w:color="D64000"/>
            </w:tcBorders>
            <w:shd w:val="clear" w:color="auto" w:fill="1F473D"/>
          </w:tcPr>
          <w:p>
            <w:pPr>
              <w:spacing w:after="0"/>
              <w:rPr>
                <w:sz w:val="16"/>
                <w:szCs w:val="16"/>
                <w:color w:val="auto"/>
              </w:rPr>
            </w:pPr>
          </w:p>
        </w:tc>
        <w:tc>
          <w:tcPr>
            <w:tcW w:w="600" w:type="dxa"/>
            <w:vAlign w:val="bottom"/>
            <w:tcBorders>
              <w:bottom w:val="single" w:sz="8" w:color="D64000"/>
            </w:tcBorders>
            <w:shd w:val="clear" w:color="auto" w:fill="1F473D"/>
          </w:tcPr>
          <w:p>
            <w:pPr>
              <w:spacing w:after="0"/>
              <w:rPr>
                <w:sz w:val="16"/>
                <w:szCs w:val="16"/>
                <w:color w:val="auto"/>
              </w:rPr>
            </w:pPr>
          </w:p>
        </w:tc>
        <w:tc>
          <w:tcPr>
            <w:tcW w:w="1220" w:type="dxa"/>
            <w:vAlign w:val="bottom"/>
            <w:tcBorders>
              <w:bottom w:val="single" w:sz="8" w:color="D64000"/>
            </w:tcBorders>
            <w:shd w:val="clear" w:color="auto" w:fill="1F473D"/>
          </w:tcPr>
          <w:p>
            <w:pPr>
              <w:spacing w:after="0"/>
              <w:rPr>
                <w:sz w:val="16"/>
                <w:szCs w:val="16"/>
                <w:color w:val="auto"/>
              </w:rPr>
            </w:pPr>
          </w:p>
        </w:tc>
        <w:tc>
          <w:tcPr>
            <w:tcW w:w="680" w:type="dxa"/>
            <w:vAlign w:val="bottom"/>
            <w:tcBorders>
              <w:bottom w:val="single" w:sz="8" w:color="D64000"/>
            </w:tcBorders>
            <w:shd w:val="clear" w:color="auto" w:fill="1F473D"/>
          </w:tcPr>
          <w:p>
            <w:pPr>
              <w:jc w:val="right"/>
              <w:ind w:right="81"/>
              <w:spacing w:after="0"/>
              <w:rPr>
                <w:sz w:val="20"/>
                <w:szCs w:val="20"/>
                <w:color w:val="auto"/>
              </w:rPr>
            </w:pPr>
            <w:r>
              <w:rPr>
                <w:rFonts w:ascii="Arial" w:cs="Arial" w:eastAsia="Arial" w:hAnsi="Arial"/>
                <w:sz w:val="16"/>
                <w:szCs w:val="16"/>
                <w:b w:val="1"/>
                <w:bCs w:val="1"/>
                <w:color w:val="FFFFFF"/>
              </w:rPr>
              <w:t>2024</w:t>
            </w:r>
          </w:p>
        </w:tc>
        <w:tc>
          <w:tcPr>
            <w:tcW w:w="1120" w:type="dxa"/>
            <w:vAlign w:val="bottom"/>
            <w:tcBorders>
              <w:bottom w:val="single" w:sz="8" w:color="D64000"/>
            </w:tcBorders>
            <w:shd w:val="clear" w:color="auto" w:fill="1F473D"/>
          </w:tcPr>
          <w:p>
            <w:pPr>
              <w:spacing w:after="0"/>
              <w:rPr>
                <w:sz w:val="16"/>
                <w:szCs w:val="16"/>
                <w:color w:val="auto"/>
              </w:rPr>
            </w:pPr>
          </w:p>
        </w:tc>
        <w:tc>
          <w:tcPr>
            <w:tcW w:w="240" w:type="dxa"/>
            <w:vAlign w:val="bottom"/>
            <w:tcBorders>
              <w:bottom w:val="single" w:sz="8" w:color="D64000"/>
            </w:tcBorders>
            <w:shd w:val="clear" w:color="auto" w:fill="1F473D"/>
          </w:tcPr>
          <w:p>
            <w:pPr>
              <w:spacing w:after="0"/>
              <w:rPr>
                <w:sz w:val="16"/>
                <w:szCs w:val="16"/>
                <w:color w:val="auto"/>
              </w:rPr>
            </w:pPr>
          </w:p>
        </w:tc>
        <w:tc>
          <w:tcPr>
            <w:tcW w:w="560" w:type="dxa"/>
            <w:vAlign w:val="bottom"/>
            <w:tcBorders>
              <w:bottom w:val="single" w:sz="8" w:color="D64000"/>
            </w:tcBorders>
            <w:shd w:val="clear" w:color="auto" w:fill="1F473D"/>
          </w:tcPr>
          <w:p>
            <w:pPr>
              <w:jc w:val="right"/>
              <w:ind w:right="22"/>
              <w:spacing w:after="0"/>
              <w:rPr>
                <w:sz w:val="20"/>
                <w:szCs w:val="20"/>
                <w:color w:val="auto"/>
              </w:rPr>
            </w:pPr>
            <w:r>
              <w:rPr>
                <w:rFonts w:ascii="Arial" w:cs="Arial" w:eastAsia="Arial" w:hAnsi="Arial"/>
                <w:sz w:val="16"/>
                <w:szCs w:val="16"/>
                <w:color w:val="FFFFFF"/>
              </w:rPr>
              <w:t>2023</w:t>
            </w:r>
          </w:p>
        </w:tc>
      </w:tr>
      <w:tr>
        <w:trPr>
          <w:trHeight w:val="171"/>
        </w:trPr>
        <w:tc>
          <w:tcPr>
            <w:tcW w:w="3640" w:type="dxa"/>
            <w:vAlign w:val="bottom"/>
          </w:tcPr>
          <w:p>
            <w:pPr>
              <w:spacing w:after="0" w:line="171" w:lineRule="exact"/>
              <w:rPr>
                <w:sz w:val="20"/>
                <w:szCs w:val="20"/>
                <w:color w:val="auto"/>
              </w:rPr>
            </w:pPr>
            <w:r>
              <w:rPr>
                <w:rFonts w:ascii="Arial" w:cs="Arial" w:eastAsia="Arial" w:hAnsi="Arial"/>
                <w:sz w:val="16"/>
                <w:szCs w:val="16"/>
                <w:color w:val="auto"/>
              </w:rPr>
              <w:t>Net defined benefit plan obligations (see note 27)</w:t>
            </w:r>
          </w:p>
        </w:tc>
        <w:tc>
          <w:tcPr>
            <w:tcW w:w="1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Pr>
          <w:p>
            <w:pPr>
              <w:jc w:val="right"/>
              <w:ind w:right="41"/>
              <w:spacing w:after="0" w:line="171" w:lineRule="exact"/>
              <w:rPr>
                <w:sz w:val="20"/>
                <w:szCs w:val="20"/>
                <w:color w:val="auto"/>
              </w:rPr>
            </w:pPr>
            <w:r>
              <w:rPr>
                <w:rFonts w:ascii="Arial" w:cs="Arial" w:eastAsia="Arial" w:hAnsi="Arial"/>
                <w:sz w:val="16"/>
                <w:szCs w:val="16"/>
                <w:b w:val="1"/>
                <w:bCs w:val="1"/>
                <w:color w:val="auto"/>
              </w:rPr>
              <w:t>523</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line="171" w:lineRule="exact"/>
              <w:rPr>
                <w:sz w:val="20"/>
                <w:szCs w:val="20"/>
                <w:color w:val="auto"/>
              </w:rPr>
            </w:pPr>
            <w:r>
              <w:rPr>
                <w:rFonts w:ascii="Arial" w:cs="Arial" w:eastAsia="Arial" w:hAnsi="Arial"/>
                <w:sz w:val="16"/>
                <w:szCs w:val="16"/>
                <w:color w:val="auto"/>
              </w:rPr>
              <w:t>535</w:t>
            </w:r>
          </w:p>
        </w:tc>
      </w:tr>
      <w:tr>
        <w:trPr>
          <w:trHeight w:val="186"/>
        </w:trPr>
        <w:tc>
          <w:tcPr>
            <w:tcW w:w="3640" w:type="dxa"/>
            <w:vAlign w:val="bottom"/>
          </w:tcPr>
          <w:p>
            <w:pPr>
              <w:spacing w:after="0"/>
              <w:rPr>
                <w:sz w:val="20"/>
                <w:szCs w:val="20"/>
                <w:color w:val="auto"/>
              </w:rPr>
            </w:pPr>
            <w:r>
              <w:rPr>
                <w:rFonts w:ascii="Arial" w:cs="Arial" w:eastAsia="Arial" w:hAnsi="Arial"/>
                <w:sz w:val="16"/>
                <w:szCs w:val="16"/>
                <w:color w:val="auto"/>
              </w:rPr>
              <w:t>Deferred compensation and employee incentives</w:t>
            </w:r>
          </w:p>
        </w:tc>
        <w:tc>
          <w:tcPr>
            <w:tcW w:w="1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b w:val="1"/>
                <w:bCs w:val="1"/>
                <w:color w:val="auto"/>
              </w:rPr>
              <w:t>75</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186"/>
        </w:trPr>
        <w:tc>
          <w:tcPr>
            <w:tcW w:w="3640" w:type="dxa"/>
            <w:vAlign w:val="bottom"/>
          </w:tcPr>
          <w:p>
            <w:pPr>
              <w:spacing w:after="0"/>
              <w:rPr>
                <w:sz w:val="20"/>
                <w:szCs w:val="20"/>
                <w:color w:val="auto"/>
              </w:rPr>
            </w:pPr>
            <w:r>
              <w:rPr>
                <w:rFonts w:ascii="Arial" w:cs="Arial" w:eastAsia="Arial" w:hAnsi="Arial"/>
                <w:sz w:val="16"/>
                <w:szCs w:val="16"/>
                <w:color w:val="auto"/>
              </w:rPr>
              <w:t>Provisions</w:t>
            </w:r>
          </w:p>
        </w:tc>
        <w:tc>
          <w:tcPr>
            <w:tcW w:w="1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b w:val="1"/>
                <w:bCs w:val="1"/>
                <w:color w:val="auto"/>
              </w:rPr>
              <w:t>62</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00"/>
        </w:trPr>
        <w:tc>
          <w:tcPr>
            <w:tcW w:w="364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Other non-current liabilities</w:t>
            </w:r>
          </w:p>
        </w:tc>
        <w:tc>
          <w:tcPr>
            <w:tcW w:w="1880" w:type="dxa"/>
            <w:vAlign w:val="bottom"/>
            <w:tcBorders>
              <w:bottom w:val="single" w:sz="8" w:color="B2B2B2"/>
            </w:tcBorders>
          </w:tcPr>
          <w:p>
            <w:pPr>
              <w:spacing w:after="0"/>
              <w:rPr>
                <w:sz w:val="17"/>
                <w:szCs w:val="17"/>
                <w:color w:val="auto"/>
              </w:rPr>
            </w:pPr>
          </w:p>
        </w:tc>
        <w:tc>
          <w:tcPr>
            <w:tcW w:w="600" w:type="dxa"/>
            <w:vAlign w:val="bottom"/>
            <w:tcBorders>
              <w:bottom w:val="single" w:sz="8" w:color="B2B2B2"/>
            </w:tcBorders>
          </w:tcPr>
          <w:p>
            <w:pPr>
              <w:spacing w:after="0"/>
              <w:rPr>
                <w:sz w:val="17"/>
                <w:szCs w:val="17"/>
                <w:color w:val="auto"/>
              </w:rPr>
            </w:pPr>
          </w:p>
        </w:tc>
        <w:tc>
          <w:tcPr>
            <w:tcW w:w="1220" w:type="dxa"/>
            <w:vAlign w:val="bottom"/>
            <w:tcBorders>
              <w:bottom w:val="single" w:sz="8" w:color="B2B2B2"/>
            </w:tcBorders>
          </w:tcPr>
          <w:p>
            <w:pPr>
              <w:spacing w:after="0"/>
              <w:rPr>
                <w:sz w:val="17"/>
                <w:szCs w:val="17"/>
                <w:color w:val="auto"/>
              </w:rPr>
            </w:pPr>
          </w:p>
        </w:tc>
        <w:tc>
          <w:tcPr>
            <w:tcW w:w="68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b w:val="1"/>
                <w:bCs w:val="1"/>
                <w:color w:val="auto"/>
              </w:rPr>
              <w:t>15</w:t>
            </w:r>
          </w:p>
        </w:tc>
        <w:tc>
          <w:tcPr>
            <w:tcW w:w="1120" w:type="dxa"/>
            <w:vAlign w:val="bottom"/>
            <w:tcBorders>
              <w:bottom w:val="single" w:sz="8" w:color="B2B2B2"/>
            </w:tcBorders>
          </w:tcPr>
          <w:p>
            <w:pPr>
              <w:spacing w:after="0"/>
              <w:rPr>
                <w:sz w:val="17"/>
                <w:szCs w:val="17"/>
                <w:color w:val="auto"/>
              </w:rPr>
            </w:pPr>
          </w:p>
        </w:tc>
        <w:tc>
          <w:tcPr>
            <w:tcW w:w="240" w:type="dxa"/>
            <w:vAlign w:val="bottom"/>
            <w:tcBorders>
              <w:bottom w:val="single" w:sz="8" w:color="B2B2B2"/>
            </w:tcBorders>
          </w:tcPr>
          <w:p>
            <w:pPr>
              <w:spacing w:after="0"/>
              <w:rPr>
                <w:sz w:val="17"/>
                <w:szCs w:val="17"/>
                <w:color w:val="auto"/>
              </w:rPr>
            </w:pPr>
          </w:p>
        </w:tc>
        <w:tc>
          <w:tcPr>
            <w:tcW w:w="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12</w:t>
            </w:r>
          </w:p>
        </w:tc>
      </w:tr>
      <w:tr>
        <w:trPr>
          <w:trHeight w:val="185"/>
        </w:trPr>
        <w:tc>
          <w:tcPr>
            <w:tcW w:w="364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color w:val="auto"/>
              </w:rPr>
              <w:t>Total provisions and other non-current liabilities</w:t>
            </w:r>
          </w:p>
        </w:tc>
        <w:tc>
          <w:tcPr>
            <w:tcW w:w="1880" w:type="dxa"/>
            <w:vAlign w:val="bottom"/>
            <w:tcBorders>
              <w:bottom w:val="single" w:sz="8" w:color="D64000"/>
            </w:tcBorders>
          </w:tcPr>
          <w:p>
            <w:pPr>
              <w:spacing w:after="0"/>
              <w:rPr>
                <w:sz w:val="16"/>
                <w:szCs w:val="16"/>
                <w:color w:val="auto"/>
              </w:rPr>
            </w:pPr>
          </w:p>
        </w:tc>
        <w:tc>
          <w:tcPr>
            <w:tcW w:w="600" w:type="dxa"/>
            <w:vAlign w:val="bottom"/>
            <w:tcBorders>
              <w:bottom w:val="single" w:sz="8" w:color="D64000"/>
            </w:tcBorders>
          </w:tcPr>
          <w:p>
            <w:pPr>
              <w:spacing w:after="0"/>
              <w:rPr>
                <w:sz w:val="16"/>
                <w:szCs w:val="16"/>
                <w:color w:val="auto"/>
              </w:rPr>
            </w:pPr>
          </w:p>
        </w:tc>
        <w:tc>
          <w:tcPr>
            <w:tcW w:w="1220" w:type="dxa"/>
            <w:vAlign w:val="bottom"/>
            <w:tcBorders>
              <w:bottom w:val="single" w:sz="8" w:color="D64000"/>
            </w:tcBorders>
          </w:tcPr>
          <w:p>
            <w:pPr>
              <w:spacing w:after="0"/>
              <w:rPr>
                <w:sz w:val="16"/>
                <w:szCs w:val="16"/>
                <w:color w:val="auto"/>
              </w:rPr>
            </w:pPr>
          </w:p>
        </w:tc>
        <w:tc>
          <w:tcPr>
            <w:tcW w:w="680" w:type="dxa"/>
            <w:vAlign w:val="bottom"/>
            <w:tcBorders>
              <w:bottom w:val="single" w:sz="8" w:color="D64000"/>
            </w:tcBorders>
          </w:tcPr>
          <w:p>
            <w:pPr>
              <w:jc w:val="right"/>
              <w:ind w:right="41"/>
              <w:spacing w:after="0" w:line="179" w:lineRule="exact"/>
              <w:rPr>
                <w:sz w:val="20"/>
                <w:szCs w:val="20"/>
                <w:color w:val="auto"/>
              </w:rPr>
            </w:pPr>
            <w:r>
              <w:rPr>
                <w:rFonts w:ascii="Arial" w:cs="Arial" w:eastAsia="Arial" w:hAnsi="Arial"/>
                <w:sz w:val="16"/>
                <w:szCs w:val="16"/>
                <w:b w:val="1"/>
                <w:bCs w:val="1"/>
                <w:color w:val="auto"/>
              </w:rPr>
              <w:t>675</w:t>
            </w:r>
          </w:p>
        </w:tc>
        <w:tc>
          <w:tcPr>
            <w:tcW w:w="1120" w:type="dxa"/>
            <w:vAlign w:val="bottom"/>
            <w:tcBorders>
              <w:bottom w:val="single" w:sz="8" w:color="D64000"/>
            </w:tcBorders>
          </w:tcPr>
          <w:p>
            <w:pPr>
              <w:spacing w:after="0"/>
              <w:rPr>
                <w:sz w:val="16"/>
                <w:szCs w:val="16"/>
                <w:color w:val="auto"/>
              </w:rPr>
            </w:pPr>
          </w:p>
        </w:tc>
        <w:tc>
          <w:tcPr>
            <w:tcW w:w="240" w:type="dxa"/>
            <w:vAlign w:val="bottom"/>
            <w:tcBorders>
              <w:bottom w:val="single" w:sz="8" w:color="D64000"/>
            </w:tcBorders>
          </w:tcPr>
          <w:p>
            <w:pPr>
              <w:spacing w:after="0"/>
              <w:rPr>
                <w:sz w:val="16"/>
                <w:szCs w:val="16"/>
                <w:color w:val="auto"/>
              </w:rPr>
            </w:pPr>
          </w:p>
        </w:tc>
        <w:tc>
          <w:tcPr>
            <w:tcW w:w="56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692</w:t>
            </w:r>
          </w:p>
        </w:tc>
      </w:tr>
      <w:tr>
        <w:trPr>
          <w:trHeight w:val="306"/>
        </w:trPr>
        <w:tc>
          <w:tcPr>
            <w:tcW w:w="8020" w:type="dxa"/>
            <w:vAlign w:val="bottom"/>
            <w:gridSpan w:val="5"/>
          </w:tcPr>
          <w:p>
            <w:pPr>
              <w:spacing w:after="0"/>
              <w:rPr>
                <w:sz w:val="20"/>
                <w:szCs w:val="20"/>
                <w:color w:val="auto"/>
              </w:rPr>
            </w:pPr>
            <w:r>
              <w:rPr>
                <w:rFonts w:ascii="Arial" w:cs="Arial" w:eastAsia="Arial" w:hAnsi="Arial"/>
                <w:sz w:val="17"/>
                <w:szCs w:val="17"/>
                <w:color w:val="auto"/>
                <w:w w:val="98"/>
              </w:rPr>
              <w:t>The following table presents the movement in provisions for the years ended December 31, 2024 and 2023:</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5"/>
        </w:trPr>
        <w:tc>
          <w:tcPr>
            <w:tcW w:w="36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820" w:type="dxa"/>
            <w:vAlign w:val="bottom"/>
            <w:gridSpan w:val="2"/>
          </w:tcPr>
          <w:p>
            <w:pPr>
              <w:spacing w:after="0"/>
              <w:rPr>
                <w:sz w:val="9"/>
                <w:szCs w:val="9"/>
                <w:color w:val="auto"/>
              </w:rPr>
            </w:pPr>
          </w:p>
        </w:tc>
        <w:tc>
          <w:tcPr>
            <w:tcW w:w="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92"/>
        </w:trPr>
        <w:tc>
          <w:tcPr>
            <w:tcW w:w="3640" w:type="dxa"/>
            <w:vAlign w:val="bottom"/>
            <w:tcBorders>
              <w:bottom w:val="single" w:sz="8" w:color="D64000"/>
            </w:tcBorders>
            <w:shd w:val="clear" w:color="auto" w:fill="1F473D"/>
          </w:tcPr>
          <w:p>
            <w:pPr>
              <w:spacing w:after="0"/>
              <w:rPr>
                <w:sz w:val="16"/>
                <w:szCs w:val="16"/>
                <w:color w:val="auto"/>
              </w:rPr>
            </w:pPr>
          </w:p>
        </w:tc>
        <w:tc>
          <w:tcPr>
            <w:tcW w:w="1880" w:type="dxa"/>
            <w:vAlign w:val="bottom"/>
            <w:tcBorders>
              <w:bottom w:val="single" w:sz="8" w:color="D64000"/>
            </w:tcBorders>
            <w:shd w:val="clear" w:color="auto" w:fill="1F473D"/>
          </w:tcPr>
          <w:p>
            <w:pPr>
              <w:jc w:val="right"/>
              <w:ind w:right="261"/>
              <w:spacing w:after="0"/>
              <w:rPr>
                <w:sz w:val="20"/>
                <w:szCs w:val="20"/>
                <w:color w:val="auto"/>
              </w:rPr>
            </w:pPr>
            <w:r>
              <w:rPr>
                <w:rFonts w:ascii="Arial" w:cs="Arial" w:eastAsia="Arial" w:hAnsi="Arial"/>
                <w:sz w:val="16"/>
                <w:szCs w:val="16"/>
                <w:b w:val="1"/>
                <w:bCs w:val="1"/>
                <w:color w:val="FFFFFF"/>
              </w:rPr>
              <w:t>Employee-Related</w:t>
            </w:r>
          </w:p>
        </w:tc>
        <w:tc>
          <w:tcPr>
            <w:tcW w:w="1820" w:type="dxa"/>
            <w:vAlign w:val="bottom"/>
            <w:tcBorders>
              <w:bottom w:val="single" w:sz="8" w:color="D64000"/>
            </w:tcBorders>
            <w:gridSpan w:val="2"/>
            <w:shd w:val="clear" w:color="auto" w:fill="1F473D"/>
          </w:tcPr>
          <w:p>
            <w:pPr>
              <w:jc w:val="right"/>
              <w:ind w:right="141"/>
              <w:spacing w:after="0"/>
              <w:rPr>
                <w:sz w:val="20"/>
                <w:szCs w:val="20"/>
                <w:color w:val="auto"/>
              </w:rPr>
            </w:pPr>
            <w:r>
              <w:rPr>
                <w:rFonts w:ascii="Arial" w:cs="Arial" w:eastAsia="Arial" w:hAnsi="Arial"/>
                <w:sz w:val="16"/>
                <w:szCs w:val="16"/>
                <w:b w:val="1"/>
                <w:bCs w:val="1"/>
                <w:color w:val="FFFFFF"/>
              </w:rPr>
              <w:t>Facilities-Related</w:t>
            </w:r>
          </w:p>
        </w:tc>
        <w:tc>
          <w:tcPr>
            <w:tcW w:w="68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b w:val="1"/>
                <w:bCs w:val="1"/>
                <w:color w:val="FFFFFF"/>
              </w:rPr>
              <w:t xml:space="preserve">    </w:t>
            </w:r>
          </w:p>
        </w:tc>
        <w:tc>
          <w:tcPr>
            <w:tcW w:w="1120" w:type="dxa"/>
            <w:vAlign w:val="bottom"/>
            <w:tcBorders>
              <w:bottom w:val="single" w:sz="8" w:color="D64000"/>
            </w:tcBorders>
            <w:shd w:val="clear" w:color="auto" w:fill="1F473D"/>
          </w:tcPr>
          <w:p>
            <w:pPr>
              <w:jc w:val="right"/>
              <w:ind w:right="561"/>
              <w:spacing w:after="0"/>
              <w:rPr>
                <w:sz w:val="20"/>
                <w:szCs w:val="20"/>
                <w:color w:val="auto"/>
              </w:rPr>
            </w:pPr>
            <w:r>
              <w:rPr>
                <w:rFonts w:ascii="Arial" w:cs="Arial" w:eastAsia="Arial" w:hAnsi="Arial"/>
                <w:sz w:val="16"/>
                <w:szCs w:val="16"/>
                <w:b w:val="1"/>
                <w:bCs w:val="1"/>
                <w:color w:val="FFFFFF"/>
              </w:rPr>
              <w:t>Other</w:t>
            </w:r>
          </w:p>
        </w:tc>
        <w:tc>
          <w:tcPr>
            <w:tcW w:w="24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b w:val="1"/>
                <w:bCs w:val="1"/>
                <w:color w:val="FFFFFF"/>
              </w:rPr>
              <w:t xml:space="preserve">    </w:t>
            </w:r>
          </w:p>
        </w:tc>
        <w:tc>
          <w:tcPr>
            <w:tcW w:w="560" w:type="dxa"/>
            <w:vAlign w:val="bottom"/>
            <w:tcBorders>
              <w:bottom w:val="single" w:sz="8" w:color="D64000"/>
            </w:tcBorders>
            <w:shd w:val="clear" w:color="auto" w:fill="1F473D"/>
          </w:tcPr>
          <w:p>
            <w:pPr>
              <w:jc w:val="right"/>
              <w:ind w:right="22"/>
              <w:spacing w:after="0"/>
              <w:rPr>
                <w:sz w:val="20"/>
                <w:szCs w:val="20"/>
                <w:color w:val="auto"/>
              </w:rPr>
            </w:pPr>
            <w:r>
              <w:rPr>
                <w:rFonts w:ascii="Arial" w:cs="Arial" w:eastAsia="Arial" w:hAnsi="Arial"/>
                <w:sz w:val="16"/>
                <w:szCs w:val="16"/>
                <w:b w:val="1"/>
                <w:bCs w:val="1"/>
                <w:color w:val="FFFFFF"/>
              </w:rPr>
              <w:t>Total</w:t>
            </w:r>
          </w:p>
        </w:tc>
      </w:tr>
      <w:tr>
        <w:trPr>
          <w:trHeight w:val="171"/>
        </w:trPr>
        <w:tc>
          <w:tcPr>
            <w:tcW w:w="3640" w:type="dxa"/>
            <w:vAlign w:val="bottom"/>
          </w:tcPr>
          <w:p>
            <w:pPr>
              <w:spacing w:after="0" w:line="171" w:lineRule="exact"/>
              <w:rPr>
                <w:sz w:val="20"/>
                <w:szCs w:val="20"/>
                <w:color w:val="auto"/>
              </w:rPr>
            </w:pPr>
            <w:r>
              <w:rPr>
                <w:rFonts w:ascii="Arial" w:cs="Arial" w:eastAsia="Arial" w:hAnsi="Arial"/>
                <w:sz w:val="16"/>
                <w:szCs w:val="16"/>
                <w:color w:val="auto"/>
              </w:rPr>
              <w:t> Balance as of December 31, 2022</w:t>
            </w:r>
          </w:p>
        </w:tc>
        <w:tc>
          <w:tcPr>
            <w:tcW w:w="1880" w:type="dxa"/>
            <w:vAlign w:val="bottom"/>
          </w:tcPr>
          <w:p>
            <w:pPr>
              <w:jc w:val="right"/>
              <w:ind w:right="201"/>
              <w:spacing w:after="0" w:line="171" w:lineRule="exact"/>
              <w:rPr>
                <w:sz w:val="20"/>
                <w:szCs w:val="20"/>
                <w:color w:val="auto"/>
              </w:rPr>
            </w:pPr>
            <w:r>
              <w:rPr>
                <w:rFonts w:ascii="Arial" w:cs="Arial" w:eastAsia="Arial" w:hAnsi="Arial"/>
                <w:sz w:val="16"/>
                <w:szCs w:val="16"/>
                <w:color w:val="auto"/>
              </w:rPr>
              <w:t>52</w:t>
            </w:r>
          </w:p>
        </w:tc>
        <w:tc>
          <w:tcPr>
            <w:tcW w:w="1820" w:type="dxa"/>
            <w:vAlign w:val="bottom"/>
            <w:gridSpan w:val="2"/>
          </w:tcPr>
          <w:p>
            <w:pPr>
              <w:jc w:val="right"/>
              <w:ind w:right="81"/>
              <w:spacing w:after="0" w:line="171" w:lineRule="exact"/>
              <w:rPr>
                <w:sz w:val="20"/>
                <w:szCs w:val="20"/>
                <w:color w:val="auto"/>
              </w:rPr>
            </w:pPr>
            <w:r>
              <w:rPr>
                <w:rFonts w:ascii="Arial" w:cs="Arial" w:eastAsia="Arial" w:hAnsi="Arial"/>
                <w:sz w:val="16"/>
                <w:szCs w:val="16"/>
                <w:color w:val="auto"/>
              </w:rPr>
              <w:t>23</w:t>
            </w:r>
          </w:p>
        </w:tc>
        <w:tc>
          <w:tcPr>
            <w:tcW w:w="680" w:type="dxa"/>
            <w:vAlign w:val="bottom"/>
          </w:tcPr>
          <w:p>
            <w:pPr>
              <w:spacing w:after="0"/>
              <w:rPr>
                <w:sz w:val="14"/>
                <w:szCs w:val="14"/>
                <w:color w:val="auto"/>
              </w:rPr>
            </w:pPr>
          </w:p>
        </w:tc>
        <w:tc>
          <w:tcPr>
            <w:tcW w:w="1120" w:type="dxa"/>
            <w:vAlign w:val="bottom"/>
          </w:tcPr>
          <w:p>
            <w:pPr>
              <w:jc w:val="right"/>
              <w:ind w:right="501"/>
              <w:spacing w:after="0" w:line="171" w:lineRule="exact"/>
              <w:rPr>
                <w:sz w:val="20"/>
                <w:szCs w:val="20"/>
                <w:color w:val="auto"/>
              </w:rPr>
            </w:pPr>
            <w:r>
              <w:rPr>
                <w:rFonts w:ascii="Arial" w:cs="Arial" w:eastAsia="Arial" w:hAnsi="Arial"/>
                <w:sz w:val="16"/>
                <w:szCs w:val="16"/>
                <w:color w:val="auto"/>
              </w:rPr>
              <w:t>119</w:t>
            </w:r>
          </w:p>
        </w:tc>
        <w:tc>
          <w:tcPr>
            <w:tcW w:w="240" w:type="dxa"/>
            <w:vAlign w:val="bottom"/>
          </w:tcPr>
          <w:p>
            <w:pPr>
              <w:spacing w:after="0"/>
              <w:rPr>
                <w:sz w:val="14"/>
                <w:szCs w:val="14"/>
                <w:color w:val="auto"/>
              </w:rPr>
            </w:pPr>
          </w:p>
        </w:tc>
        <w:tc>
          <w:tcPr>
            <w:tcW w:w="560" w:type="dxa"/>
            <w:vAlign w:val="bottom"/>
          </w:tcPr>
          <w:p>
            <w:pPr>
              <w:jc w:val="right"/>
              <w:spacing w:after="0" w:line="171" w:lineRule="exact"/>
              <w:rPr>
                <w:sz w:val="20"/>
                <w:szCs w:val="20"/>
                <w:color w:val="auto"/>
              </w:rPr>
            </w:pPr>
            <w:r>
              <w:rPr>
                <w:rFonts w:ascii="Arial" w:cs="Arial" w:eastAsia="Arial" w:hAnsi="Arial"/>
                <w:sz w:val="16"/>
                <w:szCs w:val="16"/>
                <w:color w:val="auto"/>
              </w:rPr>
              <w:t>194</w:t>
            </w:r>
          </w:p>
        </w:tc>
      </w:tr>
      <w:tr>
        <w:trPr>
          <w:trHeight w:val="186"/>
        </w:trPr>
        <w:tc>
          <w:tcPr>
            <w:tcW w:w="3640" w:type="dxa"/>
            <w:vAlign w:val="bottom"/>
          </w:tcPr>
          <w:p>
            <w:pPr>
              <w:spacing w:after="0"/>
              <w:rPr>
                <w:sz w:val="20"/>
                <w:szCs w:val="20"/>
                <w:color w:val="auto"/>
              </w:rPr>
            </w:pPr>
            <w:r>
              <w:rPr>
                <w:rFonts w:ascii="Arial" w:cs="Arial" w:eastAsia="Arial" w:hAnsi="Arial"/>
                <w:sz w:val="16"/>
                <w:szCs w:val="16"/>
                <w:color w:val="auto"/>
              </w:rPr>
              <w:t> Charges (releases)</w:t>
            </w:r>
          </w:p>
        </w:tc>
        <w:tc>
          <w:tcPr>
            <w:tcW w:w="1880" w:type="dxa"/>
            <w:vAlign w:val="bottom"/>
          </w:tcPr>
          <w:p>
            <w:pPr>
              <w:jc w:val="right"/>
              <w:ind w:right="201"/>
              <w:spacing w:after="0"/>
              <w:rPr>
                <w:sz w:val="20"/>
                <w:szCs w:val="20"/>
                <w:color w:val="auto"/>
              </w:rPr>
            </w:pPr>
            <w:r>
              <w:rPr>
                <w:rFonts w:ascii="Arial" w:cs="Arial" w:eastAsia="Arial" w:hAnsi="Arial"/>
                <w:sz w:val="16"/>
                <w:szCs w:val="16"/>
                <w:color w:val="auto"/>
              </w:rPr>
              <w:t>55</w:t>
            </w:r>
          </w:p>
        </w:tc>
        <w:tc>
          <w:tcPr>
            <w:tcW w:w="1820" w:type="dxa"/>
            <w:vAlign w:val="bottom"/>
            <w:gridSpan w:val="2"/>
          </w:tcPr>
          <w:p>
            <w:pPr>
              <w:jc w:val="right"/>
              <w:ind w:right="81"/>
              <w:spacing w:after="0"/>
              <w:rPr>
                <w:sz w:val="20"/>
                <w:szCs w:val="20"/>
                <w:color w:val="auto"/>
              </w:rPr>
            </w:pPr>
            <w:r>
              <w:rPr>
                <w:rFonts w:ascii="Arial" w:cs="Arial" w:eastAsia="Arial" w:hAnsi="Arial"/>
                <w:sz w:val="16"/>
                <w:szCs w:val="16"/>
                <w:color w:val="auto"/>
              </w:rPr>
              <w:t>3</w:t>
            </w:r>
          </w:p>
        </w:tc>
        <w:tc>
          <w:tcPr>
            <w:tcW w:w="680" w:type="dxa"/>
            <w:vAlign w:val="bottom"/>
          </w:tcPr>
          <w:p>
            <w:pPr>
              <w:spacing w:after="0"/>
              <w:rPr>
                <w:sz w:val="16"/>
                <w:szCs w:val="16"/>
                <w:color w:val="auto"/>
              </w:rPr>
            </w:pPr>
          </w:p>
        </w:tc>
        <w:tc>
          <w:tcPr>
            <w:tcW w:w="1120" w:type="dxa"/>
            <w:vAlign w:val="bottom"/>
          </w:tcPr>
          <w:p>
            <w:pPr>
              <w:jc w:val="right"/>
              <w:ind w:right="501"/>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185"/>
        </w:trPr>
        <w:tc>
          <w:tcPr>
            <w:tcW w:w="3640" w:type="dxa"/>
            <w:vAlign w:val="bottom"/>
          </w:tcPr>
          <w:p>
            <w:pPr>
              <w:spacing w:after="0"/>
              <w:rPr>
                <w:sz w:val="20"/>
                <w:szCs w:val="20"/>
                <w:color w:val="auto"/>
              </w:rPr>
            </w:pPr>
            <w:r>
              <w:rPr>
                <w:rFonts w:ascii="Arial" w:cs="Arial" w:eastAsia="Arial" w:hAnsi="Arial"/>
                <w:sz w:val="16"/>
                <w:szCs w:val="16"/>
                <w:color w:val="auto"/>
              </w:rPr>
              <w:t> Utilization</w:t>
            </w:r>
          </w:p>
        </w:tc>
        <w:tc>
          <w:tcPr>
            <w:tcW w:w="1880" w:type="dxa"/>
            <w:vAlign w:val="bottom"/>
          </w:tcPr>
          <w:p>
            <w:pPr>
              <w:jc w:val="right"/>
              <w:ind w:right="201"/>
              <w:spacing w:after="0"/>
              <w:rPr>
                <w:sz w:val="20"/>
                <w:szCs w:val="20"/>
                <w:color w:val="auto"/>
              </w:rPr>
            </w:pPr>
            <w:r>
              <w:rPr>
                <w:rFonts w:ascii="Arial" w:cs="Arial" w:eastAsia="Arial" w:hAnsi="Arial"/>
                <w:sz w:val="16"/>
                <w:szCs w:val="16"/>
                <w:color w:val="auto"/>
              </w:rPr>
              <w:t>(63)</w:t>
            </w:r>
          </w:p>
        </w:tc>
        <w:tc>
          <w:tcPr>
            <w:tcW w:w="1820" w:type="dxa"/>
            <w:vAlign w:val="bottom"/>
            <w:gridSpan w:val="2"/>
          </w:tcPr>
          <w:p>
            <w:pPr>
              <w:jc w:val="right"/>
              <w:ind w:right="81"/>
              <w:spacing w:after="0"/>
              <w:rPr>
                <w:sz w:val="20"/>
                <w:szCs w:val="20"/>
                <w:color w:val="auto"/>
              </w:rPr>
            </w:pPr>
            <w:r>
              <w:rPr>
                <w:rFonts w:ascii="Arial" w:cs="Arial" w:eastAsia="Arial" w:hAnsi="Arial"/>
                <w:sz w:val="16"/>
                <w:szCs w:val="16"/>
                <w:color w:val="auto"/>
              </w:rPr>
              <w:t>(4)</w:t>
            </w:r>
          </w:p>
        </w:tc>
        <w:tc>
          <w:tcPr>
            <w:tcW w:w="680" w:type="dxa"/>
            <w:vAlign w:val="bottom"/>
          </w:tcPr>
          <w:p>
            <w:pPr>
              <w:spacing w:after="0"/>
              <w:rPr>
                <w:sz w:val="16"/>
                <w:szCs w:val="16"/>
                <w:color w:val="auto"/>
              </w:rPr>
            </w:pPr>
          </w:p>
        </w:tc>
        <w:tc>
          <w:tcPr>
            <w:tcW w:w="1120" w:type="dxa"/>
            <w:vAlign w:val="bottom"/>
          </w:tcPr>
          <w:p>
            <w:pPr>
              <w:jc w:val="right"/>
              <w:ind w:right="501"/>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00"/>
        </w:trPr>
        <w:tc>
          <w:tcPr>
            <w:tcW w:w="364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Translation and other, net</w:t>
            </w:r>
          </w:p>
        </w:tc>
        <w:tc>
          <w:tcPr>
            <w:tcW w:w="1880" w:type="dxa"/>
            <w:vAlign w:val="bottom"/>
            <w:tcBorders>
              <w:bottom w:val="single" w:sz="8" w:color="B2B2B2"/>
            </w:tcBorders>
          </w:tcPr>
          <w:p>
            <w:pPr>
              <w:jc w:val="right"/>
              <w:ind w:right="201"/>
              <w:spacing w:after="0"/>
              <w:rPr>
                <w:sz w:val="20"/>
                <w:szCs w:val="20"/>
                <w:color w:val="auto"/>
              </w:rPr>
            </w:pPr>
            <w:r>
              <w:rPr>
                <w:rFonts w:ascii="Arial" w:cs="Arial" w:eastAsia="Arial" w:hAnsi="Arial"/>
                <w:sz w:val="16"/>
                <w:szCs w:val="16"/>
                <w:color w:val="auto"/>
              </w:rPr>
              <w:t>1</w:t>
            </w:r>
          </w:p>
        </w:tc>
        <w:tc>
          <w:tcPr>
            <w:tcW w:w="1820" w:type="dxa"/>
            <w:vAlign w:val="bottom"/>
            <w:tcBorders>
              <w:bottom w:val="single" w:sz="8" w:color="B2B2B2"/>
            </w:tcBorders>
            <w:gridSpan w:val="2"/>
          </w:tcPr>
          <w:p>
            <w:pPr>
              <w:jc w:val="right"/>
              <w:ind w:right="81"/>
              <w:spacing w:after="0"/>
              <w:rPr>
                <w:sz w:val="20"/>
                <w:szCs w:val="20"/>
                <w:color w:val="auto"/>
              </w:rPr>
            </w:pPr>
            <w:r>
              <w:rPr>
                <w:rFonts w:ascii="Arial" w:cs="Arial" w:eastAsia="Arial" w:hAnsi="Arial"/>
                <w:sz w:val="16"/>
                <w:szCs w:val="16"/>
                <w:color w:val="auto"/>
              </w:rPr>
              <w:t>1</w:t>
            </w:r>
          </w:p>
        </w:tc>
        <w:tc>
          <w:tcPr>
            <w:tcW w:w="680" w:type="dxa"/>
            <w:vAlign w:val="bottom"/>
            <w:tcBorders>
              <w:bottom w:val="single" w:sz="8" w:color="B2B2B2"/>
            </w:tcBorders>
          </w:tcPr>
          <w:p>
            <w:pPr>
              <w:spacing w:after="0"/>
              <w:rPr>
                <w:sz w:val="17"/>
                <w:szCs w:val="17"/>
                <w:color w:val="auto"/>
              </w:rPr>
            </w:pPr>
          </w:p>
        </w:tc>
        <w:tc>
          <w:tcPr>
            <w:tcW w:w="1120" w:type="dxa"/>
            <w:vAlign w:val="bottom"/>
            <w:tcBorders>
              <w:bottom w:val="single" w:sz="8" w:color="B2B2B2"/>
            </w:tcBorders>
          </w:tcPr>
          <w:p>
            <w:pPr>
              <w:jc w:val="right"/>
              <w:ind w:right="501"/>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B2B2B2"/>
            </w:tcBorders>
          </w:tcPr>
          <w:p>
            <w:pPr>
              <w:spacing w:after="0"/>
              <w:rPr>
                <w:sz w:val="17"/>
                <w:szCs w:val="17"/>
                <w:color w:val="auto"/>
              </w:rPr>
            </w:pPr>
          </w:p>
        </w:tc>
        <w:tc>
          <w:tcPr>
            <w:tcW w:w="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w:t>
            </w:r>
          </w:p>
        </w:tc>
      </w:tr>
      <w:tr>
        <w:trPr>
          <w:trHeight w:val="165"/>
        </w:trPr>
        <w:tc>
          <w:tcPr>
            <w:tcW w:w="3640" w:type="dxa"/>
            <w:vAlign w:val="bottom"/>
          </w:tcPr>
          <w:p>
            <w:pPr>
              <w:spacing w:after="0" w:line="165" w:lineRule="exact"/>
              <w:rPr>
                <w:sz w:val="20"/>
                <w:szCs w:val="20"/>
                <w:color w:val="auto"/>
              </w:rPr>
            </w:pPr>
            <w:r>
              <w:rPr>
                <w:rFonts w:ascii="Arial" w:cs="Arial" w:eastAsia="Arial" w:hAnsi="Arial"/>
                <w:sz w:val="16"/>
                <w:szCs w:val="16"/>
                <w:color w:val="auto"/>
              </w:rPr>
              <w:t> Balance as of December 31, 2023</w:t>
            </w:r>
          </w:p>
        </w:tc>
        <w:tc>
          <w:tcPr>
            <w:tcW w:w="1880" w:type="dxa"/>
            <w:vAlign w:val="bottom"/>
          </w:tcPr>
          <w:p>
            <w:pPr>
              <w:jc w:val="right"/>
              <w:ind w:right="201"/>
              <w:spacing w:after="0" w:line="165" w:lineRule="exact"/>
              <w:rPr>
                <w:sz w:val="20"/>
                <w:szCs w:val="20"/>
                <w:color w:val="auto"/>
              </w:rPr>
            </w:pPr>
            <w:r>
              <w:rPr>
                <w:rFonts w:ascii="Arial" w:cs="Arial" w:eastAsia="Arial" w:hAnsi="Arial"/>
                <w:sz w:val="16"/>
                <w:szCs w:val="16"/>
                <w:color w:val="auto"/>
              </w:rPr>
              <w:t>45</w:t>
            </w:r>
          </w:p>
        </w:tc>
        <w:tc>
          <w:tcPr>
            <w:tcW w:w="1820" w:type="dxa"/>
            <w:vAlign w:val="bottom"/>
            <w:gridSpan w:val="2"/>
          </w:tcPr>
          <w:p>
            <w:pPr>
              <w:jc w:val="right"/>
              <w:ind w:right="81"/>
              <w:spacing w:after="0" w:line="165" w:lineRule="exact"/>
              <w:rPr>
                <w:sz w:val="20"/>
                <w:szCs w:val="20"/>
                <w:color w:val="auto"/>
              </w:rPr>
            </w:pPr>
            <w:r>
              <w:rPr>
                <w:rFonts w:ascii="Arial" w:cs="Arial" w:eastAsia="Arial" w:hAnsi="Arial"/>
                <w:sz w:val="16"/>
                <w:szCs w:val="16"/>
                <w:color w:val="auto"/>
              </w:rPr>
              <w:t>23</w:t>
            </w:r>
          </w:p>
        </w:tc>
        <w:tc>
          <w:tcPr>
            <w:tcW w:w="680" w:type="dxa"/>
            <w:vAlign w:val="bottom"/>
          </w:tcPr>
          <w:p>
            <w:pPr>
              <w:spacing w:after="0"/>
              <w:rPr>
                <w:sz w:val="14"/>
                <w:szCs w:val="14"/>
                <w:color w:val="auto"/>
              </w:rPr>
            </w:pPr>
          </w:p>
        </w:tc>
        <w:tc>
          <w:tcPr>
            <w:tcW w:w="1120" w:type="dxa"/>
            <w:vAlign w:val="bottom"/>
          </w:tcPr>
          <w:p>
            <w:pPr>
              <w:jc w:val="right"/>
              <w:ind w:right="501"/>
              <w:spacing w:after="0" w:line="165" w:lineRule="exact"/>
              <w:rPr>
                <w:sz w:val="20"/>
                <w:szCs w:val="20"/>
                <w:color w:val="auto"/>
              </w:rPr>
            </w:pPr>
            <w:r>
              <w:rPr>
                <w:rFonts w:ascii="Arial" w:cs="Arial" w:eastAsia="Arial" w:hAnsi="Arial"/>
                <w:sz w:val="16"/>
                <w:szCs w:val="16"/>
                <w:color w:val="auto"/>
              </w:rPr>
              <w:t>95</w:t>
            </w:r>
          </w:p>
        </w:tc>
        <w:tc>
          <w:tcPr>
            <w:tcW w:w="240" w:type="dxa"/>
            <w:vAlign w:val="bottom"/>
          </w:tcPr>
          <w:p>
            <w:pPr>
              <w:spacing w:after="0"/>
              <w:rPr>
                <w:sz w:val="14"/>
                <w:szCs w:val="14"/>
                <w:color w:val="auto"/>
              </w:rPr>
            </w:pPr>
          </w:p>
        </w:tc>
        <w:tc>
          <w:tcPr>
            <w:tcW w:w="560" w:type="dxa"/>
            <w:vAlign w:val="bottom"/>
          </w:tcPr>
          <w:p>
            <w:pPr>
              <w:jc w:val="right"/>
              <w:spacing w:after="0" w:line="165" w:lineRule="exact"/>
              <w:rPr>
                <w:sz w:val="20"/>
                <w:szCs w:val="20"/>
                <w:color w:val="auto"/>
              </w:rPr>
            </w:pPr>
            <w:r>
              <w:rPr>
                <w:rFonts w:ascii="Arial" w:cs="Arial" w:eastAsia="Arial" w:hAnsi="Arial"/>
                <w:sz w:val="16"/>
                <w:szCs w:val="16"/>
                <w:color w:val="auto"/>
              </w:rPr>
              <w:t>163</w:t>
            </w:r>
          </w:p>
        </w:tc>
      </w:tr>
      <w:tr>
        <w:trPr>
          <w:trHeight w:val="200"/>
        </w:trPr>
        <w:tc>
          <w:tcPr>
            <w:tcW w:w="364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Less: short-term provisions</w:t>
            </w:r>
          </w:p>
        </w:tc>
        <w:tc>
          <w:tcPr>
            <w:tcW w:w="1880" w:type="dxa"/>
            <w:vAlign w:val="bottom"/>
            <w:tcBorders>
              <w:bottom w:val="single" w:sz="8" w:color="B2B2B2"/>
            </w:tcBorders>
          </w:tcPr>
          <w:p>
            <w:pPr>
              <w:jc w:val="right"/>
              <w:ind w:right="201"/>
              <w:spacing w:after="0"/>
              <w:rPr>
                <w:sz w:val="20"/>
                <w:szCs w:val="20"/>
                <w:color w:val="auto"/>
              </w:rPr>
            </w:pPr>
            <w:r>
              <w:rPr>
                <w:rFonts w:ascii="Arial" w:cs="Arial" w:eastAsia="Arial" w:hAnsi="Arial"/>
                <w:sz w:val="16"/>
                <w:szCs w:val="16"/>
                <w:color w:val="auto"/>
              </w:rPr>
              <w:t>45</w:t>
            </w:r>
          </w:p>
        </w:tc>
        <w:tc>
          <w:tcPr>
            <w:tcW w:w="1820" w:type="dxa"/>
            <w:vAlign w:val="bottom"/>
            <w:tcBorders>
              <w:bottom w:val="single" w:sz="8" w:color="B2B2B2"/>
            </w:tcBorders>
            <w:gridSpan w:val="2"/>
          </w:tcPr>
          <w:p>
            <w:pPr>
              <w:jc w:val="right"/>
              <w:ind w:right="81"/>
              <w:spacing w:after="0"/>
              <w:rPr>
                <w:sz w:val="20"/>
                <w:szCs w:val="20"/>
                <w:color w:val="auto"/>
              </w:rPr>
            </w:pPr>
            <w:r>
              <w:rPr>
                <w:rFonts w:ascii="Arial" w:cs="Arial" w:eastAsia="Arial" w:hAnsi="Arial"/>
                <w:sz w:val="16"/>
                <w:szCs w:val="16"/>
                <w:color w:val="auto"/>
              </w:rPr>
              <w:t>2</w:t>
            </w:r>
          </w:p>
        </w:tc>
        <w:tc>
          <w:tcPr>
            <w:tcW w:w="680" w:type="dxa"/>
            <w:vAlign w:val="bottom"/>
            <w:tcBorders>
              <w:bottom w:val="single" w:sz="8" w:color="B2B2B2"/>
            </w:tcBorders>
          </w:tcPr>
          <w:p>
            <w:pPr>
              <w:spacing w:after="0"/>
              <w:rPr>
                <w:sz w:val="17"/>
                <w:szCs w:val="17"/>
                <w:color w:val="auto"/>
              </w:rPr>
            </w:pPr>
          </w:p>
        </w:tc>
        <w:tc>
          <w:tcPr>
            <w:tcW w:w="1120" w:type="dxa"/>
            <w:vAlign w:val="bottom"/>
            <w:tcBorders>
              <w:bottom w:val="single" w:sz="8" w:color="B2B2B2"/>
            </w:tcBorders>
          </w:tcPr>
          <w:p>
            <w:pPr>
              <w:jc w:val="right"/>
              <w:ind w:right="501"/>
              <w:spacing w:after="0"/>
              <w:rPr>
                <w:sz w:val="20"/>
                <w:szCs w:val="20"/>
                <w:color w:val="auto"/>
              </w:rPr>
            </w:pPr>
            <w:r>
              <w:rPr>
                <w:rFonts w:ascii="Arial" w:cs="Arial" w:eastAsia="Arial" w:hAnsi="Arial"/>
                <w:sz w:val="16"/>
                <w:szCs w:val="16"/>
                <w:color w:val="auto"/>
              </w:rPr>
              <w:t>45</w:t>
            </w:r>
          </w:p>
        </w:tc>
        <w:tc>
          <w:tcPr>
            <w:tcW w:w="240" w:type="dxa"/>
            <w:vAlign w:val="bottom"/>
            <w:tcBorders>
              <w:bottom w:val="single" w:sz="8" w:color="B2B2B2"/>
            </w:tcBorders>
          </w:tcPr>
          <w:p>
            <w:pPr>
              <w:spacing w:after="0"/>
              <w:rPr>
                <w:sz w:val="17"/>
                <w:szCs w:val="17"/>
                <w:color w:val="auto"/>
              </w:rPr>
            </w:pPr>
          </w:p>
        </w:tc>
        <w:tc>
          <w:tcPr>
            <w:tcW w:w="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92</w:t>
            </w:r>
          </w:p>
        </w:tc>
      </w:tr>
      <w:tr>
        <w:trPr>
          <w:trHeight w:val="179"/>
        </w:trPr>
        <w:tc>
          <w:tcPr>
            <w:tcW w:w="364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Long-term provisions</w:t>
            </w:r>
          </w:p>
        </w:tc>
        <w:tc>
          <w:tcPr>
            <w:tcW w:w="1880" w:type="dxa"/>
            <w:vAlign w:val="bottom"/>
            <w:tcBorders>
              <w:bottom w:val="single" w:sz="8" w:color="B2B2B2"/>
            </w:tcBorders>
          </w:tcPr>
          <w:p>
            <w:pPr>
              <w:jc w:val="right"/>
              <w:ind w:right="201"/>
              <w:spacing w:after="0" w:line="179" w:lineRule="exact"/>
              <w:rPr>
                <w:sz w:val="20"/>
                <w:szCs w:val="20"/>
                <w:color w:val="auto"/>
              </w:rPr>
            </w:pPr>
            <w:r>
              <w:rPr>
                <w:rFonts w:ascii="Arial" w:cs="Arial" w:eastAsia="Arial" w:hAnsi="Arial"/>
                <w:sz w:val="16"/>
                <w:szCs w:val="16"/>
                <w:color w:val="auto"/>
              </w:rPr>
              <w:t>-</w:t>
            </w:r>
          </w:p>
        </w:tc>
        <w:tc>
          <w:tcPr>
            <w:tcW w:w="1820" w:type="dxa"/>
            <w:vAlign w:val="bottom"/>
            <w:tcBorders>
              <w:bottom w:val="single" w:sz="8" w:color="B2B2B2"/>
            </w:tcBorders>
            <w:gridSpan w:val="2"/>
          </w:tcPr>
          <w:p>
            <w:pPr>
              <w:jc w:val="right"/>
              <w:ind w:right="81"/>
              <w:spacing w:after="0" w:line="179" w:lineRule="exact"/>
              <w:rPr>
                <w:sz w:val="20"/>
                <w:szCs w:val="20"/>
                <w:color w:val="auto"/>
              </w:rPr>
            </w:pPr>
            <w:r>
              <w:rPr>
                <w:rFonts w:ascii="Arial" w:cs="Arial" w:eastAsia="Arial" w:hAnsi="Arial"/>
                <w:sz w:val="16"/>
                <w:szCs w:val="16"/>
                <w:color w:val="auto"/>
              </w:rPr>
              <w:t>21</w:t>
            </w:r>
          </w:p>
        </w:tc>
        <w:tc>
          <w:tcPr>
            <w:tcW w:w="680" w:type="dxa"/>
            <w:vAlign w:val="bottom"/>
            <w:tcBorders>
              <w:bottom w:val="single" w:sz="8" w:color="B2B2B2"/>
            </w:tcBorders>
          </w:tcPr>
          <w:p>
            <w:pPr>
              <w:spacing w:after="0"/>
              <w:rPr>
                <w:sz w:val="15"/>
                <w:szCs w:val="15"/>
                <w:color w:val="auto"/>
              </w:rPr>
            </w:pPr>
          </w:p>
        </w:tc>
        <w:tc>
          <w:tcPr>
            <w:tcW w:w="1120" w:type="dxa"/>
            <w:vAlign w:val="bottom"/>
            <w:tcBorders>
              <w:bottom w:val="single" w:sz="8" w:color="B2B2B2"/>
            </w:tcBorders>
          </w:tcPr>
          <w:p>
            <w:pPr>
              <w:jc w:val="right"/>
              <w:ind w:right="501"/>
              <w:spacing w:after="0" w:line="179" w:lineRule="exact"/>
              <w:rPr>
                <w:sz w:val="20"/>
                <w:szCs w:val="20"/>
                <w:color w:val="auto"/>
              </w:rPr>
            </w:pPr>
            <w:r>
              <w:rPr>
                <w:rFonts w:ascii="Arial" w:cs="Arial" w:eastAsia="Arial" w:hAnsi="Arial"/>
                <w:sz w:val="16"/>
                <w:szCs w:val="16"/>
                <w:color w:val="auto"/>
              </w:rPr>
              <w:t>50</w:t>
            </w:r>
          </w:p>
        </w:tc>
        <w:tc>
          <w:tcPr>
            <w:tcW w:w="240" w:type="dxa"/>
            <w:vAlign w:val="bottom"/>
            <w:tcBorders>
              <w:bottom w:val="single" w:sz="8" w:color="B2B2B2"/>
            </w:tcBorders>
          </w:tcPr>
          <w:p>
            <w:pPr>
              <w:spacing w:after="0"/>
              <w:rPr>
                <w:sz w:val="15"/>
                <w:szCs w:val="15"/>
                <w:color w:val="auto"/>
              </w:rPr>
            </w:pPr>
          </w:p>
        </w:tc>
        <w:tc>
          <w:tcPr>
            <w:tcW w:w="56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color w:val="auto"/>
              </w:rPr>
              <w:t>71</w:t>
            </w:r>
          </w:p>
        </w:tc>
      </w:tr>
      <w:tr>
        <w:trPr>
          <w:trHeight w:val="257"/>
        </w:trPr>
        <w:tc>
          <w:tcPr>
            <w:tcW w:w="3640" w:type="dxa"/>
            <w:vAlign w:val="bottom"/>
          </w:tcPr>
          <w:p>
            <w:pPr>
              <w:spacing w:after="0"/>
              <w:rPr>
                <w:sz w:val="20"/>
                <w:szCs w:val="20"/>
                <w:color w:val="auto"/>
              </w:rPr>
            </w:pPr>
            <w:r>
              <w:rPr>
                <w:rFonts w:ascii="Arial" w:cs="Arial" w:eastAsia="Arial" w:hAnsi="Arial"/>
                <w:sz w:val="16"/>
                <w:szCs w:val="16"/>
                <w:color w:val="auto"/>
              </w:rPr>
              <w:t> Balance as of December 31, 2023</w:t>
            </w:r>
          </w:p>
        </w:tc>
        <w:tc>
          <w:tcPr>
            <w:tcW w:w="1880" w:type="dxa"/>
            <w:vAlign w:val="bottom"/>
          </w:tcPr>
          <w:p>
            <w:pPr>
              <w:jc w:val="right"/>
              <w:ind w:right="201"/>
              <w:spacing w:after="0"/>
              <w:rPr>
                <w:sz w:val="20"/>
                <w:szCs w:val="20"/>
                <w:color w:val="auto"/>
              </w:rPr>
            </w:pPr>
            <w:r>
              <w:rPr>
                <w:rFonts w:ascii="Arial" w:cs="Arial" w:eastAsia="Arial" w:hAnsi="Arial"/>
                <w:sz w:val="16"/>
                <w:szCs w:val="16"/>
                <w:b w:val="1"/>
                <w:bCs w:val="1"/>
                <w:color w:val="auto"/>
              </w:rPr>
              <w:t>45</w:t>
            </w:r>
          </w:p>
        </w:tc>
        <w:tc>
          <w:tcPr>
            <w:tcW w:w="1820" w:type="dxa"/>
            <w:vAlign w:val="bottom"/>
            <w:gridSpan w:val="2"/>
          </w:tcPr>
          <w:p>
            <w:pPr>
              <w:jc w:val="right"/>
              <w:ind w:right="81"/>
              <w:spacing w:after="0"/>
              <w:rPr>
                <w:sz w:val="20"/>
                <w:szCs w:val="20"/>
                <w:color w:val="auto"/>
              </w:rPr>
            </w:pPr>
            <w:r>
              <w:rPr>
                <w:rFonts w:ascii="Arial" w:cs="Arial" w:eastAsia="Arial" w:hAnsi="Arial"/>
                <w:sz w:val="16"/>
                <w:szCs w:val="16"/>
                <w:b w:val="1"/>
                <w:bCs w:val="1"/>
                <w:color w:val="auto"/>
              </w:rPr>
              <w:t>23</w:t>
            </w:r>
          </w:p>
        </w:tc>
        <w:tc>
          <w:tcPr>
            <w:tcW w:w="680" w:type="dxa"/>
            <w:vAlign w:val="bottom"/>
          </w:tcPr>
          <w:p>
            <w:pPr>
              <w:spacing w:after="0"/>
              <w:rPr>
                <w:sz w:val="22"/>
                <w:szCs w:val="22"/>
                <w:color w:val="auto"/>
              </w:rPr>
            </w:pPr>
          </w:p>
        </w:tc>
        <w:tc>
          <w:tcPr>
            <w:tcW w:w="1120" w:type="dxa"/>
            <w:vAlign w:val="bottom"/>
          </w:tcPr>
          <w:p>
            <w:pPr>
              <w:jc w:val="right"/>
              <w:ind w:right="501"/>
              <w:spacing w:after="0"/>
              <w:rPr>
                <w:sz w:val="20"/>
                <w:szCs w:val="20"/>
                <w:color w:val="auto"/>
              </w:rPr>
            </w:pPr>
            <w:r>
              <w:rPr>
                <w:rFonts w:ascii="Arial" w:cs="Arial" w:eastAsia="Arial" w:hAnsi="Arial"/>
                <w:sz w:val="16"/>
                <w:szCs w:val="16"/>
                <w:b w:val="1"/>
                <w:bCs w:val="1"/>
                <w:color w:val="auto"/>
              </w:rPr>
              <w:t>95</w:t>
            </w:r>
          </w:p>
        </w:tc>
        <w:tc>
          <w:tcPr>
            <w:tcW w:w="2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163</w:t>
            </w:r>
          </w:p>
        </w:tc>
      </w:tr>
      <w:tr>
        <w:trPr>
          <w:trHeight w:val="186"/>
        </w:trPr>
        <w:tc>
          <w:tcPr>
            <w:tcW w:w="3640" w:type="dxa"/>
            <w:vAlign w:val="bottom"/>
          </w:tcPr>
          <w:p>
            <w:pPr>
              <w:spacing w:after="0"/>
              <w:rPr>
                <w:sz w:val="20"/>
                <w:szCs w:val="20"/>
                <w:color w:val="auto"/>
              </w:rPr>
            </w:pPr>
            <w:r>
              <w:rPr>
                <w:rFonts w:ascii="Arial" w:cs="Arial" w:eastAsia="Arial" w:hAnsi="Arial"/>
                <w:sz w:val="16"/>
                <w:szCs w:val="16"/>
                <w:color w:val="auto"/>
              </w:rPr>
              <w:t> Charges</w:t>
            </w:r>
          </w:p>
        </w:tc>
        <w:tc>
          <w:tcPr>
            <w:tcW w:w="1880" w:type="dxa"/>
            <w:vAlign w:val="bottom"/>
          </w:tcPr>
          <w:p>
            <w:pPr>
              <w:jc w:val="right"/>
              <w:ind w:right="201"/>
              <w:spacing w:after="0"/>
              <w:rPr>
                <w:sz w:val="20"/>
                <w:szCs w:val="20"/>
                <w:color w:val="auto"/>
              </w:rPr>
            </w:pPr>
            <w:r>
              <w:rPr>
                <w:rFonts w:ascii="Arial" w:cs="Arial" w:eastAsia="Arial" w:hAnsi="Arial"/>
                <w:sz w:val="16"/>
                <w:szCs w:val="16"/>
                <w:b w:val="1"/>
                <w:bCs w:val="1"/>
                <w:color w:val="auto"/>
              </w:rPr>
              <w:t>21</w:t>
            </w:r>
          </w:p>
        </w:tc>
        <w:tc>
          <w:tcPr>
            <w:tcW w:w="1820" w:type="dxa"/>
            <w:vAlign w:val="bottom"/>
            <w:gridSpan w:val="2"/>
          </w:tcPr>
          <w:p>
            <w:pPr>
              <w:jc w:val="right"/>
              <w:ind w:right="81"/>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spacing w:after="0"/>
              <w:rPr>
                <w:sz w:val="16"/>
                <w:szCs w:val="16"/>
                <w:color w:val="auto"/>
              </w:rPr>
            </w:pPr>
          </w:p>
        </w:tc>
        <w:tc>
          <w:tcPr>
            <w:tcW w:w="1120" w:type="dxa"/>
            <w:vAlign w:val="bottom"/>
          </w:tcPr>
          <w:p>
            <w:pPr>
              <w:jc w:val="right"/>
              <w:ind w:right="501"/>
              <w:spacing w:after="0"/>
              <w:rPr>
                <w:sz w:val="20"/>
                <w:szCs w:val="20"/>
                <w:color w:val="auto"/>
              </w:rPr>
            </w:pPr>
            <w:r>
              <w:rPr>
                <w:rFonts w:ascii="Arial" w:cs="Arial" w:eastAsia="Arial" w:hAnsi="Arial"/>
                <w:sz w:val="16"/>
                <w:szCs w:val="16"/>
                <w:b w:val="1"/>
                <w:bCs w:val="1"/>
                <w:color w:val="auto"/>
              </w:rPr>
              <w:t>19</w:t>
            </w: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40</w:t>
            </w:r>
          </w:p>
        </w:tc>
      </w:tr>
      <w:tr>
        <w:trPr>
          <w:trHeight w:val="186"/>
        </w:trPr>
        <w:tc>
          <w:tcPr>
            <w:tcW w:w="3640" w:type="dxa"/>
            <w:vAlign w:val="bottom"/>
          </w:tcPr>
          <w:p>
            <w:pPr>
              <w:spacing w:after="0"/>
              <w:rPr>
                <w:sz w:val="20"/>
                <w:szCs w:val="20"/>
                <w:color w:val="auto"/>
              </w:rPr>
            </w:pPr>
            <w:r>
              <w:rPr>
                <w:rFonts w:ascii="Arial" w:cs="Arial" w:eastAsia="Arial" w:hAnsi="Arial"/>
                <w:sz w:val="16"/>
                <w:szCs w:val="16"/>
                <w:color w:val="auto"/>
              </w:rPr>
              <w:t> Utilization</w:t>
            </w:r>
          </w:p>
        </w:tc>
        <w:tc>
          <w:tcPr>
            <w:tcW w:w="1880" w:type="dxa"/>
            <w:vAlign w:val="bottom"/>
          </w:tcPr>
          <w:p>
            <w:pPr>
              <w:jc w:val="right"/>
              <w:ind w:right="201"/>
              <w:spacing w:after="0"/>
              <w:rPr>
                <w:sz w:val="20"/>
                <w:szCs w:val="20"/>
                <w:color w:val="auto"/>
              </w:rPr>
            </w:pPr>
            <w:r>
              <w:rPr>
                <w:rFonts w:ascii="Arial" w:cs="Arial" w:eastAsia="Arial" w:hAnsi="Arial"/>
                <w:sz w:val="16"/>
                <w:szCs w:val="16"/>
                <w:b w:val="1"/>
                <w:bCs w:val="1"/>
                <w:color w:val="auto"/>
              </w:rPr>
              <w:t>(45)</w:t>
            </w:r>
          </w:p>
        </w:tc>
        <w:tc>
          <w:tcPr>
            <w:tcW w:w="1820" w:type="dxa"/>
            <w:vAlign w:val="bottom"/>
            <w:gridSpan w:val="2"/>
          </w:tcPr>
          <w:p>
            <w:pPr>
              <w:jc w:val="right"/>
              <w:ind w:right="81"/>
              <w:spacing w:after="0"/>
              <w:rPr>
                <w:sz w:val="20"/>
                <w:szCs w:val="20"/>
                <w:color w:val="auto"/>
              </w:rPr>
            </w:pPr>
            <w:r>
              <w:rPr>
                <w:rFonts w:ascii="Arial" w:cs="Arial" w:eastAsia="Arial" w:hAnsi="Arial"/>
                <w:sz w:val="16"/>
                <w:szCs w:val="16"/>
                <w:b w:val="1"/>
                <w:bCs w:val="1"/>
                <w:color w:val="auto"/>
              </w:rPr>
              <w:t>(2)</w:t>
            </w:r>
          </w:p>
        </w:tc>
        <w:tc>
          <w:tcPr>
            <w:tcW w:w="680" w:type="dxa"/>
            <w:vAlign w:val="bottom"/>
          </w:tcPr>
          <w:p>
            <w:pPr>
              <w:spacing w:after="0"/>
              <w:rPr>
                <w:sz w:val="16"/>
                <w:szCs w:val="16"/>
                <w:color w:val="auto"/>
              </w:rPr>
            </w:pPr>
          </w:p>
        </w:tc>
        <w:tc>
          <w:tcPr>
            <w:tcW w:w="1120" w:type="dxa"/>
            <w:vAlign w:val="bottom"/>
          </w:tcPr>
          <w:p>
            <w:pPr>
              <w:jc w:val="right"/>
              <w:ind w:right="501"/>
              <w:spacing w:after="0"/>
              <w:rPr>
                <w:sz w:val="20"/>
                <w:szCs w:val="20"/>
                <w:color w:val="auto"/>
              </w:rPr>
            </w:pPr>
            <w:r>
              <w:rPr>
                <w:rFonts w:ascii="Arial" w:cs="Arial" w:eastAsia="Arial" w:hAnsi="Arial"/>
                <w:sz w:val="16"/>
                <w:szCs w:val="16"/>
                <w:b w:val="1"/>
                <w:bCs w:val="1"/>
                <w:color w:val="auto"/>
              </w:rPr>
              <w:t>(29)</w:t>
            </w: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(76)</w:t>
            </w:r>
          </w:p>
        </w:tc>
      </w:tr>
      <w:tr>
        <w:trPr>
          <w:trHeight w:val="200"/>
        </w:trPr>
        <w:tc>
          <w:tcPr>
            <w:tcW w:w="364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Translation and other, net</w:t>
            </w:r>
          </w:p>
        </w:tc>
        <w:tc>
          <w:tcPr>
            <w:tcW w:w="1880" w:type="dxa"/>
            <w:vAlign w:val="bottom"/>
            <w:tcBorders>
              <w:bottom w:val="single" w:sz="8" w:color="B2B2B2"/>
            </w:tcBorders>
          </w:tcPr>
          <w:p>
            <w:pPr>
              <w:jc w:val="right"/>
              <w:ind w:right="201"/>
              <w:spacing w:after="0"/>
              <w:rPr>
                <w:sz w:val="20"/>
                <w:szCs w:val="20"/>
                <w:color w:val="auto"/>
              </w:rPr>
            </w:pPr>
            <w:r>
              <w:rPr>
                <w:rFonts w:ascii="Arial" w:cs="Arial" w:eastAsia="Arial" w:hAnsi="Arial"/>
                <w:sz w:val="16"/>
                <w:szCs w:val="16"/>
                <w:b w:val="1"/>
                <w:bCs w:val="1"/>
                <w:color w:val="auto"/>
              </w:rPr>
              <w:t>(1)</w:t>
            </w:r>
          </w:p>
        </w:tc>
        <w:tc>
          <w:tcPr>
            <w:tcW w:w="1820" w:type="dxa"/>
            <w:vAlign w:val="bottom"/>
            <w:tcBorders>
              <w:bottom w:val="single" w:sz="8" w:color="B2B2B2"/>
            </w:tcBorders>
            <w:gridSpan w:val="2"/>
          </w:tcPr>
          <w:p>
            <w:pPr>
              <w:jc w:val="right"/>
              <w:ind w:right="81"/>
              <w:spacing w:after="0"/>
              <w:rPr>
                <w:sz w:val="20"/>
                <w:szCs w:val="20"/>
                <w:color w:val="auto"/>
              </w:rPr>
            </w:pPr>
            <w:r>
              <w:rPr>
                <w:rFonts w:ascii="Arial" w:cs="Arial" w:eastAsia="Arial" w:hAnsi="Arial"/>
                <w:sz w:val="16"/>
                <w:szCs w:val="16"/>
                <w:b w:val="1"/>
                <w:bCs w:val="1"/>
                <w:color w:val="auto"/>
              </w:rPr>
              <w:t>(1)</w:t>
            </w:r>
          </w:p>
        </w:tc>
        <w:tc>
          <w:tcPr>
            <w:tcW w:w="680" w:type="dxa"/>
            <w:vAlign w:val="bottom"/>
            <w:tcBorders>
              <w:bottom w:val="single" w:sz="8" w:color="B2B2B2"/>
            </w:tcBorders>
          </w:tcPr>
          <w:p>
            <w:pPr>
              <w:spacing w:after="0"/>
              <w:rPr>
                <w:sz w:val="17"/>
                <w:szCs w:val="17"/>
                <w:color w:val="auto"/>
              </w:rPr>
            </w:pPr>
          </w:p>
        </w:tc>
        <w:tc>
          <w:tcPr>
            <w:tcW w:w="1120" w:type="dxa"/>
            <w:vAlign w:val="bottom"/>
            <w:tcBorders>
              <w:bottom w:val="single" w:sz="8" w:color="B2B2B2"/>
            </w:tcBorders>
          </w:tcPr>
          <w:p>
            <w:pPr>
              <w:jc w:val="right"/>
              <w:ind w:right="501"/>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B2B2B2"/>
            </w:tcBorders>
          </w:tcPr>
          <w:p>
            <w:pPr>
              <w:spacing w:after="0"/>
              <w:rPr>
                <w:sz w:val="17"/>
                <w:szCs w:val="17"/>
                <w:color w:val="auto"/>
              </w:rPr>
            </w:pPr>
          </w:p>
        </w:tc>
        <w:tc>
          <w:tcPr>
            <w:tcW w:w="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(2)</w:t>
            </w:r>
          </w:p>
        </w:tc>
      </w:tr>
      <w:tr>
        <w:trPr>
          <w:trHeight w:val="165"/>
        </w:trPr>
        <w:tc>
          <w:tcPr>
            <w:tcW w:w="3640" w:type="dxa"/>
            <w:vAlign w:val="bottom"/>
          </w:tcPr>
          <w:p>
            <w:pPr>
              <w:spacing w:after="0" w:line="165" w:lineRule="exact"/>
              <w:rPr>
                <w:sz w:val="20"/>
                <w:szCs w:val="20"/>
                <w:color w:val="auto"/>
              </w:rPr>
            </w:pPr>
            <w:r>
              <w:rPr>
                <w:rFonts w:ascii="Arial" w:cs="Arial" w:eastAsia="Arial" w:hAnsi="Arial"/>
                <w:sz w:val="16"/>
                <w:szCs w:val="16"/>
                <w:b w:val="1"/>
                <w:bCs w:val="1"/>
                <w:color w:val="auto"/>
              </w:rPr>
              <w:t> Balance as of December 31, 2024</w:t>
            </w:r>
          </w:p>
        </w:tc>
        <w:tc>
          <w:tcPr>
            <w:tcW w:w="1880" w:type="dxa"/>
            <w:vAlign w:val="bottom"/>
          </w:tcPr>
          <w:p>
            <w:pPr>
              <w:jc w:val="right"/>
              <w:ind w:right="201"/>
              <w:spacing w:after="0" w:line="165" w:lineRule="exact"/>
              <w:rPr>
                <w:sz w:val="20"/>
                <w:szCs w:val="20"/>
                <w:color w:val="auto"/>
              </w:rPr>
            </w:pPr>
            <w:r>
              <w:rPr>
                <w:rFonts w:ascii="Arial" w:cs="Arial" w:eastAsia="Arial" w:hAnsi="Arial"/>
                <w:sz w:val="16"/>
                <w:szCs w:val="16"/>
                <w:b w:val="1"/>
                <w:bCs w:val="1"/>
                <w:color w:val="auto"/>
              </w:rPr>
              <w:t>20</w:t>
            </w:r>
          </w:p>
        </w:tc>
        <w:tc>
          <w:tcPr>
            <w:tcW w:w="1820" w:type="dxa"/>
            <w:vAlign w:val="bottom"/>
            <w:gridSpan w:val="2"/>
          </w:tcPr>
          <w:p>
            <w:pPr>
              <w:jc w:val="right"/>
              <w:ind w:right="81"/>
              <w:spacing w:after="0" w:line="165" w:lineRule="exact"/>
              <w:rPr>
                <w:sz w:val="20"/>
                <w:szCs w:val="20"/>
                <w:color w:val="auto"/>
              </w:rPr>
            </w:pPr>
            <w:r>
              <w:rPr>
                <w:rFonts w:ascii="Arial" w:cs="Arial" w:eastAsia="Arial" w:hAnsi="Arial"/>
                <w:sz w:val="16"/>
                <w:szCs w:val="16"/>
                <w:b w:val="1"/>
                <w:bCs w:val="1"/>
                <w:color w:val="auto"/>
              </w:rPr>
              <w:t>20</w:t>
            </w:r>
          </w:p>
        </w:tc>
        <w:tc>
          <w:tcPr>
            <w:tcW w:w="680" w:type="dxa"/>
            <w:vAlign w:val="bottom"/>
          </w:tcPr>
          <w:p>
            <w:pPr>
              <w:spacing w:after="0"/>
              <w:rPr>
                <w:sz w:val="14"/>
                <w:szCs w:val="14"/>
                <w:color w:val="auto"/>
              </w:rPr>
            </w:pPr>
          </w:p>
        </w:tc>
        <w:tc>
          <w:tcPr>
            <w:tcW w:w="1120" w:type="dxa"/>
            <w:vAlign w:val="bottom"/>
          </w:tcPr>
          <w:p>
            <w:pPr>
              <w:jc w:val="right"/>
              <w:ind w:right="501"/>
              <w:spacing w:after="0" w:line="165" w:lineRule="exact"/>
              <w:rPr>
                <w:sz w:val="20"/>
                <w:szCs w:val="20"/>
                <w:color w:val="auto"/>
              </w:rPr>
            </w:pPr>
            <w:r>
              <w:rPr>
                <w:rFonts w:ascii="Arial" w:cs="Arial" w:eastAsia="Arial" w:hAnsi="Arial"/>
                <w:sz w:val="16"/>
                <w:szCs w:val="16"/>
                <w:b w:val="1"/>
                <w:bCs w:val="1"/>
                <w:color w:val="auto"/>
              </w:rPr>
              <w:t>85</w:t>
            </w:r>
          </w:p>
        </w:tc>
        <w:tc>
          <w:tcPr>
            <w:tcW w:w="240" w:type="dxa"/>
            <w:vAlign w:val="bottom"/>
          </w:tcPr>
          <w:p>
            <w:pPr>
              <w:spacing w:after="0"/>
              <w:rPr>
                <w:sz w:val="14"/>
                <w:szCs w:val="14"/>
                <w:color w:val="auto"/>
              </w:rPr>
            </w:pPr>
          </w:p>
        </w:tc>
        <w:tc>
          <w:tcPr>
            <w:tcW w:w="56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125</w:t>
            </w:r>
          </w:p>
        </w:tc>
      </w:tr>
      <w:tr>
        <w:trPr>
          <w:trHeight w:val="200"/>
        </w:trPr>
        <w:tc>
          <w:tcPr>
            <w:tcW w:w="3640" w:type="dxa"/>
            <w:vAlign w:val="bottom"/>
            <w:tcBorders>
              <w:bottom w:val="single" w:sz="8" w:color="B2B2B2"/>
            </w:tcBorders>
          </w:tcPr>
          <w:p>
            <w:pPr>
              <w:spacing w:after="0"/>
              <w:rPr>
                <w:sz w:val="20"/>
                <w:szCs w:val="20"/>
                <w:color w:val="auto"/>
              </w:rPr>
            </w:pPr>
            <w:r>
              <w:rPr>
                <w:rFonts w:ascii="Arial" w:cs="Arial" w:eastAsia="Arial" w:hAnsi="Arial"/>
                <w:sz w:val="16"/>
                <w:szCs w:val="16"/>
                <w:b w:val="1"/>
                <w:bCs w:val="1"/>
                <w:color w:val="auto"/>
              </w:rPr>
              <w:t> Less: short-term provisions</w:t>
            </w:r>
          </w:p>
        </w:tc>
        <w:tc>
          <w:tcPr>
            <w:tcW w:w="1880" w:type="dxa"/>
            <w:vAlign w:val="bottom"/>
            <w:tcBorders>
              <w:bottom w:val="single" w:sz="8" w:color="B2B2B2"/>
            </w:tcBorders>
          </w:tcPr>
          <w:p>
            <w:pPr>
              <w:jc w:val="right"/>
              <w:ind w:right="201"/>
              <w:spacing w:after="0"/>
              <w:rPr>
                <w:sz w:val="20"/>
                <w:szCs w:val="20"/>
                <w:color w:val="auto"/>
              </w:rPr>
            </w:pPr>
            <w:r>
              <w:rPr>
                <w:rFonts w:ascii="Arial" w:cs="Arial" w:eastAsia="Arial" w:hAnsi="Arial"/>
                <w:sz w:val="16"/>
                <w:szCs w:val="16"/>
                <w:b w:val="1"/>
                <w:bCs w:val="1"/>
                <w:color w:val="auto"/>
              </w:rPr>
              <w:t>20</w:t>
            </w:r>
          </w:p>
        </w:tc>
        <w:tc>
          <w:tcPr>
            <w:tcW w:w="1820" w:type="dxa"/>
            <w:vAlign w:val="bottom"/>
            <w:tcBorders>
              <w:bottom w:val="single" w:sz="8" w:color="B2B2B2"/>
            </w:tcBorders>
            <w:gridSpan w:val="2"/>
          </w:tcPr>
          <w:p>
            <w:pPr>
              <w:jc w:val="right"/>
              <w:ind w:right="81"/>
              <w:spacing w:after="0"/>
              <w:rPr>
                <w:sz w:val="20"/>
                <w:szCs w:val="20"/>
                <w:color w:val="auto"/>
              </w:rPr>
            </w:pPr>
            <w:r>
              <w:rPr>
                <w:rFonts w:ascii="Arial" w:cs="Arial" w:eastAsia="Arial" w:hAnsi="Arial"/>
                <w:sz w:val="16"/>
                <w:szCs w:val="16"/>
                <w:b w:val="1"/>
                <w:bCs w:val="1"/>
                <w:color w:val="auto"/>
              </w:rPr>
              <w:t>1</w:t>
            </w:r>
          </w:p>
        </w:tc>
        <w:tc>
          <w:tcPr>
            <w:tcW w:w="680" w:type="dxa"/>
            <w:vAlign w:val="bottom"/>
            <w:tcBorders>
              <w:bottom w:val="single" w:sz="8" w:color="B2B2B2"/>
            </w:tcBorders>
          </w:tcPr>
          <w:p>
            <w:pPr>
              <w:spacing w:after="0"/>
              <w:rPr>
                <w:sz w:val="17"/>
                <w:szCs w:val="17"/>
                <w:color w:val="auto"/>
              </w:rPr>
            </w:pPr>
          </w:p>
        </w:tc>
        <w:tc>
          <w:tcPr>
            <w:tcW w:w="1120" w:type="dxa"/>
            <w:vAlign w:val="bottom"/>
            <w:tcBorders>
              <w:bottom w:val="single" w:sz="8" w:color="B2B2B2"/>
            </w:tcBorders>
          </w:tcPr>
          <w:p>
            <w:pPr>
              <w:jc w:val="right"/>
              <w:ind w:right="501"/>
              <w:spacing w:after="0"/>
              <w:rPr>
                <w:sz w:val="20"/>
                <w:szCs w:val="20"/>
                <w:color w:val="auto"/>
              </w:rPr>
            </w:pPr>
            <w:r>
              <w:rPr>
                <w:rFonts w:ascii="Arial" w:cs="Arial" w:eastAsia="Arial" w:hAnsi="Arial"/>
                <w:sz w:val="16"/>
                <w:szCs w:val="16"/>
                <w:b w:val="1"/>
                <w:bCs w:val="1"/>
                <w:color w:val="auto"/>
              </w:rPr>
              <w:t>42</w:t>
            </w:r>
          </w:p>
        </w:tc>
        <w:tc>
          <w:tcPr>
            <w:tcW w:w="240" w:type="dxa"/>
            <w:vAlign w:val="bottom"/>
            <w:tcBorders>
              <w:bottom w:val="single" w:sz="8" w:color="B2B2B2"/>
            </w:tcBorders>
          </w:tcPr>
          <w:p>
            <w:pPr>
              <w:spacing w:after="0"/>
              <w:rPr>
                <w:sz w:val="17"/>
                <w:szCs w:val="17"/>
                <w:color w:val="auto"/>
              </w:rPr>
            </w:pPr>
          </w:p>
        </w:tc>
        <w:tc>
          <w:tcPr>
            <w:tcW w:w="56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63</w:t>
            </w:r>
          </w:p>
        </w:tc>
      </w:tr>
      <w:tr>
        <w:trPr>
          <w:trHeight w:val="185"/>
        </w:trPr>
        <w:tc>
          <w:tcPr>
            <w:tcW w:w="364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b w:val="1"/>
                <w:bCs w:val="1"/>
                <w:color w:val="auto"/>
              </w:rPr>
              <w:t> Long-term provisions</w:t>
            </w:r>
          </w:p>
        </w:tc>
        <w:tc>
          <w:tcPr>
            <w:tcW w:w="1880" w:type="dxa"/>
            <w:vAlign w:val="bottom"/>
            <w:tcBorders>
              <w:bottom w:val="single" w:sz="8" w:color="D64000"/>
            </w:tcBorders>
          </w:tcPr>
          <w:p>
            <w:pPr>
              <w:jc w:val="right"/>
              <w:ind w:right="201"/>
              <w:spacing w:after="0" w:line="179" w:lineRule="exact"/>
              <w:rPr>
                <w:sz w:val="20"/>
                <w:szCs w:val="20"/>
                <w:color w:val="auto"/>
              </w:rPr>
            </w:pPr>
            <w:r>
              <w:rPr>
                <w:rFonts w:ascii="Arial" w:cs="Arial" w:eastAsia="Arial" w:hAnsi="Arial"/>
                <w:sz w:val="16"/>
                <w:szCs w:val="16"/>
                <w:b w:val="1"/>
                <w:bCs w:val="1"/>
                <w:color w:val="auto"/>
              </w:rPr>
              <w:t>-</w:t>
            </w:r>
          </w:p>
        </w:tc>
        <w:tc>
          <w:tcPr>
            <w:tcW w:w="1820" w:type="dxa"/>
            <w:vAlign w:val="bottom"/>
            <w:tcBorders>
              <w:bottom w:val="single" w:sz="8" w:color="D64000"/>
            </w:tcBorders>
            <w:gridSpan w:val="2"/>
          </w:tcPr>
          <w:p>
            <w:pPr>
              <w:jc w:val="right"/>
              <w:ind w:right="81"/>
              <w:spacing w:after="0" w:line="179" w:lineRule="exact"/>
              <w:rPr>
                <w:sz w:val="20"/>
                <w:szCs w:val="20"/>
                <w:color w:val="auto"/>
              </w:rPr>
            </w:pPr>
            <w:r>
              <w:rPr>
                <w:rFonts w:ascii="Arial" w:cs="Arial" w:eastAsia="Arial" w:hAnsi="Arial"/>
                <w:sz w:val="16"/>
                <w:szCs w:val="16"/>
                <w:b w:val="1"/>
                <w:bCs w:val="1"/>
                <w:color w:val="auto"/>
              </w:rPr>
              <w:t>19</w:t>
            </w:r>
          </w:p>
        </w:tc>
        <w:tc>
          <w:tcPr>
            <w:tcW w:w="680" w:type="dxa"/>
            <w:vAlign w:val="bottom"/>
            <w:tcBorders>
              <w:bottom w:val="single" w:sz="8" w:color="D64000"/>
            </w:tcBorders>
          </w:tcPr>
          <w:p>
            <w:pPr>
              <w:spacing w:after="0"/>
              <w:rPr>
                <w:sz w:val="16"/>
                <w:szCs w:val="16"/>
                <w:color w:val="auto"/>
              </w:rPr>
            </w:pPr>
          </w:p>
        </w:tc>
        <w:tc>
          <w:tcPr>
            <w:tcW w:w="1120" w:type="dxa"/>
            <w:vAlign w:val="bottom"/>
            <w:tcBorders>
              <w:bottom w:val="single" w:sz="8" w:color="D64000"/>
            </w:tcBorders>
          </w:tcPr>
          <w:p>
            <w:pPr>
              <w:jc w:val="right"/>
              <w:ind w:right="501"/>
              <w:spacing w:after="0" w:line="179" w:lineRule="exact"/>
              <w:rPr>
                <w:sz w:val="20"/>
                <w:szCs w:val="20"/>
                <w:color w:val="auto"/>
              </w:rPr>
            </w:pPr>
            <w:r>
              <w:rPr>
                <w:rFonts w:ascii="Arial" w:cs="Arial" w:eastAsia="Arial" w:hAnsi="Arial"/>
                <w:sz w:val="16"/>
                <w:szCs w:val="16"/>
                <w:b w:val="1"/>
                <w:bCs w:val="1"/>
                <w:color w:val="auto"/>
              </w:rPr>
              <w:t>43</w:t>
            </w:r>
          </w:p>
        </w:tc>
        <w:tc>
          <w:tcPr>
            <w:tcW w:w="240" w:type="dxa"/>
            <w:vAlign w:val="bottom"/>
            <w:tcBorders>
              <w:bottom w:val="single" w:sz="8" w:color="D64000"/>
            </w:tcBorders>
          </w:tcPr>
          <w:p>
            <w:pPr>
              <w:spacing w:after="0"/>
              <w:rPr>
                <w:sz w:val="16"/>
                <w:szCs w:val="16"/>
                <w:color w:val="auto"/>
              </w:rPr>
            </w:pPr>
          </w:p>
        </w:tc>
        <w:tc>
          <w:tcPr>
            <w:tcW w:w="56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b w:val="1"/>
                <w:bCs w:val="1"/>
                <w:color w:val="auto"/>
              </w:rPr>
              <w:t>62</w:t>
            </w:r>
          </w:p>
        </w:tc>
      </w:tr>
    </w:tbl>
    <w:p>
      <w:pPr>
        <w:spacing w:after="0" w:line="15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Employee-related</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employee-related provisions consisted of severance.</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Facilities-related</w:t>
      </w:r>
    </w:p>
    <w:p>
      <w:pPr>
        <w:spacing w:after="0" w:line="6" w:lineRule="exact"/>
        <w:rPr>
          <w:sz w:val="20"/>
          <w:szCs w:val="20"/>
          <w:color w:val="auto"/>
        </w:rPr>
      </w:pPr>
    </w:p>
    <w:p>
      <w:pPr>
        <w:ind w:left="220" w:right="380"/>
        <w:spacing w:after="0" w:line="236" w:lineRule="auto"/>
        <w:rPr>
          <w:sz w:val="20"/>
          <w:szCs w:val="20"/>
          <w:color w:val="auto"/>
        </w:rPr>
      </w:pPr>
      <w:r>
        <w:rPr>
          <w:rFonts w:ascii="Arial" w:cs="Arial" w:eastAsia="Arial" w:hAnsi="Arial"/>
          <w:sz w:val="17"/>
          <w:szCs w:val="17"/>
          <w:color w:val="auto"/>
        </w:rPr>
        <w:t>Facilities-related provisions include lease retirement obligations, which arise when the Company agrees to restore a leased property to a specified condition at the completion of the lease period. Lease retirement provisions relate primarily to leases which expire over the next five years.</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Other</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Other includes provisions related to items such as disposed businesses, legal matters and health care.</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Note 24: Deferred Tax</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movements of deferred tax assets and liabilities are shown below:</w:t>
      </w:r>
    </w:p>
    <w:p>
      <w:pPr>
        <w:spacing w:after="0" w:line="211" w:lineRule="exact"/>
        <w:rPr>
          <w:sz w:val="20"/>
          <w:szCs w:val="20"/>
          <w:color w:val="auto"/>
        </w:rPr>
      </w:pPr>
    </w:p>
    <w:tbl>
      <w:tblPr>
        <w:tblLayout w:type="fixed"/>
        <w:tblInd w:w="230" w:type="dxa"/>
        <w:tblCellMar>
          <w:top w:w="0" w:type="dxa"/>
          <w:left w:w="0" w:type="dxa"/>
          <w:bottom w:w="0" w:type="dxa"/>
          <w:right w:w="0" w:type="dxa"/>
        </w:tblCellMar>
      </w:tblPr>
      <w:tr>
        <w:trPr>
          <w:trHeight w:val="184"/>
        </w:trPr>
        <w:tc>
          <w:tcPr>
            <w:tcW w:w="5100" w:type="dxa"/>
            <w:vAlign w:val="bottom"/>
            <w:tcBorders>
              <w:left w:val="single" w:sz="8" w:color="1F473D"/>
            </w:tcBorders>
            <w:shd w:val="clear" w:color="auto" w:fill="1F473D"/>
          </w:tcPr>
          <w:p>
            <w:pPr>
              <w:spacing w:after="0"/>
              <w:rPr>
                <w:sz w:val="16"/>
                <w:szCs w:val="16"/>
                <w:color w:val="auto"/>
              </w:rPr>
            </w:pPr>
          </w:p>
        </w:tc>
        <w:tc>
          <w:tcPr>
            <w:tcW w:w="2280" w:type="dxa"/>
            <w:vAlign w:val="bottom"/>
            <w:shd w:val="clear" w:color="auto" w:fill="1F473D"/>
          </w:tcPr>
          <w:p>
            <w:pPr>
              <w:jc w:val="center"/>
              <w:ind w:left="381"/>
              <w:spacing w:after="0"/>
              <w:rPr>
                <w:sz w:val="20"/>
                <w:szCs w:val="20"/>
                <w:color w:val="auto"/>
              </w:rPr>
            </w:pPr>
            <w:r>
              <w:rPr>
                <w:rFonts w:ascii="Arial" w:cs="Arial" w:eastAsia="Arial" w:hAnsi="Arial"/>
                <w:sz w:val="16"/>
                <w:szCs w:val="16"/>
                <w:b w:val="1"/>
                <w:bCs w:val="1"/>
                <w:color w:val="FFFFFF"/>
                <w:w w:val="97"/>
              </w:rPr>
              <w:t>Goodwill and</w:t>
            </w:r>
          </w:p>
        </w:tc>
        <w:tc>
          <w:tcPr>
            <w:tcW w:w="1620" w:type="dxa"/>
            <w:vAlign w:val="bottom"/>
            <w:shd w:val="clear" w:color="auto" w:fill="1F473D"/>
          </w:tcPr>
          <w:p>
            <w:pPr>
              <w:spacing w:after="0"/>
              <w:rPr>
                <w:sz w:val="16"/>
                <w:szCs w:val="16"/>
                <w:color w:val="auto"/>
              </w:rPr>
            </w:pPr>
          </w:p>
        </w:tc>
        <w:tc>
          <w:tcPr>
            <w:tcW w:w="960" w:type="dxa"/>
            <w:vAlign w:val="bottom"/>
            <w:shd w:val="clear" w:color="auto" w:fill="1F473D"/>
          </w:tcPr>
          <w:p>
            <w:pPr>
              <w:spacing w:after="0"/>
              <w:rPr>
                <w:sz w:val="16"/>
                <w:szCs w:val="16"/>
                <w:color w:val="auto"/>
              </w:rPr>
            </w:pPr>
          </w:p>
        </w:tc>
        <w:tc>
          <w:tcPr>
            <w:tcW w:w="840" w:type="dxa"/>
            <w:vAlign w:val="bottom"/>
            <w:shd w:val="clear" w:color="auto" w:fill="1F473D"/>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00" w:type="dxa"/>
            <w:vAlign w:val="bottom"/>
            <w:tcBorders>
              <w:left w:val="single" w:sz="8" w:color="1F473D"/>
            </w:tcBorders>
            <w:shd w:val="clear" w:color="auto" w:fill="1F473D"/>
          </w:tcPr>
          <w:p>
            <w:pPr>
              <w:spacing w:after="0"/>
              <w:rPr>
                <w:sz w:val="16"/>
                <w:szCs w:val="16"/>
                <w:color w:val="auto"/>
              </w:rPr>
            </w:pPr>
          </w:p>
        </w:tc>
        <w:tc>
          <w:tcPr>
            <w:tcW w:w="2280" w:type="dxa"/>
            <w:vAlign w:val="bottom"/>
            <w:shd w:val="clear" w:color="auto" w:fill="1F473D"/>
          </w:tcPr>
          <w:p>
            <w:pPr>
              <w:jc w:val="center"/>
              <w:ind w:left="381"/>
              <w:spacing w:after="0"/>
              <w:rPr>
                <w:sz w:val="20"/>
                <w:szCs w:val="20"/>
                <w:color w:val="auto"/>
              </w:rPr>
            </w:pPr>
            <w:r>
              <w:rPr>
                <w:rFonts w:ascii="Arial" w:cs="Arial" w:eastAsia="Arial" w:hAnsi="Arial"/>
                <w:sz w:val="16"/>
                <w:szCs w:val="16"/>
                <w:b w:val="1"/>
                <w:bCs w:val="1"/>
                <w:color w:val="FFFFFF"/>
                <w:w w:val="98"/>
              </w:rPr>
              <w:t>Other Identifiable</w:t>
            </w:r>
          </w:p>
        </w:tc>
        <w:tc>
          <w:tcPr>
            <w:tcW w:w="1620" w:type="dxa"/>
            <w:vAlign w:val="bottom"/>
            <w:shd w:val="clear" w:color="auto" w:fill="1F473D"/>
          </w:tcPr>
          <w:p>
            <w:pPr>
              <w:spacing w:after="0"/>
              <w:rPr>
                <w:sz w:val="16"/>
                <w:szCs w:val="16"/>
                <w:color w:val="auto"/>
              </w:rPr>
            </w:pPr>
          </w:p>
        </w:tc>
        <w:tc>
          <w:tcPr>
            <w:tcW w:w="960" w:type="dxa"/>
            <w:vAlign w:val="bottom"/>
            <w:shd w:val="clear" w:color="auto" w:fill="1F473D"/>
          </w:tcPr>
          <w:p>
            <w:pPr>
              <w:spacing w:after="0"/>
              <w:rPr>
                <w:sz w:val="16"/>
                <w:szCs w:val="16"/>
                <w:color w:val="auto"/>
              </w:rPr>
            </w:pPr>
          </w:p>
        </w:tc>
        <w:tc>
          <w:tcPr>
            <w:tcW w:w="840" w:type="dxa"/>
            <w:vAlign w:val="bottom"/>
            <w:shd w:val="clear" w:color="auto" w:fill="1F473D"/>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00" w:type="dxa"/>
            <w:vAlign w:val="bottom"/>
            <w:tcBorders>
              <w:left w:val="single" w:sz="8" w:color="1F473D"/>
            </w:tcBorders>
            <w:shd w:val="clear" w:color="auto" w:fill="1F473D"/>
          </w:tcPr>
          <w:p>
            <w:pPr>
              <w:spacing w:after="0"/>
              <w:rPr>
                <w:sz w:val="16"/>
                <w:szCs w:val="16"/>
                <w:color w:val="auto"/>
              </w:rPr>
            </w:pPr>
          </w:p>
        </w:tc>
        <w:tc>
          <w:tcPr>
            <w:tcW w:w="2280" w:type="dxa"/>
            <w:vAlign w:val="bottom"/>
            <w:shd w:val="clear" w:color="auto" w:fill="1F473D"/>
          </w:tcPr>
          <w:p>
            <w:pPr>
              <w:jc w:val="center"/>
              <w:ind w:left="381"/>
              <w:spacing w:after="0"/>
              <w:rPr>
                <w:sz w:val="20"/>
                <w:szCs w:val="20"/>
                <w:color w:val="auto"/>
              </w:rPr>
            </w:pPr>
            <w:r>
              <w:rPr>
                <w:rFonts w:ascii="Arial" w:cs="Arial" w:eastAsia="Arial" w:hAnsi="Arial"/>
                <w:sz w:val="16"/>
                <w:szCs w:val="16"/>
                <w:b w:val="1"/>
                <w:bCs w:val="1"/>
                <w:color w:val="FFFFFF"/>
                <w:w w:val="97"/>
              </w:rPr>
              <w:t>Intangible</w:t>
            </w:r>
          </w:p>
        </w:tc>
        <w:tc>
          <w:tcPr>
            <w:tcW w:w="1620" w:type="dxa"/>
            <w:vAlign w:val="bottom"/>
            <w:shd w:val="clear" w:color="auto" w:fill="1F473D"/>
          </w:tcPr>
          <w:p>
            <w:pPr>
              <w:jc w:val="right"/>
              <w:ind w:right="200"/>
              <w:spacing w:after="0"/>
              <w:rPr>
                <w:sz w:val="20"/>
                <w:szCs w:val="20"/>
                <w:color w:val="auto"/>
              </w:rPr>
            </w:pPr>
            <w:r>
              <w:rPr>
                <w:rFonts w:ascii="Arial" w:cs="Arial" w:eastAsia="Arial" w:hAnsi="Arial"/>
                <w:sz w:val="16"/>
                <w:szCs w:val="16"/>
                <w:b w:val="1"/>
                <w:bCs w:val="1"/>
                <w:color w:val="FFFFFF"/>
              </w:rPr>
              <w:t>Equity Method</w:t>
            </w:r>
          </w:p>
        </w:tc>
        <w:tc>
          <w:tcPr>
            <w:tcW w:w="960" w:type="dxa"/>
            <w:vAlign w:val="bottom"/>
            <w:shd w:val="clear" w:color="auto" w:fill="1F473D"/>
          </w:tcPr>
          <w:p>
            <w:pPr>
              <w:spacing w:after="0"/>
              <w:rPr>
                <w:sz w:val="16"/>
                <w:szCs w:val="16"/>
                <w:color w:val="auto"/>
              </w:rPr>
            </w:pPr>
          </w:p>
        </w:tc>
        <w:tc>
          <w:tcPr>
            <w:tcW w:w="840" w:type="dxa"/>
            <w:vAlign w:val="bottom"/>
            <w:shd w:val="clear" w:color="auto" w:fill="1F473D"/>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100" w:type="dxa"/>
            <w:vAlign w:val="bottom"/>
            <w:tcBorders>
              <w:left w:val="single" w:sz="8" w:color="1F473D"/>
              <w:bottom w:val="single" w:sz="8" w:color="D64000"/>
            </w:tcBorders>
            <w:shd w:val="clear" w:color="auto" w:fill="1F473D"/>
          </w:tcPr>
          <w:p>
            <w:pPr>
              <w:spacing w:after="0"/>
              <w:rPr>
                <w:sz w:val="20"/>
                <w:szCs w:val="20"/>
                <w:color w:val="auto"/>
              </w:rPr>
            </w:pPr>
            <w:r>
              <w:rPr>
                <w:rFonts w:ascii="Arial" w:cs="Arial" w:eastAsia="Arial" w:hAnsi="Arial"/>
                <w:sz w:val="16"/>
                <w:szCs w:val="16"/>
                <w:b w:val="1"/>
                <w:bCs w:val="1"/>
                <w:color w:val="FFFFFF"/>
              </w:rPr>
              <w:t> Deferred tax liabilities</w:t>
            </w:r>
          </w:p>
        </w:tc>
        <w:tc>
          <w:tcPr>
            <w:tcW w:w="2280" w:type="dxa"/>
            <w:vAlign w:val="bottom"/>
            <w:tcBorders>
              <w:bottom w:val="single" w:sz="8" w:color="D64000"/>
            </w:tcBorders>
            <w:shd w:val="clear" w:color="auto" w:fill="1F473D"/>
          </w:tcPr>
          <w:p>
            <w:pPr>
              <w:jc w:val="center"/>
              <w:ind w:left="401"/>
              <w:spacing w:after="0"/>
              <w:rPr>
                <w:sz w:val="20"/>
                <w:szCs w:val="20"/>
                <w:color w:val="auto"/>
              </w:rPr>
            </w:pPr>
            <w:r>
              <w:rPr>
                <w:rFonts w:ascii="Arial" w:cs="Arial" w:eastAsia="Arial" w:hAnsi="Arial"/>
                <w:sz w:val="16"/>
                <w:szCs w:val="16"/>
                <w:b w:val="1"/>
                <w:bCs w:val="1"/>
                <w:color w:val="FFFFFF"/>
                <w:w w:val="99"/>
              </w:rPr>
              <w:t>Assets</w:t>
            </w:r>
          </w:p>
        </w:tc>
        <w:tc>
          <w:tcPr>
            <w:tcW w:w="1620" w:type="dxa"/>
            <w:vAlign w:val="bottom"/>
            <w:tcBorders>
              <w:bottom w:val="single" w:sz="8" w:color="D64000"/>
            </w:tcBorders>
            <w:shd w:val="clear" w:color="auto" w:fill="1F473D"/>
          </w:tcPr>
          <w:p>
            <w:pPr>
              <w:jc w:val="right"/>
              <w:ind w:right="280"/>
              <w:spacing w:after="0"/>
              <w:rPr>
                <w:sz w:val="20"/>
                <w:szCs w:val="20"/>
                <w:color w:val="auto"/>
              </w:rPr>
            </w:pPr>
            <w:r>
              <w:rPr>
                <w:rFonts w:ascii="Arial" w:cs="Arial" w:eastAsia="Arial" w:hAnsi="Arial"/>
                <w:sz w:val="16"/>
                <w:szCs w:val="16"/>
                <w:b w:val="1"/>
                <w:bCs w:val="1"/>
                <w:color w:val="FFFFFF"/>
              </w:rPr>
              <w:t>Investments</w:t>
            </w:r>
          </w:p>
        </w:tc>
        <w:tc>
          <w:tcPr>
            <w:tcW w:w="960" w:type="dxa"/>
            <w:vAlign w:val="bottom"/>
            <w:tcBorders>
              <w:bottom w:val="single" w:sz="8" w:color="D64000"/>
            </w:tcBorders>
            <w:shd w:val="clear" w:color="auto" w:fill="1F473D"/>
          </w:tcPr>
          <w:p>
            <w:pPr>
              <w:ind w:left="280"/>
              <w:spacing w:after="0"/>
              <w:rPr>
                <w:sz w:val="20"/>
                <w:szCs w:val="20"/>
                <w:color w:val="auto"/>
              </w:rPr>
            </w:pPr>
            <w:r>
              <w:rPr>
                <w:rFonts w:ascii="Arial" w:cs="Arial" w:eastAsia="Arial" w:hAnsi="Arial"/>
                <w:sz w:val="16"/>
                <w:szCs w:val="16"/>
                <w:b w:val="1"/>
                <w:bCs w:val="1"/>
                <w:color w:val="FFFFFF"/>
              </w:rPr>
              <w:t>Other</w:t>
            </w:r>
          </w:p>
        </w:tc>
        <w:tc>
          <w:tcPr>
            <w:tcW w:w="840" w:type="dxa"/>
            <w:vAlign w:val="bottom"/>
            <w:tcBorders>
              <w:bottom w:val="single" w:sz="8" w:color="D64000"/>
            </w:tcBorders>
            <w:shd w:val="clear" w:color="auto" w:fill="1F473D"/>
          </w:tcPr>
          <w:p>
            <w:pPr>
              <w:jc w:val="right"/>
              <w:ind w:right="181"/>
              <w:spacing w:after="0"/>
              <w:rPr>
                <w:sz w:val="20"/>
                <w:szCs w:val="20"/>
                <w:color w:val="auto"/>
              </w:rPr>
            </w:pPr>
            <w:r>
              <w:rPr>
                <w:rFonts w:ascii="Arial" w:cs="Arial" w:eastAsia="Arial" w:hAnsi="Arial"/>
                <w:sz w:val="16"/>
                <w:szCs w:val="16"/>
                <w:b w:val="1"/>
                <w:bCs w:val="1"/>
                <w:color w:val="FFFFFF"/>
              </w:rPr>
              <w:t>Total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ind w:left="280"/>
              <w:spacing w:after="0" w:line="171" w:lineRule="exact"/>
              <w:rPr>
                <w:sz w:val="20"/>
                <w:szCs w:val="20"/>
                <w:color w:val="auto"/>
              </w:rPr>
            </w:pPr>
            <w:r>
              <w:rPr>
                <w:rFonts w:ascii="Arial" w:cs="Arial" w:eastAsia="Arial" w:hAnsi="Arial"/>
                <w:sz w:val="16"/>
                <w:szCs w:val="16"/>
                <w:color w:val="auto"/>
              </w:rPr>
              <w:t xml:space="preserve">       </w:t>
            </w:r>
          </w:p>
        </w:tc>
        <w:tc>
          <w:tcPr>
            <w:tcW w:w="840" w:type="dxa"/>
            <w:vAlign w:val="bottom"/>
          </w:tcPr>
          <w:p>
            <w:pPr>
              <w:jc w:val="right"/>
              <w:ind w:right="221"/>
              <w:spacing w:after="0" w:line="171" w:lineRule="exact"/>
              <w:rPr>
                <w:sz w:val="20"/>
                <w:szCs w:val="20"/>
                <w:color w:val="auto"/>
              </w:rPr>
            </w:pPr>
            <w:r>
              <w:rPr>
                <w:rFonts w:ascii="Arial" w:cs="Arial" w:eastAsia="Arial" w:hAnsi="Arial"/>
                <w:sz w:val="16"/>
                <w:szCs w:val="16"/>
                <w:color w:val="auto"/>
              </w:rPr>
              <w:t xml:space="preserve">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100" w:type="dxa"/>
            <w:vAlign w:val="bottom"/>
          </w:tcPr>
          <w:p>
            <w:pPr>
              <w:spacing w:after="0"/>
              <w:rPr>
                <w:sz w:val="20"/>
                <w:szCs w:val="20"/>
                <w:color w:val="auto"/>
              </w:rPr>
            </w:pPr>
            <w:r>
              <w:rPr>
                <w:rFonts w:ascii="Arial" w:cs="Arial" w:eastAsia="Arial" w:hAnsi="Arial"/>
                <w:sz w:val="16"/>
                <w:szCs w:val="16"/>
                <w:color w:val="auto"/>
              </w:rPr>
              <w:t> December 31, 2022</w:t>
            </w:r>
          </w:p>
        </w:tc>
        <w:tc>
          <w:tcPr>
            <w:tcW w:w="2280" w:type="dxa"/>
            <w:vAlign w:val="bottom"/>
          </w:tcPr>
          <w:p>
            <w:pPr>
              <w:jc w:val="right"/>
              <w:ind w:right="181"/>
              <w:spacing w:after="0"/>
              <w:rPr>
                <w:sz w:val="20"/>
                <w:szCs w:val="20"/>
                <w:color w:val="auto"/>
              </w:rPr>
            </w:pPr>
            <w:r>
              <w:rPr>
                <w:rFonts w:ascii="Arial" w:cs="Arial" w:eastAsia="Arial" w:hAnsi="Arial"/>
                <w:sz w:val="16"/>
                <w:szCs w:val="16"/>
                <w:color w:val="auto"/>
              </w:rPr>
              <w:t>512</w:t>
            </w:r>
          </w:p>
        </w:tc>
        <w:tc>
          <w:tcPr>
            <w:tcW w:w="1620" w:type="dxa"/>
            <w:vAlign w:val="bottom"/>
          </w:tcPr>
          <w:p>
            <w:pPr>
              <w:jc w:val="right"/>
              <w:ind w:right="200"/>
              <w:spacing w:after="0"/>
              <w:rPr>
                <w:sz w:val="20"/>
                <w:szCs w:val="20"/>
                <w:color w:val="auto"/>
              </w:rPr>
            </w:pPr>
            <w:r>
              <w:rPr>
                <w:rFonts w:ascii="Arial" w:cs="Arial" w:eastAsia="Arial" w:hAnsi="Arial"/>
                <w:sz w:val="16"/>
                <w:szCs w:val="16"/>
                <w:color w:val="auto"/>
              </w:rPr>
              <w:t>703</w:t>
            </w: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57</w:t>
            </w: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1,272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00" w:type="dxa"/>
            <w:vAlign w:val="bottom"/>
          </w:tcPr>
          <w:p>
            <w:pPr>
              <w:spacing w:after="0"/>
              <w:rPr>
                <w:sz w:val="20"/>
                <w:szCs w:val="20"/>
                <w:color w:val="auto"/>
              </w:rPr>
            </w:pPr>
            <w:r>
              <w:rPr>
                <w:rFonts w:ascii="Arial" w:cs="Arial" w:eastAsia="Arial" w:hAnsi="Arial"/>
                <w:sz w:val="16"/>
                <w:szCs w:val="16"/>
                <w:color w:val="auto"/>
              </w:rPr>
              <w:t> Acquisitions</w:t>
            </w:r>
          </w:p>
        </w:tc>
        <w:tc>
          <w:tcPr>
            <w:tcW w:w="2280" w:type="dxa"/>
            <w:vAlign w:val="bottom"/>
          </w:tcPr>
          <w:p>
            <w:pPr>
              <w:jc w:val="right"/>
              <w:ind w:right="181"/>
              <w:spacing w:after="0"/>
              <w:rPr>
                <w:sz w:val="20"/>
                <w:szCs w:val="20"/>
                <w:color w:val="auto"/>
              </w:rPr>
            </w:pPr>
            <w:r>
              <w:rPr>
                <w:rFonts w:ascii="Arial" w:cs="Arial" w:eastAsia="Arial" w:hAnsi="Arial"/>
                <w:sz w:val="16"/>
                <w:szCs w:val="16"/>
                <w:color w:val="auto"/>
              </w:rPr>
              <w:t>7</w:t>
            </w:r>
          </w:p>
        </w:tc>
        <w:tc>
          <w:tcPr>
            <w:tcW w:w="16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61</w:t>
            </w: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00" w:type="dxa"/>
            <w:vAlign w:val="bottom"/>
          </w:tcPr>
          <w:p>
            <w:pPr>
              <w:spacing w:after="0"/>
              <w:rPr>
                <w:sz w:val="20"/>
                <w:szCs w:val="20"/>
                <w:color w:val="auto"/>
              </w:rPr>
            </w:pPr>
            <w:r>
              <w:rPr>
                <w:rFonts w:ascii="Arial" w:cs="Arial" w:eastAsia="Arial" w:hAnsi="Arial"/>
                <w:sz w:val="16"/>
                <w:szCs w:val="16"/>
                <w:color w:val="auto"/>
              </w:rPr>
              <w:t> (Benefit) expense to income statement - continuing operations</w:t>
            </w:r>
          </w:p>
        </w:tc>
        <w:tc>
          <w:tcPr>
            <w:tcW w:w="2280" w:type="dxa"/>
            <w:vAlign w:val="bottom"/>
          </w:tcPr>
          <w:p>
            <w:pPr>
              <w:jc w:val="right"/>
              <w:ind w:right="181"/>
              <w:spacing w:after="0"/>
              <w:rPr>
                <w:sz w:val="20"/>
                <w:szCs w:val="20"/>
                <w:color w:val="auto"/>
              </w:rPr>
            </w:pPr>
            <w:r>
              <w:rPr>
                <w:rFonts w:ascii="Arial" w:cs="Arial" w:eastAsia="Arial" w:hAnsi="Arial"/>
                <w:sz w:val="16"/>
                <w:szCs w:val="16"/>
                <w:color w:val="auto"/>
              </w:rPr>
              <w:t>(6)</w:t>
            </w:r>
          </w:p>
        </w:tc>
        <w:tc>
          <w:tcPr>
            <w:tcW w:w="1620" w:type="dxa"/>
            <w:vAlign w:val="bottom"/>
          </w:tcPr>
          <w:p>
            <w:pPr>
              <w:jc w:val="right"/>
              <w:ind w:right="200"/>
              <w:spacing w:after="0"/>
              <w:rPr>
                <w:sz w:val="20"/>
                <w:szCs w:val="20"/>
                <w:color w:val="auto"/>
              </w:rPr>
            </w:pPr>
            <w:r>
              <w:rPr>
                <w:rFonts w:ascii="Arial" w:cs="Arial" w:eastAsia="Arial" w:hAnsi="Arial"/>
                <w:sz w:val="16"/>
                <w:szCs w:val="16"/>
                <w:color w:val="auto"/>
              </w:rPr>
              <w:t>(400)</w:t>
            </w: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21</w:t>
            </w: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(385)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1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 Translation and other, net</w:t>
            </w:r>
          </w:p>
        </w:tc>
        <w:tc>
          <w:tcPr>
            <w:tcW w:w="228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color w:val="auto"/>
              </w:rPr>
              <w:t>(6)</w:t>
            </w:r>
          </w:p>
        </w:tc>
        <w:tc>
          <w:tcPr>
            <w:tcW w:w="1620" w:type="dxa"/>
            <w:vAlign w:val="bottom"/>
            <w:tcBorders>
              <w:bottom w:val="single" w:sz="8" w:color="B2B2B2"/>
            </w:tcBorders>
          </w:tcPr>
          <w:p>
            <w:pPr>
              <w:jc w:val="right"/>
              <w:ind w:right="200"/>
              <w:spacing w:after="0"/>
              <w:rPr>
                <w:sz w:val="20"/>
                <w:szCs w:val="20"/>
                <w:color w:val="auto"/>
              </w:rPr>
            </w:pPr>
            <w:r>
              <w:rPr>
                <w:rFonts w:ascii="Arial" w:cs="Arial" w:eastAsia="Arial" w:hAnsi="Arial"/>
                <w:sz w:val="16"/>
                <w:szCs w:val="16"/>
                <w:color w:val="auto"/>
              </w:rPr>
              <w:t>(1)</w:t>
            </w:r>
          </w:p>
        </w:tc>
        <w:tc>
          <w:tcPr>
            <w:tcW w:w="960" w:type="dxa"/>
            <w:vAlign w:val="bottom"/>
            <w:tcBorders>
              <w:bottom w:val="single" w:sz="8" w:color="B2B2B2"/>
            </w:tcBorders>
          </w:tcPr>
          <w:p>
            <w:pPr>
              <w:jc w:val="right"/>
              <w:ind w:right="121"/>
              <w:spacing w:after="0"/>
              <w:rPr>
                <w:sz w:val="20"/>
                <w:szCs w:val="20"/>
                <w:color w:val="auto"/>
              </w:rPr>
            </w:pPr>
            <w:r>
              <w:rPr>
                <w:rFonts w:ascii="Arial" w:cs="Arial" w:eastAsia="Arial" w:hAnsi="Arial"/>
                <w:sz w:val="16"/>
                <w:szCs w:val="16"/>
                <w:color w:val="auto"/>
              </w:rPr>
              <w:t>12</w:t>
            </w:r>
          </w:p>
        </w:tc>
        <w:tc>
          <w:tcPr>
            <w:tcW w:w="840" w:type="dxa"/>
            <w:vAlign w:val="bottom"/>
            <w:tcBorders>
              <w:bottom w:val="single" w:sz="8" w:color="B2B2B2"/>
            </w:tcBorders>
          </w:tcPr>
          <w:p>
            <w:pPr>
              <w:jc w:val="right"/>
              <w:ind w:right="101"/>
              <w:spacing w:after="0"/>
              <w:rPr>
                <w:sz w:val="20"/>
                <w:szCs w:val="20"/>
                <w:color w:val="auto"/>
              </w:rPr>
            </w:pPr>
            <w:r>
              <w:rPr>
                <w:rFonts w:ascii="Arial" w:cs="Arial" w:eastAsia="Arial" w:hAnsi="Arial"/>
                <w:sz w:val="16"/>
                <w:szCs w:val="16"/>
                <w:color w:val="auto"/>
              </w:rPr>
              <w:t>5</w:t>
            </w:r>
          </w:p>
        </w:tc>
        <w:tc>
          <w:tcPr>
            <w:tcW w:w="20" w:type="dxa"/>
            <w:vAlign w:val="bottom"/>
            <w:tcBorders>
              <w:bottom w:val="single" w:sz="8" w:color="B2B2B2"/>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100" w:type="dxa"/>
            <w:vAlign w:val="bottom"/>
            <w:tcBorders>
              <w:left w:val="single" w:sz="8" w:color="B2B2B2"/>
              <w:bottom w:val="single" w:sz="8" w:color="B2B2B2"/>
            </w:tcBorders>
          </w:tcPr>
          <w:p>
            <w:pPr>
              <w:ind w:left="160"/>
              <w:spacing w:after="0" w:line="179" w:lineRule="exact"/>
              <w:rPr>
                <w:sz w:val="20"/>
                <w:szCs w:val="20"/>
                <w:color w:val="auto"/>
              </w:rPr>
            </w:pPr>
            <w:r>
              <w:rPr>
                <w:rFonts w:ascii="Arial" w:cs="Arial" w:eastAsia="Arial" w:hAnsi="Arial"/>
                <w:sz w:val="16"/>
                <w:szCs w:val="16"/>
                <w:color w:val="auto"/>
              </w:rPr>
              <w:t> December 31, 2023</w:t>
            </w:r>
          </w:p>
        </w:tc>
        <w:tc>
          <w:tcPr>
            <w:tcW w:w="2280" w:type="dxa"/>
            <w:vAlign w:val="bottom"/>
            <w:tcBorders>
              <w:bottom w:val="single" w:sz="8" w:color="B2B2B2"/>
            </w:tcBorders>
          </w:tcPr>
          <w:p>
            <w:pPr>
              <w:jc w:val="right"/>
              <w:ind w:right="181"/>
              <w:spacing w:after="0" w:line="179" w:lineRule="exact"/>
              <w:rPr>
                <w:sz w:val="20"/>
                <w:szCs w:val="20"/>
                <w:color w:val="auto"/>
              </w:rPr>
            </w:pPr>
            <w:r>
              <w:rPr>
                <w:rFonts w:ascii="Arial" w:cs="Arial" w:eastAsia="Arial" w:hAnsi="Arial"/>
                <w:sz w:val="16"/>
                <w:szCs w:val="16"/>
                <w:b w:val="1"/>
                <w:bCs w:val="1"/>
                <w:color w:val="auto"/>
              </w:rPr>
              <w:t>507</w:t>
            </w:r>
          </w:p>
        </w:tc>
        <w:tc>
          <w:tcPr>
            <w:tcW w:w="1620" w:type="dxa"/>
            <w:vAlign w:val="bottom"/>
            <w:tcBorders>
              <w:bottom w:val="single" w:sz="8" w:color="B2B2B2"/>
            </w:tcBorders>
          </w:tcPr>
          <w:p>
            <w:pPr>
              <w:jc w:val="right"/>
              <w:ind w:right="200"/>
              <w:spacing w:after="0" w:line="179" w:lineRule="exact"/>
              <w:rPr>
                <w:sz w:val="20"/>
                <w:szCs w:val="20"/>
                <w:color w:val="auto"/>
              </w:rPr>
            </w:pPr>
            <w:r>
              <w:rPr>
                <w:rFonts w:ascii="Arial" w:cs="Arial" w:eastAsia="Arial" w:hAnsi="Arial"/>
                <w:sz w:val="16"/>
                <w:szCs w:val="16"/>
                <w:b w:val="1"/>
                <w:bCs w:val="1"/>
                <w:color w:val="auto"/>
              </w:rPr>
              <w:t>302</w:t>
            </w:r>
          </w:p>
        </w:tc>
        <w:tc>
          <w:tcPr>
            <w:tcW w:w="960" w:type="dxa"/>
            <w:vAlign w:val="bottom"/>
            <w:tcBorders>
              <w:bottom w:val="single" w:sz="8" w:color="B2B2B2"/>
            </w:tcBorders>
          </w:tcPr>
          <w:p>
            <w:pPr>
              <w:jc w:val="right"/>
              <w:ind w:right="121"/>
              <w:spacing w:after="0" w:line="179" w:lineRule="exact"/>
              <w:rPr>
                <w:sz w:val="20"/>
                <w:szCs w:val="20"/>
                <w:color w:val="auto"/>
              </w:rPr>
            </w:pPr>
            <w:r>
              <w:rPr>
                <w:rFonts w:ascii="Arial" w:cs="Arial" w:eastAsia="Arial" w:hAnsi="Arial"/>
                <w:sz w:val="16"/>
                <w:szCs w:val="16"/>
                <w:b w:val="1"/>
                <w:bCs w:val="1"/>
                <w:color w:val="auto"/>
              </w:rPr>
              <w:t>151</w:t>
            </w:r>
          </w:p>
        </w:tc>
        <w:tc>
          <w:tcPr>
            <w:tcW w:w="840" w:type="dxa"/>
            <w:vAlign w:val="bottom"/>
            <w:tcBorders>
              <w:bottom w:val="single" w:sz="8" w:color="B2B2B2"/>
            </w:tcBorders>
          </w:tcPr>
          <w:p>
            <w:pPr>
              <w:jc w:val="right"/>
              <w:ind w:right="101"/>
              <w:spacing w:after="0" w:line="179" w:lineRule="exact"/>
              <w:rPr>
                <w:sz w:val="20"/>
                <w:szCs w:val="20"/>
                <w:color w:val="auto"/>
              </w:rPr>
            </w:pPr>
            <w:r>
              <w:rPr>
                <w:rFonts w:ascii="Arial" w:cs="Arial" w:eastAsia="Arial" w:hAnsi="Arial"/>
                <w:sz w:val="16"/>
                <w:szCs w:val="16"/>
                <w:b w:val="1"/>
                <w:bCs w:val="1"/>
                <w:color w:val="auto"/>
              </w:rPr>
              <w:t>960</w:t>
            </w:r>
          </w:p>
        </w:tc>
        <w:tc>
          <w:tcPr>
            <w:tcW w:w="20" w:type="dxa"/>
            <w:vAlign w:val="bottom"/>
            <w:tcBorders>
              <w:bottom w:val="single" w:sz="8" w:color="B2B2B2"/>
            </w:tcBorders>
            <w:shd w:val="clear" w:color="auto" w:fill="B2B2B2"/>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100" w:type="dxa"/>
            <w:vAlign w:val="bottom"/>
          </w:tcPr>
          <w:p>
            <w:pPr>
              <w:spacing w:after="0"/>
              <w:rPr>
                <w:sz w:val="20"/>
                <w:szCs w:val="20"/>
                <w:color w:val="auto"/>
              </w:rPr>
            </w:pPr>
            <w:r>
              <w:rPr>
                <w:rFonts w:ascii="Arial" w:cs="Arial" w:eastAsia="Arial" w:hAnsi="Arial"/>
                <w:sz w:val="16"/>
                <w:szCs w:val="16"/>
                <w:color w:val="auto"/>
              </w:rPr>
              <w:t> Acquisitions</w:t>
            </w:r>
          </w:p>
        </w:tc>
        <w:tc>
          <w:tcPr>
            <w:tcW w:w="2280" w:type="dxa"/>
            <w:vAlign w:val="bottom"/>
          </w:tcPr>
          <w:p>
            <w:pPr>
              <w:jc w:val="right"/>
              <w:ind w:right="181"/>
              <w:spacing w:after="0"/>
              <w:rPr>
                <w:sz w:val="20"/>
                <w:szCs w:val="20"/>
                <w:color w:val="auto"/>
              </w:rPr>
            </w:pPr>
            <w:r>
              <w:rPr>
                <w:rFonts w:ascii="Arial" w:cs="Arial" w:eastAsia="Arial" w:hAnsi="Arial"/>
                <w:sz w:val="16"/>
                <w:szCs w:val="16"/>
                <w:b w:val="1"/>
                <w:bCs w:val="1"/>
                <w:color w:val="auto"/>
              </w:rPr>
              <w:t>10</w:t>
            </w:r>
          </w:p>
        </w:tc>
        <w:tc>
          <w:tcPr>
            <w:tcW w:w="1620" w:type="dxa"/>
            <w:vAlign w:val="bottom"/>
          </w:tcPr>
          <w:p>
            <w:pPr>
              <w:jc w:val="right"/>
              <w:ind w:right="18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21"/>
              <w:spacing w:after="0"/>
              <w:rPr>
                <w:sz w:val="20"/>
                <w:szCs w:val="20"/>
                <w:color w:val="auto"/>
              </w:rPr>
            </w:pPr>
            <w:r>
              <w:rPr>
                <w:rFonts w:ascii="Arial" w:cs="Arial" w:eastAsia="Arial" w:hAnsi="Arial"/>
                <w:sz w:val="16"/>
                <w:szCs w:val="16"/>
                <w:b w:val="1"/>
                <w:bCs w:val="1"/>
                <w:color w:val="auto"/>
              </w:rPr>
              <w:t>59</w:t>
            </w:r>
          </w:p>
        </w:tc>
        <w:tc>
          <w:tcPr>
            <w:tcW w:w="840" w:type="dxa"/>
            <w:vAlign w:val="bottom"/>
          </w:tcPr>
          <w:p>
            <w:pPr>
              <w:jc w:val="right"/>
              <w:ind w:right="101"/>
              <w:spacing w:after="0"/>
              <w:rPr>
                <w:sz w:val="20"/>
                <w:szCs w:val="20"/>
                <w:color w:val="auto"/>
              </w:rPr>
            </w:pPr>
            <w:r>
              <w:rPr>
                <w:rFonts w:ascii="Arial" w:cs="Arial" w:eastAsia="Arial" w:hAnsi="Arial"/>
                <w:sz w:val="16"/>
                <w:szCs w:val="16"/>
                <w:b w:val="1"/>
                <w:bCs w:val="1"/>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100" w:type="dxa"/>
            <w:vAlign w:val="bottom"/>
          </w:tcPr>
          <w:p>
            <w:pPr>
              <w:spacing w:after="0"/>
              <w:rPr>
                <w:sz w:val="20"/>
                <w:szCs w:val="20"/>
                <w:color w:val="auto"/>
              </w:rPr>
            </w:pPr>
            <w:r>
              <w:rPr>
                <w:rFonts w:ascii="Arial" w:cs="Arial" w:eastAsia="Arial" w:hAnsi="Arial"/>
                <w:sz w:val="16"/>
                <w:szCs w:val="16"/>
                <w:color w:val="auto"/>
              </w:rPr>
              <w:t> Benefit to income statement - continuing operations</w:t>
            </w:r>
          </w:p>
        </w:tc>
        <w:tc>
          <w:tcPr>
            <w:tcW w:w="2280" w:type="dxa"/>
            <w:vAlign w:val="bottom"/>
          </w:tcPr>
          <w:p>
            <w:pPr>
              <w:jc w:val="right"/>
              <w:ind w:right="181"/>
              <w:spacing w:after="0"/>
              <w:rPr>
                <w:sz w:val="20"/>
                <w:szCs w:val="20"/>
                <w:color w:val="auto"/>
              </w:rPr>
            </w:pPr>
            <w:r>
              <w:rPr>
                <w:rFonts w:ascii="Arial" w:cs="Arial" w:eastAsia="Arial" w:hAnsi="Arial"/>
                <w:sz w:val="16"/>
                <w:szCs w:val="16"/>
                <w:b w:val="1"/>
                <w:bCs w:val="1"/>
                <w:color w:val="auto"/>
              </w:rPr>
              <w:t>(1)</w:t>
            </w:r>
          </w:p>
        </w:tc>
        <w:tc>
          <w:tcPr>
            <w:tcW w:w="1620" w:type="dxa"/>
            <w:vAlign w:val="bottom"/>
          </w:tcPr>
          <w:p>
            <w:pPr>
              <w:jc w:val="right"/>
              <w:ind w:right="200"/>
              <w:spacing w:after="0"/>
              <w:rPr>
                <w:sz w:val="20"/>
                <w:szCs w:val="20"/>
                <w:color w:val="auto"/>
              </w:rPr>
            </w:pPr>
            <w:r>
              <w:rPr>
                <w:rFonts w:ascii="Arial" w:cs="Arial" w:eastAsia="Arial" w:hAnsi="Arial"/>
                <w:sz w:val="16"/>
                <w:szCs w:val="16"/>
                <w:b w:val="1"/>
                <w:bCs w:val="1"/>
                <w:color w:val="auto"/>
              </w:rPr>
              <w:t>(258)</w:t>
            </w:r>
          </w:p>
        </w:tc>
        <w:tc>
          <w:tcPr>
            <w:tcW w:w="960" w:type="dxa"/>
            <w:vAlign w:val="bottom"/>
          </w:tcPr>
          <w:p>
            <w:pPr>
              <w:jc w:val="right"/>
              <w:ind w:right="121"/>
              <w:spacing w:after="0"/>
              <w:rPr>
                <w:sz w:val="20"/>
                <w:szCs w:val="20"/>
                <w:color w:val="auto"/>
              </w:rPr>
            </w:pPr>
            <w:r>
              <w:rPr>
                <w:rFonts w:ascii="Arial" w:cs="Arial" w:eastAsia="Arial" w:hAnsi="Arial"/>
                <w:sz w:val="16"/>
                <w:szCs w:val="16"/>
                <w:b w:val="1"/>
                <w:bCs w:val="1"/>
                <w:color w:val="auto"/>
              </w:rPr>
              <w:t>(58)</w:t>
            </w:r>
          </w:p>
        </w:tc>
        <w:tc>
          <w:tcPr>
            <w:tcW w:w="840" w:type="dxa"/>
            <w:vAlign w:val="bottom"/>
          </w:tcPr>
          <w:p>
            <w:pPr>
              <w:jc w:val="right"/>
              <w:ind w:right="101"/>
              <w:spacing w:after="0"/>
              <w:rPr>
                <w:sz w:val="20"/>
                <w:szCs w:val="20"/>
                <w:color w:val="auto"/>
              </w:rPr>
            </w:pPr>
            <w:r>
              <w:rPr>
                <w:rFonts w:ascii="Arial" w:cs="Arial" w:eastAsia="Arial" w:hAnsi="Arial"/>
                <w:sz w:val="16"/>
                <w:szCs w:val="16"/>
                <w:b w:val="1"/>
                <w:bCs w:val="1"/>
                <w:color w:val="auto"/>
              </w:rPr>
              <w:t>(317)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00" w:type="dxa"/>
            <w:vAlign w:val="bottom"/>
          </w:tcPr>
          <w:p>
            <w:pPr>
              <w:spacing w:after="0"/>
              <w:rPr>
                <w:sz w:val="20"/>
                <w:szCs w:val="20"/>
                <w:color w:val="auto"/>
              </w:rPr>
            </w:pPr>
            <w:r>
              <w:rPr>
                <w:rFonts w:ascii="Arial" w:cs="Arial" w:eastAsia="Arial" w:hAnsi="Arial"/>
                <w:sz w:val="16"/>
                <w:szCs w:val="16"/>
                <w:color w:val="auto"/>
              </w:rPr>
              <w:t> Expense to other comprehensive income</w:t>
            </w:r>
          </w:p>
        </w:tc>
        <w:tc>
          <w:tcPr>
            <w:tcW w:w="2280" w:type="dxa"/>
            <w:vAlign w:val="bottom"/>
          </w:tcPr>
          <w:p>
            <w:pPr>
              <w:jc w:val="right"/>
              <w:ind w:right="181"/>
              <w:spacing w:after="0"/>
              <w:rPr>
                <w:sz w:val="20"/>
                <w:szCs w:val="20"/>
                <w:color w:val="auto"/>
              </w:rPr>
            </w:pPr>
            <w:r>
              <w:rPr>
                <w:rFonts w:ascii="Arial" w:cs="Arial" w:eastAsia="Arial" w:hAnsi="Arial"/>
                <w:sz w:val="16"/>
                <w:szCs w:val="16"/>
                <w:b w:val="1"/>
                <w:bCs w:val="1"/>
                <w:color w:val="auto"/>
              </w:rPr>
              <w:t>-</w:t>
            </w:r>
          </w:p>
        </w:tc>
        <w:tc>
          <w:tcPr>
            <w:tcW w:w="1620" w:type="dxa"/>
            <w:vAlign w:val="bottom"/>
          </w:tcPr>
          <w:p>
            <w:pPr>
              <w:jc w:val="right"/>
              <w:ind w:right="18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21"/>
              <w:spacing w:after="0"/>
              <w:rPr>
                <w:sz w:val="20"/>
                <w:szCs w:val="20"/>
                <w:color w:val="auto"/>
              </w:rPr>
            </w:pPr>
            <w:r>
              <w:rPr>
                <w:rFonts w:ascii="Arial" w:cs="Arial" w:eastAsia="Arial" w:hAnsi="Arial"/>
                <w:sz w:val="16"/>
                <w:szCs w:val="16"/>
                <w:b w:val="1"/>
                <w:bCs w:val="1"/>
                <w:color w:val="auto"/>
              </w:rPr>
              <w:t>2</w:t>
            </w:r>
          </w:p>
        </w:tc>
        <w:tc>
          <w:tcPr>
            <w:tcW w:w="840" w:type="dxa"/>
            <w:vAlign w:val="bottom"/>
          </w:tcPr>
          <w:p>
            <w:pPr>
              <w:jc w:val="right"/>
              <w:ind w:right="101"/>
              <w:spacing w:after="0"/>
              <w:rPr>
                <w:sz w:val="20"/>
                <w:szCs w:val="20"/>
                <w:color w:val="auto"/>
              </w:rPr>
            </w:pPr>
            <w:r>
              <w:rPr>
                <w:rFonts w:ascii="Arial" w:cs="Arial" w:eastAsia="Arial" w:hAnsi="Arial"/>
                <w:sz w:val="16"/>
                <w:szCs w:val="16"/>
                <w:b w:val="1"/>
                <w:bCs w:val="1"/>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1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 Translation and other, net</w:t>
            </w:r>
          </w:p>
        </w:tc>
        <w:tc>
          <w:tcPr>
            <w:tcW w:w="228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B2B2B2"/>
            </w:tcBorders>
          </w:tcPr>
          <w:p>
            <w:pPr>
              <w:jc w:val="right"/>
              <w:ind w:right="18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B2B2B2"/>
            </w:tcBorders>
          </w:tcPr>
          <w:p>
            <w:pPr>
              <w:jc w:val="right"/>
              <w:ind w:right="121"/>
              <w:spacing w:after="0"/>
              <w:rPr>
                <w:sz w:val="20"/>
                <w:szCs w:val="20"/>
                <w:color w:val="auto"/>
              </w:rPr>
            </w:pPr>
            <w:r>
              <w:rPr>
                <w:rFonts w:ascii="Arial" w:cs="Arial" w:eastAsia="Arial" w:hAnsi="Arial"/>
                <w:sz w:val="16"/>
                <w:szCs w:val="16"/>
                <w:b w:val="1"/>
                <w:bCs w:val="1"/>
                <w:color w:val="auto"/>
              </w:rPr>
              <w:t>(17)</w:t>
            </w:r>
          </w:p>
        </w:tc>
        <w:tc>
          <w:tcPr>
            <w:tcW w:w="840" w:type="dxa"/>
            <w:vAlign w:val="bottom"/>
            <w:tcBorders>
              <w:bottom w:val="single" w:sz="8" w:color="B2B2B2"/>
            </w:tcBorders>
          </w:tcPr>
          <w:p>
            <w:pPr>
              <w:jc w:val="right"/>
              <w:ind w:right="101"/>
              <w:spacing w:after="0"/>
              <w:rPr>
                <w:sz w:val="20"/>
                <w:szCs w:val="20"/>
                <w:color w:val="auto"/>
              </w:rPr>
            </w:pPr>
            <w:r>
              <w:rPr>
                <w:rFonts w:ascii="Arial" w:cs="Arial" w:eastAsia="Arial" w:hAnsi="Arial"/>
                <w:sz w:val="16"/>
                <w:szCs w:val="16"/>
                <w:b w:val="1"/>
                <w:bCs w:val="1"/>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10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b w:val="1"/>
                <w:bCs w:val="1"/>
                <w:color w:val="auto"/>
              </w:rPr>
              <w:t> December 31, 2024</w:t>
            </w:r>
          </w:p>
        </w:tc>
        <w:tc>
          <w:tcPr>
            <w:tcW w:w="2280" w:type="dxa"/>
            <w:vAlign w:val="bottom"/>
            <w:tcBorders>
              <w:bottom w:val="single" w:sz="8" w:color="D64000"/>
            </w:tcBorders>
          </w:tcPr>
          <w:p>
            <w:pPr>
              <w:jc w:val="right"/>
              <w:ind w:right="181"/>
              <w:spacing w:after="0" w:line="179" w:lineRule="exact"/>
              <w:rPr>
                <w:sz w:val="20"/>
                <w:szCs w:val="20"/>
                <w:color w:val="auto"/>
              </w:rPr>
            </w:pPr>
            <w:r>
              <w:rPr>
                <w:rFonts w:ascii="Arial" w:cs="Arial" w:eastAsia="Arial" w:hAnsi="Arial"/>
                <w:sz w:val="16"/>
                <w:szCs w:val="16"/>
                <w:b w:val="1"/>
                <w:bCs w:val="1"/>
                <w:color w:val="auto"/>
              </w:rPr>
              <w:t>516</w:t>
            </w:r>
          </w:p>
        </w:tc>
        <w:tc>
          <w:tcPr>
            <w:tcW w:w="1620" w:type="dxa"/>
            <w:vAlign w:val="bottom"/>
            <w:tcBorders>
              <w:bottom w:val="single" w:sz="8" w:color="D64000"/>
            </w:tcBorders>
          </w:tcPr>
          <w:p>
            <w:pPr>
              <w:jc w:val="right"/>
              <w:ind w:right="200"/>
              <w:spacing w:after="0" w:line="179" w:lineRule="exact"/>
              <w:rPr>
                <w:sz w:val="20"/>
                <w:szCs w:val="20"/>
                <w:color w:val="auto"/>
              </w:rPr>
            </w:pPr>
            <w:r>
              <w:rPr>
                <w:rFonts w:ascii="Arial" w:cs="Arial" w:eastAsia="Arial" w:hAnsi="Arial"/>
                <w:sz w:val="16"/>
                <w:szCs w:val="16"/>
                <w:b w:val="1"/>
                <w:bCs w:val="1"/>
                <w:color w:val="auto"/>
              </w:rPr>
              <w:t>44</w:t>
            </w:r>
          </w:p>
        </w:tc>
        <w:tc>
          <w:tcPr>
            <w:tcW w:w="960" w:type="dxa"/>
            <w:vAlign w:val="bottom"/>
            <w:tcBorders>
              <w:bottom w:val="single" w:sz="8" w:color="D64000"/>
            </w:tcBorders>
          </w:tcPr>
          <w:p>
            <w:pPr>
              <w:jc w:val="right"/>
              <w:ind w:right="121"/>
              <w:spacing w:after="0" w:line="179" w:lineRule="exact"/>
              <w:rPr>
                <w:sz w:val="20"/>
                <w:szCs w:val="20"/>
                <w:color w:val="auto"/>
              </w:rPr>
            </w:pPr>
            <w:r>
              <w:rPr>
                <w:rFonts w:ascii="Arial" w:cs="Arial" w:eastAsia="Arial" w:hAnsi="Arial"/>
                <w:sz w:val="16"/>
                <w:szCs w:val="16"/>
                <w:b w:val="1"/>
                <w:bCs w:val="1"/>
                <w:color w:val="auto"/>
              </w:rPr>
              <w:t>137</w:t>
            </w:r>
          </w:p>
        </w:tc>
        <w:tc>
          <w:tcPr>
            <w:tcW w:w="840" w:type="dxa"/>
            <w:vAlign w:val="bottom"/>
            <w:tcBorders>
              <w:bottom w:val="single" w:sz="8" w:color="D64000"/>
            </w:tcBorders>
          </w:tcPr>
          <w:p>
            <w:pPr>
              <w:jc w:val="right"/>
              <w:ind w:right="101"/>
              <w:spacing w:after="0" w:line="179" w:lineRule="exact"/>
              <w:rPr>
                <w:sz w:val="20"/>
                <w:szCs w:val="20"/>
                <w:color w:val="auto"/>
              </w:rPr>
            </w:pPr>
            <w:r>
              <w:rPr>
                <w:rFonts w:ascii="Arial" w:cs="Arial" w:eastAsia="Arial" w:hAnsi="Arial"/>
                <w:sz w:val="16"/>
                <w:szCs w:val="16"/>
                <w:b w:val="1"/>
                <w:bCs w:val="1"/>
                <w:color w:val="auto"/>
              </w:rPr>
              <w:t>697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100" w:type="dxa"/>
            <w:vAlign w:val="bottom"/>
            <w:tcBorders>
              <w:bottom w:val="single" w:sz="8" w:color="7F7F7F"/>
            </w:tcBorders>
          </w:tcPr>
          <w:p>
            <w:pPr>
              <w:spacing w:after="0"/>
              <w:rPr>
                <w:sz w:val="13"/>
                <w:szCs w:val="13"/>
                <w:color w:val="auto"/>
              </w:rPr>
            </w:pPr>
          </w:p>
        </w:tc>
        <w:tc>
          <w:tcPr>
            <w:tcW w:w="2280" w:type="dxa"/>
            <w:vAlign w:val="bottom"/>
            <w:tcBorders>
              <w:bottom w:val="single" w:sz="8" w:color="7F7F7F"/>
            </w:tcBorders>
          </w:tcPr>
          <w:p>
            <w:pPr>
              <w:spacing w:after="0"/>
              <w:rPr>
                <w:sz w:val="13"/>
                <w:szCs w:val="13"/>
                <w:color w:val="auto"/>
              </w:rPr>
            </w:pPr>
          </w:p>
        </w:tc>
        <w:tc>
          <w:tcPr>
            <w:tcW w:w="3420" w:type="dxa"/>
            <w:vAlign w:val="bottom"/>
            <w:tcBorders>
              <w:bottom w:val="single" w:sz="8" w:color="7F7F7F"/>
            </w:tcBorders>
            <w:gridSpan w:val="3"/>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7"/>
                <w:szCs w:val="17"/>
                <w:color w:val="auto"/>
              </w:rPr>
              <w:t>Page 124</w:t>
            </w:r>
          </w:p>
        </w:tc>
        <w:tc>
          <w:tcPr>
            <w:tcW w:w="2280" w:type="dxa"/>
            <w:vAlign w:val="bottom"/>
          </w:tcPr>
          <w:p>
            <w:pPr>
              <w:spacing w:after="0"/>
              <w:rPr>
                <w:sz w:val="19"/>
                <w:szCs w:val="19"/>
                <w:color w:val="auto"/>
              </w:rPr>
            </w:pPr>
          </w:p>
        </w:tc>
        <w:tc>
          <w:tcPr>
            <w:tcW w:w="3420" w:type="dxa"/>
            <w:vAlign w:val="bottom"/>
            <w:gridSpan w:val="3"/>
          </w:tcPr>
          <w:p>
            <w:pPr>
              <w:jc w:val="right"/>
              <w:spacing w:after="0"/>
              <w:rPr>
                <w:sz w:val="20"/>
                <w:szCs w:val="20"/>
                <w:color w:val="auto"/>
              </w:rPr>
            </w:pPr>
            <w:r>
              <w:rPr>
                <w:rFonts w:ascii="Arial" w:cs="Arial" w:eastAsia="Arial" w:hAnsi="Arial"/>
                <w:sz w:val="17"/>
                <w:szCs w:val="17"/>
                <w:b w:val="1"/>
                <w:bCs w:val="1"/>
                <w:color w:val="auto"/>
              </w:rPr>
              <w:t>Thomson Reuters Annual Report 2024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77" w:right="5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18"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4180" w:type="dxa"/>
            <w:vAlign w:val="bottom"/>
            <w:shd w:val="clear" w:color="auto" w:fill="1F473D"/>
          </w:tcPr>
          <w:p>
            <w:pPr>
              <w:spacing w:after="0"/>
              <w:rPr>
                <w:sz w:val="16"/>
                <w:szCs w:val="16"/>
                <w:color w:val="auto"/>
              </w:rPr>
            </w:pPr>
          </w:p>
        </w:tc>
        <w:tc>
          <w:tcPr>
            <w:tcW w:w="1640" w:type="dxa"/>
            <w:vAlign w:val="bottom"/>
            <w:shd w:val="clear" w:color="auto" w:fill="1F473D"/>
          </w:tcPr>
          <w:p>
            <w:pPr>
              <w:spacing w:after="0"/>
              <w:rPr>
                <w:sz w:val="16"/>
                <w:szCs w:val="16"/>
                <w:color w:val="auto"/>
              </w:rPr>
            </w:pPr>
          </w:p>
        </w:tc>
        <w:tc>
          <w:tcPr>
            <w:tcW w:w="174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7"/>
              </w:rPr>
              <w:t>Goodwill and</w:t>
            </w:r>
          </w:p>
        </w:tc>
        <w:tc>
          <w:tcPr>
            <w:tcW w:w="1560" w:type="dxa"/>
            <w:vAlign w:val="bottom"/>
            <w:shd w:val="clear" w:color="auto" w:fill="1F473D"/>
          </w:tcPr>
          <w:p>
            <w:pPr>
              <w:spacing w:after="0"/>
              <w:rPr>
                <w:sz w:val="16"/>
                <w:szCs w:val="16"/>
                <w:color w:val="auto"/>
              </w:rPr>
            </w:pPr>
          </w:p>
        </w:tc>
        <w:tc>
          <w:tcPr>
            <w:tcW w:w="880" w:type="dxa"/>
            <w:vAlign w:val="bottom"/>
            <w:shd w:val="clear" w:color="auto" w:fill="1F473D"/>
          </w:tcPr>
          <w:p>
            <w:pPr>
              <w:spacing w:after="0"/>
              <w:rPr>
                <w:sz w:val="16"/>
                <w:szCs w:val="16"/>
                <w:color w:val="auto"/>
              </w:rPr>
            </w:pPr>
          </w:p>
        </w:tc>
        <w:tc>
          <w:tcPr>
            <w:tcW w:w="800" w:type="dxa"/>
            <w:vAlign w:val="bottom"/>
            <w:shd w:val="clear" w:color="auto" w:fill="1F473D"/>
          </w:tcPr>
          <w:p>
            <w:pPr>
              <w:spacing w:after="0"/>
              <w:rPr>
                <w:sz w:val="16"/>
                <w:szCs w:val="16"/>
                <w:color w:val="auto"/>
              </w:rPr>
            </w:pPr>
          </w:p>
        </w:tc>
      </w:tr>
      <w:tr>
        <w:trPr>
          <w:trHeight w:val="185"/>
        </w:trPr>
        <w:tc>
          <w:tcPr>
            <w:tcW w:w="4180" w:type="dxa"/>
            <w:vAlign w:val="bottom"/>
            <w:shd w:val="clear" w:color="auto" w:fill="1F473D"/>
          </w:tcPr>
          <w:p>
            <w:pPr>
              <w:spacing w:after="0"/>
              <w:rPr>
                <w:sz w:val="16"/>
                <w:szCs w:val="16"/>
                <w:color w:val="auto"/>
              </w:rPr>
            </w:pPr>
          </w:p>
        </w:tc>
        <w:tc>
          <w:tcPr>
            <w:tcW w:w="1640" w:type="dxa"/>
            <w:vAlign w:val="bottom"/>
            <w:shd w:val="clear" w:color="auto" w:fill="1F473D"/>
          </w:tcPr>
          <w:p>
            <w:pPr>
              <w:jc w:val="right"/>
              <w:ind w:right="161"/>
              <w:spacing w:after="0"/>
              <w:rPr>
                <w:sz w:val="20"/>
                <w:szCs w:val="20"/>
                <w:color w:val="auto"/>
              </w:rPr>
            </w:pPr>
            <w:r>
              <w:rPr>
                <w:rFonts w:ascii="Arial" w:cs="Arial" w:eastAsia="Arial" w:hAnsi="Arial"/>
                <w:sz w:val="16"/>
                <w:szCs w:val="16"/>
                <w:b w:val="1"/>
                <w:bCs w:val="1"/>
                <w:color w:val="FFFFFF"/>
              </w:rPr>
              <w:t>Tax Losses</w:t>
            </w:r>
          </w:p>
        </w:tc>
        <w:tc>
          <w:tcPr>
            <w:tcW w:w="174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8"/>
              </w:rPr>
              <w:t>Other Identifiable</w:t>
            </w:r>
          </w:p>
        </w:tc>
        <w:tc>
          <w:tcPr>
            <w:tcW w:w="156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7"/>
              </w:rPr>
              <w:t>Employee</w:t>
            </w:r>
          </w:p>
        </w:tc>
        <w:tc>
          <w:tcPr>
            <w:tcW w:w="880" w:type="dxa"/>
            <w:vAlign w:val="bottom"/>
            <w:shd w:val="clear" w:color="auto" w:fill="1F473D"/>
          </w:tcPr>
          <w:p>
            <w:pPr>
              <w:spacing w:after="0"/>
              <w:rPr>
                <w:sz w:val="16"/>
                <w:szCs w:val="16"/>
                <w:color w:val="auto"/>
              </w:rPr>
            </w:pPr>
          </w:p>
        </w:tc>
        <w:tc>
          <w:tcPr>
            <w:tcW w:w="800" w:type="dxa"/>
            <w:vAlign w:val="bottom"/>
            <w:shd w:val="clear" w:color="auto" w:fill="1F473D"/>
          </w:tcPr>
          <w:p>
            <w:pPr>
              <w:spacing w:after="0"/>
              <w:rPr>
                <w:sz w:val="16"/>
                <w:szCs w:val="16"/>
                <w:color w:val="auto"/>
              </w:rPr>
            </w:pPr>
          </w:p>
        </w:tc>
      </w:tr>
      <w:tr>
        <w:trPr>
          <w:trHeight w:val="186"/>
        </w:trPr>
        <w:tc>
          <w:tcPr>
            <w:tcW w:w="4180" w:type="dxa"/>
            <w:vAlign w:val="bottom"/>
            <w:shd w:val="clear" w:color="auto" w:fill="1F473D"/>
          </w:tcPr>
          <w:p>
            <w:pPr>
              <w:spacing w:after="0"/>
              <w:rPr>
                <w:sz w:val="16"/>
                <w:szCs w:val="16"/>
                <w:color w:val="auto"/>
              </w:rPr>
            </w:pPr>
          </w:p>
        </w:tc>
        <w:tc>
          <w:tcPr>
            <w:tcW w:w="1640" w:type="dxa"/>
            <w:vAlign w:val="bottom"/>
            <w:shd w:val="clear" w:color="auto" w:fill="1F473D"/>
          </w:tcPr>
          <w:p>
            <w:pPr>
              <w:jc w:val="right"/>
              <w:ind w:right="201"/>
              <w:spacing w:after="0"/>
              <w:rPr>
                <w:sz w:val="20"/>
                <w:szCs w:val="20"/>
                <w:color w:val="auto"/>
              </w:rPr>
            </w:pPr>
            <w:r>
              <w:rPr>
                <w:rFonts w:ascii="Arial" w:cs="Arial" w:eastAsia="Arial" w:hAnsi="Arial"/>
                <w:sz w:val="16"/>
                <w:szCs w:val="16"/>
                <w:b w:val="1"/>
                <w:bCs w:val="1"/>
                <w:color w:val="FFFFFF"/>
              </w:rPr>
              <w:t>and Other</w:t>
            </w:r>
          </w:p>
        </w:tc>
        <w:tc>
          <w:tcPr>
            <w:tcW w:w="174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7"/>
              </w:rPr>
              <w:t>Intangible</w:t>
            </w:r>
          </w:p>
        </w:tc>
        <w:tc>
          <w:tcPr>
            <w:tcW w:w="1560" w:type="dxa"/>
            <w:vAlign w:val="bottom"/>
            <w:shd w:val="clear" w:color="auto" w:fill="1F473D"/>
          </w:tcPr>
          <w:p>
            <w:pPr>
              <w:jc w:val="center"/>
              <w:ind w:right="1"/>
              <w:spacing w:after="0"/>
              <w:rPr>
                <w:sz w:val="20"/>
                <w:szCs w:val="20"/>
                <w:color w:val="auto"/>
              </w:rPr>
            </w:pPr>
            <w:r>
              <w:rPr>
                <w:rFonts w:ascii="Arial" w:cs="Arial" w:eastAsia="Arial" w:hAnsi="Arial"/>
                <w:sz w:val="16"/>
                <w:szCs w:val="16"/>
                <w:b w:val="1"/>
                <w:bCs w:val="1"/>
                <w:color w:val="FFFFFF"/>
                <w:w w:val="99"/>
              </w:rPr>
              <w:t>Benefits and</w:t>
            </w:r>
          </w:p>
        </w:tc>
        <w:tc>
          <w:tcPr>
            <w:tcW w:w="880" w:type="dxa"/>
            <w:vAlign w:val="bottom"/>
            <w:shd w:val="clear" w:color="auto" w:fill="1F473D"/>
          </w:tcPr>
          <w:p>
            <w:pPr>
              <w:spacing w:after="0"/>
              <w:rPr>
                <w:sz w:val="16"/>
                <w:szCs w:val="16"/>
                <w:color w:val="auto"/>
              </w:rPr>
            </w:pPr>
          </w:p>
        </w:tc>
        <w:tc>
          <w:tcPr>
            <w:tcW w:w="800" w:type="dxa"/>
            <w:vAlign w:val="bottom"/>
            <w:shd w:val="clear" w:color="auto" w:fill="1F473D"/>
          </w:tcPr>
          <w:p>
            <w:pPr>
              <w:spacing w:after="0"/>
              <w:rPr>
                <w:sz w:val="16"/>
                <w:szCs w:val="16"/>
                <w:color w:val="auto"/>
              </w:rPr>
            </w:pPr>
          </w:p>
        </w:tc>
      </w:tr>
      <w:tr>
        <w:trPr>
          <w:trHeight w:val="206"/>
        </w:trPr>
        <w:tc>
          <w:tcPr>
            <w:tcW w:w="418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b w:val="1"/>
                <w:bCs w:val="1"/>
                <w:color w:val="FFFFFF"/>
              </w:rPr>
              <w:t> Deferred tax assets</w:t>
            </w:r>
          </w:p>
        </w:tc>
        <w:tc>
          <w:tcPr>
            <w:tcW w:w="1640" w:type="dxa"/>
            <w:vAlign w:val="bottom"/>
            <w:tcBorders>
              <w:bottom w:val="single" w:sz="8" w:color="D64000"/>
            </w:tcBorders>
            <w:shd w:val="clear" w:color="auto" w:fill="1F473D"/>
          </w:tcPr>
          <w:p>
            <w:pPr>
              <w:jc w:val="right"/>
              <w:ind w:right="201"/>
              <w:spacing w:after="0"/>
              <w:rPr>
                <w:sz w:val="20"/>
                <w:szCs w:val="20"/>
                <w:color w:val="auto"/>
              </w:rPr>
            </w:pPr>
            <w:r>
              <w:rPr>
                <w:rFonts w:ascii="Arial" w:cs="Arial" w:eastAsia="Arial" w:hAnsi="Arial"/>
                <w:sz w:val="16"/>
                <w:szCs w:val="16"/>
                <w:b w:val="1"/>
                <w:bCs w:val="1"/>
                <w:color w:val="FFFFFF"/>
              </w:rPr>
              <w:t>Attributes</w:t>
            </w:r>
          </w:p>
        </w:tc>
        <w:tc>
          <w:tcPr>
            <w:tcW w:w="1740" w:type="dxa"/>
            <w:vAlign w:val="bottom"/>
            <w:tcBorders>
              <w:bottom w:val="single" w:sz="8" w:color="D64000"/>
            </w:tcBorders>
            <w:shd w:val="clear" w:color="auto" w:fill="1F473D"/>
          </w:tcPr>
          <w:p>
            <w:pPr>
              <w:jc w:val="center"/>
              <w:spacing w:after="0"/>
              <w:rPr>
                <w:sz w:val="20"/>
                <w:szCs w:val="20"/>
                <w:color w:val="auto"/>
              </w:rPr>
            </w:pPr>
            <w:r>
              <w:rPr>
                <w:rFonts w:ascii="Arial" w:cs="Arial" w:eastAsia="Arial" w:hAnsi="Arial"/>
                <w:sz w:val="16"/>
                <w:szCs w:val="16"/>
                <w:b w:val="1"/>
                <w:bCs w:val="1"/>
                <w:color w:val="FFFFFF"/>
              </w:rPr>
              <w:t>Assets</w:t>
            </w:r>
          </w:p>
        </w:tc>
        <w:tc>
          <w:tcPr>
            <w:tcW w:w="1560" w:type="dxa"/>
            <w:vAlign w:val="bottom"/>
            <w:tcBorders>
              <w:bottom w:val="single" w:sz="8" w:color="D64000"/>
            </w:tcBorders>
            <w:shd w:val="clear" w:color="auto" w:fill="1F473D"/>
          </w:tcPr>
          <w:p>
            <w:pPr>
              <w:jc w:val="center"/>
              <w:spacing w:after="0"/>
              <w:rPr>
                <w:sz w:val="20"/>
                <w:szCs w:val="20"/>
                <w:color w:val="auto"/>
              </w:rPr>
            </w:pPr>
            <w:r>
              <w:rPr>
                <w:rFonts w:ascii="Arial" w:cs="Arial" w:eastAsia="Arial" w:hAnsi="Arial"/>
                <w:sz w:val="16"/>
                <w:szCs w:val="16"/>
                <w:b w:val="1"/>
                <w:bCs w:val="1"/>
                <w:color w:val="FFFFFF"/>
                <w:w w:val="98"/>
              </w:rPr>
              <w:t>Compensation</w:t>
            </w:r>
          </w:p>
        </w:tc>
        <w:tc>
          <w:tcPr>
            <w:tcW w:w="880" w:type="dxa"/>
            <w:vAlign w:val="bottom"/>
            <w:tcBorders>
              <w:bottom w:val="single" w:sz="8" w:color="D64000"/>
            </w:tcBorders>
            <w:shd w:val="clear" w:color="auto" w:fill="1F473D"/>
          </w:tcPr>
          <w:p>
            <w:pPr>
              <w:ind w:left="220"/>
              <w:spacing w:after="0"/>
              <w:rPr>
                <w:sz w:val="20"/>
                <w:szCs w:val="20"/>
                <w:color w:val="auto"/>
              </w:rPr>
            </w:pPr>
            <w:r>
              <w:rPr>
                <w:rFonts w:ascii="Arial" w:cs="Arial" w:eastAsia="Arial" w:hAnsi="Arial"/>
                <w:sz w:val="16"/>
                <w:szCs w:val="16"/>
                <w:b w:val="1"/>
                <w:bCs w:val="1"/>
                <w:color w:val="FFFFFF"/>
              </w:rPr>
              <w:t>Other</w:t>
            </w:r>
          </w:p>
        </w:tc>
        <w:tc>
          <w:tcPr>
            <w:tcW w:w="800" w:type="dxa"/>
            <w:vAlign w:val="bottom"/>
            <w:tcBorders>
              <w:bottom w:val="single" w:sz="8" w:color="D64000"/>
            </w:tcBorders>
            <w:shd w:val="clear" w:color="auto" w:fill="1F473D"/>
          </w:tcPr>
          <w:p>
            <w:pPr>
              <w:jc w:val="right"/>
              <w:ind w:right="181"/>
              <w:spacing w:after="0"/>
              <w:rPr>
                <w:sz w:val="20"/>
                <w:szCs w:val="20"/>
                <w:color w:val="auto"/>
              </w:rPr>
            </w:pPr>
            <w:r>
              <w:rPr>
                <w:rFonts w:ascii="Arial" w:cs="Arial" w:eastAsia="Arial" w:hAnsi="Arial"/>
                <w:sz w:val="16"/>
                <w:szCs w:val="16"/>
                <w:b w:val="1"/>
                <w:bCs w:val="1"/>
                <w:color w:val="FFFFFF"/>
              </w:rPr>
              <w:t>Total</w:t>
            </w:r>
          </w:p>
        </w:tc>
      </w:tr>
      <w:tr>
        <w:trPr>
          <w:trHeight w:val="171"/>
        </w:trPr>
        <w:tc>
          <w:tcPr>
            <w:tcW w:w="4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Pr>
          <w:p>
            <w:pPr>
              <w:ind w:left="220"/>
              <w:spacing w:after="0" w:line="171" w:lineRule="exact"/>
              <w:rPr>
                <w:sz w:val="20"/>
                <w:szCs w:val="20"/>
                <w:color w:val="auto"/>
              </w:rPr>
            </w:pPr>
            <w:r>
              <w:rPr>
                <w:rFonts w:ascii="Arial" w:cs="Arial" w:eastAsia="Arial" w:hAnsi="Arial"/>
                <w:sz w:val="16"/>
                <w:szCs w:val="16"/>
                <w:color w:val="auto"/>
              </w:rPr>
              <w:t xml:space="preserve">       </w:t>
            </w:r>
          </w:p>
        </w:tc>
        <w:tc>
          <w:tcPr>
            <w:tcW w:w="800" w:type="dxa"/>
            <w:vAlign w:val="bottom"/>
          </w:tcPr>
          <w:p>
            <w:pPr>
              <w:jc w:val="right"/>
              <w:ind w:right="221"/>
              <w:spacing w:after="0" w:line="171" w:lineRule="exact"/>
              <w:rPr>
                <w:sz w:val="20"/>
                <w:szCs w:val="20"/>
                <w:color w:val="auto"/>
              </w:rPr>
            </w:pPr>
            <w:r>
              <w:rPr>
                <w:rFonts w:ascii="Arial" w:cs="Arial" w:eastAsia="Arial" w:hAnsi="Arial"/>
                <w:sz w:val="16"/>
                <w:szCs w:val="16"/>
                <w:color w:val="auto"/>
              </w:rPr>
              <w:t xml:space="preserve">       </w:t>
            </w:r>
          </w:p>
        </w:tc>
      </w:tr>
      <w:tr>
        <w:trPr>
          <w:trHeight w:val="186"/>
        </w:trPr>
        <w:tc>
          <w:tcPr>
            <w:tcW w:w="4180" w:type="dxa"/>
            <w:vAlign w:val="bottom"/>
          </w:tcPr>
          <w:p>
            <w:pPr>
              <w:spacing w:after="0"/>
              <w:rPr>
                <w:sz w:val="20"/>
                <w:szCs w:val="20"/>
                <w:color w:val="auto"/>
              </w:rPr>
            </w:pPr>
            <w:r>
              <w:rPr>
                <w:rFonts w:ascii="Arial" w:cs="Arial" w:eastAsia="Arial" w:hAnsi="Arial"/>
                <w:sz w:val="16"/>
                <w:szCs w:val="16"/>
                <w:color w:val="auto"/>
              </w:rPr>
              <w:t> December 31, 2022</w:t>
            </w:r>
          </w:p>
        </w:tc>
        <w:tc>
          <w:tcPr>
            <w:tcW w:w="1640" w:type="dxa"/>
            <w:vAlign w:val="bottom"/>
          </w:tcPr>
          <w:p>
            <w:pPr>
              <w:jc w:val="right"/>
              <w:ind w:right="161"/>
              <w:spacing w:after="0"/>
              <w:rPr>
                <w:sz w:val="20"/>
                <w:szCs w:val="20"/>
                <w:color w:val="auto"/>
              </w:rPr>
            </w:pPr>
            <w:r>
              <w:rPr>
                <w:rFonts w:ascii="Arial" w:cs="Arial" w:eastAsia="Arial" w:hAnsi="Arial"/>
                <w:sz w:val="16"/>
                <w:szCs w:val="16"/>
                <w:color w:val="auto"/>
              </w:rPr>
              <w:t>176</w:t>
            </w:r>
          </w:p>
        </w:tc>
        <w:tc>
          <w:tcPr>
            <w:tcW w:w="1740" w:type="dxa"/>
            <w:vAlign w:val="bottom"/>
          </w:tcPr>
          <w:p>
            <w:pPr>
              <w:jc w:val="right"/>
              <w:ind w:right="161"/>
              <w:spacing w:after="0"/>
              <w:rPr>
                <w:sz w:val="20"/>
                <w:szCs w:val="20"/>
                <w:color w:val="auto"/>
              </w:rPr>
            </w:pPr>
            <w:r>
              <w:rPr>
                <w:rFonts w:ascii="Arial" w:cs="Arial" w:eastAsia="Arial" w:hAnsi="Arial"/>
                <w:sz w:val="16"/>
                <w:szCs w:val="16"/>
                <w:color w:val="auto"/>
              </w:rPr>
              <w:t>979</w:t>
            </w:r>
          </w:p>
        </w:tc>
        <w:tc>
          <w:tcPr>
            <w:tcW w:w="1560" w:type="dxa"/>
            <w:vAlign w:val="bottom"/>
          </w:tcPr>
          <w:p>
            <w:pPr>
              <w:jc w:val="right"/>
              <w:ind w:right="181"/>
              <w:spacing w:after="0"/>
              <w:rPr>
                <w:sz w:val="20"/>
                <w:szCs w:val="20"/>
                <w:color w:val="auto"/>
              </w:rPr>
            </w:pPr>
            <w:r>
              <w:rPr>
                <w:rFonts w:ascii="Arial" w:cs="Arial" w:eastAsia="Arial" w:hAnsi="Arial"/>
                <w:sz w:val="16"/>
                <w:szCs w:val="16"/>
                <w:color w:val="auto"/>
              </w:rPr>
              <w:t>185</w:t>
            </w:r>
          </w:p>
        </w:tc>
        <w:tc>
          <w:tcPr>
            <w:tcW w:w="880" w:type="dxa"/>
            <w:vAlign w:val="bottom"/>
          </w:tcPr>
          <w:p>
            <w:pPr>
              <w:jc w:val="right"/>
              <w:ind w:right="101"/>
              <w:spacing w:after="0"/>
              <w:rPr>
                <w:sz w:val="20"/>
                <w:szCs w:val="20"/>
                <w:color w:val="auto"/>
              </w:rPr>
            </w:pPr>
            <w:r>
              <w:rPr>
                <w:rFonts w:ascii="Arial" w:cs="Arial" w:eastAsia="Arial" w:hAnsi="Arial"/>
                <w:sz w:val="16"/>
                <w:szCs w:val="16"/>
                <w:color w:val="auto"/>
              </w:rPr>
              <w:t>153</w:t>
            </w:r>
          </w:p>
        </w:tc>
        <w:tc>
          <w:tcPr>
            <w:tcW w:w="800" w:type="dxa"/>
            <w:vAlign w:val="bottom"/>
          </w:tcPr>
          <w:p>
            <w:pPr>
              <w:jc w:val="right"/>
              <w:ind w:right="101"/>
              <w:spacing w:after="0"/>
              <w:rPr>
                <w:sz w:val="20"/>
                <w:szCs w:val="20"/>
                <w:color w:val="auto"/>
              </w:rPr>
            </w:pPr>
            <w:r>
              <w:rPr>
                <w:rFonts w:ascii="Arial" w:cs="Arial" w:eastAsia="Arial" w:hAnsi="Arial"/>
                <w:sz w:val="16"/>
                <w:szCs w:val="16"/>
                <w:color w:val="auto"/>
              </w:rPr>
              <w:t>1,493</w:t>
            </w:r>
          </w:p>
        </w:tc>
      </w:tr>
      <w:tr>
        <w:trPr>
          <w:trHeight w:val="185"/>
        </w:trPr>
        <w:tc>
          <w:tcPr>
            <w:tcW w:w="4180" w:type="dxa"/>
            <w:vAlign w:val="bottom"/>
          </w:tcPr>
          <w:p>
            <w:pPr>
              <w:spacing w:after="0"/>
              <w:rPr>
                <w:sz w:val="20"/>
                <w:szCs w:val="20"/>
                <w:color w:val="auto"/>
              </w:rPr>
            </w:pPr>
            <w:r>
              <w:rPr>
                <w:rFonts w:ascii="Arial" w:cs="Arial" w:eastAsia="Arial" w:hAnsi="Arial"/>
                <w:sz w:val="16"/>
                <w:szCs w:val="16"/>
                <w:color w:val="auto"/>
              </w:rPr>
              <w:t> Acquisitions</w:t>
            </w:r>
          </w:p>
        </w:tc>
        <w:tc>
          <w:tcPr>
            <w:tcW w:w="1640" w:type="dxa"/>
            <w:vAlign w:val="bottom"/>
          </w:tcPr>
          <w:p>
            <w:pPr>
              <w:jc w:val="right"/>
              <w:ind w:right="161"/>
              <w:spacing w:after="0"/>
              <w:rPr>
                <w:sz w:val="20"/>
                <w:szCs w:val="20"/>
                <w:color w:val="auto"/>
              </w:rPr>
            </w:pPr>
            <w:r>
              <w:rPr>
                <w:rFonts w:ascii="Arial" w:cs="Arial" w:eastAsia="Arial" w:hAnsi="Arial"/>
                <w:sz w:val="16"/>
                <w:szCs w:val="16"/>
                <w:color w:val="auto"/>
              </w:rPr>
              <w:t>12</w:t>
            </w:r>
          </w:p>
        </w:tc>
        <w:tc>
          <w:tcPr>
            <w:tcW w:w="174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01"/>
              <w:spacing w:after="0"/>
              <w:rPr>
                <w:sz w:val="20"/>
                <w:szCs w:val="20"/>
                <w:color w:val="auto"/>
              </w:rPr>
            </w:pPr>
            <w:r>
              <w:rPr>
                <w:rFonts w:ascii="Arial" w:cs="Arial" w:eastAsia="Arial" w:hAnsi="Arial"/>
                <w:sz w:val="16"/>
                <w:szCs w:val="16"/>
                <w:color w:val="auto"/>
              </w:rPr>
              <w:t>5</w:t>
            </w:r>
          </w:p>
        </w:tc>
        <w:tc>
          <w:tcPr>
            <w:tcW w:w="800" w:type="dxa"/>
            <w:vAlign w:val="bottom"/>
          </w:tcPr>
          <w:p>
            <w:pPr>
              <w:jc w:val="right"/>
              <w:ind w:right="101"/>
              <w:spacing w:after="0"/>
              <w:rPr>
                <w:sz w:val="20"/>
                <w:szCs w:val="20"/>
                <w:color w:val="auto"/>
              </w:rPr>
            </w:pPr>
            <w:r>
              <w:rPr>
                <w:rFonts w:ascii="Arial" w:cs="Arial" w:eastAsia="Arial" w:hAnsi="Arial"/>
                <w:sz w:val="16"/>
                <w:szCs w:val="16"/>
                <w:color w:val="auto"/>
              </w:rPr>
              <w:t>17</w:t>
            </w:r>
          </w:p>
        </w:tc>
      </w:tr>
      <w:tr>
        <w:trPr>
          <w:trHeight w:val="186"/>
        </w:trPr>
        <w:tc>
          <w:tcPr>
            <w:tcW w:w="4180" w:type="dxa"/>
            <w:vAlign w:val="bottom"/>
          </w:tcPr>
          <w:p>
            <w:pPr>
              <w:spacing w:after="0"/>
              <w:rPr>
                <w:sz w:val="20"/>
                <w:szCs w:val="20"/>
                <w:color w:val="auto"/>
              </w:rPr>
            </w:pPr>
            <w:r>
              <w:rPr>
                <w:rFonts w:ascii="Arial" w:cs="Arial" w:eastAsia="Arial" w:hAnsi="Arial"/>
                <w:sz w:val="16"/>
                <w:szCs w:val="16"/>
                <w:color w:val="auto"/>
              </w:rPr>
              <w:t> Benefit (expense) to income statement – continuing</w:t>
            </w:r>
          </w:p>
        </w:tc>
        <w:tc>
          <w:tcPr>
            <w:tcW w:w="16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5"/>
        </w:trPr>
        <w:tc>
          <w:tcPr>
            <w:tcW w:w="4180" w:type="dxa"/>
            <w:vAlign w:val="bottom"/>
          </w:tcPr>
          <w:p>
            <w:pPr>
              <w:ind w:left="180"/>
              <w:spacing w:after="0"/>
              <w:rPr>
                <w:sz w:val="20"/>
                <w:szCs w:val="20"/>
                <w:color w:val="auto"/>
              </w:rPr>
            </w:pPr>
            <w:r>
              <w:rPr>
                <w:rFonts w:ascii="Arial" w:cs="Arial" w:eastAsia="Arial" w:hAnsi="Arial"/>
                <w:sz w:val="16"/>
                <w:szCs w:val="16"/>
                <w:color w:val="auto"/>
              </w:rPr>
              <w:t>operations</w:t>
            </w:r>
          </w:p>
        </w:tc>
        <w:tc>
          <w:tcPr>
            <w:tcW w:w="1640" w:type="dxa"/>
            <w:vAlign w:val="bottom"/>
          </w:tcPr>
          <w:p>
            <w:pPr>
              <w:jc w:val="right"/>
              <w:ind w:right="161"/>
              <w:spacing w:after="0"/>
              <w:rPr>
                <w:sz w:val="20"/>
                <w:szCs w:val="20"/>
                <w:color w:val="auto"/>
              </w:rPr>
            </w:pPr>
            <w:r>
              <w:rPr>
                <w:rFonts w:ascii="Arial" w:cs="Arial" w:eastAsia="Arial" w:hAnsi="Arial"/>
                <w:sz w:val="16"/>
                <w:szCs w:val="16"/>
                <w:color w:val="auto"/>
              </w:rPr>
              <w:t>3</w:t>
            </w:r>
          </w:p>
        </w:tc>
        <w:tc>
          <w:tcPr>
            <w:tcW w:w="174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21"/>
              <w:spacing w:after="0"/>
              <w:rPr>
                <w:sz w:val="20"/>
                <w:szCs w:val="20"/>
                <w:color w:val="auto"/>
              </w:rPr>
            </w:pPr>
            <w:r>
              <w:rPr>
                <w:rFonts w:ascii="Arial" w:cs="Arial" w:eastAsia="Arial" w:hAnsi="Arial"/>
                <w:sz w:val="16"/>
                <w:szCs w:val="16"/>
                <w:color w:val="auto"/>
              </w:rPr>
              <w:t>(6)</w:t>
            </w:r>
          </w:p>
        </w:tc>
        <w:tc>
          <w:tcPr>
            <w:tcW w:w="880" w:type="dxa"/>
            <w:vAlign w:val="bottom"/>
          </w:tcPr>
          <w:p>
            <w:pPr>
              <w:jc w:val="right"/>
              <w:ind w:right="101"/>
              <w:spacing w:after="0"/>
              <w:rPr>
                <w:sz w:val="20"/>
                <w:szCs w:val="20"/>
                <w:color w:val="auto"/>
              </w:rPr>
            </w:pPr>
            <w:r>
              <w:rPr>
                <w:rFonts w:ascii="Arial" w:cs="Arial" w:eastAsia="Arial" w:hAnsi="Arial"/>
                <w:sz w:val="16"/>
                <w:szCs w:val="16"/>
                <w:color w:val="auto"/>
              </w:rPr>
              <w:t>6</w:t>
            </w:r>
          </w:p>
        </w:tc>
        <w:tc>
          <w:tcPr>
            <w:tcW w:w="800" w:type="dxa"/>
            <w:vAlign w:val="bottom"/>
          </w:tcPr>
          <w:p>
            <w:pPr>
              <w:jc w:val="right"/>
              <w:ind w:right="101"/>
              <w:spacing w:after="0"/>
              <w:rPr>
                <w:sz w:val="20"/>
                <w:szCs w:val="20"/>
                <w:color w:val="auto"/>
              </w:rPr>
            </w:pPr>
            <w:r>
              <w:rPr>
                <w:rFonts w:ascii="Arial" w:cs="Arial" w:eastAsia="Arial" w:hAnsi="Arial"/>
                <w:sz w:val="16"/>
                <w:szCs w:val="16"/>
                <w:color w:val="auto"/>
              </w:rPr>
              <w:t>3</w:t>
            </w:r>
          </w:p>
        </w:tc>
      </w:tr>
      <w:tr>
        <w:trPr>
          <w:trHeight w:val="186"/>
        </w:trPr>
        <w:tc>
          <w:tcPr>
            <w:tcW w:w="4180" w:type="dxa"/>
            <w:vAlign w:val="bottom"/>
          </w:tcPr>
          <w:p>
            <w:pPr>
              <w:spacing w:after="0"/>
              <w:rPr>
                <w:sz w:val="20"/>
                <w:szCs w:val="20"/>
                <w:color w:val="auto"/>
              </w:rPr>
            </w:pPr>
            <w:r>
              <w:rPr>
                <w:rFonts w:ascii="Arial" w:cs="Arial" w:eastAsia="Arial" w:hAnsi="Arial"/>
                <w:sz w:val="16"/>
                <w:szCs w:val="16"/>
                <w:color w:val="auto"/>
              </w:rPr>
              <w:t> Expense to equity</w:t>
            </w:r>
          </w:p>
        </w:tc>
        <w:tc>
          <w:tcPr>
            <w:tcW w:w="164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21"/>
              <w:spacing w:after="0"/>
              <w:rPr>
                <w:sz w:val="20"/>
                <w:szCs w:val="20"/>
                <w:color w:val="auto"/>
              </w:rPr>
            </w:pPr>
            <w:r>
              <w:rPr>
                <w:rFonts w:ascii="Arial" w:cs="Arial" w:eastAsia="Arial" w:hAnsi="Arial"/>
                <w:sz w:val="16"/>
                <w:szCs w:val="16"/>
                <w:color w:val="auto"/>
              </w:rPr>
              <w:t>(3)</w:t>
            </w:r>
          </w:p>
        </w:tc>
        <w:tc>
          <w:tcPr>
            <w:tcW w:w="8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(3)</w:t>
            </w:r>
          </w:p>
        </w:tc>
      </w:tr>
      <w:tr>
        <w:trPr>
          <w:trHeight w:val="200"/>
        </w:trPr>
        <w:tc>
          <w:tcPr>
            <w:tcW w:w="418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 Translation and other, net</w:t>
            </w:r>
          </w:p>
        </w:tc>
        <w:tc>
          <w:tcPr>
            <w:tcW w:w="1640" w:type="dxa"/>
            <w:vAlign w:val="bottom"/>
            <w:tcBorders>
              <w:bottom w:val="single" w:sz="8" w:color="B2B2B2"/>
            </w:tcBorders>
          </w:tcPr>
          <w:p>
            <w:pPr>
              <w:jc w:val="right"/>
              <w:ind w:right="101"/>
              <w:spacing w:after="0"/>
              <w:rPr>
                <w:sz w:val="20"/>
                <w:szCs w:val="20"/>
                <w:color w:val="auto"/>
              </w:rPr>
            </w:pPr>
            <w:r>
              <w:rPr>
                <w:rFonts w:ascii="Arial" w:cs="Arial" w:eastAsia="Arial" w:hAnsi="Arial"/>
                <w:sz w:val="16"/>
                <w:szCs w:val="16"/>
                <w:color w:val="auto"/>
              </w:rPr>
              <w:t>(1)</w:t>
            </w:r>
          </w:p>
        </w:tc>
        <w:tc>
          <w:tcPr>
            <w:tcW w:w="1740" w:type="dxa"/>
            <w:vAlign w:val="bottom"/>
            <w:tcBorders>
              <w:bottom w:val="single" w:sz="8" w:color="B2B2B2"/>
            </w:tcBorders>
          </w:tcPr>
          <w:p>
            <w:pPr>
              <w:jc w:val="right"/>
              <w:ind w:right="161"/>
              <w:spacing w:after="0"/>
              <w:rPr>
                <w:sz w:val="20"/>
                <w:szCs w:val="20"/>
                <w:color w:val="auto"/>
              </w:rPr>
            </w:pPr>
            <w:r>
              <w:rPr>
                <w:rFonts w:ascii="Arial" w:cs="Arial" w:eastAsia="Arial" w:hAnsi="Arial"/>
                <w:sz w:val="16"/>
                <w:szCs w:val="16"/>
                <w:color w:val="auto"/>
              </w:rPr>
              <w:t>1</w:t>
            </w:r>
          </w:p>
        </w:tc>
        <w:tc>
          <w:tcPr>
            <w:tcW w:w="156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color w:val="auto"/>
              </w:rPr>
              <w:t>1</w:t>
            </w:r>
          </w:p>
        </w:tc>
        <w:tc>
          <w:tcPr>
            <w:tcW w:w="880" w:type="dxa"/>
            <w:vAlign w:val="bottom"/>
            <w:tcBorders>
              <w:bottom w:val="single" w:sz="8" w:color="B2B2B2"/>
            </w:tcBorders>
          </w:tcPr>
          <w:p>
            <w:pPr>
              <w:jc w:val="right"/>
              <w:ind w:right="10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B2B2B2"/>
            </w:tcBorders>
          </w:tcPr>
          <w:p>
            <w:pPr>
              <w:jc w:val="right"/>
              <w:ind w:right="101"/>
              <w:spacing w:after="0"/>
              <w:rPr>
                <w:sz w:val="20"/>
                <w:szCs w:val="20"/>
                <w:color w:val="auto"/>
              </w:rPr>
            </w:pPr>
            <w:r>
              <w:rPr>
                <w:rFonts w:ascii="Arial" w:cs="Arial" w:eastAsia="Arial" w:hAnsi="Arial"/>
                <w:sz w:val="16"/>
                <w:szCs w:val="16"/>
                <w:color w:val="auto"/>
              </w:rPr>
              <w:t>1</w:t>
            </w:r>
          </w:p>
        </w:tc>
      </w:tr>
      <w:tr>
        <w:trPr>
          <w:trHeight w:val="179"/>
        </w:trPr>
        <w:tc>
          <w:tcPr>
            <w:tcW w:w="418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 December 31, 2023</w:t>
            </w:r>
          </w:p>
        </w:tc>
        <w:tc>
          <w:tcPr>
            <w:tcW w:w="1640" w:type="dxa"/>
            <w:vAlign w:val="bottom"/>
            <w:tcBorders>
              <w:bottom w:val="single" w:sz="8" w:color="B2B2B2"/>
            </w:tcBorders>
          </w:tcPr>
          <w:p>
            <w:pPr>
              <w:jc w:val="right"/>
              <w:ind w:right="161"/>
              <w:spacing w:after="0" w:line="179" w:lineRule="exact"/>
              <w:rPr>
                <w:sz w:val="20"/>
                <w:szCs w:val="20"/>
                <w:color w:val="auto"/>
              </w:rPr>
            </w:pPr>
            <w:r>
              <w:rPr>
                <w:rFonts w:ascii="Arial" w:cs="Arial" w:eastAsia="Arial" w:hAnsi="Arial"/>
                <w:sz w:val="16"/>
                <w:szCs w:val="16"/>
                <w:b w:val="1"/>
                <w:bCs w:val="1"/>
                <w:color w:val="auto"/>
              </w:rPr>
              <w:t>190</w:t>
            </w:r>
          </w:p>
        </w:tc>
        <w:tc>
          <w:tcPr>
            <w:tcW w:w="1740" w:type="dxa"/>
            <w:vAlign w:val="bottom"/>
            <w:tcBorders>
              <w:bottom w:val="single" w:sz="8" w:color="B2B2B2"/>
            </w:tcBorders>
          </w:tcPr>
          <w:p>
            <w:pPr>
              <w:jc w:val="right"/>
              <w:ind w:right="161"/>
              <w:spacing w:after="0" w:line="179" w:lineRule="exact"/>
              <w:rPr>
                <w:sz w:val="20"/>
                <w:szCs w:val="20"/>
                <w:color w:val="auto"/>
              </w:rPr>
            </w:pPr>
            <w:r>
              <w:rPr>
                <w:rFonts w:ascii="Arial" w:cs="Arial" w:eastAsia="Arial" w:hAnsi="Arial"/>
                <w:sz w:val="16"/>
                <w:szCs w:val="16"/>
                <w:b w:val="1"/>
                <w:bCs w:val="1"/>
                <w:color w:val="auto"/>
              </w:rPr>
              <w:t>980</w:t>
            </w:r>
          </w:p>
        </w:tc>
        <w:tc>
          <w:tcPr>
            <w:tcW w:w="1560" w:type="dxa"/>
            <w:vAlign w:val="bottom"/>
            <w:tcBorders>
              <w:bottom w:val="single" w:sz="8" w:color="B2B2B2"/>
            </w:tcBorders>
          </w:tcPr>
          <w:p>
            <w:pPr>
              <w:jc w:val="right"/>
              <w:ind w:right="181"/>
              <w:spacing w:after="0" w:line="179" w:lineRule="exact"/>
              <w:rPr>
                <w:sz w:val="20"/>
                <w:szCs w:val="20"/>
                <w:color w:val="auto"/>
              </w:rPr>
            </w:pPr>
            <w:r>
              <w:rPr>
                <w:rFonts w:ascii="Arial" w:cs="Arial" w:eastAsia="Arial" w:hAnsi="Arial"/>
                <w:sz w:val="16"/>
                <w:szCs w:val="16"/>
                <w:b w:val="1"/>
                <w:bCs w:val="1"/>
                <w:color w:val="auto"/>
              </w:rPr>
              <w:t>177</w:t>
            </w:r>
          </w:p>
        </w:tc>
        <w:tc>
          <w:tcPr>
            <w:tcW w:w="880" w:type="dxa"/>
            <w:vAlign w:val="bottom"/>
            <w:tcBorders>
              <w:bottom w:val="single" w:sz="8" w:color="B2B2B2"/>
            </w:tcBorders>
          </w:tcPr>
          <w:p>
            <w:pPr>
              <w:jc w:val="right"/>
              <w:ind w:right="101"/>
              <w:spacing w:after="0" w:line="179" w:lineRule="exact"/>
              <w:rPr>
                <w:sz w:val="20"/>
                <w:szCs w:val="20"/>
                <w:color w:val="auto"/>
              </w:rPr>
            </w:pPr>
            <w:r>
              <w:rPr>
                <w:rFonts w:ascii="Arial" w:cs="Arial" w:eastAsia="Arial" w:hAnsi="Arial"/>
                <w:sz w:val="16"/>
                <w:szCs w:val="16"/>
                <w:b w:val="1"/>
                <w:bCs w:val="1"/>
                <w:color w:val="auto"/>
              </w:rPr>
              <w:t>164</w:t>
            </w:r>
          </w:p>
        </w:tc>
        <w:tc>
          <w:tcPr>
            <w:tcW w:w="800" w:type="dxa"/>
            <w:vAlign w:val="bottom"/>
            <w:tcBorders>
              <w:bottom w:val="single" w:sz="8" w:color="B2B2B2"/>
            </w:tcBorders>
          </w:tcPr>
          <w:p>
            <w:pPr>
              <w:jc w:val="right"/>
              <w:ind w:right="101"/>
              <w:spacing w:after="0" w:line="179" w:lineRule="exact"/>
              <w:rPr>
                <w:sz w:val="20"/>
                <w:szCs w:val="20"/>
                <w:color w:val="auto"/>
              </w:rPr>
            </w:pPr>
            <w:r>
              <w:rPr>
                <w:rFonts w:ascii="Arial" w:cs="Arial" w:eastAsia="Arial" w:hAnsi="Arial"/>
                <w:sz w:val="16"/>
                <w:szCs w:val="16"/>
                <w:b w:val="1"/>
                <w:bCs w:val="1"/>
                <w:color w:val="auto"/>
              </w:rPr>
              <w:t>1,511</w:t>
            </w:r>
          </w:p>
        </w:tc>
      </w:tr>
      <w:tr>
        <w:trPr>
          <w:trHeight w:val="204"/>
        </w:trPr>
        <w:tc>
          <w:tcPr>
            <w:tcW w:w="4180" w:type="dxa"/>
            <w:vAlign w:val="bottom"/>
          </w:tcPr>
          <w:p>
            <w:pPr>
              <w:spacing w:after="0"/>
              <w:rPr>
                <w:sz w:val="20"/>
                <w:szCs w:val="20"/>
                <w:color w:val="auto"/>
              </w:rPr>
            </w:pPr>
            <w:r>
              <w:rPr>
                <w:rFonts w:ascii="Arial" w:cs="Arial" w:eastAsia="Arial" w:hAnsi="Arial"/>
                <w:sz w:val="16"/>
                <w:szCs w:val="16"/>
                <w:color w:val="auto"/>
              </w:rPr>
              <w:t> Acquisitions</w:t>
            </w:r>
          </w:p>
        </w:tc>
        <w:tc>
          <w:tcPr>
            <w:tcW w:w="1640" w:type="dxa"/>
            <w:vAlign w:val="bottom"/>
          </w:tcPr>
          <w:p>
            <w:pPr>
              <w:jc w:val="right"/>
              <w:ind w:right="161"/>
              <w:spacing w:after="0"/>
              <w:rPr>
                <w:sz w:val="20"/>
                <w:szCs w:val="20"/>
                <w:color w:val="auto"/>
              </w:rPr>
            </w:pPr>
            <w:r>
              <w:rPr>
                <w:rFonts w:ascii="Arial" w:cs="Arial" w:eastAsia="Arial" w:hAnsi="Arial"/>
                <w:sz w:val="16"/>
                <w:szCs w:val="16"/>
                <w:b w:val="1"/>
                <w:bCs w:val="1"/>
                <w:color w:val="auto"/>
              </w:rPr>
              <w:t>18</w:t>
            </w:r>
          </w:p>
        </w:tc>
        <w:tc>
          <w:tcPr>
            <w:tcW w:w="1740" w:type="dxa"/>
            <w:vAlign w:val="bottom"/>
          </w:tcPr>
          <w:p>
            <w:pPr>
              <w:jc w:val="right"/>
              <w:ind w:right="161"/>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ind w:right="181"/>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1"/>
              <w:spacing w:after="0"/>
              <w:rPr>
                <w:sz w:val="20"/>
                <w:szCs w:val="20"/>
                <w:color w:val="auto"/>
              </w:rPr>
            </w:pPr>
            <w:r>
              <w:rPr>
                <w:rFonts w:ascii="Arial" w:cs="Arial" w:eastAsia="Arial" w:hAnsi="Arial"/>
                <w:sz w:val="16"/>
                <w:szCs w:val="16"/>
                <w:b w:val="1"/>
                <w:bCs w:val="1"/>
                <w:color w:val="auto"/>
              </w:rPr>
              <w:t>1</w:t>
            </w: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19</w:t>
            </w:r>
          </w:p>
        </w:tc>
      </w:tr>
      <w:tr>
        <w:trPr>
          <w:trHeight w:val="185"/>
        </w:trPr>
        <w:tc>
          <w:tcPr>
            <w:tcW w:w="4180" w:type="dxa"/>
            <w:vAlign w:val="bottom"/>
          </w:tcPr>
          <w:p>
            <w:pPr>
              <w:spacing w:after="0"/>
              <w:rPr>
                <w:sz w:val="20"/>
                <w:szCs w:val="20"/>
                <w:color w:val="auto"/>
              </w:rPr>
            </w:pPr>
            <w:r>
              <w:rPr>
                <w:rFonts w:ascii="Arial" w:cs="Arial" w:eastAsia="Arial" w:hAnsi="Arial"/>
                <w:sz w:val="16"/>
                <w:szCs w:val="16"/>
                <w:color w:val="auto"/>
              </w:rPr>
              <w:t> Benefit (expense) to income statement – continuing</w:t>
            </w:r>
          </w:p>
        </w:tc>
        <w:tc>
          <w:tcPr>
            <w:tcW w:w="16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6"/>
        </w:trPr>
        <w:tc>
          <w:tcPr>
            <w:tcW w:w="4180" w:type="dxa"/>
            <w:vAlign w:val="bottom"/>
          </w:tcPr>
          <w:p>
            <w:pPr>
              <w:ind w:left="180"/>
              <w:spacing w:after="0"/>
              <w:rPr>
                <w:sz w:val="20"/>
                <w:szCs w:val="20"/>
                <w:color w:val="auto"/>
              </w:rPr>
            </w:pPr>
            <w:r>
              <w:rPr>
                <w:rFonts w:ascii="Arial" w:cs="Arial" w:eastAsia="Arial" w:hAnsi="Arial"/>
                <w:sz w:val="16"/>
                <w:szCs w:val="16"/>
                <w:color w:val="auto"/>
              </w:rPr>
              <w:t>operations</w:t>
            </w:r>
          </w:p>
        </w:tc>
        <w:tc>
          <w:tcPr>
            <w:tcW w:w="1640" w:type="dxa"/>
            <w:vAlign w:val="bottom"/>
          </w:tcPr>
          <w:p>
            <w:pPr>
              <w:jc w:val="right"/>
              <w:ind w:right="161"/>
              <w:spacing w:after="0"/>
              <w:rPr>
                <w:sz w:val="20"/>
                <w:szCs w:val="20"/>
                <w:color w:val="auto"/>
              </w:rPr>
            </w:pPr>
            <w:r>
              <w:rPr>
                <w:rFonts w:ascii="Arial" w:cs="Arial" w:eastAsia="Arial" w:hAnsi="Arial"/>
                <w:sz w:val="16"/>
                <w:szCs w:val="16"/>
                <w:b w:val="1"/>
                <w:bCs w:val="1"/>
                <w:color w:val="auto"/>
              </w:rPr>
              <w:t>323</w:t>
            </w:r>
          </w:p>
        </w:tc>
        <w:tc>
          <w:tcPr>
            <w:tcW w:w="1740" w:type="dxa"/>
            <w:vAlign w:val="bottom"/>
          </w:tcPr>
          <w:p>
            <w:pPr>
              <w:jc w:val="right"/>
              <w:ind w:right="101"/>
              <w:spacing w:after="0"/>
              <w:rPr>
                <w:sz w:val="20"/>
                <w:szCs w:val="20"/>
                <w:color w:val="auto"/>
              </w:rPr>
            </w:pPr>
            <w:r>
              <w:rPr>
                <w:rFonts w:ascii="Arial" w:cs="Arial" w:eastAsia="Arial" w:hAnsi="Arial"/>
                <w:sz w:val="16"/>
                <w:szCs w:val="16"/>
                <w:b w:val="1"/>
                <w:bCs w:val="1"/>
                <w:color w:val="auto"/>
              </w:rPr>
              <w:t>(113)</w:t>
            </w:r>
          </w:p>
        </w:tc>
        <w:tc>
          <w:tcPr>
            <w:tcW w:w="1560" w:type="dxa"/>
            <w:vAlign w:val="bottom"/>
          </w:tcPr>
          <w:p>
            <w:pPr>
              <w:jc w:val="right"/>
              <w:ind w:right="181"/>
              <w:spacing w:after="0"/>
              <w:rPr>
                <w:sz w:val="20"/>
                <w:szCs w:val="20"/>
                <w:color w:val="auto"/>
              </w:rPr>
            </w:pPr>
            <w:r>
              <w:rPr>
                <w:rFonts w:ascii="Arial" w:cs="Arial" w:eastAsia="Arial" w:hAnsi="Arial"/>
                <w:sz w:val="16"/>
                <w:szCs w:val="16"/>
                <w:b w:val="1"/>
                <w:bCs w:val="1"/>
                <w:color w:val="auto"/>
              </w:rPr>
              <w:t>5</w:t>
            </w:r>
          </w:p>
        </w:tc>
        <w:tc>
          <w:tcPr>
            <w:tcW w:w="880" w:type="dxa"/>
            <w:vAlign w:val="bottom"/>
          </w:tcPr>
          <w:p>
            <w:pPr>
              <w:jc w:val="right"/>
              <w:ind w:right="101"/>
              <w:spacing w:after="0"/>
              <w:rPr>
                <w:sz w:val="20"/>
                <w:szCs w:val="20"/>
                <w:color w:val="auto"/>
              </w:rPr>
            </w:pPr>
            <w:r>
              <w:rPr>
                <w:rFonts w:ascii="Arial" w:cs="Arial" w:eastAsia="Arial" w:hAnsi="Arial"/>
                <w:sz w:val="16"/>
                <w:szCs w:val="16"/>
                <w:b w:val="1"/>
                <w:bCs w:val="1"/>
                <w:color w:val="auto"/>
              </w:rPr>
              <w:t>108</w:t>
            </w: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323</w:t>
            </w:r>
          </w:p>
        </w:tc>
      </w:tr>
      <w:tr>
        <w:trPr>
          <w:trHeight w:val="185"/>
        </w:trPr>
        <w:tc>
          <w:tcPr>
            <w:tcW w:w="4180" w:type="dxa"/>
            <w:vAlign w:val="bottom"/>
          </w:tcPr>
          <w:p>
            <w:pPr>
              <w:spacing w:after="0"/>
              <w:rPr>
                <w:sz w:val="20"/>
                <w:szCs w:val="20"/>
                <w:color w:val="auto"/>
              </w:rPr>
            </w:pPr>
            <w:r>
              <w:rPr>
                <w:rFonts w:ascii="Arial" w:cs="Arial" w:eastAsia="Arial" w:hAnsi="Arial"/>
                <w:sz w:val="16"/>
                <w:szCs w:val="16"/>
                <w:color w:val="auto"/>
              </w:rPr>
              <w:t> Expense to other comprehensive income</w:t>
            </w:r>
          </w:p>
        </w:tc>
        <w:tc>
          <w:tcPr>
            <w:tcW w:w="1640" w:type="dxa"/>
            <w:vAlign w:val="bottom"/>
          </w:tcPr>
          <w:p>
            <w:pPr>
              <w:jc w:val="right"/>
              <w:ind w:right="161"/>
              <w:spacing w:after="0"/>
              <w:rPr>
                <w:sz w:val="20"/>
                <w:szCs w:val="20"/>
                <w:color w:val="auto"/>
              </w:rPr>
            </w:pPr>
            <w:r>
              <w:rPr>
                <w:rFonts w:ascii="Arial" w:cs="Arial" w:eastAsia="Arial" w:hAnsi="Arial"/>
                <w:sz w:val="16"/>
                <w:szCs w:val="16"/>
                <w:b w:val="1"/>
                <w:bCs w:val="1"/>
                <w:color w:val="auto"/>
              </w:rPr>
              <w:t>-</w:t>
            </w:r>
          </w:p>
        </w:tc>
        <w:tc>
          <w:tcPr>
            <w:tcW w:w="1740" w:type="dxa"/>
            <w:vAlign w:val="bottom"/>
          </w:tcPr>
          <w:p>
            <w:pPr>
              <w:jc w:val="right"/>
              <w:ind w:right="161"/>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ind w:right="121"/>
              <w:spacing w:after="0"/>
              <w:rPr>
                <w:sz w:val="20"/>
                <w:szCs w:val="20"/>
                <w:color w:val="auto"/>
              </w:rPr>
            </w:pPr>
            <w:r>
              <w:rPr>
                <w:rFonts w:ascii="Arial" w:cs="Arial" w:eastAsia="Arial" w:hAnsi="Arial"/>
                <w:sz w:val="16"/>
                <w:szCs w:val="16"/>
                <w:b w:val="1"/>
                <w:bCs w:val="1"/>
                <w:color w:val="auto"/>
              </w:rPr>
              <w:t>(5)</w:t>
            </w:r>
          </w:p>
        </w:tc>
        <w:tc>
          <w:tcPr>
            <w:tcW w:w="880" w:type="dxa"/>
            <w:vAlign w:val="bottom"/>
          </w:tcPr>
          <w:p>
            <w:pPr>
              <w:jc w:val="right"/>
              <w:ind w:right="61"/>
              <w:spacing w:after="0"/>
              <w:rPr>
                <w:sz w:val="20"/>
                <w:szCs w:val="20"/>
                <w:color w:val="auto"/>
              </w:rPr>
            </w:pPr>
            <w:r>
              <w:rPr>
                <w:rFonts w:ascii="Arial" w:cs="Arial" w:eastAsia="Arial" w:hAnsi="Arial"/>
                <w:sz w:val="16"/>
                <w:szCs w:val="16"/>
                <w:b w:val="1"/>
                <w:bCs w:val="1"/>
                <w:color w:val="auto"/>
              </w:rPr>
              <w:t>(1)</w:t>
            </w:r>
          </w:p>
        </w:tc>
        <w:tc>
          <w:tcPr>
            <w:tcW w:w="800" w:type="dxa"/>
            <w:vAlign w:val="bottom"/>
          </w:tcPr>
          <w:p>
            <w:pPr>
              <w:jc w:val="right"/>
              <w:ind w:right="41"/>
              <w:spacing w:after="0"/>
              <w:rPr>
                <w:sz w:val="20"/>
                <w:szCs w:val="20"/>
                <w:color w:val="auto"/>
              </w:rPr>
            </w:pPr>
            <w:r>
              <w:rPr>
                <w:rFonts w:ascii="Arial" w:cs="Arial" w:eastAsia="Arial" w:hAnsi="Arial"/>
                <w:sz w:val="16"/>
                <w:szCs w:val="16"/>
                <w:b w:val="1"/>
                <w:bCs w:val="1"/>
                <w:color w:val="auto"/>
              </w:rPr>
              <w:t>(6)</w:t>
            </w:r>
          </w:p>
        </w:tc>
      </w:tr>
      <w:tr>
        <w:trPr>
          <w:trHeight w:val="186"/>
        </w:trPr>
        <w:tc>
          <w:tcPr>
            <w:tcW w:w="4180" w:type="dxa"/>
            <w:vAlign w:val="bottom"/>
          </w:tcPr>
          <w:p>
            <w:pPr>
              <w:spacing w:after="0"/>
              <w:rPr>
                <w:sz w:val="20"/>
                <w:szCs w:val="20"/>
                <w:color w:val="auto"/>
              </w:rPr>
            </w:pPr>
            <w:r>
              <w:rPr>
                <w:rFonts w:ascii="Arial" w:cs="Arial" w:eastAsia="Arial" w:hAnsi="Arial"/>
                <w:sz w:val="16"/>
                <w:szCs w:val="16"/>
                <w:color w:val="auto"/>
              </w:rPr>
              <w:t> Expense to equity</w:t>
            </w:r>
          </w:p>
        </w:tc>
        <w:tc>
          <w:tcPr>
            <w:tcW w:w="1640" w:type="dxa"/>
            <w:vAlign w:val="bottom"/>
          </w:tcPr>
          <w:p>
            <w:pPr>
              <w:jc w:val="right"/>
              <w:ind w:right="161"/>
              <w:spacing w:after="0"/>
              <w:rPr>
                <w:sz w:val="20"/>
                <w:szCs w:val="20"/>
                <w:color w:val="auto"/>
              </w:rPr>
            </w:pPr>
            <w:r>
              <w:rPr>
                <w:rFonts w:ascii="Arial" w:cs="Arial" w:eastAsia="Arial" w:hAnsi="Arial"/>
                <w:sz w:val="16"/>
                <w:szCs w:val="16"/>
                <w:b w:val="1"/>
                <w:bCs w:val="1"/>
                <w:color w:val="auto"/>
              </w:rPr>
              <w:t>-</w:t>
            </w:r>
          </w:p>
        </w:tc>
        <w:tc>
          <w:tcPr>
            <w:tcW w:w="1740" w:type="dxa"/>
            <w:vAlign w:val="bottom"/>
          </w:tcPr>
          <w:p>
            <w:pPr>
              <w:jc w:val="right"/>
              <w:ind w:right="161"/>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ind w:right="121"/>
              <w:spacing w:after="0"/>
              <w:rPr>
                <w:sz w:val="20"/>
                <w:szCs w:val="20"/>
                <w:color w:val="auto"/>
              </w:rPr>
            </w:pPr>
            <w:r>
              <w:rPr>
                <w:rFonts w:ascii="Arial" w:cs="Arial" w:eastAsia="Arial" w:hAnsi="Arial"/>
                <w:sz w:val="16"/>
                <w:szCs w:val="16"/>
                <w:b w:val="1"/>
                <w:bCs w:val="1"/>
                <w:color w:val="auto"/>
              </w:rPr>
              <w:t>(4)</w:t>
            </w:r>
          </w:p>
        </w:tc>
        <w:tc>
          <w:tcPr>
            <w:tcW w:w="880" w:type="dxa"/>
            <w:vAlign w:val="bottom"/>
          </w:tcPr>
          <w:p>
            <w:pPr>
              <w:jc w:val="right"/>
              <w:ind w:right="101"/>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b w:val="1"/>
                <w:bCs w:val="1"/>
                <w:color w:val="auto"/>
              </w:rPr>
              <w:t>(4)</w:t>
            </w:r>
          </w:p>
        </w:tc>
      </w:tr>
      <w:tr>
        <w:trPr>
          <w:trHeight w:val="200"/>
        </w:trPr>
        <w:tc>
          <w:tcPr>
            <w:tcW w:w="418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 Translation and other, net</w:t>
            </w:r>
          </w:p>
        </w:tc>
        <w:tc>
          <w:tcPr>
            <w:tcW w:w="1640" w:type="dxa"/>
            <w:vAlign w:val="bottom"/>
            <w:tcBorders>
              <w:bottom w:val="single" w:sz="8" w:color="B2B2B2"/>
            </w:tcBorders>
          </w:tcPr>
          <w:p>
            <w:pPr>
              <w:jc w:val="right"/>
              <w:ind w:right="101"/>
              <w:spacing w:after="0"/>
              <w:rPr>
                <w:sz w:val="20"/>
                <w:szCs w:val="20"/>
                <w:color w:val="auto"/>
              </w:rPr>
            </w:pPr>
            <w:r>
              <w:rPr>
                <w:rFonts w:ascii="Arial" w:cs="Arial" w:eastAsia="Arial" w:hAnsi="Arial"/>
                <w:sz w:val="16"/>
                <w:szCs w:val="16"/>
                <w:b w:val="1"/>
                <w:bCs w:val="1"/>
                <w:color w:val="auto"/>
              </w:rPr>
              <w:t>(8)</w:t>
            </w:r>
          </w:p>
        </w:tc>
        <w:tc>
          <w:tcPr>
            <w:tcW w:w="1740" w:type="dxa"/>
            <w:vAlign w:val="bottom"/>
            <w:tcBorders>
              <w:bottom w:val="single" w:sz="8" w:color="B2B2B2"/>
            </w:tcBorders>
          </w:tcPr>
          <w:p>
            <w:pPr>
              <w:jc w:val="right"/>
              <w:ind w:right="101"/>
              <w:spacing w:after="0"/>
              <w:rPr>
                <w:sz w:val="20"/>
                <w:szCs w:val="20"/>
                <w:color w:val="auto"/>
              </w:rPr>
            </w:pPr>
            <w:r>
              <w:rPr>
                <w:rFonts w:ascii="Arial" w:cs="Arial" w:eastAsia="Arial" w:hAnsi="Arial"/>
                <w:sz w:val="16"/>
                <w:szCs w:val="16"/>
                <w:b w:val="1"/>
                <w:bCs w:val="1"/>
                <w:color w:val="auto"/>
              </w:rPr>
              <w:t>(2)</w:t>
            </w:r>
          </w:p>
        </w:tc>
        <w:tc>
          <w:tcPr>
            <w:tcW w:w="156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B2B2B2"/>
            </w:tcBorders>
          </w:tcPr>
          <w:p>
            <w:pPr>
              <w:jc w:val="right"/>
              <w:ind w:right="61"/>
              <w:spacing w:after="0"/>
              <w:rPr>
                <w:sz w:val="20"/>
                <w:szCs w:val="20"/>
                <w:color w:val="auto"/>
              </w:rPr>
            </w:pPr>
            <w:r>
              <w:rPr>
                <w:rFonts w:ascii="Arial" w:cs="Arial" w:eastAsia="Arial" w:hAnsi="Arial"/>
                <w:sz w:val="16"/>
                <w:szCs w:val="16"/>
                <w:b w:val="1"/>
                <w:bCs w:val="1"/>
                <w:color w:val="auto"/>
              </w:rPr>
              <w:t>(1)</w:t>
            </w:r>
          </w:p>
        </w:tc>
        <w:tc>
          <w:tcPr>
            <w:tcW w:w="80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b w:val="1"/>
                <w:bCs w:val="1"/>
                <w:color w:val="auto"/>
              </w:rPr>
              <w:t>(11)</w:t>
            </w:r>
          </w:p>
        </w:tc>
      </w:tr>
      <w:tr>
        <w:trPr>
          <w:trHeight w:val="179"/>
        </w:trPr>
        <w:tc>
          <w:tcPr>
            <w:tcW w:w="418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b w:val="1"/>
                <w:bCs w:val="1"/>
                <w:color w:val="auto"/>
              </w:rPr>
              <w:t> December 31, 2024</w:t>
            </w:r>
          </w:p>
        </w:tc>
        <w:tc>
          <w:tcPr>
            <w:tcW w:w="1640" w:type="dxa"/>
            <w:vAlign w:val="bottom"/>
            <w:tcBorders>
              <w:bottom w:val="single" w:sz="8" w:color="B2B2B2"/>
            </w:tcBorders>
          </w:tcPr>
          <w:p>
            <w:pPr>
              <w:jc w:val="right"/>
              <w:ind w:right="161"/>
              <w:spacing w:after="0" w:line="179" w:lineRule="exact"/>
              <w:rPr>
                <w:sz w:val="20"/>
                <w:szCs w:val="20"/>
                <w:color w:val="auto"/>
              </w:rPr>
            </w:pPr>
            <w:r>
              <w:rPr>
                <w:rFonts w:ascii="Arial" w:cs="Arial" w:eastAsia="Arial" w:hAnsi="Arial"/>
                <w:sz w:val="16"/>
                <w:szCs w:val="16"/>
                <w:b w:val="1"/>
                <w:bCs w:val="1"/>
                <w:color w:val="auto"/>
              </w:rPr>
              <w:t>523</w:t>
            </w:r>
          </w:p>
        </w:tc>
        <w:tc>
          <w:tcPr>
            <w:tcW w:w="1740" w:type="dxa"/>
            <w:vAlign w:val="bottom"/>
            <w:tcBorders>
              <w:bottom w:val="single" w:sz="8" w:color="B2B2B2"/>
            </w:tcBorders>
          </w:tcPr>
          <w:p>
            <w:pPr>
              <w:jc w:val="right"/>
              <w:ind w:right="161"/>
              <w:spacing w:after="0" w:line="179" w:lineRule="exact"/>
              <w:rPr>
                <w:sz w:val="20"/>
                <w:szCs w:val="20"/>
                <w:color w:val="auto"/>
              </w:rPr>
            </w:pPr>
            <w:r>
              <w:rPr>
                <w:rFonts w:ascii="Arial" w:cs="Arial" w:eastAsia="Arial" w:hAnsi="Arial"/>
                <w:sz w:val="16"/>
                <w:szCs w:val="16"/>
                <w:b w:val="1"/>
                <w:bCs w:val="1"/>
                <w:color w:val="auto"/>
              </w:rPr>
              <w:t>865</w:t>
            </w:r>
          </w:p>
        </w:tc>
        <w:tc>
          <w:tcPr>
            <w:tcW w:w="1560" w:type="dxa"/>
            <w:vAlign w:val="bottom"/>
            <w:tcBorders>
              <w:bottom w:val="single" w:sz="8" w:color="B2B2B2"/>
            </w:tcBorders>
          </w:tcPr>
          <w:p>
            <w:pPr>
              <w:jc w:val="right"/>
              <w:ind w:right="181"/>
              <w:spacing w:after="0" w:line="179" w:lineRule="exact"/>
              <w:rPr>
                <w:sz w:val="20"/>
                <w:szCs w:val="20"/>
                <w:color w:val="auto"/>
              </w:rPr>
            </w:pPr>
            <w:r>
              <w:rPr>
                <w:rFonts w:ascii="Arial" w:cs="Arial" w:eastAsia="Arial" w:hAnsi="Arial"/>
                <w:sz w:val="16"/>
                <w:szCs w:val="16"/>
                <w:b w:val="1"/>
                <w:bCs w:val="1"/>
                <w:color w:val="auto"/>
              </w:rPr>
              <w:t>173</w:t>
            </w:r>
          </w:p>
        </w:tc>
        <w:tc>
          <w:tcPr>
            <w:tcW w:w="880" w:type="dxa"/>
            <w:vAlign w:val="bottom"/>
            <w:tcBorders>
              <w:bottom w:val="single" w:sz="8" w:color="B2B2B2"/>
            </w:tcBorders>
          </w:tcPr>
          <w:p>
            <w:pPr>
              <w:jc w:val="right"/>
              <w:ind w:right="101"/>
              <w:spacing w:after="0" w:line="179" w:lineRule="exact"/>
              <w:rPr>
                <w:sz w:val="20"/>
                <w:szCs w:val="20"/>
                <w:color w:val="auto"/>
              </w:rPr>
            </w:pPr>
            <w:r>
              <w:rPr>
                <w:rFonts w:ascii="Arial" w:cs="Arial" w:eastAsia="Arial" w:hAnsi="Arial"/>
                <w:sz w:val="16"/>
                <w:szCs w:val="16"/>
                <w:b w:val="1"/>
                <w:bCs w:val="1"/>
                <w:color w:val="auto"/>
              </w:rPr>
              <w:t>271</w:t>
            </w:r>
          </w:p>
        </w:tc>
        <w:tc>
          <w:tcPr>
            <w:tcW w:w="800" w:type="dxa"/>
            <w:vAlign w:val="bottom"/>
            <w:tcBorders>
              <w:bottom w:val="single" w:sz="8" w:color="B2B2B2"/>
            </w:tcBorders>
          </w:tcPr>
          <w:p>
            <w:pPr>
              <w:jc w:val="right"/>
              <w:ind w:right="101"/>
              <w:spacing w:after="0" w:line="179" w:lineRule="exact"/>
              <w:rPr>
                <w:sz w:val="20"/>
                <w:szCs w:val="20"/>
                <w:color w:val="auto"/>
              </w:rPr>
            </w:pPr>
            <w:r>
              <w:rPr>
                <w:rFonts w:ascii="Arial" w:cs="Arial" w:eastAsia="Arial" w:hAnsi="Arial"/>
                <w:sz w:val="16"/>
                <w:szCs w:val="16"/>
                <w:b w:val="1"/>
                <w:bCs w:val="1"/>
                <w:color w:val="auto"/>
              </w:rPr>
              <w:t>1,832</w:t>
            </w:r>
          </w:p>
        </w:tc>
      </w:tr>
      <w:tr>
        <w:trPr>
          <w:trHeight w:val="204"/>
        </w:trPr>
        <w:tc>
          <w:tcPr>
            <w:tcW w:w="4180" w:type="dxa"/>
            <w:vAlign w:val="bottom"/>
          </w:tcPr>
          <w:p>
            <w:pPr>
              <w:spacing w:after="0"/>
              <w:rPr>
                <w:sz w:val="20"/>
                <w:szCs w:val="20"/>
                <w:color w:val="auto"/>
              </w:rPr>
            </w:pPr>
            <w:r>
              <w:rPr>
                <w:rFonts w:ascii="Arial" w:cs="Arial" w:eastAsia="Arial" w:hAnsi="Arial"/>
                <w:sz w:val="16"/>
                <w:szCs w:val="16"/>
                <w:color w:val="auto"/>
              </w:rPr>
              <w:t> Net deferred tax asset as of December 31, 2023</w:t>
            </w:r>
          </w:p>
        </w:tc>
        <w:tc>
          <w:tcPr>
            <w:tcW w:w="16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jc w:val="right"/>
              <w:ind w:right="101"/>
              <w:spacing w:after="0"/>
              <w:rPr>
                <w:sz w:val="20"/>
                <w:szCs w:val="20"/>
                <w:color w:val="auto"/>
              </w:rPr>
            </w:pPr>
            <w:r>
              <w:rPr>
                <w:rFonts w:ascii="Arial" w:cs="Arial" w:eastAsia="Arial" w:hAnsi="Arial"/>
                <w:sz w:val="16"/>
                <w:szCs w:val="16"/>
                <w:color w:val="auto"/>
              </w:rPr>
              <w:t>551</w:t>
            </w:r>
          </w:p>
        </w:tc>
      </w:tr>
      <w:tr>
        <w:trPr>
          <w:trHeight w:val="206"/>
        </w:trPr>
        <w:tc>
          <w:tcPr>
            <w:tcW w:w="4180" w:type="dxa"/>
            <w:vAlign w:val="bottom"/>
            <w:tcBorders>
              <w:bottom w:val="single" w:sz="8" w:color="D64000"/>
            </w:tcBorders>
          </w:tcPr>
          <w:p>
            <w:pPr>
              <w:spacing w:after="0"/>
              <w:rPr>
                <w:sz w:val="20"/>
                <w:szCs w:val="20"/>
                <w:color w:val="auto"/>
              </w:rPr>
            </w:pPr>
            <w:r>
              <w:rPr>
                <w:rFonts w:ascii="Arial" w:cs="Arial" w:eastAsia="Arial" w:hAnsi="Arial"/>
                <w:sz w:val="16"/>
                <w:szCs w:val="16"/>
                <w:b w:val="1"/>
                <w:bCs w:val="1"/>
                <w:color w:val="auto"/>
              </w:rPr>
              <w:t> Net deferred tax asset as of December 31, 2024</w:t>
            </w:r>
          </w:p>
        </w:tc>
        <w:tc>
          <w:tcPr>
            <w:tcW w:w="1640" w:type="dxa"/>
            <w:vAlign w:val="bottom"/>
            <w:tcBorders>
              <w:bottom w:val="single" w:sz="8" w:color="D64000"/>
            </w:tcBorders>
          </w:tcPr>
          <w:p>
            <w:pPr>
              <w:spacing w:after="0"/>
              <w:rPr>
                <w:sz w:val="17"/>
                <w:szCs w:val="17"/>
                <w:color w:val="auto"/>
              </w:rPr>
            </w:pPr>
          </w:p>
        </w:tc>
        <w:tc>
          <w:tcPr>
            <w:tcW w:w="1740" w:type="dxa"/>
            <w:vAlign w:val="bottom"/>
            <w:tcBorders>
              <w:bottom w:val="single" w:sz="8" w:color="D64000"/>
            </w:tcBorders>
          </w:tcPr>
          <w:p>
            <w:pPr>
              <w:spacing w:after="0"/>
              <w:rPr>
                <w:sz w:val="17"/>
                <w:szCs w:val="17"/>
                <w:color w:val="auto"/>
              </w:rPr>
            </w:pPr>
          </w:p>
        </w:tc>
        <w:tc>
          <w:tcPr>
            <w:tcW w:w="1560" w:type="dxa"/>
            <w:vAlign w:val="bottom"/>
            <w:tcBorders>
              <w:bottom w:val="single" w:sz="8" w:color="D64000"/>
            </w:tcBorders>
          </w:tcPr>
          <w:p>
            <w:pPr>
              <w:spacing w:after="0"/>
              <w:rPr>
                <w:sz w:val="17"/>
                <w:szCs w:val="17"/>
                <w:color w:val="auto"/>
              </w:rPr>
            </w:pPr>
          </w:p>
        </w:tc>
        <w:tc>
          <w:tcPr>
            <w:tcW w:w="880" w:type="dxa"/>
            <w:vAlign w:val="bottom"/>
            <w:tcBorders>
              <w:bottom w:val="single" w:sz="8" w:color="D64000"/>
            </w:tcBorders>
          </w:tcPr>
          <w:p>
            <w:pPr>
              <w:spacing w:after="0"/>
              <w:rPr>
                <w:sz w:val="17"/>
                <w:szCs w:val="17"/>
                <w:color w:val="auto"/>
              </w:rPr>
            </w:pPr>
          </w:p>
        </w:tc>
        <w:tc>
          <w:tcPr>
            <w:tcW w:w="800" w:type="dxa"/>
            <w:vAlign w:val="bottom"/>
            <w:tcBorders>
              <w:bottom w:val="single" w:sz="8" w:color="D64000"/>
            </w:tcBorders>
          </w:tcPr>
          <w:p>
            <w:pPr>
              <w:jc w:val="right"/>
              <w:ind w:right="101"/>
              <w:spacing w:after="0"/>
              <w:rPr>
                <w:sz w:val="20"/>
                <w:szCs w:val="20"/>
                <w:color w:val="auto"/>
              </w:rPr>
            </w:pPr>
            <w:r>
              <w:rPr>
                <w:rFonts w:ascii="Arial" w:cs="Arial" w:eastAsia="Arial" w:hAnsi="Arial"/>
                <w:sz w:val="16"/>
                <w:szCs w:val="16"/>
                <w:b w:val="1"/>
                <w:bCs w:val="1"/>
                <w:color w:val="auto"/>
              </w:rPr>
              <w:t>1,135</w:t>
            </w:r>
          </w:p>
        </w:tc>
      </w:tr>
    </w:tbl>
    <w:p>
      <w:pPr>
        <w:spacing w:after="0" w:line="84" w:lineRule="exact"/>
        <w:rPr>
          <w:sz w:val="20"/>
          <w:szCs w:val="20"/>
          <w:color w:val="auto"/>
        </w:rPr>
      </w:pPr>
    </w:p>
    <w:p>
      <w:pPr>
        <w:ind w:left="220" w:right="140"/>
        <w:spacing w:after="0" w:line="235" w:lineRule="auto"/>
        <w:rPr>
          <w:sz w:val="20"/>
          <w:szCs w:val="20"/>
          <w:color w:val="auto"/>
        </w:rPr>
      </w:pPr>
      <w:r>
        <w:rPr>
          <w:rFonts w:ascii="Arial" w:cs="Arial" w:eastAsia="Arial" w:hAnsi="Arial"/>
          <w:sz w:val="17"/>
          <w:szCs w:val="17"/>
          <w:color w:val="auto"/>
        </w:rPr>
        <w:t>In 2024, the Company recognized $468 million of deferred tax assets relating to new tax legislation enacted in Canada in June 2024. The new legislation reduced the Company’s ability to deduct interest expense against its Canadian taxable income, thereby increasing Canadian taxable profits such that the Company now expects to utilize tax loss carryforwards and other tax attributes. The Company’s Canadian affiliates incurred losses in preceding periods. The Company recalculated these prior year results as if the newly enacted legislation was in place. The Company concluded that its Canadian affiliates would have been profitable for tax purposes and will continue to be profitable based on the new legislation. This profitability supports the recognition of the deferred tax asset.</w:t>
      </w:r>
    </w:p>
    <w:p>
      <w:pPr>
        <w:spacing w:after="0" w:line="71" w:lineRule="exact"/>
        <w:rPr>
          <w:sz w:val="20"/>
          <w:szCs w:val="20"/>
          <w:color w:val="auto"/>
        </w:rPr>
      </w:pPr>
    </w:p>
    <w:p>
      <w:pPr>
        <w:ind w:left="220" w:right="500"/>
        <w:spacing w:after="0" w:line="260" w:lineRule="auto"/>
        <w:rPr>
          <w:sz w:val="20"/>
          <w:szCs w:val="20"/>
          <w:color w:val="auto"/>
        </w:rPr>
      </w:pPr>
      <w:r>
        <w:rPr>
          <w:rFonts w:ascii="Arial" w:cs="Arial" w:eastAsia="Arial" w:hAnsi="Arial"/>
          <w:sz w:val="17"/>
          <w:szCs w:val="17"/>
          <w:color w:val="auto"/>
        </w:rPr>
        <w:t>The estimated recovery period for the deferred tax balances, which is based on the classification of the underlying items in the consolidated statement of financial position,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115570</wp:posOffset>
            </wp:positionV>
            <wp:extent cx="686562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62"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8080" w:type="dxa"/>
            <w:vAlign w:val="bottom"/>
          </w:tcPr>
          <w:p>
            <w:pPr>
              <w:spacing w:after="0"/>
              <w:rPr>
                <w:sz w:val="17"/>
                <w:szCs w:val="17"/>
                <w:color w:val="auto"/>
              </w:rPr>
            </w:pPr>
          </w:p>
        </w:tc>
        <w:tc>
          <w:tcPr>
            <w:tcW w:w="720" w:type="dxa"/>
            <w:vAlign w:val="bottom"/>
            <w:shd w:val="clear" w:color="auto" w:fill="E3F3EE"/>
          </w:tcPr>
          <w:p>
            <w:pPr>
              <w:ind w:left="600"/>
              <w:spacing w:after="0"/>
              <w:rPr>
                <w:sz w:val="20"/>
                <w:szCs w:val="20"/>
                <w:color w:val="auto"/>
              </w:rPr>
            </w:pPr>
            <w:r>
              <w:rPr>
                <w:rFonts w:ascii="Arial" w:cs="Arial" w:eastAsia="Arial" w:hAnsi="Arial"/>
                <w:sz w:val="14"/>
                <w:szCs w:val="14"/>
                <w:b w:val="1"/>
                <w:bCs w:val="1"/>
                <w:color w:val="auto"/>
                <w:w w:val="71"/>
              </w:rPr>
              <w:t> </w:t>
            </w:r>
          </w:p>
        </w:tc>
        <w:tc>
          <w:tcPr>
            <w:tcW w:w="2000" w:type="dxa"/>
            <w:vAlign w:val="bottom"/>
            <w:gridSpan w:val="2"/>
            <w:shd w:val="clear" w:color="auto" w:fill="E3F3EE"/>
          </w:tcPr>
          <w:p>
            <w:pPr>
              <w:jc w:val="right"/>
              <w:ind w:right="321"/>
              <w:spacing w:after="0"/>
              <w:rPr>
                <w:sz w:val="20"/>
                <w:szCs w:val="20"/>
                <w:color w:val="auto"/>
              </w:rPr>
            </w:pPr>
            <w:r>
              <w:rPr>
                <w:rFonts w:ascii="Arial" w:cs="Arial" w:eastAsia="Arial" w:hAnsi="Arial"/>
                <w:sz w:val="16"/>
                <w:szCs w:val="16"/>
                <w:b w:val="1"/>
                <w:bCs w:val="1"/>
                <w:color w:val="auto"/>
                <w:w w:val="99"/>
              </w:rPr>
              <w:t xml:space="preserve">      December 31,    </w:t>
            </w:r>
          </w:p>
        </w:tc>
      </w:tr>
      <w:tr>
        <w:trPr>
          <w:trHeight w:val="192"/>
        </w:trPr>
        <w:tc>
          <w:tcPr>
            <w:tcW w:w="8080" w:type="dxa"/>
            <w:vAlign w:val="bottom"/>
            <w:tcBorders>
              <w:bottom w:val="single" w:sz="8" w:color="D64000"/>
            </w:tcBorders>
            <w:shd w:val="clear" w:color="auto" w:fill="1F473D"/>
          </w:tcPr>
          <w:p>
            <w:pPr>
              <w:spacing w:after="0"/>
              <w:rPr>
                <w:sz w:val="16"/>
                <w:szCs w:val="16"/>
                <w:color w:val="auto"/>
              </w:rPr>
            </w:pPr>
          </w:p>
        </w:tc>
        <w:tc>
          <w:tcPr>
            <w:tcW w:w="720" w:type="dxa"/>
            <w:vAlign w:val="bottom"/>
            <w:tcBorders>
              <w:bottom w:val="single" w:sz="8" w:color="D64000"/>
            </w:tcBorders>
            <w:shd w:val="clear" w:color="auto" w:fill="1F473D"/>
          </w:tcPr>
          <w:p>
            <w:pPr>
              <w:ind w:left="620"/>
              <w:spacing w:after="0"/>
              <w:rPr>
                <w:sz w:val="20"/>
                <w:szCs w:val="20"/>
                <w:color w:val="auto"/>
              </w:rPr>
            </w:pPr>
            <w:r>
              <w:rPr>
                <w:rFonts w:ascii="Arial" w:cs="Arial" w:eastAsia="Arial" w:hAnsi="Arial"/>
                <w:sz w:val="11"/>
                <w:szCs w:val="11"/>
                <w:b w:val="1"/>
                <w:bCs w:val="1"/>
                <w:color w:val="FFFFFF"/>
                <w:w w:val="72"/>
              </w:rPr>
              <w:t> </w:t>
            </w:r>
          </w:p>
        </w:tc>
        <w:tc>
          <w:tcPr>
            <w:tcW w:w="780" w:type="dxa"/>
            <w:vAlign w:val="bottom"/>
            <w:tcBorders>
              <w:bottom w:val="single" w:sz="8" w:color="D64000"/>
            </w:tcBorders>
            <w:shd w:val="clear" w:color="auto" w:fill="1F473D"/>
          </w:tcPr>
          <w:p>
            <w:pPr>
              <w:jc w:val="right"/>
              <w:ind w:right="201"/>
              <w:spacing w:after="0"/>
              <w:rPr>
                <w:sz w:val="20"/>
                <w:szCs w:val="20"/>
                <w:color w:val="auto"/>
              </w:rPr>
            </w:pPr>
            <w:r>
              <w:rPr>
                <w:rFonts w:ascii="Arial" w:cs="Arial" w:eastAsia="Arial" w:hAnsi="Arial"/>
                <w:sz w:val="16"/>
                <w:szCs w:val="16"/>
                <w:b w:val="1"/>
                <w:bCs w:val="1"/>
                <w:color w:val="FFFFFF"/>
                <w:w w:val="99"/>
              </w:rPr>
              <w:t>  2024</w:t>
            </w:r>
          </w:p>
        </w:tc>
        <w:tc>
          <w:tcPr>
            <w:tcW w:w="1220" w:type="dxa"/>
            <w:vAlign w:val="bottom"/>
            <w:tcBorders>
              <w:bottom w:val="single" w:sz="8" w:color="D64000"/>
            </w:tcBorders>
            <w:shd w:val="clear" w:color="auto" w:fill="1F473D"/>
          </w:tcPr>
          <w:p>
            <w:pPr>
              <w:jc w:val="right"/>
              <w:ind w:right="101"/>
              <w:spacing w:after="0"/>
              <w:rPr>
                <w:sz w:val="20"/>
                <w:szCs w:val="20"/>
                <w:color w:val="auto"/>
              </w:rPr>
            </w:pPr>
            <w:r>
              <w:rPr>
                <w:rFonts w:ascii="Arial" w:cs="Arial" w:eastAsia="Arial" w:hAnsi="Arial"/>
                <w:sz w:val="16"/>
                <w:szCs w:val="16"/>
                <w:color w:val="FFFFFF"/>
              </w:rPr>
              <w:t>        2023</w:t>
            </w:r>
          </w:p>
        </w:tc>
      </w:tr>
      <w:tr>
        <w:trPr>
          <w:trHeight w:val="171"/>
        </w:trPr>
        <w:tc>
          <w:tcPr>
            <w:tcW w:w="8800" w:type="dxa"/>
            <w:vAlign w:val="bottom"/>
            <w:gridSpan w:val="2"/>
          </w:tcPr>
          <w:p>
            <w:pPr>
              <w:spacing w:after="0" w:line="171" w:lineRule="exact"/>
              <w:rPr>
                <w:sz w:val="20"/>
                <w:szCs w:val="20"/>
                <w:color w:val="auto"/>
              </w:rPr>
            </w:pPr>
            <w:r>
              <w:rPr>
                <w:rFonts w:ascii="Arial" w:cs="Arial" w:eastAsia="Arial" w:hAnsi="Arial"/>
                <w:sz w:val="16"/>
                <w:szCs w:val="16"/>
                <w:color w:val="auto"/>
              </w:rPr>
              <w:t>Deferred tax liabilities</w:t>
            </w: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5"/>
        </w:trPr>
        <w:tc>
          <w:tcPr>
            <w:tcW w:w="8800" w:type="dxa"/>
            <w:vAlign w:val="bottom"/>
            <w:gridSpan w:val="2"/>
          </w:tcPr>
          <w:p>
            <w:pPr>
              <w:spacing w:after="0"/>
              <w:rPr>
                <w:sz w:val="20"/>
                <w:szCs w:val="20"/>
                <w:color w:val="auto"/>
              </w:rPr>
            </w:pPr>
            <w:r>
              <w:rPr>
                <w:rFonts w:ascii="Arial" w:cs="Arial" w:eastAsia="Arial" w:hAnsi="Arial"/>
                <w:sz w:val="16"/>
                <w:szCs w:val="16"/>
                <w:color w:val="auto"/>
              </w:rPr>
              <w:t>Deferred tax liabilities to be recovered after more than 12 months</w:t>
            </w:r>
          </w:p>
        </w:tc>
        <w:tc>
          <w:tcPr>
            <w:tcW w:w="780" w:type="dxa"/>
            <w:vAlign w:val="bottom"/>
          </w:tcPr>
          <w:p>
            <w:pPr>
              <w:jc w:val="right"/>
              <w:ind w:right="201"/>
              <w:spacing w:after="0"/>
              <w:rPr>
                <w:sz w:val="20"/>
                <w:szCs w:val="20"/>
                <w:color w:val="auto"/>
              </w:rPr>
            </w:pPr>
            <w:r>
              <w:rPr>
                <w:rFonts w:ascii="Arial" w:cs="Arial" w:eastAsia="Arial" w:hAnsi="Arial"/>
                <w:sz w:val="16"/>
                <w:szCs w:val="16"/>
                <w:color w:val="auto"/>
              </w:rPr>
              <w:t>690</w:t>
            </w:r>
          </w:p>
        </w:tc>
        <w:tc>
          <w:tcPr>
            <w:tcW w:w="1220" w:type="dxa"/>
            <w:vAlign w:val="bottom"/>
          </w:tcPr>
          <w:p>
            <w:pPr>
              <w:jc w:val="right"/>
              <w:ind w:right="101"/>
              <w:spacing w:after="0"/>
              <w:rPr>
                <w:sz w:val="20"/>
                <w:szCs w:val="20"/>
                <w:color w:val="auto"/>
              </w:rPr>
            </w:pPr>
            <w:r>
              <w:rPr>
                <w:rFonts w:ascii="Arial" w:cs="Arial" w:eastAsia="Arial" w:hAnsi="Arial"/>
                <w:sz w:val="16"/>
                <w:szCs w:val="16"/>
                <w:color w:val="auto"/>
              </w:rPr>
              <w:t>957</w:t>
            </w:r>
          </w:p>
        </w:tc>
      </w:tr>
      <w:tr>
        <w:trPr>
          <w:trHeight w:val="200"/>
        </w:trPr>
        <w:tc>
          <w:tcPr>
            <w:tcW w:w="880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color w:val="auto"/>
              </w:rPr>
              <w:t>Deferred tax liabilities to be recovered within 12 months</w:t>
            </w:r>
          </w:p>
        </w:tc>
        <w:tc>
          <w:tcPr>
            <w:tcW w:w="780" w:type="dxa"/>
            <w:vAlign w:val="bottom"/>
            <w:tcBorders>
              <w:bottom w:val="single" w:sz="8" w:color="B2B2B2"/>
            </w:tcBorders>
          </w:tcPr>
          <w:p>
            <w:pPr>
              <w:jc w:val="right"/>
              <w:ind w:right="201"/>
              <w:spacing w:after="0"/>
              <w:rPr>
                <w:sz w:val="20"/>
                <w:szCs w:val="20"/>
                <w:color w:val="auto"/>
              </w:rPr>
            </w:pPr>
            <w:r>
              <w:rPr>
                <w:rFonts w:ascii="Arial" w:cs="Arial" w:eastAsia="Arial" w:hAnsi="Arial"/>
                <w:sz w:val="16"/>
                <w:szCs w:val="16"/>
                <w:color w:val="auto"/>
              </w:rPr>
              <w:t>7</w:t>
            </w:r>
          </w:p>
        </w:tc>
        <w:tc>
          <w:tcPr>
            <w:tcW w:w="1220" w:type="dxa"/>
            <w:vAlign w:val="bottom"/>
            <w:tcBorders>
              <w:bottom w:val="single" w:sz="8" w:color="B2B2B2"/>
            </w:tcBorders>
          </w:tcPr>
          <w:p>
            <w:pPr>
              <w:jc w:val="right"/>
              <w:ind w:right="101"/>
              <w:spacing w:after="0"/>
              <w:rPr>
                <w:sz w:val="20"/>
                <w:szCs w:val="20"/>
                <w:color w:val="auto"/>
              </w:rPr>
            </w:pPr>
            <w:r>
              <w:rPr>
                <w:rFonts w:ascii="Arial" w:cs="Arial" w:eastAsia="Arial" w:hAnsi="Arial"/>
                <w:sz w:val="16"/>
                <w:szCs w:val="16"/>
                <w:color w:val="auto"/>
              </w:rPr>
              <w:t>3</w:t>
            </w:r>
          </w:p>
        </w:tc>
      </w:tr>
      <w:tr>
        <w:trPr>
          <w:trHeight w:val="179"/>
        </w:trPr>
        <w:tc>
          <w:tcPr>
            <w:tcW w:w="8800" w:type="dxa"/>
            <w:vAlign w:val="bottom"/>
            <w:tcBorders>
              <w:bottom w:val="single" w:sz="8" w:color="B2B2B2"/>
            </w:tcBorders>
            <w:gridSpan w:val="2"/>
          </w:tcPr>
          <w:p>
            <w:pPr>
              <w:spacing w:after="0" w:line="179" w:lineRule="exact"/>
              <w:rPr>
                <w:sz w:val="20"/>
                <w:szCs w:val="20"/>
                <w:color w:val="auto"/>
              </w:rPr>
            </w:pPr>
            <w:r>
              <w:rPr>
                <w:rFonts w:ascii="Arial" w:cs="Arial" w:eastAsia="Arial" w:hAnsi="Arial"/>
                <w:sz w:val="16"/>
                <w:szCs w:val="16"/>
                <w:color w:val="auto"/>
              </w:rPr>
              <w:t>Total deferred tax liabilities</w:t>
            </w:r>
          </w:p>
        </w:tc>
        <w:tc>
          <w:tcPr>
            <w:tcW w:w="780" w:type="dxa"/>
            <w:vAlign w:val="bottom"/>
            <w:tcBorders>
              <w:bottom w:val="single" w:sz="8" w:color="B2B2B2"/>
            </w:tcBorders>
          </w:tcPr>
          <w:p>
            <w:pPr>
              <w:jc w:val="right"/>
              <w:ind w:right="201"/>
              <w:spacing w:after="0" w:line="179" w:lineRule="exact"/>
              <w:rPr>
                <w:sz w:val="20"/>
                <w:szCs w:val="20"/>
                <w:color w:val="auto"/>
              </w:rPr>
            </w:pPr>
            <w:r>
              <w:rPr>
                <w:rFonts w:ascii="Arial" w:cs="Arial" w:eastAsia="Arial" w:hAnsi="Arial"/>
                <w:sz w:val="16"/>
                <w:szCs w:val="16"/>
                <w:b w:val="1"/>
                <w:bCs w:val="1"/>
                <w:color w:val="auto"/>
              </w:rPr>
              <w:t>697</w:t>
            </w:r>
          </w:p>
        </w:tc>
        <w:tc>
          <w:tcPr>
            <w:tcW w:w="1220" w:type="dxa"/>
            <w:vAlign w:val="bottom"/>
            <w:tcBorders>
              <w:bottom w:val="single" w:sz="8" w:color="B2B2B2"/>
            </w:tcBorders>
          </w:tcPr>
          <w:p>
            <w:pPr>
              <w:jc w:val="right"/>
              <w:ind w:right="101"/>
              <w:spacing w:after="0" w:line="179" w:lineRule="exact"/>
              <w:rPr>
                <w:sz w:val="20"/>
                <w:szCs w:val="20"/>
                <w:color w:val="auto"/>
              </w:rPr>
            </w:pPr>
            <w:r>
              <w:rPr>
                <w:rFonts w:ascii="Arial" w:cs="Arial" w:eastAsia="Arial" w:hAnsi="Arial"/>
                <w:sz w:val="16"/>
                <w:szCs w:val="16"/>
                <w:color w:val="auto"/>
              </w:rPr>
              <w:t>960</w:t>
            </w:r>
          </w:p>
        </w:tc>
      </w:tr>
      <w:tr>
        <w:trPr>
          <w:trHeight w:val="204"/>
        </w:trPr>
        <w:tc>
          <w:tcPr>
            <w:tcW w:w="8800" w:type="dxa"/>
            <w:vAlign w:val="bottom"/>
            <w:gridSpan w:val="2"/>
          </w:tcPr>
          <w:p>
            <w:pPr>
              <w:spacing w:after="0"/>
              <w:rPr>
                <w:sz w:val="20"/>
                <w:szCs w:val="20"/>
                <w:color w:val="auto"/>
              </w:rPr>
            </w:pPr>
            <w:r>
              <w:rPr>
                <w:rFonts w:ascii="Arial" w:cs="Arial" w:eastAsia="Arial" w:hAnsi="Arial"/>
                <w:sz w:val="16"/>
                <w:szCs w:val="16"/>
                <w:color w:val="auto"/>
              </w:rPr>
              <w:t>Deferred tax assets</w:t>
            </w: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85"/>
        </w:trPr>
        <w:tc>
          <w:tcPr>
            <w:tcW w:w="8800" w:type="dxa"/>
            <w:vAlign w:val="bottom"/>
            <w:gridSpan w:val="2"/>
          </w:tcPr>
          <w:p>
            <w:pPr>
              <w:spacing w:after="0"/>
              <w:rPr>
                <w:sz w:val="20"/>
                <w:szCs w:val="20"/>
                <w:color w:val="auto"/>
              </w:rPr>
            </w:pPr>
            <w:r>
              <w:rPr>
                <w:rFonts w:ascii="Arial" w:cs="Arial" w:eastAsia="Arial" w:hAnsi="Arial"/>
                <w:sz w:val="16"/>
                <w:szCs w:val="16"/>
                <w:color w:val="auto"/>
              </w:rPr>
              <w:t>Deferred tax assets to be recovered after more than 12 months</w:t>
            </w:r>
          </w:p>
        </w:tc>
        <w:tc>
          <w:tcPr>
            <w:tcW w:w="780" w:type="dxa"/>
            <w:vAlign w:val="bottom"/>
          </w:tcPr>
          <w:p>
            <w:pPr>
              <w:jc w:val="right"/>
              <w:ind w:right="201"/>
              <w:spacing w:after="0"/>
              <w:rPr>
                <w:sz w:val="20"/>
                <w:szCs w:val="20"/>
                <w:color w:val="auto"/>
              </w:rPr>
            </w:pPr>
            <w:r>
              <w:rPr>
                <w:rFonts w:ascii="Arial" w:cs="Arial" w:eastAsia="Arial" w:hAnsi="Arial"/>
                <w:sz w:val="16"/>
                <w:szCs w:val="16"/>
                <w:b w:val="1"/>
                <w:bCs w:val="1"/>
                <w:color w:val="auto"/>
              </w:rPr>
              <w:t>1,744</w:t>
            </w:r>
          </w:p>
        </w:tc>
        <w:tc>
          <w:tcPr>
            <w:tcW w:w="1220" w:type="dxa"/>
            <w:vAlign w:val="bottom"/>
          </w:tcPr>
          <w:p>
            <w:pPr>
              <w:jc w:val="right"/>
              <w:ind w:right="101"/>
              <w:spacing w:after="0"/>
              <w:rPr>
                <w:sz w:val="20"/>
                <w:szCs w:val="20"/>
                <w:color w:val="auto"/>
              </w:rPr>
            </w:pPr>
            <w:r>
              <w:rPr>
                <w:rFonts w:ascii="Arial" w:cs="Arial" w:eastAsia="Arial" w:hAnsi="Arial"/>
                <w:sz w:val="16"/>
                <w:szCs w:val="16"/>
                <w:color w:val="auto"/>
              </w:rPr>
              <w:t>1,428</w:t>
            </w:r>
          </w:p>
        </w:tc>
      </w:tr>
      <w:tr>
        <w:trPr>
          <w:trHeight w:val="200"/>
        </w:trPr>
        <w:tc>
          <w:tcPr>
            <w:tcW w:w="880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color w:val="auto"/>
              </w:rPr>
              <w:t>Deferred tax assets to be recovered within 12 months</w:t>
            </w:r>
          </w:p>
        </w:tc>
        <w:tc>
          <w:tcPr>
            <w:tcW w:w="780" w:type="dxa"/>
            <w:vAlign w:val="bottom"/>
            <w:tcBorders>
              <w:bottom w:val="single" w:sz="8" w:color="B2B2B2"/>
            </w:tcBorders>
          </w:tcPr>
          <w:p>
            <w:pPr>
              <w:jc w:val="right"/>
              <w:ind w:right="201"/>
              <w:spacing w:after="0"/>
              <w:rPr>
                <w:sz w:val="20"/>
                <w:szCs w:val="20"/>
                <w:color w:val="auto"/>
              </w:rPr>
            </w:pPr>
            <w:r>
              <w:rPr>
                <w:rFonts w:ascii="Arial" w:cs="Arial" w:eastAsia="Arial" w:hAnsi="Arial"/>
                <w:sz w:val="16"/>
                <w:szCs w:val="16"/>
                <w:b w:val="1"/>
                <w:bCs w:val="1"/>
                <w:color w:val="auto"/>
              </w:rPr>
              <w:t>88</w:t>
            </w:r>
          </w:p>
        </w:tc>
        <w:tc>
          <w:tcPr>
            <w:tcW w:w="1220" w:type="dxa"/>
            <w:vAlign w:val="bottom"/>
            <w:tcBorders>
              <w:bottom w:val="single" w:sz="8" w:color="B2B2B2"/>
            </w:tcBorders>
          </w:tcPr>
          <w:p>
            <w:pPr>
              <w:jc w:val="right"/>
              <w:ind w:right="101"/>
              <w:spacing w:after="0"/>
              <w:rPr>
                <w:sz w:val="20"/>
                <w:szCs w:val="20"/>
                <w:color w:val="auto"/>
              </w:rPr>
            </w:pPr>
            <w:r>
              <w:rPr>
                <w:rFonts w:ascii="Arial" w:cs="Arial" w:eastAsia="Arial" w:hAnsi="Arial"/>
                <w:sz w:val="16"/>
                <w:szCs w:val="16"/>
                <w:color w:val="auto"/>
              </w:rPr>
              <w:t>83</w:t>
            </w:r>
          </w:p>
        </w:tc>
      </w:tr>
      <w:tr>
        <w:trPr>
          <w:trHeight w:val="179"/>
        </w:trPr>
        <w:tc>
          <w:tcPr>
            <w:tcW w:w="8800" w:type="dxa"/>
            <w:vAlign w:val="bottom"/>
            <w:tcBorders>
              <w:bottom w:val="single" w:sz="8" w:color="B2B2B2"/>
            </w:tcBorders>
            <w:gridSpan w:val="2"/>
          </w:tcPr>
          <w:p>
            <w:pPr>
              <w:spacing w:after="0" w:line="179" w:lineRule="exact"/>
              <w:rPr>
                <w:sz w:val="20"/>
                <w:szCs w:val="20"/>
                <w:color w:val="auto"/>
              </w:rPr>
            </w:pPr>
            <w:r>
              <w:rPr>
                <w:rFonts w:ascii="Arial" w:cs="Arial" w:eastAsia="Arial" w:hAnsi="Arial"/>
                <w:sz w:val="16"/>
                <w:szCs w:val="16"/>
                <w:color w:val="auto"/>
              </w:rPr>
              <w:t>Total deferred tax assets</w:t>
            </w:r>
          </w:p>
        </w:tc>
        <w:tc>
          <w:tcPr>
            <w:tcW w:w="780" w:type="dxa"/>
            <w:vAlign w:val="bottom"/>
            <w:tcBorders>
              <w:bottom w:val="single" w:sz="8" w:color="B2B2B2"/>
            </w:tcBorders>
          </w:tcPr>
          <w:p>
            <w:pPr>
              <w:jc w:val="right"/>
              <w:ind w:right="201"/>
              <w:spacing w:after="0" w:line="179" w:lineRule="exact"/>
              <w:rPr>
                <w:sz w:val="20"/>
                <w:szCs w:val="20"/>
                <w:color w:val="auto"/>
              </w:rPr>
            </w:pPr>
            <w:r>
              <w:rPr>
                <w:rFonts w:ascii="Arial" w:cs="Arial" w:eastAsia="Arial" w:hAnsi="Arial"/>
                <w:sz w:val="16"/>
                <w:szCs w:val="16"/>
                <w:b w:val="1"/>
                <w:bCs w:val="1"/>
                <w:color w:val="auto"/>
              </w:rPr>
              <w:t>1,832</w:t>
            </w:r>
          </w:p>
        </w:tc>
        <w:tc>
          <w:tcPr>
            <w:tcW w:w="1220" w:type="dxa"/>
            <w:vAlign w:val="bottom"/>
            <w:tcBorders>
              <w:bottom w:val="single" w:sz="8" w:color="B2B2B2"/>
            </w:tcBorders>
          </w:tcPr>
          <w:p>
            <w:pPr>
              <w:jc w:val="right"/>
              <w:ind w:right="101"/>
              <w:spacing w:after="0" w:line="179" w:lineRule="exact"/>
              <w:rPr>
                <w:sz w:val="20"/>
                <w:szCs w:val="20"/>
                <w:color w:val="auto"/>
              </w:rPr>
            </w:pPr>
            <w:r>
              <w:rPr>
                <w:rFonts w:ascii="Arial" w:cs="Arial" w:eastAsia="Arial" w:hAnsi="Arial"/>
                <w:sz w:val="16"/>
                <w:szCs w:val="16"/>
                <w:color w:val="auto"/>
              </w:rPr>
              <w:t>1,511</w:t>
            </w:r>
          </w:p>
        </w:tc>
      </w:tr>
      <w:tr>
        <w:trPr>
          <w:trHeight w:val="185"/>
        </w:trPr>
        <w:tc>
          <w:tcPr>
            <w:tcW w:w="8800" w:type="dxa"/>
            <w:vAlign w:val="bottom"/>
            <w:tcBorders>
              <w:bottom w:val="single" w:sz="8" w:color="D64000"/>
            </w:tcBorders>
            <w:gridSpan w:val="2"/>
          </w:tcPr>
          <w:p>
            <w:pPr>
              <w:spacing w:after="0" w:line="179" w:lineRule="exact"/>
              <w:rPr>
                <w:sz w:val="20"/>
                <w:szCs w:val="20"/>
                <w:color w:val="auto"/>
              </w:rPr>
            </w:pPr>
            <w:r>
              <w:rPr>
                <w:rFonts w:ascii="Arial" w:cs="Arial" w:eastAsia="Arial" w:hAnsi="Arial"/>
                <w:sz w:val="16"/>
                <w:szCs w:val="16"/>
                <w:color w:val="auto"/>
              </w:rPr>
              <w:t>Net deferred tax asset</w:t>
            </w:r>
          </w:p>
        </w:tc>
        <w:tc>
          <w:tcPr>
            <w:tcW w:w="780" w:type="dxa"/>
            <w:vAlign w:val="bottom"/>
            <w:tcBorders>
              <w:bottom w:val="single" w:sz="8" w:color="D64000"/>
            </w:tcBorders>
          </w:tcPr>
          <w:p>
            <w:pPr>
              <w:jc w:val="right"/>
              <w:ind w:right="201"/>
              <w:spacing w:after="0" w:line="179" w:lineRule="exact"/>
              <w:rPr>
                <w:sz w:val="20"/>
                <w:szCs w:val="20"/>
                <w:color w:val="auto"/>
              </w:rPr>
            </w:pPr>
            <w:r>
              <w:rPr>
                <w:rFonts w:ascii="Arial" w:cs="Arial" w:eastAsia="Arial" w:hAnsi="Arial"/>
                <w:sz w:val="16"/>
                <w:szCs w:val="16"/>
                <w:b w:val="1"/>
                <w:bCs w:val="1"/>
                <w:color w:val="auto"/>
              </w:rPr>
              <w:t>1,135</w:t>
            </w:r>
          </w:p>
        </w:tc>
        <w:tc>
          <w:tcPr>
            <w:tcW w:w="1220" w:type="dxa"/>
            <w:vAlign w:val="bottom"/>
            <w:tcBorders>
              <w:bottom w:val="single" w:sz="8" w:color="D64000"/>
            </w:tcBorders>
          </w:tcPr>
          <w:p>
            <w:pPr>
              <w:jc w:val="right"/>
              <w:ind w:right="101"/>
              <w:spacing w:after="0" w:line="179" w:lineRule="exact"/>
              <w:rPr>
                <w:sz w:val="20"/>
                <w:szCs w:val="20"/>
                <w:color w:val="auto"/>
              </w:rPr>
            </w:pPr>
            <w:r>
              <w:rPr>
                <w:rFonts w:ascii="Arial" w:cs="Arial" w:eastAsia="Arial" w:hAnsi="Arial"/>
                <w:sz w:val="16"/>
                <w:szCs w:val="16"/>
                <w:color w:val="auto"/>
              </w:rPr>
              <w:t>551</w:t>
            </w:r>
          </w:p>
        </w:tc>
      </w:tr>
    </w:tbl>
    <w:p>
      <w:pPr>
        <w:spacing w:after="0" w:line="84" w:lineRule="exact"/>
        <w:rPr>
          <w:sz w:val="20"/>
          <w:szCs w:val="20"/>
          <w:color w:val="auto"/>
        </w:rPr>
      </w:pPr>
    </w:p>
    <w:p>
      <w:pPr>
        <w:ind w:left="220" w:right="240"/>
        <w:spacing w:after="0" w:line="243" w:lineRule="auto"/>
        <w:rPr>
          <w:sz w:val="20"/>
          <w:szCs w:val="20"/>
          <w:color w:val="auto"/>
        </w:rPr>
      </w:pPr>
      <w:r>
        <w:rPr>
          <w:rFonts w:ascii="Arial" w:cs="Arial" w:eastAsia="Arial" w:hAnsi="Arial"/>
          <w:sz w:val="17"/>
          <w:szCs w:val="17"/>
          <w:color w:val="auto"/>
        </w:rPr>
        <w:t>Deferred tax assets are recognized to the extent that the realization of the related tax benefit through future taxable profits and the resolution of uncertain tax positions is probable. The ability to realize these deferred tax benefits is dependent on a number of factors, including the future profitability of operations and the resolution of tax audits in the jurisdictions in which the deferred tax assets arose.</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As of December 31, 2024, the following summarizes the Company’s tax losses, certain deductible temporary differences and other tax attributes:</w:t>
      </w:r>
    </w:p>
    <w:p>
      <w:pPr>
        <w:spacing w:after="0" w:line="223"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3760" w:type="dxa"/>
            <w:vAlign w:val="bottom"/>
            <w:shd w:val="clear" w:color="auto" w:fill="1F473D"/>
          </w:tcPr>
          <w:p>
            <w:pPr>
              <w:spacing w:after="0"/>
              <w:rPr>
                <w:sz w:val="16"/>
                <w:szCs w:val="16"/>
                <w:color w:val="auto"/>
              </w:rPr>
            </w:pPr>
          </w:p>
        </w:tc>
        <w:tc>
          <w:tcPr>
            <w:tcW w:w="2540" w:type="dxa"/>
            <w:vAlign w:val="bottom"/>
            <w:shd w:val="clear" w:color="auto" w:fill="1F473D"/>
          </w:tcPr>
          <w:p>
            <w:pPr>
              <w:jc w:val="center"/>
              <w:ind w:left="281"/>
              <w:spacing w:after="0"/>
              <w:rPr>
                <w:sz w:val="20"/>
                <w:szCs w:val="20"/>
                <w:color w:val="auto"/>
              </w:rPr>
            </w:pPr>
            <w:r>
              <w:rPr>
                <w:rFonts w:ascii="Arial" w:cs="Arial" w:eastAsia="Arial" w:hAnsi="Arial"/>
                <w:sz w:val="16"/>
                <w:szCs w:val="16"/>
                <w:b w:val="1"/>
                <w:bCs w:val="1"/>
                <w:color w:val="FFFFFF"/>
              </w:rPr>
              <w:t>Carry Forward</w:t>
            </w:r>
          </w:p>
        </w:tc>
        <w:tc>
          <w:tcPr>
            <w:tcW w:w="1220" w:type="dxa"/>
            <w:vAlign w:val="bottom"/>
            <w:shd w:val="clear" w:color="auto" w:fill="1F473D"/>
          </w:tcPr>
          <w:p>
            <w:pPr>
              <w:spacing w:after="0"/>
              <w:rPr>
                <w:sz w:val="16"/>
                <w:szCs w:val="16"/>
                <w:color w:val="auto"/>
              </w:rPr>
            </w:pPr>
          </w:p>
        </w:tc>
        <w:tc>
          <w:tcPr>
            <w:tcW w:w="1680" w:type="dxa"/>
            <w:vAlign w:val="bottom"/>
            <w:shd w:val="clear" w:color="auto" w:fill="1F473D"/>
          </w:tcPr>
          <w:p>
            <w:pPr>
              <w:jc w:val="center"/>
              <w:ind w:right="81"/>
              <w:spacing w:after="0"/>
              <w:rPr>
                <w:sz w:val="20"/>
                <w:szCs w:val="20"/>
                <w:color w:val="auto"/>
              </w:rPr>
            </w:pPr>
            <w:r>
              <w:rPr>
                <w:rFonts w:ascii="Arial" w:cs="Arial" w:eastAsia="Arial" w:hAnsi="Arial"/>
                <w:sz w:val="16"/>
                <w:szCs w:val="16"/>
                <w:b w:val="1"/>
                <w:bCs w:val="1"/>
                <w:color w:val="FFFFFF"/>
                <w:w w:val="98"/>
              </w:rPr>
              <w:t>Unrecognized</w:t>
            </w:r>
          </w:p>
        </w:tc>
        <w:tc>
          <w:tcPr>
            <w:tcW w:w="1600" w:type="dxa"/>
            <w:vAlign w:val="bottom"/>
            <w:shd w:val="clear" w:color="auto" w:fill="1F473D"/>
          </w:tcPr>
          <w:p>
            <w:pPr>
              <w:spacing w:after="0"/>
              <w:rPr>
                <w:sz w:val="16"/>
                <w:szCs w:val="16"/>
                <w:color w:val="auto"/>
              </w:rPr>
            </w:pPr>
          </w:p>
        </w:tc>
      </w:tr>
      <w:tr>
        <w:trPr>
          <w:trHeight w:val="185"/>
        </w:trPr>
        <w:tc>
          <w:tcPr>
            <w:tcW w:w="3760" w:type="dxa"/>
            <w:vAlign w:val="bottom"/>
            <w:shd w:val="clear" w:color="auto" w:fill="1F473D"/>
          </w:tcPr>
          <w:p>
            <w:pPr>
              <w:spacing w:after="0"/>
              <w:rPr>
                <w:sz w:val="16"/>
                <w:szCs w:val="16"/>
                <w:color w:val="auto"/>
              </w:rPr>
            </w:pPr>
          </w:p>
        </w:tc>
        <w:tc>
          <w:tcPr>
            <w:tcW w:w="2540" w:type="dxa"/>
            <w:vAlign w:val="bottom"/>
            <w:shd w:val="clear" w:color="auto" w:fill="1F473D"/>
          </w:tcPr>
          <w:p>
            <w:pPr>
              <w:jc w:val="center"/>
              <w:ind w:left="301"/>
              <w:spacing w:after="0"/>
              <w:rPr>
                <w:sz w:val="20"/>
                <w:szCs w:val="20"/>
                <w:color w:val="auto"/>
              </w:rPr>
            </w:pPr>
            <w:r>
              <w:rPr>
                <w:rFonts w:ascii="Arial" w:cs="Arial" w:eastAsia="Arial" w:hAnsi="Arial"/>
                <w:sz w:val="16"/>
                <w:szCs w:val="16"/>
                <w:b w:val="1"/>
                <w:bCs w:val="1"/>
                <w:color w:val="FFFFFF"/>
                <w:w w:val="97"/>
              </w:rPr>
              <w:t>Loss/ Tax</w:t>
            </w:r>
          </w:p>
        </w:tc>
        <w:tc>
          <w:tcPr>
            <w:tcW w:w="1220" w:type="dxa"/>
            <w:vAlign w:val="bottom"/>
            <w:shd w:val="clear" w:color="auto" w:fill="1F473D"/>
          </w:tcPr>
          <w:p>
            <w:pPr>
              <w:jc w:val="right"/>
              <w:ind w:right="241"/>
              <w:spacing w:after="0"/>
              <w:rPr>
                <w:sz w:val="20"/>
                <w:szCs w:val="20"/>
                <w:color w:val="auto"/>
              </w:rPr>
            </w:pPr>
            <w:r>
              <w:rPr>
                <w:rFonts w:ascii="Arial" w:cs="Arial" w:eastAsia="Arial" w:hAnsi="Arial"/>
                <w:sz w:val="16"/>
                <w:szCs w:val="16"/>
                <w:b w:val="1"/>
                <w:bCs w:val="1"/>
                <w:color w:val="FFFFFF"/>
              </w:rPr>
              <w:t>Tax</w:t>
            </w:r>
          </w:p>
        </w:tc>
        <w:tc>
          <w:tcPr>
            <w:tcW w:w="1680" w:type="dxa"/>
            <w:vAlign w:val="bottom"/>
            <w:shd w:val="clear" w:color="auto" w:fill="1F473D"/>
          </w:tcPr>
          <w:p>
            <w:pPr>
              <w:jc w:val="center"/>
              <w:ind w:right="81"/>
              <w:spacing w:after="0"/>
              <w:rPr>
                <w:sz w:val="20"/>
                <w:szCs w:val="20"/>
                <w:color w:val="auto"/>
              </w:rPr>
            </w:pPr>
            <w:r>
              <w:rPr>
                <w:rFonts w:ascii="Arial" w:cs="Arial" w:eastAsia="Arial" w:hAnsi="Arial"/>
                <w:sz w:val="16"/>
                <w:szCs w:val="16"/>
                <w:b w:val="1"/>
                <w:bCs w:val="1"/>
                <w:color w:val="FFFFFF"/>
                <w:w w:val="98"/>
              </w:rPr>
              <w:t>Deferred Tax</w:t>
            </w:r>
          </w:p>
        </w:tc>
        <w:tc>
          <w:tcPr>
            <w:tcW w:w="1600" w:type="dxa"/>
            <w:vAlign w:val="bottom"/>
            <w:shd w:val="clear" w:color="auto" w:fill="1F473D"/>
          </w:tcPr>
          <w:p>
            <w:pPr>
              <w:jc w:val="right"/>
              <w:ind w:right="181"/>
              <w:spacing w:after="0"/>
              <w:rPr>
                <w:sz w:val="20"/>
                <w:szCs w:val="20"/>
                <w:color w:val="auto"/>
              </w:rPr>
            </w:pPr>
            <w:r>
              <w:rPr>
                <w:rFonts w:ascii="Arial" w:cs="Arial" w:eastAsia="Arial" w:hAnsi="Arial"/>
                <w:sz w:val="16"/>
                <w:szCs w:val="16"/>
                <w:b w:val="1"/>
                <w:bCs w:val="1"/>
                <w:color w:val="FFFFFF"/>
              </w:rPr>
              <w:t>Net Deferred</w:t>
            </w:r>
          </w:p>
        </w:tc>
      </w:tr>
      <w:tr>
        <w:trPr>
          <w:trHeight w:val="206"/>
        </w:trPr>
        <w:tc>
          <w:tcPr>
            <w:tcW w:w="3760" w:type="dxa"/>
            <w:vAlign w:val="bottom"/>
            <w:tcBorders>
              <w:bottom w:val="single" w:sz="8" w:color="D64000"/>
            </w:tcBorders>
            <w:shd w:val="clear" w:color="auto" w:fill="1F473D"/>
          </w:tcPr>
          <w:p>
            <w:pPr>
              <w:spacing w:after="0"/>
              <w:rPr>
                <w:sz w:val="17"/>
                <w:szCs w:val="17"/>
                <w:color w:val="auto"/>
              </w:rPr>
            </w:pPr>
          </w:p>
        </w:tc>
        <w:tc>
          <w:tcPr>
            <w:tcW w:w="2540" w:type="dxa"/>
            <w:vAlign w:val="bottom"/>
            <w:tcBorders>
              <w:bottom w:val="single" w:sz="8" w:color="D64000"/>
            </w:tcBorders>
            <w:shd w:val="clear" w:color="auto" w:fill="1F473D"/>
          </w:tcPr>
          <w:p>
            <w:pPr>
              <w:jc w:val="center"/>
              <w:ind w:left="281"/>
              <w:spacing w:after="0"/>
              <w:rPr>
                <w:sz w:val="20"/>
                <w:szCs w:val="20"/>
                <w:color w:val="auto"/>
              </w:rPr>
            </w:pPr>
            <w:r>
              <w:rPr>
                <w:rFonts w:ascii="Arial" w:cs="Arial" w:eastAsia="Arial" w:hAnsi="Arial"/>
                <w:sz w:val="16"/>
                <w:szCs w:val="16"/>
                <w:b w:val="1"/>
                <w:bCs w:val="1"/>
                <w:color w:val="FFFFFF"/>
                <w:w w:val="97"/>
              </w:rPr>
              <w:t>Attributes</w:t>
            </w:r>
          </w:p>
        </w:tc>
        <w:tc>
          <w:tcPr>
            <w:tcW w:w="1220" w:type="dxa"/>
            <w:vAlign w:val="bottom"/>
            <w:tcBorders>
              <w:bottom w:val="single" w:sz="8" w:color="D64000"/>
            </w:tcBorders>
            <w:shd w:val="clear" w:color="auto" w:fill="1F473D"/>
          </w:tcPr>
          <w:p>
            <w:pPr>
              <w:jc w:val="right"/>
              <w:ind w:right="181"/>
              <w:spacing w:after="0"/>
              <w:rPr>
                <w:sz w:val="20"/>
                <w:szCs w:val="20"/>
                <w:color w:val="auto"/>
              </w:rPr>
            </w:pPr>
            <w:r>
              <w:rPr>
                <w:rFonts w:ascii="Arial" w:cs="Arial" w:eastAsia="Arial" w:hAnsi="Arial"/>
                <w:sz w:val="16"/>
                <w:szCs w:val="16"/>
                <w:b w:val="1"/>
                <w:bCs w:val="1"/>
                <w:color w:val="FFFFFF"/>
              </w:rPr>
              <w:t>Value</w:t>
            </w:r>
          </w:p>
        </w:tc>
        <w:tc>
          <w:tcPr>
            <w:tcW w:w="1680" w:type="dxa"/>
            <w:vAlign w:val="bottom"/>
            <w:tcBorders>
              <w:bottom w:val="single" w:sz="8" w:color="D64000"/>
            </w:tcBorders>
            <w:shd w:val="clear" w:color="auto" w:fill="1F473D"/>
          </w:tcPr>
          <w:p>
            <w:pPr>
              <w:jc w:val="center"/>
              <w:ind w:right="81"/>
              <w:spacing w:after="0"/>
              <w:rPr>
                <w:sz w:val="20"/>
                <w:szCs w:val="20"/>
                <w:color w:val="auto"/>
              </w:rPr>
            </w:pPr>
            <w:r>
              <w:rPr>
                <w:rFonts w:ascii="Arial" w:cs="Arial" w:eastAsia="Arial" w:hAnsi="Arial"/>
                <w:sz w:val="16"/>
                <w:szCs w:val="16"/>
                <w:b w:val="1"/>
                <w:bCs w:val="1"/>
                <w:color w:val="FFFFFF"/>
                <w:w w:val="99"/>
              </w:rPr>
              <w:t>Assets</w:t>
            </w:r>
          </w:p>
        </w:tc>
        <w:tc>
          <w:tcPr>
            <w:tcW w:w="1600" w:type="dxa"/>
            <w:vAlign w:val="bottom"/>
            <w:tcBorders>
              <w:bottom w:val="single" w:sz="8" w:color="D64000"/>
            </w:tcBorders>
            <w:shd w:val="clear" w:color="auto" w:fill="1F473D"/>
          </w:tcPr>
          <w:p>
            <w:pPr>
              <w:jc w:val="right"/>
              <w:ind w:right="241"/>
              <w:spacing w:after="0"/>
              <w:rPr>
                <w:sz w:val="20"/>
                <w:szCs w:val="20"/>
                <w:color w:val="auto"/>
              </w:rPr>
            </w:pPr>
            <w:r>
              <w:rPr>
                <w:rFonts w:ascii="Arial" w:cs="Arial" w:eastAsia="Arial" w:hAnsi="Arial"/>
                <w:sz w:val="16"/>
                <w:szCs w:val="16"/>
                <w:b w:val="1"/>
                <w:bCs w:val="1"/>
                <w:color w:val="FFFFFF"/>
              </w:rPr>
              <w:t>Tax Assets</w:t>
            </w:r>
          </w:p>
        </w:tc>
      </w:tr>
      <w:tr>
        <w:trPr>
          <w:trHeight w:val="171"/>
        </w:trPr>
        <w:tc>
          <w:tcPr>
            <w:tcW w:w="3760" w:type="dxa"/>
            <w:vAlign w:val="bottom"/>
          </w:tcPr>
          <w:p>
            <w:pPr>
              <w:spacing w:after="0" w:line="171" w:lineRule="exact"/>
              <w:rPr>
                <w:sz w:val="20"/>
                <w:szCs w:val="20"/>
                <w:color w:val="auto"/>
              </w:rPr>
            </w:pPr>
            <w:r>
              <w:rPr>
                <w:rFonts w:ascii="Arial" w:cs="Arial" w:eastAsia="Arial" w:hAnsi="Arial"/>
                <w:sz w:val="16"/>
                <w:szCs w:val="16"/>
                <w:color w:val="auto"/>
              </w:rPr>
              <w:t> Canadian net operating losses</w:t>
            </w:r>
          </w:p>
        </w:tc>
        <w:tc>
          <w:tcPr>
            <w:tcW w:w="2540" w:type="dxa"/>
            <w:vAlign w:val="bottom"/>
          </w:tcPr>
          <w:p>
            <w:pPr>
              <w:jc w:val="right"/>
              <w:ind w:right="461"/>
              <w:spacing w:after="0" w:line="171" w:lineRule="exact"/>
              <w:rPr>
                <w:sz w:val="20"/>
                <w:szCs w:val="20"/>
                <w:color w:val="auto"/>
              </w:rPr>
            </w:pPr>
            <w:r>
              <w:rPr>
                <w:rFonts w:ascii="Arial" w:cs="Arial" w:eastAsia="Arial" w:hAnsi="Arial"/>
                <w:sz w:val="16"/>
                <w:szCs w:val="16"/>
                <w:b w:val="1"/>
                <w:bCs w:val="1"/>
                <w:color w:val="auto"/>
              </w:rPr>
              <w:t>1,752</w:t>
            </w:r>
          </w:p>
        </w:tc>
        <w:tc>
          <w:tcPr>
            <w:tcW w:w="1220" w:type="dxa"/>
            <w:vAlign w:val="bottom"/>
          </w:tcPr>
          <w:p>
            <w:pPr>
              <w:jc w:val="right"/>
              <w:ind w:right="161"/>
              <w:spacing w:after="0" w:line="171" w:lineRule="exact"/>
              <w:rPr>
                <w:sz w:val="20"/>
                <w:szCs w:val="20"/>
                <w:color w:val="auto"/>
              </w:rPr>
            </w:pPr>
            <w:r>
              <w:rPr>
                <w:rFonts w:ascii="Arial" w:cs="Arial" w:eastAsia="Arial" w:hAnsi="Arial"/>
                <w:sz w:val="16"/>
                <w:szCs w:val="16"/>
                <w:b w:val="1"/>
                <w:bCs w:val="1"/>
                <w:color w:val="auto"/>
              </w:rPr>
              <w:t>464</w:t>
            </w:r>
          </w:p>
        </w:tc>
        <w:tc>
          <w:tcPr>
            <w:tcW w:w="1680" w:type="dxa"/>
            <w:vAlign w:val="bottom"/>
          </w:tcPr>
          <w:p>
            <w:pPr>
              <w:jc w:val="right"/>
              <w:ind w:right="321"/>
              <w:spacing w:after="0" w:line="171" w:lineRule="exact"/>
              <w:rPr>
                <w:sz w:val="20"/>
                <w:szCs w:val="20"/>
                <w:color w:val="auto"/>
              </w:rPr>
            </w:pPr>
            <w:r>
              <w:rPr>
                <w:rFonts w:ascii="Arial" w:cs="Arial" w:eastAsia="Arial" w:hAnsi="Arial"/>
                <w:sz w:val="16"/>
                <w:szCs w:val="16"/>
                <w:b w:val="1"/>
                <w:bCs w:val="1"/>
                <w:color w:val="auto"/>
              </w:rPr>
              <w:t>(134)</w:t>
            </w:r>
          </w:p>
        </w:tc>
        <w:tc>
          <w:tcPr>
            <w:tcW w:w="1600" w:type="dxa"/>
            <w:vAlign w:val="bottom"/>
          </w:tcPr>
          <w:p>
            <w:pPr>
              <w:jc w:val="right"/>
              <w:ind w:right="181"/>
              <w:spacing w:after="0" w:line="171" w:lineRule="exact"/>
              <w:rPr>
                <w:sz w:val="20"/>
                <w:szCs w:val="20"/>
                <w:color w:val="auto"/>
              </w:rPr>
            </w:pPr>
            <w:r>
              <w:rPr>
                <w:rFonts w:ascii="Arial" w:cs="Arial" w:eastAsia="Arial" w:hAnsi="Arial"/>
                <w:sz w:val="16"/>
                <w:szCs w:val="16"/>
                <w:b w:val="1"/>
                <w:bCs w:val="1"/>
                <w:color w:val="auto"/>
              </w:rPr>
              <w:t>330</w:t>
            </w:r>
          </w:p>
        </w:tc>
      </w:tr>
      <w:tr>
        <w:trPr>
          <w:trHeight w:val="185"/>
        </w:trPr>
        <w:tc>
          <w:tcPr>
            <w:tcW w:w="3760" w:type="dxa"/>
            <w:vAlign w:val="bottom"/>
          </w:tcPr>
          <w:p>
            <w:pPr>
              <w:spacing w:after="0"/>
              <w:rPr>
                <w:sz w:val="20"/>
                <w:szCs w:val="20"/>
                <w:color w:val="auto"/>
              </w:rPr>
            </w:pPr>
            <w:r>
              <w:rPr>
                <w:rFonts w:ascii="Arial" w:cs="Arial" w:eastAsia="Arial" w:hAnsi="Arial"/>
                <w:sz w:val="16"/>
                <w:szCs w:val="16"/>
                <w:color w:val="auto"/>
              </w:rPr>
              <w:t> Net operating losses - other jurisdictions</w:t>
            </w:r>
          </w:p>
        </w:tc>
        <w:tc>
          <w:tcPr>
            <w:tcW w:w="2540" w:type="dxa"/>
            <w:vAlign w:val="bottom"/>
          </w:tcPr>
          <w:p>
            <w:pPr>
              <w:jc w:val="right"/>
              <w:ind w:right="461"/>
              <w:spacing w:after="0"/>
              <w:rPr>
                <w:sz w:val="20"/>
                <w:szCs w:val="20"/>
                <w:color w:val="auto"/>
              </w:rPr>
            </w:pPr>
            <w:r>
              <w:rPr>
                <w:rFonts w:ascii="Arial" w:cs="Arial" w:eastAsia="Arial" w:hAnsi="Arial"/>
                <w:sz w:val="16"/>
                <w:szCs w:val="16"/>
                <w:b w:val="1"/>
                <w:bCs w:val="1"/>
                <w:color w:val="auto"/>
              </w:rPr>
              <w:t>1,840</w:t>
            </w:r>
          </w:p>
        </w:tc>
        <w:tc>
          <w:tcPr>
            <w:tcW w:w="1220" w:type="dxa"/>
            <w:vAlign w:val="bottom"/>
          </w:tcPr>
          <w:p>
            <w:pPr>
              <w:jc w:val="right"/>
              <w:ind w:right="161"/>
              <w:spacing w:after="0"/>
              <w:rPr>
                <w:sz w:val="20"/>
                <w:szCs w:val="20"/>
                <w:color w:val="auto"/>
              </w:rPr>
            </w:pPr>
            <w:r>
              <w:rPr>
                <w:rFonts w:ascii="Arial" w:cs="Arial" w:eastAsia="Arial" w:hAnsi="Arial"/>
                <w:sz w:val="16"/>
                <w:szCs w:val="16"/>
                <w:b w:val="1"/>
                <w:bCs w:val="1"/>
                <w:color w:val="auto"/>
              </w:rPr>
              <w:t>440</w:t>
            </w:r>
          </w:p>
        </w:tc>
        <w:tc>
          <w:tcPr>
            <w:tcW w:w="1680" w:type="dxa"/>
            <w:vAlign w:val="bottom"/>
          </w:tcPr>
          <w:p>
            <w:pPr>
              <w:jc w:val="right"/>
              <w:ind w:right="321"/>
              <w:spacing w:after="0"/>
              <w:rPr>
                <w:sz w:val="20"/>
                <w:szCs w:val="20"/>
                <w:color w:val="auto"/>
              </w:rPr>
            </w:pPr>
            <w:r>
              <w:rPr>
                <w:rFonts w:ascii="Arial" w:cs="Arial" w:eastAsia="Arial" w:hAnsi="Arial"/>
                <w:sz w:val="16"/>
                <w:szCs w:val="16"/>
                <w:b w:val="1"/>
                <w:bCs w:val="1"/>
                <w:color w:val="auto"/>
              </w:rPr>
              <w:t>(334)</w:t>
            </w:r>
          </w:p>
        </w:tc>
        <w:tc>
          <w:tcPr>
            <w:tcW w:w="1600" w:type="dxa"/>
            <w:vAlign w:val="bottom"/>
          </w:tcPr>
          <w:p>
            <w:pPr>
              <w:jc w:val="right"/>
              <w:ind w:right="181"/>
              <w:spacing w:after="0"/>
              <w:rPr>
                <w:sz w:val="20"/>
                <w:szCs w:val="20"/>
                <w:color w:val="auto"/>
              </w:rPr>
            </w:pPr>
            <w:r>
              <w:rPr>
                <w:rFonts w:ascii="Arial" w:cs="Arial" w:eastAsia="Arial" w:hAnsi="Arial"/>
                <w:sz w:val="16"/>
                <w:szCs w:val="16"/>
                <w:b w:val="1"/>
                <w:bCs w:val="1"/>
                <w:color w:val="auto"/>
              </w:rPr>
              <w:t>106</w:t>
            </w:r>
          </w:p>
        </w:tc>
      </w:tr>
      <w:tr>
        <w:trPr>
          <w:trHeight w:val="185"/>
        </w:trPr>
        <w:tc>
          <w:tcPr>
            <w:tcW w:w="3760" w:type="dxa"/>
            <w:vAlign w:val="bottom"/>
          </w:tcPr>
          <w:p>
            <w:pPr>
              <w:spacing w:after="0"/>
              <w:rPr>
                <w:sz w:val="20"/>
                <w:szCs w:val="20"/>
                <w:color w:val="auto"/>
              </w:rPr>
            </w:pPr>
            <w:r>
              <w:rPr>
                <w:rFonts w:ascii="Arial" w:cs="Arial" w:eastAsia="Arial" w:hAnsi="Arial"/>
                <w:sz w:val="16"/>
                <w:szCs w:val="16"/>
                <w:color w:val="auto"/>
              </w:rPr>
              <w:t> Capital losses</w:t>
            </w:r>
          </w:p>
        </w:tc>
        <w:tc>
          <w:tcPr>
            <w:tcW w:w="2540" w:type="dxa"/>
            <w:vAlign w:val="bottom"/>
          </w:tcPr>
          <w:p>
            <w:pPr>
              <w:jc w:val="right"/>
              <w:ind w:right="461"/>
              <w:spacing w:after="0"/>
              <w:rPr>
                <w:sz w:val="20"/>
                <w:szCs w:val="20"/>
                <w:color w:val="auto"/>
              </w:rPr>
            </w:pPr>
            <w:r>
              <w:rPr>
                <w:rFonts w:ascii="Arial" w:cs="Arial" w:eastAsia="Arial" w:hAnsi="Arial"/>
                <w:sz w:val="16"/>
                <w:szCs w:val="16"/>
                <w:b w:val="1"/>
                <w:bCs w:val="1"/>
                <w:color w:val="auto"/>
              </w:rPr>
              <w:t>466</w:t>
            </w:r>
          </w:p>
        </w:tc>
        <w:tc>
          <w:tcPr>
            <w:tcW w:w="1220" w:type="dxa"/>
            <w:vAlign w:val="bottom"/>
          </w:tcPr>
          <w:p>
            <w:pPr>
              <w:jc w:val="right"/>
              <w:ind w:right="161"/>
              <w:spacing w:after="0"/>
              <w:rPr>
                <w:sz w:val="20"/>
                <w:szCs w:val="20"/>
                <w:color w:val="auto"/>
              </w:rPr>
            </w:pPr>
            <w:r>
              <w:rPr>
                <w:rFonts w:ascii="Arial" w:cs="Arial" w:eastAsia="Arial" w:hAnsi="Arial"/>
                <w:sz w:val="16"/>
                <w:szCs w:val="16"/>
                <w:b w:val="1"/>
                <w:bCs w:val="1"/>
                <w:color w:val="auto"/>
              </w:rPr>
              <w:t>117</w:t>
            </w:r>
          </w:p>
        </w:tc>
        <w:tc>
          <w:tcPr>
            <w:tcW w:w="1680" w:type="dxa"/>
            <w:vAlign w:val="bottom"/>
          </w:tcPr>
          <w:p>
            <w:pPr>
              <w:jc w:val="right"/>
              <w:ind w:right="321"/>
              <w:spacing w:after="0"/>
              <w:rPr>
                <w:sz w:val="20"/>
                <w:szCs w:val="20"/>
                <w:color w:val="auto"/>
              </w:rPr>
            </w:pPr>
            <w:r>
              <w:rPr>
                <w:rFonts w:ascii="Arial" w:cs="Arial" w:eastAsia="Arial" w:hAnsi="Arial"/>
                <w:sz w:val="16"/>
                <w:szCs w:val="16"/>
                <w:b w:val="1"/>
                <w:bCs w:val="1"/>
                <w:color w:val="auto"/>
              </w:rPr>
              <w:t>(108)</w:t>
            </w:r>
          </w:p>
        </w:tc>
        <w:tc>
          <w:tcPr>
            <w:tcW w:w="1600" w:type="dxa"/>
            <w:vAlign w:val="bottom"/>
          </w:tcPr>
          <w:p>
            <w:pPr>
              <w:jc w:val="right"/>
              <w:ind w:right="181"/>
              <w:spacing w:after="0"/>
              <w:rPr>
                <w:sz w:val="20"/>
                <w:szCs w:val="20"/>
                <w:color w:val="auto"/>
              </w:rPr>
            </w:pPr>
            <w:r>
              <w:rPr>
                <w:rFonts w:ascii="Arial" w:cs="Arial" w:eastAsia="Arial" w:hAnsi="Arial"/>
                <w:sz w:val="16"/>
                <w:szCs w:val="16"/>
                <w:b w:val="1"/>
                <w:bCs w:val="1"/>
                <w:color w:val="auto"/>
              </w:rPr>
              <w:t>9</w:t>
            </w:r>
          </w:p>
        </w:tc>
      </w:tr>
      <w:tr>
        <w:trPr>
          <w:trHeight w:val="185"/>
        </w:trPr>
        <w:tc>
          <w:tcPr>
            <w:tcW w:w="3760" w:type="dxa"/>
            <w:vAlign w:val="bottom"/>
          </w:tcPr>
          <w:p>
            <w:pPr>
              <w:spacing w:after="0"/>
              <w:rPr>
                <w:sz w:val="20"/>
                <w:szCs w:val="20"/>
                <w:color w:val="auto"/>
              </w:rPr>
            </w:pPr>
            <w:r>
              <w:rPr>
                <w:rFonts w:ascii="Arial" w:cs="Arial" w:eastAsia="Arial" w:hAnsi="Arial"/>
                <w:sz w:val="16"/>
                <w:szCs w:val="16"/>
                <w:color w:val="auto"/>
              </w:rPr>
              <w:t> Investment in subsidiaries</w:t>
            </w:r>
          </w:p>
        </w:tc>
        <w:tc>
          <w:tcPr>
            <w:tcW w:w="2540" w:type="dxa"/>
            <w:vAlign w:val="bottom"/>
          </w:tcPr>
          <w:p>
            <w:pPr>
              <w:jc w:val="right"/>
              <w:ind w:right="461"/>
              <w:spacing w:after="0"/>
              <w:rPr>
                <w:sz w:val="20"/>
                <w:szCs w:val="20"/>
                <w:color w:val="auto"/>
              </w:rPr>
            </w:pPr>
            <w:r>
              <w:rPr>
                <w:rFonts w:ascii="Arial" w:cs="Arial" w:eastAsia="Arial" w:hAnsi="Arial"/>
                <w:sz w:val="16"/>
                <w:szCs w:val="16"/>
                <w:b w:val="1"/>
                <w:bCs w:val="1"/>
                <w:color w:val="auto"/>
              </w:rPr>
              <w:t>349</w:t>
            </w:r>
          </w:p>
        </w:tc>
        <w:tc>
          <w:tcPr>
            <w:tcW w:w="1220" w:type="dxa"/>
            <w:vAlign w:val="bottom"/>
          </w:tcPr>
          <w:p>
            <w:pPr>
              <w:jc w:val="right"/>
              <w:ind w:right="161"/>
              <w:spacing w:after="0"/>
              <w:rPr>
                <w:sz w:val="20"/>
                <w:szCs w:val="20"/>
                <w:color w:val="auto"/>
              </w:rPr>
            </w:pPr>
            <w:r>
              <w:rPr>
                <w:rFonts w:ascii="Arial" w:cs="Arial" w:eastAsia="Arial" w:hAnsi="Arial"/>
                <w:sz w:val="16"/>
                <w:szCs w:val="16"/>
                <w:b w:val="1"/>
                <w:bCs w:val="1"/>
                <w:color w:val="auto"/>
              </w:rPr>
              <w:t>85</w:t>
            </w:r>
          </w:p>
        </w:tc>
        <w:tc>
          <w:tcPr>
            <w:tcW w:w="1680" w:type="dxa"/>
            <w:vAlign w:val="bottom"/>
          </w:tcPr>
          <w:p>
            <w:pPr>
              <w:jc w:val="right"/>
              <w:ind w:right="321"/>
              <w:spacing w:after="0"/>
              <w:rPr>
                <w:sz w:val="20"/>
                <w:szCs w:val="20"/>
                <w:color w:val="auto"/>
              </w:rPr>
            </w:pPr>
            <w:r>
              <w:rPr>
                <w:rFonts w:ascii="Arial" w:cs="Arial" w:eastAsia="Arial" w:hAnsi="Arial"/>
                <w:sz w:val="16"/>
                <w:szCs w:val="16"/>
                <w:b w:val="1"/>
                <w:bCs w:val="1"/>
                <w:color w:val="auto"/>
              </w:rPr>
              <w:t>(85)</w:t>
            </w:r>
          </w:p>
        </w:tc>
        <w:tc>
          <w:tcPr>
            <w:tcW w:w="1600" w:type="dxa"/>
            <w:vAlign w:val="bottom"/>
          </w:tcPr>
          <w:p>
            <w:pPr>
              <w:jc w:val="right"/>
              <w:ind w:right="181"/>
              <w:spacing w:after="0"/>
              <w:rPr>
                <w:sz w:val="20"/>
                <w:szCs w:val="20"/>
                <w:color w:val="auto"/>
              </w:rPr>
            </w:pPr>
            <w:r>
              <w:rPr>
                <w:rFonts w:ascii="Arial" w:cs="Arial" w:eastAsia="Arial" w:hAnsi="Arial"/>
                <w:sz w:val="16"/>
                <w:szCs w:val="16"/>
                <w:b w:val="1"/>
                <w:bCs w:val="1"/>
                <w:color w:val="auto"/>
              </w:rPr>
              <w:t>-</w:t>
            </w:r>
          </w:p>
        </w:tc>
      </w:tr>
      <w:tr>
        <w:trPr>
          <w:trHeight w:val="185"/>
        </w:trPr>
        <w:tc>
          <w:tcPr>
            <w:tcW w:w="3760" w:type="dxa"/>
            <w:vAlign w:val="bottom"/>
          </w:tcPr>
          <w:p>
            <w:pPr>
              <w:spacing w:after="0"/>
              <w:rPr>
                <w:sz w:val="20"/>
                <w:szCs w:val="20"/>
                <w:color w:val="auto"/>
              </w:rPr>
            </w:pPr>
            <w:r>
              <w:rPr>
                <w:rFonts w:ascii="Arial" w:cs="Arial" w:eastAsia="Arial" w:hAnsi="Arial"/>
                <w:sz w:val="16"/>
                <w:szCs w:val="16"/>
                <w:color w:val="auto"/>
              </w:rPr>
              <w:t> Other deductible temporary differences</w:t>
            </w:r>
          </w:p>
        </w:tc>
        <w:tc>
          <w:tcPr>
            <w:tcW w:w="2540" w:type="dxa"/>
            <w:vAlign w:val="bottom"/>
          </w:tcPr>
          <w:p>
            <w:pPr>
              <w:jc w:val="right"/>
              <w:ind w:right="461"/>
              <w:spacing w:after="0"/>
              <w:rPr>
                <w:sz w:val="20"/>
                <w:szCs w:val="20"/>
                <w:color w:val="auto"/>
              </w:rPr>
            </w:pPr>
            <w:r>
              <w:rPr>
                <w:rFonts w:ascii="Arial" w:cs="Arial" w:eastAsia="Arial" w:hAnsi="Arial"/>
                <w:sz w:val="16"/>
                <w:szCs w:val="16"/>
                <w:b w:val="1"/>
                <w:bCs w:val="1"/>
                <w:color w:val="auto"/>
              </w:rPr>
              <w:t>371</w:t>
            </w:r>
          </w:p>
        </w:tc>
        <w:tc>
          <w:tcPr>
            <w:tcW w:w="1220" w:type="dxa"/>
            <w:vAlign w:val="bottom"/>
          </w:tcPr>
          <w:p>
            <w:pPr>
              <w:jc w:val="right"/>
              <w:ind w:right="161"/>
              <w:spacing w:after="0"/>
              <w:rPr>
                <w:sz w:val="20"/>
                <w:szCs w:val="20"/>
                <w:color w:val="auto"/>
              </w:rPr>
            </w:pPr>
            <w:r>
              <w:rPr>
                <w:rFonts w:ascii="Arial" w:cs="Arial" w:eastAsia="Arial" w:hAnsi="Arial"/>
                <w:sz w:val="16"/>
                <w:szCs w:val="16"/>
                <w:b w:val="1"/>
                <w:bCs w:val="1"/>
                <w:color w:val="auto"/>
              </w:rPr>
              <w:t>96</w:t>
            </w:r>
          </w:p>
        </w:tc>
        <w:tc>
          <w:tcPr>
            <w:tcW w:w="1680" w:type="dxa"/>
            <w:vAlign w:val="bottom"/>
          </w:tcPr>
          <w:p>
            <w:pPr>
              <w:jc w:val="right"/>
              <w:ind w:right="321"/>
              <w:spacing w:after="0"/>
              <w:rPr>
                <w:sz w:val="20"/>
                <w:szCs w:val="20"/>
                <w:color w:val="auto"/>
              </w:rPr>
            </w:pPr>
            <w:r>
              <w:rPr>
                <w:rFonts w:ascii="Arial" w:cs="Arial" w:eastAsia="Arial" w:hAnsi="Arial"/>
                <w:sz w:val="16"/>
                <w:szCs w:val="16"/>
                <w:b w:val="1"/>
                <w:bCs w:val="1"/>
                <w:color w:val="auto"/>
              </w:rPr>
              <w:t>(19)</w:t>
            </w:r>
          </w:p>
        </w:tc>
        <w:tc>
          <w:tcPr>
            <w:tcW w:w="1600" w:type="dxa"/>
            <w:vAlign w:val="bottom"/>
          </w:tcPr>
          <w:p>
            <w:pPr>
              <w:jc w:val="right"/>
              <w:ind w:right="181"/>
              <w:spacing w:after="0"/>
              <w:rPr>
                <w:sz w:val="20"/>
                <w:szCs w:val="20"/>
                <w:color w:val="auto"/>
              </w:rPr>
            </w:pPr>
            <w:r>
              <w:rPr>
                <w:rFonts w:ascii="Arial" w:cs="Arial" w:eastAsia="Arial" w:hAnsi="Arial"/>
                <w:sz w:val="16"/>
                <w:szCs w:val="16"/>
                <w:b w:val="1"/>
                <w:bCs w:val="1"/>
                <w:color w:val="auto"/>
              </w:rPr>
              <w:t>77</w:t>
            </w:r>
          </w:p>
        </w:tc>
      </w:tr>
      <w:tr>
        <w:trPr>
          <w:trHeight w:val="200"/>
        </w:trPr>
        <w:tc>
          <w:tcPr>
            <w:tcW w:w="3760" w:type="dxa"/>
            <w:vAlign w:val="bottom"/>
            <w:tcBorders>
              <w:bottom w:val="single" w:sz="8" w:color="B2B2B2"/>
            </w:tcBorders>
          </w:tcPr>
          <w:p>
            <w:pPr>
              <w:spacing w:after="0" w:line="200" w:lineRule="exact"/>
              <w:rPr>
                <w:sz w:val="20"/>
                <w:szCs w:val="20"/>
                <w:color w:val="auto"/>
              </w:rPr>
            </w:pPr>
            <w:r>
              <w:rPr>
                <w:rFonts w:ascii="Arial" w:cs="Arial" w:eastAsia="Arial" w:hAnsi="Arial"/>
                <w:sz w:val="16"/>
                <w:szCs w:val="16"/>
                <w:color w:val="auto"/>
              </w:rPr>
              <w:t> U.S. state net operating losses</w:t>
            </w:r>
            <w:r>
              <w:rPr>
                <w:rFonts w:ascii="Arial" w:cs="Arial" w:eastAsia="Arial" w:hAnsi="Arial"/>
                <w:sz w:val="19"/>
                <w:szCs w:val="19"/>
                <w:color w:val="auto"/>
                <w:vertAlign w:val="superscript"/>
              </w:rPr>
              <w:t>(1)</w:t>
            </w:r>
          </w:p>
        </w:tc>
        <w:tc>
          <w:tcPr>
            <w:tcW w:w="2540" w:type="dxa"/>
            <w:vAlign w:val="bottom"/>
            <w:tcBorders>
              <w:bottom w:val="single" w:sz="8" w:color="B2B2B2"/>
            </w:tcBorders>
          </w:tcPr>
          <w:p>
            <w:pPr>
              <w:jc w:val="right"/>
              <w:ind w:right="461"/>
              <w:spacing w:after="0"/>
              <w:rPr>
                <w:sz w:val="20"/>
                <w:szCs w:val="20"/>
                <w:color w:val="auto"/>
              </w:rPr>
            </w:pPr>
            <w:r>
              <w:rPr>
                <w:rFonts w:ascii="Arial" w:cs="Arial" w:eastAsia="Arial" w:hAnsi="Arial"/>
                <w:sz w:val="16"/>
                <w:szCs w:val="16"/>
                <w:b w:val="1"/>
                <w:bCs w:val="1"/>
                <w:color w:val="auto"/>
              </w:rPr>
              <w:t>n/m</w:t>
            </w:r>
          </w:p>
        </w:tc>
        <w:tc>
          <w:tcPr>
            <w:tcW w:w="1220" w:type="dxa"/>
            <w:vAlign w:val="bottom"/>
            <w:tcBorders>
              <w:bottom w:val="single" w:sz="8" w:color="B2B2B2"/>
            </w:tcBorders>
          </w:tcPr>
          <w:p>
            <w:pPr>
              <w:jc w:val="right"/>
              <w:ind w:right="161"/>
              <w:spacing w:after="0"/>
              <w:rPr>
                <w:sz w:val="20"/>
                <w:szCs w:val="20"/>
                <w:color w:val="auto"/>
              </w:rPr>
            </w:pPr>
            <w:r>
              <w:rPr>
                <w:rFonts w:ascii="Arial" w:cs="Arial" w:eastAsia="Arial" w:hAnsi="Arial"/>
                <w:sz w:val="16"/>
                <w:szCs w:val="16"/>
                <w:b w:val="1"/>
                <w:bCs w:val="1"/>
                <w:color w:val="auto"/>
              </w:rPr>
              <w:t>2</w:t>
            </w:r>
          </w:p>
        </w:tc>
        <w:tc>
          <w:tcPr>
            <w:tcW w:w="1680" w:type="dxa"/>
            <w:vAlign w:val="bottom"/>
            <w:tcBorders>
              <w:bottom w:val="single" w:sz="8" w:color="B2B2B2"/>
            </w:tcBorders>
          </w:tcPr>
          <w:p>
            <w:pPr>
              <w:jc w:val="right"/>
              <w:ind w:right="321"/>
              <w:spacing w:after="0"/>
              <w:rPr>
                <w:sz w:val="20"/>
                <w:szCs w:val="20"/>
                <w:color w:val="auto"/>
              </w:rPr>
            </w:pPr>
            <w:r>
              <w:rPr>
                <w:rFonts w:ascii="Arial" w:cs="Arial" w:eastAsia="Arial" w:hAnsi="Arial"/>
                <w:sz w:val="16"/>
                <w:szCs w:val="16"/>
                <w:b w:val="1"/>
                <w:bCs w:val="1"/>
                <w:color w:val="auto"/>
              </w:rPr>
              <w:t>(1)</w:t>
            </w:r>
          </w:p>
        </w:tc>
        <w:tc>
          <w:tcPr>
            <w:tcW w:w="160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b w:val="1"/>
                <w:bCs w:val="1"/>
                <w:color w:val="auto"/>
              </w:rPr>
              <w:t>1</w:t>
            </w:r>
          </w:p>
        </w:tc>
      </w:tr>
      <w:tr>
        <w:trPr>
          <w:trHeight w:val="185"/>
        </w:trPr>
        <w:tc>
          <w:tcPr>
            <w:tcW w:w="376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color w:val="auto"/>
              </w:rPr>
              <w:t> Total</w:t>
            </w:r>
          </w:p>
        </w:tc>
        <w:tc>
          <w:tcPr>
            <w:tcW w:w="2540" w:type="dxa"/>
            <w:vAlign w:val="bottom"/>
            <w:tcBorders>
              <w:bottom w:val="single" w:sz="8" w:color="D64000"/>
            </w:tcBorders>
          </w:tcPr>
          <w:p>
            <w:pPr>
              <w:jc w:val="right"/>
              <w:ind w:right="461"/>
              <w:spacing w:after="0" w:line="179" w:lineRule="exact"/>
              <w:rPr>
                <w:sz w:val="20"/>
                <w:szCs w:val="20"/>
                <w:color w:val="auto"/>
              </w:rPr>
            </w:pPr>
            <w:r>
              <w:rPr>
                <w:rFonts w:ascii="Arial" w:cs="Arial" w:eastAsia="Arial" w:hAnsi="Arial"/>
                <w:sz w:val="16"/>
                <w:szCs w:val="16"/>
                <w:b w:val="1"/>
                <w:bCs w:val="1"/>
                <w:color w:val="auto"/>
              </w:rPr>
              <w:t>4,778</w:t>
            </w:r>
          </w:p>
        </w:tc>
        <w:tc>
          <w:tcPr>
            <w:tcW w:w="1220" w:type="dxa"/>
            <w:vAlign w:val="bottom"/>
            <w:tcBorders>
              <w:bottom w:val="single" w:sz="8" w:color="D64000"/>
            </w:tcBorders>
          </w:tcPr>
          <w:p>
            <w:pPr>
              <w:jc w:val="right"/>
              <w:ind w:right="161"/>
              <w:spacing w:after="0" w:line="179" w:lineRule="exact"/>
              <w:rPr>
                <w:sz w:val="20"/>
                <w:szCs w:val="20"/>
                <w:color w:val="auto"/>
              </w:rPr>
            </w:pPr>
            <w:r>
              <w:rPr>
                <w:rFonts w:ascii="Arial" w:cs="Arial" w:eastAsia="Arial" w:hAnsi="Arial"/>
                <w:sz w:val="16"/>
                <w:szCs w:val="16"/>
                <w:b w:val="1"/>
                <w:bCs w:val="1"/>
                <w:color w:val="auto"/>
              </w:rPr>
              <w:t>1,204</w:t>
            </w:r>
          </w:p>
        </w:tc>
        <w:tc>
          <w:tcPr>
            <w:tcW w:w="1680" w:type="dxa"/>
            <w:vAlign w:val="bottom"/>
            <w:tcBorders>
              <w:bottom w:val="single" w:sz="8" w:color="D64000"/>
            </w:tcBorders>
          </w:tcPr>
          <w:p>
            <w:pPr>
              <w:jc w:val="right"/>
              <w:ind w:right="321"/>
              <w:spacing w:after="0" w:line="179" w:lineRule="exact"/>
              <w:rPr>
                <w:sz w:val="20"/>
                <w:szCs w:val="20"/>
                <w:color w:val="auto"/>
              </w:rPr>
            </w:pPr>
            <w:r>
              <w:rPr>
                <w:rFonts w:ascii="Arial" w:cs="Arial" w:eastAsia="Arial" w:hAnsi="Arial"/>
                <w:sz w:val="16"/>
                <w:szCs w:val="16"/>
                <w:b w:val="1"/>
                <w:bCs w:val="1"/>
                <w:color w:val="auto"/>
              </w:rPr>
              <w:t>(681)</w:t>
            </w:r>
          </w:p>
        </w:tc>
        <w:tc>
          <w:tcPr>
            <w:tcW w:w="1600" w:type="dxa"/>
            <w:vAlign w:val="bottom"/>
            <w:tcBorders>
              <w:bottom w:val="single" w:sz="8" w:color="D64000"/>
            </w:tcBorders>
          </w:tcPr>
          <w:p>
            <w:pPr>
              <w:jc w:val="right"/>
              <w:ind w:right="181"/>
              <w:spacing w:after="0" w:line="179" w:lineRule="exact"/>
              <w:rPr>
                <w:sz w:val="20"/>
                <w:szCs w:val="20"/>
                <w:color w:val="auto"/>
              </w:rPr>
            </w:pPr>
            <w:r>
              <w:rPr>
                <w:rFonts w:ascii="Arial" w:cs="Arial" w:eastAsia="Arial" w:hAnsi="Arial"/>
                <w:sz w:val="16"/>
                <w:szCs w:val="16"/>
                <w:b w:val="1"/>
                <w:bCs w:val="1"/>
                <w:color w:val="auto"/>
              </w:rPr>
              <w:t>523</w:t>
            </w:r>
          </w:p>
        </w:tc>
      </w:tr>
    </w:tbl>
    <w:p>
      <w:pPr>
        <w:spacing w:after="0" w:line="110" w:lineRule="exact"/>
        <w:rPr>
          <w:sz w:val="20"/>
          <w:szCs w:val="20"/>
          <w:color w:val="auto"/>
        </w:rPr>
      </w:pPr>
    </w:p>
    <w:p>
      <w:pPr>
        <w:ind w:left="540" w:hanging="322"/>
        <w:spacing w:after="0"/>
        <w:tabs>
          <w:tab w:leader="none" w:pos="54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The aggregation of U.S. state net operating losses is not meaningful due to differing combination and apportionment rules in various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105410</wp:posOffset>
            </wp:positionV>
            <wp:extent cx="686562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77" w:lineRule="exact"/>
        <w:rPr>
          <w:sz w:val="20"/>
          <w:szCs w:val="20"/>
          <w:color w:val="auto"/>
        </w:rPr>
      </w:pPr>
    </w:p>
    <w:p>
      <w:pPr>
        <w:ind w:left="220"/>
        <w:spacing w:after="0"/>
        <w:tabs>
          <w:tab w:leader="none" w:pos="1030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6"/>
          <w:szCs w:val="16"/>
          <w:color w:val="auto"/>
        </w:rPr>
        <w:t>Page 125</w:t>
      </w:r>
    </w:p>
    <w:p>
      <w:pPr>
        <w:sectPr>
          <w:pgSz w:w="11900" w:h="16838" w:orient="portrait"/>
          <w:cols w:equalWidth="0" w:num="1">
            <w:col w:w="11040"/>
          </w:cols>
          <w:pgMar w:left="320" w:top="477" w:right="5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260"/>
        <w:spacing w:after="0" w:line="260" w:lineRule="auto"/>
        <w:rPr>
          <w:sz w:val="20"/>
          <w:szCs w:val="20"/>
          <w:color w:val="auto"/>
        </w:rPr>
      </w:pPr>
      <w:r>
        <w:rPr>
          <w:rFonts w:ascii="Arial" w:cs="Arial" w:eastAsia="Arial" w:hAnsi="Arial"/>
          <w:sz w:val="17"/>
          <w:szCs w:val="17"/>
          <w:color w:val="auto"/>
        </w:rPr>
        <w:t>If not utilized, most of the Canadian tax losses carried forward will expire between 2029 and 2044. Approximately $921 million of the tax losses carried forward in other jurisdictions expire between 2034 and 2041, and the remainder may be carried forward indefinitely.</w:t>
      </w:r>
    </w:p>
    <w:p>
      <w:pPr>
        <w:spacing w:after="0" w:line="53" w:lineRule="exact"/>
        <w:rPr>
          <w:sz w:val="20"/>
          <w:szCs w:val="20"/>
          <w:color w:val="auto"/>
        </w:rPr>
      </w:pPr>
    </w:p>
    <w:p>
      <w:pPr>
        <w:ind w:left="220" w:right="180"/>
        <w:spacing w:after="0" w:line="238" w:lineRule="auto"/>
        <w:rPr>
          <w:sz w:val="20"/>
          <w:szCs w:val="20"/>
          <w:color w:val="auto"/>
        </w:rPr>
      </w:pPr>
      <w:r>
        <w:rPr>
          <w:rFonts w:ascii="Arial" w:cs="Arial" w:eastAsia="Arial" w:hAnsi="Arial"/>
          <w:sz w:val="17"/>
          <w:szCs w:val="17"/>
          <w:color w:val="auto"/>
        </w:rPr>
        <w:t>No deferred tax is recognized on the temporary differences associated with investments in subsidiaries and equity method investments to the extent that the Company can control the timing and reversal of such differences, or the reversal would not create a tax liability. These temporary differences are primarily attributable to the undistributed earnings of non-Canadian subsidiaries, which were $12.7 billion as of December 31, 2024 (2023 - $14.4 billion).</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Note 25: Capital</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change in capital, which includes stated share capital and contributed surplus, was as follows:</w:t>
      </w:r>
    </w:p>
    <w:p>
      <w:pPr>
        <w:spacing w:after="0" w:line="211"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3360" w:type="dxa"/>
            <w:vAlign w:val="bottom"/>
            <w:shd w:val="clear" w:color="auto" w:fill="1F473D"/>
          </w:tcPr>
          <w:p>
            <w:pPr>
              <w:spacing w:after="0"/>
              <w:rPr>
                <w:sz w:val="16"/>
                <w:szCs w:val="16"/>
                <w:color w:val="auto"/>
              </w:rPr>
            </w:pPr>
          </w:p>
        </w:tc>
        <w:tc>
          <w:tcPr>
            <w:tcW w:w="2080" w:type="dxa"/>
            <w:vAlign w:val="bottom"/>
            <w:shd w:val="clear" w:color="auto" w:fill="1F473D"/>
          </w:tcPr>
          <w:p>
            <w:pPr>
              <w:spacing w:after="0"/>
              <w:rPr>
                <w:sz w:val="16"/>
                <w:szCs w:val="16"/>
                <w:color w:val="auto"/>
              </w:rPr>
            </w:pPr>
          </w:p>
        </w:tc>
        <w:tc>
          <w:tcPr>
            <w:tcW w:w="1420" w:type="dxa"/>
            <w:vAlign w:val="bottom"/>
            <w:shd w:val="clear" w:color="auto" w:fill="1F473D"/>
          </w:tcPr>
          <w:p>
            <w:pPr>
              <w:spacing w:after="0"/>
              <w:rPr>
                <w:sz w:val="16"/>
                <w:szCs w:val="16"/>
                <w:color w:val="auto"/>
              </w:rPr>
            </w:pPr>
          </w:p>
        </w:tc>
        <w:tc>
          <w:tcPr>
            <w:tcW w:w="140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9"/>
              </w:rPr>
              <w:t>Cumulative</w:t>
            </w:r>
          </w:p>
        </w:tc>
        <w:tc>
          <w:tcPr>
            <w:tcW w:w="1280" w:type="dxa"/>
            <w:vAlign w:val="bottom"/>
            <w:shd w:val="clear" w:color="auto" w:fill="1F473D"/>
          </w:tcPr>
          <w:p>
            <w:pPr>
              <w:spacing w:after="0"/>
              <w:rPr>
                <w:sz w:val="16"/>
                <w:szCs w:val="16"/>
                <w:color w:val="auto"/>
              </w:rPr>
            </w:pPr>
          </w:p>
        </w:tc>
        <w:tc>
          <w:tcPr>
            <w:tcW w:w="1260" w:type="dxa"/>
            <w:vAlign w:val="bottom"/>
            <w:shd w:val="clear" w:color="auto" w:fill="1F473D"/>
          </w:tcPr>
          <w:p>
            <w:pPr>
              <w:spacing w:after="0"/>
              <w:rPr>
                <w:sz w:val="16"/>
                <w:szCs w:val="16"/>
                <w:color w:val="auto"/>
              </w:rPr>
            </w:pPr>
          </w:p>
        </w:tc>
      </w:tr>
      <w:tr>
        <w:trPr>
          <w:trHeight w:val="185"/>
        </w:trPr>
        <w:tc>
          <w:tcPr>
            <w:tcW w:w="3360" w:type="dxa"/>
            <w:vAlign w:val="bottom"/>
            <w:shd w:val="clear" w:color="auto" w:fill="1F473D"/>
          </w:tcPr>
          <w:p>
            <w:pPr>
              <w:spacing w:after="0"/>
              <w:rPr>
                <w:sz w:val="16"/>
                <w:szCs w:val="16"/>
                <w:color w:val="auto"/>
              </w:rPr>
            </w:pPr>
          </w:p>
        </w:tc>
        <w:tc>
          <w:tcPr>
            <w:tcW w:w="2080" w:type="dxa"/>
            <w:vAlign w:val="bottom"/>
            <w:shd w:val="clear" w:color="auto" w:fill="1F473D"/>
          </w:tcPr>
          <w:p>
            <w:pPr>
              <w:spacing w:after="0"/>
              <w:rPr>
                <w:sz w:val="16"/>
                <w:szCs w:val="16"/>
                <w:color w:val="auto"/>
              </w:rPr>
            </w:pPr>
          </w:p>
        </w:tc>
        <w:tc>
          <w:tcPr>
            <w:tcW w:w="1420" w:type="dxa"/>
            <w:vAlign w:val="bottom"/>
            <w:shd w:val="clear" w:color="auto" w:fill="1F473D"/>
          </w:tcPr>
          <w:p>
            <w:pPr>
              <w:spacing w:after="0"/>
              <w:rPr>
                <w:sz w:val="16"/>
                <w:szCs w:val="16"/>
                <w:color w:val="auto"/>
              </w:rPr>
            </w:pPr>
          </w:p>
        </w:tc>
        <w:tc>
          <w:tcPr>
            <w:tcW w:w="140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9"/>
              </w:rPr>
              <w:t>Redeemable</w:t>
            </w:r>
          </w:p>
        </w:tc>
        <w:tc>
          <w:tcPr>
            <w:tcW w:w="1280" w:type="dxa"/>
            <w:vAlign w:val="bottom"/>
            <w:shd w:val="clear" w:color="auto" w:fill="1F473D"/>
          </w:tcPr>
          <w:p>
            <w:pPr>
              <w:spacing w:after="0"/>
              <w:rPr>
                <w:sz w:val="16"/>
                <w:szCs w:val="16"/>
                <w:color w:val="auto"/>
              </w:rPr>
            </w:pPr>
          </w:p>
        </w:tc>
        <w:tc>
          <w:tcPr>
            <w:tcW w:w="1260" w:type="dxa"/>
            <w:vAlign w:val="bottom"/>
            <w:shd w:val="clear" w:color="auto" w:fill="1F473D"/>
          </w:tcPr>
          <w:p>
            <w:pPr>
              <w:spacing w:after="0"/>
              <w:rPr>
                <w:sz w:val="16"/>
                <w:szCs w:val="16"/>
                <w:color w:val="auto"/>
              </w:rPr>
            </w:pPr>
          </w:p>
        </w:tc>
      </w:tr>
      <w:tr>
        <w:trPr>
          <w:trHeight w:val="186"/>
        </w:trPr>
        <w:tc>
          <w:tcPr>
            <w:tcW w:w="3360" w:type="dxa"/>
            <w:vAlign w:val="bottom"/>
            <w:shd w:val="clear" w:color="auto" w:fill="1F473D"/>
          </w:tcPr>
          <w:p>
            <w:pPr>
              <w:spacing w:after="0"/>
              <w:rPr>
                <w:sz w:val="16"/>
                <w:szCs w:val="16"/>
                <w:color w:val="auto"/>
              </w:rPr>
            </w:pPr>
          </w:p>
        </w:tc>
        <w:tc>
          <w:tcPr>
            <w:tcW w:w="2080" w:type="dxa"/>
            <w:vAlign w:val="bottom"/>
            <w:shd w:val="clear" w:color="auto" w:fill="1F473D"/>
          </w:tcPr>
          <w:p>
            <w:pPr>
              <w:jc w:val="center"/>
              <w:ind w:left="561"/>
              <w:spacing w:after="0"/>
              <w:rPr>
                <w:sz w:val="20"/>
                <w:szCs w:val="20"/>
                <w:color w:val="auto"/>
              </w:rPr>
            </w:pPr>
            <w:r>
              <w:rPr>
                <w:rFonts w:ascii="Arial" w:cs="Arial" w:eastAsia="Arial" w:hAnsi="Arial"/>
                <w:sz w:val="16"/>
                <w:szCs w:val="16"/>
                <w:b w:val="1"/>
                <w:bCs w:val="1"/>
                <w:color w:val="FFFFFF"/>
                <w:w w:val="99"/>
              </w:rPr>
              <w:t>Number of</w:t>
            </w:r>
          </w:p>
        </w:tc>
        <w:tc>
          <w:tcPr>
            <w:tcW w:w="1420" w:type="dxa"/>
            <w:vAlign w:val="bottom"/>
            <w:shd w:val="clear" w:color="auto" w:fill="1F473D"/>
          </w:tcPr>
          <w:p>
            <w:pPr>
              <w:spacing w:after="0"/>
              <w:rPr>
                <w:sz w:val="16"/>
                <w:szCs w:val="16"/>
                <w:color w:val="auto"/>
              </w:rPr>
            </w:pPr>
          </w:p>
        </w:tc>
        <w:tc>
          <w:tcPr>
            <w:tcW w:w="140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9"/>
              </w:rPr>
              <w:t>Preference</w:t>
            </w:r>
          </w:p>
        </w:tc>
        <w:tc>
          <w:tcPr>
            <w:tcW w:w="1280" w:type="dxa"/>
            <w:vAlign w:val="bottom"/>
            <w:shd w:val="clear" w:color="auto" w:fill="1F473D"/>
          </w:tcPr>
          <w:p>
            <w:pPr>
              <w:spacing w:after="0"/>
              <w:rPr>
                <w:sz w:val="16"/>
                <w:szCs w:val="16"/>
                <w:color w:val="auto"/>
              </w:rPr>
            </w:pPr>
          </w:p>
        </w:tc>
        <w:tc>
          <w:tcPr>
            <w:tcW w:w="1260" w:type="dxa"/>
            <w:vAlign w:val="bottom"/>
            <w:shd w:val="clear" w:color="auto" w:fill="1F473D"/>
          </w:tcPr>
          <w:p>
            <w:pPr>
              <w:spacing w:after="0"/>
              <w:rPr>
                <w:sz w:val="16"/>
                <w:szCs w:val="16"/>
                <w:color w:val="auto"/>
              </w:rPr>
            </w:pPr>
          </w:p>
        </w:tc>
      </w:tr>
      <w:tr>
        <w:trPr>
          <w:trHeight w:val="185"/>
        </w:trPr>
        <w:tc>
          <w:tcPr>
            <w:tcW w:w="3360" w:type="dxa"/>
            <w:vAlign w:val="bottom"/>
            <w:shd w:val="clear" w:color="auto" w:fill="1F473D"/>
          </w:tcPr>
          <w:p>
            <w:pPr>
              <w:spacing w:after="0"/>
              <w:rPr>
                <w:sz w:val="16"/>
                <w:szCs w:val="16"/>
                <w:color w:val="auto"/>
              </w:rPr>
            </w:pPr>
          </w:p>
        </w:tc>
        <w:tc>
          <w:tcPr>
            <w:tcW w:w="2080" w:type="dxa"/>
            <w:vAlign w:val="bottom"/>
            <w:shd w:val="clear" w:color="auto" w:fill="1F473D"/>
          </w:tcPr>
          <w:p>
            <w:pPr>
              <w:jc w:val="center"/>
              <w:ind w:left="561"/>
              <w:spacing w:after="0"/>
              <w:rPr>
                <w:sz w:val="20"/>
                <w:szCs w:val="20"/>
                <w:color w:val="auto"/>
              </w:rPr>
            </w:pPr>
            <w:r>
              <w:rPr>
                <w:rFonts w:ascii="Arial" w:cs="Arial" w:eastAsia="Arial" w:hAnsi="Arial"/>
                <w:sz w:val="16"/>
                <w:szCs w:val="16"/>
                <w:b w:val="1"/>
                <w:bCs w:val="1"/>
                <w:color w:val="FFFFFF"/>
                <w:w w:val="98"/>
              </w:rPr>
              <w:t>Common</w:t>
            </w:r>
          </w:p>
        </w:tc>
        <w:tc>
          <w:tcPr>
            <w:tcW w:w="1420" w:type="dxa"/>
            <w:vAlign w:val="bottom"/>
            <w:shd w:val="clear" w:color="auto" w:fill="1F473D"/>
          </w:tcPr>
          <w:p>
            <w:pPr>
              <w:jc w:val="right"/>
              <w:ind w:right="141"/>
              <w:spacing w:after="0"/>
              <w:rPr>
                <w:sz w:val="20"/>
                <w:szCs w:val="20"/>
                <w:color w:val="auto"/>
              </w:rPr>
            </w:pPr>
            <w:r>
              <w:rPr>
                <w:rFonts w:ascii="Arial" w:cs="Arial" w:eastAsia="Arial" w:hAnsi="Arial"/>
                <w:sz w:val="16"/>
                <w:szCs w:val="16"/>
                <w:b w:val="1"/>
                <w:bCs w:val="1"/>
                <w:color w:val="FFFFFF"/>
              </w:rPr>
              <w:t>Stated Share</w:t>
            </w:r>
          </w:p>
        </w:tc>
        <w:tc>
          <w:tcPr>
            <w:tcW w:w="140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8"/>
              </w:rPr>
              <w:t>Share</w:t>
            </w:r>
          </w:p>
        </w:tc>
        <w:tc>
          <w:tcPr>
            <w:tcW w:w="1280" w:type="dxa"/>
            <w:vAlign w:val="bottom"/>
            <w:shd w:val="clear" w:color="auto" w:fill="1F473D"/>
          </w:tcPr>
          <w:p>
            <w:pPr>
              <w:jc w:val="right"/>
              <w:ind w:right="81"/>
              <w:spacing w:after="0"/>
              <w:rPr>
                <w:sz w:val="20"/>
                <w:szCs w:val="20"/>
                <w:color w:val="auto"/>
              </w:rPr>
            </w:pPr>
            <w:r>
              <w:rPr>
                <w:rFonts w:ascii="Arial" w:cs="Arial" w:eastAsia="Arial" w:hAnsi="Arial"/>
                <w:sz w:val="16"/>
                <w:szCs w:val="16"/>
                <w:b w:val="1"/>
                <w:bCs w:val="1"/>
                <w:color w:val="FFFFFF"/>
              </w:rPr>
              <w:t>Contributed</w:t>
            </w:r>
          </w:p>
        </w:tc>
        <w:tc>
          <w:tcPr>
            <w:tcW w:w="1260" w:type="dxa"/>
            <w:vAlign w:val="bottom"/>
            <w:shd w:val="clear" w:color="auto" w:fill="1F473D"/>
          </w:tcPr>
          <w:p>
            <w:pPr>
              <w:spacing w:after="0"/>
              <w:rPr>
                <w:sz w:val="16"/>
                <w:szCs w:val="16"/>
                <w:color w:val="auto"/>
              </w:rPr>
            </w:pPr>
          </w:p>
        </w:tc>
      </w:tr>
      <w:tr>
        <w:trPr>
          <w:trHeight w:val="206"/>
        </w:trPr>
        <w:tc>
          <w:tcPr>
            <w:tcW w:w="3360" w:type="dxa"/>
            <w:vAlign w:val="bottom"/>
            <w:tcBorders>
              <w:bottom w:val="single" w:sz="8" w:color="D64000"/>
            </w:tcBorders>
            <w:shd w:val="clear" w:color="auto" w:fill="1F473D"/>
          </w:tcPr>
          <w:p>
            <w:pPr>
              <w:spacing w:after="0"/>
              <w:rPr>
                <w:sz w:val="17"/>
                <w:szCs w:val="17"/>
                <w:color w:val="auto"/>
              </w:rPr>
            </w:pPr>
          </w:p>
        </w:tc>
        <w:tc>
          <w:tcPr>
            <w:tcW w:w="2080" w:type="dxa"/>
            <w:vAlign w:val="bottom"/>
            <w:tcBorders>
              <w:bottom w:val="single" w:sz="8" w:color="D64000"/>
            </w:tcBorders>
            <w:shd w:val="clear" w:color="auto" w:fill="1F473D"/>
          </w:tcPr>
          <w:p>
            <w:pPr>
              <w:jc w:val="center"/>
              <w:ind w:left="561"/>
              <w:spacing w:after="0"/>
              <w:rPr>
                <w:sz w:val="20"/>
                <w:szCs w:val="20"/>
                <w:color w:val="auto"/>
              </w:rPr>
            </w:pPr>
            <w:r>
              <w:rPr>
                <w:rFonts w:ascii="Arial" w:cs="Arial" w:eastAsia="Arial" w:hAnsi="Arial"/>
                <w:sz w:val="16"/>
                <w:szCs w:val="16"/>
                <w:b w:val="1"/>
                <w:bCs w:val="1"/>
                <w:color w:val="FFFFFF"/>
                <w:w w:val="97"/>
              </w:rPr>
              <w:t>Shares</w:t>
            </w:r>
          </w:p>
        </w:tc>
        <w:tc>
          <w:tcPr>
            <w:tcW w:w="1420" w:type="dxa"/>
            <w:vAlign w:val="bottom"/>
            <w:tcBorders>
              <w:bottom w:val="single" w:sz="8" w:color="D64000"/>
            </w:tcBorders>
            <w:shd w:val="clear" w:color="auto" w:fill="1F473D"/>
          </w:tcPr>
          <w:p>
            <w:pPr>
              <w:jc w:val="right"/>
              <w:ind w:right="361"/>
              <w:spacing w:after="0"/>
              <w:rPr>
                <w:sz w:val="20"/>
                <w:szCs w:val="20"/>
                <w:color w:val="auto"/>
              </w:rPr>
            </w:pPr>
            <w:r>
              <w:rPr>
                <w:rFonts w:ascii="Arial" w:cs="Arial" w:eastAsia="Arial" w:hAnsi="Arial"/>
                <w:sz w:val="16"/>
                <w:szCs w:val="16"/>
                <w:b w:val="1"/>
                <w:bCs w:val="1"/>
                <w:color w:val="FFFFFF"/>
              </w:rPr>
              <w:t>Capital</w:t>
            </w:r>
          </w:p>
        </w:tc>
        <w:tc>
          <w:tcPr>
            <w:tcW w:w="1400" w:type="dxa"/>
            <w:vAlign w:val="bottom"/>
            <w:tcBorders>
              <w:bottom w:val="single" w:sz="8" w:color="D64000"/>
            </w:tcBorders>
            <w:shd w:val="clear" w:color="auto" w:fill="1F473D"/>
          </w:tcPr>
          <w:p>
            <w:pPr>
              <w:jc w:val="center"/>
              <w:spacing w:after="0"/>
              <w:rPr>
                <w:sz w:val="20"/>
                <w:szCs w:val="20"/>
                <w:color w:val="auto"/>
              </w:rPr>
            </w:pPr>
            <w:r>
              <w:rPr>
                <w:rFonts w:ascii="Arial" w:cs="Arial" w:eastAsia="Arial" w:hAnsi="Arial"/>
                <w:sz w:val="16"/>
                <w:szCs w:val="16"/>
                <w:b w:val="1"/>
                <w:bCs w:val="1"/>
                <w:color w:val="FFFFFF"/>
                <w:w w:val="97"/>
              </w:rPr>
              <w:t>Capital</w:t>
            </w:r>
          </w:p>
        </w:tc>
        <w:tc>
          <w:tcPr>
            <w:tcW w:w="1280" w:type="dxa"/>
            <w:vAlign w:val="bottom"/>
            <w:tcBorders>
              <w:bottom w:val="single" w:sz="8" w:color="D64000"/>
            </w:tcBorders>
            <w:shd w:val="clear" w:color="auto" w:fill="1F473D"/>
          </w:tcPr>
          <w:p>
            <w:pPr>
              <w:jc w:val="right"/>
              <w:ind w:right="241"/>
              <w:spacing w:after="0"/>
              <w:rPr>
                <w:sz w:val="20"/>
                <w:szCs w:val="20"/>
                <w:color w:val="auto"/>
              </w:rPr>
            </w:pPr>
            <w:r>
              <w:rPr>
                <w:rFonts w:ascii="Arial" w:cs="Arial" w:eastAsia="Arial" w:hAnsi="Arial"/>
                <w:sz w:val="16"/>
                <w:szCs w:val="16"/>
                <w:b w:val="1"/>
                <w:bCs w:val="1"/>
                <w:color w:val="FFFFFF"/>
              </w:rPr>
              <w:t>Surplus</w:t>
            </w:r>
          </w:p>
        </w:tc>
        <w:tc>
          <w:tcPr>
            <w:tcW w:w="1260" w:type="dxa"/>
            <w:vAlign w:val="bottom"/>
            <w:tcBorders>
              <w:bottom w:val="single" w:sz="8" w:color="D64000"/>
            </w:tcBorders>
            <w:shd w:val="clear" w:color="auto" w:fill="1F473D"/>
          </w:tcPr>
          <w:p>
            <w:pPr>
              <w:jc w:val="right"/>
              <w:ind w:right="81"/>
              <w:spacing w:after="0"/>
              <w:rPr>
                <w:sz w:val="20"/>
                <w:szCs w:val="20"/>
                <w:color w:val="auto"/>
              </w:rPr>
            </w:pPr>
            <w:r>
              <w:rPr>
                <w:rFonts w:ascii="Arial" w:cs="Arial" w:eastAsia="Arial" w:hAnsi="Arial"/>
                <w:sz w:val="16"/>
                <w:szCs w:val="16"/>
                <w:b w:val="1"/>
                <w:bCs w:val="1"/>
                <w:color w:val="FFFFFF"/>
              </w:rPr>
              <w:t>Total Capital</w:t>
            </w:r>
          </w:p>
        </w:tc>
      </w:tr>
      <w:tr>
        <w:trPr>
          <w:trHeight w:val="186"/>
        </w:trPr>
        <w:tc>
          <w:tcPr>
            <w:tcW w:w="336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 Balance, December 31, 2022</w:t>
            </w:r>
          </w:p>
        </w:tc>
        <w:tc>
          <w:tcPr>
            <w:tcW w:w="2080" w:type="dxa"/>
            <w:vAlign w:val="bottom"/>
            <w:tcBorders>
              <w:bottom w:val="single" w:sz="8" w:color="B2B2B2"/>
            </w:tcBorders>
          </w:tcPr>
          <w:p>
            <w:pPr>
              <w:jc w:val="right"/>
              <w:ind w:right="161"/>
              <w:spacing w:after="0"/>
              <w:rPr>
                <w:sz w:val="20"/>
                <w:szCs w:val="20"/>
                <w:color w:val="auto"/>
              </w:rPr>
            </w:pPr>
            <w:r>
              <w:rPr>
                <w:rFonts w:ascii="Arial" w:cs="Arial" w:eastAsia="Arial" w:hAnsi="Arial"/>
                <w:sz w:val="16"/>
                <w:szCs w:val="16"/>
                <w:color w:val="auto"/>
              </w:rPr>
              <w:t>476,059,110</w:t>
            </w:r>
          </w:p>
        </w:tc>
        <w:tc>
          <w:tcPr>
            <w:tcW w:w="1420" w:type="dxa"/>
            <w:vAlign w:val="bottom"/>
            <w:tcBorders>
              <w:bottom w:val="single" w:sz="8" w:color="B2B2B2"/>
            </w:tcBorders>
          </w:tcPr>
          <w:p>
            <w:pPr>
              <w:jc w:val="right"/>
              <w:ind w:right="141"/>
              <w:spacing w:after="0"/>
              <w:rPr>
                <w:sz w:val="20"/>
                <w:szCs w:val="20"/>
                <w:color w:val="auto"/>
              </w:rPr>
            </w:pPr>
            <w:r>
              <w:rPr>
                <w:rFonts w:ascii="Arial" w:cs="Arial" w:eastAsia="Arial" w:hAnsi="Arial"/>
                <w:sz w:val="16"/>
                <w:szCs w:val="16"/>
                <w:color w:val="auto"/>
              </w:rPr>
              <w:t>$3,754</w:t>
            </w:r>
          </w:p>
        </w:tc>
        <w:tc>
          <w:tcPr>
            <w:tcW w:w="1400" w:type="dxa"/>
            <w:vAlign w:val="bottom"/>
            <w:tcBorders>
              <w:bottom w:val="single" w:sz="8" w:color="B2B2B2"/>
            </w:tcBorders>
          </w:tcPr>
          <w:p>
            <w:pPr>
              <w:jc w:val="right"/>
              <w:ind w:right="161"/>
              <w:spacing w:after="0"/>
              <w:rPr>
                <w:sz w:val="20"/>
                <w:szCs w:val="20"/>
                <w:color w:val="auto"/>
              </w:rPr>
            </w:pPr>
            <w:r>
              <w:rPr>
                <w:rFonts w:ascii="Arial" w:cs="Arial" w:eastAsia="Arial" w:hAnsi="Arial"/>
                <w:sz w:val="16"/>
                <w:szCs w:val="16"/>
                <w:color w:val="auto"/>
              </w:rPr>
              <w:t>$110</w:t>
            </w:r>
          </w:p>
        </w:tc>
        <w:tc>
          <w:tcPr>
            <w:tcW w:w="1280" w:type="dxa"/>
            <w:vAlign w:val="bottom"/>
            <w:tcBorders>
              <w:bottom w:val="single" w:sz="8" w:color="B2B2B2"/>
            </w:tcBorders>
          </w:tcPr>
          <w:p>
            <w:pPr>
              <w:jc w:val="right"/>
              <w:ind w:right="81"/>
              <w:spacing w:after="0"/>
              <w:rPr>
                <w:sz w:val="20"/>
                <w:szCs w:val="20"/>
                <w:color w:val="auto"/>
              </w:rPr>
            </w:pPr>
            <w:r>
              <w:rPr>
                <w:rFonts w:ascii="Arial" w:cs="Arial" w:eastAsia="Arial" w:hAnsi="Arial"/>
                <w:sz w:val="16"/>
                <w:szCs w:val="16"/>
                <w:color w:val="auto"/>
              </w:rPr>
              <w:t>$1,534</w:t>
            </w:r>
          </w:p>
        </w:tc>
        <w:tc>
          <w:tcPr>
            <w:tcW w:w="1260" w:type="dxa"/>
            <w:vAlign w:val="bottom"/>
            <w:tcBorders>
              <w:bottom w:val="single" w:sz="8" w:color="B2B2B2"/>
            </w:tcBorders>
          </w:tcPr>
          <w:p>
            <w:pPr>
              <w:jc w:val="right"/>
              <w:ind w:right="81"/>
              <w:spacing w:after="0"/>
              <w:rPr>
                <w:sz w:val="20"/>
                <w:szCs w:val="20"/>
                <w:color w:val="auto"/>
              </w:rPr>
            </w:pPr>
            <w:r>
              <w:rPr>
                <w:rFonts w:ascii="Arial" w:cs="Arial" w:eastAsia="Arial" w:hAnsi="Arial"/>
                <w:sz w:val="16"/>
                <w:szCs w:val="16"/>
                <w:color w:val="auto"/>
              </w:rPr>
              <w:t>$5,398</w:t>
            </w:r>
          </w:p>
        </w:tc>
      </w:tr>
      <w:tr>
        <w:trPr>
          <w:trHeight w:val="165"/>
        </w:trPr>
        <w:tc>
          <w:tcPr>
            <w:tcW w:w="3360" w:type="dxa"/>
            <w:vAlign w:val="bottom"/>
          </w:tcPr>
          <w:p>
            <w:pPr>
              <w:spacing w:after="0" w:line="165" w:lineRule="exact"/>
              <w:rPr>
                <w:sz w:val="20"/>
                <w:szCs w:val="20"/>
                <w:color w:val="auto"/>
              </w:rPr>
            </w:pPr>
            <w:r>
              <w:rPr>
                <w:rFonts w:ascii="Arial" w:cs="Arial" w:eastAsia="Arial" w:hAnsi="Arial"/>
                <w:sz w:val="16"/>
                <w:szCs w:val="16"/>
                <w:color w:val="auto"/>
              </w:rPr>
              <w:t> Return of capital</w:t>
            </w:r>
          </w:p>
        </w:tc>
        <w:tc>
          <w:tcPr>
            <w:tcW w:w="2080" w:type="dxa"/>
            <w:vAlign w:val="bottom"/>
          </w:tcPr>
          <w:p>
            <w:pPr>
              <w:jc w:val="right"/>
              <w:ind w:right="161"/>
              <w:spacing w:after="0" w:line="165" w:lineRule="exact"/>
              <w:rPr>
                <w:sz w:val="20"/>
                <w:szCs w:val="20"/>
                <w:color w:val="auto"/>
              </w:rPr>
            </w:pPr>
            <w:r>
              <w:rPr>
                <w:rFonts w:ascii="Arial" w:cs="Arial" w:eastAsia="Arial" w:hAnsi="Arial"/>
                <w:sz w:val="16"/>
                <w:szCs w:val="16"/>
                <w:color w:val="auto"/>
              </w:rPr>
              <w:t>(15,781,853)</w:t>
            </w:r>
          </w:p>
        </w:tc>
        <w:tc>
          <w:tcPr>
            <w:tcW w:w="1420" w:type="dxa"/>
            <w:vAlign w:val="bottom"/>
          </w:tcPr>
          <w:p>
            <w:pPr>
              <w:jc w:val="right"/>
              <w:ind w:right="141"/>
              <w:spacing w:after="0" w:line="165" w:lineRule="exact"/>
              <w:rPr>
                <w:sz w:val="20"/>
                <w:szCs w:val="20"/>
                <w:color w:val="auto"/>
              </w:rPr>
            </w:pPr>
            <w:r>
              <w:rPr>
                <w:rFonts w:ascii="Arial" w:cs="Arial" w:eastAsia="Arial" w:hAnsi="Arial"/>
                <w:sz w:val="16"/>
                <w:szCs w:val="16"/>
                <w:color w:val="auto"/>
              </w:rPr>
              <w:t>(2,107)</w:t>
            </w:r>
          </w:p>
        </w:tc>
        <w:tc>
          <w:tcPr>
            <w:tcW w:w="1400" w:type="dxa"/>
            <w:vAlign w:val="bottom"/>
          </w:tcPr>
          <w:p>
            <w:pPr>
              <w:jc w:val="right"/>
              <w:ind w:right="161"/>
              <w:spacing w:after="0" w:line="165"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81"/>
              <w:spacing w:after="0" w:line="165" w:lineRule="exact"/>
              <w:rPr>
                <w:sz w:val="20"/>
                <w:szCs w:val="20"/>
                <w:color w:val="auto"/>
              </w:rPr>
            </w:pPr>
            <w:r>
              <w:rPr>
                <w:rFonts w:ascii="Arial" w:cs="Arial" w:eastAsia="Arial" w:hAnsi="Arial"/>
                <w:sz w:val="16"/>
                <w:szCs w:val="16"/>
                <w:color w:val="auto"/>
              </w:rPr>
              <w:t>60</w:t>
            </w:r>
          </w:p>
        </w:tc>
        <w:tc>
          <w:tcPr>
            <w:tcW w:w="1260" w:type="dxa"/>
            <w:vAlign w:val="bottom"/>
          </w:tcPr>
          <w:p>
            <w:pPr>
              <w:jc w:val="right"/>
              <w:ind w:right="81"/>
              <w:spacing w:after="0" w:line="165" w:lineRule="exact"/>
              <w:rPr>
                <w:sz w:val="20"/>
                <w:szCs w:val="20"/>
                <w:color w:val="auto"/>
              </w:rPr>
            </w:pPr>
            <w:r>
              <w:rPr>
                <w:rFonts w:ascii="Arial" w:cs="Arial" w:eastAsia="Arial" w:hAnsi="Arial"/>
                <w:sz w:val="16"/>
                <w:szCs w:val="16"/>
                <w:color w:val="auto"/>
              </w:rPr>
              <w:t>(2,047)</w:t>
            </w:r>
          </w:p>
        </w:tc>
      </w:tr>
      <w:tr>
        <w:trPr>
          <w:trHeight w:val="186"/>
        </w:trPr>
        <w:tc>
          <w:tcPr>
            <w:tcW w:w="3360" w:type="dxa"/>
            <w:vAlign w:val="bottom"/>
          </w:tcPr>
          <w:p>
            <w:pPr>
              <w:spacing w:after="0"/>
              <w:rPr>
                <w:sz w:val="20"/>
                <w:szCs w:val="20"/>
                <w:color w:val="auto"/>
              </w:rPr>
            </w:pPr>
            <w:r>
              <w:rPr>
                <w:rFonts w:ascii="Arial" w:cs="Arial" w:eastAsia="Arial" w:hAnsi="Arial"/>
                <w:sz w:val="16"/>
                <w:szCs w:val="16"/>
                <w:color w:val="auto"/>
              </w:rPr>
              <w:t> Shares issued under DRIP</w:t>
            </w:r>
          </w:p>
        </w:tc>
        <w:tc>
          <w:tcPr>
            <w:tcW w:w="2080" w:type="dxa"/>
            <w:vAlign w:val="bottom"/>
          </w:tcPr>
          <w:p>
            <w:pPr>
              <w:jc w:val="right"/>
              <w:ind w:right="161"/>
              <w:spacing w:after="0"/>
              <w:rPr>
                <w:sz w:val="20"/>
                <w:szCs w:val="20"/>
                <w:color w:val="auto"/>
              </w:rPr>
            </w:pPr>
            <w:r>
              <w:rPr>
                <w:rFonts w:ascii="Arial" w:cs="Arial" w:eastAsia="Arial" w:hAnsi="Arial"/>
                <w:sz w:val="16"/>
                <w:szCs w:val="16"/>
                <w:color w:val="auto"/>
              </w:rPr>
              <w:t>162,457</w:t>
            </w:r>
          </w:p>
        </w:tc>
        <w:tc>
          <w:tcPr>
            <w:tcW w:w="1420" w:type="dxa"/>
            <w:vAlign w:val="bottom"/>
          </w:tcPr>
          <w:p>
            <w:pPr>
              <w:jc w:val="right"/>
              <w:ind w:right="141"/>
              <w:spacing w:after="0"/>
              <w:rPr>
                <w:sz w:val="20"/>
                <w:szCs w:val="20"/>
                <w:color w:val="auto"/>
              </w:rPr>
            </w:pPr>
            <w:r>
              <w:rPr>
                <w:rFonts w:ascii="Arial" w:cs="Arial" w:eastAsia="Arial" w:hAnsi="Arial"/>
                <w:sz w:val="16"/>
                <w:szCs w:val="16"/>
                <w:color w:val="auto"/>
              </w:rPr>
              <w:t>21</w:t>
            </w:r>
          </w:p>
        </w:tc>
        <w:tc>
          <w:tcPr>
            <w:tcW w:w="140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21</w:t>
            </w:r>
          </w:p>
        </w:tc>
      </w:tr>
      <w:tr>
        <w:trPr>
          <w:trHeight w:val="186"/>
        </w:trPr>
        <w:tc>
          <w:tcPr>
            <w:tcW w:w="3360" w:type="dxa"/>
            <w:vAlign w:val="bottom"/>
          </w:tcPr>
          <w:p>
            <w:pPr>
              <w:spacing w:after="0" w:line="185" w:lineRule="exact"/>
              <w:rPr>
                <w:sz w:val="20"/>
                <w:szCs w:val="20"/>
                <w:color w:val="auto"/>
              </w:rPr>
            </w:pPr>
            <w:r>
              <w:rPr>
                <w:rFonts w:ascii="Arial" w:cs="Arial" w:eastAsia="Arial" w:hAnsi="Arial"/>
                <w:sz w:val="16"/>
                <w:szCs w:val="16"/>
                <w:color w:val="auto"/>
              </w:rPr>
              <w:t> Stock compensation plans</w:t>
            </w:r>
            <w:r>
              <w:rPr>
                <w:rFonts w:ascii="Arial" w:cs="Arial" w:eastAsia="Arial" w:hAnsi="Arial"/>
                <w:sz w:val="19"/>
                <w:szCs w:val="19"/>
                <w:color w:val="auto"/>
                <w:vertAlign w:val="superscript"/>
              </w:rPr>
              <w:t>(1)</w:t>
            </w:r>
          </w:p>
        </w:tc>
        <w:tc>
          <w:tcPr>
            <w:tcW w:w="2080" w:type="dxa"/>
            <w:vAlign w:val="bottom"/>
          </w:tcPr>
          <w:p>
            <w:pPr>
              <w:jc w:val="right"/>
              <w:ind w:right="161"/>
              <w:spacing w:after="0"/>
              <w:rPr>
                <w:sz w:val="20"/>
                <w:szCs w:val="20"/>
                <w:color w:val="auto"/>
              </w:rPr>
            </w:pPr>
            <w:r>
              <w:rPr>
                <w:rFonts w:ascii="Arial" w:cs="Arial" w:eastAsia="Arial" w:hAnsi="Arial"/>
                <w:sz w:val="16"/>
                <w:szCs w:val="16"/>
                <w:color w:val="auto"/>
              </w:rPr>
              <w:t>1,147,749</w:t>
            </w:r>
          </w:p>
        </w:tc>
        <w:tc>
          <w:tcPr>
            <w:tcW w:w="1420" w:type="dxa"/>
            <w:vAlign w:val="bottom"/>
          </w:tcPr>
          <w:p>
            <w:pPr>
              <w:jc w:val="right"/>
              <w:ind w:right="141"/>
              <w:spacing w:after="0"/>
              <w:rPr>
                <w:sz w:val="20"/>
                <w:szCs w:val="20"/>
                <w:color w:val="auto"/>
              </w:rPr>
            </w:pPr>
            <w:r>
              <w:rPr>
                <w:rFonts w:ascii="Arial" w:cs="Arial" w:eastAsia="Arial" w:hAnsi="Arial"/>
                <w:sz w:val="16"/>
                <w:szCs w:val="16"/>
                <w:color w:val="auto"/>
              </w:rPr>
              <w:t>142</w:t>
            </w:r>
          </w:p>
        </w:tc>
        <w:tc>
          <w:tcPr>
            <w:tcW w:w="140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81"/>
              <w:spacing w:after="0"/>
              <w:rPr>
                <w:sz w:val="20"/>
                <w:szCs w:val="20"/>
                <w:color w:val="auto"/>
              </w:rPr>
            </w:pPr>
            <w:r>
              <w:rPr>
                <w:rFonts w:ascii="Arial" w:cs="Arial" w:eastAsia="Arial" w:hAnsi="Arial"/>
                <w:sz w:val="16"/>
                <w:szCs w:val="16"/>
                <w:color w:val="auto"/>
              </w:rPr>
              <w:t>(90)</w:t>
            </w: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52</w:t>
            </w:r>
          </w:p>
        </w:tc>
      </w:tr>
      <w:tr>
        <w:trPr>
          <w:trHeight w:val="200"/>
        </w:trPr>
        <w:tc>
          <w:tcPr>
            <w:tcW w:w="3360" w:type="dxa"/>
            <w:vAlign w:val="bottom"/>
            <w:tcBorders>
              <w:bottom w:val="single" w:sz="8" w:color="B2B2B2"/>
            </w:tcBorders>
          </w:tcPr>
          <w:p>
            <w:pPr>
              <w:spacing w:after="0" w:line="200" w:lineRule="exact"/>
              <w:rPr>
                <w:sz w:val="20"/>
                <w:szCs w:val="20"/>
                <w:color w:val="auto"/>
              </w:rPr>
            </w:pPr>
            <w:r>
              <w:rPr>
                <w:rFonts w:ascii="Arial" w:cs="Arial" w:eastAsia="Arial" w:hAnsi="Arial"/>
                <w:sz w:val="16"/>
                <w:szCs w:val="16"/>
                <w:color w:val="auto"/>
              </w:rPr>
              <w:t> Repurchases of common shares</w:t>
            </w:r>
            <w:r>
              <w:rPr>
                <w:rFonts w:ascii="Arial" w:cs="Arial" w:eastAsia="Arial" w:hAnsi="Arial"/>
                <w:sz w:val="19"/>
                <w:szCs w:val="19"/>
                <w:color w:val="auto"/>
                <w:vertAlign w:val="superscript"/>
              </w:rPr>
              <w:t>(2)</w:t>
            </w:r>
          </w:p>
        </w:tc>
        <w:tc>
          <w:tcPr>
            <w:tcW w:w="2080" w:type="dxa"/>
            <w:vAlign w:val="bottom"/>
            <w:tcBorders>
              <w:bottom w:val="single" w:sz="8" w:color="B2B2B2"/>
            </w:tcBorders>
          </w:tcPr>
          <w:p>
            <w:pPr>
              <w:jc w:val="right"/>
              <w:ind w:right="161"/>
              <w:spacing w:after="0"/>
              <w:rPr>
                <w:sz w:val="20"/>
                <w:szCs w:val="20"/>
                <w:color w:val="auto"/>
              </w:rPr>
            </w:pPr>
            <w:r>
              <w:rPr>
                <w:rFonts w:ascii="Arial" w:cs="Arial" w:eastAsia="Arial" w:hAnsi="Arial"/>
                <w:sz w:val="16"/>
                <w:szCs w:val="16"/>
                <w:color w:val="auto"/>
              </w:rPr>
              <w:t>(8,624,631)</w:t>
            </w:r>
          </w:p>
        </w:tc>
        <w:tc>
          <w:tcPr>
            <w:tcW w:w="1420" w:type="dxa"/>
            <w:vAlign w:val="bottom"/>
            <w:tcBorders>
              <w:bottom w:val="single" w:sz="8" w:color="B2B2B2"/>
            </w:tcBorders>
          </w:tcPr>
          <w:p>
            <w:pPr>
              <w:jc w:val="right"/>
              <w:ind w:right="141"/>
              <w:spacing w:after="0"/>
              <w:rPr>
                <w:sz w:val="20"/>
                <w:szCs w:val="20"/>
                <w:color w:val="auto"/>
              </w:rPr>
            </w:pPr>
            <w:r>
              <w:rPr>
                <w:rFonts w:ascii="Arial" w:cs="Arial" w:eastAsia="Arial" w:hAnsi="Arial"/>
                <w:sz w:val="16"/>
                <w:szCs w:val="16"/>
                <w:color w:val="auto"/>
              </w:rPr>
              <w:t>(19)</w:t>
            </w:r>
          </w:p>
        </w:tc>
        <w:tc>
          <w:tcPr>
            <w:tcW w:w="1400" w:type="dxa"/>
            <w:vAlign w:val="bottom"/>
            <w:tcBorders>
              <w:bottom w:val="single" w:sz="8" w:color="B2B2B2"/>
            </w:tcBorders>
          </w:tcPr>
          <w:p>
            <w:pPr>
              <w:jc w:val="right"/>
              <w:ind w:right="16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2B2B2"/>
            </w:tcBorders>
          </w:tcPr>
          <w:p>
            <w:pPr>
              <w:jc w:val="right"/>
              <w:ind w:right="8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2B2B2"/>
            </w:tcBorders>
          </w:tcPr>
          <w:p>
            <w:pPr>
              <w:jc w:val="right"/>
              <w:ind w:right="81"/>
              <w:spacing w:after="0"/>
              <w:rPr>
                <w:sz w:val="20"/>
                <w:szCs w:val="20"/>
                <w:color w:val="auto"/>
              </w:rPr>
            </w:pPr>
            <w:r>
              <w:rPr>
                <w:rFonts w:ascii="Arial" w:cs="Arial" w:eastAsia="Arial" w:hAnsi="Arial"/>
                <w:sz w:val="16"/>
                <w:szCs w:val="16"/>
                <w:color w:val="auto"/>
              </w:rPr>
              <w:t>(19)</w:t>
            </w:r>
          </w:p>
        </w:tc>
      </w:tr>
      <w:tr>
        <w:trPr>
          <w:trHeight w:val="179"/>
        </w:trPr>
        <w:tc>
          <w:tcPr>
            <w:tcW w:w="336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 Balance, December 31, 2023</w:t>
            </w:r>
          </w:p>
        </w:tc>
        <w:tc>
          <w:tcPr>
            <w:tcW w:w="2080" w:type="dxa"/>
            <w:vAlign w:val="bottom"/>
            <w:tcBorders>
              <w:bottom w:val="single" w:sz="8" w:color="B2B2B2"/>
            </w:tcBorders>
          </w:tcPr>
          <w:p>
            <w:pPr>
              <w:jc w:val="right"/>
              <w:ind w:right="161"/>
              <w:spacing w:after="0" w:line="179" w:lineRule="exact"/>
              <w:rPr>
                <w:sz w:val="20"/>
                <w:szCs w:val="20"/>
                <w:color w:val="auto"/>
              </w:rPr>
            </w:pPr>
            <w:r>
              <w:rPr>
                <w:rFonts w:ascii="Arial" w:cs="Arial" w:eastAsia="Arial" w:hAnsi="Arial"/>
                <w:sz w:val="16"/>
                <w:szCs w:val="16"/>
                <w:b w:val="1"/>
                <w:bCs w:val="1"/>
                <w:color w:val="auto"/>
              </w:rPr>
              <w:t>452,962,832</w:t>
            </w:r>
          </w:p>
        </w:tc>
        <w:tc>
          <w:tcPr>
            <w:tcW w:w="1420" w:type="dxa"/>
            <w:vAlign w:val="bottom"/>
            <w:tcBorders>
              <w:bottom w:val="single" w:sz="8" w:color="B2B2B2"/>
            </w:tcBorders>
          </w:tcPr>
          <w:p>
            <w:pPr>
              <w:jc w:val="right"/>
              <w:ind w:right="141"/>
              <w:spacing w:after="0" w:line="179" w:lineRule="exact"/>
              <w:rPr>
                <w:sz w:val="20"/>
                <w:szCs w:val="20"/>
                <w:color w:val="auto"/>
              </w:rPr>
            </w:pPr>
            <w:r>
              <w:rPr>
                <w:rFonts w:ascii="Arial" w:cs="Arial" w:eastAsia="Arial" w:hAnsi="Arial"/>
                <w:sz w:val="16"/>
                <w:szCs w:val="16"/>
                <w:b w:val="1"/>
                <w:bCs w:val="1"/>
                <w:color w:val="auto"/>
              </w:rPr>
              <w:t>1,791</w:t>
            </w:r>
          </w:p>
        </w:tc>
        <w:tc>
          <w:tcPr>
            <w:tcW w:w="1400" w:type="dxa"/>
            <w:vAlign w:val="bottom"/>
            <w:tcBorders>
              <w:bottom w:val="single" w:sz="8" w:color="B2B2B2"/>
            </w:tcBorders>
          </w:tcPr>
          <w:p>
            <w:pPr>
              <w:jc w:val="right"/>
              <w:ind w:right="161"/>
              <w:spacing w:after="0" w:line="179" w:lineRule="exact"/>
              <w:rPr>
                <w:sz w:val="20"/>
                <w:szCs w:val="20"/>
                <w:color w:val="auto"/>
              </w:rPr>
            </w:pPr>
            <w:r>
              <w:rPr>
                <w:rFonts w:ascii="Arial" w:cs="Arial" w:eastAsia="Arial" w:hAnsi="Arial"/>
                <w:sz w:val="16"/>
                <w:szCs w:val="16"/>
                <w:b w:val="1"/>
                <w:bCs w:val="1"/>
                <w:color w:val="auto"/>
              </w:rPr>
              <w:t>110</w:t>
            </w:r>
          </w:p>
        </w:tc>
        <w:tc>
          <w:tcPr>
            <w:tcW w:w="1280" w:type="dxa"/>
            <w:vAlign w:val="bottom"/>
            <w:tcBorders>
              <w:bottom w:val="single" w:sz="8" w:color="B2B2B2"/>
            </w:tcBorders>
          </w:tcPr>
          <w:p>
            <w:pPr>
              <w:jc w:val="right"/>
              <w:ind w:right="81"/>
              <w:spacing w:after="0" w:line="179" w:lineRule="exact"/>
              <w:rPr>
                <w:sz w:val="20"/>
                <w:szCs w:val="20"/>
                <w:color w:val="auto"/>
              </w:rPr>
            </w:pPr>
            <w:r>
              <w:rPr>
                <w:rFonts w:ascii="Arial" w:cs="Arial" w:eastAsia="Arial" w:hAnsi="Arial"/>
                <w:sz w:val="16"/>
                <w:szCs w:val="16"/>
                <w:b w:val="1"/>
                <w:bCs w:val="1"/>
                <w:color w:val="auto"/>
              </w:rPr>
              <w:t>1,504</w:t>
            </w:r>
          </w:p>
        </w:tc>
        <w:tc>
          <w:tcPr>
            <w:tcW w:w="1260" w:type="dxa"/>
            <w:vAlign w:val="bottom"/>
            <w:tcBorders>
              <w:bottom w:val="single" w:sz="8" w:color="B2B2B2"/>
            </w:tcBorders>
          </w:tcPr>
          <w:p>
            <w:pPr>
              <w:jc w:val="right"/>
              <w:ind w:right="81"/>
              <w:spacing w:after="0" w:line="179" w:lineRule="exact"/>
              <w:rPr>
                <w:sz w:val="20"/>
                <w:szCs w:val="20"/>
                <w:color w:val="auto"/>
              </w:rPr>
            </w:pPr>
            <w:r>
              <w:rPr>
                <w:rFonts w:ascii="Arial" w:cs="Arial" w:eastAsia="Arial" w:hAnsi="Arial"/>
                <w:sz w:val="16"/>
                <w:szCs w:val="16"/>
                <w:b w:val="1"/>
                <w:bCs w:val="1"/>
                <w:color w:val="auto"/>
              </w:rPr>
              <w:t>3,405</w:t>
            </w:r>
          </w:p>
        </w:tc>
      </w:tr>
      <w:tr>
        <w:trPr>
          <w:trHeight w:val="165"/>
        </w:trPr>
        <w:tc>
          <w:tcPr>
            <w:tcW w:w="3360" w:type="dxa"/>
            <w:vAlign w:val="bottom"/>
          </w:tcPr>
          <w:p>
            <w:pPr>
              <w:spacing w:after="0" w:line="165" w:lineRule="exact"/>
              <w:rPr>
                <w:sz w:val="20"/>
                <w:szCs w:val="20"/>
                <w:color w:val="auto"/>
              </w:rPr>
            </w:pPr>
            <w:r>
              <w:rPr>
                <w:rFonts w:ascii="Arial" w:cs="Arial" w:eastAsia="Arial" w:hAnsi="Arial"/>
                <w:sz w:val="16"/>
                <w:szCs w:val="16"/>
                <w:color w:val="auto"/>
              </w:rPr>
              <w:t> Shares issued under DRIP</w:t>
            </w:r>
          </w:p>
        </w:tc>
        <w:tc>
          <w:tcPr>
            <w:tcW w:w="2080" w:type="dxa"/>
            <w:vAlign w:val="bottom"/>
          </w:tcPr>
          <w:p>
            <w:pPr>
              <w:jc w:val="right"/>
              <w:ind w:right="161"/>
              <w:spacing w:after="0" w:line="165" w:lineRule="exact"/>
              <w:rPr>
                <w:sz w:val="20"/>
                <w:szCs w:val="20"/>
                <w:color w:val="auto"/>
              </w:rPr>
            </w:pPr>
            <w:r>
              <w:rPr>
                <w:rFonts w:ascii="Arial" w:cs="Arial" w:eastAsia="Arial" w:hAnsi="Arial"/>
                <w:sz w:val="16"/>
                <w:szCs w:val="16"/>
                <w:b w:val="1"/>
                <w:bCs w:val="1"/>
                <w:color w:val="auto"/>
              </w:rPr>
              <w:t>180,659</w:t>
            </w:r>
          </w:p>
        </w:tc>
        <w:tc>
          <w:tcPr>
            <w:tcW w:w="1420" w:type="dxa"/>
            <w:vAlign w:val="bottom"/>
          </w:tcPr>
          <w:p>
            <w:pPr>
              <w:jc w:val="right"/>
              <w:ind w:right="141"/>
              <w:spacing w:after="0" w:line="165" w:lineRule="exact"/>
              <w:rPr>
                <w:sz w:val="20"/>
                <w:szCs w:val="20"/>
                <w:color w:val="auto"/>
              </w:rPr>
            </w:pPr>
            <w:r>
              <w:rPr>
                <w:rFonts w:ascii="Arial" w:cs="Arial" w:eastAsia="Arial" w:hAnsi="Arial"/>
                <w:sz w:val="16"/>
                <w:szCs w:val="16"/>
                <w:b w:val="1"/>
                <w:bCs w:val="1"/>
                <w:color w:val="auto"/>
              </w:rPr>
              <w:t>29</w:t>
            </w:r>
          </w:p>
        </w:tc>
        <w:tc>
          <w:tcPr>
            <w:tcW w:w="1400" w:type="dxa"/>
            <w:vAlign w:val="bottom"/>
          </w:tcPr>
          <w:p>
            <w:pPr>
              <w:jc w:val="right"/>
              <w:ind w:right="161"/>
              <w:spacing w:after="0" w:line="165" w:lineRule="exact"/>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81"/>
              <w:spacing w:after="0" w:line="165" w:lineRule="exact"/>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81"/>
              <w:spacing w:after="0" w:line="165" w:lineRule="exact"/>
              <w:rPr>
                <w:sz w:val="20"/>
                <w:szCs w:val="20"/>
                <w:color w:val="auto"/>
              </w:rPr>
            </w:pPr>
            <w:r>
              <w:rPr>
                <w:rFonts w:ascii="Arial" w:cs="Arial" w:eastAsia="Arial" w:hAnsi="Arial"/>
                <w:sz w:val="16"/>
                <w:szCs w:val="16"/>
                <w:b w:val="1"/>
                <w:bCs w:val="1"/>
                <w:color w:val="auto"/>
              </w:rPr>
              <w:t>29</w:t>
            </w:r>
          </w:p>
        </w:tc>
      </w:tr>
      <w:tr>
        <w:trPr>
          <w:trHeight w:val="186"/>
        </w:trPr>
        <w:tc>
          <w:tcPr>
            <w:tcW w:w="3360" w:type="dxa"/>
            <w:vAlign w:val="bottom"/>
          </w:tcPr>
          <w:p>
            <w:pPr>
              <w:spacing w:after="0" w:line="185" w:lineRule="exact"/>
              <w:rPr>
                <w:sz w:val="20"/>
                <w:szCs w:val="20"/>
                <w:color w:val="auto"/>
              </w:rPr>
            </w:pPr>
            <w:r>
              <w:rPr>
                <w:rFonts w:ascii="Arial" w:cs="Arial" w:eastAsia="Arial" w:hAnsi="Arial"/>
                <w:sz w:val="16"/>
                <w:szCs w:val="16"/>
                <w:color w:val="auto"/>
              </w:rPr>
              <w:t> Stock compensation plans</w:t>
            </w:r>
            <w:r>
              <w:rPr>
                <w:rFonts w:ascii="Arial" w:cs="Arial" w:eastAsia="Arial" w:hAnsi="Arial"/>
                <w:sz w:val="19"/>
                <w:szCs w:val="19"/>
                <w:color w:val="auto"/>
                <w:vertAlign w:val="superscript"/>
              </w:rPr>
              <w:t>(1)</w:t>
            </w:r>
          </w:p>
        </w:tc>
        <w:tc>
          <w:tcPr>
            <w:tcW w:w="2080" w:type="dxa"/>
            <w:vAlign w:val="bottom"/>
          </w:tcPr>
          <w:p>
            <w:pPr>
              <w:jc w:val="right"/>
              <w:ind w:right="161"/>
              <w:spacing w:after="0"/>
              <w:rPr>
                <w:sz w:val="20"/>
                <w:szCs w:val="20"/>
                <w:color w:val="auto"/>
              </w:rPr>
            </w:pPr>
            <w:r>
              <w:rPr>
                <w:rFonts w:ascii="Arial" w:cs="Arial" w:eastAsia="Arial" w:hAnsi="Arial"/>
                <w:sz w:val="16"/>
                <w:szCs w:val="16"/>
                <w:b w:val="1"/>
                <w:bCs w:val="1"/>
                <w:color w:val="auto"/>
              </w:rPr>
              <w:t>942,756</w:t>
            </w:r>
          </w:p>
        </w:tc>
        <w:tc>
          <w:tcPr>
            <w:tcW w:w="1420" w:type="dxa"/>
            <w:vAlign w:val="bottom"/>
          </w:tcPr>
          <w:p>
            <w:pPr>
              <w:jc w:val="right"/>
              <w:ind w:right="141"/>
              <w:spacing w:after="0"/>
              <w:rPr>
                <w:sz w:val="20"/>
                <w:szCs w:val="20"/>
                <w:color w:val="auto"/>
              </w:rPr>
            </w:pPr>
            <w:r>
              <w:rPr>
                <w:rFonts w:ascii="Arial" w:cs="Arial" w:eastAsia="Arial" w:hAnsi="Arial"/>
                <w:sz w:val="16"/>
                <w:szCs w:val="16"/>
                <w:b w:val="1"/>
                <w:bCs w:val="1"/>
                <w:color w:val="auto"/>
              </w:rPr>
              <w:t>152</w:t>
            </w:r>
          </w:p>
        </w:tc>
        <w:tc>
          <w:tcPr>
            <w:tcW w:w="1400" w:type="dxa"/>
            <w:vAlign w:val="bottom"/>
          </w:tcPr>
          <w:p>
            <w:pPr>
              <w:jc w:val="right"/>
              <w:ind w:right="161"/>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81"/>
              <w:spacing w:after="0"/>
              <w:rPr>
                <w:sz w:val="20"/>
                <w:szCs w:val="20"/>
                <w:color w:val="auto"/>
              </w:rPr>
            </w:pPr>
            <w:r>
              <w:rPr>
                <w:rFonts w:ascii="Arial" w:cs="Arial" w:eastAsia="Arial" w:hAnsi="Arial"/>
                <w:sz w:val="16"/>
                <w:szCs w:val="16"/>
                <w:b w:val="1"/>
                <w:bCs w:val="1"/>
                <w:color w:val="auto"/>
              </w:rPr>
              <w:t>(73)</w:t>
            </w:r>
          </w:p>
        </w:tc>
        <w:tc>
          <w:tcPr>
            <w:tcW w:w="1260" w:type="dxa"/>
            <w:vAlign w:val="bottom"/>
          </w:tcPr>
          <w:p>
            <w:pPr>
              <w:jc w:val="right"/>
              <w:ind w:right="81"/>
              <w:spacing w:after="0"/>
              <w:rPr>
                <w:sz w:val="20"/>
                <w:szCs w:val="20"/>
                <w:color w:val="auto"/>
              </w:rPr>
            </w:pPr>
            <w:r>
              <w:rPr>
                <w:rFonts w:ascii="Arial" w:cs="Arial" w:eastAsia="Arial" w:hAnsi="Arial"/>
                <w:sz w:val="16"/>
                <w:szCs w:val="16"/>
                <w:b w:val="1"/>
                <w:bCs w:val="1"/>
                <w:color w:val="auto"/>
              </w:rPr>
              <w:t>79</w:t>
            </w:r>
          </w:p>
        </w:tc>
      </w:tr>
      <w:tr>
        <w:trPr>
          <w:trHeight w:val="200"/>
        </w:trPr>
        <w:tc>
          <w:tcPr>
            <w:tcW w:w="336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 Repurchases of common shares</w:t>
            </w:r>
          </w:p>
        </w:tc>
        <w:tc>
          <w:tcPr>
            <w:tcW w:w="2080" w:type="dxa"/>
            <w:vAlign w:val="bottom"/>
            <w:tcBorders>
              <w:bottom w:val="single" w:sz="8" w:color="B2B2B2"/>
            </w:tcBorders>
          </w:tcPr>
          <w:p>
            <w:pPr>
              <w:jc w:val="right"/>
              <w:ind w:right="161"/>
              <w:spacing w:after="0"/>
              <w:rPr>
                <w:sz w:val="20"/>
                <w:szCs w:val="20"/>
                <w:color w:val="auto"/>
              </w:rPr>
            </w:pPr>
            <w:r>
              <w:rPr>
                <w:rFonts w:ascii="Arial" w:cs="Arial" w:eastAsia="Arial" w:hAnsi="Arial"/>
                <w:sz w:val="16"/>
                <w:szCs w:val="16"/>
                <w:b w:val="1"/>
                <w:bCs w:val="1"/>
                <w:color w:val="auto"/>
              </w:rPr>
              <w:t>(4,075,762)</w:t>
            </w:r>
          </w:p>
        </w:tc>
        <w:tc>
          <w:tcPr>
            <w:tcW w:w="1420" w:type="dxa"/>
            <w:vAlign w:val="bottom"/>
            <w:tcBorders>
              <w:bottom w:val="single" w:sz="8" w:color="B2B2B2"/>
            </w:tcBorders>
          </w:tcPr>
          <w:p>
            <w:pPr>
              <w:jc w:val="right"/>
              <w:ind w:right="141"/>
              <w:spacing w:after="0"/>
              <w:rPr>
                <w:sz w:val="20"/>
                <w:szCs w:val="20"/>
                <w:color w:val="auto"/>
              </w:rPr>
            </w:pPr>
            <w:r>
              <w:rPr>
                <w:rFonts w:ascii="Arial" w:cs="Arial" w:eastAsia="Arial" w:hAnsi="Arial"/>
                <w:sz w:val="16"/>
                <w:szCs w:val="16"/>
                <w:b w:val="1"/>
                <w:bCs w:val="1"/>
                <w:color w:val="auto"/>
              </w:rPr>
              <w:t>(15)</w:t>
            </w:r>
          </w:p>
        </w:tc>
        <w:tc>
          <w:tcPr>
            <w:tcW w:w="1400" w:type="dxa"/>
            <w:vAlign w:val="bottom"/>
            <w:tcBorders>
              <w:bottom w:val="single" w:sz="8" w:color="B2B2B2"/>
            </w:tcBorders>
          </w:tcPr>
          <w:p>
            <w:pPr>
              <w:jc w:val="right"/>
              <w:ind w:right="161"/>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B2B2B2"/>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B2B2B2"/>
            </w:tcBorders>
          </w:tcPr>
          <w:p>
            <w:pPr>
              <w:jc w:val="right"/>
              <w:ind w:right="81"/>
              <w:spacing w:after="0"/>
              <w:rPr>
                <w:sz w:val="20"/>
                <w:szCs w:val="20"/>
                <w:color w:val="auto"/>
              </w:rPr>
            </w:pPr>
            <w:r>
              <w:rPr>
                <w:rFonts w:ascii="Arial" w:cs="Arial" w:eastAsia="Arial" w:hAnsi="Arial"/>
                <w:sz w:val="16"/>
                <w:szCs w:val="16"/>
                <w:b w:val="1"/>
                <w:bCs w:val="1"/>
                <w:color w:val="auto"/>
              </w:rPr>
              <w:t>(15)</w:t>
            </w:r>
          </w:p>
        </w:tc>
      </w:tr>
      <w:tr>
        <w:trPr>
          <w:trHeight w:val="185"/>
        </w:trPr>
        <w:tc>
          <w:tcPr>
            <w:tcW w:w="336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b w:val="1"/>
                <w:bCs w:val="1"/>
                <w:color w:val="auto"/>
              </w:rPr>
              <w:t> Balance, December 31, 2024</w:t>
            </w:r>
          </w:p>
        </w:tc>
        <w:tc>
          <w:tcPr>
            <w:tcW w:w="2080" w:type="dxa"/>
            <w:vAlign w:val="bottom"/>
            <w:tcBorders>
              <w:bottom w:val="single" w:sz="8" w:color="D64000"/>
            </w:tcBorders>
          </w:tcPr>
          <w:p>
            <w:pPr>
              <w:jc w:val="right"/>
              <w:ind w:right="161"/>
              <w:spacing w:after="0" w:line="179" w:lineRule="exact"/>
              <w:rPr>
                <w:sz w:val="20"/>
                <w:szCs w:val="20"/>
                <w:color w:val="auto"/>
              </w:rPr>
            </w:pPr>
            <w:r>
              <w:rPr>
                <w:rFonts w:ascii="Arial" w:cs="Arial" w:eastAsia="Arial" w:hAnsi="Arial"/>
                <w:sz w:val="16"/>
                <w:szCs w:val="16"/>
                <w:b w:val="1"/>
                <w:bCs w:val="1"/>
                <w:color w:val="auto"/>
              </w:rPr>
              <w:t>450,010,485</w:t>
            </w:r>
          </w:p>
        </w:tc>
        <w:tc>
          <w:tcPr>
            <w:tcW w:w="1420" w:type="dxa"/>
            <w:vAlign w:val="bottom"/>
            <w:tcBorders>
              <w:bottom w:val="single" w:sz="8" w:color="D64000"/>
            </w:tcBorders>
          </w:tcPr>
          <w:p>
            <w:pPr>
              <w:jc w:val="right"/>
              <w:ind w:right="141"/>
              <w:spacing w:after="0" w:line="179" w:lineRule="exact"/>
              <w:rPr>
                <w:sz w:val="20"/>
                <w:szCs w:val="20"/>
                <w:color w:val="auto"/>
              </w:rPr>
            </w:pPr>
            <w:r>
              <w:rPr>
                <w:rFonts w:ascii="Arial" w:cs="Arial" w:eastAsia="Arial" w:hAnsi="Arial"/>
                <w:sz w:val="16"/>
                <w:szCs w:val="16"/>
                <w:b w:val="1"/>
                <w:bCs w:val="1"/>
                <w:color w:val="auto"/>
              </w:rPr>
              <w:t>$1,957</w:t>
            </w:r>
          </w:p>
        </w:tc>
        <w:tc>
          <w:tcPr>
            <w:tcW w:w="1400" w:type="dxa"/>
            <w:vAlign w:val="bottom"/>
            <w:tcBorders>
              <w:bottom w:val="single" w:sz="8" w:color="D64000"/>
            </w:tcBorders>
          </w:tcPr>
          <w:p>
            <w:pPr>
              <w:jc w:val="right"/>
              <w:ind w:right="161"/>
              <w:spacing w:after="0" w:line="179" w:lineRule="exact"/>
              <w:rPr>
                <w:sz w:val="20"/>
                <w:szCs w:val="20"/>
                <w:color w:val="auto"/>
              </w:rPr>
            </w:pPr>
            <w:r>
              <w:rPr>
                <w:rFonts w:ascii="Arial" w:cs="Arial" w:eastAsia="Arial" w:hAnsi="Arial"/>
                <w:sz w:val="16"/>
                <w:szCs w:val="16"/>
                <w:b w:val="1"/>
                <w:bCs w:val="1"/>
                <w:color w:val="auto"/>
              </w:rPr>
              <w:t>$110</w:t>
            </w:r>
          </w:p>
        </w:tc>
        <w:tc>
          <w:tcPr>
            <w:tcW w:w="1280" w:type="dxa"/>
            <w:vAlign w:val="bottom"/>
            <w:tcBorders>
              <w:bottom w:val="single" w:sz="8" w:color="D64000"/>
            </w:tcBorders>
          </w:tcPr>
          <w:p>
            <w:pPr>
              <w:jc w:val="right"/>
              <w:ind w:right="81"/>
              <w:spacing w:after="0" w:line="179" w:lineRule="exact"/>
              <w:rPr>
                <w:sz w:val="20"/>
                <w:szCs w:val="20"/>
                <w:color w:val="auto"/>
              </w:rPr>
            </w:pPr>
            <w:r>
              <w:rPr>
                <w:rFonts w:ascii="Arial" w:cs="Arial" w:eastAsia="Arial" w:hAnsi="Arial"/>
                <w:sz w:val="16"/>
                <w:szCs w:val="16"/>
                <w:b w:val="1"/>
                <w:bCs w:val="1"/>
                <w:color w:val="auto"/>
              </w:rPr>
              <w:t>$1,431</w:t>
            </w:r>
          </w:p>
        </w:tc>
        <w:tc>
          <w:tcPr>
            <w:tcW w:w="1260" w:type="dxa"/>
            <w:vAlign w:val="bottom"/>
            <w:tcBorders>
              <w:bottom w:val="single" w:sz="8" w:color="D64000"/>
            </w:tcBorders>
          </w:tcPr>
          <w:p>
            <w:pPr>
              <w:jc w:val="right"/>
              <w:ind w:right="81"/>
              <w:spacing w:after="0" w:line="179" w:lineRule="exact"/>
              <w:rPr>
                <w:sz w:val="20"/>
                <w:szCs w:val="20"/>
                <w:color w:val="auto"/>
              </w:rPr>
            </w:pPr>
            <w:r>
              <w:rPr>
                <w:rFonts w:ascii="Arial" w:cs="Arial" w:eastAsia="Arial" w:hAnsi="Arial"/>
                <w:sz w:val="16"/>
                <w:szCs w:val="16"/>
                <w:b w:val="1"/>
                <w:bCs w:val="1"/>
                <w:color w:val="auto"/>
              </w:rPr>
              <w:t>$3,498</w:t>
            </w:r>
          </w:p>
        </w:tc>
      </w:tr>
    </w:tbl>
    <w:p>
      <w:pPr>
        <w:spacing w:after="0" w:line="110" w:lineRule="exact"/>
        <w:rPr>
          <w:sz w:val="20"/>
          <w:szCs w:val="20"/>
          <w:color w:val="auto"/>
        </w:rPr>
      </w:pPr>
    </w:p>
    <w:p>
      <w:pPr>
        <w:ind w:left="540" w:hanging="322"/>
        <w:spacing w:after="0"/>
        <w:tabs>
          <w:tab w:leader="none" w:pos="54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Movements in contributed surplus include cash payments related to withholding tax on stock compensation plans.</w:t>
      </w:r>
    </w:p>
    <w:p>
      <w:pPr>
        <w:spacing w:after="0" w:line="12" w:lineRule="exact"/>
        <w:rPr>
          <w:rFonts w:ascii="Arial" w:cs="Arial" w:eastAsia="Arial" w:hAnsi="Arial"/>
          <w:sz w:val="14"/>
          <w:szCs w:val="14"/>
          <w:color w:val="auto"/>
        </w:rPr>
      </w:pPr>
    </w:p>
    <w:p>
      <w:pPr>
        <w:ind w:left="540" w:hanging="322"/>
        <w:spacing w:after="0"/>
        <w:tabs>
          <w:tab w:leader="none" w:pos="54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Stated share capital was reduced by $11 million related to the Company’s pre-defined share repurchase plan. See share repurchases below.</w:t>
      </w:r>
    </w:p>
    <w:p>
      <w:pPr>
        <w:spacing w:after="0" w:line="77" w:lineRule="exact"/>
        <w:rPr>
          <w:sz w:val="20"/>
          <w:szCs w:val="20"/>
          <w:color w:val="auto"/>
        </w:rPr>
      </w:pPr>
    </w:p>
    <w:p>
      <w:pPr>
        <w:ind w:left="220" w:right="1340"/>
        <w:spacing w:after="0" w:line="343" w:lineRule="auto"/>
        <w:rPr>
          <w:sz w:val="20"/>
          <w:szCs w:val="20"/>
          <w:color w:val="auto"/>
        </w:rPr>
      </w:pPr>
      <w:r>
        <w:rPr>
          <w:rFonts w:ascii="Arial" w:cs="Arial" w:eastAsia="Arial" w:hAnsi="Arial"/>
          <w:sz w:val="17"/>
          <w:szCs w:val="17"/>
          <w:color w:val="auto"/>
        </w:rPr>
        <w:t xml:space="preserve">Common shares of the Company have no par value and the authorized common share capital is an unlimited number of shares. </w:t>
      </w:r>
      <w:r>
        <w:rPr>
          <w:rFonts w:ascii="Arial" w:cs="Arial" w:eastAsia="Arial" w:hAnsi="Arial"/>
          <w:sz w:val="17"/>
          <w:szCs w:val="17"/>
          <w:b w:val="1"/>
          <w:bCs w:val="1"/>
          <w:color w:val="auto"/>
        </w:rPr>
        <w:t>Return of Capital and Share Consolidation</w:t>
      </w:r>
    </w:p>
    <w:p>
      <w:pPr>
        <w:spacing w:after="0" w:line="1" w:lineRule="exact"/>
        <w:rPr>
          <w:sz w:val="20"/>
          <w:szCs w:val="20"/>
          <w:color w:val="auto"/>
        </w:rPr>
      </w:pPr>
    </w:p>
    <w:p>
      <w:pPr>
        <w:jc w:val="both"/>
        <w:ind w:left="220" w:right="100"/>
        <w:spacing w:after="0" w:line="241" w:lineRule="auto"/>
        <w:rPr>
          <w:sz w:val="20"/>
          <w:szCs w:val="20"/>
          <w:color w:val="auto"/>
        </w:rPr>
      </w:pPr>
      <w:r>
        <w:rPr>
          <w:rFonts w:ascii="Arial" w:cs="Arial" w:eastAsia="Arial" w:hAnsi="Arial"/>
          <w:sz w:val="16"/>
          <w:szCs w:val="16"/>
          <w:color w:val="auto"/>
        </w:rPr>
        <w:t>In June 2023, the Company returned approximately $2.0 billion to its shareholders through a return of capital transaction, which was funded from the proceeds of the Company’s dispositions of LSEG shares (see note 9). The transaction consisted of a cash distribution of $4.67 per common share and a share consolidation, or “reverse stock split”, at a ratio of 1 pre-consolidated share for 0.963957 post-consolidated shares.</w:t>
      </w:r>
    </w:p>
    <w:p>
      <w:pPr>
        <w:spacing w:after="0" w:line="2" w:lineRule="exact"/>
        <w:rPr>
          <w:sz w:val="20"/>
          <w:szCs w:val="20"/>
          <w:color w:val="auto"/>
        </w:rPr>
      </w:pPr>
    </w:p>
    <w:p>
      <w:pPr>
        <w:ind w:left="220" w:right="20"/>
        <w:spacing w:after="0" w:line="249" w:lineRule="auto"/>
        <w:rPr>
          <w:sz w:val="20"/>
          <w:szCs w:val="20"/>
          <w:color w:val="auto"/>
        </w:rPr>
      </w:pPr>
      <w:r>
        <w:rPr>
          <w:rFonts w:ascii="Arial" w:cs="Arial" w:eastAsia="Arial" w:hAnsi="Arial"/>
          <w:sz w:val="16"/>
          <w:szCs w:val="16"/>
          <w:color w:val="auto"/>
        </w:rPr>
        <w:t>Shareholders who were subject to income tax in a jurisdiction other than Canada were given the opportunity to opt-out of the transaction. The share consolidation was proportional to the cash distribution and the share consolidation ratio was based on the volume weighted-average trading price of the shares on the NYSE, the stock exchange on which its shares were listed at the time (see note 33), for the five-trading day period immediately preceding June 23, 2023, the effective date for the return of capital transaction. Woodbridge, our principal shareholder, participated in this transaction. As a result of the share consolidation, the Company’s outstanding common shares were reduced by 15.8 million common shares.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Dividends</w:t>
      </w:r>
    </w:p>
    <w:p>
      <w:pPr>
        <w:spacing w:after="0" w:line="6" w:lineRule="exact"/>
        <w:rPr>
          <w:sz w:val="20"/>
          <w:szCs w:val="20"/>
          <w:color w:val="auto"/>
        </w:rPr>
      </w:pPr>
    </w:p>
    <w:p>
      <w:pPr>
        <w:ind w:left="220" w:right="400"/>
        <w:spacing w:after="0"/>
        <w:rPr>
          <w:sz w:val="20"/>
          <w:szCs w:val="20"/>
          <w:color w:val="auto"/>
        </w:rPr>
      </w:pPr>
      <w:r>
        <w:rPr>
          <w:rFonts w:ascii="Arial" w:cs="Arial" w:eastAsia="Arial" w:hAnsi="Arial"/>
          <w:sz w:val="17"/>
          <w:szCs w:val="17"/>
          <w:color w:val="auto"/>
        </w:rPr>
        <w:t>Dividends on common shares are declared in U.S. dollars. In the consolidated statement of cash flow, dividends paid on common shares are shown net of amounts reinvested in the Company under its DRIP.</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Details of dividends declared per common share and dividends paid on common shares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142240</wp:posOffset>
            </wp:positionV>
            <wp:extent cx="686562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204"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7200" w:type="dxa"/>
            <w:vAlign w:val="bottom"/>
          </w:tcPr>
          <w:p>
            <w:pPr>
              <w:spacing w:after="0"/>
              <w:rPr>
                <w:sz w:val="17"/>
                <w:szCs w:val="17"/>
                <w:color w:val="auto"/>
              </w:rPr>
            </w:pPr>
          </w:p>
        </w:tc>
        <w:tc>
          <w:tcPr>
            <w:tcW w:w="1220" w:type="dxa"/>
            <w:vAlign w:val="bottom"/>
            <w:shd w:val="clear" w:color="auto" w:fill="E3F3EE"/>
          </w:tcPr>
          <w:p>
            <w:pPr>
              <w:jc w:val="right"/>
              <w:ind w:right="1"/>
              <w:spacing w:after="0"/>
              <w:rPr>
                <w:sz w:val="20"/>
                <w:szCs w:val="20"/>
                <w:color w:val="auto"/>
              </w:rPr>
            </w:pPr>
            <w:r>
              <w:rPr>
                <w:rFonts w:ascii="Arial" w:cs="Arial" w:eastAsia="Arial" w:hAnsi="Arial"/>
                <w:sz w:val="16"/>
                <w:szCs w:val="16"/>
                <w:b w:val="1"/>
                <w:bCs w:val="1"/>
                <w:color w:val="auto"/>
              </w:rPr>
              <w:t xml:space="preserve">    </w:t>
            </w:r>
          </w:p>
        </w:tc>
        <w:tc>
          <w:tcPr>
            <w:tcW w:w="2380" w:type="dxa"/>
            <w:vAlign w:val="bottom"/>
            <w:gridSpan w:val="3"/>
            <w:shd w:val="clear" w:color="auto" w:fill="E3F3EE"/>
          </w:tcPr>
          <w:p>
            <w:pPr>
              <w:jc w:val="right"/>
              <w:ind w:right="301"/>
              <w:spacing w:after="0"/>
              <w:rPr>
                <w:sz w:val="20"/>
                <w:szCs w:val="20"/>
                <w:color w:val="auto"/>
              </w:rPr>
            </w:pPr>
            <w:r>
              <w:rPr>
                <w:rFonts w:ascii="Arial" w:cs="Arial" w:eastAsia="Arial" w:hAnsi="Arial"/>
                <w:sz w:val="16"/>
                <w:szCs w:val="16"/>
                <w:b w:val="1"/>
                <w:bCs w:val="1"/>
                <w:color w:val="auto"/>
                <w:w w:val="97"/>
              </w:rPr>
              <w:t>Year ended December 31, </w:t>
            </w:r>
          </w:p>
        </w:tc>
      </w:tr>
      <w:tr>
        <w:trPr>
          <w:trHeight w:val="245"/>
        </w:trPr>
        <w:tc>
          <w:tcPr>
            <w:tcW w:w="7200" w:type="dxa"/>
            <w:vAlign w:val="bottom"/>
            <w:tcBorders>
              <w:bottom w:val="single" w:sz="8" w:color="D64000"/>
            </w:tcBorders>
            <w:shd w:val="clear" w:color="auto" w:fill="1F473D"/>
          </w:tcPr>
          <w:p>
            <w:pPr>
              <w:spacing w:after="0"/>
              <w:rPr>
                <w:sz w:val="21"/>
                <w:szCs w:val="21"/>
                <w:color w:val="auto"/>
              </w:rPr>
            </w:pPr>
          </w:p>
        </w:tc>
        <w:tc>
          <w:tcPr>
            <w:tcW w:w="122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b w:val="1"/>
                <w:bCs w:val="1"/>
                <w:color w:val="FFFFFF"/>
              </w:rPr>
              <w:t> </w:t>
            </w:r>
          </w:p>
        </w:tc>
        <w:tc>
          <w:tcPr>
            <w:tcW w:w="860" w:type="dxa"/>
            <w:vAlign w:val="bottom"/>
            <w:tcBorders>
              <w:bottom w:val="single" w:sz="8" w:color="D64000"/>
            </w:tcBorders>
            <w:shd w:val="clear" w:color="auto" w:fill="1F473D"/>
          </w:tcPr>
          <w:p>
            <w:pPr>
              <w:jc w:val="right"/>
              <w:ind w:right="241"/>
              <w:spacing w:after="0"/>
              <w:rPr>
                <w:sz w:val="20"/>
                <w:szCs w:val="20"/>
                <w:color w:val="auto"/>
              </w:rPr>
            </w:pPr>
            <w:r>
              <w:rPr>
                <w:rFonts w:ascii="Arial" w:cs="Arial" w:eastAsia="Arial" w:hAnsi="Arial"/>
                <w:sz w:val="16"/>
                <w:szCs w:val="16"/>
                <w:b w:val="1"/>
                <w:bCs w:val="1"/>
                <w:color w:val="FFFFFF"/>
              </w:rPr>
              <w:t>  2024</w:t>
            </w:r>
          </w:p>
        </w:tc>
        <w:tc>
          <w:tcPr>
            <w:tcW w:w="74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 </w:t>
            </w:r>
          </w:p>
        </w:tc>
        <w:tc>
          <w:tcPr>
            <w:tcW w:w="780" w:type="dxa"/>
            <w:vAlign w:val="bottom"/>
            <w:tcBorders>
              <w:bottom w:val="single" w:sz="8" w:color="D64000"/>
            </w:tcBorders>
            <w:shd w:val="clear" w:color="auto" w:fill="1F473D"/>
          </w:tcPr>
          <w:p>
            <w:pPr>
              <w:jc w:val="right"/>
              <w:ind w:right="201"/>
              <w:spacing w:after="0"/>
              <w:rPr>
                <w:sz w:val="20"/>
                <w:szCs w:val="20"/>
                <w:color w:val="auto"/>
              </w:rPr>
            </w:pPr>
            <w:r>
              <w:rPr>
                <w:rFonts w:ascii="Arial" w:cs="Arial" w:eastAsia="Arial" w:hAnsi="Arial"/>
                <w:sz w:val="16"/>
                <w:szCs w:val="16"/>
                <w:color w:val="FFFFFF"/>
                <w:w w:val="99"/>
              </w:rPr>
              <w:t>  2023</w:t>
            </w:r>
          </w:p>
        </w:tc>
      </w:tr>
      <w:tr>
        <w:trPr>
          <w:trHeight w:val="185"/>
        </w:trPr>
        <w:tc>
          <w:tcPr>
            <w:tcW w:w="72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 Dividends declared per common share</w:t>
            </w:r>
          </w:p>
        </w:tc>
        <w:tc>
          <w:tcPr>
            <w:tcW w:w="1220" w:type="dxa"/>
            <w:vAlign w:val="bottom"/>
            <w:tcBorders>
              <w:bottom w:val="single" w:sz="8" w:color="B2B2B2"/>
            </w:tcBorders>
          </w:tcPr>
          <w:p>
            <w:pPr>
              <w:jc w:val="right"/>
              <w:ind w:right="181"/>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B2B2B2"/>
            </w:tcBorders>
          </w:tcPr>
          <w:p>
            <w:pPr>
              <w:jc w:val="right"/>
              <w:ind w:right="241"/>
              <w:spacing w:after="0"/>
              <w:rPr>
                <w:sz w:val="20"/>
                <w:szCs w:val="20"/>
                <w:color w:val="auto"/>
              </w:rPr>
            </w:pPr>
            <w:r>
              <w:rPr>
                <w:rFonts w:ascii="Arial" w:cs="Arial" w:eastAsia="Arial" w:hAnsi="Arial"/>
                <w:sz w:val="16"/>
                <w:szCs w:val="16"/>
                <w:b w:val="1"/>
                <w:bCs w:val="1"/>
                <w:color w:val="auto"/>
              </w:rPr>
              <w:t>2.16</w:t>
            </w:r>
          </w:p>
        </w:tc>
        <w:tc>
          <w:tcPr>
            <w:tcW w:w="740" w:type="dxa"/>
            <w:vAlign w:val="bottom"/>
            <w:tcBorders>
              <w:bottom w:val="single" w:sz="8" w:color="B2B2B2"/>
            </w:tcBorders>
          </w:tcPr>
          <w:p>
            <w:pPr>
              <w:jc w:val="right"/>
              <w:ind w:right="24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B2B2B2"/>
            </w:tcBorders>
          </w:tcPr>
          <w:p>
            <w:pPr>
              <w:jc w:val="right"/>
              <w:ind w:right="201"/>
              <w:spacing w:after="0"/>
              <w:rPr>
                <w:sz w:val="20"/>
                <w:szCs w:val="20"/>
                <w:color w:val="auto"/>
              </w:rPr>
            </w:pPr>
            <w:r>
              <w:rPr>
                <w:rFonts w:ascii="Arial" w:cs="Arial" w:eastAsia="Arial" w:hAnsi="Arial"/>
                <w:sz w:val="16"/>
                <w:szCs w:val="16"/>
                <w:color w:val="auto"/>
              </w:rPr>
              <w:t>1.96</w:t>
            </w:r>
          </w:p>
        </w:tc>
      </w:tr>
      <w:tr>
        <w:trPr>
          <w:trHeight w:val="165"/>
        </w:trPr>
        <w:tc>
          <w:tcPr>
            <w:tcW w:w="7200" w:type="dxa"/>
            <w:vAlign w:val="bottom"/>
          </w:tcPr>
          <w:p>
            <w:pPr>
              <w:spacing w:after="0" w:line="165" w:lineRule="exact"/>
              <w:rPr>
                <w:sz w:val="20"/>
                <w:szCs w:val="20"/>
                <w:color w:val="auto"/>
              </w:rPr>
            </w:pPr>
            <w:r>
              <w:rPr>
                <w:rFonts w:ascii="Arial" w:cs="Arial" w:eastAsia="Arial" w:hAnsi="Arial"/>
                <w:sz w:val="16"/>
                <w:szCs w:val="16"/>
                <w:color w:val="auto"/>
              </w:rPr>
              <w:t> Dividends declared</w:t>
            </w:r>
          </w:p>
        </w:tc>
        <w:tc>
          <w:tcPr>
            <w:tcW w:w="1220" w:type="dxa"/>
            <w:vAlign w:val="bottom"/>
          </w:tcPr>
          <w:p>
            <w:pPr>
              <w:spacing w:after="0"/>
              <w:rPr>
                <w:sz w:val="14"/>
                <w:szCs w:val="14"/>
                <w:color w:val="auto"/>
              </w:rPr>
            </w:pPr>
          </w:p>
        </w:tc>
        <w:tc>
          <w:tcPr>
            <w:tcW w:w="860" w:type="dxa"/>
            <w:vAlign w:val="bottom"/>
          </w:tcPr>
          <w:p>
            <w:pPr>
              <w:jc w:val="right"/>
              <w:ind w:right="241"/>
              <w:spacing w:after="0" w:line="165" w:lineRule="exact"/>
              <w:rPr>
                <w:sz w:val="20"/>
                <w:szCs w:val="20"/>
                <w:color w:val="auto"/>
              </w:rPr>
            </w:pPr>
            <w:r>
              <w:rPr>
                <w:rFonts w:ascii="Arial" w:cs="Arial" w:eastAsia="Arial" w:hAnsi="Arial"/>
                <w:sz w:val="16"/>
                <w:szCs w:val="16"/>
                <w:b w:val="1"/>
                <w:bCs w:val="1"/>
                <w:color w:val="auto"/>
              </w:rPr>
              <w:t>973</w:t>
            </w:r>
          </w:p>
        </w:tc>
        <w:tc>
          <w:tcPr>
            <w:tcW w:w="740" w:type="dxa"/>
            <w:vAlign w:val="bottom"/>
          </w:tcPr>
          <w:p>
            <w:pPr>
              <w:spacing w:after="0"/>
              <w:rPr>
                <w:sz w:val="14"/>
                <w:szCs w:val="14"/>
                <w:color w:val="auto"/>
              </w:rPr>
            </w:pPr>
          </w:p>
        </w:tc>
        <w:tc>
          <w:tcPr>
            <w:tcW w:w="780" w:type="dxa"/>
            <w:vAlign w:val="bottom"/>
          </w:tcPr>
          <w:p>
            <w:pPr>
              <w:jc w:val="right"/>
              <w:ind w:right="201"/>
              <w:spacing w:after="0" w:line="165" w:lineRule="exact"/>
              <w:rPr>
                <w:sz w:val="20"/>
                <w:szCs w:val="20"/>
                <w:color w:val="auto"/>
              </w:rPr>
            </w:pPr>
            <w:r>
              <w:rPr>
                <w:rFonts w:ascii="Arial" w:cs="Arial" w:eastAsia="Arial" w:hAnsi="Arial"/>
                <w:sz w:val="16"/>
                <w:szCs w:val="16"/>
                <w:color w:val="auto"/>
              </w:rPr>
              <w:t>908</w:t>
            </w:r>
          </w:p>
        </w:tc>
      </w:tr>
      <w:tr>
        <w:trPr>
          <w:trHeight w:val="200"/>
        </w:trPr>
        <w:tc>
          <w:tcPr>
            <w:tcW w:w="72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 Dividends reinvested</w:t>
            </w:r>
          </w:p>
        </w:tc>
        <w:tc>
          <w:tcPr>
            <w:tcW w:w="1220" w:type="dxa"/>
            <w:vAlign w:val="bottom"/>
            <w:tcBorders>
              <w:bottom w:val="single" w:sz="8" w:color="B2B2B2"/>
            </w:tcBorders>
          </w:tcPr>
          <w:p>
            <w:pPr>
              <w:spacing w:after="0"/>
              <w:rPr>
                <w:sz w:val="17"/>
                <w:szCs w:val="17"/>
                <w:color w:val="auto"/>
              </w:rPr>
            </w:pPr>
          </w:p>
        </w:tc>
        <w:tc>
          <w:tcPr>
            <w:tcW w:w="860" w:type="dxa"/>
            <w:vAlign w:val="bottom"/>
            <w:tcBorders>
              <w:bottom w:val="single" w:sz="8" w:color="B2B2B2"/>
            </w:tcBorders>
          </w:tcPr>
          <w:p>
            <w:pPr>
              <w:jc w:val="right"/>
              <w:ind w:right="241"/>
              <w:spacing w:after="0"/>
              <w:rPr>
                <w:sz w:val="20"/>
                <w:szCs w:val="20"/>
                <w:color w:val="auto"/>
              </w:rPr>
            </w:pPr>
            <w:r>
              <w:rPr>
                <w:rFonts w:ascii="Arial" w:cs="Arial" w:eastAsia="Arial" w:hAnsi="Arial"/>
                <w:sz w:val="16"/>
                <w:szCs w:val="16"/>
                <w:b w:val="1"/>
                <w:bCs w:val="1"/>
                <w:color w:val="auto"/>
              </w:rPr>
              <w:t>(29)</w:t>
            </w:r>
          </w:p>
        </w:tc>
        <w:tc>
          <w:tcPr>
            <w:tcW w:w="740" w:type="dxa"/>
            <w:vAlign w:val="bottom"/>
            <w:tcBorders>
              <w:bottom w:val="single" w:sz="8" w:color="B2B2B2"/>
            </w:tcBorders>
          </w:tcPr>
          <w:p>
            <w:pPr>
              <w:spacing w:after="0"/>
              <w:rPr>
                <w:sz w:val="17"/>
                <w:szCs w:val="17"/>
                <w:color w:val="auto"/>
              </w:rPr>
            </w:pPr>
          </w:p>
        </w:tc>
        <w:tc>
          <w:tcPr>
            <w:tcW w:w="780" w:type="dxa"/>
            <w:vAlign w:val="bottom"/>
            <w:tcBorders>
              <w:bottom w:val="single" w:sz="8" w:color="B2B2B2"/>
            </w:tcBorders>
          </w:tcPr>
          <w:p>
            <w:pPr>
              <w:jc w:val="right"/>
              <w:ind w:right="201"/>
              <w:spacing w:after="0"/>
              <w:rPr>
                <w:sz w:val="20"/>
                <w:szCs w:val="20"/>
                <w:color w:val="auto"/>
              </w:rPr>
            </w:pPr>
            <w:r>
              <w:rPr>
                <w:rFonts w:ascii="Arial" w:cs="Arial" w:eastAsia="Arial" w:hAnsi="Arial"/>
                <w:sz w:val="16"/>
                <w:szCs w:val="16"/>
                <w:color w:val="auto"/>
              </w:rPr>
              <w:t>(21)</w:t>
            </w:r>
          </w:p>
        </w:tc>
      </w:tr>
      <w:tr>
        <w:trPr>
          <w:trHeight w:val="185"/>
        </w:trPr>
        <w:tc>
          <w:tcPr>
            <w:tcW w:w="720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color w:val="auto"/>
              </w:rPr>
              <w:t> Dividends paid</w:t>
            </w:r>
          </w:p>
        </w:tc>
        <w:tc>
          <w:tcPr>
            <w:tcW w:w="1220" w:type="dxa"/>
            <w:vAlign w:val="bottom"/>
            <w:tcBorders>
              <w:bottom w:val="single" w:sz="8" w:color="D64000"/>
            </w:tcBorders>
          </w:tcPr>
          <w:p>
            <w:pPr>
              <w:spacing w:after="0"/>
              <w:rPr>
                <w:sz w:val="16"/>
                <w:szCs w:val="16"/>
                <w:color w:val="auto"/>
              </w:rPr>
            </w:pPr>
          </w:p>
        </w:tc>
        <w:tc>
          <w:tcPr>
            <w:tcW w:w="860" w:type="dxa"/>
            <w:vAlign w:val="bottom"/>
            <w:tcBorders>
              <w:bottom w:val="single" w:sz="8" w:color="D64000"/>
            </w:tcBorders>
          </w:tcPr>
          <w:p>
            <w:pPr>
              <w:jc w:val="right"/>
              <w:ind w:right="241"/>
              <w:spacing w:after="0" w:line="179" w:lineRule="exact"/>
              <w:rPr>
                <w:sz w:val="20"/>
                <w:szCs w:val="20"/>
                <w:color w:val="auto"/>
              </w:rPr>
            </w:pPr>
            <w:r>
              <w:rPr>
                <w:rFonts w:ascii="Arial" w:cs="Arial" w:eastAsia="Arial" w:hAnsi="Arial"/>
                <w:sz w:val="16"/>
                <w:szCs w:val="16"/>
                <w:b w:val="1"/>
                <w:bCs w:val="1"/>
                <w:color w:val="auto"/>
              </w:rPr>
              <w:t>944</w:t>
            </w:r>
          </w:p>
        </w:tc>
        <w:tc>
          <w:tcPr>
            <w:tcW w:w="740" w:type="dxa"/>
            <w:vAlign w:val="bottom"/>
            <w:tcBorders>
              <w:bottom w:val="single" w:sz="8" w:color="D64000"/>
            </w:tcBorders>
          </w:tcPr>
          <w:p>
            <w:pPr>
              <w:spacing w:after="0"/>
              <w:rPr>
                <w:sz w:val="16"/>
                <w:szCs w:val="16"/>
                <w:color w:val="auto"/>
              </w:rPr>
            </w:pPr>
          </w:p>
        </w:tc>
        <w:tc>
          <w:tcPr>
            <w:tcW w:w="780" w:type="dxa"/>
            <w:vAlign w:val="bottom"/>
            <w:tcBorders>
              <w:bottom w:val="single" w:sz="8" w:color="D64000"/>
            </w:tcBorders>
          </w:tcPr>
          <w:p>
            <w:pPr>
              <w:jc w:val="right"/>
              <w:ind w:right="201"/>
              <w:spacing w:after="0" w:line="179" w:lineRule="exact"/>
              <w:rPr>
                <w:sz w:val="20"/>
                <w:szCs w:val="20"/>
                <w:color w:val="auto"/>
              </w:rPr>
            </w:pPr>
            <w:r>
              <w:rPr>
                <w:rFonts w:ascii="Arial" w:cs="Arial" w:eastAsia="Arial" w:hAnsi="Arial"/>
                <w:sz w:val="16"/>
                <w:szCs w:val="16"/>
                <w:color w:val="auto"/>
              </w:rPr>
              <w:t>887</w:t>
            </w:r>
          </w:p>
        </w:tc>
      </w:tr>
    </w:tbl>
    <w:p>
      <w:pPr>
        <w:spacing w:after="0" w:line="84" w:lineRule="exact"/>
        <w:rPr>
          <w:sz w:val="20"/>
          <w:szCs w:val="20"/>
          <w:color w:val="auto"/>
        </w:rPr>
      </w:pPr>
    </w:p>
    <w:p>
      <w:pPr>
        <w:ind w:left="220" w:right="420"/>
        <w:spacing w:after="0" w:line="243" w:lineRule="auto"/>
        <w:rPr>
          <w:sz w:val="20"/>
          <w:szCs w:val="20"/>
          <w:color w:val="auto"/>
        </w:rPr>
      </w:pPr>
      <w:r>
        <w:rPr>
          <w:rFonts w:ascii="Arial" w:cs="Arial" w:eastAsia="Arial" w:hAnsi="Arial"/>
          <w:sz w:val="17"/>
          <w:szCs w:val="17"/>
          <w:color w:val="auto"/>
        </w:rPr>
        <w:t>Registered holders of common shares may participate in the DRIP, under which cash dividends are automatically reinvested in new common shares. Common shares are valued at the weighted-average price at which the shares traded on the TSX during the five trading days immediately preceding the record date for the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99695</wp:posOffset>
            </wp:positionV>
            <wp:extent cx="686562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5"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126</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Share Repurchases – Normal Course Issuer Bid (“NCIB”)</w:t>
      </w:r>
    </w:p>
    <w:p>
      <w:pPr>
        <w:spacing w:after="0" w:line="6" w:lineRule="exact"/>
        <w:rPr>
          <w:sz w:val="20"/>
          <w:szCs w:val="20"/>
          <w:color w:val="auto"/>
        </w:rPr>
      </w:pPr>
    </w:p>
    <w:p>
      <w:pPr>
        <w:ind w:left="220" w:right="360"/>
        <w:spacing w:after="0" w:line="232" w:lineRule="auto"/>
        <w:rPr>
          <w:sz w:val="20"/>
          <w:szCs w:val="20"/>
          <w:color w:val="auto"/>
        </w:rPr>
      </w:pPr>
      <w:r>
        <w:rPr>
          <w:rFonts w:ascii="Arial" w:cs="Arial" w:eastAsia="Arial" w:hAnsi="Arial"/>
          <w:sz w:val="17"/>
          <w:szCs w:val="17"/>
          <w:color w:val="auto"/>
        </w:rPr>
        <w:t>The Company buys back shares (and subsequently cancels them) from time to time as part of its capital strategy. Share repurchases are typically executed under a NCIB. On November 1, 2023, the Company announced that it planned to repurchase up to $1.0 billion of its common shares under a renewed NCIB, which was approved by the TSX and effective on November 1, 2023. Under the renewed NCIB, up to 10 million common shares were permitted to be repurchased between November 3, 2023 and November 2, 2024. In May 2024, the Company completed its $1.0 billion share repurchase plan.</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Details of share repurchases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159385</wp:posOffset>
            </wp:positionV>
            <wp:extent cx="686562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7480" w:type="dxa"/>
            <w:vAlign w:val="bottom"/>
          </w:tcPr>
          <w:p>
            <w:pPr>
              <w:spacing w:after="0"/>
              <w:rPr>
                <w:sz w:val="17"/>
                <w:szCs w:val="17"/>
                <w:color w:val="auto"/>
              </w:rPr>
            </w:pPr>
          </w:p>
        </w:tc>
        <w:tc>
          <w:tcPr>
            <w:tcW w:w="960" w:type="dxa"/>
            <w:vAlign w:val="bottom"/>
            <w:shd w:val="clear" w:color="auto" w:fill="E3F3EE"/>
          </w:tcPr>
          <w:p>
            <w:pPr>
              <w:jc w:val="right"/>
              <w:spacing w:after="0"/>
              <w:rPr>
                <w:sz w:val="20"/>
                <w:szCs w:val="20"/>
                <w:color w:val="auto"/>
              </w:rPr>
            </w:pPr>
            <w:r>
              <w:rPr>
                <w:rFonts w:ascii="Arial" w:cs="Arial" w:eastAsia="Arial" w:hAnsi="Arial"/>
                <w:sz w:val="16"/>
                <w:szCs w:val="16"/>
                <w:b w:val="1"/>
                <w:bCs w:val="1"/>
                <w:color w:val="auto"/>
              </w:rPr>
              <w:t xml:space="preserve">    </w:t>
            </w:r>
          </w:p>
        </w:tc>
        <w:tc>
          <w:tcPr>
            <w:tcW w:w="2360" w:type="dxa"/>
            <w:vAlign w:val="bottom"/>
            <w:gridSpan w:val="3"/>
            <w:shd w:val="clear" w:color="auto" w:fill="E3F3EE"/>
          </w:tcPr>
          <w:p>
            <w:pPr>
              <w:jc w:val="right"/>
              <w:ind w:right="181"/>
              <w:spacing w:after="0"/>
              <w:rPr>
                <w:sz w:val="20"/>
                <w:szCs w:val="20"/>
                <w:color w:val="auto"/>
              </w:rPr>
            </w:pPr>
            <w:r>
              <w:rPr>
                <w:rFonts w:ascii="Arial" w:cs="Arial" w:eastAsia="Arial" w:hAnsi="Arial"/>
                <w:sz w:val="16"/>
                <w:szCs w:val="16"/>
                <w:b w:val="1"/>
                <w:bCs w:val="1"/>
                <w:color w:val="auto"/>
              </w:rPr>
              <w:t xml:space="preserve">Year ended December 31,   </w:t>
            </w:r>
          </w:p>
        </w:tc>
      </w:tr>
      <w:tr>
        <w:trPr>
          <w:trHeight w:val="245"/>
        </w:trPr>
        <w:tc>
          <w:tcPr>
            <w:tcW w:w="7480" w:type="dxa"/>
            <w:vAlign w:val="bottom"/>
            <w:tcBorders>
              <w:bottom w:val="single" w:sz="8" w:color="D64000"/>
            </w:tcBorders>
            <w:shd w:val="clear" w:color="auto" w:fill="1F473D"/>
          </w:tcPr>
          <w:p>
            <w:pPr>
              <w:spacing w:after="0"/>
              <w:rPr>
                <w:sz w:val="21"/>
                <w:szCs w:val="21"/>
                <w:color w:val="auto"/>
              </w:rPr>
            </w:pPr>
          </w:p>
        </w:tc>
        <w:tc>
          <w:tcPr>
            <w:tcW w:w="960" w:type="dxa"/>
            <w:vAlign w:val="bottom"/>
            <w:tcBorders>
              <w:bottom w:val="single" w:sz="8" w:color="D64000"/>
            </w:tcBorders>
            <w:shd w:val="clear" w:color="auto" w:fill="1F473D"/>
          </w:tcPr>
          <w:p>
            <w:pPr>
              <w:spacing w:after="0"/>
              <w:rPr>
                <w:sz w:val="21"/>
                <w:szCs w:val="21"/>
                <w:color w:val="auto"/>
              </w:rPr>
            </w:pPr>
          </w:p>
        </w:tc>
        <w:tc>
          <w:tcPr>
            <w:tcW w:w="920" w:type="dxa"/>
            <w:vAlign w:val="bottom"/>
            <w:tcBorders>
              <w:bottom w:val="single" w:sz="8" w:color="D64000"/>
            </w:tcBorders>
            <w:shd w:val="clear" w:color="auto" w:fill="1F473D"/>
          </w:tcPr>
          <w:p>
            <w:pPr>
              <w:jc w:val="right"/>
              <w:ind w:right="201"/>
              <w:spacing w:after="0"/>
              <w:rPr>
                <w:sz w:val="20"/>
                <w:szCs w:val="20"/>
                <w:color w:val="auto"/>
              </w:rPr>
            </w:pPr>
            <w:r>
              <w:rPr>
                <w:rFonts w:ascii="Arial" w:cs="Arial" w:eastAsia="Arial" w:hAnsi="Arial"/>
                <w:sz w:val="16"/>
                <w:szCs w:val="16"/>
                <w:b w:val="1"/>
                <w:bCs w:val="1"/>
                <w:color w:val="FFFFFF"/>
                <w:w w:val="89"/>
              </w:rPr>
              <w:t>     2024</w:t>
            </w:r>
          </w:p>
        </w:tc>
        <w:tc>
          <w:tcPr>
            <w:tcW w:w="74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 </w:t>
            </w:r>
          </w:p>
        </w:tc>
        <w:tc>
          <w:tcPr>
            <w:tcW w:w="700" w:type="dxa"/>
            <w:vAlign w:val="bottom"/>
            <w:tcBorders>
              <w:bottom w:val="single" w:sz="8" w:color="D64000"/>
            </w:tcBorders>
            <w:shd w:val="clear" w:color="auto" w:fill="1F473D"/>
          </w:tcPr>
          <w:p>
            <w:pPr>
              <w:jc w:val="right"/>
              <w:ind w:right="101"/>
              <w:spacing w:after="0"/>
              <w:rPr>
                <w:sz w:val="20"/>
                <w:szCs w:val="20"/>
                <w:color w:val="auto"/>
              </w:rPr>
            </w:pPr>
            <w:r>
              <w:rPr>
                <w:rFonts w:ascii="Arial" w:cs="Arial" w:eastAsia="Arial" w:hAnsi="Arial"/>
                <w:sz w:val="16"/>
                <w:szCs w:val="16"/>
                <w:color w:val="FFFFFF"/>
              </w:rPr>
              <w:t>  2023</w:t>
            </w:r>
          </w:p>
        </w:tc>
      </w:tr>
      <w:tr>
        <w:trPr>
          <w:trHeight w:val="171"/>
        </w:trPr>
        <w:tc>
          <w:tcPr>
            <w:tcW w:w="7480" w:type="dxa"/>
            <w:vAlign w:val="bottom"/>
          </w:tcPr>
          <w:p>
            <w:pPr>
              <w:spacing w:after="0" w:line="171" w:lineRule="exact"/>
              <w:rPr>
                <w:sz w:val="20"/>
                <w:szCs w:val="20"/>
                <w:color w:val="auto"/>
              </w:rPr>
            </w:pPr>
            <w:r>
              <w:rPr>
                <w:rFonts w:ascii="Arial" w:cs="Arial" w:eastAsia="Arial" w:hAnsi="Arial"/>
                <w:sz w:val="16"/>
                <w:szCs w:val="16"/>
                <w:color w:val="auto"/>
              </w:rPr>
              <w:t> Share repurchases (millions of U.S. dollars)</w:t>
            </w:r>
          </w:p>
        </w:tc>
        <w:tc>
          <w:tcPr>
            <w:tcW w:w="960" w:type="dxa"/>
            <w:vAlign w:val="bottom"/>
          </w:tcPr>
          <w:p>
            <w:pPr>
              <w:spacing w:after="0"/>
              <w:rPr>
                <w:sz w:val="14"/>
                <w:szCs w:val="14"/>
                <w:color w:val="auto"/>
              </w:rPr>
            </w:pPr>
          </w:p>
        </w:tc>
        <w:tc>
          <w:tcPr>
            <w:tcW w:w="920" w:type="dxa"/>
            <w:vAlign w:val="bottom"/>
          </w:tcPr>
          <w:p>
            <w:pPr>
              <w:jc w:val="right"/>
              <w:ind w:right="201"/>
              <w:spacing w:after="0" w:line="171" w:lineRule="exact"/>
              <w:rPr>
                <w:sz w:val="20"/>
                <w:szCs w:val="20"/>
                <w:color w:val="auto"/>
              </w:rPr>
            </w:pPr>
            <w:r>
              <w:rPr>
                <w:rFonts w:ascii="Arial" w:cs="Arial" w:eastAsia="Arial" w:hAnsi="Arial"/>
                <w:sz w:val="16"/>
                <w:szCs w:val="16"/>
                <w:b w:val="1"/>
                <w:bCs w:val="1"/>
                <w:color w:val="auto"/>
              </w:rPr>
              <w:t>639</w:t>
            </w:r>
          </w:p>
        </w:tc>
        <w:tc>
          <w:tcPr>
            <w:tcW w:w="740" w:type="dxa"/>
            <w:vAlign w:val="bottom"/>
          </w:tcPr>
          <w:p>
            <w:pPr>
              <w:spacing w:after="0"/>
              <w:rPr>
                <w:sz w:val="14"/>
                <w:szCs w:val="14"/>
                <w:color w:val="auto"/>
              </w:rPr>
            </w:pPr>
          </w:p>
        </w:tc>
        <w:tc>
          <w:tcPr>
            <w:tcW w:w="700" w:type="dxa"/>
            <w:vAlign w:val="bottom"/>
          </w:tcPr>
          <w:p>
            <w:pPr>
              <w:jc w:val="right"/>
              <w:ind w:right="101"/>
              <w:spacing w:after="0" w:line="171" w:lineRule="exact"/>
              <w:rPr>
                <w:sz w:val="20"/>
                <w:szCs w:val="20"/>
                <w:color w:val="auto"/>
              </w:rPr>
            </w:pPr>
            <w:r>
              <w:rPr>
                <w:rFonts w:ascii="Arial" w:cs="Arial" w:eastAsia="Arial" w:hAnsi="Arial"/>
                <w:sz w:val="16"/>
                <w:szCs w:val="16"/>
                <w:color w:val="auto"/>
              </w:rPr>
              <w:t>1,079</w:t>
            </w:r>
          </w:p>
        </w:tc>
      </w:tr>
      <w:tr>
        <w:trPr>
          <w:trHeight w:val="186"/>
        </w:trPr>
        <w:tc>
          <w:tcPr>
            <w:tcW w:w="7480" w:type="dxa"/>
            <w:vAlign w:val="bottom"/>
          </w:tcPr>
          <w:p>
            <w:pPr>
              <w:spacing w:after="0"/>
              <w:rPr>
                <w:sz w:val="20"/>
                <w:szCs w:val="20"/>
                <w:color w:val="auto"/>
              </w:rPr>
            </w:pPr>
            <w:r>
              <w:rPr>
                <w:rFonts w:ascii="Arial" w:cs="Arial" w:eastAsia="Arial" w:hAnsi="Arial"/>
                <w:sz w:val="16"/>
                <w:szCs w:val="16"/>
                <w:color w:val="auto"/>
              </w:rPr>
              <w:t> Shares repurchased (number in millions)</w:t>
            </w:r>
          </w:p>
        </w:tc>
        <w:tc>
          <w:tcPr>
            <w:tcW w:w="960" w:type="dxa"/>
            <w:vAlign w:val="bottom"/>
          </w:tcPr>
          <w:p>
            <w:pPr>
              <w:spacing w:after="0"/>
              <w:rPr>
                <w:sz w:val="16"/>
                <w:szCs w:val="16"/>
                <w:color w:val="auto"/>
              </w:rPr>
            </w:pPr>
          </w:p>
        </w:tc>
        <w:tc>
          <w:tcPr>
            <w:tcW w:w="920" w:type="dxa"/>
            <w:vAlign w:val="bottom"/>
          </w:tcPr>
          <w:p>
            <w:pPr>
              <w:jc w:val="right"/>
              <w:ind w:right="201"/>
              <w:spacing w:after="0"/>
              <w:rPr>
                <w:sz w:val="20"/>
                <w:szCs w:val="20"/>
                <w:color w:val="auto"/>
              </w:rPr>
            </w:pPr>
            <w:r>
              <w:rPr>
                <w:rFonts w:ascii="Arial" w:cs="Arial" w:eastAsia="Arial" w:hAnsi="Arial"/>
                <w:sz w:val="16"/>
                <w:szCs w:val="16"/>
                <w:b w:val="1"/>
                <w:bCs w:val="1"/>
                <w:color w:val="auto"/>
              </w:rPr>
              <w:t>4.1</w:t>
            </w:r>
          </w:p>
        </w:tc>
        <w:tc>
          <w:tcPr>
            <w:tcW w:w="740" w:type="dxa"/>
            <w:vAlign w:val="bottom"/>
          </w:tcPr>
          <w:p>
            <w:pPr>
              <w:spacing w:after="0"/>
              <w:rPr>
                <w:sz w:val="16"/>
                <w:szCs w:val="16"/>
                <w:color w:val="auto"/>
              </w:rPr>
            </w:pPr>
          </w:p>
        </w:tc>
        <w:tc>
          <w:tcPr>
            <w:tcW w:w="700" w:type="dxa"/>
            <w:vAlign w:val="bottom"/>
          </w:tcPr>
          <w:p>
            <w:pPr>
              <w:jc w:val="right"/>
              <w:ind w:right="101"/>
              <w:spacing w:after="0"/>
              <w:rPr>
                <w:sz w:val="20"/>
                <w:szCs w:val="20"/>
                <w:color w:val="auto"/>
              </w:rPr>
            </w:pPr>
            <w:r>
              <w:rPr>
                <w:rFonts w:ascii="Arial" w:cs="Arial" w:eastAsia="Arial" w:hAnsi="Arial"/>
                <w:sz w:val="16"/>
                <w:szCs w:val="16"/>
                <w:color w:val="auto"/>
              </w:rPr>
              <w:t>8.6</w:t>
            </w:r>
          </w:p>
        </w:tc>
      </w:tr>
      <w:tr>
        <w:trPr>
          <w:trHeight w:val="206"/>
        </w:trPr>
        <w:tc>
          <w:tcPr>
            <w:tcW w:w="7480" w:type="dxa"/>
            <w:vAlign w:val="bottom"/>
            <w:tcBorders>
              <w:bottom w:val="single" w:sz="8" w:color="D64000"/>
            </w:tcBorders>
          </w:tcPr>
          <w:p>
            <w:pPr>
              <w:spacing w:after="0"/>
              <w:rPr>
                <w:sz w:val="20"/>
                <w:szCs w:val="20"/>
                <w:color w:val="auto"/>
              </w:rPr>
            </w:pPr>
            <w:r>
              <w:rPr>
                <w:rFonts w:ascii="Arial" w:cs="Arial" w:eastAsia="Arial" w:hAnsi="Arial"/>
                <w:sz w:val="16"/>
                <w:szCs w:val="16"/>
                <w:color w:val="auto"/>
              </w:rPr>
              <w:t> Share repurchases - average price per share</w:t>
            </w:r>
          </w:p>
        </w:tc>
        <w:tc>
          <w:tcPr>
            <w:tcW w:w="960" w:type="dxa"/>
            <w:vAlign w:val="bottom"/>
            <w:tcBorders>
              <w:bottom w:val="single" w:sz="8" w:color="D64000"/>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D64000"/>
            </w:tcBorders>
          </w:tcPr>
          <w:p>
            <w:pPr>
              <w:jc w:val="right"/>
              <w:ind w:right="201"/>
              <w:spacing w:after="0"/>
              <w:rPr>
                <w:sz w:val="20"/>
                <w:szCs w:val="20"/>
                <w:color w:val="auto"/>
              </w:rPr>
            </w:pPr>
            <w:r>
              <w:rPr>
                <w:rFonts w:ascii="Arial" w:cs="Arial" w:eastAsia="Arial" w:hAnsi="Arial"/>
                <w:sz w:val="16"/>
                <w:szCs w:val="16"/>
                <w:b w:val="1"/>
                <w:bCs w:val="1"/>
                <w:color w:val="auto"/>
              </w:rPr>
              <w:t>156.92</w:t>
            </w:r>
          </w:p>
        </w:tc>
        <w:tc>
          <w:tcPr>
            <w:tcW w:w="740" w:type="dxa"/>
            <w:vAlign w:val="bottom"/>
            <w:tcBorders>
              <w:bottom w:val="single" w:sz="8" w:color="D64000"/>
            </w:tcBorders>
          </w:tcPr>
          <w:p>
            <w:pPr>
              <w:jc w:val="right"/>
              <w:ind w:right="28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D64000"/>
            </w:tcBorders>
          </w:tcPr>
          <w:p>
            <w:pPr>
              <w:jc w:val="right"/>
              <w:ind w:right="101"/>
              <w:spacing w:after="0"/>
              <w:rPr>
                <w:sz w:val="20"/>
                <w:szCs w:val="20"/>
                <w:color w:val="auto"/>
              </w:rPr>
            </w:pPr>
            <w:r>
              <w:rPr>
                <w:rFonts w:ascii="Arial" w:cs="Arial" w:eastAsia="Arial" w:hAnsi="Arial"/>
                <w:sz w:val="16"/>
                <w:szCs w:val="16"/>
                <w:color w:val="auto"/>
              </w:rPr>
              <w:t>125.07</w:t>
            </w:r>
          </w:p>
        </w:tc>
      </w:tr>
    </w:tbl>
    <w:p>
      <w:pPr>
        <w:spacing w:after="0" w:line="84" w:lineRule="exact"/>
        <w:rPr>
          <w:sz w:val="20"/>
          <w:szCs w:val="20"/>
          <w:color w:val="auto"/>
        </w:rPr>
      </w:pPr>
    </w:p>
    <w:p>
      <w:pPr>
        <w:ind w:left="220" w:right="340"/>
        <w:spacing w:after="0" w:line="234" w:lineRule="auto"/>
        <w:rPr>
          <w:sz w:val="20"/>
          <w:szCs w:val="20"/>
          <w:color w:val="auto"/>
        </w:rPr>
      </w:pPr>
      <w:r>
        <w:rPr>
          <w:rFonts w:ascii="Arial" w:cs="Arial" w:eastAsia="Arial" w:hAnsi="Arial"/>
          <w:sz w:val="17"/>
          <w:szCs w:val="17"/>
          <w:color w:val="auto"/>
        </w:rPr>
        <w:t>From time to time when the Company does not possess material nonpublic information about itself or its securities, it may enter into a pre-defined plan with its broker to allow for the repurchase of shares at times when the Company ordinarily would not be active in the market due to its own internal trading blackout periods, insider trading rules or otherwise. Any such plans entered into with the Company’s broker will be adopted in accordance with applicable Canadian securities laws and the requirements of Rule 10b5-1 under the U.S. Securities Exchange Act of 1934, as amended. The Company entered into such a plan with its broker on December 28, 2023. As a result, the Company recorded a $400 million liability in “Other financial liabilities” within current liabilities as of December 31, 2023 with a corresponding amount recorded in equity in the consolidated statement of financial position.</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Series II, Cumulative Redeemable Preference Shares</w:t>
      </w:r>
    </w:p>
    <w:p>
      <w:pPr>
        <w:spacing w:after="0" w:line="6" w:lineRule="exact"/>
        <w:rPr>
          <w:sz w:val="20"/>
          <w:szCs w:val="20"/>
          <w:color w:val="auto"/>
        </w:rPr>
      </w:pPr>
    </w:p>
    <w:p>
      <w:pPr>
        <w:ind w:left="220" w:right="440"/>
        <w:spacing w:after="0" w:line="231" w:lineRule="auto"/>
        <w:rPr>
          <w:sz w:val="20"/>
          <w:szCs w:val="20"/>
          <w:color w:val="auto"/>
        </w:rPr>
      </w:pPr>
      <w:r>
        <w:rPr>
          <w:rFonts w:ascii="Arial" w:cs="Arial" w:eastAsia="Arial" w:hAnsi="Arial"/>
          <w:sz w:val="17"/>
          <w:szCs w:val="17"/>
          <w:color w:val="auto"/>
        </w:rPr>
        <w:t>The authorized preference share capital of the Company is an unlimited number of preference shares without par value. The directors are authorized to issue preference shares without par value in one or more series, and to determine the number of shares in and terms attaching to, each such series. As of December 31, 2024 and 2023, 6,000,000 Series II, cumulative redeemable preference shares were authorized, issued and outstanding. The Series II preference shares are non-voting and are redeemable at the option of the Company for C$25.00 per share, together with accrued dividends. Dividends are payable quarterly at an annual rate of 70% of the Canadian bank prime rate applied to the stated capital of such shares.</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Note 26: Share-Based Compensation</w:t>
      </w:r>
    </w:p>
    <w:p>
      <w:pPr>
        <w:spacing w:after="0" w:line="110" w:lineRule="exact"/>
        <w:rPr>
          <w:sz w:val="20"/>
          <w:szCs w:val="20"/>
          <w:color w:val="auto"/>
        </w:rPr>
      </w:pPr>
    </w:p>
    <w:p>
      <w:pPr>
        <w:ind w:left="220" w:right="1120"/>
        <w:spacing w:after="0" w:line="260" w:lineRule="auto"/>
        <w:rPr>
          <w:sz w:val="20"/>
          <w:szCs w:val="20"/>
          <w:color w:val="auto"/>
        </w:rPr>
      </w:pPr>
      <w:r>
        <w:rPr>
          <w:rFonts w:ascii="Arial" w:cs="Arial" w:eastAsia="Arial" w:hAnsi="Arial"/>
          <w:sz w:val="17"/>
          <w:szCs w:val="17"/>
          <w:color w:val="auto"/>
        </w:rPr>
        <w:t>The Company operates equity-settled compensation plans under which it receives services from employees as consideration for equity instruments of the Company. Each plan is described below:</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Stock Incentive Plan</w:t>
      </w:r>
    </w:p>
    <w:p>
      <w:pPr>
        <w:spacing w:after="0" w:line="6" w:lineRule="exact"/>
        <w:rPr>
          <w:sz w:val="20"/>
          <w:szCs w:val="20"/>
          <w:color w:val="auto"/>
        </w:rPr>
      </w:pPr>
    </w:p>
    <w:p>
      <w:pPr>
        <w:ind w:left="220" w:right="400"/>
        <w:spacing w:after="0" w:line="233" w:lineRule="auto"/>
        <w:rPr>
          <w:sz w:val="20"/>
          <w:szCs w:val="20"/>
          <w:color w:val="auto"/>
        </w:rPr>
      </w:pPr>
      <w:r>
        <w:rPr>
          <w:rFonts w:ascii="Arial" w:cs="Arial" w:eastAsia="Arial" w:hAnsi="Arial"/>
          <w:sz w:val="17"/>
          <w:szCs w:val="17"/>
          <w:color w:val="auto"/>
        </w:rPr>
        <w:t>Under its stock incentive plan, the Company may grant stock options, TRSUs, performance restricted share units (“PRSUs”) and other awards to certain employees for a maximum of up to 69,150,969 common shares. As of December 31, 2024, there were 7,678,633 awards available for grant (2023 – 8,459,523). The following table summarizes the methods used to measure fair value for each type of award and the related vesting period over which compensation expense is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144145</wp:posOffset>
            </wp:positionV>
            <wp:extent cx="706247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062470" cy="8255"/>
                    </a:xfrm>
                    <a:prstGeom prst="rect">
                      <a:avLst/>
                    </a:prstGeom>
                    <a:noFill/>
                  </pic:spPr>
                </pic:pic>
              </a:graphicData>
            </a:graphic>
          </wp:anchor>
        </w:drawing>
      </w: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980" w:type="dxa"/>
            <w:vAlign w:val="bottom"/>
            <w:gridSpan w:val="2"/>
            <w:shd w:val="clear" w:color="auto" w:fill="E3F3EE"/>
          </w:tcPr>
          <w:p>
            <w:pPr>
              <w:ind w:left="100"/>
              <w:spacing w:after="0"/>
              <w:rPr>
                <w:sz w:val="20"/>
                <w:szCs w:val="20"/>
                <w:color w:val="auto"/>
              </w:rPr>
            </w:pPr>
            <w:r>
              <w:rPr>
                <w:rFonts w:ascii="Arial" w:cs="Arial" w:eastAsia="Arial" w:hAnsi="Arial"/>
                <w:sz w:val="16"/>
                <w:szCs w:val="16"/>
                <w:b w:val="1"/>
                <w:bCs w:val="1"/>
                <w:color w:val="auto"/>
              </w:rPr>
              <w:t>Equity-settled</w:t>
            </w:r>
          </w:p>
        </w:tc>
      </w:tr>
      <w:tr>
        <w:trPr>
          <w:trHeight w:val="120"/>
        </w:trPr>
        <w:tc>
          <w:tcPr>
            <w:tcW w:w="11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660" w:type="dxa"/>
            <w:vAlign w:val="bottom"/>
            <w:shd w:val="clear" w:color="auto" w:fill="E3F3EE"/>
          </w:tcPr>
          <w:p>
            <w:pPr>
              <w:spacing w:after="0"/>
              <w:rPr>
                <w:sz w:val="10"/>
                <w:szCs w:val="10"/>
                <w:color w:val="auto"/>
              </w:rPr>
            </w:pPr>
          </w:p>
        </w:tc>
        <w:tc>
          <w:tcPr>
            <w:tcW w:w="320" w:type="dxa"/>
            <w:vAlign w:val="bottom"/>
            <w:shd w:val="clear" w:color="auto" w:fill="E3F3EE"/>
          </w:tcPr>
          <w:p>
            <w:pPr>
              <w:spacing w:after="0"/>
              <w:rPr>
                <w:sz w:val="10"/>
                <w:szCs w:val="10"/>
                <w:color w:val="auto"/>
              </w:rPr>
            </w:pPr>
          </w:p>
        </w:tc>
      </w:tr>
      <w:tr>
        <w:trPr>
          <w:trHeight w:val="272"/>
        </w:trPr>
        <w:tc>
          <w:tcPr>
            <w:tcW w:w="116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b w:val="1"/>
                <w:bCs w:val="1"/>
                <w:color w:val="FFFFFF"/>
                <w:w w:val="99"/>
              </w:rPr>
              <w:t>  Type of award</w:t>
            </w:r>
          </w:p>
        </w:tc>
        <w:tc>
          <w:tcPr>
            <w:tcW w:w="1480" w:type="dxa"/>
            <w:vAlign w:val="bottom"/>
            <w:tcBorders>
              <w:bottom w:val="single" w:sz="8" w:color="D64000"/>
            </w:tcBorders>
            <w:shd w:val="clear" w:color="auto" w:fill="1F473D"/>
          </w:tcPr>
          <w:p>
            <w:pPr>
              <w:ind w:left="60"/>
              <w:spacing w:after="0"/>
              <w:rPr>
                <w:sz w:val="20"/>
                <w:szCs w:val="20"/>
                <w:color w:val="auto"/>
              </w:rPr>
            </w:pPr>
            <w:r>
              <w:rPr>
                <w:rFonts w:ascii="Arial" w:cs="Arial" w:eastAsia="Arial" w:hAnsi="Arial"/>
                <w:sz w:val="16"/>
                <w:szCs w:val="16"/>
                <w:b w:val="1"/>
                <w:bCs w:val="1"/>
                <w:color w:val="FFFFFF"/>
              </w:rPr>
              <w:t>Vesting period</w:t>
            </w:r>
          </w:p>
        </w:tc>
        <w:tc>
          <w:tcPr>
            <w:tcW w:w="1500" w:type="dxa"/>
            <w:vAlign w:val="bottom"/>
            <w:tcBorders>
              <w:bottom w:val="single" w:sz="8" w:color="D64000"/>
            </w:tcBorders>
            <w:shd w:val="clear" w:color="auto" w:fill="1F473D"/>
          </w:tcPr>
          <w:p>
            <w:pPr>
              <w:ind w:left="60"/>
              <w:spacing w:after="0"/>
              <w:rPr>
                <w:sz w:val="20"/>
                <w:szCs w:val="20"/>
                <w:color w:val="auto"/>
              </w:rPr>
            </w:pPr>
            <w:r>
              <w:rPr>
                <w:rFonts w:ascii="Arial" w:cs="Arial" w:eastAsia="Arial" w:hAnsi="Arial"/>
                <w:sz w:val="16"/>
                <w:szCs w:val="16"/>
                <w:b w:val="1"/>
                <w:bCs w:val="1"/>
                <w:color w:val="FFFFFF"/>
                <w:w w:val="97"/>
              </w:rPr>
              <w:t>Fair Value Measure</w:t>
            </w:r>
          </w:p>
        </w:tc>
        <w:tc>
          <w:tcPr>
            <w:tcW w:w="6980" w:type="dxa"/>
            <w:vAlign w:val="bottom"/>
            <w:tcBorders>
              <w:bottom w:val="single" w:sz="8" w:color="D64000"/>
            </w:tcBorders>
            <w:gridSpan w:val="2"/>
            <w:shd w:val="clear" w:color="auto" w:fill="1F473D"/>
          </w:tcPr>
          <w:p>
            <w:pPr>
              <w:ind w:left="100"/>
              <w:spacing w:after="0"/>
              <w:rPr>
                <w:sz w:val="20"/>
                <w:szCs w:val="20"/>
                <w:color w:val="auto"/>
              </w:rPr>
            </w:pPr>
            <w:r>
              <w:rPr>
                <w:rFonts w:ascii="Arial" w:cs="Arial" w:eastAsia="Arial" w:hAnsi="Arial"/>
                <w:sz w:val="16"/>
                <w:szCs w:val="16"/>
                <w:b w:val="1"/>
                <w:bCs w:val="1"/>
                <w:color w:val="FFFFFF"/>
              </w:rPr>
              <w:t>Compensation expense based on:</w:t>
            </w:r>
          </w:p>
        </w:tc>
      </w:tr>
      <w:tr>
        <w:trPr>
          <w:trHeight w:val="171"/>
        </w:trPr>
        <w:tc>
          <w:tcPr>
            <w:tcW w:w="1160" w:type="dxa"/>
            <w:vAlign w:val="bottom"/>
          </w:tcPr>
          <w:p>
            <w:pPr>
              <w:spacing w:after="0" w:line="171" w:lineRule="exact"/>
              <w:rPr>
                <w:sz w:val="20"/>
                <w:szCs w:val="20"/>
                <w:color w:val="auto"/>
              </w:rPr>
            </w:pPr>
            <w:r>
              <w:rPr>
                <w:rFonts w:ascii="Arial" w:cs="Arial" w:eastAsia="Arial" w:hAnsi="Arial"/>
                <w:sz w:val="16"/>
                <w:szCs w:val="16"/>
                <w:color w:val="auto"/>
              </w:rPr>
              <w:t>  Stock options</w:t>
            </w:r>
          </w:p>
        </w:tc>
        <w:tc>
          <w:tcPr>
            <w:tcW w:w="1480" w:type="dxa"/>
            <w:vAlign w:val="bottom"/>
          </w:tcPr>
          <w:p>
            <w:pPr>
              <w:ind w:left="60"/>
              <w:spacing w:after="0" w:line="171" w:lineRule="exact"/>
              <w:rPr>
                <w:sz w:val="20"/>
                <w:szCs w:val="20"/>
                <w:color w:val="auto"/>
              </w:rPr>
            </w:pPr>
            <w:r>
              <w:rPr>
                <w:rFonts w:ascii="Arial" w:cs="Arial" w:eastAsia="Arial" w:hAnsi="Arial"/>
                <w:sz w:val="16"/>
                <w:szCs w:val="16"/>
                <w:color w:val="auto"/>
              </w:rPr>
              <w:t>Up to four years</w:t>
            </w:r>
          </w:p>
        </w:tc>
        <w:tc>
          <w:tcPr>
            <w:tcW w:w="1500" w:type="dxa"/>
            <w:vAlign w:val="bottom"/>
          </w:tcPr>
          <w:p>
            <w:pPr>
              <w:ind w:left="60"/>
              <w:spacing w:after="0" w:line="171" w:lineRule="exact"/>
              <w:rPr>
                <w:sz w:val="20"/>
                <w:szCs w:val="20"/>
                <w:color w:val="auto"/>
              </w:rPr>
            </w:pPr>
            <w:r>
              <w:rPr>
                <w:rFonts w:ascii="Arial" w:cs="Arial" w:eastAsia="Arial" w:hAnsi="Arial"/>
                <w:sz w:val="16"/>
                <w:szCs w:val="16"/>
                <w:color w:val="auto"/>
              </w:rPr>
              <w:t>Black-Scholes</w:t>
            </w:r>
          </w:p>
        </w:tc>
        <w:tc>
          <w:tcPr>
            <w:tcW w:w="6980" w:type="dxa"/>
            <w:vAlign w:val="bottom"/>
            <w:gridSpan w:val="2"/>
          </w:tcPr>
          <w:p>
            <w:pPr>
              <w:ind w:left="100"/>
              <w:spacing w:after="0" w:line="171" w:lineRule="exact"/>
              <w:rPr>
                <w:sz w:val="20"/>
                <w:szCs w:val="20"/>
                <w:color w:val="auto"/>
              </w:rPr>
            </w:pPr>
            <w:r>
              <w:rPr>
                <w:rFonts w:ascii="Arial" w:cs="Arial" w:eastAsia="Arial" w:hAnsi="Arial"/>
                <w:sz w:val="16"/>
                <w:szCs w:val="16"/>
                <w:color w:val="auto"/>
              </w:rPr>
              <w:t>Fair value on business day prior</w:t>
            </w:r>
          </w:p>
        </w:tc>
      </w:tr>
      <w:tr>
        <w:trPr>
          <w:trHeight w:val="211"/>
        </w:trPr>
        <w:tc>
          <w:tcPr>
            <w:tcW w:w="1160" w:type="dxa"/>
            <w:vAlign w:val="bottom"/>
            <w:tcBorders>
              <w:bottom w:val="single" w:sz="8" w:color="AFAFAF"/>
            </w:tcBorders>
          </w:tcPr>
          <w:p>
            <w:pPr>
              <w:spacing w:after="0"/>
              <w:rPr>
                <w:sz w:val="18"/>
                <w:szCs w:val="18"/>
                <w:color w:val="auto"/>
              </w:rPr>
            </w:pPr>
          </w:p>
        </w:tc>
        <w:tc>
          <w:tcPr>
            <w:tcW w:w="1480" w:type="dxa"/>
            <w:vAlign w:val="bottom"/>
            <w:tcBorders>
              <w:bottom w:val="single" w:sz="8" w:color="AFAFAF"/>
            </w:tcBorders>
          </w:tcPr>
          <w:p>
            <w:pPr>
              <w:spacing w:after="0"/>
              <w:rPr>
                <w:sz w:val="18"/>
                <w:szCs w:val="18"/>
                <w:color w:val="auto"/>
              </w:rPr>
            </w:pPr>
          </w:p>
        </w:tc>
        <w:tc>
          <w:tcPr>
            <w:tcW w:w="1500" w:type="dxa"/>
            <w:vAlign w:val="bottom"/>
            <w:tcBorders>
              <w:bottom w:val="single" w:sz="8" w:color="AFAFAF"/>
            </w:tcBorders>
          </w:tcPr>
          <w:p>
            <w:pPr>
              <w:ind w:left="60"/>
              <w:spacing w:after="0"/>
              <w:rPr>
                <w:sz w:val="20"/>
                <w:szCs w:val="20"/>
                <w:color w:val="auto"/>
              </w:rPr>
            </w:pPr>
            <w:r>
              <w:rPr>
                <w:rFonts w:ascii="Arial" w:cs="Arial" w:eastAsia="Arial" w:hAnsi="Arial"/>
                <w:sz w:val="16"/>
                <w:szCs w:val="16"/>
                <w:color w:val="auto"/>
                <w:w w:val="99"/>
              </w:rPr>
              <w:t>option pricing model</w:t>
            </w:r>
          </w:p>
        </w:tc>
        <w:tc>
          <w:tcPr>
            <w:tcW w:w="6980" w:type="dxa"/>
            <w:vAlign w:val="bottom"/>
            <w:tcBorders>
              <w:bottom w:val="single" w:sz="8" w:color="AFAFAF"/>
            </w:tcBorders>
            <w:gridSpan w:val="2"/>
          </w:tcPr>
          <w:p>
            <w:pPr>
              <w:ind w:left="100"/>
              <w:spacing w:after="0"/>
              <w:rPr>
                <w:sz w:val="20"/>
                <w:szCs w:val="20"/>
                <w:color w:val="auto"/>
              </w:rPr>
            </w:pPr>
            <w:r>
              <w:rPr>
                <w:rFonts w:ascii="Arial" w:cs="Arial" w:eastAsia="Arial" w:hAnsi="Arial"/>
                <w:sz w:val="16"/>
                <w:szCs w:val="16"/>
                <w:color w:val="auto"/>
              </w:rPr>
              <w:t>to grant date</w:t>
            </w:r>
          </w:p>
        </w:tc>
      </w:tr>
      <w:tr>
        <w:trPr>
          <w:trHeight w:val="166"/>
        </w:trPr>
        <w:tc>
          <w:tcPr>
            <w:tcW w:w="1160" w:type="dxa"/>
            <w:vAlign w:val="bottom"/>
          </w:tcPr>
          <w:p>
            <w:pPr>
              <w:spacing w:after="0" w:line="166" w:lineRule="exact"/>
              <w:rPr>
                <w:sz w:val="20"/>
                <w:szCs w:val="20"/>
                <w:color w:val="auto"/>
              </w:rPr>
            </w:pPr>
            <w:r>
              <w:rPr>
                <w:rFonts w:ascii="Arial" w:cs="Arial" w:eastAsia="Arial" w:hAnsi="Arial"/>
                <w:sz w:val="16"/>
                <w:szCs w:val="16"/>
                <w:color w:val="auto"/>
              </w:rPr>
              <w:t>  TRSUs</w:t>
            </w:r>
          </w:p>
        </w:tc>
        <w:tc>
          <w:tcPr>
            <w:tcW w:w="1480" w:type="dxa"/>
            <w:vAlign w:val="bottom"/>
          </w:tcPr>
          <w:p>
            <w:pPr>
              <w:ind w:left="60"/>
              <w:spacing w:after="0" w:line="166" w:lineRule="exact"/>
              <w:rPr>
                <w:sz w:val="20"/>
                <w:szCs w:val="20"/>
                <w:color w:val="auto"/>
              </w:rPr>
            </w:pPr>
            <w:r>
              <w:rPr>
                <w:rFonts w:ascii="Arial" w:cs="Arial" w:eastAsia="Arial" w:hAnsi="Arial"/>
                <w:sz w:val="16"/>
                <w:szCs w:val="16"/>
                <w:color w:val="auto"/>
              </w:rPr>
              <w:t>Up to five years</w:t>
            </w:r>
          </w:p>
        </w:tc>
        <w:tc>
          <w:tcPr>
            <w:tcW w:w="1500" w:type="dxa"/>
            <w:vAlign w:val="bottom"/>
          </w:tcPr>
          <w:p>
            <w:pPr>
              <w:ind w:left="60"/>
              <w:spacing w:after="0" w:line="166" w:lineRule="exact"/>
              <w:rPr>
                <w:sz w:val="20"/>
                <w:szCs w:val="20"/>
                <w:color w:val="auto"/>
              </w:rPr>
            </w:pPr>
            <w:r>
              <w:rPr>
                <w:rFonts w:ascii="Arial" w:cs="Arial" w:eastAsia="Arial" w:hAnsi="Arial"/>
                <w:sz w:val="16"/>
                <w:szCs w:val="16"/>
                <w:color w:val="auto"/>
              </w:rPr>
              <w:t>Closing common</w:t>
            </w:r>
          </w:p>
        </w:tc>
        <w:tc>
          <w:tcPr>
            <w:tcW w:w="6980" w:type="dxa"/>
            <w:vAlign w:val="bottom"/>
            <w:gridSpan w:val="2"/>
          </w:tcPr>
          <w:p>
            <w:pPr>
              <w:ind w:left="100"/>
              <w:spacing w:after="0" w:line="166" w:lineRule="exact"/>
              <w:rPr>
                <w:sz w:val="20"/>
                <w:szCs w:val="20"/>
                <w:color w:val="auto"/>
              </w:rPr>
            </w:pPr>
            <w:r>
              <w:rPr>
                <w:rFonts w:ascii="Arial" w:cs="Arial" w:eastAsia="Arial" w:hAnsi="Arial"/>
                <w:sz w:val="16"/>
                <w:szCs w:val="16"/>
                <w:color w:val="auto"/>
              </w:rPr>
              <w:t>Fair value on business day prior</w:t>
            </w:r>
          </w:p>
        </w:tc>
      </w:tr>
      <w:tr>
        <w:trPr>
          <w:trHeight w:val="211"/>
        </w:trPr>
        <w:tc>
          <w:tcPr>
            <w:tcW w:w="1160" w:type="dxa"/>
            <w:vAlign w:val="bottom"/>
            <w:tcBorders>
              <w:bottom w:val="single" w:sz="8" w:color="AFAFAF"/>
            </w:tcBorders>
          </w:tcPr>
          <w:p>
            <w:pPr>
              <w:spacing w:after="0"/>
              <w:rPr>
                <w:sz w:val="18"/>
                <w:szCs w:val="18"/>
                <w:color w:val="auto"/>
              </w:rPr>
            </w:pPr>
          </w:p>
        </w:tc>
        <w:tc>
          <w:tcPr>
            <w:tcW w:w="1480" w:type="dxa"/>
            <w:vAlign w:val="bottom"/>
            <w:tcBorders>
              <w:bottom w:val="single" w:sz="8" w:color="AFAFAF"/>
            </w:tcBorders>
          </w:tcPr>
          <w:p>
            <w:pPr>
              <w:spacing w:after="0"/>
              <w:rPr>
                <w:sz w:val="18"/>
                <w:szCs w:val="18"/>
                <w:color w:val="auto"/>
              </w:rPr>
            </w:pPr>
          </w:p>
        </w:tc>
        <w:tc>
          <w:tcPr>
            <w:tcW w:w="1500" w:type="dxa"/>
            <w:vAlign w:val="bottom"/>
            <w:tcBorders>
              <w:bottom w:val="single" w:sz="8" w:color="AFAFAF"/>
            </w:tcBorders>
          </w:tcPr>
          <w:p>
            <w:pPr>
              <w:ind w:left="60"/>
              <w:spacing w:after="0"/>
              <w:rPr>
                <w:sz w:val="20"/>
                <w:szCs w:val="20"/>
                <w:color w:val="auto"/>
              </w:rPr>
            </w:pPr>
            <w:r>
              <w:rPr>
                <w:rFonts w:ascii="Arial" w:cs="Arial" w:eastAsia="Arial" w:hAnsi="Arial"/>
                <w:sz w:val="16"/>
                <w:szCs w:val="16"/>
                <w:color w:val="auto"/>
              </w:rPr>
              <w:t>share price</w:t>
            </w:r>
          </w:p>
        </w:tc>
        <w:tc>
          <w:tcPr>
            <w:tcW w:w="6980" w:type="dxa"/>
            <w:vAlign w:val="bottom"/>
            <w:tcBorders>
              <w:bottom w:val="single" w:sz="8" w:color="AFAFAF"/>
            </w:tcBorders>
            <w:gridSpan w:val="2"/>
          </w:tcPr>
          <w:p>
            <w:pPr>
              <w:ind w:left="100"/>
              <w:spacing w:after="0"/>
              <w:rPr>
                <w:sz w:val="20"/>
                <w:szCs w:val="20"/>
                <w:color w:val="auto"/>
              </w:rPr>
            </w:pPr>
            <w:r>
              <w:rPr>
                <w:rFonts w:ascii="Arial" w:cs="Arial" w:eastAsia="Arial" w:hAnsi="Arial"/>
                <w:sz w:val="16"/>
                <w:szCs w:val="16"/>
                <w:color w:val="auto"/>
              </w:rPr>
              <w:t>to grant date</w:t>
            </w:r>
          </w:p>
        </w:tc>
      </w:tr>
      <w:tr>
        <w:trPr>
          <w:trHeight w:val="166"/>
        </w:trPr>
        <w:tc>
          <w:tcPr>
            <w:tcW w:w="1160" w:type="dxa"/>
            <w:vAlign w:val="bottom"/>
          </w:tcPr>
          <w:p>
            <w:pPr>
              <w:spacing w:after="0" w:line="166" w:lineRule="exact"/>
              <w:rPr>
                <w:sz w:val="20"/>
                <w:szCs w:val="20"/>
                <w:color w:val="auto"/>
              </w:rPr>
            </w:pPr>
            <w:r>
              <w:rPr>
                <w:rFonts w:ascii="Arial" w:cs="Arial" w:eastAsia="Arial" w:hAnsi="Arial"/>
                <w:sz w:val="16"/>
                <w:szCs w:val="16"/>
                <w:color w:val="auto"/>
              </w:rPr>
              <w:t>  PRSUs</w:t>
            </w:r>
          </w:p>
        </w:tc>
        <w:tc>
          <w:tcPr>
            <w:tcW w:w="1480" w:type="dxa"/>
            <w:vAlign w:val="bottom"/>
          </w:tcPr>
          <w:p>
            <w:pPr>
              <w:ind w:left="60"/>
              <w:spacing w:after="0" w:line="166" w:lineRule="exact"/>
              <w:rPr>
                <w:sz w:val="20"/>
                <w:szCs w:val="20"/>
                <w:color w:val="auto"/>
              </w:rPr>
            </w:pPr>
            <w:r>
              <w:rPr>
                <w:rFonts w:ascii="Arial" w:cs="Arial" w:eastAsia="Arial" w:hAnsi="Arial"/>
                <w:sz w:val="16"/>
                <w:szCs w:val="16"/>
                <w:color w:val="auto"/>
              </w:rPr>
              <w:t>Three-year</w:t>
            </w:r>
          </w:p>
        </w:tc>
        <w:tc>
          <w:tcPr>
            <w:tcW w:w="1500" w:type="dxa"/>
            <w:vAlign w:val="bottom"/>
          </w:tcPr>
          <w:p>
            <w:pPr>
              <w:ind w:left="60"/>
              <w:spacing w:after="0" w:line="166" w:lineRule="exact"/>
              <w:rPr>
                <w:sz w:val="20"/>
                <w:szCs w:val="20"/>
                <w:color w:val="auto"/>
              </w:rPr>
            </w:pPr>
            <w:r>
              <w:rPr>
                <w:rFonts w:ascii="Arial" w:cs="Arial" w:eastAsia="Arial" w:hAnsi="Arial"/>
                <w:sz w:val="16"/>
                <w:szCs w:val="16"/>
                <w:color w:val="auto"/>
              </w:rPr>
              <w:t>Closing common</w:t>
            </w:r>
          </w:p>
        </w:tc>
        <w:tc>
          <w:tcPr>
            <w:tcW w:w="6980" w:type="dxa"/>
            <w:vAlign w:val="bottom"/>
            <w:gridSpan w:val="2"/>
          </w:tcPr>
          <w:p>
            <w:pPr>
              <w:ind w:left="100"/>
              <w:spacing w:after="0" w:line="166" w:lineRule="exact"/>
              <w:rPr>
                <w:sz w:val="20"/>
                <w:szCs w:val="20"/>
                <w:color w:val="auto"/>
              </w:rPr>
            </w:pPr>
            <w:r>
              <w:rPr>
                <w:rFonts w:ascii="Arial" w:cs="Arial" w:eastAsia="Arial" w:hAnsi="Arial"/>
                <w:sz w:val="16"/>
                <w:szCs w:val="16"/>
                <w:color w:val="auto"/>
              </w:rPr>
              <w:t>Fair value on business day prior</w:t>
            </w:r>
          </w:p>
        </w:tc>
      </w:tr>
      <w:tr>
        <w:trPr>
          <w:trHeight w:val="219"/>
        </w:trPr>
        <w:tc>
          <w:tcPr>
            <w:tcW w:w="1160" w:type="dxa"/>
            <w:vAlign w:val="bottom"/>
            <w:tcBorders>
              <w:bottom w:val="single" w:sz="8" w:color="D64000"/>
            </w:tcBorders>
          </w:tcPr>
          <w:p>
            <w:pPr>
              <w:spacing w:after="0"/>
              <w:rPr>
                <w:sz w:val="19"/>
                <w:szCs w:val="19"/>
                <w:color w:val="auto"/>
              </w:rPr>
            </w:pPr>
          </w:p>
        </w:tc>
        <w:tc>
          <w:tcPr>
            <w:tcW w:w="1480" w:type="dxa"/>
            <w:vAlign w:val="bottom"/>
            <w:tcBorders>
              <w:bottom w:val="single" w:sz="8" w:color="D64000"/>
            </w:tcBorders>
          </w:tcPr>
          <w:p>
            <w:pPr>
              <w:ind w:left="60"/>
              <w:spacing w:after="0"/>
              <w:rPr>
                <w:sz w:val="20"/>
                <w:szCs w:val="20"/>
                <w:color w:val="auto"/>
              </w:rPr>
            </w:pPr>
            <w:r>
              <w:rPr>
                <w:rFonts w:ascii="Arial" w:cs="Arial" w:eastAsia="Arial" w:hAnsi="Arial"/>
                <w:sz w:val="16"/>
                <w:szCs w:val="16"/>
                <w:color w:val="auto"/>
              </w:rPr>
              <w:t>performance period</w:t>
            </w:r>
          </w:p>
        </w:tc>
        <w:tc>
          <w:tcPr>
            <w:tcW w:w="1500" w:type="dxa"/>
            <w:vAlign w:val="bottom"/>
            <w:tcBorders>
              <w:bottom w:val="single" w:sz="8" w:color="D64000"/>
            </w:tcBorders>
          </w:tcPr>
          <w:p>
            <w:pPr>
              <w:ind w:left="60"/>
              <w:spacing w:after="0"/>
              <w:rPr>
                <w:sz w:val="20"/>
                <w:szCs w:val="20"/>
                <w:color w:val="auto"/>
              </w:rPr>
            </w:pPr>
            <w:r>
              <w:rPr>
                <w:rFonts w:ascii="Arial" w:cs="Arial" w:eastAsia="Arial" w:hAnsi="Arial"/>
                <w:sz w:val="16"/>
                <w:szCs w:val="16"/>
                <w:color w:val="auto"/>
              </w:rPr>
              <w:t>share price</w:t>
            </w:r>
          </w:p>
        </w:tc>
        <w:tc>
          <w:tcPr>
            <w:tcW w:w="6980" w:type="dxa"/>
            <w:vAlign w:val="bottom"/>
            <w:tcBorders>
              <w:bottom w:val="single" w:sz="8" w:color="D64000"/>
            </w:tcBorders>
            <w:gridSpan w:val="2"/>
          </w:tcPr>
          <w:p>
            <w:pPr>
              <w:ind w:left="100"/>
              <w:spacing w:after="0"/>
              <w:rPr>
                <w:sz w:val="20"/>
                <w:szCs w:val="20"/>
                <w:color w:val="auto"/>
              </w:rPr>
            </w:pPr>
            <w:r>
              <w:rPr>
                <w:rFonts w:ascii="Arial" w:cs="Arial" w:eastAsia="Arial" w:hAnsi="Arial"/>
                <w:sz w:val="16"/>
                <w:szCs w:val="16"/>
                <w:color w:val="auto"/>
                <w:w w:val="98"/>
              </w:rPr>
              <w:t>to grant date and adjusting the number of awards expected to vest based on company performanc</w:t>
            </w:r>
          </w:p>
        </w:tc>
      </w:tr>
      <w:tr>
        <w:trPr>
          <w:trHeight w:val="159"/>
        </w:trPr>
        <w:tc>
          <w:tcPr>
            <w:tcW w:w="4140" w:type="dxa"/>
            <w:vAlign w:val="bottom"/>
            <w:tcBorders>
              <w:bottom w:val="single" w:sz="8" w:color="7F7F7F"/>
            </w:tcBorders>
            <w:gridSpan w:val="3"/>
          </w:tcPr>
          <w:p>
            <w:pPr>
              <w:spacing w:after="0"/>
              <w:rPr>
                <w:sz w:val="13"/>
                <w:szCs w:val="13"/>
                <w:color w:val="auto"/>
              </w:rPr>
            </w:pPr>
          </w:p>
        </w:tc>
        <w:tc>
          <w:tcPr>
            <w:tcW w:w="6660" w:type="dxa"/>
            <w:vAlign w:val="bottom"/>
            <w:tcBorders>
              <w:bottom w:val="single" w:sz="8" w:color="7F7F7F"/>
            </w:tcBorders>
          </w:tcPr>
          <w:p>
            <w:pPr>
              <w:spacing w:after="0"/>
              <w:rPr>
                <w:sz w:val="13"/>
                <w:szCs w:val="13"/>
                <w:color w:val="auto"/>
              </w:rPr>
            </w:pPr>
          </w:p>
        </w:tc>
        <w:tc>
          <w:tcPr>
            <w:tcW w:w="320" w:type="dxa"/>
            <w:vAlign w:val="bottom"/>
          </w:tcPr>
          <w:p>
            <w:pPr>
              <w:spacing w:after="0"/>
              <w:rPr>
                <w:sz w:val="13"/>
                <w:szCs w:val="13"/>
                <w:color w:val="auto"/>
              </w:rPr>
            </w:pPr>
          </w:p>
        </w:tc>
      </w:tr>
      <w:tr>
        <w:trPr>
          <w:trHeight w:val="228"/>
        </w:trPr>
        <w:tc>
          <w:tcPr>
            <w:tcW w:w="4140" w:type="dxa"/>
            <w:vAlign w:val="bottom"/>
            <w:gridSpan w:val="3"/>
          </w:tcPr>
          <w:p>
            <w:pPr>
              <w:spacing w:after="0"/>
              <w:rPr>
                <w:sz w:val="20"/>
                <w:szCs w:val="20"/>
                <w:color w:val="auto"/>
              </w:rPr>
            </w:pPr>
            <w:r>
              <w:rPr>
                <w:rFonts w:ascii="Arial" w:cs="Arial" w:eastAsia="Arial" w:hAnsi="Arial"/>
                <w:sz w:val="17"/>
                <w:szCs w:val="17"/>
                <w:b w:val="1"/>
                <w:bCs w:val="1"/>
                <w:color w:val="auto"/>
              </w:rPr>
              <w:t>Thomson Reuters Annual Report 2024</w:t>
            </w:r>
          </w:p>
        </w:tc>
        <w:tc>
          <w:tcPr>
            <w:tcW w:w="6980" w:type="dxa"/>
            <w:vAlign w:val="bottom"/>
            <w:gridSpan w:val="2"/>
          </w:tcPr>
          <w:p>
            <w:pPr>
              <w:ind w:left="5960"/>
              <w:spacing w:after="0"/>
              <w:rPr>
                <w:sz w:val="20"/>
                <w:szCs w:val="20"/>
                <w:color w:val="auto"/>
              </w:rPr>
            </w:pPr>
            <w:r>
              <w:rPr>
                <w:rFonts w:ascii="Arial" w:cs="Arial" w:eastAsia="Arial" w:hAnsi="Arial"/>
                <w:sz w:val="17"/>
                <w:szCs w:val="17"/>
                <w:color w:val="auto"/>
              </w:rPr>
              <w:t>Page 127</w:t>
            </w:r>
          </w:p>
        </w:tc>
      </w:tr>
    </w:tbl>
    <w:p>
      <w:pPr>
        <w:sectPr>
          <w:pgSz w:w="11900" w:h="16838" w:orient="portrait"/>
          <w:cols w:equalWidth="0" w:num="1">
            <w:col w:w="11340"/>
          </w:cols>
          <w:pgMar w:left="320" w:top="477" w:right="2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Additional information on each type of award is as follows: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Stock Options</w:t>
      </w:r>
    </w:p>
    <w:p>
      <w:pPr>
        <w:spacing w:after="0" w:line="6" w:lineRule="exact"/>
        <w:rPr>
          <w:sz w:val="20"/>
          <w:szCs w:val="20"/>
          <w:color w:val="auto"/>
        </w:rPr>
      </w:pPr>
    </w:p>
    <w:p>
      <w:pPr>
        <w:ind w:left="220" w:right="80"/>
        <w:spacing w:after="0"/>
        <w:rPr>
          <w:sz w:val="20"/>
          <w:szCs w:val="20"/>
          <w:color w:val="auto"/>
        </w:rPr>
      </w:pPr>
      <w:r>
        <w:rPr>
          <w:rFonts w:ascii="Arial" w:cs="Arial" w:eastAsia="Arial" w:hAnsi="Arial"/>
          <w:sz w:val="17"/>
          <w:szCs w:val="17"/>
          <w:color w:val="auto"/>
        </w:rPr>
        <w:t>The maximum term of an option is 10 years from the grant date. Under the plan, options may be granted by reference to the Company’s common share price on the NYSE, on the Nasdaq effective February 25, 2025 (see note 33), or TSX.</w:t>
      </w:r>
    </w:p>
    <w:p>
      <w:pPr>
        <w:spacing w:after="0" w:line="70" w:lineRule="exact"/>
        <w:rPr>
          <w:sz w:val="20"/>
          <w:szCs w:val="20"/>
          <w:color w:val="auto"/>
        </w:rPr>
      </w:pPr>
    </w:p>
    <w:p>
      <w:pPr>
        <w:ind w:left="220" w:right="40"/>
        <w:spacing w:after="0" w:line="260" w:lineRule="auto"/>
        <w:rPr>
          <w:sz w:val="20"/>
          <w:szCs w:val="20"/>
          <w:color w:val="auto"/>
        </w:rPr>
      </w:pPr>
      <w:r>
        <w:rPr>
          <w:rFonts w:ascii="Arial" w:cs="Arial" w:eastAsia="Arial" w:hAnsi="Arial"/>
          <w:sz w:val="17"/>
          <w:szCs w:val="17"/>
          <w:color w:val="auto"/>
        </w:rPr>
        <w:t>The weighted-average fair value of options granted for the years ended December 31, 2024 and 2023 and principal assumptions used in applying the Black-Scholes option pricing model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115570</wp:posOffset>
            </wp:positionV>
            <wp:extent cx="576326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763260" cy="8255"/>
                    </a:xfrm>
                    <a:prstGeom prst="rect">
                      <a:avLst/>
                    </a:prstGeom>
                    <a:noFill/>
                  </pic:spPr>
                </pic:pic>
              </a:graphicData>
            </a:graphic>
          </wp:anchor>
        </w:drawing>
      </w:r>
    </w:p>
    <w:p>
      <w:pPr>
        <w:spacing w:after="0" w:line="162"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1580" w:type="dxa"/>
            <w:vAlign w:val="bottom"/>
            <w:shd w:val="clear" w:color="auto" w:fill="E3F3EE"/>
          </w:tcPr>
          <w:p>
            <w:pPr>
              <w:jc w:val="right"/>
              <w:spacing w:after="0"/>
              <w:rPr>
                <w:sz w:val="20"/>
                <w:szCs w:val="20"/>
                <w:color w:val="auto"/>
              </w:rPr>
            </w:pPr>
            <w:r>
              <w:rPr>
                <w:rFonts w:ascii="Arial" w:cs="Arial" w:eastAsia="Arial" w:hAnsi="Arial"/>
                <w:sz w:val="16"/>
                <w:szCs w:val="16"/>
                <w:b w:val="1"/>
                <w:bCs w:val="1"/>
                <w:color w:val="auto"/>
              </w:rPr>
              <w:t> </w:t>
            </w:r>
          </w:p>
        </w:tc>
        <w:tc>
          <w:tcPr>
            <w:tcW w:w="1280" w:type="dxa"/>
            <w:vAlign w:val="bottom"/>
            <w:shd w:val="clear" w:color="auto" w:fill="E3F3EE"/>
          </w:tcPr>
          <w:p>
            <w:pPr>
              <w:jc w:val="right"/>
              <w:ind w:right="1103"/>
              <w:spacing w:after="0"/>
              <w:rPr>
                <w:sz w:val="20"/>
                <w:szCs w:val="20"/>
                <w:color w:val="auto"/>
              </w:rPr>
            </w:pPr>
            <w:r>
              <w:rPr>
                <w:rFonts w:ascii="Arial" w:cs="Arial" w:eastAsia="Arial" w:hAnsi="Arial"/>
                <w:sz w:val="11"/>
                <w:szCs w:val="11"/>
                <w:b w:val="1"/>
                <w:bCs w:val="1"/>
                <w:color w:val="auto"/>
                <w:w w:val="72"/>
              </w:rPr>
              <w:t> </w:t>
            </w:r>
          </w:p>
        </w:tc>
      </w:tr>
      <w:tr>
        <w:trPr>
          <w:trHeight w:val="200"/>
        </w:trPr>
        <w:tc>
          <w:tcPr>
            <w:tcW w:w="6220" w:type="dxa"/>
            <w:vAlign w:val="bottom"/>
          </w:tcPr>
          <w:p>
            <w:pPr>
              <w:spacing w:after="0"/>
              <w:rPr>
                <w:sz w:val="17"/>
                <w:szCs w:val="17"/>
                <w:color w:val="auto"/>
              </w:rPr>
            </w:pPr>
          </w:p>
        </w:tc>
        <w:tc>
          <w:tcPr>
            <w:tcW w:w="2860" w:type="dxa"/>
            <w:vAlign w:val="bottom"/>
            <w:gridSpan w:val="2"/>
            <w:shd w:val="clear" w:color="auto" w:fill="E3F3EE"/>
          </w:tcPr>
          <w:p>
            <w:pPr>
              <w:jc w:val="right"/>
              <w:ind w:right="183"/>
              <w:spacing w:after="0"/>
              <w:rPr>
                <w:sz w:val="20"/>
                <w:szCs w:val="20"/>
                <w:color w:val="auto"/>
              </w:rPr>
            </w:pPr>
            <w:r>
              <w:rPr>
                <w:rFonts w:ascii="Arial" w:cs="Arial" w:eastAsia="Arial" w:hAnsi="Arial"/>
                <w:sz w:val="16"/>
                <w:szCs w:val="16"/>
                <w:b w:val="1"/>
                <w:bCs w:val="1"/>
                <w:color w:val="auto"/>
              </w:rPr>
              <w:t>Year ended December 31, </w:t>
            </w:r>
          </w:p>
        </w:tc>
      </w:tr>
      <w:tr>
        <w:trPr>
          <w:trHeight w:val="277"/>
        </w:trPr>
        <w:tc>
          <w:tcPr>
            <w:tcW w:w="6220" w:type="dxa"/>
            <w:vAlign w:val="bottom"/>
            <w:tcBorders>
              <w:bottom w:val="single" w:sz="8" w:color="1F473D"/>
            </w:tcBorders>
            <w:shd w:val="clear" w:color="auto" w:fill="1F473D"/>
          </w:tcPr>
          <w:p>
            <w:pPr>
              <w:spacing w:after="0"/>
              <w:rPr>
                <w:sz w:val="23"/>
                <w:szCs w:val="23"/>
                <w:color w:val="auto"/>
              </w:rPr>
            </w:pPr>
          </w:p>
        </w:tc>
        <w:tc>
          <w:tcPr>
            <w:tcW w:w="1580" w:type="dxa"/>
            <w:vAlign w:val="bottom"/>
            <w:tcBorders>
              <w:bottom w:val="single" w:sz="8" w:color="1F473D"/>
            </w:tcBorders>
            <w:shd w:val="clear" w:color="auto" w:fill="1F473D"/>
          </w:tcPr>
          <w:p>
            <w:pPr>
              <w:jc w:val="right"/>
              <w:ind w:right="121"/>
              <w:spacing w:after="0"/>
              <w:rPr>
                <w:sz w:val="20"/>
                <w:szCs w:val="20"/>
                <w:color w:val="auto"/>
              </w:rPr>
            </w:pPr>
            <w:r>
              <w:rPr>
                <w:rFonts w:ascii="Arial" w:cs="Arial" w:eastAsia="Arial" w:hAnsi="Arial"/>
                <w:sz w:val="16"/>
                <w:szCs w:val="16"/>
                <w:b w:val="1"/>
                <w:bCs w:val="1"/>
                <w:color w:val="FFFFFF"/>
              </w:rPr>
              <w:t>2024</w:t>
            </w:r>
          </w:p>
        </w:tc>
        <w:tc>
          <w:tcPr>
            <w:tcW w:w="1280" w:type="dxa"/>
            <w:vAlign w:val="bottom"/>
            <w:tcBorders>
              <w:bottom w:val="single" w:sz="8" w:color="1F473D"/>
            </w:tcBorders>
            <w:shd w:val="clear" w:color="auto" w:fill="1F473D"/>
          </w:tcPr>
          <w:p>
            <w:pPr>
              <w:jc w:val="right"/>
              <w:ind w:right="3"/>
              <w:spacing w:after="0"/>
              <w:rPr>
                <w:sz w:val="20"/>
                <w:szCs w:val="20"/>
                <w:color w:val="auto"/>
              </w:rPr>
            </w:pPr>
            <w:r>
              <w:rPr>
                <w:rFonts w:ascii="Arial" w:cs="Arial" w:eastAsia="Arial" w:hAnsi="Arial"/>
                <w:sz w:val="16"/>
                <w:szCs w:val="16"/>
                <w:color w:val="FFFFFF"/>
              </w:rPr>
              <w:t>2023</w:t>
            </w:r>
          </w:p>
        </w:tc>
      </w:tr>
      <w:tr>
        <w:trPr>
          <w:trHeight w:val="171"/>
        </w:trPr>
        <w:tc>
          <w:tcPr>
            <w:tcW w:w="6220" w:type="dxa"/>
            <w:vAlign w:val="bottom"/>
            <w:tcBorders>
              <w:top w:val="single" w:sz="8" w:color="D64000"/>
            </w:tcBorders>
          </w:tcPr>
          <w:p>
            <w:pPr>
              <w:spacing w:after="0" w:line="171" w:lineRule="exact"/>
              <w:rPr>
                <w:sz w:val="20"/>
                <w:szCs w:val="20"/>
                <w:color w:val="auto"/>
              </w:rPr>
            </w:pPr>
            <w:r>
              <w:rPr>
                <w:rFonts w:ascii="Arial" w:cs="Arial" w:eastAsia="Arial" w:hAnsi="Arial"/>
                <w:sz w:val="16"/>
                <w:szCs w:val="16"/>
                <w:color w:val="auto"/>
              </w:rPr>
              <w:t> Weighted-average fair value</w:t>
            </w:r>
          </w:p>
        </w:tc>
        <w:tc>
          <w:tcPr>
            <w:tcW w:w="1580" w:type="dxa"/>
            <w:vAlign w:val="bottom"/>
            <w:tcBorders>
              <w:top w:val="single" w:sz="8" w:color="D64000"/>
            </w:tcBorders>
          </w:tcPr>
          <w:p>
            <w:pPr>
              <w:jc w:val="right"/>
              <w:ind w:right="121"/>
              <w:spacing w:after="0" w:line="171" w:lineRule="exact"/>
              <w:rPr>
                <w:sz w:val="20"/>
                <w:szCs w:val="20"/>
                <w:color w:val="auto"/>
              </w:rPr>
            </w:pPr>
            <w:r>
              <w:rPr>
                <w:rFonts w:ascii="Arial" w:cs="Arial" w:eastAsia="Arial" w:hAnsi="Arial"/>
                <w:sz w:val="16"/>
                <w:szCs w:val="16"/>
                <w:b w:val="1"/>
                <w:bCs w:val="1"/>
                <w:color w:val="auto"/>
              </w:rPr>
              <w:t>$35.93</w:t>
            </w:r>
          </w:p>
        </w:tc>
        <w:tc>
          <w:tcPr>
            <w:tcW w:w="1280" w:type="dxa"/>
            <w:vAlign w:val="bottom"/>
            <w:tcBorders>
              <w:top w:val="single" w:sz="8" w:color="D64000"/>
            </w:tcBorders>
          </w:tcPr>
          <w:p>
            <w:pPr>
              <w:jc w:val="right"/>
              <w:ind w:right="3"/>
              <w:spacing w:after="0" w:line="171" w:lineRule="exact"/>
              <w:rPr>
                <w:sz w:val="20"/>
                <w:szCs w:val="20"/>
                <w:color w:val="auto"/>
              </w:rPr>
            </w:pPr>
            <w:r>
              <w:rPr>
                <w:rFonts w:ascii="Arial" w:cs="Arial" w:eastAsia="Arial" w:hAnsi="Arial"/>
                <w:sz w:val="16"/>
                <w:szCs w:val="16"/>
                <w:color w:val="auto"/>
              </w:rPr>
              <w:t>$25.93</w:t>
            </w:r>
          </w:p>
        </w:tc>
      </w:tr>
      <w:tr>
        <w:trPr>
          <w:trHeight w:val="186"/>
        </w:trPr>
        <w:tc>
          <w:tcPr>
            <w:tcW w:w="6220" w:type="dxa"/>
            <w:vAlign w:val="bottom"/>
          </w:tcPr>
          <w:p>
            <w:pPr>
              <w:spacing w:after="0"/>
              <w:rPr>
                <w:sz w:val="20"/>
                <w:szCs w:val="20"/>
                <w:color w:val="auto"/>
              </w:rPr>
            </w:pPr>
            <w:r>
              <w:rPr>
                <w:rFonts w:ascii="Arial" w:cs="Arial" w:eastAsia="Arial" w:hAnsi="Arial"/>
                <w:sz w:val="16"/>
                <w:szCs w:val="16"/>
                <w:color w:val="auto"/>
              </w:rPr>
              <w:t> Weighted-average of key assumptions:</w:t>
            </w:r>
          </w:p>
        </w:tc>
        <w:tc>
          <w:tcPr>
            <w:tcW w:w="15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6"/>
        </w:trPr>
        <w:tc>
          <w:tcPr>
            <w:tcW w:w="6220" w:type="dxa"/>
            <w:vAlign w:val="bottom"/>
          </w:tcPr>
          <w:p>
            <w:pPr>
              <w:ind w:left="160"/>
              <w:spacing w:after="0"/>
              <w:rPr>
                <w:sz w:val="20"/>
                <w:szCs w:val="20"/>
                <w:color w:val="auto"/>
              </w:rPr>
            </w:pPr>
            <w:r>
              <w:rPr>
                <w:rFonts w:ascii="Arial" w:cs="Arial" w:eastAsia="Arial" w:hAnsi="Arial"/>
                <w:sz w:val="16"/>
                <w:szCs w:val="16"/>
                <w:color w:val="auto"/>
              </w:rPr>
              <w:t>Share price</w:t>
            </w:r>
          </w:p>
        </w:tc>
        <w:tc>
          <w:tcPr>
            <w:tcW w:w="1580" w:type="dxa"/>
            <w:vAlign w:val="bottom"/>
          </w:tcPr>
          <w:p>
            <w:pPr>
              <w:jc w:val="right"/>
              <w:ind w:right="121"/>
              <w:spacing w:after="0"/>
              <w:rPr>
                <w:sz w:val="20"/>
                <w:szCs w:val="20"/>
                <w:color w:val="auto"/>
              </w:rPr>
            </w:pPr>
            <w:r>
              <w:rPr>
                <w:rFonts w:ascii="Arial" w:cs="Arial" w:eastAsia="Arial" w:hAnsi="Arial"/>
                <w:sz w:val="16"/>
                <w:szCs w:val="16"/>
                <w:b w:val="1"/>
                <w:bCs w:val="1"/>
                <w:color w:val="auto"/>
              </w:rPr>
              <w:t>$157.02</w:t>
            </w: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$121.16</w:t>
            </w:r>
          </w:p>
        </w:tc>
      </w:tr>
      <w:tr>
        <w:trPr>
          <w:trHeight w:val="185"/>
        </w:trPr>
        <w:tc>
          <w:tcPr>
            <w:tcW w:w="6220" w:type="dxa"/>
            <w:vAlign w:val="bottom"/>
          </w:tcPr>
          <w:p>
            <w:pPr>
              <w:ind w:left="160"/>
              <w:spacing w:after="0"/>
              <w:rPr>
                <w:sz w:val="20"/>
                <w:szCs w:val="20"/>
                <w:color w:val="auto"/>
              </w:rPr>
            </w:pPr>
            <w:r>
              <w:rPr>
                <w:rFonts w:ascii="Arial" w:cs="Arial" w:eastAsia="Arial" w:hAnsi="Arial"/>
                <w:sz w:val="16"/>
                <w:szCs w:val="16"/>
                <w:color w:val="auto"/>
              </w:rPr>
              <w:t>Exercise price</w:t>
            </w:r>
          </w:p>
        </w:tc>
        <w:tc>
          <w:tcPr>
            <w:tcW w:w="1580" w:type="dxa"/>
            <w:vAlign w:val="bottom"/>
          </w:tcPr>
          <w:p>
            <w:pPr>
              <w:jc w:val="right"/>
              <w:ind w:right="121"/>
              <w:spacing w:after="0"/>
              <w:rPr>
                <w:sz w:val="20"/>
                <w:szCs w:val="20"/>
                <w:color w:val="auto"/>
              </w:rPr>
            </w:pPr>
            <w:r>
              <w:rPr>
                <w:rFonts w:ascii="Arial" w:cs="Arial" w:eastAsia="Arial" w:hAnsi="Arial"/>
                <w:sz w:val="16"/>
                <w:szCs w:val="16"/>
                <w:b w:val="1"/>
                <w:bCs w:val="1"/>
                <w:color w:val="auto"/>
              </w:rPr>
              <w:t>$157.02</w:t>
            </w: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$121.16</w:t>
            </w:r>
          </w:p>
        </w:tc>
      </w:tr>
      <w:tr>
        <w:trPr>
          <w:trHeight w:val="186"/>
        </w:trPr>
        <w:tc>
          <w:tcPr>
            <w:tcW w:w="6220" w:type="dxa"/>
            <w:vAlign w:val="bottom"/>
          </w:tcPr>
          <w:p>
            <w:pPr>
              <w:ind w:left="160"/>
              <w:spacing w:after="0"/>
              <w:rPr>
                <w:sz w:val="20"/>
                <w:szCs w:val="20"/>
                <w:color w:val="auto"/>
              </w:rPr>
            </w:pPr>
            <w:r>
              <w:rPr>
                <w:rFonts w:ascii="Arial" w:cs="Arial" w:eastAsia="Arial" w:hAnsi="Arial"/>
                <w:sz w:val="16"/>
                <w:szCs w:val="16"/>
                <w:color w:val="auto"/>
              </w:rPr>
              <w:t>Risk-free interest rate</w:t>
            </w:r>
          </w:p>
        </w:tc>
        <w:tc>
          <w:tcPr>
            <w:tcW w:w="1580" w:type="dxa"/>
            <w:vAlign w:val="bottom"/>
          </w:tcPr>
          <w:p>
            <w:pPr>
              <w:jc w:val="right"/>
              <w:ind w:right="121"/>
              <w:spacing w:after="0"/>
              <w:rPr>
                <w:sz w:val="20"/>
                <w:szCs w:val="20"/>
                <w:color w:val="auto"/>
              </w:rPr>
            </w:pPr>
            <w:r>
              <w:rPr>
                <w:rFonts w:ascii="Arial" w:cs="Arial" w:eastAsia="Arial" w:hAnsi="Arial"/>
                <w:sz w:val="16"/>
                <w:szCs w:val="16"/>
                <w:b w:val="1"/>
                <w:bCs w:val="1"/>
                <w:color w:val="auto"/>
              </w:rPr>
              <w:t>4.2%</w:t>
            </w: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4.2%</w:t>
            </w:r>
          </w:p>
        </w:tc>
      </w:tr>
      <w:tr>
        <w:trPr>
          <w:trHeight w:val="185"/>
        </w:trPr>
        <w:tc>
          <w:tcPr>
            <w:tcW w:w="6220" w:type="dxa"/>
            <w:vAlign w:val="bottom"/>
          </w:tcPr>
          <w:p>
            <w:pPr>
              <w:ind w:left="160"/>
              <w:spacing w:after="0"/>
              <w:rPr>
                <w:sz w:val="20"/>
                <w:szCs w:val="20"/>
                <w:color w:val="auto"/>
              </w:rPr>
            </w:pPr>
            <w:r>
              <w:rPr>
                <w:rFonts w:ascii="Arial" w:cs="Arial" w:eastAsia="Arial" w:hAnsi="Arial"/>
                <w:sz w:val="16"/>
                <w:szCs w:val="16"/>
                <w:color w:val="auto"/>
              </w:rPr>
              <w:t>Dividend yield</w:t>
            </w:r>
          </w:p>
        </w:tc>
        <w:tc>
          <w:tcPr>
            <w:tcW w:w="1580" w:type="dxa"/>
            <w:vAlign w:val="bottom"/>
          </w:tcPr>
          <w:p>
            <w:pPr>
              <w:jc w:val="right"/>
              <w:ind w:right="121"/>
              <w:spacing w:after="0"/>
              <w:rPr>
                <w:sz w:val="20"/>
                <w:szCs w:val="20"/>
                <w:color w:val="auto"/>
              </w:rPr>
            </w:pPr>
            <w:r>
              <w:rPr>
                <w:rFonts w:ascii="Arial" w:cs="Arial" w:eastAsia="Arial" w:hAnsi="Arial"/>
                <w:sz w:val="16"/>
                <w:szCs w:val="16"/>
                <w:b w:val="1"/>
                <w:bCs w:val="1"/>
                <w:color w:val="auto"/>
              </w:rPr>
              <w:t>1.8%</w:t>
            </w: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2.1%</w:t>
            </w:r>
          </w:p>
        </w:tc>
      </w:tr>
      <w:tr>
        <w:trPr>
          <w:trHeight w:val="186"/>
        </w:trPr>
        <w:tc>
          <w:tcPr>
            <w:tcW w:w="6220" w:type="dxa"/>
            <w:vAlign w:val="bottom"/>
          </w:tcPr>
          <w:p>
            <w:pPr>
              <w:ind w:left="160"/>
              <w:spacing w:after="0"/>
              <w:rPr>
                <w:sz w:val="20"/>
                <w:szCs w:val="20"/>
                <w:color w:val="auto"/>
              </w:rPr>
            </w:pPr>
            <w:r>
              <w:rPr>
                <w:rFonts w:ascii="Arial" w:cs="Arial" w:eastAsia="Arial" w:hAnsi="Arial"/>
                <w:sz w:val="16"/>
                <w:szCs w:val="16"/>
                <w:color w:val="auto"/>
              </w:rPr>
              <w:t>Volatility factor</w:t>
            </w:r>
          </w:p>
        </w:tc>
        <w:tc>
          <w:tcPr>
            <w:tcW w:w="1580" w:type="dxa"/>
            <w:vAlign w:val="bottom"/>
          </w:tcPr>
          <w:p>
            <w:pPr>
              <w:jc w:val="right"/>
              <w:ind w:right="121"/>
              <w:spacing w:after="0"/>
              <w:rPr>
                <w:sz w:val="20"/>
                <w:szCs w:val="20"/>
                <w:color w:val="auto"/>
              </w:rPr>
            </w:pPr>
            <w:r>
              <w:rPr>
                <w:rFonts w:ascii="Arial" w:cs="Arial" w:eastAsia="Arial" w:hAnsi="Arial"/>
                <w:sz w:val="16"/>
                <w:szCs w:val="16"/>
                <w:b w:val="1"/>
                <w:bCs w:val="1"/>
                <w:color w:val="auto"/>
              </w:rPr>
              <w:t>23%</w:t>
            </w: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22%</w:t>
            </w:r>
          </w:p>
        </w:tc>
      </w:tr>
      <w:tr>
        <w:trPr>
          <w:trHeight w:val="206"/>
        </w:trPr>
        <w:tc>
          <w:tcPr>
            <w:tcW w:w="6220" w:type="dxa"/>
            <w:vAlign w:val="bottom"/>
            <w:tcBorders>
              <w:bottom w:val="single" w:sz="8" w:color="D64000"/>
            </w:tcBorders>
          </w:tcPr>
          <w:p>
            <w:pPr>
              <w:ind w:left="160"/>
              <w:spacing w:after="0"/>
              <w:rPr>
                <w:sz w:val="20"/>
                <w:szCs w:val="20"/>
                <w:color w:val="auto"/>
              </w:rPr>
            </w:pPr>
            <w:r>
              <w:rPr>
                <w:rFonts w:ascii="Arial" w:cs="Arial" w:eastAsia="Arial" w:hAnsi="Arial"/>
                <w:sz w:val="16"/>
                <w:szCs w:val="16"/>
                <w:color w:val="auto"/>
              </w:rPr>
              <w:t>Expected life (in years)</w:t>
            </w:r>
          </w:p>
        </w:tc>
        <w:tc>
          <w:tcPr>
            <w:tcW w:w="1580" w:type="dxa"/>
            <w:vAlign w:val="bottom"/>
            <w:tcBorders>
              <w:bottom w:val="single" w:sz="8" w:color="D64000"/>
            </w:tcBorders>
          </w:tcPr>
          <w:p>
            <w:pPr>
              <w:jc w:val="right"/>
              <w:ind w:right="121"/>
              <w:spacing w:after="0"/>
              <w:rPr>
                <w:sz w:val="20"/>
                <w:szCs w:val="20"/>
                <w:color w:val="auto"/>
              </w:rPr>
            </w:pPr>
            <w:r>
              <w:rPr>
                <w:rFonts w:ascii="Arial" w:cs="Arial" w:eastAsia="Arial" w:hAnsi="Arial"/>
                <w:sz w:val="16"/>
                <w:szCs w:val="16"/>
                <w:b w:val="1"/>
                <w:bCs w:val="1"/>
                <w:color w:val="auto"/>
              </w:rPr>
              <w:t>5</w:t>
            </w:r>
          </w:p>
        </w:tc>
        <w:tc>
          <w:tcPr>
            <w:tcW w:w="1280" w:type="dxa"/>
            <w:vAlign w:val="bottom"/>
            <w:tcBorders>
              <w:bottom w:val="single" w:sz="8" w:color="D64000"/>
            </w:tcBorders>
          </w:tcPr>
          <w:p>
            <w:pPr>
              <w:jc w:val="right"/>
              <w:ind w:right="3"/>
              <w:spacing w:after="0"/>
              <w:rPr>
                <w:sz w:val="20"/>
                <w:szCs w:val="20"/>
                <w:color w:val="auto"/>
              </w:rPr>
            </w:pPr>
            <w:r>
              <w:rPr>
                <w:rFonts w:ascii="Arial" w:cs="Arial" w:eastAsia="Arial" w:hAnsi="Arial"/>
                <w:sz w:val="16"/>
                <w:szCs w:val="16"/>
                <w:color w:val="auto"/>
              </w:rPr>
              <w:t>5</w:t>
            </w:r>
          </w:p>
        </w:tc>
      </w:tr>
    </w:tbl>
    <w:p>
      <w:pPr>
        <w:spacing w:after="0" w:line="84" w:lineRule="exact"/>
        <w:rPr>
          <w:sz w:val="20"/>
          <w:szCs w:val="20"/>
          <w:color w:val="auto"/>
        </w:rPr>
      </w:pPr>
    </w:p>
    <w:p>
      <w:pPr>
        <w:ind w:left="220" w:right="620"/>
        <w:spacing w:after="0" w:line="243" w:lineRule="auto"/>
        <w:rPr>
          <w:sz w:val="20"/>
          <w:szCs w:val="20"/>
          <w:color w:val="auto"/>
        </w:rPr>
      </w:pPr>
      <w:r>
        <w:rPr>
          <w:rFonts w:ascii="Arial" w:cs="Arial" w:eastAsia="Arial" w:hAnsi="Arial"/>
          <w:sz w:val="17"/>
          <w:szCs w:val="17"/>
          <w:color w:val="auto"/>
        </w:rPr>
        <w:t>The Black-Scholes model was developed for use in estimating the fair value of traded options that have no vesting restrictions. The model requires the use of subjective assumptions, including expected stock-price volatility. Historical data has been considered in setting the assumptions.</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Time-Based Restricted Share Units (TRSUs)</w:t>
      </w:r>
    </w:p>
    <w:p>
      <w:pPr>
        <w:spacing w:after="0" w:line="6" w:lineRule="exact"/>
        <w:rPr>
          <w:sz w:val="20"/>
          <w:szCs w:val="20"/>
          <w:color w:val="auto"/>
        </w:rPr>
      </w:pPr>
    </w:p>
    <w:p>
      <w:pPr>
        <w:ind w:left="220" w:right="140"/>
        <w:spacing w:after="0" w:line="233" w:lineRule="auto"/>
        <w:rPr>
          <w:sz w:val="20"/>
          <w:szCs w:val="20"/>
          <w:color w:val="auto"/>
        </w:rPr>
      </w:pPr>
      <w:r>
        <w:rPr>
          <w:rFonts w:ascii="Arial" w:cs="Arial" w:eastAsia="Arial" w:hAnsi="Arial"/>
          <w:sz w:val="17"/>
          <w:szCs w:val="17"/>
          <w:color w:val="auto"/>
        </w:rPr>
        <w:t>TRSUs give the holder the right to receive one common share for each unit that vests on the vesting date. The holders of TRSUs have no voting rights and accumulate additional units based on notional dividends paid by the Company on its common shares on each dividend payment date, which are reinvested as additional TRSUs. The weighted-average fair value of TRSUs granted was $162.37 and $125.92 for the years ended December 31, 2024 and 2023, respectively.</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Performance Restricted Share Units (PRSUs)</w:t>
      </w:r>
    </w:p>
    <w:p>
      <w:pPr>
        <w:spacing w:after="0" w:line="6" w:lineRule="exact"/>
        <w:rPr>
          <w:sz w:val="20"/>
          <w:szCs w:val="20"/>
          <w:color w:val="auto"/>
        </w:rPr>
      </w:pPr>
    </w:p>
    <w:p>
      <w:pPr>
        <w:ind w:left="220" w:right="120"/>
        <w:spacing w:after="0" w:line="231" w:lineRule="auto"/>
        <w:rPr>
          <w:sz w:val="20"/>
          <w:szCs w:val="20"/>
          <w:color w:val="auto"/>
        </w:rPr>
      </w:pPr>
      <w:r>
        <w:rPr>
          <w:rFonts w:ascii="Arial" w:cs="Arial" w:eastAsia="Arial" w:hAnsi="Arial"/>
          <w:sz w:val="17"/>
          <w:szCs w:val="17"/>
          <w:color w:val="auto"/>
        </w:rPr>
        <w:t>PRSUs give the holder the right to receive one common share for each unit that vests on the vesting date. The holders of PRSUs have no voting rights and accumulate additional units based on notional dividends paid by the Company on its common shares on each dividend payment date, which are reinvested as additional PRSUs. The percentage of PRSUs initially granted that vests depends upon the Company’s performance, typically over a three-year period, against pre-established performance goals. Between 0% and 200% of the initial amounts may vest for grants made from 2022 through 2024. The weighted-average fair value of PRSUs granted was $157.54 and $121.13 for the years ended December 31, 2024 and 2023, respectively.</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Employee Stock Purchase Plan (ESPP)</w:t>
      </w:r>
    </w:p>
    <w:p>
      <w:pPr>
        <w:spacing w:after="0" w:line="6" w:lineRule="exact"/>
        <w:rPr>
          <w:sz w:val="20"/>
          <w:szCs w:val="20"/>
          <w:color w:val="auto"/>
        </w:rPr>
      </w:pPr>
    </w:p>
    <w:p>
      <w:pPr>
        <w:ind w:left="220" w:right="80"/>
        <w:spacing w:after="0" w:line="232" w:lineRule="auto"/>
        <w:rPr>
          <w:sz w:val="20"/>
          <w:szCs w:val="20"/>
          <w:color w:val="auto"/>
        </w:rPr>
      </w:pPr>
      <w:r>
        <w:rPr>
          <w:rFonts w:ascii="Arial" w:cs="Arial" w:eastAsia="Arial" w:hAnsi="Arial"/>
          <w:sz w:val="17"/>
          <w:szCs w:val="17"/>
          <w:color w:val="auto"/>
        </w:rPr>
        <w:t>The Company maintains an ESPP whereby eligible employees can purchase common shares at a 15% discount to the closing share price on the NYSE, or on the Nasdaq effective February 25, 2025 (see note 33), on the last business day of each quarter. Each quarter, employees may elect to authorize payroll deductions from their eligible compensation, up to a maximum of $21,250 per year (or a comparable amount in foreign currency for the global ESPP). The discount is expensed as incurred. A maximum of 20,388,909 common shares can be purchased through the ESPP.</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movement in the number of awards outstanding and their related weighted-average exercise prices are as follows:</w:t>
      </w:r>
    </w:p>
    <w:p>
      <w:pPr>
        <w:spacing w:after="0" w:line="211"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3560" w:type="dxa"/>
            <w:vAlign w:val="bottom"/>
            <w:shd w:val="clear" w:color="auto" w:fill="1F473D"/>
          </w:tcPr>
          <w:p>
            <w:pPr>
              <w:spacing w:after="0"/>
              <w:rPr>
                <w:sz w:val="16"/>
                <w:szCs w:val="16"/>
                <w:color w:val="auto"/>
              </w:rPr>
            </w:pPr>
          </w:p>
        </w:tc>
        <w:tc>
          <w:tcPr>
            <w:tcW w:w="1480" w:type="dxa"/>
            <w:vAlign w:val="bottom"/>
            <w:shd w:val="clear" w:color="auto" w:fill="1F473D"/>
          </w:tcPr>
          <w:p>
            <w:pPr>
              <w:spacing w:after="0"/>
              <w:rPr>
                <w:sz w:val="16"/>
                <w:szCs w:val="16"/>
                <w:color w:val="auto"/>
              </w:rPr>
            </w:pPr>
          </w:p>
        </w:tc>
        <w:tc>
          <w:tcPr>
            <w:tcW w:w="860" w:type="dxa"/>
            <w:vAlign w:val="bottom"/>
            <w:shd w:val="clear" w:color="auto" w:fill="1F473D"/>
          </w:tcPr>
          <w:p>
            <w:pPr>
              <w:spacing w:after="0"/>
              <w:rPr>
                <w:sz w:val="16"/>
                <w:szCs w:val="16"/>
                <w:color w:val="auto"/>
              </w:rPr>
            </w:pPr>
          </w:p>
        </w:tc>
        <w:tc>
          <w:tcPr>
            <w:tcW w:w="880" w:type="dxa"/>
            <w:vAlign w:val="bottom"/>
            <w:shd w:val="clear" w:color="auto" w:fill="1F473D"/>
          </w:tcPr>
          <w:p>
            <w:pPr>
              <w:spacing w:after="0"/>
              <w:rPr>
                <w:sz w:val="16"/>
                <w:szCs w:val="16"/>
                <w:color w:val="auto"/>
              </w:rPr>
            </w:pPr>
          </w:p>
        </w:tc>
        <w:tc>
          <w:tcPr>
            <w:tcW w:w="840" w:type="dxa"/>
            <w:vAlign w:val="bottom"/>
            <w:shd w:val="clear" w:color="auto" w:fill="1F473D"/>
          </w:tcPr>
          <w:p>
            <w:pPr>
              <w:spacing w:after="0"/>
              <w:rPr>
                <w:sz w:val="16"/>
                <w:szCs w:val="16"/>
                <w:color w:val="auto"/>
              </w:rPr>
            </w:pPr>
          </w:p>
        </w:tc>
        <w:tc>
          <w:tcPr>
            <w:tcW w:w="1020" w:type="dxa"/>
            <w:vAlign w:val="bottom"/>
            <w:shd w:val="clear" w:color="auto" w:fill="1F473D"/>
          </w:tcPr>
          <w:p>
            <w:pPr>
              <w:jc w:val="center"/>
              <w:ind w:left="21"/>
              <w:spacing w:after="0"/>
              <w:rPr>
                <w:sz w:val="20"/>
                <w:szCs w:val="20"/>
                <w:color w:val="auto"/>
              </w:rPr>
            </w:pPr>
            <w:r>
              <w:rPr>
                <w:rFonts w:ascii="Arial" w:cs="Arial" w:eastAsia="Arial" w:hAnsi="Arial"/>
                <w:sz w:val="16"/>
                <w:szCs w:val="16"/>
                <w:b w:val="1"/>
                <w:bCs w:val="1"/>
                <w:color w:val="FFFFFF"/>
                <w:w w:val="98"/>
              </w:rPr>
              <w:t>Weighted-</w:t>
            </w:r>
          </w:p>
        </w:tc>
      </w:tr>
      <w:tr>
        <w:trPr>
          <w:trHeight w:val="185"/>
        </w:trPr>
        <w:tc>
          <w:tcPr>
            <w:tcW w:w="3560" w:type="dxa"/>
            <w:vAlign w:val="bottom"/>
            <w:shd w:val="clear" w:color="auto" w:fill="1F473D"/>
          </w:tcPr>
          <w:p>
            <w:pPr>
              <w:spacing w:after="0"/>
              <w:rPr>
                <w:sz w:val="16"/>
                <w:szCs w:val="16"/>
                <w:color w:val="auto"/>
              </w:rPr>
            </w:pPr>
          </w:p>
        </w:tc>
        <w:tc>
          <w:tcPr>
            <w:tcW w:w="1480" w:type="dxa"/>
            <w:vAlign w:val="bottom"/>
            <w:shd w:val="clear" w:color="auto" w:fill="1F473D"/>
          </w:tcPr>
          <w:p>
            <w:pPr>
              <w:spacing w:after="0"/>
              <w:rPr>
                <w:sz w:val="16"/>
                <w:szCs w:val="16"/>
                <w:color w:val="auto"/>
              </w:rPr>
            </w:pPr>
          </w:p>
        </w:tc>
        <w:tc>
          <w:tcPr>
            <w:tcW w:w="860" w:type="dxa"/>
            <w:vAlign w:val="bottom"/>
            <w:shd w:val="clear" w:color="auto" w:fill="1F473D"/>
          </w:tcPr>
          <w:p>
            <w:pPr>
              <w:spacing w:after="0"/>
              <w:rPr>
                <w:sz w:val="16"/>
                <w:szCs w:val="16"/>
                <w:color w:val="auto"/>
              </w:rPr>
            </w:pPr>
          </w:p>
        </w:tc>
        <w:tc>
          <w:tcPr>
            <w:tcW w:w="880" w:type="dxa"/>
            <w:vAlign w:val="bottom"/>
            <w:shd w:val="clear" w:color="auto" w:fill="1F473D"/>
          </w:tcPr>
          <w:p>
            <w:pPr>
              <w:spacing w:after="0"/>
              <w:rPr>
                <w:sz w:val="16"/>
                <w:szCs w:val="16"/>
                <w:color w:val="auto"/>
              </w:rPr>
            </w:pPr>
          </w:p>
        </w:tc>
        <w:tc>
          <w:tcPr>
            <w:tcW w:w="840" w:type="dxa"/>
            <w:vAlign w:val="bottom"/>
            <w:shd w:val="clear" w:color="auto" w:fill="1F473D"/>
          </w:tcPr>
          <w:p>
            <w:pPr>
              <w:spacing w:after="0"/>
              <w:rPr>
                <w:sz w:val="16"/>
                <w:szCs w:val="16"/>
                <w:color w:val="auto"/>
              </w:rPr>
            </w:pPr>
          </w:p>
        </w:tc>
        <w:tc>
          <w:tcPr>
            <w:tcW w:w="1020" w:type="dxa"/>
            <w:vAlign w:val="bottom"/>
            <w:shd w:val="clear" w:color="auto" w:fill="1F473D"/>
          </w:tcPr>
          <w:p>
            <w:pPr>
              <w:jc w:val="center"/>
              <w:ind w:left="1"/>
              <w:spacing w:after="0"/>
              <w:rPr>
                <w:sz w:val="20"/>
                <w:szCs w:val="20"/>
                <w:color w:val="auto"/>
              </w:rPr>
            </w:pPr>
            <w:r>
              <w:rPr>
                <w:rFonts w:ascii="Arial" w:cs="Arial" w:eastAsia="Arial" w:hAnsi="Arial"/>
                <w:sz w:val="16"/>
                <w:szCs w:val="16"/>
                <w:b w:val="1"/>
                <w:bCs w:val="1"/>
                <w:color w:val="FFFFFF"/>
                <w:w w:val="98"/>
              </w:rPr>
              <w:t>Average</w:t>
            </w:r>
          </w:p>
        </w:tc>
      </w:tr>
      <w:tr>
        <w:trPr>
          <w:trHeight w:val="185"/>
        </w:trPr>
        <w:tc>
          <w:tcPr>
            <w:tcW w:w="3560" w:type="dxa"/>
            <w:vAlign w:val="bottom"/>
            <w:shd w:val="clear" w:color="auto" w:fill="1F473D"/>
          </w:tcPr>
          <w:p>
            <w:pPr>
              <w:spacing w:after="0"/>
              <w:rPr>
                <w:sz w:val="16"/>
                <w:szCs w:val="16"/>
                <w:color w:val="auto"/>
              </w:rPr>
            </w:pPr>
          </w:p>
        </w:tc>
        <w:tc>
          <w:tcPr>
            <w:tcW w:w="1480" w:type="dxa"/>
            <w:vAlign w:val="bottom"/>
            <w:shd w:val="clear" w:color="auto" w:fill="1F473D"/>
          </w:tcPr>
          <w:p>
            <w:pPr>
              <w:jc w:val="right"/>
              <w:ind w:right="181"/>
              <w:spacing w:after="0"/>
              <w:rPr>
                <w:sz w:val="20"/>
                <w:szCs w:val="20"/>
                <w:color w:val="auto"/>
              </w:rPr>
            </w:pPr>
            <w:r>
              <w:rPr>
                <w:rFonts w:ascii="Arial" w:cs="Arial" w:eastAsia="Arial" w:hAnsi="Arial"/>
                <w:sz w:val="16"/>
                <w:szCs w:val="16"/>
                <w:b w:val="1"/>
                <w:bCs w:val="1"/>
                <w:color w:val="FFFFFF"/>
              </w:rPr>
              <w:t>Stock</w:t>
            </w:r>
          </w:p>
        </w:tc>
        <w:tc>
          <w:tcPr>
            <w:tcW w:w="860" w:type="dxa"/>
            <w:vAlign w:val="bottom"/>
            <w:shd w:val="clear" w:color="auto" w:fill="1F473D"/>
          </w:tcPr>
          <w:p>
            <w:pPr>
              <w:spacing w:after="0"/>
              <w:rPr>
                <w:sz w:val="16"/>
                <w:szCs w:val="16"/>
                <w:color w:val="auto"/>
              </w:rPr>
            </w:pPr>
          </w:p>
        </w:tc>
        <w:tc>
          <w:tcPr>
            <w:tcW w:w="880" w:type="dxa"/>
            <w:vAlign w:val="bottom"/>
            <w:shd w:val="clear" w:color="auto" w:fill="1F473D"/>
          </w:tcPr>
          <w:p>
            <w:pPr>
              <w:spacing w:after="0"/>
              <w:rPr>
                <w:sz w:val="16"/>
                <w:szCs w:val="16"/>
                <w:color w:val="auto"/>
              </w:rPr>
            </w:pPr>
          </w:p>
        </w:tc>
        <w:tc>
          <w:tcPr>
            <w:tcW w:w="840" w:type="dxa"/>
            <w:vAlign w:val="bottom"/>
            <w:shd w:val="clear" w:color="auto" w:fill="1F473D"/>
          </w:tcPr>
          <w:p>
            <w:pPr>
              <w:spacing w:after="0"/>
              <w:rPr>
                <w:sz w:val="16"/>
                <w:szCs w:val="16"/>
                <w:color w:val="auto"/>
              </w:rPr>
            </w:pPr>
          </w:p>
        </w:tc>
        <w:tc>
          <w:tcPr>
            <w:tcW w:w="1020" w:type="dxa"/>
            <w:vAlign w:val="bottom"/>
            <w:shd w:val="clear" w:color="auto" w:fill="1F473D"/>
          </w:tcPr>
          <w:p>
            <w:pPr>
              <w:jc w:val="center"/>
              <w:ind w:left="1"/>
              <w:spacing w:after="0"/>
              <w:rPr>
                <w:sz w:val="20"/>
                <w:szCs w:val="20"/>
                <w:color w:val="auto"/>
              </w:rPr>
            </w:pPr>
            <w:r>
              <w:rPr>
                <w:rFonts w:ascii="Arial" w:cs="Arial" w:eastAsia="Arial" w:hAnsi="Arial"/>
                <w:sz w:val="16"/>
                <w:szCs w:val="16"/>
                <w:b w:val="1"/>
                <w:bCs w:val="1"/>
                <w:color w:val="FFFFFF"/>
              </w:rPr>
              <w:t>Exercise</w:t>
            </w:r>
          </w:p>
        </w:tc>
      </w:tr>
      <w:tr>
        <w:trPr>
          <w:trHeight w:val="206"/>
        </w:trPr>
        <w:tc>
          <w:tcPr>
            <w:tcW w:w="3560" w:type="dxa"/>
            <w:vAlign w:val="bottom"/>
            <w:tcBorders>
              <w:bottom w:val="single" w:sz="8" w:color="D64000"/>
            </w:tcBorders>
            <w:shd w:val="clear" w:color="auto" w:fill="1F473D"/>
          </w:tcPr>
          <w:p>
            <w:pPr>
              <w:spacing w:after="0"/>
              <w:rPr>
                <w:sz w:val="20"/>
                <w:szCs w:val="20"/>
                <w:color w:val="auto"/>
              </w:rPr>
            </w:pPr>
            <w:r>
              <w:rPr>
                <w:rFonts w:ascii="Arial" w:cs="Arial" w:eastAsia="Arial" w:hAnsi="Arial"/>
                <w:sz w:val="16"/>
                <w:szCs w:val="16"/>
                <w:b w:val="1"/>
                <w:bCs w:val="1"/>
                <w:color w:val="FFFFFF"/>
              </w:rPr>
              <w:t> Awards outstanding (in thousands):</w:t>
            </w:r>
          </w:p>
        </w:tc>
        <w:tc>
          <w:tcPr>
            <w:tcW w:w="1480" w:type="dxa"/>
            <w:vAlign w:val="bottom"/>
            <w:tcBorders>
              <w:bottom w:val="single" w:sz="8" w:color="D64000"/>
            </w:tcBorders>
            <w:shd w:val="clear" w:color="auto" w:fill="1F473D"/>
          </w:tcPr>
          <w:p>
            <w:pPr>
              <w:jc w:val="right"/>
              <w:ind w:right="101"/>
              <w:spacing w:after="0"/>
              <w:rPr>
                <w:sz w:val="20"/>
                <w:szCs w:val="20"/>
                <w:color w:val="auto"/>
              </w:rPr>
            </w:pPr>
            <w:r>
              <w:rPr>
                <w:rFonts w:ascii="Arial" w:cs="Arial" w:eastAsia="Arial" w:hAnsi="Arial"/>
                <w:sz w:val="16"/>
                <w:szCs w:val="16"/>
                <w:b w:val="1"/>
                <w:bCs w:val="1"/>
                <w:color w:val="FFFFFF"/>
              </w:rPr>
              <w:t>Options</w:t>
            </w:r>
          </w:p>
        </w:tc>
        <w:tc>
          <w:tcPr>
            <w:tcW w:w="860" w:type="dxa"/>
            <w:vAlign w:val="bottom"/>
            <w:tcBorders>
              <w:bottom w:val="single" w:sz="8" w:color="D64000"/>
            </w:tcBorders>
            <w:shd w:val="clear" w:color="auto" w:fill="1F473D"/>
          </w:tcPr>
          <w:p>
            <w:pPr>
              <w:jc w:val="right"/>
              <w:ind w:right="121"/>
              <w:spacing w:after="0"/>
              <w:rPr>
                <w:sz w:val="20"/>
                <w:szCs w:val="20"/>
                <w:color w:val="auto"/>
              </w:rPr>
            </w:pPr>
            <w:r>
              <w:rPr>
                <w:rFonts w:ascii="Arial" w:cs="Arial" w:eastAsia="Arial" w:hAnsi="Arial"/>
                <w:sz w:val="16"/>
                <w:szCs w:val="16"/>
                <w:b w:val="1"/>
                <w:bCs w:val="1"/>
                <w:color w:val="FFFFFF"/>
              </w:rPr>
              <w:t>TRSUs</w:t>
            </w:r>
          </w:p>
        </w:tc>
        <w:tc>
          <w:tcPr>
            <w:tcW w:w="880" w:type="dxa"/>
            <w:vAlign w:val="bottom"/>
            <w:tcBorders>
              <w:bottom w:val="single" w:sz="8" w:color="D64000"/>
            </w:tcBorders>
            <w:shd w:val="clear" w:color="auto" w:fill="1F473D"/>
          </w:tcPr>
          <w:p>
            <w:pPr>
              <w:jc w:val="right"/>
              <w:ind w:right="141"/>
              <w:spacing w:after="0"/>
              <w:rPr>
                <w:sz w:val="20"/>
                <w:szCs w:val="20"/>
                <w:color w:val="auto"/>
              </w:rPr>
            </w:pPr>
            <w:r>
              <w:rPr>
                <w:rFonts w:ascii="Arial" w:cs="Arial" w:eastAsia="Arial" w:hAnsi="Arial"/>
                <w:sz w:val="16"/>
                <w:szCs w:val="16"/>
                <w:b w:val="1"/>
                <w:bCs w:val="1"/>
                <w:color w:val="FFFFFF"/>
              </w:rPr>
              <w:t>PRSUs</w:t>
            </w:r>
          </w:p>
        </w:tc>
        <w:tc>
          <w:tcPr>
            <w:tcW w:w="840" w:type="dxa"/>
            <w:vAlign w:val="bottom"/>
            <w:tcBorders>
              <w:bottom w:val="single" w:sz="8" w:color="D64000"/>
            </w:tcBorders>
            <w:shd w:val="clear" w:color="auto" w:fill="1F473D"/>
          </w:tcPr>
          <w:p>
            <w:pPr>
              <w:jc w:val="right"/>
              <w:ind w:right="201"/>
              <w:spacing w:after="0"/>
              <w:rPr>
                <w:sz w:val="20"/>
                <w:szCs w:val="20"/>
                <w:color w:val="auto"/>
              </w:rPr>
            </w:pPr>
            <w:r>
              <w:rPr>
                <w:rFonts w:ascii="Arial" w:cs="Arial" w:eastAsia="Arial" w:hAnsi="Arial"/>
                <w:sz w:val="16"/>
                <w:szCs w:val="16"/>
                <w:b w:val="1"/>
                <w:bCs w:val="1"/>
                <w:color w:val="FFFFFF"/>
              </w:rPr>
              <w:t>Total</w:t>
            </w:r>
          </w:p>
        </w:tc>
        <w:tc>
          <w:tcPr>
            <w:tcW w:w="1020" w:type="dxa"/>
            <w:vAlign w:val="bottom"/>
            <w:tcBorders>
              <w:bottom w:val="single" w:sz="8" w:color="D64000"/>
            </w:tcBorders>
            <w:shd w:val="clear" w:color="auto" w:fill="1F473D"/>
          </w:tcPr>
          <w:p>
            <w:pPr>
              <w:jc w:val="center"/>
              <w:ind w:left="1"/>
              <w:spacing w:after="0" w:line="200" w:lineRule="exact"/>
              <w:rPr>
                <w:sz w:val="20"/>
                <w:szCs w:val="20"/>
                <w:color w:val="auto"/>
              </w:rPr>
            </w:pPr>
            <w:r>
              <w:rPr>
                <w:rFonts w:ascii="Arial" w:cs="Arial" w:eastAsia="Arial" w:hAnsi="Arial"/>
                <w:sz w:val="16"/>
                <w:szCs w:val="16"/>
                <w:b w:val="1"/>
                <w:bCs w:val="1"/>
                <w:color w:val="FFFFFF"/>
                <w:w w:val="91"/>
              </w:rPr>
              <w:t>Price</w:t>
            </w:r>
            <w:r>
              <w:rPr>
                <w:rFonts w:ascii="Arial" w:cs="Arial" w:eastAsia="Arial" w:hAnsi="Arial"/>
                <w:sz w:val="19"/>
                <w:szCs w:val="19"/>
                <w:b w:val="1"/>
                <w:bCs w:val="1"/>
                <w:color w:val="FFFFFF"/>
                <w:w w:val="91"/>
                <w:vertAlign w:val="superscript"/>
              </w:rPr>
              <w:t>(1)</w:t>
            </w:r>
          </w:p>
        </w:tc>
      </w:tr>
      <w:tr>
        <w:trPr>
          <w:trHeight w:val="171"/>
        </w:trPr>
        <w:tc>
          <w:tcPr>
            <w:tcW w:w="3560" w:type="dxa"/>
            <w:vAlign w:val="bottom"/>
          </w:tcPr>
          <w:p>
            <w:pPr>
              <w:spacing w:after="0" w:line="171" w:lineRule="exact"/>
              <w:rPr>
                <w:sz w:val="20"/>
                <w:szCs w:val="20"/>
                <w:color w:val="auto"/>
              </w:rPr>
            </w:pPr>
            <w:r>
              <w:rPr>
                <w:rFonts w:ascii="Arial" w:cs="Arial" w:eastAsia="Arial" w:hAnsi="Arial"/>
                <w:sz w:val="16"/>
                <w:szCs w:val="16"/>
                <w:color w:val="auto"/>
              </w:rPr>
              <w:t> Outstanding as of December 31, 2022</w:t>
            </w:r>
          </w:p>
        </w:tc>
        <w:tc>
          <w:tcPr>
            <w:tcW w:w="1480" w:type="dxa"/>
            <w:vAlign w:val="bottom"/>
          </w:tcPr>
          <w:p>
            <w:pPr>
              <w:jc w:val="right"/>
              <w:ind w:right="101"/>
              <w:spacing w:after="0" w:line="171" w:lineRule="exact"/>
              <w:rPr>
                <w:sz w:val="20"/>
                <w:szCs w:val="20"/>
                <w:color w:val="auto"/>
              </w:rPr>
            </w:pPr>
            <w:r>
              <w:rPr>
                <w:rFonts w:ascii="Arial" w:cs="Arial" w:eastAsia="Arial" w:hAnsi="Arial"/>
                <w:sz w:val="16"/>
                <w:szCs w:val="16"/>
                <w:color w:val="auto"/>
              </w:rPr>
              <w:t>1,908</w:t>
            </w:r>
          </w:p>
        </w:tc>
        <w:tc>
          <w:tcPr>
            <w:tcW w:w="860" w:type="dxa"/>
            <w:vAlign w:val="bottom"/>
          </w:tcPr>
          <w:p>
            <w:pPr>
              <w:jc w:val="right"/>
              <w:ind w:right="121"/>
              <w:spacing w:after="0" w:line="171" w:lineRule="exact"/>
              <w:rPr>
                <w:sz w:val="20"/>
                <w:szCs w:val="20"/>
                <w:color w:val="auto"/>
              </w:rPr>
            </w:pPr>
            <w:r>
              <w:rPr>
                <w:rFonts w:ascii="Arial" w:cs="Arial" w:eastAsia="Arial" w:hAnsi="Arial"/>
                <w:sz w:val="16"/>
                <w:szCs w:val="16"/>
                <w:color w:val="auto"/>
              </w:rPr>
              <w:t>1,390</w:t>
            </w:r>
          </w:p>
        </w:tc>
        <w:tc>
          <w:tcPr>
            <w:tcW w:w="880" w:type="dxa"/>
            <w:vAlign w:val="bottom"/>
          </w:tcPr>
          <w:p>
            <w:pPr>
              <w:jc w:val="right"/>
              <w:ind w:right="121"/>
              <w:spacing w:after="0" w:line="171" w:lineRule="exact"/>
              <w:rPr>
                <w:sz w:val="20"/>
                <w:szCs w:val="20"/>
                <w:color w:val="auto"/>
              </w:rPr>
            </w:pPr>
            <w:r>
              <w:rPr>
                <w:rFonts w:ascii="Arial" w:cs="Arial" w:eastAsia="Arial" w:hAnsi="Arial"/>
                <w:sz w:val="16"/>
                <w:szCs w:val="16"/>
                <w:color w:val="auto"/>
              </w:rPr>
              <w:t>798</w:t>
            </w:r>
          </w:p>
        </w:tc>
        <w:tc>
          <w:tcPr>
            <w:tcW w:w="840" w:type="dxa"/>
            <w:vAlign w:val="bottom"/>
          </w:tcPr>
          <w:p>
            <w:pPr>
              <w:jc w:val="right"/>
              <w:ind w:right="141"/>
              <w:spacing w:after="0" w:line="171" w:lineRule="exact"/>
              <w:rPr>
                <w:sz w:val="20"/>
                <w:szCs w:val="20"/>
                <w:color w:val="auto"/>
              </w:rPr>
            </w:pPr>
            <w:r>
              <w:rPr>
                <w:rFonts w:ascii="Arial" w:cs="Arial" w:eastAsia="Arial" w:hAnsi="Arial"/>
                <w:sz w:val="16"/>
                <w:szCs w:val="16"/>
                <w:color w:val="auto"/>
              </w:rPr>
              <w:t>4,096</w:t>
            </w:r>
          </w:p>
        </w:tc>
        <w:tc>
          <w:tcPr>
            <w:tcW w:w="1020" w:type="dxa"/>
            <w:vAlign w:val="bottom"/>
          </w:tcPr>
          <w:p>
            <w:pPr>
              <w:jc w:val="right"/>
              <w:ind w:right="1"/>
              <w:spacing w:after="0" w:line="171" w:lineRule="exact"/>
              <w:rPr>
                <w:sz w:val="20"/>
                <w:szCs w:val="20"/>
                <w:color w:val="auto"/>
              </w:rPr>
            </w:pPr>
            <w:r>
              <w:rPr>
                <w:rFonts w:ascii="Arial" w:cs="Arial" w:eastAsia="Arial" w:hAnsi="Arial"/>
                <w:sz w:val="16"/>
                <w:szCs w:val="16"/>
                <w:color w:val="auto"/>
              </w:rPr>
              <w:t>$78.06</w:t>
            </w:r>
          </w:p>
        </w:tc>
      </w:tr>
      <w:tr>
        <w:trPr>
          <w:trHeight w:val="185"/>
        </w:trPr>
        <w:tc>
          <w:tcPr>
            <w:tcW w:w="3560" w:type="dxa"/>
            <w:vAlign w:val="bottom"/>
          </w:tcPr>
          <w:p>
            <w:pPr>
              <w:spacing w:after="0"/>
              <w:rPr>
                <w:sz w:val="20"/>
                <w:szCs w:val="20"/>
                <w:color w:val="auto"/>
              </w:rPr>
            </w:pPr>
            <w:r>
              <w:rPr>
                <w:rFonts w:ascii="Arial" w:cs="Arial" w:eastAsia="Arial" w:hAnsi="Arial"/>
                <w:sz w:val="16"/>
                <w:szCs w:val="16"/>
                <w:color w:val="auto"/>
              </w:rPr>
              <w:t> Granted</w:t>
            </w:r>
          </w:p>
        </w:tc>
        <w:tc>
          <w:tcPr>
            <w:tcW w:w="1480" w:type="dxa"/>
            <w:vAlign w:val="bottom"/>
          </w:tcPr>
          <w:p>
            <w:pPr>
              <w:jc w:val="right"/>
              <w:ind w:right="101"/>
              <w:spacing w:after="0"/>
              <w:rPr>
                <w:sz w:val="20"/>
                <w:szCs w:val="20"/>
                <w:color w:val="auto"/>
              </w:rPr>
            </w:pPr>
            <w:r>
              <w:rPr>
                <w:rFonts w:ascii="Arial" w:cs="Arial" w:eastAsia="Arial" w:hAnsi="Arial"/>
                <w:sz w:val="16"/>
                <w:szCs w:val="16"/>
                <w:color w:val="auto"/>
              </w:rPr>
              <w:t>245</w:t>
            </w:r>
          </w:p>
        </w:tc>
        <w:tc>
          <w:tcPr>
            <w:tcW w:w="860" w:type="dxa"/>
            <w:vAlign w:val="bottom"/>
          </w:tcPr>
          <w:p>
            <w:pPr>
              <w:jc w:val="right"/>
              <w:ind w:right="121"/>
              <w:spacing w:after="0"/>
              <w:rPr>
                <w:sz w:val="20"/>
                <w:szCs w:val="20"/>
                <w:color w:val="auto"/>
              </w:rPr>
            </w:pPr>
            <w:r>
              <w:rPr>
                <w:rFonts w:ascii="Arial" w:cs="Arial" w:eastAsia="Arial" w:hAnsi="Arial"/>
                <w:sz w:val="16"/>
                <w:szCs w:val="16"/>
                <w:color w:val="auto"/>
              </w:rPr>
              <w:t>446</w:t>
            </w:r>
          </w:p>
        </w:tc>
        <w:tc>
          <w:tcPr>
            <w:tcW w:w="880" w:type="dxa"/>
            <w:vAlign w:val="bottom"/>
          </w:tcPr>
          <w:p>
            <w:pPr>
              <w:jc w:val="right"/>
              <w:ind w:right="121"/>
              <w:spacing w:after="0"/>
              <w:rPr>
                <w:sz w:val="20"/>
                <w:szCs w:val="20"/>
                <w:color w:val="auto"/>
              </w:rPr>
            </w:pPr>
            <w:r>
              <w:rPr>
                <w:rFonts w:ascii="Arial" w:cs="Arial" w:eastAsia="Arial" w:hAnsi="Arial"/>
                <w:sz w:val="16"/>
                <w:szCs w:val="16"/>
                <w:color w:val="auto"/>
              </w:rPr>
              <w:t>244</w:t>
            </w:r>
          </w:p>
        </w:tc>
        <w:tc>
          <w:tcPr>
            <w:tcW w:w="840" w:type="dxa"/>
            <w:vAlign w:val="bottom"/>
          </w:tcPr>
          <w:p>
            <w:pPr>
              <w:jc w:val="right"/>
              <w:ind w:right="141"/>
              <w:spacing w:after="0"/>
              <w:rPr>
                <w:sz w:val="20"/>
                <w:szCs w:val="20"/>
                <w:color w:val="auto"/>
              </w:rPr>
            </w:pPr>
            <w:r>
              <w:rPr>
                <w:rFonts w:ascii="Arial" w:cs="Arial" w:eastAsia="Arial" w:hAnsi="Arial"/>
                <w:sz w:val="16"/>
                <w:szCs w:val="16"/>
                <w:color w:val="auto"/>
              </w:rPr>
              <w:t>935</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$121.16</w:t>
            </w:r>
          </w:p>
        </w:tc>
      </w:tr>
      <w:tr>
        <w:trPr>
          <w:trHeight w:val="186"/>
        </w:trPr>
        <w:tc>
          <w:tcPr>
            <w:tcW w:w="3560" w:type="dxa"/>
            <w:vAlign w:val="bottom"/>
          </w:tcPr>
          <w:p>
            <w:pPr>
              <w:spacing w:after="0"/>
              <w:rPr>
                <w:sz w:val="20"/>
                <w:szCs w:val="20"/>
                <w:color w:val="auto"/>
              </w:rPr>
            </w:pPr>
            <w:r>
              <w:rPr>
                <w:rFonts w:ascii="Arial" w:cs="Arial" w:eastAsia="Arial" w:hAnsi="Arial"/>
                <w:sz w:val="16"/>
                <w:szCs w:val="16"/>
                <w:color w:val="auto"/>
              </w:rPr>
              <w:t> Exercised</w:t>
            </w: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(734)</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(693)</w:t>
            </w:r>
          </w:p>
        </w:tc>
        <w:tc>
          <w:tcPr>
            <w:tcW w:w="880" w:type="dxa"/>
            <w:vAlign w:val="bottom"/>
          </w:tcPr>
          <w:p>
            <w:pPr>
              <w:jc w:val="right"/>
              <w:ind w:right="81"/>
              <w:spacing w:after="0"/>
              <w:rPr>
                <w:sz w:val="20"/>
                <w:szCs w:val="20"/>
                <w:color w:val="auto"/>
              </w:rPr>
            </w:pPr>
            <w:r>
              <w:rPr>
                <w:rFonts w:ascii="Arial" w:cs="Arial" w:eastAsia="Arial" w:hAnsi="Arial"/>
                <w:sz w:val="16"/>
                <w:szCs w:val="16"/>
                <w:color w:val="auto"/>
              </w:rPr>
              <w:t>(283)</w:t>
            </w: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(1,710)</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$68.66</w:t>
            </w:r>
          </w:p>
        </w:tc>
      </w:tr>
      <w:tr>
        <w:trPr>
          <w:trHeight w:val="200"/>
        </w:trPr>
        <w:tc>
          <w:tcPr>
            <w:tcW w:w="356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Forfeited</w:t>
            </w:r>
          </w:p>
        </w:tc>
        <w:tc>
          <w:tcPr>
            <w:tcW w:w="148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(85)</w:t>
            </w:r>
          </w:p>
        </w:tc>
        <w:tc>
          <w:tcPr>
            <w:tcW w:w="860" w:type="dxa"/>
            <w:vAlign w:val="bottom"/>
            <w:tcBorders>
              <w:bottom w:val="single" w:sz="8" w:color="B2B2B2"/>
            </w:tcBorders>
          </w:tcPr>
          <w:p>
            <w:pPr>
              <w:jc w:val="right"/>
              <w:ind w:right="61"/>
              <w:spacing w:after="0"/>
              <w:rPr>
                <w:sz w:val="20"/>
                <w:szCs w:val="20"/>
                <w:color w:val="auto"/>
              </w:rPr>
            </w:pPr>
            <w:r>
              <w:rPr>
                <w:rFonts w:ascii="Arial" w:cs="Arial" w:eastAsia="Arial" w:hAnsi="Arial"/>
                <w:sz w:val="16"/>
                <w:szCs w:val="16"/>
                <w:color w:val="auto"/>
              </w:rPr>
              <w:t>(125)</w:t>
            </w:r>
          </w:p>
        </w:tc>
        <w:tc>
          <w:tcPr>
            <w:tcW w:w="880" w:type="dxa"/>
            <w:vAlign w:val="bottom"/>
            <w:tcBorders>
              <w:bottom w:val="single" w:sz="8" w:color="B2B2B2"/>
            </w:tcBorders>
          </w:tcPr>
          <w:p>
            <w:pPr>
              <w:jc w:val="right"/>
              <w:ind w:right="81"/>
              <w:spacing w:after="0"/>
              <w:rPr>
                <w:sz w:val="20"/>
                <w:szCs w:val="20"/>
                <w:color w:val="auto"/>
              </w:rPr>
            </w:pPr>
            <w:r>
              <w:rPr>
                <w:rFonts w:ascii="Arial" w:cs="Arial" w:eastAsia="Arial" w:hAnsi="Arial"/>
                <w:sz w:val="16"/>
                <w:szCs w:val="16"/>
                <w:color w:val="auto"/>
              </w:rPr>
              <w:t>(116)</w:t>
            </w:r>
          </w:p>
        </w:tc>
        <w:tc>
          <w:tcPr>
            <w:tcW w:w="840" w:type="dxa"/>
            <w:vAlign w:val="bottom"/>
            <w:tcBorders>
              <w:bottom w:val="single" w:sz="8" w:color="B2B2B2"/>
            </w:tcBorders>
          </w:tcPr>
          <w:p>
            <w:pPr>
              <w:jc w:val="right"/>
              <w:ind w:right="81"/>
              <w:spacing w:after="0"/>
              <w:rPr>
                <w:sz w:val="20"/>
                <w:szCs w:val="20"/>
                <w:color w:val="auto"/>
              </w:rPr>
            </w:pPr>
            <w:r>
              <w:rPr>
                <w:rFonts w:ascii="Arial" w:cs="Arial" w:eastAsia="Arial" w:hAnsi="Arial"/>
                <w:sz w:val="16"/>
                <w:szCs w:val="16"/>
                <w:color w:val="auto"/>
              </w:rPr>
              <w:t>(326)</w:t>
            </w:r>
          </w:p>
        </w:tc>
        <w:tc>
          <w:tcPr>
            <w:tcW w:w="102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$99.68</w:t>
            </w:r>
          </w:p>
        </w:tc>
      </w:tr>
      <w:tr>
        <w:trPr>
          <w:trHeight w:val="165"/>
        </w:trPr>
        <w:tc>
          <w:tcPr>
            <w:tcW w:w="3560" w:type="dxa"/>
            <w:vAlign w:val="bottom"/>
          </w:tcPr>
          <w:p>
            <w:pPr>
              <w:spacing w:after="0" w:line="165" w:lineRule="exact"/>
              <w:rPr>
                <w:sz w:val="20"/>
                <w:szCs w:val="20"/>
                <w:color w:val="auto"/>
              </w:rPr>
            </w:pPr>
            <w:r>
              <w:rPr>
                <w:rFonts w:ascii="Arial" w:cs="Arial" w:eastAsia="Arial" w:hAnsi="Arial"/>
                <w:sz w:val="16"/>
                <w:szCs w:val="16"/>
                <w:b w:val="1"/>
                <w:bCs w:val="1"/>
                <w:color w:val="auto"/>
              </w:rPr>
              <w:t> Outstanding as of December 31, 2023</w:t>
            </w:r>
          </w:p>
        </w:tc>
        <w:tc>
          <w:tcPr>
            <w:tcW w:w="1480" w:type="dxa"/>
            <w:vAlign w:val="bottom"/>
          </w:tcPr>
          <w:p>
            <w:pPr>
              <w:jc w:val="right"/>
              <w:ind w:right="101"/>
              <w:spacing w:after="0" w:line="165" w:lineRule="exact"/>
              <w:rPr>
                <w:sz w:val="20"/>
                <w:szCs w:val="20"/>
                <w:color w:val="auto"/>
              </w:rPr>
            </w:pPr>
            <w:r>
              <w:rPr>
                <w:rFonts w:ascii="Arial" w:cs="Arial" w:eastAsia="Arial" w:hAnsi="Arial"/>
                <w:sz w:val="16"/>
                <w:szCs w:val="16"/>
                <w:b w:val="1"/>
                <w:bCs w:val="1"/>
                <w:color w:val="auto"/>
              </w:rPr>
              <w:t>1,334</w:t>
            </w:r>
          </w:p>
        </w:tc>
        <w:tc>
          <w:tcPr>
            <w:tcW w:w="860" w:type="dxa"/>
            <w:vAlign w:val="bottom"/>
          </w:tcPr>
          <w:p>
            <w:pPr>
              <w:jc w:val="right"/>
              <w:ind w:right="121"/>
              <w:spacing w:after="0" w:line="165" w:lineRule="exact"/>
              <w:rPr>
                <w:sz w:val="20"/>
                <w:szCs w:val="20"/>
                <w:color w:val="auto"/>
              </w:rPr>
            </w:pPr>
            <w:r>
              <w:rPr>
                <w:rFonts w:ascii="Arial" w:cs="Arial" w:eastAsia="Arial" w:hAnsi="Arial"/>
                <w:sz w:val="16"/>
                <w:szCs w:val="16"/>
                <w:b w:val="1"/>
                <w:bCs w:val="1"/>
                <w:color w:val="auto"/>
              </w:rPr>
              <w:t>1,018</w:t>
            </w:r>
          </w:p>
        </w:tc>
        <w:tc>
          <w:tcPr>
            <w:tcW w:w="880" w:type="dxa"/>
            <w:vAlign w:val="bottom"/>
          </w:tcPr>
          <w:p>
            <w:pPr>
              <w:jc w:val="right"/>
              <w:ind w:right="121"/>
              <w:spacing w:after="0" w:line="165" w:lineRule="exact"/>
              <w:rPr>
                <w:sz w:val="20"/>
                <w:szCs w:val="20"/>
                <w:color w:val="auto"/>
              </w:rPr>
            </w:pPr>
            <w:r>
              <w:rPr>
                <w:rFonts w:ascii="Arial" w:cs="Arial" w:eastAsia="Arial" w:hAnsi="Arial"/>
                <w:sz w:val="16"/>
                <w:szCs w:val="16"/>
                <w:b w:val="1"/>
                <w:bCs w:val="1"/>
                <w:color w:val="auto"/>
              </w:rPr>
              <w:t>643</w:t>
            </w:r>
          </w:p>
        </w:tc>
        <w:tc>
          <w:tcPr>
            <w:tcW w:w="840" w:type="dxa"/>
            <w:vAlign w:val="bottom"/>
          </w:tcPr>
          <w:p>
            <w:pPr>
              <w:jc w:val="right"/>
              <w:ind w:right="141"/>
              <w:spacing w:after="0" w:line="165" w:lineRule="exact"/>
              <w:rPr>
                <w:sz w:val="20"/>
                <w:szCs w:val="20"/>
                <w:color w:val="auto"/>
              </w:rPr>
            </w:pPr>
            <w:r>
              <w:rPr>
                <w:rFonts w:ascii="Arial" w:cs="Arial" w:eastAsia="Arial" w:hAnsi="Arial"/>
                <w:sz w:val="16"/>
                <w:szCs w:val="16"/>
                <w:b w:val="1"/>
                <w:bCs w:val="1"/>
                <w:color w:val="auto"/>
              </w:rPr>
              <w:t>2,995</w:t>
            </w:r>
          </w:p>
        </w:tc>
        <w:tc>
          <w:tcPr>
            <w:tcW w:w="1020" w:type="dxa"/>
            <w:vAlign w:val="bottom"/>
          </w:tcPr>
          <w:p>
            <w:pPr>
              <w:jc w:val="right"/>
              <w:ind w:right="1"/>
              <w:spacing w:after="0" w:line="165" w:lineRule="exact"/>
              <w:rPr>
                <w:sz w:val="20"/>
                <w:szCs w:val="20"/>
                <w:color w:val="auto"/>
              </w:rPr>
            </w:pPr>
            <w:r>
              <w:rPr>
                <w:rFonts w:ascii="Arial" w:cs="Arial" w:eastAsia="Arial" w:hAnsi="Arial"/>
                <w:sz w:val="16"/>
                <w:szCs w:val="16"/>
                <w:b w:val="1"/>
                <w:bCs w:val="1"/>
                <w:color w:val="auto"/>
              </w:rPr>
              <w:t>$89.76</w:t>
            </w:r>
          </w:p>
        </w:tc>
      </w:tr>
      <w:tr>
        <w:trPr>
          <w:trHeight w:val="185"/>
        </w:trPr>
        <w:tc>
          <w:tcPr>
            <w:tcW w:w="3560" w:type="dxa"/>
            <w:vAlign w:val="bottom"/>
          </w:tcPr>
          <w:p>
            <w:pPr>
              <w:spacing w:after="0"/>
              <w:rPr>
                <w:sz w:val="20"/>
                <w:szCs w:val="20"/>
                <w:color w:val="auto"/>
              </w:rPr>
            </w:pPr>
            <w:r>
              <w:rPr>
                <w:rFonts w:ascii="Arial" w:cs="Arial" w:eastAsia="Arial" w:hAnsi="Arial"/>
                <w:sz w:val="16"/>
                <w:szCs w:val="16"/>
                <w:color w:val="auto"/>
              </w:rPr>
              <w:t> Exercisable as of December 31, 2023</w:t>
            </w:r>
          </w:p>
        </w:tc>
        <w:tc>
          <w:tcPr>
            <w:tcW w:w="1480" w:type="dxa"/>
            <w:vAlign w:val="bottom"/>
          </w:tcPr>
          <w:p>
            <w:pPr>
              <w:jc w:val="right"/>
              <w:ind w:right="101"/>
              <w:spacing w:after="0"/>
              <w:rPr>
                <w:sz w:val="20"/>
                <w:szCs w:val="20"/>
                <w:color w:val="auto"/>
              </w:rPr>
            </w:pPr>
            <w:r>
              <w:rPr>
                <w:rFonts w:ascii="Arial" w:cs="Arial" w:eastAsia="Arial" w:hAnsi="Arial"/>
                <w:sz w:val="16"/>
                <w:szCs w:val="16"/>
                <w:color w:val="auto"/>
              </w:rPr>
              <w:t>546</w:t>
            </w:r>
          </w:p>
        </w:tc>
        <w:tc>
          <w:tcPr>
            <w:tcW w:w="8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41"/>
              <w:spacing w:after="0"/>
              <w:rPr>
                <w:sz w:val="20"/>
                <w:szCs w:val="20"/>
                <w:color w:val="auto"/>
              </w:rPr>
            </w:pPr>
            <w:r>
              <w:rPr>
                <w:rFonts w:ascii="Arial" w:cs="Arial" w:eastAsia="Arial" w:hAnsi="Arial"/>
                <w:sz w:val="16"/>
                <w:szCs w:val="16"/>
                <w:color w:val="auto"/>
              </w:rPr>
              <w:t>546</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$77.32</w:t>
            </w:r>
          </w:p>
        </w:tc>
      </w:tr>
      <w:tr>
        <w:trPr>
          <w:trHeight w:val="185"/>
        </w:trPr>
        <w:tc>
          <w:tcPr>
            <w:tcW w:w="3560" w:type="dxa"/>
            <w:vAlign w:val="bottom"/>
          </w:tcPr>
          <w:p>
            <w:pPr>
              <w:spacing w:after="0"/>
              <w:rPr>
                <w:sz w:val="20"/>
                <w:szCs w:val="20"/>
                <w:color w:val="auto"/>
              </w:rPr>
            </w:pPr>
            <w:r>
              <w:rPr>
                <w:rFonts w:ascii="Arial" w:cs="Arial" w:eastAsia="Arial" w:hAnsi="Arial"/>
                <w:sz w:val="16"/>
                <w:szCs w:val="16"/>
                <w:b w:val="1"/>
                <w:bCs w:val="1"/>
                <w:color w:val="auto"/>
              </w:rPr>
              <w:t> Granted</w:t>
            </w:r>
          </w:p>
        </w:tc>
        <w:tc>
          <w:tcPr>
            <w:tcW w:w="1480" w:type="dxa"/>
            <w:vAlign w:val="bottom"/>
          </w:tcPr>
          <w:p>
            <w:pPr>
              <w:jc w:val="right"/>
              <w:ind w:right="101"/>
              <w:spacing w:after="0"/>
              <w:rPr>
                <w:sz w:val="20"/>
                <w:szCs w:val="20"/>
                <w:color w:val="auto"/>
              </w:rPr>
            </w:pPr>
            <w:r>
              <w:rPr>
                <w:rFonts w:ascii="Arial" w:cs="Arial" w:eastAsia="Arial" w:hAnsi="Arial"/>
                <w:sz w:val="16"/>
                <w:szCs w:val="16"/>
                <w:b w:val="1"/>
                <w:bCs w:val="1"/>
                <w:color w:val="auto"/>
              </w:rPr>
              <w:t>196</w:t>
            </w:r>
          </w:p>
        </w:tc>
        <w:tc>
          <w:tcPr>
            <w:tcW w:w="860" w:type="dxa"/>
            <w:vAlign w:val="bottom"/>
          </w:tcPr>
          <w:p>
            <w:pPr>
              <w:jc w:val="right"/>
              <w:ind w:right="121"/>
              <w:spacing w:after="0"/>
              <w:rPr>
                <w:sz w:val="20"/>
                <w:szCs w:val="20"/>
                <w:color w:val="auto"/>
              </w:rPr>
            </w:pPr>
            <w:r>
              <w:rPr>
                <w:rFonts w:ascii="Arial" w:cs="Arial" w:eastAsia="Arial" w:hAnsi="Arial"/>
                <w:sz w:val="16"/>
                <w:szCs w:val="16"/>
                <w:b w:val="1"/>
                <w:bCs w:val="1"/>
                <w:color w:val="auto"/>
              </w:rPr>
              <w:t>438</w:t>
            </w:r>
          </w:p>
        </w:tc>
        <w:tc>
          <w:tcPr>
            <w:tcW w:w="880" w:type="dxa"/>
            <w:vAlign w:val="bottom"/>
          </w:tcPr>
          <w:p>
            <w:pPr>
              <w:jc w:val="right"/>
              <w:ind w:right="121"/>
              <w:spacing w:after="0"/>
              <w:rPr>
                <w:sz w:val="20"/>
                <w:szCs w:val="20"/>
                <w:color w:val="auto"/>
              </w:rPr>
            </w:pPr>
            <w:r>
              <w:rPr>
                <w:rFonts w:ascii="Arial" w:cs="Arial" w:eastAsia="Arial" w:hAnsi="Arial"/>
                <w:sz w:val="16"/>
                <w:szCs w:val="16"/>
                <w:b w:val="1"/>
                <w:bCs w:val="1"/>
                <w:color w:val="auto"/>
              </w:rPr>
              <w:t>338</w:t>
            </w:r>
          </w:p>
        </w:tc>
        <w:tc>
          <w:tcPr>
            <w:tcW w:w="840" w:type="dxa"/>
            <w:vAlign w:val="bottom"/>
          </w:tcPr>
          <w:p>
            <w:pPr>
              <w:jc w:val="right"/>
              <w:ind w:right="141"/>
              <w:spacing w:after="0"/>
              <w:rPr>
                <w:sz w:val="20"/>
                <w:szCs w:val="20"/>
                <w:color w:val="auto"/>
              </w:rPr>
            </w:pPr>
            <w:r>
              <w:rPr>
                <w:rFonts w:ascii="Arial" w:cs="Arial" w:eastAsia="Arial" w:hAnsi="Arial"/>
                <w:sz w:val="16"/>
                <w:szCs w:val="16"/>
                <w:b w:val="1"/>
                <w:bCs w:val="1"/>
                <w:color w:val="auto"/>
              </w:rPr>
              <w:t>972</w:t>
            </w:r>
          </w:p>
        </w:tc>
        <w:tc>
          <w:tcPr>
            <w:tcW w:w="1020" w:type="dxa"/>
            <w:vAlign w:val="bottom"/>
          </w:tcPr>
          <w:p>
            <w:pPr>
              <w:jc w:val="right"/>
              <w:ind w:right="1"/>
              <w:spacing w:after="0"/>
              <w:rPr>
                <w:sz w:val="20"/>
                <w:szCs w:val="20"/>
                <w:color w:val="auto"/>
              </w:rPr>
            </w:pPr>
            <w:r>
              <w:rPr>
                <w:rFonts w:ascii="Arial" w:cs="Arial" w:eastAsia="Arial" w:hAnsi="Arial"/>
                <w:sz w:val="16"/>
                <w:szCs w:val="16"/>
                <w:b w:val="1"/>
                <w:bCs w:val="1"/>
                <w:color w:val="auto"/>
              </w:rPr>
              <w:t>$157.02</w:t>
            </w:r>
          </w:p>
        </w:tc>
      </w:tr>
      <w:tr>
        <w:trPr>
          <w:trHeight w:val="185"/>
        </w:trPr>
        <w:tc>
          <w:tcPr>
            <w:tcW w:w="3560" w:type="dxa"/>
            <w:vAlign w:val="bottom"/>
          </w:tcPr>
          <w:p>
            <w:pPr>
              <w:spacing w:after="0"/>
              <w:rPr>
                <w:sz w:val="20"/>
                <w:szCs w:val="20"/>
                <w:color w:val="auto"/>
              </w:rPr>
            </w:pPr>
            <w:r>
              <w:rPr>
                <w:rFonts w:ascii="Arial" w:cs="Arial" w:eastAsia="Arial" w:hAnsi="Arial"/>
                <w:sz w:val="16"/>
                <w:szCs w:val="16"/>
                <w:b w:val="1"/>
                <w:bCs w:val="1"/>
                <w:color w:val="auto"/>
              </w:rPr>
              <w:t> Exercised</w:t>
            </w:r>
          </w:p>
        </w:tc>
        <w:tc>
          <w:tcPr>
            <w:tcW w:w="1480" w:type="dxa"/>
            <w:vAlign w:val="bottom"/>
          </w:tcPr>
          <w:p>
            <w:pPr>
              <w:jc w:val="right"/>
              <w:ind w:right="41"/>
              <w:spacing w:after="0"/>
              <w:rPr>
                <w:sz w:val="20"/>
                <w:szCs w:val="20"/>
                <w:color w:val="auto"/>
              </w:rPr>
            </w:pPr>
            <w:r>
              <w:rPr>
                <w:rFonts w:ascii="Arial" w:cs="Arial" w:eastAsia="Arial" w:hAnsi="Arial"/>
                <w:sz w:val="16"/>
                <w:szCs w:val="16"/>
                <w:b w:val="1"/>
                <w:bCs w:val="1"/>
                <w:color w:val="auto"/>
              </w:rPr>
              <w:t>(273)</w:t>
            </w:r>
          </w:p>
        </w:tc>
        <w:tc>
          <w:tcPr>
            <w:tcW w:w="860" w:type="dxa"/>
            <w:vAlign w:val="bottom"/>
          </w:tcPr>
          <w:p>
            <w:pPr>
              <w:jc w:val="right"/>
              <w:ind w:right="61"/>
              <w:spacing w:after="0"/>
              <w:rPr>
                <w:sz w:val="20"/>
                <w:szCs w:val="20"/>
                <w:color w:val="auto"/>
              </w:rPr>
            </w:pPr>
            <w:r>
              <w:rPr>
                <w:rFonts w:ascii="Arial" w:cs="Arial" w:eastAsia="Arial" w:hAnsi="Arial"/>
                <w:sz w:val="16"/>
                <w:szCs w:val="16"/>
                <w:b w:val="1"/>
                <w:bCs w:val="1"/>
                <w:color w:val="auto"/>
              </w:rPr>
              <w:t>(578)</w:t>
            </w:r>
          </w:p>
        </w:tc>
        <w:tc>
          <w:tcPr>
            <w:tcW w:w="880" w:type="dxa"/>
            <w:vAlign w:val="bottom"/>
          </w:tcPr>
          <w:p>
            <w:pPr>
              <w:jc w:val="right"/>
              <w:ind w:right="81"/>
              <w:spacing w:after="0"/>
              <w:rPr>
                <w:sz w:val="20"/>
                <w:szCs w:val="20"/>
                <w:color w:val="auto"/>
              </w:rPr>
            </w:pPr>
            <w:r>
              <w:rPr>
                <w:rFonts w:ascii="Arial" w:cs="Arial" w:eastAsia="Arial" w:hAnsi="Arial"/>
                <w:sz w:val="16"/>
                <w:szCs w:val="16"/>
                <w:b w:val="1"/>
                <w:bCs w:val="1"/>
                <w:color w:val="auto"/>
              </w:rPr>
              <w:t>(347)</w:t>
            </w:r>
          </w:p>
        </w:tc>
        <w:tc>
          <w:tcPr>
            <w:tcW w:w="840" w:type="dxa"/>
            <w:vAlign w:val="bottom"/>
          </w:tcPr>
          <w:p>
            <w:pPr>
              <w:jc w:val="right"/>
              <w:ind w:right="81"/>
              <w:spacing w:after="0"/>
              <w:rPr>
                <w:sz w:val="20"/>
                <w:szCs w:val="20"/>
                <w:color w:val="auto"/>
              </w:rPr>
            </w:pPr>
            <w:r>
              <w:rPr>
                <w:rFonts w:ascii="Arial" w:cs="Arial" w:eastAsia="Arial" w:hAnsi="Arial"/>
                <w:sz w:val="16"/>
                <w:szCs w:val="16"/>
                <w:b w:val="1"/>
                <w:bCs w:val="1"/>
                <w:color w:val="auto"/>
              </w:rPr>
              <w:t>(1,198)</w:t>
            </w:r>
          </w:p>
        </w:tc>
        <w:tc>
          <w:tcPr>
            <w:tcW w:w="1020" w:type="dxa"/>
            <w:vAlign w:val="bottom"/>
          </w:tcPr>
          <w:p>
            <w:pPr>
              <w:jc w:val="right"/>
              <w:ind w:right="1"/>
              <w:spacing w:after="0"/>
              <w:rPr>
                <w:sz w:val="20"/>
                <w:szCs w:val="20"/>
                <w:color w:val="auto"/>
              </w:rPr>
            </w:pPr>
            <w:r>
              <w:rPr>
                <w:rFonts w:ascii="Arial" w:cs="Arial" w:eastAsia="Arial" w:hAnsi="Arial"/>
                <w:sz w:val="16"/>
                <w:szCs w:val="16"/>
                <w:b w:val="1"/>
                <w:bCs w:val="1"/>
                <w:color w:val="auto"/>
              </w:rPr>
              <w:t>$77.98</w:t>
            </w:r>
          </w:p>
        </w:tc>
      </w:tr>
      <w:tr>
        <w:trPr>
          <w:trHeight w:val="200"/>
        </w:trPr>
        <w:tc>
          <w:tcPr>
            <w:tcW w:w="3560" w:type="dxa"/>
            <w:vAlign w:val="bottom"/>
            <w:tcBorders>
              <w:bottom w:val="single" w:sz="8" w:color="B2B2B2"/>
            </w:tcBorders>
          </w:tcPr>
          <w:p>
            <w:pPr>
              <w:spacing w:after="0"/>
              <w:rPr>
                <w:sz w:val="20"/>
                <w:szCs w:val="20"/>
                <w:color w:val="auto"/>
              </w:rPr>
            </w:pPr>
            <w:r>
              <w:rPr>
                <w:rFonts w:ascii="Arial" w:cs="Arial" w:eastAsia="Arial" w:hAnsi="Arial"/>
                <w:sz w:val="16"/>
                <w:szCs w:val="16"/>
                <w:b w:val="1"/>
                <w:bCs w:val="1"/>
                <w:color w:val="auto"/>
              </w:rPr>
              <w:t> Forfeited</w:t>
            </w:r>
          </w:p>
        </w:tc>
        <w:tc>
          <w:tcPr>
            <w:tcW w:w="148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b w:val="1"/>
                <w:bCs w:val="1"/>
                <w:color w:val="auto"/>
              </w:rPr>
              <w:t>(44)</w:t>
            </w:r>
          </w:p>
        </w:tc>
        <w:tc>
          <w:tcPr>
            <w:tcW w:w="860" w:type="dxa"/>
            <w:vAlign w:val="bottom"/>
            <w:tcBorders>
              <w:bottom w:val="single" w:sz="8" w:color="B2B2B2"/>
            </w:tcBorders>
          </w:tcPr>
          <w:p>
            <w:pPr>
              <w:jc w:val="right"/>
              <w:ind w:right="61"/>
              <w:spacing w:after="0"/>
              <w:rPr>
                <w:sz w:val="20"/>
                <w:szCs w:val="20"/>
                <w:color w:val="auto"/>
              </w:rPr>
            </w:pPr>
            <w:r>
              <w:rPr>
                <w:rFonts w:ascii="Arial" w:cs="Arial" w:eastAsia="Arial" w:hAnsi="Arial"/>
                <w:sz w:val="16"/>
                <w:szCs w:val="16"/>
                <w:b w:val="1"/>
                <w:bCs w:val="1"/>
                <w:color w:val="auto"/>
              </w:rPr>
              <w:t>(82)</w:t>
            </w:r>
          </w:p>
        </w:tc>
        <w:tc>
          <w:tcPr>
            <w:tcW w:w="880" w:type="dxa"/>
            <w:vAlign w:val="bottom"/>
            <w:tcBorders>
              <w:bottom w:val="single" w:sz="8" w:color="B2B2B2"/>
            </w:tcBorders>
          </w:tcPr>
          <w:p>
            <w:pPr>
              <w:jc w:val="right"/>
              <w:ind w:right="81"/>
              <w:spacing w:after="0"/>
              <w:rPr>
                <w:sz w:val="20"/>
                <w:szCs w:val="20"/>
                <w:color w:val="auto"/>
              </w:rPr>
            </w:pPr>
            <w:r>
              <w:rPr>
                <w:rFonts w:ascii="Arial" w:cs="Arial" w:eastAsia="Arial" w:hAnsi="Arial"/>
                <w:sz w:val="16"/>
                <w:szCs w:val="16"/>
                <w:b w:val="1"/>
                <w:bCs w:val="1"/>
                <w:color w:val="auto"/>
              </w:rPr>
              <w:t>(64)</w:t>
            </w:r>
          </w:p>
        </w:tc>
        <w:tc>
          <w:tcPr>
            <w:tcW w:w="840" w:type="dxa"/>
            <w:vAlign w:val="bottom"/>
            <w:tcBorders>
              <w:bottom w:val="single" w:sz="8" w:color="B2B2B2"/>
            </w:tcBorders>
          </w:tcPr>
          <w:p>
            <w:pPr>
              <w:jc w:val="right"/>
              <w:ind w:right="81"/>
              <w:spacing w:after="0"/>
              <w:rPr>
                <w:sz w:val="20"/>
                <w:szCs w:val="20"/>
                <w:color w:val="auto"/>
              </w:rPr>
            </w:pPr>
            <w:r>
              <w:rPr>
                <w:rFonts w:ascii="Arial" w:cs="Arial" w:eastAsia="Arial" w:hAnsi="Arial"/>
                <w:sz w:val="16"/>
                <w:szCs w:val="16"/>
                <w:b w:val="1"/>
                <w:bCs w:val="1"/>
                <w:color w:val="auto"/>
              </w:rPr>
              <w:t>(190)</w:t>
            </w:r>
          </w:p>
        </w:tc>
        <w:tc>
          <w:tcPr>
            <w:tcW w:w="102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$122.15</w:t>
            </w:r>
          </w:p>
        </w:tc>
      </w:tr>
      <w:tr>
        <w:trPr>
          <w:trHeight w:val="179"/>
        </w:trPr>
        <w:tc>
          <w:tcPr>
            <w:tcW w:w="356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b w:val="1"/>
                <w:bCs w:val="1"/>
                <w:color w:val="auto"/>
              </w:rPr>
              <w:t> Outstanding as of December 31, 2024</w:t>
            </w:r>
          </w:p>
        </w:tc>
        <w:tc>
          <w:tcPr>
            <w:tcW w:w="1480" w:type="dxa"/>
            <w:vAlign w:val="bottom"/>
            <w:tcBorders>
              <w:bottom w:val="single" w:sz="8" w:color="B2B2B2"/>
            </w:tcBorders>
          </w:tcPr>
          <w:p>
            <w:pPr>
              <w:jc w:val="right"/>
              <w:ind w:right="101"/>
              <w:spacing w:after="0" w:line="179" w:lineRule="exact"/>
              <w:rPr>
                <w:sz w:val="20"/>
                <w:szCs w:val="20"/>
                <w:color w:val="auto"/>
              </w:rPr>
            </w:pPr>
            <w:r>
              <w:rPr>
                <w:rFonts w:ascii="Arial" w:cs="Arial" w:eastAsia="Arial" w:hAnsi="Arial"/>
                <w:sz w:val="16"/>
                <w:szCs w:val="16"/>
                <w:b w:val="1"/>
                <w:bCs w:val="1"/>
                <w:color w:val="auto"/>
              </w:rPr>
              <w:t>1,213</w:t>
            </w:r>
          </w:p>
        </w:tc>
        <w:tc>
          <w:tcPr>
            <w:tcW w:w="860" w:type="dxa"/>
            <w:vAlign w:val="bottom"/>
            <w:tcBorders>
              <w:bottom w:val="single" w:sz="8" w:color="B2B2B2"/>
            </w:tcBorders>
          </w:tcPr>
          <w:p>
            <w:pPr>
              <w:jc w:val="right"/>
              <w:ind w:right="121"/>
              <w:spacing w:after="0" w:line="179" w:lineRule="exact"/>
              <w:rPr>
                <w:sz w:val="20"/>
                <w:szCs w:val="20"/>
                <w:color w:val="auto"/>
              </w:rPr>
            </w:pPr>
            <w:r>
              <w:rPr>
                <w:rFonts w:ascii="Arial" w:cs="Arial" w:eastAsia="Arial" w:hAnsi="Arial"/>
                <w:sz w:val="16"/>
                <w:szCs w:val="16"/>
                <w:b w:val="1"/>
                <w:bCs w:val="1"/>
                <w:color w:val="auto"/>
              </w:rPr>
              <w:t>796</w:t>
            </w:r>
          </w:p>
        </w:tc>
        <w:tc>
          <w:tcPr>
            <w:tcW w:w="880" w:type="dxa"/>
            <w:vAlign w:val="bottom"/>
            <w:tcBorders>
              <w:bottom w:val="single" w:sz="8" w:color="B2B2B2"/>
            </w:tcBorders>
          </w:tcPr>
          <w:p>
            <w:pPr>
              <w:jc w:val="right"/>
              <w:ind w:right="121"/>
              <w:spacing w:after="0" w:line="179" w:lineRule="exact"/>
              <w:rPr>
                <w:sz w:val="20"/>
                <w:szCs w:val="20"/>
                <w:color w:val="auto"/>
              </w:rPr>
            </w:pPr>
            <w:r>
              <w:rPr>
                <w:rFonts w:ascii="Arial" w:cs="Arial" w:eastAsia="Arial" w:hAnsi="Arial"/>
                <w:sz w:val="16"/>
                <w:szCs w:val="16"/>
                <w:b w:val="1"/>
                <w:bCs w:val="1"/>
                <w:color w:val="auto"/>
              </w:rPr>
              <w:t>570</w:t>
            </w:r>
          </w:p>
        </w:tc>
        <w:tc>
          <w:tcPr>
            <w:tcW w:w="840" w:type="dxa"/>
            <w:vAlign w:val="bottom"/>
            <w:tcBorders>
              <w:bottom w:val="single" w:sz="8" w:color="B2B2B2"/>
            </w:tcBorders>
          </w:tcPr>
          <w:p>
            <w:pPr>
              <w:jc w:val="right"/>
              <w:ind w:right="141"/>
              <w:spacing w:after="0" w:line="179" w:lineRule="exact"/>
              <w:rPr>
                <w:sz w:val="20"/>
                <w:szCs w:val="20"/>
                <w:color w:val="auto"/>
              </w:rPr>
            </w:pPr>
            <w:r>
              <w:rPr>
                <w:rFonts w:ascii="Arial" w:cs="Arial" w:eastAsia="Arial" w:hAnsi="Arial"/>
                <w:sz w:val="16"/>
                <w:szCs w:val="16"/>
                <w:b w:val="1"/>
                <w:bCs w:val="1"/>
                <w:color w:val="auto"/>
              </w:rPr>
              <w:t>2,579</w:t>
            </w:r>
          </w:p>
        </w:tc>
        <w:tc>
          <w:tcPr>
            <w:tcW w:w="1020" w:type="dxa"/>
            <w:vAlign w:val="bottom"/>
            <w:tcBorders>
              <w:bottom w:val="single" w:sz="8" w:color="B2B2B2"/>
            </w:tcBorders>
          </w:tcPr>
          <w:p>
            <w:pPr>
              <w:jc w:val="right"/>
              <w:ind w:right="1"/>
              <w:spacing w:after="0" w:line="179" w:lineRule="exact"/>
              <w:rPr>
                <w:sz w:val="20"/>
                <w:szCs w:val="20"/>
                <w:color w:val="auto"/>
              </w:rPr>
            </w:pPr>
            <w:r>
              <w:rPr>
                <w:rFonts w:ascii="Arial" w:cs="Arial" w:eastAsia="Arial" w:hAnsi="Arial"/>
                <w:sz w:val="16"/>
                <w:szCs w:val="16"/>
                <w:b w:val="1"/>
                <w:bCs w:val="1"/>
                <w:color w:val="auto"/>
              </w:rPr>
              <w:t>$102.10</w:t>
            </w:r>
          </w:p>
        </w:tc>
      </w:tr>
      <w:tr>
        <w:trPr>
          <w:trHeight w:val="185"/>
        </w:trPr>
        <w:tc>
          <w:tcPr>
            <w:tcW w:w="356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b w:val="1"/>
                <w:bCs w:val="1"/>
                <w:color w:val="auto"/>
              </w:rPr>
              <w:t> Exercisable as of December 31, 2024</w:t>
            </w:r>
          </w:p>
        </w:tc>
        <w:tc>
          <w:tcPr>
            <w:tcW w:w="1480" w:type="dxa"/>
            <w:vAlign w:val="bottom"/>
            <w:tcBorders>
              <w:bottom w:val="single" w:sz="8" w:color="D64000"/>
            </w:tcBorders>
          </w:tcPr>
          <w:p>
            <w:pPr>
              <w:jc w:val="right"/>
              <w:ind w:right="101"/>
              <w:spacing w:after="0" w:line="179" w:lineRule="exact"/>
              <w:rPr>
                <w:sz w:val="20"/>
                <w:szCs w:val="20"/>
                <w:color w:val="auto"/>
              </w:rPr>
            </w:pPr>
            <w:r>
              <w:rPr>
                <w:rFonts w:ascii="Arial" w:cs="Arial" w:eastAsia="Arial" w:hAnsi="Arial"/>
                <w:sz w:val="16"/>
                <w:szCs w:val="16"/>
                <w:b w:val="1"/>
                <w:bCs w:val="1"/>
                <w:color w:val="auto"/>
              </w:rPr>
              <w:t>677</w:t>
            </w:r>
          </w:p>
        </w:tc>
        <w:tc>
          <w:tcPr>
            <w:tcW w:w="860" w:type="dxa"/>
            <w:vAlign w:val="bottom"/>
            <w:tcBorders>
              <w:bottom w:val="single" w:sz="8" w:color="D64000"/>
            </w:tcBorders>
          </w:tcPr>
          <w:p>
            <w:pPr>
              <w:jc w:val="right"/>
              <w:ind w:right="121"/>
              <w:spacing w:after="0" w:line="179" w:lineRule="exact"/>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D64000"/>
            </w:tcBorders>
          </w:tcPr>
          <w:p>
            <w:pPr>
              <w:jc w:val="right"/>
              <w:ind w:right="121"/>
              <w:spacing w:after="0" w:line="179" w:lineRule="exact"/>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D64000"/>
            </w:tcBorders>
          </w:tcPr>
          <w:p>
            <w:pPr>
              <w:jc w:val="right"/>
              <w:ind w:right="141"/>
              <w:spacing w:after="0" w:line="179" w:lineRule="exact"/>
              <w:rPr>
                <w:sz w:val="20"/>
                <w:szCs w:val="20"/>
                <w:color w:val="auto"/>
              </w:rPr>
            </w:pPr>
            <w:r>
              <w:rPr>
                <w:rFonts w:ascii="Arial" w:cs="Arial" w:eastAsia="Arial" w:hAnsi="Arial"/>
                <w:sz w:val="16"/>
                <w:szCs w:val="16"/>
                <w:b w:val="1"/>
                <w:bCs w:val="1"/>
                <w:color w:val="auto"/>
              </w:rPr>
              <w:t>677</w:t>
            </w:r>
          </w:p>
        </w:tc>
        <w:tc>
          <w:tcPr>
            <w:tcW w:w="1020" w:type="dxa"/>
            <w:vAlign w:val="bottom"/>
            <w:tcBorders>
              <w:bottom w:val="single" w:sz="8" w:color="D64000"/>
            </w:tcBorders>
          </w:tcPr>
          <w:p>
            <w:pPr>
              <w:jc w:val="right"/>
              <w:ind w:right="1"/>
              <w:spacing w:after="0" w:line="179" w:lineRule="exact"/>
              <w:rPr>
                <w:sz w:val="20"/>
                <w:szCs w:val="20"/>
                <w:color w:val="auto"/>
              </w:rPr>
            </w:pPr>
            <w:r>
              <w:rPr>
                <w:rFonts w:ascii="Arial" w:cs="Arial" w:eastAsia="Arial" w:hAnsi="Arial"/>
                <w:sz w:val="16"/>
                <w:szCs w:val="16"/>
                <w:b w:val="1"/>
                <w:bCs w:val="1"/>
                <w:color w:val="auto"/>
              </w:rPr>
              <w:t>$84.32</w:t>
            </w:r>
          </w:p>
        </w:tc>
      </w:tr>
    </w:tbl>
    <w:p>
      <w:pPr>
        <w:spacing w:after="0" w:line="110" w:lineRule="exact"/>
        <w:rPr>
          <w:sz w:val="20"/>
          <w:szCs w:val="20"/>
          <w:color w:val="auto"/>
        </w:rPr>
      </w:pPr>
    </w:p>
    <w:p>
      <w:pPr>
        <w:ind w:left="540" w:right="300" w:hanging="322"/>
        <w:spacing w:after="0" w:line="274" w:lineRule="auto"/>
        <w:tabs>
          <w:tab w:leader="none" w:pos="54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Represents the weighted-average exercise price for stock options. TRSUs and PRSUs are excluded as they entitle holders to receive common shares upon vesting without an associated exercise price.</w:t>
      </w:r>
    </w:p>
    <w:p>
      <w:pPr>
        <w:spacing w:after="0" w:line="110"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128</w:t>
      </w:r>
      <w:r>
        <w:rPr>
          <w:sz w:val="20"/>
          <w:szCs w:val="20"/>
          <w:color w:val="auto"/>
        </w:rPr>
        <w:tab/>
      </w:r>
      <w:r>
        <w:rPr>
          <w:rFonts w:ascii="Arial" w:cs="Arial" w:eastAsia="Arial" w:hAnsi="Arial"/>
          <w:sz w:val="16"/>
          <w:szCs w:val="16"/>
          <w:b w:val="1"/>
          <w:bCs w:val="1"/>
          <w:color w:val="auto"/>
        </w:rPr>
        <w:t>Thomson Reuters Annual Report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-118110</wp:posOffset>
            </wp:positionV>
            <wp:extent cx="686562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ectPr>
          <w:pgSz w:w="11900" w:h="16838" w:orient="portrait"/>
          <w:cols w:equalWidth="0" w:num="1">
            <w:col w:w="11040"/>
          </w:cols>
          <w:pgMar w:left="320" w:top="477" w:right="5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 2024, the weighted-average share price at the time of exercise for the awards described above was $159.72 per share (2023 – $123.23).</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Share-based compensation expense for years ended December 31, 2024 and 2023 was as follows:</w:t>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2600" w:type="dxa"/>
            <w:vAlign w:val="bottom"/>
            <w:tcBorders>
              <w:bottom w:val="single" w:sz="8" w:color="D64000"/>
            </w:tcBorders>
          </w:tcPr>
          <w:p>
            <w:pPr>
              <w:spacing w:after="0"/>
              <w:rPr>
                <w:sz w:val="17"/>
                <w:szCs w:val="17"/>
                <w:color w:val="auto"/>
              </w:rPr>
            </w:pPr>
          </w:p>
        </w:tc>
        <w:tc>
          <w:tcPr>
            <w:tcW w:w="2480" w:type="dxa"/>
            <w:vAlign w:val="bottom"/>
            <w:tcBorders>
              <w:bottom w:val="single" w:sz="8" w:color="D64000"/>
            </w:tcBorders>
          </w:tcPr>
          <w:p>
            <w:pPr>
              <w:jc w:val="right"/>
              <w:ind w:right="161"/>
              <w:spacing w:after="0"/>
              <w:rPr>
                <w:sz w:val="20"/>
                <w:szCs w:val="20"/>
                <w:color w:val="auto"/>
              </w:rPr>
            </w:pPr>
            <w:r>
              <w:rPr>
                <w:rFonts w:ascii="Arial" w:cs="Arial" w:eastAsia="Arial" w:hAnsi="Arial"/>
                <w:sz w:val="16"/>
                <w:szCs w:val="16"/>
                <w:b w:val="1"/>
                <w:bCs w:val="1"/>
                <w:color w:val="auto"/>
              </w:rPr>
              <w:t>Stock Options</w:t>
            </w:r>
          </w:p>
        </w:tc>
        <w:tc>
          <w:tcPr>
            <w:tcW w:w="1020" w:type="dxa"/>
            <w:vAlign w:val="bottom"/>
            <w:tcBorders>
              <w:bottom w:val="single" w:sz="8" w:color="D64000"/>
            </w:tcBorders>
          </w:tcPr>
          <w:p>
            <w:pPr>
              <w:jc w:val="right"/>
              <w:ind w:right="161"/>
              <w:spacing w:after="0"/>
              <w:rPr>
                <w:sz w:val="20"/>
                <w:szCs w:val="20"/>
                <w:color w:val="auto"/>
              </w:rPr>
            </w:pPr>
            <w:r>
              <w:rPr>
                <w:rFonts w:ascii="Arial" w:cs="Arial" w:eastAsia="Arial" w:hAnsi="Arial"/>
                <w:sz w:val="16"/>
                <w:szCs w:val="16"/>
                <w:b w:val="1"/>
                <w:bCs w:val="1"/>
                <w:color w:val="auto"/>
              </w:rPr>
              <w:t>TRSUs</w:t>
            </w:r>
          </w:p>
        </w:tc>
        <w:tc>
          <w:tcPr>
            <w:tcW w:w="1020" w:type="dxa"/>
            <w:vAlign w:val="bottom"/>
            <w:tcBorders>
              <w:bottom w:val="single" w:sz="8" w:color="D64000"/>
            </w:tcBorders>
          </w:tcPr>
          <w:p>
            <w:pPr>
              <w:jc w:val="right"/>
              <w:ind w:right="181"/>
              <w:spacing w:after="0"/>
              <w:rPr>
                <w:sz w:val="20"/>
                <w:szCs w:val="20"/>
                <w:color w:val="auto"/>
              </w:rPr>
            </w:pPr>
            <w:r>
              <w:rPr>
                <w:rFonts w:ascii="Arial" w:cs="Arial" w:eastAsia="Arial" w:hAnsi="Arial"/>
                <w:sz w:val="16"/>
                <w:szCs w:val="16"/>
                <w:b w:val="1"/>
                <w:bCs w:val="1"/>
                <w:color w:val="auto"/>
              </w:rPr>
              <w:t>PRSUs</w:t>
            </w:r>
          </w:p>
        </w:tc>
        <w:tc>
          <w:tcPr>
            <w:tcW w:w="1080" w:type="dxa"/>
            <w:vAlign w:val="bottom"/>
            <w:tcBorders>
              <w:bottom w:val="single" w:sz="8" w:color="D64000"/>
            </w:tcBorders>
          </w:tcPr>
          <w:p>
            <w:pPr>
              <w:jc w:val="right"/>
              <w:ind w:right="341"/>
              <w:spacing w:after="0"/>
              <w:rPr>
                <w:sz w:val="20"/>
                <w:szCs w:val="20"/>
                <w:color w:val="auto"/>
              </w:rPr>
            </w:pPr>
            <w:r>
              <w:rPr>
                <w:rFonts w:ascii="Arial" w:cs="Arial" w:eastAsia="Arial" w:hAnsi="Arial"/>
                <w:sz w:val="16"/>
                <w:szCs w:val="16"/>
                <w:b w:val="1"/>
                <w:bCs w:val="1"/>
                <w:color w:val="auto"/>
              </w:rPr>
              <w:t>ESPP</w:t>
            </w:r>
          </w:p>
        </w:tc>
        <w:tc>
          <w:tcPr>
            <w:tcW w:w="880" w:type="dxa"/>
            <w:vAlign w:val="bottom"/>
            <w:tcBorders>
              <w:bottom w:val="single" w:sz="8" w:color="D64000"/>
            </w:tcBorders>
          </w:tcPr>
          <w:p>
            <w:pPr>
              <w:jc w:val="right"/>
              <w:ind w:right="1"/>
              <w:spacing w:after="0"/>
              <w:rPr>
                <w:sz w:val="20"/>
                <w:szCs w:val="20"/>
                <w:color w:val="auto"/>
              </w:rPr>
            </w:pPr>
            <w:r>
              <w:rPr>
                <w:rFonts w:ascii="Arial" w:cs="Arial" w:eastAsia="Arial" w:hAnsi="Arial"/>
                <w:sz w:val="16"/>
                <w:szCs w:val="16"/>
                <w:b w:val="1"/>
                <w:bCs w:val="1"/>
                <w:color w:val="auto"/>
              </w:rPr>
              <w:t>Total</w:t>
            </w:r>
          </w:p>
        </w:tc>
      </w:tr>
      <w:tr>
        <w:trPr>
          <w:trHeight w:val="185"/>
        </w:trPr>
        <w:tc>
          <w:tcPr>
            <w:tcW w:w="2600" w:type="dxa"/>
            <w:vAlign w:val="bottom"/>
            <w:tcBorders>
              <w:bottom w:val="single" w:sz="8" w:color="B2B2B2"/>
            </w:tcBorders>
          </w:tcPr>
          <w:p>
            <w:pPr>
              <w:spacing w:after="0"/>
              <w:rPr>
                <w:sz w:val="20"/>
                <w:szCs w:val="20"/>
                <w:color w:val="auto"/>
              </w:rPr>
            </w:pPr>
            <w:r>
              <w:rPr>
                <w:rFonts w:ascii="Arial" w:cs="Arial" w:eastAsia="Arial" w:hAnsi="Arial"/>
                <w:sz w:val="16"/>
                <w:szCs w:val="16"/>
                <w:b w:val="1"/>
                <w:bCs w:val="1"/>
                <w:color w:val="auto"/>
              </w:rPr>
              <w:t>December 31, 2024</w:t>
            </w:r>
          </w:p>
        </w:tc>
        <w:tc>
          <w:tcPr>
            <w:tcW w:w="2480" w:type="dxa"/>
            <w:vAlign w:val="bottom"/>
            <w:tcBorders>
              <w:bottom w:val="single" w:sz="8" w:color="B2B2B2"/>
            </w:tcBorders>
          </w:tcPr>
          <w:p>
            <w:pPr>
              <w:jc w:val="right"/>
              <w:ind w:right="161"/>
              <w:spacing w:after="0"/>
              <w:rPr>
                <w:sz w:val="20"/>
                <w:szCs w:val="20"/>
                <w:color w:val="auto"/>
              </w:rPr>
            </w:pPr>
            <w:r>
              <w:rPr>
                <w:rFonts w:ascii="Arial" w:cs="Arial" w:eastAsia="Arial" w:hAnsi="Arial"/>
                <w:sz w:val="16"/>
                <w:szCs w:val="16"/>
                <w:b w:val="1"/>
                <w:bCs w:val="1"/>
                <w:color w:val="auto"/>
              </w:rPr>
              <w:t>5</w:t>
            </w:r>
          </w:p>
        </w:tc>
        <w:tc>
          <w:tcPr>
            <w:tcW w:w="1020" w:type="dxa"/>
            <w:vAlign w:val="bottom"/>
            <w:tcBorders>
              <w:bottom w:val="single" w:sz="8" w:color="B2B2B2"/>
            </w:tcBorders>
          </w:tcPr>
          <w:p>
            <w:pPr>
              <w:jc w:val="right"/>
              <w:ind w:right="161"/>
              <w:spacing w:after="0"/>
              <w:rPr>
                <w:sz w:val="20"/>
                <w:szCs w:val="20"/>
                <w:color w:val="auto"/>
              </w:rPr>
            </w:pPr>
            <w:r>
              <w:rPr>
                <w:rFonts w:ascii="Arial" w:cs="Arial" w:eastAsia="Arial" w:hAnsi="Arial"/>
                <w:sz w:val="16"/>
                <w:szCs w:val="16"/>
                <w:b w:val="1"/>
                <w:bCs w:val="1"/>
                <w:color w:val="auto"/>
              </w:rPr>
              <w:t>52</w:t>
            </w:r>
          </w:p>
        </w:tc>
        <w:tc>
          <w:tcPr>
            <w:tcW w:w="1020" w:type="dxa"/>
            <w:vAlign w:val="bottom"/>
            <w:tcBorders>
              <w:bottom w:val="single" w:sz="8" w:color="B2B2B2"/>
            </w:tcBorders>
          </w:tcPr>
          <w:p>
            <w:pPr>
              <w:jc w:val="right"/>
              <w:ind w:right="161"/>
              <w:spacing w:after="0"/>
              <w:rPr>
                <w:sz w:val="20"/>
                <w:szCs w:val="20"/>
                <w:color w:val="auto"/>
              </w:rPr>
            </w:pPr>
            <w:r>
              <w:rPr>
                <w:rFonts w:ascii="Arial" w:cs="Arial" w:eastAsia="Arial" w:hAnsi="Arial"/>
                <w:sz w:val="16"/>
                <w:szCs w:val="16"/>
                <w:b w:val="1"/>
                <w:bCs w:val="1"/>
                <w:color w:val="auto"/>
              </w:rPr>
              <w:t>25</w:t>
            </w:r>
          </w:p>
        </w:tc>
        <w:tc>
          <w:tcPr>
            <w:tcW w:w="1080" w:type="dxa"/>
            <w:vAlign w:val="bottom"/>
            <w:tcBorders>
              <w:bottom w:val="single" w:sz="8" w:color="B2B2B2"/>
            </w:tcBorders>
          </w:tcPr>
          <w:p>
            <w:pPr>
              <w:jc w:val="right"/>
              <w:ind w:right="341"/>
              <w:spacing w:after="0"/>
              <w:rPr>
                <w:sz w:val="20"/>
                <w:szCs w:val="20"/>
                <w:color w:val="auto"/>
              </w:rPr>
            </w:pPr>
            <w:r>
              <w:rPr>
                <w:rFonts w:ascii="Arial" w:cs="Arial" w:eastAsia="Arial" w:hAnsi="Arial"/>
                <w:sz w:val="16"/>
                <w:szCs w:val="16"/>
                <w:b w:val="1"/>
                <w:bCs w:val="1"/>
                <w:color w:val="auto"/>
              </w:rPr>
              <w:t>5</w:t>
            </w:r>
          </w:p>
        </w:tc>
        <w:tc>
          <w:tcPr>
            <w:tcW w:w="88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87</w:t>
            </w:r>
          </w:p>
        </w:tc>
      </w:tr>
      <w:tr>
        <w:trPr>
          <w:trHeight w:val="185"/>
        </w:trPr>
        <w:tc>
          <w:tcPr>
            <w:tcW w:w="260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color w:val="auto"/>
              </w:rPr>
              <w:t>December 31, 2023</w:t>
            </w:r>
          </w:p>
        </w:tc>
        <w:tc>
          <w:tcPr>
            <w:tcW w:w="2480" w:type="dxa"/>
            <w:vAlign w:val="bottom"/>
            <w:tcBorders>
              <w:bottom w:val="single" w:sz="8" w:color="D64000"/>
            </w:tcBorders>
          </w:tcPr>
          <w:p>
            <w:pPr>
              <w:jc w:val="right"/>
              <w:ind w:right="161"/>
              <w:spacing w:after="0" w:line="179" w:lineRule="exact"/>
              <w:rPr>
                <w:sz w:val="20"/>
                <w:szCs w:val="20"/>
                <w:color w:val="auto"/>
              </w:rPr>
            </w:pPr>
            <w:r>
              <w:rPr>
                <w:rFonts w:ascii="Arial" w:cs="Arial" w:eastAsia="Arial" w:hAnsi="Arial"/>
                <w:sz w:val="16"/>
                <w:szCs w:val="16"/>
                <w:color w:val="auto"/>
              </w:rPr>
              <w:t>5</w:t>
            </w:r>
          </w:p>
        </w:tc>
        <w:tc>
          <w:tcPr>
            <w:tcW w:w="1020" w:type="dxa"/>
            <w:vAlign w:val="bottom"/>
            <w:tcBorders>
              <w:bottom w:val="single" w:sz="8" w:color="D64000"/>
            </w:tcBorders>
          </w:tcPr>
          <w:p>
            <w:pPr>
              <w:jc w:val="right"/>
              <w:ind w:right="161"/>
              <w:spacing w:after="0" w:line="179" w:lineRule="exact"/>
              <w:rPr>
                <w:sz w:val="20"/>
                <w:szCs w:val="20"/>
                <w:color w:val="auto"/>
              </w:rPr>
            </w:pPr>
            <w:r>
              <w:rPr>
                <w:rFonts w:ascii="Arial" w:cs="Arial" w:eastAsia="Arial" w:hAnsi="Arial"/>
                <w:sz w:val="16"/>
                <w:szCs w:val="16"/>
                <w:color w:val="auto"/>
              </w:rPr>
              <w:t>47</w:t>
            </w:r>
          </w:p>
        </w:tc>
        <w:tc>
          <w:tcPr>
            <w:tcW w:w="1020" w:type="dxa"/>
            <w:vAlign w:val="bottom"/>
            <w:tcBorders>
              <w:bottom w:val="single" w:sz="8" w:color="D64000"/>
            </w:tcBorders>
          </w:tcPr>
          <w:p>
            <w:pPr>
              <w:jc w:val="right"/>
              <w:ind w:right="161"/>
              <w:spacing w:after="0" w:line="179" w:lineRule="exact"/>
              <w:rPr>
                <w:sz w:val="20"/>
                <w:szCs w:val="20"/>
                <w:color w:val="auto"/>
              </w:rPr>
            </w:pPr>
            <w:r>
              <w:rPr>
                <w:rFonts w:ascii="Arial" w:cs="Arial" w:eastAsia="Arial" w:hAnsi="Arial"/>
                <w:sz w:val="16"/>
                <w:szCs w:val="16"/>
                <w:color w:val="auto"/>
              </w:rPr>
              <w:t>25</w:t>
            </w:r>
          </w:p>
        </w:tc>
        <w:tc>
          <w:tcPr>
            <w:tcW w:w="1080" w:type="dxa"/>
            <w:vAlign w:val="bottom"/>
            <w:tcBorders>
              <w:bottom w:val="single" w:sz="8" w:color="D64000"/>
            </w:tcBorders>
          </w:tcPr>
          <w:p>
            <w:pPr>
              <w:jc w:val="right"/>
              <w:ind w:right="341"/>
              <w:spacing w:after="0" w:line="179" w:lineRule="exact"/>
              <w:rPr>
                <w:sz w:val="20"/>
                <w:szCs w:val="20"/>
                <w:color w:val="auto"/>
              </w:rPr>
            </w:pPr>
            <w:r>
              <w:rPr>
                <w:rFonts w:ascii="Arial" w:cs="Arial" w:eastAsia="Arial" w:hAnsi="Arial"/>
                <w:sz w:val="16"/>
                <w:szCs w:val="16"/>
                <w:color w:val="auto"/>
              </w:rPr>
              <w:t>6</w:t>
            </w:r>
          </w:p>
        </w:tc>
        <w:tc>
          <w:tcPr>
            <w:tcW w:w="880" w:type="dxa"/>
            <w:vAlign w:val="bottom"/>
            <w:tcBorders>
              <w:bottom w:val="single" w:sz="8" w:color="D64000"/>
            </w:tcBorders>
          </w:tcPr>
          <w:p>
            <w:pPr>
              <w:jc w:val="right"/>
              <w:ind w:right="1"/>
              <w:spacing w:after="0" w:line="179" w:lineRule="exact"/>
              <w:rPr>
                <w:sz w:val="20"/>
                <w:szCs w:val="20"/>
                <w:color w:val="auto"/>
              </w:rPr>
            </w:pPr>
            <w:r>
              <w:rPr>
                <w:rFonts w:ascii="Arial" w:cs="Arial" w:eastAsia="Arial" w:hAnsi="Arial"/>
                <w:sz w:val="16"/>
                <w:szCs w:val="16"/>
                <w:color w:val="auto"/>
              </w:rPr>
              <w:t>83</w:t>
            </w:r>
          </w:p>
        </w:tc>
      </w:tr>
    </w:tbl>
    <w:p>
      <w:pPr>
        <w:spacing w:after="0" w:line="84" w:lineRule="exact"/>
        <w:rPr>
          <w:sz w:val="20"/>
          <w:szCs w:val="20"/>
          <w:color w:val="auto"/>
        </w:rPr>
      </w:pPr>
    </w:p>
    <w:p>
      <w:pPr>
        <w:ind w:left="220" w:right="80"/>
        <w:spacing w:after="0" w:line="291" w:lineRule="auto"/>
        <w:rPr>
          <w:sz w:val="20"/>
          <w:szCs w:val="20"/>
          <w:color w:val="auto"/>
        </w:rPr>
      </w:pPr>
      <w:r>
        <w:rPr>
          <w:rFonts w:ascii="Arial" w:cs="Arial" w:eastAsia="Arial" w:hAnsi="Arial"/>
          <w:sz w:val="16"/>
          <w:szCs w:val="16"/>
          <w:color w:val="auto"/>
        </w:rPr>
        <w:t>Relative to the share-based awards outstanding as of December 31, 2024, the Company expects to pay approximately $92 million as of December 31, 2024 (2023 – $109 million) to tax authorities for employee withholding tax liabilities when these awards are exercised in the future.</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additional information relating to stock options outstanding as of December 31, 2024:</w:t>
      </w:r>
    </w:p>
    <w:p>
      <w:pPr>
        <w:spacing w:after="0" w:line="211"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1840" w:type="dxa"/>
            <w:vAlign w:val="bottom"/>
            <w:shd w:val="clear" w:color="auto" w:fill="1F473D"/>
          </w:tcPr>
          <w:p>
            <w:pPr>
              <w:spacing w:after="0"/>
              <w:rPr>
                <w:sz w:val="16"/>
                <w:szCs w:val="16"/>
                <w:color w:val="auto"/>
              </w:rPr>
            </w:pPr>
          </w:p>
        </w:tc>
        <w:tc>
          <w:tcPr>
            <w:tcW w:w="1580" w:type="dxa"/>
            <w:vAlign w:val="bottom"/>
            <w:shd w:val="clear" w:color="auto" w:fill="1F473D"/>
          </w:tcPr>
          <w:p>
            <w:pPr>
              <w:spacing w:after="0"/>
              <w:rPr>
                <w:sz w:val="16"/>
                <w:szCs w:val="16"/>
                <w:color w:val="auto"/>
              </w:rPr>
            </w:pPr>
          </w:p>
        </w:tc>
        <w:tc>
          <w:tcPr>
            <w:tcW w:w="1620" w:type="dxa"/>
            <w:vAlign w:val="bottom"/>
            <w:shd w:val="clear" w:color="auto" w:fill="1F473D"/>
          </w:tcPr>
          <w:p>
            <w:pPr>
              <w:spacing w:after="0"/>
              <w:rPr>
                <w:sz w:val="16"/>
                <w:szCs w:val="16"/>
                <w:color w:val="auto"/>
              </w:rPr>
            </w:pPr>
          </w:p>
        </w:tc>
        <w:tc>
          <w:tcPr>
            <w:tcW w:w="134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8"/>
              </w:rPr>
              <w:t>Weighted-</w:t>
            </w:r>
          </w:p>
        </w:tc>
        <w:tc>
          <w:tcPr>
            <w:tcW w:w="1460" w:type="dxa"/>
            <w:vAlign w:val="bottom"/>
            <w:shd w:val="clear" w:color="auto" w:fill="1F473D"/>
          </w:tcPr>
          <w:p>
            <w:pPr>
              <w:spacing w:after="0"/>
              <w:rPr>
                <w:sz w:val="16"/>
                <w:szCs w:val="16"/>
                <w:color w:val="auto"/>
              </w:rPr>
            </w:pPr>
          </w:p>
        </w:tc>
        <w:tc>
          <w:tcPr>
            <w:tcW w:w="1240" w:type="dxa"/>
            <w:vAlign w:val="bottom"/>
            <w:shd w:val="clear" w:color="auto" w:fill="1F473D"/>
          </w:tcPr>
          <w:p>
            <w:pPr>
              <w:spacing w:after="0"/>
              <w:rPr>
                <w:sz w:val="16"/>
                <w:szCs w:val="16"/>
                <w:color w:val="auto"/>
              </w:rPr>
            </w:pPr>
          </w:p>
        </w:tc>
      </w:tr>
      <w:tr>
        <w:trPr>
          <w:trHeight w:val="185"/>
        </w:trPr>
        <w:tc>
          <w:tcPr>
            <w:tcW w:w="1840" w:type="dxa"/>
            <w:vAlign w:val="bottom"/>
            <w:shd w:val="clear" w:color="auto" w:fill="1F473D"/>
          </w:tcPr>
          <w:p>
            <w:pPr>
              <w:spacing w:after="0"/>
              <w:rPr>
                <w:sz w:val="16"/>
                <w:szCs w:val="16"/>
                <w:color w:val="auto"/>
              </w:rPr>
            </w:pPr>
          </w:p>
        </w:tc>
        <w:tc>
          <w:tcPr>
            <w:tcW w:w="1580" w:type="dxa"/>
            <w:vAlign w:val="bottom"/>
            <w:shd w:val="clear" w:color="auto" w:fill="1F473D"/>
          </w:tcPr>
          <w:p>
            <w:pPr>
              <w:spacing w:after="0"/>
              <w:rPr>
                <w:sz w:val="16"/>
                <w:szCs w:val="16"/>
                <w:color w:val="auto"/>
              </w:rPr>
            </w:pPr>
          </w:p>
        </w:tc>
        <w:tc>
          <w:tcPr>
            <w:tcW w:w="162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8"/>
              </w:rPr>
              <w:t>Weighted-</w:t>
            </w:r>
          </w:p>
        </w:tc>
        <w:tc>
          <w:tcPr>
            <w:tcW w:w="134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8"/>
              </w:rPr>
              <w:t>Average</w:t>
            </w:r>
          </w:p>
        </w:tc>
        <w:tc>
          <w:tcPr>
            <w:tcW w:w="1460" w:type="dxa"/>
            <w:vAlign w:val="bottom"/>
            <w:shd w:val="clear" w:color="auto" w:fill="1F473D"/>
          </w:tcPr>
          <w:p>
            <w:pPr>
              <w:spacing w:after="0"/>
              <w:rPr>
                <w:sz w:val="16"/>
                <w:szCs w:val="16"/>
                <w:color w:val="auto"/>
              </w:rPr>
            </w:pPr>
          </w:p>
        </w:tc>
        <w:tc>
          <w:tcPr>
            <w:tcW w:w="1240" w:type="dxa"/>
            <w:vAlign w:val="bottom"/>
            <w:shd w:val="clear" w:color="auto" w:fill="1F473D"/>
          </w:tcPr>
          <w:p>
            <w:pPr>
              <w:jc w:val="center"/>
              <w:ind w:left="41"/>
              <w:spacing w:after="0"/>
              <w:rPr>
                <w:sz w:val="20"/>
                <w:szCs w:val="20"/>
                <w:color w:val="auto"/>
              </w:rPr>
            </w:pPr>
            <w:r>
              <w:rPr>
                <w:rFonts w:ascii="Arial" w:cs="Arial" w:eastAsia="Arial" w:hAnsi="Arial"/>
                <w:sz w:val="16"/>
                <w:szCs w:val="16"/>
                <w:b w:val="1"/>
                <w:bCs w:val="1"/>
                <w:color w:val="FFFFFF"/>
                <w:w w:val="98"/>
              </w:rPr>
              <w:t>Weighted-</w:t>
            </w:r>
          </w:p>
        </w:tc>
      </w:tr>
      <w:tr>
        <w:trPr>
          <w:trHeight w:val="186"/>
        </w:trPr>
        <w:tc>
          <w:tcPr>
            <w:tcW w:w="1840" w:type="dxa"/>
            <w:vAlign w:val="bottom"/>
            <w:shd w:val="clear" w:color="auto" w:fill="1F473D"/>
          </w:tcPr>
          <w:p>
            <w:pPr>
              <w:spacing w:after="0"/>
              <w:rPr>
                <w:sz w:val="16"/>
                <w:szCs w:val="16"/>
                <w:color w:val="auto"/>
              </w:rPr>
            </w:pPr>
          </w:p>
        </w:tc>
        <w:tc>
          <w:tcPr>
            <w:tcW w:w="1580" w:type="dxa"/>
            <w:vAlign w:val="bottom"/>
            <w:shd w:val="clear" w:color="auto" w:fill="1F473D"/>
          </w:tcPr>
          <w:p>
            <w:pPr>
              <w:jc w:val="center"/>
              <w:ind w:left="141"/>
              <w:spacing w:after="0"/>
              <w:rPr>
                <w:sz w:val="20"/>
                <w:szCs w:val="20"/>
                <w:color w:val="auto"/>
              </w:rPr>
            </w:pPr>
            <w:r>
              <w:rPr>
                <w:rFonts w:ascii="Arial" w:cs="Arial" w:eastAsia="Arial" w:hAnsi="Arial"/>
                <w:sz w:val="16"/>
                <w:szCs w:val="16"/>
                <w:b w:val="1"/>
                <w:bCs w:val="1"/>
                <w:color w:val="FFFFFF"/>
                <w:w w:val="99"/>
              </w:rPr>
              <w:t>Number</w:t>
            </w:r>
          </w:p>
        </w:tc>
        <w:tc>
          <w:tcPr>
            <w:tcW w:w="162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8"/>
              </w:rPr>
              <w:t>Average</w:t>
            </w:r>
          </w:p>
        </w:tc>
        <w:tc>
          <w:tcPr>
            <w:tcW w:w="134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7"/>
              </w:rPr>
              <w:t>Exercise</w:t>
            </w:r>
          </w:p>
        </w:tc>
        <w:tc>
          <w:tcPr>
            <w:tcW w:w="1460" w:type="dxa"/>
            <w:vAlign w:val="bottom"/>
            <w:shd w:val="clear" w:color="auto" w:fill="1F473D"/>
          </w:tcPr>
          <w:p>
            <w:pPr>
              <w:spacing w:after="0"/>
              <w:rPr>
                <w:sz w:val="16"/>
                <w:szCs w:val="16"/>
                <w:color w:val="auto"/>
              </w:rPr>
            </w:pPr>
          </w:p>
        </w:tc>
        <w:tc>
          <w:tcPr>
            <w:tcW w:w="1240" w:type="dxa"/>
            <w:vAlign w:val="bottom"/>
            <w:shd w:val="clear" w:color="auto" w:fill="1F473D"/>
          </w:tcPr>
          <w:p>
            <w:pPr>
              <w:jc w:val="center"/>
              <w:ind w:left="61"/>
              <w:spacing w:after="0"/>
              <w:rPr>
                <w:sz w:val="20"/>
                <w:szCs w:val="20"/>
                <w:color w:val="auto"/>
              </w:rPr>
            </w:pPr>
            <w:r>
              <w:rPr>
                <w:rFonts w:ascii="Arial" w:cs="Arial" w:eastAsia="Arial" w:hAnsi="Arial"/>
                <w:sz w:val="16"/>
                <w:szCs w:val="16"/>
                <w:b w:val="1"/>
                <w:bCs w:val="1"/>
                <w:color w:val="FFFFFF"/>
                <w:w w:val="98"/>
              </w:rPr>
              <w:t>Average</w:t>
            </w:r>
          </w:p>
        </w:tc>
      </w:tr>
      <w:tr>
        <w:trPr>
          <w:trHeight w:val="186"/>
        </w:trPr>
        <w:tc>
          <w:tcPr>
            <w:tcW w:w="1840" w:type="dxa"/>
            <w:vAlign w:val="bottom"/>
            <w:shd w:val="clear" w:color="auto" w:fill="1F473D"/>
          </w:tcPr>
          <w:p>
            <w:pPr>
              <w:spacing w:after="0"/>
              <w:rPr>
                <w:sz w:val="16"/>
                <w:szCs w:val="16"/>
                <w:color w:val="auto"/>
              </w:rPr>
            </w:pPr>
          </w:p>
        </w:tc>
        <w:tc>
          <w:tcPr>
            <w:tcW w:w="1580" w:type="dxa"/>
            <w:vAlign w:val="bottom"/>
            <w:shd w:val="clear" w:color="auto" w:fill="1F473D"/>
          </w:tcPr>
          <w:p>
            <w:pPr>
              <w:jc w:val="center"/>
              <w:ind w:left="161"/>
              <w:spacing w:after="0"/>
              <w:rPr>
                <w:sz w:val="20"/>
                <w:szCs w:val="20"/>
                <w:color w:val="auto"/>
              </w:rPr>
            </w:pPr>
            <w:r>
              <w:rPr>
                <w:rFonts w:ascii="Arial" w:cs="Arial" w:eastAsia="Arial" w:hAnsi="Arial"/>
                <w:sz w:val="16"/>
                <w:szCs w:val="16"/>
                <w:b w:val="1"/>
                <w:bCs w:val="1"/>
                <w:color w:val="FFFFFF"/>
                <w:w w:val="99"/>
              </w:rPr>
              <w:t>Outstanding</w:t>
            </w:r>
          </w:p>
        </w:tc>
        <w:tc>
          <w:tcPr>
            <w:tcW w:w="162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rPr>
              <w:t>Remaining</w:t>
            </w:r>
          </w:p>
        </w:tc>
        <w:tc>
          <w:tcPr>
            <w:tcW w:w="134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8"/>
              </w:rPr>
              <w:t>Price for</w:t>
            </w:r>
          </w:p>
        </w:tc>
        <w:tc>
          <w:tcPr>
            <w:tcW w:w="146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9"/>
              </w:rPr>
              <w:t>Number</w:t>
            </w:r>
          </w:p>
        </w:tc>
        <w:tc>
          <w:tcPr>
            <w:tcW w:w="1240" w:type="dxa"/>
            <w:vAlign w:val="bottom"/>
            <w:shd w:val="clear" w:color="auto" w:fill="1F473D"/>
          </w:tcPr>
          <w:p>
            <w:pPr>
              <w:jc w:val="center"/>
              <w:ind w:left="41"/>
              <w:spacing w:after="0"/>
              <w:rPr>
                <w:sz w:val="20"/>
                <w:szCs w:val="20"/>
                <w:color w:val="auto"/>
              </w:rPr>
            </w:pPr>
            <w:r>
              <w:rPr>
                <w:rFonts w:ascii="Arial" w:cs="Arial" w:eastAsia="Arial" w:hAnsi="Arial"/>
                <w:sz w:val="16"/>
                <w:szCs w:val="16"/>
                <w:b w:val="1"/>
                <w:bCs w:val="1"/>
                <w:color w:val="FFFFFF"/>
                <w:w w:val="98"/>
              </w:rPr>
              <w:t>Exercise Price</w:t>
            </w:r>
          </w:p>
        </w:tc>
      </w:tr>
      <w:tr>
        <w:trPr>
          <w:trHeight w:val="185"/>
        </w:trPr>
        <w:tc>
          <w:tcPr>
            <w:tcW w:w="1840" w:type="dxa"/>
            <w:vAlign w:val="bottom"/>
            <w:shd w:val="clear" w:color="auto" w:fill="1F473D"/>
          </w:tcPr>
          <w:p>
            <w:pPr>
              <w:spacing w:after="0"/>
              <w:rPr>
                <w:sz w:val="20"/>
                <w:szCs w:val="20"/>
                <w:color w:val="auto"/>
              </w:rPr>
            </w:pPr>
            <w:r>
              <w:rPr>
                <w:rFonts w:ascii="Arial" w:cs="Arial" w:eastAsia="Arial" w:hAnsi="Arial"/>
                <w:sz w:val="16"/>
                <w:szCs w:val="16"/>
                <w:b w:val="1"/>
                <w:bCs w:val="1"/>
                <w:color w:val="FFFFFF"/>
              </w:rPr>
              <w:t> Range of exercise</w:t>
            </w:r>
          </w:p>
        </w:tc>
        <w:tc>
          <w:tcPr>
            <w:tcW w:w="1580" w:type="dxa"/>
            <w:vAlign w:val="bottom"/>
            <w:shd w:val="clear" w:color="auto" w:fill="1F473D"/>
          </w:tcPr>
          <w:p>
            <w:pPr>
              <w:jc w:val="center"/>
              <w:ind w:left="161"/>
              <w:spacing w:after="0"/>
              <w:rPr>
                <w:sz w:val="20"/>
                <w:szCs w:val="20"/>
                <w:color w:val="auto"/>
              </w:rPr>
            </w:pPr>
            <w:r>
              <w:rPr>
                <w:rFonts w:ascii="Arial" w:cs="Arial" w:eastAsia="Arial" w:hAnsi="Arial"/>
                <w:sz w:val="16"/>
                <w:szCs w:val="16"/>
                <w:b w:val="1"/>
                <w:bCs w:val="1"/>
                <w:color w:val="FFFFFF"/>
                <w:w w:val="91"/>
              </w:rPr>
              <w:t>(in</w:t>
            </w:r>
          </w:p>
        </w:tc>
        <w:tc>
          <w:tcPr>
            <w:tcW w:w="1620" w:type="dxa"/>
            <w:vAlign w:val="bottom"/>
            <w:shd w:val="clear" w:color="auto" w:fill="1F473D"/>
          </w:tcPr>
          <w:p>
            <w:pPr>
              <w:jc w:val="right"/>
              <w:ind w:right="121"/>
              <w:spacing w:after="0"/>
              <w:rPr>
                <w:sz w:val="20"/>
                <w:szCs w:val="20"/>
                <w:color w:val="auto"/>
              </w:rPr>
            </w:pPr>
            <w:r>
              <w:rPr>
                <w:rFonts w:ascii="Arial" w:cs="Arial" w:eastAsia="Arial" w:hAnsi="Arial"/>
                <w:sz w:val="16"/>
                <w:szCs w:val="16"/>
                <w:b w:val="1"/>
                <w:bCs w:val="1"/>
                <w:color w:val="FFFFFF"/>
              </w:rPr>
              <w:t>Contractual Life</w:t>
            </w:r>
          </w:p>
        </w:tc>
        <w:tc>
          <w:tcPr>
            <w:tcW w:w="134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6"/>
              </w:rPr>
              <w:t>Awards</w:t>
            </w:r>
          </w:p>
        </w:tc>
        <w:tc>
          <w:tcPr>
            <w:tcW w:w="146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9"/>
              </w:rPr>
              <w:t>Exercisable (in</w:t>
            </w:r>
          </w:p>
        </w:tc>
        <w:tc>
          <w:tcPr>
            <w:tcW w:w="1240" w:type="dxa"/>
            <w:vAlign w:val="bottom"/>
            <w:shd w:val="clear" w:color="auto" w:fill="1F473D"/>
          </w:tcPr>
          <w:p>
            <w:pPr>
              <w:jc w:val="center"/>
              <w:ind w:left="61"/>
              <w:spacing w:after="0"/>
              <w:rPr>
                <w:sz w:val="20"/>
                <w:szCs w:val="20"/>
                <w:color w:val="auto"/>
              </w:rPr>
            </w:pPr>
            <w:r>
              <w:rPr>
                <w:rFonts w:ascii="Arial" w:cs="Arial" w:eastAsia="Arial" w:hAnsi="Arial"/>
                <w:sz w:val="16"/>
                <w:szCs w:val="16"/>
                <w:b w:val="1"/>
                <w:bCs w:val="1"/>
                <w:color w:val="FFFFFF"/>
                <w:w w:val="98"/>
              </w:rPr>
              <w:t>for Awards</w:t>
            </w:r>
          </w:p>
        </w:tc>
      </w:tr>
      <w:tr>
        <w:trPr>
          <w:trHeight w:val="206"/>
        </w:trPr>
        <w:tc>
          <w:tcPr>
            <w:tcW w:w="1840" w:type="dxa"/>
            <w:vAlign w:val="bottom"/>
            <w:tcBorders>
              <w:bottom w:val="single" w:sz="8" w:color="D64000"/>
            </w:tcBorders>
            <w:shd w:val="clear" w:color="auto" w:fill="1F473D"/>
          </w:tcPr>
          <w:p>
            <w:pPr>
              <w:spacing w:after="0" w:line="200" w:lineRule="exact"/>
              <w:rPr>
                <w:sz w:val="20"/>
                <w:szCs w:val="20"/>
                <w:color w:val="auto"/>
              </w:rPr>
            </w:pPr>
            <w:r>
              <w:rPr>
                <w:rFonts w:ascii="Arial" w:cs="Arial" w:eastAsia="Arial" w:hAnsi="Arial"/>
                <w:sz w:val="16"/>
                <w:szCs w:val="16"/>
                <w:b w:val="1"/>
                <w:bCs w:val="1"/>
                <w:color w:val="FFFFFF"/>
              </w:rPr>
              <w:t>prices</w:t>
            </w:r>
            <w:r>
              <w:rPr>
                <w:rFonts w:ascii="Arial" w:cs="Arial" w:eastAsia="Arial" w:hAnsi="Arial"/>
                <w:sz w:val="19"/>
                <w:szCs w:val="19"/>
                <w:b w:val="1"/>
                <w:bCs w:val="1"/>
                <w:color w:val="FFFFFF"/>
                <w:vertAlign w:val="superscript"/>
              </w:rPr>
              <w:t>(1)</w:t>
            </w:r>
          </w:p>
        </w:tc>
        <w:tc>
          <w:tcPr>
            <w:tcW w:w="1580" w:type="dxa"/>
            <w:vAlign w:val="bottom"/>
            <w:tcBorders>
              <w:bottom w:val="single" w:sz="8" w:color="D64000"/>
            </w:tcBorders>
            <w:shd w:val="clear" w:color="auto" w:fill="1F473D"/>
          </w:tcPr>
          <w:p>
            <w:pPr>
              <w:jc w:val="center"/>
              <w:ind w:left="161"/>
              <w:spacing w:after="0"/>
              <w:rPr>
                <w:sz w:val="20"/>
                <w:szCs w:val="20"/>
                <w:color w:val="auto"/>
              </w:rPr>
            </w:pPr>
            <w:r>
              <w:rPr>
                <w:rFonts w:ascii="Arial" w:cs="Arial" w:eastAsia="Arial" w:hAnsi="Arial"/>
                <w:sz w:val="16"/>
                <w:szCs w:val="16"/>
                <w:b w:val="1"/>
                <w:bCs w:val="1"/>
                <w:color w:val="FFFFFF"/>
                <w:w w:val="99"/>
              </w:rPr>
              <w:t>thousands)</w:t>
            </w:r>
          </w:p>
        </w:tc>
        <w:tc>
          <w:tcPr>
            <w:tcW w:w="1620" w:type="dxa"/>
            <w:vAlign w:val="bottom"/>
            <w:tcBorders>
              <w:bottom w:val="single" w:sz="8" w:color="D64000"/>
            </w:tcBorders>
            <w:shd w:val="clear" w:color="auto" w:fill="1F473D"/>
          </w:tcPr>
          <w:p>
            <w:pPr>
              <w:jc w:val="center"/>
              <w:spacing w:after="0"/>
              <w:rPr>
                <w:sz w:val="20"/>
                <w:szCs w:val="20"/>
                <w:color w:val="auto"/>
              </w:rPr>
            </w:pPr>
            <w:r>
              <w:rPr>
                <w:rFonts w:ascii="Arial" w:cs="Arial" w:eastAsia="Arial" w:hAnsi="Arial"/>
                <w:sz w:val="16"/>
                <w:szCs w:val="16"/>
                <w:b w:val="1"/>
                <w:bCs w:val="1"/>
                <w:color w:val="FFFFFF"/>
                <w:w w:val="99"/>
              </w:rPr>
              <w:t>(years)</w:t>
            </w:r>
          </w:p>
        </w:tc>
        <w:tc>
          <w:tcPr>
            <w:tcW w:w="1340" w:type="dxa"/>
            <w:vAlign w:val="bottom"/>
            <w:tcBorders>
              <w:bottom w:val="single" w:sz="8" w:color="D64000"/>
            </w:tcBorders>
            <w:shd w:val="clear" w:color="auto" w:fill="1F473D"/>
          </w:tcPr>
          <w:p>
            <w:pPr>
              <w:jc w:val="center"/>
              <w:spacing w:after="0"/>
              <w:rPr>
                <w:sz w:val="20"/>
                <w:szCs w:val="20"/>
                <w:color w:val="auto"/>
              </w:rPr>
            </w:pPr>
            <w:r>
              <w:rPr>
                <w:rFonts w:ascii="Arial" w:cs="Arial" w:eastAsia="Arial" w:hAnsi="Arial"/>
                <w:sz w:val="16"/>
                <w:szCs w:val="16"/>
                <w:b w:val="1"/>
                <w:bCs w:val="1"/>
                <w:color w:val="FFFFFF"/>
                <w:w w:val="99"/>
              </w:rPr>
              <w:t>Outstanding</w:t>
            </w:r>
          </w:p>
        </w:tc>
        <w:tc>
          <w:tcPr>
            <w:tcW w:w="1460" w:type="dxa"/>
            <w:vAlign w:val="bottom"/>
            <w:tcBorders>
              <w:bottom w:val="single" w:sz="8" w:color="D64000"/>
            </w:tcBorders>
            <w:shd w:val="clear" w:color="auto" w:fill="1F473D"/>
          </w:tcPr>
          <w:p>
            <w:pPr>
              <w:jc w:val="center"/>
              <w:ind w:left="1"/>
              <w:spacing w:after="0"/>
              <w:rPr>
                <w:sz w:val="20"/>
                <w:szCs w:val="20"/>
                <w:color w:val="auto"/>
              </w:rPr>
            </w:pPr>
            <w:r>
              <w:rPr>
                <w:rFonts w:ascii="Arial" w:cs="Arial" w:eastAsia="Arial" w:hAnsi="Arial"/>
                <w:sz w:val="16"/>
                <w:szCs w:val="16"/>
                <w:b w:val="1"/>
                <w:bCs w:val="1"/>
                <w:color w:val="FFFFFF"/>
                <w:w w:val="99"/>
              </w:rPr>
              <w:t>thousands)</w:t>
            </w:r>
          </w:p>
        </w:tc>
        <w:tc>
          <w:tcPr>
            <w:tcW w:w="1240" w:type="dxa"/>
            <w:vAlign w:val="bottom"/>
            <w:tcBorders>
              <w:bottom w:val="single" w:sz="8" w:color="D64000"/>
            </w:tcBorders>
            <w:shd w:val="clear" w:color="auto" w:fill="1F473D"/>
          </w:tcPr>
          <w:p>
            <w:pPr>
              <w:jc w:val="center"/>
              <w:ind w:left="41"/>
              <w:spacing w:after="0"/>
              <w:rPr>
                <w:sz w:val="20"/>
                <w:szCs w:val="20"/>
                <w:color w:val="auto"/>
              </w:rPr>
            </w:pPr>
            <w:r>
              <w:rPr>
                <w:rFonts w:ascii="Arial" w:cs="Arial" w:eastAsia="Arial" w:hAnsi="Arial"/>
                <w:sz w:val="16"/>
                <w:szCs w:val="16"/>
                <w:b w:val="1"/>
                <w:bCs w:val="1"/>
                <w:color w:val="FFFFFF"/>
                <w:w w:val="98"/>
              </w:rPr>
              <w:t>Exercisable</w:t>
            </w:r>
          </w:p>
        </w:tc>
      </w:tr>
      <w:tr>
        <w:trPr>
          <w:trHeight w:val="171"/>
        </w:trPr>
        <w:tc>
          <w:tcPr>
            <w:tcW w:w="1840" w:type="dxa"/>
            <w:vAlign w:val="bottom"/>
          </w:tcPr>
          <w:p>
            <w:pPr>
              <w:spacing w:after="0" w:line="171" w:lineRule="exact"/>
              <w:rPr>
                <w:sz w:val="20"/>
                <w:szCs w:val="20"/>
                <w:color w:val="auto"/>
              </w:rPr>
            </w:pPr>
            <w:r>
              <w:rPr>
                <w:rFonts w:ascii="Arial" w:cs="Arial" w:eastAsia="Arial" w:hAnsi="Arial"/>
                <w:sz w:val="16"/>
                <w:szCs w:val="16"/>
                <w:b w:val="1"/>
                <w:bCs w:val="1"/>
                <w:color w:val="auto"/>
              </w:rPr>
              <w:t> $50.01 - $55.00</w:t>
            </w:r>
          </w:p>
        </w:tc>
        <w:tc>
          <w:tcPr>
            <w:tcW w:w="1580" w:type="dxa"/>
            <w:vAlign w:val="bottom"/>
          </w:tcPr>
          <w:p>
            <w:pPr>
              <w:jc w:val="right"/>
              <w:ind w:right="121"/>
              <w:spacing w:after="0" w:line="171" w:lineRule="exact"/>
              <w:rPr>
                <w:sz w:val="20"/>
                <w:szCs w:val="20"/>
                <w:color w:val="auto"/>
              </w:rPr>
            </w:pPr>
            <w:r>
              <w:rPr>
                <w:rFonts w:ascii="Arial" w:cs="Arial" w:eastAsia="Arial" w:hAnsi="Arial"/>
                <w:sz w:val="16"/>
                <w:szCs w:val="16"/>
                <w:b w:val="1"/>
                <w:bCs w:val="1"/>
                <w:color w:val="auto"/>
              </w:rPr>
              <w:t>48</w:t>
            </w:r>
          </w:p>
        </w:tc>
        <w:tc>
          <w:tcPr>
            <w:tcW w:w="1620" w:type="dxa"/>
            <w:vAlign w:val="bottom"/>
          </w:tcPr>
          <w:p>
            <w:pPr>
              <w:jc w:val="right"/>
              <w:ind w:right="121"/>
              <w:spacing w:after="0" w:line="171" w:lineRule="exact"/>
              <w:rPr>
                <w:sz w:val="20"/>
                <w:szCs w:val="20"/>
                <w:color w:val="auto"/>
              </w:rPr>
            </w:pPr>
            <w:r>
              <w:rPr>
                <w:rFonts w:ascii="Arial" w:cs="Arial" w:eastAsia="Arial" w:hAnsi="Arial"/>
                <w:sz w:val="16"/>
                <w:szCs w:val="16"/>
                <w:b w:val="1"/>
                <w:bCs w:val="1"/>
                <w:color w:val="auto"/>
              </w:rPr>
              <w:t>4</w:t>
            </w:r>
          </w:p>
        </w:tc>
        <w:tc>
          <w:tcPr>
            <w:tcW w:w="1340" w:type="dxa"/>
            <w:vAlign w:val="bottom"/>
          </w:tcPr>
          <w:p>
            <w:pPr>
              <w:jc w:val="right"/>
              <w:ind w:right="121"/>
              <w:spacing w:after="0" w:line="171" w:lineRule="exact"/>
              <w:rPr>
                <w:sz w:val="20"/>
                <w:szCs w:val="20"/>
                <w:color w:val="auto"/>
              </w:rPr>
            </w:pPr>
            <w:r>
              <w:rPr>
                <w:rFonts w:ascii="Arial" w:cs="Arial" w:eastAsia="Arial" w:hAnsi="Arial"/>
                <w:sz w:val="16"/>
                <w:szCs w:val="16"/>
                <w:b w:val="1"/>
                <w:bCs w:val="1"/>
                <w:color w:val="auto"/>
              </w:rPr>
              <w:t>$54.36</w:t>
            </w:r>
          </w:p>
        </w:tc>
        <w:tc>
          <w:tcPr>
            <w:tcW w:w="1460" w:type="dxa"/>
            <w:vAlign w:val="bottom"/>
          </w:tcPr>
          <w:p>
            <w:pPr>
              <w:jc w:val="right"/>
              <w:ind w:right="61"/>
              <w:spacing w:after="0" w:line="171" w:lineRule="exact"/>
              <w:rPr>
                <w:sz w:val="20"/>
                <w:szCs w:val="20"/>
                <w:color w:val="auto"/>
              </w:rPr>
            </w:pPr>
            <w:r>
              <w:rPr>
                <w:rFonts w:ascii="Arial" w:cs="Arial" w:eastAsia="Arial" w:hAnsi="Arial"/>
                <w:sz w:val="16"/>
                <w:szCs w:val="16"/>
                <w:b w:val="1"/>
                <w:bCs w:val="1"/>
                <w:color w:val="auto"/>
              </w:rPr>
              <w:t>48</w:t>
            </w:r>
          </w:p>
        </w:tc>
        <w:tc>
          <w:tcPr>
            <w:tcW w:w="124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$54.36</w:t>
            </w:r>
          </w:p>
        </w:tc>
      </w:tr>
      <w:tr>
        <w:trPr>
          <w:trHeight w:val="186"/>
        </w:trPr>
        <w:tc>
          <w:tcPr>
            <w:tcW w:w="1840" w:type="dxa"/>
            <w:vAlign w:val="bottom"/>
          </w:tcPr>
          <w:p>
            <w:pPr>
              <w:spacing w:after="0"/>
              <w:rPr>
                <w:sz w:val="20"/>
                <w:szCs w:val="20"/>
                <w:color w:val="auto"/>
              </w:rPr>
            </w:pPr>
            <w:r>
              <w:rPr>
                <w:rFonts w:ascii="Arial" w:cs="Arial" w:eastAsia="Arial" w:hAnsi="Arial"/>
                <w:sz w:val="16"/>
                <w:szCs w:val="16"/>
                <w:b w:val="1"/>
                <w:bCs w:val="1"/>
                <w:color w:val="auto"/>
              </w:rPr>
              <w:t> $75.01 - $80.00</w:t>
            </w:r>
          </w:p>
        </w:tc>
        <w:tc>
          <w:tcPr>
            <w:tcW w:w="1580" w:type="dxa"/>
            <w:vAlign w:val="bottom"/>
          </w:tcPr>
          <w:p>
            <w:pPr>
              <w:jc w:val="right"/>
              <w:ind w:right="121"/>
              <w:spacing w:after="0"/>
              <w:rPr>
                <w:sz w:val="20"/>
                <w:szCs w:val="20"/>
                <w:color w:val="auto"/>
              </w:rPr>
            </w:pPr>
            <w:r>
              <w:rPr>
                <w:rFonts w:ascii="Arial" w:cs="Arial" w:eastAsia="Arial" w:hAnsi="Arial"/>
                <w:sz w:val="16"/>
                <w:szCs w:val="16"/>
                <w:b w:val="1"/>
                <w:bCs w:val="1"/>
                <w:color w:val="auto"/>
              </w:rPr>
              <w:t>322</w:t>
            </w:r>
          </w:p>
        </w:tc>
        <w:tc>
          <w:tcPr>
            <w:tcW w:w="1620" w:type="dxa"/>
            <w:vAlign w:val="bottom"/>
          </w:tcPr>
          <w:p>
            <w:pPr>
              <w:jc w:val="right"/>
              <w:ind w:right="121"/>
              <w:spacing w:after="0"/>
              <w:rPr>
                <w:sz w:val="20"/>
                <w:szCs w:val="20"/>
                <w:color w:val="auto"/>
              </w:rPr>
            </w:pPr>
            <w:r>
              <w:rPr>
                <w:rFonts w:ascii="Arial" w:cs="Arial" w:eastAsia="Arial" w:hAnsi="Arial"/>
                <w:sz w:val="16"/>
                <w:szCs w:val="16"/>
                <w:b w:val="1"/>
                <w:bCs w:val="1"/>
                <w:color w:val="auto"/>
              </w:rPr>
              <w:t>5</w:t>
            </w:r>
          </w:p>
        </w:tc>
        <w:tc>
          <w:tcPr>
            <w:tcW w:w="1340" w:type="dxa"/>
            <w:vAlign w:val="bottom"/>
          </w:tcPr>
          <w:p>
            <w:pPr>
              <w:jc w:val="right"/>
              <w:ind w:right="121"/>
              <w:spacing w:after="0"/>
              <w:rPr>
                <w:sz w:val="20"/>
                <w:szCs w:val="20"/>
                <w:color w:val="auto"/>
              </w:rPr>
            </w:pPr>
            <w:r>
              <w:rPr>
                <w:rFonts w:ascii="Arial" w:cs="Arial" w:eastAsia="Arial" w:hAnsi="Arial"/>
                <w:sz w:val="16"/>
                <w:szCs w:val="16"/>
                <w:b w:val="1"/>
                <w:bCs w:val="1"/>
                <w:color w:val="auto"/>
              </w:rPr>
              <w:t>$75.96</w:t>
            </w:r>
          </w:p>
        </w:tc>
        <w:tc>
          <w:tcPr>
            <w:tcW w:w="1460" w:type="dxa"/>
            <w:vAlign w:val="bottom"/>
          </w:tcPr>
          <w:p>
            <w:pPr>
              <w:jc w:val="right"/>
              <w:ind w:right="61"/>
              <w:spacing w:after="0"/>
              <w:rPr>
                <w:sz w:val="20"/>
                <w:szCs w:val="20"/>
                <w:color w:val="auto"/>
              </w:rPr>
            </w:pPr>
            <w:r>
              <w:rPr>
                <w:rFonts w:ascii="Arial" w:cs="Arial" w:eastAsia="Arial" w:hAnsi="Arial"/>
                <w:sz w:val="16"/>
                <w:szCs w:val="16"/>
                <w:b w:val="1"/>
                <w:bCs w:val="1"/>
                <w:color w:val="auto"/>
              </w:rPr>
              <w:t>322</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$75.96</w:t>
            </w:r>
          </w:p>
        </w:tc>
      </w:tr>
      <w:tr>
        <w:trPr>
          <w:trHeight w:val="185"/>
        </w:trPr>
        <w:tc>
          <w:tcPr>
            <w:tcW w:w="1840" w:type="dxa"/>
            <w:vAlign w:val="bottom"/>
          </w:tcPr>
          <w:p>
            <w:pPr>
              <w:spacing w:after="0"/>
              <w:rPr>
                <w:sz w:val="20"/>
                <w:szCs w:val="20"/>
                <w:color w:val="auto"/>
              </w:rPr>
            </w:pPr>
            <w:r>
              <w:rPr>
                <w:rFonts w:ascii="Arial" w:cs="Arial" w:eastAsia="Arial" w:hAnsi="Arial"/>
                <w:sz w:val="16"/>
                <w:szCs w:val="16"/>
                <w:b w:val="1"/>
                <w:bCs w:val="1"/>
                <w:color w:val="auto"/>
              </w:rPr>
              <w:t> $85.01 - $90.00</w:t>
            </w:r>
          </w:p>
        </w:tc>
        <w:tc>
          <w:tcPr>
            <w:tcW w:w="1580" w:type="dxa"/>
            <w:vAlign w:val="bottom"/>
          </w:tcPr>
          <w:p>
            <w:pPr>
              <w:jc w:val="right"/>
              <w:ind w:right="121"/>
              <w:spacing w:after="0"/>
              <w:rPr>
                <w:sz w:val="20"/>
                <w:szCs w:val="20"/>
                <w:color w:val="auto"/>
              </w:rPr>
            </w:pPr>
            <w:r>
              <w:rPr>
                <w:rFonts w:ascii="Arial" w:cs="Arial" w:eastAsia="Arial" w:hAnsi="Arial"/>
                <w:sz w:val="16"/>
                <w:szCs w:val="16"/>
                <w:b w:val="1"/>
                <w:bCs w:val="1"/>
                <w:color w:val="auto"/>
              </w:rPr>
              <w:t>239</w:t>
            </w:r>
          </w:p>
        </w:tc>
        <w:tc>
          <w:tcPr>
            <w:tcW w:w="1620" w:type="dxa"/>
            <w:vAlign w:val="bottom"/>
          </w:tcPr>
          <w:p>
            <w:pPr>
              <w:jc w:val="right"/>
              <w:ind w:right="121"/>
              <w:spacing w:after="0"/>
              <w:rPr>
                <w:sz w:val="20"/>
                <w:szCs w:val="20"/>
                <w:color w:val="auto"/>
              </w:rPr>
            </w:pPr>
            <w:r>
              <w:rPr>
                <w:rFonts w:ascii="Arial" w:cs="Arial" w:eastAsia="Arial" w:hAnsi="Arial"/>
                <w:sz w:val="16"/>
                <w:szCs w:val="16"/>
                <w:b w:val="1"/>
                <w:bCs w:val="1"/>
                <w:color w:val="auto"/>
              </w:rPr>
              <w:t>6</w:t>
            </w:r>
          </w:p>
        </w:tc>
        <w:tc>
          <w:tcPr>
            <w:tcW w:w="1340" w:type="dxa"/>
            <w:vAlign w:val="bottom"/>
          </w:tcPr>
          <w:p>
            <w:pPr>
              <w:jc w:val="right"/>
              <w:ind w:right="121"/>
              <w:spacing w:after="0"/>
              <w:rPr>
                <w:sz w:val="20"/>
                <w:szCs w:val="20"/>
                <w:color w:val="auto"/>
              </w:rPr>
            </w:pPr>
            <w:r>
              <w:rPr>
                <w:rFonts w:ascii="Arial" w:cs="Arial" w:eastAsia="Arial" w:hAnsi="Arial"/>
                <w:sz w:val="16"/>
                <w:szCs w:val="16"/>
                <w:b w:val="1"/>
                <w:bCs w:val="1"/>
                <w:color w:val="auto"/>
              </w:rPr>
              <w:t>$88.87</w:t>
            </w:r>
          </w:p>
        </w:tc>
        <w:tc>
          <w:tcPr>
            <w:tcW w:w="1460" w:type="dxa"/>
            <w:vAlign w:val="bottom"/>
          </w:tcPr>
          <w:p>
            <w:pPr>
              <w:jc w:val="right"/>
              <w:ind w:right="61"/>
              <w:spacing w:after="0"/>
              <w:rPr>
                <w:sz w:val="20"/>
                <w:szCs w:val="20"/>
                <w:color w:val="auto"/>
              </w:rPr>
            </w:pPr>
            <w:r>
              <w:rPr>
                <w:rFonts w:ascii="Arial" w:cs="Arial" w:eastAsia="Arial" w:hAnsi="Arial"/>
                <w:sz w:val="16"/>
                <w:szCs w:val="16"/>
                <w:b w:val="1"/>
                <w:bCs w:val="1"/>
                <w:color w:val="auto"/>
              </w:rPr>
              <w:t>164</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$88.87</w:t>
            </w:r>
          </w:p>
        </w:tc>
      </w:tr>
      <w:tr>
        <w:trPr>
          <w:trHeight w:val="186"/>
        </w:trPr>
        <w:tc>
          <w:tcPr>
            <w:tcW w:w="1840" w:type="dxa"/>
            <w:vAlign w:val="bottom"/>
          </w:tcPr>
          <w:p>
            <w:pPr>
              <w:spacing w:after="0"/>
              <w:rPr>
                <w:sz w:val="20"/>
                <w:szCs w:val="20"/>
                <w:color w:val="auto"/>
              </w:rPr>
            </w:pPr>
            <w:r>
              <w:rPr>
                <w:rFonts w:ascii="Arial" w:cs="Arial" w:eastAsia="Arial" w:hAnsi="Arial"/>
                <w:sz w:val="16"/>
                <w:szCs w:val="16"/>
                <w:b w:val="1"/>
                <w:bCs w:val="1"/>
                <w:color w:val="auto"/>
              </w:rPr>
              <w:t> $100.01 - $105.00</w:t>
            </w:r>
          </w:p>
        </w:tc>
        <w:tc>
          <w:tcPr>
            <w:tcW w:w="1580" w:type="dxa"/>
            <w:vAlign w:val="bottom"/>
          </w:tcPr>
          <w:p>
            <w:pPr>
              <w:jc w:val="right"/>
              <w:ind w:right="121"/>
              <w:spacing w:after="0"/>
              <w:rPr>
                <w:sz w:val="20"/>
                <w:szCs w:val="20"/>
                <w:color w:val="auto"/>
              </w:rPr>
            </w:pPr>
            <w:r>
              <w:rPr>
                <w:rFonts w:ascii="Arial" w:cs="Arial" w:eastAsia="Arial" w:hAnsi="Arial"/>
                <w:sz w:val="16"/>
                <w:szCs w:val="16"/>
                <w:b w:val="1"/>
                <w:bCs w:val="1"/>
                <w:color w:val="auto"/>
              </w:rPr>
              <w:t>220</w:t>
            </w:r>
          </w:p>
        </w:tc>
        <w:tc>
          <w:tcPr>
            <w:tcW w:w="1620" w:type="dxa"/>
            <w:vAlign w:val="bottom"/>
          </w:tcPr>
          <w:p>
            <w:pPr>
              <w:jc w:val="right"/>
              <w:ind w:right="121"/>
              <w:spacing w:after="0"/>
              <w:rPr>
                <w:sz w:val="20"/>
                <w:szCs w:val="20"/>
                <w:color w:val="auto"/>
              </w:rPr>
            </w:pPr>
            <w:r>
              <w:rPr>
                <w:rFonts w:ascii="Arial" w:cs="Arial" w:eastAsia="Arial" w:hAnsi="Arial"/>
                <w:sz w:val="16"/>
                <w:szCs w:val="16"/>
                <w:b w:val="1"/>
                <w:bCs w:val="1"/>
                <w:color w:val="auto"/>
              </w:rPr>
              <w:t>7</w:t>
            </w:r>
          </w:p>
        </w:tc>
        <w:tc>
          <w:tcPr>
            <w:tcW w:w="1340" w:type="dxa"/>
            <w:vAlign w:val="bottom"/>
          </w:tcPr>
          <w:p>
            <w:pPr>
              <w:jc w:val="right"/>
              <w:ind w:right="121"/>
              <w:spacing w:after="0"/>
              <w:rPr>
                <w:sz w:val="20"/>
                <w:szCs w:val="20"/>
                <w:color w:val="auto"/>
              </w:rPr>
            </w:pPr>
            <w:r>
              <w:rPr>
                <w:rFonts w:ascii="Arial" w:cs="Arial" w:eastAsia="Arial" w:hAnsi="Arial"/>
                <w:sz w:val="16"/>
                <w:szCs w:val="16"/>
                <w:b w:val="1"/>
                <w:bCs w:val="1"/>
                <w:color w:val="auto"/>
              </w:rPr>
              <w:t>$102.00</w:t>
            </w:r>
          </w:p>
        </w:tc>
        <w:tc>
          <w:tcPr>
            <w:tcW w:w="1460" w:type="dxa"/>
            <w:vAlign w:val="bottom"/>
          </w:tcPr>
          <w:p>
            <w:pPr>
              <w:jc w:val="right"/>
              <w:ind w:right="61"/>
              <w:spacing w:after="0"/>
              <w:rPr>
                <w:sz w:val="20"/>
                <w:szCs w:val="20"/>
                <w:color w:val="auto"/>
              </w:rPr>
            </w:pPr>
            <w:r>
              <w:rPr>
                <w:rFonts w:ascii="Arial" w:cs="Arial" w:eastAsia="Arial" w:hAnsi="Arial"/>
                <w:sz w:val="16"/>
                <w:szCs w:val="16"/>
                <w:b w:val="1"/>
                <w:bCs w:val="1"/>
                <w:color w:val="auto"/>
              </w:rPr>
              <w:t>97</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$102.00</w:t>
            </w:r>
          </w:p>
        </w:tc>
      </w:tr>
      <w:tr>
        <w:trPr>
          <w:trHeight w:val="186"/>
        </w:trPr>
        <w:tc>
          <w:tcPr>
            <w:tcW w:w="1840" w:type="dxa"/>
            <w:vAlign w:val="bottom"/>
          </w:tcPr>
          <w:p>
            <w:pPr>
              <w:spacing w:after="0"/>
              <w:rPr>
                <w:sz w:val="20"/>
                <w:szCs w:val="20"/>
                <w:color w:val="auto"/>
              </w:rPr>
            </w:pPr>
            <w:r>
              <w:rPr>
                <w:rFonts w:ascii="Arial" w:cs="Arial" w:eastAsia="Arial" w:hAnsi="Arial"/>
                <w:sz w:val="16"/>
                <w:szCs w:val="16"/>
                <w:b w:val="1"/>
                <w:bCs w:val="1"/>
                <w:color w:val="auto"/>
              </w:rPr>
              <w:t> $120.01 - $125.00</w:t>
            </w:r>
          </w:p>
        </w:tc>
        <w:tc>
          <w:tcPr>
            <w:tcW w:w="1580" w:type="dxa"/>
            <w:vAlign w:val="bottom"/>
          </w:tcPr>
          <w:p>
            <w:pPr>
              <w:jc w:val="right"/>
              <w:ind w:right="121"/>
              <w:spacing w:after="0"/>
              <w:rPr>
                <w:sz w:val="20"/>
                <w:szCs w:val="20"/>
                <w:color w:val="auto"/>
              </w:rPr>
            </w:pPr>
            <w:r>
              <w:rPr>
                <w:rFonts w:ascii="Arial" w:cs="Arial" w:eastAsia="Arial" w:hAnsi="Arial"/>
                <w:sz w:val="16"/>
                <w:szCs w:val="16"/>
                <w:b w:val="1"/>
                <w:bCs w:val="1"/>
                <w:color w:val="auto"/>
              </w:rPr>
              <w:t>199</w:t>
            </w:r>
          </w:p>
        </w:tc>
        <w:tc>
          <w:tcPr>
            <w:tcW w:w="1620" w:type="dxa"/>
            <w:vAlign w:val="bottom"/>
          </w:tcPr>
          <w:p>
            <w:pPr>
              <w:jc w:val="right"/>
              <w:ind w:right="121"/>
              <w:spacing w:after="0"/>
              <w:rPr>
                <w:sz w:val="20"/>
                <w:szCs w:val="20"/>
                <w:color w:val="auto"/>
              </w:rPr>
            </w:pPr>
            <w:r>
              <w:rPr>
                <w:rFonts w:ascii="Arial" w:cs="Arial" w:eastAsia="Arial" w:hAnsi="Arial"/>
                <w:sz w:val="16"/>
                <w:szCs w:val="16"/>
                <w:b w:val="1"/>
                <w:bCs w:val="1"/>
                <w:color w:val="auto"/>
              </w:rPr>
              <w:t>8</w:t>
            </w:r>
          </w:p>
        </w:tc>
        <w:tc>
          <w:tcPr>
            <w:tcW w:w="1340" w:type="dxa"/>
            <w:vAlign w:val="bottom"/>
          </w:tcPr>
          <w:p>
            <w:pPr>
              <w:jc w:val="right"/>
              <w:ind w:right="121"/>
              <w:spacing w:after="0"/>
              <w:rPr>
                <w:sz w:val="20"/>
                <w:szCs w:val="20"/>
                <w:color w:val="auto"/>
              </w:rPr>
            </w:pPr>
            <w:r>
              <w:rPr>
                <w:rFonts w:ascii="Arial" w:cs="Arial" w:eastAsia="Arial" w:hAnsi="Arial"/>
                <w:sz w:val="16"/>
                <w:szCs w:val="16"/>
                <w:b w:val="1"/>
                <w:bCs w:val="1"/>
                <w:color w:val="auto"/>
              </w:rPr>
              <w:t>$121.19</w:t>
            </w:r>
          </w:p>
        </w:tc>
        <w:tc>
          <w:tcPr>
            <w:tcW w:w="1460" w:type="dxa"/>
            <w:vAlign w:val="bottom"/>
          </w:tcPr>
          <w:p>
            <w:pPr>
              <w:jc w:val="right"/>
              <w:ind w:right="61"/>
              <w:spacing w:after="0"/>
              <w:rPr>
                <w:sz w:val="20"/>
                <w:szCs w:val="20"/>
                <w:color w:val="auto"/>
              </w:rPr>
            </w:pPr>
            <w:r>
              <w:rPr>
                <w:rFonts w:ascii="Arial" w:cs="Arial" w:eastAsia="Arial" w:hAnsi="Arial"/>
                <w:sz w:val="16"/>
                <w:szCs w:val="16"/>
                <w:b w:val="1"/>
                <w:bCs w:val="1"/>
                <w:color w:val="auto"/>
              </w:rPr>
              <w:t>46</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$121.20</w:t>
            </w:r>
          </w:p>
        </w:tc>
      </w:tr>
      <w:tr>
        <w:trPr>
          <w:trHeight w:val="185"/>
        </w:trPr>
        <w:tc>
          <w:tcPr>
            <w:tcW w:w="1840" w:type="dxa"/>
            <w:vAlign w:val="bottom"/>
          </w:tcPr>
          <w:p>
            <w:pPr>
              <w:spacing w:after="0"/>
              <w:rPr>
                <w:sz w:val="20"/>
                <w:szCs w:val="20"/>
                <w:color w:val="auto"/>
              </w:rPr>
            </w:pPr>
            <w:r>
              <w:rPr>
                <w:rFonts w:ascii="Arial" w:cs="Arial" w:eastAsia="Arial" w:hAnsi="Arial"/>
                <w:sz w:val="16"/>
                <w:szCs w:val="16"/>
                <w:b w:val="1"/>
                <w:bCs w:val="1"/>
                <w:color w:val="auto"/>
              </w:rPr>
              <w:t> $155.01 - $160.00</w:t>
            </w:r>
          </w:p>
        </w:tc>
        <w:tc>
          <w:tcPr>
            <w:tcW w:w="1580" w:type="dxa"/>
            <w:vAlign w:val="bottom"/>
          </w:tcPr>
          <w:p>
            <w:pPr>
              <w:jc w:val="right"/>
              <w:ind w:right="121"/>
              <w:spacing w:after="0"/>
              <w:rPr>
                <w:sz w:val="20"/>
                <w:szCs w:val="20"/>
                <w:color w:val="auto"/>
              </w:rPr>
            </w:pPr>
            <w:r>
              <w:rPr>
                <w:rFonts w:ascii="Arial" w:cs="Arial" w:eastAsia="Arial" w:hAnsi="Arial"/>
                <w:sz w:val="16"/>
                <w:szCs w:val="16"/>
                <w:b w:val="1"/>
                <w:bCs w:val="1"/>
                <w:color w:val="auto"/>
              </w:rPr>
              <w:t>183</w:t>
            </w:r>
          </w:p>
        </w:tc>
        <w:tc>
          <w:tcPr>
            <w:tcW w:w="1620" w:type="dxa"/>
            <w:vAlign w:val="bottom"/>
          </w:tcPr>
          <w:p>
            <w:pPr>
              <w:jc w:val="right"/>
              <w:ind w:right="121"/>
              <w:spacing w:after="0"/>
              <w:rPr>
                <w:sz w:val="20"/>
                <w:szCs w:val="20"/>
                <w:color w:val="auto"/>
              </w:rPr>
            </w:pPr>
            <w:r>
              <w:rPr>
                <w:rFonts w:ascii="Arial" w:cs="Arial" w:eastAsia="Arial" w:hAnsi="Arial"/>
                <w:sz w:val="16"/>
                <w:szCs w:val="16"/>
                <w:b w:val="1"/>
                <w:bCs w:val="1"/>
                <w:color w:val="auto"/>
              </w:rPr>
              <w:t>9</w:t>
            </w:r>
          </w:p>
        </w:tc>
        <w:tc>
          <w:tcPr>
            <w:tcW w:w="1340" w:type="dxa"/>
            <w:vAlign w:val="bottom"/>
          </w:tcPr>
          <w:p>
            <w:pPr>
              <w:jc w:val="right"/>
              <w:ind w:right="121"/>
              <w:spacing w:after="0"/>
              <w:rPr>
                <w:sz w:val="20"/>
                <w:szCs w:val="20"/>
                <w:color w:val="auto"/>
              </w:rPr>
            </w:pPr>
            <w:r>
              <w:rPr>
                <w:rFonts w:ascii="Arial" w:cs="Arial" w:eastAsia="Arial" w:hAnsi="Arial"/>
                <w:sz w:val="16"/>
                <w:szCs w:val="16"/>
                <w:b w:val="1"/>
                <w:bCs w:val="1"/>
                <w:color w:val="auto"/>
              </w:rPr>
              <w:t>$156.94</w:t>
            </w:r>
          </w:p>
        </w:tc>
        <w:tc>
          <w:tcPr>
            <w:tcW w:w="146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$156.94</w:t>
            </w:r>
          </w:p>
        </w:tc>
      </w:tr>
      <w:tr>
        <w:trPr>
          <w:trHeight w:val="200"/>
        </w:trPr>
        <w:tc>
          <w:tcPr>
            <w:tcW w:w="1840" w:type="dxa"/>
            <w:vAlign w:val="bottom"/>
            <w:tcBorders>
              <w:bottom w:val="single" w:sz="8" w:color="B2B2B2"/>
            </w:tcBorders>
          </w:tcPr>
          <w:p>
            <w:pPr>
              <w:spacing w:after="0"/>
              <w:rPr>
                <w:sz w:val="20"/>
                <w:szCs w:val="20"/>
                <w:color w:val="auto"/>
              </w:rPr>
            </w:pPr>
            <w:r>
              <w:rPr>
                <w:rFonts w:ascii="Arial" w:cs="Arial" w:eastAsia="Arial" w:hAnsi="Arial"/>
                <w:sz w:val="16"/>
                <w:szCs w:val="16"/>
                <w:b w:val="1"/>
                <w:bCs w:val="1"/>
                <w:color w:val="auto"/>
              </w:rPr>
              <w:t> $165.01 - $170.00</w:t>
            </w:r>
          </w:p>
        </w:tc>
        <w:tc>
          <w:tcPr>
            <w:tcW w:w="1580" w:type="dxa"/>
            <w:vAlign w:val="bottom"/>
            <w:tcBorders>
              <w:bottom w:val="single" w:sz="8" w:color="B2B2B2"/>
            </w:tcBorders>
          </w:tcPr>
          <w:p>
            <w:pPr>
              <w:jc w:val="right"/>
              <w:ind w:right="121"/>
              <w:spacing w:after="0"/>
              <w:rPr>
                <w:sz w:val="20"/>
                <w:szCs w:val="20"/>
                <w:color w:val="auto"/>
              </w:rPr>
            </w:pPr>
            <w:r>
              <w:rPr>
                <w:rFonts w:ascii="Arial" w:cs="Arial" w:eastAsia="Arial" w:hAnsi="Arial"/>
                <w:sz w:val="16"/>
                <w:szCs w:val="16"/>
                <w:b w:val="1"/>
                <w:bCs w:val="1"/>
                <w:color w:val="auto"/>
              </w:rPr>
              <w:t>2</w:t>
            </w:r>
          </w:p>
        </w:tc>
        <w:tc>
          <w:tcPr>
            <w:tcW w:w="1620" w:type="dxa"/>
            <w:vAlign w:val="bottom"/>
            <w:tcBorders>
              <w:bottom w:val="single" w:sz="8" w:color="B2B2B2"/>
            </w:tcBorders>
          </w:tcPr>
          <w:p>
            <w:pPr>
              <w:jc w:val="right"/>
              <w:ind w:right="121"/>
              <w:spacing w:after="0"/>
              <w:rPr>
                <w:sz w:val="20"/>
                <w:szCs w:val="20"/>
                <w:color w:val="auto"/>
              </w:rPr>
            </w:pPr>
            <w:r>
              <w:rPr>
                <w:rFonts w:ascii="Arial" w:cs="Arial" w:eastAsia="Arial" w:hAnsi="Arial"/>
                <w:sz w:val="16"/>
                <w:szCs w:val="16"/>
                <w:b w:val="1"/>
                <w:bCs w:val="1"/>
                <w:color w:val="auto"/>
              </w:rPr>
              <w:t>9</w:t>
            </w:r>
          </w:p>
        </w:tc>
        <w:tc>
          <w:tcPr>
            <w:tcW w:w="1340" w:type="dxa"/>
            <w:vAlign w:val="bottom"/>
            <w:tcBorders>
              <w:bottom w:val="single" w:sz="8" w:color="B2B2B2"/>
            </w:tcBorders>
          </w:tcPr>
          <w:p>
            <w:pPr>
              <w:jc w:val="right"/>
              <w:ind w:right="121"/>
              <w:spacing w:after="0"/>
              <w:rPr>
                <w:sz w:val="20"/>
                <w:szCs w:val="20"/>
                <w:color w:val="auto"/>
              </w:rPr>
            </w:pPr>
            <w:r>
              <w:rPr>
                <w:rFonts w:ascii="Arial" w:cs="Arial" w:eastAsia="Arial" w:hAnsi="Arial"/>
                <w:sz w:val="16"/>
                <w:szCs w:val="16"/>
                <w:b w:val="1"/>
                <w:bCs w:val="1"/>
                <w:color w:val="auto"/>
              </w:rPr>
              <w:t>$167.87</w:t>
            </w:r>
          </w:p>
        </w:tc>
        <w:tc>
          <w:tcPr>
            <w:tcW w:w="1460" w:type="dxa"/>
            <w:vAlign w:val="bottom"/>
            <w:tcBorders>
              <w:bottom w:val="single" w:sz="8" w:color="B2B2B2"/>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$167.87</w:t>
            </w:r>
          </w:p>
        </w:tc>
      </w:tr>
      <w:tr>
        <w:trPr>
          <w:trHeight w:val="185"/>
        </w:trPr>
        <w:tc>
          <w:tcPr>
            <w:tcW w:w="184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b w:val="1"/>
                <w:bCs w:val="1"/>
                <w:color w:val="auto"/>
              </w:rPr>
              <w:t> Total</w:t>
            </w:r>
          </w:p>
        </w:tc>
        <w:tc>
          <w:tcPr>
            <w:tcW w:w="1580" w:type="dxa"/>
            <w:vAlign w:val="bottom"/>
            <w:tcBorders>
              <w:bottom w:val="single" w:sz="8" w:color="D64000"/>
            </w:tcBorders>
          </w:tcPr>
          <w:p>
            <w:pPr>
              <w:jc w:val="right"/>
              <w:ind w:right="121"/>
              <w:spacing w:after="0" w:line="179" w:lineRule="exact"/>
              <w:rPr>
                <w:sz w:val="20"/>
                <w:szCs w:val="20"/>
                <w:color w:val="auto"/>
              </w:rPr>
            </w:pPr>
            <w:r>
              <w:rPr>
                <w:rFonts w:ascii="Arial" w:cs="Arial" w:eastAsia="Arial" w:hAnsi="Arial"/>
                <w:sz w:val="16"/>
                <w:szCs w:val="16"/>
                <w:b w:val="1"/>
                <w:bCs w:val="1"/>
                <w:color w:val="auto"/>
              </w:rPr>
              <w:t>1,213</w:t>
            </w:r>
          </w:p>
        </w:tc>
        <w:tc>
          <w:tcPr>
            <w:tcW w:w="1620" w:type="dxa"/>
            <w:vAlign w:val="bottom"/>
            <w:tcBorders>
              <w:bottom w:val="single" w:sz="8" w:color="D64000"/>
            </w:tcBorders>
          </w:tcPr>
          <w:p>
            <w:pPr>
              <w:spacing w:after="0"/>
              <w:rPr>
                <w:sz w:val="16"/>
                <w:szCs w:val="16"/>
                <w:color w:val="auto"/>
              </w:rPr>
            </w:pPr>
          </w:p>
        </w:tc>
        <w:tc>
          <w:tcPr>
            <w:tcW w:w="1340" w:type="dxa"/>
            <w:vAlign w:val="bottom"/>
            <w:tcBorders>
              <w:bottom w:val="single" w:sz="8" w:color="D64000"/>
            </w:tcBorders>
          </w:tcPr>
          <w:p>
            <w:pPr>
              <w:spacing w:after="0"/>
              <w:rPr>
                <w:sz w:val="16"/>
                <w:szCs w:val="16"/>
                <w:color w:val="auto"/>
              </w:rPr>
            </w:pPr>
          </w:p>
        </w:tc>
        <w:tc>
          <w:tcPr>
            <w:tcW w:w="1460" w:type="dxa"/>
            <w:vAlign w:val="bottom"/>
            <w:tcBorders>
              <w:bottom w:val="single" w:sz="8" w:color="D64000"/>
            </w:tcBorders>
          </w:tcPr>
          <w:p>
            <w:pPr>
              <w:jc w:val="right"/>
              <w:ind w:right="61"/>
              <w:spacing w:after="0" w:line="179" w:lineRule="exact"/>
              <w:rPr>
                <w:sz w:val="20"/>
                <w:szCs w:val="20"/>
                <w:color w:val="auto"/>
              </w:rPr>
            </w:pPr>
            <w:r>
              <w:rPr>
                <w:rFonts w:ascii="Arial" w:cs="Arial" w:eastAsia="Arial" w:hAnsi="Arial"/>
                <w:sz w:val="16"/>
                <w:szCs w:val="16"/>
                <w:b w:val="1"/>
                <w:bCs w:val="1"/>
                <w:color w:val="auto"/>
              </w:rPr>
              <w:t>677</w:t>
            </w:r>
          </w:p>
        </w:tc>
        <w:tc>
          <w:tcPr>
            <w:tcW w:w="1240" w:type="dxa"/>
            <w:vAlign w:val="bottom"/>
            <w:tcBorders>
              <w:bottom w:val="single" w:sz="8" w:color="D64000"/>
            </w:tcBorders>
          </w:tcPr>
          <w:p>
            <w:pPr>
              <w:spacing w:after="0"/>
              <w:rPr>
                <w:sz w:val="16"/>
                <w:szCs w:val="16"/>
                <w:color w:val="auto"/>
              </w:rPr>
            </w:pPr>
          </w:p>
        </w:tc>
      </w:tr>
    </w:tbl>
    <w:p>
      <w:pPr>
        <w:spacing w:after="0" w:line="110" w:lineRule="exact"/>
        <w:rPr>
          <w:sz w:val="20"/>
          <w:szCs w:val="20"/>
          <w:color w:val="auto"/>
        </w:rPr>
      </w:pPr>
    </w:p>
    <w:p>
      <w:pPr>
        <w:ind w:left="540" w:hanging="322"/>
        <w:spacing w:after="0"/>
        <w:tabs>
          <w:tab w:leader="none" w:pos="54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TRSUs and PRSUs are excluded as they entitle holders to receive common shares upon vesting without an associated exercise price.</w:t>
      </w:r>
    </w:p>
    <w:p>
      <w:pPr>
        <w:spacing w:after="0" w:line="32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Note 27: Employee Benefit Plans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Retirement Benefits</w:t>
      </w:r>
    </w:p>
    <w:p>
      <w:pPr>
        <w:spacing w:after="0" w:line="6" w:lineRule="exact"/>
        <w:rPr>
          <w:sz w:val="20"/>
          <w:szCs w:val="20"/>
          <w:color w:val="auto"/>
        </w:rPr>
      </w:pPr>
    </w:p>
    <w:p>
      <w:pPr>
        <w:ind w:left="220" w:right="100"/>
        <w:spacing w:after="0" w:line="233" w:lineRule="auto"/>
        <w:rPr>
          <w:sz w:val="20"/>
          <w:szCs w:val="20"/>
          <w:color w:val="auto"/>
        </w:rPr>
      </w:pPr>
      <w:r>
        <w:rPr>
          <w:rFonts w:ascii="Arial" w:cs="Arial" w:eastAsia="Arial" w:hAnsi="Arial"/>
          <w:sz w:val="17"/>
          <w:szCs w:val="17"/>
          <w:color w:val="auto"/>
        </w:rPr>
        <w:t xml:space="preserve">The Company sponsors both defined benefit and defined contribution employee future benefit plans covering substantially all employees. Costs for future employee benefits are accrued over the periods in which employees earn the benefits. Defined benefit plans provide pension and other post-employment benefits (“OPEB”) to covered employees. Significant plans are valued under IAS 19, </w:t>
      </w:r>
      <w:r>
        <w:rPr>
          <w:rFonts w:ascii="Arial" w:cs="Arial" w:eastAsia="Arial" w:hAnsi="Arial"/>
          <w:sz w:val="17"/>
          <w:szCs w:val="17"/>
          <w:i w:val="1"/>
          <w:iCs w:val="1"/>
          <w:color w:val="auto"/>
        </w:rPr>
        <w:t>Employee Benefits</w:t>
      </w:r>
      <w:r>
        <w:rPr>
          <w:rFonts w:ascii="Arial" w:cs="Arial" w:eastAsia="Arial" w:hAnsi="Arial"/>
          <w:sz w:val="17"/>
          <w:szCs w:val="17"/>
          <w:color w:val="auto"/>
        </w:rPr>
        <w:t>, using the projected unit credit method.</w:t>
      </w:r>
    </w:p>
    <w:p>
      <w:pPr>
        <w:spacing w:after="0" w:line="46" w:lineRule="exact"/>
        <w:rPr>
          <w:sz w:val="20"/>
          <w:szCs w:val="20"/>
          <w:color w:val="auto"/>
        </w:rPr>
      </w:pPr>
    </w:p>
    <w:p>
      <w:pPr>
        <w:ind w:left="220" w:right="280"/>
        <w:spacing w:after="0" w:line="254" w:lineRule="auto"/>
        <w:rPr>
          <w:sz w:val="20"/>
          <w:szCs w:val="20"/>
          <w:color w:val="auto"/>
        </w:rPr>
      </w:pPr>
      <w:r>
        <w:rPr>
          <w:rFonts w:ascii="Arial" w:cs="Arial" w:eastAsia="Arial" w:hAnsi="Arial"/>
          <w:sz w:val="16"/>
          <w:szCs w:val="16"/>
          <w:color w:val="auto"/>
        </w:rPr>
        <w:t>The most significant funded defined benefit plans are the Thomson Reuters Group Pension Plan (“TRGP”), covering U.S. employees, and The Thomson Corporation PLC Pension Scheme (“TTC”), covering U.K. employees. The TRGP and TTC plan were frozen from future service accruals effective January 1, 2023 and July 1, 2021, respectively. Except where required by law, virtually all defined benefit plans are closed to new employees. The Company also has unfunded obligations consisting of supplemental executive retirement plans (“SERPs”) and OPEB consisting largely of retiree medical benefits, both primarily in the U.S. Defined benefit obligations in the rest of the world are less significant.</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Defined benefit plan design and governance</w:t>
      </w:r>
    </w:p>
    <w:p>
      <w:pPr>
        <w:spacing w:after="0" w:line="6" w:lineRule="exact"/>
        <w:rPr>
          <w:sz w:val="20"/>
          <w:szCs w:val="20"/>
          <w:color w:val="auto"/>
        </w:rPr>
      </w:pPr>
    </w:p>
    <w:p>
      <w:pPr>
        <w:ind w:left="220" w:right="20"/>
        <w:spacing w:after="0" w:line="230" w:lineRule="auto"/>
        <w:rPr>
          <w:sz w:val="20"/>
          <w:szCs w:val="20"/>
          <w:color w:val="auto"/>
        </w:rPr>
      </w:pPr>
      <w:r>
        <w:rPr>
          <w:rFonts w:ascii="Arial" w:cs="Arial" w:eastAsia="Arial" w:hAnsi="Arial"/>
          <w:sz w:val="17"/>
          <w:szCs w:val="17"/>
          <w:color w:val="auto"/>
        </w:rPr>
        <w:t>Benefits are generally based on salary and years of service, although each plan has a unique benefits formula. The normal retirement age is typically in the range of 60 to 65 years and benefits are generally payable in annuity or lump sum upon retirement. Most plans include provisions for early retirement, death, survivor and disability benefits. Under the TTC plan, vested benefits of former employees who are not yet of retirement age are held in deferment. Under the TRGP, former and future terminating employees with vested benefits have the option to receive benefits as a lump sum or to defer benefits until retirement. In addition, future TRGP retirees may receive benefits in lump sum or annuity. Eligible benefits under the TTC plan increase based on inflation, whereas TRGP benefits are not indexed to inflation. In some countries, the Company operates cash balance plans (accounted for as defined benefit obligations) where the accumulated balance on the pension account is based on employee and employer allocations and a promised annual crediting rate.</w:t>
      </w:r>
    </w:p>
    <w:p>
      <w:pPr>
        <w:spacing w:after="0" w:line="49" w:lineRule="exact"/>
        <w:rPr>
          <w:sz w:val="20"/>
          <w:szCs w:val="20"/>
          <w:color w:val="auto"/>
        </w:rPr>
      </w:pPr>
    </w:p>
    <w:p>
      <w:pPr>
        <w:ind w:left="220" w:right="120"/>
        <w:spacing w:after="0" w:line="260" w:lineRule="auto"/>
        <w:rPr>
          <w:sz w:val="20"/>
          <w:szCs w:val="20"/>
          <w:color w:val="auto"/>
        </w:rPr>
      </w:pPr>
      <w:r>
        <w:rPr>
          <w:rFonts w:ascii="Arial" w:cs="Arial" w:eastAsia="Arial" w:hAnsi="Arial"/>
          <w:sz w:val="17"/>
          <w:szCs w:val="17"/>
          <w:color w:val="auto"/>
        </w:rPr>
        <w:t>The TRGP is a qualified pension plan in the U.S. and is governed by the Employee Retirement Income Security Act of 1974 (“ERISA”). In its role as plan fiduciary, the Company has a policy to contribute at least the minimum required amount under ERISA.</w:t>
      </w:r>
    </w:p>
    <w:p>
      <w:pPr>
        <w:spacing w:after="0" w:line="40" w:lineRule="exact"/>
        <w:rPr>
          <w:sz w:val="20"/>
          <w:szCs w:val="20"/>
          <w:color w:val="auto"/>
        </w:rPr>
      </w:pPr>
    </w:p>
    <w:p>
      <w:pPr>
        <w:ind w:left="220" w:right="40"/>
        <w:spacing w:after="0" w:line="251" w:lineRule="auto"/>
        <w:rPr>
          <w:sz w:val="20"/>
          <w:szCs w:val="20"/>
          <w:color w:val="auto"/>
        </w:rPr>
      </w:pPr>
      <w:r>
        <w:rPr>
          <w:rFonts w:ascii="Arial" w:cs="Arial" w:eastAsia="Arial" w:hAnsi="Arial"/>
          <w:sz w:val="16"/>
          <w:szCs w:val="16"/>
          <w:color w:val="auto"/>
        </w:rPr>
        <w:t>Similar to the TRGP, the Company bears the cost of the TTC plan (less employee contributions). However, the responsibility for the management and governance of the TTC plan lies with an independent trustee board (the “Trustees”). The Trustees are responsible for carrying out triennial valuations (unless circumstances require an earlier review) and securing funding for benefit payments. To develop funding valuations and investment policies, the Trustees consult with the plan’s actuary (who is independent of the Company’s actuary), the plan’s investment advisors (also independent of the Company’s investment advisors) and the Company. The Trustees and the Company are required to agree on a schedule of contributions in support of funding objectives. These arrangements are updated in conjunction with the triennial valuations.</w:t>
      </w:r>
    </w:p>
    <w:p>
      <w:pPr>
        <w:spacing w:after="0" w:line="131" w:lineRule="exact"/>
        <w:rPr>
          <w:sz w:val="20"/>
          <w:szCs w:val="20"/>
          <w:color w:val="auto"/>
        </w:rPr>
      </w:pPr>
    </w:p>
    <w:p>
      <w:pPr>
        <w:ind w:left="220"/>
        <w:spacing w:after="0"/>
        <w:tabs>
          <w:tab w:leader="none" w:pos="1030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6"/>
          <w:szCs w:val="16"/>
          <w:color w:val="auto"/>
        </w:rPr>
        <w:t>Page 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-118110</wp:posOffset>
            </wp:positionV>
            <wp:extent cx="686562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ectPr>
          <w:pgSz w:w="11900" w:h="16838" w:orient="portrait"/>
          <w:cols w:equalWidth="0" w:num="1">
            <w:col w:w="11040"/>
          </w:cols>
          <w:pgMar w:left="320" w:top="477" w:right="5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Other international locations operate various pension plans in accordance with local regulations and practices.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Plan amendment</w:t>
      </w:r>
    </w:p>
    <w:p>
      <w:pPr>
        <w:spacing w:after="0" w:line="6" w:lineRule="exact"/>
        <w:rPr>
          <w:sz w:val="20"/>
          <w:szCs w:val="20"/>
          <w:color w:val="auto"/>
        </w:rPr>
      </w:pPr>
    </w:p>
    <w:p>
      <w:pPr>
        <w:ind w:left="220" w:right="120"/>
        <w:spacing w:after="0" w:line="231" w:lineRule="auto"/>
        <w:rPr>
          <w:sz w:val="20"/>
          <w:szCs w:val="20"/>
          <w:color w:val="auto"/>
        </w:rPr>
      </w:pPr>
      <w:r>
        <w:rPr>
          <w:rFonts w:ascii="Arial" w:cs="Arial" w:eastAsia="Arial" w:hAnsi="Arial"/>
          <w:sz w:val="17"/>
          <w:szCs w:val="17"/>
          <w:color w:val="auto"/>
        </w:rPr>
        <w:t>In the third quarter of 2024, retiree medical benefits in the U.S. were amended with effect from January 1, 2025 to transition to a HRA where the Company provides a fixed subsidy to plan participants that may be used to purchase healthcare insurance on the individual marketplace. Previously, the Company delivered benefits through a combination of self-insured and fully-insured models. The amendment resulted in a gain of $13 million in 2024 due to lower retiree medical costs expected in the future under the HRA model. The gain was recognized in “Other operating gains, net” within the consolidated income statement and as a reduction to the Company’s OPEB obligations in the consolidated statement of financial position.</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Net defined benefit plan obligations</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movement on net defined benefit plan obligations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132080</wp:posOffset>
            </wp:positionV>
            <wp:extent cx="617537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168" w:lineRule="exact"/>
        <w:rPr>
          <w:sz w:val="20"/>
          <w:szCs w:val="20"/>
          <w:color w:val="auto"/>
        </w:rPr>
      </w:pPr>
    </w:p>
    <w:tbl>
      <w:tblPr>
        <w:tblLayout w:type="fixed"/>
        <w:tblInd w:w="220" w:type="dxa"/>
        <w:tblCellMar>
          <w:top w:w="0" w:type="dxa"/>
          <w:left w:w="0" w:type="dxa"/>
          <w:bottom w:w="0" w:type="dxa"/>
          <w:right w:w="0" w:type="dxa"/>
        </w:tblCellMar>
      </w:tblPr>
      <w:tr>
        <w:trPr>
          <w:trHeight w:val="218"/>
        </w:trPr>
        <w:tc>
          <w:tcPr>
            <w:tcW w:w="6780" w:type="dxa"/>
            <w:vAlign w:val="bottom"/>
            <w:gridSpan w:val="3"/>
            <w:shd w:val="clear" w:color="auto" w:fill="1F473D"/>
          </w:tcPr>
          <w:p>
            <w:pPr>
              <w:ind w:left="5400"/>
              <w:spacing w:after="0"/>
              <w:rPr>
                <w:sz w:val="20"/>
                <w:szCs w:val="20"/>
                <w:color w:val="auto"/>
              </w:rPr>
            </w:pPr>
            <w:r>
              <w:rPr>
                <w:rFonts w:ascii="Arial" w:cs="Arial" w:eastAsia="Arial" w:hAnsi="Arial"/>
                <w:sz w:val="16"/>
                <w:szCs w:val="16"/>
                <w:b w:val="1"/>
                <w:bCs w:val="1"/>
                <w:color w:val="FFFFFF"/>
              </w:rPr>
              <w:t>Pension Plans</w:t>
            </w:r>
            <w:r>
              <w:rPr>
                <w:rFonts w:ascii="Arial" w:cs="Arial" w:eastAsia="Arial" w:hAnsi="Arial"/>
                <w:sz w:val="19"/>
                <w:szCs w:val="19"/>
                <w:b w:val="1"/>
                <w:bCs w:val="1"/>
                <w:color w:val="FFFFFF"/>
                <w:vertAlign w:val="superscript"/>
              </w:rPr>
              <w:t>(1)</w:t>
            </w:r>
          </w:p>
        </w:tc>
        <w:tc>
          <w:tcPr>
            <w:tcW w:w="1480" w:type="dxa"/>
            <w:vAlign w:val="bottom"/>
            <w:gridSpan w:val="2"/>
            <w:shd w:val="clear" w:color="auto" w:fill="1F473D"/>
          </w:tcPr>
          <w:p>
            <w:pPr>
              <w:jc w:val="right"/>
              <w:ind w:right="381"/>
              <w:spacing w:after="0"/>
              <w:rPr>
                <w:sz w:val="20"/>
                <w:szCs w:val="20"/>
                <w:color w:val="auto"/>
              </w:rPr>
            </w:pPr>
            <w:r>
              <w:rPr>
                <w:rFonts w:ascii="Arial" w:cs="Arial" w:eastAsia="Arial" w:hAnsi="Arial"/>
                <w:sz w:val="16"/>
                <w:szCs w:val="16"/>
                <w:b w:val="1"/>
                <w:bCs w:val="1"/>
                <w:color w:val="FFFFFF"/>
              </w:rPr>
              <w:t>OPEB</w:t>
            </w:r>
            <w:r>
              <w:rPr>
                <w:rFonts w:ascii="Arial" w:cs="Arial" w:eastAsia="Arial" w:hAnsi="Arial"/>
                <w:sz w:val="19"/>
                <w:szCs w:val="19"/>
                <w:b w:val="1"/>
                <w:bCs w:val="1"/>
                <w:color w:val="FFFFFF"/>
                <w:vertAlign w:val="superscript"/>
              </w:rPr>
              <w:t>(1)</w:t>
            </w:r>
          </w:p>
        </w:tc>
        <w:tc>
          <w:tcPr>
            <w:tcW w:w="1000" w:type="dxa"/>
            <w:vAlign w:val="bottom"/>
            <w:shd w:val="clear" w:color="auto" w:fill="1F473D"/>
          </w:tcPr>
          <w:p>
            <w:pPr>
              <w:jc w:val="right"/>
              <w:spacing w:after="0"/>
              <w:rPr>
                <w:sz w:val="20"/>
                <w:szCs w:val="20"/>
                <w:color w:val="auto"/>
              </w:rPr>
            </w:pPr>
            <w:r>
              <w:rPr>
                <w:rFonts w:ascii="Arial" w:cs="Arial" w:eastAsia="Arial" w:hAnsi="Arial"/>
                <w:sz w:val="16"/>
                <w:szCs w:val="16"/>
                <w:b w:val="1"/>
                <w:bCs w:val="1"/>
                <w:color w:val="FFFFFF"/>
              </w:rPr>
              <w:t>Total</w:t>
            </w:r>
            <w:r>
              <w:rPr>
                <w:rFonts w:ascii="Arial" w:cs="Arial" w:eastAsia="Arial" w:hAnsi="Arial"/>
                <w:sz w:val="19"/>
                <w:szCs w:val="19"/>
                <w:b w:val="1"/>
                <w:bCs w:val="1"/>
                <w:color w:val="FFFFFF"/>
                <w:vertAlign w:val="superscript"/>
              </w:rPr>
              <w:t>(1)</w:t>
            </w:r>
          </w:p>
        </w:tc>
        <w:tc>
          <w:tcPr>
            <w:tcW w:w="460" w:type="dxa"/>
            <w:vAlign w:val="bottom"/>
            <w:shd w:val="clear" w:color="auto" w:fill="1F473D"/>
          </w:tcPr>
          <w:p>
            <w:pPr>
              <w:spacing w:after="0"/>
              <w:rPr>
                <w:sz w:val="18"/>
                <w:szCs w:val="18"/>
                <w:color w:val="auto"/>
              </w:rPr>
            </w:pPr>
          </w:p>
        </w:tc>
      </w:tr>
      <w:tr>
        <w:trPr>
          <w:trHeight w:val="192"/>
        </w:trPr>
        <w:tc>
          <w:tcPr>
            <w:tcW w:w="5460" w:type="dxa"/>
            <w:vAlign w:val="bottom"/>
            <w:tcBorders>
              <w:bottom w:val="single" w:sz="8" w:color="D64000"/>
            </w:tcBorders>
            <w:shd w:val="clear" w:color="auto" w:fill="E3F3EE"/>
          </w:tcPr>
          <w:p>
            <w:pPr>
              <w:ind w:left="5360"/>
              <w:spacing w:after="0"/>
              <w:rPr>
                <w:sz w:val="20"/>
                <w:szCs w:val="20"/>
                <w:color w:val="auto"/>
              </w:rPr>
            </w:pPr>
            <w:r>
              <w:rPr>
                <w:rFonts w:ascii="Arial" w:cs="Arial" w:eastAsia="Arial" w:hAnsi="Arial"/>
                <w:sz w:val="11"/>
                <w:szCs w:val="11"/>
                <w:b w:val="1"/>
                <w:bCs w:val="1"/>
                <w:color w:val="auto"/>
                <w:w w:val="72"/>
              </w:rPr>
              <w:t> </w:t>
            </w:r>
          </w:p>
        </w:tc>
        <w:tc>
          <w:tcPr>
            <w:tcW w:w="560" w:type="dxa"/>
            <w:vAlign w:val="bottom"/>
            <w:tcBorders>
              <w:bottom w:val="single" w:sz="8" w:color="D64000"/>
            </w:tcBorders>
            <w:shd w:val="clear" w:color="auto" w:fill="E3F3EE"/>
          </w:tcPr>
          <w:p>
            <w:pPr>
              <w:jc w:val="right"/>
              <w:ind w:right="61"/>
              <w:spacing w:after="0"/>
              <w:rPr>
                <w:sz w:val="20"/>
                <w:szCs w:val="20"/>
                <w:color w:val="auto"/>
              </w:rPr>
            </w:pPr>
            <w:r>
              <w:rPr>
                <w:rFonts w:ascii="Arial" w:cs="Arial" w:eastAsia="Arial" w:hAnsi="Arial"/>
                <w:sz w:val="16"/>
                <w:szCs w:val="16"/>
                <w:b w:val="1"/>
                <w:bCs w:val="1"/>
                <w:color w:val="auto"/>
              </w:rPr>
              <w:t>2024</w:t>
            </w:r>
          </w:p>
        </w:tc>
        <w:tc>
          <w:tcPr>
            <w:tcW w:w="760" w:type="dxa"/>
            <w:vAlign w:val="bottom"/>
            <w:tcBorders>
              <w:bottom w:val="single" w:sz="8" w:color="D64000"/>
            </w:tcBorders>
            <w:shd w:val="clear" w:color="auto" w:fill="E3F3EE"/>
          </w:tcPr>
          <w:p>
            <w:pPr>
              <w:jc w:val="right"/>
              <w:ind w:right="41"/>
              <w:spacing w:after="0"/>
              <w:rPr>
                <w:sz w:val="20"/>
                <w:szCs w:val="20"/>
                <w:color w:val="auto"/>
              </w:rPr>
            </w:pPr>
            <w:r>
              <w:rPr>
                <w:rFonts w:ascii="Arial" w:cs="Arial" w:eastAsia="Arial" w:hAnsi="Arial"/>
                <w:sz w:val="16"/>
                <w:szCs w:val="16"/>
                <w:color w:val="auto"/>
              </w:rPr>
              <w:t>   2023</w:t>
            </w:r>
          </w:p>
        </w:tc>
        <w:tc>
          <w:tcPr>
            <w:tcW w:w="740" w:type="dxa"/>
            <w:vAlign w:val="bottom"/>
            <w:tcBorders>
              <w:bottom w:val="single" w:sz="8" w:color="D64000"/>
            </w:tcBorders>
            <w:shd w:val="clear" w:color="auto" w:fill="E3F3EE"/>
          </w:tcPr>
          <w:p>
            <w:pPr>
              <w:jc w:val="right"/>
              <w:ind w:right="41"/>
              <w:spacing w:after="0"/>
              <w:rPr>
                <w:sz w:val="20"/>
                <w:szCs w:val="20"/>
                <w:color w:val="auto"/>
              </w:rPr>
            </w:pPr>
            <w:r>
              <w:rPr>
                <w:rFonts w:ascii="Arial" w:cs="Arial" w:eastAsia="Arial" w:hAnsi="Arial"/>
                <w:sz w:val="16"/>
                <w:szCs w:val="16"/>
                <w:b w:val="1"/>
                <w:bCs w:val="1"/>
                <w:color w:val="auto"/>
                <w:w w:val="99"/>
              </w:rPr>
              <w:t>   2024</w:t>
            </w:r>
          </w:p>
        </w:tc>
        <w:tc>
          <w:tcPr>
            <w:tcW w:w="740" w:type="dxa"/>
            <w:vAlign w:val="bottom"/>
            <w:tcBorders>
              <w:bottom w:val="single" w:sz="8" w:color="D64000"/>
            </w:tcBorders>
            <w:shd w:val="clear" w:color="auto" w:fill="E3F3EE"/>
          </w:tcPr>
          <w:p>
            <w:pPr>
              <w:jc w:val="right"/>
              <w:ind w:right="41"/>
              <w:spacing w:after="0"/>
              <w:rPr>
                <w:sz w:val="20"/>
                <w:szCs w:val="20"/>
                <w:color w:val="auto"/>
              </w:rPr>
            </w:pPr>
            <w:r>
              <w:rPr>
                <w:rFonts w:ascii="Arial" w:cs="Arial" w:eastAsia="Arial" w:hAnsi="Arial"/>
                <w:sz w:val="16"/>
                <w:szCs w:val="16"/>
                <w:color w:val="auto"/>
                <w:w w:val="99"/>
              </w:rPr>
              <w:t>   2023</w:t>
            </w:r>
          </w:p>
        </w:tc>
        <w:tc>
          <w:tcPr>
            <w:tcW w:w="1000" w:type="dxa"/>
            <w:vAlign w:val="bottom"/>
            <w:tcBorders>
              <w:bottom w:val="single" w:sz="8" w:color="D64000"/>
            </w:tcBorders>
            <w:shd w:val="clear" w:color="auto" w:fill="E3F3EE"/>
          </w:tcPr>
          <w:p>
            <w:pPr>
              <w:jc w:val="right"/>
              <w:ind w:right="1"/>
              <w:spacing w:after="0"/>
              <w:rPr>
                <w:sz w:val="20"/>
                <w:szCs w:val="20"/>
                <w:color w:val="auto"/>
              </w:rPr>
            </w:pPr>
            <w:r>
              <w:rPr>
                <w:rFonts w:ascii="Arial" w:cs="Arial" w:eastAsia="Arial" w:hAnsi="Arial"/>
                <w:sz w:val="16"/>
                <w:szCs w:val="16"/>
                <w:b w:val="1"/>
                <w:bCs w:val="1"/>
                <w:color w:val="auto"/>
              </w:rPr>
              <w:t xml:space="preserve">   2024   </w:t>
            </w:r>
            <w:r>
              <w:rPr>
                <w:rFonts w:ascii="Arial" w:cs="Arial" w:eastAsia="Arial" w:hAnsi="Arial"/>
                <w:sz w:val="16"/>
                <w:szCs w:val="16"/>
                <w:color w:val="auto"/>
              </w:rPr>
              <w:t xml:space="preserve"> </w:t>
            </w:r>
          </w:p>
        </w:tc>
        <w:tc>
          <w:tcPr>
            <w:tcW w:w="460" w:type="dxa"/>
            <w:vAlign w:val="bottom"/>
            <w:tcBorders>
              <w:bottom w:val="single" w:sz="8" w:color="D64000"/>
            </w:tcBorders>
            <w:shd w:val="clear" w:color="auto" w:fill="E3F3EE"/>
          </w:tcPr>
          <w:p>
            <w:pPr>
              <w:jc w:val="right"/>
              <w:spacing w:after="0"/>
              <w:rPr>
                <w:sz w:val="20"/>
                <w:szCs w:val="20"/>
                <w:color w:val="auto"/>
              </w:rPr>
            </w:pPr>
            <w:r>
              <w:rPr>
                <w:rFonts w:ascii="Arial" w:cs="Arial" w:eastAsia="Arial" w:hAnsi="Arial"/>
                <w:sz w:val="16"/>
                <w:szCs w:val="16"/>
                <w:color w:val="auto"/>
              </w:rPr>
              <w:t>2023  </w:t>
            </w:r>
          </w:p>
        </w:tc>
      </w:tr>
      <w:tr>
        <w:trPr>
          <w:trHeight w:val="198"/>
        </w:trPr>
        <w:tc>
          <w:tcPr>
            <w:tcW w:w="5460" w:type="dxa"/>
            <w:vAlign w:val="bottom"/>
          </w:tcPr>
          <w:p>
            <w:pPr>
              <w:spacing w:after="0"/>
              <w:rPr>
                <w:sz w:val="20"/>
                <w:szCs w:val="20"/>
                <w:color w:val="auto"/>
              </w:rPr>
            </w:pPr>
            <w:r>
              <w:rPr>
                <w:rFonts w:ascii="Arial" w:cs="Arial" w:eastAsia="Arial" w:hAnsi="Arial"/>
                <w:sz w:val="16"/>
                <w:szCs w:val="16"/>
                <w:color w:val="auto"/>
              </w:rPr>
              <w:t> As of January 1</w:t>
            </w:r>
          </w:p>
        </w:tc>
        <w:tc>
          <w:tcPr>
            <w:tcW w:w="560" w:type="dxa"/>
            <w:vAlign w:val="bottom"/>
          </w:tcPr>
          <w:p>
            <w:pPr>
              <w:jc w:val="right"/>
              <w:ind w:right="61"/>
              <w:spacing w:after="0"/>
              <w:rPr>
                <w:sz w:val="20"/>
                <w:szCs w:val="20"/>
                <w:color w:val="auto"/>
              </w:rPr>
            </w:pPr>
            <w:r>
              <w:rPr>
                <w:rFonts w:ascii="Arial" w:cs="Arial" w:eastAsia="Arial" w:hAnsi="Arial"/>
                <w:sz w:val="16"/>
                <w:szCs w:val="16"/>
                <w:b w:val="1"/>
                <w:bCs w:val="1"/>
                <w:color w:val="auto"/>
              </w:rPr>
              <w:t>(418)</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(397)</w:t>
            </w:r>
          </w:p>
        </w:tc>
        <w:tc>
          <w:tcPr>
            <w:tcW w:w="740" w:type="dxa"/>
            <w:vAlign w:val="bottom"/>
          </w:tcPr>
          <w:p>
            <w:pPr>
              <w:jc w:val="right"/>
              <w:ind w:right="41"/>
              <w:spacing w:after="0"/>
              <w:rPr>
                <w:sz w:val="20"/>
                <w:szCs w:val="20"/>
                <w:color w:val="auto"/>
              </w:rPr>
            </w:pPr>
            <w:r>
              <w:rPr>
                <w:rFonts w:ascii="Arial" w:cs="Arial" w:eastAsia="Arial" w:hAnsi="Arial"/>
                <w:sz w:val="16"/>
                <w:szCs w:val="16"/>
                <w:b w:val="1"/>
                <w:bCs w:val="1"/>
                <w:color w:val="auto"/>
              </w:rPr>
              <w:t>(72)</w:t>
            </w: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(81)</w:t>
            </w:r>
          </w:p>
        </w:tc>
        <w:tc>
          <w:tcPr>
            <w:tcW w:w="1000" w:type="dxa"/>
            <w:vAlign w:val="bottom"/>
          </w:tcPr>
          <w:p>
            <w:pPr>
              <w:jc w:val="right"/>
              <w:ind w:right="301"/>
              <w:spacing w:after="0"/>
              <w:rPr>
                <w:sz w:val="20"/>
                <w:szCs w:val="20"/>
                <w:color w:val="auto"/>
              </w:rPr>
            </w:pPr>
            <w:r>
              <w:rPr>
                <w:rFonts w:ascii="Arial" w:cs="Arial" w:eastAsia="Arial" w:hAnsi="Arial"/>
                <w:sz w:val="16"/>
                <w:szCs w:val="16"/>
                <w:b w:val="1"/>
                <w:bCs w:val="1"/>
                <w:color w:val="auto"/>
              </w:rPr>
              <w:t>(490)</w:t>
            </w:r>
          </w:p>
        </w:tc>
        <w:tc>
          <w:tcPr>
            <w:tcW w:w="460" w:type="dxa"/>
            <w:vAlign w:val="bottom"/>
          </w:tcPr>
          <w:p>
            <w:pPr>
              <w:jc w:val="right"/>
              <w:spacing w:after="0"/>
              <w:rPr>
                <w:sz w:val="20"/>
                <w:szCs w:val="20"/>
                <w:color w:val="auto"/>
              </w:rPr>
            </w:pPr>
            <w:r>
              <w:rPr>
                <w:rFonts w:ascii="Arial" w:cs="Arial" w:eastAsia="Arial" w:hAnsi="Arial"/>
                <w:sz w:val="16"/>
                <w:szCs w:val="16"/>
                <w:color w:val="auto"/>
                <w:w w:val="97"/>
              </w:rPr>
              <w:t>(478)  </w:t>
            </w:r>
          </w:p>
        </w:tc>
      </w:tr>
      <w:tr>
        <w:trPr>
          <w:trHeight w:val="199"/>
        </w:trPr>
        <w:tc>
          <w:tcPr>
            <w:tcW w:w="5460" w:type="dxa"/>
            <w:vAlign w:val="bottom"/>
          </w:tcPr>
          <w:p>
            <w:pPr>
              <w:spacing w:after="0"/>
              <w:rPr>
                <w:sz w:val="20"/>
                <w:szCs w:val="20"/>
                <w:color w:val="auto"/>
              </w:rPr>
            </w:pPr>
            <w:r>
              <w:rPr>
                <w:rFonts w:ascii="Arial" w:cs="Arial" w:eastAsia="Arial" w:hAnsi="Arial"/>
                <w:sz w:val="16"/>
                <w:szCs w:val="16"/>
                <w:color w:val="auto"/>
              </w:rPr>
              <w:t> Plan (expense) benefit recognized in income statement</w:t>
            </w:r>
          </w:p>
        </w:tc>
        <w:tc>
          <w:tcPr>
            <w:tcW w:w="560" w:type="dxa"/>
            <w:vAlign w:val="bottom"/>
          </w:tcPr>
          <w:p>
            <w:pPr>
              <w:jc w:val="right"/>
              <w:ind w:right="61"/>
              <w:spacing w:after="0"/>
              <w:rPr>
                <w:sz w:val="20"/>
                <w:szCs w:val="20"/>
                <w:color w:val="auto"/>
              </w:rPr>
            </w:pPr>
            <w:r>
              <w:rPr>
                <w:rFonts w:ascii="Arial" w:cs="Arial" w:eastAsia="Arial" w:hAnsi="Arial"/>
                <w:sz w:val="16"/>
                <w:szCs w:val="16"/>
                <w:b w:val="1"/>
                <w:bCs w:val="1"/>
                <w:color w:val="auto"/>
              </w:rPr>
              <w:t>(44)</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(42)</w:t>
            </w:r>
          </w:p>
        </w:tc>
        <w:tc>
          <w:tcPr>
            <w:tcW w:w="740" w:type="dxa"/>
            <w:vAlign w:val="bottom"/>
          </w:tcPr>
          <w:p>
            <w:pPr>
              <w:jc w:val="right"/>
              <w:ind w:right="41"/>
              <w:spacing w:after="0"/>
              <w:rPr>
                <w:sz w:val="20"/>
                <w:szCs w:val="20"/>
                <w:color w:val="auto"/>
              </w:rPr>
            </w:pPr>
            <w:r>
              <w:rPr>
                <w:rFonts w:ascii="Arial" w:cs="Arial" w:eastAsia="Arial" w:hAnsi="Arial"/>
                <w:sz w:val="16"/>
                <w:szCs w:val="16"/>
                <w:b w:val="1"/>
                <w:bCs w:val="1"/>
                <w:color w:val="auto"/>
              </w:rPr>
              <w:t>8</w:t>
            </w: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1000" w:type="dxa"/>
            <w:vAlign w:val="bottom"/>
          </w:tcPr>
          <w:p>
            <w:pPr>
              <w:jc w:val="right"/>
              <w:ind w:right="301"/>
              <w:spacing w:after="0"/>
              <w:rPr>
                <w:sz w:val="20"/>
                <w:szCs w:val="20"/>
                <w:color w:val="auto"/>
              </w:rPr>
            </w:pPr>
            <w:r>
              <w:rPr>
                <w:rFonts w:ascii="Arial" w:cs="Arial" w:eastAsia="Arial" w:hAnsi="Arial"/>
                <w:sz w:val="16"/>
                <w:szCs w:val="16"/>
                <w:b w:val="1"/>
                <w:bCs w:val="1"/>
                <w:color w:val="auto"/>
              </w:rPr>
              <w:t>(36)</w:t>
            </w:r>
          </w:p>
        </w:tc>
        <w:tc>
          <w:tcPr>
            <w:tcW w:w="460" w:type="dxa"/>
            <w:vAlign w:val="bottom"/>
          </w:tcPr>
          <w:p>
            <w:pPr>
              <w:jc w:val="right"/>
              <w:spacing w:after="0"/>
              <w:rPr>
                <w:sz w:val="20"/>
                <w:szCs w:val="20"/>
                <w:color w:val="auto"/>
              </w:rPr>
            </w:pPr>
            <w:r>
              <w:rPr>
                <w:rFonts w:ascii="Arial" w:cs="Arial" w:eastAsia="Arial" w:hAnsi="Arial"/>
                <w:sz w:val="16"/>
                <w:szCs w:val="16"/>
                <w:color w:val="auto"/>
              </w:rPr>
              <w:t>(47)  </w:t>
            </w:r>
          </w:p>
        </w:tc>
      </w:tr>
      <w:tr>
        <w:trPr>
          <w:trHeight w:val="199"/>
        </w:trPr>
        <w:tc>
          <w:tcPr>
            <w:tcW w:w="5460" w:type="dxa"/>
            <w:vAlign w:val="bottom"/>
          </w:tcPr>
          <w:p>
            <w:pPr>
              <w:spacing w:after="0"/>
              <w:rPr>
                <w:sz w:val="20"/>
                <w:szCs w:val="20"/>
                <w:color w:val="auto"/>
              </w:rPr>
            </w:pPr>
            <w:r>
              <w:rPr>
                <w:rFonts w:ascii="Arial" w:cs="Arial" w:eastAsia="Arial" w:hAnsi="Arial"/>
                <w:sz w:val="16"/>
                <w:szCs w:val="16"/>
                <w:color w:val="auto"/>
              </w:rPr>
              <w:t> Actuarial gains (losses)</w:t>
            </w:r>
          </w:p>
        </w:tc>
        <w:tc>
          <w:tcPr>
            <w:tcW w:w="560" w:type="dxa"/>
            <w:vAlign w:val="bottom"/>
          </w:tcPr>
          <w:p>
            <w:pPr>
              <w:jc w:val="right"/>
              <w:ind w:right="61"/>
              <w:spacing w:after="0"/>
              <w:rPr>
                <w:sz w:val="20"/>
                <w:szCs w:val="20"/>
                <w:color w:val="auto"/>
              </w:rPr>
            </w:pPr>
            <w:r>
              <w:rPr>
                <w:rFonts w:ascii="Arial" w:cs="Arial" w:eastAsia="Arial" w:hAnsi="Arial"/>
                <w:sz w:val="16"/>
                <w:szCs w:val="16"/>
                <w:b w:val="1"/>
                <w:bCs w:val="1"/>
                <w:color w:val="auto"/>
              </w:rPr>
              <w:t>11</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740" w:type="dxa"/>
            <w:vAlign w:val="bottom"/>
          </w:tcPr>
          <w:p>
            <w:pPr>
              <w:jc w:val="right"/>
              <w:ind w:right="41"/>
              <w:spacing w:after="0"/>
              <w:rPr>
                <w:sz w:val="20"/>
                <w:szCs w:val="20"/>
                <w:color w:val="auto"/>
              </w:rPr>
            </w:pPr>
            <w:r>
              <w:rPr>
                <w:rFonts w:ascii="Arial" w:cs="Arial" w:eastAsia="Arial" w:hAnsi="Arial"/>
                <w:sz w:val="16"/>
                <w:szCs w:val="16"/>
                <w:b w:val="1"/>
                <w:bCs w:val="1"/>
                <w:color w:val="auto"/>
              </w:rPr>
              <w:t>(6)</w:t>
            </w: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1000" w:type="dxa"/>
            <w:vAlign w:val="bottom"/>
          </w:tcPr>
          <w:p>
            <w:pPr>
              <w:jc w:val="right"/>
              <w:ind w:right="301"/>
              <w:spacing w:after="0"/>
              <w:rPr>
                <w:sz w:val="20"/>
                <w:szCs w:val="20"/>
                <w:color w:val="auto"/>
              </w:rPr>
            </w:pPr>
            <w:r>
              <w:rPr>
                <w:rFonts w:ascii="Arial" w:cs="Arial" w:eastAsia="Arial" w:hAnsi="Arial"/>
                <w:sz w:val="16"/>
                <w:szCs w:val="16"/>
                <w:b w:val="1"/>
                <w:bCs w:val="1"/>
                <w:color w:val="auto"/>
              </w:rPr>
              <w:t>5</w:t>
            </w:r>
          </w:p>
        </w:tc>
        <w:tc>
          <w:tcPr>
            <w:tcW w:w="4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199"/>
        </w:trPr>
        <w:tc>
          <w:tcPr>
            <w:tcW w:w="5460" w:type="dxa"/>
            <w:vAlign w:val="bottom"/>
          </w:tcPr>
          <w:p>
            <w:pPr>
              <w:spacing w:after="0"/>
              <w:rPr>
                <w:sz w:val="20"/>
                <w:szCs w:val="20"/>
                <w:color w:val="auto"/>
              </w:rPr>
            </w:pPr>
            <w:r>
              <w:rPr>
                <w:rFonts w:ascii="Arial" w:cs="Arial" w:eastAsia="Arial" w:hAnsi="Arial"/>
                <w:sz w:val="16"/>
                <w:szCs w:val="16"/>
                <w:color w:val="auto"/>
              </w:rPr>
              <w:t> Exchange differences</w:t>
            </w:r>
          </w:p>
        </w:tc>
        <w:tc>
          <w:tcPr>
            <w:tcW w:w="56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740" w:type="dxa"/>
            <w:vAlign w:val="bottom"/>
          </w:tcPr>
          <w:p>
            <w:pPr>
              <w:jc w:val="right"/>
              <w:ind w:right="41"/>
              <w:spacing w:after="0"/>
              <w:rPr>
                <w:sz w:val="20"/>
                <w:szCs w:val="20"/>
                <w:color w:val="auto"/>
              </w:rPr>
            </w:pPr>
            <w:r>
              <w:rPr>
                <w:rFonts w:ascii="Arial" w:cs="Arial" w:eastAsia="Arial" w:hAnsi="Arial"/>
                <w:sz w:val="16"/>
                <w:szCs w:val="16"/>
                <w:b w:val="1"/>
                <w:bCs w:val="1"/>
                <w:color w:val="auto"/>
              </w:rPr>
              <w:t>3</w:t>
            </w: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01"/>
              <w:spacing w:after="0"/>
              <w:rPr>
                <w:sz w:val="20"/>
                <w:szCs w:val="20"/>
                <w:color w:val="auto"/>
              </w:rPr>
            </w:pPr>
            <w:r>
              <w:rPr>
                <w:rFonts w:ascii="Arial" w:cs="Arial" w:eastAsia="Arial" w:hAnsi="Arial"/>
                <w:sz w:val="16"/>
                <w:szCs w:val="16"/>
                <w:b w:val="1"/>
                <w:bCs w:val="1"/>
                <w:color w:val="auto"/>
              </w:rPr>
              <w:t>3</w:t>
            </w:r>
          </w:p>
        </w:tc>
        <w:tc>
          <w:tcPr>
            <w:tcW w:w="460" w:type="dxa"/>
            <w:vAlign w:val="bottom"/>
          </w:tcPr>
          <w:p>
            <w:pPr>
              <w:jc w:val="right"/>
              <w:spacing w:after="0"/>
              <w:rPr>
                <w:sz w:val="20"/>
                <w:szCs w:val="20"/>
                <w:color w:val="auto"/>
              </w:rPr>
            </w:pPr>
            <w:r>
              <w:rPr>
                <w:rFonts w:ascii="Arial" w:cs="Arial" w:eastAsia="Arial" w:hAnsi="Arial"/>
                <w:sz w:val="16"/>
                <w:szCs w:val="16"/>
                <w:color w:val="auto"/>
              </w:rPr>
              <w:t>2  </w:t>
            </w:r>
          </w:p>
        </w:tc>
      </w:tr>
      <w:tr>
        <w:trPr>
          <w:trHeight w:val="200"/>
        </w:trPr>
        <w:tc>
          <w:tcPr>
            <w:tcW w:w="546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Contributions paid</w:t>
            </w:r>
          </w:p>
        </w:tc>
        <w:tc>
          <w:tcPr>
            <w:tcW w:w="560" w:type="dxa"/>
            <w:vAlign w:val="bottom"/>
            <w:tcBorders>
              <w:bottom w:val="single" w:sz="8" w:color="B2B2B2"/>
            </w:tcBorders>
          </w:tcPr>
          <w:p>
            <w:pPr>
              <w:jc w:val="right"/>
              <w:ind w:right="61"/>
              <w:spacing w:after="0"/>
              <w:rPr>
                <w:sz w:val="20"/>
                <w:szCs w:val="20"/>
                <w:color w:val="auto"/>
              </w:rPr>
            </w:pPr>
            <w:r>
              <w:rPr>
                <w:rFonts w:ascii="Arial" w:cs="Arial" w:eastAsia="Arial" w:hAnsi="Arial"/>
                <w:sz w:val="16"/>
                <w:szCs w:val="16"/>
                <w:b w:val="1"/>
                <w:bCs w:val="1"/>
                <w:color w:val="auto"/>
              </w:rPr>
              <w:t>28</w:t>
            </w:r>
          </w:p>
        </w:tc>
        <w:tc>
          <w:tcPr>
            <w:tcW w:w="76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28</w:t>
            </w:r>
          </w:p>
        </w:tc>
        <w:tc>
          <w:tcPr>
            <w:tcW w:w="74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b w:val="1"/>
                <w:bCs w:val="1"/>
                <w:color w:val="auto"/>
              </w:rPr>
              <w:t>7</w:t>
            </w:r>
          </w:p>
        </w:tc>
        <w:tc>
          <w:tcPr>
            <w:tcW w:w="74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5</w:t>
            </w:r>
          </w:p>
        </w:tc>
        <w:tc>
          <w:tcPr>
            <w:tcW w:w="1000" w:type="dxa"/>
            <w:vAlign w:val="bottom"/>
            <w:tcBorders>
              <w:bottom w:val="single" w:sz="8" w:color="B2B2B2"/>
            </w:tcBorders>
          </w:tcPr>
          <w:p>
            <w:pPr>
              <w:jc w:val="right"/>
              <w:ind w:right="301"/>
              <w:spacing w:after="0"/>
              <w:rPr>
                <w:sz w:val="20"/>
                <w:szCs w:val="20"/>
                <w:color w:val="auto"/>
              </w:rPr>
            </w:pPr>
            <w:r>
              <w:rPr>
                <w:rFonts w:ascii="Arial" w:cs="Arial" w:eastAsia="Arial" w:hAnsi="Arial"/>
                <w:sz w:val="16"/>
                <w:szCs w:val="16"/>
                <w:b w:val="1"/>
                <w:bCs w:val="1"/>
                <w:color w:val="auto"/>
              </w:rPr>
              <w:t>35</w:t>
            </w:r>
          </w:p>
        </w:tc>
        <w:tc>
          <w:tcPr>
            <w:tcW w:w="46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33  </w:t>
            </w:r>
          </w:p>
        </w:tc>
      </w:tr>
      <w:tr>
        <w:trPr>
          <w:trHeight w:val="179"/>
        </w:trPr>
        <w:tc>
          <w:tcPr>
            <w:tcW w:w="546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b w:val="1"/>
                <w:bCs w:val="1"/>
                <w:color w:val="auto"/>
              </w:rPr>
              <w:t> Net plan obligations as of December 31</w:t>
            </w:r>
          </w:p>
        </w:tc>
        <w:tc>
          <w:tcPr>
            <w:tcW w:w="560" w:type="dxa"/>
            <w:vAlign w:val="bottom"/>
            <w:tcBorders>
              <w:bottom w:val="single" w:sz="8" w:color="B2B2B2"/>
            </w:tcBorders>
          </w:tcPr>
          <w:p>
            <w:pPr>
              <w:jc w:val="right"/>
              <w:ind w:right="61"/>
              <w:spacing w:after="0" w:line="179" w:lineRule="exact"/>
              <w:rPr>
                <w:sz w:val="20"/>
                <w:szCs w:val="20"/>
                <w:color w:val="auto"/>
              </w:rPr>
            </w:pPr>
            <w:r>
              <w:rPr>
                <w:rFonts w:ascii="Arial" w:cs="Arial" w:eastAsia="Arial" w:hAnsi="Arial"/>
                <w:sz w:val="16"/>
                <w:szCs w:val="16"/>
                <w:b w:val="1"/>
                <w:bCs w:val="1"/>
                <w:color w:val="auto"/>
              </w:rPr>
              <w:t>(423)</w:t>
            </w:r>
          </w:p>
        </w:tc>
        <w:tc>
          <w:tcPr>
            <w:tcW w:w="760" w:type="dxa"/>
            <w:vAlign w:val="bottom"/>
            <w:tcBorders>
              <w:bottom w:val="single" w:sz="8" w:color="B2B2B2"/>
            </w:tcBorders>
          </w:tcPr>
          <w:p>
            <w:pPr>
              <w:jc w:val="right"/>
              <w:ind w:right="41"/>
              <w:spacing w:after="0" w:line="179" w:lineRule="exact"/>
              <w:rPr>
                <w:sz w:val="20"/>
                <w:szCs w:val="20"/>
                <w:color w:val="auto"/>
              </w:rPr>
            </w:pPr>
            <w:r>
              <w:rPr>
                <w:rFonts w:ascii="Arial" w:cs="Arial" w:eastAsia="Arial" w:hAnsi="Arial"/>
                <w:sz w:val="16"/>
                <w:szCs w:val="16"/>
                <w:color w:val="auto"/>
              </w:rPr>
              <w:t>(418)</w:t>
            </w:r>
          </w:p>
        </w:tc>
        <w:tc>
          <w:tcPr>
            <w:tcW w:w="740" w:type="dxa"/>
            <w:vAlign w:val="bottom"/>
            <w:tcBorders>
              <w:bottom w:val="single" w:sz="8" w:color="B2B2B2"/>
            </w:tcBorders>
          </w:tcPr>
          <w:p>
            <w:pPr>
              <w:jc w:val="right"/>
              <w:ind w:right="41"/>
              <w:spacing w:after="0" w:line="179" w:lineRule="exact"/>
              <w:rPr>
                <w:sz w:val="20"/>
                <w:szCs w:val="20"/>
                <w:color w:val="auto"/>
              </w:rPr>
            </w:pPr>
            <w:r>
              <w:rPr>
                <w:rFonts w:ascii="Arial" w:cs="Arial" w:eastAsia="Arial" w:hAnsi="Arial"/>
                <w:sz w:val="16"/>
                <w:szCs w:val="16"/>
                <w:b w:val="1"/>
                <w:bCs w:val="1"/>
                <w:color w:val="auto"/>
              </w:rPr>
              <w:t>(60)</w:t>
            </w:r>
          </w:p>
        </w:tc>
        <w:tc>
          <w:tcPr>
            <w:tcW w:w="740" w:type="dxa"/>
            <w:vAlign w:val="bottom"/>
            <w:tcBorders>
              <w:bottom w:val="single" w:sz="8" w:color="B2B2B2"/>
            </w:tcBorders>
          </w:tcPr>
          <w:p>
            <w:pPr>
              <w:jc w:val="right"/>
              <w:ind w:right="41"/>
              <w:spacing w:after="0" w:line="179" w:lineRule="exact"/>
              <w:rPr>
                <w:sz w:val="20"/>
                <w:szCs w:val="20"/>
                <w:color w:val="auto"/>
              </w:rPr>
            </w:pPr>
            <w:r>
              <w:rPr>
                <w:rFonts w:ascii="Arial" w:cs="Arial" w:eastAsia="Arial" w:hAnsi="Arial"/>
                <w:sz w:val="16"/>
                <w:szCs w:val="16"/>
                <w:color w:val="auto"/>
              </w:rPr>
              <w:t>(72)</w:t>
            </w:r>
          </w:p>
        </w:tc>
        <w:tc>
          <w:tcPr>
            <w:tcW w:w="1000" w:type="dxa"/>
            <w:vAlign w:val="bottom"/>
            <w:tcBorders>
              <w:bottom w:val="single" w:sz="8" w:color="B2B2B2"/>
            </w:tcBorders>
          </w:tcPr>
          <w:p>
            <w:pPr>
              <w:jc w:val="right"/>
              <w:ind w:right="301"/>
              <w:spacing w:after="0" w:line="179" w:lineRule="exact"/>
              <w:rPr>
                <w:sz w:val="20"/>
                <w:szCs w:val="20"/>
                <w:color w:val="auto"/>
              </w:rPr>
            </w:pPr>
            <w:r>
              <w:rPr>
                <w:rFonts w:ascii="Arial" w:cs="Arial" w:eastAsia="Arial" w:hAnsi="Arial"/>
                <w:sz w:val="16"/>
                <w:szCs w:val="16"/>
                <w:b w:val="1"/>
                <w:bCs w:val="1"/>
                <w:color w:val="auto"/>
              </w:rPr>
              <w:t>(483)</w:t>
            </w:r>
          </w:p>
        </w:tc>
        <w:tc>
          <w:tcPr>
            <w:tcW w:w="46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color w:val="auto"/>
                <w:w w:val="97"/>
              </w:rPr>
              <w:t>(490)  </w:t>
            </w:r>
          </w:p>
        </w:tc>
      </w:tr>
      <w:tr>
        <w:trPr>
          <w:trHeight w:val="178"/>
        </w:trPr>
        <w:tc>
          <w:tcPr>
            <w:tcW w:w="5460" w:type="dxa"/>
            <w:vAlign w:val="bottom"/>
          </w:tcPr>
          <w:p>
            <w:pPr>
              <w:spacing w:after="0" w:line="178" w:lineRule="exact"/>
              <w:rPr>
                <w:sz w:val="20"/>
                <w:szCs w:val="20"/>
                <w:color w:val="auto"/>
              </w:rPr>
            </w:pPr>
            <w:r>
              <w:rPr>
                <w:rFonts w:ascii="Arial" w:cs="Arial" w:eastAsia="Arial" w:hAnsi="Arial"/>
                <w:sz w:val="16"/>
                <w:szCs w:val="16"/>
                <w:b w:val="1"/>
                <w:bCs w:val="1"/>
                <w:color w:val="auto"/>
              </w:rPr>
              <w:t> Net plan surpluses recognized in non-current assets</w:t>
            </w: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jc w:val="right"/>
              <w:ind w:right="301"/>
              <w:spacing w:after="0" w:line="178" w:lineRule="exact"/>
              <w:rPr>
                <w:sz w:val="20"/>
                <w:szCs w:val="20"/>
                <w:color w:val="auto"/>
              </w:rPr>
            </w:pPr>
            <w:r>
              <w:rPr>
                <w:rFonts w:ascii="Arial" w:cs="Arial" w:eastAsia="Arial" w:hAnsi="Arial"/>
                <w:sz w:val="16"/>
                <w:szCs w:val="16"/>
                <w:b w:val="1"/>
                <w:bCs w:val="1"/>
                <w:color w:val="auto"/>
              </w:rPr>
              <w:t>40</w:t>
            </w:r>
          </w:p>
        </w:tc>
        <w:tc>
          <w:tcPr>
            <w:tcW w:w="460" w:type="dxa"/>
            <w:vAlign w:val="bottom"/>
          </w:tcPr>
          <w:p>
            <w:pPr>
              <w:jc w:val="right"/>
              <w:spacing w:after="0" w:line="178" w:lineRule="exact"/>
              <w:rPr>
                <w:sz w:val="20"/>
                <w:szCs w:val="20"/>
                <w:color w:val="auto"/>
              </w:rPr>
            </w:pPr>
            <w:r>
              <w:rPr>
                <w:rFonts w:ascii="Arial" w:cs="Arial" w:eastAsia="Arial" w:hAnsi="Arial"/>
                <w:sz w:val="16"/>
                <w:szCs w:val="16"/>
                <w:color w:val="auto"/>
              </w:rPr>
              <w:t>45  </w:t>
            </w:r>
          </w:p>
        </w:tc>
      </w:tr>
      <w:tr>
        <w:trPr>
          <w:trHeight w:val="206"/>
        </w:trPr>
        <w:tc>
          <w:tcPr>
            <w:tcW w:w="5460" w:type="dxa"/>
            <w:vAlign w:val="bottom"/>
            <w:tcBorders>
              <w:bottom w:val="single" w:sz="8" w:color="D64000"/>
            </w:tcBorders>
          </w:tcPr>
          <w:p>
            <w:pPr>
              <w:spacing w:after="0"/>
              <w:rPr>
                <w:sz w:val="20"/>
                <w:szCs w:val="20"/>
                <w:color w:val="auto"/>
              </w:rPr>
            </w:pPr>
            <w:r>
              <w:rPr>
                <w:rFonts w:ascii="Arial" w:cs="Arial" w:eastAsia="Arial" w:hAnsi="Arial"/>
                <w:sz w:val="16"/>
                <w:szCs w:val="16"/>
                <w:b w:val="1"/>
                <w:bCs w:val="1"/>
                <w:color w:val="auto"/>
              </w:rPr>
              <w:t> Net plan obligations recognized in non-current liabilities</w:t>
            </w:r>
          </w:p>
        </w:tc>
        <w:tc>
          <w:tcPr>
            <w:tcW w:w="560" w:type="dxa"/>
            <w:vAlign w:val="bottom"/>
            <w:tcBorders>
              <w:bottom w:val="single" w:sz="8" w:color="D64000"/>
            </w:tcBorders>
          </w:tcPr>
          <w:p>
            <w:pPr>
              <w:spacing w:after="0"/>
              <w:rPr>
                <w:sz w:val="17"/>
                <w:szCs w:val="17"/>
                <w:color w:val="auto"/>
              </w:rPr>
            </w:pPr>
          </w:p>
        </w:tc>
        <w:tc>
          <w:tcPr>
            <w:tcW w:w="760" w:type="dxa"/>
            <w:vAlign w:val="bottom"/>
            <w:tcBorders>
              <w:bottom w:val="single" w:sz="8" w:color="D64000"/>
            </w:tcBorders>
          </w:tcPr>
          <w:p>
            <w:pPr>
              <w:spacing w:after="0"/>
              <w:rPr>
                <w:sz w:val="17"/>
                <w:szCs w:val="17"/>
                <w:color w:val="auto"/>
              </w:rPr>
            </w:pPr>
          </w:p>
        </w:tc>
        <w:tc>
          <w:tcPr>
            <w:tcW w:w="740" w:type="dxa"/>
            <w:vAlign w:val="bottom"/>
            <w:tcBorders>
              <w:bottom w:val="single" w:sz="8" w:color="D64000"/>
            </w:tcBorders>
          </w:tcPr>
          <w:p>
            <w:pPr>
              <w:spacing w:after="0"/>
              <w:rPr>
                <w:sz w:val="17"/>
                <w:szCs w:val="17"/>
                <w:color w:val="auto"/>
              </w:rPr>
            </w:pPr>
          </w:p>
        </w:tc>
        <w:tc>
          <w:tcPr>
            <w:tcW w:w="740" w:type="dxa"/>
            <w:vAlign w:val="bottom"/>
            <w:tcBorders>
              <w:bottom w:val="single" w:sz="8" w:color="D64000"/>
            </w:tcBorders>
          </w:tcPr>
          <w:p>
            <w:pPr>
              <w:spacing w:after="0"/>
              <w:rPr>
                <w:sz w:val="17"/>
                <w:szCs w:val="17"/>
                <w:color w:val="auto"/>
              </w:rPr>
            </w:pPr>
          </w:p>
        </w:tc>
        <w:tc>
          <w:tcPr>
            <w:tcW w:w="1000" w:type="dxa"/>
            <w:vAlign w:val="bottom"/>
            <w:tcBorders>
              <w:bottom w:val="single" w:sz="8" w:color="D64000"/>
            </w:tcBorders>
          </w:tcPr>
          <w:p>
            <w:pPr>
              <w:jc w:val="right"/>
              <w:ind w:right="301"/>
              <w:spacing w:after="0"/>
              <w:rPr>
                <w:sz w:val="20"/>
                <w:szCs w:val="20"/>
                <w:color w:val="auto"/>
              </w:rPr>
            </w:pPr>
            <w:r>
              <w:rPr>
                <w:rFonts w:ascii="Arial" w:cs="Arial" w:eastAsia="Arial" w:hAnsi="Arial"/>
                <w:sz w:val="16"/>
                <w:szCs w:val="16"/>
                <w:b w:val="1"/>
                <w:bCs w:val="1"/>
                <w:color w:val="auto"/>
              </w:rPr>
              <w:t>(523)</w:t>
            </w:r>
          </w:p>
        </w:tc>
        <w:tc>
          <w:tcPr>
            <w:tcW w:w="460" w:type="dxa"/>
            <w:vAlign w:val="bottom"/>
            <w:tcBorders>
              <w:bottom w:val="single" w:sz="8" w:color="D64000"/>
            </w:tcBorders>
          </w:tcPr>
          <w:p>
            <w:pPr>
              <w:jc w:val="right"/>
              <w:spacing w:after="0"/>
              <w:rPr>
                <w:sz w:val="20"/>
                <w:szCs w:val="20"/>
                <w:color w:val="auto"/>
              </w:rPr>
            </w:pPr>
            <w:r>
              <w:rPr>
                <w:rFonts w:ascii="Arial" w:cs="Arial" w:eastAsia="Arial" w:hAnsi="Arial"/>
                <w:sz w:val="16"/>
                <w:szCs w:val="16"/>
                <w:color w:val="auto"/>
                <w:w w:val="97"/>
              </w:rPr>
              <w:t>(535)  </w:t>
            </w:r>
          </w:p>
        </w:tc>
      </w:tr>
    </w:tbl>
    <w:p>
      <w:pPr>
        <w:spacing w:after="0" w:line="136" w:lineRule="exact"/>
        <w:rPr>
          <w:sz w:val="20"/>
          <w:szCs w:val="20"/>
          <w:color w:val="auto"/>
        </w:rPr>
      </w:pPr>
    </w:p>
    <w:p>
      <w:pPr>
        <w:ind w:left="640" w:hanging="422"/>
        <w:spacing w:after="0"/>
        <w:tabs>
          <w:tab w:leader="none" w:pos="640" w:val="left"/>
        </w:tabs>
        <w:numPr>
          <w:ilvl w:val="0"/>
          <w:numId w:val="137"/>
        </w:numPr>
        <w:rPr>
          <w:rFonts w:ascii="Arial" w:cs="Arial" w:eastAsia="Arial" w:hAnsi="Arial"/>
          <w:sz w:val="14"/>
          <w:szCs w:val="14"/>
          <w:color w:val="404040"/>
        </w:rPr>
      </w:pPr>
      <w:r>
        <w:rPr>
          <w:rFonts w:ascii="Arial" w:cs="Arial" w:eastAsia="Arial" w:hAnsi="Arial"/>
          <w:sz w:val="14"/>
          <w:szCs w:val="14"/>
          <w:color w:val="404040"/>
        </w:rPr>
        <w:t>Includes amounts for immaterial defined benefit and OPEB plans that are not included in the detailed analysis below.</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u w:val="single" w:color="auto"/>
          <w:color w:val="auto"/>
        </w:rPr>
        <w:t>Analysis of material defined benefit plans</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analysis relates to the Company’s most significant defined benefit plans, the largest of which are in the U.S. and the U.K.</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net surpluses (obligations) of the material defined benefit plans recognized in the consolidated statement of financial position were as follows:</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225"/>
        </w:trPr>
        <w:tc>
          <w:tcPr>
            <w:tcW w:w="4660" w:type="dxa"/>
            <w:vAlign w:val="bottom"/>
            <w:tcBorders>
              <w:bottom w:val="single" w:sz="8" w:color="D64000"/>
            </w:tcBorders>
            <w:shd w:val="clear" w:color="auto" w:fill="1F473D"/>
          </w:tcPr>
          <w:p>
            <w:pPr>
              <w:spacing w:after="0"/>
              <w:rPr>
                <w:sz w:val="19"/>
                <w:szCs w:val="19"/>
                <w:color w:val="auto"/>
              </w:rPr>
            </w:pPr>
          </w:p>
        </w:tc>
        <w:tc>
          <w:tcPr>
            <w:tcW w:w="1480" w:type="dxa"/>
            <w:vAlign w:val="bottom"/>
            <w:tcBorders>
              <w:bottom w:val="single" w:sz="8" w:color="D64000"/>
            </w:tcBorders>
            <w:gridSpan w:val="2"/>
            <w:shd w:val="clear" w:color="auto" w:fill="1F473D"/>
          </w:tcPr>
          <w:p>
            <w:pPr>
              <w:jc w:val="right"/>
              <w:ind w:right="381"/>
              <w:spacing w:after="0"/>
              <w:rPr>
                <w:sz w:val="20"/>
                <w:szCs w:val="20"/>
                <w:color w:val="auto"/>
              </w:rPr>
            </w:pPr>
            <w:r>
              <w:rPr>
                <w:rFonts w:ascii="Arial" w:cs="Arial" w:eastAsia="Arial" w:hAnsi="Arial"/>
                <w:sz w:val="16"/>
                <w:szCs w:val="16"/>
                <w:b w:val="1"/>
                <w:bCs w:val="1"/>
                <w:color w:val="FFFFFF"/>
              </w:rPr>
              <w:t>Funded</w:t>
            </w:r>
          </w:p>
        </w:tc>
        <w:tc>
          <w:tcPr>
            <w:tcW w:w="1140" w:type="dxa"/>
            <w:vAlign w:val="bottom"/>
            <w:tcBorders>
              <w:bottom w:val="single" w:sz="8" w:color="D64000"/>
            </w:tcBorders>
            <w:gridSpan w:val="2"/>
            <w:shd w:val="clear" w:color="auto" w:fill="1F473D"/>
          </w:tcPr>
          <w:p>
            <w:pPr>
              <w:jc w:val="right"/>
              <w:ind w:right="81"/>
              <w:spacing w:after="0"/>
              <w:rPr>
                <w:sz w:val="20"/>
                <w:szCs w:val="20"/>
                <w:color w:val="auto"/>
              </w:rPr>
            </w:pPr>
            <w:r>
              <w:rPr>
                <w:rFonts w:ascii="Arial" w:cs="Arial" w:eastAsia="Arial" w:hAnsi="Arial"/>
                <w:sz w:val="16"/>
                <w:szCs w:val="16"/>
                <w:b w:val="1"/>
                <w:bCs w:val="1"/>
                <w:color w:val="FFFFFF"/>
              </w:rPr>
              <w:t>Unfunded</w:t>
            </w:r>
            <w:r>
              <w:rPr>
                <w:rFonts w:ascii="Arial" w:cs="Arial" w:eastAsia="Arial" w:hAnsi="Arial"/>
                <w:sz w:val="19"/>
                <w:szCs w:val="19"/>
                <w:b w:val="1"/>
                <w:bCs w:val="1"/>
                <w:color w:val="FFFFFF"/>
                <w:vertAlign w:val="superscript"/>
              </w:rPr>
              <w:t>(1)</w:t>
            </w:r>
          </w:p>
        </w:tc>
        <w:tc>
          <w:tcPr>
            <w:tcW w:w="1040" w:type="dxa"/>
            <w:vAlign w:val="bottom"/>
            <w:tcBorders>
              <w:bottom w:val="single" w:sz="8" w:color="D64000"/>
            </w:tcBorders>
            <w:gridSpan w:val="2"/>
            <w:shd w:val="clear" w:color="auto" w:fill="1F473D"/>
          </w:tcPr>
          <w:p>
            <w:pPr>
              <w:jc w:val="right"/>
              <w:ind w:right="241"/>
              <w:spacing w:after="0"/>
              <w:rPr>
                <w:sz w:val="20"/>
                <w:szCs w:val="20"/>
                <w:color w:val="auto"/>
              </w:rPr>
            </w:pPr>
            <w:r>
              <w:rPr>
                <w:rFonts w:ascii="Arial" w:cs="Arial" w:eastAsia="Arial" w:hAnsi="Arial"/>
                <w:sz w:val="16"/>
                <w:szCs w:val="16"/>
                <w:b w:val="1"/>
                <w:bCs w:val="1"/>
                <w:color w:val="FFFFFF"/>
              </w:rPr>
              <w:t>OPEB</w:t>
            </w:r>
          </w:p>
        </w:tc>
        <w:tc>
          <w:tcPr>
            <w:tcW w:w="1400" w:type="dxa"/>
            <w:vAlign w:val="bottom"/>
            <w:tcBorders>
              <w:bottom w:val="single" w:sz="8" w:color="D64000"/>
            </w:tcBorders>
            <w:gridSpan w:val="2"/>
            <w:shd w:val="clear" w:color="auto" w:fill="1F473D"/>
          </w:tcPr>
          <w:p>
            <w:pPr>
              <w:jc w:val="right"/>
              <w:ind w:right="441"/>
              <w:spacing w:after="0"/>
              <w:rPr>
                <w:sz w:val="20"/>
                <w:szCs w:val="20"/>
                <w:color w:val="auto"/>
              </w:rPr>
            </w:pPr>
            <w:r>
              <w:rPr>
                <w:rFonts w:ascii="Arial" w:cs="Arial" w:eastAsia="Arial" w:hAnsi="Arial"/>
                <w:sz w:val="16"/>
                <w:szCs w:val="16"/>
                <w:b w:val="1"/>
                <w:bCs w:val="1"/>
                <w:color w:val="FFFFFF"/>
              </w:rPr>
              <w:t>Total</w:t>
            </w:r>
          </w:p>
        </w:tc>
      </w:tr>
      <w:tr>
        <w:trPr>
          <w:trHeight w:val="199"/>
        </w:trPr>
        <w:tc>
          <w:tcPr>
            <w:tcW w:w="4660" w:type="dxa"/>
            <w:vAlign w:val="bottom"/>
            <w:shd w:val="clear" w:color="auto" w:fill="E3F3EE"/>
          </w:tcPr>
          <w:p>
            <w:pPr>
              <w:spacing w:after="0"/>
              <w:rPr>
                <w:sz w:val="20"/>
                <w:szCs w:val="20"/>
                <w:color w:val="auto"/>
              </w:rPr>
            </w:pPr>
            <w:r>
              <w:rPr>
                <w:rFonts w:ascii="Arial" w:cs="Arial" w:eastAsia="Arial" w:hAnsi="Arial"/>
                <w:sz w:val="16"/>
                <w:szCs w:val="16"/>
                <w:b w:val="1"/>
                <w:bCs w:val="1"/>
                <w:color w:val="auto"/>
              </w:rPr>
              <w:t> As of December 31,</w:t>
            </w:r>
          </w:p>
        </w:tc>
        <w:tc>
          <w:tcPr>
            <w:tcW w:w="780" w:type="dxa"/>
            <w:vAlign w:val="bottom"/>
            <w:shd w:val="clear" w:color="auto" w:fill="E3F3EE"/>
          </w:tcPr>
          <w:p>
            <w:pPr>
              <w:jc w:val="right"/>
              <w:ind w:right="41"/>
              <w:spacing w:after="0"/>
              <w:rPr>
                <w:sz w:val="20"/>
                <w:szCs w:val="20"/>
                <w:color w:val="auto"/>
              </w:rPr>
            </w:pPr>
            <w:r>
              <w:rPr>
                <w:rFonts w:ascii="Arial" w:cs="Arial" w:eastAsia="Arial" w:hAnsi="Arial"/>
                <w:sz w:val="16"/>
                <w:szCs w:val="16"/>
                <w:b w:val="1"/>
                <w:bCs w:val="1"/>
                <w:color w:val="auto"/>
              </w:rPr>
              <w:t>2024</w:t>
            </w:r>
          </w:p>
        </w:tc>
        <w:tc>
          <w:tcPr>
            <w:tcW w:w="700" w:type="dxa"/>
            <w:vAlign w:val="bottom"/>
            <w:shd w:val="clear" w:color="auto" w:fill="E3F3EE"/>
          </w:tcPr>
          <w:p>
            <w:pPr>
              <w:jc w:val="right"/>
              <w:ind w:right="21"/>
              <w:spacing w:after="0"/>
              <w:rPr>
                <w:sz w:val="20"/>
                <w:szCs w:val="20"/>
                <w:color w:val="auto"/>
              </w:rPr>
            </w:pPr>
            <w:r>
              <w:rPr>
                <w:rFonts w:ascii="Arial" w:cs="Arial" w:eastAsia="Arial" w:hAnsi="Arial"/>
                <w:sz w:val="16"/>
                <w:szCs w:val="16"/>
                <w:color w:val="auto"/>
              </w:rPr>
              <w:t>2023</w:t>
            </w:r>
          </w:p>
        </w:tc>
        <w:tc>
          <w:tcPr>
            <w:tcW w:w="580" w:type="dxa"/>
            <w:vAlign w:val="bottom"/>
            <w:shd w:val="clear" w:color="auto" w:fill="E3F3EE"/>
          </w:tcPr>
          <w:p>
            <w:pPr>
              <w:jc w:val="right"/>
              <w:ind w:right="21"/>
              <w:spacing w:after="0"/>
              <w:rPr>
                <w:sz w:val="20"/>
                <w:szCs w:val="20"/>
                <w:color w:val="auto"/>
              </w:rPr>
            </w:pPr>
            <w:r>
              <w:rPr>
                <w:rFonts w:ascii="Arial" w:cs="Arial" w:eastAsia="Arial" w:hAnsi="Arial"/>
                <w:sz w:val="16"/>
                <w:szCs w:val="16"/>
                <w:b w:val="1"/>
                <w:bCs w:val="1"/>
                <w:color w:val="auto"/>
              </w:rPr>
              <w:t>2024</w:t>
            </w:r>
          </w:p>
        </w:tc>
        <w:tc>
          <w:tcPr>
            <w:tcW w:w="560" w:type="dxa"/>
            <w:vAlign w:val="bottom"/>
            <w:shd w:val="clear" w:color="auto" w:fill="E3F3EE"/>
          </w:tcPr>
          <w:p>
            <w:pPr>
              <w:jc w:val="right"/>
              <w:ind w:right="1"/>
              <w:spacing w:after="0"/>
              <w:rPr>
                <w:sz w:val="20"/>
                <w:szCs w:val="20"/>
                <w:color w:val="auto"/>
              </w:rPr>
            </w:pPr>
            <w:r>
              <w:rPr>
                <w:rFonts w:ascii="Arial" w:cs="Arial" w:eastAsia="Arial" w:hAnsi="Arial"/>
                <w:sz w:val="16"/>
                <w:szCs w:val="16"/>
                <w:color w:val="auto"/>
              </w:rPr>
              <w:t>2023</w:t>
            </w:r>
          </w:p>
        </w:tc>
        <w:tc>
          <w:tcPr>
            <w:tcW w:w="500" w:type="dxa"/>
            <w:vAlign w:val="bottom"/>
            <w:shd w:val="clear" w:color="auto" w:fill="E3F3EE"/>
          </w:tcPr>
          <w:p>
            <w:pPr>
              <w:jc w:val="right"/>
              <w:ind w:right="1"/>
              <w:spacing w:after="0"/>
              <w:rPr>
                <w:sz w:val="20"/>
                <w:szCs w:val="20"/>
                <w:color w:val="auto"/>
              </w:rPr>
            </w:pPr>
            <w:r>
              <w:rPr>
                <w:rFonts w:ascii="Arial" w:cs="Arial" w:eastAsia="Arial" w:hAnsi="Arial"/>
                <w:sz w:val="16"/>
                <w:szCs w:val="16"/>
                <w:b w:val="1"/>
                <w:bCs w:val="1"/>
                <w:color w:val="auto"/>
              </w:rPr>
              <w:t>2024</w:t>
            </w:r>
          </w:p>
        </w:tc>
        <w:tc>
          <w:tcPr>
            <w:tcW w:w="540" w:type="dxa"/>
            <w:vAlign w:val="bottom"/>
            <w:shd w:val="clear" w:color="auto" w:fill="E3F3EE"/>
          </w:tcPr>
          <w:p>
            <w:pPr>
              <w:jc w:val="right"/>
              <w:ind w:right="21"/>
              <w:spacing w:after="0"/>
              <w:rPr>
                <w:sz w:val="20"/>
                <w:szCs w:val="20"/>
                <w:color w:val="auto"/>
              </w:rPr>
            </w:pPr>
            <w:r>
              <w:rPr>
                <w:rFonts w:ascii="Arial" w:cs="Arial" w:eastAsia="Arial" w:hAnsi="Arial"/>
                <w:sz w:val="16"/>
                <w:szCs w:val="16"/>
                <w:color w:val="auto"/>
              </w:rPr>
              <w:t>2023</w:t>
            </w:r>
          </w:p>
        </w:tc>
        <w:tc>
          <w:tcPr>
            <w:tcW w:w="720" w:type="dxa"/>
            <w:vAlign w:val="bottom"/>
            <w:shd w:val="clear" w:color="auto" w:fill="E3F3EE"/>
          </w:tcPr>
          <w:p>
            <w:pPr>
              <w:jc w:val="right"/>
              <w:ind w:right="41"/>
              <w:spacing w:after="0"/>
              <w:rPr>
                <w:sz w:val="20"/>
                <w:szCs w:val="20"/>
                <w:color w:val="auto"/>
              </w:rPr>
            </w:pPr>
            <w:r>
              <w:rPr>
                <w:rFonts w:ascii="Arial" w:cs="Arial" w:eastAsia="Arial" w:hAnsi="Arial"/>
                <w:sz w:val="16"/>
                <w:szCs w:val="16"/>
                <w:b w:val="1"/>
                <w:bCs w:val="1"/>
                <w:color w:val="auto"/>
              </w:rPr>
              <w:t>2024</w:t>
            </w:r>
          </w:p>
        </w:tc>
        <w:tc>
          <w:tcPr>
            <w:tcW w:w="680" w:type="dxa"/>
            <w:vAlign w:val="bottom"/>
            <w:shd w:val="clear" w:color="auto" w:fill="E3F3EE"/>
          </w:tcPr>
          <w:p>
            <w:pPr>
              <w:jc w:val="right"/>
              <w:spacing w:after="0"/>
              <w:rPr>
                <w:sz w:val="20"/>
                <w:szCs w:val="20"/>
                <w:color w:val="auto"/>
              </w:rPr>
            </w:pPr>
            <w:r>
              <w:rPr>
                <w:rFonts w:ascii="Arial" w:cs="Arial" w:eastAsia="Arial" w:hAnsi="Arial"/>
                <w:sz w:val="16"/>
                <w:szCs w:val="16"/>
                <w:color w:val="auto"/>
              </w:rPr>
              <w:t>2023  </w:t>
            </w:r>
          </w:p>
        </w:tc>
      </w:tr>
      <w:tr>
        <w:trPr>
          <w:trHeight w:val="198"/>
        </w:trPr>
        <w:tc>
          <w:tcPr>
            <w:tcW w:w="4660" w:type="dxa"/>
            <w:vAlign w:val="bottom"/>
          </w:tcPr>
          <w:p>
            <w:pPr>
              <w:spacing w:after="0"/>
              <w:rPr>
                <w:sz w:val="20"/>
                <w:szCs w:val="20"/>
                <w:color w:val="auto"/>
              </w:rPr>
            </w:pPr>
            <w:r>
              <w:rPr>
                <w:rFonts w:ascii="Arial" w:cs="Arial" w:eastAsia="Arial" w:hAnsi="Arial"/>
                <w:sz w:val="16"/>
                <w:szCs w:val="16"/>
                <w:color w:val="auto"/>
              </w:rPr>
              <w:t> Present value of plan obligations</w:t>
            </w:r>
          </w:p>
        </w:tc>
        <w:tc>
          <w:tcPr>
            <w:tcW w:w="780" w:type="dxa"/>
            <w:vAlign w:val="bottom"/>
          </w:tcPr>
          <w:p>
            <w:pPr>
              <w:jc w:val="right"/>
              <w:ind w:right="41"/>
              <w:spacing w:after="0"/>
              <w:rPr>
                <w:sz w:val="20"/>
                <w:szCs w:val="20"/>
                <w:color w:val="auto"/>
              </w:rPr>
            </w:pPr>
            <w:r>
              <w:rPr>
                <w:rFonts w:ascii="Arial" w:cs="Arial" w:eastAsia="Arial" w:hAnsi="Arial"/>
                <w:sz w:val="16"/>
                <w:szCs w:val="16"/>
                <w:b w:val="1"/>
                <w:bCs w:val="1"/>
                <w:color w:val="auto"/>
              </w:rPr>
              <w:t>(2,382)</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(2,606)</w:t>
            </w:r>
          </w:p>
        </w:tc>
        <w:tc>
          <w:tcPr>
            <w:tcW w:w="580" w:type="dxa"/>
            <w:vAlign w:val="bottom"/>
          </w:tcPr>
          <w:p>
            <w:pPr>
              <w:jc w:val="right"/>
              <w:ind w:right="21"/>
              <w:spacing w:after="0"/>
              <w:rPr>
                <w:sz w:val="20"/>
                <w:szCs w:val="20"/>
                <w:color w:val="auto"/>
              </w:rPr>
            </w:pPr>
            <w:r>
              <w:rPr>
                <w:rFonts w:ascii="Arial" w:cs="Arial" w:eastAsia="Arial" w:hAnsi="Arial"/>
                <w:sz w:val="16"/>
                <w:szCs w:val="16"/>
                <w:b w:val="1"/>
                <w:bCs w:val="1"/>
                <w:color w:val="auto"/>
              </w:rPr>
              <w:t>(212)</w:t>
            </w: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(231)</w:t>
            </w:r>
          </w:p>
        </w:tc>
        <w:tc>
          <w:tcPr>
            <w:tcW w:w="500" w:type="dxa"/>
            <w:vAlign w:val="bottom"/>
          </w:tcPr>
          <w:p>
            <w:pPr>
              <w:jc w:val="right"/>
              <w:ind w:right="1"/>
              <w:spacing w:after="0"/>
              <w:rPr>
                <w:sz w:val="20"/>
                <w:szCs w:val="20"/>
                <w:color w:val="auto"/>
              </w:rPr>
            </w:pPr>
            <w:r>
              <w:rPr>
                <w:rFonts w:ascii="Arial" w:cs="Arial" w:eastAsia="Arial" w:hAnsi="Arial"/>
                <w:sz w:val="16"/>
                <w:szCs w:val="16"/>
                <w:b w:val="1"/>
                <w:bCs w:val="1"/>
                <w:color w:val="auto"/>
              </w:rPr>
              <w:t>(34)</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(50)</w:t>
            </w:r>
          </w:p>
        </w:tc>
        <w:tc>
          <w:tcPr>
            <w:tcW w:w="720" w:type="dxa"/>
            <w:vAlign w:val="bottom"/>
          </w:tcPr>
          <w:p>
            <w:pPr>
              <w:jc w:val="right"/>
              <w:ind w:right="41"/>
              <w:spacing w:after="0"/>
              <w:rPr>
                <w:sz w:val="20"/>
                <w:szCs w:val="20"/>
                <w:color w:val="auto"/>
              </w:rPr>
            </w:pPr>
            <w:r>
              <w:rPr>
                <w:rFonts w:ascii="Arial" w:cs="Arial" w:eastAsia="Arial" w:hAnsi="Arial"/>
                <w:sz w:val="16"/>
                <w:szCs w:val="16"/>
                <w:b w:val="1"/>
                <w:bCs w:val="1"/>
                <w:color w:val="auto"/>
              </w:rPr>
              <w:t>(2,628)</w:t>
            </w:r>
          </w:p>
        </w:tc>
        <w:tc>
          <w:tcPr>
            <w:tcW w:w="680" w:type="dxa"/>
            <w:vAlign w:val="bottom"/>
          </w:tcPr>
          <w:p>
            <w:pPr>
              <w:jc w:val="right"/>
              <w:spacing w:after="0"/>
              <w:rPr>
                <w:sz w:val="20"/>
                <w:szCs w:val="20"/>
                <w:color w:val="auto"/>
              </w:rPr>
            </w:pPr>
            <w:r>
              <w:rPr>
                <w:rFonts w:ascii="Arial" w:cs="Arial" w:eastAsia="Arial" w:hAnsi="Arial"/>
                <w:sz w:val="16"/>
                <w:szCs w:val="16"/>
                <w:color w:val="auto"/>
              </w:rPr>
              <w:t>(2,887)  </w:t>
            </w:r>
          </w:p>
        </w:tc>
      </w:tr>
      <w:tr>
        <w:trPr>
          <w:trHeight w:val="200"/>
        </w:trPr>
        <w:tc>
          <w:tcPr>
            <w:tcW w:w="466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Fair value of plan assets</w:t>
            </w:r>
          </w:p>
        </w:tc>
        <w:tc>
          <w:tcPr>
            <w:tcW w:w="78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b w:val="1"/>
                <w:bCs w:val="1"/>
                <w:color w:val="auto"/>
              </w:rPr>
              <w:t>2,174</w:t>
            </w:r>
          </w:p>
        </w:tc>
        <w:tc>
          <w:tcPr>
            <w:tcW w:w="70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2,421</w:t>
            </w:r>
          </w:p>
        </w:tc>
        <w:tc>
          <w:tcPr>
            <w:tcW w:w="58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b w:val="1"/>
                <w:bCs w:val="1"/>
                <w:color w:val="auto"/>
              </w:rPr>
              <w:t>2,174</w:t>
            </w: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2,421  </w:t>
            </w:r>
          </w:p>
        </w:tc>
      </w:tr>
      <w:tr>
        <w:trPr>
          <w:trHeight w:val="179"/>
        </w:trPr>
        <w:tc>
          <w:tcPr>
            <w:tcW w:w="466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Net plan obligations</w:t>
            </w:r>
          </w:p>
        </w:tc>
        <w:tc>
          <w:tcPr>
            <w:tcW w:w="780" w:type="dxa"/>
            <w:vAlign w:val="bottom"/>
            <w:tcBorders>
              <w:bottom w:val="single" w:sz="8" w:color="B2B2B2"/>
            </w:tcBorders>
          </w:tcPr>
          <w:p>
            <w:pPr>
              <w:jc w:val="right"/>
              <w:ind w:right="41"/>
              <w:spacing w:after="0" w:line="179" w:lineRule="exact"/>
              <w:rPr>
                <w:sz w:val="20"/>
                <w:szCs w:val="20"/>
                <w:color w:val="auto"/>
              </w:rPr>
            </w:pPr>
            <w:r>
              <w:rPr>
                <w:rFonts w:ascii="Arial" w:cs="Arial" w:eastAsia="Arial" w:hAnsi="Arial"/>
                <w:sz w:val="16"/>
                <w:szCs w:val="16"/>
                <w:b w:val="1"/>
                <w:bCs w:val="1"/>
                <w:color w:val="auto"/>
              </w:rPr>
              <w:t>(208)</w:t>
            </w:r>
          </w:p>
        </w:tc>
        <w:tc>
          <w:tcPr>
            <w:tcW w:w="700" w:type="dxa"/>
            <w:vAlign w:val="bottom"/>
            <w:tcBorders>
              <w:bottom w:val="single" w:sz="8" w:color="B2B2B2"/>
            </w:tcBorders>
          </w:tcPr>
          <w:p>
            <w:pPr>
              <w:jc w:val="right"/>
              <w:ind w:right="21"/>
              <w:spacing w:after="0" w:line="179" w:lineRule="exact"/>
              <w:rPr>
                <w:sz w:val="20"/>
                <w:szCs w:val="20"/>
                <w:color w:val="auto"/>
              </w:rPr>
            </w:pPr>
            <w:r>
              <w:rPr>
                <w:rFonts w:ascii="Arial" w:cs="Arial" w:eastAsia="Arial" w:hAnsi="Arial"/>
                <w:sz w:val="16"/>
                <w:szCs w:val="16"/>
                <w:color w:val="auto"/>
              </w:rPr>
              <w:t>(185)</w:t>
            </w:r>
          </w:p>
        </w:tc>
        <w:tc>
          <w:tcPr>
            <w:tcW w:w="580" w:type="dxa"/>
            <w:vAlign w:val="bottom"/>
            <w:tcBorders>
              <w:bottom w:val="single" w:sz="8" w:color="B2B2B2"/>
            </w:tcBorders>
          </w:tcPr>
          <w:p>
            <w:pPr>
              <w:jc w:val="right"/>
              <w:ind w:right="21"/>
              <w:spacing w:after="0" w:line="179" w:lineRule="exact"/>
              <w:rPr>
                <w:sz w:val="20"/>
                <w:szCs w:val="20"/>
                <w:color w:val="auto"/>
              </w:rPr>
            </w:pPr>
            <w:r>
              <w:rPr>
                <w:rFonts w:ascii="Arial" w:cs="Arial" w:eastAsia="Arial" w:hAnsi="Arial"/>
                <w:sz w:val="16"/>
                <w:szCs w:val="16"/>
                <w:b w:val="1"/>
                <w:bCs w:val="1"/>
                <w:color w:val="auto"/>
              </w:rPr>
              <w:t>(212)</w:t>
            </w:r>
          </w:p>
        </w:tc>
        <w:tc>
          <w:tcPr>
            <w:tcW w:w="560" w:type="dxa"/>
            <w:vAlign w:val="bottom"/>
            <w:tcBorders>
              <w:bottom w:val="single" w:sz="8" w:color="B2B2B2"/>
            </w:tcBorders>
          </w:tcPr>
          <w:p>
            <w:pPr>
              <w:jc w:val="right"/>
              <w:ind w:right="1"/>
              <w:spacing w:after="0" w:line="179" w:lineRule="exact"/>
              <w:rPr>
                <w:sz w:val="20"/>
                <w:szCs w:val="20"/>
                <w:color w:val="auto"/>
              </w:rPr>
            </w:pPr>
            <w:r>
              <w:rPr>
                <w:rFonts w:ascii="Arial" w:cs="Arial" w:eastAsia="Arial" w:hAnsi="Arial"/>
                <w:sz w:val="16"/>
                <w:szCs w:val="16"/>
                <w:color w:val="auto"/>
              </w:rPr>
              <w:t>(231)</w:t>
            </w:r>
          </w:p>
        </w:tc>
        <w:tc>
          <w:tcPr>
            <w:tcW w:w="500" w:type="dxa"/>
            <w:vAlign w:val="bottom"/>
            <w:tcBorders>
              <w:bottom w:val="single" w:sz="8" w:color="B2B2B2"/>
            </w:tcBorders>
          </w:tcPr>
          <w:p>
            <w:pPr>
              <w:jc w:val="right"/>
              <w:ind w:right="1"/>
              <w:spacing w:after="0" w:line="179" w:lineRule="exact"/>
              <w:rPr>
                <w:sz w:val="20"/>
                <w:szCs w:val="20"/>
                <w:color w:val="auto"/>
              </w:rPr>
            </w:pPr>
            <w:r>
              <w:rPr>
                <w:rFonts w:ascii="Arial" w:cs="Arial" w:eastAsia="Arial" w:hAnsi="Arial"/>
                <w:sz w:val="16"/>
                <w:szCs w:val="16"/>
                <w:b w:val="1"/>
                <w:bCs w:val="1"/>
                <w:color w:val="auto"/>
              </w:rPr>
              <w:t>(34)</w:t>
            </w:r>
          </w:p>
        </w:tc>
        <w:tc>
          <w:tcPr>
            <w:tcW w:w="540" w:type="dxa"/>
            <w:vAlign w:val="bottom"/>
            <w:tcBorders>
              <w:bottom w:val="single" w:sz="8" w:color="B2B2B2"/>
            </w:tcBorders>
          </w:tcPr>
          <w:p>
            <w:pPr>
              <w:jc w:val="right"/>
              <w:ind w:right="21"/>
              <w:spacing w:after="0" w:line="179" w:lineRule="exact"/>
              <w:rPr>
                <w:sz w:val="20"/>
                <w:szCs w:val="20"/>
                <w:color w:val="auto"/>
              </w:rPr>
            </w:pPr>
            <w:r>
              <w:rPr>
                <w:rFonts w:ascii="Arial" w:cs="Arial" w:eastAsia="Arial" w:hAnsi="Arial"/>
                <w:sz w:val="16"/>
                <w:szCs w:val="16"/>
                <w:color w:val="auto"/>
              </w:rPr>
              <w:t>(50)</w:t>
            </w:r>
          </w:p>
        </w:tc>
        <w:tc>
          <w:tcPr>
            <w:tcW w:w="720" w:type="dxa"/>
            <w:vAlign w:val="bottom"/>
            <w:tcBorders>
              <w:bottom w:val="single" w:sz="8" w:color="B2B2B2"/>
            </w:tcBorders>
          </w:tcPr>
          <w:p>
            <w:pPr>
              <w:jc w:val="right"/>
              <w:ind w:right="41"/>
              <w:spacing w:after="0" w:line="179" w:lineRule="exact"/>
              <w:rPr>
                <w:sz w:val="20"/>
                <w:szCs w:val="20"/>
                <w:color w:val="auto"/>
              </w:rPr>
            </w:pPr>
            <w:r>
              <w:rPr>
                <w:rFonts w:ascii="Arial" w:cs="Arial" w:eastAsia="Arial" w:hAnsi="Arial"/>
                <w:sz w:val="16"/>
                <w:szCs w:val="16"/>
                <w:b w:val="1"/>
                <w:bCs w:val="1"/>
                <w:color w:val="auto"/>
              </w:rPr>
              <w:t>(454)</w:t>
            </w:r>
          </w:p>
        </w:tc>
        <w:tc>
          <w:tcPr>
            <w:tcW w:w="68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color w:val="auto"/>
              </w:rPr>
              <w:t>(466)  </w:t>
            </w:r>
          </w:p>
        </w:tc>
      </w:tr>
      <w:tr>
        <w:trPr>
          <w:trHeight w:val="178"/>
        </w:trPr>
        <w:tc>
          <w:tcPr>
            <w:tcW w:w="4660" w:type="dxa"/>
            <w:vAlign w:val="bottom"/>
          </w:tcPr>
          <w:p>
            <w:pPr>
              <w:spacing w:after="0" w:line="178" w:lineRule="exact"/>
              <w:rPr>
                <w:sz w:val="20"/>
                <w:szCs w:val="20"/>
                <w:color w:val="auto"/>
              </w:rPr>
            </w:pPr>
            <w:r>
              <w:rPr>
                <w:rFonts w:ascii="Arial" w:cs="Arial" w:eastAsia="Arial" w:hAnsi="Arial"/>
                <w:sz w:val="16"/>
                <w:szCs w:val="16"/>
                <w:color w:val="auto"/>
              </w:rPr>
              <w:t> Net plan surpluses</w:t>
            </w:r>
          </w:p>
        </w:tc>
        <w:tc>
          <w:tcPr>
            <w:tcW w:w="780" w:type="dxa"/>
            <w:vAlign w:val="bottom"/>
          </w:tcPr>
          <w:p>
            <w:pPr>
              <w:jc w:val="right"/>
              <w:ind w:right="41"/>
              <w:spacing w:after="0" w:line="178" w:lineRule="exact"/>
              <w:rPr>
                <w:sz w:val="20"/>
                <w:szCs w:val="20"/>
                <w:color w:val="auto"/>
              </w:rPr>
            </w:pPr>
            <w:r>
              <w:rPr>
                <w:rFonts w:ascii="Arial" w:cs="Arial" w:eastAsia="Arial" w:hAnsi="Arial"/>
                <w:sz w:val="16"/>
                <w:szCs w:val="16"/>
                <w:b w:val="1"/>
                <w:bCs w:val="1"/>
                <w:color w:val="auto"/>
              </w:rPr>
              <w:t>34</w:t>
            </w:r>
          </w:p>
        </w:tc>
        <w:tc>
          <w:tcPr>
            <w:tcW w:w="700" w:type="dxa"/>
            <w:vAlign w:val="bottom"/>
          </w:tcPr>
          <w:p>
            <w:pPr>
              <w:jc w:val="right"/>
              <w:ind w:right="21"/>
              <w:spacing w:after="0" w:line="178" w:lineRule="exact"/>
              <w:rPr>
                <w:sz w:val="20"/>
                <w:szCs w:val="20"/>
                <w:color w:val="auto"/>
              </w:rPr>
            </w:pPr>
            <w:r>
              <w:rPr>
                <w:rFonts w:ascii="Arial" w:cs="Arial" w:eastAsia="Arial" w:hAnsi="Arial"/>
                <w:sz w:val="16"/>
                <w:szCs w:val="16"/>
                <w:color w:val="auto"/>
              </w:rPr>
              <w:t>39</w:t>
            </w:r>
          </w:p>
        </w:tc>
        <w:tc>
          <w:tcPr>
            <w:tcW w:w="580" w:type="dxa"/>
            <w:vAlign w:val="bottom"/>
          </w:tcPr>
          <w:p>
            <w:pPr>
              <w:jc w:val="right"/>
              <w:ind w:right="21"/>
              <w:spacing w:after="0" w:line="178" w:lineRule="exact"/>
              <w:rPr>
                <w:sz w:val="20"/>
                <w:szCs w:val="20"/>
                <w:color w:val="auto"/>
              </w:rPr>
            </w:pPr>
            <w:r>
              <w:rPr>
                <w:rFonts w:ascii="Arial" w:cs="Arial" w:eastAsia="Arial" w:hAnsi="Arial"/>
                <w:sz w:val="16"/>
                <w:szCs w:val="16"/>
                <w:b w:val="1"/>
                <w:bCs w:val="1"/>
                <w:color w:val="auto"/>
              </w:rPr>
              <w:t>-</w:t>
            </w:r>
          </w:p>
        </w:tc>
        <w:tc>
          <w:tcPr>
            <w:tcW w:w="560" w:type="dxa"/>
            <w:vAlign w:val="bottom"/>
          </w:tcPr>
          <w:p>
            <w:pPr>
              <w:jc w:val="right"/>
              <w:ind w:right="1"/>
              <w:spacing w:after="0" w:line="178" w:lineRule="exact"/>
              <w:rPr>
                <w:sz w:val="20"/>
                <w:szCs w:val="20"/>
                <w:color w:val="auto"/>
              </w:rPr>
            </w:pPr>
            <w:r>
              <w:rPr>
                <w:rFonts w:ascii="Arial" w:cs="Arial" w:eastAsia="Arial" w:hAnsi="Arial"/>
                <w:sz w:val="16"/>
                <w:szCs w:val="16"/>
                <w:color w:val="auto"/>
              </w:rPr>
              <w:t>-</w:t>
            </w:r>
          </w:p>
        </w:tc>
        <w:tc>
          <w:tcPr>
            <w:tcW w:w="500" w:type="dxa"/>
            <w:vAlign w:val="bottom"/>
          </w:tcPr>
          <w:p>
            <w:pPr>
              <w:jc w:val="right"/>
              <w:ind w:right="1"/>
              <w:spacing w:after="0" w:line="178" w:lineRule="exact"/>
              <w:rPr>
                <w:sz w:val="20"/>
                <w:szCs w:val="20"/>
                <w:color w:val="auto"/>
              </w:rPr>
            </w:pPr>
            <w:r>
              <w:rPr>
                <w:rFonts w:ascii="Arial" w:cs="Arial" w:eastAsia="Arial" w:hAnsi="Arial"/>
                <w:sz w:val="16"/>
                <w:szCs w:val="16"/>
                <w:b w:val="1"/>
                <w:bCs w:val="1"/>
                <w:color w:val="auto"/>
              </w:rPr>
              <w:t>-</w:t>
            </w:r>
          </w:p>
        </w:tc>
        <w:tc>
          <w:tcPr>
            <w:tcW w:w="540" w:type="dxa"/>
            <w:vAlign w:val="bottom"/>
          </w:tcPr>
          <w:p>
            <w:pPr>
              <w:jc w:val="right"/>
              <w:ind w:right="21"/>
              <w:spacing w:after="0" w:line="178"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41"/>
              <w:spacing w:after="0" w:line="178" w:lineRule="exact"/>
              <w:rPr>
                <w:sz w:val="20"/>
                <w:szCs w:val="20"/>
                <w:color w:val="auto"/>
              </w:rPr>
            </w:pPr>
            <w:r>
              <w:rPr>
                <w:rFonts w:ascii="Arial" w:cs="Arial" w:eastAsia="Arial" w:hAnsi="Arial"/>
                <w:sz w:val="16"/>
                <w:szCs w:val="16"/>
                <w:b w:val="1"/>
                <w:bCs w:val="1"/>
                <w:color w:val="auto"/>
              </w:rPr>
              <w:t>34</w:t>
            </w:r>
          </w:p>
        </w:tc>
        <w:tc>
          <w:tcPr>
            <w:tcW w:w="680" w:type="dxa"/>
            <w:vAlign w:val="bottom"/>
          </w:tcPr>
          <w:p>
            <w:pPr>
              <w:jc w:val="right"/>
              <w:spacing w:after="0" w:line="178" w:lineRule="exact"/>
              <w:rPr>
                <w:sz w:val="20"/>
                <w:szCs w:val="20"/>
                <w:color w:val="auto"/>
              </w:rPr>
            </w:pPr>
            <w:r>
              <w:rPr>
                <w:rFonts w:ascii="Arial" w:cs="Arial" w:eastAsia="Arial" w:hAnsi="Arial"/>
                <w:sz w:val="16"/>
                <w:szCs w:val="16"/>
                <w:color w:val="auto"/>
              </w:rPr>
              <w:t>39  </w:t>
            </w:r>
          </w:p>
        </w:tc>
      </w:tr>
      <w:tr>
        <w:trPr>
          <w:trHeight w:val="218"/>
        </w:trPr>
        <w:tc>
          <w:tcPr>
            <w:tcW w:w="4660" w:type="dxa"/>
            <w:vAlign w:val="bottom"/>
          </w:tcPr>
          <w:p>
            <w:pPr>
              <w:spacing w:after="0"/>
              <w:rPr>
                <w:sz w:val="20"/>
                <w:szCs w:val="20"/>
                <w:color w:val="auto"/>
              </w:rPr>
            </w:pPr>
            <w:r>
              <w:rPr>
                <w:rFonts w:ascii="Arial" w:cs="Arial" w:eastAsia="Arial" w:hAnsi="Arial"/>
                <w:sz w:val="16"/>
                <w:szCs w:val="16"/>
                <w:color w:val="auto"/>
              </w:rPr>
              <w:t> Net plan obligations</w:t>
            </w:r>
          </w:p>
        </w:tc>
        <w:tc>
          <w:tcPr>
            <w:tcW w:w="780" w:type="dxa"/>
            <w:vAlign w:val="bottom"/>
          </w:tcPr>
          <w:p>
            <w:pPr>
              <w:jc w:val="right"/>
              <w:ind w:right="41"/>
              <w:spacing w:after="0"/>
              <w:rPr>
                <w:sz w:val="20"/>
                <w:szCs w:val="20"/>
                <w:color w:val="auto"/>
              </w:rPr>
            </w:pPr>
            <w:r>
              <w:rPr>
                <w:rFonts w:ascii="Arial" w:cs="Arial" w:eastAsia="Arial" w:hAnsi="Arial"/>
                <w:sz w:val="16"/>
                <w:szCs w:val="16"/>
                <w:b w:val="1"/>
                <w:bCs w:val="1"/>
                <w:color w:val="auto"/>
              </w:rPr>
              <w:t>(242)</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(224)</w:t>
            </w:r>
          </w:p>
        </w:tc>
        <w:tc>
          <w:tcPr>
            <w:tcW w:w="580" w:type="dxa"/>
            <w:vAlign w:val="bottom"/>
          </w:tcPr>
          <w:p>
            <w:pPr>
              <w:jc w:val="right"/>
              <w:ind w:right="21"/>
              <w:spacing w:after="0"/>
              <w:rPr>
                <w:sz w:val="20"/>
                <w:szCs w:val="20"/>
                <w:color w:val="auto"/>
              </w:rPr>
            </w:pPr>
            <w:r>
              <w:rPr>
                <w:rFonts w:ascii="Arial" w:cs="Arial" w:eastAsia="Arial" w:hAnsi="Arial"/>
                <w:sz w:val="16"/>
                <w:szCs w:val="16"/>
                <w:b w:val="1"/>
                <w:bCs w:val="1"/>
                <w:color w:val="auto"/>
              </w:rPr>
              <w:t>(212)</w:t>
            </w: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(231)</w:t>
            </w:r>
          </w:p>
        </w:tc>
        <w:tc>
          <w:tcPr>
            <w:tcW w:w="500" w:type="dxa"/>
            <w:vAlign w:val="bottom"/>
          </w:tcPr>
          <w:p>
            <w:pPr>
              <w:jc w:val="right"/>
              <w:ind w:right="1"/>
              <w:spacing w:after="0"/>
              <w:rPr>
                <w:sz w:val="20"/>
                <w:szCs w:val="20"/>
                <w:color w:val="auto"/>
              </w:rPr>
            </w:pPr>
            <w:r>
              <w:rPr>
                <w:rFonts w:ascii="Arial" w:cs="Arial" w:eastAsia="Arial" w:hAnsi="Arial"/>
                <w:sz w:val="16"/>
                <w:szCs w:val="16"/>
                <w:b w:val="1"/>
                <w:bCs w:val="1"/>
                <w:color w:val="auto"/>
              </w:rPr>
              <w:t>(34)</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(50)</w:t>
            </w:r>
          </w:p>
        </w:tc>
        <w:tc>
          <w:tcPr>
            <w:tcW w:w="720" w:type="dxa"/>
            <w:vAlign w:val="bottom"/>
          </w:tcPr>
          <w:p>
            <w:pPr>
              <w:jc w:val="right"/>
              <w:ind w:right="41"/>
              <w:spacing w:after="0"/>
              <w:rPr>
                <w:sz w:val="20"/>
                <w:szCs w:val="20"/>
                <w:color w:val="auto"/>
              </w:rPr>
            </w:pPr>
            <w:r>
              <w:rPr>
                <w:rFonts w:ascii="Arial" w:cs="Arial" w:eastAsia="Arial" w:hAnsi="Arial"/>
                <w:sz w:val="16"/>
                <w:szCs w:val="16"/>
                <w:b w:val="1"/>
                <w:bCs w:val="1"/>
                <w:color w:val="auto"/>
              </w:rPr>
              <w:t>(488)</w:t>
            </w:r>
          </w:p>
        </w:tc>
        <w:tc>
          <w:tcPr>
            <w:tcW w:w="680" w:type="dxa"/>
            <w:vAlign w:val="bottom"/>
          </w:tcPr>
          <w:p>
            <w:pPr>
              <w:jc w:val="right"/>
              <w:spacing w:after="0"/>
              <w:rPr>
                <w:sz w:val="20"/>
                <w:szCs w:val="20"/>
                <w:color w:val="auto"/>
              </w:rPr>
            </w:pPr>
            <w:r>
              <w:rPr>
                <w:rFonts w:ascii="Arial" w:cs="Arial" w:eastAsia="Arial" w:hAnsi="Arial"/>
                <w:sz w:val="16"/>
                <w:szCs w:val="16"/>
                <w:color w:val="auto"/>
              </w:rPr>
              <w:t>(505)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-10795</wp:posOffset>
            </wp:positionV>
            <wp:extent cx="6175375" cy="1651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175375" cy="16510"/>
                    </a:xfrm>
                    <a:prstGeom prst="rect">
                      <a:avLst/>
                    </a:prstGeom>
                    <a:noFill/>
                  </pic:spPr>
                </pic:pic>
              </a:graphicData>
            </a:graphic>
          </wp:anchor>
        </w:drawing>
      </w:r>
    </w:p>
    <w:p>
      <w:pPr>
        <w:ind w:left="640" w:hanging="422"/>
        <w:spacing w:after="0"/>
        <w:tabs>
          <w:tab w:leader="none" w:pos="64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Unfunded pension plans consist of SERPs.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Defined benefit obligation</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summarizes activity in the defined benefit obligation:</w:t>
      </w:r>
    </w:p>
    <w:p>
      <w:pPr>
        <w:spacing w:after="0" w:line="235"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4660" w:type="dxa"/>
            <w:vAlign w:val="bottom"/>
            <w:shd w:val="clear" w:color="auto" w:fill="1F473D"/>
          </w:tcPr>
          <w:p>
            <w:pPr>
              <w:spacing w:after="0"/>
              <w:rPr>
                <w:sz w:val="20"/>
                <w:szCs w:val="20"/>
                <w:color w:val="auto"/>
              </w:rPr>
            </w:pPr>
            <w:r>
              <w:rPr>
                <w:rFonts w:ascii="Arial" w:cs="Arial" w:eastAsia="Arial" w:hAnsi="Arial"/>
                <w:sz w:val="16"/>
                <w:szCs w:val="16"/>
                <w:b w:val="1"/>
                <w:bCs w:val="1"/>
                <w:color w:val="FFFFFF"/>
              </w:rPr>
              <w:t> Present Value of Defined Benefit Obligations</w:t>
            </w:r>
          </w:p>
        </w:tc>
        <w:tc>
          <w:tcPr>
            <w:tcW w:w="1480" w:type="dxa"/>
            <w:vAlign w:val="bottom"/>
            <w:gridSpan w:val="2"/>
            <w:shd w:val="clear" w:color="auto" w:fill="1F473D"/>
          </w:tcPr>
          <w:p>
            <w:pPr>
              <w:jc w:val="right"/>
              <w:ind w:right="381"/>
              <w:spacing w:after="0"/>
              <w:rPr>
                <w:sz w:val="20"/>
                <w:szCs w:val="20"/>
                <w:color w:val="auto"/>
              </w:rPr>
            </w:pPr>
            <w:r>
              <w:rPr>
                <w:rFonts w:ascii="Arial" w:cs="Arial" w:eastAsia="Arial" w:hAnsi="Arial"/>
                <w:sz w:val="16"/>
                <w:szCs w:val="16"/>
                <w:b w:val="1"/>
                <w:bCs w:val="1"/>
                <w:color w:val="FFFFFF"/>
              </w:rPr>
              <w:t>Funded</w:t>
            </w:r>
          </w:p>
        </w:tc>
        <w:tc>
          <w:tcPr>
            <w:tcW w:w="1140" w:type="dxa"/>
            <w:vAlign w:val="bottom"/>
            <w:gridSpan w:val="2"/>
            <w:shd w:val="clear" w:color="auto" w:fill="1F473D"/>
          </w:tcPr>
          <w:p>
            <w:pPr>
              <w:jc w:val="right"/>
              <w:ind w:right="141"/>
              <w:spacing w:after="0"/>
              <w:rPr>
                <w:sz w:val="20"/>
                <w:szCs w:val="20"/>
                <w:color w:val="auto"/>
              </w:rPr>
            </w:pPr>
            <w:r>
              <w:rPr>
                <w:rFonts w:ascii="Arial" w:cs="Arial" w:eastAsia="Arial" w:hAnsi="Arial"/>
                <w:sz w:val="16"/>
                <w:szCs w:val="16"/>
                <w:b w:val="1"/>
                <w:bCs w:val="1"/>
                <w:color w:val="FFFFFF"/>
              </w:rPr>
              <w:t>Unfunded</w:t>
            </w:r>
          </w:p>
        </w:tc>
        <w:tc>
          <w:tcPr>
            <w:tcW w:w="1040" w:type="dxa"/>
            <w:vAlign w:val="bottom"/>
            <w:gridSpan w:val="2"/>
            <w:shd w:val="clear" w:color="auto" w:fill="1F473D"/>
          </w:tcPr>
          <w:p>
            <w:pPr>
              <w:jc w:val="right"/>
              <w:ind w:right="241"/>
              <w:spacing w:after="0"/>
              <w:rPr>
                <w:sz w:val="20"/>
                <w:szCs w:val="20"/>
                <w:color w:val="auto"/>
              </w:rPr>
            </w:pPr>
            <w:r>
              <w:rPr>
                <w:rFonts w:ascii="Arial" w:cs="Arial" w:eastAsia="Arial" w:hAnsi="Arial"/>
                <w:sz w:val="16"/>
                <w:szCs w:val="16"/>
                <w:b w:val="1"/>
                <w:bCs w:val="1"/>
                <w:color w:val="FFFFFF"/>
              </w:rPr>
              <w:t>OPEB</w:t>
            </w:r>
          </w:p>
        </w:tc>
        <w:tc>
          <w:tcPr>
            <w:tcW w:w="1400" w:type="dxa"/>
            <w:vAlign w:val="bottom"/>
            <w:gridSpan w:val="2"/>
            <w:shd w:val="clear" w:color="auto" w:fill="1F473D"/>
          </w:tcPr>
          <w:p>
            <w:pPr>
              <w:jc w:val="right"/>
              <w:ind w:right="441"/>
              <w:spacing w:after="0"/>
              <w:rPr>
                <w:sz w:val="20"/>
                <w:szCs w:val="20"/>
                <w:color w:val="auto"/>
              </w:rPr>
            </w:pPr>
            <w:r>
              <w:rPr>
                <w:rFonts w:ascii="Arial" w:cs="Arial" w:eastAsia="Arial" w:hAnsi="Arial"/>
                <w:sz w:val="16"/>
                <w:szCs w:val="16"/>
                <w:b w:val="1"/>
                <w:bCs w:val="1"/>
                <w:color w:val="FFFFFF"/>
              </w:rPr>
              <w:t>Total</w:t>
            </w:r>
          </w:p>
        </w:tc>
      </w:tr>
      <w:tr>
        <w:trPr>
          <w:trHeight w:val="205"/>
        </w:trPr>
        <w:tc>
          <w:tcPr>
            <w:tcW w:w="4660" w:type="dxa"/>
            <w:vAlign w:val="bottom"/>
            <w:tcBorders>
              <w:bottom w:val="single" w:sz="8" w:color="D64000"/>
            </w:tcBorders>
            <w:shd w:val="clear" w:color="auto" w:fill="E3F3EE"/>
          </w:tcPr>
          <w:p>
            <w:pPr>
              <w:spacing w:after="0"/>
              <w:rPr>
                <w:sz w:val="20"/>
                <w:szCs w:val="20"/>
                <w:color w:val="auto"/>
              </w:rPr>
            </w:pPr>
            <w:r>
              <w:rPr>
                <w:rFonts w:ascii="Arial" w:cs="Arial" w:eastAsia="Arial" w:hAnsi="Arial"/>
                <w:sz w:val="16"/>
                <w:szCs w:val="16"/>
                <w:b w:val="1"/>
                <w:bCs w:val="1"/>
                <w:color w:val="auto"/>
              </w:rPr>
              <w:t> As of December 31,</w:t>
            </w:r>
          </w:p>
        </w:tc>
        <w:tc>
          <w:tcPr>
            <w:tcW w:w="780" w:type="dxa"/>
            <w:vAlign w:val="bottom"/>
            <w:tcBorders>
              <w:bottom w:val="single" w:sz="8" w:color="D64000"/>
            </w:tcBorders>
            <w:shd w:val="clear" w:color="auto" w:fill="E3F3EE"/>
          </w:tcPr>
          <w:p>
            <w:pPr>
              <w:jc w:val="right"/>
              <w:ind w:right="41"/>
              <w:spacing w:after="0"/>
              <w:rPr>
                <w:sz w:val="20"/>
                <w:szCs w:val="20"/>
                <w:color w:val="auto"/>
              </w:rPr>
            </w:pPr>
            <w:r>
              <w:rPr>
                <w:rFonts w:ascii="Arial" w:cs="Arial" w:eastAsia="Arial" w:hAnsi="Arial"/>
                <w:sz w:val="16"/>
                <w:szCs w:val="16"/>
                <w:b w:val="1"/>
                <w:bCs w:val="1"/>
                <w:color w:val="auto"/>
              </w:rPr>
              <w:t>2024</w:t>
            </w:r>
          </w:p>
        </w:tc>
        <w:tc>
          <w:tcPr>
            <w:tcW w:w="700" w:type="dxa"/>
            <w:vAlign w:val="bottom"/>
            <w:tcBorders>
              <w:bottom w:val="single" w:sz="8" w:color="D64000"/>
            </w:tcBorders>
            <w:shd w:val="clear" w:color="auto" w:fill="E3F3EE"/>
          </w:tcPr>
          <w:p>
            <w:pPr>
              <w:jc w:val="right"/>
              <w:ind w:right="21"/>
              <w:spacing w:after="0"/>
              <w:rPr>
                <w:sz w:val="20"/>
                <w:szCs w:val="20"/>
                <w:color w:val="auto"/>
              </w:rPr>
            </w:pPr>
            <w:r>
              <w:rPr>
                <w:rFonts w:ascii="Arial" w:cs="Arial" w:eastAsia="Arial" w:hAnsi="Arial"/>
                <w:sz w:val="16"/>
                <w:szCs w:val="16"/>
                <w:color w:val="auto"/>
              </w:rPr>
              <w:t>2023</w:t>
            </w:r>
          </w:p>
        </w:tc>
        <w:tc>
          <w:tcPr>
            <w:tcW w:w="580" w:type="dxa"/>
            <w:vAlign w:val="bottom"/>
            <w:tcBorders>
              <w:bottom w:val="single" w:sz="8" w:color="D64000"/>
            </w:tcBorders>
            <w:shd w:val="clear" w:color="auto" w:fill="E3F3EE"/>
          </w:tcPr>
          <w:p>
            <w:pPr>
              <w:jc w:val="right"/>
              <w:ind w:right="21"/>
              <w:spacing w:after="0"/>
              <w:rPr>
                <w:sz w:val="20"/>
                <w:szCs w:val="20"/>
                <w:color w:val="auto"/>
              </w:rPr>
            </w:pPr>
            <w:r>
              <w:rPr>
                <w:rFonts w:ascii="Arial" w:cs="Arial" w:eastAsia="Arial" w:hAnsi="Arial"/>
                <w:sz w:val="16"/>
                <w:szCs w:val="16"/>
                <w:b w:val="1"/>
                <w:bCs w:val="1"/>
                <w:color w:val="auto"/>
              </w:rPr>
              <w:t>2024</w:t>
            </w:r>
          </w:p>
        </w:tc>
        <w:tc>
          <w:tcPr>
            <w:tcW w:w="560" w:type="dxa"/>
            <w:vAlign w:val="bottom"/>
            <w:tcBorders>
              <w:bottom w:val="single" w:sz="8" w:color="D64000"/>
            </w:tcBorders>
            <w:shd w:val="clear" w:color="auto" w:fill="E3F3EE"/>
          </w:tcPr>
          <w:p>
            <w:pPr>
              <w:jc w:val="right"/>
              <w:ind w:right="1"/>
              <w:spacing w:after="0"/>
              <w:rPr>
                <w:sz w:val="20"/>
                <w:szCs w:val="20"/>
                <w:color w:val="auto"/>
              </w:rPr>
            </w:pPr>
            <w:r>
              <w:rPr>
                <w:rFonts w:ascii="Arial" w:cs="Arial" w:eastAsia="Arial" w:hAnsi="Arial"/>
                <w:sz w:val="16"/>
                <w:szCs w:val="16"/>
                <w:color w:val="auto"/>
              </w:rPr>
              <w:t>2023</w:t>
            </w:r>
          </w:p>
        </w:tc>
        <w:tc>
          <w:tcPr>
            <w:tcW w:w="500" w:type="dxa"/>
            <w:vAlign w:val="bottom"/>
            <w:tcBorders>
              <w:bottom w:val="single" w:sz="8" w:color="D64000"/>
            </w:tcBorders>
            <w:shd w:val="clear" w:color="auto" w:fill="E3F3EE"/>
          </w:tcPr>
          <w:p>
            <w:pPr>
              <w:jc w:val="right"/>
              <w:ind w:right="1"/>
              <w:spacing w:after="0"/>
              <w:rPr>
                <w:sz w:val="20"/>
                <w:szCs w:val="20"/>
                <w:color w:val="auto"/>
              </w:rPr>
            </w:pPr>
            <w:r>
              <w:rPr>
                <w:rFonts w:ascii="Arial" w:cs="Arial" w:eastAsia="Arial" w:hAnsi="Arial"/>
                <w:sz w:val="16"/>
                <w:szCs w:val="16"/>
                <w:b w:val="1"/>
                <w:bCs w:val="1"/>
                <w:color w:val="auto"/>
              </w:rPr>
              <w:t>2024</w:t>
            </w:r>
          </w:p>
        </w:tc>
        <w:tc>
          <w:tcPr>
            <w:tcW w:w="540" w:type="dxa"/>
            <w:vAlign w:val="bottom"/>
            <w:tcBorders>
              <w:bottom w:val="single" w:sz="8" w:color="D64000"/>
            </w:tcBorders>
            <w:shd w:val="clear" w:color="auto" w:fill="E3F3EE"/>
          </w:tcPr>
          <w:p>
            <w:pPr>
              <w:jc w:val="right"/>
              <w:ind w:right="21"/>
              <w:spacing w:after="0"/>
              <w:rPr>
                <w:sz w:val="20"/>
                <w:szCs w:val="20"/>
                <w:color w:val="auto"/>
              </w:rPr>
            </w:pPr>
            <w:r>
              <w:rPr>
                <w:rFonts w:ascii="Arial" w:cs="Arial" w:eastAsia="Arial" w:hAnsi="Arial"/>
                <w:sz w:val="16"/>
                <w:szCs w:val="16"/>
                <w:color w:val="auto"/>
              </w:rPr>
              <w:t>2023</w:t>
            </w:r>
          </w:p>
        </w:tc>
        <w:tc>
          <w:tcPr>
            <w:tcW w:w="720" w:type="dxa"/>
            <w:vAlign w:val="bottom"/>
            <w:tcBorders>
              <w:bottom w:val="single" w:sz="8" w:color="D64000"/>
            </w:tcBorders>
            <w:shd w:val="clear" w:color="auto" w:fill="E3F3EE"/>
          </w:tcPr>
          <w:p>
            <w:pPr>
              <w:jc w:val="right"/>
              <w:ind w:right="41"/>
              <w:spacing w:after="0"/>
              <w:rPr>
                <w:sz w:val="20"/>
                <w:szCs w:val="20"/>
                <w:color w:val="auto"/>
              </w:rPr>
            </w:pPr>
            <w:r>
              <w:rPr>
                <w:rFonts w:ascii="Arial" w:cs="Arial" w:eastAsia="Arial" w:hAnsi="Arial"/>
                <w:sz w:val="16"/>
                <w:szCs w:val="16"/>
                <w:b w:val="1"/>
                <w:bCs w:val="1"/>
                <w:color w:val="auto"/>
              </w:rPr>
              <w:t>2024</w:t>
            </w:r>
          </w:p>
        </w:tc>
        <w:tc>
          <w:tcPr>
            <w:tcW w:w="680" w:type="dxa"/>
            <w:vAlign w:val="bottom"/>
            <w:tcBorders>
              <w:bottom w:val="single" w:sz="8" w:color="D64000"/>
            </w:tcBorders>
            <w:shd w:val="clear" w:color="auto" w:fill="E3F3EE"/>
          </w:tcPr>
          <w:p>
            <w:pPr>
              <w:jc w:val="right"/>
              <w:spacing w:after="0"/>
              <w:rPr>
                <w:sz w:val="20"/>
                <w:szCs w:val="20"/>
                <w:color w:val="auto"/>
              </w:rPr>
            </w:pPr>
            <w:r>
              <w:rPr>
                <w:rFonts w:ascii="Arial" w:cs="Arial" w:eastAsia="Arial" w:hAnsi="Arial"/>
                <w:sz w:val="16"/>
                <w:szCs w:val="16"/>
                <w:color w:val="auto"/>
              </w:rPr>
              <w:t>2023  </w:t>
            </w:r>
          </w:p>
        </w:tc>
      </w:tr>
      <w:tr>
        <w:trPr>
          <w:trHeight w:val="185"/>
        </w:trPr>
        <w:tc>
          <w:tcPr>
            <w:tcW w:w="4660" w:type="dxa"/>
            <w:vAlign w:val="bottom"/>
          </w:tcPr>
          <w:p>
            <w:pPr>
              <w:spacing w:after="0"/>
              <w:rPr>
                <w:sz w:val="20"/>
                <w:szCs w:val="20"/>
                <w:color w:val="auto"/>
              </w:rPr>
            </w:pPr>
            <w:r>
              <w:rPr>
                <w:rFonts w:ascii="Arial" w:cs="Arial" w:eastAsia="Arial" w:hAnsi="Arial"/>
                <w:sz w:val="16"/>
                <w:szCs w:val="16"/>
                <w:color w:val="auto"/>
              </w:rPr>
              <w:t> Opening defined benefit obligation</w:t>
            </w:r>
          </w:p>
        </w:tc>
        <w:tc>
          <w:tcPr>
            <w:tcW w:w="780" w:type="dxa"/>
            <w:vAlign w:val="bottom"/>
          </w:tcPr>
          <w:p>
            <w:pPr>
              <w:jc w:val="right"/>
              <w:ind w:right="41"/>
              <w:spacing w:after="0"/>
              <w:rPr>
                <w:sz w:val="20"/>
                <w:szCs w:val="20"/>
                <w:color w:val="auto"/>
              </w:rPr>
            </w:pPr>
            <w:r>
              <w:rPr>
                <w:rFonts w:ascii="Arial" w:cs="Arial" w:eastAsia="Arial" w:hAnsi="Arial"/>
                <w:sz w:val="16"/>
                <w:szCs w:val="16"/>
                <w:b w:val="1"/>
                <w:bCs w:val="1"/>
                <w:color w:val="auto"/>
              </w:rPr>
              <w:t>(2,606)</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(2,502)</w:t>
            </w:r>
          </w:p>
        </w:tc>
        <w:tc>
          <w:tcPr>
            <w:tcW w:w="580" w:type="dxa"/>
            <w:vAlign w:val="bottom"/>
          </w:tcPr>
          <w:p>
            <w:pPr>
              <w:jc w:val="right"/>
              <w:ind w:right="21"/>
              <w:spacing w:after="0"/>
              <w:rPr>
                <w:sz w:val="20"/>
                <w:szCs w:val="20"/>
                <w:color w:val="auto"/>
              </w:rPr>
            </w:pPr>
            <w:r>
              <w:rPr>
                <w:rFonts w:ascii="Arial" w:cs="Arial" w:eastAsia="Arial" w:hAnsi="Arial"/>
                <w:sz w:val="16"/>
                <w:szCs w:val="16"/>
                <w:b w:val="1"/>
                <w:bCs w:val="1"/>
                <w:color w:val="auto"/>
              </w:rPr>
              <w:t>(231)</w:t>
            </w: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(227)</w:t>
            </w:r>
          </w:p>
        </w:tc>
        <w:tc>
          <w:tcPr>
            <w:tcW w:w="500" w:type="dxa"/>
            <w:vAlign w:val="bottom"/>
          </w:tcPr>
          <w:p>
            <w:pPr>
              <w:jc w:val="right"/>
              <w:ind w:right="1"/>
              <w:spacing w:after="0"/>
              <w:rPr>
                <w:sz w:val="20"/>
                <w:szCs w:val="20"/>
                <w:color w:val="auto"/>
              </w:rPr>
            </w:pPr>
            <w:r>
              <w:rPr>
                <w:rFonts w:ascii="Arial" w:cs="Arial" w:eastAsia="Arial" w:hAnsi="Arial"/>
                <w:sz w:val="16"/>
                <w:szCs w:val="16"/>
                <w:b w:val="1"/>
                <w:bCs w:val="1"/>
                <w:color w:val="auto"/>
              </w:rPr>
              <w:t>(50)</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(58)</w:t>
            </w:r>
          </w:p>
        </w:tc>
        <w:tc>
          <w:tcPr>
            <w:tcW w:w="720" w:type="dxa"/>
            <w:vAlign w:val="bottom"/>
          </w:tcPr>
          <w:p>
            <w:pPr>
              <w:jc w:val="right"/>
              <w:ind w:right="41"/>
              <w:spacing w:after="0"/>
              <w:rPr>
                <w:sz w:val="20"/>
                <w:szCs w:val="20"/>
                <w:color w:val="auto"/>
              </w:rPr>
            </w:pPr>
            <w:r>
              <w:rPr>
                <w:rFonts w:ascii="Arial" w:cs="Arial" w:eastAsia="Arial" w:hAnsi="Arial"/>
                <w:sz w:val="16"/>
                <w:szCs w:val="16"/>
                <w:b w:val="1"/>
                <w:bCs w:val="1"/>
                <w:color w:val="auto"/>
              </w:rPr>
              <w:t>(2,887)</w:t>
            </w:r>
          </w:p>
        </w:tc>
        <w:tc>
          <w:tcPr>
            <w:tcW w:w="680" w:type="dxa"/>
            <w:vAlign w:val="bottom"/>
          </w:tcPr>
          <w:p>
            <w:pPr>
              <w:jc w:val="right"/>
              <w:spacing w:after="0"/>
              <w:rPr>
                <w:sz w:val="20"/>
                <w:szCs w:val="20"/>
                <w:color w:val="auto"/>
              </w:rPr>
            </w:pPr>
            <w:r>
              <w:rPr>
                <w:rFonts w:ascii="Arial" w:cs="Arial" w:eastAsia="Arial" w:hAnsi="Arial"/>
                <w:sz w:val="16"/>
                <w:szCs w:val="16"/>
                <w:color w:val="auto"/>
              </w:rPr>
              <w:t>(2,787)  </w:t>
            </w:r>
          </w:p>
        </w:tc>
      </w:tr>
      <w:tr>
        <w:trPr>
          <w:trHeight w:val="199"/>
        </w:trPr>
        <w:tc>
          <w:tcPr>
            <w:tcW w:w="4660" w:type="dxa"/>
            <w:vAlign w:val="bottom"/>
          </w:tcPr>
          <w:p>
            <w:pPr>
              <w:spacing w:after="0"/>
              <w:rPr>
                <w:sz w:val="20"/>
                <w:szCs w:val="20"/>
                <w:color w:val="auto"/>
              </w:rPr>
            </w:pPr>
            <w:r>
              <w:rPr>
                <w:rFonts w:ascii="Arial" w:cs="Arial" w:eastAsia="Arial" w:hAnsi="Arial"/>
                <w:sz w:val="16"/>
                <w:szCs w:val="16"/>
                <w:color w:val="auto"/>
              </w:rPr>
              <w:t> Current service cost</w:t>
            </w:r>
          </w:p>
        </w:tc>
        <w:tc>
          <w:tcPr>
            <w:tcW w:w="780" w:type="dxa"/>
            <w:vAlign w:val="bottom"/>
          </w:tcPr>
          <w:p>
            <w:pPr>
              <w:jc w:val="right"/>
              <w:ind w:right="41"/>
              <w:spacing w:after="0"/>
              <w:rPr>
                <w:sz w:val="20"/>
                <w:szCs w:val="20"/>
                <w:color w:val="auto"/>
              </w:rPr>
            </w:pPr>
            <w:r>
              <w:rPr>
                <w:rFonts w:ascii="Arial" w:cs="Arial" w:eastAsia="Arial" w:hAnsi="Arial"/>
                <w:sz w:val="16"/>
                <w:szCs w:val="16"/>
                <w:b w:val="1"/>
                <w:bCs w:val="1"/>
                <w:color w:val="auto"/>
              </w:rPr>
              <w:t>(4)</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580" w:type="dxa"/>
            <w:vAlign w:val="bottom"/>
          </w:tcPr>
          <w:p>
            <w:pPr>
              <w:jc w:val="right"/>
              <w:ind w:right="21"/>
              <w:spacing w:after="0"/>
              <w:rPr>
                <w:sz w:val="20"/>
                <w:szCs w:val="20"/>
                <w:color w:val="auto"/>
              </w:rPr>
            </w:pPr>
            <w:r>
              <w:rPr>
                <w:rFonts w:ascii="Arial" w:cs="Arial" w:eastAsia="Arial" w:hAnsi="Arial"/>
                <w:sz w:val="16"/>
                <w:szCs w:val="16"/>
                <w:b w:val="1"/>
                <w:bCs w:val="1"/>
                <w:color w:val="auto"/>
              </w:rPr>
              <w:t>(1)</w:t>
            </w: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500" w:type="dxa"/>
            <w:vAlign w:val="bottom"/>
          </w:tcPr>
          <w:p>
            <w:pPr>
              <w:jc w:val="right"/>
              <w:ind w:right="1"/>
              <w:spacing w:after="0"/>
              <w:rPr>
                <w:sz w:val="20"/>
                <w:szCs w:val="20"/>
                <w:color w:val="auto"/>
              </w:rPr>
            </w:pPr>
            <w:r>
              <w:rPr>
                <w:rFonts w:ascii="Arial" w:cs="Arial" w:eastAsia="Arial" w:hAnsi="Arial"/>
                <w:sz w:val="16"/>
                <w:szCs w:val="16"/>
                <w:b w:val="1"/>
                <w:bCs w:val="1"/>
                <w:color w:val="auto"/>
              </w:rPr>
              <w:t>(1)</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720" w:type="dxa"/>
            <w:vAlign w:val="bottom"/>
          </w:tcPr>
          <w:p>
            <w:pPr>
              <w:jc w:val="right"/>
              <w:ind w:right="41"/>
              <w:spacing w:after="0"/>
              <w:rPr>
                <w:sz w:val="20"/>
                <w:szCs w:val="20"/>
                <w:color w:val="auto"/>
              </w:rPr>
            </w:pPr>
            <w:r>
              <w:rPr>
                <w:rFonts w:ascii="Arial" w:cs="Arial" w:eastAsia="Arial" w:hAnsi="Arial"/>
                <w:sz w:val="16"/>
                <w:szCs w:val="16"/>
                <w:b w:val="1"/>
                <w:bCs w:val="1"/>
                <w:color w:val="auto"/>
              </w:rPr>
              <w:t>(6)</w:t>
            </w:r>
          </w:p>
        </w:tc>
        <w:tc>
          <w:tcPr>
            <w:tcW w:w="680" w:type="dxa"/>
            <w:vAlign w:val="bottom"/>
          </w:tcPr>
          <w:p>
            <w:pPr>
              <w:jc w:val="right"/>
              <w:spacing w:after="0"/>
              <w:rPr>
                <w:sz w:val="20"/>
                <w:szCs w:val="20"/>
                <w:color w:val="auto"/>
              </w:rPr>
            </w:pPr>
            <w:r>
              <w:rPr>
                <w:rFonts w:ascii="Arial" w:cs="Arial" w:eastAsia="Arial" w:hAnsi="Arial"/>
                <w:sz w:val="16"/>
                <w:szCs w:val="16"/>
                <w:color w:val="auto"/>
              </w:rPr>
              <w:t>(5)  </w:t>
            </w:r>
          </w:p>
        </w:tc>
      </w:tr>
      <w:tr>
        <w:trPr>
          <w:trHeight w:val="199"/>
        </w:trPr>
        <w:tc>
          <w:tcPr>
            <w:tcW w:w="4660" w:type="dxa"/>
            <w:vAlign w:val="bottom"/>
          </w:tcPr>
          <w:p>
            <w:pPr>
              <w:spacing w:after="0"/>
              <w:rPr>
                <w:sz w:val="20"/>
                <w:szCs w:val="20"/>
                <w:color w:val="auto"/>
              </w:rPr>
            </w:pPr>
            <w:r>
              <w:rPr>
                <w:rFonts w:ascii="Arial" w:cs="Arial" w:eastAsia="Arial" w:hAnsi="Arial"/>
                <w:sz w:val="16"/>
                <w:szCs w:val="16"/>
                <w:color w:val="auto"/>
              </w:rPr>
              <w:t> Administration fees</w:t>
            </w:r>
          </w:p>
        </w:tc>
        <w:tc>
          <w:tcPr>
            <w:tcW w:w="780" w:type="dxa"/>
            <w:vAlign w:val="bottom"/>
          </w:tcPr>
          <w:p>
            <w:pPr>
              <w:jc w:val="right"/>
              <w:ind w:right="41"/>
              <w:spacing w:after="0"/>
              <w:rPr>
                <w:sz w:val="20"/>
                <w:szCs w:val="20"/>
                <w:color w:val="auto"/>
              </w:rPr>
            </w:pPr>
            <w:r>
              <w:rPr>
                <w:rFonts w:ascii="Arial" w:cs="Arial" w:eastAsia="Arial" w:hAnsi="Arial"/>
                <w:sz w:val="16"/>
                <w:szCs w:val="16"/>
                <w:b w:val="1"/>
                <w:bCs w:val="1"/>
                <w:color w:val="auto"/>
              </w:rPr>
              <w:t>(15)</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(15)</w:t>
            </w:r>
          </w:p>
        </w:tc>
        <w:tc>
          <w:tcPr>
            <w:tcW w:w="58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1"/>
              <w:spacing w:after="0"/>
              <w:rPr>
                <w:sz w:val="20"/>
                <w:szCs w:val="20"/>
                <w:color w:val="auto"/>
              </w:rPr>
            </w:pPr>
            <w:r>
              <w:rPr>
                <w:rFonts w:ascii="Arial" w:cs="Arial" w:eastAsia="Arial" w:hAnsi="Arial"/>
                <w:sz w:val="16"/>
                <w:szCs w:val="16"/>
                <w:b w:val="1"/>
                <w:bCs w:val="1"/>
                <w:color w:val="auto"/>
              </w:rPr>
              <w:t>(15)</w:t>
            </w:r>
          </w:p>
        </w:tc>
        <w:tc>
          <w:tcPr>
            <w:tcW w:w="68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199"/>
        </w:trPr>
        <w:tc>
          <w:tcPr>
            <w:tcW w:w="4660" w:type="dxa"/>
            <w:vAlign w:val="bottom"/>
          </w:tcPr>
          <w:p>
            <w:pPr>
              <w:spacing w:after="0"/>
              <w:rPr>
                <w:sz w:val="20"/>
                <w:szCs w:val="20"/>
                <w:color w:val="auto"/>
              </w:rPr>
            </w:pPr>
            <w:r>
              <w:rPr>
                <w:rFonts w:ascii="Arial" w:cs="Arial" w:eastAsia="Arial" w:hAnsi="Arial"/>
                <w:sz w:val="16"/>
                <w:szCs w:val="16"/>
                <w:color w:val="auto"/>
              </w:rPr>
              <w:t> Interest cost</w:t>
            </w:r>
          </w:p>
        </w:tc>
        <w:tc>
          <w:tcPr>
            <w:tcW w:w="780" w:type="dxa"/>
            <w:vAlign w:val="bottom"/>
          </w:tcPr>
          <w:p>
            <w:pPr>
              <w:jc w:val="right"/>
              <w:ind w:right="41"/>
              <w:spacing w:after="0"/>
              <w:rPr>
                <w:sz w:val="20"/>
                <w:szCs w:val="20"/>
                <w:color w:val="auto"/>
              </w:rPr>
            </w:pPr>
            <w:r>
              <w:rPr>
                <w:rFonts w:ascii="Arial" w:cs="Arial" w:eastAsia="Arial" w:hAnsi="Arial"/>
                <w:sz w:val="16"/>
                <w:szCs w:val="16"/>
                <w:b w:val="1"/>
                <w:bCs w:val="1"/>
                <w:color w:val="auto"/>
              </w:rPr>
              <w:t>(123)</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(126)</w:t>
            </w:r>
          </w:p>
        </w:tc>
        <w:tc>
          <w:tcPr>
            <w:tcW w:w="580" w:type="dxa"/>
            <w:vAlign w:val="bottom"/>
          </w:tcPr>
          <w:p>
            <w:pPr>
              <w:jc w:val="right"/>
              <w:ind w:right="21"/>
              <w:spacing w:after="0"/>
              <w:rPr>
                <w:sz w:val="20"/>
                <w:szCs w:val="20"/>
                <w:color w:val="auto"/>
              </w:rPr>
            </w:pPr>
            <w:r>
              <w:rPr>
                <w:rFonts w:ascii="Arial" w:cs="Arial" w:eastAsia="Arial" w:hAnsi="Arial"/>
                <w:sz w:val="16"/>
                <w:szCs w:val="16"/>
                <w:b w:val="1"/>
                <w:bCs w:val="1"/>
                <w:color w:val="auto"/>
              </w:rPr>
              <w:t>(11)</w:t>
            </w: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(12)</w:t>
            </w:r>
          </w:p>
        </w:tc>
        <w:tc>
          <w:tcPr>
            <w:tcW w:w="500" w:type="dxa"/>
            <w:vAlign w:val="bottom"/>
          </w:tcPr>
          <w:p>
            <w:pPr>
              <w:jc w:val="right"/>
              <w:ind w:right="1"/>
              <w:spacing w:after="0"/>
              <w:rPr>
                <w:sz w:val="20"/>
                <w:szCs w:val="20"/>
                <w:color w:val="auto"/>
              </w:rPr>
            </w:pPr>
            <w:r>
              <w:rPr>
                <w:rFonts w:ascii="Arial" w:cs="Arial" w:eastAsia="Arial" w:hAnsi="Arial"/>
                <w:sz w:val="16"/>
                <w:szCs w:val="16"/>
                <w:b w:val="1"/>
                <w:bCs w:val="1"/>
                <w:color w:val="auto"/>
              </w:rPr>
              <w:t>(2)</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720" w:type="dxa"/>
            <w:vAlign w:val="bottom"/>
          </w:tcPr>
          <w:p>
            <w:pPr>
              <w:jc w:val="right"/>
              <w:ind w:right="41"/>
              <w:spacing w:after="0"/>
              <w:rPr>
                <w:sz w:val="20"/>
                <w:szCs w:val="20"/>
                <w:color w:val="auto"/>
              </w:rPr>
            </w:pPr>
            <w:r>
              <w:rPr>
                <w:rFonts w:ascii="Arial" w:cs="Arial" w:eastAsia="Arial" w:hAnsi="Arial"/>
                <w:sz w:val="16"/>
                <w:szCs w:val="16"/>
                <w:b w:val="1"/>
                <w:bCs w:val="1"/>
                <w:color w:val="auto"/>
              </w:rPr>
              <w:t>(136)</w:t>
            </w:r>
          </w:p>
        </w:tc>
        <w:tc>
          <w:tcPr>
            <w:tcW w:w="680" w:type="dxa"/>
            <w:vAlign w:val="bottom"/>
          </w:tcPr>
          <w:p>
            <w:pPr>
              <w:jc w:val="right"/>
              <w:spacing w:after="0"/>
              <w:rPr>
                <w:sz w:val="20"/>
                <w:szCs w:val="20"/>
                <w:color w:val="auto"/>
              </w:rPr>
            </w:pPr>
            <w:r>
              <w:rPr>
                <w:rFonts w:ascii="Arial" w:cs="Arial" w:eastAsia="Arial" w:hAnsi="Arial"/>
                <w:sz w:val="16"/>
                <w:szCs w:val="16"/>
                <w:color w:val="auto"/>
              </w:rPr>
              <w:t>(141)  </w:t>
            </w:r>
          </w:p>
        </w:tc>
      </w:tr>
      <w:tr>
        <w:trPr>
          <w:trHeight w:val="199"/>
        </w:trPr>
        <w:tc>
          <w:tcPr>
            <w:tcW w:w="4660" w:type="dxa"/>
            <w:vAlign w:val="bottom"/>
          </w:tcPr>
          <w:p>
            <w:pPr>
              <w:spacing w:after="0" w:line="199" w:lineRule="exact"/>
              <w:rPr>
                <w:sz w:val="20"/>
                <w:szCs w:val="20"/>
                <w:color w:val="auto"/>
              </w:rPr>
            </w:pPr>
            <w:r>
              <w:rPr>
                <w:rFonts w:ascii="Arial" w:cs="Arial" w:eastAsia="Arial" w:hAnsi="Arial"/>
                <w:sz w:val="16"/>
                <w:szCs w:val="16"/>
                <w:color w:val="auto"/>
              </w:rPr>
              <w:t> Actuarial gains (losses) from changes in financial assumptions</w:t>
            </w:r>
            <w:r>
              <w:rPr>
                <w:rFonts w:ascii="Arial" w:cs="Arial" w:eastAsia="Arial" w:hAnsi="Arial"/>
                <w:sz w:val="19"/>
                <w:szCs w:val="19"/>
                <w:color w:val="auto"/>
                <w:vertAlign w:val="superscript"/>
              </w:rPr>
              <w:t>(1)</w:t>
            </w:r>
          </w:p>
        </w:tc>
        <w:tc>
          <w:tcPr>
            <w:tcW w:w="780" w:type="dxa"/>
            <w:vAlign w:val="bottom"/>
          </w:tcPr>
          <w:p>
            <w:pPr>
              <w:jc w:val="right"/>
              <w:ind w:right="41"/>
              <w:spacing w:after="0"/>
              <w:rPr>
                <w:sz w:val="20"/>
                <w:szCs w:val="20"/>
                <w:color w:val="auto"/>
              </w:rPr>
            </w:pPr>
            <w:r>
              <w:rPr>
                <w:rFonts w:ascii="Arial" w:cs="Arial" w:eastAsia="Arial" w:hAnsi="Arial"/>
                <w:sz w:val="16"/>
                <w:szCs w:val="16"/>
                <w:b w:val="1"/>
                <w:bCs w:val="1"/>
                <w:color w:val="auto"/>
              </w:rPr>
              <w:t>179</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(88)</w:t>
            </w:r>
          </w:p>
        </w:tc>
        <w:tc>
          <w:tcPr>
            <w:tcW w:w="580" w:type="dxa"/>
            <w:vAlign w:val="bottom"/>
          </w:tcPr>
          <w:p>
            <w:pPr>
              <w:jc w:val="right"/>
              <w:ind w:right="21"/>
              <w:spacing w:after="0"/>
              <w:rPr>
                <w:sz w:val="20"/>
                <w:szCs w:val="20"/>
                <w:color w:val="auto"/>
              </w:rPr>
            </w:pPr>
            <w:r>
              <w:rPr>
                <w:rFonts w:ascii="Arial" w:cs="Arial" w:eastAsia="Arial" w:hAnsi="Arial"/>
                <w:sz w:val="16"/>
                <w:szCs w:val="16"/>
                <w:b w:val="1"/>
                <w:bCs w:val="1"/>
                <w:color w:val="auto"/>
              </w:rPr>
              <w:t>9</w:t>
            </w: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(6)</w:t>
            </w:r>
          </w:p>
        </w:tc>
        <w:tc>
          <w:tcPr>
            <w:tcW w:w="500" w:type="dxa"/>
            <w:vAlign w:val="bottom"/>
          </w:tcPr>
          <w:p>
            <w:pPr>
              <w:jc w:val="right"/>
              <w:ind w:right="1"/>
              <w:spacing w:after="0"/>
              <w:rPr>
                <w:sz w:val="20"/>
                <w:szCs w:val="20"/>
                <w:color w:val="auto"/>
              </w:rPr>
            </w:pPr>
            <w:r>
              <w:rPr>
                <w:rFonts w:ascii="Arial" w:cs="Arial" w:eastAsia="Arial" w:hAnsi="Arial"/>
                <w:sz w:val="16"/>
                <w:szCs w:val="16"/>
                <w:b w:val="1"/>
                <w:bCs w:val="1"/>
                <w:color w:val="auto"/>
              </w:rPr>
              <w:t>1</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8</w:t>
            </w:r>
          </w:p>
        </w:tc>
        <w:tc>
          <w:tcPr>
            <w:tcW w:w="720" w:type="dxa"/>
            <w:vAlign w:val="bottom"/>
          </w:tcPr>
          <w:p>
            <w:pPr>
              <w:jc w:val="right"/>
              <w:ind w:right="41"/>
              <w:spacing w:after="0"/>
              <w:rPr>
                <w:sz w:val="20"/>
                <w:szCs w:val="20"/>
                <w:color w:val="auto"/>
              </w:rPr>
            </w:pPr>
            <w:r>
              <w:rPr>
                <w:rFonts w:ascii="Arial" w:cs="Arial" w:eastAsia="Arial" w:hAnsi="Arial"/>
                <w:sz w:val="16"/>
                <w:szCs w:val="16"/>
                <w:b w:val="1"/>
                <w:bCs w:val="1"/>
                <w:color w:val="auto"/>
              </w:rPr>
              <w:t>189</w:t>
            </w:r>
          </w:p>
        </w:tc>
        <w:tc>
          <w:tcPr>
            <w:tcW w:w="680" w:type="dxa"/>
            <w:vAlign w:val="bottom"/>
          </w:tcPr>
          <w:p>
            <w:pPr>
              <w:jc w:val="right"/>
              <w:spacing w:after="0"/>
              <w:rPr>
                <w:sz w:val="20"/>
                <w:szCs w:val="20"/>
                <w:color w:val="auto"/>
              </w:rPr>
            </w:pPr>
            <w:r>
              <w:rPr>
                <w:rFonts w:ascii="Arial" w:cs="Arial" w:eastAsia="Arial" w:hAnsi="Arial"/>
                <w:sz w:val="16"/>
                <w:szCs w:val="16"/>
                <w:color w:val="auto"/>
              </w:rPr>
              <w:t>(86)  </w:t>
            </w:r>
          </w:p>
        </w:tc>
      </w:tr>
      <w:tr>
        <w:trPr>
          <w:trHeight w:val="199"/>
        </w:trPr>
        <w:tc>
          <w:tcPr>
            <w:tcW w:w="4660" w:type="dxa"/>
            <w:vAlign w:val="bottom"/>
          </w:tcPr>
          <w:p>
            <w:pPr>
              <w:spacing w:after="0"/>
              <w:rPr>
                <w:sz w:val="20"/>
                <w:szCs w:val="20"/>
                <w:color w:val="auto"/>
              </w:rPr>
            </w:pPr>
            <w:r>
              <w:rPr>
                <w:rFonts w:ascii="Arial" w:cs="Arial" w:eastAsia="Arial" w:hAnsi="Arial"/>
                <w:sz w:val="16"/>
                <w:szCs w:val="16"/>
                <w:color w:val="auto"/>
              </w:rPr>
              <w:t> Actuarial gains from changes in demographic assumptions</w:t>
            </w:r>
          </w:p>
        </w:tc>
        <w:tc>
          <w:tcPr>
            <w:tcW w:w="78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37</w:t>
            </w:r>
          </w:p>
        </w:tc>
        <w:tc>
          <w:tcPr>
            <w:tcW w:w="58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7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40  </w:t>
            </w:r>
          </w:p>
        </w:tc>
      </w:tr>
      <w:tr>
        <w:trPr>
          <w:trHeight w:val="199"/>
        </w:trPr>
        <w:tc>
          <w:tcPr>
            <w:tcW w:w="4660" w:type="dxa"/>
            <w:vAlign w:val="bottom"/>
          </w:tcPr>
          <w:p>
            <w:pPr>
              <w:spacing w:after="0"/>
              <w:rPr>
                <w:sz w:val="20"/>
                <w:szCs w:val="20"/>
                <w:color w:val="auto"/>
              </w:rPr>
            </w:pPr>
            <w:r>
              <w:rPr>
                <w:rFonts w:ascii="Arial" w:cs="Arial" w:eastAsia="Arial" w:hAnsi="Arial"/>
                <w:sz w:val="16"/>
                <w:szCs w:val="16"/>
                <w:color w:val="auto"/>
              </w:rPr>
              <w:t> Experience losses</w:t>
            </w:r>
          </w:p>
        </w:tc>
        <w:tc>
          <w:tcPr>
            <w:tcW w:w="780" w:type="dxa"/>
            <w:vAlign w:val="bottom"/>
          </w:tcPr>
          <w:p>
            <w:pPr>
              <w:jc w:val="right"/>
              <w:ind w:right="41"/>
              <w:spacing w:after="0"/>
              <w:rPr>
                <w:sz w:val="20"/>
                <w:szCs w:val="20"/>
                <w:color w:val="auto"/>
              </w:rPr>
            </w:pPr>
            <w:r>
              <w:rPr>
                <w:rFonts w:ascii="Arial" w:cs="Arial" w:eastAsia="Arial" w:hAnsi="Arial"/>
                <w:sz w:val="16"/>
                <w:szCs w:val="16"/>
                <w:b w:val="1"/>
                <w:bCs w:val="1"/>
                <w:color w:val="auto"/>
              </w:rPr>
              <w:t>(4)</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(19)</w:t>
            </w:r>
          </w:p>
        </w:tc>
        <w:tc>
          <w:tcPr>
            <w:tcW w:w="580" w:type="dxa"/>
            <w:vAlign w:val="bottom"/>
          </w:tcPr>
          <w:p>
            <w:pPr>
              <w:jc w:val="right"/>
              <w:ind w:right="21"/>
              <w:spacing w:after="0"/>
              <w:rPr>
                <w:sz w:val="20"/>
                <w:szCs w:val="20"/>
                <w:color w:val="auto"/>
              </w:rPr>
            </w:pPr>
            <w:r>
              <w:rPr>
                <w:rFonts w:ascii="Arial" w:cs="Arial" w:eastAsia="Arial" w:hAnsi="Arial"/>
                <w:sz w:val="16"/>
                <w:szCs w:val="16"/>
                <w:b w:val="1"/>
                <w:bCs w:val="1"/>
                <w:color w:val="auto"/>
              </w:rPr>
              <w:t>(1)</w:t>
            </w: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(6)</w:t>
            </w:r>
          </w:p>
        </w:tc>
        <w:tc>
          <w:tcPr>
            <w:tcW w:w="500" w:type="dxa"/>
            <w:vAlign w:val="bottom"/>
          </w:tcPr>
          <w:p>
            <w:pPr>
              <w:jc w:val="right"/>
              <w:ind w:right="1"/>
              <w:spacing w:after="0"/>
              <w:rPr>
                <w:sz w:val="20"/>
                <w:szCs w:val="20"/>
                <w:color w:val="auto"/>
              </w:rPr>
            </w:pPr>
            <w:r>
              <w:rPr>
                <w:rFonts w:ascii="Arial" w:cs="Arial" w:eastAsia="Arial" w:hAnsi="Arial"/>
                <w:sz w:val="16"/>
                <w:szCs w:val="16"/>
                <w:b w:val="1"/>
                <w:bCs w:val="1"/>
                <w:color w:val="auto"/>
              </w:rPr>
              <w:t>(2)</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720" w:type="dxa"/>
            <w:vAlign w:val="bottom"/>
          </w:tcPr>
          <w:p>
            <w:pPr>
              <w:jc w:val="right"/>
              <w:ind w:right="41"/>
              <w:spacing w:after="0"/>
              <w:rPr>
                <w:sz w:val="20"/>
                <w:szCs w:val="20"/>
                <w:color w:val="auto"/>
              </w:rPr>
            </w:pPr>
            <w:r>
              <w:rPr>
                <w:rFonts w:ascii="Arial" w:cs="Arial" w:eastAsia="Arial" w:hAnsi="Arial"/>
                <w:sz w:val="16"/>
                <w:szCs w:val="16"/>
                <w:b w:val="1"/>
                <w:bCs w:val="1"/>
                <w:color w:val="auto"/>
              </w:rPr>
              <w:t>(7)</w:t>
            </w:r>
          </w:p>
        </w:tc>
        <w:tc>
          <w:tcPr>
            <w:tcW w:w="680" w:type="dxa"/>
            <w:vAlign w:val="bottom"/>
          </w:tcPr>
          <w:p>
            <w:pPr>
              <w:jc w:val="right"/>
              <w:spacing w:after="0"/>
              <w:rPr>
                <w:sz w:val="20"/>
                <w:szCs w:val="20"/>
                <w:color w:val="auto"/>
              </w:rPr>
            </w:pPr>
            <w:r>
              <w:rPr>
                <w:rFonts w:ascii="Arial" w:cs="Arial" w:eastAsia="Arial" w:hAnsi="Arial"/>
                <w:sz w:val="16"/>
                <w:szCs w:val="16"/>
                <w:color w:val="auto"/>
              </w:rPr>
              <w:t>(28)  </w:t>
            </w:r>
          </w:p>
        </w:tc>
      </w:tr>
      <w:tr>
        <w:trPr>
          <w:trHeight w:val="199"/>
        </w:trPr>
        <w:tc>
          <w:tcPr>
            <w:tcW w:w="4660" w:type="dxa"/>
            <w:vAlign w:val="bottom"/>
          </w:tcPr>
          <w:p>
            <w:pPr>
              <w:spacing w:after="0"/>
              <w:rPr>
                <w:sz w:val="20"/>
                <w:szCs w:val="20"/>
                <w:color w:val="auto"/>
              </w:rPr>
            </w:pPr>
            <w:r>
              <w:rPr>
                <w:rFonts w:ascii="Arial" w:cs="Arial" w:eastAsia="Arial" w:hAnsi="Arial"/>
                <w:sz w:val="16"/>
                <w:szCs w:val="16"/>
                <w:color w:val="auto"/>
              </w:rPr>
              <w:t> Contributions by employees</w:t>
            </w:r>
          </w:p>
        </w:tc>
        <w:tc>
          <w:tcPr>
            <w:tcW w:w="780" w:type="dxa"/>
            <w:vAlign w:val="bottom"/>
          </w:tcPr>
          <w:p>
            <w:pPr>
              <w:jc w:val="right"/>
              <w:ind w:right="41"/>
              <w:spacing w:after="0"/>
              <w:rPr>
                <w:sz w:val="20"/>
                <w:szCs w:val="20"/>
                <w:color w:val="auto"/>
              </w:rPr>
            </w:pPr>
            <w:r>
              <w:rPr>
                <w:rFonts w:ascii="Arial" w:cs="Arial" w:eastAsia="Arial" w:hAnsi="Arial"/>
                <w:sz w:val="16"/>
                <w:szCs w:val="16"/>
                <w:b w:val="1"/>
                <w:bCs w:val="1"/>
                <w:color w:val="auto"/>
              </w:rPr>
              <w:t>(2)</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58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
              <w:spacing w:after="0"/>
              <w:rPr>
                <w:sz w:val="20"/>
                <w:szCs w:val="20"/>
                <w:color w:val="auto"/>
              </w:rPr>
            </w:pPr>
            <w:r>
              <w:rPr>
                <w:rFonts w:ascii="Arial" w:cs="Arial" w:eastAsia="Arial" w:hAnsi="Arial"/>
                <w:sz w:val="16"/>
                <w:szCs w:val="16"/>
                <w:b w:val="1"/>
                <w:bCs w:val="1"/>
                <w:color w:val="auto"/>
              </w:rPr>
              <w:t>(2)</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720" w:type="dxa"/>
            <w:vAlign w:val="bottom"/>
          </w:tcPr>
          <w:p>
            <w:pPr>
              <w:jc w:val="right"/>
              <w:ind w:right="41"/>
              <w:spacing w:after="0"/>
              <w:rPr>
                <w:sz w:val="20"/>
                <w:szCs w:val="20"/>
                <w:color w:val="auto"/>
              </w:rPr>
            </w:pPr>
            <w:r>
              <w:rPr>
                <w:rFonts w:ascii="Arial" w:cs="Arial" w:eastAsia="Arial" w:hAnsi="Arial"/>
                <w:sz w:val="16"/>
                <w:szCs w:val="16"/>
                <w:b w:val="1"/>
                <w:bCs w:val="1"/>
                <w:color w:val="auto"/>
              </w:rPr>
              <w:t>(4)</w:t>
            </w:r>
          </w:p>
        </w:tc>
        <w:tc>
          <w:tcPr>
            <w:tcW w:w="680" w:type="dxa"/>
            <w:vAlign w:val="bottom"/>
          </w:tcPr>
          <w:p>
            <w:pPr>
              <w:jc w:val="right"/>
              <w:spacing w:after="0"/>
              <w:rPr>
                <w:sz w:val="20"/>
                <w:szCs w:val="20"/>
                <w:color w:val="auto"/>
              </w:rPr>
            </w:pPr>
            <w:r>
              <w:rPr>
                <w:rFonts w:ascii="Arial" w:cs="Arial" w:eastAsia="Arial" w:hAnsi="Arial"/>
                <w:sz w:val="16"/>
                <w:szCs w:val="16"/>
                <w:color w:val="auto"/>
              </w:rPr>
              <w:t>(4)  </w:t>
            </w:r>
          </w:p>
        </w:tc>
      </w:tr>
      <w:tr>
        <w:trPr>
          <w:trHeight w:val="199"/>
        </w:trPr>
        <w:tc>
          <w:tcPr>
            <w:tcW w:w="4660" w:type="dxa"/>
            <w:vAlign w:val="bottom"/>
          </w:tcPr>
          <w:p>
            <w:pPr>
              <w:spacing w:after="0"/>
              <w:rPr>
                <w:sz w:val="20"/>
                <w:szCs w:val="20"/>
                <w:color w:val="auto"/>
              </w:rPr>
            </w:pPr>
            <w:r>
              <w:rPr>
                <w:rFonts w:ascii="Arial" w:cs="Arial" w:eastAsia="Arial" w:hAnsi="Arial"/>
                <w:sz w:val="16"/>
                <w:szCs w:val="16"/>
                <w:color w:val="auto"/>
              </w:rPr>
              <w:t> Benefits paid</w:t>
            </w:r>
          </w:p>
        </w:tc>
        <w:tc>
          <w:tcPr>
            <w:tcW w:w="780" w:type="dxa"/>
            <w:vAlign w:val="bottom"/>
          </w:tcPr>
          <w:p>
            <w:pPr>
              <w:jc w:val="right"/>
              <w:ind w:right="41"/>
              <w:spacing w:after="0"/>
              <w:rPr>
                <w:sz w:val="20"/>
                <w:szCs w:val="20"/>
                <w:color w:val="auto"/>
              </w:rPr>
            </w:pPr>
            <w:r>
              <w:rPr>
                <w:rFonts w:ascii="Arial" w:cs="Arial" w:eastAsia="Arial" w:hAnsi="Arial"/>
                <w:sz w:val="16"/>
                <w:szCs w:val="16"/>
                <w:b w:val="1"/>
                <w:bCs w:val="1"/>
                <w:color w:val="auto"/>
              </w:rPr>
              <w:t>159</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142</w:t>
            </w:r>
          </w:p>
        </w:tc>
        <w:tc>
          <w:tcPr>
            <w:tcW w:w="580" w:type="dxa"/>
            <w:vAlign w:val="bottom"/>
          </w:tcPr>
          <w:p>
            <w:pPr>
              <w:jc w:val="right"/>
              <w:ind w:right="21"/>
              <w:spacing w:after="0"/>
              <w:rPr>
                <w:sz w:val="20"/>
                <w:szCs w:val="20"/>
                <w:color w:val="auto"/>
              </w:rPr>
            </w:pPr>
            <w:r>
              <w:rPr>
                <w:rFonts w:ascii="Arial" w:cs="Arial" w:eastAsia="Arial" w:hAnsi="Arial"/>
                <w:sz w:val="16"/>
                <w:szCs w:val="16"/>
                <w:b w:val="1"/>
                <w:bCs w:val="1"/>
                <w:color w:val="auto"/>
              </w:rPr>
              <w:t>22</w:t>
            </w: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22</w:t>
            </w:r>
          </w:p>
        </w:tc>
        <w:tc>
          <w:tcPr>
            <w:tcW w:w="500" w:type="dxa"/>
            <w:vAlign w:val="bottom"/>
          </w:tcPr>
          <w:p>
            <w:pPr>
              <w:jc w:val="right"/>
              <w:ind w:right="1"/>
              <w:spacing w:after="0"/>
              <w:rPr>
                <w:sz w:val="20"/>
                <w:szCs w:val="20"/>
                <w:color w:val="auto"/>
              </w:rPr>
            </w:pPr>
            <w:r>
              <w:rPr>
                <w:rFonts w:ascii="Arial" w:cs="Arial" w:eastAsia="Arial" w:hAnsi="Arial"/>
                <w:sz w:val="16"/>
                <w:szCs w:val="16"/>
                <w:b w:val="1"/>
                <w:bCs w:val="1"/>
                <w:color w:val="auto"/>
              </w:rPr>
              <w:t>9</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6</w:t>
            </w:r>
          </w:p>
        </w:tc>
        <w:tc>
          <w:tcPr>
            <w:tcW w:w="720" w:type="dxa"/>
            <w:vAlign w:val="bottom"/>
          </w:tcPr>
          <w:p>
            <w:pPr>
              <w:jc w:val="right"/>
              <w:ind w:right="41"/>
              <w:spacing w:after="0"/>
              <w:rPr>
                <w:sz w:val="20"/>
                <w:szCs w:val="20"/>
                <w:color w:val="auto"/>
              </w:rPr>
            </w:pPr>
            <w:r>
              <w:rPr>
                <w:rFonts w:ascii="Arial" w:cs="Arial" w:eastAsia="Arial" w:hAnsi="Arial"/>
                <w:sz w:val="16"/>
                <w:szCs w:val="16"/>
                <w:b w:val="1"/>
                <w:bCs w:val="1"/>
                <w:color w:val="auto"/>
              </w:rPr>
              <w:t>190</w:t>
            </w:r>
          </w:p>
        </w:tc>
        <w:tc>
          <w:tcPr>
            <w:tcW w:w="680" w:type="dxa"/>
            <w:vAlign w:val="bottom"/>
          </w:tcPr>
          <w:p>
            <w:pPr>
              <w:jc w:val="right"/>
              <w:spacing w:after="0"/>
              <w:rPr>
                <w:sz w:val="20"/>
                <w:szCs w:val="20"/>
                <w:color w:val="auto"/>
              </w:rPr>
            </w:pPr>
            <w:r>
              <w:rPr>
                <w:rFonts w:ascii="Arial" w:cs="Arial" w:eastAsia="Arial" w:hAnsi="Arial"/>
                <w:sz w:val="16"/>
                <w:szCs w:val="16"/>
                <w:color w:val="auto"/>
              </w:rPr>
              <w:t>170  </w:t>
            </w:r>
          </w:p>
        </w:tc>
      </w:tr>
      <w:tr>
        <w:trPr>
          <w:trHeight w:val="199"/>
        </w:trPr>
        <w:tc>
          <w:tcPr>
            <w:tcW w:w="4660" w:type="dxa"/>
            <w:vAlign w:val="bottom"/>
          </w:tcPr>
          <w:p>
            <w:pPr>
              <w:spacing w:after="0"/>
              <w:rPr>
                <w:sz w:val="20"/>
                <w:szCs w:val="20"/>
                <w:color w:val="auto"/>
              </w:rPr>
            </w:pPr>
            <w:r>
              <w:rPr>
                <w:rFonts w:ascii="Arial" w:cs="Arial" w:eastAsia="Arial" w:hAnsi="Arial"/>
                <w:sz w:val="16"/>
                <w:szCs w:val="16"/>
                <w:color w:val="auto"/>
              </w:rPr>
              <w:t> Administration fees disbursements</w:t>
            </w:r>
          </w:p>
        </w:tc>
        <w:tc>
          <w:tcPr>
            <w:tcW w:w="780" w:type="dxa"/>
            <w:vAlign w:val="bottom"/>
          </w:tcPr>
          <w:p>
            <w:pPr>
              <w:jc w:val="right"/>
              <w:ind w:right="41"/>
              <w:spacing w:after="0"/>
              <w:rPr>
                <w:sz w:val="20"/>
                <w:szCs w:val="20"/>
                <w:color w:val="auto"/>
              </w:rPr>
            </w:pPr>
            <w:r>
              <w:rPr>
                <w:rFonts w:ascii="Arial" w:cs="Arial" w:eastAsia="Arial" w:hAnsi="Arial"/>
                <w:sz w:val="16"/>
                <w:szCs w:val="16"/>
                <w:b w:val="1"/>
                <w:bCs w:val="1"/>
                <w:color w:val="auto"/>
              </w:rPr>
              <w:t>15</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15</w:t>
            </w:r>
          </w:p>
        </w:tc>
        <w:tc>
          <w:tcPr>
            <w:tcW w:w="58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1"/>
              <w:spacing w:after="0"/>
              <w:rPr>
                <w:sz w:val="20"/>
                <w:szCs w:val="20"/>
                <w:color w:val="auto"/>
              </w:rPr>
            </w:pPr>
            <w:r>
              <w:rPr>
                <w:rFonts w:ascii="Arial" w:cs="Arial" w:eastAsia="Arial" w:hAnsi="Arial"/>
                <w:sz w:val="16"/>
                <w:szCs w:val="16"/>
                <w:b w:val="1"/>
                <w:bCs w:val="1"/>
                <w:color w:val="auto"/>
              </w:rPr>
              <w:t>15</w:t>
            </w:r>
          </w:p>
        </w:tc>
        <w:tc>
          <w:tcPr>
            <w:tcW w:w="68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199"/>
        </w:trPr>
        <w:tc>
          <w:tcPr>
            <w:tcW w:w="4660" w:type="dxa"/>
            <w:vAlign w:val="bottom"/>
          </w:tcPr>
          <w:p>
            <w:pPr>
              <w:spacing w:after="0"/>
              <w:rPr>
                <w:sz w:val="20"/>
                <w:szCs w:val="20"/>
                <w:color w:val="auto"/>
              </w:rPr>
            </w:pPr>
            <w:r>
              <w:rPr>
                <w:rFonts w:ascii="Arial" w:cs="Arial" w:eastAsia="Arial" w:hAnsi="Arial"/>
                <w:sz w:val="16"/>
                <w:szCs w:val="16"/>
                <w:color w:val="auto"/>
              </w:rPr>
              <w:t> Plan amendments</w:t>
            </w:r>
          </w:p>
        </w:tc>
        <w:tc>
          <w:tcPr>
            <w:tcW w:w="780" w:type="dxa"/>
            <w:vAlign w:val="bottom"/>
          </w:tcPr>
          <w:p>
            <w:pPr>
              <w:jc w:val="right"/>
              <w:ind w:right="41"/>
              <w:spacing w:after="0"/>
              <w:rPr>
                <w:sz w:val="20"/>
                <w:szCs w:val="20"/>
                <w:color w:val="auto"/>
              </w:rPr>
            </w:pPr>
            <w:r>
              <w:rPr>
                <w:rFonts w:ascii="Arial" w:cs="Arial" w:eastAsia="Arial" w:hAnsi="Arial"/>
                <w:sz w:val="16"/>
                <w:szCs w:val="16"/>
                <w:b w:val="1"/>
                <w:bCs w:val="1"/>
                <w:color w:val="auto"/>
              </w:rPr>
              <w:t>(1)</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
              <w:spacing w:after="0"/>
              <w:rPr>
                <w:sz w:val="20"/>
                <w:szCs w:val="20"/>
                <w:color w:val="auto"/>
              </w:rPr>
            </w:pPr>
            <w:r>
              <w:rPr>
                <w:rFonts w:ascii="Arial" w:cs="Arial" w:eastAsia="Arial" w:hAnsi="Arial"/>
                <w:sz w:val="16"/>
                <w:szCs w:val="16"/>
                <w:b w:val="1"/>
                <w:bCs w:val="1"/>
                <w:color w:val="auto"/>
              </w:rPr>
              <w:t>13</w:t>
            </w:r>
          </w:p>
        </w:tc>
        <w:tc>
          <w:tcPr>
            <w:tcW w:w="540" w:type="dxa"/>
            <w:vAlign w:val="bottom"/>
          </w:tcPr>
          <w:p>
            <w:pPr>
              <w:spacing w:after="0"/>
              <w:rPr>
                <w:sz w:val="17"/>
                <w:szCs w:val="17"/>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b w:val="1"/>
                <w:bCs w:val="1"/>
                <w:color w:val="auto"/>
              </w:rPr>
              <w:t>12</w:t>
            </w:r>
          </w:p>
        </w:tc>
        <w:tc>
          <w:tcPr>
            <w:tcW w:w="6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00"/>
        </w:trPr>
        <w:tc>
          <w:tcPr>
            <w:tcW w:w="466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Exchange differences</w:t>
            </w:r>
          </w:p>
        </w:tc>
        <w:tc>
          <w:tcPr>
            <w:tcW w:w="78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b w:val="1"/>
                <w:bCs w:val="1"/>
                <w:color w:val="auto"/>
              </w:rPr>
              <w:t>20</w:t>
            </w:r>
          </w:p>
        </w:tc>
        <w:tc>
          <w:tcPr>
            <w:tcW w:w="70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(45)</w:t>
            </w:r>
          </w:p>
        </w:tc>
        <w:tc>
          <w:tcPr>
            <w:tcW w:w="58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b w:val="1"/>
                <w:bCs w:val="1"/>
                <w:color w:val="auto"/>
              </w:rPr>
              <w:t>1</w:t>
            </w:r>
          </w:p>
        </w:tc>
        <w:tc>
          <w:tcPr>
            <w:tcW w:w="56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color w:val="auto"/>
              </w:rPr>
              <w:t>(1)</w:t>
            </w:r>
          </w:p>
        </w:tc>
        <w:tc>
          <w:tcPr>
            <w:tcW w:w="500" w:type="dxa"/>
            <w:vAlign w:val="bottom"/>
            <w:tcBorders>
              <w:bottom w:val="single" w:sz="8" w:color="B2B2B2"/>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b w:val="1"/>
                <w:bCs w:val="1"/>
                <w:color w:val="auto"/>
              </w:rPr>
              <w:t>21</w:t>
            </w:r>
          </w:p>
        </w:tc>
        <w:tc>
          <w:tcPr>
            <w:tcW w:w="6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(46)  </w:t>
            </w:r>
          </w:p>
        </w:tc>
      </w:tr>
      <w:tr>
        <w:trPr>
          <w:trHeight w:val="185"/>
        </w:trPr>
        <w:tc>
          <w:tcPr>
            <w:tcW w:w="466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b w:val="1"/>
                <w:bCs w:val="1"/>
                <w:color w:val="auto"/>
              </w:rPr>
              <w:t> Closing defined benefit obligation</w:t>
            </w:r>
          </w:p>
        </w:tc>
        <w:tc>
          <w:tcPr>
            <w:tcW w:w="780" w:type="dxa"/>
            <w:vAlign w:val="bottom"/>
            <w:tcBorders>
              <w:bottom w:val="single" w:sz="8" w:color="D64000"/>
            </w:tcBorders>
          </w:tcPr>
          <w:p>
            <w:pPr>
              <w:jc w:val="right"/>
              <w:ind w:right="41"/>
              <w:spacing w:after="0" w:line="179" w:lineRule="exact"/>
              <w:rPr>
                <w:sz w:val="20"/>
                <w:szCs w:val="20"/>
                <w:color w:val="auto"/>
              </w:rPr>
            </w:pPr>
            <w:r>
              <w:rPr>
                <w:rFonts w:ascii="Arial" w:cs="Arial" w:eastAsia="Arial" w:hAnsi="Arial"/>
                <w:sz w:val="16"/>
                <w:szCs w:val="16"/>
                <w:b w:val="1"/>
                <w:bCs w:val="1"/>
                <w:color w:val="auto"/>
              </w:rPr>
              <w:t>(2,382)</w:t>
            </w:r>
          </w:p>
        </w:tc>
        <w:tc>
          <w:tcPr>
            <w:tcW w:w="700" w:type="dxa"/>
            <w:vAlign w:val="bottom"/>
            <w:tcBorders>
              <w:bottom w:val="single" w:sz="8" w:color="D64000"/>
            </w:tcBorders>
          </w:tcPr>
          <w:p>
            <w:pPr>
              <w:jc w:val="right"/>
              <w:ind w:right="21"/>
              <w:spacing w:after="0" w:line="179" w:lineRule="exact"/>
              <w:rPr>
                <w:sz w:val="20"/>
                <w:szCs w:val="20"/>
                <w:color w:val="auto"/>
              </w:rPr>
            </w:pPr>
            <w:r>
              <w:rPr>
                <w:rFonts w:ascii="Arial" w:cs="Arial" w:eastAsia="Arial" w:hAnsi="Arial"/>
                <w:sz w:val="16"/>
                <w:szCs w:val="16"/>
                <w:color w:val="auto"/>
              </w:rPr>
              <w:t>(2,606)</w:t>
            </w:r>
          </w:p>
        </w:tc>
        <w:tc>
          <w:tcPr>
            <w:tcW w:w="580" w:type="dxa"/>
            <w:vAlign w:val="bottom"/>
            <w:tcBorders>
              <w:bottom w:val="single" w:sz="8" w:color="D64000"/>
            </w:tcBorders>
          </w:tcPr>
          <w:p>
            <w:pPr>
              <w:jc w:val="right"/>
              <w:ind w:right="21"/>
              <w:spacing w:after="0" w:line="179" w:lineRule="exact"/>
              <w:rPr>
                <w:sz w:val="20"/>
                <w:szCs w:val="20"/>
                <w:color w:val="auto"/>
              </w:rPr>
            </w:pPr>
            <w:r>
              <w:rPr>
                <w:rFonts w:ascii="Arial" w:cs="Arial" w:eastAsia="Arial" w:hAnsi="Arial"/>
                <w:sz w:val="16"/>
                <w:szCs w:val="16"/>
                <w:b w:val="1"/>
                <w:bCs w:val="1"/>
                <w:color w:val="auto"/>
              </w:rPr>
              <w:t>(212)</w:t>
            </w:r>
          </w:p>
        </w:tc>
        <w:tc>
          <w:tcPr>
            <w:tcW w:w="560" w:type="dxa"/>
            <w:vAlign w:val="bottom"/>
            <w:tcBorders>
              <w:bottom w:val="single" w:sz="8" w:color="D64000"/>
            </w:tcBorders>
          </w:tcPr>
          <w:p>
            <w:pPr>
              <w:jc w:val="right"/>
              <w:ind w:right="1"/>
              <w:spacing w:after="0" w:line="179" w:lineRule="exact"/>
              <w:rPr>
                <w:sz w:val="20"/>
                <w:szCs w:val="20"/>
                <w:color w:val="auto"/>
              </w:rPr>
            </w:pPr>
            <w:r>
              <w:rPr>
                <w:rFonts w:ascii="Arial" w:cs="Arial" w:eastAsia="Arial" w:hAnsi="Arial"/>
                <w:sz w:val="16"/>
                <w:szCs w:val="16"/>
                <w:color w:val="auto"/>
              </w:rPr>
              <w:t>(231)</w:t>
            </w:r>
          </w:p>
        </w:tc>
        <w:tc>
          <w:tcPr>
            <w:tcW w:w="500" w:type="dxa"/>
            <w:vAlign w:val="bottom"/>
            <w:tcBorders>
              <w:bottom w:val="single" w:sz="8" w:color="D64000"/>
            </w:tcBorders>
          </w:tcPr>
          <w:p>
            <w:pPr>
              <w:jc w:val="right"/>
              <w:ind w:right="1"/>
              <w:spacing w:after="0" w:line="179" w:lineRule="exact"/>
              <w:rPr>
                <w:sz w:val="20"/>
                <w:szCs w:val="20"/>
                <w:color w:val="auto"/>
              </w:rPr>
            </w:pPr>
            <w:r>
              <w:rPr>
                <w:rFonts w:ascii="Arial" w:cs="Arial" w:eastAsia="Arial" w:hAnsi="Arial"/>
                <w:sz w:val="16"/>
                <w:szCs w:val="16"/>
                <w:b w:val="1"/>
                <w:bCs w:val="1"/>
                <w:color w:val="auto"/>
              </w:rPr>
              <w:t>(34)</w:t>
            </w:r>
          </w:p>
        </w:tc>
        <w:tc>
          <w:tcPr>
            <w:tcW w:w="540" w:type="dxa"/>
            <w:vAlign w:val="bottom"/>
            <w:tcBorders>
              <w:bottom w:val="single" w:sz="8" w:color="D64000"/>
            </w:tcBorders>
          </w:tcPr>
          <w:p>
            <w:pPr>
              <w:jc w:val="right"/>
              <w:ind w:right="21"/>
              <w:spacing w:after="0" w:line="179" w:lineRule="exact"/>
              <w:rPr>
                <w:sz w:val="20"/>
                <w:szCs w:val="20"/>
                <w:color w:val="auto"/>
              </w:rPr>
            </w:pPr>
            <w:r>
              <w:rPr>
                <w:rFonts w:ascii="Arial" w:cs="Arial" w:eastAsia="Arial" w:hAnsi="Arial"/>
                <w:sz w:val="16"/>
                <w:szCs w:val="16"/>
                <w:color w:val="auto"/>
              </w:rPr>
              <w:t>(50)</w:t>
            </w:r>
          </w:p>
        </w:tc>
        <w:tc>
          <w:tcPr>
            <w:tcW w:w="720" w:type="dxa"/>
            <w:vAlign w:val="bottom"/>
            <w:tcBorders>
              <w:bottom w:val="single" w:sz="8" w:color="D64000"/>
            </w:tcBorders>
          </w:tcPr>
          <w:p>
            <w:pPr>
              <w:jc w:val="right"/>
              <w:ind w:right="41"/>
              <w:spacing w:after="0" w:line="179" w:lineRule="exact"/>
              <w:rPr>
                <w:sz w:val="20"/>
                <w:szCs w:val="20"/>
                <w:color w:val="auto"/>
              </w:rPr>
            </w:pPr>
            <w:r>
              <w:rPr>
                <w:rFonts w:ascii="Arial" w:cs="Arial" w:eastAsia="Arial" w:hAnsi="Arial"/>
                <w:sz w:val="16"/>
                <w:szCs w:val="16"/>
                <w:b w:val="1"/>
                <w:bCs w:val="1"/>
                <w:color w:val="auto"/>
              </w:rPr>
              <w:t>(2,628)</w:t>
            </w:r>
          </w:p>
        </w:tc>
        <w:tc>
          <w:tcPr>
            <w:tcW w:w="68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(2,887)  </w:t>
            </w:r>
          </w:p>
        </w:tc>
      </w:tr>
    </w:tbl>
    <w:p>
      <w:pPr>
        <w:spacing w:after="0" w:line="136" w:lineRule="exact"/>
        <w:rPr>
          <w:sz w:val="20"/>
          <w:szCs w:val="20"/>
          <w:color w:val="auto"/>
        </w:rPr>
      </w:pPr>
    </w:p>
    <w:p>
      <w:pPr>
        <w:ind w:left="640" w:right="560" w:hanging="422"/>
        <w:spacing w:after="0" w:line="274" w:lineRule="auto"/>
        <w:tabs>
          <w:tab w:leader="none" w:pos="6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For funded plans, gains in 2024, were primarily associated with an increase in discount rates and losses in 2023, were primarily associated with a decrease in discount rates, used to measure the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83820</wp:posOffset>
            </wp:positionV>
            <wp:extent cx="686562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0"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130</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total closing defined benefit obligation can be further analyzed by participant group and by geography.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107315</wp:posOffset>
            </wp:positionV>
            <wp:extent cx="58978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11040"/>
          </w:cols>
          <w:pgMar w:left="320" w:top="477" w:right="539" w:bottom="1440" w:gutter="0" w:footer="0" w:header="0"/>
        </w:sectPr>
      </w:pPr>
    </w:p>
    <w:p>
      <w:pPr>
        <w:spacing w:after="0" w:line="169" w:lineRule="exact"/>
        <w:rPr>
          <w:sz w:val="20"/>
          <w:szCs w:val="20"/>
          <w:color w:val="auto"/>
        </w:rPr>
      </w:pPr>
    </w:p>
    <w:tbl>
      <w:tblPr>
        <w:tblLayout w:type="fixed"/>
        <w:tblInd w:w="220" w:type="dxa"/>
        <w:tblCellMar>
          <w:top w:w="0" w:type="dxa"/>
          <w:left w:w="0" w:type="dxa"/>
          <w:bottom w:w="0" w:type="dxa"/>
          <w:right w:w="0" w:type="dxa"/>
        </w:tblCellMar>
      </w:tblPr>
      <w:tr>
        <w:trPr>
          <w:trHeight w:val="205"/>
        </w:trPr>
        <w:tc>
          <w:tcPr>
            <w:tcW w:w="2980" w:type="dxa"/>
            <w:vAlign w:val="bottom"/>
            <w:tcBorders>
              <w:bottom w:val="single" w:sz="8" w:color="D64000"/>
            </w:tcBorders>
            <w:shd w:val="clear" w:color="auto" w:fill="E3F3EE"/>
          </w:tcPr>
          <w:p>
            <w:pPr>
              <w:spacing w:after="0"/>
              <w:rPr>
                <w:sz w:val="20"/>
                <w:szCs w:val="20"/>
                <w:color w:val="auto"/>
              </w:rPr>
            </w:pPr>
            <w:r>
              <w:rPr>
                <w:rFonts w:ascii="Arial" w:cs="Arial" w:eastAsia="Arial" w:hAnsi="Arial"/>
                <w:sz w:val="16"/>
                <w:szCs w:val="16"/>
                <w:b w:val="1"/>
                <w:bCs w:val="1"/>
                <w:color w:val="auto"/>
              </w:rPr>
              <w:t> As of December 31,</w:t>
            </w:r>
          </w:p>
        </w:tc>
        <w:tc>
          <w:tcPr>
            <w:tcW w:w="900" w:type="dxa"/>
            <w:vAlign w:val="bottom"/>
            <w:tcBorders>
              <w:bottom w:val="single" w:sz="8" w:color="D64000"/>
            </w:tcBorders>
            <w:shd w:val="clear" w:color="auto" w:fill="E3F3EE"/>
          </w:tcPr>
          <w:p>
            <w:pPr>
              <w:jc w:val="right"/>
              <w:ind w:right="41"/>
              <w:spacing w:after="0"/>
              <w:rPr>
                <w:sz w:val="20"/>
                <w:szCs w:val="20"/>
                <w:color w:val="auto"/>
              </w:rPr>
            </w:pPr>
            <w:r>
              <w:rPr>
                <w:rFonts w:ascii="Arial" w:cs="Arial" w:eastAsia="Arial" w:hAnsi="Arial"/>
                <w:sz w:val="16"/>
                <w:szCs w:val="16"/>
                <w:b w:val="1"/>
                <w:bCs w:val="1"/>
                <w:color w:val="auto"/>
              </w:rPr>
              <w:t>2024</w:t>
            </w:r>
          </w:p>
        </w:tc>
        <w:tc>
          <w:tcPr>
            <w:tcW w:w="600" w:type="dxa"/>
            <w:vAlign w:val="bottom"/>
            <w:tcBorders>
              <w:bottom w:val="single" w:sz="8" w:color="D64000"/>
            </w:tcBorders>
            <w:shd w:val="clear" w:color="auto" w:fill="E3F3EE"/>
          </w:tcPr>
          <w:p>
            <w:pPr>
              <w:jc w:val="right"/>
              <w:ind w:right="1"/>
              <w:spacing w:after="0"/>
              <w:rPr>
                <w:sz w:val="20"/>
                <w:szCs w:val="20"/>
                <w:color w:val="auto"/>
              </w:rPr>
            </w:pPr>
            <w:r>
              <w:rPr>
                <w:rFonts w:ascii="Arial" w:cs="Arial" w:eastAsia="Arial" w:hAnsi="Arial"/>
                <w:sz w:val="16"/>
                <w:szCs w:val="16"/>
                <w:color w:val="auto"/>
              </w:rPr>
              <w:t>2023 </w:t>
            </w:r>
          </w:p>
        </w:tc>
        <w:tc>
          <w:tcPr>
            <w:tcW w:w="100" w:type="dxa"/>
            <w:vAlign w:val="bottom"/>
          </w:tcPr>
          <w:p>
            <w:pPr>
              <w:spacing w:after="0"/>
              <w:rPr>
                <w:sz w:val="17"/>
                <w:szCs w:val="17"/>
                <w:color w:val="auto"/>
              </w:rPr>
            </w:pPr>
          </w:p>
        </w:tc>
      </w:tr>
      <w:tr>
        <w:trPr>
          <w:trHeight w:val="185"/>
        </w:trPr>
        <w:tc>
          <w:tcPr>
            <w:tcW w:w="2980" w:type="dxa"/>
            <w:vAlign w:val="bottom"/>
          </w:tcPr>
          <w:p>
            <w:pPr>
              <w:spacing w:after="0"/>
              <w:rPr>
                <w:sz w:val="20"/>
                <w:szCs w:val="20"/>
                <w:color w:val="auto"/>
              </w:rPr>
            </w:pPr>
            <w:r>
              <w:rPr>
                <w:rFonts w:ascii="Arial" w:cs="Arial" w:eastAsia="Arial" w:hAnsi="Arial"/>
                <w:sz w:val="16"/>
                <w:szCs w:val="16"/>
                <w:color w:val="auto"/>
              </w:rPr>
              <w:t> Active employees</w:t>
            </w: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19%</w:t>
            </w:r>
          </w:p>
        </w:tc>
        <w:tc>
          <w:tcPr>
            <w:tcW w:w="600" w:type="dxa"/>
            <w:vAlign w:val="bottom"/>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16"/>
                <w:szCs w:val="16"/>
                <w:color w:val="auto"/>
              </w:rPr>
            </w:pPr>
          </w:p>
        </w:tc>
      </w:tr>
      <w:tr>
        <w:trPr>
          <w:trHeight w:val="199"/>
        </w:trPr>
        <w:tc>
          <w:tcPr>
            <w:tcW w:w="2980" w:type="dxa"/>
            <w:vAlign w:val="bottom"/>
          </w:tcPr>
          <w:p>
            <w:pPr>
              <w:spacing w:after="0"/>
              <w:rPr>
                <w:sz w:val="20"/>
                <w:szCs w:val="20"/>
                <w:color w:val="auto"/>
              </w:rPr>
            </w:pPr>
            <w:r>
              <w:rPr>
                <w:rFonts w:ascii="Arial" w:cs="Arial" w:eastAsia="Arial" w:hAnsi="Arial"/>
                <w:sz w:val="16"/>
                <w:szCs w:val="16"/>
                <w:color w:val="auto"/>
              </w:rPr>
              <w:t> Deferred</w:t>
            </w: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35%</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35%    </w:t>
            </w:r>
          </w:p>
        </w:tc>
      </w:tr>
      <w:tr>
        <w:trPr>
          <w:trHeight w:val="200"/>
        </w:trPr>
        <w:tc>
          <w:tcPr>
            <w:tcW w:w="2980" w:type="dxa"/>
            <w:vAlign w:val="bottom"/>
          </w:tcPr>
          <w:p>
            <w:pPr>
              <w:spacing w:after="0"/>
              <w:rPr>
                <w:sz w:val="20"/>
                <w:szCs w:val="20"/>
                <w:color w:val="auto"/>
              </w:rPr>
            </w:pPr>
            <w:r>
              <w:rPr>
                <w:rFonts w:ascii="Arial" w:cs="Arial" w:eastAsia="Arial" w:hAnsi="Arial"/>
                <w:sz w:val="16"/>
                <w:szCs w:val="16"/>
                <w:color w:val="auto"/>
              </w:rPr>
              <w:t> Retirees</w:t>
            </w: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46%</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44%    </w:t>
            </w:r>
          </w:p>
        </w:tc>
      </w:tr>
      <w:tr>
        <w:trPr>
          <w:trHeight w:val="185"/>
        </w:trPr>
        <w:tc>
          <w:tcPr>
            <w:tcW w:w="2980" w:type="dxa"/>
            <w:vAlign w:val="bottom"/>
            <w:tcBorders>
              <w:top w:val="single" w:sz="8" w:color="B2B2B2"/>
              <w:bottom w:val="single" w:sz="8" w:color="D64000"/>
            </w:tcBorders>
          </w:tcPr>
          <w:p>
            <w:pPr>
              <w:spacing w:after="0" w:line="179" w:lineRule="exact"/>
              <w:rPr>
                <w:sz w:val="20"/>
                <w:szCs w:val="20"/>
                <w:color w:val="auto"/>
              </w:rPr>
            </w:pPr>
            <w:r>
              <w:rPr>
                <w:rFonts w:ascii="Arial" w:cs="Arial" w:eastAsia="Arial" w:hAnsi="Arial"/>
                <w:sz w:val="16"/>
                <w:szCs w:val="16"/>
                <w:b w:val="1"/>
                <w:bCs w:val="1"/>
                <w:color w:val="auto"/>
              </w:rPr>
              <w:t> Closing defined benefit obligation</w:t>
            </w:r>
          </w:p>
        </w:tc>
        <w:tc>
          <w:tcPr>
            <w:tcW w:w="900" w:type="dxa"/>
            <w:vAlign w:val="bottom"/>
            <w:tcBorders>
              <w:top w:val="single" w:sz="8" w:color="B2B2B2"/>
              <w:bottom w:val="single" w:sz="8" w:color="D64000"/>
            </w:tcBorders>
          </w:tcPr>
          <w:p>
            <w:pPr>
              <w:jc w:val="right"/>
              <w:ind w:right="21"/>
              <w:spacing w:after="0" w:line="179" w:lineRule="exact"/>
              <w:rPr>
                <w:sz w:val="20"/>
                <w:szCs w:val="20"/>
                <w:color w:val="auto"/>
              </w:rPr>
            </w:pPr>
            <w:r>
              <w:rPr>
                <w:rFonts w:ascii="Arial" w:cs="Arial" w:eastAsia="Arial" w:hAnsi="Arial"/>
                <w:sz w:val="16"/>
                <w:szCs w:val="16"/>
                <w:b w:val="1"/>
                <w:bCs w:val="1"/>
                <w:color w:val="auto"/>
              </w:rPr>
              <w:t>100%</w:t>
            </w:r>
          </w:p>
        </w:tc>
        <w:tc>
          <w:tcPr>
            <w:tcW w:w="600" w:type="dxa"/>
            <w:vAlign w:val="bottom"/>
            <w:tcBorders>
              <w:top w:val="single" w:sz="8" w:color="B2B2B2"/>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100%    </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2560" w:type="dxa"/>
            <w:vAlign w:val="bottom"/>
            <w:tcBorders>
              <w:bottom w:val="single" w:sz="8" w:color="D64000"/>
            </w:tcBorders>
            <w:shd w:val="clear" w:color="auto" w:fill="E3F3EE"/>
          </w:tcPr>
          <w:p>
            <w:pPr>
              <w:ind w:left="100"/>
              <w:spacing w:after="0"/>
              <w:rPr>
                <w:sz w:val="20"/>
                <w:szCs w:val="20"/>
                <w:color w:val="auto"/>
              </w:rPr>
            </w:pPr>
            <w:r>
              <w:rPr>
                <w:rFonts w:ascii="Arial" w:cs="Arial" w:eastAsia="Arial" w:hAnsi="Arial"/>
                <w:sz w:val="16"/>
                <w:szCs w:val="16"/>
                <w:b w:val="1"/>
                <w:bCs w:val="1"/>
                <w:color w:val="auto"/>
              </w:rPr>
              <w:t> As of December 31,</w:t>
            </w:r>
          </w:p>
        </w:tc>
        <w:tc>
          <w:tcPr>
            <w:tcW w:w="1440" w:type="dxa"/>
            <w:vAlign w:val="bottom"/>
            <w:tcBorders>
              <w:bottom w:val="single" w:sz="8" w:color="D64000"/>
            </w:tcBorders>
            <w:shd w:val="clear" w:color="auto" w:fill="E3F3EE"/>
          </w:tcPr>
          <w:p>
            <w:pPr>
              <w:jc w:val="right"/>
              <w:ind w:right="61"/>
              <w:spacing w:after="0"/>
              <w:rPr>
                <w:sz w:val="20"/>
                <w:szCs w:val="20"/>
                <w:color w:val="auto"/>
              </w:rPr>
            </w:pPr>
            <w:r>
              <w:rPr>
                <w:rFonts w:ascii="Arial" w:cs="Arial" w:eastAsia="Arial" w:hAnsi="Arial"/>
                <w:sz w:val="16"/>
                <w:szCs w:val="16"/>
                <w:b w:val="1"/>
                <w:bCs w:val="1"/>
                <w:color w:val="auto"/>
              </w:rPr>
              <w:t>2024</w:t>
            </w:r>
          </w:p>
        </w:tc>
        <w:tc>
          <w:tcPr>
            <w:tcW w:w="600" w:type="dxa"/>
            <w:vAlign w:val="bottom"/>
            <w:tcBorders>
              <w:bottom w:val="single" w:sz="8" w:color="D64000"/>
            </w:tcBorders>
            <w:shd w:val="clear" w:color="auto" w:fill="E3F3EE"/>
          </w:tcPr>
          <w:p>
            <w:pPr>
              <w:jc w:val="right"/>
              <w:ind w:right="21"/>
              <w:spacing w:after="0"/>
              <w:rPr>
                <w:sz w:val="20"/>
                <w:szCs w:val="20"/>
                <w:color w:val="auto"/>
              </w:rPr>
            </w:pPr>
            <w:r>
              <w:rPr>
                <w:rFonts w:ascii="Arial" w:cs="Arial" w:eastAsia="Arial" w:hAnsi="Arial"/>
                <w:sz w:val="16"/>
                <w:szCs w:val="16"/>
                <w:color w:val="auto"/>
              </w:rPr>
              <w:t>2023 </w:t>
            </w:r>
          </w:p>
        </w:tc>
      </w:tr>
      <w:tr>
        <w:trPr>
          <w:trHeight w:val="185"/>
        </w:trPr>
        <w:tc>
          <w:tcPr>
            <w:tcW w:w="2560" w:type="dxa"/>
            <w:vAlign w:val="bottom"/>
          </w:tcPr>
          <w:p>
            <w:pPr>
              <w:ind w:left="100"/>
              <w:spacing w:after="0"/>
              <w:rPr>
                <w:sz w:val="20"/>
                <w:szCs w:val="20"/>
                <w:color w:val="auto"/>
              </w:rPr>
            </w:pPr>
            <w:r>
              <w:rPr>
                <w:rFonts w:ascii="Arial" w:cs="Arial" w:eastAsia="Arial" w:hAnsi="Arial"/>
                <w:sz w:val="16"/>
                <w:szCs w:val="16"/>
                <w:color w:val="auto"/>
              </w:rPr>
              <w:t> U.S.</w:t>
            </w:r>
          </w:p>
        </w:tc>
        <w:tc>
          <w:tcPr>
            <w:tcW w:w="1440" w:type="dxa"/>
            <w:vAlign w:val="bottom"/>
          </w:tcPr>
          <w:p>
            <w:pPr>
              <w:jc w:val="right"/>
              <w:ind w:right="21"/>
              <w:spacing w:after="0"/>
              <w:rPr>
                <w:sz w:val="20"/>
                <w:szCs w:val="20"/>
                <w:color w:val="auto"/>
              </w:rPr>
            </w:pPr>
            <w:r>
              <w:rPr>
                <w:rFonts w:ascii="Arial" w:cs="Arial" w:eastAsia="Arial" w:hAnsi="Arial"/>
                <w:sz w:val="16"/>
                <w:szCs w:val="16"/>
                <w:b w:val="1"/>
                <w:bCs w:val="1"/>
                <w:color w:val="auto"/>
              </w:rPr>
              <w:t>71%</w:t>
            </w:r>
          </w:p>
        </w:tc>
        <w:tc>
          <w:tcPr>
            <w:tcW w:w="600" w:type="dxa"/>
            <w:vAlign w:val="bottom"/>
          </w:tcPr>
          <w:p>
            <w:pPr>
              <w:jc w:val="right"/>
              <w:spacing w:after="0"/>
              <w:rPr>
                <w:sz w:val="20"/>
                <w:szCs w:val="20"/>
                <w:color w:val="auto"/>
              </w:rPr>
            </w:pPr>
            <w:r>
              <w:rPr>
                <w:rFonts w:ascii="Arial" w:cs="Arial" w:eastAsia="Arial" w:hAnsi="Arial"/>
                <w:sz w:val="16"/>
                <w:szCs w:val="16"/>
                <w:color w:val="auto"/>
              </w:rPr>
              <w:t>70%  </w:t>
            </w:r>
          </w:p>
        </w:tc>
      </w:tr>
      <w:tr>
        <w:trPr>
          <w:trHeight w:val="199"/>
        </w:trPr>
        <w:tc>
          <w:tcPr>
            <w:tcW w:w="2560" w:type="dxa"/>
            <w:vAlign w:val="bottom"/>
          </w:tcPr>
          <w:p>
            <w:pPr>
              <w:ind w:left="100"/>
              <w:spacing w:after="0"/>
              <w:rPr>
                <w:sz w:val="20"/>
                <w:szCs w:val="20"/>
                <w:color w:val="auto"/>
              </w:rPr>
            </w:pPr>
            <w:r>
              <w:rPr>
                <w:rFonts w:ascii="Arial" w:cs="Arial" w:eastAsia="Arial" w:hAnsi="Arial"/>
                <w:sz w:val="16"/>
                <w:szCs w:val="16"/>
                <w:color w:val="auto"/>
              </w:rPr>
              <w:t> U.K.</w:t>
            </w:r>
          </w:p>
        </w:tc>
        <w:tc>
          <w:tcPr>
            <w:tcW w:w="1440" w:type="dxa"/>
            <w:vAlign w:val="bottom"/>
          </w:tcPr>
          <w:p>
            <w:pPr>
              <w:jc w:val="right"/>
              <w:ind w:right="21"/>
              <w:spacing w:after="0"/>
              <w:rPr>
                <w:sz w:val="20"/>
                <w:szCs w:val="20"/>
                <w:color w:val="auto"/>
              </w:rPr>
            </w:pPr>
            <w:r>
              <w:rPr>
                <w:rFonts w:ascii="Arial" w:cs="Arial" w:eastAsia="Arial" w:hAnsi="Arial"/>
                <w:sz w:val="16"/>
                <w:szCs w:val="16"/>
                <w:b w:val="1"/>
                <w:bCs w:val="1"/>
                <w:color w:val="auto"/>
              </w:rPr>
              <w:t>24%</w:t>
            </w:r>
          </w:p>
        </w:tc>
        <w:tc>
          <w:tcPr>
            <w:tcW w:w="600" w:type="dxa"/>
            <w:vAlign w:val="bottom"/>
          </w:tcPr>
          <w:p>
            <w:pPr>
              <w:jc w:val="right"/>
              <w:spacing w:after="0"/>
              <w:rPr>
                <w:sz w:val="20"/>
                <w:szCs w:val="20"/>
                <w:color w:val="auto"/>
              </w:rPr>
            </w:pPr>
            <w:r>
              <w:rPr>
                <w:rFonts w:ascii="Arial" w:cs="Arial" w:eastAsia="Arial" w:hAnsi="Arial"/>
                <w:sz w:val="16"/>
                <w:szCs w:val="16"/>
                <w:color w:val="auto"/>
              </w:rPr>
              <w:t>25%  </w:t>
            </w:r>
          </w:p>
        </w:tc>
      </w:tr>
      <w:tr>
        <w:trPr>
          <w:trHeight w:val="200"/>
        </w:trPr>
        <w:tc>
          <w:tcPr>
            <w:tcW w:w="2560" w:type="dxa"/>
            <w:vAlign w:val="bottom"/>
            <w:tcBorders>
              <w:bottom w:val="single" w:sz="8" w:color="B2B2B2"/>
            </w:tcBorders>
          </w:tcPr>
          <w:p>
            <w:pPr>
              <w:ind w:left="100"/>
              <w:spacing w:after="0"/>
              <w:rPr>
                <w:sz w:val="20"/>
                <w:szCs w:val="20"/>
                <w:color w:val="auto"/>
              </w:rPr>
            </w:pPr>
            <w:r>
              <w:rPr>
                <w:rFonts w:ascii="Arial" w:cs="Arial" w:eastAsia="Arial" w:hAnsi="Arial"/>
                <w:sz w:val="16"/>
                <w:szCs w:val="16"/>
                <w:color w:val="auto"/>
              </w:rPr>
              <w:t> Rest of world</w:t>
            </w:r>
          </w:p>
        </w:tc>
        <w:tc>
          <w:tcPr>
            <w:tcW w:w="144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b w:val="1"/>
                <w:bCs w:val="1"/>
                <w:color w:val="auto"/>
              </w:rPr>
              <w:t>5%</w:t>
            </w:r>
          </w:p>
        </w:tc>
        <w:tc>
          <w:tcPr>
            <w:tcW w:w="6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  </w:t>
            </w:r>
          </w:p>
        </w:tc>
      </w:tr>
      <w:tr>
        <w:trPr>
          <w:trHeight w:val="185"/>
        </w:trPr>
        <w:tc>
          <w:tcPr>
            <w:tcW w:w="2560" w:type="dxa"/>
            <w:vAlign w:val="bottom"/>
            <w:tcBorders>
              <w:bottom w:val="single" w:sz="8" w:color="D64000"/>
            </w:tcBorders>
          </w:tcPr>
          <w:p>
            <w:pPr>
              <w:spacing w:after="0"/>
              <w:rPr>
                <w:sz w:val="16"/>
                <w:szCs w:val="16"/>
                <w:color w:val="auto"/>
              </w:rPr>
            </w:pPr>
          </w:p>
        </w:tc>
        <w:tc>
          <w:tcPr>
            <w:tcW w:w="1440" w:type="dxa"/>
            <w:vAlign w:val="bottom"/>
            <w:tcBorders>
              <w:bottom w:val="single" w:sz="8" w:color="D64000"/>
            </w:tcBorders>
          </w:tcPr>
          <w:p>
            <w:pPr>
              <w:jc w:val="right"/>
              <w:ind w:right="21"/>
              <w:spacing w:after="0" w:line="179" w:lineRule="exact"/>
              <w:rPr>
                <w:sz w:val="20"/>
                <w:szCs w:val="20"/>
                <w:color w:val="auto"/>
              </w:rPr>
            </w:pPr>
            <w:r>
              <w:rPr>
                <w:rFonts w:ascii="Arial" w:cs="Arial" w:eastAsia="Arial" w:hAnsi="Arial"/>
                <w:sz w:val="16"/>
                <w:szCs w:val="16"/>
                <w:b w:val="1"/>
                <w:bCs w:val="1"/>
                <w:color w:val="auto"/>
              </w:rPr>
              <w:t>100%</w:t>
            </w:r>
          </w:p>
        </w:tc>
        <w:tc>
          <w:tcPr>
            <w:tcW w:w="60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100%  </w:t>
            </w:r>
          </w:p>
        </w:tc>
      </w:tr>
    </w:tbl>
    <w:p>
      <w:pPr>
        <w:spacing w:after="0" w:line="110" w:lineRule="exact"/>
        <w:rPr>
          <w:sz w:val="20"/>
          <w:szCs w:val="20"/>
          <w:color w:val="auto"/>
        </w:rPr>
      </w:pPr>
    </w:p>
    <w:p>
      <w:pPr>
        <w:sectPr>
          <w:pgSz w:w="11900" w:h="16838" w:orient="portrait"/>
          <w:cols w:equalWidth="0" w:num="2">
            <w:col w:w="4800" w:space="100"/>
            <w:col w:w="6140"/>
          </w:cols>
          <w:pgMar w:left="320" w:top="477" w:right="539" w:bottom="1440" w:gutter="0" w:footer="0" w:header="0"/>
          <w:type w:val="continuous"/>
        </w:sectPr>
      </w:pPr>
    </w:p>
    <w:p>
      <w:pPr>
        <w:ind w:left="220" w:right="520"/>
        <w:spacing w:after="0" w:line="260" w:lineRule="auto"/>
        <w:rPr>
          <w:sz w:val="20"/>
          <w:szCs w:val="20"/>
          <w:color w:val="auto"/>
        </w:rPr>
      </w:pPr>
      <w:r>
        <w:rPr>
          <w:rFonts w:ascii="Arial" w:cs="Arial" w:eastAsia="Arial" w:hAnsi="Arial"/>
          <w:sz w:val="17"/>
          <w:szCs w:val="17"/>
          <w:color w:val="auto"/>
        </w:rPr>
        <w:t>The weighted-average duration of plan obligations for the TRGP and TTC in 2024 was 12 years (2023 – 13 years) and 13 years (2023 – 14 years), respectively.</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Plan assets</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summarizes activity in plan assets:</w:t>
      </w:r>
    </w:p>
    <w:p>
      <w:pPr>
        <w:spacing w:after="0" w:line="208"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3880" w:type="dxa"/>
            <w:vAlign w:val="bottom"/>
            <w:shd w:val="clear" w:color="auto" w:fill="1F473D"/>
          </w:tcPr>
          <w:p>
            <w:pPr>
              <w:spacing w:after="0"/>
              <w:rPr>
                <w:sz w:val="20"/>
                <w:szCs w:val="20"/>
                <w:color w:val="auto"/>
              </w:rPr>
            </w:pPr>
            <w:r>
              <w:rPr>
                <w:rFonts w:ascii="Arial" w:cs="Arial" w:eastAsia="Arial" w:hAnsi="Arial"/>
                <w:sz w:val="16"/>
                <w:szCs w:val="16"/>
                <w:b w:val="1"/>
                <w:bCs w:val="1"/>
                <w:color w:val="FFFFFF"/>
              </w:rPr>
              <w:t> Fair Value of Plan Assets</w:t>
            </w:r>
          </w:p>
        </w:tc>
        <w:tc>
          <w:tcPr>
            <w:tcW w:w="1480" w:type="dxa"/>
            <w:vAlign w:val="bottom"/>
            <w:gridSpan w:val="2"/>
            <w:shd w:val="clear" w:color="auto" w:fill="1F473D"/>
          </w:tcPr>
          <w:p>
            <w:pPr>
              <w:jc w:val="right"/>
              <w:ind w:right="361"/>
              <w:spacing w:after="0"/>
              <w:rPr>
                <w:sz w:val="20"/>
                <w:szCs w:val="20"/>
                <w:color w:val="auto"/>
              </w:rPr>
            </w:pPr>
            <w:r>
              <w:rPr>
                <w:rFonts w:ascii="Arial" w:cs="Arial" w:eastAsia="Arial" w:hAnsi="Arial"/>
                <w:sz w:val="16"/>
                <w:szCs w:val="16"/>
                <w:b w:val="1"/>
                <w:bCs w:val="1"/>
                <w:color w:val="FFFFFF"/>
              </w:rPr>
              <w:t>Funded</w:t>
            </w:r>
          </w:p>
        </w:tc>
        <w:tc>
          <w:tcPr>
            <w:tcW w:w="1460" w:type="dxa"/>
            <w:vAlign w:val="bottom"/>
            <w:gridSpan w:val="2"/>
            <w:shd w:val="clear" w:color="auto" w:fill="1F473D"/>
          </w:tcPr>
          <w:p>
            <w:pPr>
              <w:jc w:val="right"/>
              <w:ind w:right="281"/>
              <w:spacing w:after="0"/>
              <w:rPr>
                <w:sz w:val="20"/>
                <w:szCs w:val="20"/>
                <w:color w:val="auto"/>
              </w:rPr>
            </w:pPr>
            <w:r>
              <w:rPr>
                <w:rFonts w:ascii="Arial" w:cs="Arial" w:eastAsia="Arial" w:hAnsi="Arial"/>
                <w:sz w:val="16"/>
                <w:szCs w:val="16"/>
                <w:b w:val="1"/>
                <w:bCs w:val="1"/>
                <w:color w:val="FFFFFF"/>
              </w:rPr>
              <w:t>Unfunded</w:t>
            </w:r>
          </w:p>
        </w:tc>
        <w:tc>
          <w:tcPr>
            <w:tcW w:w="980" w:type="dxa"/>
            <w:vAlign w:val="bottom"/>
            <w:shd w:val="clear" w:color="auto" w:fill="1F473D"/>
          </w:tcPr>
          <w:p>
            <w:pPr>
              <w:jc w:val="right"/>
              <w:spacing w:after="0"/>
              <w:rPr>
                <w:sz w:val="20"/>
                <w:szCs w:val="20"/>
                <w:color w:val="auto"/>
              </w:rPr>
            </w:pPr>
            <w:r>
              <w:rPr>
                <w:rFonts w:ascii="Arial" w:cs="Arial" w:eastAsia="Arial" w:hAnsi="Arial"/>
                <w:sz w:val="16"/>
                <w:szCs w:val="16"/>
                <w:b w:val="1"/>
                <w:bCs w:val="1"/>
                <w:color w:val="FFFFFF"/>
              </w:rPr>
              <w:t>OPEB</w:t>
            </w:r>
          </w:p>
        </w:tc>
        <w:tc>
          <w:tcPr>
            <w:tcW w:w="480" w:type="dxa"/>
            <w:vAlign w:val="bottom"/>
            <w:shd w:val="clear" w:color="auto" w:fill="1F473D"/>
          </w:tcPr>
          <w:p>
            <w:pPr>
              <w:spacing w:after="0"/>
              <w:rPr>
                <w:sz w:val="16"/>
                <w:szCs w:val="16"/>
                <w:color w:val="auto"/>
              </w:rPr>
            </w:pPr>
          </w:p>
        </w:tc>
        <w:tc>
          <w:tcPr>
            <w:tcW w:w="940" w:type="dxa"/>
            <w:vAlign w:val="bottom"/>
            <w:shd w:val="clear" w:color="auto" w:fill="1F473D"/>
          </w:tcPr>
          <w:p>
            <w:pPr>
              <w:jc w:val="right"/>
              <w:spacing w:after="0"/>
              <w:rPr>
                <w:sz w:val="20"/>
                <w:szCs w:val="20"/>
                <w:color w:val="auto"/>
              </w:rPr>
            </w:pPr>
            <w:r>
              <w:rPr>
                <w:rFonts w:ascii="Arial" w:cs="Arial" w:eastAsia="Arial" w:hAnsi="Arial"/>
                <w:sz w:val="16"/>
                <w:szCs w:val="16"/>
                <w:b w:val="1"/>
                <w:bCs w:val="1"/>
                <w:color w:val="FFFFFF"/>
              </w:rPr>
              <w:t>Total</w:t>
            </w:r>
          </w:p>
        </w:tc>
        <w:tc>
          <w:tcPr>
            <w:tcW w:w="500" w:type="dxa"/>
            <w:vAlign w:val="bottom"/>
            <w:shd w:val="clear" w:color="auto" w:fill="1F473D"/>
          </w:tcPr>
          <w:p>
            <w:pPr>
              <w:spacing w:after="0"/>
              <w:rPr>
                <w:sz w:val="16"/>
                <w:szCs w:val="16"/>
                <w:color w:val="auto"/>
              </w:rPr>
            </w:pPr>
          </w:p>
        </w:tc>
      </w:tr>
      <w:tr>
        <w:trPr>
          <w:trHeight w:val="205"/>
        </w:trPr>
        <w:tc>
          <w:tcPr>
            <w:tcW w:w="3880" w:type="dxa"/>
            <w:vAlign w:val="bottom"/>
            <w:tcBorders>
              <w:bottom w:val="single" w:sz="8" w:color="D64000"/>
            </w:tcBorders>
            <w:shd w:val="clear" w:color="auto" w:fill="E3F3EE"/>
          </w:tcPr>
          <w:p>
            <w:pPr>
              <w:spacing w:after="0"/>
              <w:rPr>
                <w:sz w:val="20"/>
                <w:szCs w:val="20"/>
                <w:color w:val="auto"/>
              </w:rPr>
            </w:pPr>
            <w:r>
              <w:rPr>
                <w:rFonts w:ascii="Arial" w:cs="Arial" w:eastAsia="Arial" w:hAnsi="Arial"/>
                <w:sz w:val="16"/>
                <w:szCs w:val="16"/>
                <w:b w:val="1"/>
                <w:bCs w:val="1"/>
                <w:color w:val="auto"/>
              </w:rPr>
              <w:t> As of December 31,</w:t>
            </w:r>
          </w:p>
        </w:tc>
        <w:tc>
          <w:tcPr>
            <w:tcW w:w="760" w:type="dxa"/>
            <w:vAlign w:val="bottom"/>
            <w:tcBorders>
              <w:bottom w:val="single" w:sz="8" w:color="D64000"/>
            </w:tcBorders>
            <w:shd w:val="clear" w:color="auto" w:fill="E3F3EE"/>
          </w:tcPr>
          <w:p>
            <w:pPr>
              <w:jc w:val="right"/>
              <w:ind w:right="41"/>
              <w:spacing w:after="0"/>
              <w:rPr>
                <w:sz w:val="20"/>
                <w:szCs w:val="20"/>
                <w:color w:val="auto"/>
              </w:rPr>
            </w:pPr>
            <w:r>
              <w:rPr>
                <w:rFonts w:ascii="Arial" w:cs="Arial" w:eastAsia="Arial" w:hAnsi="Arial"/>
                <w:sz w:val="16"/>
                <w:szCs w:val="16"/>
                <w:b w:val="1"/>
                <w:bCs w:val="1"/>
                <w:color w:val="auto"/>
              </w:rPr>
              <w:t>   2024</w:t>
            </w:r>
          </w:p>
        </w:tc>
        <w:tc>
          <w:tcPr>
            <w:tcW w:w="720" w:type="dxa"/>
            <w:vAlign w:val="bottom"/>
            <w:tcBorders>
              <w:bottom w:val="single" w:sz="8" w:color="D64000"/>
            </w:tcBorders>
            <w:shd w:val="clear" w:color="auto" w:fill="E3F3EE"/>
          </w:tcPr>
          <w:p>
            <w:pPr>
              <w:jc w:val="right"/>
              <w:ind w:right="21"/>
              <w:spacing w:after="0"/>
              <w:rPr>
                <w:sz w:val="20"/>
                <w:szCs w:val="20"/>
                <w:color w:val="auto"/>
              </w:rPr>
            </w:pPr>
            <w:r>
              <w:rPr>
                <w:rFonts w:ascii="Arial" w:cs="Arial" w:eastAsia="Arial" w:hAnsi="Arial"/>
                <w:sz w:val="16"/>
                <w:szCs w:val="16"/>
                <w:color w:val="auto"/>
                <w:w w:val="99"/>
              </w:rPr>
              <w:t>   2023</w:t>
            </w:r>
          </w:p>
        </w:tc>
        <w:tc>
          <w:tcPr>
            <w:tcW w:w="740" w:type="dxa"/>
            <w:vAlign w:val="bottom"/>
            <w:tcBorders>
              <w:bottom w:val="single" w:sz="8" w:color="D64000"/>
            </w:tcBorders>
            <w:shd w:val="clear" w:color="auto" w:fill="E3F3EE"/>
          </w:tcPr>
          <w:p>
            <w:pPr>
              <w:jc w:val="right"/>
              <w:ind w:right="41"/>
              <w:spacing w:after="0"/>
              <w:rPr>
                <w:sz w:val="20"/>
                <w:szCs w:val="20"/>
                <w:color w:val="auto"/>
              </w:rPr>
            </w:pPr>
            <w:r>
              <w:rPr>
                <w:rFonts w:ascii="Arial" w:cs="Arial" w:eastAsia="Arial" w:hAnsi="Arial"/>
                <w:sz w:val="16"/>
                <w:szCs w:val="16"/>
                <w:b w:val="1"/>
                <w:bCs w:val="1"/>
                <w:color w:val="auto"/>
                <w:w w:val="99"/>
              </w:rPr>
              <w:t>   2024</w:t>
            </w:r>
          </w:p>
        </w:tc>
        <w:tc>
          <w:tcPr>
            <w:tcW w:w="720" w:type="dxa"/>
            <w:vAlign w:val="bottom"/>
            <w:tcBorders>
              <w:bottom w:val="single" w:sz="8" w:color="D64000"/>
            </w:tcBorders>
            <w:shd w:val="clear" w:color="auto" w:fill="E3F3EE"/>
          </w:tcPr>
          <w:p>
            <w:pPr>
              <w:jc w:val="right"/>
              <w:ind w:right="21"/>
              <w:spacing w:after="0"/>
              <w:rPr>
                <w:sz w:val="20"/>
                <w:szCs w:val="20"/>
                <w:color w:val="auto"/>
              </w:rPr>
            </w:pPr>
            <w:r>
              <w:rPr>
                <w:rFonts w:ascii="Arial" w:cs="Arial" w:eastAsia="Arial" w:hAnsi="Arial"/>
                <w:sz w:val="16"/>
                <w:szCs w:val="16"/>
                <w:color w:val="auto"/>
                <w:w w:val="99"/>
              </w:rPr>
              <w:t>   2023</w:t>
            </w:r>
          </w:p>
        </w:tc>
        <w:tc>
          <w:tcPr>
            <w:tcW w:w="980" w:type="dxa"/>
            <w:vAlign w:val="bottom"/>
            <w:tcBorders>
              <w:bottom w:val="single" w:sz="8" w:color="D64000"/>
            </w:tcBorders>
            <w:shd w:val="clear" w:color="auto" w:fill="E3F3EE"/>
          </w:tcPr>
          <w:p>
            <w:pPr>
              <w:jc w:val="right"/>
              <w:ind w:right="21"/>
              <w:spacing w:after="0"/>
              <w:rPr>
                <w:sz w:val="20"/>
                <w:szCs w:val="20"/>
                <w:color w:val="auto"/>
              </w:rPr>
            </w:pPr>
            <w:r>
              <w:rPr>
                <w:rFonts w:ascii="Arial" w:cs="Arial" w:eastAsia="Arial" w:hAnsi="Arial"/>
                <w:sz w:val="16"/>
                <w:szCs w:val="16"/>
                <w:b w:val="1"/>
                <w:bCs w:val="1"/>
                <w:color w:val="auto"/>
              </w:rPr>
              <w:t xml:space="preserve">   2024   </w:t>
            </w:r>
            <w:r>
              <w:rPr>
                <w:rFonts w:ascii="Arial" w:cs="Arial" w:eastAsia="Arial" w:hAnsi="Arial"/>
                <w:sz w:val="16"/>
                <w:szCs w:val="16"/>
                <w:color w:val="auto"/>
              </w:rPr>
              <w:t xml:space="preserve"> </w:t>
            </w:r>
          </w:p>
        </w:tc>
        <w:tc>
          <w:tcPr>
            <w:tcW w:w="480" w:type="dxa"/>
            <w:vAlign w:val="bottom"/>
            <w:tcBorders>
              <w:bottom w:val="single" w:sz="8" w:color="D64000"/>
            </w:tcBorders>
            <w:shd w:val="clear" w:color="auto" w:fill="E3F3EE"/>
          </w:tcPr>
          <w:p>
            <w:pPr>
              <w:jc w:val="right"/>
              <w:ind w:right="21"/>
              <w:spacing w:after="0"/>
              <w:rPr>
                <w:sz w:val="20"/>
                <w:szCs w:val="20"/>
                <w:color w:val="auto"/>
              </w:rPr>
            </w:pPr>
            <w:r>
              <w:rPr>
                <w:rFonts w:ascii="Arial" w:cs="Arial" w:eastAsia="Arial" w:hAnsi="Arial"/>
                <w:sz w:val="16"/>
                <w:szCs w:val="16"/>
                <w:color w:val="auto"/>
              </w:rPr>
              <w:t>2023</w:t>
            </w:r>
          </w:p>
        </w:tc>
        <w:tc>
          <w:tcPr>
            <w:tcW w:w="940" w:type="dxa"/>
            <w:vAlign w:val="bottom"/>
            <w:tcBorders>
              <w:bottom w:val="single" w:sz="8" w:color="D64000"/>
            </w:tcBorders>
            <w:shd w:val="clear" w:color="auto" w:fill="E3F3EE"/>
          </w:tcPr>
          <w:p>
            <w:pPr>
              <w:jc w:val="right"/>
              <w:spacing w:after="0"/>
              <w:rPr>
                <w:sz w:val="20"/>
                <w:szCs w:val="20"/>
                <w:color w:val="auto"/>
              </w:rPr>
            </w:pPr>
            <w:r>
              <w:rPr>
                <w:rFonts w:ascii="Arial" w:cs="Arial" w:eastAsia="Arial" w:hAnsi="Arial"/>
                <w:sz w:val="16"/>
                <w:szCs w:val="16"/>
                <w:b w:val="1"/>
                <w:bCs w:val="1"/>
                <w:color w:val="auto"/>
              </w:rPr>
              <w:t xml:space="preserve">   2024   </w:t>
            </w:r>
            <w:r>
              <w:rPr>
                <w:rFonts w:ascii="Arial" w:cs="Arial" w:eastAsia="Arial" w:hAnsi="Arial"/>
                <w:sz w:val="16"/>
                <w:szCs w:val="16"/>
                <w:color w:val="auto"/>
              </w:rPr>
              <w:t xml:space="preserve"> </w:t>
            </w:r>
          </w:p>
        </w:tc>
        <w:tc>
          <w:tcPr>
            <w:tcW w:w="500" w:type="dxa"/>
            <w:vAlign w:val="bottom"/>
            <w:tcBorders>
              <w:bottom w:val="single" w:sz="8" w:color="D64000"/>
            </w:tcBorders>
            <w:shd w:val="clear" w:color="auto" w:fill="E3F3EE"/>
          </w:tcPr>
          <w:p>
            <w:pPr>
              <w:jc w:val="right"/>
              <w:spacing w:after="0"/>
              <w:rPr>
                <w:sz w:val="20"/>
                <w:szCs w:val="20"/>
                <w:color w:val="auto"/>
              </w:rPr>
            </w:pPr>
            <w:r>
              <w:rPr>
                <w:rFonts w:ascii="Arial" w:cs="Arial" w:eastAsia="Arial" w:hAnsi="Arial"/>
                <w:sz w:val="16"/>
                <w:szCs w:val="16"/>
                <w:color w:val="auto"/>
              </w:rPr>
              <w:t>2023  </w:t>
            </w:r>
          </w:p>
        </w:tc>
      </w:tr>
      <w:tr>
        <w:trPr>
          <w:trHeight w:val="171"/>
        </w:trPr>
        <w:tc>
          <w:tcPr>
            <w:tcW w:w="3880" w:type="dxa"/>
            <w:vAlign w:val="bottom"/>
          </w:tcPr>
          <w:p>
            <w:pPr>
              <w:spacing w:after="0" w:line="171" w:lineRule="exact"/>
              <w:rPr>
                <w:sz w:val="20"/>
                <w:szCs w:val="20"/>
                <w:color w:val="auto"/>
              </w:rPr>
            </w:pPr>
            <w:r>
              <w:rPr>
                <w:rFonts w:ascii="Arial" w:cs="Arial" w:eastAsia="Arial" w:hAnsi="Arial"/>
                <w:sz w:val="16"/>
                <w:szCs w:val="16"/>
                <w:color w:val="auto"/>
              </w:rPr>
              <w:t> Opening fair value of plan assets</w:t>
            </w:r>
          </w:p>
        </w:tc>
        <w:tc>
          <w:tcPr>
            <w:tcW w:w="760" w:type="dxa"/>
            <w:vAlign w:val="bottom"/>
          </w:tcPr>
          <w:p>
            <w:pPr>
              <w:jc w:val="right"/>
              <w:ind w:right="41"/>
              <w:spacing w:after="0" w:line="171" w:lineRule="exact"/>
              <w:rPr>
                <w:sz w:val="20"/>
                <w:szCs w:val="20"/>
                <w:color w:val="auto"/>
              </w:rPr>
            </w:pPr>
            <w:r>
              <w:rPr>
                <w:rFonts w:ascii="Arial" w:cs="Arial" w:eastAsia="Arial" w:hAnsi="Arial"/>
                <w:sz w:val="16"/>
                <w:szCs w:val="16"/>
                <w:b w:val="1"/>
                <w:bCs w:val="1"/>
                <w:color w:val="auto"/>
              </w:rPr>
              <w:t>2,421</w:t>
            </w:r>
          </w:p>
        </w:tc>
        <w:tc>
          <w:tcPr>
            <w:tcW w:w="720" w:type="dxa"/>
            <w:vAlign w:val="bottom"/>
          </w:tcPr>
          <w:p>
            <w:pPr>
              <w:jc w:val="right"/>
              <w:ind w:right="21"/>
              <w:spacing w:after="0" w:line="171" w:lineRule="exact"/>
              <w:rPr>
                <w:sz w:val="20"/>
                <w:szCs w:val="20"/>
                <w:color w:val="auto"/>
              </w:rPr>
            </w:pPr>
            <w:r>
              <w:rPr>
                <w:rFonts w:ascii="Arial" w:cs="Arial" w:eastAsia="Arial" w:hAnsi="Arial"/>
                <w:sz w:val="16"/>
                <w:szCs w:val="16"/>
                <w:color w:val="auto"/>
              </w:rPr>
              <w:t>2,337</w:t>
            </w:r>
          </w:p>
        </w:tc>
        <w:tc>
          <w:tcPr>
            <w:tcW w:w="740" w:type="dxa"/>
            <w:vAlign w:val="bottom"/>
          </w:tcPr>
          <w:p>
            <w:pPr>
              <w:jc w:val="right"/>
              <w:ind w:right="41"/>
              <w:spacing w:after="0" w:line="171" w:lineRule="exact"/>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21"/>
              <w:spacing w:after="0" w:line="171"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281"/>
              <w:spacing w:after="0" w:line="171" w:lineRule="exact"/>
              <w:rPr>
                <w:sz w:val="20"/>
                <w:szCs w:val="20"/>
                <w:color w:val="auto"/>
              </w:rPr>
            </w:pPr>
            <w:r>
              <w:rPr>
                <w:rFonts w:ascii="Arial" w:cs="Arial" w:eastAsia="Arial" w:hAnsi="Arial"/>
                <w:sz w:val="16"/>
                <w:szCs w:val="16"/>
                <w:b w:val="1"/>
                <w:bCs w:val="1"/>
                <w:color w:val="auto"/>
              </w:rPr>
              <w:t>-</w:t>
            </w:r>
          </w:p>
        </w:tc>
        <w:tc>
          <w:tcPr>
            <w:tcW w:w="480" w:type="dxa"/>
            <w:vAlign w:val="bottom"/>
          </w:tcPr>
          <w:p>
            <w:pPr>
              <w:jc w:val="right"/>
              <w:ind w:right="21"/>
              <w:spacing w:after="0" w:line="171"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241"/>
              <w:spacing w:after="0" w:line="171" w:lineRule="exact"/>
              <w:rPr>
                <w:sz w:val="20"/>
                <w:szCs w:val="20"/>
                <w:color w:val="auto"/>
              </w:rPr>
            </w:pPr>
            <w:r>
              <w:rPr>
                <w:rFonts w:ascii="Arial" w:cs="Arial" w:eastAsia="Arial" w:hAnsi="Arial"/>
                <w:sz w:val="16"/>
                <w:szCs w:val="16"/>
                <w:b w:val="1"/>
                <w:bCs w:val="1"/>
                <w:color w:val="auto"/>
              </w:rPr>
              <w:t>2,421</w:t>
            </w:r>
          </w:p>
        </w:tc>
        <w:tc>
          <w:tcPr>
            <w:tcW w:w="500" w:type="dxa"/>
            <w:vAlign w:val="bottom"/>
          </w:tcPr>
          <w:p>
            <w:pPr>
              <w:jc w:val="right"/>
              <w:spacing w:after="0" w:line="171" w:lineRule="exact"/>
              <w:rPr>
                <w:sz w:val="20"/>
                <w:szCs w:val="20"/>
                <w:color w:val="auto"/>
              </w:rPr>
            </w:pPr>
            <w:r>
              <w:rPr>
                <w:rFonts w:ascii="Arial" w:cs="Arial" w:eastAsia="Arial" w:hAnsi="Arial"/>
                <w:sz w:val="16"/>
                <w:szCs w:val="16"/>
                <w:color w:val="auto"/>
              </w:rPr>
              <w:t>2,337  </w:t>
            </w:r>
          </w:p>
        </w:tc>
      </w:tr>
      <w:tr>
        <w:trPr>
          <w:trHeight w:val="186"/>
        </w:trPr>
        <w:tc>
          <w:tcPr>
            <w:tcW w:w="3880" w:type="dxa"/>
            <w:vAlign w:val="bottom"/>
          </w:tcPr>
          <w:p>
            <w:pPr>
              <w:spacing w:after="0" w:line="185" w:lineRule="exact"/>
              <w:rPr>
                <w:sz w:val="20"/>
                <w:szCs w:val="20"/>
                <w:color w:val="auto"/>
              </w:rPr>
            </w:pPr>
            <w:r>
              <w:rPr>
                <w:rFonts w:ascii="Arial" w:cs="Arial" w:eastAsia="Arial" w:hAnsi="Arial"/>
                <w:sz w:val="16"/>
                <w:szCs w:val="16"/>
                <w:color w:val="auto"/>
              </w:rPr>
              <w:t> Interest income</w:t>
            </w:r>
            <w:r>
              <w:rPr>
                <w:rFonts w:ascii="Arial" w:cs="Arial" w:eastAsia="Arial" w:hAnsi="Arial"/>
                <w:sz w:val="19"/>
                <w:szCs w:val="19"/>
                <w:color w:val="auto"/>
                <w:vertAlign w:val="superscript"/>
              </w:rPr>
              <w:t>(1)</w:t>
            </w:r>
          </w:p>
        </w:tc>
        <w:tc>
          <w:tcPr>
            <w:tcW w:w="760" w:type="dxa"/>
            <w:vAlign w:val="bottom"/>
          </w:tcPr>
          <w:p>
            <w:pPr>
              <w:jc w:val="right"/>
              <w:ind w:right="41"/>
              <w:spacing w:after="0"/>
              <w:rPr>
                <w:sz w:val="20"/>
                <w:szCs w:val="20"/>
                <w:color w:val="auto"/>
              </w:rPr>
            </w:pPr>
            <w:r>
              <w:rPr>
                <w:rFonts w:ascii="Arial" w:cs="Arial" w:eastAsia="Arial" w:hAnsi="Arial"/>
                <w:sz w:val="16"/>
                <w:szCs w:val="16"/>
                <w:b w:val="1"/>
                <w:bCs w:val="1"/>
                <w:color w:val="auto"/>
              </w:rPr>
              <w:t>113</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117</w:t>
            </w:r>
          </w:p>
        </w:tc>
        <w:tc>
          <w:tcPr>
            <w:tcW w:w="7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81"/>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41"/>
              <w:spacing w:after="0"/>
              <w:rPr>
                <w:sz w:val="20"/>
                <w:szCs w:val="20"/>
                <w:color w:val="auto"/>
              </w:rPr>
            </w:pPr>
            <w:r>
              <w:rPr>
                <w:rFonts w:ascii="Arial" w:cs="Arial" w:eastAsia="Arial" w:hAnsi="Arial"/>
                <w:sz w:val="16"/>
                <w:szCs w:val="16"/>
                <w:b w:val="1"/>
                <w:bCs w:val="1"/>
                <w:color w:val="auto"/>
              </w:rPr>
              <w:t>113</w:t>
            </w:r>
          </w:p>
        </w:tc>
        <w:tc>
          <w:tcPr>
            <w:tcW w:w="500" w:type="dxa"/>
            <w:vAlign w:val="bottom"/>
          </w:tcPr>
          <w:p>
            <w:pPr>
              <w:jc w:val="right"/>
              <w:spacing w:after="0"/>
              <w:rPr>
                <w:sz w:val="20"/>
                <w:szCs w:val="20"/>
                <w:color w:val="auto"/>
              </w:rPr>
            </w:pPr>
            <w:r>
              <w:rPr>
                <w:rFonts w:ascii="Arial" w:cs="Arial" w:eastAsia="Arial" w:hAnsi="Arial"/>
                <w:sz w:val="16"/>
                <w:szCs w:val="16"/>
                <w:color w:val="auto"/>
              </w:rPr>
              <w:t>117  </w:t>
            </w:r>
          </w:p>
        </w:tc>
      </w:tr>
      <w:tr>
        <w:trPr>
          <w:trHeight w:val="186"/>
        </w:trPr>
        <w:tc>
          <w:tcPr>
            <w:tcW w:w="3880" w:type="dxa"/>
            <w:vAlign w:val="bottom"/>
          </w:tcPr>
          <w:p>
            <w:pPr>
              <w:spacing w:after="0"/>
              <w:rPr>
                <w:sz w:val="20"/>
                <w:szCs w:val="20"/>
                <w:color w:val="auto"/>
              </w:rPr>
            </w:pPr>
            <w:r>
              <w:rPr>
                <w:rFonts w:ascii="Arial" w:cs="Arial" w:eastAsia="Arial" w:hAnsi="Arial"/>
                <w:sz w:val="16"/>
                <w:szCs w:val="16"/>
                <w:color w:val="auto"/>
              </w:rPr>
              <w:t> Return on plan assets excluding amounts included in</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85"/>
        </w:trPr>
        <w:tc>
          <w:tcPr>
            <w:tcW w:w="3880" w:type="dxa"/>
            <w:vAlign w:val="bottom"/>
          </w:tcPr>
          <w:p>
            <w:pPr>
              <w:ind w:left="160"/>
              <w:spacing w:after="0" w:line="185" w:lineRule="exact"/>
              <w:rPr>
                <w:sz w:val="20"/>
                <w:szCs w:val="20"/>
                <w:color w:val="auto"/>
              </w:rPr>
            </w:pPr>
            <w:r>
              <w:rPr>
                <w:rFonts w:ascii="Arial" w:cs="Arial" w:eastAsia="Arial" w:hAnsi="Arial"/>
                <w:sz w:val="16"/>
                <w:szCs w:val="16"/>
                <w:color w:val="auto"/>
              </w:rPr>
              <w:t>interest income</w:t>
            </w:r>
            <w:r>
              <w:rPr>
                <w:rFonts w:ascii="Arial" w:cs="Arial" w:eastAsia="Arial" w:hAnsi="Arial"/>
                <w:sz w:val="19"/>
                <w:szCs w:val="19"/>
                <w:color w:val="auto"/>
                <w:vertAlign w:val="superscript"/>
              </w:rPr>
              <w:t>(2)</w:t>
            </w:r>
          </w:p>
        </w:tc>
        <w:tc>
          <w:tcPr>
            <w:tcW w:w="760" w:type="dxa"/>
            <w:vAlign w:val="bottom"/>
          </w:tcPr>
          <w:p>
            <w:pPr>
              <w:jc w:val="right"/>
              <w:ind w:right="41"/>
              <w:spacing w:after="0"/>
              <w:rPr>
                <w:sz w:val="20"/>
                <w:szCs w:val="20"/>
                <w:color w:val="auto"/>
              </w:rPr>
            </w:pPr>
            <w:r>
              <w:rPr>
                <w:rFonts w:ascii="Arial" w:cs="Arial" w:eastAsia="Arial" w:hAnsi="Arial"/>
                <w:sz w:val="16"/>
                <w:szCs w:val="16"/>
                <w:b w:val="1"/>
                <w:bCs w:val="1"/>
                <w:color w:val="auto"/>
              </w:rPr>
              <w:t>(173)</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70</w:t>
            </w:r>
          </w:p>
        </w:tc>
        <w:tc>
          <w:tcPr>
            <w:tcW w:w="7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81"/>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41"/>
              <w:spacing w:after="0"/>
              <w:rPr>
                <w:sz w:val="20"/>
                <w:szCs w:val="20"/>
                <w:color w:val="auto"/>
              </w:rPr>
            </w:pPr>
            <w:r>
              <w:rPr>
                <w:rFonts w:ascii="Arial" w:cs="Arial" w:eastAsia="Arial" w:hAnsi="Arial"/>
                <w:sz w:val="16"/>
                <w:szCs w:val="16"/>
                <w:b w:val="1"/>
                <w:bCs w:val="1"/>
                <w:color w:val="auto"/>
              </w:rPr>
              <w:t>(173)</w:t>
            </w:r>
          </w:p>
        </w:tc>
        <w:tc>
          <w:tcPr>
            <w:tcW w:w="500" w:type="dxa"/>
            <w:vAlign w:val="bottom"/>
          </w:tcPr>
          <w:p>
            <w:pPr>
              <w:jc w:val="right"/>
              <w:spacing w:after="0"/>
              <w:rPr>
                <w:sz w:val="20"/>
                <w:szCs w:val="20"/>
                <w:color w:val="auto"/>
              </w:rPr>
            </w:pPr>
            <w:r>
              <w:rPr>
                <w:rFonts w:ascii="Arial" w:cs="Arial" w:eastAsia="Arial" w:hAnsi="Arial"/>
                <w:sz w:val="16"/>
                <w:szCs w:val="16"/>
                <w:color w:val="auto"/>
              </w:rPr>
              <w:t>70  </w:t>
            </w:r>
          </w:p>
        </w:tc>
      </w:tr>
      <w:tr>
        <w:trPr>
          <w:trHeight w:val="186"/>
        </w:trPr>
        <w:tc>
          <w:tcPr>
            <w:tcW w:w="3880" w:type="dxa"/>
            <w:vAlign w:val="bottom"/>
          </w:tcPr>
          <w:p>
            <w:pPr>
              <w:spacing w:after="0"/>
              <w:rPr>
                <w:sz w:val="20"/>
                <w:szCs w:val="20"/>
                <w:color w:val="auto"/>
              </w:rPr>
            </w:pPr>
            <w:r>
              <w:rPr>
                <w:rFonts w:ascii="Arial" w:cs="Arial" w:eastAsia="Arial" w:hAnsi="Arial"/>
                <w:sz w:val="16"/>
                <w:szCs w:val="16"/>
                <w:color w:val="auto"/>
              </w:rPr>
              <w:t> Contributions by employer</w:t>
            </w:r>
          </w:p>
        </w:tc>
        <w:tc>
          <w:tcPr>
            <w:tcW w:w="760" w:type="dxa"/>
            <w:vAlign w:val="bottom"/>
          </w:tcPr>
          <w:p>
            <w:pPr>
              <w:jc w:val="right"/>
              <w:ind w:right="41"/>
              <w:spacing w:after="0"/>
              <w:rPr>
                <w:sz w:val="20"/>
                <w:szCs w:val="20"/>
                <w:color w:val="auto"/>
              </w:rPr>
            </w:pPr>
            <w:r>
              <w:rPr>
                <w:rFonts w:ascii="Arial" w:cs="Arial" w:eastAsia="Arial" w:hAnsi="Arial"/>
                <w:sz w:val="16"/>
                <w:szCs w:val="16"/>
                <w:b w:val="1"/>
                <w:bCs w:val="1"/>
                <w:color w:val="auto"/>
              </w:rPr>
              <w:t>6</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6</w:t>
            </w:r>
          </w:p>
        </w:tc>
        <w:tc>
          <w:tcPr>
            <w:tcW w:w="740" w:type="dxa"/>
            <w:vAlign w:val="bottom"/>
          </w:tcPr>
          <w:p>
            <w:pPr>
              <w:jc w:val="right"/>
              <w:ind w:right="41"/>
              <w:spacing w:after="0"/>
              <w:rPr>
                <w:sz w:val="20"/>
                <w:szCs w:val="20"/>
                <w:color w:val="auto"/>
              </w:rPr>
            </w:pPr>
            <w:r>
              <w:rPr>
                <w:rFonts w:ascii="Arial" w:cs="Arial" w:eastAsia="Arial" w:hAnsi="Arial"/>
                <w:sz w:val="16"/>
                <w:szCs w:val="16"/>
                <w:b w:val="1"/>
                <w:bCs w:val="1"/>
                <w:color w:val="auto"/>
              </w:rPr>
              <w:t>22</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980" w:type="dxa"/>
            <w:vAlign w:val="bottom"/>
          </w:tcPr>
          <w:p>
            <w:pPr>
              <w:jc w:val="right"/>
              <w:ind w:right="281"/>
              <w:spacing w:after="0"/>
              <w:rPr>
                <w:sz w:val="20"/>
                <w:szCs w:val="20"/>
                <w:color w:val="auto"/>
              </w:rPr>
            </w:pPr>
            <w:r>
              <w:rPr>
                <w:rFonts w:ascii="Arial" w:cs="Arial" w:eastAsia="Arial" w:hAnsi="Arial"/>
                <w:sz w:val="16"/>
                <w:szCs w:val="16"/>
                <w:b w:val="1"/>
                <w:bCs w:val="1"/>
                <w:color w:val="auto"/>
              </w:rPr>
              <w:t>7</w:t>
            </w:r>
          </w:p>
        </w:tc>
        <w:tc>
          <w:tcPr>
            <w:tcW w:w="48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940" w:type="dxa"/>
            <w:vAlign w:val="bottom"/>
          </w:tcPr>
          <w:p>
            <w:pPr>
              <w:jc w:val="right"/>
              <w:ind w:right="241"/>
              <w:spacing w:after="0"/>
              <w:rPr>
                <w:sz w:val="20"/>
                <w:szCs w:val="20"/>
                <w:color w:val="auto"/>
              </w:rPr>
            </w:pPr>
            <w:r>
              <w:rPr>
                <w:rFonts w:ascii="Arial" w:cs="Arial" w:eastAsia="Arial" w:hAnsi="Arial"/>
                <w:sz w:val="16"/>
                <w:szCs w:val="16"/>
                <w:b w:val="1"/>
                <w:bCs w:val="1"/>
                <w:color w:val="auto"/>
              </w:rPr>
              <w:t>35</w:t>
            </w:r>
          </w:p>
        </w:tc>
        <w:tc>
          <w:tcPr>
            <w:tcW w:w="500" w:type="dxa"/>
            <w:vAlign w:val="bottom"/>
          </w:tcPr>
          <w:p>
            <w:pPr>
              <w:jc w:val="right"/>
              <w:spacing w:after="0"/>
              <w:rPr>
                <w:sz w:val="20"/>
                <w:szCs w:val="20"/>
                <w:color w:val="auto"/>
              </w:rPr>
            </w:pPr>
            <w:r>
              <w:rPr>
                <w:rFonts w:ascii="Arial" w:cs="Arial" w:eastAsia="Arial" w:hAnsi="Arial"/>
                <w:sz w:val="16"/>
                <w:szCs w:val="16"/>
                <w:color w:val="auto"/>
              </w:rPr>
              <w:t>32  </w:t>
            </w:r>
          </w:p>
        </w:tc>
      </w:tr>
      <w:tr>
        <w:trPr>
          <w:trHeight w:val="185"/>
        </w:trPr>
        <w:tc>
          <w:tcPr>
            <w:tcW w:w="3880" w:type="dxa"/>
            <w:vAlign w:val="bottom"/>
          </w:tcPr>
          <w:p>
            <w:pPr>
              <w:spacing w:after="0"/>
              <w:rPr>
                <w:sz w:val="20"/>
                <w:szCs w:val="20"/>
                <w:color w:val="auto"/>
              </w:rPr>
            </w:pPr>
            <w:r>
              <w:rPr>
                <w:rFonts w:ascii="Arial" w:cs="Arial" w:eastAsia="Arial" w:hAnsi="Arial"/>
                <w:sz w:val="16"/>
                <w:szCs w:val="16"/>
                <w:color w:val="auto"/>
              </w:rPr>
              <w:t> Contributions by employees</w:t>
            </w:r>
          </w:p>
        </w:tc>
        <w:tc>
          <w:tcPr>
            <w:tcW w:w="760" w:type="dxa"/>
            <w:vAlign w:val="bottom"/>
          </w:tcPr>
          <w:p>
            <w:pPr>
              <w:jc w:val="right"/>
              <w:ind w:right="41"/>
              <w:spacing w:after="0"/>
              <w:rPr>
                <w:sz w:val="20"/>
                <w:szCs w:val="20"/>
                <w:color w:val="auto"/>
              </w:rPr>
            </w:pPr>
            <w:r>
              <w:rPr>
                <w:rFonts w:ascii="Arial" w:cs="Arial" w:eastAsia="Arial" w:hAnsi="Arial"/>
                <w:sz w:val="16"/>
                <w:szCs w:val="16"/>
                <w:b w:val="1"/>
                <w:bCs w:val="1"/>
                <w:color w:val="auto"/>
              </w:rPr>
              <w:t>2</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7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81"/>
              <w:spacing w:after="0"/>
              <w:rPr>
                <w:sz w:val="20"/>
                <w:szCs w:val="20"/>
                <w:color w:val="auto"/>
              </w:rPr>
            </w:pPr>
            <w:r>
              <w:rPr>
                <w:rFonts w:ascii="Arial" w:cs="Arial" w:eastAsia="Arial" w:hAnsi="Arial"/>
                <w:sz w:val="16"/>
                <w:szCs w:val="16"/>
                <w:b w:val="1"/>
                <w:bCs w:val="1"/>
                <w:color w:val="auto"/>
              </w:rPr>
              <w:t>2</w:t>
            </w:r>
          </w:p>
        </w:tc>
        <w:tc>
          <w:tcPr>
            <w:tcW w:w="48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940" w:type="dxa"/>
            <w:vAlign w:val="bottom"/>
          </w:tcPr>
          <w:p>
            <w:pPr>
              <w:jc w:val="right"/>
              <w:ind w:right="241"/>
              <w:spacing w:after="0"/>
              <w:rPr>
                <w:sz w:val="20"/>
                <w:szCs w:val="20"/>
                <w:color w:val="auto"/>
              </w:rPr>
            </w:pPr>
            <w:r>
              <w:rPr>
                <w:rFonts w:ascii="Arial" w:cs="Arial" w:eastAsia="Arial" w:hAnsi="Arial"/>
                <w:sz w:val="16"/>
                <w:szCs w:val="16"/>
                <w:b w:val="1"/>
                <w:bCs w:val="1"/>
                <w:color w:val="auto"/>
              </w:rPr>
              <w:t>4</w:t>
            </w:r>
          </w:p>
        </w:tc>
        <w:tc>
          <w:tcPr>
            <w:tcW w:w="500" w:type="dxa"/>
            <w:vAlign w:val="bottom"/>
          </w:tcPr>
          <w:p>
            <w:pPr>
              <w:jc w:val="right"/>
              <w:spacing w:after="0"/>
              <w:rPr>
                <w:sz w:val="20"/>
                <w:szCs w:val="20"/>
                <w:color w:val="auto"/>
              </w:rPr>
            </w:pPr>
            <w:r>
              <w:rPr>
                <w:rFonts w:ascii="Arial" w:cs="Arial" w:eastAsia="Arial" w:hAnsi="Arial"/>
                <w:sz w:val="16"/>
                <w:szCs w:val="16"/>
                <w:color w:val="auto"/>
              </w:rPr>
              <w:t>4  </w:t>
            </w:r>
          </w:p>
        </w:tc>
      </w:tr>
      <w:tr>
        <w:trPr>
          <w:trHeight w:val="186"/>
        </w:trPr>
        <w:tc>
          <w:tcPr>
            <w:tcW w:w="3880" w:type="dxa"/>
            <w:vAlign w:val="bottom"/>
          </w:tcPr>
          <w:p>
            <w:pPr>
              <w:spacing w:after="0"/>
              <w:rPr>
                <w:sz w:val="20"/>
                <w:szCs w:val="20"/>
                <w:color w:val="auto"/>
              </w:rPr>
            </w:pPr>
            <w:r>
              <w:rPr>
                <w:rFonts w:ascii="Arial" w:cs="Arial" w:eastAsia="Arial" w:hAnsi="Arial"/>
                <w:sz w:val="16"/>
                <w:szCs w:val="16"/>
                <w:color w:val="auto"/>
              </w:rPr>
              <w:t> Benefits paid</w:t>
            </w:r>
          </w:p>
        </w:tc>
        <w:tc>
          <w:tcPr>
            <w:tcW w:w="760" w:type="dxa"/>
            <w:vAlign w:val="bottom"/>
          </w:tcPr>
          <w:p>
            <w:pPr>
              <w:jc w:val="right"/>
              <w:ind w:right="41"/>
              <w:spacing w:after="0"/>
              <w:rPr>
                <w:sz w:val="20"/>
                <w:szCs w:val="20"/>
                <w:color w:val="auto"/>
              </w:rPr>
            </w:pPr>
            <w:r>
              <w:rPr>
                <w:rFonts w:ascii="Arial" w:cs="Arial" w:eastAsia="Arial" w:hAnsi="Arial"/>
                <w:sz w:val="16"/>
                <w:szCs w:val="16"/>
                <w:b w:val="1"/>
                <w:bCs w:val="1"/>
                <w:color w:val="auto"/>
              </w:rPr>
              <w:t>(159)</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(142)</w:t>
            </w:r>
          </w:p>
        </w:tc>
        <w:tc>
          <w:tcPr>
            <w:tcW w:w="740" w:type="dxa"/>
            <w:vAlign w:val="bottom"/>
          </w:tcPr>
          <w:p>
            <w:pPr>
              <w:jc w:val="right"/>
              <w:ind w:right="41"/>
              <w:spacing w:after="0"/>
              <w:rPr>
                <w:sz w:val="20"/>
                <w:szCs w:val="20"/>
                <w:color w:val="auto"/>
              </w:rPr>
            </w:pPr>
            <w:r>
              <w:rPr>
                <w:rFonts w:ascii="Arial" w:cs="Arial" w:eastAsia="Arial" w:hAnsi="Arial"/>
                <w:sz w:val="16"/>
                <w:szCs w:val="16"/>
                <w:b w:val="1"/>
                <w:bCs w:val="1"/>
                <w:color w:val="auto"/>
              </w:rPr>
              <w:t>(22)</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980" w:type="dxa"/>
            <w:vAlign w:val="bottom"/>
          </w:tcPr>
          <w:p>
            <w:pPr>
              <w:jc w:val="right"/>
              <w:ind w:right="281"/>
              <w:spacing w:after="0"/>
              <w:rPr>
                <w:sz w:val="20"/>
                <w:szCs w:val="20"/>
                <w:color w:val="auto"/>
              </w:rPr>
            </w:pPr>
            <w:r>
              <w:rPr>
                <w:rFonts w:ascii="Arial" w:cs="Arial" w:eastAsia="Arial" w:hAnsi="Arial"/>
                <w:sz w:val="16"/>
                <w:szCs w:val="16"/>
                <w:b w:val="1"/>
                <w:bCs w:val="1"/>
                <w:color w:val="auto"/>
              </w:rPr>
              <w:t>(9)</w:t>
            </w:r>
          </w:p>
        </w:tc>
        <w:tc>
          <w:tcPr>
            <w:tcW w:w="480" w:type="dxa"/>
            <w:vAlign w:val="bottom"/>
          </w:tcPr>
          <w:p>
            <w:pPr>
              <w:jc w:val="right"/>
              <w:ind w:right="21"/>
              <w:spacing w:after="0"/>
              <w:rPr>
                <w:sz w:val="20"/>
                <w:szCs w:val="20"/>
                <w:color w:val="auto"/>
              </w:rPr>
            </w:pPr>
            <w:r>
              <w:rPr>
                <w:rFonts w:ascii="Arial" w:cs="Arial" w:eastAsia="Arial" w:hAnsi="Arial"/>
                <w:sz w:val="16"/>
                <w:szCs w:val="16"/>
                <w:color w:val="auto"/>
              </w:rPr>
              <w:t>(6)</w:t>
            </w:r>
          </w:p>
        </w:tc>
        <w:tc>
          <w:tcPr>
            <w:tcW w:w="940" w:type="dxa"/>
            <w:vAlign w:val="bottom"/>
          </w:tcPr>
          <w:p>
            <w:pPr>
              <w:jc w:val="right"/>
              <w:ind w:right="241"/>
              <w:spacing w:after="0"/>
              <w:rPr>
                <w:sz w:val="20"/>
                <w:szCs w:val="20"/>
                <w:color w:val="auto"/>
              </w:rPr>
            </w:pPr>
            <w:r>
              <w:rPr>
                <w:rFonts w:ascii="Arial" w:cs="Arial" w:eastAsia="Arial" w:hAnsi="Arial"/>
                <w:sz w:val="16"/>
                <w:szCs w:val="16"/>
                <w:b w:val="1"/>
                <w:bCs w:val="1"/>
                <w:color w:val="auto"/>
              </w:rPr>
              <w:t>(190)</w:t>
            </w:r>
          </w:p>
        </w:tc>
        <w:tc>
          <w:tcPr>
            <w:tcW w:w="500" w:type="dxa"/>
            <w:vAlign w:val="bottom"/>
          </w:tcPr>
          <w:p>
            <w:pPr>
              <w:jc w:val="right"/>
              <w:spacing w:after="0"/>
              <w:rPr>
                <w:sz w:val="20"/>
                <w:szCs w:val="20"/>
                <w:color w:val="auto"/>
              </w:rPr>
            </w:pPr>
            <w:r>
              <w:rPr>
                <w:rFonts w:ascii="Arial" w:cs="Arial" w:eastAsia="Arial" w:hAnsi="Arial"/>
                <w:sz w:val="16"/>
                <w:szCs w:val="16"/>
                <w:color w:val="auto"/>
              </w:rPr>
              <w:t>(170)  </w:t>
            </w:r>
          </w:p>
        </w:tc>
      </w:tr>
      <w:tr>
        <w:trPr>
          <w:trHeight w:val="186"/>
        </w:trPr>
        <w:tc>
          <w:tcPr>
            <w:tcW w:w="3880" w:type="dxa"/>
            <w:vAlign w:val="bottom"/>
          </w:tcPr>
          <w:p>
            <w:pPr>
              <w:spacing w:after="0"/>
              <w:rPr>
                <w:sz w:val="20"/>
                <w:szCs w:val="20"/>
                <w:color w:val="auto"/>
              </w:rPr>
            </w:pPr>
            <w:r>
              <w:rPr>
                <w:rFonts w:ascii="Arial" w:cs="Arial" w:eastAsia="Arial" w:hAnsi="Arial"/>
                <w:sz w:val="16"/>
                <w:szCs w:val="16"/>
                <w:color w:val="auto"/>
              </w:rPr>
              <w:t> Administration fees disbursements</w:t>
            </w:r>
          </w:p>
        </w:tc>
        <w:tc>
          <w:tcPr>
            <w:tcW w:w="760" w:type="dxa"/>
            <w:vAlign w:val="bottom"/>
          </w:tcPr>
          <w:p>
            <w:pPr>
              <w:jc w:val="right"/>
              <w:ind w:right="41"/>
              <w:spacing w:after="0"/>
              <w:rPr>
                <w:sz w:val="20"/>
                <w:szCs w:val="20"/>
                <w:color w:val="auto"/>
              </w:rPr>
            </w:pPr>
            <w:r>
              <w:rPr>
                <w:rFonts w:ascii="Arial" w:cs="Arial" w:eastAsia="Arial" w:hAnsi="Arial"/>
                <w:sz w:val="16"/>
                <w:szCs w:val="16"/>
                <w:b w:val="1"/>
                <w:bCs w:val="1"/>
                <w:color w:val="auto"/>
              </w:rPr>
              <w:t>(15)</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(15)</w:t>
            </w:r>
          </w:p>
        </w:tc>
        <w:tc>
          <w:tcPr>
            <w:tcW w:w="7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81"/>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41"/>
              <w:spacing w:after="0"/>
              <w:rPr>
                <w:sz w:val="20"/>
                <w:szCs w:val="20"/>
                <w:color w:val="auto"/>
              </w:rPr>
            </w:pPr>
            <w:r>
              <w:rPr>
                <w:rFonts w:ascii="Arial" w:cs="Arial" w:eastAsia="Arial" w:hAnsi="Arial"/>
                <w:sz w:val="16"/>
                <w:szCs w:val="16"/>
                <w:b w:val="1"/>
                <w:bCs w:val="1"/>
                <w:color w:val="auto"/>
              </w:rPr>
              <w:t>(15)</w:t>
            </w:r>
          </w:p>
        </w:tc>
        <w:tc>
          <w:tcPr>
            <w:tcW w:w="50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200"/>
        </w:trPr>
        <w:tc>
          <w:tcPr>
            <w:tcW w:w="388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Exchange differences</w:t>
            </w:r>
          </w:p>
        </w:tc>
        <w:tc>
          <w:tcPr>
            <w:tcW w:w="76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b w:val="1"/>
                <w:bCs w:val="1"/>
                <w:color w:val="auto"/>
              </w:rPr>
              <w:t>(21)</w:t>
            </w:r>
          </w:p>
        </w:tc>
        <w:tc>
          <w:tcPr>
            <w:tcW w:w="72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46</w:t>
            </w:r>
          </w:p>
        </w:tc>
        <w:tc>
          <w:tcPr>
            <w:tcW w:w="74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B2B2B2"/>
            </w:tcBorders>
          </w:tcPr>
          <w:p>
            <w:pPr>
              <w:jc w:val="right"/>
              <w:ind w:right="281"/>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B2B2B2"/>
            </w:tcBorders>
          </w:tcPr>
          <w:p>
            <w:pPr>
              <w:jc w:val="right"/>
              <w:ind w:right="2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B2B2B2"/>
            </w:tcBorders>
          </w:tcPr>
          <w:p>
            <w:pPr>
              <w:jc w:val="right"/>
              <w:ind w:right="241"/>
              <w:spacing w:after="0"/>
              <w:rPr>
                <w:sz w:val="20"/>
                <w:szCs w:val="20"/>
                <w:color w:val="auto"/>
              </w:rPr>
            </w:pPr>
            <w:r>
              <w:rPr>
                <w:rFonts w:ascii="Arial" w:cs="Arial" w:eastAsia="Arial" w:hAnsi="Arial"/>
                <w:sz w:val="16"/>
                <w:szCs w:val="16"/>
                <w:b w:val="1"/>
                <w:bCs w:val="1"/>
                <w:color w:val="auto"/>
              </w:rPr>
              <w:t>(21)</w:t>
            </w:r>
          </w:p>
        </w:tc>
        <w:tc>
          <w:tcPr>
            <w:tcW w:w="5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46  </w:t>
            </w:r>
          </w:p>
        </w:tc>
      </w:tr>
      <w:tr>
        <w:trPr>
          <w:trHeight w:val="185"/>
        </w:trPr>
        <w:tc>
          <w:tcPr>
            <w:tcW w:w="388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b w:val="1"/>
                <w:bCs w:val="1"/>
                <w:color w:val="auto"/>
              </w:rPr>
              <w:t> Closing fair value of plan assets</w:t>
            </w:r>
          </w:p>
        </w:tc>
        <w:tc>
          <w:tcPr>
            <w:tcW w:w="760" w:type="dxa"/>
            <w:vAlign w:val="bottom"/>
            <w:tcBorders>
              <w:bottom w:val="single" w:sz="8" w:color="D64000"/>
            </w:tcBorders>
          </w:tcPr>
          <w:p>
            <w:pPr>
              <w:jc w:val="right"/>
              <w:ind w:right="41"/>
              <w:spacing w:after="0" w:line="179" w:lineRule="exact"/>
              <w:rPr>
                <w:sz w:val="20"/>
                <w:szCs w:val="20"/>
                <w:color w:val="auto"/>
              </w:rPr>
            </w:pPr>
            <w:r>
              <w:rPr>
                <w:rFonts w:ascii="Arial" w:cs="Arial" w:eastAsia="Arial" w:hAnsi="Arial"/>
                <w:sz w:val="16"/>
                <w:szCs w:val="16"/>
                <w:b w:val="1"/>
                <w:bCs w:val="1"/>
                <w:color w:val="auto"/>
              </w:rPr>
              <w:t>2,174</w:t>
            </w:r>
          </w:p>
        </w:tc>
        <w:tc>
          <w:tcPr>
            <w:tcW w:w="720" w:type="dxa"/>
            <w:vAlign w:val="bottom"/>
            <w:tcBorders>
              <w:bottom w:val="single" w:sz="8" w:color="D64000"/>
            </w:tcBorders>
          </w:tcPr>
          <w:p>
            <w:pPr>
              <w:jc w:val="right"/>
              <w:ind w:right="21"/>
              <w:spacing w:after="0" w:line="179" w:lineRule="exact"/>
              <w:rPr>
                <w:sz w:val="20"/>
                <w:szCs w:val="20"/>
                <w:color w:val="auto"/>
              </w:rPr>
            </w:pPr>
            <w:r>
              <w:rPr>
                <w:rFonts w:ascii="Arial" w:cs="Arial" w:eastAsia="Arial" w:hAnsi="Arial"/>
                <w:sz w:val="16"/>
                <w:szCs w:val="16"/>
                <w:color w:val="auto"/>
              </w:rPr>
              <w:t>2,421</w:t>
            </w:r>
          </w:p>
        </w:tc>
        <w:tc>
          <w:tcPr>
            <w:tcW w:w="740" w:type="dxa"/>
            <w:vAlign w:val="bottom"/>
            <w:tcBorders>
              <w:bottom w:val="single" w:sz="8" w:color="D64000"/>
            </w:tcBorders>
          </w:tcPr>
          <w:p>
            <w:pPr>
              <w:jc w:val="right"/>
              <w:ind w:right="41"/>
              <w:spacing w:after="0" w:line="179" w:lineRule="exact"/>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D64000"/>
            </w:tcBorders>
          </w:tcPr>
          <w:p>
            <w:pPr>
              <w:jc w:val="right"/>
              <w:ind w:right="21"/>
              <w:spacing w:after="0" w:line="179"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D64000"/>
            </w:tcBorders>
          </w:tcPr>
          <w:p>
            <w:pPr>
              <w:jc w:val="right"/>
              <w:ind w:right="281"/>
              <w:spacing w:after="0" w:line="179" w:lineRule="exact"/>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D64000"/>
            </w:tcBorders>
          </w:tcPr>
          <w:p>
            <w:pPr>
              <w:jc w:val="right"/>
              <w:ind w:right="21"/>
              <w:spacing w:after="0" w:line="179"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D64000"/>
            </w:tcBorders>
          </w:tcPr>
          <w:p>
            <w:pPr>
              <w:jc w:val="right"/>
              <w:ind w:right="241"/>
              <w:spacing w:after="0" w:line="179" w:lineRule="exact"/>
              <w:rPr>
                <w:sz w:val="20"/>
                <w:szCs w:val="20"/>
                <w:color w:val="auto"/>
              </w:rPr>
            </w:pPr>
            <w:r>
              <w:rPr>
                <w:rFonts w:ascii="Arial" w:cs="Arial" w:eastAsia="Arial" w:hAnsi="Arial"/>
                <w:sz w:val="16"/>
                <w:szCs w:val="16"/>
                <w:b w:val="1"/>
                <w:bCs w:val="1"/>
                <w:color w:val="auto"/>
              </w:rPr>
              <w:t>2,174</w:t>
            </w:r>
          </w:p>
        </w:tc>
        <w:tc>
          <w:tcPr>
            <w:tcW w:w="50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2,421  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-1345565</wp:posOffset>
            </wp:positionV>
            <wp:extent cx="617537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90" w:lineRule="exact"/>
        <w:rPr>
          <w:sz w:val="20"/>
          <w:szCs w:val="20"/>
          <w:color w:val="auto"/>
        </w:rPr>
      </w:pPr>
    </w:p>
    <w:p>
      <w:pPr>
        <w:ind w:left="640" w:hanging="422"/>
        <w:spacing w:after="0"/>
        <w:tabs>
          <w:tab w:leader="none" w:pos="6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Interest income is calculated using the discount rate for the period.</w:t>
      </w:r>
    </w:p>
    <w:p>
      <w:pPr>
        <w:spacing w:after="0" w:line="12" w:lineRule="exact"/>
        <w:rPr>
          <w:rFonts w:ascii="Arial" w:cs="Arial" w:eastAsia="Arial" w:hAnsi="Arial"/>
          <w:sz w:val="14"/>
          <w:szCs w:val="14"/>
          <w:color w:val="auto"/>
        </w:rPr>
      </w:pPr>
    </w:p>
    <w:p>
      <w:pPr>
        <w:ind w:left="640" w:hanging="422"/>
        <w:spacing w:after="0"/>
        <w:tabs>
          <w:tab w:leader="none" w:pos="6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Return on plan assets represents the difference between the actual return on plan assets and the interest income computed using the discount rate.</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Investment policy of funded plans</w:t>
      </w:r>
    </w:p>
    <w:p>
      <w:pPr>
        <w:spacing w:after="0" w:line="6" w:lineRule="exact"/>
        <w:rPr>
          <w:sz w:val="20"/>
          <w:szCs w:val="20"/>
          <w:color w:val="auto"/>
        </w:rPr>
      </w:pPr>
    </w:p>
    <w:p>
      <w:pPr>
        <w:ind w:left="220" w:right="320"/>
        <w:spacing w:after="0"/>
        <w:rPr>
          <w:sz w:val="20"/>
          <w:szCs w:val="20"/>
          <w:color w:val="auto"/>
        </w:rPr>
      </w:pPr>
      <w:r>
        <w:rPr>
          <w:rFonts w:ascii="Arial" w:cs="Arial" w:eastAsia="Arial" w:hAnsi="Arial"/>
          <w:sz w:val="17"/>
          <w:szCs w:val="17"/>
          <w:color w:val="auto"/>
        </w:rPr>
        <w:t>Plan assets are invested to adequately secure benefits and to minimize the Company’s long-term contributions to the plans. However, specific investment allocations will vary across plans. The Company funds unfunded and OPEB plans as claims are made.</w:t>
      </w:r>
    </w:p>
    <w:p>
      <w:pPr>
        <w:spacing w:after="0" w:line="57" w:lineRule="exact"/>
        <w:rPr>
          <w:sz w:val="20"/>
          <w:szCs w:val="20"/>
          <w:color w:val="auto"/>
        </w:rPr>
      </w:pPr>
    </w:p>
    <w:p>
      <w:pPr>
        <w:ind w:left="220" w:right="20"/>
        <w:spacing w:after="0" w:line="236" w:lineRule="auto"/>
        <w:rPr>
          <w:sz w:val="20"/>
          <w:szCs w:val="20"/>
          <w:color w:val="auto"/>
        </w:rPr>
      </w:pPr>
      <w:r>
        <w:rPr>
          <w:rFonts w:ascii="Arial" w:cs="Arial" w:eastAsia="Arial" w:hAnsi="Arial"/>
          <w:sz w:val="17"/>
          <w:szCs w:val="17"/>
          <w:color w:val="auto"/>
        </w:rPr>
        <w:t>Plan fiduciaries, comprised of the Company, plan trustees, or third-party investment advisors selected by the Company set investment policies and strategies for each funded plan and oversee investment allocation, which includes selecting investment managers, commissioning periodic asset-liability studies and setting long-term strategic targets. Investment allocation considers various factors including the funded status of the plan, a balance between risk and return, the plan’s liquidity needs, current and expected economic and market conditions, specific asset class risk as well as the risk profile and maturity pattern of the respective plan.</w:t>
      </w:r>
    </w:p>
    <w:p>
      <w:pPr>
        <w:spacing w:after="0" w:line="59" w:lineRule="exact"/>
        <w:rPr>
          <w:sz w:val="20"/>
          <w:szCs w:val="20"/>
          <w:color w:val="auto"/>
        </w:rPr>
      </w:pPr>
    </w:p>
    <w:p>
      <w:pPr>
        <w:ind w:left="220" w:right="40"/>
        <w:spacing w:after="0" w:line="258" w:lineRule="auto"/>
        <w:rPr>
          <w:sz w:val="20"/>
          <w:szCs w:val="20"/>
          <w:color w:val="auto"/>
        </w:rPr>
      </w:pPr>
      <w:r>
        <w:rPr>
          <w:rFonts w:ascii="Arial" w:cs="Arial" w:eastAsia="Arial" w:hAnsi="Arial"/>
          <w:sz w:val="16"/>
          <w:szCs w:val="16"/>
          <w:color w:val="auto"/>
        </w:rPr>
        <w:t>Target investment allocation ranges are guidelines, not limitations. Funded plans may have broadly diversified portfolios with investments in equities, fixed income, real estate, insurance contracts, derivatives and other asset classes through direct ownership or through other instruments such as mutual funds, commingled funds and hedge funds. Derivatives, repurchase agreements and other financial instruments may also be used to achieve investment objectives or as a component of risk management such as for interest rate and currency management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83820</wp:posOffset>
            </wp:positionV>
            <wp:extent cx="686562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0" w:lineRule="exact"/>
        <w:rPr>
          <w:sz w:val="20"/>
          <w:szCs w:val="20"/>
          <w:color w:val="auto"/>
        </w:rPr>
      </w:pPr>
    </w:p>
    <w:p>
      <w:pPr>
        <w:ind w:left="220"/>
        <w:spacing w:after="0"/>
        <w:tabs>
          <w:tab w:leader="none" w:pos="1030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6"/>
          <w:szCs w:val="16"/>
          <w:color w:val="auto"/>
        </w:rPr>
        <w:t>Page 131</w:t>
      </w:r>
    </w:p>
    <w:p>
      <w:pPr>
        <w:sectPr>
          <w:pgSz w:w="11900" w:h="16838" w:orient="portrait"/>
          <w:cols w:equalWidth="0" w:num="1">
            <w:col w:w="11040"/>
          </w:cols>
          <w:pgMar w:left="320" w:top="477" w:right="539"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 aggregate, the major categories of plan assets for funded plans were as follows:</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218"/>
        </w:trPr>
        <w:tc>
          <w:tcPr>
            <w:tcW w:w="3720" w:type="dxa"/>
            <w:vAlign w:val="bottom"/>
            <w:shd w:val="clear" w:color="auto" w:fill="1F473D"/>
          </w:tcPr>
          <w:p>
            <w:pPr>
              <w:spacing w:after="0"/>
              <w:rPr>
                <w:sz w:val="18"/>
                <w:szCs w:val="18"/>
                <w:color w:val="auto"/>
              </w:rPr>
            </w:pPr>
          </w:p>
        </w:tc>
        <w:tc>
          <w:tcPr>
            <w:tcW w:w="3060" w:type="dxa"/>
            <w:vAlign w:val="bottom"/>
            <w:gridSpan w:val="2"/>
            <w:shd w:val="clear" w:color="auto" w:fill="1F473D"/>
          </w:tcPr>
          <w:p>
            <w:pPr>
              <w:jc w:val="right"/>
              <w:ind w:right="341"/>
              <w:spacing w:after="0"/>
              <w:rPr>
                <w:sz w:val="20"/>
                <w:szCs w:val="20"/>
                <w:color w:val="auto"/>
              </w:rPr>
            </w:pPr>
            <w:r>
              <w:rPr>
                <w:rFonts w:ascii="Arial" w:cs="Arial" w:eastAsia="Arial" w:hAnsi="Arial"/>
                <w:sz w:val="16"/>
                <w:szCs w:val="16"/>
                <w:b w:val="1"/>
                <w:bCs w:val="1"/>
                <w:color w:val="FFFFFF"/>
              </w:rPr>
              <w:t>Quoted</w:t>
            </w:r>
            <w:r>
              <w:rPr>
                <w:rFonts w:ascii="Arial" w:cs="Arial" w:eastAsia="Arial" w:hAnsi="Arial"/>
                <w:sz w:val="19"/>
                <w:szCs w:val="19"/>
                <w:b w:val="1"/>
                <w:bCs w:val="1"/>
                <w:color w:val="FFFFFF"/>
                <w:vertAlign w:val="superscript"/>
              </w:rPr>
              <w:t>(1)</w:t>
            </w:r>
          </w:p>
        </w:tc>
        <w:tc>
          <w:tcPr>
            <w:tcW w:w="1500" w:type="dxa"/>
            <w:vAlign w:val="bottom"/>
            <w:gridSpan w:val="2"/>
            <w:shd w:val="clear" w:color="auto" w:fill="1F473D"/>
          </w:tcPr>
          <w:p>
            <w:pPr>
              <w:jc w:val="right"/>
              <w:ind w:right="301"/>
              <w:spacing w:after="0"/>
              <w:rPr>
                <w:sz w:val="20"/>
                <w:szCs w:val="20"/>
                <w:color w:val="auto"/>
              </w:rPr>
            </w:pPr>
            <w:r>
              <w:rPr>
                <w:rFonts w:ascii="Arial" w:cs="Arial" w:eastAsia="Arial" w:hAnsi="Arial"/>
                <w:sz w:val="16"/>
                <w:szCs w:val="16"/>
                <w:b w:val="1"/>
                <w:bCs w:val="1"/>
                <w:color w:val="FFFFFF"/>
              </w:rPr>
              <w:t>Unquoted</w:t>
            </w:r>
          </w:p>
        </w:tc>
        <w:tc>
          <w:tcPr>
            <w:tcW w:w="960" w:type="dxa"/>
            <w:vAlign w:val="bottom"/>
            <w:shd w:val="clear" w:color="auto" w:fill="1F473D"/>
          </w:tcPr>
          <w:p>
            <w:pPr>
              <w:jc w:val="right"/>
              <w:spacing w:after="0"/>
              <w:rPr>
                <w:sz w:val="20"/>
                <w:szCs w:val="20"/>
                <w:color w:val="auto"/>
              </w:rPr>
            </w:pPr>
            <w:r>
              <w:rPr>
                <w:rFonts w:ascii="Arial" w:cs="Arial" w:eastAsia="Arial" w:hAnsi="Arial"/>
                <w:sz w:val="16"/>
                <w:szCs w:val="16"/>
                <w:b w:val="1"/>
                <w:bCs w:val="1"/>
                <w:color w:val="FFFFFF"/>
              </w:rPr>
              <w:t>Total</w:t>
            </w:r>
          </w:p>
        </w:tc>
        <w:tc>
          <w:tcPr>
            <w:tcW w:w="480" w:type="dxa"/>
            <w:vAlign w:val="bottom"/>
            <w:shd w:val="clear" w:color="auto" w:fill="1F473D"/>
          </w:tcPr>
          <w:p>
            <w:pPr>
              <w:spacing w:after="0"/>
              <w:rPr>
                <w:sz w:val="18"/>
                <w:szCs w:val="18"/>
                <w:color w:val="auto"/>
              </w:rPr>
            </w:pPr>
          </w:p>
        </w:tc>
      </w:tr>
      <w:tr>
        <w:trPr>
          <w:trHeight w:val="192"/>
        </w:trPr>
        <w:tc>
          <w:tcPr>
            <w:tcW w:w="3720" w:type="dxa"/>
            <w:vAlign w:val="bottom"/>
            <w:tcBorders>
              <w:bottom w:val="single" w:sz="8" w:color="D64000"/>
            </w:tcBorders>
            <w:shd w:val="clear" w:color="auto" w:fill="E3F3EE"/>
          </w:tcPr>
          <w:p>
            <w:pPr>
              <w:spacing w:after="0"/>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color w:val="auto"/>
              </w:rPr>
              <w:t>As of December 31,</w:t>
            </w:r>
          </w:p>
        </w:tc>
        <w:tc>
          <w:tcPr>
            <w:tcW w:w="2300" w:type="dxa"/>
            <w:vAlign w:val="bottom"/>
            <w:tcBorders>
              <w:bottom w:val="single" w:sz="8" w:color="D64000"/>
            </w:tcBorders>
            <w:shd w:val="clear" w:color="auto" w:fill="E3F3EE"/>
          </w:tcPr>
          <w:p>
            <w:pPr>
              <w:jc w:val="right"/>
              <w:ind w:right="41"/>
              <w:spacing w:after="0"/>
              <w:rPr>
                <w:sz w:val="20"/>
                <w:szCs w:val="20"/>
                <w:color w:val="auto"/>
              </w:rPr>
            </w:pPr>
            <w:r>
              <w:rPr>
                <w:rFonts w:ascii="Arial" w:cs="Arial" w:eastAsia="Arial" w:hAnsi="Arial"/>
                <w:sz w:val="16"/>
                <w:szCs w:val="16"/>
                <w:b w:val="1"/>
                <w:bCs w:val="1"/>
                <w:color w:val="auto"/>
              </w:rPr>
              <w:t>   2024</w:t>
            </w:r>
          </w:p>
        </w:tc>
        <w:tc>
          <w:tcPr>
            <w:tcW w:w="760" w:type="dxa"/>
            <w:vAlign w:val="bottom"/>
            <w:tcBorders>
              <w:bottom w:val="single" w:sz="8" w:color="D64000"/>
            </w:tcBorders>
            <w:shd w:val="clear" w:color="auto" w:fill="E3F3EE"/>
          </w:tcPr>
          <w:p>
            <w:pPr>
              <w:jc w:val="right"/>
              <w:ind w:right="61"/>
              <w:spacing w:after="0"/>
              <w:rPr>
                <w:sz w:val="20"/>
                <w:szCs w:val="20"/>
                <w:color w:val="auto"/>
              </w:rPr>
            </w:pPr>
            <w:r>
              <w:rPr>
                <w:rFonts w:ascii="Arial" w:cs="Arial" w:eastAsia="Arial" w:hAnsi="Arial"/>
                <w:sz w:val="16"/>
                <w:szCs w:val="16"/>
                <w:color w:val="auto"/>
                <w:w w:val="99"/>
              </w:rPr>
              <w:t>   2023</w:t>
            </w:r>
          </w:p>
        </w:tc>
        <w:tc>
          <w:tcPr>
            <w:tcW w:w="740" w:type="dxa"/>
            <w:vAlign w:val="bottom"/>
            <w:tcBorders>
              <w:bottom w:val="single" w:sz="8" w:color="D64000"/>
            </w:tcBorders>
            <w:shd w:val="clear" w:color="auto" w:fill="E3F3EE"/>
          </w:tcPr>
          <w:p>
            <w:pPr>
              <w:jc w:val="right"/>
              <w:ind w:right="41"/>
              <w:spacing w:after="0"/>
              <w:rPr>
                <w:sz w:val="20"/>
                <w:szCs w:val="20"/>
                <w:color w:val="auto"/>
              </w:rPr>
            </w:pPr>
            <w:r>
              <w:rPr>
                <w:rFonts w:ascii="Arial" w:cs="Arial" w:eastAsia="Arial" w:hAnsi="Arial"/>
                <w:sz w:val="16"/>
                <w:szCs w:val="16"/>
                <w:b w:val="1"/>
                <w:bCs w:val="1"/>
                <w:color w:val="auto"/>
                <w:w w:val="99"/>
              </w:rPr>
              <w:t>   2024</w:t>
            </w:r>
          </w:p>
        </w:tc>
        <w:tc>
          <w:tcPr>
            <w:tcW w:w="760" w:type="dxa"/>
            <w:vAlign w:val="bottom"/>
            <w:tcBorders>
              <w:bottom w:val="single" w:sz="8" w:color="D64000"/>
            </w:tcBorders>
            <w:shd w:val="clear" w:color="auto" w:fill="E3F3EE"/>
          </w:tcPr>
          <w:p>
            <w:pPr>
              <w:jc w:val="right"/>
              <w:ind w:right="41"/>
              <w:spacing w:after="0"/>
              <w:rPr>
                <w:sz w:val="20"/>
                <w:szCs w:val="20"/>
                <w:color w:val="auto"/>
              </w:rPr>
            </w:pPr>
            <w:r>
              <w:rPr>
                <w:rFonts w:ascii="Arial" w:cs="Arial" w:eastAsia="Arial" w:hAnsi="Arial"/>
                <w:sz w:val="16"/>
                <w:szCs w:val="16"/>
                <w:color w:val="auto"/>
              </w:rPr>
              <w:t>   2023</w:t>
            </w:r>
          </w:p>
        </w:tc>
        <w:tc>
          <w:tcPr>
            <w:tcW w:w="960" w:type="dxa"/>
            <w:vAlign w:val="bottom"/>
            <w:tcBorders>
              <w:bottom w:val="single" w:sz="8" w:color="D64000"/>
            </w:tcBorders>
            <w:shd w:val="clear" w:color="auto" w:fill="E3F3EE"/>
          </w:tcPr>
          <w:p>
            <w:pPr>
              <w:jc w:val="right"/>
              <w:spacing w:after="0"/>
              <w:rPr>
                <w:sz w:val="20"/>
                <w:szCs w:val="20"/>
                <w:color w:val="auto"/>
              </w:rPr>
            </w:pPr>
            <w:r>
              <w:rPr>
                <w:rFonts w:ascii="Arial" w:cs="Arial" w:eastAsia="Arial" w:hAnsi="Arial"/>
                <w:sz w:val="16"/>
                <w:szCs w:val="16"/>
                <w:b w:val="1"/>
                <w:bCs w:val="1"/>
                <w:color w:val="auto"/>
              </w:rPr>
              <w:t xml:space="preserve">   2024   </w:t>
            </w:r>
            <w:r>
              <w:rPr>
                <w:rFonts w:ascii="Arial" w:cs="Arial" w:eastAsia="Arial" w:hAnsi="Arial"/>
                <w:sz w:val="16"/>
                <w:szCs w:val="16"/>
                <w:color w:val="auto"/>
              </w:rPr>
              <w:t xml:space="preserve"> </w:t>
            </w:r>
          </w:p>
        </w:tc>
        <w:tc>
          <w:tcPr>
            <w:tcW w:w="480" w:type="dxa"/>
            <w:vAlign w:val="bottom"/>
            <w:tcBorders>
              <w:bottom w:val="single" w:sz="8" w:color="D64000"/>
            </w:tcBorders>
            <w:shd w:val="clear" w:color="auto" w:fill="E3F3EE"/>
          </w:tcPr>
          <w:p>
            <w:pPr>
              <w:jc w:val="right"/>
              <w:spacing w:after="0"/>
              <w:rPr>
                <w:sz w:val="20"/>
                <w:szCs w:val="20"/>
                <w:color w:val="auto"/>
              </w:rPr>
            </w:pPr>
            <w:r>
              <w:rPr>
                <w:rFonts w:ascii="Arial" w:cs="Arial" w:eastAsia="Arial" w:hAnsi="Arial"/>
                <w:sz w:val="16"/>
                <w:szCs w:val="16"/>
                <w:color w:val="auto"/>
              </w:rPr>
              <w:t>2023</w:t>
            </w:r>
          </w:p>
        </w:tc>
      </w:tr>
      <w:tr>
        <w:trPr>
          <w:trHeight w:val="185"/>
        </w:trPr>
        <w:tc>
          <w:tcPr>
            <w:tcW w:w="3720" w:type="dxa"/>
            <w:vAlign w:val="bottom"/>
            <w:tcBorders>
              <w:bottom w:val="single" w:sz="8" w:color="B2B2B2"/>
            </w:tcBorders>
          </w:tcPr>
          <w:p>
            <w:pPr>
              <w:spacing w:after="0" w:line="185" w:lineRule="exact"/>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color w:val="auto"/>
              </w:rPr>
              <w:t>Equities</w:t>
            </w:r>
            <w:r>
              <w:rPr>
                <w:rFonts w:ascii="Arial" w:cs="Arial" w:eastAsia="Arial" w:hAnsi="Arial"/>
                <w:sz w:val="19"/>
                <w:szCs w:val="19"/>
                <w:b w:val="1"/>
                <w:bCs w:val="1"/>
                <w:color w:val="auto"/>
                <w:vertAlign w:val="superscript"/>
              </w:rPr>
              <w:t>(2)</w:t>
            </w:r>
          </w:p>
        </w:tc>
        <w:tc>
          <w:tcPr>
            <w:tcW w:w="230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b w:val="1"/>
                <w:bCs w:val="1"/>
                <w:color w:val="auto"/>
              </w:rPr>
              <w:t>1</w:t>
            </w:r>
          </w:p>
        </w:tc>
        <w:tc>
          <w:tcPr>
            <w:tcW w:w="760" w:type="dxa"/>
            <w:vAlign w:val="bottom"/>
            <w:tcBorders>
              <w:bottom w:val="single" w:sz="8" w:color="B2B2B2"/>
            </w:tcBorders>
          </w:tcPr>
          <w:p>
            <w:pPr>
              <w:jc w:val="right"/>
              <w:ind w:right="61"/>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b w:val="1"/>
                <w:bCs w:val="1"/>
                <w:color w:val="auto"/>
              </w:rPr>
              <w:t>522</w:t>
            </w:r>
          </w:p>
        </w:tc>
        <w:tc>
          <w:tcPr>
            <w:tcW w:w="76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507</w:t>
            </w:r>
          </w:p>
        </w:tc>
        <w:tc>
          <w:tcPr>
            <w:tcW w:w="960" w:type="dxa"/>
            <w:vAlign w:val="bottom"/>
            <w:tcBorders>
              <w:bottom w:val="single" w:sz="8" w:color="B2B2B2"/>
            </w:tcBorders>
          </w:tcPr>
          <w:p>
            <w:pPr>
              <w:jc w:val="right"/>
              <w:ind w:right="241"/>
              <w:spacing w:after="0"/>
              <w:rPr>
                <w:sz w:val="20"/>
                <w:szCs w:val="20"/>
                <w:color w:val="auto"/>
              </w:rPr>
            </w:pPr>
            <w:r>
              <w:rPr>
                <w:rFonts w:ascii="Arial" w:cs="Arial" w:eastAsia="Arial" w:hAnsi="Arial"/>
                <w:sz w:val="16"/>
                <w:szCs w:val="16"/>
                <w:b w:val="1"/>
                <w:bCs w:val="1"/>
                <w:color w:val="auto"/>
              </w:rPr>
              <w:t>523</w:t>
            </w: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507</w:t>
            </w:r>
          </w:p>
        </w:tc>
      </w:tr>
      <w:tr>
        <w:trPr>
          <w:trHeight w:val="165"/>
        </w:trPr>
        <w:tc>
          <w:tcPr>
            <w:tcW w:w="3720" w:type="dxa"/>
            <w:vAlign w:val="bottom"/>
          </w:tcPr>
          <w:p>
            <w:pPr>
              <w:spacing w:after="0" w:line="164" w:lineRule="exact"/>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color w:val="auto"/>
              </w:rPr>
              <w:t>Bonds</w:t>
            </w:r>
            <w:r>
              <w:rPr>
                <w:rFonts w:ascii="Arial" w:cs="Arial" w:eastAsia="Arial" w:hAnsi="Arial"/>
                <w:sz w:val="19"/>
                <w:szCs w:val="19"/>
                <w:b w:val="1"/>
                <w:bCs w:val="1"/>
                <w:color w:val="auto"/>
                <w:vertAlign w:val="superscript"/>
              </w:rPr>
              <w:t>(3)</w:t>
            </w:r>
          </w:p>
        </w:tc>
        <w:tc>
          <w:tcPr>
            <w:tcW w:w="2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85"/>
        </w:trPr>
        <w:tc>
          <w:tcPr>
            <w:tcW w:w="3720" w:type="dxa"/>
            <w:vAlign w:val="bottom"/>
          </w:tcPr>
          <w:p>
            <w:pPr>
              <w:ind w:left="180"/>
              <w:spacing w:after="0"/>
              <w:rPr>
                <w:sz w:val="20"/>
                <w:szCs w:val="20"/>
                <w:color w:val="auto"/>
              </w:rPr>
            </w:pPr>
            <w:r>
              <w:rPr>
                <w:rFonts w:ascii="Arial" w:cs="Arial" w:eastAsia="Arial" w:hAnsi="Arial"/>
                <w:sz w:val="16"/>
                <w:szCs w:val="16"/>
                <w:color w:val="auto"/>
              </w:rPr>
              <w:t>Corporate</w:t>
            </w:r>
          </w:p>
        </w:tc>
        <w:tc>
          <w:tcPr>
            <w:tcW w:w="23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1"/>
              <w:spacing w:after="0"/>
              <w:rPr>
                <w:sz w:val="20"/>
                <w:szCs w:val="20"/>
                <w:color w:val="auto"/>
              </w:rPr>
            </w:pPr>
            <w:r>
              <w:rPr>
                <w:rFonts w:ascii="Arial" w:cs="Arial" w:eastAsia="Arial" w:hAnsi="Arial"/>
                <w:sz w:val="16"/>
                <w:szCs w:val="16"/>
                <w:b w:val="1"/>
                <w:bCs w:val="1"/>
                <w:color w:val="auto"/>
              </w:rPr>
              <w:t>566</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575</w:t>
            </w:r>
          </w:p>
        </w:tc>
        <w:tc>
          <w:tcPr>
            <w:tcW w:w="960" w:type="dxa"/>
            <w:vAlign w:val="bottom"/>
          </w:tcPr>
          <w:p>
            <w:pPr>
              <w:jc w:val="right"/>
              <w:ind w:right="241"/>
              <w:spacing w:after="0"/>
              <w:rPr>
                <w:sz w:val="20"/>
                <w:szCs w:val="20"/>
                <w:color w:val="auto"/>
              </w:rPr>
            </w:pPr>
            <w:r>
              <w:rPr>
                <w:rFonts w:ascii="Arial" w:cs="Arial" w:eastAsia="Arial" w:hAnsi="Arial"/>
                <w:sz w:val="16"/>
                <w:szCs w:val="16"/>
                <w:b w:val="1"/>
                <w:bCs w:val="1"/>
                <w:color w:val="auto"/>
              </w:rPr>
              <w:t>566</w:t>
            </w:r>
          </w:p>
        </w:tc>
        <w:tc>
          <w:tcPr>
            <w:tcW w:w="480" w:type="dxa"/>
            <w:vAlign w:val="bottom"/>
          </w:tcPr>
          <w:p>
            <w:pPr>
              <w:jc w:val="right"/>
              <w:spacing w:after="0"/>
              <w:rPr>
                <w:sz w:val="20"/>
                <w:szCs w:val="20"/>
                <w:color w:val="auto"/>
              </w:rPr>
            </w:pPr>
            <w:r>
              <w:rPr>
                <w:rFonts w:ascii="Arial" w:cs="Arial" w:eastAsia="Arial" w:hAnsi="Arial"/>
                <w:sz w:val="16"/>
                <w:szCs w:val="16"/>
                <w:color w:val="auto"/>
              </w:rPr>
              <w:t>575</w:t>
            </w:r>
          </w:p>
        </w:tc>
      </w:tr>
      <w:tr>
        <w:trPr>
          <w:trHeight w:val="186"/>
        </w:trPr>
        <w:tc>
          <w:tcPr>
            <w:tcW w:w="3720" w:type="dxa"/>
            <w:vAlign w:val="bottom"/>
          </w:tcPr>
          <w:p>
            <w:pPr>
              <w:ind w:left="180"/>
              <w:spacing w:after="0"/>
              <w:rPr>
                <w:sz w:val="20"/>
                <w:szCs w:val="20"/>
                <w:color w:val="auto"/>
              </w:rPr>
            </w:pPr>
            <w:r>
              <w:rPr>
                <w:rFonts w:ascii="Arial" w:cs="Arial" w:eastAsia="Arial" w:hAnsi="Arial"/>
                <w:sz w:val="16"/>
                <w:szCs w:val="16"/>
                <w:color w:val="auto"/>
              </w:rPr>
              <w:t>Government</w:t>
            </w:r>
          </w:p>
        </w:tc>
        <w:tc>
          <w:tcPr>
            <w:tcW w:w="23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1"/>
              <w:spacing w:after="0"/>
              <w:rPr>
                <w:sz w:val="20"/>
                <w:szCs w:val="20"/>
                <w:color w:val="auto"/>
              </w:rPr>
            </w:pPr>
            <w:r>
              <w:rPr>
                <w:rFonts w:ascii="Arial" w:cs="Arial" w:eastAsia="Arial" w:hAnsi="Arial"/>
                <w:sz w:val="16"/>
                <w:szCs w:val="16"/>
                <w:b w:val="1"/>
                <w:bCs w:val="1"/>
                <w:color w:val="auto"/>
              </w:rPr>
              <w:t>365</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333</w:t>
            </w:r>
          </w:p>
        </w:tc>
        <w:tc>
          <w:tcPr>
            <w:tcW w:w="960" w:type="dxa"/>
            <w:vAlign w:val="bottom"/>
          </w:tcPr>
          <w:p>
            <w:pPr>
              <w:jc w:val="right"/>
              <w:ind w:right="241"/>
              <w:spacing w:after="0"/>
              <w:rPr>
                <w:sz w:val="20"/>
                <w:szCs w:val="20"/>
                <w:color w:val="auto"/>
              </w:rPr>
            </w:pPr>
            <w:r>
              <w:rPr>
                <w:rFonts w:ascii="Arial" w:cs="Arial" w:eastAsia="Arial" w:hAnsi="Arial"/>
                <w:sz w:val="16"/>
                <w:szCs w:val="16"/>
                <w:b w:val="1"/>
                <w:bCs w:val="1"/>
                <w:color w:val="auto"/>
              </w:rPr>
              <w:t>365</w:t>
            </w:r>
          </w:p>
        </w:tc>
        <w:tc>
          <w:tcPr>
            <w:tcW w:w="480" w:type="dxa"/>
            <w:vAlign w:val="bottom"/>
          </w:tcPr>
          <w:p>
            <w:pPr>
              <w:jc w:val="right"/>
              <w:spacing w:after="0"/>
              <w:rPr>
                <w:sz w:val="20"/>
                <w:szCs w:val="20"/>
                <w:color w:val="auto"/>
              </w:rPr>
            </w:pPr>
            <w:r>
              <w:rPr>
                <w:rFonts w:ascii="Arial" w:cs="Arial" w:eastAsia="Arial" w:hAnsi="Arial"/>
                <w:sz w:val="16"/>
                <w:szCs w:val="16"/>
                <w:color w:val="auto"/>
              </w:rPr>
              <w:t>333</w:t>
            </w:r>
          </w:p>
        </w:tc>
      </w:tr>
      <w:tr>
        <w:trPr>
          <w:trHeight w:val="200"/>
        </w:trPr>
        <w:tc>
          <w:tcPr>
            <w:tcW w:w="3720" w:type="dxa"/>
            <w:vAlign w:val="bottom"/>
            <w:tcBorders>
              <w:bottom w:val="single" w:sz="8" w:color="B2B2B2"/>
            </w:tcBorders>
          </w:tcPr>
          <w:p>
            <w:pPr>
              <w:ind w:left="180"/>
              <w:spacing w:after="0"/>
              <w:rPr>
                <w:sz w:val="20"/>
                <w:szCs w:val="20"/>
                <w:color w:val="auto"/>
              </w:rPr>
            </w:pPr>
            <w:r>
              <w:rPr>
                <w:rFonts w:ascii="Arial" w:cs="Arial" w:eastAsia="Arial" w:hAnsi="Arial"/>
                <w:sz w:val="16"/>
                <w:szCs w:val="16"/>
                <w:color w:val="auto"/>
              </w:rPr>
              <w:t>Other fixed income</w:t>
            </w:r>
          </w:p>
        </w:tc>
        <w:tc>
          <w:tcPr>
            <w:tcW w:w="230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B2B2B2"/>
            </w:tcBorders>
          </w:tcPr>
          <w:p>
            <w:pPr>
              <w:jc w:val="right"/>
              <w:ind w:right="61"/>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b w:val="1"/>
                <w:bCs w:val="1"/>
                <w:color w:val="auto"/>
              </w:rPr>
              <w:t>294</w:t>
            </w:r>
          </w:p>
        </w:tc>
        <w:tc>
          <w:tcPr>
            <w:tcW w:w="760" w:type="dxa"/>
            <w:vAlign w:val="bottom"/>
            <w:tcBorders>
              <w:bottom w:val="single" w:sz="8" w:color="B2B2B2"/>
            </w:tcBorders>
          </w:tcPr>
          <w:p>
            <w:pPr>
              <w:jc w:val="right"/>
              <w:ind w:right="41"/>
              <w:spacing w:after="0"/>
              <w:rPr>
                <w:sz w:val="20"/>
                <w:szCs w:val="20"/>
                <w:color w:val="auto"/>
              </w:rPr>
            </w:pPr>
            <w:r>
              <w:rPr>
                <w:rFonts w:ascii="Arial" w:cs="Arial" w:eastAsia="Arial" w:hAnsi="Arial"/>
                <w:sz w:val="16"/>
                <w:szCs w:val="16"/>
                <w:color w:val="auto"/>
              </w:rPr>
              <w:t>258</w:t>
            </w:r>
          </w:p>
        </w:tc>
        <w:tc>
          <w:tcPr>
            <w:tcW w:w="960" w:type="dxa"/>
            <w:vAlign w:val="bottom"/>
            <w:tcBorders>
              <w:bottom w:val="single" w:sz="8" w:color="B2B2B2"/>
            </w:tcBorders>
          </w:tcPr>
          <w:p>
            <w:pPr>
              <w:jc w:val="right"/>
              <w:ind w:right="241"/>
              <w:spacing w:after="0"/>
              <w:rPr>
                <w:sz w:val="20"/>
                <w:szCs w:val="20"/>
                <w:color w:val="auto"/>
              </w:rPr>
            </w:pPr>
            <w:r>
              <w:rPr>
                <w:rFonts w:ascii="Arial" w:cs="Arial" w:eastAsia="Arial" w:hAnsi="Arial"/>
                <w:sz w:val="16"/>
                <w:szCs w:val="16"/>
                <w:b w:val="1"/>
                <w:bCs w:val="1"/>
                <w:color w:val="auto"/>
              </w:rPr>
              <w:t>294</w:t>
            </w: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258</w:t>
            </w:r>
          </w:p>
        </w:tc>
      </w:tr>
      <w:tr>
        <w:trPr>
          <w:trHeight w:val="179"/>
        </w:trPr>
        <w:tc>
          <w:tcPr>
            <w:tcW w:w="372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color w:val="auto"/>
              </w:rPr>
              <w:t>Total Bonds</w:t>
            </w:r>
          </w:p>
        </w:tc>
        <w:tc>
          <w:tcPr>
            <w:tcW w:w="2300" w:type="dxa"/>
            <w:vAlign w:val="bottom"/>
            <w:tcBorders>
              <w:bottom w:val="single" w:sz="8" w:color="B2B2B2"/>
            </w:tcBorders>
          </w:tcPr>
          <w:p>
            <w:pPr>
              <w:jc w:val="right"/>
              <w:ind w:right="41"/>
              <w:spacing w:after="0" w:line="179" w:lineRule="exact"/>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B2B2B2"/>
            </w:tcBorders>
          </w:tcPr>
          <w:p>
            <w:pPr>
              <w:jc w:val="right"/>
              <w:ind w:right="61"/>
              <w:spacing w:after="0" w:line="179"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B2B2B2"/>
            </w:tcBorders>
          </w:tcPr>
          <w:p>
            <w:pPr>
              <w:jc w:val="right"/>
              <w:ind w:right="41"/>
              <w:spacing w:after="0" w:line="179" w:lineRule="exact"/>
              <w:rPr>
                <w:sz w:val="20"/>
                <w:szCs w:val="20"/>
                <w:color w:val="auto"/>
              </w:rPr>
            </w:pPr>
            <w:r>
              <w:rPr>
                <w:rFonts w:ascii="Arial" w:cs="Arial" w:eastAsia="Arial" w:hAnsi="Arial"/>
                <w:sz w:val="16"/>
                <w:szCs w:val="16"/>
                <w:b w:val="1"/>
                <w:bCs w:val="1"/>
                <w:color w:val="auto"/>
              </w:rPr>
              <w:t>1,225</w:t>
            </w:r>
          </w:p>
        </w:tc>
        <w:tc>
          <w:tcPr>
            <w:tcW w:w="760" w:type="dxa"/>
            <w:vAlign w:val="bottom"/>
            <w:tcBorders>
              <w:bottom w:val="single" w:sz="8" w:color="B2B2B2"/>
            </w:tcBorders>
          </w:tcPr>
          <w:p>
            <w:pPr>
              <w:jc w:val="right"/>
              <w:ind w:right="41"/>
              <w:spacing w:after="0" w:line="179" w:lineRule="exact"/>
              <w:rPr>
                <w:sz w:val="20"/>
                <w:szCs w:val="20"/>
                <w:color w:val="auto"/>
              </w:rPr>
            </w:pPr>
            <w:r>
              <w:rPr>
                <w:rFonts w:ascii="Arial" w:cs="Arial" w:eastAsia="Arial" w:hAnsi="Arial"/>
                <w:sz w:val="16"/>
                <w:szCs w:val="16"/>
                <w:color w:val="auto"/>
              </w:rPr>
              <w:t>1,166</w:t>
            </w:r>
          </w:p>
        </w:tc>
        <w:tc>
          <w:tcPr>
            <w:tcW w:w="960" w:type="dxa"/>
            <w:vAlign w:val="bottom"/>
            <w:tcBorders>
              <w:bottom w:val="single" w:sz="8" w:color="B2B2B2"/>
            </w:tcBorders>
          </w:tcPr>
          <w:p>
            <w:pPr>
              <w:jc w:val="right"/>
              <w:ind w:right="241"/>
              <w:spacing w:after="0" w:line="179" w:lineRule="exact"/>
              <w:rPr>
                <w:sz w:val="20"/>
                <w:szCs w:val="20"/>
                <w:color w:val="auto"/>
              </w:rPr>
            </w:pPr>
            <w:r>
              <w:rPr>
                <w:rFonts w:ascii="Arial" w:cs="Arial" w:eastAsia="Arial" w:hAnsi="Arial"/>
                <w:sz w:val="16"/>
                <w:szCs w:val="16"/>
                <w:b w:val="1"/>
                <w:bCs w:val="1"/>
                <w:color w:val="auto"/>
              </w:rPr>
              <w:t>1,225</w:t>
            </w:r>
          </w:p>
        </w:tc>
        <w:tc>
          <w:tcPr>
            <w:tcW w:w="48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color w:val="auto"/>
              </w:rPr>
              <w:t>1,166</w:t>
            </w:r>
          </w:p>
        </w:tc>
      </w:tr>
      <w:tr>
        <w:trPr>
          <w:trHeight w:val="179"/>
        </w:trPr>
        <w:tc>
          <w:tcPr>
            <w:tcW w:w="372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color w:val="auto"/>
              </w:rPr>
              <w:t>Multi-asset</w:t>
            </w:r>
            <w:r>
              <w:rPr>
                <w:rFonts w:ascii="Arial" w:cs="Arial" w:eastAsia="Arial" w:hAnsi="Arial"/>
                <w:sz w:val="19"/>
                <w:szCs w:val="19"/>
                <w:b w:val="1"/>
                <w:bCs w:val="1"/>
                <w:color w:val="auto"/>
                <w:vertAlign w:val="superscript"/>
              </w:rPr>
              <w:t>(4)</w:t>
            </w:r>
          </w:p>
        </w:tc>
        <w:tc>
          <w:tcPr>
            <w:tcW w:w="2300" w:type="dxa"/>
            <w:vAlign w:val="bottom"/>
            <w:tcBorders>
              <w:bottom w:val="single" w:sz="8" w:color="B2B2B2"/>
            </w:tcBorders>
          </w:tcPr>
          <w:p>
            <w:pPr>
              <w:jc w:val="right"/>
              <w:ind w:right="41"/>
              <w:spacing w:after="0" w:line="179" w:lineRule="exact"/>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B2B2B2"/>
            </w:tcBorders>
          </w:tcPr>
          <w:p>
            <w:pPr>
              <w:jc w:val="right"/>
              <w:ind w:right="61"/>
              <w:spacing w:after="0" w:line="179"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B2B2B2"/>
            </w:tcBorders>
          </w:tcPr>
          <w:p>
            <w:pPr>
              <w:jc w:val="right"/>
              <w:ind w:right="41"/>
              <w:spacing w:after="0" w:line="179" w:lineRule="exact"/>
              <w:rPr>
                <w:sz w:val="20"/>
                <w:szCs w:val="20"/>
                <w:color w:val="auto"/>
              </w:rPr>
            </w:pPr>
            <w:r>
              <w:rPr>
                <w:rFonts w:ascii="Arial" w:cs="Arial" w:eastAsia="Arial" w:hAnsi="Arial"/>
                <w:sz w:val="16"/>
                <w:szCs w:val="16"/>
                <w:b w:val="1"/>
                <w:bCs w:val="1"/>
                <w:color w:val="auto"/>
              </w:rPr>
              <w:t>91</w:t>
            </w:r>
          </w:p>
        </w:tc>
        <w:tc>
          <w:tcPr>
            <w:tcW w:w="760" w:type="dxa"/>
            <w:vAlign w:val="bottom"/>
            <w:tcBorders>
              <w:bottom w:val="single" w:sz="8" w:color="B2B2B2"/>
            </w:tcBorders>
          </w:tcPr>
          <w:p>
            <w:pPr>
              <w:jc w:val="right"/>
              <w:ind w:right="41"/>
              <w:spacing w:after="0" w:line="179" w:lineRule="exact"/>
              <w:rPr>
                <w:sz w:val="20"/>
                <w:szCs w:val="20"/>
                <w:color w:val="auto"/>
              </w:rPr>
            </w:pPr>
            <w:r>
              <w:rPr>
                <w:rFonts w:ascii="Arial" w:cs="Arial" w:eastAsia="Arial" w:hAnsi="Arial"/>
                <w:sz w:val="16"/>
                <w:szCs w:val="16"/>
                <w:color w:val="auto"/>
              </w:rPr>
              <w:t>131</w:t>
            </w:r>
          </w:p>
        </w:tc>
        <w:tc>
          <w:tcPr>
            <w:tcW w:w="960" w:type="dxa"/>
            <w:vAlign w:val="bottom"/>
            <w:tcBorders>
              <w:bottom w:val="single" w:sz="8" w:color="B2B2B2"/>
            </w:tcBorders>
          </w:tcPr>
          <w:p>
            <w:pPr>
              <w:jc w:val="right"/>
              <w:ind w:right="241"/>
              <w:spacing w:after="0" w:line="179" w:lineRule="exact"/>
              <w:rPr>
                <w:sz w:val="20"/>
                <w:szCs w:val="20"/>
                <w:color w:val="auto"/>
              </w:rPr>
            </w:pPr>
            <w:r>
              <w:rPr>
                <w:rFonts w:ascii="Arial" w:cs="Arial" w:eastAsia="Arial" w:hAnsi="Arial"/>
                <w:sz w:val="16"/>
                <w:szCs w:val="16"/>
                <w:b w:val="1"/>
                <w:bCs w:val="1"/>
                <w:color w:val="auto"/>
              </w:rPr>
              <w:t>91</w:t>
            </w:r>
          </w:p>
        </w:tc>
        <w:tc>
          <w:tcPr>
            <w:tcW w:w="48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color w:val="auto"/>
              </w:rPr>
              <w:t>131</w:t>
            </w:r>
          </w:p>
        </w:tc>
      </w:tr>
      <w:tr>
        <w:trPr>
          <w:trHeight w:val="179"/>
        </w:trPr>
        <w:tc>
          <w:tcPr>
            <w:tcW w:w="372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color w:val="auto"/>
              </w:rPr>
              <w:t>Derivatives</w:t>
            </w:r>
          </w:p>
        </w:tc>
        <w:tc>
          <w:tcPr>
            <w:tcW w:w="2300" w:type="dxa"/>
            <w:vAlign w:val="bottom"/>
            <w:tcBorders>
              <w:bottom w:val="single" w:sz="8" w:color="B2B2B2"/>
            </w:tcBorders>
          </w:tcPr>
          <w:p>
            <w:pPr>
              <w:jc w:val="right"/>
              <w:ind w:right="41"/>
              <w:spacing w:after="0" w:line="179" w:lineRule="exact"/>
              <w:rPr>
                <w:sz w:val="20"/>
                <w:szCs w:val="20"/>
                <w:color w:val="auto"/>
              </w:rPr>
            </w:pPr>
            <w:r>
              <w:rPr>
                <w:rFonts w:ascii="Arial" w:cs="Arial" w:eastAsia="Arial" w:hAnsi="Arial"/>
                <w:sz w:val="16"/>
                <w:szCs w:val="16"/>
                <w:b w:val="1"/>
                <w:bCs w:val="1"/>
                <w:color w:val="auto"/>
              </w:rPr>
              <w:t>(2)</w:t>
            </w:r>
          </w:p>
        </w:tc>
        <w:tc>
          <w:tcPr>
            <w:tcW w:w="760" w:type="dxa"/>
            <w:vAlign w:val="bottom"/>
            <w:tcBorders>
              <w:bottom w:val="single" w:sz="8" w:color="B2B2B2"/>
            </w:tcBorders>
          </w:tcPr>
          <w:p>
            <w:pPr>
              <w:jc w:val="right"/>
              <w:ind w:right="61"/>
              <w:spacing w:after="0" w:line="179"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B2B2B2"/>
            </w:tcBorders>
          </w:tcPr>
          <w:p>
            <w:pPr>
              <w:jc w:val="right"/>
              <w:ind w:right="41"/>
              <w:spacing w:after="0" w:line="179" w:lineRule="exact"/>
              <w:rPr>
                <w:sz w:val="20"/>
                <w:szCs w:val="20"/>
                <w:color w:val="auto"/>
              </w:rPr>
            </w:pPr>
            <w:r>
              <w:rPr>
                <w:rFonts w:ascii="Arial" w:cs="Arial" w:eastAsia="Arial" w:hAnsi="Arial"/>
                <w:sz w:val="16"/>
                <w:szCs w:val="16"/>
                <w:b w:val="1"/>
                <w:bCs w:val="1"/>
                <w:color w:val="auto"/>
              </w:rPr>
              <w:t>1</w:t>
            </w:r>
          </w:p>
        </w:tc>
        <w:tc>
          <w:tcPr>
            <w:tcW w:w="760" w:type="dxa"/>
            <w:vAlign w:val="bottom"/>
            <w:tcBorders>
              <w:bottom w:val="single" w:sz="8" w:color="B2B2B2"/>
            </w:tcBorders>
          </w:tcPr>
          <w:p>
            <w:pPr>
              <w:jc w:val="right"/>
              <w:ind w:right="41"/>
              <w:spacing w:after="0" w:line="179" w:lineRule="exact"/>
              <w:rPr>
                <w:sz w:val="20"/>
                <w:szCs w:val="20"/>
                <w:color w:val="auto"/>
              </w:rPr>
            </w:pPr>
            <w:r>
              <w:rPr>
                <w:rFonts w:ascii="Arial" w:cs="Arial" w:eastAsia="Arial" w:hAnsi="Arial"/>
                <w:sz w:val="16"/>
                <w:szCs w:val="16"/>
                <w:color w:val="auto"/>
              </w:rPr>
              <w:t>242</w:t>
            </w:r>
          </w:p>
        </w:tc>
        <w:tc>
          <w:tcPr>
            <w:tcW w:w="960" w:type="dxa"/>
            <w:vAlign w:val="bottom"/>
            <w:tcBorders>
              <w:bottom w:val="single" w:sz="8" w:color="B2B2B2"/>
            </w:tcBorders>
          </w:tcPr>
          <w:p>
            <w:pPr>
              <w:jc w:val="right"/>
              <w:ind w:right="241"/>
              <w:spacing w:after="0" w:line="179" w:lineRule="exact"/>
              <w:rPr>
                <w:sz w:val="20"/>
                <w:szCs w:val="20"/>
                <w:color w:val="auto"/>
              </w:rPr>
            </w:pPr>
            <w:r>
              <w:rPr>
                <w:rFonts w:ascii="Arial" w:cs="Arial" w:eastAsia="Arial" w:hAnsi="Arial"/>
                <w:sz w:val="16"/>
                <w:szCs w:val="16"/>
                <w:b w:val="1"/>
                <w:bCs w:val="1"/>
                <w:color w:val="auto"/>
              </w:rPr>
              <w:t>(1)</w:t>
            </w:r>
          </w:p>
        </w:tc>
        <w:tc>
          <w:tcPr>
            <w:tcW w:w="48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color w:val="auto"/>
              </w:rPr>
              <w:t>242</w:t>
            </w:r>
          </w:p>
        </w:tc>
      </w:tr>
      <w:tr>
        <w:trPr>
          <w:trHeight w:val="179"/>
        </w:trPr>
        <w:tc>
          <w:tcPr>
            <w:tcW w:w="372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color w:val="auto"/>
              </w:rPr>
              <w:t>Cash and cash equivalents</w:t>
            </w:r>
          </w:p>
        </w:tc>
        <w:tc>
          <w:tcPr>
            <w:tcW w:w="2300" w:type="dxa"/>
            <w:vAlign w:val="bottom"/>
            <w:tcBorders>
              <w:bottom w:val="single" w:sz="8" w:color="B2B2B2"/>
            </w:tcBorders>
          </w:tcPr>
          <w:p>
            <w:pPr>
              <w:jc w:val="right"/>
              <w:ind w:right="41"/>
              <w:spacing w:after="0" w:line="179" w:lineRule="exact"/>
              <w:rPr>
                <w:sz w:val="20"/>
                <w:szCs w:val="20"/>
                <w:color w:val="auto"/>
              </w:rPr>
            </w:pPr>
            <w:r>
              <w:rPr>
                <w:rFonts w:ascii="Arial" w:cs="Arial" w:eastAsia="Arial" w:hAnsi="Arial"/>
                <w:sz w:val="16"/>
                <w:szCs w:val="16"/>
                <w:b w:val="1"/>
                <w:bCs w:val="1"/>
                <w:color w:val="auto"/>
              </w:rPr>
              <w:t>40</w:t>
            </w:r>
          </w:p>
        </w:tc>
        <w:tc>
          <w:tcPr>
            <w:tcW w:w="760" w:type="dxa"/>
            <w:vAlign w:val="bottom"/>
            <w:tcBorders>
              <w:bottom w:val="single" w:sz="8" w:color="B2B2B2"/>
            </w:tcBorders>
          </w:tcPr>
          <w:p>
            <w:pPr>
              <w:jc w:val="right"/>
              <w:ind w:right="61"/>
              <w:spacing w:after="0" w:line="179" w:lineRule="exact"/>
              <w:rPr>
                <w:sz w:val="20"/>
                <w:szCs w:val="20"/>
                <w:color w:val="auto"/>
              </w:rPr>
            </w:pPr>
            <w:r>
              <w:rPr>
                <w:rFonts w:ascii="Arial" w:cs="Arial" w:eastAsia="Arial" w:hAnsi="Arial"/>
                <w:sz w:val="16"/>
                <w:szCs w:val="16"/>
                <w:color w:val="auto"/>
              </w:rPr>
              <w:t>51</w:t>
            </w:r>
          </w:p>
        </w:tc>
        <w:tc>
          <w:tcPr>
            <w:tcW w:w="740" w:type="dxa"/>
            <w:vAlign w:val="bottom"/>
            <w:tcBorders>
              <w:bottom w:val="single" w:sz="8" w:color="B2B2B2"/>
            </w:tcBorders>
          </w:tcPr>
          <w:p>
            <w:pPr>
              <w:jc w:val="right"/>
              <w:ind w:right="41"/>
              <w:spacing w:after="0" w:line="179" w:lineRule="exact"/>
              <w:rPr>
                <w:sz w:val="20"/>
                <w:szCs w:val="20"/>
                <w:color w:val="auto"/>
              </w:rPr>
            </w:pPr>
            <w:r>
              <w:rPr>
                <w:rFonts w:ascii="Arial" w:cs="Arial" w:eastAsia="Arial" w:hAnsi="Arial"/>
                <w:sz w:val="16"/>
                <w:szCs w:val="16"/>
                <w:b w:val="1"/>
                <w:bCs w:val="1"/>
                <w:color w:val="auto"/>
              </w:rPr>
              <w:t>197</w:t>
            </w:r>
          </w:p>
        </w:tc>
        <w:tc>
          <w:tcPr>
            <w:tcW w:w="760" w:type="dxa"/>
            <w:vAlign w:val="bottom"/>
            <w:tcBorders>
              <w:bottom w:val="single" w:sz="8" w:color="B2B2B2"/>
            </w:tcBorders>
          </w:tcPr>
          <w:p>
            <w:pPr>
              <w:jc w:val="right"/>
              <w:ind w:right="41"/>
              <w:spacing w:after="0" w:line="179" w:lineRule="exact"/>
              <w:rPr>
                <w:sz w:val="20"/>
                <w:szCs w:val="20"/>
                <w:color w:val="auto"/>
              </w:rPr>
            </w:pPr>
            <w:r>
              <w:rPr>
                <w:rFonts w:ascii="Arial" w:cs="Arial" w:eastAsia="Arial" w:hAnsi="Arial"/>
                <w:sz w:val="16"/>
                <w:szCs w:val="16"/>
                <w:color w:val="auto"/>
              </w:rPr>
              <w:t>220</w:t>
            </w:r>
          </w:p>
        </w:tc>
        <w:tc>
          <w:tcPr>
            <w:tcW w:w="960" w:type="dxa"/>
            <w:vAlign w:val="bottom"/>
            <w:tcBorders>
              <w:bottom w:val="single" w:sz="8" w:color="B2B2B2"/>
            </w:tcBorders>
          </w:tcPr>
          <w:p>
            <w:pPr>
              <w:jc w:val="right"/>
              <w:ind w:right="241"/>
              <w:spacing w:after="0" w:line="179" w:lineRule="exact"/>
              <w:rPr>
                <w:sz w:val="20"/>
                <w:szCs w:val="20"/>
                <w:color w:val="auto"/>
              </w:rPr>
            </w:pPr>
            <w:r>
              <w:rPr>
                <w:rFonts w:ascii="Arial" w:cs="Arial" w:eastAsia="Arial" w:hAnsi="Arial"/>
                <w:sz w:val="16"/>
                <w:szCs w:val="16"/>
                <w:b w:val="1"/>
                <w:bCs w:val="1"/>
                <w:color w:val="auto"/>
              </w:rPr>
              <w:t>237</w:t>
            </w:r>
          </w:p>
        </w:tc>
        <w:tc>
          <w:tcPr>
            <w:tcW w:w="48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color w:val="auto"/>
              </w:rPr>
              <w:t>271</w:t>
            </w:r>
          </w:p>
        </w:tc>
      </w:tr>
      <w:tr>
        <w:trPr>
          <w:trHeight w:val="179"/>
        </w:trPr>
        <w:tc>
          <w:tcPr>
            <w:tcW w:w="372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color w:val="auto"/>
              </w:rPr>
              <w:t>Other</w:t>
            </w:r>
            <w:r>
              <w:rPr>
                <w:rFonts w:ascii="Arial" w:cs="Arial" w:eastAsia="Arial" w:hAnsi="Arial"/>
                <w:sz w:val="19"/>
                <w:szCs w:val="19"/>
                <w:b w:val="1"/>
                <w:bCs w:val="1"/>
                <w:color w:val="auto"/>
                <w:vertAlign w:val="superscript"/>
              </w:rPr>
              <w:t>(5)</w:t>
            </w:r>
          </w:p>
        </w:tc>
        <w:tc>
          <w:tcPr>
            <w:tcW w:w="2300" w:type="dxa"/>
            <w:vAlign w:val="bottom"/>
            <w:tcBorders>
              <w:bottom w:val="single" w:sz="8" w:color="B2B2B2"/>
            </w:tcBorders>
          </w:tcPr>
          <w:p>
            <w:pPr>
              <w:jc w:val="right"/>
              <w:ind w:right="41"/>
              <w:spacing w:after="0" w:line="179" w:lineRule="exact"/>
              <w:rPr>
                <w:sz w:val="20"/>
                <w:szCs w:val="20"/>
                <w:color w:val="auto"/>
              </w:rPr>
            </w:pPr>
            <w:r>
              <w:rPr>
                <w:rFonts w:ascii="Arial" w:cs="Arial" w:eastAsia="Arial" w:hAnsi="Arial"/>
                <w:sz w:val="16"/>
                <w:szCs w:val="16"/>
                <w:b w:val="1"/>
                <w:bCs w:val="1"/>
                <w:color w:val="auto"/>
              </w:rPr>
              <w:t>5</w:t>
            </w:r>
          </w:p>
        </w:tc>
        <w:tc>
          <w:tcPr>
            <w:tcW w:w="760" w:type="dxa"/>
            <w:vAlign w:val="bottom"/>
            <w:tcBorders>
              <w:bottom w:val="single" w:sz="8" w:color="B2B2B2"/>
            </w:tcBorders>
          </w:tcPr>
          <w:p>
            <w:pPr>
              <w:jc w:val="right"/>
              <w:ind w:right="61"/>
              <w:spacing w:after="0" w:line="179" w:lineRule="exact"/>
              <w:rPr>
                <w:sz w:val="20"/>
                <w:szCs w:val="20"/>
                <w:color w:val="auto"/>
              </w:rPr>
            </w:pPr>
            <w:r>
              <w:rPr>
                <w:rFonts w:ascii="Arial" w:cs="Arial" w:eastAsia="Arial" w:hAnsi="Arial"/>
                <w:sz w:val="16"/>
                <w:szCs w:val="16"/>
                <w:color w:val="auto"/>
              </w:rPr>
              <w:t>3</w:t>
            </w:r>
          </w:p>
        </w:tc>
        <w:tc>
          <w:tcPr>
            <w:tcW w:w="740" w:type="dxa"/>
            <w:vAlign w:val="bottom"/>
            <w:tcBorders>
              <w:bottom w:val="single" w:sz="8" w:color="B2B2B2"/>
            </w:tcBorders>
          </w:tcPr>
          <w:p>
            <w:pPr>
              <w:jc w:val="right"/>
              <w:ind w:right="41"/>
              <w:spacing w:after="0" w:line="179" w:lineRule="exact"/>
              <w:rPr>
                <w:sz w:val="20"/>
                <w:szCs w:val="20"/>
                <w:color w:val="auto"/>
              </w:rPr>
            </w:pPr>
            <w:r>
              <w:rPr>
                <w:rFonts w:ascii="Arial" w:cs="Arial" w:eastAsia="Arial" w:hAnsi="Arial"/>
                <w:sz w:val="16"/>
                <w:szCs w:val="16"/>
                <w:b w:val="1"/>
                <w:bCs w:val="1"/>
                <w:color w:val="auto"/>
              </w:rPr>
              <w:t>94</w:t>
            </w:r>
          </w:p>
        </w:tc>
        <w:tc>
          <w:tcPr>
            <w:tcW w:w="760" w:type="dxa"/>
            <w:vAlign w:val="bottom"/>
            <w:tcBorders>
              <w:bottom w:val="single" w:sz="8" w:color="B2B2B2"/>
            </w:tcBorders>
          </w:tcPr>
          <w:p>
            <w:pPr>
              <w:jc w:val="right"/>
              <w:ind w:right="41"/>
              <w:spacing w:after="0" w:line="179" w:lineRule="exact"/>
              <w:rPr>
                <w:sz w:val="20"/>
                <w:szCs w:val="20"/>
                <w:color w:val="auto"/>
              </w:rPr>
            </w:pPr>
            <w:r>
              <w:rPr>
                <w:rFonts w:ascii="Arial" w:cs="Arial" w:eastAsia="Arial" w:hAnsi="Arial"/>
                <w:sz w:val="16"/>
                <w:szCs w:val="16"/>
                <w:color w:val="auto"/>
              </w:rPr>
              <w:t>101</w:t>
            </w:r>
          </w:p>
        </w:tc>
        <w:tc>
          <w:tcPr>
            <w:tcW w:w="960" w:type="dxa"/>
            <w:vAlign w:val="bottom"/>
            <w:tcBorders>
              <w:bottom w:val="single" w:sz="8" w:color="B2B2B2"/>
            </w:tcBorders>
          </w:tcPr>
          <w:p>
            <w:pPr>
              <w:jc w:val="right"/>
              <w:ind w:right="241"/>
              <w:spacing w:after="0" w:line="179" w:lineRule="exact"/>
              <w:rPr>
                <w:sz w:val="20"/>
                <w:szCs w:val="20"/>
                <w:color w:val="auto"/>
              </w:rPr>
            </w:pPr>
            <w:r>
              <w:rPr>
                <w:rFonts w:ascii="Arial" w:cs="Arial" w:eastAsia="Arial" w:hAnsi="Arial"/>
                <w:sz w:val="16"/>
                <w:szCs w:val="16"/>
                <w:b w:val="1"/>
                <w:bCs w:val="1"/>
                <w:color w:val="auto"/>
              </w:rPr>
              <w:t>99</w:t>
            </w:r>
          </w:p>
        </w:tc>
        <w:tc>
          <w:tcPr>
            <w:tcW w:w="48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color w:val="auto"/>
              </w:rPr>
              <w:t>104</w:t>
            </w:r>
          </w:p>
        </w:tc>
      </w:tr>
      <w:tr>
        <w:trPr>
          <w:trHeight w:val="185"/>
        </w:trPr>
        <w:tc>
          <w:tcPr>
            <w:tcW w:w="372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color w:val="auto"/>
              </w:rPr>
              <w:t>Total</w:t>
            </w:r>
          </w:p>
        </w:tc>
        <w:tc>
          <w:tcPr>
            <w:tcW w:w="2300" w:type="dxa"/>
            <w:vAlign w:val="bottom"/>
            <w:tcBorders>
              <w:bottom w:val="single" w:sz="8" w:color="D64000"/>
            </w:tcBorders>
          </w:tcPr>
          <w:p>
            <w:pPr>
              <w:jc w:val="right"/>
              <w:ind w:right="41"/>
              <w:spacing w:after="0" w:line="179" w:lineRule="exact"/>
              <w:rPr>
                <w:sz w:val="20"/>
                <w:szCs w:val="20"/>
                <w:color w:val="auto"/>
              </w:rPr>
            </w:pPr>
            <w:r>
              <w:rPr>
                <w:rFonts w:ascii="Arial" w:cs="Arial" w:eastAsia="Arial" w:hAnsi="Arial"/>
                <w:sz w:val="16"/>
                <w:szCs w:val="16"/>
                <w:b w:val="1"/>
                <w:bCs w:val="1"/>
                <w:color w:val="auto"/>
              </w:rPr>
              <w:t>44</w:t>
            </w:r>
          </w:p>
        </w:tc>
        <w:tc>
          <w:tcPr>
            <w:tcW w:w="760" w:type="dxa"/>
            <w:vAlign w:val="bottom"/>
            <w:tcBorders>
              <w:bottom w:val="single" w:sz="8" w:color="D64000"/>
            </w:tcBorders>
          </w:tcPr>
          <w:p>
            <w:pPr>
              <w:jc w:val="right"/>
              <w:ind w:right="61"/>
              <w:spacing w:after="0" w:line="179" w:lineRule="exact"/>
              <w:rPr>
                <w:sz w:val="20"/>
                <w:szCs w:val="20"/>
                <w:color w:val="auto"/>
              </w:rPr>
            </w:pPr>
            <w:r>
              <w:rPr>
                <w:rFonts w:ascii="Arial" w:cs="Arial" w:eastAsia="Arial" w:hAnsi="Arial"/>
                <w:sz w:val="16"/>
                <w:szCs w:val="16"/>
                <w:color w:val="auto"/>
              </w:rPr>
              <w:t>54</w:t>
            </w:r>
          </w:p>
        </w:tc>
        <w:tc>
          <w:tcPr>
            <w:tcW w:w="740" w:type="dxa"/>
            <w:vAlign w:val="bottom"/>
            <w:tcBorders>
              <w:bottom w:val="single" w:sz="8" w:color="D64000"/>
            </w:tcBorders>
          </w:tcPr>
          <w:p>
            <w:pPr>
              <w:jc w:val="right"/>
              <w:ind w:right="41"/>
              <w:spacing w:after="0" w:line="179" w:lineRule="exact"/>
              <w:rPr>
                <w:sz w:val="20"/>
                <w:szCs w:val="20"/>
                <w:color w:val="auto"/>
              </w:rPr>
            </w:pPr>
            <w:r>
              <w:rPr>
                <w:rFonts w:ascii="Arial" w:cs="Arial" w:eastAsia="Arial" w:hAnsi="Arial"/>
                <w:sz w:val="16"/>
                <w:szCs w:val="16"/>
                <w:b w:val="1"/>
                <w:bCs w:val="1"/>
                <w:color w:val="auto"/>
              </w:rPr>
              <w:t>2,130</w:t>
            </w:r>
          </w:p>
        </w:tc>
        <w:tc>
          <w:tcPr>
            <w:tcW w:w="760" w:type="dxa"/>
            <w:vAlign w:val="bottom"/>
            <w:tcBorders>
              <w:bottom w:val="single" w:sz="8" w:color="D64000"/>
            </w:tcBorders>
          </w:tcPr>
          <w:p>
            <w:pPr>
              <w:jc w:val="right"/>
              <w:ind w:right="41"/>
              <w:spacing w:after="0" w:line="179" w:lineRule="exact"/>
              <w:rPr>
                <w:sz w:val="20"/>
                <w:szCs w:val="20"/>
                <w:color w:val="auto"/>
              </w:rPr>
            </w:pPr>
            <w:r>
              <w:rPr>
                <w:rFonts w:ascii="Arial" w:cs="Arial" w:eastAsia="Arial" w:hAnsi="Arial"/>
                <w:sz w:val="16"/>
                <w:szCs w:val="16"/>
                <w:color w:val="auto"/>
              </w:rPr>
              <w:t>2,367</w:t>
            </w:r>
          </w:p>
        </w:tc>
        <w:tc>
          <w:tcPr>
            <w:tcW w:w="960" w:type="dxa"/>
            <w:vAlign w:val="bottom"/>
            <w:tcBorders>
              <w:bottom w:val="single" w:sz="8" w:color="D64000"/>
            </w:tcBorders>
          </w:tcPr>
          <w:p>
            <w:pPr>
              <w:jc w:val="right"/>
              <w:ind w:right="241"/>
              <w:spacing w:after="0" w:line="179" w:lineRule="exact"/>
              <w:rPr>
                <w:sz w:val="20"/>
                <w:szCs w:val="20"/>
                <w:color w:val="auto"/>
              </w:rPr>
            </w:pPr>
            <w:r>
              <w:rPr>
                <w:rFonts w:ascii="Arial" w:cs="Arial" w:eastAsia="Arial" w:hAnsi="Arial"/>
                <w:sz w:val="16"/>
                <w:szCs w:val="16"/>
                <w:b w:val="1"/>
                <w:bCs w:val="1"/>
                <w:color w:val="auto"/>
              </w:rPr>
              <w:t>2,174</w:t>
            </w:r>
          </w:p>
        </w:tc>
        <w:tc>
          <w:tcPr>
            <w:tcW w:w="48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2,421</w:t>
            </w:r>
          </w:p>
        </w:tc>
      </w:tr>
    </w:tbl>
    <w:p>
      <w:pPr>
        <w:spacing w:after="0" w:line="110" w:lineRule="exact"/>
        <w:rPr>
          <w:sz w:val="20"/>
          <w:szCs w:val="20"/>
          <w:color w:val="auto"/>
        </w:rPr>
      </w:pPr>
    </w:p>
    <w:p>
      <w:pPr>
        <w:ind w:left="640" w:hanging="422"/>
        <w:spacing w:after="0"/>
        <w:tabs>
          <w:tab w:leader="none" w:pos="6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Asset valuation based on Level 1 evidence under the fair value hierarchy: quoted prices (unadjusted) in active markets for identical assets or liabilities.</w:t>
      </w:r>
    </w:p>
    <w:p>
      <w:pPr>
        <w:spacing w:after="0" w:line="12" w:lineRule="exact"/>
        <w:rPr>
          <w:rFonts w:ascii="Arial" w:cs="Arial" w:eastAsia="Arial" w:hAnsi="Arial"/>
          <w:sz w:val="14"/>
          <w:szCs w:val="14"/>
          <w:color w:val="auto"/>
        </w:rPr>
      </w:pPr>
    </w:p>
    <w:p>
      <w:pPr>
        <w:ind w:left="640" w:hanging="422"/>
        <w:spacing w:after="0" w:line="237" w:lineRule="auto"/>
        <w:tabs>
          <w:tab w:leader="none" w:pos="6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Equities include direct shareholdings and funds focused on equity strategies.</w:t>
      </w:r>
    </w:p>
    <w:p>
      <w:pPr>
        <w:ind w:left="640" w:right="100" w:hanging="422"/>
        <w:spacing w:after="0" w:line="237" w:lineRule="auto"/>
        <w:tabs>
          <w:tab w:leader="none" w:pos="6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Bonds include direct credit holdings and funds focused on fixed income strategies. Within this grouping, Government includes debt issued by national, state and local government agencies. In 2024 government bonds included an offset of $466 million representing collateralized borrowings associated with certain bonds under repurchase agreements. Other fixed income includes blended Corporate/Government credit strategies.</w:t>
      </w:r>
    </w:p>
    <w:p>
      <w:pPr>
        <w:ind w:left="640" w:hanging="422"/>
        <w:spacing w:after="0" w:line="237" w:lineRule="auto"/>
        <w:tabs>
          <w:tab w:leader="none" w:pos="6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Multi-asset includes funds that invest in a range of asset classes.</w:t>
      </w:r>
    </w:p>
    <w:p>
      <w:pPr>
        <w:ind w:left="640" w:hanging="422"/>
        <w:spacing w:after="0"/>
        <w:tabs>
          <w:tab w:leader="none" w:pos="6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Other is primarily real estate investments.</w:t>
      </w:r>
    </w:p>
    <w:p>
      <w:pPr>
        <w:spacing w:after="0" w:line="77" w:lineRule="exact"/>
        <w:rPr>
          <w:sz w:val="20"/>
          <w:szCs w:val="20"/>
          <w:color w:val="auto"/>
        </w:rPr>
      </w:pPr>
    </w:p>
    <w:p>
      <w:pPr>
        <w:ind w:left="220" w:right="640"/>
        <w:spacing w:after="0" w:line="260" w:lineRule="auto"/>
        <w:rPr>
          <w:sz w:val="20"/>
          <w:szCs w:val="20"/>
          <w:color w:val="auto"/>
        </w:rPr>
      </w:pPr>
      <w:r>
        <w:rPr>
          <w:rFonts w:ascii="Arial" w:cs="Arial" w:eastAsia="Arial" w:hAnsi="Arial"/>
          <w:sz w:val="17"/>
          <w:szCs w:val="17"/>
          <w:color w:val="auto"/>
        </w:rPr>
        <w:t>These portfolios are diversified in terms of geographic distribution and market sectors. As of December 31, 2024 and 2023, there were no Thomson Reuters securities held in the Company’s pension plans’ assets.</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Contributions</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 2024 and 2023, the Company contributed $35 million and $32 million, respectively, to its material defined benefit plans.</w:t>
      </w:r>
    </w:p>
    <w:p>
      <w:pPr>
        <w:spacing w:after="0" w:line="80" w:lineRule="exact"/>
        <w:rPr>
          <w:sz w:val="20"/>
          <w:szCs w:val="20"/>
          <w:color w:val="auto"/>
        </w:rPr>
      </w:pPr>
    </w:p>
    <w:p>
      <w:pPr>
        <w:ind w:left="220" w:right="180"/>
        <w:spacing w:after="0" w:line="291" w:lineRule="auto"/>
        <w:rPr>
          <w:sz w:val="20"/>
          <w:szCs w:val="20"/>
          <w:color w:val="auto"/>
        </w:rPr>
      </w:pPr>
      <w:r>
        <w:rPr>
          <w:rFonts w:ascii="Arial" w:cs="Arial" w:eastAsia="Arial" w:hAnsi="Arial"/>
          <w:sz w:val="16"/>
          <w:szCs w:val="16"/>
          <w:color w:val="auto"/>
        </w:rPr>
        <w:t>In 2025, the Company expects to contribute approximately $33 million to its material defined benefit plans, of which $6 million will be in accordance with the normal funding policy of funded plans and $27 million will be for claims expected to arise under unfunded and OPEB plans.</w:t>
      </w:r>
    </w:p>
    <w:p>
      <w:pPr>
        <w:spacing w:after="0" w:line="31" w:lineRule="exact"/>
        <w:rPr>
          <w:sz w:val="20"/>
          <w:szCs w:val="20"/>
          <w:color w:val="auto"/>
        </w:rPr>
      </w:pPr>
    </w:p>
    <w:p>
      <w:pPr>
        <w:ind w:left="220" w:right="100"/>
        <w:spacing w:after="0" w:line="238" w:lineRule="auto"/>
        <w:rPr>
          <w:sz w:val="20"/>
          <w:szCs w:val="20"/>
          <w:color w:val="auto"/>
        </w:rPr>
      </w:pPr>
      <w:r>
        <w:rPr>
          <w:rFonts w:ascii="Arial" w:cs="Arial" w:eastAsia="Arial" w:hAnsi="Arial"/>
          <w:sz w:val="17"/>
          <w:szCs w:val="17"/>
          <w:color w:val="auto"/>
        </w:rPr>
        <w:t>From time to time, the Company may elect to make voluntary contributions to improve the funded status of the plans. For certain plans, the trustees have the right to call for special valuations, which could subsequently result in the Company having to make an unexpected contribution. Market-related factors may also affect the timing and amount of contributions. The amount and timing of any future required contributions to pension plans could differ significantly from the Company’s estimates as of December 31, 2024.</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Actuarial assumptions</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weighted-average actuarial assumptions were as follows:</w:t>
      </w:r>
    </w:p>
    <w:p>
      <w:pPr>
        <w:spacing w:after="0" w:line="235"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4400" w:type="dxa"/>
            <w:vAlign w:val="bottom"/>
            <w:shd w:val="clear" w:color="auto" w:fill="1F473D"/>
          </w:tcPr>
          <w:p>
            <w:pPr>
              <w:spacing w:after="0"/>
              <w:rPr>
                <w:sz w:val="16"/>
                <w:szCs w:val="16"/>
                <w:color w:val="auto"/>
              </w:rPr>
            </w:pPr>
          </w:p>
        </w:tc>
        <w:tc>
          <w:tcPr>
            <w:tcW w:w="2940" w:type="dxa"/>
            <w:vAlign w:val="bottom"/>
            <w:gridSpan w:val="2"/>
            <w:shd w:val="clear" w:color="auto" w:fill="1F473D"/>
          </w:tcPr>
          <w:p>
            <w:pPr>
              <w:jc w:val="right"/>
              <w:ind w:right="321"/>
              <w:spacing w:after="0"/>
              <w:rPr>
                <w:sz w:val="20"/>
                <w:szCs w:val="20"/>
                <w:color w:val="auto"/>
              </w:rPr>
            </w:pPr>
            <w:r>
              <w:rPr>
                <w:rFonts w:ascii="Arial" w:cs="Arial" w:eastAsia="Arial" w:hAnsi="Arial"/>
                <w:sz w:val="16"/>
                <w:szCs w:val="16"/>
                <w:b w:val="1"/>
                <w:bCs w:val="1"/>
                <w:color w:val="FFFFFF"/>
              </w:rPr>
              <w:t>Funded</w:t>
            </w:r>
          </w:p>
        </w:tc>
        <w:tc>
          <w:tcPr>
            <w:tcW w:w="1320" w:type="dxa"/>
            <w:vAlign w:val="bottom"/>
            <w:gridSpan w:val="2"/>
            <w:shd w:val="clear" w:color="auto" w:fill="1F473D"/>
          </w:tcPr>
          <w:p>
            <w:pPr>
              <w:jc w:val="right"/>
              <w:ind w:right="241"/>
              <w:spacing w:after="0"/>
              <w:rPr>
                <w:sz w:val="20"/>
                <w:szCs w:val="20"/>
                <w:color w:val="auto"/>
              </w:rPr>
            </w:pPr>
            <w:r>
              <w:rPr>
                <w:rFonts w:ascii="Arial" w:cs="Arial" w:eastAsia="Arial" w:hAnsi="Arial"/>
                <w:sz w:val="16"/>
                <w:szCs w:val="16"/>
                <w:b w:val="1"/>
                <w:bCs w:val="1"/>
                <w:color w:val="FFFFFF"/>
              </w:rPr>
              <w:t>Unfunded</w:t>
            </w:r>
          </w:p>
        </w:tc>
        <w:tc>
          <w:tcPr>
            <w:tcW w:w="1280" w:type="dxa"/>
            <w:vAlign w:val="bottom"/>
            <w:gridSpan w:val="2"/>
            <w:shd w:val="clear" w:color="auto" w:fill="1F473D"/>
          </w:tcPr>
          <w:p>
            <w:pPr>
              <w:jc w:val="right"/>
              <w:ind w:right="341"/>
              <w:spacing w:after="0"/>
              <w:rPr>
                <w:sz w:val="20"/>
                <w:szCs w:val="20"/>
                <w:color w:val="auto"/>
              </w:rPr>
            </w:pPr>
            <w:r>
              <w:rPr>
                <w:rFonts w:ascii="Arial" w:cs="Arial" w:eastAsia="Arial" w:hAnsi="Arial"/>
                <w:sz w:val="16"/>
                <w:szCs w:val="16"/>
                <w:b w:val="1"/>
                <w:bCs w:val="1"/>
                <w:color w:val="FFFFFF"/>
              </w:rPr>
              <w:t>OPEB</w:t>
            </w:r>
          </w:p>
        </w:tc>
      </w:tr>
      <w:tr>
        <w:trPr>
          <w:trHeight w:val="192"/>
        </w:trPr>
        <w:tc>
          <w:tcPr>
            <w:tcW w:w="4400" w:type="dxa"/>
            <w:vAlign w:val="bottom"/>
            <w:tcBorders>
              <w:bottom w:val="single" w:sz="8" w:color="D64000"/>
            </w:tcBorders>
            <w:shd w:val="clear" w:color="auto" w:fill="E3F3EE"/>
          </w:tcPr>
          <w:p>
            <w:pPr>
              <w:spacing w:after="0"/>
              <w:rPr>
                <w:sz w:val="20"/>
                <w:szCs w:val="20"/>
                <w:color w:val="auto"/>
              </w:rPr>
            </w:pPr>
            <w:r>
              <w:rPr>
                <w:rFonts w:ascii="Arial" w:cs="Arial" w:eastAsia="Arial" w:hAnsi="Arial"/>
                <w:sz w:val="16"/>
                <w:szCs w:val="16"/>
                <w:b w:val="1"/>
                <w:bCs w:val="1"/>
                <w:color w:val="auto"/>
              </w:rPr>
              <w:t> As of December 31,</w:t>
            </w:r>
          </w:p>
        </w:tc>
        <w:tc>
          <w:tcPr>
            <w:tcW w:w="2280" w:type="dxa"/>
            <w:vAlign w:val="bottom"/>
            <w:tcBorders>
              <w:bottom w:val="single" w:sz="8" w:color="D64000"/>
            </w:tcBorders>
            <w:shd w:val="clear" w:color="auto" w:fill="E3F3EE"/>
          </w:tcPr>
          <w:p>
            <w:pPr>
              <w:jc w:val="right"/>
              <w:ind w:right="21"/>
              <w:spacing w:after="0"/>
              <w:rPr>
                <w:sz w:val="20"/>
                <w:szCs w:val="20"/>
                <w:color w:val="auto"/>
              </w:rPr>
            </w:pPr>
            <w:r>
              <w:rPr>
                <w:rFonts w:ascii="Arial" w:cs="Arial" w:eastAsia="Arial" w:hAnsi="Arial"/>
                <w:sz w:val="16"/>
                <w:szCs w:val="16"/>
                <w:b w:val="1"/>
                <w:bCs w:val="1"/>
                <w:color w:val="auto"/>
              </w:rPr>
              <w:t>2024</w:t>
            </w:r>
          </w:p>
        </w:tc>
        <w:tc>
          <w:tcPr>
            <w:tcW w:w="660" w:type="dxa"/>
            <w:vAlign w:val="bottom"/>
            <w:tcBorders>
              <w:bottom w:val="single" w:sz="8" w:color="D64000"/>
            </w:tcBorders>
            <w:shd w:val="clear" w:color="auto" w:fill="E3F3EE"/>
          </w:tcPr>
          <w:p>
            <w:pPr>
              <w:jc w:val="right"/>
              <w:ind w:right="21"/>
              <w:spacing w:after="0"/>
              <w:rPr>
                <w:sz w:val="20"/>
                <w:szCs w:val="20"/>
                <w:color w:val="auto"/>
              </w:rPr>
            </w:pPr>
            <w:r>
              <w:rPr>
                <w:rFonts w:ascii="Arial" w:cs="Arial" w:eastAsia="Arial" w:hAnsi="Arial"/>
                <w:sz w:val="16"/>
                <w:szCs w:val="16"/>
                <w:color w:val="auto"/>
              </w:rPr>
              <w:t>2023</w:t>
            </w:r>
          </w:p>
        </w:tc>
        <w:tc>
          <w:tcPr>
            <w:tcW w:w="660" w:type="dxa"/>
            <w:vAlign w:val="bottom"/>
            <w:tcBorders>
              <w:bottom w:val="single" w:sz="8" w:color="D64000"/>
            </w:tcBorders>
            <w:shd w:val="clear" w:color="auto" w:fill="E3F3EE"/>
          </w:tcPr>
          <w:p>
            <w:pPr>
              <w:jc w:val="right"/>
              <w:ind w:right="21"/>
              <w:spacing w:after="0"/>
              <w:rPr>
                <w:sz w:val="20"/>
                <w:szCs w:val="20"/>
                <w:color w:val="auto"/>
              </w:rPr>
            </w:pPr>
            <w:r>
              <w:rPr>
                <w:rFonts w:ascii="Arial" w:cs="Arial" w:eastAsia="Arial" w:hAnsi="Arial"/>
                <w:sz w:val="16"/>
                <w:szCs w:val="16"/>
                <w:b w:val="1"/>
                <w:bCs w:val="1"/>
                <w:color w:val="auto"/>
              </w:rPr>
              <w:t>2024</w:t>
            </w:r>
          </w:p>
        </w:tc>
        <w:tc>
          <w:tcPr>
            <w:tcW w:w="660" w:type="dxa"/>
            <w:vAlign w:val="bottom"/>
            <w:tcBorders>
              <w:bottom w:val="single" w:sz="8" w:color="D64000"/>
            </w:tcBorders>
            <w:shd w:val="clear" w:color="auto" w:fill="E3F3EE"/>
          </w:tcPr>
          <w:p>
            <w:pPr>
              <w:jc w:val="right"/>
              <w:ind w:right="21"/>
              <w:spacing w:after="0"/>
              <w:rPr>
                <w:sz w:val="20"/>
                <w:szCs w:val="20"/>
                <w:color w:val="auto"/>
              </w:rPr>
            </w:pPr>
            <w:r>
              <w:rPr>
                <w:rFonts w:ascii="Arial" w:cs="Arial" w:eastAsia="Arial" w:hAnsi="Arial"/>
                <w:sz w:val="16"/>
                <w:szCs w:val="16"/>
                <w:color w:val="auto"/>
              </w:rPr>
              <w:t>2023</w:t>
            </w:r>
          </w:p>
        </w:tc>
        <w:tc>
          <w:tcPr>
            <w:tcW w:w="660" w:type="dxa"/>
            <w:vAlign w:val="bottom"/>
            <w:tcBorders>
              <w:bottom w:val="single" w:sz="8" w:color="D64000"/>
            </w:tcBorders>
            <w:shd w:val="clear" w:color="auto" w:fill="E3F3EE"/>
          </w:tcPr>
          <w:p>
            <w:pPr>
              <w:jc w:val="right"/>
              <w:ind w:right="21"/>
              <w:spacing w:after="0"/>
              <w:rPr>
                <w:sz w:val="20"/>
                <w:szCs w:val="20"/>
                <w:color w:val="auto"/>
              </w:rPr>
            </w:pPr>
            <w:r>
              <w:rPr>
                <w:rFonts w:ascii="Arial" w:cs="Arial" w:eastAsia="Arial" w:hAnsi="Arial"/>
                <w:sz w:val="16"/>
                <w:szCs w:val="16"/>
                <w:b w:val="1"/>
                <w:bCs w:val="1"/>
                <w:color w:val="auto"/>
              </w:rPr>
              <w:t>2024</w:t>
            </w:r>
          </w:p>
        </w:tc>
        <w:tc>
          <w:tcPr>
            <w:tcW w:w="620" w:type="dxa"/>
            <w:vAlign w:val="bottom"/>
            <w:tcBorders>
              <w:bottom w:val="single" w:sz="8" w:color="D64000"/>
            </w:tcBorders>
            <w:shd w:val="clear" w:color="auto" w:fill="E3F3EE"/>
          </w:tcPr>
          <w:p>
            <w:pPr>
              <w:jc w:val="right"/>
              <w:spacing w:after="0"/>
              <w:rPr>
                <w:sz w:val="20"/>
                <w:szCs w:val="20"/>
                <w:color w:val="auto"/>
              </w:rPr>
            </w:pPr>
            <w:r>
              <w:rPr>
                <w:rFonts w:ascii="Arial" w:cs="Arial" w:eastAsia="Arial" w:hAnsi="Arial"/>
                <w:sz w:val="16"/>
                <w:szCs w:val="16"/>
                <w:color w:val="auto"/>
              </w:rPr>
              <w:t>2023</w:t>
            </w:r>
          </w:p>
        </w:tc>
      </w:tr>
      <w:tr>
        <w:trPr>
          <w:trHeight w:val="171"/>
        </w:trPr>
        <w:tc>
          <w:tcPr>
            <w:tcW w:w="4400" w:type="dxa"/>
            <w:vAlign w:val="bottom"/>
          </w:tcPr>
          <w:p>
            <w:pPr>
              <w:spacing w:after="0" w:line="171" w:lineRule="exact"/>
              <w:rPr>
                <w:sz w:val="20"/>
                <w:szCs w:val="20"/>
                <w:color w:val="auto"/>
              </w:rPr>
            </w:pPr>
            <w:r>
              <w:rPr>
                <w:rFonts w:ascii="Arial" w:cs="Arial" w:eastAsia="Arial" w:hAnsi="Arial"/>
                <w:sz w:val="16"/>
                <w:szCs w:val="16"/>
                <w:color w:val="auto"/>
              </w:rPr>
              <w:t> Discount rate</w:t>
            </w:r>
          </w:p>
        </w:tc>
        <w:tc>
          <w:tcPr>
            <w:tcW w:w="2280" w:type="dxa"/>
            <w:vAlign w:val="bottom"/>
          </w:tcPr>
          <w:p>
            <w:pPr>
              <w:jc w:val="right"/>
              <w:ind w:right="21"/>
              <w:spacing w:after="0" w:line="171" w:lineRule="exact"/>
              <w:rPr>
                <w:sz w:val="20"/>
                <w:szCs w:val="20"/>
                <w:color w:val="auto"/>
              </w:rPr>
            </w:pPr>
            <w:r>
              <w:rPr>
                <w:rFonts w:ascii="Arial" w:cs="Arial" w:eastAsia="Arial" w:hAnsi="Arial"/>
                <w:sz w:val="16"/>
                <w:szCs w:val="16"/>
                <w:b w:val="1"/>
                <w:bCs w:val="1"/>
                <w:color w:val="auto"/>
              </w:rPr>
              <w:t>5.47%</w:t>
            </w:r>
          </w:p>
        </w:tc>
        <w:tc>
          <w:tcPr>
            <w:tcW w:w="660" w:type="dxa"/>
            <w:vAlign w:val="bottom"/>
          </w:tcPr>
          <w:p>
            <w:pPr>
              <w:jc w:val="right"/>
              <w:ind w:right="21"/>
              <w:spacing w:after="0" w:line="171" w:lineRule="exact"/>
              <w:rPr>
                <w:sz w:val="20"/>
                <w:szCs w:val="20"/>
                <w:color w:val="auto"/>
              </w:rPr>
            </w:pPr>
            <w:r>
              <w:rPr>
                <w:rFonts w:ascii="Arial" w:cs="Arial" w:eastAsia="Arial" w:hAnsi="Arial"/>
                <w:sz w:val="16"/>
                <w:szCs w:val="16"/>
                <w:color w:val="auto"/>
              </w:rPr>
              <w:t>4.86%</w:t>
            </w:r>
          </w:p>
        </w:tc>
        <w:tc>
          <w:tcPr>
            <w:tcW w:w="660" w:type="dxa"/>
            <w:vAlign w:val="bottom"/>
          </w:tcPr>
          <w:p>
            <w:pPr>
              <w:jc w:val="right"/>
              <w:ind w:right="21"/>
              <w:spacing w:after="0" w:line="171" w:lineRule="exact"/>
              <w:rPr>
                <w:sz w:val="20"/>
                <w:szCs w:val="20"/>
                <w:color w:val="auto"/>
              </w:rPr>
            </w:pPr>
            <w:r>
              <w:rPr>
                <w:rFonts w:ascii="Arial" w:cs="Arial" w:eastAsia="Arial" w:hAnsi="Arial"/>
                <w:sz w:val="16"/>
                <w:szCs w:val="16"/>
                <w:b w:val="1"/>
                <w:bCs w:val="1"/>
                <w:color w:val="auto"/>
              </w:rPr>
              <w:t>5.57%</w:t>
            </w:r>
          </w:p>
        </w:tc>
        <w:tc>
          <w:tcPr>
            <w:tcW w:w="660" w:type="dxa"/>
            <w:vAlign w:val="bottom"/>
          </w:tcPr>
          <w:p>
            <w:pPr>
              <w:jc w:val="right"/>
              <w:ind w:right="21"/>
              <w:spacing w:after="0" w:line="171" w:lineRule="exact"/>
              <w:rPr>
                <w:sz w:val="20"/>
                <w:szCs w:val="20"/>
                <w:color w:val="auto"/>
              </w:rPr>
            </w:pPr>
            <w:r>
              <w:rPr>
                <w:rFonts w:ascii="Arial" w:cs="Arial" w:eastAsia="Arial" w:hAnsi="Arial"/>
                <w:sz w:val="16"/>
                <w:szCs w:val="16"/>
                <w:color w:val="auto"/>
              </w:rPr>
              <w:t>5.06%</w:t>
            </w:r>
          </w:p>
        </w:tc>
        <w:tc>
          <w:tcPr>
            <w:tcW w:w="660" w:type="dxa"/>
            <w:vAlign w:val="bottom"/>
          </w:tcPr>
          <w:p>
            <w:pPr>
              <w:jc w:val="right"/>
              <w:ind w:right="21"/>
              <w:spacing w:after="0" w:line="171" w:lineRule="exact"/>
              <w:rPr>
                <w:sz w:val="20"/>
                <w:szCs w:val="20"/>
                <w:color w:val="auto"/>
              </w:rPr>
            </w:pPr>
            <w:r>
              <w:rPr>
                <w:rFonts w:ascii="Arial" w:cs="Arial" w:eastAsia="Arial" w:hAnsi="Arial"/>
                <w:sz w:val="16"/>
                <w:szCs w:val="16"/>
                <w:b w:val="1"/>
                <w:bCs w:val="1"/>
                <w:color w:val="auto"/>
              </w:rPr>
              <w:t>5.30%</w:t>
            </w:r>
          </w:p>
        </w:tc>
        <w:tc>
          <w:tcPr>
            <w:tcW w:w="620" w:type="dxa"/>
            <w:vAlign w:val="bottom"/>
          </w:tcPr>
          <w:p>
            <w:pPr>
              <w:jc w:val="right"/>
              <w:spacing w:after="0" w:line="171" w:lineRule="exact"/>
              <w:rPr>
                <w:sz w:val="20"/>
                <w:szCs w:val="20"/>
                <w:color w:val="auto"/>
              </w:rPr>
            </w:pPr>
            <w:r>
              <w:rPr>
                <w:rFonts w:ascii="Arial" w:cs="Arial" w:eastAsia="Arial" w:hAnsi="Arial"/>
                <w:sz w:val="16"/>
                <w:szCs w:val="16"/>
                <w:color w:val="auto"/>
              </w:rPr>
              <w:t>4.95%</w:t>
            </w:r>
          </w:p>
        </w:tc>
      </w:tr>
      <w:tr>
        <w:trPr>
          <w:trHeight w:val="185"/>
        </w:trPr>
        <w:tc>
          <w:tcPr>
            <w:tcW w:w="4400" w:type="dxa"/>
            <w:vAlign w:val="bottom"/>
          </w:tcPr>
          <w:p>
            <w:pPr>
              <w:spacing w:after="0"/>
              <w:rPr>
                <w:sz w:val="20"/>
                <w:szCs w:val="20"/>
                <w:color w:val="auto"/>
              </w:rPr>
            </w:pPr>
            <w:r>
              <w:rPr>
                <w:rFonts w:ascii="Arial" w:cs="Arial" w:eastAsia="Arial" w:hAnsi="Arial"/>
                <w:sz w:val="16"/>
                <w:szCs w:val="16"/>
                <w:color w:val="auto"/>
              </w:rPr>
              <w:t> Inflation assumption</w:t>
            </w:r>
          </w:p>
        </w:tc>
        <w:tc>
          <w:tcPr>
            <w:tcW w:w="2280" w:type="dxa"/>
            <w:vAlign w:val="bottom"/>
          </w:tcPr>
          <w:p>
            <w:pPr>
              <w:jc w:val="right"/>
              <w:ind w:right="21"/>
              <w:spacing w:after="0"/>
              <w:rPr>
                <w:sz w:val="20"/>
                <w:szCs w:val="20"/>
                <w:color w:val="auto"/>
              </w:rPr>
            </w:pPr>
            <w:r>
              <w:rPr>
                <w:rFonts w:ascii="Arial" w:cs="Arial" w:eastAsia="Arial" w:hAnsi="Arial"/>
                <w:sz w:val="16"/>
                <w:szCs w:val="16"/>
                <w:b w:val="1"/>
                <w:bCs w:val="1"/>
                <w:color w:val="auto"/>
              </w:rPr>
              <w:t>3.06%</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2.95%</w:t>
            </w:r>
          </w:p>
        </w:tc>
        <w:tc>
          <w:tcPr>
            <w:tcW w:w="660" w:type="dxa"/>
            <w:vAlign w:val="bottom"/>
          </w:tcPr>
          <w:p>
            <w:pPr>
              <w:jc w:val="right"/>
              <w:ind w:right="21"/>
              <w:spacing w:after="0"/>
              <w:rPr>
                <w:sz w:val="20"/>
                <w:szCs w:val="20"/>
                <w:color w:val="auto"/>
              </w:rPr>
            </w:pPr>
            <w:r>
              <w:rPr>
                <w:rFonts w:ascii="Arial" w:cs="Arial" w:eastAsia="Arial" w:hAnsi="Arial"/>
                <w:sz w:val="16"/>
                <w:szCs w:val="16"/>
                <w:b w:val="1"/>
                <w:bCs w:val="1"/>
                <w:color w:val="auto"/>
              </w:rPr>
              <w:t>2.70%</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2.70%</w:t>
            </w:r>
          </w:p>
        </w:tc>
        <w:tc>
          <w:tcPr>
            <w:tcW w:w="66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5"/>
        </w:trPr>
        <w:tc>
          <w:tcPr>
            <w:tcW w:w="4400" w:type="dxa"/>
            <w:vAlign w:val="bottom"/>
          </w:tcPr>
          <w:p>
            <w:pPr>
              <w:spacing w:after="0"/>
              <w:rPr>
                <w:sz w:val="20"/>
                <w:szCs w:val="20"/>
                <w:color w:val="auto"/>
              </w:rPr>
            </w:pPr>
            <w:r>
              <w:rPr>
                <w:rFonts w:ascii="Arial" w:cs="Arial" w:eastAsia="Arial" w:hAnsi="Arial"/>
                <w:sz w:val="16"/>
                <w:szCs w:val="16"/>
                <w:color w:val="auto"/>
              </w:rPr>
              <w:t> Rate of increase in pension payments</w:t>
            </w:r>
          </w:p>
        </w:tc>
        <w:tc>
          <w:tcPr>
            <w:tcW w:w="2280" w:type="dxa"/>
            <w:vAlign w:val="bottom"/>
          </w:tcPr>
          <w:p>
            <w:pPr>
              <w:jc w:val="right"/>
              <w:ind w:right="21"/>
              <w:spacing w:after="0"/>
              <w:rPr>
                <w:sz w:val="20"/>
                <w:szCs w:val="20"/>
                <w:color w:val="auto"/>
              </w:rPr>
            </w:pPr>
            <w:r>
              <w:rPr>
                <w:rFonts w:ascii="Arial" w:cs="Arial" w:eastAsia="Arial" w:hAnsi="Arial"/>
                <w:sz w:val="16"/>
                <w:szCs w:val="16"/>
                <w:b w:val="1"/>
                <w:bCs w:val="1"/>
                <w:color w:val="auto"/>
              </w:rPr>
              <w:t>2.96%</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2.87%</w:t>
            </w:r>
          </w:p>
        </w:tc>
        <w:tc>
          <w:tcPr>
            <w:tcW w:w="660" w:type="dxa"/>
            <w:vAlign w:val="bottom"/>
          </w:tcPr>
          <w:p>
            <w:pPr>
              <w:jc w:val="right"/>
              <w:ind w:right="21"/>
              <w:spacing w:after="0"/>
              <w:rPr>
                <w:sz w:val="20"/>
                <w:szCs w:val="20"/>
                <w:color w:val="auto"/>
              </w:rPr>
            </w:pPr>
            <w:r>
              <w:rPr>
                <w:rFonts w:ascii="Arial" w:cs="Arial" w:eastAsia="Arial" w:hAnsi="Arial"/>
                <w:sz w:val="16"/>
                <w:szCs w:val="16"/>
                <w:b w:val="1"/>
                <w:bCs w:val="1"/>
                <w:color w:val="auto"/>
              </w:rPr>
              <w:t>2.76%</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2.76%</w:t>
            </w:r>
          </w:p>
        </w:tc>
        <w:tc>
          <w:tcPr>
            <w:tcW w:w="66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4400" w:type="dxa"/>
            <w:vAlign w:val="bottom"/>
            <w:tcBorders>
              <w:bottom w:val="single" w:sz="8" w:color="D64000"/>
            </w:tcBorders>
          </w:tcPr>
          <w:p>
            <w:pPr>
              <w:spacing w:after="0" w:line="200" w:lineRule="exact"/>
              <w:rPr>
                <w:sz w:val="20"/>
                <w:szCs w:val="20"/>
                <w:color w:val="auto"/>
              </w:rPr>
            </w:pPr>
            <w:r>
              <w:rPr>
                <w:rFonts w:ascii="Arial" w:cs="Arial" w:eastAsia="Arial" w:hAnsi="Arial"/>
                <w:sz w:val="16"/>
                <w:szCs w:val="16"/>
                <w:color w:val="auto"/>
              </w:rPr>
              <w:t> Medical cost trend</w:t>
            </w:r>
            <w:r>
              <w:rPr>
                <w:rFonts w:ascii="Arial" w:cs="Arial" w:eastAsia="Arial" w:hAnsi="Arial"/>
                <w:sz w:val="19"/>
                <w:szCs w:val="19"/>
                <w:color w:val="auto"/>
                <w:vertAlign w:val="superscript"/>
              </w:rPr>
              <w:t>(1)</w:t>
            </w:r>
          </w:p>
        </w:tc>
        <w:tc>
          <w:tcPr>
            <w:tcW w:w="2280" w:type="dxa"/>
            <w:vAlign w:val="bottom"/>
            <w:tcBorders>
              <w:bottom w:val="single" w:sz="8" w:color="D64000"/>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D64000"/>
            </w:tcBorders>
          </w:tcPr>
          <w:p>
            <w:pPr>
              <w:jc w:val="right"/>
              <w:ind w:right="21"/>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D64000"/>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D64000"/>
            </w:tcBorders>
          </w:tcPr>
          <w:p>
            <w:pPr>
              <w:jc w:val="right"/>
              <w:ind w:right="21"/>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D64000"/>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D64000"/>
            </w:tcBorders>
          </w:tcPr>
          <w:p>
            <w:pPr>
              <w:jc w:val="right"/>
              <w:spacing w:after="0"/>
              <w:rPr>
                <w:sz w:val="20"/>
                <w:szCs w:val="20"/>
                <w:color w:val="auto"/>
              </w:rPr>
            </w:pPr>
            <w:r>
              <w:rPr>
                <w:rFonts w:ascii="Arial" w:cs="Arial" w:eastAsia="Arial" w:hAnsi="Arial"/>
                <w:sz w:val="16"/>
                <w:szCs w:val="16"/>
                <w:color w:val="auto"/>
              </w:rPr>
              <w:t>7.00%</w:t>
            </w:r>
          </w:p>
        </w:tc>
      </w:tr>
    </w:tbl>
    <w:p>
      <w:pPr>
        <w:spacing w:after="0" w:line="110" w:lineRule="exact"/>
        <w:rPr>
          <w:sz w:val="20"/>
          <w:szCs w:val="20"/>
          <w:color w:val="auto"/>
        </w:rPr>
      </w:pPr>
    </w:p>
    <w:p>
      <w:pPr>
        <w:ind w:left="640" w:right="260" w:hanging="422"/>
        <w:spacing w:after="0" w:line="274" w:lineRule="auto"/>
        <w:tabs>
          <w:tab w:leader="none" w:pos="64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Not applicable as of December 31, 2024 due to adoption of an HRA design for U.S. retiree medical plan benefits effective January 1, 2025. See “Plan amendment” above for additional information.</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Discount rate</w:t>
      </w:r>
    </w:p>
    <w:p>
      <w:pPr>
        <w:spacing w:after="0" w:line="6" w:lineRule="exact"/>
        <w:rPr>
          <w:sz w:val="20"/>
          <w:szCs w:val="20"/>
          <w:color w:val="auto"/>
        </w:rPr>
      </w:pPr>
    </w:p>
    <w:p>
      <w:pPr>
        <w:ind w:left="220" w:right="80"/>
        <w:spacing w:after="0" w:line="232" w:lineRule="auto"/>
        <w:rPr>
          <w:sz w:val="20"/>
          <w:szCs w:val="20"/>
          <w:color w:val="auto"/>
        </w:rPr>
      </w:pPr>
      <w:r>
        <w:rPr>
          <w:rFonts w:ascii="Arial" w:cs="Arial" w:eastAsia="Arial" w:hAnsi="Arial"/>
          <w:sz w:val="17"/>
          <w:szCs w:val="17"/>
          <w:color w:val="auto"/>
        </w:rPr>
        <w:t>The discount rate was based on current market interest rates of high-quality, fixed-rate debt securities adjusted to reflect the duration of expected future cash outflows for pension benefit payments. To estimate the discount rate, the Company used a hypothetical yield curve that represented yields on high quality zero-coupon bonds with durations that mirrored the expected payment stream of the benefit obligation. For the TRGP and the TTC plans combined, a 0.25% increase or decrease in the discount rate would have decreased or increased the defined benefit obligation by approximately $67 million as of December 31, 2024.</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Rates of inflation and pension payments</w:t>
      </w:r>
    </w:p>
    <w:p>
      <w:pPr>
        <w:spacing w:after="0" w:line="6" w:lineRule="exact"/>
        <w:rPr>
          <w:sz w:val="20"/>
          <w:szCs w:val="20"/>
          <w:color w:val="auto"/>
        </w:rPr>
      </w:pPr>
    </w:p>
    <w:p>
      <w:pPr>
        <w:ind w:left="220" w:right="400"/>
        <w:spacing w:after="0" w:line="236" w:lineRule="auto"/>
        <w:rPr>
          <w:sz w:val="20"/>
          <w:szCs w:val="20"/>
          <w:color w:val="auto"/>
        </w:rPr>
      </w:pPr>
      <w:r>
        <w:rPr>
          <w:rFonts w:ascii="Arial" w:cs="Arial" w:eastAsia="Arial" w:hAnsi="Arial"/>
          <w:sz w:val="17"/>
          <w:szCs w:val="17"/>
          <w:color w:val="auto"/>
        </w:rPr>
        <w:t>The rate of inflation, which impacts increases in eligible U.K. pension payments, was determined by reference to consumer and retail price indices. For the TTC plan, a 0.25% increase or decrease in the rate of increase in pension payments would have increased or decreased the defined benefit obligation by approximately $12 million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92075</wp:posOffset>
            </wp:positionV>
            <wp:extent cx="686562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6"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132</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Mortality assumptions</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mortality assumptions used to assess the defined benefit obligation as of December 31, 2024 are based on the following:</w:t>
      </w:r>
    </w:p>
    <w:p>
      <w:pPr>
        <w:spacing w:after="0" w:line="93" w:lineRule="exact"/>
        <w:rPr>
          <w:sz w:val="20"/>
          <w:szCs w:val="20"/>
          <w:color w:val="auto"/>
        </w:rPr>
      </w:pPr>
    </w:p>
    <w:p>
      <w:pPr>
        <w:ind w:left="640" w:hanging="422"/>
        <w:spacing w:after="0"/>
        <w:tabs>
          <w:tab w:leader="none" w:pos="640" w:val="left"/>
        </w:tabs>
        <w:numPr>
          <w:ilvl w:val="0"/>
          <w:numId w:val="143"/>
        </w:numPr>
        <w:rPr>
          <w:rFonts w:ascii="Arial" w:cs="Arial" w:eastAsia="Arial" w:hAnsi="Arial"/>
          <w:sz w:val="17"/>
          <w:szCs w:val="17"/>
          <w:color w:val="D64000"/>
        </w:rPr>
      </w:pPr>
      <w:r>
        <w:rPr>
          <w:rFonts w:ascii="Arial" w:cs="Arial" w:eastAsia="Arial" w:hAnsi="Arial"/>
          <w:sz w:val="17"/>
          <w:szCs w:val="17"/>
          <w:color w:val="auto"/>
        </w:rPr>
        <w:t>TRGP: Pri-2012/MP-2021 Generational Table; and</w:t>
      </w:r>
    </w:p>
    <w:p>
      <w:pPr>
        <w:spacing w:after="0" w:line="6" w:lineRule="exact"/>
        <w:rPr>
          <w:rFonts w:ascii="Arial" w:cs="Arial" w:eastAsia="Arial" w:hAnsi="Arial"/>
          <w:sz w:val="17"/>
          <w:szCs w:val="17"/>
          <w:color w:val="D64000"/>
        </w:rPr>
      </w:pPr>
    </w:p>
    <w:p>
      <w:pPr>
        <w:ind w:left="640" w:hanging="422"/>
        <w:spacing w:after="0"/>
        <w:tabs>
          <w:tab w:leader="none" w:pos="640" w:val="left"/>
        </w:tabs>
        <w:numPr>
          <w:ilvl w:val="0"/>
          <w:numId w:val="143"/>
        </w:numPr>
        <w:rPr>
          <w:rFonts w:ascii="Arial" w:cs="Arial" w:eastAsia="Arial" w:hAnsi="Arial"/>
          <w:sz w:val="17"/>
          <w:szCs w:val="17"/>
          <w:color w:val="D64000"/>
        </w:rPr>
      </w:pPr>
      <w:r>
        <w:rPr>
          <w:rFonts w:ascii="Arial" w:cs="Arial" w:eastAsia="Arial" w:hAnsi="Arial"/>
          <w:sz w:val="17"/>
          <w:szCs w:val="17"/>
          <w:color w:val="auto"/>
        </w:rPr>
        <w:t>TTC plan: SAPS S3 Light Tables with allowances for plan demographic specifics and longevity improvements.</w:t>
      </w:r>
    </w:p>
    <w:p>
      <w:pPr>
        <w:spacing w:after="0" w:line="80" w:lineRule="exact"/>
        <w:rPr>
          <w:sz w:val="20"/>
          <w:szCs w:val="20"/>
          <w:color w:val="auto"/>
        </w:rPr>
      </w:pPr>
    </w:p>
    <w:p>
      <w:pPr>
        <w:ind w:left="220" w:right="20"/>
        <w:spacing w:after="0" w:line="260" w:lineRule="auto"/>
        <w:rPr>
          <w:sz w:val="20"/>
          <w:szCs w:val="20"/>
          <w:color w:val="auto"/>
        </w:rPr>
      </w:pPr>
      <w:r>
        <w:rPr>
          <w:rFonts w:ascii="Arial" w:cs="Arial" w:eastAsia="Arial" w:hAnsi="Arial"/>
          <w:sz w:val="17"/>
          <w:szCs w:val="17"/>
          <w:color w:val="auto"/>
        </w:rPr>
        <w:t>The following table illustrates the life expectation in years of an average plan participant retiring at age 65 as of December 31, 2024 and 2023 and a plan participant at age 40 as of December 31, 2024 and 2023 retiring 25 years later at age 65 under the mortality assumptions used.</w:t>
      </w:r>
    </w:p>
    <w:p>
      <w:pPr>
        <w:spacing w:after="0" w:line="208"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3320" w:type="dxa"/>
            <w:vAlign w:val="bottom"/>
            <w:tcBorders>
              <w:bottom w:val="single" w:sz="8" w:color="E3F3EE"/>
            </w:tcBorders>
            <w:vMerge w:val="restart"/>
            <w:shd w:val="clear" w:color="auto" w:fill="E3F3EE"/>
          </w:tcPr>
          <w:p>
            <w:pPr>
              <w:spacing w:after="0"/>
              <w:rPr>
                <w:sz w:val="20"/>
                <w:szCs w:val="20"/>
                <w:color w:val="auto"/>
              </w:rPr>
            </w:pPr>
            <w:r>
              <w:rPr>
                <w:rFonts w:ascii="Arial" w:cs="Arial" w:eastAsia="Arial" w:hAnsi="Arial"/>
                <w:sz w:val="16"/>
                <w:szCs w:val="16"/>
                <w:b w:val="1"/>
                <w:bCs w:val="1"/>
                <w:color w:val="auto"/>
              </w:rPr>
              <w:t>December 31, 2024</w:t>
            </w:r>
          </w:p>
        </w:tc>
        <w:tc>
          <w:tcPr>
            <w:tcW w:w="4040" w:type="dxa"/>
            <w:vAlign w:val="bottom"/>
            <w:tcBorders>
              <w:bottom w:val="single" w:sz="8" w:color="1F473D"/>
            </w:tcBorders>
            <w:shd w:val="clear" w:color="auto" w:fill="1F473D"/>
          </w:tcPr>
          <w:p>
            <w:pPr>
              <w:spacing w:after="0"/>
              <w:rPr>
                <w:sz w:val="16"/>
                <w:szCs w:val="16"/>
                <w:color w:val="auto"/>
              </w:rPr>
            </w:pPr>
          </w:p>
        </w:tc>
        <w:tc>
          <w:tcPr>
            <w:tcW w:w="2580" w:type="dxa"/>
            <w:vAlign w:val="bottom"/>
            <w:tcBorders>
              <w:bottom w:val="single" w:sz="8" w:color="D64000"/>
            </w:tcBorders>
            <w:gridSpan w:val="2"/>
            <w:shd w:val="clear" w:color="auto" w:fill="1F473D"/>
          </w:tcPr>
          <w:p>
            <w:pPr>
              <w:jc w:val="right"/>
              <w:ind w:right="81"/>
              <w:spacing w:after="0"/>
              <w:rPr>
                <w:sz w:val="20"/>
                <w:szCs w:val="20"/>
                <w:color w:val="auto"/>
              </w:rPr>
            </w:pPr>
            <w:r>
              <w:rPr>
                <w:rFonts w:ascii="Arial" w:cs="Arial" w:eastAsia="Arial" w:hAnsi="Arial"/>
                <w:sz w:val="16"/>
                <w:szCs w:val="16"/>
                <w:b w:val="1"/>
                <w:bCs w:val="1"/>
                <w:color w:val="FFFFFF"/>
              </w:rPr>
              <w:t>Life Expectation in Years</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D64000"/>
            </w:tcBorders>
            <w:vMerge w:val="continue"/>
            <w:shd w:val="clear" w:color="auto" w:fill="E3F3EE"/>
          </w:tcPr>
          <w:p>
            <w:pPr>
              <w:spacing w:after="0"/>
              <w:rPr>
                <w:sz w:val="16"/>
                <w:szCs w:val="16"/>
                <w:color w:val="auto"/>
              </w:rPr>
            </w:pPr>
          </w:p>
        </w:tc>
        <w:tc>
          <w:tcPr>
            <w:tcW w:w="4040" w:type="dxa"/>
            <w:vAlign w:val="bottom"/>
            <w:tcBorders>
              <w:bottom w:val="single" w:sz="8" w:color="D64000"/>
            </w:tcBorders>
            <w:shd w:val="clear" w:color="auto" w:fill="1F473D"/>
          </w:tcPr>
          <w:p>
            <w:pPr>
              <w:spacing w:after="0"/>
              <w:rPr>
                <w:sz w:val="16"/>
                <w:szCs w:val="16"/>
                <w:color w:val="auto"/>
              </w:rPr>
            </w:pPr>
          </w:p>
        </w:tc>
        <w:tc>
          <w:tcPr>
            <w:tcW w:w="1520" w:type="dxa"/>
            <w:vAlign w:val="bottom"/>
            <w:tcBorders>
              <w:bottom w:val="single" w:sz="8" w:color="D64000"/>
            </w:tcBorders>
            <w:shd w:val="clear" w:color="auto" w:fill="1F473D"/>
          </w:tcPr>
          <w:p>
            <w:pPr>
              <w:jc w:val="right"/>
              <w:ind w:right="401"/>
              <w:spacing w:after="0"/>
              <w:rPr>
                <w:sz w:val="20"/>
                <w:szCs w:val="20"/>
                <w:color w:val="auto"/>
              </w:rPr>
            </w:pPr>
            <w:r>
              <w:rPr>
                <w:rFonts w:ascii="Arial" w:cs="Arial" w:eastAsia="Arial" w:hAnsi="Arial"/>
                <w:sz w:val="16"/>
                <w:szCs w:val="16"/>
                <w:b w:val="1"/>
                <w:bCs w:val="1"/>
                <w:color w:val="FFFFFF"/>
              </w:rPr>
              <w:t>Male</w:t>
            </w:r>
          </w:p>
        </w:tc>
        <w:tc>
          <w:tcPr>
            <w:tcW w:w="106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b w:val="1"/>
                <w:bCs w:val="1"/>
                <w:color w:val="FFFFFF"/>
              </w:rPr>
              <w:t>Female</w:t>
            </w:r>
          </w:p>
        </w:tc>
        <w:tc>
          <w:tcPr>
            <w:tcW w:w="0" w:type="dxa"/>
            <w:vAlign w:val="bottom"/>
          </w:tcPr>
          <w:p>
            <w:pPr>
              <w:spacing w:after="0"/>
              <w:rPr>
                <w:sz w:val="1"/>
                <w:szCs w:val="1"/>
                <w:color w:val="auto"/>
              </w:rPr>
            </w:pPr>
          </w:p>
        </w:tc>
      </w:tr>
      <w:tr>
        <w:trPr>
          <w:trHeight w:val="171"/>
        </w:trPr>
        <w:tc>
          <w:tcPr>
            <w:tcW w:w="3320" w:type="dxa"/>
            <w:vAlign w:val="bottom"/>
          </w:tcPr>
          <w:p>
            <w:pPr>
              <w:spacing w:after="0" w:line="171" w:lineRule="exact"/>
              <w:rPr>
                <w:sz w:val="20"/>
                <w:szCs w:val="20"/>
                <w:color w:val="auto"/>
              </w:rPr>
            </w:pPr>
            <w:r>
              <w:rPr>
                <w:rFonts w:ascii="Arial" w:cs="Arial" w:eastAsia="Arial" w:hAnsi="Arial"/>
                <w:sz w:val="16"/>
                <w:szCs w:val="16"/>
                <w:color w:val="auto"/>
              </w:rPr>
              <w:t>Employee retiring as of December 31, 2024 at</w:t>
            </w:r>
          </w:p>
        </w:tc>
        <w:tc>
          <w:tcPr>
            <w:tcW w:w="4040" w:type="dxa"/>
            <w:vAlign w:val="bottom"/>
          </w:tcPr>
          <w:p>
            <w:pPr>
              <w:spacing w:after="0" w:line="171" w:lineRule="exact"/>
              <w:rPr>
                <w:sz w:val="20"/>
                <w:szCs w:val="20"/>
                <w:color w:val="auto"/>
              </w:rPr>
            </w:pPr>
            <w:r>
              <w:rPr>
                <w:rFonts w:ascii="Arial" w:cs="Arial" w:eastAsia="Arial" w:hAnsi="Arial"/>
                <w:sz w:val="16"/>
                <w:szCs w:val="16"/>
                <w:color w:val="auto"/>
              </w:rPr>
              <w:t>age 65</w:t>
            </w:r>
          </w:p>
        </w:tc>
        <w:tc>
          <w:tcPr>
            <w:tcW w:w="1520" w:type="dxa"/>
            <w:vAlign w:val="bottom"/>
          </w:tcPr>
          <w:p>
            <w:pPr>
              <w:jc w:val="right"/>
              <w:ind w:right="401"/>
              <w:spacing w:after="0" w:line="171" w:lineRule="exact"/>
              <w:rPr>
                <w:sz w:val="20"/>
                <w:szCs w:val="20"/>
                <w:color w:val="auto"/>
              </w:rPr>
            </w:pPr>
            <w:r>
              <w:rPr>
                <w:rFonts w:ascii="Arial" w:cs="Arial" w:eastAsia="Arial" w:hAnsi="Arial"/>
                <w:sz w:val="16"/>
                <w:szCs w:val="16"/>
                <w:b w:val="1"/>
                <w:bCs w:val="1"/>
                <w:color w:val="auto"/>
              </w:rPr>
              <w:t>22</w:t>
            </w:r>
          </w:p>
        </w:tc>
        <w:tc>
          <w:tcPr>
            <w:tcW w:w="106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23</w:t>
            </w:r>
          </w:p>
        </w:tc>
        <w:tc>
          <w:tcPr>
            <w:tcW w:w="0" w:type="dxa"/>
            <w:vAlign w:val="bottom"/>
          </w:tcPr>
          <w:p>
            <w:pPr>
              <w:spacing w:after="0"/>
              <w:rPr>
                <w:sz w:val="1"/>
                <w:szCs w:val="1"/>
                <w:color w:val="auto"/>
              </w:rPr>
            </w:pPr>
          </w:p>
        </w:tc>
      </w:tr>
      <w:tr>
        <w:trPr>
          <w:trHeight w:val="206"/>
        </w:trPr>
        <w:tc>
          <w:tcPr>
            <w:tcW w:w="7360" w:type="dxa"/>
            <w:vAlign w:val="bottom"/>
            <w:tcBorders>
              <w:bottom w:val="single" w:sz="8" w:color="D64000"/>
            </w:tcBorders>
            <w:gridSpan w:val="2"/>
          </w:tcPr>
          <w:p>
            <w:pPr>
              <w:spacing w:after="0"/>
              <w:rPr>
                <w:sz w:val="20"/>
                <w:szCs w:val="20"/>
                <w:color w:val="auto"/>
              </w:rPr>
            </w:pPr>
            <w:r>
              <w:rPr>
                <w:rFonts w:ascii="Arial" w:cs="Arial" w:eastAsia="Arial" w:hAnsi="Arial"/>
                <w:sz w:val="16"/>
                <w:szCs w:val="16"/>
                <w:color w:val="auto"/>
              </w:rPr>
              <w:t>Employee age 40 as of December 31, 2024 retiring at age 65</w:t>
            </w:r>
          </w:p>
        </w:tc>
        <w:tc>
          <w:tcPr>
            <w:tcW w:w="1520" w:type="dxa"/>
            <w:vAlign w:val="bottom"/>
            <w:tcBorders>
              <w:bottom w:val="single" w:sz="8" w:color="D64000"/>
            </w:tcBorders>
          </w:tcPr>
          <w:p>
            <w:pPr>
              <w:jc w:val="right"/>
              <w:ind w:right="401"/>
              <w:spacing w:after="0"/>
              <w:rPr>
                <w:sz w:val="20"/>
                <w:szCs w:val="20"/>
                <w:color w:val="auto"/>
              </w:rPr>
            </w:pPr>
            <w:r>
              <w:rPr>
                <w:rFonts w:ascii="Arial" w:cs="Arial" w:eastAsia="Arial" w:hAnsi="Arial"/>
                <w:sz w:val="16"/>
                <w:szCs w:val="16"/>
                <w:b w:val="1"/>
                <w:bCs w:val="1"/>
                <w:color w:val="auto"/>
              </w:rPr>
              <w:t>24</w:t>
            </w:r>
          </w:p>
        </w:tc>
        <w:tc>
          <w:tcPr>
            <w:tcW w:w="1060" w:type="dxa"/>
            <w:vAlign w:val="bottom"/>
            <w:tcBorders>
              <w:bottom w:val="single" w:sz="8" w:color="D64000"/>
            </w:tcBorders>
          </w:tcPr>
          <w:p>
            <w:pPr>
              <w:jc w:val="right"/>
              <w:spacing w:after="0"/>
              <w:rPr>
                <w:sz w:val="20"/>
                <w:szCs w:val="20"/>
                <w:color w:val="auto"/>
              </w:rPr>
            </w:pPr>
            <w:r>
              <w:rPr>
                <w:rFonts w:ascii="Arial" w:cs="Arial" w:eastAsia="Arial" w:hAnsi="Arial"/>
                <w:sz w:val="16"/>
                <w:szCs w:val="16"/>
                <w:b w:val="1"/>
                <w:bCs w:val="1"/>
                <w:color w:val="auto"/>
              </w:rPr>
              <w:t>25</w:t>
            </w:r>
          </w:p>
        </w:tc>
        <w:tc>
          <w:tcPr>
            <w:tcW w:w="0" w:type="dxa"/>
            <w:vAlign w:val="bottom"/>
          </w:tcPr>
          <w:p>
            <w:pPr>
              <w:spacing w:after="0"/>
              <w:rPr>
                <w:sz w:val="1"/>
                <w:szCs w:val="1"/>
                <w:color w:val="auto"/>
              </w:rPr>
            </w:pPr>
          </w:p>
        </w:tc>
      </w:tr>
      <w:tr>
        <w:trPr>
          <w:trHeight w:val="186"/>
        </w:trPr>
        <w:tc>
          <w:tcPr>
            <w:tcW w:w="33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320" w:type="dxa"/>
            <w:vAlign w:val="bottom"/>
            <w:shd w:val="clear" w:color="auto" w:fill="E3F3EE"/>
          </w:tcPr>
          <w:p>
            <w:pPr>
              <w:spacing w:after="0"/>
              <w:rPr>
                <w:sz w:val="14"/>
                <w:szCs w:val="14"/>
                <w:color w:val="auto"/>
              </w:rPr>
            </w:pPr>
          </w:p>
        </w:tc>
        <w:tc>
          <w:tcPr>
            <w:tcW w:w="4040" w:type="dxa"/>
            <w:vAlign w:val="bottom"/>
            <w:shd w:val="clear" w:color="auto" w:fill="1F473D"/>
          </w:tcPr>
          <w:p>
            <w:pPr>
              <w:spacing w:after="0"/>
              <w:rPr>
                <w:sz w:val="14"/>
                <w:szCs w:val="14"/>
                <w:color w:val="auto"/>
              </w:rPr>
            </w:pPr>
          </w:p>
        </w:tc>
        <w:tc>
          <w:tcPr>
            <w:tcW w:w="1520" w:type="dxa"/>
            <w:vAlign w:val="bottom"/>
            <w:shd w:val="clear" w:color="auto" w:fill="1F473D"/>
          </w:tcPr>
          <w:p>
            <w:pPr>
              <w:spacing w:after="0"/>
              <w:rPr>
                <w:sz w:val="14"/>
                <w:szCs w:val="14"/>
                <w:color w:val="auto"/>
              </w:rPr>
            </w:pPr>
          </w:p>
        </w:tc>
        <w:tc>
          <w:tcPr>
            <w:tcW w:w="1060" w:type="dxa"/>
            <w:vAlign w:val="bottom"/>
            <w:shd w:val="clear" w:color="auto" w:fill="1F473D"/>
          </w:tcPr>
          <w:p>
            <w:pPr>
              <w:jc w:val="right"/>
              <w:ind w:right="41"/>
              <w:spacing w:after="0" w:line="171" w:lineRule="exact"/>
              <w:rPr>
                <w:sz w:val="20"/>
                <w:szCs w:val="20"/>
                <w:color w:val="auto"/>
              </w:rPr>
            </w:pPr>
            <w:r>
              <w:rPr>
                <w:rFonts w:ascii="Arial" w:cs="Arial" w:eastAsia="Arial" w:hAnsi="Arial"/>
                <w:sz w:val="16"/>
                <w:szCs w:val="16"/>
                <w:b w:val="1"/>
                <w:bCs w:val="1"/>
                <w:color w:val="FFFFFF"/>
              </w:rPr>
              <w:t xml:space="preserve">   </w:t>
            </w:r>
          </w:p>
        </w:tc>
        <w:tc>
          <w:tcPr>
            <w:tcW w:w="0" w:type="dxa"/>
            <w:vAlign w:val="bottom"/>
          </w:tcPr>
          <w:p>
            <w:pPr>
              <w:spacing w:after="0"/>
              <w:rPr>
                <w:sz w:val="1"/>
                <w:szCs w:val="1"/>
                <w:color w:val="auto"/>
              </w:rPr>
            </w:pPr>
          </w:p>
        </w:tc>
      </w:tr>
      <w:tr>
        <w:trPr>
          <w:trHeight w:val="206"/>
        </w:trPr>
        <w:tc>
          <w:tcPr>
            <w:tcW w:w="3320" w:type="dxa"/>
            <w:vAlign w:val="bottom"/>
            <w:tcBorders>
              <w:bottom w:val="single" w:sz="8" w:color="E3F3EE"/>
            </w:tcBorders>
            <w:vMerge w:val="restart"/>
            <w:shd w:val="clear" w:color="auto" w:fill="E3F3EE"/>
          </w:tcPr>
          <w:p>
            <w:pPr>
              <w:spacing w:after="0"/>
              <w:rPr>
                <w:sz w:val="20"/>
                <w:szCs w:val="20"/>
                <w:color w:val="auto"/>
              </w:rPr>
            </w:pPr>
            <w:r>
              <w:rPr>
                <w:rFonts w:ascii="Arial" w:cs="Arial" w:eastAsia="Arial" w:hAnsi="Arial"/>
                <w:sz w:val="16"/>
                <w:szCs w:val="16"/>
                <w:color w:val="auto"/>
              </w:rPr>
              <w:t>December 31, 2023</w:t>
            </w:r>
          </w:p>
        </w:tc>
        <w:tc>
          <w:tcPr>
            <w:tcW w:w="4040" w:type="dxa"/>
            <w:vAlign w:val="bottom"/>
            <w:tcBorders>
              <w:bottom w:val="single" w:sz="8" w:color="1F473D"/>
            </w:tcBorders>
            <w:shd w:val="clear" w:color="auto" w:fill="1F473D"/>
          </w:tcPr>
          <w:p>
            <w:pPr>
              <w:spacing w:after="0"/>
              <w:rPr>
                <w:sz w:val="17"/>
                <w:szCs w:val="17"/>
                <w:color w:val="auto"/>
              </w:rPr>
            </w:pPr>
          </w:p>
        </w:tc>
        <w:tc>
          <w:tcPr>
            <w:tcW w:w="2580" w:type="dxa"/>
            <w:vAlign w:val="bottom"/>
            <w:tcBorders>
              <w:bottom w:val="single" w:sz="8" w:color="D64000"/>
            </w:tcBorders>
            <w:gridSpan w:val="2"/>
            <w:shd w:val="clear" w:color="auto" w:fill="1F473D"/>
          </w:tcPr>
          <w:p>
            <w:pPr>
              <w:jc w:val="right"/>
              <w:ind w:right="81"/>
              <w:spacing w:after="0"/>
              <w:rPr>
                <w:sz w:val="20"/>
                <w:szCs w:val="20"/>
                <w:color w:val="auto"/>
              </w:rPr>
            </w:pPr>
            <w:r>
              <w:rPr>
                <w:rFonts w:ascii="Arial" w:cs="Arial" w:eastAsia="Arial" w:hAnsi="Arial"/>
                <w:sz w:val="16"/>
                <w:szCs w:val="16"/>
                <w:b w:val="1"/>
                <w:bCs w:val="1"/>
                <w:color w:val="FFFFFF"/>
              </w:rPr>
              <w:t>Life Expectation in Years</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D64000"/>
            </w:tcBorders>
            <w:vMerge w:val="continue"/>
            <w:shd w:val="clear" w:color="auto" w:fill="E3F3EE"/>
          </w:tcPr>
          <w:p>
            <w:pPr>
              <w:spacing w:after="0"/>
              <w:rPr>
                <w:sz w:val="16"/>
                <w:szCs w:val="16"/>
                <w:color w:val="auto"/>
              </w:rPr>
            </w:pPr>
          </w:p>
        </w:tc>
        <w:tc>
          <w:tcPr>
            <w:tcW w:w="4040" w:type="dxa"/>
            <w:vAlign w:val="bottom"/>
            <w:tcBorders>
              <w:bottom w:val="single" w:sz="8" w:color="D64000"/>
            </w:tcBorders>
            <w:shd w:val="clear" w:color="auto" w:fill="1F473D"/>
          </w:tcPr>
          <w:p>
            <w:pPr>
              <w:spacing w:after="0"/>
              <w:rPr>
                <w:sz w:val="16"/>
                <w:szCs w:val="16"/>
                <w:color w:val="auto"/>
              </w:rPr>
            </w:pPr>
          </w:p>
        </w:tc>
        <w:tc>
          <w:tcPr>
            <w:tcW w:w="1520" w:type="dxa"/>
            <w:vAlign w:val="bottom"/>
            <w:tcBorders>
              <w:bottom w:val="single" w:sz="8" w:color="D64000"/>
            </w:tcBorders>
            <w:shd w:val="clear" w:color="auto" w:fill="1F473D"/>
          </w:tcPr>
          <w:p>
            <w:pPr>
              <w:jc w:val="right"/>
              <w:ind w:right="401"/>
              <w:spacing w:after="0"/>
              <w:rPr>
                <w:sz w:val="20"/>
                <w:szCs w:val="20"/>
                <w:color w:val="auto"/>
              </w:rPr>
            </w:pPr>
            <w:r>
              <w:rPr>
                <w:rFonts w:ascii="Arial" w:cs="Arial" w:eastAsia="Arial" w:hAnsi="Arial"/>
                <w:sz w:val="16"/>
                <w:szCs w:val="16"/>
                <w:b w:val="1"/>
                <w:bCs w:val="1"/>
                <w:color w:val="FFFFFF"/>
              </w:rPr>
              <w:t>Male</w:t>
            </w:r>
          </w:p>
        </w:tc>
        <w:tc>
          <w:tcPr>
            <w:tcW w:w="106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b w:val="1"/>
                <w:bCs w:val="1"/>
                <w:color w:val="FFFFFF"/>
              </w:rPr>
              <w:t>Female</w:t>
            </w:r>
          </w:p>
        </w:tc>
        <w:tc>
          <w:tcPr>
            <w:tcW w:w="0" w:type="dxa"/>
            <w:vAlign w:val="bottom"/>
          </w:tcPr>
          <w:p>
            <w:pPr>
              <w:spacing w:after="0"/>
              <w:rPr>
                <w:sz w:val="1"/>
                <w:szCs w:val="1"/>
                <w:color w:val="auto"/>
              </w:rPr>
            </w:pPr>
          </w:p>
        </w:tc>
      </w:tr>
      <w:tr>
        <w:trPr>
          <w:trHeight w:val="171"/>
        </w:trPr>
        <w:tc>
          <w:tcPr>
            <w:tcW w:w="3320" w:type="dxa"/>
            <w:vAlign w:val="bottom"/>
          </w:tcPr>
          <w:p>
            <w:pPr>
              <w:spacing w:after="0" w:line="171" w:lineRule="exact"/>
              <w:rPr>
                <w:sz w:val="20"/>
                <w:szCs w:val="20"/>
                <w:color w:val="auto"/>
              </w:rPr>
            </w:pPr>
            <w:r>
              <w:rPr>
                <w:rFonts w:ascii="Arial" w:cs="Arial" w:eastAsia="Arial" w:hAnsi="Arial"/>
                <w:sz w:val="16"/>
                <w:szCs w:val="16"/>
                <w:color w:val="auto"/>
              </w:rPr>
              <w:t>Employee retiring as of December 31, 2023 at</w:t>
            </w:r>
          </w:p>
        </w:tc>
        <w:tc>
          <w:tcPr>
            <w:tcW w:w="4040" w:type="dxa"/>
            <w:vAlign w:val="bottom"/>
          </w:tcPr>
          <w:p>
            <w:pPr>
              <w:spacing w:after="0" w:line="171" w:lineRule="exact"/>
              <w:rPr>
                <w:sz w:val="20"/>
                <w:szCs w:val="20"/>
                <w:color w:val="auto"/>
              </w:rPr>
            </w:pPr>
            <w:r>
              <w:rPr>
                <w:rFonts w:ascii="Arial" w:cs="Arial" w:eastAsia="Arial" w:hAnsi="Arial"/>
                <w:sz w:val="16"/>
                <w:szCs w:val="16"/>
                <w:color w:val="auto"/>
              </w:rPr>
              <w:t>age 65</w:t>
            </w:r>
          </w:p>
        </w:tc>
        <w:tc>
          <w:tcPr>
            <w:tcW w:w="1520" w:type="dxa"/>
            <w:vAlign w:val="bottom"/>
          </w:tcPr>
          <w:p>
            <w:pPr>
              <w:jc w:val="right"/>
              <w:ind w:right="401"/>
              <w:spacing w:after="0" w:line="171" w:lineRule="exact"/>
              <w:rPr>
                <w:sz w:val="20"/>
                <w:szCs w:val="20"/>
                <w:color w:val="auto"/>
              </w:rPr>
            </w:pPr>
            <w:r>
              <w:rPr>
                <w:rFonts w:ascii="Arial" w:cs="Arial" w:eastAsia="Arial" w:hAnsi="Arial"/>
                <w:sz w:val="16"/>
                <w:szCs w:val="16"/>
                <w:color w:val="auto"/>
              </w:rPr>
              <w:t>22</w:t>
            </w:r>
          </w:p>
        </w:tc>
        <w:tc>
          <w:tcPr>
            <w:tcW w:w="1060" w:type="dxa"/>
            <w:vAlign w:val="bottom"/>
          </w:tcPr>
          <w:p>
            <w:pPr>
              <w:jc w:val="right"/>
              <w:spacing w:after="0" w:line="171" w:lineRule="exact"/>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6"/>
        </w:trPr>
        <w:tc>
          <w:tcPr>
            <w:tcW w:w="7360" w:type="dxa"/>
            <w:vAlign w:val="bottom"/>
            <w:tcBorders>
              <w:bottom w:val="single" w:sz="8" w:color="D64000"/>
            </w:tcBorders>
            <w:gridSpan w:val="2"/>
          </w:tcPr>
          <w:p>
            <w:pPr>
              <w:spacing w:after="0"/>
              <w:rPr>
                <w:sz w:val="20"/>
                <w:szCs w:val="20"/>
                <w:color w:val="auto"/>
              </w:rPr>
            </w:pPr>
            <w:r>
              <w:rPr>
                <w:rFonts w:ascii="Arial" w:cs="Arial" w:eastAsia="Arial" w:hAnsi="Arial"/>
                <w:sz w:val="16"/>
                <w:szCs w:val="16"/>
                <w:color w:val="auto"/>
              </w:rPr>
              <w:t>Employee age 40 as of December 31, 2023 retiring at age 65</w:t>
            </w:r>
          </w:p>
        </w:tc>
        <w:tc>
          <w:tcPr>
            <w:tcW w:w="1520" w:type="dxa"/>
            <w:vAlign w:val="bottom"/>
            <w:tcBorders>
              <w:bottom w:val="single" w:sz="8" w:color="D64000"/>
            </w:tcBorders>
          </w:tcPr>
          <w:p>
            <w:pPr>
              <w:jc w:val="right"/>
              <w:ind w:right="401"/>
              <w:spacing w:after="0"/>
              <w:rPr>
                <w:sz w:val="20"/>
                <w:szCs w:val="20"/>
                <w:color w:val="auto"/>
              </w:rPr>
            </w:pPr>
            <w:r>
              <w:rPr>
                <w:rFonts w:ascii="Arial" w:cs="Arial" w:eastAsia="Arial" w:hAnsi="Arial"/>
                <w:sz w:val="16"/>
                <w:szCs w:val="16"/>
                <w:color w:val="auto"/>
              </w:rPr>
              <w:t>24</w:t>
            </w:r>
          </w:p>
        </w:tc>
        <w:tc>
          <w:tcPr>
            <w:tcW w:w="1060" w:type="dxa"/>
            <w:vAlign w:val="bottom"/>
            <w:tcBorders>
              <w:bottom w:val="single" w:sz="8" w:color="D64000"/>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20" w:right="220"/>
        <w:spacing w:after="0" w:line="260" w:lineRule="auto"/>
        <w:rPr>
          <w:sz w:val="20"/>
          <w:szCs w:val="20"/>
          <w:color w:val="auto"/>
        </w:rPr>
      </w:pPr>
      <w:r>
        <w:rPr>
          <w:rFonts w:ascii="Arial" w:cs="Arial" w:eastAsia="Arial" w:hAnsi="Arial"/>
          <w:sz w:val="17"/>
          <w:szCs w:val="17"/>
          <w:color w:val="auto"/>
        </w:rPr>
        <w:t>For the TRGP and the TTC plans combined, an increase in life expectancy of one year across all age groups would have increased the defined benefit obligation by approximately $48 million as of December 31, 2024.</w:t>
      </w:r>
    </w:p>
    <w:p>
      <w:pPr>
        <w:spacing w:after="0" w:line="53" w:lineRule="exact"/>
        <w:rPr>
          <w:sz w:val="20"/>
          <w:szCs w:val="20"/>
          <w:color w:val="auto"/>
        </w:rPr>
      </w:pPr>
    </w:p>
    <w:p>
      <w:pPr>
        <w:ind w:left="220" w:right="80"/>
        <w:spacing w:after="0" w:line="238" w:lineRule="auto"/>
        <w:rPr>
          <w:sz w:val="20"/>
          <w:szCs w:val="20"/>
          <w:color w:val="auto"/>
        </w:rPr>
      </w:pPr>
      <w:r>
        <w:rPr>
          <w:rFonts w:ascii="Arial" w:cs="Arial" w:eastAsia="Arial" w:hAnsi="Arial"/>
          <w:sz w:val="17"/>
          <w:szCs w:val="17"/>
          <w:color w:val="auto"/>
        </w:rPr>
        <w:t>The sensitivity analyses are based on a change in one assumption while holding all other assumptions constant, so that interdependencies between assumptions are excluded. The measurement methodology (i.e. present value of the obligation calculated using the projected unit credit method) applied in the sensitivity analyses is also consistent with that used to determine the defined benefit obligation in the consolidated statement of financial position.</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Risks and uncertainties</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material risks and uncertainties the Company is exposed to in relation to defined benefit pension plans are:</w:t>
      </w:r>
    </w:p>
    <w:p>
      <w:pPr>
        <w:spacing w:after="0" w:line="93" w:lineRule="exact"/>
        <w:rPr>
          <w:sz w:val="20"/>
          <w:szCs w:val="20"/>
          <w:color w:val="auto"/>
        </w:rPr>
      </w:pPr>
    </w:p>
    <w:p>
      <w:pPr>
        <w:jc w:val="both"/>
        <w:ind w:left="640" w:right="500" w:hanging="422"/>
        <w:spacing w:after="0" w:line="234" w:lineRule="auto"/>
        <w:tabs>
          <w:tab w:leader="none" w:pos="640" w:val="left"/>
        </w:tabs>
        <w:numPr>
          <w:ilvl w:val="0"/>
          <w:numId w:val="144"/>
        </w:numPr>
        <w:rPr>
          <w:rFonts w:ascii="Arial" w:cs="Arial" w:eastAsia="Arial" w:hAnsi="Arial"/>
          <w:sz w:val="17"/>
          <w:szCs w:val="17"/>
          <w:color w:val="D64000"/>
        </w:rPr>
      </w:pPr>
      <w:r>
        <w:rPr>
          <w:rFonts w:ascii="Arial" w:cs="Arial" w:eastAsia="Arial" w:hAnsi="Arial"/>
          <w:sz w:val="17"/>
          <w:szCs w:val="17"/>
          <w:b w:val="1"/>
          <w:bCs w:val="1"/>
          <w:color w:val="auto"/>
        </w:rPr>
        <w:t>Investment risk</w:t>
      </w:r>
      <w:r>
        <w:rPr>
          <w:rFonts w:ascii="Arial" w:cs="Arial" w:eastAsia="Arial" w:hAnsi="Arial"/>
          <w:sz w:val="17"/>
          <w:szCs w:val="17"/>
          <w:color w:val="auto"/>
        </w:rPr>
        <w:t>: Returns on plan assets may not be sufficient to fund plan obligations. To mitigate such risk, plan fiduciaries maintain</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policies and periodically review investment allocations to ensure adequate support of funding objectives. Additionally, plan fiduciaries review fund manager performance against benchmarks for specific investment mandates.</w:t>
      </w:r>
    </w:p>
    <w:p>
      <w:pPr>
        <w:ind w:left="640" w:right="260" w:hanging="422"/>
        <w:spacing w:after="0" w:line="227" w:lineRule="auto"/>
        <w:tabs>
          <w:tab w:leader="none" w:pos="640" w:val="left"/>
        </w:tabs>
        <w:numPr>
          <w:ilvl w:val="0"/>
          <w:numId w:val="144"/>
        </w:numPr>
        <w:rPr>
          <w:rFonts w:ascii="Arial" w:cs="Arial" w:eastAsia="Arial" w:hAnsi="Arial"/>
          <w:sz w:val="17"/>
          <w:szCs w:val="17"/>
          <w:color w:val="D64000"/>
        </w:rPr>
      </w:pPr>
      <w:r>
        <w:rPr>
          <w:rFonts w:ascii="Arial" w:cs="Arial" w:eastAsia="Arial" w:hAnsi="Arial"/>
          <w:sz w:val="17"/>
          <w:szCs w:val="17"/>
          <w:b w:val="1"/>
          <w:bCs w:val="1"/>
          <w:color w:val="auto"/>
        </w:rPr>
        <w:t>Interest rate risk</w:t>
      </w:r>
      <w:r>
        <w:rPr>
          <w:rFonts w:ascii="Arial" w:cs="Arial" w:eastAsia="Arial" w:hAnsi="Arial"/>
          <w:sz w:val="17"/>
          <w:szCs w:val="17"/>
          <w:color w:val="auto"/>
        </w:rPr>
        <w:t>: Although a significant amount of plan assets are allocated to fixed income investments that employ a liability-matching</w:t>
      </w:r>
      <w:r>
        <w:rPr>
          <w:rFonts w:ascii="Arial" w:cs="Arial" w:eastAsia="Arial" w:hAnsi="Arial"/>
          <w:sz w:val="17"/>
          <w:szCs w:val="17"/>
          <w:b w:val="1"/>
          <w:bCs w:val="1"/>
          <w:color w:val="auto"/>
        </w:rPr>
        <w:t xml:space="preserve"> </w:t>
      </w:r>
      <w:r>
        <w:rPr>
          <w:rFonts w:ascii="Arial" w:cs="Arial" w:eastAsia="Arial" w:hAnsi="Arial"/>
          <w:sz w:val="17"/>
          <w:szCs w:val="17"/>
          <w:color w:val="auto"/>
        </w:rPr>
        <w:t>strategy to materially hedge against interest rate risk, the Company’s funded benefit plans do not perfectly track movements in liabilities within its liability-hedging strategies. As a result, changes across the interest rate curve may require the Company to make additional contributions. Diversified asset allocations mitigate this risk by creating the potential to outperform changes in liabilities and to reinvest excess returns in liability matching assets, reducing the need for Company contributions.</w:t>
      </w:r>
    </w:p>
    <w:p>
      <w:pPr>
        <w:spacing w:after="0" w:line="3" w:lineRule="exact"/>
        <w:rPr>
          <w:rFonts w:ascii="Arial" w:cs="Arial" w:eastAsia="Arial" w:hAnsi="Arial"/>
          <w:sz w:val="17"/>
          <w:szCs w:val="17"/>
          <w:color w:val="D64000"/>
        </w:rPr>
      </w:pPr>
    </w:p>
    <w:p>
      <w:pPr>
        <w:ind w:left="640" w:right="80" w:hanging="422"/>
        <w:spacing w:after="0" w:line="227" w:lineRule="auto"/>
        <w:tabs>
          <w:tab w:leader="none" w:pos="640" w:val="left"/>
        </w:tabs>
        <w:numPr>
          <w:ilvl w:val="0"/>
          <w:numId w:val="144"/>
        </w:numPr>
        <w:rPr>
          <w:rFonts w:ascii="Arial" w:cs="Arial" w:eastAsia="Arial" w:hAnsi="Arial"/>
          <w:sz w:val="17"/>
          <w:szCs w:val="17"/>
          <w:color w:val="D64000"/>
        </w:rPr>
      </w:pPr>
      <w:r>
        <w:rPr>
          <w:rFonts w:ascii="Arial" w:cs="Arial" w:eastAsia="Arial" w:hAnsi="Arial"/>
          <w:sz w:val="17"/>
          <w:szCs w:val="17"/>
          <w:b w:val="1"/>
          <w:bCs w:val="1"/>
          <w:color w:val="auto"/>
        </w:rPr>
        <w:t>Inflation risk</w:t>
      </w:r>
      <w:r>
        <w:rPr>
          <w:rFonts w:ascii="Arial" w:cs="Arial" w:eastAsia="Arial" w:hAnsi="Arial"/>
          <w:sz w:val="17"/>
          <w:szCs w:val="17"/>
          <w:color w:val="auto"/>
        </w:rPr>
        <w:t>: Actual pension increases linked to inflation may exceed expectations, resulting in higher than anticipated plan obligations.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mitigate this risk, certain plan assets are invested in hedging assets, which may include derivatives and inflation-linked bonds.</w:t>
      </w:r>
    </w:p>
    <w:p>
      <w:pPr>
        <w:spacing w:after="0" w:line="1" w:lineRule="exact"/>
        <w:rPr>
          <w:rFonts w:ascii="Arial" w:cs="Arial" w:eastAsia="Arial" w:hAnsi="Arial"/>
          <w:sz w:val="17"/>
          <w:szCs w:val="17"/>
          <w:color w:val="D64000"/>
        </w:rPr>
      </w:pPr>
    </w:p>
    <w:p>
      <w:pPr>
        <w:ind w:left="640" w:right="400" w:hanging="422"/>
        <w:spacing w:after="0" w:line="227" w:lineRule="auto"/>
        <w:tabs>
          <w:tab w:leader="none" w:pos="640" w:val="left"/>
        </w:tabs>
        <w:numPr>
          <w:ilvl w:val="0"/>
          <w:numId w:val="144"/>
        </w:numPr>
        <w:rPr>
          <w:rFonts w:ascii="Arial" w:cs="Arial" w:eastAsia="Arial" w:hAnsi="Arial"/>
          <w:sz w:val="17"/>
          <w:szCs w:val="17"/>
          <w:color w:val="D64000"/>
        </w:rPr>
      </w:pPr>
      <w:r>
        <w:rPr>
          <w:rFonts w:ascii="Arial" w:cs="Arial" w:eastAsia="Arial" w:hAnsi="Arial"/>
          <w:sz w:val="17"/>
          <w:szCs w:val="17"/>
          <w:b w:val="1"/>
          <w:bCs w:val="1"/>
          <w:color w:val="auto"/>
        </w:rPr>
        <w:t xml:space="preserve">Currency risk: </w:t>
      </w:r>
      <w:r>
        <w:rPr>
          <w:rFonts w:ascii="Arial" w:cs="Arial" w:eastAsia="Arial" w:hAnsi="Arial"/>
          <w:sz w:val="17"/>
          <w:szCs w:val="17"/>
          <w:color w:val="auto"/>
        </w:rPr>
        <w:t>In some plans, obligations denominated in local currency may be partially funded by foreign investments. To hedge this</w:t>
      </w:r>
      <w:r>
        <w:rPr>
          <w:rFonts w:ascii="Arial" w:cs="Arial" w:eastAsia="Arial" w:hAnsi="Arial"/>
          <w:sz w:val="17"/>
          <w:szCs w:val="17"/>
          <w:b w:val="1"/>
          <w:bCs w:val="1"/>
          <w:color w:val="auto"/>
        </w:rPr>
        <w:t xml:space="preserve"> </w:t>
      </w:r>
      <w:r>
        <w:rPr>
          <w:rFonts w:ascii="Arial" w:cs="Arial" w:eastAsia="Arial" w:hAnsi="Arial"/>
          <w:sz w:val="17"/>
          <w:szCs w:val="17"/>
          <w:color w:val="auto"/>
        </w:rPr>
        <w:t>currency mismatch, derivatives may be used.</w:t>
      </w:r>
    </w:p>
    <w:p>
      <w:pPr>
        <w:spacing w:after="0" w:line="1" w:lineRule="exact"/>
        <w:rPr>
          <w:rFonts w:ascii="Arial" w:cs="Arial" w:eastAsia="Arial" w:hAnsi="Arial"/>
          <w:sz w:val="17"/>
          <w:szCs w:val="17"/>
          <w:color w:val="D64000"/>
        </w:rPr>
      </w:pPr>
    </w:p>
    <w:p>
      <w:pPr>
        <w:jc w:val="both"/>
        <w:ind w:left="640" w:right="180" w:hanging="422"/>
        <w:spacing w:after="0" w:line="227" w:lineRule="auto"/>
        <w:tabs>
          <w:tab w:leader="none" w:pos="640" w:val="left"/>
        </w:tabs>
        <w:numPr>
          <w:ilvl w:val="0"/>
          <w:numId w:val="144"/>
        </w:numPr>
        <w:rPr>
          <w:rFonts w:ascii="Arial" w:cs="Arial" w:eastAsia="Arial" w:hAnsi="Arial"/>
          <w:sz w:val="17"/>
          <w:szCs w:val="17"/>
          <w:color w:val="D64000"/>
        </w:rPr>
      </w:pPr>
      <w:r>
        <w:rPr>
          <w:rFonts w:ascii="Arial" w:cs="Arial" w:eastAsia="Arial" w:hAnsi="Arial"/>
          <w:sz w:val="17"/>
          <w:szCs w:val="17"/>
          <w:b w:val="1"/>
          <w:bCs w:val="1"/>
          <w:color w:val="auto"/>
        </w:rPr>
        <w:t>Liquidity risk</w:t>
      </w:r>
      <w:r>
        <w:rPr>
          <w:rFonts w:ascii="Arial" w:cs="Arial" w:eastAsia="Arial" w:hAnsi="Arial"/>
          <w:sz w:val="17"/>
          <w:szCs w:val="17"/>
          <w:color w:val="auto"/>
        </w:rPr>
        <w:t>: If a plan has insufficient cash to fund near-term benefit payments, the Company may have to make additional contributions</w:t>
      </w:r>
      <w:r>
        <w:rPr>
          <w:rFonts w:ascii="Arial" w:cs="Arial" w:eastAsia="Arial" w:hAnsi="Arial"/>
          <w:sz w:val="17"/>
          <w:szCs w:val="17"/>
          <w:b w:val="1"/>
          <w:bCs w:val="1"/>
          <w:color w:val="auto"/>
        </w:rPr>
        <w:t xml:space="preserve"> </w:t>
      </w:r>
      <w:r>
        <w:rPr>
          <w:rFonts w:ascii="Arial" w:cs="Arial" w:eastAsia="Arial" w:hAnsi="Arial"/>
          <w:sz w:val="17"/>
          <w:szCs w:val="17"/>
          <w:color w:val="auto"/>
        </w:rPr>
        <w:t>or unexpected changes in asset allocations may be required. This risk is mitigated as near-term pension payments are reasonably known and plans generally hold short-term debt securities to fund such payments.</w:t>
      </w:r>
    </w:p>
    <w:p>
      <w:pPr>
        <w:spacing w:after="0" w:line="1" w:lineRule="exact"/>
        <w:rPr>
          <w:rFonts w:ascii="Arial" w:cs="Arial" w:eastAsia="Arial" w:hAnsi="Arial"/>
          <w:sz w:val="17"/>
          <w:szCs w:val="17"/>
          <w:color w:val="D64000"/>
        </w:rPr>
      </w:pPr>
    </w:p>
    <w:p>
      <w:pPr>
        <w:ind w:left="640" w:right="400" w:hanging="422"/>
        <w:spacing w:after="0"/>
        <w:tabs>
          <w:tab w:leader="none" w:pos="640" w:val="left"/>
        </w:tabs>
        <w:numPr>
          <w:ilvl w:val="0"/>
          <w:numId w:val="144"/>
        </w:numPr>
        <w:rPr>
          <w:rFonts w:ascii="Arial" w:cs="Arial" w:eastAsia="Arial" w:hAnsi="Arial"/>
          <w:sz w:val="17"/>
          <w:szCs w:val="17"/>
          <w:color w:val="D64000"/>
        </w:rPr>
      </w:pPr>
      <w:r>
        <w:rPr>
          <w:rFonts w:ascii="Arial" w:cs="Arial" w:eastAsia="Arial" w:hAnsi="Arial"/>
          <w:sz w:val="17"/>
          <w:szCs w:val="17"/>
          <w:b w:val="1"/>
          <w:bCs w:val="1"/>
          <w:color w:val="auto"/>
        </w:rPr>
        <w:t>Mortality risk</w:t>
      </w:r>
      <w:r>
        <w:rPr>
          <w:rFonts w:ascii="Arial" w:cs="Arial" w:eastAsia="Arial" w:hAnsi="Arial"/>
          <w:sz w:val="17"/>
          <w:szCs w:val="17"/>
          <w:color w:val="auto"/>
        </w:rPr>
        <w:t>: Life expectancy may improve at a faster rate than expected, resulting in higher plan obligations. To mitigate this risk, life</w:t>
      </w:r>
      <w:r>
        <w:rPr>
          <w:rFonts w:ascii="Arial" w:cs="Arial" w:eastAsia="Arial" w:hAnsi="Arial"/>
          <w:sz w:val="17"/>
          <w:szCs w:val="17"/>
          <w:b w:val="1"/>
          <w:bCs w:val="1"/>
          <w:color w:val="auto"/>
        </w:rPr>
        <w:t xml:space="preserve"> </w:t>
      </w:r>
      <w:r>
        <w:rPr>
          <w:rFonts w:ascii="Arial" w:cs="Arial" w:eastAsia="Arial" w:hAnsi="Arial"/>
          <w:sz w:val="17"/>
          <w:szCs w:val="17"/>
          <w:color w:val="auto"/>
        </w:rPr>
        <w:t>expectancy assumptions are reviewed in connection with periodic valuations.</w:t>
      </w:r>
    </w:p>
    <w:p>
      <w:pPr>
        <w:spacing w:after="0" w:line="97" w:lineRule="exact"/>
        <w:rPr>
          <w:sz w:val="20"/>
          <w:szCs w:val="20"/>
          <w:color w:val="auto"/>
        </w:rPr>
      </w:pPr>
    </w:p>
    <w:p>
      <w:pPr>
        <w:ind w:left="220" w:right="200"/>
        <w:spacing w:after="0" w:line="243" w:lineRule="auto"/>
        <w:rPr>
          <w:sz w:val="20"/>
          <w:szCs w:val="20"/>
          <w:color w:val="auto"/>
        </w:rPr>
      </w:pPr>
      <w:r>
        <w:rPr>
          <w:rFonts w:ascii="Arial" w:cs="Arial" w:eastAsia="Arial" w:hAnsi="Arial"/>
          <w:sz w:val="17"/>
          <w:szCs w:val="17"/>
          <w:color w:val="auto"/>
        </w:rPr>
        <w:t>For defined benefit retiree medical plans, the material risks are mortality risk, as described above. Inflation of future medical costs or the frequency of participants’ claims being greater than assumed are no longer risks to higher costs effective January 1, 2025, upon adoption of the HRA design. See “Plan amendment” above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99695</wp:posOffset>
            </wp:positionV>
            <wp:extent cx="686562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5" w:lineRule="exact"/>
        <w:rPr>
          <w:sz w:val="20"/>
          <w:szCs w:val="20"/>
          <w:color w:val="auto"/>
        </w:rPr>
      </w:pPr>
    </w:p>
    <w:p>
      <w:pPr>
        <w:ind w:left="220"/>
        <w:spacing w:after="0"/>
        <w:tabs>
          <w:tab w:leader="none" w:pos="1030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6"/>
          <w:szCs w:val="16"/>
          <w:color w:val="auto"/>
        </w:rPr>
        <w:t>Page 133</w:t>
      </w:r>
    </w:p>
    <w:p>
      <w:pPr>
        <w:sectPr>
          <w:pgSz w:w="11900" w:h="16838" w:orient="portrait"/>
          <w:cols w:equalWidth="0" w:num="1">
            <w:col w:w="11040"/>
          </w:cols>
          <w:pgMar w:left="320" w:top="477" w:right="5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Analysis of income and expense</w:t>
      </w:r>
    </w:p>
    <w:p>
      <w:pPr>
        <w:spacing w:after="0" w:line="3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Defined benefit plan expense (income) for material defined benefit plans for years ended December 31, 2024 and 2023 was as follows:</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18"/>
        </w:trPr>
        <w:tc>
          <w:tcPr>
            <w:tcW w:w="4040" w:type="dxa"/>
            <w:vAlign w:val="bottom"/>
            <w:shd w:val="clear" w:color="auto" w:fill="1F473D"/>
          </w:tcPr>
          <w:p>
            <w:pPr>
              <w:spacing w:after="0"/>
              <w:rPr>
                <w:sz w:val="20"/>
                <w:szCs w:val="20"/>
                <w:color w:val="auto"/>
              </w:rPr>
            </w:pPr>
            <w:r>
              <w:rPr>
                <w:rFonts w:ascii="Arial" w:cs="Arial" w:eastAsia="Arial" w:hAnsi="Arial"/>
                <w:sz w:val="16"/>
                <w:szCs w:val="16"/>
                <w:b w:val="1"/>
                <w:bCs w:val="1"/>
                <w:color w:val="FFFFFF"/>
              </w:rPr>
              <w:t> Income Statement</w:t>
            </w:r>
            <w:r>
              <w:rPr>
                <w:rFonts w:ascii="Arial" w:cs="Arial" w:eastAsia="Arial" w:hAnsi="Arial"/>
                <w:sz w:val="19"/>
                <w:szCs w:val="19"/>
                <w:b w:val="1"/>
                <w:bCs w:val="1"/>
                <w:color w:val="FFFFFF"/>
                <w:vertAlign w:val="superscript"/>
              </w:rPr>
              <w:t>(1)</w:t>
            </w:r>
          </w:p>
        </w:tc>
        <w:tc>
          <w:tcPr>
            <w:tcW w:w="2180" w:type="dxa"/>
            <w:vAlign w:val="bottom"/>
            <w:gridSpan w:val="2"/>
            <w:shd w:val="clear" w:color="auto" w:fill="1F473D"/>
          </w:tcPr>
          <w:p>
            <w:pPr>
              <w:jc w:val="right"/>
              <w:ind w:right="221"/>
              <w:spacing w:after="0"/>
              <w:rPr>
                <w:sz w:val="20"/>
                <w:szCs w:val="20"/>
                <w:color w:val="auto"/>
              </w:rPr>
            </w:pPr>
            <w:r>
              <w:rPr>
                <w:rFonts w:ascii="Arial" w:cs="Arial" w:eastAsia="Arial" w:hAnsi="Arial"/>
                <w:sz w:val="16"/>
                <w:szCs w:val="16"/>
                <w:b w:val="1"/>
                <w:bCs w:val="1"/>
                <w:color w:val="FFFFFF"/>
              </w:rPr>
              <w:t>Funded</w:t>
            </w:r>
          </w:p>
        </w:tc>
        <w:tc>
          <w:tcPr>
            <w:tcW w:w="1200" w:type="dxa"/>
            <w:vAlign w:val="bottom"/>
            <w:gridSpan w:val="2"/>
            <w:shd w:val="clear" w:color="auto" w:fill="1F473D"/>
          </w:tcPr>
          <w:p>
            <w:pPr>
              <w:jc w:val="right"/>
              <w:ind w:right="141"/>
              <w:spacing w:after="0"/>
              <w:rPr>
                <w:sz w:val="20"/>
                <w:szCs w:val="20"/>
                <w:color w:val="auto"/>
              </w:rPr>
            </w:pPr>
            <w:r>
              <w:rPr>
                <w:rFonts w:ascii="Arial" w:cs="Arial" w:eastAsia="Arial" w:hAnsi="Arial"/>
                <w:sz w:val="16"/>
                <w:szCs w:val="16"/>
                <w:b w:val="1"/>
                <w:bCs w:val="1"/>
                <w:color w:val="FFFFFF"/>
              </w:rPr>
              <w:t>Unfunded</w:t>
            </w:r>
          </w:p>
        </w:tc>
        <w:tc>
          <w:tcPr>
            <w:tcW w:w="1200" w:type="dxa"/>
            <w:vAlign w:val="bottom"/>
            <w:gridSpan w:val="2"/>
            <w:shd w:val="clear" w:color="auto" w:fill="1F473D"/>
          </w:tcPr>
          <w:p>
            <w:pPr>
              <w:jc w:val="right"/>
              <w:ind w:right="301"/>
              <w:spacing w:after="0"/>
              <w:rPr>
                <w:sz w:val="20"/>
                <w:szCs w:val="20"/>
                <w:color w:val="auto"/>
              </w:rPr>
            </w:pPr>
            <w:r>
              <w:rPr>
                <w:rFonts w:ascii="Arial" w:cs="Arial" w:eastAsia="Arial" w:hAnsi="Arial"/>
                <w:sz w:val="16"/>
                <w:szCs w:val="16"/>
                <w:b w:val="1"/>
                <w:bCs w:val="1"/>
                <w:color w:val="FFFFFF"/>
              </w:rPr>
              <w:t>OPEB</w:t>
            </w:r>
          </w:p>
        </w:tc>
        <w:tc>
          <w:tcPr>
            <w:tcW w:w="1100" w:type="dxa"/>
            <w:vAlign w:val="bottom"/>
            <w:gridSpan w:val="2"/>
            <w:shd w:val="clear" w:color="auto" w:fill="1F473D"/>
          </w:tcPr>
          <w:p>
            <w:pPr>
              <w:jc w:val="right"/>
              <w:ind w:right="221"/>
              <w:spacing w:after="0"/>
              <w:rPr>
                <w:sz w:val="20"/>
                <w:szCs w:val="20"/>
                <w:color w:val="auto"/>
              </w:rPr>
            </w:pPr>
            <w:r>
              <w:rPr>
                <w:rFonts w:ascii="Arial" w:cs="Arial" w:eastAsia="Arial" w:hAnsi="Arial"/>
                <w:sz w:val="16"/>
                <w:szCs w:val="16"/>
                <w:b w:val="1"/>
                <w:bCs w:val="1"/>
                <w:color w:val="FFFFFF"/>
              </w:rPr>
              <w:t>Total</w:t>
            </w:r>
          </w:p>
        </w:tc>
        <w:tc>
          <w:tcPr>
            <w:tcW w:w="20" w:type="dxa"/>
            <w:vAlign w:val="bottom"/>
          </w:tcPr>
          <w:p>
            <w:pPr>
              <w:spacing w:after="0"/>
              <w:rPr>
                <w:sz w:val="18"/>
                <w:szCs w:val="18"/>
                <w:color w:val="auto"/>
              </w:rPr>
            </w:pPr>
          </w:p>
        </w:tc>
      </w:tr>
      <w:tr>
        <w:trPr>
          <w:trHeight w:val="192"/>
        </w:trPr>
        <w:tc>
          <w:tcPr>
            <w:tcW w:w="4040" w:type="dxa"/>
            <w:vAlign w:val="bottom"/>
            <w:tcBorders>
              <w:bottom w:val="single" w:sz="8" w:color="D64000"/>
            </w:tcBorders>
            <w:shd w:val="clear" w:color="auto" w:fill="E3F3EE"/>
          </w:tcPr>
          <w:p>
            <w:pPr>
              <w:spacing w:after="0"/>
              <w:rPr>
                <w:sz w:val="20"/>
                <w:szCs w:val="20"/>
                <w:color w:val="auto"/>
              </w:rPr>
            </w:pPr>
            <w:r>
              <w:rPr>
                <w:rFonts w:ascii="Arial" w:cs="Arial" w:eastAsia="Arial" w:hAnsi="Arial"/>
                <w:sz w:val="16"/>
                <w:szCs w:val="16"/>
                <w:b w:val="1"/>
                <w:bCs w:val="1"/>
                <w:color w:val="auto"/>
              </w:rPr>
              <w:t> Year ended December 31,</w:t>
            </w:r>
          </w:p>
        </w:tc>
        <w:tc>
          <w:tcPr>
            <w:tcW w:w="1600" w:type="dxa"/>
            <w:vAlign w:val="bottom"/>
            <w:tcBorders>
              <w:bottom w:val="single" w:sz="8" w:color="D64000"/>
            </w:tcBorders>
            <w:shd w:val="clear" w:color="auto" w:fill="E3F3EE"/>
          </w:tcPr>
          <w:p>
            <w:pPr>
              <w:jc w:val="right"/>
              <w:ind w:right="41"/>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D64000"/>
            </w:tcBorders>
            <w:shd w:val="clear" w:color="auto" w:fill="E3F3EE"/>
          </w:tcPr>
          <w:p>
            <w:pPr>
              <w:jc w:val="right"/>
              <w:ind w:right="41"/>
              <w:spacing w:after="0"/>
              <w:rPr>
                <w:sz w:val="20"/>
                <w:szCs w:val="20"/>
                <w:color w:val="auto"/>
              </w:rPr>
            </w:pPr>
            <w:r>
              <w:rPr>
                <w:rFonts w:ascii="Arial" w:cs="Arial" w:eastAsia="Arial" w:hAnsi="Arial"/>
                <w:sz w:val="16"/>
                <w:szCs w:val="16"/>
                <w:color w:val="auto"/>
              </w:rPr>
              <w:t>2023</w:t>
            </w:r>
          </w:p>
        </w:tc>
        <w:tc>
          <w:tcPr>
            <w:tcW w:w="600" w:type="dxa"/>
            <w:vAlign w:val="bottom"/>
            <w:tcBorders>
              <w:bottom w:val="single" w:sz="8" w:color="D64000"/>
            </w:tcBorders>
            <w:shd w:val="clear" w:color="auto" w:fill="E3F3EE"/>
          </w:tcPr>
          <w:p>
            <w:pPr>
              <w:jc w:val="right"/>
              <w:ind w:right="41"/>
              <w:spacing w:after="0"/>
              <w:rPr>
                <w:sz w:val="20"/>
                <w:szCs w:val="20"/>
                <w:color w:val="auto"/>
              </w:rPr>
            </w:pPr>
            <w:r>
              <w:rPr>
                <w:rFonts w:ascii="Arial" w:cs="Arial" w:eastAsia="Arial" w:hAnsi="Arial"/>
                <w:sz w:val="16"/>
                <w:szCs w:val="16"/>
                <w:b w:val="1"/>
                <w:bCs w:val="1"/>
                <w:color w:val="auto"/>
              </w:rPr>
              <w:t>2024</w:t>
            </w:r>
          </w:p>
        </w:tc>
        <w:tc>
          <w:tcPr>
            <w:tcW w:w="600" w:type="dxa"/>
            <w:vAlign w:val="bottom"/>
            <w:tcBorders>
              <w:bottom w:val="single" w:sz="8" w:color="D64000"/>
            </w:tcBorders>
            <w:shd w:val="clear" w:color="auto" w:fill="E3F3EE"/>
          </w:tcPr>
          <w:p>
            <w:pPr>
              <w:jc w:val="right"/>
              <w:ind w:right="41"/>
              <w:spacing w:after="0"/>
              <w:rPr>
                <w:sz w:val="20"/>
                <w:szCs w:val="20"/>
                <w:color w:val="auto"/>
              </w:rPr>
            </w:pPr>
            <w:r>
              <w:rPr>
                <w:rFonts w:ascii="Arial" w:cs="Arial" w:eastAsia="Arial" w:hAnsi="Arial"/>
                <w:sz w:val="16"/>
                <w:szCs w:val="16"/>
                <w:color w:val="auto"/>
              </w:rPr>
              <w:t>2023</w:t>
            </w:r>
          </w:p>
        </w:tc>
        <w:tc>
          <w:tcPr>
            <w:tcW w:w="600" w:type="dxa"/>
            <w:vAlign w:val="bottom"/>
            <w:tcBorders>
              <w:bottom w:val="single" w:sz="8" w:color="D64000"/>
            </w:tcBorders>
            <w:shd w:val="clear" w:color="auto" w:fill="E3F3EE"/>
          </w:tcPr>
          <w:p>
            <w:pPr>
              <w:jc w:val="right"/>
              <w:ind w:right="41"/>
              <w:spacing w:after="0"/>
              <w:rPr>
                <w:sz w:val="20"/>
                <w:szCs w:val="20"/>
                <w:color w:val="auto"/>
              </w:rPr>
            </w:pPr>
            <w:r>
              <w:rPr>
                <w:rFonts w:ascii="Arial" w:cs="Arial" w:eastAsia="Arial" w:hAnsi="Arial"/>
                <w:sz w:val="16"/>
                <w:szCs w:val="16"/>
                <w:b w:val="1"/>
                <w:bCs w:val="1"/>
                <w:color w:val="auto"/>
              </w:rPr>
              <w:t>2024</w:t>
            </w:r>
          </w:p>
        </w:tc>
        <w:tc>
          <w:tcPr>
            <w:tcW w:w="600" w:type="dxa"/>
            <w:vAlign w:val="bottom"/>
            <w:tcBorders>
              <w:bottom w:val="single" w:sz="8" w:color="D64000"/>
            </w:tcBorders>
            <w:shd w:val="clear" w:color="auto" w:fill="E3F3EE"/>
          </w:tcPr>
          <w:p>
            <w:pPr>
              <w:jc w:val="right"/>
              <w:ind w:right="41"/>
              <w:spacing w:after="0"/>
              <w:rPr>
                <w:sz w:val="20"/>
                <w:szCs w:val="20"/>
                <w:color w:val="auto"/>
              </w:rPr>
            </w:pPr>
            <w:r>
              <w:rPr>
                <w:rFonts w:ascii="Arial" w:cs="Arial" w:eastAsia="Arial" w:hAnsi="Arial"/>
                <w:sz w:val="16"/>
                <w:szCs w:val="16"/>
                <w:color w:val="auto"/>
              </w:rPr>
              <w:t>2023</w:t>
            </w:r>
          </w:p>
        </w:tc>
        <w:tc>
          <w:tcPr>
            <w:tcW w:w="600" w:type="dxa"/>
            <w:vAlign w:val="bottom"/>
            <w:tcBorders>
              <w:bottom w:val="single" w:sz="8" w:color="D64000"/>
            </w:tcBorders>
            <w:shd w:val="clear" w:color="auto" w:fill="E3F3EE"/>
          </w:tcPr>
          <w:p>
            <w:pPr>
              <w:jc w:val="right"/>
              <w:ind w:right="61"/>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D64000"/>
            </w:tcBorders>
            <w:shd w:val="clear" w:color="auto" w:fill="E3F3EE"/>
          </w:tcPr>
          <w:p>
            <w:pPr>
              <w:jc w:val="right"/>
              <w:spacing w:after="0"/>
              <w:rPr>
                <w:sz w:val="20"/>
                <w:szCs w:val="20"/>
                <w:color w:val="auto"/>
              </w:rPr>
            </w:pPr>
            <w:r>
              <w:rPr>
                <w:rFonts w:ascii="Arial" w:cs="Arial" w:eastAsia="Arial" w:hAnsi="Arial"/>
                <w:sz w:val="16"/>
                <w:szCs w:val="16"/>
                <w:color w:val="auto"/>
              </w:rPr>
              <w:t>2023</w:t>
            </w:r>
          </w:p>
        </w:tc>
        <w:tc>
          <w:tcPr>
            <w:tcW w:w="20" w:type="dxa"/>
            <w:vAlign w:val="bottom"/>
          </w:tcPr>
          <w:p>
            <w:pPr>
              <w:spacing w:after="0"/>
              <w:rPr>
                <w:sz w:val="16"/>
                <w:szCs w:val="16"/>
                <w:color w:val="auto"/>
              </w:rPr>
            </w:pPr>
          </w:p>
        </w:tc>
      </w:tr>
      <w:tr>
        <w:trPr>
          <w:trHeight w:val="185"/>
        </w:trPr>
        <w:tc>
          <w:tcPr>
            <w:tcW w:w="4040" w:type="dxa"/>
            <w:vAlign w:val="bottom"/>
          </w:tcPr>
          <w:p>
            <w:pPr>
              <w:spacing w:after="0"/>
              <w:rPr>
                <w:sz w:val="20"/>
                <w:szCs w:val="20"/>
                <w:color w:val="auto"/>
              </w:rPr>
            </w:pPr>
            <w:r>
              <w:rPr>
                <w:rFonts w:ascii="Arial" w:cs="Arial" w:eastAsia="Arial" w:hAnsi="Arial"/>
                <w:sz w:val="16"/>
                <w:szCs w:val="16"/>
                <w:color w:val="auto"/>
              </w:rPr>
              <w:t> Current service cost</w:t>
            </w:r>
          </w:p>
        </w:tc>
        <w:tc>
          <w:tcPr>
            <w:tcW w:w="1600" w:type="dxa"/>
            <w:vAlign w:val="bottom"/>
          </w:tcPr>
          <w:p>
            <w:pPr>
              <w:jc w:val="right"/>
              <w:ind w:right="41"/>
              <w:spacing w:after="0"/>
              <w:rPr>
                <w:sz w:val="20"/>
                <w:szCs w:val="20"/>
                <w:color w:val="auto"/>
              </w:rPr>
            </w:pPr>
            <w:r>
              <w:rPr>
                <w:rFonts w:ascii="Arial" w:cs="Arial" w:eastAsia="Arial" w:hAnsi="Arial"/>
                <w:sz w:val="16"/>
                <w:szCs w:val="16"/>
                <w:b w:val="1"/>
                <w:bCs w:val="1"/>
                <w:color w:val="auto"/>
              </w:rPr>
              <w:t>4</w:t>
            </w: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auto"/>
              </w:rPr>
              <w:t>1</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auto"/>
              </w:rPr>
              <w:t>1</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600" w:type="dxa"/>
            <w:vAlign w:val="bottom"/>
          </w:tcPr>
          <w:p>
            <w:pPr>
              <w:jc w:val="right"/>
              <w:ind w:right="61"/>
              <w:spacing w:after="0"/>
              <w:rPr>
                <w:sz w:val="20"/>
                <w:szCs w:val="20"/>
                <w:color w:val="auto"/>
              </w:rPr>
            </w:pPr>
            <w:r>
              <w:rPr>
                <w:rFonts w:ascii="Arial" w:cs="Arial" w:eastAsia="Arial" w:hAnsi="Arial"/>
                <w:sz w:val="16"/>
                <w:szCs w:val="16"/>
                <w:b w:val="1"/>
                <w:bCs w:val="1"/>
                <w:color w:val="auto"/>
              </w:rPr>
              <w:t>6</w:t>
            </w:r>
          </w:p>
        </w:tc>
        <w:tc>
          <w:tcPr>
            <w:tcW w:w="50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6"/>
                <w:szCs w:val="16"/>
                <w:color w:val="auto"/>
              </w:rPr>
            </w:pPr>
          </w:p>
        </w:tc>
      </w:tr>
      <w:tr>
        <w:trPr>
          <w:trHeight w:val="199"/>
        </w:trPr>
        <w:tc>
          <w:tcPr>
            <w:tcW w:w="4040" w:type="dxa"/>
            <w:vAlign w:val="bottom"/>
          </w:tcPr>
          <w:p>
            <w:pPr>
              <w:spacing w:after="0"/>
              <w:rPr>
                <w:sz w:val="20"/>
                <w:szCs w:val="20"/>
                <w:color w:val="auto"/>
              </w:rPr>
            </w:pPr>
            <w:r>
              <w:rPr>
                <w:rFonts w:ascii="Arial" w:cs="Arial" w:eastAsia="Arial" w:hAnsi="Arial"/>
                <w:sz w:val="16"/>
                <w:szCs w:val="16"/>
                <w:color w:val="auto"/>
              </w:rPr>
              <w:t> Net interest cost</w:t>
            </w:r>
          </w:p>
        </w:tc>
        <w:tc>
          <w:tcPr>
            <w:tcW w:w="1600" w:type="dxa"/>
            <w:vAlign w:val="bottom"/>
          </w:tcPr>
          <w:p>
            <w:pPr>
              <w:jc w:val="right"/>
              <w:ind w:right="41"/>
              <w:spacing w:after="0"/>
              <w:rPr>
                <w:sz w:val="20"/>
                <w:szCs w:val="20"/>
                <w:color w:val="auto"/>
              </w:rPr>
            </w:pPr>
            <w:r>
              <w:rPr>
                <w:rFonts w:ascii="Arial" w:cs="Arial" w:eastAsia="Arial" w:hAnsi="Arial"/>
                <w:sz w:val="16"/>
                <w:szCs w:val="16"/>
                <w:b w:val="1"/>
                <w:bCs w:val="1"/>
                <w:color w:val="auto"/>
              </w:rPr>
              <w:t>10</w:t>
            </w: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auto"/>
              </w:rPr>
              <w:t>11</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12</w:t>
            </w: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auto"/>
              </w:rPr>
              <w:t>2</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600" w:type="dxa"/>
            <w:vAlign w:val="bottom"/>
          </w:tcPr>
          <w:p>
            <w:pPr>
              <w:jc w:val="right"/>
              <w:ind w:right="61"/>
              <w:spacing w:after="0"/>
              <w:rPr>
                <w:sz w:val="20"/>
                <w:szCs w:val="20"/>
                <w:color w:val="auto"/>
              </w:rPr>
            </w:pPr>
            <w:r>
              <w:rPr>
                <w:rFonts w:ascii="Arial" w:cs="Arial" w:eastAsia="Arial" w:hAnsi="Arial"/>
                <w:sz w:val="16"/>
                <w:szCs w:val="16"/>
                <w:b w:val="1"/>
                <w:bCs w:val="1"/>
                <w:color w:val="auto"/>
              </w:rPr>
              <w:t>23</w:t>
            </w:r>
          </w:p>
        </w:tc>
        <w:tc>
          <w:tcPr>
            <w:tcW w:w="500" w:type="dxa"/>
            <w:vAlign w:val="bottom"/>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7"/>
                <w:szCs w:val="17"/>
                <w:color w:val="auto"/>
              </w:rPr>
            </w:pPr>
          </w:p>
        </w:tc>
      </w:tr>
      <w:tr>
        <w:trPr>
          <w:trHeight w:val="199"/>
        </w:trPr>
        <w:tc>
          <w:tcPr>
            <w:tcW w:w="4040" w:type="dxa"/>
            <w:vAlign w:val="bottom"/>
          </w:tcPr>
          <w:p>
            <w:pPr>
              <w:spacing w:after="0"/>
              <w:rPr>
                <w:sz w:val="20"/>
                <w:szCs w:val="20"/>
                <w:color w:val="auto"/>
              </w:rPr>
            </w:pPr>
            <w:r>
              <w:rPr>
                <w:rFonts w:ascii="Arial" w:cs="Arial" w:eastAsia="Arial" w:hAnsi="Arial"/>
                <w:sz w:val="16"/>
                <w:szCs w:val="16"/>
                <w:color w:val="auto"/>
              </w:rPr>
              <w:t> Administration fees</w:t>
            </w:r>
          </w:p>
        </w:tc>
        <w:tc>
          <w:tcPr>
            <w:tcW w:w="1600" w:type="dxa"/>
            <w:vAlign w:val="bottom"/>
          </w:tcPr>
          <w:p>
            <w:pPr>
              <w:jc w:val="right"/>
              <w:ind w:right="41"/>
              <w:spacing w:after="0"/>
              <w:rPr>
                <w:sz w:val="20"/>
                <w:szCs w:val="20"/>
                <w:color w:val="auto"/>
              </w:rPr>
            </w:pPr>
            <w:r>
              <w:rPr>
                <w:rFonts w:ascii="Arial" w:cs="Arial" w:eastAsia="Arial" w:hAnsi="Arial"/>
                <w:sz w:val="16"/>
                <w:szCs w:val="16"/>
                <w:b w:val="1"/>
                <w:bCs w:val="1"/>
                <w:color w:val="auto"/>
              </w:rPr>
              <w:t>15</w:t>
            </w: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15</w:t>
            </w: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61"/>
              <w:spacing w:after="0"/>
              <w:rPr>
                <w:sz w:val="20"/>
                <w:szCs w:val="20"/>
                <w:color w:val="auto"/>
              </w:rPr>
            </w:pPr>
            <w:r>
              <w:rPr>
                <w:rFonts w:ascii="Arial" w:cs="Arial" w:eastAsia="Arial" w:hAnsi="Arial"/>
                <w:sz w:val="16"/>
                <w:szCs w:val="16"/>
                <w:b w:val="1"/>
                <w:bCs w:val="1"/>
                <w:color w:val="auto"/>
              </w:rPr>
              <w:t>15</w:t>
            </w:r>
          </w:p>
        </w:tc>
        <w:tc>
          <w:tcPr>
            <w:tcW w:w="500" w:type="dxa"/>
            <w:vAlign w:val="bottom"/>
          </w:tcPr>
          <w:p>
            <w:pPr>
              <w:jc w:val="right"/>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7"/>
                <w:szCs w:val="17"/>
                <w:color w:val="auto"/>
              </w:rPr>
            </w:pPr>
          </w:p>
        </w:tc>
      </w:tr>
      <w:tr>
        <w:trPr>
          <w:trHeight w:val="200"/>
        </w:trPr>
        <w:tc>
          <w:tcPr>
            <w:tcW w:w="4040" w:type="dxa"/>
            <w:vAlign w:val="bottom"/>
          </w:tcPr>
          <w:p>
            <w:pPr>
              <w:spacing w:after="0"/>
              <w:rPr>
                <w:sz w:val="20"/>
                <w:szCs w:val="20"/>
                <w:color w:val="auto"/>
              </w:rPr>
            </w:pPr>
            <w:r>
              <w:rPr>
                <w:rFonts w:ascii="Arial" w:cs="Arial" w:eastAsia="Arial" w:hAnsi="Arial"/>
                <w:sz w:val="16"/>
                <w:szCs w:val="16"/>
                <w:color w:val="auto"/>
              </w:rPr>
              <w:t> Plan amendments</w:t>
            </w:r>
          </w:p>
        </w:tc>
        <w:tc>
          <w:tcPr>
            <w:tcW w:w="1600" w:type="dxa"/>
            <w:vAlign w:val="bottom"/>
          </w:tcPr>
          <w:p>
            <w:pPr>
              <w:jc w:val="right"/>
              <w:ind w:right="41"/>
              <w:spacing w:after="0"/>
              <w:rPr>
                <w:sz w:val="20"/>
                <w:szCs w:val="20"/>
                <w:color w:val="auto"/>
              </w:rPr>
            </w:pPr>
            <w:r>
              <w:rPr>
                <w:rFonts w:ascii="Arial" w:cs="Arial" w:eastAsia="Arial" w:hAnsi="Arial"/>
                <w:sz w:val="16"/>
                <w:szCs w:val="16"/>
                <w:b w:val="1"/>
                <w:bCs w:val="1"/>
                <w:color w:val="auto"/>
              </w:rPr>
              <w:t>1</w:t>
            </w: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1"/>
              <w:spacing w:after="0"/>
              <w:rPr>
                <w:sz w:val="20"/>
                <w:szCs w:val="20"/>
                <w:color w:val="auto"/>
              </w:rPr>
            </w:pPr>
            <w:r>
              <w:rPr>
                <w:rFonts w:ascii="Arial" w:cs="Arial" w:eastAsia="Arial" w:hAnsi="Arial"/>
                <w:sz w:val="16"/>
                <w:szCs w:val="16"/>
                <w:b w:val="1"/>
                <w:bCs w:val="1"/>
                <w:color w:val="auto"/>
              </w:rPr>
              <w:t>(13)</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61"/>
              <w:spacing w:after="0"/>
              <w:rPr>
                <w:sz w:val="20"/>
                <w:szCs w:val="20"/>
                <w:color w:val="auto"/>
              </w:rPr>
            </w:pPr>
            <w:r>
              <w:rPr>
                <w:rFonts w:ascii="Arial" w:cs="Arial" w:eastAsia="Arial" w:hAnsi="Arial"/>
                <w:sz w:val="16"/>
                <w:szCs w:val="16"/>
                <w:b w:val="1"/>
                <w:bCs w:val="1"/>
                <w:color w:val="auto"/>
              </w:rPr>
              <w:t>(12)</w:t>
            </w:r>
          </w:p>
        </w:tc>
        <w:tc>
          <w:tcPr>
            <w:tcW w:w="520" w:type="dxa"/>
            <w:vAlign w:val="bottom"/>
            <w:gridSpan w:val="2"/>
          </w:tcPr>
          <w:p>
            <w:pPr>
              <w:ind w:left="420"/>
              <w:spacing w:after="0"/>
              <w:rPr>
                <w:sz w:val="20"/>
                <w:szCs w:val="20"/>
                <w:color w:val="auto"/>
              </w:rPr>
            </w:pPr>
            <w:r>
              <w:rPr>
                <w:rFonts w:ascii="Arial" w:cs="Arial" w:eastAsia="Arial" w:hAnsi="Arial"/>
                <w:sz w:val="16"/>
                <w:szCs w:val="16"/>
                <w:color w:val="auto"/>
              </w:rPr>
              <w:t xml:space="preserve">- </w:t>
            </w:r>
          </w:p>
        </w:tc>
      </w:tr>
      <w:tr>
        <w:trPr>
          <w:trHeight w:val="185"/>
        </w:trPr>
        <w:tc>
          <w:tcPr>
            <w:tcW w:w="4040" w:type="dxa"/>
            <w:vAlign w:val="bottom"/>
            <w:tcBorders>
              <w:top w:val="single" w:sz="8" w:color="B2B2B2"/>
              <w:bottom w:val="single" w:sz="8" w:color="D64000"/>
            </w:tcBorders>
          </w:tcPr>
          <w:p>
            <w:pPr>
              <w:spacing w:after="0" w:line="179" w:lineRule="exact"/>
              <w:rPr>
                <w:sz w:val="20"/>
                <w:szCs w:val="20"/>
                <w:color w:val="auto"/>
              </w:rPr>
            </w:pPr>
            <w:r>
              <w:rPr>
                <w:rFonts w:ascii="Arial" w:cs="Arial" w:eastAsia="Arial" w:hAnsi="Arial"/>
                <w:sz w:val="16"/>
                <w:szCs w:val="16"/>
                <w:b w:val="1"/>
                <w:bCs w:val="1"/>
                <w:color w:val="auto"/>
              </w:rPr>
              <w:t> Defined benefit plan expense (income)</w:t>
            </w:r>
          </w:p>
        </w:tc>
        <w:tc>
          <w:tcPr>
            <w:tcW w:w="1600" w:type="dxa"/>
            <w:vAlign w:val="bottom"/>
            <w:tcBorders>
              <w:top w:val="single" w:sz="8" w:color="B2B2B2"/>
              <w:bottom w:val="single" w:sz="8" w:color="D64000"/>
            </w:tcBorders>
          </w:tcPr>
          <w:p>
            <w:pPr>
              <w:jc w:val="right"/>
              <w:ind w:right="41"/>
              <w:spacing w:after="0" w:line="179" w:lineRule="exact"/>
              <w:rPr>
                <w:sz w:val="20"/>
                <w:szCs w:val="20"/>
                <w:color w:val="auto"/>
              </w:rPr>
            </w:pPr>
            <w:r>
              <w:rPr>
                <w:rFonts w:ascii="Arial" w:cs="Arial" w:eastAsia="Arial" w:hAnsi="Arial"/>
                <w:sz w:val="16"/>
                <w:szCs w:val="16"/>
                <w:b w:val="1"/>
                <w:bCs w:val="1"/>
                <w:color w:val="auto"/>
              </w:rPr>
              <w:t>30</w:t>
            </w:r>
          </w:p>
        </w:tc>
        <w:tc>
          <w:tcPr>
            <w:tcW w:w="580" w:type="dxa"/>
            <w:vAlign w:val="bottom"/>
            <w:tcBorders>
              <w:top w:val="single" w:sz="8" w:color="B2B2B2"/>
              <w:bottom w:val="single" w:sz="8" w:color="D64000"/>
            </w:tcBorders>
          </w:tcPr>
          <w:p>
            <w:pPr>
              <w:jc w:val="right"/>
              <w:ind w:right="41"/>
              <w:spacing w:after="0" w:line="179" w:lineRule="exact"/>
              <w:rPr>
                <w:sz w:val="20"/>
                <w:szCs w:val="20"/>
                <w:color w:val="auto"/>
              </w:rPr>
            </w:pPr>
            <w:r>
              <w:rPr>
                <w:rFonts w:ascii="Arial" w:cs="Arial" w:eastAsia="Arial" w:hAnsi="Arial"/>
                <w:sz w:val="16"/>
                <w:szCs w:val="16"/>
                <w:color w:val="auto"/>
              </w:rPr>
              <w:t>27</w:t>
            </w:r>
          </w:p>
        </w:tc>
        <w:tc>
          <w:tcPr>
            <w:tcW w:w="600" w:type="dxa"/>
            <w:vAlign w:val="bottom"/>
            <w:tcBorders>
              <w:top w:val="single" w:sz="8" w:color="B2B2B2"/>
              <w:bottom w:val="single" w:sz="8" w:color="D64000"/>
            </w:tcBorders>
          </w:tcPr>
          <w:p>
            <w:pPr>
              <w:jc w:val="right"/>
              <w:ind w:right="41"/>
              <w:spacing w:after="0" w:line="179" w:lineRule="exact"/>
              <w:rPr>
                <w:sz w:val="20"/>
                <w:szCs w:val="20"/>
                <w:color w:val="auto"/>
              </w:rPr>
            </w:pPr>
            <w:r>
              <w:rPr>
                <w:rFonts w:ascii="Arial" w:cs="Arial" w:eastAsia="Arial" w:hAnsi="Arial"/>
                <w:sz w:val="16"/>
                <w:szCs w:val="16"/>
                <w:b w:val="1"/>
                <w:bCs w:val="1"/>
                <w:color w:val="auto"/>
              </w:rPr>
              <w:t>12</w:t>
            </w:r>
          </w:p>
        </w:tc>
        <w:tc>
          <w:tcPr>
            <w:tcW w:w="600" w:type="dxa"/>
            <w:vAlign w:val="bottom"/>
            <w:tcBorders>
              <w:top w:val="single" w:sz="8" w:color="B2B2B2"/>
              <w:bottom w:val="single" w:sz="8" w:color="D64000"/>
            </w:tcBorders>
          </w:tcPr>
          <w:p>
            <w:pPr>
              <w:jc w:val="right"/>
              <w:ind w:right="41"/>
              <w:spacing w:after="0" w:line="179" w:lineRule="exact"/>
              <w:rPr>
                <w:sz w:val="20"/>
                <w:szCs w:val="20"/>
                <w:color w:val="auto"/>
              </w:rPr>
            </w:pPr>
            <w:r>
              <w:rPr>
                <w:rFonts w:ascii="Arial" w:cs="Arial" w:eastAsia="Arial" w:hAnsi="Arial"/>
                <w:sz w:val="16"/>
                <w:szCs w:val="16"/>
                <w:color w:val="auto"/>
              </w:rPr>
              <w:t>13</w:t>
            </w:r>
          </w:p>
        </w:tc>
        <w:tc>
          <w:tcPr>
            <w:tcW w:w="600" w:type="dxa"/>
            <w:vAlign w:val="bottom"/>
            <w:tcBorders>
              <w:top w:val="single" w:sz="8" w:color="B2B2B2"/>
              <w:bottom w:val="single" w:sz="8" w:color="D64000"/>
            </w:tcBorders>
          </w:tcPr>
          <w:p>
            <w:pPr>
              <w:jc w:val="right"/>
              <w:ind w:right="41"/>
              <w:spacing w:after="0" w:line="179" w:lineRule="exact"/>
              <w:rPr>
                <w:sz w:val="20"/>
                <w:szCs w:val="20"/>
                <w:color w:val="auto"/>
              </w:rPr>
            </w:pPr>
            <w:r>
              <w:rPr>
                <w:rFonts w:ascii="Arial" w:cs="Arial" w:eastAsia="Arial" w:hAnsi="Arial"/>
                <w:sz w:val="16"/>
                <w:szCs w:val="16"/>
                <w:b w:val="1"/>
                <w:bCs w:val="1"/>
                <w:color w:val="auto"/>
              </w:rPr>
              <w:t>(10)</w:t>
            </w:r>
          </w:p>
        </w:tc>
        <w:tc>
          <w:tcPr>
            <w:tcW w:w="600" w:type="dxa"/>
            <w:vAlign w:val="bottom"/>
            <w:tcBorders>
              <w:top w:val="single" w:sz="8" w:color="B2B2B2"/>
              <w:bottom w:val="single" w:sz="8" w:color="D64000"/>
            </w:tcBorders>
          </w:tcPr>
          <w:p>
            <w:pPr>
              <w:jc w:val="right"/>
              <w:ind w:right="41"/>
              <w:spacing w:after="0" w:line="179" w:lineRule="exact"/>
              <w:rPr>
                <w:sz w:val="20"/>
                <w:szCs w:val="20"/>
                <w:color w:val="auto"/>
              </w:rPr>
            </w:pPr>
            <w:r>
              <w:rPr>
                <w:rFonts w:ascii="Arial" w:cs="Arial" w:eastAsia="Arial" w:hAnsi="Arial"/>
                <w:sz w:val="16"/>
                <w:szCs w:val="16"/>
                <w:color w:val="auto"/>
              </w:rPr>
              <w:t>4</w:t>
            </w:r>
          </w:p>
        </w:tc>
        <w:tc>
          <w:tcPr>
            <w:tcW w:w="600" w:type="dxa"/>
            <w:vAlign w:val="bottom"/>
            <w:tcBorders>
              <w:top w:val="single" w:sz="8" w:color="B2B2B2"/>
              <w:bottom w:val="single" w:sz="8" w:color="D64000"/>
            </w:tcBorders>
          </w:tcPr>
          <w:p>
            <w:pPr>
              <w:jc w:val="right"/>
              <w:ind w:right="61"/>
              <w:spacing w:after="0" w:line="179" w:lineRule="exact"/>
              <w:rPr>
                <w:sz w:val="20"/>
                <w:szCs w:val="20"/>
                <w:color w:val="auto"/>
              </w:rPr>
            </w:pPr>
            <w:r>
              <w:rPr>
                <w:rFonts w:ascii="Arial" w:cs="Arial" w:eastAsia="Arial" w:hAnsi="Arial"/>
                <w:sz w:val="16"/>
                <w:szCs w:val="16"/>
                <w:b w:val="1"/>
                <w:bCs w:val="1"/>
                <w:color w:val="auto"/>
              </w:rPr>
              <w:t>32</w:t>
            </w:r>
          </w:p>
        </w:tc>
        <w:tc>
          <w:tcPr>
            <w:tcW w:w="500" w:type="dxa"/>
            <w:vAlign w:val="bottom"/>
            <w:tcBorders>
              <w:top w:val="single" w:sz="8" w:color="B2B2B2"/>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44</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-790575</wp:posOffset>
            </wp:positionV>
            <wp:extent cx="86995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69950" cy="8255"/>
                    </a:xfrm>
                    <a:prstGeom prst="rect">
                      <a:avLst/>
                    </a:prstGeom>
                    <a:noFill/>
                  </pic:spPr>
                </pic:pic>
              </a:graphicData>
            </a:graphic>
          </wp:anchor>
        </w:drawing>
        <w:drawing>
          <wp:anchor simplePos="0" relativeHeight="251657728" behindDoc="1" locked="0" layoutInCell="0" allowOverlap="1">
            <wp:simplePos x="0" y="0"/>
            <wp:positionH relativeFrom="column">
              <wp:posOffset>1028065</wp:posOffset>
            </wp:positionH>
            <wp:positionV relativeFrom="paragraph">
              <wp:posOffset>-824230</wp:posOffset>
            </wp:positionV>
            <wp:extent cx="7683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90" w:lineRule="exact"/>
        <w:rPr>
          <w:sz w:val="20"/>
          <w:szCs w:val="20"/>
          <w:color w:val="auto"/>
        </w:rPr>
      </w:pPr>
    </w:p>
    <w:p>
      <w:pPr>
        <w:ind w:left="640" w:right="60" w:hanging="422"/>
        <w:spacing w:after="0" w:line="274" w:lineRule="auto"/>
        <w:tabs>
          <w:tab w:leader="none" w:pos="64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Current service cost and administration fees are included in the “Post-employment benefits” component of “Operating expenses” as set out in note 5. Net interest cost is reported in “Finance costs, net” as set out in note 8. Plan amendments are reported in “Other operating gains, net” in the consolidated income statement.</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Analysis of other comprehensive (income) loss</w:t>
      </w:r>
    </w:p>
    <w:p>
      <w:pPr>
        <w:spacing w:after="0" w:line="3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summarizes amounts recognized in other comprehensive (income) loss for material defined benefit plans:</w:t>
      </w:r>
    </w:p>
    <w:p>
      <w:pPr>
        <w:spacing w:after="0" w:line="208"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4860" w:type="dxa"/>
            <w:vAlign w:val="bottom"/>
            <w:shd w:val="clear" w:color="auto" w:fill="1F473D"/>
          </w:tcPr>
          <w:p>
            <w:pPr>
              <w:spacing w:after="0"/>
              <w:rPr>
                <w:sz w:val="20"/>
                <w:szCs w:val="20"/>
                <w:color w:val="auto"/>
              </w:rPr>
            </w:pPr>
            <w:r>
              <w:rPr>
                <w:rFonts w:ascii="Arial" w:cs="Arial" w:eastAsia="Arial" w:hAnsi="Arial"/>
                <w:sz w:val="16"/>
                <w:szCs w:val="16"/>
                <w:b w:val="1"/>
                <w:bCs w:val="1"/>
                <w:color w:val="FFFFFF"/>
              </w:rPr>
              <w:t> Other Comprehensive (Income) Loss</w:t>
            </w:r>
          </w:p>
        </w:tc>
        <w:tc>
          <w:tcPr>
            <w:tcW w:w="1320" w:type="dxa"/>
            <w:vAlign w:val="bottom"/>
            <w:gridSpan w:val="2"/>
            <w:shd w:val="clear" w:color="auto" w:fill="1F473D"/>
          </w:tcPr>
          <w:p>
            <w:pPr>
              <w:jc w:val="right"/>
              <w:ind w:right="221"/>
              <w:spacing w:after="0"/>
              <w:rPr>
                <w:sz w:val="20"/>
                <w:szCs w:val="20"/>
                <w:color w:val="auto"/>
              </w:rPr>
            </w:pPr>
            <w:r>
              <w:rPr>
                <w:rFonts w:ascii="Arial" w:cs="Arial" w:eastAsia="Arial" w:hAnsi="Arial"/>
                <w:sz w:val="16"/>
                <w:szCs w:val="16"/>
                <w:b w:val="1"/>
                <w:bCs w:val="1"/>
                <w:color w:val="FFFFFF"/>
              </w:rPr>
              <w:t>Funded</w:t>
            </w:r>
          </w:p>
        </w:tc>
        <w:tc>
          <w:tcPr>
            <w:tcW w:w="1180" w:type="dxa"/>
            <w:vAlign w:val="bottom"/>
            <w:gridSpan w:val="2"/>
            <w:shd w:val="clear" w:color="auto" w:fill="1F473D"/>
          </w:tcPr>
          <w:p>
            <w:pPr>
              <w:jc w:val="right"/>
              <w:ind w:right="121"/>
              <w:spacing w:after="0"/>
              <w:rPr>
                <w:sz w:val="20"/>
                <w:szCs w:val="20"/>
                <w:color w:val="auto"/>
              </w:rPr>
            </w:pPr>
            <w:r>
              <w:rPr>
                <w:rFonts w:ascii="Arial" w:cs="Arial" w:eastAsia="Arial" w:hAnsi="Arial"/>
                <w:sz w:val="16"/>
                <w:szCs w:val="16"/>
                <w:b w:val="1"/>
                <w:bCs w:val="1"/>
                <w:color w:val="FFFFFF"/>
              </w:rPr>
              <w:t>Unfunded</w:t>
            </w:r>
          </w:p>
        </w:tc>
        <w:tc>
          <w:tcPr>
            <w:tcW w:w="1200" w:type="dxa"/>
            <w:vAlign w:val="bottom"/>
            <w:gridSpan w:val="2"/>
            <w:shd w:val="clear" w:color="auto" w:fill="1F473D"/>
          </w:tcPr>
          <w:p>
            <w:pPr>
              <w:jc w:val="right"/>
              <w:ind w:right="261"/>
              <w:spacing w:after="0"/>
              <w:rPr>
                <w:sz w:val="20"/>
                <w:szCs w:val="20"/>
                <w:color w:val="auto"/>
              </w:rPr>
            </w:pPr>
            <w:r>
              <w:rPr>
                <w:rFonts w:ascii="Arial" w:cs="Arial" w:eastAsia="Arial" w:hAnsi="Arial"/>
                <w:sz w:val="16"/>
                <w:szCs w:val="16"/>
                <w:b w:val="1"/>
                <w:bCs w:val="1"/>
                <w:color w:val="FFFFFF"/>
              </w:rPr>
              <w:t>OPEB</w:t>
            </w:r>
          </w:p>
        </w:tc>
        <w:tc>
          <w:tcPr>
            <w:tcW w:w="1160" w:type="dxa"/>
            <w:vAlign w:val="bottom"/>
            <w:gridSpan w:val="2"/>
            <w:shd w:val="clear" w:color="auto" w:fill="1F473D"/>
          </w:tcPr>
          <w:p>
            <w:pPr>
              <w:jc w:val="right"/>
              <w:ind w:right="241"/>
              <w:spacing w:after="0"/>
              <w:rPr>
                <w:sz w:val="20"/>
                <w:szCs w:val="20"/>
                <w:color w:val="auto"/>
              </w:rPr>
            </w:pPr>
            <w:r>
              <w:rPr>
                <w:rFonts w:ascii="Arial" w:cs="Arial" w:eastAsia="Arial" w:hAnsi="Arial"/>
                <w:sz w:val="16"/>
                <w:szCs w:val="16"/>
                <w:b w:val="1"/>
                <w:bCs w:val="1"/>
                <w:color w:val="FFFFFF"/>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60" w:type="dxa"/>
            <w:vAlign w:val="bottom"/>
            <w:tcBorders>
              <w:bottom w:val="single" w:sz="8" w:color="D64000"/>
            </w:tcBorders>
            <w:shd w:val="clear" w:color="auto" w:fill="E3F3EE"/>
          </w:tcPr>
          <w:p>
            <w:pPr>
              <w:spacing w:after="0"/>
              <w:rPr>
                <w:sz w:val="20"/>
                <w:szCs w:val="20"/>
                <w:color w:val="auto"/>
              </w:rPr>
            </w:pPr>
            <w:r>
              <w:rPr>
                <w:rFonts w:ascii="Arial" w:cs="Arial" w:eastAsia="Arial" w:hAnsi="Arial"/>
                <w:sz w:val="16"/>
                <w:szCs w:val="16"/>
                <w:b w:val="1"/>
                <w:bCs w:val="1"/>
                <w:color w:val="auto"/>
              </w:rPr>
              <w:t> Year ended December 31,</w:t>
            </w:r>
          </w:p>
        </w:tc>
        <w:tc>
          <w:tcPr>
            <w:tcW w:w="700" w:type="dxa"/>
            <w:vAlign w:val="bottom"/>
            <w:tcBorders>
              <w:bottom w:val="single" w:sz="8" w:color="D64000"/>
            </w:tcBorders>
            <w:shd w:val="clear" w:color="auto" w:fill="E3F3EE"/>
          </w:tcPr>
          <w:p>
            <w:pPr>
              <w:jc w:val="right"/>
              <w:ind w:right="1"/>
              <w:spacing w:after="0"/>
              <w:rPr>
                <w:sz w:val="20"/>
                <w:szCs w:val="20"/>
                <w:color w:val="auto"/>
              </w:rPr>
            </w:pPr>
            <w:r>
              <w:rPr>
                <w:rFonts w:ascii="Arial" w:cs="Arial" w:eastAsia="Arial" w:hAnsi="Arial"/>
                <w:sz w:val="16"/>
                <w:szCs w:val="16"/>
                <w:b w:val="1"/>
                <w:bCs w:val="1"/>
                <w:color w:val="auto"/>
              </w:rPr>
              <w:t>2024</w:t>
            </w:r>
          </w:p>
        </w:tc>
        <w:tc>
          <w:tcPr>
            <w:tcW w:w="620" w:type="dxa"/>
            <w:vAlign w:val="bottom"/>
            <w:tcBorders>
              <w:bottom w:val="single" w:sz="8" w:color="D64000"/>
            </w:tcBorders>
            <w:shd w:val="clear" w:color="auto" w:fill="E3F3EE"/>
          </w:tcPr>
          <w:p>
            <w:pPr>
              <w:jc w:val="right"/>
              <w:ind w:right="21"/>
              <w:spacing w:after="0"/>
              <w:rPr>
                <w:sz w:val="20"/>
                <w:szCs w:val="20"/>
                <w:color w:val="auto"/>
              </w:rPr>
            </w:pPr>
            <w:r>
              <w:rPr>
                <w:rFonts w:ascii="Arial" w:cs="Arial" w:eastAsia="Arial" w:hAnsi="Arial"/>
                <w:sz w:val="16"/>
                <w:szCs w:val="16"/>
                <w:color w:val="auto"/>
              </w:rPr>
              <w:t>2023</w:t>
            </w:r>
          </w:p>
        </w:tc>
        <w:tc>
          <w:tcPr>
            <w:tcW w:w="580" w:type="dxa"/>
            <w:vAlign w:val="bottom"/>
            <w:tcBorders>
              <w:bottom w:val="single" w:sz="8" w:color="D64000"/>
            </w:tcBorders>
            <w:shd w:val="clear" w:color="auto" w:fill="E3F3EE"/>
          </w:tcPr>
          <w:p>
            <w:pPr>
              <w:jc w:val="right"/>
              <w:ind w:right="1"/>
              <w:spacing w:after="0"/>
              <w:rPr>
                <w:sz w:val="20"/>
                <w:szCs w:val="20"/>
                <w:color w:val="auto"/>
              </w:rPr>
            </w:pPr>
            <w:r>
              <w:rPr>
                <w:rFonts w:ascii="Arial" w:cs="Arial" w:eastAsia="Arial" w:hAnsi="Arial"/>
                <w:sz w:val="16"/>
                <w:szCs w:val="16"/>
                <w:b w:val="1"/>
                <w:bCs w:val="1"/>
                <w:color w:val="auto"/>
              </w:rPr>
              <w:t>2024</w:t>
            </w:r>
          </w:p>
        </w:tc>
        <w:tc>
          <w:tcPr>
            <w:tcW w:w="600" w:type="dxa"/>
            <w:vAlign w:val="bottom"/>
            <w:tcBorders>
              <w:bottom w:val="single" w:sz="8" w:color="D64000"/>
            </w:tcBorders>
            <w:shd w:val="clear" w:color="auto" w:fill="E3F3EE"/>
          </w:tcPr>
          <w:p>
            <w:pPr>
              <w:jc w:val="right"/>
              <w:ind w:right="1"/>
              <w:spacing w:after="0"/>
              <w:rPr>
                <w:sz w:val="20"/>
                <w:szCs w:val="20"/>
                <w:color w:val="auto"/>
              </w:rPr>
            </w:pPr>
            <w:r>
              <w:rPr>
                <w:rFonts w:ascii="Arial" w:cs="Arial" w:eastAsia="Arial" w:hAnsi="Arial"/>
                <w:sz w:val="16"/>
                <w:szCs w:val="16"/>
                <w:color w:val="auto"/>
              </w:rPr>
              <w:t>2023</w:t>
            </w:r>
          </w:p>
        </w:tc>
        <w:tc>
          <w:tcPr>
            <w:tcW w:w="600" w:type="dxa"/>
            <w:vAlign w:val="bottom"/>
            <w:tcBorders>
              <w:bottom w:val="single" w:sz="8" w:color="D64000"/>
            </w:tcBorders>
            <w:shd w:val="clear" w:color="auto" w:fill="E3F3EE"/>
          </w:tcPr>
          <w:p>
            <w:pPr>
              <w:jc w:val="right"/>
              <w:ind w:right="21"/>
              <w:spacing w:after="0"/>
              <w:rPr>
                <w:sz w:val="20"/>
                <w:szCs w:val="20"/>
                <w:color w:val="auto"/>
              </w:rPr>
            </w:pPr>
            <w:r>
              <w:rPr>
                <w:rFonts w:ascii="Arial" w:cs="Arial" w:eastAsia="Arial" w:hAnsi="Arial"/>
                <w:sz w:val="16"/>
                <w:szCs w:val="16"/>
                <w:b w:val="1"/>
                <w:bCs w:val="1"/>
                <w:color w:val="auto"/>
              </w:rPr>
              <w:t>2024</w:t>
            </w:r>
          </w:p>
        </w:tc>
        <w:tc>
          <w:tcPr>
            <w:tcW w:w="600" w:type="dxa"/>
            <w:vAlign w:val="bottom"/>
            <w:tcBorders>
              <w:bottom w:val="single" w:sz="8" w:color="D64000"/>
            </w:tcBorders>
            <w:shd w:val="clear" w:color="auto" w:fill="E3F3EE"/>
          </w:tcPr>
          <w:p>
            <w:pPr>
              <w:jc w:val="right"/>
              <w:ind w:right="21"/>
              <w:spacing w:after="0"/>
              <w:rPr>
                <w:sz w:val="20"/>
                <w:szCs w:val="20"/>
                <w:color w:val="auto"/>
              </w:rPr>
            </w:pPr>
            <w:r>
              <w:rPr>
                <w:rFonts w:ascii="Arial" w:cs="Arial" w:eastAsia="Arial" w:hAnsi="Arial"/>
                <w:sz w:val="16"/>
                <w:szCs w:val="16"/>
                <w:color w:val="auto"/>
              </w:rPr>
              <w:t>2023</w:t>
            </w:r>
          </w:p>
        </w:tc>
        <w:tc>
          <w:tcPr>
            <w:tcW w:w="640" w:type="dxa"/>
            <w:vAlign w:val="bottom"/>
            <w:tcBorders>
              <w:bottom w:val="single" w:sz="8" w:color="D64000"/>
            </w:tcBorders>
            <w:shd w:val="clear" w:color="auto" w:fill="E3F3EE"/>
          </w:tcPr>
          <w:p>
            <w:pPr>
              <w:jc w:val="right"/>
              <w:ind w:right="41"/>
              <w:spacing w:after="0"/>
              <w:rPr>
                <w:sz w:val="20"/>
                <w:szCs w:val="20"/>
                <w:color w:val="auto"/>
              </w:rPr>
            </w:pPr>
            <w:r>
              <w:rPr>
                <w:rFonts w:ascii="Arial" w:cs="Arial" w:eastAsia="Arial" w:hAnsi="Arial"/>
                <w:sz w:val="16"/>
                <w:szCs w:val="16"/>
                <w:b w:val="1"/>
                <w:bCs w:val="1"/>
                <w:color w:val="auto"/>
              </w:rPr>
              <w:t>2024</w:t>
            </w:r>
          </w:p>
        </w:tc>
        <w:tc>
          <w:tcPr>
            <w:tcW w:w="520" w:type="dxa"/>
            <w:vAlign w:val="bottom"/>
            <w:tcBorders>
              <w:bottom w:val="single" w:sz="8" w:color="D64000"/>
            </w:tcBorders>
            <w:shd w:val="clear" w:color="auto" w:fill="E3F3EE"/>
          </w:tcPr>
          <w:p>
            <w:pPr>
              <w:jc w:val="right"/>
              <w:spacing w:after="0"/>
              <w:rPr>
                <w:sz w:val="20"/>
                <w:szCs w:val="20"/>
                <w:color w:val="auto"/>
              </w:rPr>
            </w:pPr>
            <w:r>
              <w:rPr>
                <w:rFonts w:ascii="Arial" w:cs="Arial" w:eastAsia="Arial" w:hAnsi="Arial"/>
                <w:sz w:val="16"/>
                <w:szCs w:val="16"/>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60" w:type="dxa"/>
            <w:vAlign w:val="bottom"/>
          </w:tcPr>
          <w:p>
            <w:pPr>
              <w:spacing w:after="0"/>
              <w:rPr>
                <w:sz w:val="20"/>
                <w:szCs w:val="20"/>
                <w:color w:val="auto"/>
              </w:rPr>
            </w:pPr>
            <w:r>
              <w:rPr>
                <w:rFonts w:ascii="Arial" w:cs="Arial" w:eastAsia="Arial" w:hAnsi="Arial"/>
                <w:sz w:val="16"/>
                <w:szCs w:val="16"/>
                <w:color w:val="auto"/>
              </w:rPr>
              <w:t> Remeasurement (gains) losses on defined benefit obligation:</w:t>
            </w: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860" w:type="dxa"/>
            <w:vAlign w:val="bottom"/>
          </w:tcPr>
          <w:p>
            <w:pPr>
              <w:spacing w:after="0"/>
              <w:rPr>
                <w:sz w:val="20"/>
                <w:szCs w:val="20"/>
                <w:color w:val="auto"/>
              </w:rPr>
            </w:pPr>
            <w:r>
              <w:rPr>
                <w:rFonts w:ascii="Arial" w:cs="Arial" w:eastAsia="Arial" w:hAnsi="Arial"/>
                <w:sz w:val="16"/>
                <w:szCs w:val="16"/>
                <w:color w:val="auto"/>
              </w:rPr>
              <w:t>Due to financial assumption changes</w:t>
            </w:r>
          </w:p>
        </w:tc>
        <w:tc>
          <w:tcPr>
            <w:tcW w:w="700" w:type="dxa"/>
            <w:vAlign w:val="bottom"/>
          </w:tcPr>
          <w:p>
            <w:pPr>
              <w:jc w:val="right"/>
              <w:ind w:right="1"/>
              <w:spacing w:after="0"/>
              <w:rPr>
                <w:sz w:val="20"/>
                <w:szCs w:val="20"/>
                <w:color w:val="auto"/>
              </w:rPr>
            </w:pPr>
            <w:r>
              <w:rPr>
                <w:rFonts w:ascii="Arial" w:cs="Arial" w:eastAsia="Arial" w:hAnsi="Arial"/>
                <w:sz w:val="16"/>
                <w:szCs w:val="16"/>
                <w:b w:val="1"/>
                <w:bCs w:val="1"/>
                <w:color w:val="auto"/>
              </w:rPr>
              <w:t>(179)</w:t>
            </w: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88</w:t>
            </w:r>
          </w:p>
        </w:tc>
        <w:tc>
          <w:tcPr>
            <w:tcW w:w="580" w:type="dxa"/>
            <w:vAlign w:val="bottom"/>
          </w:tcPr>
          <w:p>
            <w:pPr>
              <w:jc w:val="right"/>
              <w:ind w:right="1"/>
              <w:spacing w:after="0"/>
              <w:rPr>
                <w:sz w:val="20"/>
                <w:szCs w:val="20"/>
                <w:color w:val="auto"/>
              </w:rPr>
            </w:pPr>
            <w:r>
              <w:rPr>
                <w:rFonts w:ascii="Arial" w:cs="Arial" w:eastAsia="Arial" w:hAnsi="Arial"/>
                <w:sz w:val="16"/>
                <w:szCs w:val="16"/>
                <w:b w:val="1"/>
                <w:bCs w:val="1"/>
                <w:color w:val="auto"/>
              </w:rPr>
              <w:t>(9)</w:t>
            </w: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6</w:t>
            </w:r>
          </w:p>
        </w:tc>
        <w:tc>
          <w:tcPr>
            <w:tcW w:w="600" w:type="dxa"/>
            <w:vAlign w:val="bottom"/>
          </w:tcPr>
          <w:p>
            <w:pPr>
              <w:jc w:val="right"/>
              <w:ind w:right="21"/>
              <w:spacing w:after="0"/>
              <w:rPr>
                <w:sz w:val="20"/>
                <w:szCs w:val="20"/>
                <w:color w:val="auto"/>
              </w:rPr>
            </w:pPr>
            <w:r>
              <w:rPr>
                <w:rFonts w:ascii="Arial" w:cs="Arial" w:eastAsia="Arial" w:hAnsi="Arial"/>
                <w:sz w:val="16"/>
                <w:szCs w:val="16"/>
                <w:b w:val="1"/>
                <w:bCs w:val="1"/>
                <w:color w:val="auto"/>
              </w:rPr>
              <w:t>(1)</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(8)</w:t>
            </w:r>
          </w:p>
        </w:tc>
        <w:tc>
          <w:tcPr>
            <w:tcW w:w="640" w:type="dxa"/>
            <w:vAlign w:val="bottom"/>
          </w:tcPr>
          <w:p>
            <w:pPr>
              <w:jc w:val="right"/>
              <w:ind w:right="41"/>
              <w:spacing w:after="0"/>
              <w:rPr>
                <w:sz w:val="20"/>
                <w:szCs w:val="20"/>
                <w:color w:val="auto"/>
              </w:rPr>
            </w:pPr>
            <w:r>
              <w:rPr>
                <w:rFonts w:ascii="Arial" w:cs="Arial" w:eastAsia="Arial" w:hAnsi="Arial"/>
                <w:sz w:val="16"/>
                <w:szCs w:val="16"/>
                <w:b w:val="1"/>
                <w:bCs w:val="1"/>
                <w:color w:val="auto"/>
              </w:rPr>
              <w:t>(189)</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99"/>
        </w:trPr>
        <w:tc>
          <w:tcPr>
            <w:tcW w:w="4860" w:type="dxa"/>
            <w:vAlign w:val="bottom"/>
          </w:tcPr>
          <w:p>
            <w:pPr>
              <w:spacing w:after="0"/>
              <w:rPr>
                <w:sz w:val="20"/>
                <w:szCs w:val="20"/>
                <w:color w:val="auto"/>
              </w:rPr>
            </w:pPr>
            <w:r>
              <w:rPr>
                <w:rFonts w:ascii="Arial" w:cs="Arial" w:eastAsia="Arial" w:hAnsi="Arial"/>
                <w:sz w:val="16"/>
                <w:szCs w:val="16"/>
                <w:color w:val="auto"/>
              </w:rPr>
              <w:t>Due to demographic assumption changes</w:t>
            </w:r>
          </w:p>
        </w:tc>
        <w:tc>
          <w:tcPr>
            <w:tcW w:w="7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(37)</w:t>
            </w:r>
          </w:p>
        </w:tc>
        <w:tc>
          <w:tcPr>
            <w:tcW w:w="5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6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9"/>
        </w:trPr>
        <w:tc>
          <w:tcPr>
            <w:tcW w:w="4860" w:type="dxa"/>
            <w:vAlign w:val="bottom"/>
          </w:tcPr>
          <w:p>
            <w:pPr>
              <w:spacing w:after="0"/>
              <w:rPr>
                <w:sz w:val="20"/>
                <w:szCs w:val="20"/>
                <w:color w:val="auto"/>
              </w:rPr>
            </w:pPr>
            <w:r>
              <w:rPr>
                <w:rFonts w:ascii="Arial" w:cs="Arial" w:eastAsia="Arial" w:hAnsi="Arial"/>
                <w:sz w:val="16"/>
                <w:szCs w:val="16"/>
                <w:color w:val="auto"/>
              </w:rPr>
              <w:t>Due to experience</w:t>
            </w:r>
          </w:p>
        </w:tc>
        <w:tc>
          <w:tcPr>
            <w:tcW w:w="700" w:type="dxa"/>
            <w:vAlign w:val="bottom"/>
          </w:tcPr>
          <w:p>
            <w:pPr>
              <w:jc w:val="right"/>
              <w:ind w:right="1"/>
              <w:spacing w:after="0"/>
              <w:rPr>
                <w:sz w:val="20"/>
                <w:szCs w:val="20"/>
                <w:color w:val="auto"/>
              </w:rPr>
            </w:pPr>
            <w:r>
              <w:rPr>
                <w:rFonts w:ascii="Arial" w:cs="Arial" w:eastAsia="Arial" w:hAnsi="Arial"/>
                <w:sz w:val="16"/>
                <w:szCs w:val="16"/>
                <w:b w:val="1"/>
                <w:bCs w:val="1"/>
                <w:color w:val="auto"/>
              </w:rPr>
              <w:t>4</w:t>
            </w: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19</w:t>
            </w:r>
          </w:p>
        </w:tc>
        <w:tc>
          <w:tcPr>
            <w:tcW w:w="580" w:type="dxa"/>
            <w:vAlign w:val="bottom"/>
          </w:tcPr>
          <w:p>
            <w:pPr>
              <w:jc w:val="right"/>
              <w:ind w:right="1"/>
              <w:spacing w:after="0"/>
              <w:rPr>
                <w:sz w:val="20"/>
                <w:szCs w:val="20"/>
                <w:color w:val="auto"/>
              </w:rPr>
            </w:pPr>
            <w:r>
              <w:rPr>
                <w:rFonts w:ascii="Arial" w:cs="Arial" w:eastAsia="Arial" w:hAnsi="Arial"/>
                <w:sz w:val="16"/>
                <w:szCs w:val="16"/>
                <w:b w:val="1"/>
                <w:bCs w:val="1"/>
                <w:color w:val="auto"/>
              </w:rPr>
              <w:t>1</w:t>
            </w: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6</w:t>
            </w:r>
          </w:p>
        </w:tc>
        <w:tc>
          <w:tcPr>
            <w:tcW w:w="600" w:type="dxa"/>
            <w:vAlign w:val="bottom"/>
          </w:tcPr>
          <w:p>
            <w:pPr>
              <w:jc w:val="right"/>
              <w:ind w:right="21"/>
              <w:spacing w:after="0"/>
              <w:rPr>
                <w:sz w:val="20"/>
                <w:szCs w:val="20"/>
                <w:color w:val="auto"/>
              </w:rPr>
            </w:pPr>
            <w:r>
              <w:rPr>
                <w:rFonts w:ascii="Arial" w:cs="Arial" w:eastAsia="Arial" w:hAnsi="Arial"/>
                <w:sz w:val="16"/>
                <w:szCs w:val="16"/>
                <w:b w:val="1"/>
                <w:bCs w:val="1"/>
                <w:color w:val="auto"/>
              </w:rPr>
              <w:t>2</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640" w:type="dxa"/>
            <w:vAlign w:val="bottom"/>
          </w:tcPr>
          <w:p>
            <w:pPr>
              <w:jc w:val="right"/>
              <w:ind w:right="41"/>
              <w:spacing w:after="0"/>
              <w:rPr>
                <w:sz w:val="20"/>
                <w:szCs w:val="20"/>
                <w:color w:val="auto"/>
              </w:rPr>
            </w:pPr>
            <w:r>
              <w:rPr>
                <w:rFonts w:ascii="Arial" w:cs="Arial" w:eastAsia="Arial" w:hAnsi="Arial"/>
                <w:sz w:val="16"/>
                <w:szCs w:val="16"/>
                <w:b w:val="1"/>
                <w:bCs w:val="1"/>
                <w:color w:val="auto"/>
              </w:rPr>
              <w:t>7</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0"/>
        </w:trPr>
        <w:tc>
          <w:tcPr>
            <w:tcW w:w="4860" w:type="dxa"/>
            <w:vAlign w:val="bottom"/>
          </w:tcPr>
          <w:p>
            <w:pPr>
              <w:spacing w:after="0"/>
              <w:rPr>
                <w:sz w:val="20"/>
                <w:szCs w:val="20"/>
                <w:color w:val="auto"/>
              </w:rPr>
            </w:pPr>
            <w:r>
              <w:rPr>
                <w:rFonts w:ascii="Arial" w:cs="Arial" w:eastAsia="Arial" w:hAnsi="Arial"/>
                <w:sz w:val="16"/>
                <w:szCs w:val="16"/>
                <w:color w:val="auto"/>
              </w:rPr>
              <w:t> Return on plan assets less than (greater than) discount rate</w:t>
            </w:r>
          </w:p>
        </w:tc>
        <w:tc>
          <w:tcPr>
            <w:tcW w:w="700" w:type="dxa"/>
            <w:vAlign w:val="bottom"/>
          </w:tcPr>
          <w:p>
            <w:pPr>
              <w:jc w:val="right"/>
              <w:ind w:right="1"/>
              <w:spacing w:after="0"/>
              <w:rPr>
                <w:sz w:val="20"/>
                <w:szCs w:val="20"/>
                <w:color w:val="auto"/>
              </w:rPr>
            </w:pPr>
            <w:r>
              <w:rPr>
                <w:rFonts w:ascii="Arial" w:cs="Arial" w:eastAsia="Arial" w:hAnsi="Arial"/>
                <w:sz w:val="16"/>
                <w:szCs w:val="16"/>
                <w:b w:val="1"/>
                <w:bCs w:val="1"/>
                <w:color w:val="auto"/>
              </w:rPr>
              <w:t>173</w:t>
            </w: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(70)</w:t>
            </w:r>
          </w:p>
        </w:tc>
        <w:tc>
          <w:tcPr>
            <w:tcW w:w="5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1"/>
              <w:spacing w:after="0"/>
              <w:rPr>
                <w:sz w:val="20"/>
                <w:szCs w:val="20"/>
                <w:color w:val="auto"/>
              </w:rPr>
            </w:pPr>
            <w:r>
              <w:rPr>
                <w:rFonts w:ascii="Arial" w:cs="Arial" w:eastAsia="Arial" w:hAnsi="Arial"/>
                <w:sz w:val="16"/>
                <w:szCs w:val="16"/>
                <w:b w:val="1"/>
                <w:bCs w:val="1"/>
                <w:color w:val="auto"/>
              </w:rPr>
              <w:t>173</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65"/>
        </w:trPr>
        <w:tc>
          <w:tcPr>
            <w:tcW w:w="4860" w:type="dxa"/>
            <w:vAlign w:val="bottom"/>
            <w:tcBorders>
              <w:top w:val="single" w:sz="8" w:color="B2B2B2"/>
            </w:tcBorders>
          </w:tcPr>
          <w:p>
            <w:pPr>
              <w:spacing w:after="0" w:line="165" w:lineRule="exact"/>
              <w:rPr>
                <w:sz w:val="20"/>
                <w:szCs w:val="20"/>
                <w:color w:val="auto"/>
              </w:rPr>
            </w:pPr>
            <w:r>
              <w:rPr>
                <w:rFonts w:ascii="Arial" w:cs="Arial" w:eastAsia="Arial" w:hAnsi="Arial"/>
                <w:sz w:val="16"/>
                <w:szCs w:val="16"/>
                <w:b w:val="1"/>
                <w:bCs w:val="1"/>
                <w:color w:val="auto"/>
              </w:rPr>
              <w:t> Total recognized in other comprehensive (income) loss before</w:t>
            </w:r>
          </w:p>
        </w:tc>
        <w:tc>
          <w:tcPr>
            <w:tcW w:w="700" w:type="dxa"/>
            <w:vAlign w:val="bottom"/>
            <w:tcBorders>
              <w:top w:val="single" w:sz="8" w:color="B2B2B2"/>
            </w:tcBorders>
          </w:tcPr>
          <w:p>
            <w:pPr>
              <w:spacing w:after="0"/>
              <w:rPr>
                <w:sz w:val="14"/>
                <w:szCs w:val="14"/>
                <w:color w:val="auto"/>
              </w:rPr>
            </w:pPr>
          </w:p>
        </w:tc>
        <w:tc>
          <w:tcPr>
            <w:tcW w:w="620" w:type="dxa"/>
            <w:vAlign w:val="bottom"/>
            <w:tcBorders>
              <w:top w:val="single" w:sz="8" w:color="B2B2B2"/>
            </w:tcBorders>
          </w:tcPr>
          <w:p>
            <w:pPr>
              <w:spacing w:after="0"/>
              <w:rPr>
                <w:sz w:val="14"/>
                <w:szCs w:val="14"/>
                <w:color w:val="auto"/>
              </w:rPr>
            </w:pPr>
          </w:p>
        </w:tc>
        <w:tc>
          <w:tcPr>
            <w:tcW w:w="580" w:type="dxa"/>
            <w:vAlign w:val="bottom"/>
            <w:tcBorders>
              <w:top w:val="single" w:sz="8" w:color="B2B2B2"/>
            </w:tcBorders>
          </w:tcPr>
          <w:p>
            <w:pPr>
              <w:spacing w:after="0"/>
              <w:rPr>
                <w:sz w:val="14"/>
                <w:szCs w:val="14"/>
                <w:color w:val="auto"/>
              </w:rPr>
            </w:pPr>
          </w:p>
        </w:tc>
        <w:tc>
          <w:tcPr>
            <w:tcW w:w="600" w:type="dxa"/>
            <w:vAlign w:val="bottom"/>
            <w:tcBorders>
              <w:top w:val="single" w:sz="8" w:color="B2B2B2"/>
            </w:tcBorders>
          </w:tcPr>
          <w:p>
            <w:pPr>
              <w:spacing w:after="0"/>
              <w:rPr>
                <w:sz w:val="14"/>
                <w:szCs w:val="14"/>
                <w:color w:val="auto"/>
              </w:rPr>
            </w:pPr>
          </w:p>
        </w:tc>
        <w:tc>
          <w:tcPr>
            <w:tcW w:w="600" w:type="dxa"/>
            <w:vAlign w:val="bottom"/>
            <w:tcBorders>
              <w:top w:val="single" w:sz="8" w:color="B2B2B2"/>
            </w:tcBorders>
          </w:tcPr>
          <w:p>
            <w:pPr>
              <w:spacing w:after="0"/>
              <w:rPr>
                <w:sz w:val="14"/>
                <w:szCs w:val="14"/>
                <w:color w:val="auto"/>
              </w:rPr>
            </w:pPr>
          </w:p>
        </w:tc>
        <w:tc>
          <w:tcPr>
            <w:tcW w:w="600" w:type="dxa"/>
            <w:vAlign w:val="bottom"/>
            <w:tcBorders>
              <w:top w:val="single" w:sz="8" w:color="B2B2B2"/>
            </w:tcBorders>
          </w:tcPr>
          <w:p>
            <w:pPr>
              <w:spacing w:after="0"/>
              <w:rPr>
                <w:sz w:val="14"/>
                <w:szCs w:val="14"/>
                <w:color w:val="auto"/>
              </w:rPr>
            </w:pPr>
          </w:p>
        </w:tc>
        <w:tc>
          <w:tcPr>
            <w:tcW w:w="640" w:type="dxa"/>
            <w:vAlign w:val="bottom"/>
            <w:tcBorders>
              <w:top w:val="single" w:sz="8" w:color="B2B2B2"/>
            </w:tcBorders>
          </w:tcPr>
          <w:p>
            <w:pPr>
              <w:spacing w:after="0"/>
              <w:rPr>
                <w:sz w:val="14"/>
                <w:szCs w:val="14"/>
                <w:color w:val="auto"/>
              </w:rPr>
            </w:pPr>
          </w:p>
        </w:tc>
        <w:tc>
          <w:tcPr>
            <w:tcW w:w="520" w:type="dxa"/>
            <w:vAlign w:val="bottom"/>
            <w:tcBorders>
              <w:top w:val="single" w:sz="8" w:color="B2B2B2"/>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860" w:type="dxa"/>
            <w:vAlign w:val="bottom"/>
          </w:tcPr>
          <w:p>
            <w:pPr>
              <w:spacing w:after="0"/>
              <w:rPr>
                <w:sz w:val="20"/>
                <w:szCs w:val="20"/>
                <w:color w:val="auto"/>
              </w:rPr>
            </w:pPr>
            <w:r>
              <w:rPr>
                <w:rFonts w:ascii="Arial" w:cs="Arial" w:eastAsia="Arial" w:hAnsi="Arial"/>
                <w:sz w:val="16"/>
                <w:szCs w:val="16"/>
                <w:b w:val="1"/>
                <w:bCs w:val="1"/>
                <w:color w:val="auto"/>
              </w:rPr>
              <w:t>taxation</w:t>
            </w:r>
          </w:p>
        </w:tc>
        <w:tc>
          <w:tcPr>
            <w:tcW w:w="700" w:type="dxa"/>
            <w:vAlign w:val="bottom"/>
          </w:tcPr>
          <w:p>
            <w:pPr>
              <w:jc w:val="right"/>
              <w:ind w:right="1"/>
              <w:spacing w:after="0"/>
              <w:rPr>
                <w:sz w:val="20"/>
                <w:szCs w:val="20"/>
                <w:color w:val="auto"/>
              </w:rPr>
            </w:pPr>
            <w:r>
              <w:rPr>
                <w:rFonts w:ascii="Arial" w:cs="Arial" w:eastAsia="Arial" w:hAnsi="Arial"/>
                <w:sz w:val="16"/>
                <w:szCs w:val="16"/>
                <w:b w:val="1"/>
                <w:bCs w:val="1"/>
                <w:color w:val="auto"/>
              </w:rPr>
              <w:t>(2)</w:t>
            </w: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
              <w:spacing w:after="0"/>
              <w:rPr>
                <w:sz w:val="20"/>
                <w:szCs w:val="20"/>
                <w:color w:val="auto"/>
              </w:rPr>
            </w:pPr>
            <w:r>
              <w:rPr>
                <w:rFonts w:ascii="Arial" w:cs="Arial" w:eastAsia="Arial" w:hAnsi="Arial"/>
                <w:sz w:val="16"/>
                <w:szCs w:val="16"/>
                <w:b w:val="1"/>
                <w:bCs w:val="1"/>
                <w:color w:val="auto"/>
              </w:rPr>
              <w:t>(8)</w:t>
            </w: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12</w:t>
            </w:r>
          </w:p>
        </w:tc>
        <w:tc>
          <w:tcPr>
            <w:tcW w:w="600" w:type="dxa"/>
            <w:vAlign w:val="bottom"/>
          </w:tcPr>
          <w:p>
            <w:pPr>
              <w:jc w:val="right"/>
              <w:ind w:right="21"/>
              <w:spacing w:after="0"/>
              <w:rPr>
                <w:sz w:val="20"/>
                <w:szCs w:val="20"/>
                <w:color w:val="auto"/>
              </w:rPr>
            </w:pPr>
            <w:r>
              <w:rPr>
                <w:rFonts w:ascii="Arial" w:cs="Arial" w:eastAsia="Arial" w:hAnsi="Arial"/>
                <w:sz w:val="16"/>
                <w:szCs w:val="16"/>
                <w:b w:val="1"/>
                <w:bCs w:val="1"/>
                <w:color w:val="auto"/>
              </w:rPr>
              <w:t>1</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(8)</w:t>
            </w:r>
          </w:p>
        </w:tc>
        <w:tc>
          <w:tcPr>
            <w:tcW w:w="640" w:type="dxa"/>
            <w:vAlign w:val="bottom"/>
          </w:tcPr>
          <w:p>
            <w:pPr>
              <w:jc w:val="right"/>
              <w:ind w:right="41"/>
              <w:spacing w:after="0"/>
              <w:rPr>
                <w:sz w:val="20"/>
                <w:szCs w:val="20"/>
                <w:color w:val="auto"/>
              </w:rPr>
            </w:pPr>
            <w:r>
              <w:rPr>
                <w:rFonts w:ascii="Arial" w:cs="Arial" w:eastAsia="Arial" w:hAnsi="Arial"/>
                <w:sz w:val="16"/>
                <w:szCs w:val="16"/>
                <w:b w:val="1"/>
                <w:bCs w:val="1"/>
                <w:color w:val="auto"/>
              </w:rPr>
              <w:t>(9)</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2"/>
        </w:trPr>
        <w:tc>
          <w:tcPr>
            <w:tcW w:w="4860" w:type="dxa"/>
            <w:vAlign w:val="bottom"/>
            <w:tcBorders>
              <w:top w:val="single" w:sz="8" w:color="D64000"/>
            </w:tcBorders>
          </w:tcPr>
          <w:p>
            <w:pPr>
              <w:spacing w:after="0"/>
              <w:rPr>
                <w:sz w:val="18"/>
                <w:szCs w:val="18"/>
                <w:color w:val="auto"/>
              </w:rPr>
            </w:pPr>
          </w:p>
        </w:tc>
        <w:tc>
          <w:tcPr>
            <w:tcW w:w="1320" w:type="dxa"/>
            <w:vAlign w:val="bottom"/>
            <w:tcBorders>
              <w:top w:val="single" w:sz="8" w:color="D64000"/>
            </w:tcBorders>
            <w:gridSpan w:val="2"/>
          </w:tcPr>
          <w:p>
            <w:pPr>
              <w:spacing w:after="0"/>
              <w:rPr>
                <w:sz w:val="18"/>
                <w:szCs w:val="18"/>
                <w:color w:val="auto"/>
              </w:rPr>
            </w:pPr>
          </w:p>
        </w:tc>
        <w:tc>
          <w:tcPr>
            <w:tcW w:w="1180" w:type="dxa"/>
            <w:vAlign w:val="bottom"/>
            <w:tcBorders>
              <w:top w:val="single" w:sz="8" w:color="D64000"/>
            </w:tcBorders>
            <w:gridSpan w:val="2"/>
          </w:tcPr>
          <w:p>
            <w:pPr>
              <w:spacing w:after="0"/>
              <w:rPr>
                <w:sz w:val="18"/>
                <w:szCs w:val="18"/>
                <w:color w:val="auto"/>
              </w:rPr>
            </w:pPr>
          </w:p>
        </w:tc>
        <w:tc>
          <w:tcPr>
            <w:tcW w:w="1200" w:type="dxa"/>
            <w:vAlign w:val="bottom"/>
            <w:tcBorders>
              <w:top w:val="single" w:sz="8" w:color="D64000"/>
            </w:tcBorders>
            <w:gridSpan w:val="2"/>
          </w:tcPr>
          <w:p>
            <w:pPr>
              <w:spacing w:after="0"/>
              <w:rPr>
                <w:sz w:val="18"/>
                <w:szCs w:val="18"/>
                <w:color w:val="auto"/>
              </w:rPr>
            </w:pPr>
          </w:p>
        </w:tc>
        <w:tc>
          <w:tcPr>
            <w:tcW w:w="1160" w:type="dxa"/>
            <w:vAlign w:val="bottom"/>
            <w:tcBorders>
              <w:top w:val="single" w:sz="8" w:color="D64000"/>
            </w:tcBorders>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860" w:type="dxa"/>
            <w:vAlign w:val="bottom"/>
            <w:shd w:val="clear" w:color="auto" w:fill="1F473D"/>
          </w:tcPr>
          <w:p>
            <w:pPr>
              <w:spacing w:after="0"/>
              <w:rPr>
                <w:sz w:val="20"/>
                <w:szCs w:val="20"/>
                <w:color w:val="auto"/>
              </w:rPr>
            </w:pPr>
            <w:r>
              <w:rPr>
                <w:rFonts w:ascii="Arial" w:cs="Arial" w:eastAsia="Arial" w:hAnsi="Arial"/>
                <w:sz w:val="16"/>
                <w:szCs w:val="16"/>
                <w:b w:val="1"/>
                <w:bCs w:val="1"/>
                <w:color w:val="FFFFFF"/>
              </w:rPr>
              <w:t> Accumulated Comprehensive Loss (Income)</w:t>
            </w:r>
          </w:p>
        </w:tc>
        <w:tc>
          <w:tcPr>
            <w:tcW w:w="1320" w:type="dxa"/>
            <w:vAlign w:val="bottom"/>
            <w:gridSpan w:val="2"/>
            <w:shd w:val="clear" w:color="auto" w:fill="1F473D"/>
          </w:tcPr>
          <w:p>
            <w:pPr>
              <w:jc w:val="right"/>
              <w:ind w:right="301"/>
              <w:spacing w:after="0"/>
              <w:rPr>
                <w:sz w:val="20"/>
                <w:szCs w:val="20"/>
                <w:color w:val="auto"/>
              </w:rPr>
            </w:pPr>
            <w:r>
              <w:rPr>
                <w:rFonts w:ascii="Arial" w:cs="Arial" w:eastAsia="Arial" w:hAnsi="Arial"/>
                <w:sz w:val="16"/>
                <w:szCs w:val="16"/>
                <w:b w:val="1"/>
                <w:bCs w:val="1"/>
                <w:color w:val="FFFFFF"/>
              </w:rPr>
              <w:t>Funded</w:t>
            </w:r>
          </w:p>
        </w:tc>
        <w:tc>
          <w:tcPr>
            <w:tcW w:w="1180" w:type="dxa"/>
            <w:vAlign w:val="bottom"/>
            <w:gridSpan w:val="2"/>
            <w:shd w:val="clear" w:color="auto" w:fill="1F473D"/>
          </w:tcPr>
          <w:p>
            <w:pPr>
              <w:jc w:val="right"/>
              <w:ind w:right="181"/>
              <w:spacing w:after="0"/>
              <w:rPr>
                <w:sz w:val="20"/>
                <w:szCs w:val="20"/>
                <w:color w:val="auto"/>
              </w:rPr>
            </w:pPr>
            <w:r>
              <w:rPr>
                <w:rFonts w:ascii="Arial" w:cs="Arial" w:eastAsia="Arial" w:hAnsi="Arial"/>
                <w:sz w:val="16"/>
                <w:szCs w:val="16"/>
                <w:b w:val="1"/>
                <w:bCs w:val="1"/>
                <w:color w:val="FFFFFF"/>
              </w:rPr>
              <w:t>Unfunded</w:t>
            </w:r>
          </w:p>
        </w:tc>
        <w:tc>
          <w:tcPr>
            <w:tcW w:w="1200" w:type="dxa"/>
            <w:vAlign w:val="bottom"/>
            <w:gridSpan w:val="2"/>
            <w:shd w:val="clear" w:color="auto" w:fill="1F473D"/>
          </w:tcPr>
          <w:p>
            <w:pPr>
              <w:jc w:val="right"/>
              <w:ind w:right="321"/>
              <w:spacing w:after="0"/>
              <w:rPr>
                <w:sz w:val="20"/>
                <w:szCs w:val="20"/>
                <w:color w:val="auto"/>
              </w:rPr>
            </w:pPr>
            <w:r>
              <w:rPr>
                <w:rFonts w:ascii="Arial" w:cs="Arial" w:eastAsia="Arial" w:hAnsi="Arial"/>
                <w:sz w:val="16"/>
                <w:szCs w:val="16"/>
                <w:b w:val="1"/>
                <w:bCs w:val="1"/>
                <w:color w:val="FFFFFF"/>
              </w:rPr>
              <w:t>OPEB</w:t>
            </w:r>
          </w:p>
        </w:tc>
        <w:tc>
          <w:tcPr>
            <w:tcW w:w="1160" w:type="dxa"/>
            <w:vAlign w:val="bottom"/>
            <w:gridSpan w:val="2"/>
            <w:shd w:val="clear" w:color="auto" w:fill="1F473D"/>
          </w:tcPr>
          <w:p>
            <w:pPr>
              <w:jc w:val="right"/>
              <w:ind w:right="261"/>
              <w:spacing w:after="0"/>
              <w:rPr>
                <w:sz w:val="20"/>
                <w:szCs w:val="20"/>
                <w:color w:val="auto"/>
              </w:rPr>
            </w:pPr>
            <w:r>
              <w:rPr>
                <w:rFonts w:ascii="Arial" w:cs="Arial" w:eastAsia="Arial" w:hAnsi="Arial"/>
                <w:sz w:val="16"/>
                <w:szCs w:val="16"/>
                <w:b w:val="1"/>
                <w:bCs w:val="1"/>
                <w:color w:val="FFFFFF"/>
              </w:rPr>
              <w:t>Total</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60" w:type="dxa"/>
            <w:vAlign w:val="bottom"/>
            <w:tcBorders>
              <w:bottom w:val="single" w:sz="8" w:color="D64000"/>
            </w:tcBorders>
            <w:shd w:val="clear" w:color="auto" w:fill="E3F3EE"/>
          </w:tcPr>
          <w:p>
            <w:pPr>
              <w:spacing w:after="0"/>
              <w:rPr>
                <w:sz w:val="16"/>
                <w:szCs w:val="16"/>
                <w:color w:val="auto"/>
              </w:rPr>
            </w:pPr>
          </w:p>
        </w:tc>
        <w:tc>
          <w:tcPr>
            <w:tcW w:w="700" w:type="dxa"/>
            <w:vAlign w:val="bottom"/>
            <w:tcBorders>
              <w:bottom w:val="single" w:sz="8" w:color="D64000"/>
            </w:tcBorders>
            <w:shd w:val="clear" w:color="auto" w:fill="E3F3EE"/>
          </w:tcPr>
          <w:p>
            <w:pPr>
              <w:jc w:val="right"/>
              <w:ind w:right="81"/>
              <w:spacing w:after="0"/>
              <w:rPr>
                <w:sz w:val="20"/>
                <w:szCs w:val="20"/>
                <w:color w:val="auto"/>
              </w:rPr>
            </w:pPr>
            <w:r>
              <w:rPr>
                <w:rFonts w:ascii="Arial" w:cs="Arial" w:eastAsia="Arial" w:hAnsi="Arial"/>
                <w:sz w:val="16"/>
                <w:szCs w:val="16"/>
                <w:b w:val="1"/>
                <w:bCs w:val="1"/>
                <w:color w:val="auto"/>
              </w:rPr>
              <w:t>2024</w:t>
            </w:r>
          </w:p>
        </w:tc>
        <w:tc>
          <w:tcPr>
            <w:tcW w:w="620" w:type="dxa"/>
            <w:vAlign w:val="bottom"/>
            <w:tcBorders>
              <w:bottom w:val="single" w:sz="8" w:color="D64000"/>
            </w:tcBorders>
            <w:shd w:val="clear" w:color="auto" w:fill="E3F3EE"/>
          </w:tcPr>
          <w:p>
            <w:pPr>
              <w:jc w:val="right"/>
              <w:ind w:right="61"/>
              <w:spacing w:after="0"/>
              <w:rPr>
                <w:sz w:val="20"/>
                <w:szCs w:val="20"/>
                <w:color w:val="auto"/>
              </w:rPr>
            </w:pPr>
            <w:r>
              <w:rPr>
                <w:rFonts w:ascii="Arial" w:cs="Arial" w:eastAsia="Arial" w:hAnsi="Arial"/>
                <w:sz w:val="16"/>
                <w:szCs w:val="16"/>
                <w:color w:val="auto"/>
              </w:rPr>
              <w:t>2023</w:t>
            </w:r>
          </w:p>
        </w:tc>
        <w:tc>
          <w:tcPr>
            <w:tcW w:w="580" w:type="dxa"/>
            <w:vAlign w:val="bottom"/>
            <w:tcBorders>
              <w:bottom w:val="single" w:sz="8" w:color="D64000"/>
            </w:tcBorders>
            <w:shd w:val="clear" w:color="auto" w:fill="E3F3EE"/>
          </w:tcPr>
          <w:p>
            <w:pPr>
              <w:jc w:val="right"/>
              <w:ind w:right="61"/>
              <w:spacing w:after="0"/>
              <w:rPr>
                <w:sz w:val="20"/>
                <w:szCs w:val="20"/>
                <w:color w:val="auto"/>
              </w:rPr>
            </w:pPr>
            <w:r>
              <w:rPr>
                <w:rFonts w:ascii="Arial" w:cs="Arial" w:eastAsia="Arial" w:hAnsi="Arial"/>
                <w:sz w:val="16"/>
                <w:szCs w:val="16"/>
                <w:b w:val="1"/>
                <w:bCs w:val="1"/>
                <w:color w:val="auto"/>
              </w:rPr>
              <w:t>2024</w:t>
            </w:r>
          </w:p>
        </w:tc>
        <w:tc>
          <w:tcPr>
            <w:tcW w:w="600" w:type="dxa"/>
            <w:vAlign w:val="bottom"/>
            <w:tcBorders>
              <w:bottom w:val="single" w:sz="8" w:color="D64000"/>
            </w:tcBorders>
            <w:shd w:val="clear" w:color="auto" w:fill="E3F3EE"/>
          </w:tcPr>
          <w:p>
            <w:pPr>
              <w:jc w:val="right"/>
              <w:ind w:right="81"/>
              <w:spacing w:after="0"/>
              <w:rPr>
                <w:sz w:val="20"/>
                <w:szCs w:val="20"/>
                <w:color w:val="auto"/>
              </w:rPr>
            </w:pPr>
            <w:r>
              <w:rPr>
                <w:rFonts w:ascii="Arial" w:cs="Arial" w:eastAsia="Arial" w:hAnsi="Arial"/>
                <w:sz w:val="16"/>
                <w:szCs w:val="16"/>
                <w:color w:val="auto"/>
              </w:rPr>
              <w:t>2023</w:t>
            </w:r>
          </w:p>
        </w:tc>
        <w:tc>
          <w:tcPr>
            <w:tcW w:w="600" w:type="dxa"/>
            <w:vAlign w:val="bottom"/>
            <w:tcBorders>
              <w:bottom w:val="single" w:sz="8" w:color="D64000"/>
            </w:tcBorders>
            <w:shd w:val="clear" w:color="auto" w:fill="E3F3EE"/>
          </w:tcPr>
          <w:p>
            <w:pPr>
              <w:jc w:val="right"/>
              <w:ind w:right="61"/>
              <w:spacing w:after="0"/>
              <w:rPr>
                <w:sz w:val="20"/>
                <w:szCs w:val="20"/>
                <w:color w:val="auto"/>
              </w:rPr>
            </w:pPr>
            <w:r>
              <w:rPr>
                <w:rFonts w:ascii="Arial" w:cs="Arial" w:eastAsia="Arial" w:hAnsi="Arial"/>
                <w:sz w:val="16"/>
                <w:szCs w:val="16"/>
                <w:b w:val="1"/>
                <w:bCs w:val="1"/>
                <w:color w:val="auto"/>
              </w:rPr>
              <w:t>2024</w:t>
            </w:r>
          </w:p>
        </w:tc>
        <w:tc>
          <w:tcPr>
            <w:tcW w:w="600" w:type="dxa"/>
            <w:vAlign w:val="bottom"/>
            <w:tcBorders>
              <w:bottom w:val="single" w:sz="8" w:color="D64000"/>
            </w:tcBorders>
            <w:shd w:val="clear" w:color="auto" w:fill="E3F3EE"/>
          </w:tcPr>
          <w:p>
            <w:pPr>
              <w:jc w:val="right"/>
              <w:ind w:right="61"/>
              <w:spacing w:after="0"/>
              <w:rPr>
                <w:sz w:val="20"/>
                <w:szCs w:val="20"/>
                <w:color w:val="auto"/>
              </w:rPr>
            </w:pPr>
            <w:r>
              <w:rPr>
                <w:rFonts w:ascii="Arial" w:cs="Arial" w:eastAsia="Arial" w:hAnsi="Arial"/>
                <w:sz w:val="16"/>
                <w:szCs w:val="16"/>
                <w:color w:val="auto"/>
              </w:rPr>
              <w:t>2023</w:t>
            </w:r>
          </w:p>
        </w:tc>
        <w:tc>
          <w:tcPr>
            <w:tcW w:w="640" w:type="dxa"/>
            <w:vAlign w:val="bottom"/>
            <w:tcBorders>
              <w:bottom w:val="single" w:sz="8" w:color="D64000"/>
            </w:tcBorders>
            <w:shd w:val="clear" w:color="auto" w:fill="E3F3EE"/>
          </w:tcPr>
          <w:p>
            <w:pPr>
              <w:jc w:val="right"/>
              <w:ind w:right="61"/>
              <w:spacing w:after="0"/>
              <w:rPr>
                <w:sz w:val="20"/>
                <w:szCs w:val="20"/>
                <w:color w:val="auto"/>
              </w:rPr>
            </w:pPr>
            <w:r>
              <w:rPr>
                <w:rFonts w:ascii="Arial" w:cs="Arial" w:eastAsia="Arial" w:hAnsi="Arial"/>
                <w:sz w:val="16"/>
                <w:szCs w:val="16"/>
                <w:b w:val="1"/>
                <w:bCs w:val="1"/>
                <w:color w:val="auto"/>
              </w:rPr>
              <w:t>2024</w:t>
            </w:r>
          </w:p>
        </w:tc>
        <w:tc>
          <w:tcPr>
            <w:tcW w:w="520" w:type="dxa"/>
            <w:vAlign w:val="bottom"/>
            <w:tcBorders>
              <w:bottom w:val="single" w:sz="8" w:color="D64000"/>
            </w:tcBorders>
            <w:shd w:val="clear" w:color="auto" w:fill="E3F3EE"/>
          </w:tcPr>
          <w:p>
            <w:pPr>
              <w:jc w:val="right"/>
              <w:spacing w:after="0"/>
              <w:rPr>
                <w:sz w:val="20"/>
                <w:szCs w:val="20"/>
                <w:color w:val="auto"/>
              </w:rPr>
            </w:pPr>
            <w:r>
              <w:rPr>
                <w:rFonts w:ascii="Arial" w:cs="Arial" w:eastAsia="Arial" w:hAnsi="Arial"/>
                <w:sz w:val="16"/>
                <w:szCs w:val="16"/>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line="171" w:lineRule="exact"/>
              <w:rPr>
                <w:sz w:val="20"/>
                <w:szCs w:val="20"/>
                <w:color w:val="auto"/>
              </w:rPr>
            </w:pPr>
            <w:r>
              <w:rPr>
                <w:rFonts w:ascii="Arial" w:cs="Arial" w:eastAsia="Arial" w:hAnsi="Arial"/>
                <w:sz w:val="16"/>
                <w:szCs w:val="16"/>
                <w:color w:val="auto"/>
              </w:rPr>
              <w:t> Balance of accumulated comprehensive loss (income) as of</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860" w:type="dxa"/>
            <w:vAlign w:val="bottom"/>
          </w:tcPr>
          <w:p>
            <w:pPr>
              <w:spacing w:after="0"/>
              <w:rPr>
                <w:sz w:val="20"/>
                <w:szCs w:val="20"/>
                <w:color w:val="auto"/>
              </w:rPr>
            </w:pPr>
            <w:r>
              <w:rPr>
                <w:rFonts w:ascii="Arial" w:cs="Arial" w:eastAsia="Arial" w:hAnsi="Arial"/>
                <w:sz w:val="16"/>
                <w:szCs w:val="16"/>
                <w:color w:val="auto"/>
              </w:rPr>
              <w:t>January 1</w:t>
            </w:r>
          </w:p>
        </w:tc>
        <w:tc>
          <w:tcPr>
            <w:tcW w:w="700" w:type="dxa"/>
            <w:vAlign w:val="bottom"/>
          </w:tcPr>
          <w:p>
            <w:pPr>
              <w:jc w:val="right"/>
              <w:ind w:right="81"/>
              <w:spacing w:after="0"/>
              <w:rPr>
                <w:sz w:val="20"/>
                <w:szCs w:val="20"/>
                <w:color w:val="auto"/>
              </w:rPr>
            </w:pPr>
            <w:r>
              <w:rPr>
                <w:rFonts w:ascii="Arial" w:cs="Arial" w:eastAsia="Arial" w:hAnsi="Arial"/>
                <w:sz w:val="16"/>
                <w:szCs w:val="16"/>
                <w:b w:val="1"/>
                <w:bCs w:val="1"/>
                <w:color w:val="auto"/>
              </w:rPr>
              <w:t>1,317</w:t>
            </w: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1,317</w:t>
            </w:r>
          </w:p>
        </w:tc>
        <w:tc>
          <w:tcPr>
            <w:tcW w:w="580" w:type="dxa"/>
            <w:vAlign w:val="bottom"/>
          </w:tcPr>
          <w:p>
            <w:pPr>
              <w:jc w:val="right"/>
              <w:ind w:right="61"/>
              <w:spacing w:after="0"/>
              <w:rPr>
                <w:sz w:val="20"/>
                <w:szCs w:val="20"/>
                <w:color w:val="auto"/>
              </w:rPr>
            </w:pPr>
            <w:r>
              <w:rPr>
                <w:rFonts w:ascii="Arial" w:cs="Arial" w:eastAsia="Arial" w:hAnsi="Arial"/>
                <w:sz w:val="16"/>
                <w:szCs w:val="16"/>
                <w:b w:val="1"/>
                <w:bCs w:val="1"/>
                <w:color w:val="auto"/>
              </w:rPr>
              <w:t>56</w:t>
            </w:r>
          </w:p>
        </w:tc>
        <w:tc>
          <w:tcPr>
            <w:tcW w:w="600" w:type="dxa"/>
            <w:vAlign w:val="bottom"/>
          </w:tcPr>
          <w:p>
            <w:pPr>
              <w:jc w:val="right"/>
              <w:ind w:right="81"/>
              <w:spacing w:after="0"/>
              <w:rPr>
                <w:sz w:val="20"/>
                <w:szCs w:val="20"/>
                <w:color w:val="auto"/>
              </w:rPr>
            </w:pPr>
            <w:r>
              <w:rPr>
                <w:rFonts w:ascii="Arial" w:cs="Arial" w:eastAsia="Arial" w:hAnsi="Arial"/>
                <w:sz w:val="16"/>
                <w:szCs w:val="16"/>
                <w:color w:val="auto"/>
              </w:rPr>
              <w:t>44</w:t>
            </w:r>
          </w:p>
        </w:tc>
        <w:tc>
          <w:tcPr>
            <w:tcW w:w="600" w:type="dxa"/>
            <w:vAlign w:val="bottom"/>
          </w:tcPr>
          <w:p>
            <w:pPr>
              <w:jc w:val="right"/>
              <w:ind w:right="61"/>
              <w:spacing w:after="0"/>
              <w:rPr>
                <w:sz w:val="20"/>
                <w:szCs w:val="20"/>
                <w:color w:val="auto"/>
              </w:rPr>
            </w:pPr>
            <w:r>
              <w:rPr>
                <w:rFonts w:ascii="Arial" w:cs="Arial" w:eastAsia="Arial" w:hAnsi="Arial"/>
                <w:sz w:val="16"/>
                <w:szCs w:val="16"/>
                <w:b w:val="1"/>
                <w:bCs w:val="1"/>
                <w:color w:val="auto"/>
              </w:rPr>
              <w:t>(122)</w:t>
            </w: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(114)</w:t>
            </w:r>
          </w:p>
        </w:tc>
        <w:tc>
          <w:tcPr>
            <w:tcW w:w="640" w:type="dxa"/>
            <w:vAlign w:val="bottom"/>
          </w:tcPr>
          <w:p>
            <w:pPr>
              <w:jc w:val="right"/>
              <w:ind w:right="61"/>
              <w:spacing w:after="0"/>
              <w:rPr>
                <w:sz w:val="20"/>
                <w:szCs w:val="20"/>
                <w:color w:val="auto"/>
              </w:rPr>
            </w:pPr>
            <w:r>
              <w:rPr>
                <w:rFonts w:ascii="Arial" w:cs="Arial" w:eastAsia="Arial" w:hAnsi="Arial"/>
                <w:sz w:val="16"/>
                <w:szCs w:val="16"/>
                <w:b w:val="1"/>
                <w:bCs w:val="1"/>
                <w:color w:val="auto"/>
              </w:rPr>
              <w:t>1,251</w:t>
            </w:r>
          </w:p>
        </w:tc>
        <w:tc>
          <w:tcPr>
            <w:tcW w:w="520" w:type="dxa"/>
            <w:vAlign w:val="bottom"/>
          </w:tcPr>
          <w:p>
            <w:pPr>
              <w:jc w:val="right"/>
              <w:spacing w:after="0"/>
              <w:rPr>
                <w:sz w:val="20"/>
                <w:szCs w:val="20"/>
                <w:color w:val="auto"/>
              </w:rPr>
            </w:pPr>
            <w:r>
              <w:rPr>
                <w:rFonts w:ascii="Arial" w:cs="Arial" w:eastAsia="Arial" w:hAnsi="Arial"/>
                <w:sz w:val="16"/>
                <w:szCs w:val="16"/>
                <w:color w:val="auto"/>
              </w:rPr>
              <w:t>1,247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86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Net actuarial (gains) losses recognized in the year</w:t>
            </w:r>
          </w:p>
        </w:tc>
        <w:tc>
          <w:tcPr>
            <w:tcW w:w="700" w:type="dxa"/>
            <w:vAlign w:val="bottom"/>
            <w:tcBorders>
              <w:bottom w:val="single" w:sz="8" w:color="B2B2B2"/>
            </w:tcBorders>
          </w:tcPr>
          <w:p>
            <w:pPr>
              <w:jc w:val="right"/>
              <w:ind w:right="81"/>
              <w:spacing w:after="0"/>
              <w:rPr>
                <w:sz w:val="20"/>
                <w:szCs w:val="20"/>
                <w:color w:val="auto"/>
              </w:rPr>
            </w:pPr>
            <w:r>
              <w:rPr>
                <w:rFonts w:ascii="Arial" w:cs="Arial" w:eastAsia="Arial" w:hAnsi="Arial"/>
                <w:sz w:val="16"/>
                <w:szCs w:val="16"/>
                <w:b w:val="1"/>
                <w:bCs w:val="1"/>
                <w:color w:val="auto"/>
              </w:rPr>
              <w:t>(2)</w:t>
            </w:r>
          </w:p>
        </w:tc>
        <w:tc>
          <w:tcPr>
            <w:tcW w:w="620" w:type="dxa"/>
            <w:vAlign w:val="bottom"/>
            <w:tcBorders>
              <w:bottom w:val="single" w:sz="8" w:color="B2B2B2"/>
            </w:tcBorders>
          </w:tcPr>
          <w:p>
            <w:pPr>
              <w:jc w:val="right"/>
              <w:ind w:right="6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B2B2B2"/>
            </w:tcBorders>
          </w:tcPr>
          <w:p>
            <w:pPr>
              <w:jc w:val="right"/>
              <w:ind w:right="61"/>
              <w:spacing w:after="0"/>
              <w:rPr>
                <w:sz w:val="20"/>
                <w:szCs w:val="20"/>
                <w:color w:val="auto"/>
              </w:rPr>
            </w:pPr>
            <w:r>
              <w:rPr>
                <w:rFonts w:ascii="Arial" w:cs="Arial" w:eastAsia="Arial" w:hAnsi="Arial"/>
                <w:sz w:val="16"/>
                <w:szCs w:val="16"/>
                <w:b w:val="1"/>
                <w:bCs w:val="1"/>
                <w:color w:val="auto"/>
              </w:rPr>
              <w:t>(8)</w:t>
            </w:r>
          </w:p>
        </w:tc>
        <w:tc>
          <w:tcPr>
            <w:tcW w:w="600" w:type="dxa"/>
            <w:vAlign w:val="bottom"/>
            <w:tcBorders>
              <w:bottom w:val="single" w:sz="8" w:color="B2B2B2"/>
            </w:tcBorders>
          </w:tcPr>
          <w:p>
            <w:pPr>
              <w:jc w:val="right"/>
              <w:ind w:right="81"/>
              <w:spacing w:after="0"/>
              <w:rPr>
                <w:sz w:val="20"/>
                <w:szCs w:val="20"/>
                <w:color w:val="auto"/>
              </w:rPr>
            </w:pPr>
            <w:r>
              <w:rPr>
                <w:rFonts w:ascii="Arial" w:cs="Arial" w:eastAsia="Arial" w:hAnsi="Arial"/>
                <w:sz w:val="16"/>
                <w:szCs w:val="16"/>
                <w:color w:val="auto"/>
              </w:rPr>
              <w:t>12</w:t>
            </w:r>
          </w:p>
        </w:tc>
        <w:tc>
          <w:tcPr>
            <w:tcW w:w="600" w:type="dxa"/>
            <w:vAlign w:val="bottom"/>
            <w:tcBorders>
              <w:bottom w:val="single" w:sz="8" w:color="B2B2B2"/>
            </w:tcBorders>
          </w:tcPr>
          <w:p>
            <w:pPr>
              <w:jc w:val="right"/>
              <w:ind w:right="61"/>
              <w:spacing w:after="0"/>
              <w:rPr>
                <w:sz w:val="20"/>
                <w:szCs w:val="20"/>
                <w:color w:val="auto"/>
              </w:rPr>
            </w:pPr>
            <w:r>
              <w:rPr>
                <w:rFonts w:ascii="Arial" w:cs="Arial" w:eastAsia="Arial" w:hAnsi="Arial"/>
                <w:sz w:val="16"/>
                <w:szCs w:val="16"/>
                <w:b w:val="1"/>
                <w:bCs w:val="1"/>
                <w:color w:val="auto"/>
              </w:rPr>
              <w:t>1</w:t>
            </w:r>
          </w:p>
        </w:tc>
        <w:tc>
          <w:tcPr>
            <w:tcW w:w="600" w:type="dxa"/>
            <w:vAlign w:val="bottom"/>
            <w:tcBorders>
              <w:bottom w:val="single" w:sz="8" w:color="B2B2B2"/>
            </w:tcBorders>
          </w:tcPr>
          <w:p>
            <w:pPr>
              <w:jc w:val="right"/>
              <w:ind w:right="61"/>
              <w:spacing w:after="0"/>
              <w:rPr>
                <w:sz w:val="20"/>
                <w:szCs w:val="20"/>
                <w:color w:val="auto"/>
              </w:rPr>
            </w:pPr>
            <w:r>
              <w:rPr>
                <w:rFonts w:ascii="Arial" w:cs="Arial" w:eastAsia="Arial" w:hAnsi="Arial"/>
                <w:sz w:val="16"/>
                <w:szCs w:val="16"/>
                <w:color w:val="auto"/>
              </w:rPr>
              <w:t>(8)</w:t>
            </w:r>
          </w:p>
        </w:tc>
        <w:tc>
          <w:tcPr>
            <w:tcW w:w="640" w:type="dxa"/>
            <w:vAlign w:val="bottom"/>
            <w:tcBorders>
              <w:bottom w:val="single" w:sz="8" w:color="B2B2B2"/>
            </w:tcBorders>
          </w:tcPr>
          <w:p>
            <w:pPr>
              <w:jc w:val="right"/>
              <w:ind w:right="61"/>
              <w:spacing w:after="0"/>
              <w:rPr>
                <w:sz w:val="20"/>
                <w:szCs w:val="20"/>
                <w:color w:val="auto"/>
              </w:rPr>
            </w:pPr>
            <w:r>
              <w:rPr>
                <w:rFonts w:ascii="Arial" w:cs="Arial" w:eastAsia="Arial" w:hAnsi="Arial"/>
                <w:sz w:val="16"/>
                <w:szCs w:val="16"/>
                <w:b w:val="1"/>
                <w:bCs w:val="1"/>
                <w:color w:val="auto"/>
              </w:rPr>
              <w:t>(9)</w:t>
            </w:r>
          </w:p>
        </w:tc>
        <w:tc>
          <w:tcPr>
            <w:tcW w:w="52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860" w:type="dxa"/>
            <w:vAlign w:val="bottom"/>
          </w:tcPr>
          <w:p>
            <w:pPr>
              <w:spacing w:after="0" w:line="165" w:lineRule="exact"/>
              <w:rPr>
                <w:sz w:val="20"/>
                <w:szCs w:val="20"/>
                <w:color w:val="auto"/>
              </w:rPr>
            </w:pPr>
            <w:r>
              <w:rPr>
                <w:rFonts w:ascii="Arial" w:cs="Arial" w:eastAsia="Arial" w:hAnsi="Arial"/>
                <w:sz w:val="16"/>
                <w:szCs w:val="16"/>
                <w:b w:val="1"/>
                <w:bCs w:val="1"/>
                <w:color w:val="auto"/>
              </w:rPr>
              <w:t> Total accumulated comprehensive loss (income) as of</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860" w:type="dxa"/>
            <w:vAlign w:val="bottom"/>
            <w:tcBorders>
              <w:bottom w:val="single" w:sz="8" w:color="D64000"/>
            </w:tcBorders>
          </w:tcPr>
          <w:p>
            <w:pPr>
              <w:spacing w:after="0"/>
              <w:rPr>
                <w:sz w:val="20"/>
                <w:szCs w:val="20"/>
                <w:color w:val="auto"/>
              </w:rPr>
            </w:pPr>
            <w:r>
              <w:rPr>
                <w:rFonts w:ascii="Arial" w:cs="Arial" w:eastAsia="Arial" w:hAnsi="Arial"/>
                <w:sz w:val="16"/>
                <w:szCs w:val="16"/>
                <w:b w:val="1"/>
                <w:bCs w:val="1"/>
                <w:color w:val="auto"/>
              </w:rPr>
              <w:t>December 31,</w:t>
            </w:r>
          </w:p>
        </w:tc>
        <w:tc>
          <w:tcPr>
            <w:tcW w:w="700" w:type="dxa"/>
            <w:vAlign w:val="bottom"/>
            <w:tcBorders>
              <w:bottom w:val="single" w:sz="8" w:color="D64000"/>
            </w:tcBorders>
          </w:tcPr>
          <w:p>
            <w:pPr>
              <w:jc w:val="right"/>
              <w:ind w:right="81"/>
              <w:spacing w:after="0"/>
              <w:rPr>
                <w:sz w:val="20"/>
                <w:szCs w:val="20"/>
                <w:color w:val="auto"/>
              </w:rPr>
            </w:pPr>
            <w:r>
              <w:rPr>
                <w:rFonts w:ascii="Arial" w:cs="Arial" w:eastAsia="Arial" w:hAnsi="Arial"/>
                <w:sz w:val="16"/>
                <w:szCs w:val="16"/>
                <w:b w:val="1"/>
                <w:bCs w:val="1"/>
                <w:color w:val="auto"/>
              </w:rPr>
              <w:t>1,315</w:t>
            </w:r>
          </w:p>
        </w:tc>
        <w:tc>
          <w:tcPr>
            <w:tcW w:w="620" w:type="dxa"/>
            <w:vAlign w:val="bottom"/>
            <w:tcBorders>
              <w:bottom w:val="single" w:sz="8" w:color="D64000"/>
            </w:tcBorders>
          </w:tcPr>
          <w:p>
            <w:pPr>
              <w:jc w:val="right"/>
              <w:ind w:right="61"/>
              <w:spacing w:after="0"/>
              <w:rPr>
                <w:sz w:val="20"/>
                <w:szCs w:val="20"/>
                <w:color w:val="auto"/>
              </w:rPr>
            </w:pPr>
            <w:r>
              <w:rPr>
                <w:rFonts w:ascii="Arial" w:cs="Arial" w:eastAsia="Arial" w:hAnsi="Arial"/>
                <w:sz w:val="16"/>
                <w:szCs w:val="16"/>
                <w:color w:val="auto"/>
              </w:rPr>
              <w:t>1,317</w:t>
            </w:r>
          </w:p>
        </w:tc>
        <w:tc>
          <w:tcPr>
            <w:tcW w:w="580" w:type="dxa"/>
            <w:vAlign w:val="bottom"/>
            <w:tcBorders>
              <w:bottom w:val="single" w:sz="8" w:color="D64000"/>
            </w:tcBorders>
          </w:tcPr>
          <w:p>
            <w:pPr>
              <w:jc w:val="right"/>
              <w:ind w:right="61"/>
              <w:spacing w:after="0"/>
              <w:rPr>
                <w:sz w:val="20"/>
                <w:szCs w:val="20"/>
                <w:color w:val="auto"/>
              </w:rPr>
            </w:pPr>
            <w:r>
              <w:rPr>
                <w:rFonts w:ascii="Arial" w:cs="Arial" w:eastAsia="Arial" w:hAnsi="Arial"/>
                <w:sz w:val="16"/>
                <w:szCs w:val="16"/>
                <w:b w:val="1"/>
                <w:bCs w:val="1"/>
                <w:color w:val="auto"/>
              </w:rPr>
              <w:t>48</w:t>
            </w:r>
          </w:p>
        </w:tc>
        <w:tc>
          <w:tcPr>
            <w:tcW w:w="600" w:type="dxa"/>
            <w:vAlign w:val="bottom"/>
            <w:tcBorders>
              <w:bottom w:val="single" w:sz="8" w:color="D64000"/>
            </w:tcBorders>
          </w:tcPr>
          <w:p>
            <w:pPr>
              <w:jc w:val="right"/>
              <w:ind w:right="81"/>
              <w:spacing w:after="0"/>
              <w:rPr>
                <w:sz w:val="20"/>
                <w:szCs w:val="20"/>
                <w:color w:val="auto"/>
              </w:rPr>
            </w:pPr>
            <w:r>
              <w:rPr>
                <w:rFonts w:ascii="Arial" w:cs="Arial" w:eastAsia="Arial" w:hAnsi="Arial"/>
                <w:sz w:val="16"/>
                <w:szCs w:val="16"/>
                <w:color w:val="auto"/>
              </w:rPr>
              <w:t>56</w:t>
            </w:r>
          </w:p>
        </w:tc>
        <w:tc>
          <w:tcPr>
            <w:tcW w:w="600" w:type="dxa"/>
            <w:vAlign w:val="bottom"/>
            <w:tcBorders>
              <w:bottom w:val="single" w:sz="8" w:color="D64000"/>
            </w:tcBorders>
          </w:tcPr>
          <w:p>
            <w:pPr>
              <w:jc w:val="right"/>
              <w:ind w:right="61"/>
              <w:spacing w:after="0"/>
              <w:rPr>
                <w:sz w:val="20"/>
                <w:szCs w:val="20"/>
                <w:color w:val="auto"/>
              </w:rPr>
            </w:pPr>
            <w:r>
              <w:rPr>
                <w:rFonts w:ascii="Arial" w:cs="Arial" w:eastAsia="Arial" w:hAnsi="Arial"/>
                <w:sz w:val="16"/>
                <w:szCs w:val="16"/>
                <w:b w:val="1"/>
                <w:bCs w:val="1"/>
                <w:color w:val="auto"/>
              </w:rPr>
              <w:t>(121)</w:t>
            </w:r>
          </w:p>
        </w:tc>
        <w:tc>
          <w:tcPr>
            <w:tcW w:w="600" w:type="dxa"/>
            <w:vAlign w:val="bottom"/>
            <w:tcBorders>
              <w:bottom w:val="single" w:sz="8" w:color="D64000"/>
            </w:tcBorders>
          </w:tcPr>
          <w:p>
            <w:pPr>
              <w:jc w:val="right"/>
              <w:ind w:right="61"/>
              <w:spacing w:after="0"/>
              <w:rPr>
                <w:sz w:val="20"/>
                <w:szCs w:val="20"/>
                <w:color w:val="auto"/>
              </w:rPr>
            </w:pPr>
            <w:r>
              <w:rPr>
                <w:rFonts w:ascii="Arial" w:cs="Arial" w:eastAsia="Arial" w:hAnsi="Arial"/>
                <w:sz w:val="16"/>
                <w:szCs w:val="16"/>
                <w:color w:val="auto"/>
              </w:rPr>
              <w:t>(122)</w:t>
            </w:r>
          </w:p>
        </w:tc>
        <w:tc>
          <w:tcPr>
            <w:tcW w:w="640" w:type="dxa"/>
            <w:vAlign w:val="bottom"/>
            <w:tcBorders>
              <w:bottom w:val="single" w:sz="8" w:color="D64000"/>
            </w:tcBorders>
          </w:tcPr>
          <w:p>
            <w:pPr>
              <w:jc w:val="right"/>
              <w:ind w:right="61"/>
              <w:spacing w:after="0"/>
              <w:rPr>
                <w:sz w:val="20"/>
                <w:szCs w:val="20"/>
                <w:color w:val="auto"/>
              </w:rPr>
            </w:pPr>
            <w:r>
              <w:rPr>
                <w:rFonts w:ascii="Arial" w:cs="Arial" w:eastAsia="Arial" w:hAnsi="Arial"/>
                <w:sz w:val="16"/>
                <w:szCs w:val="16"/>
                <w:b w:val="1"/>
                <w:bCs w:val="1"/>
                <w:color w:val="auto"/>
              </w:rPr>
              <w:t>1,242</w:t>
            </w:r>
          </w:p>
        </w:tc>
        <w:tc>
          <w:tcPr>
            <w:tcW w:w="520" w:type="dxa"/>
            <w:vAlign w:val="bottom"/>
            <w:tcBorders>
              <w:bottom w:val="single" w:sz="8" w:color="D64000"/>
            </w:tcBorders>
          </w:tcPr>
          <w:p>
            <w:pPr>
              <w:jc w:val="right"/>
              <w:spacing w:after="0"/>
              <w:rPr>
                <w:sz w:val="20"/>
                <w:szCs w:val="20"/>
                <w:color w:val="auto"/>
              </w:rPr>
            </w:pPr>
            <w:r>
              <w:rPr>
                <w:rFonts w:ascii="Arial" w:cs="Arial" w:eastAsia="Arial" w:hAnsi="Arial"/>
                <w:sz w:val="16"/>
                <w:szCs w:val="16"/>
                <w:color w:val="auto"/>
              </w:rPr>
              <w:t>1,251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-2044065</wp:posOffset>
            </wp:positionV>
            <wp:extent cx="176720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767205" cy="825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-773430</wp:posOffset>
            </wp:positionV>
            <wp:extent cx="213169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131695" cy="8255"/>
                    </a:xfrm>
                    <a:prstGeom prst="rect">
                      <a:avLst/>
                    </a:prstGeom>
                    <a:noFill/>
                  </pic:spPr>
                </pic:pic>
              </a:graphicData>
            </a:graphic>
          </wp:anchor>
        </w:drawing>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Defined contribution plans</w:t>
      </w:r>
    </w:p>
    <w:p>
      <w:pPr>
        <w:spacing w:after="0" w:line="34" w:lineRule="exact"/>
        <w:rPr>
          <w:sz w:val="20"/>
          <w:szCs w:val="20"/>
          <w:color w:val="auto"/>
        </w:rPr>
      </w:pPr>
    </w:p>
    <w:p>
      <w:pPr>
        <w:ind w:left="220" w:right="360"/>
        <w:spacing w:after="0" w:line="254" w:lineRule="auto"/>
        <w:rPr>
          <w:sz w:val="20"/>
          <w:szCs w:val="20"/>
          <w:color w:val="auto"/>
        </w:rPr>
      </w:pPr>
      <w:r>
        <w:rPr>
          <w:rFonts w:ascii="Arial" w:cs="Arial" w:eastAsia="Arial" w:hAnsi="Arial"/>
          <w:sz w:val="17"/>
          <w:szCs w:val="17"/>
          <w:color w:val="auto"/>
        </w:rPr>
        <w:t>The Company sponsors various defined contribution savings plans that provide for Company matching contributions. Total expense related to defined contribution plans was $92 million in 2024 and 2023, respectively, which approximates the cash outlays related to the plans.</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Note 28: Leases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Lessee</w:t>
      </w:r>
    </w:p>
    <w:p>
      <w:pPr>
        <w:spacing w:after="0" w:line="8" w:lineRule="exact"/>
        <w:rPr>
          <w:sz w:val="20"/>
          <w:szCs w:val="20"/>
          <w:color w:val="auto"/>
        </w:rPr>
      </w:pPr>
    </w:p>
    <w:p>
      <w:pPr>
        <w:ind w:left="220" w:right="100"/>
        <w:spacing w:after="0" w:line="237" w:lineRule="auto"/>
        <w:rPr>
          <w:sz w:val="20"/>
          <w:szCs w:val="20"/>
          <w:color w:val="auto"/>
        </w:rPr>
      </w:pPr>
      <w:r>
        <w:rPr>
          <w:rFonts w:ascii="Arial" w:cs="Arial" w:eastAsia="Arial" w:hAnsi="Arial"/>
          <w:sz w:val="18"/>
          <w:szCs w:val="18"/>
          <w:color w:val="auto"/>
        </w:rPr>
        <w:t>In the ordinary course of business, the Company enters into leases primarily for property and equipment. The carrying amount included in property and equipment, net, and the related depreciation for the right-of-use assets for the years ended December 31, 2024 and 2023 were as follows:</w:t>
      </w:r>
    </w:p>
    <w:p>
      <w:pPr>
        <w:spacing w:after="0" w:line="91"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3200" w:type="dxa"/>
            <w:vAlign w:val="bottom"/>
            <w:shd w:val="clear" w:color="auto" w:fill="1F473D"/>
          </w:tcPr>
          <w:p>
            <w:pPr>
              <w:spacing w:after="0"/>
              <w:rPr>
                <w:sz w:val="16"/>
                <w:szCs w:val="16"/>
                <w:color w:val="auto"/>
              </w:rPr>
            </w:pPr>
          </w:p>
        </w:tc>
        <w:tc>
          <w:tcPr>
            <w:tcW w:w="2300" w:type="dxa"/>
            <w:vAlign w:val="bottom"/>
            <w:shd w:val="clear" w:color="auto" w:fill="1F473D"/>
          </w:tcPr>
          <w:p>
            <w:pPr>
              <w:spacing w:after="0"/>
              <w:rPr>
                <w:sz w:val="16"/>
                <w:szCs w:val="16"/>
                <w:color w:val="auto"/>
              </w:rPr>
            </w:pPr>
          </w:p>
        </w:tc>
        <w:tc>
          <w:tcPr>
            <w:tcW w:w="1620" w:type="dxa"/>
            <w:vAlign w:val="bottom"/>
            <w:shd w:val="clear" w:color="auto" w:fill="1F473D"/>
          </w:tcPr>
          <w:p>
            <w:pPr>
              <w:spacing w:after="0"/>
              <w:rPr>
                <w:sz w:val="16"/>
                <w:szCs w:val="16"/>
                <w:color w:val="auto"/>
              </w:rPr>
            </w:pPr>
          </w:p>
        </w:tc>
        <w:tc>
          <w:tcPr>
            <w:tcW w:w="176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w w:val="99"/>
              </w:rPr>
              <w:t>Furniture,</w:t>
            </w:r>
          </w:p>
        </w:tc>
        <w:tc>
          <w:tcPr>
            <w:tcW w:w="1060" w:type="dxa"/>
            <w:vAlign w:val="bottom"/>
            <w:shd w:val="clear" w:color="auto" w:fill="1F473D"/>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200" w:type="dxa"/>
            <w:vAlign w:val="bottom"/>
            <w:shd w:val="clear" w:color="auto" w:fill="1F473D"/>
          </w:tcPr>
          <w:p>
            <w:pPr>
              <w:spacing w:after="0"/>
              <w:rPr>
                <w:sz w:val="16"/>
                <w:szCs w:val="16"/>
                <w:color w:val="auto"/>
              </w:rPr>
            </w:pPr>
          </w:p>
        </w:tc>
        <w:tc>
          <w:tcPr>
            <w:tcW w:w="2300" w:type="dxa"/>
            <w:vAlign w:val="bottom"/>
            <w:shd w:val="clear" w:color="auto" w:fill="1F473D"/>
          </w:tcPr>
          <w:p>
            <w:pPr>
              <w:jc w:val="center"/>
              <w:ind w:left="281"/>
              <w:spacing w:after="0"/>
              <w:rPr>
                <w:sz w:val="20"/>
                <w:szCs w:val="20"/>
                <w:color w:val="auto"/>
              </w:rPr>
            </w:pPr>
            <w:r>
              <w:rPr>
                <w:rFonts w:ascii="Arial" w:cs="Arial" w:eastAsia="Arial" w:hAnsi="Arial"/>
                <w:sz w:val="16"/>
                <w:szCs w:val="16"/>
                <w:b w:val="1"/>
                <w:bCs w:val="1"/>
                <w:color w:val="FFFFFF"/>
                <w:w w:val="98"/>
              </w:rPr>
              <w:t>Land, Buildings</w:t>
            </w:r>
          </w:p>
        </w:tc>
        <w:tc>
          <w:tcPr>
            <w:tcW w:w="1620" w:type="dxa"/>
            <w:vAlign w:val="bottom"/>
            <w:shd w:val="clear" w:color="auto" w:fill="1F473D"/>
          </w:tcPr>
          <w:p>
            <w:pPr>
              <w:spacing w:after="0"/>
              <w:rPr>
                <w:sz w:val="16"/>
                <w:szCs w:val="16"/>
                <w:color w:val="auto"/>
              </w:rPr>
            </w:pPr>
          </w:p>
        </w:tc>
        <w:tc>
          <w:tcPr>
            <w:tcW w:w="176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rPr>
              <w:t>Fixtures and</w:t>
            </w:r>
          </w:p>
        </w:tc>
        <w:tc>
          <w:tcPr>
            <w:tcW w:w="1060" w:type="dxa"/>
            <w:vAlign w:val="bottom"/>
            <w:shd w:val="clear" w:color="auto" w:fill="1F473D"/>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00" w:type="dxa"/>
            <w:vAlign w:val="bottom"/>
            <w:shd w:val="clear" w:color="auto" w:fill="1F473D"/>
          </w:tcPr>
          <w:p>
            <w:pPr>
              <w:spacing w:after="0"/>
              <w:rPr>
                <w:sz w:val="16"/>
                <w:szCs w:val="16"/>
                <w:color w:val="auto"/>
              </w:rPr>
            </w:pPr>
          </w:p>
        </w:tc>
        <w:tc>
          <w:tcPr>
            <w:tcW w:w="2300" w:type="dxa"/>
            <w:vAlign w:val="bottom"/>
            <w:shd w:val="clear" w:color="auto" w:fill="1F473D"/>
          </w:tcPr>
          <w:p>
            <w:pPr>
              <w:jc w:val="center"/>
              <w:ind w:left="281"/>
              <w:spacing w:after="0"/>
              <w:rPr>
                <w:sz w:val="20"/>
                <w:szCs w:val="20"/>
                <w:color w:val="auto"/>
              </w:rPr>
            </w:pPr>
            <w:r>
              <w:rPr>
                <w:rFonts w:ascii="Arial" w:cs="Arial" w:eastAsia="Arial" w:hAnsi="Arial"/>
                <w:sz w:val="16"/>
                <w:szCs w:val="16"/>
                <w:b w:val="1"/>
                <w:bCs w:val="1"/>
                <w:color w:val="FFFFFF"/>
              </w:rPr>
              <w:t>and Building</w:t>
            </w:r>
          </w:p>
        </w:tc>
        <w:tc>
          <w:tcPr>
            <w:tcW w:w="1620" w:type="dxa"/>
            <w:vAlign w:val="bottom"/>
            <w:shd w:val="clear" w:color="auto" w:fill="1F473D"/>
          </w:tcPr>
          <w:p>
            <w:pPr>
              <w:jc w:val="right"/>
              <w:ind w:right="401"/>
              <w:spacing w:after="0"/>
              <w:rPr>
                <w:sz w:val="20"/>
                <w:szCs w:val="20"/>
                <w:color w:val="auto"/>
              </w:rPr>
            </w:pPr>
            <w:r>
              <w:rPr>
                <w:rFonts w:ascii="Arial" w:cs="Arial" w:eastAsia="Arial" w:hAnsi="Arial"/>
                <w:sz w:val="16"/>
                <w:szCs w:val="16"/>
                <w:b w:val="1"/>
                <w:bCs w:val="1"/>
                <w:color w:val="FFFFFF"/>
              </w:rPr>
              <w:t>Computer</w:t>
            </w:r>
          </w:p>
        </w:tc>
        <w:tc>
          <w:tcPr>
            <w:tcW w:w="1760" w:type="dxa"/>
            <w:vAlign w:val="bottom"/>
            <w:shd w:val="clear" w:color="auto" w:fill="1F473D"/>
          </w:tcPr>
          <w:p>
            <w:pPr>
              <w:jc w:val="center"/>
              <w:spacing w:after="0"/>
              <w:rPr>
                <w:sz w:val="20"/>
                <w:szCs w:val="20"/>
                <w:color w:val="auto"/>
              </w:rPr>
            </w:pPr>
            <w:r>
              <w:rPr>
                <w:rFonts w:ascii="Arial" w:cs="Arial" w:eastAsia="Arial" w:hAnsi="Arial"/>
                <w:sz w:val="16"/>
                <w:szCs w:val="16"/>
                <w:b w:val="1"/>
                <w:bCs w:val="1"/>
                <w:color w:val="FFFFFF"/>
              </w:rPr>
              <w:t>Other</w:t>
            </w:r>
          </w:p>
        </w:tc>
        <w:tc>
          <w:tcPr>
            <w:tcW w:w="1060" w:type="dxa"/>
            <w:vAlign w:val="bottom"/>
            <w:shd w:val="clear" w:color="auto" w:fill="1F473D"/>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200" w:type="dxa"/>
            <w:vAlign w:val="bottom"/>
            <w:tcBorders>
              <w:bottom w:val="single" w:sz="8" w:color="D64000"/>
            </w:tcBorders>
            <w:shd w:val="clear" w:color="auto" w:fill="1F473D"/>
          </w:tcPr>
          <w:p>
            <w:pPr>
              <w:spacing w:after="0"/>
              <w:rPr>
                <w:sz w:val="19"/>
                <w:szCs w:val="19"/>
                <w:color w:val="auto"/>
              </w:rPr>
            </w:pPr>
          </w:p>
        </w:tc>
        <w:tc>
          <w:tcPr>
            <w:tcW w:w="2300" w:type="dxa"/>
            <w:vAlign w:val="bottom"/>
            <w:tcBorders>
              <w:bottom w:val="single" w:sz="8" w:color="D64000"/>
            </w:tcBorders>
            <w:shd w:val="clear" w:color="auto" w:fill="1F473D"/>
          </w:tcPr>
          <w:p>
            <w:pPr>
              <w:jc w:val="center"/>
              <w:ind w:left="281"/>
              <w:spacing w:after="0"/>
              <w:rPr>
                <w:sz w:val="20"/>
                <w:szCs w:val="20"/>
                <w:color w:val="auto"/>
              </w:rPr>
            </w:pPr>
            <w:r>
              <w:rPr>
                <w:rFonts w:ascii="Arial" w:cs="Arial" w:eastAsia="Arial" w:hAnsi="Arial"/>
                <w:sz w:val="16"/>
                <w:szCs w:val="16"/>
                <w:b w:val="1"/>
                <w:bCs w:val="1"/>
                <w:color w:val="FFFFFF"/>
              </w:rPr>
              <w:t>Improvements</w:t>
            </w:r>
          </w:p>
        </w:tc>
        <w:tc>
          <w:tcPr>
            <w:tcW w:w="1620" w:type="dxa"/>
            <w:vAlign w:val="bottom"/>
            <w:tcBorders>
              <w:bottom w:val="single" w:sz="8" w:color="D64000"/>
            </w:tcBorders>
            <w:shd w:val="clear" w:color="auto" w:fill="1F473D"/>
          </w:tcPr>
          <w:p>
            <w:pPr>
              <w:jc w:val="right"/>
              <w:ind w:right="321"/>
              <w:spacing w:after="0"/>
              <w:rPr>
                <w:sz w:val="20"/>
                <w:szCs w:val="20"/>
                <w:color w:val="auto"/>
              </w:rPr>
            </w:pPr>
            <w:r>
              <w:rPr>
                <w:rFonts w:ascii="Arial" w:cs="Arial" w:eastAsia="Arial" w:hAnsi="Arial"/>
                <w:sz w:val="16"/>
                <w:szCs w:val="16"/>
                <w:b w:val="1"/>
                <w:bCs w:val="1"/>
                <w:color w:val="FFFFFF"/>
              </w:rPr>
              <w:t>Equipment </w:t>
            </w:r>
          </w:p>
        </w:tc>
        <w:tc>
          <w:tcPr>
            <w:tcW w:w="1760" w:type="dxa"/>
            <w:vAlign w:val="bottom"/>
            <w:tcBorders>
              <w:bottom w:val="single" w:sz="8" w:color="D64000"/>
            </w:tcBorders>
            <w:shd w:val="clear" w:color="auto" w:fill="1F473D"/>
          </w:tcPr>
          <w:p>
            <w:pPr>
              <w:jc w:val="center"/>
              <w:spacing w:after="0"/>
              <w:rPr>
                <w:sz w:val="20"/>
                <w:szCs w:val="20"/>
                <w:color w:val="auto"/>
              </w:rPr>
            </w:pPr>
            <w:r>
              <w:rPr>
                <w:rFonts w:ascii="Arial" w:cs="Arial" w:eastAsia="Arial" w:hAnsi="Arial"/>
                <w:sz w:val="16"/>
                <w:szCs w:val="16"/>
                <w:b w:val="1"/>
                <w:bCs w:val="1"/>
                <w:color w:val="FFFFFF"/>
                <w:w w:val="94"/>
              </w:rPr>
              <w:t>Equipment </w:t>
            </w:r>
          </w:p>
        </w:tc>
        <w:tc>
          <w:tcPr>
            <w:tcW w:w="1060" w:type="dxa"/>
            <w:vAlign w:val="bottom"/>
            <w:tcBorders>
              <w:bottom w:val="single" w:sz="8" w:color="D64000"/>
            </w:tcBorders>
            <w:shd w:val="clear" w:color="auto" w:fill="1F473D"/>
          </w:tcPr>
          <w:p>
            <w:pPr>
              <w:jc w:val="right"/>
              <w:ind w:right="41"/>
              <w:spacing w:after="0"/>
              <w:rPr>
                <w:sz w:val="20"/>
                <w:szCs w:val="20"/>
                <w:color w:val="auto"/>
              </w:rPr>
            </w:pPr>
            <w:r>
              <w:rPr>
                <w:rFonts w:ascii="Arial" w:cs="Arial" w:eastAsia="Arial" w:hAnsi="Arial"/>
                <w:sz w:val="16"/>
                <w:szCs w:val="16"/>
                <w:b w:val="1"/>
                <w:bCs w:val="1"/>
                <w:color w:val="FFFFFF"/>
              </w:rPr>
              <w:t xml:space="preserve">Total    </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3200" w:type="dxa"/>
            <w:vAlign w:val="bottom"/>
            <w:shd w:val="clear" w:color="auto" w:fill="E3F3EE"/>
          </w:tcPr>
          <w:p>
            <w:pPr>
              <w:spacing w:after="0"/>
              <w:rPr>
                <w:sz w:val="20"/>
                <w:szCs w:val="20"/>
                <w:color w:val="auto"/>
              </w:rPr>
            </w:pPr>
            <w:r>
              <w:rPr>
                <w:rFonts w:ascii="Arial" w:cs="Arial" w:eastAsia="Arial" w:hAnsi="Arial"/>
                <w:sz w:val="16"/>
                <w:szCs w:val="16"/>
                <w:b w:val="1"/>
                <w:bCs w:val="1"/>
                <w:color w:val="auto"/>
              </w:rPr>
              <w:t> Year ended December 31, 2024</w:t>
            </w:r>
          </w:p>
        </w:tc>
        <w:tc>
          <w:tcPr>
            <w:tcW w:w="2300" w:type="dxa"/>
            <w:vAlign w:val="bottom"/>
            <w:vMerge w:val="restart"/>
          </w:tcPr>
          <w:p>
            <w:pPr>
              <w:jc w:val="right"/>
              <w:ind w:right="301"/>
              <w:spacing w:after="0"/>
              <w:rPr>
                <w:sz w:val="20"/>
                <w:szCs w:val="20"/>
                <w:color w:val="auto"/>
              </w:rPr>
            </w:pPr>
            <w:r>
              <w:rPr>
                <w:rFonts w:ascii="Arial" w:cs="Arial" w:eastAsia="Arial" w:hAnsi="Arial"/>
                <w:sz w:val="16"/>
                <w:szCs w:val="16"/>
                <w:b w:val="1"/>
                <w:bCs w:val="1"/>
                <w:color w:val="auto"/>
              </w:rPr>
              <w:t>163</w:t>
            </w:r>
          </w:p>
        </w:tc>
        <w:tc>
          <w:tcPr>
            <w:tcW w:w="1620" w:type="dxa"/>
            <w:vAlign w:val="bottom"/>
            <w:vMerge w:val="restart"/>
          </w:tcPr>
          <w:p>
            <w:pPr>
              <w:jc w:val="right"/>
              <w:ind w:right="281"/>
              <w:spacing w:after="0"/>
              <w:rPr>
                <w:sz w:val="20"/>
                <w:szCs w:val="20"/>
                <w:color w:val="auto"/>
              </w:rPr>
            </w:pPr>
            <w:r>
              <w:rPr>
                <w:rFonts w:ascii="Arial" w:cs="Arial" w:eastAsia="Arial" w:hAnsi="Arial"/>
                <w:sz w:val="16"/>
                <w:szCs w:val="16"/>
                <w:b w:val="1"/>
                <w:bCs w:val="1"/>
                <w:color w:val="auto"/>
              </w:rPr>
              <w:t>24</w:t>
            </w:r>
          </w:p>
        </w:tc>
        <w:tc>
          <w:tcPr>
            <w:tcW w:w="1760" w:type="dxa"/>
            <w:vAlign w:val="bottom"/>
            <w:vMerge w:val="restart"/>
          </w:tcPr>
          <w:p>
            <w:pPr>
              <w:jc w:val="right"/>
              <w:ind w:right="280"/>
              <w:spacing w:after="0"/>
              <w:rPr>
                <w:sz w:val="20"/>
                <w:szCs w:val="20"/>
                <w:color w:val="auto"/>
              </w:rPr>
            </w:pPr>
            <w:r>
              <w:rPr>
                <w:rFonts w:ascii="Arial" w:cs="Arial" w:eastAsia="Arial" w:hAnsi="Arial"/>
                <w:sz w:val="16"/>
                <w:szCs w:val="16"/>
                <w:b w:val="1"/>
                <w:bCs w:val="1"/>
                <w:color w:val="auto"/>
              </w:rPr>
              <w:t>4</w:t>
            </w: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191</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line="171" w:lineRule="exact"/>
              <w:rPr>
                <w:sz w:val="20"/>
                <w:szCs w:val="20"/>
                <w:color w:val="auto"/>
              </w:rPr>
            </w:pPr>
            <w:r>
              <w:rPr>
                <w:rFonts w:ascii="Arial" w:cs="Arial" w:eastAsia="Arial" w:hAnsi="Arial"/>
                <w:sz w:val="16"/>
                <w:szCs w:val="16"/>
                <w:color w:val="auto"/>
              </w:rPr>
              <w:t> Carrying amount</w:t>
            </w:r>
          </w:p>
        </w:tc>
        <w:tc>
          <w:tcPr>
            <w:tcW w:w="230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200" w:type="dxa"/>
            <w:vAlign w:val="bottom"/>
          </w:tcPr>
          <w:p>
            <w:pPr>
              <w:spacing w:after="0"/>
              <w:rPr>
                <w:sz w:val="20"/>
                <w:szCs w:val="20"/>
                <w:color w:val="auto"/>
              </w:rPr>
            </w:pPr>
            <w:r>
              <w:rPr>
                <w:rFonts w:ascii="Arial" w:cs="Arial" w:eastAsia="Arial" w:hAnsi="Arial"/>
                <w:sz w:val="16"/>
                <w:szCs w:val="16"/>
                <w:color w:val="auto"/>
              </w:rPr>
              <w:t> Depreciation</w:t>
            </w:r>
          </w:p>
        </w:tc>
        <w:tc>
          <w:tcPr>
            <w:tcW w:w="2300" w:type="dxa"/>
            <w:vAlign w:val="bottom"/>
          </w:tcPr>
          <w:p>
            <w:pPr>
              <w:jc w:val="right"/>
              <w:ind w:right="301"/>
              <w:spacing w:after="0"/>
              <w:rPr>
                <w:sz w:val="20"/>
                <w:szCs w:val="20"/>
                <w:color w:val="auto"/>
              </w:rPr>
            </w:pPr>
            <w:r>
              <w:rPr>
                <w:rFonts w:ascii="Arial" w:cs="Arial" w:eastAsia="Arial" w:hAnsi="Arial"/>
                <w:sz w:val="16"/>
                <w:szCs w:val="16"/>
                <w:b w:val="1"/>
                <w:bCs w:val="1"/>
                <w:color w:val="auto"/>
              </w:rPr>
              <w:t>39</w:t>
            </w:r>
          </w:p>
        </w:tc>
        <w:tc>
          <w:tcPr>
            <w:tcW w:w="1620" w:type="dxa"/>
            <w:vAlign w:val="bottom"/>
          </w:tcPr>
          <w:p>
            <w:pPr>
              <w:jc w:val="right"/>
              <w:ind w:right="281"/>
              <w:spacing w:after="0"/>
              <w:rPr>
                <w:sz w:val="20"/>
                <w:szCs w:val="20"/>
                <w:color w:val="auto"/>
              </w:rPr>
            </w:pPr>
            <w:r>
              <w:rPr>
                <w:rFonts w:ascii="Arial" w:cs="Arial" w:eastAsia="Arial" w:hAnsi="Arial"/>
                <w:sz w:val="16"/>
                <w:szCs w:val="16"/>
                <w:b w:val="1"/>
                <w:bCs w:val="1"/>
                <w:color w:val="auto"/>
              </w:rPr>
              <w:t>14</w:t>
            </w:r>
          </w:p>
        </w:tc>
        <w:tc>
          <w:tcPr>
            <w:tcW w:w="1760" w:type="dxa"/>
            <w:vAlign w:val="bottom"/>
          </w:tcPr>
          <w:p>
            <w:pPr>
              <w:jc w:val="right"/>
              <w:ind w:right="280"/>
              <w:spacing w:after="0"/>
              <w:rPr>
                <w:sz w:val="20"/>
                <w:szCs w:val="20"/>
                <w:color w:val="auto"/>
              </w:rPr>
            </w:pPr>
            <w:r>
              <w:rPr>
                <w:rFonts w:ascii="Arial" w:cs="Arial" w:eastAsia="Arial" w:hAnsi="Arial"/>
                <w:sz w:val="16"/>
                <w:szCs w:val="16"/>
                <w:b w:val="1"/>
                <w:bCs w:val="1"/>
                <w:color w:val="auto"/>
              </w:rPr>
              <w:t>1</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54</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200" w:type="dxa"/>
            <w:vAlign w:val="bottom"/>
            <w:shd w:val="clear" w:color="auto" w:fill="E3F3EE"/>
          </w:tcPr>
          <w:p>
            <w:pPr>
              <w:spacing w:after="0"/>
              <w:rPr>
                <w:sz w:val="20"/>
                <w:szCs w:val="20"/>
                <w:color w:val="auto"/>
              </w:rPr>
            </w:pPr>
            <w:r>
              <w:rPr>
                <w:rFonts w:ascii="Arial" w:cs="Arial" w:eastAsia="Arial" w:hAnsi="Arial"/>
                <w:sz w:val="16"/>
                <w:szCs w:val="16"/>
                <w:color w:val="auto"/>
              </w:rPr>
              <w:t> Year ended December 31, 2023</w:t>
            </w:r>
          </w:p>
        </w:tc>
        <w:tc>
          <w:tcPr>
            <w:tcW w:w="2300" w:type="dxa"/>
            <w:vAlign w:val="bottom"/>
            <w:vMerge w:val="restart"/>
          </w:tcPr>
          <w:p>
            <w:pPr>
              <w:jc w:val="right"/>
              <w:ind w:right="301"/>
              <w:spacing w:after="0"/>
              <w:rPr>
                <w:sz w:val="20"/>
                <w:szCs w:val="20"/>
                <w:color w:val="auto"/>
              </w:rPr>
            </w:pPr>
            <w:r>
              <w:rPr>
                <w:rFonts w:ascii="Arial" w:cs="Arial" w:eastAsia="Arial" w:hAnsi="Arial"/>
                <w:sz w:val="16"/>
                <w:szCs w:val="16"/>
                <w:color w:val="auto"/>
              </w:rPr>
              <w:t>173</w:t>
            </w:r>
          </w:p>
        </w:tc>
        <w:tc>
          <w:tcPr>
            <w:tcW w:w="1620" w:type="dxa"/>
            <w:vAlign w:val="bottom"/>
            <w:vMerge w:val="restart"/>
          </w:tcPr>
          <w:p>
            <w:pPr>
              <w:jc w:val="right"/>
              <w:ind w:right="281"/>
              <w:spacing w:after="0"/>
              <w:rPr>
                <w:sz w:val="20"/>
                <w:szCs w:val="20"/>
                <w:color w:val="auto"/>
              </w:rPr>
            </w:pPr>
            <w:r>
              <w:rPr>
                <w:rFonts w:ascii="Arial" w:cs="Arial" w:eastAsia="Arial" w:hAnsi="Arial"/>
                <w:sz w:val="16"/>
                <w:szCs w:val="16"/>
                <w:color w:val="auto"/>
              </w:rPr>
              <w:t>20</w:t>
            </w:r>
          </w:p>
        </w:tc>
        <w:tc>
          <w:tcPr>
            <w:tcW w:w="1760" w:type="dxa"/>
            <w:vAlign w:val="bottom"/>
            <w:vMerge w:val="restart"/>
          </w:tcPr>
          <w:p>
            <w:pPr>
              <w:jc w:val="right"/>
              <w:ind w:right="280"/>
              <w:spacing w:after="0"/>
              <w:rPr>
                <w:sz w:val="20"/>
                <w:szCs w:val="20"/>
                <w:color w:val="auto"/>
              </w:rPr>
            </w:pPr>
            <w:r>
              <w:rPr>
                <w:rFonts w:ascii="Arial" w:cs="Arial" w:eastAsia="Arial" w:hAnsi="Arial"/>
                <w:sz w:val="16"/>
                <w:szCs w:val="16"/>
                <w:color w:val="auto"/>
              </w:rPr>
              <w:t>2</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195</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line="171" w:lineRule="exact"/>
              <w:rPr>
                <w:sz w:val="20"/>
                <w:szCs w:val="20"/>
                <w:color w:val="auto"/>
              </w:rPr>
            </w:pPr>
            <w:r>
              <w:rPr>
                <w:rFonts w:ascii="Arial" w:cs="Arial" w:eastAsia="Arial" w:hAnsi="Arial"/>
                <w:sz w:val="16"/>
                <w:szCs w:val="16"/>
                <w:color w:val="auto"/>
              </w:rPr>
              <w:t> Carrying amount</w:t>
            </w:r>
          </w:p>
        </w:tc>
        <w:tc>
          <w:tcPr>
            <w:tcW w:w="230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200" w:type="dxa"/>
            <w:vAlign w:val="bottom"/>
            <w:tcBorders>
              <w:bottom w:val="single" w:sz="8" w:color="D64000"/>
            </w:tcBorders>
          </w:tcPr>
          <w:p>
            <w:pPr>
              <w:spacing w:after="0"/>
              <w:rPr>
                <w:sz w:val="20"/>
                <w:szCs w:val="20"/>
                <w:color w:val="auto"/>
              </w:rPr>
            </w:pPr>
            <w:r>
              <w:rPr>
                <w:rFonts w:ascii="Arial" w:cs="Arial" w:eastAsia="Arial" w:hAnsi="Arial"/>
                <w:sz w:val="16"/>
                <w:szCs w:val="16"/>
                <w:color w:val="auto"/>
              </w:rPr>
              <w:t> Depreciation</w:t>
            </w:r>
          </w:p>
        </w:tc>
        <w:tc>
          <w:tcPr>
            <w:tcW w:w="2300" w:type="dxa"/>
            <w:vAlign w:val="bottom"/>
            <w:tcBorders>
              <w:bottom w:val="single" w:sz="8" w:color="D64000"/>
            </w:tcBorders>
          </w:tcPr>
          <w:p>
            <w:pPr>
              <w:jc w:val="right"/>
              <w:ind w:right="301"/>
              <w:spacing w:after="0"/>
              <w:rPr>
                <w:sz w:val="20"/>
                <w:szCs w:val="20"/>
                <w:color w:val="auto"/>
              </w:rPr>
            </w:pPr>
            <w:r>
              <w:rPr>
                <w:rFonts w:ascii="Arial" w:cs="Arial" w:eastAsia="Arial" w:hAnsi="Arial"/>
                <w:sz w:val="16"/>
                <w:szCs w:val="16"/>
                <w:color w:val="auto"/>
              </w:rPr>
              <w:t>42</w:t>
            </w:r>
          </w:p>
        </w:tc>
        <w:tc>
          <w:tcPr>
            <w:tcW w:w="1620" w:type="dxa"/>
            <w:vAlign w:val="bottom"/>
            <w:tcBorders>
              <w:bottom w:val="single" w:sz="8" w:color="D64000"/>
            </w:tcBorders>
          </w:tcPr>
          <w:p>
            <w:pPr>
              <w:jc w:val="right"/>
              <w:ind w:right="281"/>
              <w:spacing w:after="0"/>
              <w:rPr>
                <w:sz w:val="20"/>
                <w:szCs w:val="20"/>
                <w:color w:val="auto"/>
              </w:rPr>
            </w:pPr>
            <w:r>
              <w:rPr>
                <w:rFonts w:ascii="Arial" w:cs="Arial" w:eastAsia="Arial" w:hAnsi="Arial"/>
                <w:sz w:val="16"/>
                <w:szCs w:val="16"/>
                <w:color w:val="auto"/>
              </w:rPr>
              <w:t>8</w:t>
            </w:r>
          </w:p>
        </w:tc>
        <w:tc>
          <w:tcPr>
            <w:tcW w:w="1760" w:type="dxa"/>
            <w:vAlign w:val="bottom"/>
            <w:tcBorders>
              <w:bottom w:val="single" w:sz="8" w:color="D64000"/>
            </w:tcBorders>
          </w:tcPr>
          <w:p>
            <w:pPr>
              <w:jc w:val="right"/>
              <w:ind w:right="280"/>
              <w:spacing w:after="0"/>
              <w:rPr>
                <w:sz w:val="20"/>
                <w:szCs w:val="20"/>
                <w:color w:val="auto"/>
              </w:rPr>
            </w:pPr>
            <w:r>
              <w:rPr>
                <w:rFonts w:ascii="Arial" w:cs="Arial" w:eastAsia="Arial" w:hAnsi="Arial"/>
                <w:sz w:val="16"/>
                <w:szCs w:val="16"/>
                <w:color w:val="auto"/>
              </w:rPr>
              <w:t>1</w:t>
            </w:r>
          </w:p>
        </w:tc>
        <w:tc>
          <w:tcPr>
            <w:tcW w:w="1060" w:type="dxa"/>
            <w:vAlign w:val="bottom"/>
            <w:tcBorders>
              <w:bottom w:val="single" w:sz="8" w:color="D64000"/>
            </w:tcBorders>
          </w:tcPr>
          <w:p>
            <w:pPr>
              <w:jc w:val="right"/>
              <w:spacing w:after="0"/>
              <w:rPr>
                <w:sz w:val="20"/>
                <w:szCs w:val="20"/>
                <w:color w:val="auto"/>
              </w:rPr>
            </w:pPr>
            <w:r>
              <w:rPr>
                <w:rFonts w:ascii="Arial" w:cs="Arial" w:eastAsia="Arial" w:hAnsi="Arial"/>
                <w:sz w:val="16"/>
                <w:szCs w:val="16"/>
                <w:color w:val="auto"/>
              </w:rPr>
              <w:t>51</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200" w:type="dxa"/>
            <w:vAlign w:val="bottom"/>
            <w:tcBorders>
              <w:bottom w:val="single" w:sz="8" w:color="7F7F7F"/>
            </w:tcBorders>
          </w:tcPr>
          <w:p>
            <w:pPr>
              <w:spacing w:after="0"/>
              <w:rPr>
                <w:sz w:val="14"/>
                <w:szCs w:val="14"/>
                <w:color w:val="auto"/>
              </w:rPr>
            </w:pPr>
          </w:p>
        </w:tc>
        <w:tc>
          <w:tcPr>
            <w:tcW w:w="2300" w:type="dxa"/>
            <w:vAlign w:val="bottom"/>
            <w:tcBorders>
              <w:bottom w:val="single" w:sz="8" w:color="7F7F7F"/>
            </w:tcBorders>
          </w:tcPr>
          <w:p>
            <w:pPr>
              <w:spacing w:after="0"/>
              <w:rPr>
                <w:sz w:val="14"/>
                <w:szCs w:val="14"/>
                <w:color w:val="auto"/>
              </w:rPr>
            </w:pPr>
          </w:p>
        </w:tc>
        <w:tc>
          <w:tcPr>
            <w:tcW w:w="1620" w:type="dxa"/>
            <w:vAlign w:val="bottom"/>
            <w:tcBorders>
              <w:bottom w:val="single" w:sz="8" w:color="7F7F7F"/>
            </w:tcBorders>
          </w:tcPr>
          <w:p>
            <w:pPr>
              <w:spacing w:after="0"/>
              <w:rPr>
                <w:sz w:val="14"/>
                <w:szCs w:val="14"/>
                <w:color w:val="auto"/>
              </w:rPr>
            </w:pPr>
          </w:p>
        </w:tc>
        <w:tc>
          <w:tcPr>
            <w:tcW w:w="3680" w:type="dxa"/>
            <w:vAlign w:val="bottom"/>
            <w:tcBorders>
              <w:bottom w:val="single" w:sz="8" w:color="7F7F7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200" w:type="dxa"/>
            <w:vAlign w:val="bottom"/>
          </w:tcPr>
          <w:p>
            <w:pPr>
              <w:spacing w:after="0"/>
              <w:rPr>
                <w:sz w:val="20"/>
                <w:szCs w:val="20"/>
                <w:color w:val="auto"/>
              </w:rPr>
            </w:pPr>
            <w:r>
              <w:rPr>
                <w:rFonts w:ascii="Arial" w:cs="Arial" w:eastAsia="Arial" w:hAnsi="Arial"/>
                <w:sz w:val="17"/>
                <w:szCs w:val="17"/>
                <w:color w:val="auto"/>
              </w:rPr>
              <w:t>Page 134</w:t>
            </w:r>
          </w:p>
        </w:tc>
        <w:tc>
          <w:tcPr>
            <w:tcW w:w="2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700" w:type="dxa"/>
            <w:vAlign w:val="bottom"/>
            <w:gridSpan w:val="4"/>
          </w:tcPr>
          <w:p>
            <w:pPr>
              <w:ind w:left="640"/>
              <w:spacing w:after="0"/>
              <w:rPr>
                <w:sz w:val="20"/>
                <w:szCs w:val="20"/>
                <w:color w:val="auto"/>
              </w:rPr>
            </w:pPr>
            <w:r>
              <w:rPr>
                <w:rFonts w:ascii="Arial" w:cs="Arial" w:eastAsia="Arial" w:hAnsi="Arial"/>
                <w:sz w:val="17"/>
                <w:szCs w:val="17"/>
                <w:b w:val="1"/>
                <w:bCs w:val="1"/>
                <w:color w:val="auto"/>
                <w:w w:val="98"/>
              </w:rPr>
              <w:t>Thomson Reuters Annual Report 2024</w:t>
            </w:r>
          </w:p>
        </w:tc>
        <w:tc>
          <w:tcPr>
            <w:tcW w:w="0" w:type="dxa"/>
            <w:vAlign w:val="bottom"/>
          </w:tcPr>
          <w:p>
            <w:pPr>
              <w:spacing w:after="0"/>
              <w:rPr>
                <w:sz w:val="1"/>
                <w:szCs w:val="1"/>
                <w:color w:val="auto"/>
              </w:rPr>
            </w:pPr>
          </w:p>
        </w:tc>
      </w:tr>
    </w:tbl>
    <w:p>
      <w:pPr>
        <w:sectPr>
          <w:pgSz w:w="11900" w:h="16838" w:orient="portrait"/>
          <w:cols w:equalWidth="0" w:num="1">
            <w:col w:w="11040"/>
          </w:cols>
          <w:pgMar w:left="320" w:top="477" w:right="5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160"/>
        <w:spacing w:after="0" w:line="260" w:lineRule="auto"/>
        <w:rPr>
          <w:sz w:val="20"/>
          <w:szCs w:val="20"/>
          <w:color w:val="auto"/>
        </w:rPr>
      </w:pPr>
      <w:r>
        <w:rPr>
          <w:rFonts w:ascii="Arial" w:cs="Arial" w:eastAsia="Arial" w:hAnsi="Arial"/>
          <w:sz w:val="17"/>
          <w:szCs w:val="17"/>
          <w:color w:val="auto"/>
        </w:rPr>
        <w:t>For the years ended December 31, 2024 and 2023, cash outflows for leases, which include payments of lease principal, interest, short-term and low value leases, were $76 million and $73 million, respectively.</w:t>
      </w:r>
    </w:p>
    <w:p>
      <w:pPr>
        <w:spacing w:after="0" w:line="53" w:lineRule="exact"/>
        <w:rPr>
          <w:sz w:val="20"/>
          <w:szCs w:val="20"/>
          <w:color w:val="auto"/>
        </w:rPr>
      </w:pPr>
    </w:p>
    <w:p>
      <w:pPr>
        <w:ind w:left="220" w:right="280"/>
        <w:spacing w:after="0" w:line="260" w:lineRule="auto"/>
        <w:rPr>
          <w:sz w:val="20"/>
          <w:szCs w:val="20"/>
          <w:color w:val="auto"/>
        </w:rPr>
      </w:pPr>
      <w:r>
        <w:rPr>
          <w:rFonts w:ascii="Arial" w:cs="Arial" w:eastAsia="Arial" w:hAnsi="Arial"/>
          <w:sz w:val="17"/>
          <w:szCs w:val="17"/>
          <w:color w:val="auto"/>
        </w:rPr>
        <w:t>The following table sets forth the Company’s future aggregate undiscounted non-cancellable lease payments over the lease term as well as its discounted lease liabilities as reported in the consolidated statement of financial position as of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115570</wp:posOffset>
            </wp:positionV>
            <wp:extent cx="630999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309995" cy="8255"/>
                    </a:xfrm>
                    <a:prstGeom prst="rect">
                      <a:avLst/>
                    </a:prstGeom>
                    <a:noFill/>
                  </pic:spPr>
                </pic:pic>
              </a:graphicData>
            </a:graphic>
          </wp:anchor>
        </w:drawing>
      </w:r>
    </w:p>
    <w:p>
      <w:pPr>
        <w:spacing w:after="0" w:line="162"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14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740" w:type="dxa"/>
            <w:vAlign w:val="bottom"/>
            <w:shd w:val="clear" w:color="auto" w:fill="E3F3EE"/>
          </w:tcPr>
          <w:p>
            <w:pPr>
              <w:ind w:left="1600"/>
              <w:spacing w:after="0"/>
              <w:rPr>
                <w:sz w:val="20"/>
                <w:szCs w:val="20"/>
                <w:color w:val="auto"/>
              </w:rPr>
            </w:pPr>
            <w:r>
              <w:rPr>
                <w:rFonts w:ascii="Arial" w:cs="Arial" w:eastAsia="Arial" w:hAnsi="Arial"/>
                <w:sz w:val="16"/>
                <w:szCs w:val="16"/>
                <w:b w:val="1"/>
                <w:bCs w:val="1"/>
                <w:color w:val="auto"/>
                <w:w w:val="74"/>
              </w:rPr>
              <w:t> </w:t>
            </w:r>
          </w:p>
        </w:tc>
        <w:tc>
          <w:tcPr>
            <w:tcW w:w="480" w:type="dxa"/>
            <w:vAlign w:val="bottom"/>
            <w:shd w:val="clear" w:color="auto" w:fill="E3F3EE"/>
          </w:tcPr>
          <w:p>
            <w:pPr>
              <w:jc w:val="right"/>
              <w:ind w:right="21"/>
              <w:spacing w:after="0"/>
              <w:rPr>
                <w:sz w:val="20"/>
                <w:szCs w:val="20"/>
                <w:color w:val="auto"/>
              </w:rPr>
            </w:pPr>
            <w:r>
              <w:rPr>
                <w:rFonts w:ascii="Arial" w:cs="Arial" w:eastAsia="Arial" w:hAnsi="Arial"/>
                <w:sz w:val="16"/>
                <w:szCs w:val="16"/>
                <w:b w:val="1"/>
                <w:bCs w:val="1"/>
                <w:color w:val="auto"/>
              </w:rPr>
              <w:t xml:space="preserve">       </w:t>
            </w:r>
          </w:p>
        </w:tc>
        <w:tc>
          <w:tcPr>
            <w:tcW w:w="1780" w:type="dxa"/>
            <w:vAlign w:val="bottom"/>
            <w:shd w:val="clear" w:color="auto" w:fill="E3F3EE"/>
          </w:tcPr>
          <w:p>
            <w:pPr>
              <w:jc w:val="right"/>
              <w:ind w:right="481"/>
              <w:spacing w:after="0"/>
              <w:rPr>
                <w:sz w:val="20"/>
                <w:szCs w:val="20"/>
                <w:color w:val="auto"/>
              </w:rPr>
            </w:pPr>
            <w:r>
              <w:rPr>
                <w:rFonts w:ascii="Arial" w:cs="Arial" w:eastAsia="Arial" w:hAnsi="Arial"/>
                <w:sz w:val="16"/>
                <w:szCs w:val="16"/>
                <w:b w:val="1"/>
                <w:bCs w:val="1"/>
                <w:color w:val="auto"/>
                <w:w w:val="93"/>
              </w:rPr>
              <w:t>   December 31,</w:t>
            </w:r>
          </w:p>
        </w:tc>
      </w:tr>
      <w:tr>
        <w:trPr>
          <w:trHeight w:val="192"/>
        </w:trPr>
        <w:tc>
          <w:tcPr>
            <w:tcW w:w="140" w:type="dxa"/>
            <w:vAlign w:val="bottom"/>
            <w:tcBorders>
              <w:bottom w:val="single" w:sz="8" w:color="D64000"/>
            </w:tcBorders>
            <w:shd w:val="clear" w:color="auto" w:fill="1F473D"/>
          </w:tcPr>
          <w:p>
            <w:pPr>
              <w:spacing w:after="0"/>
              <w:rPr>
                <w:sz w:val="16"/>
                <w:szCs w:val="16"/>
                <w:color w:val="auto"/>
              </w:rPr>
            </w:pPr>
          </w:p>
        </w:tc>
        <w:tc>
          <w:tcPr>
            <w:tcW w:w="5800" w:type="dxa"/>
            <w:vAlign w:val="bottom"/>
            <w:tcBorders>
              <w:bottom w:val="single" w:sz="8" w:color="D64000"/>
            </w:tcBorders>
            <w:shd w:val="clear" w:color="auto" w:fill="1F473D"/>
          </w:tcPr>
          <w:p>
            <w:pPr>
              <w:spacing w:after="0"/>
              <w:rPr>
                <w:sz w:val="16"/>
                <w:szCs w:val="16"/>
                <w:color w:val="auto"/>
              </w:rPr>
            </w:pPr>
          </w:p>
        </w:tc>
        <w:tc>
          <w:tcPr>
            <w:tcW w:w="1740" w:type="dxa"/>
            <w:vAlign w:val="bottom"/>
            <w:tcBorders>
              <w:bottom w:val="single" w:sz="8" w:color="D64000"/>
            </w:tcBorders>
            <w:shd w:val="clear" w:color="auto" w:fill="1F473D"/>
          </w:tcPr>
          <w:p>
            <w:pPr>
              <w:ind w:left="1040"/>
              <w:spacing w:after="0"/>
              <w:rPr>
                <w:sz w:val="20"/>
                <w:szCs w:val="20"/>
                <w:color w:val="auto"/>
              </w:rPr>
            </w:pPr>
            <w:r>
              <w:rPr>
                <w:rFonts w:ascii="Arial" w:cs="Arial" w:eastAsia="Arial" w:hAnsi="Arial"/>
                <w:sz w:val="16"/>
                <w:szCs w:val="16"/>
                <w:b w:val="1"/>
                <w:bCs w:val="1"/>
                <w:color w:val="FFFFFF"/>
              </w:rPr>
              <w:t xml:space="preserve">             </w:t>
            </w:r>
          </w:p>
        </w:tc>
        <w:tc>
          <w:tcPr>
            <w:tcW w:w="48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b w:val="1"/>
                <w:bCs w:val="1"/>
                <w:color w:val="FFFFFF"/>
              </w:rPr>
              <w:t>2024</w:t>
            </w:r>
          </w:p>
        </w:tc>
        <w:tc>
          <w:tcPr>
            <w:tcW w:w="178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               2023</w:t>
            </w:r>
          </w:p>
        </w:tc>
      </w:tr>
      <w:tr>
        <w:trPr>
          <w:trHeight w:val="171"/>
        </w:trPr>
        <w:tc>
          <w:tcPr>
            <w:tcW w:w="7680" w:type="dxa"/>
            <w:vAlign w:val="bottom"/>
            <w:gridSpan w:val="3"/>
          </w:tcPr>
          <w:p>
            <w:pPr>
              <w:spacing w:after="0" w:line="171" w:lineRule="exact"/>
              <w:rPr>
                <w:sz w:val="20"/>
                <w:szCs w:val="20"/>
                <w:color w:val="auto"/>
              </w:rPr>
            </w:pPr>
            <w:r>
              <w:rPr>
                <w:rFonts w:ascii="Arial" w:cs="Arial" w:eastAsia="Arial" w:hAnsi="Arial"/>
                <w:sz w:val="16"/>
                <w:szCs w:val="16"/>
                <w:color w:val="auto"/>
              </w:rPr>
              <w:t> Within 1 year</w:t>
            </w:r>
          </w:p>
        </w:tc>
        <w:tc>
          <w:tcPr>
            <w:tcW w:w="48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72</w:t>
            </w:r>
          </w:p>
        </w:tc>
        <w:tc>
          <w:tcPr>
            <w:tcW w:w="1780" w:type="dxa"/>
            <w:vAlign w:val="bottom"/>
          </w:tcPr>
          <w:p>
            <w:pPr>
              <w:jc w:val="right"/>
              <w:spacing w:after="0" w:line="171" w:lineRule="exact"/>
              <w:rPr>
                <w:sz w:val="20"/>
                <w:szCs w:val="20"/>
                <w:color w:val="auto"/>
              </w:rPr>
            </w:pPr>
            <w:r>
              <w:rPr>
                <w:rFonts w:ascii="Arial" w:cs="Arial" w:eastAsia="Arial" w:hAnsi="Arial"/>
                <w:sz w:val="16"/>
                <w:szCs w:val="16"/>
                <w:color w:val="auto"/>
              </w:rPr>
              <w:t>67</w:t>
            </w:r>
          </w:p>
        </w:tc>
      </w:tr>
      <w:tr>
        <w:trPr>
          <w:trHeight w:val="186"/>
        </w:trPr>
        <w:tc>
          <w:tcPr>
            <w:tcW w:w="7680" w:type="dxa"/>
            <w:vAlign w:val="bottom"/>
            <w:gridSpan w:val="3"/>
          </w:tcPr>
          <w:p>
            <w:pPr>
              <w:spacing w:after="0"/>
              <w:rPr>
                <w:sz w:val="20"/>
                <w:szCs w:val="20"/>
                <w:color w:val="auto"/>
              </w:rPr>
            </w:pPr>
            <w:r>
              <w:rPr>
                <w:rFonts w:ascii="Arial" w:cs="Arial" w:eastAsia="Arial" w:hAnsi="Arial"/>
                <w:sz w:val="16"/>
                <w:szCs w:val="16"/>
                <w:color w:val="auto"/>
              </w:rPr>
              <w:t> Between 1 and 2 years</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60</w:t>
            </w:r>
          </w:p>
        </w:tc>
        <w:tc>
          <w:tcPr>
            <w:tcW w:w="178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186"/>
        </w:trPr>
        <w:tc>
          <w:tcPr>
            <w:tcW w:w="7680" w:type="dxa"/>
            <w:vAlign w:val="bottom"/>
            <w:gridSpan w:val="3"/>
          </w:tcPr>
          <w:p>
            <w:pPr>
              <w:spacing w:after="0"/>
              <w:rPr>
                <w:sz w:val="20"/>
                <w:szCs w:val="20"/>
                <w:color w:val="auto"/>
              </w:rPr>
            </w:pPr>
            <w:r>
              <w:rPr>
                <w:rFonts w:ascii="Arial" w:cs="Arial" w:eastAsia="Arial" w:hAnsi="Arial"/>
                <w:sz w:val="16"/>
                <w:szCs w:val="16"/>
                <w:color w:val="auto"/>
              </w:rPr>
              <w:t> Between 2 and 3 years</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45</w:t>
            </w:r>
          </w:p>
        </w:tc>
        <w:tc>
          <w:tcPr>
            <w:tcW w:w="178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185"/>
        </w:trPr>
        <w:tc>
          <w:tcPr>
            <w:tcW w:w="7680" w:type="dxa"/>
            <w:vAlign w:val="bottom"/>
            <w:gridSpan w:val="3"/>
          </w:tcPr>
          <w:p>
            <w:pPr>
              <w:spacing w:after="0"/>
              <w:rPr>
                <w:sz w:val="20"/>
                <w:szCs w:val="20"/>
                <w:color w:val="auto"/>
              </w:rPr>
            </w:pPr>
            <w:r>
              <w:rPr>
                <w:rFonts w:ascii="Arial" w:cs="Arial" w:eastAsia="Arial" w:hAnsi="Arial"/>
                <w:sz w:val="16"/>
                <w:szCs w:val="16"/>
                <w:color w:val="auto"/>
              </w:rPr>
              <w:t> Between 3 and 4 years</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17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186"/>
        </w:trPr>
        <w:tc>
          <w:tcPr>
            <w:tcW w:w="7680" w:type="dxa"/>
            <w:vAlign w:val="bottom"/>
            <w:gridSpan w:val="3"/>
          </w:tcPr>
          <w:p>
            <w:pPr>
              <w:spacing w:after="0"/>
              <w:rPr>
                <w:sz w:val="20"/>
                <w:szCs w:val="20"/>
                <w:color w:val="auto"/>
              </w:rPr>
            </w:pPr>
            <w:r>
              <w:rPr>
                <w:rFonts w:ascii="Arial" w:cs="Arial" w:eastAsia="Arial" w:hAnsi="Arial"/>
                <w:sz w:val="16"/>
                <w:szCs w:val="16"/>
                <w:color w:val="auto"/>
              </w:rPr>
              <w:t> Between 4 and 5 years</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17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00"/>
        </w:trPr>
        <w:tc>
          <w:tcPr>
            <w:tcW w:w="7680" w:type="dxa"/>
            <w:vAlign w:val="bottom"/>
            <w:tcBorders>
              <w:bottom w:val="single" w:sz="8" w:color="B2B2B2"/>
            </w:tcBorders>
            <w:gridSpan w:val="3"/>
          </w:tcPr>
          <w:p>
            <w:pPr>
              <w:spacing w:after="0"/>
              <w:rPr>
                <w:sz w:val="20"/>
                <w:szCs w:val="20"/>
                <w:color w:val="auto"/>
              </w:rPr>
            </w:pPr>
            <w:r>
              <w:rPr>
                <w:rFonts w:ascii="Arial" w:cs="Arial" w:eastAsia="Arial" w:hAnsi="Arial"/>
                <w:sz w:val="16"/>
                <w:szCs w:val="16"/>
                <w:color w:val="auto"/>
              </w:rPr>
              <w:t> Later than 5 years</w:t>
            </w:r>
          </w:p>
        </w:tc>
        <w:tc>
          <w:tcPr>
            <w:tcW w:w="48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73</w:t>
            </w:r>
          </w:p>
        </w:tc>
        <w:tc>
          <w:tcPr>
            <w:tcW w:w="17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91</w:t>
            </w:r>
          </w:p>
        </w:tc>
      </w:tr>
      <w:tr>
        <w:trPr>
          <w:trHeight w:val="179"/>
        </w:trPr>
        <w:tc>
          <w:tcPr>
            <w:tcW w:w="7680" w:type="dxa"/>
            <w:vAlign w:val="bottom"/>
            <w:tcBorders>
              <w:bottom w:val="single" w:sz="8" w:color="B2B2B2"/>
            </w:tcBorders>
            <w:gridSpan w:val="3"/>
          </w:tcPr>
          <w:p>
            <w:pPr>
              <w:spacing w:after="0" w:line="179" w:lineRule="exact"/>
              <w:rPr>
                <w:sz w:val="20"/>
                <w:szCs w:val="20"/>
                <w:color w:val="auto"/>
              </w:rPr>
            </w:pPr>
            <w:r>
              <w:rPr>
                <w:rFonts w:ascii="Arial" w:cs="Arial" w:eastAsia="Arial" w:hAnsi="Arial"/>
                <w:sz w:val="16"/>
                <w:szCs w:val="16"/>
                <w:color w:val="auto"/>
              </w:rPr>
              <w:t> Total undiscounted cash flows</w:t>
            </w:r>
          </w:p>
        </w:tc>
        <w:tc>
          <w:tcPr>
            <w:tcW w:w="48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b w:val="1"/>
                <w:bCs w:val="1"/>
                <w:color w:val="auto"/>
              </w:rPr>
              <w:t>304</w:t>
            </w:r>
          </w:p>
        </w:tc>
        <w:tc>
          <w:tcPr>
            <w:tcW w:w="1780" w:type="dxa"/>
            <w:vAlign w:val="bottom"/>
            <w:tcBorders>
              <w:bottom w:val="single" w:sz="8" w:color="B2B2B2"/>
            </w:tcBorders>
          </w:tcPr>
          <w:p>
            <w:pPr>
              <w:jc w:val="right"/>
              <w:spacing w:after="0" w:line="179" w:lineRule="exact"/>
              <w:rPr>
                <w:sz w:val="20"/>
                <w:szCs w:val="20"/>
                <w:color w:val="auto"/>
              </w:rPr>
            </w:pPr>
            <w:r>
              <w:rPr>
                <w:rFonts w:ascii="Arial" w:cs="Arial" w:eastAsia="Arial" w:hAnsi="Arial"/>
                <w:sz w:val="16"/>
                <w:szCs w:val="16"/>
                <w:color w:val="auto"/>
              </w:rPr>
              <w:t>324</w:t>
            </w:r>
          </w:p>
        </w:tc>
      </w:tr>
      <w:tr>
        <w:trPr>
          <w:trHeight w:val="165"/>
        </w:trPr>
        <w:tc>
          <w:tcPr>
            <w:tcW w:w="7680" w:type="dxa"/>
            <w:vAlign w:val="bottom"/>
            <w:gridSpan w:val="3"/>
          </w:tcPr>
          <w:p>
            <w:pPr>
              <w:spacing w:after="0" w:line="165" w:lineRule="exact"/>
              <w:rPr>
                <w:sz w:val="20"/>
                <w:szCs w:val="20"/>
                <w:color w:val="auto"/>
              </w:rPr>
            </w:pPr>
            <w:r>
              <w:rPr>
                <w:rFonts w:ascii="Arial" w:cs="Arial" w:eastAsia="Arial" w:hAnsi="Arial"/>
                <w:sz w:val="16"/>
                <w:szCs w:val="16"/>
                <w:color w:val="auto"/>
              </w:rPr>
              <w:t> Lease liabilities included in the consolidated statement of financial position</w:t>
            </w:r>
          </w:p>
        </w:tc>
        <w:tc>
          <w:tcPr>
            <w:tcW w:w="4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86"/>
        </w:trPr>
        <w:tc>
          <w:tcPr>
            <w:tcW w:w="140" w:type="dxa"/>
            <w:vAlign w:val="bottom"/>
          </w:tcPr>
          <w:p>
            <w:pPr>
              <w:spacing w:after="0"/>
              <w:rPr>
                <w:sz w:val="20"/>
                <w:szCs w:val="20"/>
                <w:color w:val="auto"/>
              </w:rPr>
            </w:pPr>
            <w:r>
              <w:rPr>
                <w:rFonts w:ascii="Arial" w:cs="Arial" w:eastAsia="Arial" w:hAnsi="Arial"/>
                <w:sz w:val="14"/>
                <w:szCs w:val="14"/>
                <w:color w:val="auto"/>
                <w:w w:val="71"/>
              </w:rPr>
              <w:t>  </w:t>
            </w:r>
          </w:p>
        </w:tc>
        <w:tc>
          <w:tcPr>
            <w:tcW w:w="7540" w:type="dxa"/>
            <w:vAlign w:val="bottom"/>
            <w:gridSpan w:val="2"/>
          </w:tcPr>
          <w:p>
            <w:pPr>
              <w:ind w:left="40"/>
              <w:spacing w:after="0"/>
              <w:rPr>
                <w:sz w:val="20"/>
                <w:szCs w:val="20"/>
                <w:color w:val="auto"/>
              </w:rPr>
            </w:pPr>
            <w:r>
              <w:rPr>
                <w:rFonts w:ascii="Arial" w:cs="Arial" w:eastAsia="Arial" w:hAnsi="Arial"/>
                <w:sz w:val="16"/>
                <w:szCs w:val="16"/>
                <w:color w:val="auto"/>
              </w:rPr>
              <w:t>Current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58</w:t>
            </w:r>
          </w:p>
        </w:tc>
        <w:tc>
          <w:tcPr>
            <w:tcW w:w="178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06"/>
        </w:trPr>
        <w:tc>
          <w:tcPr>
            <w:tcW w:w="140" w:type="dxa"/>
            <w:vAlign w:val="bottom"/>
            <w:tcBorders>
              <w:bottom w:val="single" w:sz="8" w:color="D64000"/>
            </w:tcBorders>
          </w:tcPr>
          <w:p>
            <w:pPr>
              <w:spacing w:after="0"/>
              <w:rPr>
                <w:sz w:val="20"/>
                <w:szCs w:val="20"/>
                <w:color w:val="auto"/>
              </w:rPr>
            </w:pPr>
            <w:r>
              <w:rPr>
                <w:rFonts w:ascii="Arial" w:cs="Arial" w:eastAsia="Arial" w:hAnsi="Arial"/>
                <w:sz w:val="14"/>
                <w:szCs w:val="14"/>
                <w:color w:val="auto"/>
                <w:w w:val="71"/>
              </w:rPr>
              <w:t>  </w:t>
            </w:r>
          </w:p>
        </w:tc>
        <w:tc>
          <w:tcPr>
            <w:tcW w:w="7540" w:type="dxa"/>
            <w:vAlign w:val="bottom"/>
            <w:tcBorders>
              <w:bottom w:val="single" w:sz="8" w:color="D64000"/>
            </w:tcBorders>
            <w:gridSpan w:val="2"/>
          </w:tcPr>
          <w:p>
            <w:pPr>
              <w:ind w:left="40"/>
              <w:spacing w:after="0"/>
              <w:rPr>
                <w:sz w:val="20"/>
                <w:szCs w:val="20"/>
                <w:color w:val="auto"/>
              </w:rPr>
            </w:pPr>
            <w:r>
              <w:rPr>
                <w:rFonts w:ascii="Arial" w:cs="Arial" w:eastAsia="Arial" w:hAnsi="Arial"/>
                <w:sz w:val="16"/>
                <w:szCs w:val="16"/>
                <w:color w:val="auto"/>
              </w:rPr>
              <w:t>Non-current</w:t>
            </w:r>
          </w:p>
        </w:tc>
        <w:tc>
          <w:tcPr>
            <w:tcW w:w="480" w:type="dxa"/>
            <w:vAlign w:val="bottom"/>
            <w:tcBorders>
              <w:bottom w:val="single" w:sz="8" w:color="D64000"/>
            </w:tcBorders>
          </w:tcPr>
          <w:p>
            <w:pPr>
              <w:jc w:val="right"/>
              <w:spacing w:after="0"/>
              <w:rPr>
                <w:sz w:val="20"/>
                <w:szCs w:val="20"/>
                <w:color w:val="auto"/>
              </w:rPr>
            </w:pPr>
            <w:r>
              <w:rPr>
                <w:rFonts w:ascii="Arial" w:cs="Arial" w:eastAsia="Arial" w:hAnsi="Arial"/>
                <w:sz w:val="16"/>
                <w:szCs w:val="16"/>
                <w:b w:val="1"/>
                <w:bCs w:val="1"/>
                <w:color w:val="auto"/>
              </w:rPr>
              <w:t>198</w:t>
            </w:r>
          </w:p>
        </w:tc>
        <w:tc>
          <w:tcPr>
            <w:tcW w:w="1780" w:type="dxa"/>
            <w:vAlign w:val="bottom"/>
            <w:tcBorders>
              <w:bottom w:val="single" w:sz="8" w:color="D64000"/>
            </w:tcBorders>
          </w:tcPr>
          <w:p>
            <w:pPr>
              <w:jc w:val="right"/>
              <w:spacing w:after="0"/>
              <w:rPr>
                <w:sz w:val="20"/>
                <w:szCs w:val="20"/>
                <w:color w:val="auto"/>
              </w:rPr>
            </w:pPr>
            <w:r>
              <w:rPr>
                <w:rFonts w:ascii="Arial" w:cs="Arial" w:eastAsia="Arial" w:hAnsi="Arial"/>
                <w:sz w:val="16"/>
                <w:szCs w:val="16"/>
                <w:color w:val="auto"/>
              </w:rPr>
              <w:t>209</w:t>
            </w:r>
          </w:p>
        </w:tc>
      </w:tr>
    </w:tbl>
    <w:p>
      <w:pPr>
        <w:spacing w:after="0" w:line="84" w:lineRule="exact"/>
        <w:rPr>
          <w:sz w:val="20"/>
          <w:szCs w:val="20"/>
          <w:color w:val="auto"/>
        </w:rPr>
      </w:pPr>
    </w:p>
    <w:p>
      <w:pPr>
        <w:ind w:left="220" w:right="160"/>
        <w:spacing w:after="0" w:line="243" w:lineRule="auto"/>
        <w:rPr>
          <w:sz w:val="20"/>
          <w:szCs w:val="20"/>
          <w:color w:val="auto"/>
        </w:rPr>
      </w:pPr>
      <w:r>
        <w:rPr>
          <w:rFonts w:ascii="Arial" w:cs="Arial" w:eastAsia="Arial" w:hAnsi="Arial"/>
          <w:sz w:val="17"/>
          <w:szCs w:val="17"/>
          <w:color w:val="auto"/>
        </w:rPr>
        <w:t>As of December 31, 2024 and 2023, the Company was committed to leases with future cash outflows totaling $70 million and $82 million, respectively, which had not yet commenced and therefore are not accounted for as a liability as of December 31, 2024 and 2023, respectively. A liability and corresponding right-of-use asset will be recognized for these leases at the lease commencement date.</w:t>
      </w:r>
    </w:p>
    <w:p>
      <w:pPr>
        <w:spacing w:after="0" w:line="69" w:lineRule="exact"/>
        <w:rPr>
          <w:sz w:val="20"/>
          <w:szCs w:val="20"/>
          <w:color w:val="auto"/>
        </w:rPr>
      </w:pPr>
    </w:p>
    <w:p>
      <w:pPr>
        <w:ind w:left="220" w:right="180"/>
        <w:spacing w:after="0" w:line="243" w:lineRule="auto"/>
        <w:rPr>
          <w:sz w:val="20"/>
          <w:szCs w:val="20"/>
          <w:color w:val="auto"/>
        </w:rPr>
      </w:pPr>
      <w:r>
        <w:rPr>
          <w:rFonts w:ascii="Arial" w:cs="Arial" w:eastAsia="Arial" w:hAnsi="Arial"/>
          <w:sz w:val="17"/>
          <w:szCs w:val="17"/>
          <w:color w:val="auto"/>
        </w:rPr>
        <w:t>With certain leases, the Company guarantees the restoration of the leased property to a specified condition after completion of the lease period. The liability associated with these restorations is recorded within “Provisions and other non-current liabilities” in the consolidated statement of financial position.</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Note 29: Supplemental Cash Flow Information</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Details of “Other” within the net cash provided by operating activities section in the consolidated statement of cash flow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159385</wp:posOffset>
            </wp:positionV>
            <wp:extent cx="617537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5660" w:type="dxa"/>
            <w:vAlign w:val="bottom"/>
          </w:tcPr>
          <w:p>
            <w:pPr>
              <w:spacing w:after="0"/>
              <w:rPr>
                <w:sz w:val="17"/>
                <w:szCs w:val="17"/>
                <w:color w:val="auto"/>
              </w:rPr>
            </w:pPr>
          </w:p>
        </w:tc>
        <w:tc>
          <w:tcPr>
            <w:tcW w:w="1100" w:type="dxa"/>
            <w:vAlign w:val="bottom"/>
            <w:shd w:val="clear" w:color="auto" w:fill="E3F3EE"/>
          </w:tcPr>
          <w:p>
            <w:pPr>
              <w:ind w:left="1020"/>
              <w:spacing w:after="0"/>
              <w:rPr>
                <w:sz w:val="20"/>
                <w:szCs w:val="20"/>
                <w:color w:val="auto"/>
              </w:rPr>
            </w:pPr>
            <w:r>
              <w:rPr>
                <w:rFonts w:ascii="Arial" w:cs="Arial" w:eastAsia="Arial" w:hAnsi="Arial"/>
                <w:sz w:val="8"/>
                <w:szCs w:val="8"/>
                <w:b w:val="1"/>
                <w:bCs w:val="1"/>
                <w:color w:val="auto"/>
                <w:w w:val="74"/>
              </w:rPr>
              <w:t> </w:t>
            </w:r>
          </w:p>
        </w:tc>
        <w:tc>
          <w:tcPr>
            <w:tcW w:w="140" w:type="dxa"/>
            <w:vAlign w:val="bottom"/>
            <w:shd w:val="clear" w:color="auto" w:fill="E3F3EE"/>
          </w:tcPr>
          <w:p>
            <w:pPr>
              <w:ind w:left="80"/>
              <w:spacing w:after="0"/>
              <w:rPr>
                <w:sz w:val="20"/>
                <w:szCs w:val="20"/>
                <w:color w:val="auto"/>
              </w:rPr>
            </w:pPr>
            <w:r>
              <w:rPr>
                <w:rFonts w:ascii="Arial" w:cs="Arial" w:eastAsia="Arial" w:hAnsi="Arial"/>
                <w:sz w:val="5"/>
                <w:szCs w:val="5"/>
                <w:b w:val="1"/>
                <w:bCs w:val="1"/>
                <w:color w:val="auto"/>
                <w:w w:val="79"/>
              </w:rPr>
              <w:t> </w:t>
            </w:r>
          </w:p>
        </w:tc>
        <w:tc>
          <w:tcPr>
            <w:tcW w:w="160" w:type="dxa"/>
            <w:vAlign w:val="bottom"/>
            <w:shd w:val="clear" w:color="auto" w:fill="E3F3EE"/>
          </w:tcPr>
          <w:p>
            <w:pPr>
              <w:ind w:left="100"/>
              <w:spacing w:after="0"/>
              <w:rPr>
                <w:sz w:val="20"/>
                <w:szCs w:val="20"/>
                <w:color w:val="auto"/>
              </w:rPr>
            </w:pPr>
            <w:r>
              <w:rPr>
                <w:rFonts w:ascii="Arial" w:cs="Arial" w:eastAsia="Arial" w:hAnsi="Arial"/>
                <w:sz w:val="5"/>
                <w:szCs w:val="5"/>
                <w:b w:val="1"/>
                <w:bCs w:val="1"/>
                <w:color w:val="auto"/>
                <w:w w:val="79"/>
              </w:rPr>
              <w:t> </w:t>
            </w:r>
          </w:p>
        </w:tc>
        <w:tc>
          <w:tcPr>
            <w:tcW w:w="160" w:type="dxa"/>
            <w:vAlign w:val="bottom"/>
            <w:shd w:val="clear" w:color="auto" w:fill="E3F3EE"/>
          </w:tcPr>
          <w:p>
            <w:pPr>
              <w:ind w:left="100"/>
              <w:spacing w:after="0"/>
              <w:rPr>
                <w:sz w:val="20"/>
                <w:szCs w:val="20"/>
                <w:color w:val="auto"/>
              </w:rPr>
            </w:pPr>
            <w:r>
              <w:rPr>
                <w:rFonts w:ascii="Arial" w:cs="Arial" w:eastAsia="Arial" w:hAnsi="Arial"/>
                <w:sz w:val="5"/>
                <w:szCs w:val="5"/>
                <w:b w:val="1"/>
                <w:bCs w:val="1"/>
                <w:color w:val="auto"/>
                <w:w w:val="79"/>
              </w:rPr>
              <w:t> </w:t>
            </w:r>
          </w:p>
        </w:tc>
        <w:tc>
          <w:tcPr>
            <w:tcW w:w="2500" w:type="dxa"/>
            <w:vAlign w:val="bottom"/>
            <w:gridSpan w:val="2"/>
            <w:shd w:val="clear" w:color="auto" w:fill="E3F3EE"/>
          </w:tcPr>
          <w:p>
            <w:pPr>
              <w:jc w:val="right"/>
              <w:ind w:right="241"/>
              <w:spacing w:after="0"/>
              <w:rPr>
                <w:sz w:val="20"/>
                <w:szCs w:val="20"/>
                <w:color w:val="auto"/>
              </w:rPr>
            </w:pPr>
            <w:r>
              <w:rPr>
                <w:rFonts w:ascii="Arial" w:cs="Arial" w:eastAsia="Arial" w:hAnsi="Arial"/>
                <w:sz w:val="16"/>
                <w:szCs w:val="16"/>
                <w:b w:val="1"/>
                <w:bCs w:val="1"/>
                <w:color w:val="auto"/>
              </w:rPr>
              <w:t>  Year ended December 31,</w:t>
            </w:r>
          </w:p>
        </w:tc>
      </w:tr>
      <w:tr>
        <w:trPr>
          <w:trHeight w:val="192"/>
        </w:trPr>
        <w:tc>
          <w:tcPr>
            <w:tcW w:w="5660" w:type="dxa"/>
            <w:vAlign w:val="bottom"/>
            <w:tcBorders>
              <w:bottom w:val="single" w:sz="8" w:color="D64000"/>
            </w:tcBorders>
            <w:shd w:val="clear" w:color="auto" w:fill="1F473D"/>
          </w:tcPr>
          <w:p>
            <w:pPr>
              <w:spacing w:after="0"/>
              <w:rPr>
                <w:sz w:val="16"/>
                <w:szCs w:val="16"/>
                <w:color w:val="auto"/>
              </w:rPr>
            </w:pPr>
          </w:p>
        </w:tc>
        <w:tc>
          <w:tcPr>
            <w:tcW w:w="1100" w:type="dxa"/>
            <w:vAlign w:val="bottom"/>
            <w:tcBorders>
              <w:bottom w:val="single" w:sz="8" w:color="D64000"/>
            </w:tcBorders>
            <w:shd w:val="clear" w:color="auto" w:fill="1F473D"/>
          </w:tcPr>
          <w:p>
            <w:pPr>
              <w:ind w:left="800"/>
              <w:spacing w:after="0"/>
              <w:rPr>
                <w:sz w:val="20"/>
                <w:szCs w:val="20"/>
                <w:color w:val="auto"/>
              </w:rPr>
            </w:pPr>
            <w:r>
              <w:rPr>
                <w:rFonts w:ascii="Arial" w:cs="Arial" w:eastAsia="Arial" w:hAnsi="Arial"/>
                <w:sz w:val="16"/>
                <w:szCs w:val="16"/>
                <w:b w:val="1"/>
                <w:bCs w:val="1"/>
                <w:color w:val="FFFFFF"/>
              </w:rPr>
              <w:t xml:space="preserve">    </w:t>
            </w:r>
          </w:p>
        </w:tc>
        <w:tc>
          <w:tcPr>
            <w:tcW w:w="140" w:type="dxa"/>
            <w:vAlign w:val="bottom"/>
            <w:tcBorders>
              <w:bottom w:val="single" w:sz="8" w:color="D64000"/>
            </w:tcBorders>
            <w:shd w:val="clear" w:color="auto" w:fill="1F473D"/>
          </w:tcPr>
          <w:p>
            <w:pPr>
              <w:ind w:left="20"/>
              <w:spacing w:after="0"/>
              <w:rPr>
                <w:sz w:val="20"/>
                <w:szCs w:val="20"/>
                <w:color w:val="auto"/>
              </w:rPr>
            </w:pPr>
            <w:r>
              <w:rPr>
                <w:rFonts w:ascii="Arial" w:cs="Arial" w:eastAsia="Arial" w:hAnsi="Arial"/>
                <w:sz w:val="14"/>
                <w:szCs w:val="14"/>
                <w:b w:val="1"/>
                <w:bCs w:val="1"/>
                <w:color w:val="FFFFFF"/>
                <w:w w:val="71"/>
              </w:rPr>
              <w:t> </w:t>
            </w:r>
          </w:p>
        </w:tc>
        <w:tc>
          <w:tcPr>
            <w:tcW w:w="160" w:type="dxa"/>
            <w:vAlign w:val="bottom"/>
            <w:tcBorders>
              <w:bottom w:val="single" w:sz="8" w:color="D64000"/>
            </w:tcBorders>
            <w:shd w:val="clear" w:color="auto" w:fill="1F473D"/>
          </w:tcPr>
          <w:p>
            <w:pPr>
              <w:ind w:left="20"/>
              <w:spacing w:after="0"/>
              <w:rPr>
                <w:sz w:val="20"/>
                <w:szCs w:val="20"/>
                <w:color w:val="auto"/>
              </w:rPr>
            </w:pPr>
            <w:r>
              <w:rPr>
                <w:rFonts w:ascii="Arial" w:cs="Arial" w:eastAsia="Arial" w:hAnsi="Arial"/>
                <w:sz w:val="16"/>
                <w:szCs w:val="16"/>
                <w:b w:val="1"/>
                <w:bCs w:val="1"/>
                <w:color w:val="FFFFFF"/>
                <w:w w:val="74"/>
              </w:rPr>
              <w:t> </w:t>
            </w:r>
          </w:p>
        </w:tc>
        <w:tc>
          <w:tcPr>
            <w:tcW w:w="160" w:type="dxa"/>
            <w:vAlign w:val="bottom"/>
            <w:tcBorders>
              <w:bottom w:val="single" w:sz="8" w:color="D64000"/>
            </w:tcBorders>
            <w:shd w:val="clear" w:color="auto" w:fill="1F473D"/>
          </w:tcPr>
          <w:p>
            <w:pPr>
              <w:ind w:left="20"/>
              <w:spacing w:after="0"/>
              <w:rPr>
                <w:sz w:val="20"/>
                <w:szCs w:val="20"/>
                <w:color w:val="auto"/>
              </w:rPr>
            </w:pPr>
            <w:r>
              <w:rPr>
                <w:rFonts w:ascii="Arial" w:cs="Arial" w:eastAsia="Arial" w:hAnsi="Arial"/>
                <w:sz w:val="16"/>
                <w:szCs w:val="16"/>
                <w:b w:val="1"/>
                <w:bCs w:val="1"/>
                <w:color w:val="FFFFFF"/>
                <w:w w:val="74"/>
              </w:rPr>
              <w:t> </w:t>
            </w:r>
          </w:p>
        </w:tc>
        <w:tc>
          <w:tcPr>
            <w:tcW w:w="900" w:type="dxa"/>
            <w:vAlign w:val="bottom"/>
            <w:tcBorders>
              <w:bottom w:val="single" w:sz="8" w:color="D64000"/>
            </w:tcBorders>
            <w:shd w:val="clear" w:color="auto" w:fill="1F473D"/>
          </w:tcPr>
          <w:p>
            <w:pPr>
              <w:jc w:val="right"/>
              <w:ind w:right="441"/>
              <w:spacing w:after="0"/>
              <w:rPr>
                <w:sz w:val="20"/>
                <w:szCs w:val="20"/>
                <w:color w:val="auto"/>
              </w:rPr>
            </w:pPr>
            <w:r>
              <w:rPr>
                <w:rFonts w:ascii="Arial" w:cs="Arial" w:eastAsia="Arial" w:hAnsi="Arial"/>
                <w:sz w:val="16"/>
                <w:szCs w:val="16"/>
                <w:b w:val="1"/>
                <w:bCs w:val="1"/>
                <w:color w:val="FFFFFF"/>
              </w:rPr>
              <w:t>2024</w:t>
            </w:r>
          </w:p>
        </w:tc>
        <w:tc>
          <w:tcPr>
            <w:tcW w:w="160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               2023</w:t>
            </w:r>
          </w:p>
        </w:tc>
      </w:tr>
      <w:tr>
        <w:trPr>
          <w:trHeight w:val="171"/>
        </w:trPr>
        <w:tc>
          <w:tcPr>
            <w:tcW w:w="6760" w:type="dxa"/>
            <w:vAlign w:val="bottom"/>
            <w:gridSpan w:val="2"/>
          </w:tcPr>
          <w:p>
            <w:pPr>
              <w:spacing w:after="0" w:line="171" w:lineRule="exact"/>
              <w:rPr>
                <w:sz w:val="20"/>
                <w:szCs w:val="20"/>
                <w:color w:val="auto"/>
              </w:rPr>
            </w:pPr>
            <w:r>
              <w:rPr>
                <w:rFonts w:ascii="Arial" w:cs="Arial" w:eastAsia="Arial" w:hAnsi="Arial"/>
                <w:sz w:val="16"/>
                <w:szCs w:val="16"/>
                <w:color w:val="auto"/>
              </w:rPr>
              <w:t> Non-cash employee benefit charges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361"/>
              <w:spacing w:after="0" w:line="171" w:lineRule="exact"/>
              <w:rPr>
                <w:sz w:val="20"/>
                <w:szCs w:val="20"/>
                <w:color w:val="auto"/>
              </w:rPr>
            </w:pPr>
            <w:r>
              <w:rPr>
                <w:rFonts w:ascii="Arial" w:cs="Arial" w:eastAsia="Arial" w:hAnsi="Arial"/>
                <w:sz w:val="16"/>
                <w:szCs w:val="16"/>
                <w:b w:val="1"/>
                <w:bCs w:val="1"/>
                <w:color w:val="auto"/>
              </w:rPr>
              <w:t>147</w:t>
            </w:r>
          </w:p>
        </w:tc>
        <w:tc>
          <w:tcPr>
            <w:tcW w:w="1600" w:type="dxa"/>
            <w:vAlign w:val="bottom"/>
          </w:tcPr>
          <w:p>
            <w:pPr>
              <w:jc w:val="right"/>
              <w:spacing w:after="0" w:line="171" w:lineRule="exact"/>
              <w:rPr>
                <w:sz w:val="20"/>
                <w:szCs w:val="20"/>
                <w:color w:val="auto"/>
              </w:rPr>
            </w:pPr>
            <w:r>
              <w:rPr>
                <w:rFonts w:ascii="Arial" w:cs="Arial" w:eastAsia="Arial" w:hAnsi="Arial"/>
                <w:sz w:val="16"/>
                <w:szCs w:val="16"/>
                <w:color w:val="auto"/>
              </w:rPr>
              <w:t>139</w:t>
            </w:r>
          </w:p>
        </w:tc>
      </w:tr>
      <w:tr>
        <w:trPr>
          <w:trHeight w:val="185"/>
        </w:trPr>
        <w:tc>
          <w:tcPr>
            <w:tcW w:w="6760" w:type="dxa"/>
            <w:vAlign w:val="bottom"/>
            <w:gridSpan w:val="2"/>
          </w:tcPr>
          <w:p>
            <w:pPr>
              <w:spacing w:after="0"/>
              <w:rPr>
                <w:sz w:val="20"/>
                <w:szCs w:val="20"/>
                <w:color w:val="auto"/>
              </w:rPr>
            </w:pPr>
            <w:r>
              <w:rPr>
                <w:rFonts w:ascii="Arial" w:cs="Arial" w:eastAsia="Arial" w:hAnsi="Arial"/>
                <w:sz w:val="16"/>
                <w:szCs w:val="16"/>
                <w:color w:val="auto"/>
              </w:rPr>
              <w:t> Net (gains) losses on foreign exchange and derivative financial instruments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361"/>
              <w:spacing w:after="0"/>
              <w:rPr>
                <w:sz w:val="20"/>
                <w:szCs w:val="20"/>
                <w:color w:val="auto"/>
              </w:rPr>
            </w:pPr>
            <w:r>
              <w:rPr>
                <w:rFonts w:ascii="Arial" w:cs="Arial" w:eastAsia="Arial" w:hAnsi="Arial"/>
                <w:sz w:val="16"/>
                <w:szCs w:val="16"/>
                <w:b w:val="1"/>
                <w:bCs w:val="1"/>
                <w:color w:val="auto"/>
              </w:rPr>
              <w:t>(49)</w:t>
            </w:r>
          </w:p>
        </w:tc>
        <w:tc>
          <w:tcPr>
            <w:tcW w:w="160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185"/>
        </w:trPr>
        <w:tc>
          <w:tcPr>
            <w:tcW w:w="6760" w:type="dxa"/>
            <w:vAlign w:val="bottom"/>
            <w:gridSpan w:val="2"/>
          </w:tcPr>
          <w:p>
            <w:pPr>
              <w:spacing w:after="0"/>
              <w:rPr>
                <w:sz w:val="20"/>
                <w:szCs w:val="20"/>
                <w:color w:val="auto"/>
              </w:rPr>
            </w:pPr>
            <w:r>
              <w:rPr>
                <w:rFonts w:ascii="Arial" w:cs="Arial" w:eastAsia="Arial" w:hAnsi="Arial"/>
                <w:sz w:val="16"/>
                <w:szCs w:val="16"/>
                <w:color w:val="auto"/>
              </w:rPr>
              <w:t> Fair value adjustments (see note 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361"/>
              <w:spacing w:after="0"/>
              <w:rPr>
                <w:sz w:val="20"/>
                <w:szCs w:val="20"/>
                <w:color w:val="auto"/>
              </w:rPr>
            </w:pPr>
            <w:r>
              <w:rPr>
                <w:rFonts w:ascii="Arial" w:cs="Arial" w:eastAsia="Arial" w:hAnsi="Arial"/>
                <w:sz w:val="16"/>
                <w:szCs w:val="16"/>
                <w:b w:val="1"/>
                <w:bCs w:val="1"/>
                <w:color w:val="auto"/>
              </w:rPr>
              <w:t>(17)</w:t>
            </w:r>
          </w:p>
        </w:tc>
        <w:tc>
          <w:tcPr>
            <w:tcW w:w="16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00"/>
        </w:trPr>
        <w:tc>
          <w:tcPr>
            <w:tcW w:w="676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color w:val="auto"/>
              </w:rPr>
              <w:t> Other</w:t>
            </w:r>
          </w:p>
        </w:tc>
        <w:tc>
          <w:tcPr>
            <w:tcW w:w="140" w:type="dxa"/>
            <w:vAlign w:val="bottom"/>
            <w:tcBorders>
              <w:bottom w:val="single" w:sz="8" w:color="B2B2B2"/>
            </w:tcBorders>
          </w:tcPr>
          <w:p>
            <w:pPr>
              <w:spacing w:after="0"/>
              <w:rPr>
                <w:sz w:val="17"/>
                <w:szCs w:val="17"/>
                <w:color w:val="auto"/>
              </w:rPr>
            </w:pPr>
          </w:p>
        </w:tc>
        <w:tc>
          <w:tcPr>
            <w:tcW w:w="160" w:type="dxa"/>
            <w:vAlign w:val="bottom"/>
            <w:tcBorders>
              <w:bottom w:val="single" w:sz="8" w:color="B2B2B2"/>
            </w:tcBorders>
          </w:tcPr>
          <w:p>
            <w:pPr>
              <w:spacing w:after="0"/>
              <w:rPr>
                <w:sz w:val="17"/>
                <w:szCs w:val="17"/>
                <w:color w:val="auto"/>
              </w:rPr>
            </w:pPr>
          </w:p>
        </w:tc>
        <w:tc>
          <w:tcPr>
            <w:tcW w:w="160" w:type="dxa"/>
            <w:vAlign w:val="bottom"/>
            <w:tcBorders>
              <w:bottom w:val="single" w:sz="8" w:color="B2B2B2"/>
            </w:tcBorders>
          </w:tcPr>
          <w:p>
            <w:pPr>
              <w:spacing w:after="0"/>
              <w:rPr>
                <w:sz w:val="17"/>
                <w:szCs w:val="17"/>
                <w:color w:val="auto"/>
              </w:rPr>
            </w:pPr>
          </w:p>
        </w:tc>
        <w:tc>
          <w:tcPr>
            <w:tcW w:w="900" w:type="dxa"/>
            <w:vAlign w:val="bottom"/>
            <w:tcBorders>
              <w:bottom w:val="single" w:sz="8" w:color="B2B2B2"/>
            </w:tcBorders>
          </w:tcPr>
          <w:p>
            <w:pPr>
              <w:jc w:val="right"/>
              <w:ind w:right="361"/>
              <w:spacing w:after="0"/>
              <w:rPr>
                <w:sz w:val="20"/>
                <w:szCs w:val="20"/>
                <w:color w:val="auto"/>
              </w:rPr>
            </w:pPr>
            <w:r>
              <w:rPr>
                <w:rFonts w:ascii="Arial" w:cs="Arial" w:eastAsia="Arial" w:hAnsi="Arial"/>
                <w:sz w:val="16"/>
                <w:szCs w:val="16"/>
                <w:b w:val="1"/>
                <w:bCs w:val="1"/>
                <w:color w:val="auto"/>
              </w:rPr>
              <w:t>70</w:t>
            </w:r>
          </w:p>
        </w:tc>
        <w:tc>
          <w:tcPr>
            <w:tcW w:w="16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(38)</w:t>
            </w:r>
          </w:p>
        </w:tc>
      </w:tr>
      <w:tr>
        <w:trPr>
          <w:trHeight w:val="185"/>
        </w:trPr>
        <w:tc>
          <w:tcPr>
            <w:tcW w:w="5660" w:type="dxa"/>
            <w:vAlign w:val="bottom"/>
            <w:tcBorders>
              <w:bottom w:val="single" w:sz="8" w:color="D64000"/>
            </w:tcBorders>
          </w:tcPr>
          <w:p>
            <w:pPr>
              <w:spacing w:after="0"/>
              <w:rPr>
                <w:sz w:val="16"/>
                <w:szCs w:val="16"/>
                <w:color w:val="auto"/>
              </w:rPr>
            </w:pPr>
          </w:p>
        </w:tc>
        <w:tc>
          <w:tcPr>
            <w:tcW w:w="1100" w:type="dxa"/>
            <w:vAlign w:val="bottom"/>
            <w:tcBorders>
              <w:bottom w:val="single" w:sz="8" w:color="D64000"/>
            </w:tcBorders>
          </w:tcPr>
          <w:p>
            <w:pPr>
              <w:spacing w:after="0"/>
              <w:rPr>
                <w:sz w:val="16"/>
                <w:szCs w:val="16"/>
                <w:color w:val="auto"/>
              </w:rPr>
            </w:pPr>
          </w:p>
        </w:tc>
        <w:tc>
          <w:tcPr>
            <w:tcW w:w="140" w:type="dxa"/>
            <w:vAlign w:val="bottom"/>
            <w:tcBorders>
              <w:bottom w:val="single" w:sz="8" w:color="D64000"/>
            </w:tcBorders>
          </w:tcPr>
          <w:p>
            <w:pPr>
              <w:spacing w:after="0"/>
              <w:rPr>
                <w:sz w:val="16"/>
                <w:szCs w:val="16"/>
                <w:color w:val="auto"/>
              </w:rPr>
            </w:pPr>
          </w:p>
        </w:tc>
        <w:tc>
          <w:tcPr>
            <w:tcW w:w="160" w:type="dxa"/>
            <w:vAlign w:val="bottom"/>
            <w:tcBorders>
              <w:bottom w:val="single" w:sz="8" w:color="D64000"/>
            </w:tcBorders>
          </w:tcPr>
          <w:p>
            <w:pPr>
              <w:spacing w:after="0"/>
              <w:rPr>
                <w:sz w:val="16"/>
                <w:szCs w:val="16"/>
                <w:color w:val="auto"/>
              </w:rPr>
            </w:pPr>
          </w:p>
        </w:tc>
        <w:tc>
          <w:tcPr>
            <w:tcW w:w="160" w:type="dxa"/>
            <w:vAlign w:val="bottom"/>
            <w:tcBorders>
              <w:bottom w:val="single" w:sz="8" w:color="D64000"/>
            </w:tcBorders>
          </w:tcPr>
          <w:p>
            <w:pPr>
              <w:spacing w:after="0"/>
              <w:rPr>
                <w:sz w:val="16"/>
                <w:szCs w:val="16"/>
                <w:color w:val="auto"/>
              </w:rPr>
            </w:pPr>
          </w:p>
        </w:tc>
        <w:tc>
          <w:tcPr>
            <w:tcW w:w="900" w:type="dxa"/>
            <w:vAlign w:val="bottom"/>
            <w:tcBorders>
              <w:bottom w:val="single" w:sz="8" w:color="D64000"/>
            </w:tcBorders>
          </w:tcPr>
          <w:p>
            <w:pPr>
              <w:jc w:val="right"/>
              <w:ind w:right="361"/>
              <w:spacing w:after="0" w:line="179" w:lineRule="exact"/>
              <w:rPr>
                <w:sz w:val="20"/>
                <w:szCs w:val="20"/>
                <w:color w:val="auto"/>
              </w:rPr>
            </w:pPr>
            <w:r>
              <w:rPr>
                <w:rFonts w:ascii="Arial" w:cs="Arial" w:eastAsia="Arial" w:hAnsi="Arial"/>
                <w:sz w:val="16"/>
                <w:szCs w:val="16"/>
                <w:b w:val="1"/>
                <w:bCs w:val="1"/>
                <w:color w:val="auto"/>
              </w:rPr>
              <w:t>151</w:t>
            </w:r>
          </w:p>
        </w:tc>
        <w:tc>
          <w:tcPr>
            <w:tcW w:w="160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298</w:t>
            </w:r>
          </w:p>
        </w:tc>
      </w:tr>
    </w:tbl>
    <w:p>
      <w:pPr>
        <w:spacing w:after="0" w:line="150" w:lineRule="exact"/>
        <w:rPr>
          <w:sz w:val="20"/>
          <w:szCs w:val="20"/>
          <w:color w:val="auto"/>
        </w:rPr>
      </w:pPr>
    </w:p>
    <w:p>
      <w:pPr>
        <w:ind w:left="220" w:right="160"/>
        <w:spacing w:after="0" w:line="260" w:lineRule="auto"/>
        <w:rPr>
          <w:sz w:val="20"/>
          <w:szCs w:val="20"/>
          <w:color w:val="auto"/>
        </w:rPr>
      </w:pPr>
      <w:r>
        <w:rPr>
          <w:rFonts w:ascii="Arial" w:cs="Arial" w:eastAsia="Arial" w:hAnsi="Arial"/>
          <w:sz w:val="17"/>
          <w:szCs w:val="17"/>
          <w:color w:val="auto"/>
        </w:rPr>
        <w:t>Details of “Changes in working capital and other items” within the net cash provided by operating activities section in the consolidated statement of cash flow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132080</wp:posOffset>
            </wp:positionV>
            <wp:extent cx="617537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5660" w:type="dxa"/>
            <w:vAlign w:val="bottom"/>
          </w:tcPr>
          <w:p>
            <w:pPr>
              <w:spacing w:after="0"/>
              <w:rPr>
                <w:sz w:val="17"/>
                <w:szCs w:val="17"/>
                <w:color w:val="auto"/>
              </w:rPr>
            </w:pPr>
          </w:p>
        </w:tc>
        <w:tc>
          <w:tcPr>
            <w:tcW w:w="1100" w:type="dxa"/>
            <w:vAlign w:val="bottom"/>
            <w:shd w:val="clear" w:color="auto" w:fill="E3F3EE"/>
          </w:tcPr>
          <w:p>
            <w:pPr>
              <w:ind w:left="1020"/>
              <w:spacing w:after="0"/>
              <w:rPr>
                <w:sz w:val="20"/>
                <w:szCs w:val="20"/>
                <w:color w:val="auto"/>
              </w:rPr>
            </w:pPr>
            <w:r>
              <w:rPr>
                <w:rFonts w:ascii="Arial" w:cs="Arial" w:eastAsia="Arial" w:hAnsi="Arial"/>
                <w:sz w:val="8"/>
                <w:szCs w:val="8"/>
                <w:b w:val="1"/>
                <w:bCs w:val="1"/>
                <w:color w:val="auto"/>
                <w:w w:val="74"/>
              </w:rPr>
              <w:t> </w:t>
            </w:r>
          </w:p>
        </w:tc>
        <w:tc>
          <w:tcPr>
            <w:tcW w:w="140" w:type="dxa"/>
            <w:vAlign w:val="bottom"/>
            <w:shd w:val="clear" w:color="auto" w:fill="E3F3EE"/>
          </w:tcPr>
          <w:p>
            <w:pPr>
              <w:ind w:left="80"/>
              <w:spacing w:after="0"/>
              <w:rPr>
                <w:sz w:val="20"/>
                <w:szCs w:val="20"/>
                <w:color w:val="auto"/>
              </w:rPr>
            </w:pPr>
            <w:r>
              <w:rPr>
                <w:rFonts w:ascii="Arial" w:cs="Arial" w:eastAsia="Arial" w:hAnsi="Arial"/>
                <w:sz w:val="5"/>
                <w:szCs w:val="5"/>
                <w:b w:val="1"/>
                <w:bCs w:val="1"/>
                <w:color w:val="auto"/>
                <w:w w:val="79"/>
              </w:rPr>
              <w:t> </w:t>
            </w:r>
          </w:p>
        </w:tc>
        <w:tc>
          <w:tcPr>
            <w:tcW w:w="160" w:type="dxa"/>
            <w:vAlign w:val="bottom"/>
            <w:shd w:val="clear" w:color="auto" w:fill="E3F3EE"/>
          </w:tcPr>
          <w:p>
            <w:pPr>
              <w:ind w:left="100"/>
              <w:spacing w:after="0"/>
              <w:rPr>
                <w:sz w:val="20"/>
                <w:szCs w:val="20"/>
                <w:color w:val="auto"/>
              </w:rPr>
            </w:pPr>
            <w:r>
              <w:rPr>
                <w:rFonts w:ascii="Arial" w:cs="Arial" w:eastAsia="Arial" w:hAnsi="Arial"/>
                <w:sz w:val="5"/>
                <w:szCs w:val="5"/>
                <w:b w:val="1"/>
                <w:bCs w:val="1"/>
                <w:color w:val="auto"/>
                <w:w w:val="79"/>
              </w:rPr>
              <w:t> </w:t>
            </w:r>
          </w:p>
        </w:tc>
        <w:tc>
          <w:tcPr>
            <w:tcW w:w="160" w:type="dxa"/>
            <w:vAlign w:val="bottom"/>
            <w:shd w:val="clear" w:color="auto" w:fill="E3F3EE"/>
          </w:tcPr>
          <w:p>
            <w:pPr>
              <w:ind w:left="100"/>
              <w:spacing w:after="0"/>
              <w:rPr>
                <w:sz w:val="20"/>
                <w:szCs w:val="20"/>
                <w:color w:val="auto"/>
              </w:rPr>
            </w:pPr>
            <w:r>
              <w:rPr>
                <w:rFonts w:ascii="Arial" w:cs="Arial" w:eastAsia="Arial" w:hAnsi="Arial"/>
                <w:sz w:val="5"/>
                <w:szCs w:val="5"/>
                <w:b w:val="1"/>
                <w:bCs w:val="1"/>
                <w:color w:val="auto"/>
                <w:w w:val="79"/>
              </w:rPr>
              <w:t> </w:t>
            </w:r>
          </w:p>
        </w:tc>
        <w:tc>
          <w:tcPr>
            <w:tcW w:w="2500" w:type="dxa"/>
            <w:vAlign w:val="bottom"/>
            <w:gridSpan w:val="2"/>
            <w:shd w:val="clear" w:color="auto" w:fill="E3F3EE"/>
          </w:tcPr>
          <w:p>
            <w:pPr>
              <w:jc w:val="right"/>
              <w:ind w:right="241"/>
              <w:spacing w:after="0"/>
              <w:rPr>
                <w:sz w:val="20"/>
                <w:szCs w:val="20"/>
                <w:color w:val="auto"/>
              </w:rPr>
            </w:pPr>
            <w:r>
              <w:rPr>
                <w:rFonts w:ascii="Arial" w:cs="Arial" w:eastAsia="Arial" w:hAnsi="Arial"/>
                <w:sz w:val="16"/>
                <w:szCs w:val="16"/>
                <w:b w:val="1"/>
                <w:bCs w:val="1"/>
                <w:color w:val="auto"/>
              </w:rPr>
              <w:t>  Year ended December 31,</w:t>
            </w:r>
          </w:p>
        </w:tc>
      </w:tr>
      <w:tr>
        <w:trPr>
          <w:trHeight w:val="192"/>
        </w:trPr>
        <w:tc>
          <w:tcPr>
            <w:tcW w:w="5660" w:type="dxa"/>
            <w:vAlign w:val="bottom"/>
            <w:tcBorders>
              <w:bottom w:val="single" w:sz="8" w:color="D64000"/>
            </w:tcBorders>
            <w:shd w:val="clear" w:color="auto" w:fill="1F473D"/>
          </w:tcPr>
          <w:p>
            <w:pPr>
              <w:spacing w:after="0"/>
              <w:rPr>
                <w:sz w:val="16"/>
                <w:szCs w:val="16"/>
                <w:color w:val="auto"/>
              </w:rPr>
            </w:pPr>
          </w:p>
        </w:tc>
        <w:tc>
          <w:tcPr>
            <w:tcW w:w="1100" w:type="dxa"/>
            <w:vAlign w:val="bottom"/>
            <w:tcBorders>
              <w:bottom w:val="single" w:sz="8" w:color="D64000"/>
            </w:tcBorders>
            <w:shd w:val="clear" w:color="auto" w:fill="1F473D"/>
          </w:tcPr>
          <w:p>
            <w:pPr>
              <w:ind w:left="800"/>
              <w:spacing w:after="0"/>
              <w:rPr>
                <w:sz w:val="20"/>
                <w:szCs w:val="20"/>
                <w:color w:val="auto"/>
              </w:rPr>
            </w:pPr>
            <w:r>
              <w:rPr>
                <w:rFonts w:ascii="Arial" w:cs="Arial" w:eastAsia="Arial" w:hAnsi="Arial"/>
                <w:sz w:val="16"/>
                <w:szCs w:val="16"/>
                <w:b w:val="1"/>
                <w:bCs w:val="1"/>
                <w:color w:val="FFFFFF"/>
              </w:rPr>
              <w:t xml:space="preserve">    </w:t>
            </w:r>
          </w:p>
        </w:tc>
        <w:tc>
          <w:tcPr>
            <w:tcW w:w="140" w:type="dxa"/>
            <w:vAlign w:val="bottom"/>
            <w:tcBorders>
              <w:bottom w:val="single" w:sz="8" w:color="D64000"/>
            </w:tcBorders>
            <w:shd w:val="clear" w:color="auto" w:fill="1F473D"/>
          </w:tcPr>
          <w:p>
            <w:pPr>
              <w:ind w:left="20"/>
              <w:spacing w:after="0"/>
              <w:rPr>
                <w:sz w:val="20"/>
                <w:szCs w:val="20"/>
                <w:color w:val="auto"/>
              </w:rPr>
            </w:pPr>
            <w:r>
              <w:rPr>
                <w:rFonts w:ascii="Arial" w:cs="Arial" w:eastAsia="Arial" w:hAnsi="Arial"/>
                <w:sz w:val="14"/>
                <w:szCs w:val="14"/>
                <w:b w:val="1"/>
                <w:bCs w:val="1"/>
                <w:color w:val="FFFFFF"/>
                <w:w w:val="71"/>
              </w:rPr>
              <w:t> </w:t>
            </w:r>
          </w:p>
        </w:tc>
        <w:tc>
          <w:tcPr>
            <w:tcW w:w="160" w:type="dxa"/>
            <w:vAlign w:val="bottom"/>
            <w:tcBorders>
              <w:bottom w:val="single" w:sz="8" w:color="D64000"/>
            </w:tcBorders>
            <w:shd w:val="clear" w:color="auto" w:fill="1F473D"/>
          </w:tcPr>
          <w:p>
            <w:pPr>
              <w:ind w:left="20"/>
              <w:spacing w:after="0"/>
              <w:rPr>
                <w:sz w:val="20"/>
                <w:szCs w:val="20"/>
                <w:color w:val="auto"/>
              </w:rPr>
            </w:pPr>
            <w:r>
              <w:rPr>
                <w:rFonts w:ascii="Arial" w:cs="Arial" w:eastAsia="Arial" w:hAnsi="Arial"/>
                <w:sz w:val="16"/>
                <w:szCs w:val="16"/>
                <w:b w:val="1"/>
                <w:bCs w:val="1"/>
                <w:color w:val="FFFFFF"/>
                <w:w w:val="74"/>
              </w:rPr>
              <w:t> </w:t>
            </w:r>
          </w:p>
        </w:tc>
        <w:tc>
          <w:tcPr>
            <w:tcW w:w="160" w:type="dxa"/>
            <w:vAlign w:val="bottom"/>
            <w:tcBorders>
              <w:bottom w:val="single" w:sz="8" w:color="D64000"/>
            </w:tcBorders>
            <w:shd w:val="clear" w:color="auto" w:fill="1F473D"/>
          </w:tcPr>
          <w:p>
            <w:pPr>
              <w:ind w:left="20"/>
              <w:spacing w:after="0"/>
              <w:rPr>
                <w:sz w:val="20"/>
                <w:szCs w:val="20"/>
                <w:color w:val="auto"/>
              </w:rPr>
            </w:pPr>
            <w:r>
              <w:rPr>
                <w:rFonts w:ascii="Arial" w:cs="Arial" w:eastAsia="Arial" w:hAnsi="Arial"/>
                <w:sz w:val="16"/>
                <w:szCs w:val="16"/>
                <w:b w:val="1"/>
                <w:bCs w:val="1"/>
                <w:color w:val="FFFFFF"/>
                <w:w w:val="74"/>
              </w:rPr>
              <w:t> </w:t>
            </w:r>
          </w:p>
        </w:tc>
        <w:tc>
          <w:tcPr>
            <w:tcW w:w="900" w:type="dxa"/>
            <w:vAlign w:val="bottom"/>
            <w:tcBorders>
              <w:bottom w:val="single" w:sz="8" w:color="D64000"/>
            </w:tcBorders>
            <w:shd w:val="clear" w:color="auto" w:fill="1F473D"/>
          </w:tcPr>
          <w:p>
            <w:pPr>
              <w:jc w:val="right"/>
              <w:ind w:right="441"/>
              <w:spacing w:after="0"/>
              <w:rPr>
                <w:sz w:val="20"/>
                <w:szCs w:val="20"/>
                <w:color w:val="auto"/>
              </w:rPr>
            </w:pPr>
            <w:r>
              <w:rPr>
                <w:rFonts w:ascii="Arial" w:cs="Arial" w:eastAsia="Arial" w:hAnsi="Arial"/>
                <w:sz w:val="16"/>
                <w:szCs w:val="16"/>
                <w:b w:val="1"/>
                <w:bCs w:val="1"/>
                <w:color w:val="FFFFFF"/>
              </w:rPr>
              <w:t>2024</w:t>
            </w:r>
          </w:p>
        </w:tc>
        <w:tc>
          <w:tcPr>
            <w:tcW w:w="160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               2023</w:t>
            </w:r>
          </w:p>
        </w:tc>
      </w:tr>
      <w:tr>
        <w:trPr>
          <w:trHeight w:val="171"/>
        </w:trPr>
        <w:tc>
          <w:tcPr>
            <w:tcW w:w="6760" w:type="dxa"/>
            <w:vAlign w:val="bottom"/>
            <w:gridSpan w:val="2"/>
          </w:tcPr>
          <w:p>
            <w:pPr>
              <w:spacing w:after="0" w:line="171" w:lineRule="exact"/>
              <w:rPr>
                <w:sz w:val="20"/>
                <w:szCs w:val="20"/>
                <w:color w:val="auto"/>
              </w:rPr>
            </w:pPr>
            <w:r>
              <w:rPr>
                <w:rFonts w:ascii="Arial" w:cs="Arial" w:eastAsia="Arial" w:hAnsi="Arial"/>
                <w:sz w:val="16"/>
                <w:szCs w:val="16"/>
                <w:color w:val="auto"/>
              </w:rPr>
              <w:t> Trade and other receivables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361"/>
              <w:spacing w:after="0" w:line="171" w:lineRule="exact"/>
              <w:rPr>
                <w:sz w:val="20"/>
                <w:szCs w:val="20"/>
                <w:color w:val="auto"/>
              </w:rPr>
            </w:pPr>
            <w:r>
              <w:rPr>
                <w:rFonts w:ascii="Arial" w:cs="Arial" w:eastAsia="Arial" w:hAnsi="Arial"/>
                <w:sz w:val="16"/>
                <w:szCs w:val="16"/>
                <w:b w:val="1"/>
                <w:bCs w:val="1"/>
                <w:color w:val="auto"/>
              </w:rPr>
              <w:t>26</w:t>
            </w:r>
          </w:p>
        </w:tc>
        <w:tc>
          <w:tcPr>
            <w:tcW w:w="1600" w:type="dxa"/>
            <w:vAlign w:val="bottom"/>
          </w:tcPr>
          <w:p>
            <w:pPr>
              <w:jc w:val="right"/>
              <w:spacing w:after="0" w:line="171" w:lineRule="exact"/>
              <w:rPr>
                <w:sz w:val="20"/>
                <w:szCs w:val="20"/>
                <w:color w:val="auto"/>
              </w:rPr>
            </w:pPr>
            <w:r>
              <w:rPr>
                <w:rFonts w:ascii="Arial" w:cs="Arial" w:eastAsia="Arial" w:hAnsi="Arial"/>
                <w:sz w:val="16"/>
                <w:szCs w:val="16"/>
                <w:color w:val="auto"/>
              </w:rPr>
              <w:t>(83)</w:t>
            </w:r>
          </w:p>
        </w:tc>
      </w:tr>
      <w:tr>
        <w:trPr>
          <w:trHeight w:val="185"/>
        </w:trPr>
        <w:tc>
          <w:tcPr>
            <w:tcW w:w="6760" w:type="dxa"/>
            <w:vAlign w:val="bottom"/>
            <w:gridSpan w:val="2"/>
          </w:tcPr>
          <w:p>
            <w:pPr>
              <w:spacing w:after="0"/>
              <w:rPr>
                <w:sz w:val="20"/>
                <w:szCs w:val="20"/>
                <w:color w:val="auto"/>
              </w:rPr>
            </w:pPr>
            <w:r>
              <w:rPr>
                <w:rFonts w:ascii="Arial" w:cs="Arial" w:eastAsia="Arial" w:hAnsi="Arial"/>
                <w:sz w:val="16"/>
                <w:szCs w:val="16"/>
                <w:color w:val="auto"/>
              </w:rPr>
              <w:t> Prepaid expenses and other current assets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361"/>
              <w:spacing w:after="0"/>
              <w:rPr>
                <w:sz w:val="20"/>
                <w:szCs w:val="20"/>
                <w:color w:val="auto"/>
              </w:rPr>
            </w:pPr>
            <w:r>
              <w:rPr>
                <w:rFonts w:ascii="Arial" w:cs="Arial" w:eastAsia="Arial" w:hAnsi="Arial"/>
                <w:sz w:val="16"/>
                <w:szCs w:val="16"/>
                <w:b w:val="1"/>
                <w:bCs w:val="1"/>
                <w:color w:val="auto"/>
              </w:rPr>
              <w:t>2</w:t>
            </w:r>
          </w:p>
        </w:tc>
        <w:tc>
          <w:tcPr>
            <w:tcW w:w="160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185"/>
        </w:trPr>
        <w:tc>
          <w:tcPr>
            <w:tcW w:w="6760" w:type="dxa"/>
            <w:vAlign w:val="bottom"/>
            <w:gridSpan w:val="2"/>
          </w:tcPr>
          <w:p>
            <w:pPr>
              <w:spacing w:after="0"/>
              <w:rPr>
                <w:sz w:val="20"/>
                <w:szCs w:val="20"/>
                <w:color w:val="auto"/>
              </w:rPr>
            </w:pPr>
            <w:r>
              <w:rPr>
                <w:rFonts w:ascii="Arial" w:cs="Arial" w:eastAsia="Arial" w:hAnsi="Arial"/>
                <w:sz w:val="16"/>
                <w:szCs w:val="16"/>
                <w:color w:val="auto"/>
              </w:rPr>
              <w:t> Payables, accruals and provisions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361"/>
              <w:spacing w:after="0"/>
              <w:rPr>
                <w:sz w:val="20"/>
                <w:szCs w:val="20"/>
                <w:color w:val="auto"/>
              </w:rPr>
            </w:pPr>
            <w:r>
              <w:rPr>
                <w:rFonts w:ascii="Arial" w:cs="Arial" w:eastAsia="Arial" w:hAnsi="Arial"/>
                <w:sz w:val="16"/>
                <w:szCs w:val="16"/>
                <w:b w:val="1"/>
                <w:bCs w:val="1"/>
                <w:color w:val="auto"/>
              </w:rPr>
              <w:t>(144)</w:t>
            </w:r>
          </w:p>
        </w:tc>
        <w:tc>
          <w:tcPr>
            <w:tcW w:w="160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186"/>
        </w:trPr>
        <w:tc>
          <w:tcPr>
            <w:tcW w:w="6760" w:type="dxa"/>
            <w:vAlign w:val="bottom"/>
            <w:gridSpan w:val="2"/>
          </w:tcPr>
          <w:p>
            <w:pPr>
              <w:spacing w:after="0"/>
              <w:rPr>
                <w:sz w:val="20"/>
                <w:szCs w:val="20"/>
                <w:color w:val="auto"/>
              </w:rPr>
            </w:pPr>
            <w:r>
              <w:rPr>
                <w:rFonts w:ascii="Arial" w:cs="Arial" w:eastAsia="Arial" w:hAnsi="Arial"/>
                <w:sz w:val="16"/>
                <w:szCs w:val="16"/>
                <w:color w:val="auto"/>
              </w:rPr>
              <w:t> Deferred revenue</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361"/>
              <w:spacing w:after="0"/>
              <w:rPr>
                <w:sz w:val="20"/>
                <w:szCs w:val="20"/>
                <w:color w:val="auto"/>
              </w:rPr>
            </w:pPr>
            <w:r>
              <w:rPr>
                <w:rFonts w:ascii="Arial" w:cs="Arial" w:eastAsia="Arial" w:hAnsi="Arial"/>
                <w:sz w:val="16"/>
                <w:szCs w:val="16"/>
                <w:b w:val="1"/>
                <w:bCs w:val="1"/>
                <w:color w:val="auto"/>
              </w:rPr>
              <w:t>64</w:t>
            </w:r>
          </w:p>
        </w:tc>
        <w:tc>
          <w:tcPr>
            <w:tcW w:w="160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185"/>
        </w:trPr>
        <w:tc>
          <w:tcPr>
            <w:tcW w:w="6760" w:type="dxa"/>
            <w:vAlign w:val="bottom"/>
            <w:gridSpan w:val="2"/>
          </w:tcPr>
          <w:p>
            <w:pPr>
              <w:spacing w:after="0" w:line="185" w:lineRule="exact"/>
              <w:rPr>
                <w:sz w:val="20"/>
                <w:szCs w:val="20"/>
                <w:color w:val="auto"/>
              </w:rPr>
            </w:pPr>
            <w:r>
              <w:rPr>
                <w:rFonts w:ascii="Arial" w:cs="Arial" w:eastAsia="Arial" w:hAnsi="Arial"/>
                <w:sz w:val="16"/>
                <w:szCs w:val="16"/>
                <w:color w:val="auto"/>
              </w:rPr>
              <w:t> Income taxes</w:t>
            </w:r>
            <w:r>
              <w:rPr>
                <w:rFonts w:ascii="Arial" w:cs="Arial" w:eastAsia="Arial" w:hAnsi="Arial"/>
                <w:sz w:val="19"/>
                <w:szCs w:val="19"/>
                <w:color w:val="auto"/>
                <w:vertAlign w:val="superscript"/>
              </w:rPr>
              <w:t>(1)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361"/>
              <w:spacing w:after="0"/>
              <w:rPr>
                <w:sz w:val="20"/>
                <w:szCs w:val="20"/>
                <w:color w:val="auto"/>
              </w:rPr>
            </w:pPr>
            <w:r>
              <w:rPr>
                <w:rFonts w:ascii="Arial" w:cs="Arial" w:eastAsia="Arial" w:hAnsi="Arial"/>
                <w:sz w:val="16"/>
                <w:szCs w:val="16"/>
                <w:b w:val="1"/>
                <w:bCs w:val="1"/>
                <w:color w:val="auto"/>
              </w:rPr>
              <w:t>283</w:t>
            </w:r>
          </w:p>
        </w:tc>
        <w:tc>
          <w:tcPr>
            <w:tcW w:w="1600" w:type="dxa"/>
            <w:vAlign w:val="bottom"/>
          </w:tcPr>
          <w:p>
            <w:pPr>
              <w:jc w:val="right"/>
              <w:spacing w:after="0"/>
              <w:rPr>
                <w:sz w:val="20"/>
                <w:szCs w:val="20"/>
                <w:color w:val="auto"/>
              </w:rPr>
            </w:pPr>
            <w:r>
              <w:rPr>
                <w:rFonts w:ascii="Arial" w:cs="Arial" w:eastAsia="Arial" w:hAnsi="Arial"/>
                <w:sz w:val="16"/>
                <w:szCs w:val="16"/>
                <w:color w:val="auto"/>
              </w:rPr>
              <w:t>642</w:t>
            </w:r>
          </w:p>
        </w:tc>
      </w:tr>
      <w:tr>
        <w:trPr>
          <w:trHeight w:val="200"/>
        </w:trPr>
        <w:tc>
          <w:tcPr>
            <w:tcW w:w="676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color w:val="auto"/>
              </w:rPr>
              <w:t> Other</w:t>
            </w:r>
          </w:p>
        </w:tc>
        <w:tc>
          <w:tcPr>
            <w:tcW w:w="140" w:type="dxa"/>
            <w:vAlign w:val="bottom"/>
            <w:tcBorders>
              <w:bottom w:val="single" w:sz="8" w:color="B2B2B2"/>
            </w:tcBorders>
          </w:tcPr>
          <w:p>
            <w:pPr>
              <w:spacing w:after="0"/>
              <w:rPr>
                <w:sz w:val="17"/>
                <w:szCs w:val="17"/>
                <w:color w:val="auto"/>
              </w:rPr>
            </w:pPr>
          </w:p>
        </w:tc>
        <w:tc>
          <w:tcPr>
            <w:tcW w:w="160" w:type="dxa"/>
            <w:vAlign w:val="bottom"/>
            <w:tcBorders>
              <w:bottom w:val="single" w:sz="8" w:color="B2B2B2"/>
            </w:tcBorders>
          </w:tcPr>
          <w:p>
            <w:pPr>
              <w:spacing w:after="0"/>
              <w:rPr>
                <w:sz w:val="17"/>
                <w:szCs w:val="17"/>
                <w:color w:val="auto"/>
              </w:rPr>
            </w:pPr>
          </w:p>
        </w:tc>
        <w:tc>
          <w:tcPr>
            <w:tcW w:w="160" w:type="dxa"/>
            <w:vAlign w:val="bottom"/>
            <w:tcBorders>
              <w:bottom w:val="single" w:sz="8" w:color="B2B2B2"/>
            </w:tcBorders>
          </w:tcPr>
          <w:p>
            <w:pPr>
              <w:spacing w:after="0"/>
              <w:rPr>
                <w:sz w:val="17"/>
                <w:szCs w:val="17"/>
                <w:color w:val="auto"/>
              </w:rPr>
            </w:pPr>
          </w:p>
        </w:tc>
        <w:tc>
          <w:tcPr>
            <w:tcW w:w="900" w:type="dxa"/>
            <w:vAlign w:val="bottom"/>
            <w:tcBorders>
              <w:bottom w:val="single" w:sz="8" w:color="B2B2B2"/>
            </w:tcBorders>
          </w:tcPr>
          <w:p>
            <w:pPr>
              <w:jc w:val="right"/>
              <w:ind w:right="361"/>
              <w:spacing w:after="0"/>
              <w:rPr>
                <w:sz w:val="20"/>
                <w:szCs w:val="20"/>
                <w:color w:val="auto"/>
              </w:rPr>
            </w:pPr>
            <w:r>
              <w:rPr>
                <w:rFonts w:ascii="Arial" w:cs="Arial" w:eastAsia="Arial" w:hAnsi="Arial"/>
                <w:sz w:val="16"/>
                <w:szCs w:val="16"/>
                <w:b w:val="1"/>
                <w:bCs w:val="1"/>
                <w:color w:val="auto"/>
              </w:rPr>
              <w:t>(55)</w:t>
            </w:r>
          </w:p>
        </w:tc>
        <w:tc>
          <w:tcPr>
            <w:tcW w:w="16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(61)</w:t>
            </w:r>
          </w:p>
        </w:tc>
      </w:tr>
      <w:tr>
        <w:trPr>
          <w:trHeight w:val="185"/>
        </w:trPr>
        <w:tc>
          <w:tcPr>
            <w:tcW w:w="5660" w:type="dxa"/>
            <w:vAlign w:val="bottom"/>
            <w:tcBorders>
              <w:bottom w:val="single" w:sz="8" w:color="D64000"/>
            </w:tcBorders>
          </w:tcPr>
          <w:p>
            <w:pPr>
              <w:spacing w:after="0"/>
              <w:rPr>
                <w:sz w:val="16"/>
                <w:szCs w:val="16"/>
                <w:color w:val="auto"/>
              </w:rPr>
            </w:pPr>
          </w:p>
        </w:tc>
        <w:tc>
          <w:tcPr>
            <w:tcW w:w="1100" w:type="dxa"/>
            <w:vAlign w:val="bottom"/>
            <w:tcBorders>
              <w:bottom w:val="single" w:sz="8" w:color="D64000"/>
            </w:tcBorders>
          </w:tcPr>
          <w:p>
            <w:pPr>
              <w:spacing w:after="0"/>
              <w:rPr>
                <w:sz w:val="16"/>
                <w:szCs w:val="16"/>
                <w:color w:val="auto"/>
              </w:rPr>
            </w:pPr>
          </w:p>
        </w:tc>
        <w:tc>
          <w:tcPr>
            <w:tcW w:w="140" w:type="dxa"/>
            <w:vAlign w:val="bottom"/>
            <w:tcBorders>
              <w:bottom w:val="single" w:sz="8" w:color="D64000"/>
            </w:tcBorders>
          </w:tcPr>
          <w:p>
            <w:pPr>
              <w:spacing w:after="0"/>
              <w:rPr>
                <w:sz w:val="16"/>
                <w:szCs w:val="16"/>
                <w:color w:val="auto"/>
              </w:rPr>
            </w:pPr>
          </w:p>
        </w:tc>
        <w:tc>
          <w:tcPr>
            <w:tcW w:w="160" w:type="dxa"/>
            <w:vAlign w:val="bottom"/>
            <w:tcBorders>
              <w:bottom w:val="single" w:sz="8" w:color="D64000"/>
            </w:tcBorders>
          </w:tcPr>
          <w:p>
            <w:pPr>
              <w:spacing w:after="0"/>
              <w:rPr>
                <w:sz w:val="16"/>
                <w:szCs w:val="16"/>
                <w:color w:val="auto"/>
              </w:rPr>
            </w:pPr>
          </w:p>
        </w:tc>
        <w:tc>
          <w:tcPr>
            <w:tcW w:w="160" w:type="dxa"/>
            <w:vAlign w:val="bottom"/>
            <w:tcBorders>
              <w:bottom w:val="single" w:sz="8" w:color="D64000"/>
            </w:tcBorders>
          </w:tcPr>
          <w:p>
            <w:pPr>
              <w:spacing w:after="0"/>
              <w:rPr>
                <w:sz w:val="16"/>
                <w:szCs w:val="16"/>
                <w:color w:val="auto"/>
              </w:rPr>
            </w:pPr>
          </w:p>
        </w:tc>
        <w:tc>
          <w:tcPr>
            <w:tcW w:w="900" w:type="dxa"/>
            <w:vAlign w:val="bottom"/>
            <w:tcBorders>
              <w:bottom w:val="single" w:sz="8" w:color="D64000"/>
            </w:tcBorders>
          </w:tcPr>
          <w:p>
            <w:pPr>
              <w:jc w:val="right"/>
              <w:ind w:right="361"/>
              <w:spacing w:after="0" w:line="179" w:lineRule="exact"/>
              <w:rPr>
                <w:sz w:val="20"/>
                <w:szCs w:val="20"/>
                <w:color w:val="auto"/>
              </w:rPr>
            </w:pPr>
            <w:r>
              <w:rPr>
                <w:rFonts w:ascii="Arial" w:cs="Arial" w:eastAsia="Arial" w:hAnsi="Arial"/>
                <w:sz w:val="16"/>
                <w:szCs w:val="16"/>
                <w:b w:val="1"/>
                <w:bCs w:val="1"/>
                <w:color w:val="auto"/>
              </w:rPr>
              <w:t>176</w:t>
            </w:r>
          </w:p>
        </w:tc>
        <w:tc>
          <w:tcPr>
            <w:tcW w:w="160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457</w:t>
            </w:r>
          </w:p>
        </w:tc>
      </w:tr>
    </w:tbl>
    <w:p>
      <w:pPr>
        <w:spacing w:after="0" w:line="110" w:lineRule="exact"/>
        <w:rPr>
          <w:sz w:val="20"/>
          <w:szCs w:val="20"/>
          <w:color w:val="auto"/>
        </w:rPr>
      </w:pPr>
    </w:p>
    <w:p>
      <w:pPr>
        <w:ind w:left="640" w:hanging="422"/>
        <w:spacing w:after="0"/>
        <w:tabs>
          <w:tab w:leader="none" w:pos="6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Both periods include current tax liabilities that were recorded on the sale of LSEG shares (see note 9), for which the tax payments are included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105410</wp:posOffset>
            </wp:positionV>
            <wp:extent cx="686562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64" w:lineRule="exact"/>
        <w:rPr>
          <w:sz w:val="20"/>
          <w:szCs w:val="20"/>
          <w:color w:val="auto"/>
        </w:rPr>
      </w:pPr>
    </w:p>
    <w:p>
      <w:pPr>
        <w:ind w:left="220"/>
        <w:spacing w:after="0"/>
        <w:tabs>
          <w:tab w:leader="none" w:pos="1030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6"/>
          <w:szCs w:val="16"/>
          <w:color w:val="auto"/>
        </w:rPr>
        <w:t>Page 135</w:t>
      </w:r>
    </w:p>
    <w:p>
      <w:pPr>
        <w:sectPr>
          <w:pgSz w:w="11900" w:h="16838" w:orient="portrait"/>
          <w:cols w:equalWidth="0" w:num="1">
            <w:col w:w="11040"/>
          </w:cols>
          <w:pgMar w:left="320" w:top="477" w:right="5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Details of income taxes paid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159385</wp:posOffset>
            </wp:positionV>
            <wp:extent cx="617537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5660" w:type="dxa"/>
            <w:vAlign w:val="bottom"/>
          </w:tcPr>
          <w:p>
            <w:pPr>
              <w:spacing w:after="0"/>
              <w:rPr>
                <w:sz w:val="17"/>
                <w:szCs w:val="17"/>
                <w:color w:val="auto"/>
              </w:rPr>
            </w:pPr>
          </w:p>
        </w:tc>
        <w:tc>
          <w:tcPr>
            <w:tcW w:w="1100" w:type="dxa"/>
            <w:vAlign w:val="bottom"/>
            <w:shd w:val="clear" w:color="auto" w:fill="E3F3EE"/>
          </w:tcPr>
          <w:p>
            <w:pPr>
              <w:ind w:left="1020"/>
              <w:spacing w:after="0"/>
              <w:rPr>
                <w:sz w:val="20"/>
                <w:szCs w:val="20"/>
                <w:color w:val="auto"/>
              </w:rPr>
            </w:pPr>
            <w:r>
              <w:rPr>
                <w:rFonts w:ascii="Arial" w:cs="Arial" w:eastAsia="Arial" w:hAnsi="Arial"/>
                <w:sz w:val="8"/>
                <w:szCs w:val="8"/>
                <w:b w:val="1"/>
                <w:bCs w:val="1"/>
                <w:color w:val="auto"/>
                <w:w w:val="74"/>
              </w:rPr>
              <w:t> </w:t>
            </w:r>
          </w:p>
        </w:tc>
        <w:tc>
          <w:tcPr>
            <w:tcW w:w="140" w:type="dxa"/>
            <w:vAlign w:val="bottom"/>
            <w:shd w:val="clear" w:color="auto" w:fill="E3F3EE"/>
          </w:tcPr>
          <w:p>
            <w:pPr>
              <w:ind w:left="80"/>
              <w:spacing w:after="0"/>
              <w:rPr>
                <w:sz w:val="20"/>
                <w:szCs w:val="20"/>
                <w:color w:val="auto"/>
              </w:rPr>
            </w:pPr>
            <w:r>
              <w:rPr>
                <w:rFonts w:ascii="Arial" w:cs="Arial" w:eastAsia="Arial" w:hAnsi="Arial"/>
                <w:sz w:val="5"/>
                <w:szCs w:val="5"/>
                <w:b w:val="1"/>
                <w:bCs w:val="1"/>
                <w:color w:val="auto"/>
                <w:w w:val="79"/>
              </w:rPr>
              <w:t> </w:t>
            </w:r>
          </w:p>
        </w:tc>
        <w:tc>
          <w:tcPr>
            <w:tcW w:w="160" w:type="dxa"/>
            <w:vAlign w:val="bottom"/>
            <w:shd w:val="clear" w:color="auto" w:fill="E3F3EE"/>
          </w:tcPr>
          <w:p>
            <w:pPr>
              <w:ind w:left="100"/>
              <w:spacing w:after="0"/>
              <w:rPr>
                <w:sz w:val="20"/>
                <w:szCs w:val="20"/>
                <w:color w:val="auto"/>
              </w:rPr>
            </w:pPr>
            <w:r>
              <w:rPr>
                <w:rFonts w:ascii="Arial" w:cs="Arial" w:eastAsia="Arial" w:hAnsi="Arial"/>
                <w:sz w:val="5"/>
                <w:szCs w:val="5"/>
                <w:b w:val="1"/>
                <w:bCs w:val="1"/>
                <w:color w:val="auto"/>
                <w:w w:val="79"/>
              </w:rPr>
              <w:t> </w:t>
            </w:r>
          </w:p>
        </w:tc>
        <w:tc>
          <w:tcPr>
            <w:tcW w:w="160" w:type="dxa"/>
            <w:vAlign w:val="bottom"/>
            <w:shd w:val="clear" w:color="auto" w:fill="E3F3EE"/>
          </w:tcPr>
          <w:p>
            <w:pPr>
              <w:ind w:left="100"/>
              <w:spacing w:after="0"/>
              <w:rPr>
                <w:sz w:val="20"/>
                <w:szCs w:val="20"/>
                <w:color w:val="auto"/>
              </w:rPr>
            </w:pPr>
            <w:r>
              <w:rPr>
                <w:rFonts w:ascii="Arial" w:cs="Arial" w:eastAsia="Arial" w:hAnsi="Arial"/>
                <w:sz w:val="5"/>
                <w:szCs w:val="5"/>
                <w:b w:val="1"/>
                <w:bCs w:val="1"/>
                <w:color w:val="auto"/>
                <w:w w:val="79"/>
              </w:rPr>
              <w:t> </w:t>
            </w:r>
          </w:p>
        </w:tc>
        <w:tc>
          <w:tcPr>
            <w:tcW w:w="2500" w:type="dxa"/>
            <w:vAlign w:val="bottom"/>
            <w:gridSpan w:val="2"/>
            <w:shd w:val="clear" w:color="auto" w:fill="E3F3EE"/>
          </w:tcPr>
          <w:p>
            <w:pPr>
              <w:jc w:val="right"/>
              <w:ind w:right="241"/>
              <w:spacing w:after="0"/>
              <w:rPr>
                <w:sz w:val="20"/>
                <w:szCs w:val="20"/>
                <w:color w:val="auto"/>
              </w:rPr>
            </w:pPr>
            <w:r>
              <w:rPr>
                <w:rFonts w:ascii="Arial" w:cs="Arial" w:eastAsia="Arial" w:hAnsi="Arial"/>
                <w:sz w:val="16"/>
                <w:szCs w:val="16"/>
                <w:b w:val="1"/>
                <w:bCs w:val="1"/>
                <w:color w:val="auto"/>
              </w:rPr>
              <w:t>  Year ended December 31,</w:t>
            </w:r>
          </w:p>
        </w:tc>
      </w:tr>
      <w:tr>
        <w:trPr>
          <w:trHeight w:val="192"/>
        </w:trPr>
        <w:tc>
          <w:tcPr>
            <w:tcW w:w="5660" w:type="dxa"/>
            <w:vAlign w:val="bottom"/>
            <w:tcBorders>
              <w:bottom w:val="single" w:sz="8" w:color="D64000"/>
            </w:tcBorders>
            <w:shd w:val="clear" w:color="auto" w:fill="1F473D"/>
          </w:tcPr>
          <w:p>
            <w:pPr>
              <w:spacing w:after="0"/>
              <w:rPr>
                <w:sz w:val="16"/>
                <w:szCs w:val="16"/>
                <w:color w:val="auto"/>
              </w:rPr>
            </w:pPr>
          </w:p>
        </w:tc>
        <w:tc>
          <w:tcPr>
            <w:tcW w:w="1100" w:type="dxa"/>
            <w:vAlign w:val="bottom"/>
            <w:tcBorders>
              <w:bottom w:val="single" w:sz="8" w:color="D64000"/>
            </w:tcBorders>
            <w:shd w:val="clear" w:color="auto" w:fill="1F473D"/>
          </w:tcPr>
          <w:p>
            <w:pPr>
              <w:ind w:left="800"/>
              <w:spacing w:after="0"/>
              <w:rPr>
                <w:sz w:val="20"/>
                <w:szCs w:val="20"/>
                <w:color w:val="auto"/>
              </w:rPr>
            </w:pPr>
            <w:r>
              <w:rPr>
                <w:rFonts w:ascii="Arial" w:cs="Arial" w:eastAsia="Arial" w:hAnsi="Arial"/>
                <w:sz w:val="16"/>
                <w:szCs w:val="16"/>
                <w:b w:val="1"/>
                <w:bCs w:val="1"/>
                <w:color w:val="FFFFFF"/>
              </w:rPr>
              <w:t xml:space="preserve">    </w:t>
            </w:r>
          </w:p>
        </w:tc>
        <w:tc>
          <w:tcPr>
            <w:tcW w:w="140" w:type="dxa"/>
            <w:vAlign w:val="bottom"/>
            <w:tcBorders>
              <w:bottom w:val="single" w:sz="8" w:color="D64000"/>
            </w:tcBorders>
            <w:shd w:val="clear" w:color="auto" w:fill="1F473D"/>
          </w:tcPr>
          <w:p>
            <w:pPr>
              <w:ind w:left="20"/>
              <w:spacing w:after="0"/>
              <w:rPr>
                <w:sz w:val="20"/>
                <w:szCs w:val="20"/>
                <w:color w:val="auto"/>
              </w:rPr>
            </w:pPr>
            <w:r>
              <w:rPr>
                <w:rFonts w:ascii="Arial" w:cs="Arial" w:eastAsia="Arial" w:hAnsi="Arial"/>
                <w:sz w:val="14"/>
                <w:szCs w:val="14"/>
                <w:b w:val="1"/>
                <w:bCs w:val="1"/>
                <w:color w:val="FFFFFF"/>
                <w:w w:val="71"/>
              </w:rPr>
              <w:t> </w:t>
            </w:r>
          </w:p>
        </w:tc>
        <w:tc>
          <w:tcPr>
            <w:tcW w:w="160" w:type="dxa"/>
            <w:vAlign w:val="bottom"/>
            <w:tcBorders>
              <w:bottom w:val="single" w:sz="8" w:color="D64000"/>
            </w:tcBorders>
            <w:shd w:val="clear" w:color="auto" w:fill="1F473D"/>
          </w:tcPr>
          <w:p>
            <w:pPr>
              <w:ind w:left="20"/>
              <w:spacing w:after="0"/>
              <w:rPr>
                <w:sz w:val="20"/>
                <w:szCs w:val="20"/>
                <w:color w:val="auto"/>
              </w:rPr>
            </w:pPr>
            <w:r>
              <w:rPr>
                <w:rFonts w:ascii="Arial" w:cs="Arial" w:eastAsia="Arial" w:hAnsi="Arial"/>
                <w:sz w:val="16"/>
                <w:szCs w:val="16"/>
                <w:b w:val="1"/>
                <w:bCs w:val="1"/>
                <w:color w:val="FFFFFF"/>
                <w:w w:val="74"/>
              </w:rPr>
              <w:t> </w:t>
            </w:r>
          </w:p>
        </w:tc>
        <w:tc>
          <w:tcPr>
            <w:tcW w:w="160" w:type="dxa"/>
            <w:vAlign w:val="bottom"/>
            <w:tcBorders>
              <w:bottom w:val="single" w:sz="8" w:color="D64000"/>
            </w:tcBorders>
            <w:shd w:val="clear" w:color="auto" w:fill="1F473D"/>
          </w:tcPr>
          <w:p>
            <w:pPr>
              <w:ind w:left="20"/>
              <w:spacing w:after="0"/>
              <w:rPr>
                <w:sz w:val="20"/>
                <w:szCs w:val="20"/>
                <w:color w:val="auto"/>
              </w:rPr>
            </w:pPr>
            <w:r>
              <w:rPr>
                <w:rFonts w:ascii="Arial" w:cs="Arial" w:eastAsia="Arial" w:hAnsi="Arial"/>
                <w:sz w:val="16"/>
                <w:szCs w:val="16"/>
                <w:b w:val="1"/>
                <w:bCs w:val="1"/>
                <w:color w:val="FFFFFF"/>
                <w:w w:val="74"/>
              </w:rPr>
              <w:t> </w:t>
            </w:r>
          </w:p>
        </w:tc>
        <w:tc>
          <w:tcPr>
            <w:tcW w:w="860" w:type="dxa"/>
            <w:vAlign w:val="bottom"/>
            <w:tcBorders>
              <w:bottom w:val="single" w:sz="8" w:color="D64000"/>
            </w:tcBorders>
            <w:shd w:val="clear" w:color="auto" w:fill="1F473D"/>
          </w:tcPr>
          <w:p>
            <w:pPr>
              <w:jc w:val="right"/>
              <w:ind w:right="401"/>
              <w:spacing w:after="0"/>
              <w:rPr>
                <w:sz w:val="20"/>
                <w:szCs w:val="20"/>
                <w:color w:val="auto"/>
              </w:rPr>
            </w:pPr>
            <w:r>
              <w:rPr>
                <w:rFonts w:ascii="Arial" w:cs="Arial" w:eastAsia="Arial" w:hAnsi="Arial"/>
                <w:sz w:val="16"/>
                <w:szCs w:val="16"/>
                <w:b w:val="1"/>
                <w:bCs w:val="1"/>
                <w:color w:val="FFFFFF"/>
              </w:rPr>
              <w:t>2024</w:t>
            </w:r>
          </w:p>
        </w:tc>
        <w:tc>
          <w:tcPr>
            <w:tcW w:w="1640" w:type="dxa"/>
            <w:vAlign w:val="bottom"/>
            <w:tcBorders>
              <w:bottom w:val="single" w:sz="8" w:color="D64000"/>
            </w:tcBorders>
            <w:shd w:val="clear" w:color="auto" w:fill="1F473D"/>
          </w:tcPr>
          <w:p>
            <w:pPr>
              <w:jc w:val="right"/>
              <w:ind w:right="1"/>
              <w:spacing w:after="0"/>
              <w:rPr>
                <w:sz w:val="20"/>
                <w:szCs w:val="20"/>
                <w:color w:val="auto"/>
              </w:rPr>
            </w:pPr>
            <w:r>
              <w:rPr>
                <w:rFonts w:ascii="Arial" w:cs="Arial" w:eastAsia="Arial" w:hAnsi="Arial"/>
                <w:sz w:val="16"/>
                <w:szCs w:val="16"/>
                <w:color w:val="FFFFFF"/>
              </w:rPr>
              <w:t>               2023</w:t>
            </w:r>
          </w:p>
        </w:tc>
      </w:tr>
      <w:tr>
        <w:trPr>
          <w:trHeight w:val="171"/>
        </w:trPr>
        <w:tc>
          <w:tcPr>
            <w:tcW w:w="6760" w:type="dxa"/>
            <w:vAlign w:val="bottom"/>
            <w:gridSpan w:val="2"/>
          </w:tcPr>
          <w:p>
            <w:pPr>
              <w:spacing w:after="0" w:line="171" w:lineRule="exact"/>
              <w:rPr>
                <w:sz w:val="20"/>
                <w:szCs w:val="20"/>
                <w:color w:val="auto"/>
              </w:rPr>
            </w:pPr>
            <w:r>
              <w:rPr>
                <w:rFonts w:ascii="Arial" w:cs="Arial" w:eastAsia="Arial" w:hAnsi="Arial"/>
                <w:sz w:val="16"/>
                <w:szCs w:val="16"/>
                <w:color w:val="auto"/>
              </w:rPr>
              <w:t> Operating activities - continuing operations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321"/>
              <w:spacing w:after="0" w:line="171" w:lineRule="exact"/>
              <w:rPr>
                <w:sz w:val="20"/>
                <w:szCs w:val="20"/>
                <w:color w:val="auto"/>
              </w:rPr>
            </w:pPr>
            <w:r>
              <w:rPr>
                <w:rFonts w:ascii="Arial" w:cs="Arial" w:eastAsia="Arial" w:hAnsi="Arial"/>
                <w:sz w:val="16"/>
                <w:szCs w:val="16"/>
                <w:b w:val="1"/>
                <w:bCs w:val="1"/>
                <w:color w:val="auto"/>
              </w:rPr>
              <w:t>(234)</w:t>
            </w:r>
          </w:p>
        </w:tc>
        <w:tc>
          <w:tcPr>
            <w:tcW w:w="1640" w:type="dxa"/>
            <w:vAlign w:val="bottom"/>
          </w:tcPr>
          <w:p>
            <w:pPr>
              <w:jc w:val="right"/>
              <w:spacing w:after="0" w:line="171" w:lineRule="exact"/>
              <w:rPr>
                <w:sz w:val="20"/>
                <w:szCs w:val="20"/>
                <w:color w:val="auto"/>
              </w:rPr>
            </w:pPr>
            <w:r>
              <w:rPr>
                <w:rFonts w:ascii="Arial" w:cs="Arial" w:eastAsia="Arial" w:hAnsi="Arial"/>
                <w:sz w:val="16"/>
                <w:szCs w:val="16"/>
                <w:color w:val="auto"/>
              </w:rPr>
              <w:t>(163)</w:t>
            </w:r>
          </w:p>
        </w:tc>
      </w:tr>
      <w:tr>
        <w:trPr>
          <w:trHeight w:val="186"/>
        </w:trPr>
        <w:tc>
          <w:tcPr>
            <w:tcW w:w="6760" w:type="dxa"/>
            <w:vAlign w:val="bottom"/>
            <w:gridSpan w:val="2"/>
          </w:tcPr>
          <w:p>
            <w:pPr>
              <w:spacing w:after="0"/>
              <w:rPr>
                <w:sz w:val="20"/>
                <w:szCs w:val="20"/>
                <w:color w:val="auto"/>
              </w:rPr>
            </w:pPr>
            <w:r>
              <w:rPr>
                <w:rFonts w:ascii="Arial" w:cs="Arial" w:eastAsia="Arial" w:hAnsi="Arial"/>
                <w:sz w:val="16"/>
                <w:szCs w:val="16"/>
                <w:color w:val="auto"/>
              </w:rPr>
              <w:t> Investing activities - continuing operations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321"/>
              <w:spacing w:after="0"/>
              <w:rPr>
                <w:sz w:val="20"/>
                <w:szCs w:val="20"/>
                <w:color w:val="auto"/>
              </w:rPr>
            </w:pPr>
            <w:r>
              <w:rPr>
                <w:rFonts w:ascii="Arial" w:cs="Arial" w:eastAsia="Arial" w:hAnsi="Arial"/>
                <w:sz w:val="16"/>
                <w:szCs w:val="16"/>
                <w:b w:val="1"/>
                <w:bCs w:val="1"/>
                <w:color w:val="auto"/>
              </w:rPr>
              <w:t>(317)</w:t>
            </w:r>
          </w:p>
        </w:tc>
        <w:tc>
          <w:tcPr>
            <w:tcW w:w="1640" w:type="dxa"/>
            <w:vAlign w:val="bottom"/>
          </w:tcPr>
          <w:p>
            <w:pPr>
              <w:jc w:val="right"/>
              <w:spacing w:after="0"/>
              <w:rPr>
                <w:sz w:val="20"/>
                <w:szCs w:val="20"/>
                <w:color w:val="auto"/>
              </w:rPr>
            </w:pPr>
            <w:r>
              <w:rPr>
                <w:rFonts w:ascii="Arial" w:cs="Arial" w:eastAsia="Arial" w:hAnsi="Arial"/>
                <w:sz w:val="16"/>
                <w:szCs w:val="16"/>
                <w:color w:val="auto"/>
              </w:rPr>
              <w:t>(705)</w:t>
            </w:r>
          </w:p>
        </w:tc>
      </w:tr>
      <w:tr>
        <w:trPr>
          <w:trHeight w:val="200"/>
        </w:trPr>
        <w:tc>
          <w:tcPr>
            <w:tcW w:w="676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color w:val="auto"/>
              </w:rPr>
              <w:t> Investing activities - discontinued operations</w:t>
            </w:r>
          </w:p>
        </w:tc>
        <w:tc>
          <w:tcPr>
            <w:tcW w:w="140" w:type="dxa"/>
            <w:vAlign w:val="bottom"/>
            <w:tcBorders>
              <w:bottom w:val="single" w:sz="8" w:color="B2B2B2"/>
            </w:tcBorders>
          </w:tcPr>
          <w:p>
            <w:pPr>
              <w:spacing w:after="0"/>
              <w:rPr>
                <w:sz w:val="17"/>
                <w:szCs w:val="17"/>
                <w:color w:val="auto"/>
              </w:rPr>
            </w:pPr>
          </w:p>
        </w:tc>
        <w:tc>
          <w:tcPr>
            <w:tcW w:w="160" w:type="dxa"/>
            <w:vAlign w:val="bottom"/>
            <w:tcBorders>
              <w:bottom w:val="single" w:sz="8" w:color="B2B2B2"/>
            </w:tcBorders>
          </w:tcPr>
          <w:p>
            <w:pPr>
              <w:spacing w:after="0"/>
              <w:rPr>
                <w:sz w:val="17"/>
                <w:szCs w:val="17"/>
                <w:color w:val="auto"/>
              </w:rPr>
            </w:pPr>
          </w:p>
        </w:tc>
        <w:tc>
          <w:tcPr>
            <w:tcW w:w="160" w:type="dxa"/>
            <w:vAlign w:val="bottom"/>
            <w:tcBorders>
              <w:bottom w:val="single" w:sz="8" w:color="B2B2B2"/>
            </w:tcBorders>
          </w:tcPr>
          <w:p>
            <w:pPr>
              <w:spacing w:after="0"/>
              <w:rPr>
                <w:sz w:val="17"/>
                <w:szCs w:val="17"/>
                <w:color w:val="auto"/>
              </w:rPr>
            </w:pPr>
          </w:p>
        </w:tc>
        <w:tc>
          <w:tcPr>
            <w:tcW w:w="860" w:type="dxa"/>
            <w:vAlign w:val="bottom"/>
            <w:tcBorders>
              <w:bottom w:val="single" w:sz="8" w:color="B2B2B2"/>
            </w:tcBorders>
          </w:tcPr>
          <w:p>
            <w:pPr>
              <w:jc w:val="right"/>
              <w:ind w:right="321"/>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w:t>
            </w:r>
          </w:p>
        </w:tc>
      </w:tr>
      <w:tr>
        <w:trPr>
          <w:trHeight w:val="185"/>
        </w:trPr>
        <w:tc>
          <w:tcPr>
            <w:tcW w:w="6760" w:type="dxa"/>
            <w:vAlign w:val="bottom"/>
            <w:tcBorders>
              <w:bottom w:val="single" w:sz="8" w:color="D64000"/>
            </w:tcBorders>
            <w:gridSpan w:val="2"/>
          </w:tcPr>
          <w:p>
            <w:pPr>
              <w:spacing w:after="0" w:line="179" w:lineRule="exact"/>
              <w:rPr>
                <w:sz w:val="20"/>
                <w:szCs w:val="20"/>
                <w:color w:val="auto"/>
              </w:rPr>
            </w:pPr>
            <w:r>
              <w:rPr>
                <w:rFonts w:ascii="Arial" w:cs="Arial" w:eastAsia="Arial" w:hAnsi="Arial"/>
                <w:sz w:val="16"/>
                <w:szCs w:val="16"/>
                <w:color w:val="auto"/>
              </w:rPr>
              <w:t> Total income taxes paid</w:t>
            </w:r>
          </w:p>
        </w:tc>
        <w:tc>
          <w:tcPr>
            <w:tcW w:w="140" w:type="dxa"/>
            <w:vAlign w:val="bottom"/>
            <w:tcBorders>
              <w:bottom w:val="single" w:sz="8" w:color="D64000"/>
            </w:tcBorders>
          </w:tcPr>
          <w:p>
            <w:pPr>
              <w:spacing w:after="0"/>
              <w:rPr>
                <w:sz w:val="16"/>
                <w:szCs w:val="16"/>
                <w:color w:val="auto"/>
              </w:rPr>
            </w:pPr>
          </w:p>
        </w:tc>
        <w:tc>
          <w:tcPr>
            <w:tcW w:w="160" w:type="dxa"/>
            <w:vAlign w:val="bottom"/>
            <w:tcBorders>
              <w:bottom w:val="single" w:sz="8" w:color="D64000"/>
            </w:tcBorders>
          </w:tcPr>
          <w:p>
            <w:pPr>
              <w:spacing w:after="0"/>
              <w:rPr>
                <w:sz w:val="16"/>
                <w:szCs w:val="16"/>
                <w:color w:val="auto"/>
              </w:rPr>
            </w:pPr>
          </w:p>
        </w:tc>
        <w:tc>
          <w:tcPr>
            <w:tcW w:w="160" w:type="dxa"/>
            <w:vAlign w:val="bottom"/>
            <w:tcBorders>
              <w:bottom w:val="single" w:sz="8" w:color="D64000"/>
            </w:tcBorders>
          </w:tcPr>
          <w:p>
            <w:pPr>
              <w:spacing w:after="0"/>
              <w:rPr>
                <w:sz w:val="16"/>
                <w:szCs w:val="16"/>
                <w:color w:val="auto"/>
              </w:rPr>
            </w:pPr>
          </w:p>
        </w:tc>
        <w:tc>
          <w:tcPr>
            <w:tcW w:w="860" w:type="dxa"/>
            <w:vAlign w:val="bottom"/>
            <w:tcBorders>
              <w:bottom w:val="single" w:sz="8" w:color="D64000"/>
            </w:tcBorders>
          </w:tcPr>
          <w:p>
            <w:pPr>
              <w:jc w:val="right"/>
              <w:ind w:right="321"/>
              <w:spacing w:after="0" w:line="179" w:lineRule="exact"/>
              <w:rPr>
                <w:sz w:val="20"/>
                <w:szCs w:val="20"/>
                <w:color w:val="auto"/>
              </w:rPr>
            </w:pPr>
            <w:r>
              <w:rPr>
                <w:rFonts w:ascii="Arial" w:cs="Arial" w:eastAsia="Arial" w:hAnsi="Arial"/>
                <w:sz w:val="16"/>
                <w:szCs w:val="16"/>
                <w:b w:val="1"/>
                <w:bCs w:val="1"/>
                <w:color w:val="auto"/>
              </w:rPr>
              <w:t>(551)</w:t>
            </w:r>
          </w:p>
        </w:tc>
        <w:tc>
          <w:tcPr>
            <w:tcW w:w="164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(869)</w:t>
            </w:r>
          </w:p>
        </w:tc>
      </w:tr>
    </w:tbl>
    <w:p>
      <w:pPr>
        <w:spacing w:after="0" w:line="18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Note 30: Acquisitions</w:t>
      </w:r>
    </w:p>
    <w:p>
      <w:pPr>
        <w:spacing w:after="0" w:line="52" w:lineRule="exact"/>
        <w:rPr>
          <w:sz w:val="20"/>
          <w:szCs w:val="20"/>
          <w:color w:val="auto"/>
        </w:rPr>
      </w:pPr>
    </w:p>
    <w:p>
      <w:pPr>
        <w:ind w:left="220" w:right="20"/>
        <w:spacing w:after="0"/>
        <w:rPr>
          <w:sz w:val="20"/>
          <w:szCs w:val="20"/>
          <w:color w:val="auto"/>
        </w:rPr>
      </w:pPr>
      <w:r>
        <w:rPr>
          <w:rFonts w:ascii="Arial" w:cs="Arial" w:eastAsia="Arial" w:hAnsi="Arial"/>
          <w:sz w:val="18"/>
          <w:szCs w:val="18"/>
          <w:color w:val="auto"/>
        </w:rPr>
        <w:t>Acquisitions include the purchase of a controlling or a non-controlling interest in a business. Acquisitions also include asset acquisitions for the purchase of other identifiable intangible assets.</w:t>
      </w:r>
    </w:p>
    <w:p>
      <w:pPr>
        <w:spacing w:after="0" w:line="60" w:lineRule="exact"/>
        <w:rPr>
          <w:sz w:val="20"/>
          <w:szCs w:val="20"/>
          <w:color w:val="auto"/>
        </w:rPr>
      </w:pPr>
    </w:p>
    <w:p>
      <w:pPr>
        <w:ind w:left="220" w:right="100"/>
        <w:spacing w:after="0"/>
        <w:rPr>
          <w:sz w:val="20"/>
          <w:szCs w:val="20"/>
          <w:color w:val="auto"/>
        </w:rPr>
      </w:pPr>
      <w:r>
        <w:rPr>
          <w:rFonts w:ascii="Arial" w:cs="Arial" w:eastAsia="Arial" w:hAnsi="Arial"/>
          <w:sz w:val="18"/>
          <w:szCs w:val="18"/>
          <w:color w:val="auto"/>
        </w:rPr>
        <w:t>In 2024, the Company acquired Pagero in stages, resulting in the presentation of the consideration in the investing and financing sections of the consolidated statement of cash flow. See “Pagero” section below for additional details. Acquisitions where control is acquired are integrated into existing operations of the Company to broaden its offerings to customers as well as its presence in global markets. The results of acquired businesses are included in the consolidated financial statements from the date of acquisition.</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Acquisition activity</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number of acquisitions completed, and the related consideration were as follows:</w:t>
      </w:r>
    </w:p>
    <w:p>
      <w:pPr>
        <w:spacing w:after="0" w:line="235"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3220" w:type="dxa"/>
            <w:vAlign w:val="bottom"/>
          </w:tcPr>
          <w:p>
            <w:pPr>
              <w:spacing w:after="0"/>
              <w:rPr>
                <w:sz w:val="16"/>
                <w:szCs w:val="16"/>
                <w:color w:val="auto"/>
              </w:rPr>
            </w:pPr>
          </w:p>
        </w:tc>
        <w:tc>
          <w:tcPr>
            <w:tcW w:w="680" w:type="dxa"/>
            <w:vAlign w:val="bottom"/>
            <w:shd w:val="clear" w:color="auto" w:fill="E3F3EE"/>
          </w:tcPr>
          <w:p>
            <w:pPr>
              <w:spacing w:after="0"/>
              <w:rPr>
                <w:sz w:val="16"/>
                <w:szCs w:val="16"/>
                <w:color w:val="auto"/>
              </w:rPr>
            </w:pPr>
          </w:p>
        </w:tc>
        <w:tc>
          <w:tcPr>
            <w:tcW w:w="1620" w:type="dxa"/>
            <w:vAlign w:val="bottom"/>
            <w:vMerge w:val="restart"/>
            <w:shd w:val="clear" w:color="auto" w:fill="E3F3EE"/>
          </w:tcPr>
          <w:p>
            <w:pPr>
              <w:jc w:val="right"/>
              <w:spacing w:after="0"/>
              <w:rPr>
                <w:sz w:val="20"/>
                <w:szCs w:val="20"/>
                <w:color w:val="auto"/>
              </w:rPr>
            </w:pPr>
            <w:r>
              <w:rPr>
                <w:rFonts w:ascii="Arial" w:cs="Arial" w:eastAsia="Arial" w:hAnsi="Arial"/>
                <w:sz w:val="16"/>
                <w:szCs w:val="16"/>
                <w:b w:val="1"/>
                <w:bCs w:val="1"/>
                <w:color w:val="auto"/>
              </w:rPr>
              <w:t>2024</w:t>
            </w:r>
          </w:p>
        </w:tc>
        <w:tc>
          <w:tcPr>
            <w:tcW w:w="2820" w:type="dxa"/>
            <w:vAlign w:val="bottom"/>
            <w:gridSpan w:val="2"/>
            <w:shd w:val="clear" w:color="auto" w:fill="E3F3EE"/>
          </w:tcPr>
          <w:p>
            <w:pPr>
              <w:jc w:val="right"/>
              <w:ind w:right="481"/>
              <w:spacing w:after="0"/>
              <w:rPr>
                <w:sz w:val="20"/>
                <w:szCs w:val="20"/>
                <w:color w:val="auto"/>
              </w:rPr>
            </w:pPr>
            <w:r>
              <w:rPr>
                <w:rFonts w:ascii="Arial" w:cs="Arial" w:eastAsia="Arial" w:hAnsi="Arial"/>
                <w:sz w:val="16"/>
                <w:szCs w:val="16"/>
                <w:b w:val="1"/>
                <w:bCs w:val="1"/>
                <w:color w:val="auto"/>
              </w:rPr>
              <w:t>Year ended December 31,</w:t>
            </w:r>
          </w:p>
        </w:tc>
        <w:tc>
          <w:tcPr>
            <w:tcW w:w="1380" w:type="dxa"/>
            <w:vAlign w:val="bottom"/>
            <w:vMerge w:val="restart"/>
            <w:shd w:val="clear" w:color="auto" w:fill="E3F3EE"/>
          </w:tcPr>
          <w:p>
            <w:pPr>
              <w:jc w:val="right"/>
              <w:ind w:right="921"/>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199"/>
        </w:trPr>
        <w:tc>
          <w:tcPr>
            <w:tcW w:w="3220" w:type="dxa"/>
            <w:vAlign w:val="bottom"/>
          </w:tcPr>
          <w:p>
            <w:pPr>
              <w:spacing w:after="0"/>
              <w:rPr>
                <w:sz w:val="17"/>
                <w:szCs w:val="17"/>
                <w:color w:val="auto"/>
              </w:rPr>
            </w:pPr>
          </w:p>
        </w:tc>
        <w:tc>
          <w:tcPr>
            <w:tcW w:w="680" w:type="dxa"/>
            <w:vAlign w:val="bottom"/>
            <w:shd w:val="clear" w:color="auto" w:fill="E3F3EE"/>
          </w:tcPr>
          <w:p>
            <w:pPr>
              <w:spacing w:after="0"/>
              <w:rPr>
                <w:sz w:val="17"/>
                <w:szCs w:val="17"/>
                <w:color w:val="auto"/>
              </w:rPr>
            </w:pPr>
          </w:p>
        </w:tc>
        <w:tc>
          <w:tcPr>
            <w:tcW w:w="1620" w:type="dxa"/>
            <w:vAlign w:val="bottom"/>
            <w:vMerge w:val="continue"/>
            <w:shd w:val="clear" w:color="auto" w:fill="E3F3EE"/>
          </w:tcPr>
          <w:p>
            <w:pPr>
              <w:spacing w:after="0"/>
              <w:rPr>
                <w:sz w:val="17"/>
                <w:szCs w:val="17"/>
                <w:color w:val="auto"/>
              </w:rPr>
            </w:pPr>
          </w:p>
        </w:tc>
        <w:tc>
          <w:tcPr>
            <w:tcW w:w="1480" w:type="dxa"/>
            <w:vAlign w:val="bottom"/>
            <w:shd w:val="clear" w:color="auto" w:fill="E3F3EE"/>
          </w:tcPr>
          <w:p>
            <w:pPr>
              <w:spacing w:after="0"/>
              <w:rPr>
                <w:sz w:val="17"/>
                <w:szCs w:val="17"/>
                <w:color w:val="auto"/>
              </w:rPr>
            </w:pPr>
          </w:p>
        </w:tc>
        <w:tc>
          <w:tcPr>
            <w:tcW w:w="1340" w:type="dxa"/>
            <w:vAlign w:val="bottom"/>
            <w:shd w:val="clear" w:color="auto" w:fill="E3F3EE"/>
          </w:tcPr>
          <w:p>
            <w:pPr>
              <w:spacing w:after="0"/>
              <w:rPr>
                <w:sz w:val="17"/>
                <w:szCs w:val="17"/>
                <w:color w:val="auto"/>
              </w:rPr>
            </w:pPr>
          </w:p>
        </w:tc>
        <w:tc>
          <w:tcPr>
            <w:tcW w:w="1380" w:type="dxa"/>
            <w:vAlign w:val="bottom"/>
            <w:vMerge w:val="continue"/>
            <w:shd w:val="clear" w:color="auto" w:fill="E3F3EE"/>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220" w:type="dxa"/>
            <w:vAlign w:val="bottom"/>
            <w:shd w:val="clear" w:color="auto" w:fill="1F473D"/>
          </w:tcPr>
          <w:p>
            <w:pPr>
              <w:spacing w:after="0"/>
              <w:rPr>
                <w:sz w:val="14"/>
                <w:szCs w:val="14"/>
                <w:color w:val="auto"/>
              </w:rPr>
            </w:pPr>
          </w:p>
        </w:tc>
        <w:tc>
          <w:tcPr>
            <w:tcW w:w="680" w:type="dxa"/>
            <w:vAlign w:val="bottom"/>
            <w:shd w:val="clear" w:color="auto" w:fill="1F473D"/>
          </w:tcPr>
          <w:p>
            <w:pPr>
              <w:spacing w:after="0"/>
              <w:rPr>
                <w:sz w:val="14"/>
                <w:szCs w:val="14"/>
                <w:color w:val="auto"/>
              </w:rPr>
            </w:pPr>
          </w:p>
        </w:tc>
        <w:tc>
          <w:tcPr>
            <w:tcW w:w="1620" w:type="dxa"/>
            <w:vAlign w:val="bottom"/>
            <w:shd w:val="clear" w:color="auto" w:fill="1F473D"/>
          </w:tcPr>
          <w:p>
            <w:pPr>
              <w:jc w:val="right"/>
              <w:ind w:right="641"/>
              <w:spacing w:after="0" w:line="171" w:lineRule="exact"/>
              <w:rPr>
                <w:sz w:val="20"/>
                <w:szCs w:val="20"/>
                <w:color w:val="auto"/>
              </w:rPr>
            </w:pPr>
            <w:r>
              <w:rPr>
                <w:rFonts w:ascii="Arial" w:cs="Arial" w:eastAsia="Arial" w:hAnsi="Arial"/>
                <w:sz w:val="16"/>
                <w:szCs w:val="16"/>
                <w:b w:val="1"/>
                <w:bCs w:val="1"/>
                <w:color w:val="FFFFFF"/>
              </w:rPr>
              <w:t>Number of</w:t>
            </w:r>
          </w:p>
        </w:tc>
        <w:tc>
          <w:tcPr>
            <w:tcW w:w="1480" w:type="dxa"/>
            <w:vAlign w:val="bottom"/>
            <w:shd w:val="clear" w:color="auto" w:fill="1F473D"/>
          </w:tcPr>
          <w:p>
            <w:pPr>
              <w:jc w:val="right"/>
              <w:ind w:right="601"/>
              <w:spacing w:after="0" w:line="171" w:lineRule="exact"/>
              <w:rPr>
                <w:sz w:val="20"/>
                <w:szCs w:val="20"/>
                <w:color w:val="auto"/>
              </w:rPr>
            </w:pPr>
            <w:r>
              <w:rPr>
                <w:rFonts w:ascii="Arial" w:cs="Arial" w:eastAsia="Arial" w:hAnsi="Arial"/>
                <w:sz w:val="16"/>
                <w:szCs w:val="16"/>
                <w:b w:val="1"/>
                <w:bCs w:val="1"/>
                <w:color w:val="FFFFFF"/>
              </w:rPr>
              <w:t>Cash</w:t>
            </w:r>
          </w:p>
        </w:tc>
        <w:tc>
          <w:tcPr>
            <w:tcW w:w="1340" w:type="dxa"/>
            <w:vAlign w:val="bottom"/>
            <w:shd w:val="clear" w:color="auto" w:fill="1F473D"/>
          </w:tcPr>
          <w:p>
            <w:pPr>
              <w:jc w:val="right"/>
              <w:ind w:right="81"/>
              <w:spacing w:after="0" w:line="171" w:lineRule="exact"/>
              <w:rPr>
                <w:sz w:val="20"/>
                <w:szCs w:val="20"/>
                <w:color w:val="auto"/>
              </w:rPr>
            </w:pPr>
            <w:r>
              <w:rPr>
                <w:rFonts w:ascii="Arial" w:cs="Arial" w:eastAsia="Arial" w:hAnsi="Arial"/>
                <w:sz w:val="16"/>
                <w:szCs w:val="16"/>
                <w:color w:val="FFFFFF"/>
              </w:rPr>
              <w:t>Number of</w:t>
            </w:r>
          </w:p>
        </w:tc>
        <w:tc>
          <w:tcPr>
            <w:tcW w:w="1380" w:type="dxa"/>
            <w:vAlign w:val="bottom"/>
            <w:shd w:val="clear" w:color="auto" w:fill="1F473D"/>
          </w:tcPr>
          <w:p>
            <w:pPr>
              <w:jc w:val="right"/>
              <w:ind w:right="241"/>
              <w:spacing w:after="0" w:line="171" w:lineRule="exact"/>
              <w:rPr>
                <w:sz w:val="20"/>
                <w:szCs w:val="20"/>
                <w:color w:val="auto"/>
              </w:rPr>
            </w:pPr>
            <w:r>
              <w:rPr>
                <w:rFonts w:ascii="Arial" w:cs="Arial" w:eastAsia="Arial" w:hAnsi="Arial"/>
                <w:sz w:val="16"/>
                <w:szCs w:val="16"/>
                <w:color w:val="FFFFFF"/>
              </w:rPr>
              <w:t>Cash</w:t>
            </w:r>
          </w:p>
        </w:tc>
        <w:tc>
          <w:tcPr>
            <w:tcW w:w="0" w:type="dxa"/>
            <w:vAlign w:val="bottom"/>
          </w:tcPr>
          <w:p>
            <w:pPr>
              <w:spacing w:after="0"/>
              <w:rPr>
                <w:sz w:val="1"/>
                <w:szCs w:val="1"/>
                <w:color w:val="auto"/>
              </w:rPr>
            </w:pPr>
          </w:p>
        </w:tc>
      </w:tr>
      <w:tr>
        <w:trPr>
          <w:trHeight w:val="219"/>
        </w:trPr>
        <w:tc>
          <w:tcPr>
            <w:tcW w:w="3220" w:type="dxa"/>
            <w:vAlign w:val="bottom"/>
            <w:tcBorders>
              <w:bottom w:val="single" w:sz="8" w:color="D64000"/>
            </w:tcBorders>
            <w:shd w:val="clear" w:color="auto" w:fill="1F473D"/>
          </w:tcPr>
          <w:p>
            <w:pPr>
              <w:spacing w:after="0"/>
              <w:rPr>
                <w:sz w:val="19"/>
                <w:szCs w:val="19"/>
                <w:color w:val="auto"/>
              </w:rPr>
            </w:pPr>
          </w:p>
        </w:tc>
        <w:tc>
          <w:tcPr>
            <w:tcW w:w="680" w:type="dxa"/>
            <w:vAlign w:val="bottom"/>
            <w:tcBorders>
              <w:bottom w:val="single" w:sz="8" w:color="D64000"/>
            </w:tcBorders>
            <w:shd w:val="clear" w:color="auto" w:fill="1F473D"/>
          </w:tcPr>
          <w:p>
            <w:pPr>
              <w:spacing w:after="0"/>
              <w:rPr>
                <w:sz w:val="19"/>
                <w:szCs w:val="19"/>
                <w:color w:val="auto"/>
              </w:rPr>
            </w:pPr>
          </w:p>
        </w:tc>
        <w:tc>
          <w:tcPr>
            <w:tcW w:w="1620" w:type="dxa"/>
            <w:vAlign w:val="bottom"/>
            <w:tcBorders>
              <w:bottom w:val="single" w:sz="8" w:color="D64000"/>
            </w:tcBorders>
            <w:shd w:val="clear" w:color="auto" w:fill="1F473D"/>
          </w:tcPr>
          <w:p>
            <w:pPr>
              <w:jc w:val="right"/>
              <w:ind w:right="541"/>
              <w:spacing w:after="0"/>
              <w:rPr>
                <w:sz w:val="20"/>
                <w:szCs w:val="20"/>
                <w:color w:val="auto"/>
              </w:rPr>
            </w:pPr>
            <w:r>
              <w:rPr>
                <w:rFonts w:ascii="Arial" w:cs="Arial" w:eastAsia="Arial" w:hAnsi="Arial"/>
                <w:sz w:val="16"/>
                <w:szCs w:val="16"/>
                <w:b w:val="1"/>
                <w:bCs w:val="1"/>
                <w:color w:val="FFFFFF"/>
                <w:w w:val="98"/>
              </w:rPr>
              <w:t>Transactions</w:t>
            </w:r>
          </w:p>
        </w:tc>
        <w:tc>
          <w:tcPr>
            <w:tcW w:w="1480" w:type="dxa"/>
            <w:vAlign w:val="bottom"/>
            <w:tcBorders>
              <w:bottom w:val="single" w:sz="8" w:color="D64000"/>
            </w:tcBorders>
            <w:shd w:val="clear" w:color="auto" w:fill="1F473D"/>
          </w:tcPr>
          <w:p>
            <w:pPr>
              <w:jc w:val="right"/>
              <w:ind w:right="261"/>
              <w:spacing w:after="0"/>
              <w:rPr>
                <w:sz w:val="20"/>
                <w:szCs w:val="20"/>
                <w:color w:val="auto"/>
              </w:rPr>
            </w:pPr>
            <w:r>
              <w:rPr>
                <w:rFonts w:ascii="Arial" w:cs="Arial" w:eastAsia="Arial" w:hAnsi="Arial"/>
                <w:sz w:val="16"/>
                <w:szCs w:val="16"/>
                <w:b w:val="1"/>
                <w:bCs w:val="1"/>
                <w:color w:val="FFFFFF"/>
              </w:rPr>
              <w:t>Consideration</w:t>
            </w:r>
          </w:p>
        </w:tc>
        <w:tc>
          <w:tcPr>
            <w:tcW w:w="134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Transactions </w:t>
            </w:r>
          </w:p>
        </w:tc>
        <w:tc>
          <w:tcPr>
            <w:tcW w:w="138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Consideration</w:t>
            </w:r>
          </w:p>
        </w:tc>
        <w:tc>
          <w:tcPr>
            <w:tcW w:w="0" w:type="dxa"/>
            <w:vAlign w:val="bottom"/>
          </w:tcPr>
          <w:p>
            <w:pPr>
              <w:spacing w:after="0"/>
              <w:rPr>
                <w:sz w:val="1"/>
                <w:szCs w:val="1"/>
                <w:color w:val="auto"/>
              </w:rPr>
            </w:pPr>
          </w:p>
        </w:tc>
      </w:tr>
      <w:tr>
        <w:trPr>
          <w:trHeight w:val="171"/>
        </w:trPr>
        <w:tc>
          <w:tcPr>
            <w:tcW w:w="3220" w:type="dxa"/>
            <w:vAlign w:val="bottom"/>
          </w:tcPr>
          <w:p>
            <w:pPr>
              <w:spacing w:after="0" w:line="171" w:lineRule="exact"/>
              <w:rPr>
                <w:sz w:val="20"/>
                <w:szCs w:val="20"/>
                <w:color w:val="auto"/>
              </w:rPr>
            </w:pPr>
            <w:r>
              <w:rPr>
                <w:rFonts w:ascii="Arial" w:cs="Arial" w:eastAsia="Arial" w:hAnsi="Arial"/>
                <w:sz w:val="16"/>
                <w:szCs w:val="16"/>
                <w:color w:val="auto"/>
              </w:rPr>
              <w:t>Businesses acquired, net of cash</w:t>
            </w:r>
          </w:p>
        </w:tc>
        <w:tc>
          <w:tcPr>
            <w:tcW w:w="2300" w:type="dxa"/>
            <w:vAlign w:val="bottom"/>
            <w:gridSpan w:val="2"/>
          </w:tcPr>
          <w:p>
            <w:pPr>
              <w:jc w:val="right"/>
              <w:ind w:right="541"/>
              <w:spacing w:after="0" w:line="171" w:lineRule="exact"/>
              <w:rPr>
                <w:sz w:val="20"/>
                <w:szCs w:val="20"/>
                <w:color w:val="auto"/>
              </w:rPr>
            </w:pPr>
            <w:r>
              <w:rPr>
                <w:rFonts w:ascii="Arial" w:cs="Arial" w:eastAsia="Arial" w:hAnsi="Arial"/>
                <w:sz w:val="16"/>
                <w:szCs w:val="16"/>
                <w:b w:val="1"/>
                <w:bCs w:val="1"/>
                <w:color w:val="auto"/>
              </w:rPr>
              <w:t>4</w:t>
            </w:r>
          </w:p>
        </w:tc>
        <w:tc>
          <w:tcPr>
            <w:tcW w:w="1480" w:type="dxa"/>
            <w:vAlign w:val="bottom"/>
          </w:tcPr>
          <w:p>
            <w:pPr>
              <w:jc w:val="right"/>
              <w:ind w:right="261"/>
              <w:spacing w:after="0" w:line="171" w:lineRule="exact"/>
              <w:rPr>
                <w:sz w:val="20"/>
                <w:szCs w:val="20"/>
                <w:color w:val="auto"/>
              </w:rPr>
            </w:pPr>
            <w:r>
              <w:rPr>
                <w:rFonts w:ascii="Arial" w:cs="Arial" w:eastAsia="Arial" w:hAnsi="Arial"/>
                <w:sz w:val="16"/>
                <w:szCs w:val="16"/>
                <w:b w:val="1"/>
                <w:bCs w:val="1"/>
                <w:color w:val="auto"/>
              </w:rPr>
              <w:t>555</w:t>
            </w:r>
          </w:p>
        </w:tc>
        <w:tc>
          <w:tcPr>
            <w:tcW w:w="1340" w:type="dxa"/>
            <w:vAlign w:val="bottom"/>
          </w:tcPr>
          <w:p>
            <w:pPr>
              <w:jc w:val="right"/>
              <w:spacing w:after="0" w:line="171" w:lineRule="exact"/>
              <w:rPr>
                <w:sz w:val="20"/>
                <w:szCs w:val="20"/>
                <w:color w:val="auto"/>
              </w:rPr>
            </w:pPr>
            <w:r>
              <w:rPr>
                <w:rFonts w:ascii="Arial" w:cs="Arial" w:eastAsia="Arial" w:hAnsi="Arial"/>
                <w:sz w:val="16"/>
                <w:szCs w:val="16"/>
                <w:color w:val="auto"/>
              </w:rPr>
              <w:t>4</w:t>
            </w:r>
          </w:p>
        </w:tc>
        <w:tc>
          <w:tcPr>
            <w:tcW w:w="1380" w:type="dxa"/>
            <w:vAlign w:val="bottom"/>
          </w:tcPr>
          <w:p>
            <w:pPr>
              <w:jc w:val="right"/>
              <w:spacing w:after="0" w:line="171" w:lineRule="exact"/>
              <w:rPr>
                <w:sz w:val="20"/>
                <w:szCs w:val="20"/>
                <w:color w:val="auto"/>
              </w:rPr>
            </w:pPr>
            <w:r>
              <w:rPr>
                <w:rFonts w:ascii="Arial" w:cs="Arial" w:eastAsia="Arial" w:hAnsi="Arial"/>
                <w:sz w:val="16"/>
                <w:szCs w:val="16"/>
                <w:color w:val="auto"/>
              </w:rPr>
              <w:t>1,190</w:t>
            </w:r>
          </w:p>
        </w:tc>
        <w:tc>
          <w:tcPr>
            <w:tcW w:w="0" w:type="dxa"/>
            <w:vAlign w:val="bottom"/>
          </w:tcPr>
          <w:p>
            <w:pPr>
              <w:spacing w:after="0"/>
              <w:rPr>
                <w:sz w:val="1"/>
                <w:szCs w:val="1"/>
                <w:color w:val="auto"/>
              </w:rPr>
            </w:pPr>
          </w:p>
        </w:tc>
      </w:tr>
      <w:tr>
        <w:trPr>
          <w:trHeight w:val="186"/>
        </w:trPr>
        <w:tc>
          <w:tcPr>
            <w:tcW w:w="3220" w:type="dxa"/>
            <w:vAlign w:val="bottom"/>
          </w:tcPr>
          <w:p>
            <w:pPr>
              <w:spacing w:after="0"/>
              <w:rPr>
                <w:sz w:val="20"/>
                <w:szCs w:val="20"/>
                <w:color w:val="auto"/>
              </w:rPr>
            </w:pPr>
            <w:r>
              <w:rPr>
                <w:rFonts w:ascii="Arial" w:cs="Arial" w:eastAsia="Arial" w:hAnsi="Arial"/>
                <w:sz w:val="16"/>
                <w:szCs w:val="16"/>
                <w:color w:val="auto"/>
              </w:rPr>
              <w:t>Investments in businesses</w:t>
            </w:r>
          </w:p>
        </w:tc>
        <w:tc>
          <w:tcPr>
            <w:tcW w:w="2300" w:type="dxa"/>
            <w:vAlign w:val="bottom"/>
            <w:gridSpan w:val="2"/>
          </w:tcPr>
          <w:p>
            <w:pPr>
              <w:jc w:val="right"/>
              <w:ind w:right="541"/>
              <w:spacing w:after="0"/>
              <w:rPr>
                <w:sz w:val="20"/>
                <w:szCs w:val="20"/>
                <w:color w:val="auto"/>
              </w:rPr>
            </w:pPr>
            <w:r>
              <w:rPr>
                <w:rFonts w:ascii="Arial" w:cs="Arial" w:eastAsia="Arial" w:hAnsi="Arial"/>
                <w:sz w:val="16"/>
                <w:szCs w:val="16"/>
                <w:b w:val="1"/>
                <w:bCs w:val="1"/>
                <w:color w:val="auto"/>
              </w:rPr>
              <w:t>7</w:t>
            </w:r>
          </w:p>
        </w:tc>
        <w:tc>
          <w:tcPr>
            <w:tcW w:w="1480" w:type="dxa"/>
            <w:vAlign w:val="bottom"/>
          </w:tcPr>
          <w:p>
            <w:pPr>
              <w:jc w:val="right"/>
              <w:ind w:right="261"/>
              <w:spacing w:after="0"/>
              <w:rPr>
                <w:sz w:val="20"/>
                <w:szCs w:val="20"/>
                <w:color w:val="auto"/>
              </w:rPr>
            </w:pPr>
            <w:r>
              <w:rPr>
                <w:rFonts w:ascii="Arial" w:cs="Arial" w:eastAsia="Arial" w:hAnsi="Arial"/>
                <w:sz w:val="16"/>
                <w:szCs w:val="16"/>
                <w:b w:val="1"/>
                <w:bCs w:val="1"/>
                <w:color w:val="auto"/>
              </w:rPr>
              <w:t>37</w:t>
            </w:r>
          </w:p>
        </w:tc>
        <w:tc>
          <w:tcPr>
            <w:tcW w:w="1340" w:type="dxa"/>
            <w:vAlign w:val="bottom"/>
          </w:tcPr>
          <w:p>
            <w:pPr>
              <w:jc w:val="right"/>
              <w:spacing w:after="0"/>
              <w:rPr>
                <w:sz w:val="20"/>
                <w:szCs w:val="20"/>
                <w:color w:val="auto"/>
              </w:rPr>
            </w:pPr>
            <w:r>
              <w:rPr>
                <w:rFonts w:ascii="Arial" w:cs="Arial" w:eastAsia="Arial" w:hAnsi="Arial"/>
                <w:sz w:val="16"/>
                <w:szCs w:val="16"/>
                <w:color w:val="auto"/>
              </w:rPr>
              <w:t>9</w:t>
            </w:r>
          </w:p>
        </w:tc>
        <w:tc>
          <w:tcPr>
            <w:tcW w:w="138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5"/>
        </w:trPr>
        <w:tc>
          <w:tcPr>
            <w:tcW w:w="3220" w:type="dxa"/>
            <w:vAlign w:val="bottom"/>
          </w:tcPr>
          <w:p>
            <w:pPr>
              <w:spacing w:after="0"/>
              <w:rPr>
                <w:sz w:val="20"/>
                <w:szCs w:val="20"/>
                <w:color w:val="auto"/>
              </w:rPr>
            </w:pPr>
            <w:r>
              <w:rPr>
                <w:rFonts w:ascii="Arial" w:cs="Arial" w:eastAsia="Arial" w:hAnsi="Arial"/>
                <w:sz w:val="16"/>
                <w:szCs w:val="16"/>
                <w:color w:val="auto"/>
              </w:rPr>
              <w:t>Asset acquisitions</w:t>
            </w:r>
          </w:p>
        </w:tc>
        <w:tc>
          <w:tcPr>
            <w:tcW w:w="2300" w:type="dxa"/>
            <w:vAlign w:val="bottom"/>
            <w:gridSpan w:val="2"/>
          </w:tcPr>
          <w:p>
            <w:pPr>
              <w:jc w:val="right"/>
              <w:ind w:right="541"/>
              <w:spacing w:after="0"/>
              <w:rPr>
                <w:sz w:val="20"/>
                <w:szCs w:val="20"/>
                <w:color w:val="auto"/>
              </w:rPr>
            </w:pPr>
            <w:r>
              <w:rPr>
                <w:rFonts w:ascii="Arial" w:cs="Arial" w:eastAsia="Arial" w:hAnsi="Arial"/>
                <w:sz w:val="16"/>
                <w:szCs w:val="16"/>
                <w:b w:val="1"/>
                <w:bCs w:val="1"/>
                <w:color w:val="auto"/>
              </w:rPr>
              <w:t>1</w:t>
            </w:r>
          </w:p>
        </w:tc>
        <w:tc>
          <w:tcPr>
            <w:tcW w:w="1480" w:type="dxa"/>
            <w:vAlign w:val="bottom"/>
          </w:tcPr>
          <w:p>
            <w:pPr>
              <w:jc w:val="right"/>
              <w:ind w:right="261"/>
              <w:spacing w:after="0"/>
              <w:rPr>
                <w:sz w:val="20"/>
                <w:szCs w:val="20"/>
                <w:color w:val="auto"/>
              </w:rPr>
            </w:pPr>
            <w:r>
              <w:rPr>
                <w:rFonts w:ascii="Arial" w:cs="Arial" w:eastAsia="Arial" w:hAnsi="Arial"/>
                <w:sz w:val="16"/>
                <w:szCs w:val="16"/>
                <w:b w:val="1"/>
                <w:bCs w:val="1"/>
                <w:color w:val="auto"/>
              </w:rPr>
              <w:t>15</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3220" w:type="dxa"/>
            <w:vAlign w:val="bottom"/>
          </w:tcPr>
          <w:p>
            <w:pPr>
              <w:spacing w:after="0"/>
              <w:rPr>
                <w:sz w:val="20"/>
                <w:szCs w:val="20"/>
                <w:color w:val="auto"/>
              </w:rPr>
            </w:pPr>
            <w:r>
              <w:rPr>
                <w:rFonts w:ascii="Arial" w:cs="Arial" w:eastAsia="Arial" w:hAnsi="Arial"/>
                <w:sz w:val="16"/>
                <w:szCs w:val="16"/>
                <w:color w:val="auto"/>
              </w:rPr>
              <w:t>Deferred and contingent consideration</w:t>
            </w:r>
          </w:p>
        </w:tc>
        <w:tc>
          <w:tcPr>
            <w:tcW w:w="6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2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payments</w:t>
            </w:r>
          </w:p>
        </w:tc>
        <w:tc>
          <w:tcPr>
            <w:tcW w:w="2300" w:type="dxa"/>
            <w:vAlign w:val="bottom"/>
            <w:tcBorders>
              <w:bottom w:val="single" w:sz="8" w:color="B2B2B2"/>
            </w:tcBorders>
            <w:gridSpan w:val="2"/>
          </w:tcPr>
          <w:p>
            <w:pPr>
              <w:jc w:val="right"/>
              <w:ind w:right="541"/>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B2B2B2"/>
            </w:tcBorders>
          </w:tcPr>
          <w:p>
            <w:pPr>
              <w:jc w:val="right"/>
              <w:ind w:right="261"/>
              <w:spacing w:after="0"/>
              <w:rPr>
                <w:sz w:val="20"/>
                <w:szCs w:val="20"/>
                <w:color w:val="auto"/>
              </w:rPr>
            </w:pPr>
            <w:r>
              <w:rPr>
                <w:rFonts w:ascii="Arial" w:cs="Arial" w:eastAsia="Arial" w:hAnsi="Arial"/>
                <w:sz w:val="16"/>
                <w:szCs w:val="16"/>
                <w:b w:val="1"/>
                <w:bCs w:val="1"/>
                <w:color w:val="auto"/>
              </w:rPr>
              <w:t>15</w:t>
            </w:r>
          </w:p>
        </w:tc>
        <w:tc>
          <w:tcPr>
            <w:tcW w:w="134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5"/>
        </w:trPr>
        <w:tc>
          <w:tcPr>
            <w:tcW w:w="3220" w:type="dxa"/>
            <w:vAlign w:val="bottom"/>
            <w:tcBorders>
              <w:bottom w:val="single" w:sz="8" w:color="D64000"/>
            </w:tcBorders>
          </w:tcPr>
          <w:p>
            <w:pPr>
              <w:spacing w:after="0"/>
              <w:rPr>
                <w:sz w:val="16"/>
                <w:szCs w:val="16"/>
                <w:color w:val="auto"/>
              </w:rPr>
            </w:pPr>
          </w:p>
        </w:tc>
        <w:tc>
          <w:tcPr>
            <w:tcW w:w="2300" w:type="dxa"/>
            <w:vAlign w:val="bottom"/>
            <w:tcBorders>
              <w:bottom w:val="single" w:sz="8" w:color="D64000"/>
            </w:tcBorders>
            <w:gridSpan w:val="2"/>
          </w:tcPr>
          <w:p>
            <w:pPr>
              <w:jc w:val="right"/>
              <w:ind w:right="541"/>
              <w:spacing w:after="0" w:line="179" w:lineRule="exact"/>
              <w:rPr>
                <w:sz w:val="20"/>
                <w:szCs w:val="20"/>
                <w:color w:val="auto"/>
              </w:rPr>
            </w:pPr>
            <w:r>
              <w:rPr>
                <w:rFonts w:ascii="Arial" w:cs="Arial" w:eastAsia="Arial" w:hAnsi="Arial"/>
                <w:sz w:val="16"/>
                <w:szCs w:val="16"/>
                <w:b w:val="1"/>
                <w:bCs w:val="1"/>
                <w:color w:val="auto"/>
              </w:rPr>
              <w:t>12</w:t>
            </w:r>
          </w:p>
        </w:tc>
        <w:tc>
          <w:tcPr>
            <w:tcW w:w="1480" w:type="dxa"/>
            <w:vAlign w:val="bottom"/>
            <w:tcBorders>
              <w:bottom w:val="single" w:sz="8" w:color="D64000"/>
            </w:tcBorders>
          </w:tcPr>
          <w:p>
            <w:pPr>
              <w:jc w:val="right"/>
              <w:ind w:right="261"/>
              <w:spacing w:after="0" w:line="179" w:lineRule="exact"/>
              <w:rPr>
                <w:sz w:val="20"/>
                <w:szCs w:val="20"/>
                <w:color w:val="auto"/>
              </w:rPr>
            </w:pPr>
            <w:r>
              <w:rPr>
                <w:rFonts w:ascii="Arial" w:cs="Arial" w:eastAsia="Arial" w:hAnsi="Arial"/>
                <w:sz w:val="16"/>
                <w:szCs w:val="16"/>
                <w:b w:val="1"/>
                <w:bCs w:val="1"/>
                <w:color w:val="auto"/>
              </w:rPr>
              <w:t>622</w:t>
            </w:r>
          </w:p>
        </w:tc>
        <w:tc>
          <w:tcPr>
            <w:tcW w:w="134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13</w:t>
            </w:r>
          </w:p>
        </w:tc>
        <w:tc>
          <w:tcPr>
            <w:tcW w:w="138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1,216</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provides a brief description of the most significant acquisitions completed during 2024 and 2023:</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225"/>
        </w:trPr>
        <w:tc>
          <w:tcPr>
            <w:tcW w:w="1560" w:type="dxa"/>
            <w:vAlign w:val="bottom"/>
            <w:tcBorders>
              <w:top w:val="single" w:sz="8" w:color="D64000"/>
              <w:bottom w:val="single" w:sz="8" w:color="auto"/>
            </w:tcBorders>
          </w:tcPr>
          <w:p>
            <w:pPr>
              <w:spacing w:after="0"/>
              <w:rPr>
                <w:sz w:val="20"/>
                <w:szCs w:val="20"/>
                <w:color w:val="auto"/>
              </w:rPr>
            </w:pPr>
            <w:r>
              <w:rPr>
                <w:rFonts w:ascii="Arial" w:cs="Arial" w:eastAsia="Arial" w:hAnsi="Arial"/>
                <w:sz w:val="16"/>
                <w:szCs w:val="16"/>
                <w:b w:val="1"/>
                <w:bCs w:val="1"/>
                <w:color w:val="auto"/>
              </w:rPr>
              <w:t>Date</w:t>
            </w:r>
          </w:p>
        </w:tc>
        <w:tc>
          <w:tcPr>
            <w:tcW w:w="2800" w:type="dxa"/>
            <w:vAlign w:val="bottom"/>
            <w:tcBorders>
              <w:top w:val="single" w:sz="8" w:color="D64000"/>
              <w:bottom w:val="single" w:sz="8" w:color="auto"/>
            </w:tcBorders>
          </w:tcPr>
          <w:p>
            <w:pPr>
              <w:ind w:left="600"/>
              <w:spacing w:after="0"/>
              <w:rPr>
                <w:sz w:val="20"/>
                <w:szCs w:val="20"/>
                <w:color w:val="auto"/>
              </w:rPr>
            </w:pPr>
            <w:r>
              <w:rPr>
                <w:rFonts w:ascii="Arial" w:cs="Arial" w:eastAsia="Arial" w:hAnsi="Arial"/>
                <w:sz w:val="16"/>
                <w:szCs w:val="16"/>
                <w:b w:val="1"/>
                <w:bCs w:val="1"/>
                <w:color w:val="auto"/>
              </w:rPr>
              <w:t>Company</w:t>
            </w:r>
          </w:p>
        </w:tc>
        <w:tc>
          <w:tcPr>
            <w:tcW w:w="2500" w:type="dxa"/>
            <w:vAlign w:val="bottom"/>
            <w:tcBorders>
              <w:top w:val="single" w:sz="8" w:color="D64000"/>
              <w:bottom w:val="single" w:sz="8" w:color="auto"/>
            </w:tcBorders>
          </w:tcPr>
          <w:p>
            <w:pPr>
              <w:ind w:left="60"/>
              <w:spacing w:after="0"/>
              <w:rPr>
                <w:sz w:val="20"/>
                <w:szCs w:val="20"/>
                <w:color w:val="auto"/>
              </w:rPr>
            </w:pPr>
            <w:r>
              <w:rPr>
                <w:rFonts w:ascii="Arial" w:cs="Arial" w:eastAsia="Arial" w:hAnsi="Arial"/>
                <w:sz w:val="16"/>
                <w:szCs w:val="16"/>
                <w:b w:val="1"/>
                <w:bCs w:val="1"/>
                <w:color w:val="auto"/>
              </w:rPr>
              <w:t>Acquiring Segments</w:t>
            </w:r>
          </w:p>
        </w:tc>
        <w:tc>
          <w:tcPr>
            <w:tcW w:w="3940" w:type="dxa"/>
            <w:vAlign w:val="bottom"/>
            <w:tcBorders>
              <w:top w:val="single" w:sz="8" w:color="D64000"/>
              <w:bottom w:val="single" w:sz="8" w:color="auto"/>
            </w:tcBorders>
          </w:tcPr>
          <w:p>
            <w:pPr>
              <w:ind w:left="60"/>
              <w:spacing w:after="0"/>
              <w:rPr>
                <w:sz w:val="20"/>
                <w:szCs w:val="20"/>
                <w:color w:val="auto"/>
              </w:rPr>
            </w:pPr>
            <w:r>
              <w:rPr>
                <w:rFonts w:ascii="Arial" w:cs="Arial" w:eastAsia="Arial" w:hAnsi="Arial"/>
                <w:sz w:val="16"/>
                <w:szCs w:val="16"/>
                <w:b w:val="1"/>
                <w:bCs w:val="1"/>
                <w:color w:val="auto"/>
              </w:rPr>
              <w:t>Description</w:t>
            </w:r>
          </w:p>
        </w:tc>
        <w:tc>
          <w:tcPr>
            <w:tcW w:w="20" w:type="dxa"/>
            <w:vAlign w:val="bottom"/>
          </w:tcPr>
          <w:p>
            <w:pPr>
              <w:spacing w:after="0"/>
              <w:rPr>
                <w:sz w:val="19"/>
                <w:szCs w:val="19"/>
                <w:color w:val="auto"/>
              </w:rPr>
            </w:pPr>
          </w:p>
        </w:tc>
      </w:tr>
      <w:tr>
        <w:trPr>
          <w:trHeight w:val="165"/>
        </w:trPr>
        <w:tc>
          <w:tcPr>
            <w:tcW w:w="1560" w:type="dxa"/>
            <w:vAlign w:val="bottom"/>
          </w:tcPr>
          <w:p>
            <w:pPr>
              <w:spacing w:after="0" w:line="165" w:lineRule="exact"/>
              <w:rPr>
                <w:sz w:val="20"/>
                <w:szCs w:val="20"/>
                <w:color w:val="auto"/>
              </w:rPr>
            </w:pPr>
            <w:r>
              <w:rPr>
                <w:rFonts w:ascii="Arial" w:cs="Arial" w:eastAsia="Arial" w:hAnsi="Arial"/>
                <w:sz w:val="16"/>
                <w:szCs w:val="16"/>
                <w:color w:val="auto"/>
              </w:rPr>
              <w:t>October 2024</w:t>
            </w:r>
          </w:p>
        </w:tc>
        <w:tc>
          <w:tcPr>
            <w:tcW w:w="2800" w:type="dxa"/>
            <w:vAlign w:val="bottom"/>
          </w:tcPr>
          <w:p>
            <w:pPr>
              <w:ind w:left="600"/>
              <w:spacing w:after="0" w:line="165" w:lineRule="exact"/>
              <w:rPr>
                <w:sz w:val="20"/>
                <w:szCs w:val="20"/>
                <w:color w:val="auto"/>
              </w:rPr>
            </w:pPr>
            <w:r>
              <w:rPr>
                <w:rFonts w:ascii="Arial" w:cs="Arial" w:eastAsia="Arial" w:hAnsi="Arial"/>
                <w:sz w:val="16"/>
                <w:szCs w:val="16"/>
                <w:color w:val="auto"/>
              </w:rPr>
              <w:t>Credere Technologies, Inc.,</w:t>
            </w:r>
          </w:p>
        </w:tc>
        <w:tc>
          <w:tcPr>
            <w:tcW w:w="2500" w:type="dxa"/>
            <w:vAlign w:val="bottom"/>
          </w:tcPr>
          <w:p>
            <w:pPr>
              <w:ind w:left="60"/>
              <w:spacing w:after="0" w:line="165" w:lineRule="exact"/>
              <w:rPr>
                <w:sz w:val="20"/>
                <w:szCs w:val="20"/>
                <w:color w:val="auto"/>
              </w:rPr>
            </w:pPr>
            <w:r>
              <w:rPr>
                <w:rFonts w:ascii="Arial" w:cs="Arial" w:eastAsia="Arial" w:hAnsi="Arial"/>
                <w:sz w:val="16"/>
                <w:szCs w:val="16"/>
                <w:color w:val="auto"/>
              </w:rPr>
              <w:t>Tax &amp; Accounting Professionals</w:t>
            </w:r>
          </w:p>
        </w:tc>
        <w:tc>
          <w:tcPr>
            <w:tcW w:w="3940" w:type="dxa"/>
            <w:vAlign w:val="bottom"/>
          </w:tcPr>
          <w:p>
            <w:pPr>
              <w:ind w:left="60"/>
              <w:spacing w:after="0" w:line="165" w:lineRule="exact"/>
              <w:rPr>
                <w:sz w:val="20"/>
                <w:szCs w:val="20"/>
                <w:color w:val="auto"/>
              </w:rPr>
            </w:pPr>
            <w:r>
              <w:rPr>
                <w:rFonts w:ascii="Arial" w:cs="Arial" w:eastAsia="Arial" w:hAnsi="Arial"/>
                <w:sz w:val="16"/>
                <w:szCs w:val="16"/>
                <w:color w:val="auto"/>
              </w:rPr>
              <w:t>Specializes in the development of an agentic artificial</w:t>
            </w:r>
          </w:p>
        </w:tc>
        <w:tc>
          <w:tcPr>
            <w:tcW w:w="20" w:type="dxa"/>
            <w:vAlign w:val="bottom"/>
          </w:tcPr>
          <w:p>
            <w:pPr>
              <w:spacing w:after="0"/>
              <w:rPr>
                <w:sz w:val="14"/>
                <w:szCs w:val="14"/>
                <w:color w:val="auto"/>
              </w:rPr>
            </w:pPr>
          </w:p>
        </w:tc>
      </w:tr>
      <w:tr>
        <w:trPr>
          <w:trHeight w:val="185"/>
        </w:trPr>
        <w:tc>
          <w:tcPr>
            <w:tcW w:w="1560" w:type="dxa"/>
            <w:vAlign w:val="bottom"/>
          </w:tcPr>
          <w:p>
            <w:pPr>
              <w:spacing w:after="0"/>
              <w:rPr>
                <w:sz w:val="16"/>
                <w:szCs w:val="16"/>
                <w:color w:val="auto"/>
              </w:rPr>
            </w:pPr>
          </w:p>
        </w:tc>
        <w:tc>
          <w:tcPr>
            <w:tcW w:w="2800" w:type="dxa"/>
            <w:vAlign w:val="bottom"/>
          </w:tcPr>
          <w:p>
            <w:pPr>
              <w:ind w:left="600"/>
              <w:spacing w:after="0"/>
              <w:rPr>
                <w:sz w:val="20"/>
                <w:szCs w:val="20"/>
                <w:color w:val="auto"/>
              </w:rPr>
            </w:pPr>
            <w:r>
              <w:rPr>
                <w:rFonts w:ascii="Arial" w:cs="Arial" w:eastAsia="Arial" w:hAnsi="Arial"/>
                <w:sz w:val="16"/>
                <w:szCs w:val="16"/>
                <w:color w:val="auto"/>
              </w:rPr>
              <w:t>doing business as Materia</w:t>
            </w:r>
          </w:p>
        </w:tc>
        <w:tc>
          <w:tcPr>
            <w:tcW w:w="2500" w:type="dxa"/>
            <w:vAlign w:val="bottom"/>
          </w:tcPr>
          <w:p>
            <w:pPr>
              <w:spacing w:after="0"/>
              <w:rPr>
                <w:sz w:val="16"/>
                <w:szCs w:val="16"/>
                <w:color w:val="auto"/>
              </w:rPr>
            </w:pPr>
          </w:p>
        </w:tc>
        <w:tc>
          <w:tcPr>
            <w:tcW w:w="3960" w:type="dxa"/>
            <w:vAlign w:val="bottom"/>
            <w:gridSpan w:val="2"/>
          </w:tcPr>
          <w:p>
            <w:pPr>
              <w:ind w:left="60"/>
              <w:spacing w:after="0"/>
              <w:rPr>
                <w:sz w:val="20"/>
                <w:szCs w:val="20"/>
                <w:color w:val="auto"/>
              </w:rPr>
            </w:pPr>
            <w:r>
              <w:rPr>
                <w:rFonts w:ascii="Arial" w:cs="Arial" w:eastAsia="Arial" w:hAnsi="Arial"/>
                <w:sz w:val="16"/>
                <w:szCs w:val="16"/>
                <w:color w:val="auto"/>
              </w:rPr>
              <w:t>intelligence assistant for the tax, audit and accounting</w:t>
            </w:r>
          </w:p>
        </w:tc>
      </w:tr>
      <w:tr>
        <w:trPr>
          <w:trHeight w:val="200"/>
        </w:trPr>
        <w:tc>
          <w:tcPr>
            <w:tcW w:w="15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960" w:type="dxa"/>
            <w:vAlign w:val="bottom"/>
            <w:gridSpan w:val="2"/>
          </w:tcPr>
          <w:p>
            <w:pPr>
              <w:ind w:left="60"/>
              <w:spacing w:after="0"/>
              <w:rPr>
                <w:sz w:val="20"/>
                <w:szCs w:val="20"/>
                <w:color w:val="auto"/>
              </w:rPr>
            </w:pPr>
            <w:r>
              <w:rPr>
                <w:rFonts w:ascii="Arial" w:cs="Arial" w:eastAsia="Arial" w:hAnsi="Arial"/>
                <w:sz w:val="16"/>
                <w:szCs w:val="16"/>
                <w:color w:val="auto"/>
              </w:rPr>
              <w:t>profession.</w:t>
            </w:r>
          </w:p>
        </w:tc>
      </w:tr>
      <w:tr>
        <w:trPr>
          <w:trHeight w:val="165"/>
        </w:trPr>
        <w:tc>
          <w:tcPr>
            <w:tcW w:w="1560" w:type="dxa"/>
            <w:vAlign w:val="bottom"/>
            <w:tcBorders>
              <w:top w:val="single" w:sz="8" w:color="404040"/>
            </w:tcBorders>
          </w:tcPr>
          <w:p>
            <w:pPr>
              <w:spacing w:after="0" w:line="165" w:lineRule="exact"/>
              <w:rPr>
                <w:sz w:val="20"/>
                <w:szCs w:val="20"/>
                <w:color w:val="auto"/>
              </w:rPr>
            </w:pPr>
            <w:r>
              <w:rPr>
                <w:rFonts w:ascii="Arial" w:cs="Arial" w:eastAsia="Arial" w:hAnsi="Arial"/>
                <w:sz w:val="16"/>
                <w:szCs w:val="16"/>
                <w:color w:val="auto"/>
              </w:rPr>
              <w:t>January 2024</w:t>
            </w:r>
          </w:p>
        </w:tc>
        <w:tc>
          <w:tcPr>
            <w:tcW w:w="2800" w:type="dxa"/>
            <w:vAlign w:val="bottom"/>
            <w:tcBorders>
              <w:top w:val="single" w:sz="8" w:color="404040"/>
            </w:tcBorders>
          </w:tcPr>
          <w:p>
            <w:pPr>
              <w:ind w:left="600"/>
              <w:spacing w:after="0" w:line="165" w:lineRule="exact"/>
              <w:rPr>
                <w:sz w:val="20"/>
                <w:szCs w:val="20"/>
                <w:color w:val="auto"/>
              </w:rPr>
            </w:pPr>
            <w:r>
              <w:rPr>
                <w:rFonts w:ascii="Arial" w:cs="Arial" w:eastAsia="Arial" w:hAnsi="Arial"/>
                <w:sz w:val="16"/>
                <w:szCs w:val="16"/>
                <w:color w:val="auto"/>
              </w:rPr>
              <w:t>Pagero Group AB (publ)</w:t>
            </w:r>
          </w:p>
        </w:tc>
        <w:tc>
          <w:tcPr>
            <w:tcW w:w="2500" w:type="dxa"/>
            <w:vAlign w:val="bottom"/>
            <w:tcBorders>
              <w:top w:val="single" w:sz="8" w:color="404040"/>
            </w:tcBorders>
          </w:tcPr>
          <w:p>
            <w:pPr>
              <w:ind w:left="60"/>
              <w:spacing w:after="0" w:line="165" w:lineRule="exact"/>
              <w:rPr>
                <w:sz w:val="20"/>
                <w:szCs w:val="20"/>
                <w:color w:val="auto"/>
              </w:rPr>
            </w:pPr>
            <w:r>
              <w:rPr>
                <w:rFonts w:ascii="Arial" w:cs="Arial" w:eastAsia="Arial" w:hAnsi="Arial"/>
                <w:sz w:val="16"/>
                <w:szCs w:val="16"/>
                <w:color w:val="auto"/>
              </w:rPr>
              <w:t>Corporates</w:t>
            </w:r>
          </w:p>
        </w:tc>
        <w:tc>
          <w:tcPr>
            <w:tcW w:w="3940" w:type="dxa"/>
            <w:vAlign w:val="bottom"/>
            <w:tcBorders>
              <w:top w:val="single" w:sz="8" w:color="404040"/>
            </w:tcBorders>
          </w:tcPr>
          <w:p>
            <w:pPr>
              <w:ind w:left="60"/>
              <w:spacing w:after="0" w:line="165" w:lineRule="exact"/>
              <w:rPr>
                <w:sz w:val="20"/>
                <w:szCs w:val="20"/>
                <w:color w:val="auto"/>
              </w:rPr>
            </w:pPr>
            <w:r>
              <w:rPr>
                <w:rFonts w:ascii="Arial" w:cs="Arial" w:eastAsia="Arial" w:hAnsi="Arial"/>
                <w:sz w:val="16"/>
                <w:szCs w:val="16"/>
                <w:color w:val="auto"/>
                <w:w w:val="99"/>
              </w:rPr>
              <w:t>A global leader in e-invoicing and indirect tax solutions,</w:t>
            </w:r>
          </w:p>
        </w:tc>
        <w:tc>
          <w:tcPr>
            <w:tcW w:w="20" w:type="dxa"/>
            <w:vAlign w:val="bottom"/>
          </w:tcPr>
          <w:p>
            <w:pPr>
              <w:spacing w:after="0"/>
              <w:rPr>
                <w:sz w:val="14"/>
                <w:szCs w:val="14"/>
                <w:color w:val="auto"/>
              </w:rPr>
            </w:pPr>
          </w:p>
        </w:tc>
      </w:tr>
      <w:tr>
        <w:trPr>
          <w:trHeight w:val="200"/>
        </w:trPr>
        <w:tc>
          <w:tcPr>
            <w:tcW w:w="1560" w:type="dxa"/>
            <w:vAlign w:val="bottom"/>
          </w:tcPr>
          <w:p>
            <w:pPr>
              <w:spacing w:after="0"/>
              <w:rPr>
                <w:sz w:val="17"/>
                <w:szCs w:val="17"/>
                <w:color w:val="auto"/>
              </w:rPr>
            </w:pPr>
          </w:p>
        </w:tc>
        <w:tc>
          <w:tcPr>
            <w:tcW w:w="2800" w:type="dxa"/>
            <w:vAlign w:val="bottom"/>
          </w:tcPr>
          <w:p>
            <w:pPr>
              <w:ind w:left="600"/>
              <w:spacing w:after="0"/>
              <w:rPr>
                <w:sz w:val="20"/>
                <w:szCs w:val="20"/>
                <w:color w:val="auto"/>
              </w:rPr>
            </w:pPr>
            <w:r>
              <w:rPr>
                <w:rFonts w:ascii="Arial" w:cs="Arial" w:eastAsia="Arial" w:hAnsi="Arial"/>
                <w:sz w:val="16"/>
                <w:szCs w:val="16"/>
                <w:color w:val="auto"/>
              </w:rPr>
              <w:t>(“Pagero”)</w:t>
            </w:r>
          </w:p>
        </w:tc>
        <w:tc>
          <w:tcPr>
            <w:tcW w:w="2500" w:type="dxa"/>
            <w:vAlign w:val="bottom"/>
          </w:tcPr>
          <w:p>
            <w:pPr>
              <w:spacing w:after="0"/>
              <w:rPr>
                <w:sz w:val="17"/>
                <w:szCs w:val="17"/>
                <w:color w:val="auto"/>
              </w:rPr>
            </w:pPr>
          </w:p>
        </w:tc>
        <w:tc>
          <w:tcPr>
            <w:tcW w:w="3960" w:type="dxa"/>
            <w:vAlign w:val="bottom"/>
            <w:gridSpan w:val="2"/>
          </w:tcPr>
          <w:p>
            <w:pPr>
              <w:ind w:left="60"/>
              <w:spacing w:after="0"/>
              <w:rPr>
                <w:sz w:val="20"/>
                <w:szCs w:val="20"/>
                <w:color w:val="auto"/>
              </w:rPr>
            </w:pPr>
            <w:r>
              <w:rPr>
                <w:rFonts w:ascii="Arial" w:cs="Arial" w:eastAsia="Arial" w:hAnsi="Arial"/>
                <w:sz w:val="16"/>
                <w:szCs w:val="16"/>
                <w:color w:val="auto"/>
              </w:rPr>
              <w:t>which it delivers through its Smart Business Network.</w:t>
            </w:r>
          </w:p>
        </w:tc>
      </w:tr>
      <w:tr>
        <w:trPr>
          <w:trHeight w:val="165"/>
        </w:trPr>
        <w:tc>
          <w:tcPr>
            <w:tcW w:w="1560" w:type="dxa"/>
            <w:vAlign w:val="bottom"/>
            <w:tcBorders>
              <w:top w:val="single" w:sz="8" w:color="404040"/>
            </w:tcBorders>
          </w:tcPr>
          <w:p>
            <w:pPr>
              <w:spacing w:after="0" w:line="165" w:lineRule="exact"/>
              <w:rPr>
                <w:sz w:val="20"/>
                <w:szCs w:val="20"/>
                <w:color w:val="auto"/>
              </w:rPr>
            </w:pPr>
            <w:r>
              <w:rPr>
                <w:rFonts w:ascii="Arial" w:cs="Arial" w:eastAsia="Arial" w:hAnsi="Arial"/>
                <w:sz w:val="16"/>
                <w:szCs w:val="16"/>
                <w:color w:val="auto"/>
              </w:rPr>
              <w:t>January 2024</w:t>
            </w:r>
          </w:p>
        </w:tc>
        <w:tc>
          <w:tcPr>
            <w:tcW w:w="2800" w:type="dxa"/>
            <w:vAlign w:val="bottom"/>
            <w:tcBorders>
              <w:top w:val="single" w:sz="8" w:color="404040"/>
            </w:tcBorders>
          </w:tcPr>
          <w:p>
            <w:pPr>
              <w:ind w:left="600"/>
              <w:spacing w:after="0" w:line="165" w:lineRule="exact"/>
              <w:rPr>
                <w:sz w:val="20"/>
                <w:szCs w:val="20"/>
                <w:color w:val="auto"/>
              </w:rPr>
            </w:pPr>
            <w:r>
              <w:rPr>
                <w:rFonts w:ascii="Arial" w:cs="Arial" w:eastAsia="Arial" w:hAnsi="Arial"/>
                <w:sz w:val="16"/>
                <w:szCs w:val="16"/>
                <w:color w:val="auto"/>
              </w:rPr>
              <w:t>World Business Media Limited</w:t>
            </w:r>
          </w:p>
        </w:tc>
        <w:tc>
          <w:tcPr>
            <w:tcW w:w="2500" w:type="dxa"/>
            <w:vAlign w:val="bottom"/>
            <w:tcBorders>
              <w:top w:val="single" w:sz="8" w:color="404040"/>
            </w:tcBorders>
          </w:tcPr>
          <w:p>
            <w:pPr>
              <w:ind w:left="60"/>
              <w:spacing w:after="0" w:line="165" w:lineRule="exact"/>
              <w:rPr>
                <w:sz w:val="20"/>
                <w:szCs w:val="20"/>
                <w:color w:val="auto"/>
              </w:rPr>
            </w:pPr>
            <w:r>
              <w:rPr>
                <w:rFonts w:ascii="Arial" w:cs="Arial" w:eastAsia="Arial" w:hAnsi="Arial"/>
                <w:sz w:val="16"/>
                <w:szCs w:val="16"/>
                <w:color w:val="auto"/>
              </w:rPr>
              <w:t>Reuters News</w:t>
            </w:r>
          </w:p>
        </w:tc>
        <w:tc>
          <w:tcPr>
            <w:tcW w:w="3940" w:type="dxa"/>
            <w:vAlign w:val="bottom"/>
            <w:tcBorders>
              <w:top w:val="single" w:sz="8" w:color="404040"/>
            </w:tcBorders>
          </w:tcPr>
          <w:p>
            <w:pPr>
              <w:ind w:left="60"/>
              <w:spacing w:after="0" w:line="165" w:lineRule="exact"/>
              <w:rPr>
                <w:sz w:val="20"/>
                <w:szCs w:val="20"/>
                <w:color w:val="auto"/>
              </w:rPr>
            </w:pPr>
            <w:r>
              <w:rPr>
                <w:rFonts w:ascii="Arial" w:cs="Arial" w:eastAsia="Arial" w:hAnsi="Arial"/>
                <w:sz w:val="16"/>
                <w:szCs w:val="16"/>
                <w:color w:val="auto"/>
              </w:rPr>
              <w:t>A cross-platform, subscription-based provider of</w:t>
            </w:r>
          </w:p>
        </w:tc>
        <w:tc>
          <w:tcPr>
            <w:tcW w:w="20" w:type="dxa"/>
            <w:vAlign w:val="bottom"/>
          </w:tcPr>
          <w:p>
            <w:pPr>
              <w:spacing w:after="0"/>
              <w:rPr>
                <w:sz w:val="14"/>
                <w:szCs w:val="14"/>
                <w:color w:val="auto"/>
              </w:rPr>
            </w:pPr>
          </w:p>
        </w:tc>
      </w:tr>
      <w:tr>
        <w:trPr>
          <w:trHeight w:val="185"/>
        </w:trPr>
        <w:tc>
          <w:tcPr>
            <w:tcW w:w="1560" w:type="dxa"/>
            <w:vAlign w:val="bottom"/>
          </w:tcPr>
          <w:p>
            <w:pPr>
              <w:spacing w:after="0"/>
              <w:rPr>
                <w:sz w:val="16"/>
                <w:szCs w:val="16"/>
                <w:color w:val="auto"/>
              </w:rPr>
            </w:pPr>
          </w:p>
        </w:tc>
        <w:tc>
          <w:tcPr>
            <w:tcW w:w="2800" w:type="dxa"/>
            <w:vAlign w:val="bottom"/>
          </w:tcPr>
          <w:p>
            <w:pPr>
              <w:ind w:left="600"/>
              <w:spacing w:after="0"/>
              <w:rPr>
                <w:sz w:val="20"/>
                <w:szCs w:val="20"/>
                <w:color w:val="auto"/>
              </w:rPr>
            </w:pPr>
            <w:r>
              <w:rPr>
                <w:rFonts w:ascii="Arial" w:cs="Arial" w:eastAsia="Arial" w:hAnsi="Arial"/>
                <w:sz w:val="16"/>
                <w:szCs w:val="16"/>
                <w:color w:val="auto"/>
              </w:rPr>
              <w:t>(“The Insurer”)</w:t>
            </w:r>
          </w:p>
        </w:tc>
        <w:tc>
          <w:tcPr>
            <w:tcW w:w="2500" w:type="dxa"/>
            <w:vAlign w:val="bottom"/>
          </w:tcPr>
          <w:p>
            <w:pPr>
              <w:spacing w:after="0"/>
              <w:rPr>
                <w:sz w:val="16"/>
                <w:szCs w:val="16"/>
                <w:color w:val="auto"/>
              </w:rPr>
            </w:pPr>
          </w:p>
        </w:tc>
        <w:tc>
          <w:tcPr>
            <w:tcW w:w="3960" w:type="dxa"/>
            <w:vAlign w:val="bottom"/>
            <w:gridSpan w:val="2"/>
          </w:tcPr>
          <w:p>
            <w:pPr>
              <w:ind w:left="60"/>
              <w:spacing w:after="0"/>
              <w:rPr>
                <w:sz w:val="20"/>
                <w:szCs w:val="20"/>
                <w:color w:val="auto"/>
              </w:rPr>
            </w:pPr>
            <w:r>
              <w:rPr>
                <w:rFonts w:ascii="Arial" w:cs="Arial" w:eastAsia="Arial" w:hAnsi="Arial"/>
                <w:sz w:val="16"/>
                <w:szCs w:val="16"/>
                <w:color w:val="auto"/>
              </w:rPr>
              <w:t>editorial coverage for the global P&amp;C and specialty</w:t>
            </w:r>
          </w:p>
        </w:tc>
      </w:tr>
      <w:tr>
        <w:trPr>
          <w:trHeight w:val="200"/>
        </w:trPr>
        <w:tc>
          <w:tcPr>
            <w:tcW w:w="15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960" w:type="dxa"/>
            <w:vAlign w:val="bottom"/>
            <w:gridSpan w:val="2"/>
          </w:tcPr>
          <w:p>
            <w:pPr>
              <w:ind w:left="60"/>
              <w:spacing w:after="0"/>
              <w:rPr>
                <w:sz w:val="20"/>
                <w:szCs w:val="20"/>
                <w:color w:val="auto"/>
              </w:rPr>
            </w:pPr>
            <w:r>
              <w:rPr>
                <w:rFonts w:ascii="Arial" w:cs="Arial" w:eastAsia="Arial" w:hAnsi="Arial"/>
                <w:sz w:val="16"/>
                <w:szCs w:val="16"/>
                <w:color w:val="auto"/>
              </w:rPr>
              <w:t>(re)insurance industry.</w:t>
            </w:r>
          </w:p>
        </w:tc>
      </w:tr>
      <w:tr>
        <w:trPr>
          <w:trHeight w:val="165"/>
        </w:trPr>
        <w:tc>
          <w:tcPr>
            <w:tcW w:w="1560" w:type="dxa"/>
            <w:vAlign w:val="bottom"/>
            <w:tcBorders>
              <w:top w:val="single" w:sz="8" w:color="404040"/>
            </w:tcBorders>
          </w:tcPr>
          <w:p>
            <w:pPr>
              <w:spacing w:after="0" w:line="165" w:lineRule="exact"/>
              <w:rPr>
                <w:sz w:val="20"/>
                <w:szCs w:val="20"/>
                <w:color w:val="auto"/>
              </w:rPr>
            </w:pPr>
            <w:r>
              <w:rPr>
                <w:rFonts w:ascii="Arial" w:cs="Arial" w:eastAsia="Arial" w:hAnsi="Arial"/>
                <w:sz w:val="16"/>
                <w:szCs w:val="16"/>
                <w:color w:val="auto"/>
              </w:rPr>
              <w:t>August 2023</w:t>
            </w:r>
          </w:p>
        </w:tc>
        <w:tc>
          <w:tcPr>
            <w:tcW w:w="2800" w:type="dxa"/>
            <w:vAlign w:val="bottom"/>
            <w:tcBorders>
              <w:top w:val="single" w:sz="8" w:color="404040"/>
            </w:tcBorders>
          </w:tcPr>
          <w:p>
            <w:pPr>
              <w:ind w:left="600"/>
              <w:spacing w:after="0" w:line="165" w:lineRule="exact"/>
              <w:rPr>
                <w:sz w:val="20"/>
                <w:szCs w:val="20"/>
                <w:color w:val="auto"/>
              </w:rPr>
            </w:pPr>
            <w:r>
              <w:rPr>
                <w:rFonts w:ascii="Arial" w:cs="Arial" w:eastAsia="Arial" w:hAnsi="Arial"/>
                <w:sz w:val="16"/>
                <w:szCs w:val="16"/>
                <w:color w:val="auto"/>
              </w:rPr>
              <w:t>Casetext, Inc.</w:t>
            </w:r>
          </w:p>
        </w:tc>
        <w:tc>
          <w:tcPr>
            <w:tcW w:w="2500" w:type="dxa"/>
            <w:vAlign w:val="bottom"/>
            <w:tcBorders>
              <w:top w:val="single" w:sz="8" w:color="404040"/>
            </w:tcBorders>
          </w:tcPr>
          <w:p>
            <w:pPr>
              <w:ind w:left="60"/>
              <w:spacing w:after="0" w:line="165" w:lineRule="exact"/>
              <w:rPr>
                <w:sz w:val="20"/>
                <w:szCs w:val="20"/>
                <w:color w:val="auto"/>
              </w:rPr>
            </w:pPr>
            <w:r>
              <w:rPr>
                <w:rFonts w:ascii="Arial" w:cs="Arial" w:eastAsia="Arial" w:hAnsi="Arial"/>
                <w:sz w:val="16"/>
                <w:szCs w:val="16"/>
                <w:color w:val="auto"/>
              </w:rPr>
              <w:t>Legal Professionals</w:t>
            </w:r>
          </w:p>
        </w:tc>
        <w:tc>
          <w:tcPr>
            <w:tcW w:w="3940" w:type="dxa"/>
            <w:vAlign w:val="bottom"/>
            <w:tcBorders>
              <w:top w:val="single" w:sz="8" w:color="404040"/>
            </w:tcBorders>
          </w:tcPr>
          <w:p>
            <w:pPr>
              <w:ind w:left="60"/>
              <w:spacing w:after="0" w:line="165" w:lineRule="exact"/>
              <w:rPr>
                <w:sz w:val="20"/>
                <w:szCs w:val="20"/>
                <w:color w:val="auto"/>
              </w:rPr>
            </w:pPr>
            <w:r>
              <w:rPr>
                <w:rFonts w:ascii="Arial" w:cs="Arial" w:eastAsia="Arial" w:hAnsi="Arial"/>
                <w:sz w:val="16"/>
                <w:szCs w:val="16"/>
                <w:color w:val="auto"/>
                <w:w w:val="99"/>
              </w:rPr>
              <w:t>A business that uses artificial intelligence and machine</w:t>
            </w:r>
          </w:p>
        </w:tc>
        <w:tc>
          <w:tcPr>
            <w:tcW w:w="20" w:type="dxa"/>
            <w:vAlign w:val="bottom"/>
          </w:tcPr>
          <w:p>
            <w:pPr>
              <w:spacing w:after="0"/>
              <w:rPr>
                <w:sz w:val="14"/>
                <w:szCs w:val="14"/>
                <w:color w:val="auto"/>
              </w:rPr>
            </w:pPr>
          </w:p>
        </w:tc>
      </w:tr>
      <w:tr>
        <w:trPr>
          <w:trHeight w:val="185"/>
        </w:trPr>
        <w:tc>
          <w:tcPr>
            <w:tcW w:w="15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960" w:type="dxa"/>
            <w:vAlign w:val="bottom"/>
            <w:gridSpan w:val="2"/>
          </w:tcPr>
          <w:p>
            <w:pPr>
              <w:ind w:left="60"/>
              <w:spacing w:after="0"/>
              <w:rPr>
                <w:sz w:val="20"/>
                <w:szCs w:val="20"/>
                <w:color w:val="auto"/>
              </w:rPr>
            </w:pPr>
            <w:r>
              <w:rPr>
                <w:rFonts w:ascii="Arial" w:cs="Arial" w:eastAsia="Arial" w:hAnsi="Arial"/>
                <w:sz w:val="16"/>
                <w:szCs w:val="16"/>
                <w:color w:val="auto"/>
              </w:rPr>
              <w:t>learning to enable legal professionals to work more</w:t>
            </w:r>
          </w:p>
        </w:tc>
      </w:tr>
      <w:tr>
        <w:trPr>
          <w:trHeight w:val="200"/>
        </w:trPr>
        <w:tc>
          <w:tcPr>
            <w:tcW w:w="15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960" w:type="dxa"/>
            <w:vAlign w:val="bottom"/>
            <w:gridSpan w:val="2"/>
          </w:tcPr>
          <w:p>
            <w:pPr>
              <w:ind w:left="60"/>
              <w:spacing w:after="0"/>
              <w:rPr>
                <w:sz w:val="20"/>
                <w:szCs w:val="20"/>
                <w:color w:val="auto"/>
              </w:rPr>
            </w:pPr>
            <w:r>
              <w:rPr>
                <w:rFonts w:ascii="Arial" w:cs="Arial" w:eastAsia="Arial" w:hAnsi="Arial"/>
                <w:sz w:val="16"/>
                <w:szCs w:val="16"/>
                <w:color w:val="auto"/>
              </w:rPr>
              <w:t>efficiently.</w:t>
            </w:r>
          </w:p>
        </w:tc>
      </w:tr>
      <w:tr>
        <w:trPr>
          <w:trHeight w:val="179"/>
        </w:trPr>
        <w:tc>
          <w:tcPr>
            <w:tcW w:w="1560" w:type="dxa"/>
            <w:vAlign w:val="bottom"/>
            <w:tcBorders>
              <w:top w:val="single" w:sz="8" w:color="404040"/>
              <w:bottom w:val="single" w:sz="8" w:color="404040"/>
            </w:tcBorders>
          </w:tcPr>
          <w:p>
            <w:pPr>
              <w:spacing w:after="0" w:line="179" w:lineRule="exact"/>
              <w:rPr>
                <w:sz w:val="20"/>
                <w:szCs w:val="20"/>
                <w:color w:val="auto"/>
              </w:rPr>
            </w:pPr>
            <w:r>
              <w:rPr>
                <w:rFonts w:ascii="Arial" w:cs="Arial" w:eastAsia="Arial" w:hAnsi="Arial"/>
                <w:sz w:val="16"/>
                <w:szCs w:val="16"/>
                <w:color w:val="auto"/>
              </w:rPr>
              <w:t>July 2023</w:t>
            </w:r>
          </w:p>
        </w:tc>
        <w:tc>
          <w:tcPr>
            <w:tcW w:w="2800" w:type="dxa"/>
            <w:vAlign w:val="bottom"/>
            <w:tcBorders>
              <w:top w:val="single" w:sz="8" w:color="404040"/>
              <w:bottom w:val="single" w:sz="8" w:color="404040"/>
            </w:tcBorders>
          </w:tcPr>
          <w:p>
            <w:pPr>
              <w:ind w:left="600"/>
              <w:spacing w:after="0" w:line="179" w:lineRule="exact"/>
              <w:rPr>
                <w:sz w:val="20"/>
                <w:szCs w:val="20"/>
                <w:color w:val="auto"/>
              </w:rPr>
            </w:pPr>
            <w:r>
              <w:rPr>
                <w:rFonts w:ascii="Arial" w:cs="Arial" w:eastAsia="Arial" w:hAnsi="Arial"/>
                <w:sz w:val="16"/>
                <w:szCs w:val="16"/>
                <w:color w:val="auto"/>
              </w:rPr>
              <w:t>Imagen Ltd</w:t>
            </w:r>
          </w:p>
        </w:tc>
        <w:tc>
          <w:tcPr>
            <w:tcW w:w="2500" w:type="dxa"/>
            <w:vAlign w:val="bottom"/>
            <w:tcBorders>
              <w:top w:val="single" w:sz="8" w:color="404040"/>
              <w:bottom w:val="single" w:sz="8" w:color="404040"/>
            </w:tcBorders>
          </w:tcPr>
          <w:p>
            <w:pPr>
              <w:ind w:left="60"/>
              <w:spacing w:after="0" w:line="179" w:lineRule="exact"/>
              <w:rPr>
                <w:sz w:val="20"/>
                <w:szCs w:val="20"/>
                <w:color w:val="auto"/>
              </w:rPr>
            </w:pPr>
            <w:r>
              <w:rPr>
                <w:rFonts w:ascii="Arial" w:cs="Arial" w:eastAsia="Arial" w:hAnsi="Arial"/>
                <w:sz w:val="16"/>
                <w:szCs w:val="16"/>
                <w:color w:val="auto"/>
              </w:rPr>
              <w:t>Reuters News</w:t>
            </w:r>
          </w:p>
        </w:tc>
        <w:tc>
          <w:tcPr>
            <w:tcW w:w="3940" w:type="dxa"/>
            <w:vAlign w:val="bottom"/>
            <w:tcBorders>
              <w:top w:val="single" w:sz="8" w:color="404040"/>
              <w:bottom w:val="single" w:sz="8" w:color="404040"/>
            </w:tcBorders>
          </w:tcPr>
          <w:p>
            <w:pPr>
              <w:ind w:left="60"/>
              <w:spacing w:after="0" w:line="179" w:lineRule="exact"/>
              <w:rPr>
                <w:sz w:val="20"/>
                <w:szCs w:val="20"/>
                <w:color w:val="auto"/>
              </w:rPr>
            </w:pPr>
            <w:r>
              <w:rPr>
                <w:rFonts w:ascii="Arial" w:cs="Arial" w:eastAsia="Arial" w:hAnsi="Arial"/>
                <w:sz w:val="16"/>
                <w:szCs w:val="16"/>
                <w:color w:val="auto"/>
              </w:rPr>
              <w:t>A media asset management company.</w:t>
            </w:r>
          </w:p>
        </w:tc>
        <w:tc>
          <w:tcPr>
            <w:tcW w:w="20" w:type="dxa"/>
            <w:vAlign w:val="bottom"/>
          </w:tcPr>
          <w:p>
            <w:pPr>
              <w:spacing w:after="0"/>
              <w:rPr>
                <w:sz w:val="15"/>
                <w:szCs w:val="15"/>
                <w:color w:val="auto"/>
              </w:rPr>
            </w:pPr>
          </w:p>
        </w:tc>
      </w:tr>
      <w:tr>
        <w:trPr>
          <w:trHeight w:val="165"/>
        </w:trPr>
        <w:tc>
          <w:tcPr>
            <w:tcW w:w="1560" w:type="dxa"/>
            <w:vAlign w:val="bottom"/>
          </w:tcPr>
          <w:p>
            <w:pPr>
              <w:spacing w:after="0" w:line="165" w:lineRule="exact"/>
              <w:rPr>
                <w:sz w:val="20"/>
                <w:szCs w:val="20"/>
                <w:color w:val="auto"/>
              </w:rPr>
            </w:pPr>
            <w:r>
              <w:rPr>
                <w:rFonts w:ascii="Arial" w:cs="Arial" w:eastAsia="Arial" w:hAnsi="Arial"/>
                <w:sz w:val="16"/>
                <w:szCs w:val="16"/>
                <w:color w:val="auto"/>
              </w:rPr>
              <w:t>January 2023</w:t>
            </w:r>
          </w:p>
        </w:tc>
        <w:tc>
          <w:tcPr>
            <w:tcW w:w="2800" w:type="dxa"/>
            <w:vAlign w:val="bottom"/>
          </w:tcPr>
          <w:p>
            <w:pPr>
              <w:ind w:left="600"/>
              <w:spacing w:after="0" w:line="165" w:lineRule="exact"/>
              <w:rPr>
                <w:sz w:val="20"/>
                <w:szCs w:val="20"/>
                <w:color w:val="auto"/>
              </w:rPr>
            </w:pPr>
            <w:r>
              <w:rPr>
                <w:rFonts w:ascii="Arial" w:cs="Arial" w:eastAsia="Arial" w:hAnsi="Arial"/>
                <w:sz w:val="16"/>
                <w:szCs w:val="16"/>
                <w:color w:val="auto"/>
              </w:rPr>
              <w:t>SurePrep LLC</w:t>
            </w:r>
          </w:p>
        </w:tc>
        <w:tc>
          <w:tcPr>
            <w:tcW w:w="2500" w:type="dxa"/>
            <w:vAlign w:val="bottom"/>
          </w:tcPr>
          <w:p>
            <w:pPr>
              <w:ind w:left="60"/>
              <w:spacing w:after="0" w:line="165" w:lineRule="exact"/>
              <w:rPr>
                <w:sz w:val="20"/>
                <w:szCs w:val="20"/>
                <w:color w:val="auto"/>
              </w:rPr>
            </w:pPr>
            <w:r>
              <w:rPr>
                <w:rFonts w:ascii="Arial" w:cs="Arial" w:eastAsia="Arial" w:hAnsi="Arial"/>
                <w:sz w:val="16"/>
                <w:szCs w:val="16"/>
                <w:color w:val="auto"/>
              </w:rPr>
              <w:t>Corporates and Tax &amp; Accounting</w:t>
            </w:r>
          </w:p>
        </w:tc>
        <w:tc>
          <w:tcPr>
            <w:tcW w:w="3940" w:type="dxa"/>
            <w:vAlign w:val="bottom"/>
          </w:tcPr>
          <w:p>
            <w:pPr>
              <w:ind w:left="60"/>
              <w:spacing w:after="0" w:line="165" w:lineRule="exact"/>
              <w:rPr>
                <w:sz w:val="20"/>
                <w:szCs w:val="20"/>
                <w:color w:val="auto"/>
              </w:rPr>
            </w:pPr>
            <w:r>
              <w:rPr>
                <w:rFonts w:ascii="Arial" w:cs="Arial" w:eastAsia="Arial" w:hAnsi="Arial"/>
                <w:sz w:val="16"/>
                <w:szCs w:val="16"/>
                <w:color w:val="auto"/>
              </w:rPr>
              <w:t>A provider of tax automation software and services.</w:t>
            </w:r>
          </w:p>
        </w:tc>
        <w:tc>
          <w:tcPr>
            <w:tcW w:w="20" w:type="dxa"/>
            <w:vAlign w:val="bottom"/>
          </w:tcPr>
          <w:p>
            <w:pPr>
              <w:spacing w:after="0"/>
              <w:rPr>
                <w:sz w:val="14"/>
                <w:szCs w:val="14"/>
                <w:color w:val="auto"/>
              </w:rPr>
            </w:pPr>
          </w:p>
        </w:tc>
      </w:tr>
      <w:tr>
        <w:trPr>
          <w:trHeight w:val="206"/>
        </w:trPr>
        <w:tc>
          <w:tcPr>
            <w:tcW w:w="1560" w:type="dxa"/>
            <w:vAlign w:val="bottom"/>
            <w:tcBorders>
              <w:bottom w:val="single" w:sz="8" w:color="D64000"/>
            </w:tcBorders>
          </w:tcPr>
          <w:p>
            <w:pPr>
              <w:spacing w:after="0"/>
              <w:rPr>
                <w:sz w:val="17"/>
                <w:szCs w:val="17"/>
                <w:color w:val="auto"/>
              </w:rPr>
            </w:pPr>
          </w:p>
        </w:tc>
        <w:tc>
          <w:tcPr>
            <w:tcW w:w="2800" w:type="dxa"/>
            <w:vAlign w:val="bottom"/>
            <w:tcBorders>
              <w:bottom w:val="single" w:sz="8" w:color="D64000"/>
            </w:tcBorders>
          </w:tcPr>
          <w:p>
            <w:pPr>
              <w:spacing w:after="0"/>
              <w:rPr>
                <w:sz w:val="17"/>
                <w:szCs w:val="17"/>
                <w:color w:val="auto"/>
              </w:rPr>
            </w:pPr>
          </w:p>
        </w:tc>
        <w:tc>
          <w:tcPr>
            <w:tcW w:w="2500" w:type="dxa"/>
            <w:vAlign w:val="bottom"/>
            <w:tcBorders>
              <w:bottom w:val="single" w:sz="8" w:color="D64000"/>
            </w:tcBorders>
          </w:tcPr>
          <w:p>
            <w:pPr>
              <w:ind w:left="60"/>
              <w:spacing w:after="0"/>
              <w:rPr>
                <w:sz w:val="20"/>
                <w:szCs w:val="20"/>
                <w:color w:val="auto"/>
              </w:rPr>
            </w:pPr>
            <w:r>
              <w:rPr>
                <w:rFonts w:ascii="Arial" w:cs="Arial" w:eastAsia="Arial" w:hAnsi="Arial"/>
                <w:sz w:val="16"/>
                <w:szCs w:val="16"/>
                <w:color w:val="auto"/>
              </w:rPr>
              <w:t>Professionals</w:t>
            </w:r>
          </w:p>
        </w:tc>
        <w:tc>
          <w:tcPr>
            <w:tcW w:w="3940" w:type="dxa"/>
            <w:vAlign w:val="bottom"/>
            <w:tcBorders>
              <w:bottom w:val="single" w:sz="8" w:color="D64000"/>
            </w:tcBorders>
          </w:tcPr>
          <w:p>
            <w:pPr>
              <w:spacing w:after="0"/>
              <w:rPr>
                <w:sz w:val="17"/>
                <w:szCs w:val="17"/>
                <w:color w:val="auto"/>
              </w:rPr>
            </w:pPr>
          </w:p>
        </w:tc>
        <w:tc>
          <w:tcPr>
            <w:tcW w:w="20" w:type="dxa"/>
            <w:vAlign w:val="bottom"/>
          </w:tcPr>
          <w:p>
            <w:pPr>
              <w:spacing w:after="0"/>
              <w:rPr>
                <w:sz w:val="17"/>
                <w:szCs w:val="17"/>
                <w:color w:val="auto"/>
              </w:rPr>
            </w:pPr>
          </w:p>
        </w:tc>
      </w:tr>
      <w:tr>
        <w:trPr>
          <w:trHeight w:val="159"/>
        </w:trPr>
        <w:tc>
          <w:tcPr>
            <w:tcW w:w="1560" w:type="dxa"/>
            <w:vAlign w:val="bottom"/>
            <w:tcBorders>
              <w:bottom w:val="single" w:sz="8" w:color="7F7F7F"/>
            </w:tcBorders>
          </w:tcPr>
          <w:p>
            <w:pPr>
              <w:spacing w:after="0"/>
              <w:rPr>
                <w:sz w:val="13"/>
                <w:szCs w:val="13"/>
                <w:color w:val="auto"/>
              </w:rPr>
            </w:pPr>
          </w:p>
        </w:tc>
        <w:tc>
          <w:tcPr>
            <w:tcW w:w="2800" w:type="dxa"/>
            <w:vAlign w:val="bottom"/>
            <w:tcBorders>
              <w:bottom w:val="single" w:sz="8" w:color="7F7F7F"/>
            </w:tcBorders>
          </w:tcPr>
          <w:p>
            <w:pPr>
              <w:spacing w:after="0"/>
              <w:rPr>
                <w:sz w:val="13"/>
                <w:szCs w:val="13"/>
                <w:color w:val="auto"/>
              </w:rPr>
            </w:pPr>
          </w:p>
        </w:tc>
        <w:tc>
          <w:tcPr>
            <w:tcW w:w="2500" w:type="dxa"/>
            <w:vAlign w:val="bottom"/>
            <w:tcBorders>
              <w:bottom w:val="single" w:sz="8" w:color="7F7F7F"/>
            </w:tcBorders>
          </w:tcPr>
          <w:p>
            <w:pPr>
              <w:spacing w:after="0"/>
              <w:rPr>
                <w:sz w:val="13"/>
                <w:szCs w:val="13"/>
                <w:color w:val="auto"/>
              </w:rPr>
            </w:pPr>
          </w:p>
        </w:tc>
        <w:tc>
          <w:tcPr>
            <w:tcW w:w="3940" w:type="dxa"/>
            <w:vAlign w:val="bottom"/>
            <w:tcBorders>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r>
      <w:tr>
        <w:trPr>
          <w:trHeight w:val="228"/>
        </w:trPr>
        <w:tc>
          <w:tcPr>
            <w:tcW w:w="1560" w:type="dxa"/>
            <w:vAlign w:val="bottom"/>
          </w:tcPr>
          <w:p>
            <w:pPr>
              <w:spacing w:after="0"/>
              <w:rPr>
                <w:sz w:val="20"/>
                <w:szCs w:val="20"/>
                <w:color w:val="auto"/>
              </w:rPr>
            </w:pPr>
            <w:r>
              <w:rPr>
                <w:rFonts w:ascii="Arial" w:cs="Arial" w:eastAsia="Arial" w:hAnsi="Arial"/>
                <w:sz w:val="17"/>
                <w:szCs w:val="17"/>
                <w:color w:val="auto"/>
              </w:rPr>
              <w:t>Page 136</w:t>
            </w:r>
          </w:p>
        </w:tc>
        <w:tc>
          <w:tcPr>
            <w:tcW w:w="28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960" w:type="dxa"/>
            <w:vAlign w:val="bottom"/>
            <w:gridSpan w:val="2"/>
          </w:tcPr>
          <w:p>
            <w:pPr>
              <w:ind w:left="900"/>
              <w:spacing w:after="0"/>
              <w:rPr>
                <w:sz w:val="20"/>
                <w:szCs w:val="20"/>
                <w:color w:val="auto"/>
              </w:rPr>
            </w:pPr>
            <w:r>
              <w:rPr>
                <w:rFonts w:ascii="Arial" w:cs="Arial" w:eastAsia="Arial" w:hAnsi="Arial"/>
                <w:sz w:val="17"/>
                <w:szCs w:val="17"/>
                <w:b w:val="1"/>
                <w:bCs w:val="1"/>
                <w:color w:val="auto"/>
                <w:w w:val="98"/>
              </w:rPr>
              <w:t>Thomson Reuters Annual Report 2024</w:t>
            </w:r>
          </w:p>
        </w:tc>
      </w:tr>
    </w:tbl>
    <w:p>
      <w:pPr>
        <w:sectPr>
          <w:pgSz w:w="11900" w:h="16838" w:orient="portrait"/>
          <w:cols w:equalWidth="0" w:num="1">
            <w:col w:w="11040"/>
          </w:cols>
          <w:pgMar w:left="320" w:top="477" w:right="5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details of net assets acquired, including purchase price adjustments, were as follows:</w:t>
      </w:r>
    </w:p>
    <w:p>
      <w:pPr>
        <w:spacing w:after="0" w:line="236" w:lineRule="exact"/>
        <w:rPr>
          <w:sz w:val="20"/>
          <w:szCs w:val="20"/>
          <w:color w:val="auto"/>
        </w:rPr>
      </w:pPr>
    </w:p>
    <w:p>
      <w:pPr>
        <w:ind w:left="7700"/>
        <w:spacing w:after="0"/>
        <w:rPr>
          <w:sz w:val="20"/>
          <w:szCs w:val="20"/>
          <w:color w:val="auto"/>
        </w:rPr>
      </w:pPr>
      <w:r>
        <w:rPr>
          <w:rFonts w:ascii="Arial" w:cs="Arial" w:eastAsia="Arial" w:hAnsi="Arial"/>
          <w:sz w:val="16"/>
          <w:szCs w:val="16"/>
          <w:b w:val="1"/>
          <w:bCs w:val="1"/>
          <w:color w:val="FFFFFF"/>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-107315</wp:posOffset>
            </wp:positionV>
            <wp:extent cx="6175375" cy="12636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175375" cy="12636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178"/>
        </w:trPr>
        <w:tc>
          <w:tcPr>
            <w:tcW w:w="3600" w:type="dxa"/>
            <w:vAlign w:val="bottom"/>
            <w:tcBorders>
              <w:top w:val="single" w:sz="8" w:color="D64000"/>
            </w:tcBorders>
          </w:tcPr>
          <w:p>
            <w:pPr>
              <w:spacing w:after="0"/>
              <w:rPr>
                <w:sz w:val="15"/>
                <w:szCs w:val="15"/>
                <w:color w:val="auto"/>
              </w:rPr>
            </w:pPr>
          </w:p>
        </w:tc>
        <w:tc>
          <w:tcPr>
            <w:tcW w:w="2080" w:type="dxa"/>
            <w:vAlign w:val="bottom"/>
            <w:tcBorders>
              <w:top w:val="single" w:sz="8" w:color="D64000"/>
            </w:tcBorders>
          </w:tcPr>
          <w:p>
            <w:pPr>
              <w:jc w:val="right"/>
              <w:spacing w:after="0" w:line="178" w:lineRule="exact"/>
              <w:rPr>
                <w:sz w:val="20"/>
                <w:szCs w:val="20"/>
                <w:color w:val="auto"/>
              </w:rPr>
            </w:pPr>
            <w:r>
              <w:rPr>
                <w:rFonts w:ascii="Arial" w:cs="Arial" w:eastAsia="Arial" w:hAnsi="Arial"/>
                <w:sz w:val="16"/>
                <w:szCs w:val="16"/>
                <w:b w:val="1"/>
                <w:bCs w:val="1"/>
                <w:color w:val="auto"/>
              </w:rPr>
              <w:t> </w:t>
            </w:r>
          </w:p>
        </w:tc>
        <w:tc>
          <w:tcPr>
            <w:tcW w:w="1520" w:type="dxa"/>
            <w:vAlign w:val="bottom"/>
            <w:tcBorders>
              <w:top w:val="single" w:sz="8" w:color="D64000"/>
            </w:tcBorders>
          </w:tcPr>
          <w:p>
            <w:pPr>
              <w:jc w:val="right"/>
              <w:ind w:right="520"/>
              <w:spacing w:after="0" w:line="178" w:lineRule="exact"/>
              <w:rPr>
                <w:sz w:val="20"/>
                <w:szCs w:val="20"/>
                <w:color w:val="auto"/>
              </w:rPr>
            </w:pPr>
            <w:r>
              <w:rPr>
                <w:rFonts w:ascii="Arial" w:cs="Arial" w:eastAsia="Arial" w:hAnsi="Arial"/>
                <w:sz w:val="16"/>
                <w:szCs w:val="16"/>
                <w:b w:val="1"/>
                <w:bCs w:val="1"/>
                <w:color w:val="auto"/>
                <w:w w:val="97"/>
              </w:rPr>
              <w:t>      Pagero</w:t>
            </w:r>
          </w:p>
        </w:tc>
        <w:tc>
          <w:tcPr>
            <w:tcW w:w="240" w:type="dxa"/>
            <w:vAlign w:val="bottom"/>
            <w:tcBorders>
              <w:top w:val="single" w:sz="8" w:color="D64000"/>
            </w:tcBorders>
          </w:tcPr>
          <w:p>
            <w:pPr>
              <w:ind w:left="80"/>
              <w:spacing w:after="0" w:line="178" w:lineRule="exact"/>
              <w:rPr>
                <w:sz w:val="20"/>
                <w:szCs w:val="20"/>
                <w:color w:val="auto"/>
              </w:rPr>
            </w:pPr>
            <w:r>
              <w:rPr>
                <w:rFonts w:ascii="Arial" w:cs="Arial" w:eastAsia="Arial" w:hAnsi="Arial"/>
                <w:sz w:val="16"/>
                <w:szCs w:val="16"/>
                <w:b w:val="1"/>
                <w:bCs w:val="1"/>
                <w:color w:val="auto"/>
                <w:w w:val="87"/>
              </w:rPr>
              <w:t> </w:t>
            </w:r>
          </w:p>
        </w:tc>
        <w:tc>
          <w:tcPr>
            <w:tcW w:w="240" w:type="dxa"/>
            <w:vAlign w:val="bottom"/>
            <w:tcBorders>
              <w:top w:val="single" w:sz="8" w:color="D64000"/>
            </w:tcBorders>
          </w:tcPr>
          <w:p>
            <w:pPr>
              <w:spacing w:after="0" w:line="178" w:lineRule="exact"/>
              <w:rPr>
                <w:sz w:val="20"/>
                <w:szCs w:val="20"/>
                <w:color w:val="auto"/>
              </w:rPr>
            </w:pPr>
            <w:r>
              <w:rPr>
                <w:rFonts w:ascii="Arial" w:cs="Arial" w:eastAsia="Arial" w:hAnsi="Arial"/>
                <w:sz w:val="16"/>
                <w:szCs w:val="16"/>
                <w:b w:val="1"/>
                <w:bCs w:val="1"/>
                <w:color w:val="auto"/>
              </w:rPr>
              <w:t xml:space="preserve">   </w:t>
            </w:r>
          </w:p>
        </w:tc>
        <w:tc>
          <w:tcPr>
            <w:tcW w:w="900" w:type="dxa"/>
            <w:vAlign w:val="bottom"/>
            <w:tcBorders>
              <w:top w:val="single" w:sz="8" w:color="D64000"/>
            </w:tcBorders>
          </w:tcPr>
          <w:p>
            <w:pPr>
              <w:jc w:val="right"/>
              <w:ind w:right="320"/>
              <w:spacing w:after="0" w:line="178" w:lineRule="exact"/>
              <w:rPr>
                <w:sz w:val="20"/>
                <w:szCs w:val="20"/>
                <w:color w:val="auto"/>
              </w:rPr>
            </w:pPr>
            <w:r>
              <w:rPr>
                <w:rFonts w:ascii="Arial" w:cs="Arial" w:eastAsia="Arial" w:hAnsi="Arial"/>
                <w:sz w:val="16"/>
                <w:szCs w:val="16"/>
                <w:b w:val="1"/>
                <w:bCs w:val="1"/>
                <w:color w:val="auto"/>
              </w:rPr>
              <w:t>Other</w:t>
            </w:r>
          </w:p>
        </w:tc>
        <w:tc>
          <w:tcPr>
            <w:tcW w:w="400" w:type="dxa"/>
            <w:vAlign w:val="bottom"/>
            <w:tcBorders>
              <w:top w:val="single" w:sz="8" w:color="D64000"/>
            </w:tcBorders>
          </w:tcPr>
          <w:p>
            <w:pPr>
              <w:ind w:left="300"/>
              <w:spacing w:after="0"/>
              <w:rPr>
                <w:sz w:val="20"/>
                <w:szCs w:val="20"/>
                <w:color w:val="auto"/>
              </w:rPr>
            </w:pPr>
            <w:r>
              <w:rPr>
                <w:rFonts w:ascii="Arial" w:cs="Arial" w:eastAsia="Arial" w:hAnsi="Arial"/>
                <w:sz w:val="11"/>
                <w:szCs w:val="11"/>
                <w:b w:val="1"/>
                <w:bCs w:val="1"/>
                <w:color w:val="auto"/>
                <w:w w:val="72"/>
              </w:rPr>
              <w:t> </w:t>
            </w:r>
          </w:p>
        </w:tc>
        <w:tc>
          <w:tcPr>
            <w:tcW w:w="160" w:type="dxa"/>
            <w:vAlign w:val="bottom"/>
            <w:tcBorders>
              <w:top w:val="single" w:sz="8" w:color="D64000"/>
            </w:tcBorders>
          </w:tcPr>
          <w:p>
            <w:pPr>
              <w:ind w:left="60"/>
              <w:spacing w:after="0"/>
              <w:rPr>
                <w:sz w:val="20"/>
                <w:szCs w:val="20"/>
                <w:color w:val="auto"/>
              </w:rPr>
            </w:pPr>
            <w:r>
              <w:rPr>
                <w:rFonts w:ascii="Arial" w:cs="Arial" w:eastAsia="Arial" w:hAnsi="Arial"/>
                <w:sz w:val="11"/>
                <w:szCs w:val="11"/>
                <w:b w:val="1"/>
                <w:bCs w:val="1"/>
                <w:color w:val="auto"/>
                <w:w w:val="72"/>
              </w:rPr>
              <w:t> </w:t>
            </w:r>
          </w:p>
        </w:tc>
        <w:tc>
          <w:tcPr>
            <w:tcW w:w="140" w:type="dxa"/>
            <w:vAlign w:val="bottom"/>
            <w:tcBorders>
              <w:top w:val="single" w:sz="8" w:color="D64000"/>
            </w:tcBorders>
          </w:tcPr>
          <w:p>
            <w:pPr>
              <w:ind w:left="60"/>
              <w:spacing w:after="0"/>
              <w:rPr>
                <w:sz w:val="20"/>
                <w:szCs w:val="20"/>
                <w:color w:val="auto"/>
              </w:rPr>
            </w:pPr>
            <w:r>
              <w:rPr>
                <w:rFonts w:ascii="Arial" w:cs="Arial" w:eastAsia="Arial" w:hAnsi="Arial"/>
                <w:sz w:val="8"/>
                <w:szCs w:val="8"/>
                <w:b w:val="1"/>
                <w:bCs w:val="1"/>
                <w:color w:val="auto"/>
                <w:w w:val="74"/>
              </w:rPr>
              <w:t> </w:t>
            </w:r>
          </w:p>
        </w:tc>
        <w:tc>
          <w:tcPr>
            <w:tcW w:w="460" w:type="dxa"/>
            <w:vAlign w:val="bottom"/>
            <w:tcBorders>
              <w:top w:val="single" w:sz="8" w:color="D64000"/>
            </w:tcBorders>
            <w:gridSpan w:val="2"/>
          </w:tcPr>
          <w:p>
            <w:pPr>
              <w:jc w:val="right"/>
              <w:ind w:right="20"/>
              <w:spacing w:after="0" w:line="178" w:lineRule="exact"/>
              <w:rPr>
                <w:sz w:val="20"/>
                <w:szCs w:val="20"/>
                <w:color w:val="auto"/>
              </w:rPr>
            </w:pPr>
            <w:r>
              <w:rPr>
                <w:rFonts w:ascii="Arial" w:cs="Arial" w:eastAsia="Arial" w:hAnsi="Arial"/>
                <w:sz w:val="16"/>
                <w:szCs w:val="16"/>
                <w:b w:val="1"/>
                <w:bCs w:val="1"/>
                <w:color w:val="auto"/>
              </w:rPr>
              <w:t>Total</w:t>
            </w:r>
          </w:p>
        </w:tc>
        <w:tc>
          <w:tcPr>
            <w:tcW w:w="1080" w:type="dxa"/>
            <w:vAlign w:val="bottom"/>
            <w:gridSpan w:val="2"/>
          </w:tcPr>
          <w:p>
            <w:pPr>
              <w:spacing w:after="0"/>
              <w:rPr>
                <w:sz w:val="15"/>
                <w:szCs w:val="15"/>
                <w:color w:val="auto"/>
              </w:rPr>
            </w:pPr>
          </w:p>
        </w:tc>
      </w:tr>
      <w:tr>
        <w:trPr>
          <w:trHeight w:val="186"/>
        </w:trPr>
        <w:tc>
          <w:tcPr>
            <w:tcW w:w="3600" w:type="dxa"/>
            <w:vAlign w:val="bottom"/>
          </w:tcPr>
          <w:p>
            <w:pPr>
              <w:spacing w:after="0"/>
              <w:rPr>
                <w:sz w:val="20"/>
                <w:szCs w:val="20"/>
                <w:color w:val="auto"/>
              </w:rPr>
            </w:pPr>
            <w:r>
              <w:rPr>
                <w:rFonts w:ascii="Arial" w:cs="Arial" w:eastAsia="Arial" w:hAnsi="Arial"/>
                <w:sz w:val="16"/>
                <w:szCs w:val="16"/>
                <w:color w:val="auto"/>
              </w:rPr>
              <w:t> Cash and cash equivalents</w:t>
            </w:r>
          </w:p>
        </w:tc>
        <w:tc>
          <w:tcPr>
            <w:tcW w:w="2080" w:type="dxa"/>
            <w:vAlign w:val="bottom"/>
          </w:tcPr>
          <w:p>
            <w:pPr>
              <w:spacing w:after="0"/>
              <w:rPr>
                <w:sz w:val="16"/>
                <w:szCs w:val="16"/>
                <w:color w:val="auto"/>
              </w:rPr>
            </w:pPr>
          </w:p>
        </w:tc>
        <w:tc>
          <w:tcPr>
            <w:tcW w:w="1520" w:type="dxa"/>
            <w:vAlign w:val="bottom"/>
          </w:tcPr>
          <w:p>
            <w:pPr>
              <w:jc w:val="right"/>
              <w:ind w:right="520"/>
              <w:spacing w:after="0"/>
              <w:rPr>
                <w:sz w:val="20"/>
                <w:szCs w:val="20"/>
                <w:color w:val="auto"/>
              </w:rPr>
            </w:pPr>
            <w:r>
              <w:rPr>
                <w:rFonts w:ascii="Arial" w:cs="Arial" w:eastAsia="Arial" w:hAnsi="Arial"/>
                <w:sz w:val="16"/>
                <w:szCs w:val="16"/>
                <w:b w:val="1"/>
                <w:bCs w:val="1"/>
                <w:color w:val="auto"/>
              </w:rPr>
              <w:t>10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auto"/>
              </w:rPr>
              <w:t>6</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16</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600" w:type="dxa"/>
            <w:vAlign w:val="bottom"/>
          </w:tcPr>
          <w:p>
            <w:pPr>
              <w:spacing w:after="0"/>
              <w:rPr>
                <w:sz w:val="20"/>
                <w:szCs w:val="20"/>
                <w:color w:val="auto"/>
              </w:rPr>
            </w:pPr>
            <w:r>
              <w:rPr>
                <w:rFonts w:ascii="Arial" w:cs="Arial" w:eastAsia="Arial" w:hAnsi="Arial"/>
                <w:sz w:val="16"/>
                <w:szCs w:val="16"/>
                <w:color w:val="auto"/>
              </w:rPr>
              <w:t> Trade receivables</w:t>
            </w:r>
          </w:p>
        </w:tc>
        <w:tc>
          <w:tcPr>
            <w:tcW w:w="2080" w:type="dxa"/>
            <w:vAlign w:val="bottom"/>
          </w:tcPr>
          <w:p>
            <w:pPr>
              <w:spacing w:after="0"/>
              <w:rPr>
                <w:sz w:val="16"/>
                <w:szCs w:val="16"/>
                <w:color w:val="auto"/>
              </w:rPr>
            </w:pPr>
          </w:p>
        </w:tc>
        <w:tc>
          <w:tcPr>
            <w:tcW w:w="1520" w:type="dxa"/>
            <w:vAlign w:val="bottom"/>
          </w:tcPr>
          <w:p>
            <w:pPr>
              <w:jc w:val="right"/>
              <w:ind w:right="520"/>
              <w:spacing w:after="0"/>
              <w:rPr>
                <w:sz w:val="20"/>
                <w:szCs w:val="20"/>
                <w:color w:val="auto"/>
              </w:rPr>
            </w:pPr>
            <w:r>
              <w:rPr>
                <w:rFonts w:ascii="Arial" w:cs="Arial" w:eastAsia="Arial" w:hAnsi="Arial"/>
                <w:sz w:val="16"/>
                <w:szCs w:val="16"/>
                <w:b w:val="1"/>
                <w:bCs w:val="1"/>
                <w:color w:val="auto"/>
              </w:rPr>
              <w:t>21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auto"/>
              </w:rPr>
              <w:t>3</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24</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36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Prepaid expenses and other current assets</w:t>
            </w:r>
          </w:p>
        </w:tc>
        <w:tc>
          <w:tcPr>
            <w:tcW w:w="2080" w:type="dxa"/>
            <w:vAlign w:val="bottom"/>
            <w:tcBorders>
              <w:bottom w:val="single" w:sz="8" w:color="B2B2B2"/>
            </w:tcBorders>
          </w:tcPr>
          <w:p>
            <w:pPr>
              <w:spacing w:after="0"/>
              <w:rPr>
                <w:sz w:val="17"/>
                <w:szCs w:val="17"/>
                <w:color w:val="auto"/>
              </w:rPr>
            </w:pPr>
          </w:p>
        </w:tc>
        <w:tc>
          <w:tcPr>
            <w:tcW w:w="1520" w:type="dxa"/>
            <w:vAlign w:val="bottom"/>
            <w:tcBorders>
              <w:bottom w:val="single" w:sz="8" w:color="B2B2B2"/>
            </w:tcBorders>
          </w:tcPr>
          <w:p>
            <w:pPr>
              <w:jc w:val="right"/>
              <w:ind w:right="520"/>
              <w:spacing w:after="0"/>
              <w:rPr>
                <w:sz w:val="20"/>
                <w:szCs w:val="20"/>
                <w:color w:val="auto"/>
              </w:rPr>
            </w:pPr>
            <w:r>
              <w:rPr>
                <w:rFonts w:ascii="Arial" w:cs="Arial" w:eastAsia="Arial" w:hAnsi="Arial"/>
                <w:sz w:val="16"/>
                <w:szCs w:val="16"/>
                <w:b w:val="1"/>
                <w:bCs w:val="1"/>
                <w:color w:val="auto"/>
              </w:rPr>
              <w:t>6</w:t>
            </w:r>
          </w:p>
        </w:tc>
        <w:tc>
          <w:tcPr>
            <w:tcW w:w="240" w:type="dxa"/>
            <w:vAlign w:val="bottom"/>
            <w:tcBorders>
              <w:bottom w:val="single" w:sz="8" w:color="B2B2B2"/>
            </w:tcBorders>
          </w:tcPr>
          <w:p>
            <w:pPr>
              <w:spacing w:after="0"/>
              <w:rPr>
                <w:sz w:val="17"/>
                <w:szCs w:val="17"/>
                <w:color w:val="auto"/>
              </w:rPr>
            </w:pPr>
          </w:p>
        </w:tc>
        <w:tc>
          <w:tcPr>
            <w:tcW w:w="240" w:type="dxa"/>
            <w:vAlign w:val="bottom"/>
            <w:tcBorders>
              <w:bottom w:val="single" w:sz="8" w:color="B2B2B2"/>
            </w:tcBorders>
          </w:tcPr>
          <w:p>
            <w:pPr>
              <w:spacing w:after="0"/>
              <w:rPr>
                <w:sz w:val="17"/>
                <w:szCs w:val="17"/>
                <w:color w:val="auto"/>
              </w:rPr>
            </w:pPr>
          </w:p>
        </w:tc>
        <w:tc>
          <w:tcPr>
            <w:tcW w:w="900" w:type="dxa"/>
            <w:vAlign w:val="bottom"/>
            <w:tcBorders>
              <w:bottom w:val="single" w:sz="8" w:color="B2B2B2"/>
            </w:tcBorders>
          </w:tcPr>
          <w:p>
            <w:pPr>
              <w:jc w:val="right"/>
              <w:ind w:right="320"/>
              <w:spacing w:after="0"/>
              <w:rPr>
                <w:sz w:val="20"/>
                <w:szCs w:val="20"/>
                <w:color w:val="auto"/>
              </w:rPr>
            </w:pPr>
            <w:r>
              <w:rPr>
                <w:rFonts w:ascii="Arial" w:cs="Arial" w:eastAsia="Arial" w:hAnsi="Arial"/>
                <w:sz w:val="16"/>
                <w:szCs w:val="16"/>
                <w:b w:val="1"/>
                <w:bCs w:val="1"/>
                <w:color w:val="auto"/>
              </w:rPr>
              <w:t>1</w:t>
            </w:r>
          </w:p>
        </w:tc>
        <w:tc>
          <w:tcPr>
            <w:tcW w:w="400" w:type="dxa"/>
            <w:vAlign w:val="bottom"/>
            <w:tcBorders>
              <w:bottom w:val="single" w:sz="8" w:color="B2B2B2"/>
            </w:tcBorders>
          </w:tcPr>
          <w:p>
            <w:pPr>
              <w:spacing w:after="0"/>
              <w:rPr>
                <w:sz w:val="17"/>
                <w:szCs w:val="17"/>
                <w:color w:val="auto"/>
              </w:rPr>
            </w:pPr>
          </w:p>
        </w:tc>
        <w:tc>
          <w:tcPr>
            <w:tcW w:w="16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460" w:type="dxa"/>
            <w:vAlign w:val="bottom"/>
            <w:tcBorders>
              <w:bottom w:val="single" w:sz="8" w:color="B2B2B2"/>
            </w:tcBorders>
            <w:gridSpan w:val="2"/>
          </w:tcPr>
          <w:p>
            <w:pPr>
              <w:jc w:val="right"/>
              <w:ind w:right="20"/>
              <w:spacing w:after="0"/>
              <w:rPr>
                <w:sz w:val="20"/>
                <w:szCs w:val="20"/>
                <w:color w:val="auto"/>
              </w:rPr>
            </w:pPr>
            <w:r>
              <w:rPr>
                <w:rFonts w:ascii="Arial" w:cs="Arial" w:eastAsia="Arial" w:hAnsi="Arial"/>
                <w:sz w:val="16"/>
                <w:szCs w:val="16"/>
                <w:b w:val="1"/>
                <w:bCs w:val="1"/>
                <w:color w:val="auto"/>
              </w:rPr>
              <w:t>7</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65"/>
        </w:trPr>
        <w:tc>
          <w:tcPr>
            <w:tcW w:w="3600" w:type="dxa"/>
            <w:vAlign w:val="bottom"/>
          </w:tcPr>
          <w:p>
            <w:pPr>
              <w:spacing w:after="0" w:line="165" w:lineRule="exact"/>
              <w:rPr>
                <w:sz w:val="20"/>
                <w:szCs w:val="20"/>
                <w:color w:val="auto"/>
              </w:rPr>
            </w:pPr>
            <w:r>
              <w:rPr>
                <w:rFonts w:ascii="Arial" w:cs="Arial" w:eastAsia="Arial" w:hAnsi="Arial"/>
                <w:sz w:val="16"/>
                <w:szCs w:val="16"/>
                <w:color w:val="auto"/>
              </w:rPr>
              <w:t>   Current assets</w:t>
            </w:r>
          </w:p>
        </w:tc>
        <w:tc>
          <w:tcPr>
            <w:tcW w:w="2080" w:type="dxa"/>
            <w:vAlign w:val="bottom"/>
          </w:tcPr>
          <w:p>
            <w:pPr>
              <w:spacing w:after="0"/>
              <w:rPr>
                <w:sz w:val="14"/>
                <w:szCs w:val="14"/>
                <w:color w:val="auto"/>
              </w:rPr>
            </w:pPr>
          </w:p>
        </w:tc>
        <w:tc>
          <w:tcPr>
            <w:tcW w:w="1520" w:type="dxa"/>
            <w:vAlign w:val="bottom"/>
          </w:tcPr>
          <w:p>
            <w:pPr>
              <w:jc w:val="right"/>
              <w:ind w:right="520"/>
              <w:spacing w:after="0" w:line="165" w:lineRule="exact"/>
              <w:rPr>
                <w:sz w:val="20"/>
                <w:szCs w:val="20"/>
                <w:color w:val="auto"/>
              </w:rPr>
            </w:pPr>
            <w:r>
              <w:rPr>
                <w:rFonts w:ascii="Arial" w:cs="Arial" w:eastAsia="Arial" w:hAnsi="Arial"/>
                <w:sz w:val="16"/>
                <w:szCs w:val="16"/>
                <w:b w:val="1"/>
                <w:bCs w:val="1"/>
                <w:color w:val="auto"/>
              </w:rPr>
              <w:t>37</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20"/>
              <w:spacing w:after="0" w:line="165" w:lineRule="exact"/>
              <w:rPr>
                <w:sz w:val="20"/>
                <w:szCs w:val="20"/>
                <w:color w:val="auto"/>
              </w:rPr>
            </w:pPr>
            <w:r>
              <w:rPr>
                <w:rFonts w:ascii="Arial" w:cs="Arial" w:eastAsia="Arial" w:hAnsi="Arial"/>
                <w:sz w:val="16"/>
                <w:szCs w:val="16"/>
                <w:b w:val="1"/>
                <w:bCs w:val="1"/>
                <w:color w:val="auto"/>
              </w:rPr>
              <w:t>10</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20"/>
              <w:spacing w:after="0" w:line="165" w:lineRule="exact"/>
              <w:rPr>
                <w:sz w:val="20"/>
                <w:szCs w:val="20"/>
                <w:color w:val="auto"/>
              </w:rPr>
            </w:pPr>
            <w:r>
              <w:rPr>
                <w:rFonts w:ascii="Arial" w:cs="Arial" w:eastAsia="Arial" w:hAnsi="Arial"/>
                <w:sz w:val="16"/>
                <w:szCs w:val="16"/>
                <w:b w:val="1"/>
                <w:bCs w:val="1"/>
                <w:color w:val="auto"/>
              </w:rPr>
              <w:t>47</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3600" w:type="dxa"/>
            <w:vAlign w:val="bottom"/>
          </w:tcPr>
          <w:p>
            <w:pPr>
              <w:spacing w:after="0"/>
              <w:rPr>
                <w:sz w:val="20"/>
                <w:szCs w:val="20"/>
                <w:color w:val="auto"/>
              </w:rPr>
            </w:pPr>
            <w:r>
              <w:rPr>
                <w:rFonts w:ascii="Arial" w:cs="Arial" w:eastAsia="Arial" w:hAnsi="Arial"/>
                <w:sz w:val="16"/>
                <w:szCs w:val="16"/>
                <w:color w:val="auto"/>
              </w:rPr>
              <w:t> Property and equipment</w:t>
            </w:r>
          </w:p>
        </w:tc>
        <w:tc>
          <w:tcPr>
            <w:tcW w:w="2080" w:type="dxa"/>
            <w:vAlign w:val="bottom"/>
          </w:tcPr>
          <w:p>
            <w:pPr>
              <w:spacing w:after="0"/>
              <w:rPr>
                <w:sz w:val="16"/>
                <w:szCs w:val="16"/>
                <w:color w:val="auto"/>
              </w:rPr>
            </w:pPr>
          </w:p>
        </w:tc>
        <w:tc>
          <w:tcPr>
            <w:tcW w:w="1520" w:type="dxa"/>
            <w:vAlign w:val="bottom"/>
          </w:tcPr>
          <w:p>
            <w:pPr>
              <w:jc w:val="right"/>
              <w:ind w:right="520"/>
              <w:spacing w:after="0"/>
              <w:rPr>
                <w:sz w:val="20"/>
                <w:szCs w:val="20"/>
                <w:color w:val="auto"/>
              </w:rPr>
            </w:pPr>
            <w:r>
              <w:rPr>
                <w:rFonts w:ascii="Arial" w:cs="Arial" w:eastAsia="Arial" w:hAnsi="Arial"/>
                <w:sz w:val="16"/>
                <w:szCs w:val="16"/>
                <w:b w:val="1"/>
                <w:bCs w:val="1"/>
                <w:color w:val="auto"/>
              </w:rPr>
              <w:t>8</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8</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600" w:type="dxa"/>
            <w:vAlign w:val="bottom"/>
          </w:tcPr>
          <w:p>
            <w:pPr>
              <w:spacing w:after="0"/>
              <w:rPr>
                <w:sz w:val="20"/>
                <w:szCs w:val="20"/>
                <w:color w:val="auto"/>
              </w:rPr>
            </w:pPr>
            <w:r>
              <w:rPr>
                <w:rFonts w:ascii="Arial" w:cs="Arial" w:eastAsia="Arial" w:hAnsi="Arial"/>
                <w:sz w:val="16"/>
                <w:szCs w:val="16"/>
                <w:color w:val="auto"/>
              </w:rPr>
              <w:t> Computer software</w:t>
            </w:r>
          </w:p>
        </w:tc>
        <w:tc>
          <w:tcPr>
            <w:tcW w:w="2080" w:type="dxa"/>
            <w:vAlign w:val="bottom"/>
          </w:tcPr>
          <w:p>
            <w:pPr>
              <w:spacing w:after="0"/>
              <w:rPr>
                <w:sz w:val="16"/>
                <w:szCs w:val="16"/>
                <w:color w:val="auto"/>
              </w:rPr>
            </w:pPr>
          </w:p>
        </w:tc>
        <w:tc>
          <w:tcPr>
            <w:tcW w:w="1520" w:type="dxa"/>
            <w:vAlign w:val="bottom"/>
          </w:tcPr>
          <w:p>
            <w:pPr>
              <w:jc w:val="right"/>
              <w:ind w:right="520"/>
              <w:spacing w:after="0"/>
              <w:rPr>
                <w:sz w:val="20"/>
                <w:szCs w:val="20"/>
                <w:color w:val="auto"/>
              </w:rPr>
            </w:pPr>
            <w:r>
              <w:rPr>
                <w:rFonts w:ascii="Arial" w:cs="Arial" w:eastAsia="Arial" w:hAnsi="Arial"/>
                <w:sz w:val="16"/>
                <w:szCs w:val="16"/>
                <w:b w:val="1"/>
                <w:bCs w:val="1"/>
                <w:color w:val="auto"/>
              </w:rPr>
              <w:t>255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auto"/>
              </w:rPr>
              <w:t>51</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306</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600" w:type="dxa"/>
            <w:vAlign w:val="bottom"/>
          </w:tcPr>
          <w:p>
            <w:pPr>
              <w:spacing w:after="0"/>
              <w:rPr>
                <w:sz w:val="20"/>
                <w:szCs w:val="20"/>
                <w:color w:val="auto"/>
              </w:rPr>
            </w:pPr>
            <w:r>
              <w:rPr>
                <w:rFonts w:ascii="Arial" w:cs="Arial" w:eastAsia="Arial" w:hAnsi="Arial"/>
                <w:sz w:val="16"/>
                <w:szCs w:val="16"/>
                <w:color w:val="auto"/>
              </w:rPr>
              <w:t> Other identifiable intangible assets</w:t>
            </w:r>
          </w:p>
        </w:tc>
        <w:tc>
          <w:tcPr>
            <w:tcW w:w="2080" w:type="dxa"/>
            <w:vAlign w:val="bottom"/>
          </w:tcPr>
          <w:p>
            <w:pPr>
              <w:spacing w:after="0"/>
              <w:rPr>
                <w:sz w:val="16"/>
                <w:szCs w:val="16"/>
                <w:color w:val="auto"/>
              </w:rPr>
            </w:pPr>
          </w:p>
        </w:tc>
        <w:tc>
          <w:tcPr>
            <w:tcW w:w="1520" w:type="dxa"/>
            <w:vAlign w:val="bottom"/>
          </w:tcPr>
          <w:p>
            <w:pPr>
              <w:jc w:val="right"/>
              <w:ind w:right="520"/>
              <w:spacing w:after="0"/>
              <w:rPr>
                <w:sz w:val="20"/>
                <w:szCs w:val="20"/>
                <w:color w:val="auto"/>
              </w:rPr>
            </w:pPr>
            <w:r>
              <w:rPr>
                <w:rFonts w:ascii="Arial" w:cs="Arial" w:eastAsia="Arial" w:hAnsi="Arial"/>
                <w:sz w:val="16"/>
                <w:szCs w:val="16"/>
                <w:b w:val="1"/>
                <w:bCs w:val="1"/>
                <w:color w:val="auto"/>
              </w:rPr>
              <w:t>30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auto"/>
              </w:rPr>
              <w:t>18</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48</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600" w:type="dxa"/>
            <w:vAlign w:val="bottom"/>
          </w:tcPr>
          <w:p>
            <w:pPr>
              <w:spacing w:after="0"/>
              <w:rPr>
                <w:sz w:val="20"/>
                <w:szCs w:val="20"/>
                <w:color w:val="auto"/>
              </w:rPr>
            </w:pPr>
            <w:r>
              <w:rPr>
                <w:rFonts w:ascii="Arial" w:cs="Arial" w:eastAsia="Arial" w:hAnsi="Arial"/>
                <w:sz w:val="16"/>
                <w:szCs w:val="16"/>
                <w:color w:val="auto"/>
              </w:rPr>
              <w:t> Equity method investments</w:t>
            </w:r>
          </w:p>
        </w:tc>
        <w:tc>
          <w:tcPr>
            <w:tcW w:w="2080" w:type="dxa"/>
            <w:vAlign w:val="bottom"/>
          </w:tcPr>
          <w:p>
            <w:pPr>
              <w:spacing w:after="0"/>
              <w:rPr>
                <w:sz w:val="16"/>
                <w:szCs w:val="16"/>
                <w:color w:val="auto"/>
              </w:rPr>
            </w:pPr>
          </w:p>
        </w:tc>
        <w:tc>
          <w:tcPr>
            <w:tcW w:w="1520" w:type="dxa"/>
            <w:vAlign w:val="bottom"/>
          </w:tcPr>
          <w:p>
            <w:pPr>
              <w:jc w:val="right"/>
              <w:ind w:right="520"/>
              <w:spacing w:after="0"/>
              <w:rPr>
                <w:sz w:val="20"/>
                <w:szCs w:val="20"/>
                <w:color w:val="auto"/>
              </w:rPr>
            </w:pPr>
            <w:r>
              <w:rPr>
                <w:rFonts w:ascii="Arial" w:cs="Arial" w:eastAsia="Arial" w:hAnsi="Arial"/>
                <w:sz w:val="16"/>
                <w:szCs w:val="16"/>
                <w:b w:val="1"/>
                <w:bCs w:val="1"/>
                <w:color w:val="auto"/>
              </w:rPr>
              <w:t>45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45</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36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Other non-current assets</w:t>
            </w:r>
          </w:p>
        </w:tc>
        <w:tc>
          <w:tcPr>
            <w:tcW w:w="2080" w:type="dxa"/>
            <w:vAlign w:val="bottom"/>
            <w:tcBorders>
              <w:bottom w:val="single" w:sz="8" w:color="B2B2B2"/>
            </w:tcBorders>
          </w:tcPr>
          <w:p>
            <w:pPr>
              <w:spacing w:after="0"/>
              <w:rPr>
                <w:sz w:val="17"/>
                <w:szCs w:val="17"/>
                <w:color w:val="auto"/>
              </w:rPr>
            </w:pPr>
          </w:p>
        </w:tc>
        <w:tc>
          <w:tcPr>
            <w:tcW w:w="1520" w:type="dxa"/>
            <w:vAlign w:val="bottom"/>
            <w:tcBorders>
              <w:bottom w:val="single" w:sz="8" w:color="B2B2B2"/>
            </w:tcBorders>
          </w:tcPr>
          <w:p>
            <w:pPr>
              <w:jc w:val="right"/>
              <w:ind w:right="520"/>
              <w:spacing w:after="0"/>
              <w:rPr>
                <w:sz w:val="20"/>
                <w:szCs w:val="20"/>
                <w:color w:val="auto"/>
              </w:rPr>
            </w:pPr>
            <w:r>
              <w:rPr>
                <w:rFonts w:ascii="Arial" w:cs="Arial" w:eastAsia="Arial" w:hAnsi="Arial"/>
                <w:sz w:val="16"/>
                <w:szCs w:val="16"/>
                <w:b w:val="1"/>
                <w:bCs w:val="1"/>
                <w:color w:val="auto"/>
              </w:rPr>
              <w:t>4</w:t>
            </w:r>
          </w:p>
        </w:tc>
        <w:tc>
          <w:tcPr>
            <w:tcW w:w="240" w:type="dxa"/>
            <w:vAlign w:val="bottom"/>
            <w:tcBorders>
              <w:bottom w:val="single" w:sz="8" w:color="B2B2B2"/>
            </w:tcBorders>
          </w:tcPr>
          <w:p>
            <w:pPr>
              <w:spacing w:after="0"/>
              <w:rPr>
                <w:sz w:val="17"/>
                <w:szCs w:val="17"/>
                <w:color w:val="auto"/>
              </w:rPr>
            </w:pPr>
          </w:p>
        </w:tc>
        <w:tc>
          <w:tcPr>
            <w:tcW w:w="240" w:type="dxa"/>
            <w:vAlign w:val="bottom"/>
            <w:tcBorders>
              <w:bottom w:val="single" w:sz="8" w:color="B2B2B2"/>
            </w:tcBorders>
          </w:tcPr>
          <w:p>
            <w:pPr>
              <w:spacing w:after="0"/>
              <w:rPr>
                <w:sz w:val="17"/>
                <w:szCs w:val="17"/>
                <w:color w:val="auto"/>
              </w:rPr>
            </w:pPr>
          </w:p>
        </w:tc>
        <w:tc>
          <w:tcPr>
            <w:tcW w:w="900" w:type="dxa"/>
            <w:vAlign w:val="bottom"/>
            <w:tcBorders>
              <w:bottom w:val="single" w:sz="8" w:color="B2B2B2"/>
            </w:tcBorders>
          </w:tcPr>
          <w:p>
            <w:pPr>
              <w:jc w:val="right"/>
              <w:ind w:right="32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B2B2B2"/>
            </w:tcBorders>
          </w:tcPr>
          <w:p>
            <w:pPr>
              <w:spacing w:after="0"/>
              <w:rPr>
                <w:sz w:val="17"/>
                <w:szCs w:val="17"/>
                <w:color w:val="auto"/>
              </w:rPr>
            </w:pPr>
          </w:p>
        </w:tc>
        <w:tc>
          <w:tcPr>
            <w:tcW w:w="16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460" w:type="dxa"/>
            <w:vAlign w:val="bottom"/>
            <w:tcBorders>
              <w:bottom w:val="single" w:sz="8" w:color="B2B2B2"/>
            </w:tcBorders>
            <w:gridSpan w:val="2"/>
          </w:tcPr>
          <w:p>
            <w:pPr>
              <w:jc w:val="right"/>
              <w:ind w:right="20"/>
              <w:spacing w:after="0"/>
              <w:rPr>
                <w:sz w:val="20"/>
                <w:szCs w:val="20"/>
                <w:color w:val="auto"/>
              </w:rPr>
            </w:pPr>
            <w:r>
              <w:rPr>
                <w:rFonts w:ascii="Arial" w:cs="Arial" w:eastAsia="Arial" w:hAnsi="Arial"/>
                <w:sz w:val="16"/>
                <w:szCs w:val="16"/>
                <w:b w:val="1"/>
                <w:bCs w:val="1"/>
                <w:color w:val="auto"/>
              </w:rPr>
              <w:t>4</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9"/>
        </w:trPr>
        <w:tc>
          <w:tcPr>
            <w:tcW w:w="360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Total assets</w:t>
            </w:r>
          </w:p>
        </w:tc>
        <w:tc>
          <w:tcPr>
            <w:tcW w:w="2080" w:type="dxa"/>
            <w:vAlign w:val="bottom"/>
            <w:tcBorders>
              <w:bottom w:val="single" w:sz="8" w:color="B2B2B2"/>
            </w:tcBorders>
          </w:tcPr>
          <w:p>
            <w:pPr>
              <w:spacing w:after="0"/>
              <w:rPr>
                <w:sz w:val="15"/>
                <w:szCs w:val="15"/>
                <w:color w:val="auto"/>
              </w:rPr>
            </w:pPr>
          </w:p>
        </w:tc>
        <w:tc>
          <w:tcPr>
            <w:tcW w:w="1520" w:type="dxa"/>
            <w:vAlign w:val="bottom"/>
            <w:tcBorders>
              <w:bottom w:val="single" w:sz="8" w:color="B2B2B2"/>
            </w:tcBorders>
          </w:tcPr>
          <w:p>
            <w:pPr>
              <w:jc w:val="right"/>
              <w:ind w:right="520"/>
              <w:spacing w:after="0" w:line="179" w:lineRule="exact"/>
              <w:rPr>
                <w:sz w:val="20"/>
                <w:szCs w:val="20"/>
                <w:color w:val="auto"/>
              </w:rPr>
            </w:pPr>
            <w:r>
              <w:rPr>
                <w:rFonts w:ascii="Arial" w:cs="Arial" w:eastAsia="Arial" w:hAnsi="Arial"/>
                <w:sz w:val="16"/>
                <w:szCs w:val="16"/>
                <w:b w:val="1"/>
                <w:bCs w:val="1"/>
                <w:color w:val="auto"/>
              </w:rPr>
              <w:t>379</w:t>
            </w:r>
          </w:p>
        </w:tc>
        <w:tc>
          <w:tcPr>
            <w:tcW w:w="240" w:type="dxa"/>
            <w:vAlign w:val="bottom"/>
            <w:tcBorders>
              <w:bottom w:val="single" w:sz="8" w:color="B2B2B2"/>
            </w:tcBorders>
          </w:tcPr>
          <w:p>
            <w:pPr>
              <w:spacing w:after="0"/>
              <w:rPr>
                <w:sz w:val="15"/>
                <w:szCs w:val="15"/>
                <w:color w:val="auto"/>
              </w:rPr>
            </w:pPr>
          </w:p>
        </w:tc>
        <w:tc>
          <w:tcPr>
            <w:tcW w:w="240" w:type="dxa"/>
            <w:vAlign w:val="bottom"/>
            <w:tcBorders>
              <w:bottom w:val="single" w:sz="8" w:color="B2B2B2"/>
            </w:tcBorders>
          </w:tcPr>
          <w:p>
            <w:pPr>
              <w:spacing w:after="0"/>
              <w:rPr>
                <w:sz w:val="15"/>
                <w:szCs w:val="15"/>
                <w:color w:val="auto"/>
              </w:rPr>
            </w:pPr>
          </w:p>
        </w:tc>
        <w:tc>
          <w:tcPr>
            <w:tcW w:w="900" w:type="dxa"/>
            <w:vAlign w:val="bottom"/>
            <w:tcBorders>
              <w:bottom w:val="single" w:sz="8" w:color="B2B2B2"/>
            </w:tcBorders>
          </w:tcPr>
          <w:p>
            <w:pPr>
              <w:jc w:val="right"/>
              <w:ind w:right="320"/>
              <w:spacing w:after="0" w:line="179" w:lineRule="exact"/>
              <w:rPr>
                <w:sz w:val="20"/>
                <w:szCs w:val="20"/>
                <w:color w:val="auto"/>
              </w:rPr>
            </w:pPr>
            <w:r>
              <w:rPr>
                <w:rFonts w:ascii="Arial" w:cs="Arial" w:eastAsia="Arial" w:hAnsi="Arial"/>
                <w:sz w:val="16"/>
                <w:szCs w:val="16"/>
                <w:b w:val="1"/>
                <w:bCs w:val="1"/>
                <w:color w:val="auto"/>
              </w:rPr>
              <w:t>79</w:t>
            </w:r>
          </w:p>
        </w:tc>
        <w:tc>
          <w:tcPr>
            <w:tcW w:w="400" w:type="dxa"/>
            <w:vAlign w:val="bottom"/>
            <w:tcBorders>
              <w:bottom w:val="single" w:sz="8" w:color="B2B2B2"/>
            </w:tcBorders>
          </w:tcPr>
          <w:p>
            <w:pPr>
              <w:spacing w:after="0"/>
              <w:rPr>
                <w:sz w:val="15"/>
                <w:szCs w:val="15"/>
                <w:color w:val="auto"/>
              </w:rPr>
            </w:pPr>
          </w:p>
        </w:tc>
        <w:tc>
          <w:tcPr>
            <w:tcW w:w="160" w:type="dxa"/>
            <w:vAlign w:val="bottom"/>
            <w:tcBorders>
              <w:bottom w:val="single" w:sz="8" w:color="B2B2B2"/>
            </w:tcBorders>
          </w:tcPr>
          <w:p>
            <w:pPr>
              <w:spacing w:after="0"/>
              <w:rPr>
                <w:sz w:val="15"/>
                <w:szCs w:val="15"/>
                <w:color w:val="auto"/>
              </w:rPr>
            </w:pPr>
          </w:p>
        </w:tc>
        <w:tc>
          <w:tcPr>
            <w:tcW w:w="140" w:type="dxa"/>
            <w:vAlign w:val="bottom"/>
            <w:tcBorders>
              <w:bottom w:val="single" w:sz="8" w:color="B2B2B2"/>
            </w:tcBorders>
          </w:tcPr>
          <w:p>
            <w:pPr>
              <w:spacing w:after="0"/>
              <w:rPr>
                <w:sz w:val="15"/>
                <w:szCs w:val="15"/>
                <w:color w:val="auto"/>
              </w:rPr>
            </w:pPr>
          </w:p>
        </w:tc>
        <w:tc>
          <w:tcPr>
            <w:tcW w:w="460" w:type="dxa"/>
            <w:vAlign w:val="bottom"/>
            <w:tcBorders>
              <w:bottom w:val="single" w:sz="8" w:color="B2B2B2"/>
            </w:tcBorders>
            <w:gridSpan w:val="2"/>
          </w:tcPr>
          <w:p>
            <w:pPr>
              <w:jc w:val="right"/>
              <w:ind w:right="20"/>
              <w:spacing w:after="0" w:line="179" w:lineRule="exact"/>
              <w:rPr>
                <w:sz w:val="20"/>
                <w:szCs w:val="20"/>
                <w:color w:val="auto"/>
              </w:rPr>
            </w:pPr>
            <w:r>
              <w:rPr>
                <w:rFonts w:ascii="Arial" w:cs="Arial" w:eastAsia="Arial" w:hAnsi="Arial"/>
                <w:sz w:val="16"/>
                <w:szCs w:val="16"/>
                <w:b w:val="1"/>
                <w:bCs w:val="1"/>
                <w:color w:val="auto"/>
              </w:rPr>
              <w:t>458</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5"/>
        </w:trPr>
        <w:tc>
          <w:tcPr>
            <w:tcW w:w="3600" w:type="dxa"/>
            <w:vAlign w:val="bottom"/>
          </w:tcPr>
          <w:p>
            <w:pPr>
              <w:spacing w:after="0" w:line="165" w:lineRule="exact"/>
              <w:rPr>
                <w:sz w:val="20"/>
                <w:szCs w:val="20"/>
                <w:color w:val="auto"/>
              </w:rPr>
            </w:pPr>
            <w:r>
              <w:rPr>
                <w:rFonts w:ascii="Arial" w:cs="Arial" w:eastAsia="Arial" w:hAnsi="Arial"/>
                <w:sz w:val="16"/>
                <w:szCs w:val="16"/>
                <w:color w:val="auto"/>
              </w:rPr>
              <w:t> Payables and accruals</w:t>
            </w:r>
          </w:p>
        </w:tc>
        <w:tc>
          <w:tcPr>
            <w:tcW w:w="2080" w:type="dxa"/>
            <w:vAlign w:val="bottom"/>
          </w:tcPr>
          <w:p>
            <w:pPr>
              <w:spacing w:after="0"/>
              <w:rPr>
                <w:sz w:val="14"/>
                <w:szCs w:val="14"/>
                <w:color w:val="auto"/>
              </w:rPr>
            </w:pPr>
          </w:p>
        </w:tc>
        <w:tc>
          <w:tcPr>
            <w:tcW w:w="1520" w:type="dxa"/>
            <w:vAlign w:val="bottom"/>
          </w:tcPr>
          <w:p>
            <w:pPr>
              <w:jc w:val="right"/>
              <w:ind w:right="520"/>
              <w:spacing w:after="0" w:line="165" w:lineRule="exact"/>
              <w:rPr>
                <w:sz w:val="20"/>
                <w:szCs w:val="20"/>
                <w:color w:val="auto"/>
              </w:rPr>
            </w:pPr>
            <w:r>
              <w:rPr>
                <w:rFonts w:ascii="Arial" w:cs="Arial" w:eastAsia="Arial" w:hAnsi="Arial"/>
                <w:sz w:val="16"/>
                <w:szCs w:val="16"/>
                <w:b w:val="1"/>
                <w:bCs w:val="1"/>
                <w:color w:val="auto"/>
              </w:rPr>
              <w:t>(39)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20"/>
              <w:spacing w:after="0" w:line="165" w:lineRule="exact"/>
              <w:rPr>
                <w:sz w:val="20"/>
                <w:szCs w:val="20"/>
                <w:color w:val="auto"/>
              </w:rPr>
            </w:pPr>
            <w:r>
              <w:rPr>
                <w:rFonts w:ascii="Arial" w:cs="Arial" w:eastAsia="Arial" w:hAnsi="Arial"/>
                <w:sz w:val="16"/>
                <w:szCs w:val="16"/>
                <w:b w:val="1"/>
                <w:bCs w:val="1"/>
                <w:color w:val="auto"/>
              </w:rPr>
              <w:t>(1)</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20"/>
              <w:spacing w:after="0" w:line="165" w:lineRule="exact"/>
              <w:rPr>
                <w:sz w:val="20"/>
                <w:szCs w:val="20"/>
                <w:color w:val="auto"/>
              </w:rPr>
            </w:pPr>
            <w:r>
              <w:rPr>
                <w:rFonts w:ascii="Arial" w:cs="Arial" w:eastAsia="Arial" w:hAnsi="Arial"/>
                <w:sz w:val="16"/>
                <w:szCs w:val="16"/>
                <w:b w:val="1"/>
                <w:bCs w:val="1"/>
                <w:color w:val="auto"/>
              </w:rPr>
              <w:t>(40)</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3600" w:type="dxa"/>
            <w:vAlign w:val="bottom"/>
          </w:tcPr>
          <w:p>
            <w:pPr>
              <w:spacing w:after="0"/>
              <w:rPr>
                <w:sz w:val="20"/>
                <w:szCs w:val="20"/>
                <w:color w:val="auto"/>
              </w:rPr>
            </w:pPr>
            <w:r>
              <w:rPr>
                <w:rFonts w:ascii="Arial" w:cs="Arial" w:eastAsia="Arial" w:hAnsi="Arial"/>
                <w:sz w:val="16"/>
                <w:szCs w:val="16"/>
                <w:color w:val="auto"/>
              </w:rPr>
              <w:t> Current taxes payable</w:t>
            </w:r>
          </w:p>
        </w:tc>
        <w:tc>
          <w:tcPr>
            <w:tcW w:w="2080" w:type="dxa"/>
            <w:vAlign w:val="bottom"/>
          </w:tcPr>
          <w:p>
            <w:pPr>
              <w:spacing w:after="0"/>
              <w:rPr>
                <w:sz w:val="16"/>
                <w:szCs w:val="16"/>
                <w:color w:val="auto"/>
              </w:rPr>
            </w:pPr>
          </w:p>
        </w:tc>
        <w:tc>
          <w:tcPr>
            <w:tcW w:w="1520" w:type="dxa"/>
            <w:vAlign w:val="bottom"/>
          </w:tcPr>
          <w:p>
            <w:pPr>
              <w:jc w:val="right"/>
              <w:ind w:right="520"/>
              <w:spacing w:after="0"/>
              <w:rPr>
                <w:sz w:val="20"/>
                <w:szCs w:val="20"/>
                <w:color w:val="auto"/>
              </w:rPr>
            </w:pPr>
            <w:r>
              <w:rPr>
                <w:rFonts w:ascii="Arial" w:cs="Arial" w:eastAsia="Arial" w:hAnsi="Arial"/>
                <w:sz w:val="16"/>
                <w:szCs w:val="16"/>
                <w:b w:val="1"/>
                <w:bCs w:val="1"/>
                <w:color w:val="auto"/>
              </w:rPr>
              <w:t>(1)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auto"/>
              </w:rPr>
              <w:t>(1)</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600" w:type="dxa"/>
            <w:vAlign w:val="bottom"/>
          </w:tcPr>
          <w:p>
            <w:pPr>
              <w:spacing w:after="0"/>
              <w:rPr>
                <w:sz w:val="20"/>
                <w:szCs w:val="20"/>
                <w:color w:val="auto"/>
              </w:rPr>
            </w:pPr>
            <w:r>
              <w:rPr>
                <w:rFonts w:ascii="Arial" w:cs="Arial" w:eastAsia="Arial" w:hAnsi="Arial"/>
                <w:sz w:val="16"/>
                <w:szCs w:val="16"/>
                <w:color w:val="auto"/>
              </w:rPr>
              <w:t> Deferred revenue</w:t>
            </w:r>
          </w:p>
        </w:tc>
        <w:tc>
          <w:tcPr>
            <w:tcW w:w="2080" w:type="dxa"/>
            <w:vAlign w:val="bottom"/>
          </w:tcPr>
          <w:p>
            <w:pPr>
              <w:spacing w:after="0"/>
              <w:rPr>
                <w:sz w:val="16"/>
                <w:szCs w:val="16"/>
                <w:color w:val="auto"/>
              </w:rPr>
            </w:pPr>
          </w:p>
        </w:tc>
        <w:tc>
          <w:tcPr>
            <w:tcW w:w="1520" w:type="dxa"/>
            <w:vAlign w:val="bottom"/>
          </w:tcPr>
          <w:p>
            <w:pPr>
              <w:jc w:val="right"/>
              <w:ind w:right="520"/>
              <w:spacing w:after="0"/>
              <w:rPr>
                <w:sz w:val="20"/>
                <w:szCs w:val="20"/>
                <w:color w:val="auto"/>
              </w:rPr>
            </w:pPr>
            <w:r>
              <w:rPr>
                <w:rFonts w:ascii="Arial" w:cs="Arial" w:eastAsia="Arial" w:hAnsi="Arial"/>
                <w:sz w:val="16"/>
                <w:szCs w:val="16"/>
                <w:b w:val="1"/>
                <w:bCs w:val="1"/>
                <w:color w:val="auto"/>
              </w:rPr>
              <w:t>(17)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auto"/>
              </w:rPr>
              <w:t>(5)</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(22)</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36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Other financial liabilities</w:t>
            </w:r>
          </w:p>
        </w:tc>
        <w:tc>
          <w:tcPr>
            <w:tcW w:w="2080" w:type="dxa"/>
            <w:vAlign w:val="bottom"/>
            <w:tcBorders>
              <w:bottom w:val="single" w:sz="8" w:color="B2B2B2"/>
            </w:tcBorders>
          </w:tcPr>
          <w:p>
            <w:pPr>
              <w:spacing w:after="0"/>
              <w:rPr>
                <w:sz w:val="17"/>
                <w:szCs w:val="17"/>
                <w:color w:val="auto"/>
              </w:rPr>
            </w:pPr>
          </w:p>
        </w:tc>
        <w:tc>
          <w:tcPr>
            <w:tcW w:w="1520" w:type="dxa"/>
            <w:vAlign w:val="bottom"/>
            <w:tcBorders>
              <w:bottom w:val="single" w:sz="8" w:color="B2B2B2"/>
            </w:tcBorders>
          </w:tcPr>
          <w:p>
            <w:pPr>
              <w:jc w:val="right"/>
              <w:ind w:right="520"/>
              <w:spacing w:after="0"/>
              <w:rPr>
                <w:sz w:val="20"/>
                <w:szCs w:val="20"/>
                <w:color w:val="auto"/>
              </w:rPr>
            </w:pPr>
            <w:r>
              <w:rPr>
                <w:rFonts w:ascii="Arial" w:cs="Arial" w:eastAsia="Arial" w:hAnsi="Arial"/>
                <w:sz w:val="16"/>
                <w:szCs w:val="16"/>
                <w:b w:val="1"/>
                <w:bCs w:val="1"/>
                <w:color w:val="auto"/>
              </w:rPr>
              <w:t>(2)</w:t>
            </w:r>
          </w:p>
        </w:tc>
        <w:tc>
          <w:tcPr>
            <w:tcW w:w="240" w:type="dxa"/>
            <w:vAlign w:val="bottom"/>
            <w:tcBorders>
              <w:bottom w:val="single" w:sz="8" w:color="B2B2B2"/>
            </w:tcBorders>
          </w:tcPr>
          <w:p>
            <w:pPr>
              <w:spacing w:after="0"/>
              <w:rPr>
                <w:sz w:val="17"/>
                <w:szCs w:val="17"/>
                <w:color w:val="auto"/>
              </w:rPr>
            </w:pPr>
          </w:p>
        </w:tc>
        <w:tc>
          <w:tcPr>
            <w:tcW w:w="240" w:type="dxa"/>
            <w:vAlign w:val="bottom"/>
            <w:tcBorders>
              <w:bottom w:val="single" w:sz="8" w:color="B2B2B2"/>
            </w:tcBorders>
          </w:tcPr>
          <w:p>
            <w:pPr>
              <w:spacing w:after="0"/>
              <w:rPr>
                <w:sz w:val="17"/>
                <w:szCs w:val="17"/>
                <w:color w:val="auto"/>
              </w:rPr>
            </w:pPr>
          </w:p>
        </w:tc>
        <w:tc>
          <w:tcPr>
            <w:tcW w:w="900" w:type="dxa"/>
            <w:vAlign w:val="bottom"/>
            <w:tcBorders>
              <w:bottom w:val="single" w:sz="8" w:color="B2B2B2"/>
            </w:tcBorders>
          </w:tcPr>
          <w:p>
            <w:pPr>
              <w:jc w:val="right"/>
              <w:ind w:right="320"/>
              <w:spacing w:after="0"/>
              <w:rPr>
                <w:sz w:val="20"/>
                <w:szCs w:val="20"/>
                <w:color w:val="auto"/>
              </w:rPr>
            </w:pPr>
            <w:r>
              <w:rPr>
                <w:rFonts w:ascii="Arial" w:cs="Arial" w:eastAsia="Arial" w:hAnsi="Arial"/>
                <w:sz w:val="16"/>
                <w:szCs w:val="16"/>
                <w:b w:val="1"/>
                <w:bCs w:val="1"/>
                <w:color w:val="auto"/>
              </w:rPr>
              <w:t>(6)</w:t>
            </w:r>
          </w:p>
        </w:tc>
        <w:tc>
          <w:tcPr>
            <w:tcW w:w="400" w:type="dxa"/>
            <w:vAlign w:val="bottom"/>
            <w:tcBorders>
              <w:bottom w:val="single" w:sz="8" w:color="B2B2B2"/>
            </w:tcBorders>
          </w:tcPr>
          <w:p>
            <w:pPr>
              <w:spacing w:after="0"/>
              <w:rPr>
                <w:sz w:val="17"/>
                <w:szCs w:val="17"/>
                <w:color w:val="auto"/>
              </w:rPr>
            </w:pPr>
          </w:p>
        </w:tc>
        <w:tc>
          <w:tcPr>
            <w:tcW w:w="16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460" w:type="dxa"/>
            <w:vAlign w:val="bottom"/>
            <w:tcBorders>
              <w:bottom w:val="single" w:sz="8" w:color="B2B2B2"/>
            </w:tcBorders>
            <w:gridSpan w:val="2"/>
          </w:tcPr>
          <w:p>
            <w:pPr>
              <w:jc w:val="right"/>
              <w:ind w:right="20"/>
              <w:spacing w:after="0"/>
              <w:rPr>
                <w:sz w:val="20"/>
                <w:szCs w:val="20"/>
                <w:color w:val="auto"/>
              </w:rPr>
            </w:pPr>
            <w:r>
              <w:rPr>
                <w:rFonts w:ascii="Arial" w:cs="Arial" w:eastAsia="Arial" w:hAnsi="Arial"/>
                <w:sz w:val="16"/>
                <w:szCs w:val="16"/>
                <w:b w:val="1"/>
                <w:bCs w:val="1"/>
                <w:color w:val="auto"/>
              </w:rPr>
              <w:t>(8)</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65"/>
        </w:trPr>
        <w:tc>
          <w:tcPr>
            <w:tcW w:w="3600" w:type="dxa"/>
            <w:vAlign w:val="bottom"/>
          </w:tcPr>
          <w:p>
            <w:pPr>
              <w:spacing w:after="0" w:line="165" w:lineRule="exact"/>
              <w:rPr>
                <w:sz w:val="20"/>
                <w:szCs w:val="20"/>
                <w:color w:val="auto"/>
              </w:rPr>
            </w:pPr>
            <w:r>
              <w:rPr>
                <w:rFonts w:ascii="Arial" w:cs="Arial" w:eastAsia="Arial" w:hAnsi="Arial"/>
                <w:sz w:val="16"/>
                <w:szCs w:val="16"/>
                <w:color w:val="auto"/>
              </w:rPr>
              <w:t>   Current liabilities</w:t>
            </w:r>
          </w:p>
        </w:tc>
        <w:tc>
          <w:tcPr>
            <w:tcW w:w="2080" w:type="dxa"/>
            <w:vAlign w:val="bottom"/>
          </w:tcPr>
          <w:p>
            <w:pPr>
              <w:spacing w:after="0"/>
              <w:rPr>
                <w:sz w:val="14"/>
                <w:szCs w:val="14"/>
                <w:color w:val="auto"/>
              </w:rPr>
            </w:pPr>
          </w:p>
        </w:tc>
        <w:tc>
          <w:tcPr>
            <w:tcW w:w="1520" w:type="dxa"/>
            <w:vAlign w:val="bottom"/>
          </w:tcPr>
          <w:p>
            <w:pPr>
              <w:jc w:val="right"/>
              <w:ind w:right="520"/>
              <w:spacing w:after="0" w:line="165" w:lineRule="exact"/>
              <w:rPr>
                <w:sz w:val="20"/>
                <w:szCs w:val="20"/>
                <w:color w:val="auto"/>
              </w:rPr>
            </w:pPr>
            <w:r>
              <w:rPr>
                <w:rFonts w:ascii="Arial" w:cs="Arial" w:eastAsia="Arial" w:hAnsi="Arial"/>
                <w:sz w:val="16"/>
                <w:szCs w:val="16"/>
                <w:b w:val="1"/>
                <w:bCs w:val="1"/>
                <w:color w:val="auto"/>
              </w:rPr>
              <w:t>(59)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20"/>
              <w:spacing w:after="0" w:line="165" w:lineRule="exact"/>
              <w:rPr>
                <w:sz w:val="20"/>
                <w:szCs w:val="20"/>
                <w:color w:val="auto"/>
              </w:rPr>
            </w:pPr>
            <w:r>
              <w:rPr>
                <w:rFonts w:ascii="Arial" w:cs="Arial" w:eastAsia="Arial" w:hAnsi="Arial"/>
                <w:sz w:val="16"/>
                <w:szCs w:val="16"/>
                <w:b w:val="1"/>
                <w:bCs w:val="1"/>
                <w:color w:val="auto"/>
              </w:rPr>
              <w:t>(13)</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20"/>
              <w:spacing w:after="0" w:line="165" w:lineRule="exact"/>
              <w:rPr>
                <w:sz w:val="20"/>
                <w:szCs w:val="20"/>
                <w:color w:val="auto"/>
              </w:rPr>
            </w:pPr>
            <w:r>
              <w:rPr>
                <w:rFonts w:ascii="Arial" w:cs="Arial" w:eastAsia="Arial" w:hAnsi="Arial"/>
                <w:sz w:val="16"/>
                <w:szCs w:val="16"/>
                <w:b w:val="1"/>
                <w:bCs w:val="1"/>
                <w:color w:val="auto"/>
              </w:rPr>
              <w:t>(72)</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3600" w:type="dxa"/>
            <w:vAlign w:val="bottom"/>
          </w:tcPr>
          <w:p>
            <w:pPr>
              <w:spacing w:after="0"/>
              <w:rPr>
                <w:sz w:val="20"/>
                <w:szCs w:val="20"/>
                <w:color w:val="auto"/>
              </w:rPr>
            </w:pPr>
            <w:r>
              <w:rPr>
                <w:rFonts w:ascii="Arial" w:cs="Arial" w:eastAsia="Arial" w:hAnsi="Arial"/>
                <w:sz w:val="16"/>
                <w:szCs w:val="16"/>
                <w:color w:val="auto"/>
              </w:rPr>
              <w:t> Long-term indebtedness</w:t>
            </w:r>
          </w:p>
        </w:tc>
        <w:tc>
          <w:tcPr>
            <w:tcW w:w="2080" w:type="dxa"/>
            <w:vAlign w:val="bottom"/>
          </w:tcPr>
          <w:p>
            <w:pPr>
              <w:spacing w:after="0"/>
              <w:rPr>
                <w:sz w:val="16"/>
                <w:szCs w:val="16"/>
                <w:color w:val="auto"/>
              </w:rPr>
            </w:pPr>
          </w:p>
        </w:tc>
        <w:tc>
          <w:tcPr>
            <w:tcW w:w="1520" w:type="dxa"/>
            <w:vAlign w:val="bottom"/>
          </w:tcPr>
          <w:p>
            <w:pPr>
              <w:jc w:val="right"/>
              <w:ind w:right="520"/>
              <w:spacing w:after="0"/>
              <w:rPr>
                <w:sz w:val="20"/>
                <w:szCs w:val="20"/>
                <w:color w:val="auto"/>
              </w:rPr>
            </w:pPr>
            <w:r>
              <w:rPr>
                <w:rFonts w:ascii="Arial" w:cs="Arial" w:eastAsia="Arial" w:hAnsi="Arial"/>
                <w:sz w:val="16"/>
                <w:szCs w:val="16"/>
                <w:b w:val="1"/>
                <w:bCs w:val="1"/>
                <w:color w:val="auto"/>
              </w:rPr>
              <w:t>(48)</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(48)</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600" w:type="dxa"/>
            <w:vAlign w:val="bottom"/>
          </w:tcPr>
          <w:p>
            <w:pPr>
              <w:spacing w:after="0"/>
              <w:rPr>
                <w:sz w:val="20"/>
                <w:szCs w:val="20"/>
                <w:color w:val="auto"/>
              </w:rPr>
            </w:pPr>
            <w:r>
              <w:rPr>
                <w:rFonts w:ascii="Arial" w:cs="Arial" w:eastAsia="Arial" w:hAnsi="Arial"/>
                <w:sz w:val="16"/>
                <w:szCs w:val="16"/>
                <w:color w:val="auto"/>
              </w:rPr>
              <w:t> Provisions and other non-current liabilities</w:t>
            </w:r>
          </w:p>
        </w:tc>
        <w:tc>
          <w:tcPr>
            <w:tcW w:w="2080" w:type="dxa"/>
            <w:vAlign w:val="bottom"/>
          </w:tcPr>
          <w:p>
            <w:pPr>
              <w:spacing w:after="0"/>
              <w:rPr>
                <w:sz w:val="16"/>
                <w:szCs w:val="16"/>
                <w:color w:val="auto"/>
              </w:rPr>
            </w:pPr>
          </w:p>
        </w:tc>
        <w:tc>
          <w:tcPr>
            <w:tcW w:w="1520" w:type="dxa"/>
            <w:vAlign w:val="bottom"/>
          </w:tcPr>
          <w:p>
            <w:pPr>
              <w:jc w:val="right"/>
              <w:ind w:right="520"/>
              <w:spacing w:after="0"/>
              <w:rPr>
                <w:sz w:val="20"/>
                <w:szCs w:val="20"/>
                <w:color w:val="auto"/>
              </w:rPr>
            </w:pPr>
            <w:r>
              <w:rPr>
                <w:rFonts w:ascii="Arial" w:cs="Arial" w:eastAsia="Arial" w:hAnsi="Arial"/>
                <w:sz w:val="16"/>
                <w:szCs w:val="16"/>
                <w:b w:val="1"/>
                <w:bCs w:val="1"/>
                <w:color w:val="auto"/>
              </w:rPr>
              <w:t>(1)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600" w:type="dxa"/>
            <w:vAlign w:val="bottom"/>
          </w:tcPr>
          <w:p>
            <w:pPr>
              <w:spacing w:after="0"/>
              <w:rPr>
                <w:sz w:val="20"/>
                <w:szCs w:val="20"/>
                <w:color w:val="auto"/>
              </w:rPr>
            </w:pPr>
            <w:r>
              <w:rPr>
                <w:rFonts w:ascii="Arial" w:cs="Arial" w:eastAsia="Arial" w:hAnsi="Arial"/>
                <w:sz w:val="16"/>
                <w:szCs w:val="16"/>
                <w:color w:val="auto"/>
              </w:rPr>
              <w:t> Other financial liabilities</w:t>
            </w:r>
          </w:p>
        </w:tc>
        <w:tc>
          <w:tcPr>
            <w:tcW w:w="2080" w:type="dxa"/>
            <w:vAlign w:val="bottom"/>
          </w:tcPr>
          <w:p>
            <w:pPr>
              <w:spacing w:after="0"/>
              <w:rPr>
                <w:sz w:val="16"/>
                <w:szCs w:val="16"/>
                <w:color w:val="auto"/>
              </w:rPr>
            </w:pPr>
          </w:p>
        </w:tc>
        <w:tc>
          <w:tcPr>
            <w:tcW w:w="1520" w:type="dxa"/>
            <w:vAlign w:val="bottom"/>
          </w:tcPr>
          <w:p>
            <w:pPr>
              <w:jc w:val="right"/>
              <w:ind w:right="520"/>
              <w:spacing w:after="0"/>
              <w:rPr>
                <w:sz w:val="20"/>
                <w:szCs w:val="20"/>
                <w:color w:val="auto"/>
              </w:rPr>
            </w:pPr>
            <w:r>
              <w:rPr>
                <w:rFonts w:ascii="Arial" w:cs="Arial" w:eastAsia="Arial" w:hAnsi="Arial"/>
                <w:sz w:val="16"/>
                <w:szCs w:val="16"/>
                <w:b w:val="1"/>
                <w:bCs w:val="1"/>
                <w:color w:val="auto"/>
              </w:rPr>
              <w:t>(14)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auto"/>
              </w:rPr>
              <w:t>(23)</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(37)</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36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Deferred tax</w:t>
            </w:r>
          </w:p>
        </w:tc>
        <w:tc>
          <w:tcPr>
            <w:tcW w:w="2080" w:type="dxa"/>
            <w:vAlign w:val="bottom"/>
            <w:tcBorders>
              <w:bottom w:val="single" w:sz="8" w:color="B2B2B2"/>
            </w:tcBorders>
          </w:tcPr>
          <w:p>
            <w:pPr>
              <w:spacing w:after="0"/>
              <w:rPr>
                <w:sz w:val="17"/>
                <w:szCs w:val="17"/>
                <w:color w:val="auto"/>
              </w:rPr>
            </w:pPr>
          </w:p>
        </w:tc>
        <w:tc>
          <w:tcPr>
            <w:tcW w:w="1520" w:type="dxa"/>
            <w:vAlign w:val="bottom"/>
            <w:tcBorders>
              <w:bottom w:val="single" w:sz="8" w:color="B2B2B2"/>
            </w:tcBorders>
          </w:tcPr>
          <w:p>
            <w:pPr>
              <w:jc w:val="right"/>
              <w:ind w:right="520"/>
              <w:spacing w:after="0"/>
              <w:rPr>
                <w:sz w:val="20"/>
                <w:szCs w:val="20"/>
                <w:color w:val="auto"/>
              </w:rPr>
            </w:pPr>
            <w:r>
              <w:rPr>
                <w:rFonts w:ascii="Arial" w:cs="Arial" w:eastAsia="Arial" w:hAnsi="Arial"/>
                <w:sz w:val="16"/>
                <w:szCs w:val="16"/>
                <w:b w:val="1"/>
                <w:bCs w:val="1"/>
                <w:color w:val="auto"/>
              </w:rPr>
              <w:t>(33)</w:t>
            </w:r>
          </w:p>
        </w:tc>
        <w:tc>
          <w:tcPr>
            <w:tcW w:w="240" w:type="dxa"/>
            <w:vAlign w:val="bottom"/>
            <w:tcBorders>
              <w:bottom w:val="single" w:sz="8" w:color="B2B2B2"/>
            </w:tcBorders>
          </w:tcPr>
          <w:p>
            <w:pPr>
              <w:spacing w:after="0"/>
              <w:rPr>
                <w:sz w:val="17"/>
                <w:szCs w:val="17"/>
                <w:color w:val="auto"/>
              </w:rPr>
            </w:pPr>
          </w:p>
        </w:tc>
        <w:tc>
          <w:tcPr>
            <w:tcW w:w="240" w:type="dxa"/>
            <w:vAlign w:val="bottom"/>
            <w:tcBorders>
              <w:bottom w:val="single" w:sz="8" w:color="B2B2B2"/>
            </w:tcBorders>
          </w:tcPr>
          <w:p>
            <w:pPr>
              <w:spacing w:after="0"/>
              <w:rPr>
                <w:sz w:val="17"/>
                <w:szCs w:val="17"/>
                <w:color w:val="auto"/>
              </w:rPr>
            </w:pPr>
          </w:p>
        </w:tc>
        <w:tc>
          <w:tcPr>
            <w:tcW w:w="900" w:type="dxa"/>
            <w:vAlign w:val="bottom"/>
            <w:tcBorders>
              <w:bottom w:val="single" w:sz="8" w:color="B2B2B2"/>
            </w:tcBorders>
          </w:tcPr>
          <w:p>
            <w:pPr>
              <w:jc w:val="right"/>
              <w:ind w:right="320"/>
              <w:spacing w:after="0"/>
              <w:rPr>
                <w:sz w:val="20"/>
                <w:szCs w:val="20"/>
                <w:color w:val="auto"/>
              </w:rPr>
            </w:pPr>
            <w:r>
              <w:rPr>
                <w:rFonts w:ascii="Arial" w:cs="Arial" w:eastAsia="Arial" w:hAnsi="Arial"/>
                <w:sz w:val="16"/>
                <w:szCs w:val="16"/>
                <w:b w:val="1"/>
                <w:bCs w:val="1"/>
                <w:color w:val="auto"/>
              </w:rPr>
              <w:t>(17)</w:t>
            </w:r>
          </w:p>
        </w:tc>
        <w:tc>
          <w:tcPr>
            <w:tcW w:w="400" w:type="dxa"/>
            <w:vAlign w:val="bottom"/>
            <w:tcBorders>
              <w:bottom w:val="single" w:sz="8" w:color="B2B2B2"/>
            </w:tcBorders>
          </w:tcPr>
          <w:p>
            <w:pPr>
              <w:spacing w:after="0"/>
              <w:rPr>
                <w:sz w:val="17"/>
                <w:szCs w:val="17"/>
                <w:color w:val="auto"/>
              </w:rPr>
            </w:pPr>
          </w:p>
        </w:tc>
        <w:tc>
          <w:tcPr>
            <w:tcW w:w="16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460" w:type="dxa"/>
            <w:vAlign w:val="bottom"/>
            <w:tcBorders>
              <w:bottom w:val="single" w:sz="8" w:color="B2B2B2"/>
            </w:tcBorders>
            <w:gridSpan w:val="2"/>
          </w:tcPr>
          <w:p>
            <w:pPr>
              <w:jc w:val="right"/>
              <w:ind w:right="20"/>
              <w:spacing w:after="0"/>
              <w:rPr>
                <w:sz w:val="20"/>
                <w:szCs w:val="20"/>
                <w:color w:val="auto"/>
              </w:rPr>
            </w:pPr>
            <w:r>
              <w:rPr>
                <w:rFonts w:ascii="Arial" w:cs="Arial" w:eastAsia="Arial" w:hAnsi="Arial"/>
                <w:sz w:val="16"/>
                <w:szCs w:val="16"/>
                <w:b w:val="1"/>
                <w:bCs w:val="1"/>
                <w:color w:val="auto"/>
              </w:rPr>
              <w:t>(50)</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9"/>
        </w:trPr>
        <w:tc>
          <w:tcPr>
            <w:tcW w:w="360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Total liabilities</w:t>
            </w:r>
          </w:p>
        </w:tc>
        <w:tc>
          <w:tcPr>
            <w:tcW w:w="2080" w:type="dxa"/>
            <w:vAlign w:val="bottom"/>
            <w:tcBorders>
              <w:bottom w:val="single" w:sz="8" w:color="B2B2B2"/>
            </w:tcBorders>
          </w:tcPr>
          <w:p>
            <w:pPr>
              <w:spacing w:after="0"/>
              <w:rPr>
                <w:sz w:val="15"/>
                <w:szCs w:val="15"/>
                <w:color w:val="auto"/>
              </w:rPr>
            </w:pPr>
          </w:p>
        </w:tc>
        <w:tc>
          <w:tcPr>
            <w:tcW w:w="1520" w:type="dxa"/>
            <w:vAlign w:val="bottom"/>
            <w:tcBorders>
              <w:bottom w:val="single" w:sz="8" w:color="B2B2B2"/>
            </w:tcBorders>
          </w:tcPr>
          <w:p>
            <w:pPr>
              <w:jc w:val="right"/>
              <w:ind w:right="520"/>
              <w:spacing w:after="0" w:line="179" w:lineRule="exact"/>
              <w:rPr>
                <w:sz w:val="20"/>
                <w:szCs w:val="20"/>
                <w:color w:val="auto"/>
              </w:rPr>
            </w:pPr>
            <w:r>
              <w:rPr>
                <w:rFonts w:ascii="Arial" w:cs="Arial" w:eastAsia="Arial" w:hAnsi="Arial"/>
                <w:sz w:val="16"/>
                <w:szCs w:val="16"/>
                <w:b w:val="1"/>
                <w:bCs w:val="1"/>
                <w:color w:val="auto"/>
              </w:rPr>
              <w:t>(155)</w:t>
            </w:r>
          </w:p>
        </w:tc>
        <w:tc>
          <w:tcPr>
            <w:tcW w:w="240" w:type="dxa"/>
            <w:vAlign w:val="bottom"/>
            <w:tcBorders>
              <w:bottom w:val="single" w:sz="8" w:color="B2B2B2"/>
            </w:tcBorders>
          </w:tcPr>
          <w:p>
            <w:pPr>
              <w:spacing w:after="0"/>
              <w:rPr>
                <w:sz w:val="15"/>
                <w:szCs w:val="15"/>
                <w:color w:val="auto"/>
              </w:rPr>
            </w:pPr>
          </w:p>
        </w:tc>
        <w:tc>
          <w:tcPr>
            <w:tcW w:w="240" w:type="dxa"/>
            <w:vAlign w:val="bottom"/>
            <w:tcBorders>
              <w:bottom w:val="single" w:sz="8" w:color="B2B2B2"/>
            </w:tcBorders>
          </w:tcPr>
          <w:p>
            <w:pPr>
              <w:spacing w:after="0"/>
              <w:rPr>
                <w:sz w:val="15"/>
                <w:szCs w:val="15"/>
                <w:color w:val="auto"/>
              </w:rPr>
            </w:pPr>
          </w:p>
        </w:tc>
        <w:tc>
          <w:tcPr>
            <w:tcW w:w="900" w:type="dxa"/>
            <w:vAlign w:val="bottom"/>
            <w:tcBorders>
              <w:bottom w:val="single" w:sz="8" w:color="B2B2B2"/>
            </w:tcBorders>
          </w:tcPr>
          <w:p>
            <w:pPr>
              <w:jc w:val="right"/>
              <w:ind w:right="320"/>
              <w:spacing w:after="0" w:line="179" w:lineRule="exact"/>
              <w:rPr>
                <w:sz w:val="20"/>
                <w:szCs w:val="20"/>
                <w:color w:val="auto"/>
              </w:rPr>
            </w:pPr>
            <w:r>
              <w:rPr>
                <w:rFonts w:ascii="Arial" w:cs="Arial" w:eastAsia="Arial" w:hAnsi="Arial"/>
                <w:sz w:val="16"/>
                <w:szCs w:val="16"/>
                <w:b w:val="1"/>
                <w:bCs w:val="1"/>
                <w:color w:val="auto"/>
              </w:rPr>
              <w:t>(53)</w:t>
            </w:r>
          </w:p>
        </w:tc>
        <w:tc>
          <w:tcPr>
            <w:tcW w:w="400" w:type="dxa"/>
            <w:vAlign w:val="bottom"/>
            <w:tcBorders>
              <w:bottom w:val="single" w:sz="8" w:color="B2B2B2"/>
            </w:tcBorders>
          </w:tcPr>
          <w:p>
            <w:pPr>
              <w:spacing w:after="0"/>
              <w:rPr>
                <w:sz w:val="15"/>
                <w:szCs w:val="15"/>
                <w:color w:val="auto"/>
              </w:rPr>
            </w:pPr>
          </w:p>
        </w:tc>
        <w:tc>
          <w:tcPr>
            <w:tcW w:w="160" w:type="dxa"/>
            <w:vAlign w:val="bottom"/>
            <w:tcBorders>
              <w:bottom w:val="single" w:sz="8" w:color="B2B2B2"/>
            </w:tcBorders>
          </w:tcPr>
          <w:p>
            <w:pPr>
              <w:spacing w:after="0"/>
              <w:rPr>
                <w:sz w:val="15"/>
                <w:szCs w:val="15"/>
                <w:color w:val="auto"/>
              </w:rPr>
            </w:pPr>
          </w:p>
        </w:tc>
        <w:tc>
          <w:tcPr>
            <w:tcW w:w="140" w:type="dxa"/>
            <w:vAlign w:val="bottom"/>
            <w:tcBorders>
              <w:bottom w:val="single" w:sz="8" w:color="B2B2B2"/>
            </w:tcBorders>
          </w:tcPr>
          <w:p>
            <w:pPr>
              <w:spacing w:after="0"/>
              <w:rPr>
                <w:sz w:val="15"/>
                <w:szCs w:val="15"/>
                <w:color w:val="auto"/>
              </w:rPr>
            </w:pPr>
          </w:p>
        </w:tc>
        <w:tc>
          <w:tcPr>
            <w:tcW w:w="460" w:type="dxa"/>
            <w:vAlign w:val="bottom"/>
            <w:tcBorders>
              <w:bottom w:val="single" w:sz="8" w:color="B2B2B2"/>
            </w:tcBorders>
            <w:gridSpan w:val="2"/>
          </w:tcPr>
          <w:p>
            <w:pPr>
              <w:jc w:val="right"/>
              <w:ind w:right="20"/>
              <w:spacing w:after="0" w:line="179" w:lineRule="exact"/>
              <w:rPr>
                <w:sz w:val="20"/>
                <w:szCs w:val="20"/>
                <w:color w:val="auto"/>
              </w:rPr>
            </w:pPr>
            <w:r>
              <w:rPr>
                <w:rFonts w:ascii="Arial" w:cs="Arial" w:eastAsia="Arial" w:hAnsi="Arial"/>
                <w:sz w:val="16"/>
                <w:szCs w:val="16"/>
                <w:b w:val="1"/>
                <w:bCs w:val="1"/>
                <w:color w:val="auto"/>
              </w:rPr>
              <w:t>(208)</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5"/>
        </w:trPr>
        <w:tc>
          <w:tcPr>
            <w:tcW w:w="3600" w:type="dxa"/>
            <w:vAlign w:val="bottom"/>
          </w:tcPr>
          <w:p>
            <w:pPr>
              <w:spacing w:after="0" w:line="165" w:lineRule="exact"/>
              <w:rPr>
                <w:sz w:val="20"/>
                <w:szCs w:val="20"/>
                <w:color w:val="auto"/>
              </w:rPr>
            </w:pPr>
            <w:r>
              <w:rPr>
                <w:rFonts w:ascii="Arial" w:cs="Arial" w:eastAsia="Arial" w:hAnsi="Arial"/>
                <w:sz w:val="16"/>
                <w:szCs w:val="16"/>
                <w:color w:val="auto"/>
              </w:rPr>
              <w:t> Net assets acquired</w:t>
            </w:r>
          </w:p>
        </w:tc>
        <w:tc>
          <w:tcPr>
            <w:tcW w:w="2080" w:type="dxa"/>
            <w:vAlign w:val="bottom"/>
          </w:tcPr>
          <w:p>
            <w:pPr>
              <w:spacing w:after="0"/>
              <w:rPr>
                <w:sz w:val="14"/>
                <w:szCs w:val="14"/>
                <w:color w:val="auto"/>
              </w:rPr>
            </w:pPr>
          </w:p>
        </w:tc>
        <w:tc>
          <w:tcPr>
            <w:tcW w:w="1520" w:type="dxa"/>
            <w:vAlign w:val="bottom"/>
          </w:tcPr>
          <w:p>
            <w:pPr>
              <w:jc w:val="right"/>
              <w:ind w:right="520"/>
              <w:spacing w:after="0" w:line="165" w:lineRule="exact"/>
              <w:rPr>
                <w:sz w:val="20"/>
                <w:szCs w:val="20"/>
                <w:color w:val="auto"/>
              </w:rPr>
            </w:pPr>
            <w:r>
              <w:rPr>
                <w:rFonts w:ascii="Arial" w:cs="Arial" w:eastAsia="Arial" w:hAnsi="Arial"/>
                <w:sz w:val="16"/>
                <w:szCs w:val="16"/>
                <w:b w:val="1"/>
                <w:bCs w:val="1"/>
                <w:color w:val="auto"/>
              </w:rPr>
              <w:t>224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20"/>
              <w:spacing w:after="0" w:line="165" w:lineRule="exact"/>
              <w:rPr>
                <w:sz w:val="20"/>
                <w:szCs w:val="20"/>
                <w:color w:val="auto"/>
              </w:rPr>
            </w:pPr>
            <w:r>
              <w:rPr>
                <w:rFonts w:ascii="Arial" w:cs="Arial" w:eastAsia="Arial" w:hAnsi="Arial"/>
                <w:sz w:val="16"/>
                <w:szCs w:val="16"/>
                <w:b w:val="1"/>
                <w:bCs w:val="1"/>
                <w:color w:val="auto"/>
              </w:rPr>
              <w:t>26</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20"/>
              <w:spacing w:after="0" w:line="165" w:lineRule="exact"/>
              <w:rPr>
                <w:sz w:val="20"/>
                <w:szCs w:val="20"/>
                <w:color w:val="auto"/>
              </w:rPr>
            </w:pPr>
            <w:r>
              <w:rPr>
                <w:rFonts w:ascii="Arial" w:cs="Arial" w:eastAsia="Arial" w:hAnsi="Arial"/>
                <w:sz w:val="16"/>
                <w:szCs w:val="16"/>
                <w:b w:val="1"/>
                <w:bCs w:val="1"/>
                <w:color w:val="auto"/>
              </w:rPr>
              <w:t>250</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3600" w:type="dxa"/>
            <w:vAlign w:val="bottom"/>
          </w:tcPr>
          <w:p>
            <w:pPr>
              <w:spacing w:after="0"/>
              <w:rPr>
                <w:sz w:val="20"/>
                <w:szCs w:val="20"/>
                <w:color w:val="auto"/>
              </w:rPr>
            </w:pPr>
            <w:r>
              <w:rPr>
                <w:rFonts w:ascii="Arial" w:cs="Arial" w:eastAsia="Arial" w:hAnsi="Arial"/>
                <w:sz w:val="16"/>
                <w:szCs w:val="16"/>
                <w:color w:val="auto"/>
              </w:rPr>
              <w:t> Goodwill</w:t>
            </w:r>
          </w:p>
        </w:tc>
        <w:tc>
          <w:tcPr>
            <w:tcW w:w="2080" w:type="dxa"/>
            <w:vAlign w:val="bottom"/>
          </w:tcPr>
          <w:p>
            <w:pPr>
              <w:spacing w:after="0"/>
              <w:rPr>
                <w:sz w:val="16"/>
                <w:szCs w:val="16"/>
                <w:color w:val="auto"/>
              </w:rPr>
            </w:pPr>
          </w:p>
        </w:tc>
        <w:tc>
          <w:tcPr>
            <w:tcW w:w="1520" w:type="dxa"/>
            <w:vAlign w:val="bottom"/>
          </w:tcPr>
          <w:p>
            <w:pPr>
              <w:jc w:val="right"/>
              <w:ind w:right="520"/>
              <w:spacing w:after="0"/>
              <w:rPr>
                <w:sz w:val="20"/>
                <w:szCs w:val="20"/>
                <w:color w:val="auto"/>
              </w:rPr>
            </w:pPr>
            <w:r>
              <w:rPr>
                <w:rFonts w:ascii="Arial" w:cs="Arial" w:eastAsia="Arial" w:hAnsi="Arial"/>
                <w:sz w:val="16"/>
                <w:szCs w:val="16"/>
                <w:b w:val="1"/>
                <w:bCs w:val="1"/>
                <w:color w:val="auto"/>
              </w:rPr>
              <w:t>573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auto"/>
              </w:rPr>
              <w:t>141</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714</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5680" w:type="dxa"/>
            <w:vAlign w:val="bottom"/>
            <w:gridSpan w:val="2"/>
          </w:tcPr>
          <w:p>
            <w:pPr>
              <w:spacing w:after="0"/>
              <w:rPr>
                <w:sz w:val="20"/>
                <w:szCs w:val="20"/>
                <w:color w:val="auto"/>
              </w:rPr>
            </w:pPr>
            <w:r>
              <w:rPr>
                <w:rFonts w:ascii="Arial" w:cs="Arial" w:eastAsia="Arial" w:hAnsi="Arial"/>
                <w:sz w:val="16"/>
                <w:szCs w:val="16"/>
                <w:color w:val="auto"/>
              </w:rPr>
              <w:t> Less: Fair value of previously held financial asset through other</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36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comprehensive income</w:t>
            </w:r>
          </w:p>
        </w:tc>
        <w:tc>
          <w:tcPr>
            <w:tcW w:w="2080" w:type="dxa"/>
            <w:vAlign w:val="bottom"/>
            <w:tcBorders>
              <w:bottom w:val="single" w:sz="8" w:color="B2B2B2"/>
            </w:tcBorders>
          </w:tcPr>
          <w:p>
            <w:pPr>
              <w:spacing w:after="0"/>
              <w:rPr>
                <w:sz w:val="17"/>
                <w:szCs w:val="17"/>
                <w:color w:val="auto"/>
              </w:rPr>
            </w:pPr>
          </w:p>
        </w:tc>
        <w:tc>
          <w:tcPr>
            <w:tcW w:w="1520" w:type="dxa"/>
            <w:vAlign w:val="bottom"/>
            <w:tcBorders>
              <w:bottom w:val="single" w:sz="8" w:color="B2B2B2"/>
            </w:tcBorders>
          </w:tcPr>
          <w:p>
            <w:pPr>
              <w:jc w:val="right"/>
              <w:ind w:right="52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B2B2B2"/>
            </w:tcBorders>
          </w:tcPr>
          <w:p>
            <w:pPr>
              <w:spacing w:after="0"/>
              <w:rPr>
                <w:sz w:val="17"/>
                <w:szCs w:val="17"/>
                <w:color w:val="auto"/>
              </w:rPr>
            </w:pPr>
          </w:p>
        </w:tc>
        <w:tc>
          <w:tcPr>
            <w:tcW w:w="240" w:type="dxa"/>
            <w:vAlign w:val="bottom"/>
            <w:tcBorders>
              <w:bottom w:val="single" w:sz="8" w:color="B2B2B2"/>
            </w:tcBorders>
          </w:tcPr>
          <w:p>
            <w:pPr>
              <w:spacing w:after="0"/>
              <w:rPr>
                <w:sz w:val="17"/>
                <w:szCs w:val="17"/>
                <w:color w:val="auto"/>
              </w:rPr>
            </w:pPr>
          </w:p>
        </w:tc>
        <w:tc>
          <w:tcPr>
            <w:tcW w:w="900" w:type="dxa"/>
            <w:vAlign w:val="bottom"/>
            <w:tcBorders>
              <w:bottom w:val="single" w:sz="8" w:color="B2B2B2"/>
            </w:tcBorders>
          </w:tcPr>
          <w:p>
            <w:pPr>
              <w:jc w:val="right"/>
              <w:ind w:right="320"/>
              <w:spacing w:after="0"/>
              <w:rPr>
                <w:sz w:val="20"/>
                <w:szCs w:val="20"/>
                <w:color w:val="auto"/>
              </w:rPr>
            </w:pPr>
            <w:r>
              <w:rPr>
                <w:rFonts w:ascii="Arial" w:cs="Arial" w:eastAsia="Arial" w:hAnsi="Arial"/>
                <w:sz w:val="16"/>
                <w:szCs w:val="16"/>
                <w:b w:val="1"/>
                <w:bCs w:val="1"/>
                <w:color w:val="auto"/>
              </w:rPr>
              <w:t>(5)</w:t>
            </w:r>
          </w:p>
        </w:tc>
        <w:tc>
          <w:tcPr>
            <w:tcW w:w="400" w:type="dxa"/>
            <w:vAlign w:val="bottom"/>
            <w:tcBorders>
              <w:bottom w:val="single" w:sz="8" w:color="B2B2B2"/>
            </w:tcBorders>
          </w:tcPr>
          <w:p>
            <w:pPr>
              <w:spacing w:after="0"/>
              <w:rPr>
                <w:sz w:val="17"/>
                <w:szCs w:val="17"/>
                <w:color w:val="auto"/>
              </w:rPr>
            </w:pPr>
          </w:p>
        </w:tc>
        <w:tc>
          <w:tcPr>
            <w:tcW w:w="16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460" w:type="dxa"/>
            <w:vAlign w:val="bottom"/>
            <w:tcBorders>
              <w:bottom w:val="single" w:sz="8" w:color="B2B2B2"/>
            </w:tcBorders>
            <w:gridSpan w:val="2"/>
          </w:tcPr>
          <w:p>
            <w:pPr>
              <w:jc w:val="right"/>
              <w:ind w:right="20"/>
              <w:spacing w:after="0"/>
              <w:rPr>
                <w:sz w:val="20"/>
                <w:szCs w:val="20"/>
                <w:color w:val="auto"/>
              </w:rPr>
            </w:pPr>
            <w:r>
              <w:rPr>
                <w:rFonts w:ascii="Arial" w:cs="Arial" w:eastAsia="Arial" w:hAnsi="Arial"/>
                <w:sz w:val="16"/>
                <w:szCs w:val="16"/>
                <w:b w:val="1"/>
                <w:bCs w:val="1"/>
                <w:color w:val="auto"/>
              </w:rPr>
              <w:t>(5)</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9"/>
        </w:trPr>
        <w:tc>
          <w:tcPr>
            <w:tcW w:w="360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Total</w:t>
            </w:r>
          </w:p>
        </w:tc>
        <w:tc>
          <w:tcPr>
            <w:tcW w:w="2080" w:type="dxa"/>
            <w:vAlign w:val="bottom"/>
            <w:tcBorders>
              <w:bottom w:val="single" w:sz="8" w:color="B2B2B2"/>
            </w:tcBorders>
          </w:tcPr>
          <w:p>
            <w:pPr>
              <w:spacing w:after="0"/>
              <w:rPr>
                <w:sz w:val="15"/>
                <w:szCs w:val="15"/>
                <w:color w:val="auto"/>
              </w:rPr>
            </w:pPr>
          </w:p>
        </w:tc>
        <w:tc>
          <w:tcPr>
            <w:tcW w:w="1520" w:type="dxa"/>
            <w:vAlign w:val="bottom"/>
            <w:tcBorders>
              <w:bottom w:val="single" w:sz="8" w:color="B2B2B2"/>
            </w:tcBorders>
          </w:tcPr>
          <w:p>
            <w:pPr>
              <w:jc w:val="right"/>
              <w:ind w:right="520"/>
              <w:spacing w:after="0" w:line="179" w:lineRule="exact"/>
              <w:rPr>
                <w:sz w:val="20"/>
                <w:szCs w:val="20"/>
                <w:color w:val="auto"/>
              </w:rPr>
            </w:pPr>
            <w:r>
              <w:rPr>
                <w:rFonts w:ascii="Arial" w:cs="Arial" w:eastAsia="Arial" w:hAnsi="Arial"/>
                <w:sz w:val="16"/>
                <w:szCs w:val="16"/>
                <w:b w:val="1"/>
                <w:bCs w:val="1"/>
                <w:color w:val="auto"/>
              </w:rPr>
              <w:t>797</w:t>
            </w:r>
          </w:p>
        </w:tc>
        <w:tc>
          <w:tcPr>
            <w:tcW w:w="240" w:type="dxa"/>
            <w:vAlign w:val="bottom"/>
            <w:tcBorders>
              <w:bottom w:val="single" w:sz="8" w:color="B2B2B2"/>
            </w:tcBorders>
          </w:tcPr>
          <w:p>
            <w:pPr>
              <w:spacing w:after="0"/>
              <w:rPr>
                <w:sz w:val="15"/>
                <w:szCs w:val="15"/>
                <w:color w:val="auto"/>
              </w:rPr>
            </w:pPr>
          </w:p>
        </w:tc>
        <w:tc>
          <w:tcPr>
            <w:tcW w:w="240" w:type="dxa"/>
            <w:vAlign w:val="bottom"/>
            <w:tcBorders>
              <w:bottom w:val="single" w:sz="8" w:color="B2B2B2"/>
            </w:tcBorders>
          </w:tcPr>
          <w:p>
            <w:pPr>
              <w:spacing w:after="0"/>
              <w:rPr>
                <w:sz w:val="15"/>
                <w:szCs w:val="15"/>
                <w:color w:val="auto"/>
              </w:rPr>
            </w:pPr>
          </w:p>
        </w:tc>
        <w:tc>
          <w:tcPr>
            <w:tcW w:w="900" w:type="dxa"/>
            <w:vAlign w:val="bottom"/>
            <w:tcBorders>
              <w:bottom w:val="single" w:sz="8" w:color="B2B2B2"/>
            </w:tcBorders>
          </w:tcPr>
          <w:p>
            <w:pPr>
              <w:jc w:val="right"/>
              <w:ind w:right="320"/>
              <w:spacing w:after="0" w:line="179" w:lineRule="exact"/>
              <w:rPr>
                <w:sz w:val="20"/>
                <w:szCs w:val="20"/>
                <w:color w:val="auto"/>
              </w:rPr>
            </w:pPr>
            <w:r>
              <w:rPr>
                <w:rFonts w:ascii="Arial" w:cs="Arial" w:eastAsia="Arial" w:hAnsi="Arial"/>
                <w:sz w:val="16"/>
                <w:szCs w:val="16"/>
                <w:b w:val="1"/>
                <w:bCs w:val="1"/>
                <w:color w:val="auto"/>
              </w:rPr>
              <w:t>162</w:t>
            </w:r>
          </w:p>
        </w:tc>
        <w:tc>
          <w:tcPr>
            <w:tcW w:w="400" w:type="dxa"/>
            <w:vAlign w:val="bottom"/>
            <w:tcBorders>
              <w:bottom w:val="single" w:sz="8" w:color="B2B2B2"/>
            </w:tcBorders>
          </w:tcPr>
          <w:p>
            <w:pPr>
              <w:spacing w:after="0"/>
              <w:rPr>
                <w:sz w:val="15"/>
                <w:szCs w:val="15"/>
                <w:color w:val="auto"/>
              </w:rPr>
            </w:pPr>
          </w:p>
        </w:tc>
        <w:tc>
          <w:tcPr>
            <w:tcW w:w="160" w:type="dxa"/>
            <w:vAlign w:val="bottom"/>
            <w:tcBorders>
              <w:bottom w:val="single" w:sz="8" w:color="B2B2B2"/>
            </w:tcBorders>
          </w:tcPr>
          <w:p>
            <w:pPr>
              <w:spacing w:after="0"/>
              <w:rPr>
                <w:sz w:val="15"/>
                <w:szCs w:val="15"/>
                <w:color w:val="auto"/>
              </w:rPr>
            </w:pPr>
          </w:p>
        </w:tc>
        <w:tc>
          <w:tcPr>
            <w:tcW w:w="140" w:type="dxa"/>
            <w:vAlign w:val="bottom"/>
            <w:tcBorders>
              <w:bottom w:val="single" w:sz="8" w:color="B2B2B2"/>
            </w:tcBorders>
          </w:tcPr>
          <w:p>
            <w:pPr>
              <w:spacing w:after="0"/>
              <w:rPr>
                <w:sz w:val="15"/>
                <w:szCs w:val="15"/>
                <w:color w:val="auto"/>
              </w:rPr>
            </w:pPr>
          </w:p>
        </w:tc>
        <w:tc>
          <w:tcPr>
            <w:tcW w:w="460" w:type="dxa"/>
            <w:vAlign w:val="bottom"/>
            <w:tcBorders>
              <w:bottom w:val="single" w:sz="8" w:color="B2B2B2"/>
            </w:tcBorders>
            <w:gridSpan w:val="2"/>
          </w:tcPr>
          <w:p>
            <w:pPr>
              <w:jc w:val="right"/>
              <w:ind w:right="20"/>
              <w:spacing w:after="0" w:line="179" w:lineRule="exact"/>
              <w:rPr>
                <w:sz w:val="20"/>
                <w:szCs w:val="20"/>
                <w:color w:val="auto"/>
              </w:rPr>
            </w:pPr>
            <w:r>
              <w:rPr>
                <w:rFonts w:ascii="Arial" w:cs="Arial" w:eastAsia="Arial" w:hAnsi="Arial"/>
                <w:sz w:val="16"/>
                <w:szCs w:val="16"/>
                <w:b w:val="1"/>
                <w:bCs w:val="1"/>
                <w:color w:val="auto"/>
              </w:rPr>
              <w:t>959</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5"/>
        </w:trPr>
        <w:tc>
          <w:tcPr>
            <w:tcW w:w="3600" w:type="dxa"/>
            <w:vAlign w:val="bottom"/>
          </w:tcPr>
          <w:p>
            <w:pPr>
              <w:spacing w:after="0" w:line="165" w:lineRule="exact"/>
              <w:rPr>
                <w:sz w:val="20"/>
                <w:szCs w:val="20"/>
                <w:color w:val="auto"/>
              </w:rPr>
            </w:pPr>
            <w:r>
              <w:rPr>
                <w:rFonts w:ascii="Arial" w:cs="Arial" w:eastAsia="Arial" w:hAnsi="Arial"/>
                <w:sz w:val="16"/>
                <w:szCs w:val="16"/>
                <w:color w:val="auto"/>
              </w:rPr>
              <w:t> Businesses acquired, net of cash</w:t>
            </w:r>
          </w:p>
        </w:tc>
        <w:tc>
          <w:tcPr>
            <w:tcW w:w="2080" w:type="dxa"/>
            <w:vAlign w:val="bottom"/>
          </w:tcPr>
          <w:p>
            <w:pPr>
              <w:spacing w:after="0"/>
              <w:rPr>
                <w:sz w:val="14"/>
                <w:szCs w:val="14"/>
                <w:color w:val="auto"/>
              </w:rPr>
            </w:pPr>
          </w:p>
        </w:tc>
        <w:tc>
          <w:tcPr>
            <w:tcW w:w="1520" w:type="dxa"/>
            <w:vAlign w:val="bottom"/>
          </w:tcPr>
          <w:p>
            <w:pPr>
              <w:jc w:val="right"/>
              <w:ind w:right="520"/>
              <w:spacing w:after="0" w:line="165" w:lineRule="exact"/>
              <w:rPr>
                <w:sz w:val="20"/>
                <w:szCs w:val="20"/>
                <w:color w:val="auto"/>
              </w:rPr>
            </w:pPr>
            <w:r>
              <w:rPr>
                <w:rFonts w:ascii="Arial" w:cs="Arial" w:eastAsia="Arial" w:hAnsi="Arial"/>
                <w:sz w:val="16"/>
                <w:szCs w:val="16"/>
                <w:b w:val="1"/>
                <w:bCs w:val="1"/>
                <w:color w:val="auto"/>
              </w:rPr>
              <w:t>399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20"/>
              <w:spacing w:after="0" w:line="165" w:lineRule="exact"/>
              <w:rPr>
                <w:sz w:val="20"/>
                <w:szCs w:val="20"/>
                <w:color w:val="auto"/>
              </w:rPr>
            </w:pPr>
            <w:r>
              <w:rPr>
                <w:rFonts w:ascii="Arial" w:cs="Arial" w:eastAsia="Arial" w:hAnsi="Arial"/>
                <w:sz w:val="16"/>
                <w:szCs w:val="16"/>
                <w:b w:val="1"/>
                <w:bCs w:val="1"/>
                <w:color w:val="auto"/>
              </w:rPr>
              <w:t>156</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20"/>
              <w:spacing w:after="0" w:line="165" w:lineRule="exact"/>
              <w:rPr>
                <w:sz w:val="20"/>
                <w:szCs w:val="20"/>
                <w:color w:val="auto"/>
              </w:rPr>
            </w:pPr>
            <w:r>
              <w:rPr>
                <w:rFonts w:ascii="Arial" w:cs="Arial" w:eastAsia="Arial" w:hAnsi="Arial"/>
                <w:sz w:val="16"/>
                <w:szCs w:val="16"/>
                <w:b w:val="1"/>
                <w:bCs w:val="1"/>
                <w:color w:val="auto"/>
              </w:rPr>
              <w:t>555</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3600" w:type="dxa"/>
            <w:vAlign w:val="bottom"/>
          </w:tcPr>
          <w:p>
            <w:pPr>
              <w:spacing w:after="0"/>
              <w:rPr>
                <w:sz w:val="20"/>
                <w:szCs w:val="20"/>
                <w:color w:val="auto"/>
              </w:rPr>
            </w:pPr>
            <w:r>
              <w:rPr>
                <w:rFonts w:ascii="Arial" w:cs="Arial" w:eastAsia="Arial" w:hAnsi="Arial"/>
                <w:sz w:val="16"/>
                <w:szCs w:val="16"/>
                <w:color w:val="auto"/>
              </w:rPr>
              <w:t> Non-controlling interests</w:t>
            </w:r>
          </w:p>
        </w:tc>
        <w:tc>
          <w:tcPr>
            <w:tcW w:w="2080" w:type="dxa"/>
            <w:vAlign w:val="bottom"/>
          </w:tcPr>
          <w:p>
            <w:pPr>
              <w:spacing w:after="0"/>
              <w:rPr>
                <w:sz w:val="17"/>
                <w:szCs w:val="17"/>
                <w:color w:val="auto"/>
              </w:rPr>
            </w:pPr>
          </w:p>
        </w:tc>
        <w:tc>
          <w:tcPr>
            <w:tcW w:w="1520" w:type="dxa"/>
            <w:vAlign w:val="bottom"/>
          </w:tcPr>
          <w:p>
            <w:pPr>
              <w:jc w:val="right"/>
              <w:ind w:right="520"/>
              <w:spacing w:after="0"/>
              <w:rPr>
                <w:sz w:val="20"/>
                <w:szCs w:val="20"/>
                <w:color w:val="auto"/>
              </w:rPr>
            </w:pPr>
            <w:r>
              <w:rPr>
                <w:rFonts w:ascii="Arial" w:cs="Arial" w:eastAsia="Arial" w:hAnsi="Arial"/>
                <w:sz w:val="16"/>
                <w:szCs w:val="16"/>
                <w:b w:val="1"/>
                <w:bCs w:val="1"/>
                <w:color w:val="auto"/>
              </w:rPr>
              <w:t>388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388</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9"/>
        </w:trPr>
        <w:tc>
          <w:tcPr>
            <w:tcW w:w="3600" w:type="dxa"/>
            <w:vAlign w:val="bottom"/>
            <w:tcBorders>
              <w:top w:val="single" w:sz="8" w:color="D64000"/>
            </w:tcBorders>
          </w:tcPr>
          <w:p>
            <w:pPr>
              <w:spacing w:after="0"/>
              <w:rPr>
                <w:sz w:val="20"/>
                <w:szCs w:val="20"/>
                <w:color w:val="auto"/>
              </w:rPr>
            </w:pPr>
          </w:p>
        </w:tc>
        <w:tc>
          <w:tcPr>
            <w:tcW w:w="2080" w:type="dxa"/>
            <w:vAlign w:val="bottom"/>
            <w:tcBorders>
              <w:top w:val="single" w:sz="8" w:color="D64000"/>
            </w:tcBorders>
          </w:tcPr>
          <w:p>
            <w:pPr>
              <w:spacing w:after="0"/>
              <w:rPr>
                <w:sz w:val="20"/>
                <w:szCs w:val="20"/>
                <w:color w:val="auto"/>
              </w:rPr>
            </w:pPr>
          </w:p>
        </w:tc>
        <w:tc>
          <w:tcPr>
            <w:tcW w:w="1520" w:type="dxa"/>
            <w:vAlign w:val="bottom"/>
            <w:tcBorders>
              <w:top w:val="single" w:sz="8" w:color="D64000"/>
            </w:tcBorders>
          </w:tcPr>
          <w:p>
            <w:pPr>
              <w:spacing w:after="0"/>
              <w:rPr>
                <w:sz w:val="20"/>
                <w:szCs w:val="20"/>
                <w:color w:val="auto"/>
              </w:rPr>
            </w:pPr>
          </w:p>
        </w:tc>
        <w:tc>
          <w:tcPr>
            <w:tcW w:w="240" w:type="dxa"/>
            <w:vAlign w:val="bottom"/>
            <w:tcBorders>
              <w:top w:val="single" w:sz="8" w:color="D64000"/>
            </w:tcBorders>
          </w:tcPr>
          <w:p>
            <w:pPr>
              <w:spacing w:after="0"/>
              <w:rPr>
                <w:sz w:val="20"/>
                <w:szCs w:val="20"/>
                <w:color w:val="auto"/>
              </w:rPr>
            </w:pPr>
          </w:p>
        </w:tc>
        <w:tc>
          <w:tcPr>
            <w:tcW w:w="240" w:type="dxa"/>
            <w:vAlign w:val="bottom"/>
            <w:tcBorders>
              <w:top w:val="single" w:sz="8" w:color="D64000"/>
            </w:tcBorders>
          </w:tcPr>
          <w:p>
            <w:pPr>
              <w:spacing w:after="0"/>
              <w:rPr>
                <w:sz w:val="20"/>
                <w:szCs w:val="20"/>
                <w:color w:val="auto"/>
              </w:rPr>
            </w:pPr>
          </w:p>
        </w:tc>
        <w:tc>
          <w:tcPr>
            <w:tcW w:w="900" w:type="dxa"/>
            <w:vAlign w:val="bottom"/>
            <w:tcBorders>
              <w:top w:val="single" w:sz="8" w:color="D64000"/>
            </w:tcBorders>
          </w:tcPr>
          <w:p>
            <w:pPr>
              <w:spacing w:after="0"/>
              <w:rPr>
                <w:sz w:val="20"/>
                <w:szCs w:val="20"/>
                <w:color w:val="auto"/>
              </w:rPr>
            </w:pPr>
          </w:p>
        </w:tc>
        <w:tc>
          <w:tcPr>
            <w:tcW w:w="400" w:type="dxa"/>
            <w:vAlign w:val="bottom"/>
            <w:tcBorders>
              <w:top w:val="single" w:sz="8" w:color="D64000"/>
            </w:tcBorders>
          </w:tcPr>
          <w:p>
            <w:pPr>
              <w:spacing w:after="0"/>
              <w:rPr>
                <w:sz w:val="20"/>
                <w:szCs w:val="20"/>
                <w:color w:val="auto"/>
              </w:rPr>
            </w:pPr>
          </w:p>
        </w:tc>
        <w:tc>
          <w:tcPr>
            <w:tcW w:w="160" w:type="dxa"/>
            <w:vAlign w:val="bottom"/>
            <w:tcBorders>
              <w:top w:val="single" w:sz="8" w:color="D64000"/>
            </w:tcBorders>
          </w:tcPr>
          <w:p>
            <w:pPr>
              <w:spacing w:after="0"/>
              <w:rPr>
                <w:sz w:val="20"/>
                <w:szCs w:val="20"/>
                <w:color w:val="auto"/>
              </w:rPr>
            </w:pPr>
          </w:p>
        </w:tc>
        <w:tc>
          <w:tcPr>
            <w:tcW w:w="140" w:type="dxa"/>
            <w:vAlign w:val="bottom"/>
            <w:tcBorders>
              <w:top w:val="single" w:sz="8" w:color="D64000"/>
            </w:tcBorders>
          </w:tcPr>
          <w:p>
            <w:pPr>
              <w:spacing w:after="0"/>
              <w:rPr>
                <w:sz w:val="20"/>
                <w:szCs w:val="20"/>
                <w:color w:val="auto"/>
              </w:rPr>
            </w:pPr>
          </w:p>
        </w:tc>
        <w:tc>
          <w:tcPr>
            <w:tcW w:w="440" w:type="dxa"/>
            <w:vAlign w:val="bottom"/>
            <w:tcBorders>
              <w:top w:val="single" w:sz="8" w:color="D64000"/>
            </w:tcBorders>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2"/>
        </w:trPr>
        <w:tc>
          <w:tcPr>
            <w:tcW w:w="3600" w:type="dxa"/>
            <w:vAlign w:val="bottom"/>
            <w:tcBorders>
              <w:bottom w:val="single" w:sz="8" w:color="D64000"/>
            </w:tcBorders>
            <w:shd w:val="clear" w:color="auto" w:fill="1F473D"/>
          </w:tcPr>
          <w:p>
            <w:pPr>
              <w:spacing w:after="0"/>
              <w:rPr>
                <w:sz w:val="16"/>
                <w:szCs w:val="16"/>
                <w:color w:val="auto"/>
              </w:rPr>
            </w:pPr>
          </w:p>
        </w:tc>
        <w:tc>
          <w:tcPr>
            <w:tcW w:w="2080" w:type="dxa"/>
            <w:vAlign w:val="bottom"/>
            <w:tcBorders>
              <w:bottom w:val="single" w:sz="8" w:color="D64000"/>
            </w:tcBorders>
            <w:shd w:val="clear" w:color="auto" w:fill="1F473D"/>
          </w:tcPr>
          <w:p>
            <w:pPr>
              <w:spacing w:after="0"/>
              <w:rPr>
                <w:sz w:val="16"/>
                <w:szCs w:val="16"/>
                <w:color w:val="auto"/>
              </w:rPr>
            </w:pPr>
          </w:p>
        </w:tc>
        <w:tc>
          <w:tcPr>
            <w:tcW w:w="1520" w:type="dxa"/>
            <w:vAlign w:val="bottom"/>
            <w:tcBorders>
              <w:bottom w:val="single" w:sz="8" w:color="D64000"/>
            </w:tcBorders>
            <w:shd w:val="clear" w:color="auto" w:fill="1F473D"/>
          </w:tcPr>
          <w:p>
            <w:pPr>
              <w:jc w:val="right"/>
              <w:ind w:right="20"/>
              <w:spacing w:after="0"/>
              <w:rPr>
                <w:sz w:val="20"/>
                <w:szCs w:val="20"/>
                <w:color w:val="auto"/>
              </w:rPr>
            </w:pPr>
            <w:r>
              <w:rPr>
                <w:rFonts w:ascii="Arial" w:cs="Arial" w:eastAsia="Arial" w:hAnsi="Arial"/>
                <w:sz w:val="16"/>
                <w:szCs w:val="16"/>
                <w:color w:val="FFFFFF"/>
              </w:rPr>
              <w:t>2023</w:t>
            </w:r>
          </w:p>
        </w:tc>
        <w:tc>
          <w:tcPr>
            <w:tcW w:w="240" w:type="dxa"/>
            <w:vAlign w:val="bottom"/>
            <w:tcBorders>
              <w:bottom w:val="single" w:sz="8" w:color="D64000"/>
            </w:tcBorders>
            <w:shd w:val="clear" w:color="auto" w:fill="1F473D"/>
          </w:tcPr>
          <w:p>
            <w:pPr>
              <w:spacing w:after="0"/>
              <w:rPr>
                <w:sz w:val="16"/>
                <w:szCs w:val="16"/>
                <w:color w:val="auto"/>
              </w:rPr>
            </w:pPr>
          </w:p>
        </w:tc>
        <w:tc>
          <w:tcPr>
            <w:tcW w:w="240" w:type="dxa"/>
            <w:vAlign w:val="bottom"/>
            <w:tcBorders>
              <w:bottom w:val="single" w:sz="8" w:color="D64000"/>
            </w:tcBorders>
            <w:shd w:val="clear" w:color="auto" w:fill="1F473D"/>
          </w:tcPr>
          <w:p>
            <w:pPr>
              <w:spacing w:after="0"/>
              <w:rPr>
                <w:sz w:val="16"/>
                <w:szCs w:val="16"/>
                <w:color w:val="auto"/>
              </w:rPr>
            </w:pPr>
          </w:p>
        </w:tc>
        <w:tc>
          <w:tcPr>
            <w:tcW w:w="900" w:type="dxa"/>
            <w:vAlign w:val="bottom"/>
            <w:tcBorders>
              <w:bottom w:val="single" w:sz="8" w:color="D64000"/>
            </w:tcBorders>
            <w:shd w:val="clear" w:color="auto" w:fill="1F473D"/>
          </w:tcPr>
          <w:p>
            <w:pPr>
              <w:spacing w:after="0"/>
              <w:rPr>
                <w:sz w:val="16"/>
                <w:szCs w:val="16"/>
                <w:color w:val="auto"/>
              </w:rPr>
            </w:pPr>
          </w:p>
        </w:tc>
        <w:tc>
          <w:tcPr>
            <w:tcW w:w="400" w:type="dxa"/>
            <w:vAlign w:val="bottom"/>
            <w:tcBorders>
              <w:bottom w:val="single" w:sz="8" w:color="D64000"/>
            </w:tcBorders>
            <w:shd w:val="clear" w:color="auto" w:fill="1F473D"/>
          </w:tcPr>
          <w:p>
            <w:pPr>
              <w:spacing w:after="0"/>
              <w:rPr>
                <w:sz w:val="16"/>
                <w:szCs w:val="16"/>
                <w:color w:val="auto"/>
              </w:rPr>
            </w:pPr>
          </w:p>
        </w:tc>
        <w:tc>
          <w:tcPr>
            <w:tcW w:w="160" w:type="dxa"/>
            <w:vAlign w:val="bottom"/>
            <w:tcBorders>
              <w:bottom w:val="single" w:sz="8" w:color="D64000"/>
            </w:tcBorders>
            <w:shd w:val="clear" w:color="auto" w:fill="1F473D"/>
          </w:tcPr>
          <w:p>
            <w:pPr>
              <w:spacing w:after="0"/>
              <w:rPr>
                <w:sz w:val="16"/>
                <w:szCs w:val="16"/>
                <w:color w:val="auto"/>
              </w:rPr>
            </w:pPr>
          </w:p>
        </w:tc>
        <w:tc>
          <w:tcPr>
            <w:tcW w:w="140" w:type="dxa"/>
            <w:vAlign w:val="bottom"/>
            <w:tcBorders>
              <w:bottom w:val="single" w:sz="8" w:color="D64000"/>
            </w:tcBorders>
            <w:shd w:val="clear" w:color="auto" w:fill="1F473D"/>
          </w:tcPr>
          <w:p>
            <w:pPr>
              <w:spacing w:after="0"/>
              <w:rPr>
                <w:sz w:val="16"/>
                <w:szCs w:val="16"/>
                <w:color w:val="auto"/>
              </w:rPr>
            </w:pPr>
          </w:p>
        </w:tc>
        <w:tc>
          <w:tcPr>
            <w:tcW w:w="440" w:type="dxa"/>
            <w:vAlign w:val="bottom"/>
            <w:tcBorders>
              <w:bottom w:val="single" w:sz="8" w:color="D64000"/>
            </w:tcBorders>
            <w:shd w:val="clear" w:color="auto" w:fill="1F473D"/>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3600" w:type="dxa"/>
            <w:vAlign w:val="bottom"/>
          </w:tcPr>
          <w:p>
            <w:pPr>
              <w:spacing w:after="0"/>
              <w:rPr>
                <w:sz w:val="14"/>
                <w:szCs w:val="14"/>
                <w:color w:val="auto"/>
              </w:rPr>
            </w:pPr>
          </w:p>
        </w:tc>
        <w:tc>
          <w:tcPr>
            <w:tcW w:w="2080" w:type="dxa"/>
            <w:vAlign w:val="bottom"/>
          </w:tcPr>
          <w:p>
            <w:pPr>
              <w:jc w:val="right"/>
              <w:ind w:right="421"/>
              <w:spacing w:after="0" w:line="171" w:lineRule="exact"/>
              <w:rPr>
                <w:sz w:val="20"/>
                <w:szCs w:val="20"/>
                <w:color w:val="auto"/>
              </w:rPr>
            </w:pPr>
            <w:r>
              <w:rPr>
                <w:rFonts w:ascii="Arial" w:cs="Arial" w:eastAsia="Arial" w:hAnsi="Arial"/>
                <w:sz w:val="16"/>
                <w:szCs w:val="16"/>
                <w:b w:val="1"/>
                <w:bCs w:val="1"/>
                <w:color w:val="auto"/>
              </w:rPr>
              <w:t>Sureprep LLC</w:t>
            </w:r>
          </w:p>
        </w:tc>
        <w:tc>
          <w:tcPr>
            <w:tcW w:w="1520" w:type="dxa"/>
            <w:vAlign w:val="bottom"/>
          </w:tcPr>
          <w:p>
            <w:pPr>
              <w:jc w:val="right"/>
              <w:ind w:right="320"/>
              <w:spacing w:after="0" w:line="171" w:lineRule="exact"/>
              <w:rPr>
                <w:sz w:val="20"/>
                <w:szCs w:val="20"/>
                <w:color w:val="auto"/>
              </w:rPr>
            </w:pPr>
            <w:r>
              <w:rPr>
                <w:rFonts w:ascii="Arial" w:cs="Arial" w:eastAsia="Arial" w:hAnsi="Arial"/>
                <w:sz w:val="16"/>
                <w:szCs w:val="16"/>
                <w:b w:val="1"/>
                <w:bCs w:val="1"/>
                <w:color w:val="auto"/>
              </w:rPr>
              <w:t>Casetext, Inc.</w:t>
            </w:r>
          </w:p>
        </w:tc>
        <w:tc>
          <w:tcPr>
            <w:tcW w:w="240" w:type="dxa"/>
            <w:vAlign w:val="bottom"/>
          </w:tcPr>
          <w:p>
            <w:pPr>
              <w:ind w:left="200"/>
              <w:spacing w:after="0"/>
              <w:rPr>
                <w:sz w:val="20"/>
                <w:szCs w:val="20"/>
                <w:color w:val="auto"/>
              </w:rPr>
            </w:pPr>
            <w:r>
              <w:rPr>
                <w:rFonts w:ascii="Arial" w:cs="Arial" w:eastAsia="Arial" w:hAnsi="Arial"/>
                <w:sz w:val="2"/>
                <w:szCs w:val="2"/>
                <w:b w:val="1"/>
                <w:bCs w:val="1"/>
                <w:color w:val="auto"/>
                <w:w w:val="97"/>
              </w:rPr>
              <w:t> </w:t>
            </w:r>
          </w:p>
        </w:tc>
        <w:tc>
          <w:tcPr>
            <w:tcW w:w="240" w:type="dxa"/>
            <w:vAlign w:val="bottom"/>
          </w:tcPr>
          <w:p>
            <w:pPr>
              <w:ind w:left="120"/>
              <w:spacing w:after="0"/>
              <w:rPr>
                <w:sz w:val="20"/>
                <w:szCs w:val="20"/>
                <w:color w:val="auto"/>
              </w:rPr>
            </w:pPr>
            <w:r>
              <w:rPr>
                <w:rFonts w:ascii="Arial" w:cs="Arial" w:eastAsia="Arial" w:hAnsi="Arial"/>
                <w:sz w:val="14"/>
                <w:szCs w:val="14"/>
                <w:b w:val="1"/>
                <w:bCs w:val="1"/>
                <w:color w:val="auto"/>
                <w:w w:val="71"/>
              </w:rPr>
              <w:t> </w:t>
            </w:r>
          </w:p>
        </w:tc>
        <w:tc>
          <w:tcPr>
            <w:tcW w:w="900" w:type="dxa"/>
            <w:vAlign w:val="bottom"/>
          </w:tcPr>
          <w:p>
            <w:pPr>
              <w:jc w:val="right"/>
              <w:ind w:right="200"/>
              <w:spacing w:after="0" w:line="171" w:lineRule="exact"/>
              <w:rPr>
                <w:sz w:val="20"/>
                <w:szCs w:val="20"/>
                <w:color w:val="auto"/>
              </w:rPr>
            </w:pPr>
            <w:r>
              <w:rPr>
                <w:rFonts w:ascii="Arial" w:cs="Arial" w:eastAsia="Arial" w:hAnsi="Arial"/>
                <w:sz w:val="16"/>
                <w:szCs w:val="16"/>
                <w:b w:val="1"/>
                <w:bCs w:val="1"/>
                <w:color w:val="auto"/>
                <w:w w:val="94"/>
              </w:rPr>
              <w:t>  Other</w:t>
            </w:r>
          </w:p>
        </w:tc>
        <w:tc>
          <w:tcPr>
            <w:tcW w:w="400" w:type="dxa"/>
            <w:vAlign w:val="bottom"/>
          </w:tcPr>
          <w:p>
            <w:pPr>
              <w:ind w:left="300"/>
              <w:spacing w:after="0"/>
              <w:rPr>
                <w:sz w:val="20"/>
                <w:szCs w:val="20"/>
                <w:color w:val="auto"/>
              </w:rPr>
            </w:pPr>
            <w:r>
              <w:rPr>
                <w:rFonts w:ascii="Arial" w:cs="Arial" w:eastAsia="Arial" w:hAnsi="Arial"/>
                <w:sz w:val="11"/>
                <w:szCs w:val="11"/>
                <w:b w:val="1"/>
                <w:bCs w:val="1"/>
                <w:color w:val="auto"/>
                <w:w w:val="72"/>
              </w:rPr>
              <w:t> </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72"/>
              </w:rPr>
              <w:t> </w:t>
            </w:r>
          </w:p>
        </w:tc>
        <w:tc>
          <w:tcPr>
            <w:tcW w:w="140" w:type="dxa"/>
            <w:vAlign w:val="bottom"/>
          </w:tcPr>
          <w:p>
            <w:pPr>
              <w:ind w:left="60"/>
              <w:spacing w:after="0"/>
              <w:rPr>
                <w:sz w:val="20"/>
                <w:szCs w:val="20"/>
                <w:color w:val="auto"/>
              </w:rPr>
            </w:pPr>
            <w:r>
              <w:rPr>
                <w:rFonts w:ascii="Arial" w:cs="Arial" w:eastAsia="Arial" w:hAnsi="Arial"/>
                <w:sz w:val="8"/>
                <w:szCs w:val="8"/>
                <w:b w:val="1"/>
                <w:bCs w:val="1"/>
                <w:color w:val="auto"/>
                <w:w w:val="74"/>
              </w:rPr>
              <w:t> </w:t>
            </w:r>
          </w:p>
        </w:tc>
        <w:tc>
          <w:tcPr>
            <w:tcW w:w="44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3600" w:type="dxa"/>
            <w:vAlign w:val="bottom"/>
          </w:tcPr>
          <w:p>
            <w:pPr>
              <w:spacing w:after="0"/>
              <w:rPr>
                <w:sz w:val="20"/>
                <w:szCs w:val="20"/>
                <w:color w:val="auto"/>
              </w:rPr>
            </w:pPr>
            <w:r>
              <w:rPr>
                <w:rFonts w:ascii="Arial" w:cs="Arial" w:eastAsia="Arial" w:hAnsi="Arial"/>
                <w:sz w:val="16"/>
                <w:szCs w:val="16"/>
                <w:color w:val="auto"/>
              </w:rPr>
              <w:t> Cash and cash equivalents</w:t>
            </w:r>
          </w:p>
        </w:tc>
        <w:tc>
          <w:tcPr>
            <w:tcW w:w="2080" w:type="dxa"/>
            <w:vAlign w:val="bottom"/>
          </w:tcPr>
          <w:p>
            <w:pPr>
              <w:jc w:val="right"/>
              <w:ind w:right="421"/>
              <w:spacing w:after="0"/>
              <w:rPr>
                <w:sz w:val="20"/>
                <w:szCs w:val="20"/>
                <w:color w:val="auto"/>
              </w:rPr>
            </w:pPr>
            <w:r>
              <w:rPr>
                <w:rFonts w:ascii="Arial" w:cs="Arial" w:eastAsia="Arial" w:hAnsi="Arial"/>
                <w:sz w:val="16"/>
                <w:szCs w:val="16"/>
                <w:color w:val="auto"/>
              </w:rPr>
              <w:t>25</w:t>
            </w:r>
          </w:p>
        </w:tc>
        <w:tc>
          <w:tcPr>
            <w:tcW w:w="1520" w:type="dxa"/>
            <w:vAlign w:val="bottom"/>
          </w:tcPr>
          <w:p>
            <w:pPr>
              <w:jc w:val="right"/>
              <w:ind w:right="320"/>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2</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35</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600" w:type="dxa"/>
            <w:vAlign w:val="bottom"/>
          </w:tcPr>
          <w:p>
            <w:pPr>
              <w:spacing w:after="0"/>
              <w:rPr>
                <w:sz w:val="20"/>
                <w:szCs w:val="20"/>
                <w:color w:val="auto"/>
              </w:rPr>
            </w:pPr>
            <w:r>
              <w:rPr>
                <w:rFonts w:ascii="Arial" w:cs="Arial" w:eastAsia="Arial" w:hAnsi="Arial"/>
                <w:sz w:val="16"/>
                <w:szCs w:val="16"/>
                <w:color w:val="auto"/>
              </w:rPr>
              <w:t> Trade receivables</w:t>
            </w:r>
          </w:p>
        </w:tc>
        <w:tc>
          <w:tcPr>
            <w:tcW w:w="2080" w:type="dxa"/>
            <w:vAlign w:val="bottom"/>
          </w:tcPr>
          <w:p>
            <w:pPr>
              <w:jc w:val="right"/>
              <w:ind w:right="421"/>
              <w:spacing w:after="0"/>
              <w:rPr>
                <w:sz w:val="20"/>
                <w:szCs w:val="20"/>
                <w:color w:val="auto"/>
              </w:rPr>
            </w:pPr>
            <w:r>
              <w:rPr>
                <w:rFonts w:ascii="Arial" w:cs="Arial" w:eastAsia="Arial" w:hAnsi="Arial"/>
                <w:sz w:val="16"/>
                <w:szCs w:val="16"/>
                <w:color w:val="auto"/>
              </w:rPr>
              <w:t>8</w:t>
            </w:r>
          </w:p>
        </w:tc>
        <w:tc>
          <w:tcPr>
            <w:tcW w:w="1520" w:type="dxa"/>
            <w:vAlign w:val="bottom"/>
          </w:tcPr>
          <w:p>
            <w:pPr>
              <w:jc w:val="right"/>
              <w:ind w:right="320"/>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3</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36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Prepaid expenses and other current assets</w:t>
            </w:r>
          </w:p>
        </w:tc>
        <w:tc>
          <w:tcPr>
            <w:tcW w:w="2080" w:type="dxa"/>
            <w:vAlign w:val="bottom"/>
            <w:tcBorders>
              <w:bottom w:val="single" w:sz="8" w:color="B2B2B2"/>
            </w:tcBorders>
          </w:tcPr>
          <w:p>
            <w:pPr>
              <w:jc w:val="right"/>
              <w:ind w:right="421"/>
              <w:spacing w:after="0"/>
              <w:rPr>
                <w:sz w:val="20"/>
                <w:szCs w:val="20"/>
                <w:color w:val="auto"/>
              </w:rPr>
            </w:pPr>
            <w:r>
              <w:rPr>
                <w:rFonts w:ascii="Arial" w:cs="Arial" w:eastAsia="Arial" w:hAnsi="Arial"/>
                <w:sz w:val="16"/>
                <w:szCs w:val="16"/>
                <w:color w:val="auto"/>
              </w:rPr>
              <w:t>3</w:t>
            </w:r>
          </w:p>
        </w:tc>
        <w:tc>
          <w:tcPr>
            <w:tcW w:w="1520" w:type="dxa"/>
            <w:vAlign w:val="bottom"/>
            <w:tcBorders>
              <w:bottom w:val="single" w:sz="8" w:color="B2B2B2"/>
            </w:tcBorders>
          </w:tcPr>
          <w:p>
            <w:pPr>
              <w:jc w:val="right"/>
              <w:ind w:right="320"/>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B2B2B2"/>
            </w:tcBorders>
          </w:tcPr>
          <w:p>
            <w:pPr>
              <w:spacing w:after="0"/>
              <w:rPr>
                <w:sz w:val="17"/>
                <w:szCs w:val="17"/>
                <w:color w:val="auto"/>
              </w:rPr>
            </w:pPr>
          </w:p>
        </w:tc>
        <w:tc>
          <w:tcPr>
            <w:tcW w:w="240" w:type="dxa"/>
            <w:vAlign w:val="bottom"/>
            <w:tcBorders>
              <w:bottom w:val="single" w:sz="8" w:color="B2B2B2"/>
            </w:tcBorders>
          </w:tcPr>
          <w:p>
            <w:pPr>
              <w:spacing w:after="0"/>
              <w:rPr>
                <w:sz w:val="17"/>
                <w:szCs w:val="17"/>
                <w:color w:val="auto"/>
              </w:rPr>
            </w:pPr>
          </w:p>
        </w:tc>
        <w:tc>
          <w:tcPr>
            <w:tcW w:w="900" w:type="dxa"/>
            <w:vAlign w:val="bottom"/>
            <w:tcBorders>
              <w:bottom w:val="single" w:sz="8" w:color="B2B2B2"/>
            </w:tcBorders>
          </w:tcPr>
          <w:p>
            <w:pPr>
              <w:jc w:val="right"/>
              <w:ind w:right="200"/>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B2B2B2"/>
            </w:tcBorders>
          </w:tcPr>
          <w:p>
            <w:pPr>
              <w:spacing w:after="0"/>
              <w:rPr>
                <w:sz w:val="17"/>
                <w:szCs w:val="17"/>
                <w:color w:val="auto"/>
              </w:rPr>
            </w:pPr>
          </w:p>
        </w:tc>
        <w:tc>
          <w:tcPr>
            <w:tcW w:w="16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460" w:type="dxa"/>
            <w:vAlign w:val="bottom"/>
            <w:tcBorders>
              <w:bottom w:val="single" w:sz="8" w:color="B2B2B2"/>
            </w:tcBorders>
            <w:gridSpan w:val="2"/>
          </w:tcPr>
          <w:p>
            <w:pPr>
              <w:jc w:val="right"/>
              <w:ind w:right="20"/>
              <w:spacing w:after="0"/>
              <w:rPr>
                <w:sz w:val="20"/>
                <w:szCs w:val="20"/>
                <w:color w:val="auto"/>
              </w:rPr>
            </w:pPr>
            <w:r>
              <w:rPr>
                <w:rFonts w:ascii="Arial" w:cs="Arial" w:eastAsia="Arial" w:hAnsi="Arial"/>
                <w:sz w:val="16"/>
                <w:szCs w:val="16"/>
                <w:color w:val="auto"/>
              </w:rPr>
              <w:t>6</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65"/>
        </w:trPr>
        <w:tc>
          <w:tcPr>
            <w:tcW w:w="3600" w:type="dxa"/>
            <w:vAlign w:val="bottom"/>
          </w:tcPr>
          <w:p>
            <w:pPr>
              <w:spacing w:after="0" w:line="165" w:lineRule="exact"/>
              <w:rPr>
                <w:sz w:val="20"/>
                <w:szCs w:val="20"/>
                <w:color w:val="auto"/>
              </w:rPr>
            </w:pPr>
            <w:r>
              <w:rPr>
                <w:rFonts w:ascii="Arial" w:cs="Arial" w:eastAsia="Arial" w:hAnsi="Arial"/>
                <w:sz w:val="16"/>
                <w:szCs w:val="16"/>
                <w:color w:val="auto"/>
              </w:rPr>
              <w:t>   Current assets</w:t>
            </w:r>
          </w:p>
        </w:tc>
        <w:tc>
          <w:tcPr>
            <w:tcW w:w="2080" w:type="dxa"/>
            <w:vAlign w:val="bottom"/>
          </w:tcPr>
          <w:p>
            <w:pPr>
              <w:jc w:val="right"/>
              <w:ind w:right="421"/>
              <w:spacing w:after="0" w:line="165" w:lineRule="exact"/>
              <w:rPr>
                <w:sz w:val="20"/>
                <w:szCs w:val="20"/>
                <w:color w:val="auto"/>
              </w:rPr>
            </w:pPr>
            <w:r>
              <w:rPr>
                <w:rFonts w:ascii="Arial" w:cs="Arial" w:eastAsia="Arial" w:hAnsi="Arial"/>
                <w:sz w:val="16"/>
                <w:szCs w:val="16"/>
                <w:color w:val="auto"/>
              </w:rPr>
              <w:t>36</w:t>
            </w:r>
          </w:p>
        </w:tc>
        <w:tc>
          <w:tcPr>
            <w:tcW w:w="1520" w:type="dxa"/>
            <w:vAlign w:val="bottom"/>
          </w:tcPr>
          <w:p>
            <w:pPr>
              <w:jc w:val="right"/>
              <w:ind w:right="320"/>
              <w:spacing w:after="0" w:line="165" w:lineRule="exact"/>
              <w:rPr>
                <w:sz w:val="20"/>
                <w:szCs w:val="20"/>
                <w:color w:val="auto"/>
              </w:rPr>
            </w:pPr>
            <w:r>
              <w:rPr>
                <w:rFonts w:ascii="Arial" w:cs="Arial" w:eastAsia="Arial" w:hAnsi="Arial"/>
                <w:sz w:val="16"/>
                <w:szCs w:val="16"/>
                <w:color w:val="auto"/>
              </w:rPr>
              <w:t>11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200"/>
              <w:spacing w:after="0" w:line="165" w:lineRule="exact"/>
              <w:rPr>
                <w:sz w:val="20"/>
                <w:szCs w:val="20"/>
                <w:color w:val="auto"/>
              </w:rPr>
            </w:pPr>
            <w:r>
              <w:rPr>
                <w:rFonts w:ascii="Arial" w:cs="Arial" w:eastAsia="Arial" w:hAnsi="Arial"/>
                <w:sz w:val="16"/>
                <w:szCs w:val="16"/>
                <w:color w:val="auto"/>
              </w:rPr>
              <w:t>6</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20"/>
              <w:spacing w:after="0" w:line="165" w:lineRule="exact"/>
              <w:rPr>
                <w:sz w:val="20"/>
                <w:szCs w:val="20"/>
                <w:color w:val="auto"/>
              </w:rPr>
            </w:pPr>
            <w:r>
              <w:rPr>
                <w:rFonts w:ascii="Arial" w:cs="Arial" w:eastAsia="Arial" w:hAnsi="Arial"/>
                <w:sz w:val="16"/>
                <w:szCs w:val="16"/>
                <w:color w:val="auto"/>
              </w:rPr>
              <w:t>53</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3600" w:type="dxa"/>
            <w:vAlign w:val="bottom"/>
          </w:tcPr>
          <w:p>
            <w:pPr>
              <w:spacing w:after="0"/>
              <w:rPr>
                <w:sz w:val="20"/>
                <w:szCs w:val="20"/>
                <w:color w:val="auto"/>
              </w:rPr>
            </w:pPr>
            <w:r>
              <w:rPr>
                <w:rFonts w:ascii="Arial" w:cs="Arial" w:eastAsia="Arial" w:hAnsi="Arial"/>
                <w:sz w:val="16"/>
                <w:szCs w:val="16"/>
                <w:color w:val="auto"/>
              </w:rPr>
              <w:t> Property and equipment</w:t>
            </w:r>
          </w:p>
        </w:tc>
        <w:tc>
          <w:tcPr>
            <w:tcW w:w="2080" w:type="dxa"/>
            <w:vAlign w:val="bottom"/>
          </w:tcPr>
          <w:p>
            <w:pPr>
              <w:jc w:val="right"/>
              <w:ind w:right="421"/>
              <w:spacing w:after="0"/>
              <w:rPr>
                <w:sz w:val="20"/>
                <w:szCs w:val="20"/>
                <w:color w:val="auto"/>
              </w:rPr>
            </w:pPr>
            <w:r>
              <w:rPr>
                <w:rFonts w:ascii="Arial" w:cs="Arial" w:eastAsia="Arial" w:hAnsi="Arial"/>
                <w:sz w:val="16"/>
                <w:szCs w:val="16"/>
                <w:color w:val="auto"/>
              </w:rPr>
              <w:t>2</w:t>
            </w:r>
          </w:p>
        </w:tc>
        <w:tc>
          <w:tcPr>
            <w:tcW w:w="15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3600" w:type="dxa"/>
            <w:vAlign w:val="bottom"/>
          </w:tcPr>
          <w:p>
            <w:pPr>
              <w:spacing w:after="0"/>
              <w:rPr>
                <w:sz w:val="20"/>
                <w:szCs w:val="20"/>
                <w:color w:val="auto"/>
              </w:rPr>
            </w:pPr>
            <w:r>
              <w:rPr>
                <w:rFonts w:ascii="Arial" w:cs="Arial" w:eastAsia="Arial" w:hAnsi="Arial"/>
                <w:sz w:val="16"/>
                <w:szCs w:val="16"/>
                <w:color w:val="auto"/>
              </w:rPr>
              <w:t> Computer software</w:t>
            </w:r>
          </w:p>
        </w:tc>
        <w:tc>
          <w:tcPr>
            <w:tcW w:w="2080" w:type="dxa"/>
            <w:vAlign w:val="bottom"/>
          </w:tcPr>
          <w:p>
            <w:pPr>
              <w:jc w:val="right"/>
              <w:ind w:right="421"/>
              <w:spacing w:after="0"/>
              <w:rPr>
                <w:sz w:val="20"/>
                <w:szCs w:val="20"/>
                <w:color w:val="auto"/>
              </w:rPr>
            </w:pPr>
            <w:r>
              <w:rPr>
                <w:rFonts w:ascii="Arial" w:cs="Arial" w:eastAsia="Arial" w:hAnsi="Arial"/>
                <w:sz w:val="16"/>
                <w:szCs w:val="16"/>
                <w:color w:val="auto"/>
              </w:rPr>
              <w:t>180</w:t>
            </w:r>
          </w:p>
        </w:tc>
        <w:tc>
          <w:tcPr>
            <w:tcW w:w="1520" w:type="dxa"/>
            <w:vAlign w:val="bottom"/>
          </w:tcPr>
          <w:p>
            <w:pPr>
              <w:jc w:val="right"/>
              <w:ind w:right="320"/>
              <w:spacing w:after="0"/>
              <w:rPr>
                <w:sz w:val="20"/>
                <w:szCs w:val="20"/>
                <w:color w:val="auto"/>
              </w:rPr>
            </w:pPr>
            <w:r>
              <w:rPr>
                <w:rFonts w:ascii="Arial" w:cs="Arial" w:eastAsia="Arial" w:hAnsi="Arial"/>
                <w:sz w:val="16"/>
                <w:szCs w:val="16"/>
                <w:color w:val="auto"/>
              </w:rPr>
              <w:t>185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9</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374</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600" w:type="dxa"/>
            <w:vAlign w:val="bottom"/>
          </w:tcPr>
          <w:p>
            <w:pPr>
              <w:spacing w:after="0"/>
              <w:rPr>
                <w:sz w:val="20"/>
                <w:szCs w:val="20"/>
                <w:color w:val="auto"/>
              </w:rPr>
            </w:pPr>
            <w:r>
              <w:rPr>
                <w:rFonts w:ascii="Arial" w:cs="Arial" w:eastAsia="Arial" w:hAnsi="Arial"/>
                <w:sz w:val="16"/>
                <w:szCs w:val="16"/>
                <w:color w:val="auto"/>
              </w:rPr>
              <w:t> Other identifiable intangible assets</w:t>
            </w:r>
          </w:p>
        </w:tc>
        <w:tc>
          <w:tcPr>
            <w:tcW w:w="2080" w:type="dxa"/>
            <w:vAlign w:val="bottom"/>
          </w:tcPr>
          <w:p>
            <w:pPr>
              <w:jc w:val="right"/>
              <w:ind w:right="421"/>
              <w:spacing w:after="0"/>
              <w:rPr>
                <w:sz w:val="20"/>
                <w:szCs w:val="20"/>
                <w:color w:val="auto"/>
              </w:rPr>
            </w:pPr>
            <w:r>
              <w:rPr>
                <w:rFonts w:ascii="Arial" w:cs="Arial" w:eastAsia="Arial" w:hAnsi="Arial"/>
                <w:sz w:val="16"/>
                <w:szCs w:val="16"/>
                <w:color w:val="auto"/>
              </w:rPr>
              <w:t>13</w:t>
            </w:r>
          </w:p>
        </w:tc>
        <w:tc>
          <w:tcPr>
            <w:tcW w:w="1520" w:type="dxa"/>
            <w:vAlign w:val="bottom"/>
          </w:tcPr>
          <w:p>
            <w:pPr>
              <w:jc w:val="right"/>
              <w:ind w:right="320"/>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7</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37</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36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Other non-current assets</w:t>
            </w:r>
          </w:p>
        </w:tc>
        <w:tc>
          <w:tcPr>
            <w:tcW w:w="2080" w:type="dxa"/>
            <w:vAlign w:val="bottom"/>
            <w:tcBorders>
              <w:bottom w:val="single" w:sz="8" w:color="B2B2B2"/>
            </w:tcBorders>
          </w:tcPr>
          <w:p>
            <w:pPr>
              <w:jc w:val="right"/>
              <w:ind w:right="421"/>
              <w:spacing w:after="0"/>
              <w:rPr>
                <w:sz w:val="20"/>
                <w:szCs w:val="20"/>
                <w:color w:val="auto"/>
              </w:rPr>
            </w:pPr>
            <w:r>
              <w:rPr>
                <w:rFonts w:ascii="Arial" w:cs="Arial" w:eastAsia="Arial" w:hAnsi="Arial"/>
                <w:sz w:val="16"/>
                <w:szCs w:val="16"/>
                <w:color w:val="auto"/>
              </w:rPr>
              <w:t>1</w:t>
            </w:r>
          </w:p>
        </w:tc>
        <w:tc>
          <w:tcPr>
            <w:tcW w:w="1520" w:type="dxa"/>
            <w:vAlign w:val="bottom"/>
            <w:tcBorders>
              <w:bottom w:val="single" w:sz="8" w:color="B2B2B2"/>
            </w:tcBorders>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B2B2B2"/>
            </w:tcBorders>
          </w:tcPr>
          <w:p>
            <w:pPr>
              <w:spacing w:after="0"/>
              <w:rPr>
                <w:sz w:val="17"/>
                <w:szCs w:val="17"/>
                <w:color w:val="auto"/>
              </w:rPr>
            </w:pPr>
          </w:p>
        </w:tc>
        <w:tc>
          <w:tcPr>
            <w:tcW w:w="240" w:type="dxa"/>
            <w:vAlign w:val="bottom"/>
            <w:tcBorders>
              <w:bottom w:val="single" w:sz="8" w:color="B2B2B2"/>
            </w:tcBorders>
          </w:tcPr>
          <w:p>
            <w:pPr>
              <w:spacing w:after="0"/>
              <w:rPr>
                <w:sz w:val="17"/>
                <w:szCs w:val="17"/>
                <w:color w:val="auto"/>
              </w:rPr>
            </w:pPr>
          </w:p>
        </w:tc>
        <w:tc>
          <w:tcPr>
            <w:tcW w:w="900" w:type="dxa"/>
            <w:vAlign w:val="bottom"/>
            <w:tcBorders>
              <w:bottom w:val="single" w:sz="8" w:color="B2B2B2"/>
            </w:tcBorders>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B2B2B2"/>
            </w:tcBorders>
          </w:tcPr>
          <w:p>
            <w:pPr>
              <w:spacing w:after="0"/>
              <w:rPr>
                <w:sz w:val="17"/>
                <w:szCs w:val="17"/>
                <w:color w:val="auto"/>
              </w:rPr>
            </w:pPr>
          </w:p>
        </w:tc>
        <w:tc>
          <w:tcPr>
            <w:tcW w:w="16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460" w:type="dxa"/>
            <w:vAlign w:val="bottom"/>
            <w:tcBorders>
              <w:bottom w:val="single" w:sz="8" w:color="B2B2B2"/>
            </w:tcBorders>
            <w:gridSpan w:val="2"/>
          </w:tcPr>
          <w:p>
            <w:pPr>
              <w:jc w:val="right"/>
              <w:ind w:right="20"/>
              <w:spacing w:after="0"/>
              <w:rPr>
                <w:sz w:val="20"/>
                <w:szCs w:val="20"/>
                <w:color w:val="auto"/>
              </w:rPr>
            </w:pPr>
            <w:r>
              <w:rPr>
                <w:rFonts w:ascii="Arial" w:cs="Arial" w:eastAsia="Arial" w:hAnsi="Arial"/>
                <w:sz w:val="16"/>
                <w:szCs w:val="16"/>
                <w:color w:val="auto"/>
              </w:rPr>
              <w:t>1</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9"/>
        </w:trPr>
        <w:tc>
          <w:tcPr>
            <w:tcW w:w="360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Total assets</w:t>
            </w:r>
          </w:p>
        </w:tc>
        <w:tc>
          <w:tcPr>
            <w:tcW w:w="2080" w:type="dxa"/>
            <w:vAlign w:val="bottom"/>
            <w:tcBorders>
              <w:bottom w:val="single" w:sz="8" w:color="B2B2B2"/>
            </w:tcBorders>
          </w:tcPr>
          <w:p>
            <w:pPr>
              <w:jc w:val="right"/>
              <w:ind w:right="421"/>
              <w:spacing w:after="0" w:line="179" w:lineRule="exact"/>
              <w:rPr>
                <w:sz w:val="20"/>
                <w:szCs w:val="20"/>
                <w:color w:val="auto"/>
              </w:rPr>
            </w:pPr>
            <w:r>
              <w:rPr>
                <w:rFonts w:ascii="Arial" w:cs="Arial" w:eastAsia="Arial" w:hAnsi="Arial"/>
                <w:sz w:val="16"/>
                <w:szCs w:val="16"/>
                <w:color w:val="auto"/>
              </w:rPr>
              <w:t>232</w:t>
            </w:r>
          </w:p>
        </w:tc>
        <w:tc>
          <w:tcPr>
            <w:tcW w:w="1520" w:type="dxa"/>
            <w:vAlign w:val="bottom"/>
            <w:tcBorders>
              <w:bottom w:val="single" w:sz="8" w:color="B2B2B2"/>
            </w:tcBorders>
          </w:tcPr>
          <w:p>
            <w:pPr>
              <w:jc w:val="right"/>
              <w:ind w:right="320"/>
              <w:spacing w:after="0" w:line="179" w:lineRule="exact"/>
              <w:rPr>
                <w:sz w:val="20"/>
                <w:szCs w:val="20"/>
                <w:color w:val="auto"/>
              </w:rPr>
            </w:pPr>
            <w:r>
              <w:rPr>
                <w:rFonts w:ascii="Arial" w:cs="Arial" w:eastAsia="Arial" w:hAnsi="Arial"/>
                <w:sz w:val="16"/>
                <w:szCs w:val="16"/>
                <w:color w:val="auto"/>
              </w:rPr>
              <w:t>213</w:t>
            </w:r>
          </w:p>
        </w:tc>
        <w:tc>
          <w:tcPr>
            <w:tcW w:w="240" w:type="dxa"/>
            <w:vAlign w:val="bottom"/>
            <w:tcBorders>
              <w:bottom w:val="single" w:sz="8" w:color="B2B2B2"/>
            </w:tcBorders>
          </w:tcPr>
          <w:p>
            <w:pPr>
              <w:spacing w:after="0"/>
              <w:rPr>
                <w:sz w:val="15"/>
                <w:szCs w:val="15"/>
                <w:color w:val="auto"/>
              </w:rPr>
            </w:pPr>
          </w:p>
        </w:tc>
        <w:tc>
          <w:tcPr>
            <w:tcW w:w="240" w:type="dxa"/>
            <w:vAlign w:val="bottom"/>
            <w:tcBorders>
              <w:bottom w:val="single" w:sz="8" w:color="B2B2B2"/>
            </w:tcBorders>
          </w:tcPr>
          <w:p>
            <w:pPr>
              <w:spacing w:after="0"/>
              <w:rPr>
                <w:sz w:val="15"/>
                <w:szCs w:val="15"/>
                <w:color w:val="auto"/>
              </w:rPr>
            </w:pPr>
          </w:p>
        </w:tc>
        <w:tc>
          <w:tcPr>
            <w:tcW w:w="900" w:type="dxa"/>
            <w:vAlign w:val="bottom"/>
            <w:tcBorders>
              <w:bottom w:val="single" w:sz="8" w:color="B2B2B2"/>
            </w:tcBorders>
          </w:tcPr>
          <w:p>
            <w:pPr>
              <w:jc w:val="right"/>
              <w:ind w:right="200"/>
              <w:spacing w:after="0" w:line="179" w:lineRule="exact"/>
              <w:rPr>
                <w:sz w:val="20"/>
                <w:szCs w:val="20"/>
                <w:color w:val="auto"/>
              </w:rPr>
            </w:pPr>
            <w:r>
              <w:rPr>
                <w:rFonts w:ascii="Arial" w:cs="Arial" w:eastAsia="Arial" w:hAnsi="Arial"/>
                <w:sz w:val="16"/>
                <w:szCs w:val="16"/>
                <w:color w:val="auto"/>
              </w:rPr>
              <w:t>22</w:t>
            </w:r>
          </w:p>
        </w:tc>
        <w:tc>
          <w:tcPr>
            <w:tcW w:w="400" w:type="dxa"/>
            <w:vAlign w:val="bottom"/>
            <w:tcBorders>
              <w:bottom w:val="single" w:sz="8" w:color="B2B2B2"/>
            </w:tcBorders>
          </w:tcPr>
          <w:p>
            <w:pPr>
              <w:spacing w:after="0"/>
              <w:rPr>
                <w:sz w:val="15"/>
                <w:szCs w:val="15"/>
                <w:color w:val="auto"/>
              </w:rPr>
            </w:pPr>
          </w:p>
        </w:tc>
        <w:tc>
          <w:tcPr>
            <w:tcW w:w="160" w:type="dxa"/>
            <w:vAlign w:val="bottom"/>
            <w:tcBorders>
              <w:bottom w:val="single" w:sz="8" w:color="B2B2B2"/>
            </w:tcBorders>
          </w:tcPr>
          <w:p>
            <w:pPr>
              <w:spacing w:after="0"/>
              <w:rPr>
                <w:sz w:val="15"/>
                <w:szCs w:val="15"/>
                <w:color w:val="auto"/>
              </w:rPr>
            </w:pPr>
          </w:p>
        </w:tc>
        <w:tc>
          <w:tcPr>
            <w:tcW w:w="140" w:type="dxa"/>
            <w:vAlign w:val="bottom"/>
            <w:tcBorders>
              <w:bottom w:val="single" w:sz="8" w:color="B2B2B2"/>
            </w:tcBorders>
          </w:tcPr>
          <w:p>
            <w:pPr>
              <w:spacing w:after="0"/>
              <w:rPr>
                <w:sz w:val="15"/>
                <w:szCs w:val="15"/>
                <w:color w:val="auto"/>
              </w:rPr>
            </w:pPr>
          </w:p>
        </w:tc>
        <w:tc>
          <w:tcPr>
            <w:tcW w:w="460" w:type="dxa"/>
            <w:vAlign w:val="bottom"/>
            <w:tcBorders>
              <w:bottom w:val="single" w:sz="8" w:color="B2B2B2"/>
            </w:tcBorders>
            <w:gridSpan w:val="2"/>
          </w:tcPr>
          <w:p>
            <w:pPr>
              <w:jc w:val="right"/>
              <w:ind w:right="20"/>
              <w:spacing w:after="0" w:line="179" w:lineRule="exact"/>
              <w:rPr>
                <w:sz w:val="20"/>
                <w:szCs w:val="20"/>
                <w:color w:val="auto"/>
              </w:rPr>
            </w:pPr>
            <w:r>
              <w:rPr>
                <w:rFonts w:ascii="Arial" w:cs="Arial" w:eastAsia="Arial" w:hAnsi="Arial"/>
                <w:sz w:val="16"/>
                <w:szCs w:val="16"/>
                <w:color w:val="auto"/>
              </w:rPr>
              <w:t>467</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5"/>
        </w:trPr>
        <w:tc>
          <w:tcPr>
            <w:tcW w:w="3600" w:type="dxa"/>
            <w:vAlign w:val="bottom"/>
          </w:tcPr>
          <w:p>
            <w:pPr>
              <w:spacing w:after="0" w:line="165" w:lineRule="exact"/>
              <w:rPr>
                <w:sz w:val="20"/>
                <w:szCs w:val="20"/>
                <w:color w:val="auto"/>
              </w:rPr>
            </w:pPr>
            <w:r>
              <w:rPr>
                <w:rFonts w:ascii="Arial" w:cs="Arial" w:eastAsia="Arial" w:hAnsi="Arial"/>
                <w:sz w:val="16"/>
                <w:szCs w:val="16"/>
                <w:color w:val="auto"/>
              </w:rPr>
              <w:t> Payables and accruals</w:t>
            </w:r>
          </w:p>
        </w:tc>
        <w:tc>
          <w:tcPr>
            <w:tcW w:w="2080" w:type="dxa"/>
            <w:vAlign w:val="bottom"/>
          </w:tcPr>
          <w:p>
            <w:pPr>
              <w:jc w:val="right"/>
              <w:ind w:right="421"/>
              <w:spacing w:after="0" w:line="165" w:lineRule="exact"/>
              <w:rPr>
                <w:sz w:val="20"/>
                <w:szCs w:val="20"/>
                <w:color w:val="auto"/>
              </w:rPr>
            </w:pPr>
            <w:r>
              <w:rPr>
                <w:rFonts w:ascii="Arial" w:cs="Arial" w:eastAsia="Arial" w:hAnsi="Arial"/>
                <w:sz w:val="16"/>
                <w:szCs w:val="16"/>
                <w:color w:val="auto"/>
              </w:rPr>
              <w:t>(5)</w:t>
            </w:r>
          </w:p>
        </w:tc>
        <w:tc>
          <w:tcPr>
            <w:tcW w:w="1520" w:type="dxa"/>
            <w:vAlign w:val="bottom"/>
          </w:tcPr>
          <w:p>
            <w:pPr>
              <w:jc w:val="right"/>
              <w:ind w:right="320"/>
              <w:spacing w:after="0" w:line="165" w:lineRule="exact"/>
              <w:rPr>
                <w:sz w:val="20"/>
                <w:szCs w:val="20"/>
                <w:color w:val="auto"/>
              </w:rPr>
            </w:pPr>
            <w:r>
              <w:rPr>
                <w:rFonts w:ascii="Arial" w:cs="Arial" w:eastAsia="Arial" w:hAnsi="Arial"/>
                <w:sz w:val="16"/>
                <w:szCs w:val="16"/>
                <w:color w:val="auto"/>
              </w:rPr>
              <w:t>(3)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200"/>
              <w:spacing w:after="0" w:line="165" w:lineRule="exact"/>
              <w:rPr>
                <w:sz w:val="20"/>
                <w:szCs w:val="20"/>
                <w:color w:val="auto"/>
              </w:rPr>
            </w:pPr>
            <w:r>
              <w:rPr>
                <w:rFonts w:ascii="Arial" w:cs="Arial" w:eastAsia="Arial" w:hAnsi="Arial"/>
                <w:sz w:val="16"/>
                <w:szCs w:val="16"/>
                <w:color w:val="auto"/>
              </w:rPr>
              <w:t>(5)</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20"/>
              <w:spacing w:after="0" w:line="165" w:lineRule="exact"/>
              <w:rPr>
                <w:sz w:val="20"/>
                <w:szCs w:val="20"/>
                <w:color w:val="auto"/>
              </w:rPr>
            </w:pPr>
            <w:r>
              <w:rPr>
                <w:rFonts w:ascii="Arial" w:cs="Arial" w:eastAsia="Arial" w:hAnsi="Arial"/>
                <w:sz w:val="16"/>
                <w:szCs w:val="16"/>
                <w:color w:val="auto"/>
              </w:rPr>
              <w:t>(13)</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0"/>
        </w:trPr>
        <w:tc>
          <w:tcPr>
            <w:tcW w:w="36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Deferred revenue</w:t>
            </w:r>
          </w:p>
        </w:tc>
        <w:tc>
          <w:tcPr>
            <w:tcW w:w="2080" w:type="dxa"/>
            <w:vAlign w:val="bottom"/>
            <w:tcBorders>
              <w:bottom w:val="single" w:sz="8" w:color="B2B2B2"/>
            </w:tcBorders>
          </w:tcPr>
          <w:p>
            <w:pPr>
              <w:jc w:val="right"/>
              <w:ind w:right="421"/>
              <w:spacing w:after="0"/>
              <w:rPr>
                <w:sz w:val="20"/>
                <w:szCs w:val="20"/>
                <w:color w:val="auto"/>
              </w:rPr>
            </w:pPr>
            <w:r>
              <w:rPr>
                <w:rFonts w:ascii="Arial" w:cs="Arial" w:eastAsia="Arial" w:hAnsi="Arial"/>
                <w:sz w:val="16"/>
                <w:szCs w:val="16"/>
                <w:color w:val="auto"/>
              </w:rPr>
              <w:t>(47)</w:t>
            </w:r>
          </w:p>
        </w:tc>
        <w:tc>
          <w:tcPr>
            <w:tcW w:w="1520" w:type="dxa"/>
            <w:vAlign w:val="bottom"/>
            <w:tcBorders>
              <w:bottom w:val="single" w:sz="8" w:color="B2B2B2"/>
            </w:tcBorders>
          </w:tcPr>
          <w:p>
            <w:pPr>
              <w:jc w:val="right"/>
              <w:ind w:right="320"/>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B2B2B2"/>
            </w:tcBorders>
          </w:tcPr>
          <w:p>
            <w:pPr>
              <w:spacing w:after="0"/>
              <w:rPr>
                <w:sz w:val="17"/>
                <w:szCs w:val="17"/>
                <w:color w:val="auto"/>
              </w:rPr>
            </w:pPr>
          </w:p>
        </w:tc>
        <w:tc>
          <w:tcPr>
            <w:tcW w:w="240" w:type="dxa"/>
            <w:vAlign w:val="bottom"/>
            <w:tcBorders>
              <w:bottom w:val="single" w:sz="8" w:color="B2B2B2"/>
            </w:tcBorders>
          </w:tcPr>
          <w:p>
            <w:pPr>
              <w:spacing w:after="0"/>
              <w:rPr>
                <w:sz w:val="17"/>
                <w:szCs w:val="17"/>
                <w:color w:val="auto"/>
              </w:rPr>
            </w:pPr>
          </w:p>
        </w:tc>
        <w:tc>
          <w:tcPr>
            <w:tcW w:w="900" w:type="dxa"/>
            <w:vAlign w:val="bottom"/>
            <w:tcBorders>
              <w:bottom w:val="single" w:sz="8" w:color="B2B2B2"/>
            </w:tcBorders>
          </w:tcPr>
          <w:p>
            <w:pPr>
              <w:jc w:val="right"/>
              <w:ind w:right="200"/>
              <w:spacing w:after="0"/>
              <w:rPr>
                <w:sz w:val="20"/>
                <w:szCs w:val="20"/>
                <w:color w:val="auto"/>
              </w:rPr>
            </w:pPr>
            <w:r>
              <w:rPr>
                <w:rFonts w:ascii="Arial" w:cs="Arial" w:eastAsia="Arial" w:hAnsi="Arial"/>
                <w:sz w:val="16"/>
                <w:szCs w:val="16"/>
                <w:color w:val="auto"/>
              </w:rPr>
              <w:t>(3)</w:t>
            </w:r>
          </w:p>
        </w:tc>
        <w:tc>
          <w:tcPr>
            <w:tcW w:w="400" w:type="dxa"/>
            <w:vAlign w:val="bottom"/>
            <w:tcBorders>
              <w:bottom w:val="single" w:sz="8" w:color="B2B2B2"/>
            </w:tcBorders>
          </w:tcPr>
          <w:p>
            <w:pPr>
              <w:spacing w:after="0"/>
              <w:rPr>
                <w:sz w:val="17"/>
                <w:szCs w:val="17"/>
                <w:color w:val="auto"/>
              </w:rPr>
            </w:pPr>
          </w:p>
        </w:tc>
        <w:tc>
          <w:tcPr>
            <w:tcW w:w="16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460" w:type="dxa"/>
            <w:vAlign w:val="bottom"/>
            <w:tcBorders>
              <w:bottom w:val="single" w:sz="8" w:color="B2B2B2"/>
            </w:tcBorders>
            <w:gridSpan w:val="2"/>
          </w:tcPr>
          <w:p>
            <w:pPr>
              <w:jc w:val="right"/>
              <w:ind w:right="20"/>
              <w:spacing w:after="0"/>
              <w:rPr>
                <w:sz w:val="20"/>
                <w:szCs w:val="20"/>
                <w:color w:val="auto"/>
              </w:rPr>
            </w:pPr>
            <w:r>
              <w:rPr>
                <w:rFonts w:ascii="Arial" w:cs="Arial" w:eastAsia="Arial" w:hAnsi="Arial"/>
                <w:sz w:val="16"/>
                <w:szCs w:val="16"/>
                <w:color w:val="auto"/>
              </w:rPr>
              <w:t>(55)</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65"/>
        </w:trPr>
        <w:tc>
          <w:tcPr>
            <w:tcW w:w="3600" w:type="dxa"/>
            <w:vAlign w:val="bottom"/>
          </w:tcPr>
          <w:p>
            <w:pPr>
              <w:spacing w:after="0" w:line="165" w:lineRule="exact"/>
              <w:rPr>
                <w:sz w:val="20"/>
                <w:szCs w:val="20"/>
                <w:color w:val="auto"/>
              </w:rPr>
            </w:pPr>
            <w:r>
              <w:rPr>
                <w:rFonts w:ascii="Arial" w:cs="Arial" w:eastAsia="Arial" w:hAnsi="Arial"/>
                <w:sz w:val="16"/>
                <w:szCs w:val="16"/>
                <w:color w:val="auto"/>
              </w:rPr>
              <w:t>   Current liabilities</w:t>
            </w:r>
          </w:p>
        </w:tc>
        <w:tc>
          <w:tcPr>
            <w:tcW w:w="2080" w:type="dxa"/>
            <w:vAlign w:val="bottom"/>
          </w:tcPr>
          <w:p>
            <w:pPr>
              <w:jc w:val="right"/>
              <w:ind w:right="421"/>
              <w:spacing w:after="0" w:line="165" w:lineRule="exact"/>
              <w:rPr>
                <w:sz w:val="20"/>
                <w:szCs w:val="20"/>
                <w:color w:val="auto"/>
              </w:rPr>
            </w:pPr>
            <w:r>
              <w:rPr>
                <w:rFonts w:ascii="Arial" w:cs="Arial" w:eastAsia="Arial" w:hAnsi="Arial"/>
                <w:sz w:val="16"/>
                <w:szCs w:val="16"/>
                <w:color w:val="auto"/>
              </w:rPr>
              <w:t>(52)</w:t>
            </w:r>
          </w:p>
        </w:tc>
        <w:tc>
          <w:tcPr>
            <w:tcW w:w="1520" w:type="dxa"/>
            <w:vAlign w:val="bottom"/>
          </w:tcPr>
          <w:p>
            <w:pPr>
              <w:jc w:val="right"/>
              <w:ind w:right="320"/>
              <w:spacing w:after="0" w:line="165" w:lineRule="exact"/>
              <w:rPr>
                <w:sz w:val="20"/>
                <w:szCs w:val="20"/>
                <w:color w:val="auto"/>
              </w:rPr>
            </w:pPr>
            <w:r>
              <w:rPr>
                <w:rFonts w:ascii="Arial" w:cs="Arial" w:eastAsia="Arial" w:hAnsi="Arial"/>
                <w:sz w:val="16"/>
                <w:szCs w:val="16"/>
                <w:color w:val="auto"/>
              </w:rPr>
              <w:t>(8)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200"/>
              <w:spacing w:after="0" w:line="165" w:lineRule="exact"/>
              <w:rPr>
                <w:sz w:val="20"/>
                <w:szCs w:val="20"/>
                <w:color w:val="auto"/>
              </w:rPr>
            </w:pPr>
            <w:r>
              <w:rPr>
                <w:rFonts w:ascii="Arial" w:cs="Arial" w:eastAsia="Arial" w:hAnsi="Arial"/>
                <w:sz w:val="16"/>
                <w:szCs w:val="16"/>
                <w:color w:val="auto"/>
              </w:rPr>
              <w:t>(8)</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20"/>
              <w:spacing w:after="0" w:line="165" w:lineRule="exact"/>
              <w:rPr>
                <w:sz w:val="20"/>
                <w:szCs w:val="20"/>
                <w:color w:val="auto"/>
              </w:rPr>
            </w:pPr>
            <w:r>
              <w:rPr>
                <w:rFonts w:ascii="Arial" w:cs="Arial" w:eastAsia="Arial" w:hAnsi="Arial"/>
                <w:sz w:val="16"/>
                <w:szCs w:val="16"/>
                <w:color w:val="auto"/>
              </w:rPr>
              <w:t>(68)</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3600" w:type="dxa"/>
            <w:vAlign w:val="bottom"/>
          </w:tcPr>
          <w:p>
            <w:pPr>
              <w:spacing w:after="0"/>
              <w:rPr>
                <w:sz w:val="20"/>
                <w:szCs w:val="20"/>
                <w:color w:val="auto"/>
              </w:rPr>
            </w:pPr>
            <w:r>
              <w:rPr>
                <w:rFonts w:ascii="Arial" w:cs="Arial" w:eastAsia="Arial" w:hAnsi="Arial"/>
                <w:sz w:val="16"/>
                <w:szCs w:val="16"/>
                <w:color w:val="auto"/>
              </w:rPr>
              <w:t> Provisions and other non-current liabilities</w:t>
            </w:r>
          </w:p>
        </w:tc>
        <w:tc>
          <w:tcPr>
            <w:tcW w:w="2080" w:type="dxa"/>
            <w:vAlign w:val="bottom"/>
          </w:tcPr>
          <w:p>
            <w:pPr>
              <w:jc w:val="right"/>
              <w:ind w:right="421"/>
              <w:spacing w:after="0"/>
              <w:rPr>
                <w:sz w:val="20"/>
                <w:szCs w:val="20"/>
                <w:color w:val="auto"/>
              </w:rPr>
            </w:pPr>
            <w:r>
              <w:rPr>
                <w:rFonts w:ascii="Arial" w:cs="Arial" w:eastAsia="Arial" w:hAnsi="Arial"/>
                <w:sz w:val="16"/>
                <w:szCs w:val="16"/>
                <w:color w:val="auto"/>
              </w:rPr>
              <w:t>(1)</w:t>
            </w:r>
          </w:p>
        </w:tc>
        <w:tc>
          <w:tcPr>
            <w:tcW w:w="15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3600" w:type="dxa"/>
            <w:vAlign w:val="bottom"/>
          </w:tcPr>
          <w:p>
            <w:pPr>
              <w:spacing w:after="0"/>
              <w:rPr>
                <w:sz w:val="20"/>
                <w:szCs w:val="20"/>
                <w:color w:val="auto"/>
              </w:rPr>
            </w:pPr>
            <w:r>
              <w:rPr>
                <w:rFonts w:ascii="Arial" w:cs="Arial" w:eastAsia="Arial" w:hAnsi="Arial"/>
                <w:sz w:val="16"/>
                <w:szCs w:val="16"/>
                <w:color w:val="auto"/>
              </w:rPr>
              <w:t> Other financial liabilities</w:t>
            </w:r>
          </w:p>
        </w:tc>
        <w:tc>
          <w:tcPr>
            <w:tcW w:w="2080" w:type="dxa"/>
            <w:vAlign w:val="bottom"/>
          </w:tcPr>
          <w:p>
            <w:pPr>
              <w:jc w:val="right"/>
              <w:ind w:right="421"/>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36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Deferred tax</w:t>
            </w:r>
          </w:p>
        </w:tc>
        <w:tc>
          <w:tcPr>
            <w:tcW w:w="2080" w:type="dxa"/>
            <w:vAlign w:val="bottom"/>
            <w:tcBorders>
              <w:bottom w:val="single" w:sz="8" w:color="B2B2B2"/>
            </w:tcBorders>
          </w:tcPr>
          <w:p>
            <w:pPr>
              <w:jc w:val="right"/>
              <w:ind w:right="421"/>
              <w:spacing w:after="0"/>
              <w:rPr>
                <w:sz w:val="20"/>
                <w:szCs w:val="20"/>
                <w:color w:val="auto"/>
              </w:rPr>
            </w:pPr>
            <w:r>
              <w:rPr>
                <w:rFonts w:ascii="Arial" w:cs="Arial" w:eastAsia="Arial" w:hAnsi="Arial"/>
                <w:sz w:val="16"/>
                <w:szCs w:val="16"/>
                <w:color w:val="auto"/>
              </w:rPr>
              <w:t>(9)</w:t>
            </w:r>
          </w:p>
        </w:tc>
        <w:tc>
          <w:tcPr>
            <w:tcW w:w="1520" w:type="dxa"/>
            <w:vAlign w:val="bottom"/>
            <w:tcBorders>
              <w:bottom w:val="single" w:sz="8" w:color="B2B2B2"/>
            </w:tcBorders>
          </w:tcPr>
          <w:p>
            <w:pPr>
              <w:jc w:val="right"/>
              <w:ind w:right="320"/>
              <w:spacing w:after="0"/>
              <w:rPr>
                <w:sz w:val="20"/>
                <w:szCs w:val="20"/>
                <w:color w:val="auto"/>
              </w:rPr>
            </w:pPr>
            <w:r>
              <w:rPr>
                <w:rFonts w:ascii="Arial" w:cs="Arial" w:eastAsia="Arial" w:hAnsi="Arial"/>
                <w:sz w:val="16"/>
                <w:szCs w:val="16"/>
                <w:color w:val="auto"/>
              </w:rPr>
              <w:t>(38)</w:t>
            </w:r>
          </w:p>
        </w:tc>
        <w:tc>
          <w:tcPr>
            <w:tcW w:w="240" w:type="dxa"/>
            <w:vAlign w:val="bottom"/>
            <w:tcBorders>
              <w:bottom w:val="single" w:sz="8" w:color="B2B2B2"/>
            </w:tcBorders>
          </w:tcPr>
          <w:p>
            <w:pPr>
              <w:spacing w:after="0"/>
              <w:rPr>
                <w:sz w:val="17"/>
                <w:szCs w:val="17"/>
                <w:color w:val="auto"/>
              </w:rPr>
            </w:pPr>
          </w:p>
        </w:tc>
        <w:tc>
          <w:tcPr>
            <w:tcW w:w="240" w:type="dxa"/>
            <w:vAlign w:val="bottom"/>
            <w:tcBorders>
              <w:bottom w:val="single" w:sz="8" w:color="B2B2B2"/>
            </w:tcBorders>
          </w:tcPr>
          <w:p>
            <w:pPr>
              <w:spacing w:after="0"/>
              <w:rPr>
                <w:sz w:val="17"/>
                <w:szCs w:val="17"/>
                <w:color w:val="auto"/>
              </w:rPr>
            </w:pPr>
          </w:p>
        </w:tc>
        <w:tc>
          <w:tcPr>
            <w:tcW w:w="900" w:type="dxa"/>
            <w:vAlign w:val="bottom"/>
            <w:tcBorders>
              <w:bottom w:val="single" w:sz="8" w:color="B2B2B2"/>
            </w:tcBorders>
          </w:tcPr>
          <w:p>
            <w:pPr>
              <w:jc w:val="right"/>
              <w:ind w:right="200"/>
              <w:spacing w:after="0"/>
              <w:rPr>
                <w:sz w:val="20"/>
                <w:szCs w:val="20"/>
                <w:color w:val="auto"/>
              </w:rPr>
            </w:pPr>
            <w:r>
              <w:rPr>
                <w:rFonts w:ascii="Arial" w:cs="Arial" w:eastAsia="Arial" w:hAnsi="Arial"/>
                <w:sz w:val="16"/>
                <w:szCs w:val="16"/>
                <w:color w:val="auto"/>
              </w:rPr>
              <w:t>(4)</w:t>
            </w:r>
          </w:p>
        </w:tc>
        <w:tc>
          <w:tcPr>
            <w:tcW w:w="400" w:type="dxa"/>
            <w:vAlign w:val="bottom"/>
            <w:tcBorders>
              <w:bottom w:val="single" w:sz="8" w:color="B2B2B2"/>
            </w:tcBorders>
          </w:tcPr>
          <w:p>
            <w:pPr>
              <w:spacing w:after="0"/>
              <w:rPr>
                <w:sz w:val="17"/>
                <w:szCs w:val="17"/>
                <w:color w:val="auto"/>
              </w:rPr>
            </w:pPr>
          </w:p>
        </w:tc>
        <w:tc>
          <w:tcPr>
            <w:tcW w:w="16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460" w:type="dxa"/>
            <w:vAlign w:val="bottom"/>
            <w:tcBorders>
              <w:bottom w:val="single" w:sz="8" w:color="B2B2B2"/>
            </w:tcBorders>
            <w:gridSpan w:val="2"/>
          </w:tcPr>
          <w:p>
            <w:pPr>
              <w:jc w:val="right"/>
              <w:ind w:right="20"/>
              <w:spacing w:after="0"/>
              <w:rPr>
                <w:sz w:val="20"/>
                <w:szCs w:val="20"/>
                <w:color w:val="auto"/>
              </w:rPr>
            </w:pPr>
            <w:r>
              <w:rPr>
                <w:rFonts w:ascii="Arial" w:cs="Arial" w:eastAsia="Arial" w:hAnsi="Arial"/>
                <w:sz w:val="16"/>
                <w:szCs w:val="16"/>
                <w:color w:val="auto"/>
              </w:rPr>
              <w:t>(51)</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9"/>
        </w:trPr>
        <w:tc>
          <w:tcPr>
            <w:tcW w:w="360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Total liabilities</w:t>
            </w:r>
          </w:p>
        </w:tc>
        <w:tc>
          <w:tcPr>
            <w:tcW w:w="2080" w:type="dxa"/>
            <w:vAlign w:val="bottom"/>
            <w:tcBorders>
              <w:bottom w:val="single" w:sz="8" w:color="B2B2B2"/>
            </w:tcBorders>
          </w:tcPr>
          <w:p>
            <w:pPr>
              <w:jc w:val="right"/>
              <w:ind w:right="421"/>
              <w:spacing w:after="0" w:line="179" w:lineRule="exact"/>
              <w:rPr>
                <w:sz w:val="20"/>
                <w:szCs w:val="20"/>
                <w:color w:val="auto"/>
              </w:rPr>
            </w:pPr>
            <w:r>
              <w:rPr>
                <w:rFonts w:ascii="Arial" w:cs="Arial" w:eastAsia="Arial" w:hAnsi="Arial"/>
                <w:sz w:val="16"/>
                <w:szCs w:val="16"/>
                <w:color w:val="auto"/>
              </w:rPr>
              <w:t>(62)</w:t>
            </w:r>
          </w:p>
        </w:tc>
        <w:tc>
          <w:tcPr>
            <w:tcW w:w="1520" w:type="dxa"/>
            <w:vAlign w:val="bottom"/>
            <w:tcBorders>
              <w:bottom w:val="single" w:sz="8" w:color="B2B2B2"/>
            </w:tcBorders>
          </w:tcPr>
          <w:p>
            <w:pPr>
              <w:jc w:val="right"/>
              <w:ind w:right="320"/>
              <w:spacing w:after="0" w:line="179" w:lineRule="exact"/>
              <w:rPr>
                <w:sz w:val="20"/>
                <w:szCs w:val="20"/>
                <w:color w:val="auto"/>
              </w:rPr>
            </w:pPr>
            <w:r>
              <w:rPr>
                <w:rFonts w:ascii="Arial" w:cs="Arial" w:eastAsia="Arial" w:hAnsi="Arial"/>
                <w:sz w:val="16"/>
                <w:szCs w:val="16"/>
                <w:color w:val="auto"/>
              </w:rPr>
              <w:t>(46)</w:t>
            </w:r>
          </w:p>
        </w:tc>
        <w:tc>
          <w:tcPr>
            <w:tcW w:w="240" w:type="dxa"/>
            <w:vAlign w:val="bottom"/>
            <w:tcBorders>
              <w:bottom w:val="single" w:sz="8" w:color="B2B2B2"/>
            </w:tcBorders>
          </w:tcPr>
          <w:p>
            <w:pPr>
              <w:spacing w:after="0"/>
              <w:rPr>
                <w:sz w:val="15"/>
                <w:szCs w:val="15"/>
                <w:color w:val="auto"/>
              </w:rPr>
            </w:pPr>
          </w:p>
        </w:tc>
        <w:tc>
          <w:tcPr>
            <w:tcW w:w="240" w:type="dxa"/>
            <w:vAlign w:val="bottom"/>
            <w:tcBorders>
              <w:bottom w:val="single" w:sz="8" w:color="B2B2B2"/>
            </w:tcBorders>
          </w:tcPr>
          <w:p>
            <w:pPr>
              <w:spacing w:after="0"/>
              <w:rPr>
                <w:sz w:val="15"/>
                <w:szCs w:val="15"/>
                <w:color w:val="auto"/>
              </w:rPr>
            </w:pPr>
          </w:p>
        </w:tc>
        <w:tc>
          <w:tcPr>
            <w:tcW w:w="900" w:type="dxa"/>
            <w:vAlign w:val="bottom"/>
            <w:tcBorders>
              <w:bottom w:val="single" w:sz="8" w:color="B2B2B2"/>
            </w:tcBorders>
          </w:tcPr>
          <w:p>
            <w:pPr>
              <w:jc w:val="right"/>
              <w:ind w:right="200"/>
              <w:spacing w:after="0" w:line="179" w:lineRule="exact"/>
              <w:rPr>
                <w:sz w:val="20"/>
                <w:szCs w:val="20"/>
                <w:color w:val="auto"/>
              </w:rPr>
            </w:pPr>
            <w:r>
              <w:rPr>
                <w:rFonts w:ascii="Arial" w:cs="Arial" w:eastAsia="Arial" w:hAnsi="Arial"/>
                <w:sz w:val="16"/>
                <w:szCs w:val="16"/>
                <w:color w:val="auto"/>
              </w:rPr>
              <w:t>(13)</w:t>
            </w:r>
          </w:p>
        </w:tc>
        <w:tc>
          <w:tcPr>
            <w:tcW w:w="400" w:type="dxa"/>
            <w:vAlign w:val="bottom"/>
            <w:tcBorders>
              <w:bottom w:val="single" w:sz="8" w:color="B2B2B2"/>
            </w:tcBorders>
          </w:tcPr>
          <w:p>
            <w:pPr>
              <w:spacing w:after="0"/>
              <w:rPr>
                <w:sz w:val="15"/>
                <w:szCs w:val="15"/>
                <w:color w:val="auto"/>
              </w:rPr>
            </w:pPr>
          </w:p>
        </w:tc>
        <w:tc>
          <w:tcPr>
            <w:tcW w:w="160" w:type="dxa"/>
            <w:vAlign w:val="bottom"/>
            <w:tcBorders>
              <w:bottom w:val="single" w:sz="8" w:color="B2B2B2"/>
            </w:tcBorders>
          </w:tcPr>
          <w:p>
            <w:pPr>
              <w:spacing w:after="0"/>
              <w:rPr>
                <w:sz w:val="15"/>
                <w:szCs w:val="15"/>
                <w:color w:val="auto"/>
              </w:rPr>
            </w:pPr>
          </w:p>
        </w:tc>
        <w:tc>
          <w:tcPr>
            <w:tcW w:w="140" w:type="dxa"/>
            <w:vAlign w:val="bottom"/>
            <w:tcBorders>
              <w:bottom w:val="single" w:sz="8" w:color="B2B2B2"/>
            </w:tcBorders>
          </w:tcPr>
          <w:p>
            <w:pPr>
              <w:spacing w:after="0"/>
              <w:rPr>
                <w:sz w:val="15"/>
                <w:szCs w:val="15"/>
                <w:color w:val="auto"/>
              </w:rPr>
            </w:pPr>
          </w:p>
        </w:tc>
        <w:tc>
          <w:tcPr>
            <w:tcW w:w="460" w:type="dxa"/>
            <w:vAlign w:val="bottom"/>
            <w:tcBorders>
              <w:bottom w:val="single" w:sz="8" w:color="B2B2B2"/>
            </w:tcBorders>
            <w:gridSpan w:val="2"/>
          </w:tcPr>
          <w:p>
            <w:pPr>
              <w:jc w:val="right"/>
              <w:ind w:right="20"/>
              <w:spacing w:after="0" w:line="179" w:lineRule="exact"/>
              <w:rPr>
                <w:sz w:val="20"/>
                <w:szCs w:val="20"/>
                <w:color w:val="auto"/>
              </w:rPr>
            </w:pPr>
            <w:r>
              <w:rPr>
                <w:rFonts w:ascii="Arial" w:cs="Arial" w:eastAsia="Arial" w:hAnsi="Arial"/>
                <w:sz w:val="16"/>
                <w:szCs w:val="16"/>
                <w:color w:val="auto"/>
              </w:rPr>
              <w:t>(121)</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5"/>
        </w:trPr>
        <w:tc>
          <w:tcPr>
            <w:tcW w:w="3600" w:type="dxa"/>
            <w:vAlign w:val="bottom"/>
          </w:tcPr>
          <w:p>
            <w:pPr>
              <w:spacing w:after="0" w:line="165" w:lineRule="exact"/>
              <w:rPr>
                <w:sz w:val="20"/>
                <w:szCs w:val="20"/>
                <w:color w:val="auto"/>
              </w:rPr>
            </w:pPr>
            <w:r>
              <w:rPr>
                <w:rFonts w:ascii="Arial" w:cs="Arial" w:eastAsia="Arial" w:hAnsi="Arial"/>
                <w:sz w:val="16"/>
                <w:szCs w:val="16"/>
                <w:color w:val="auto"/>
              </w:rPr>
              <w:t> Net assets acquired</w:t>
            </w:r>
          </w:p>
        </w:tc>
        <w:tc>
          <w:tcPr>
            <w:tcW w:w="2080" w:type="dxa"/>
            <w:vAlign w:val="bottom"/>
          </w:tcPr>
          <w:p>
            <w:pPr>
              <w:jc w:val="right"/>
              <w:ind w:right="421"/>
              <w:spacing w:after="0" w:line="165" w:lineRule="exact"/>
              <w:rPr>
                <w:sz w:val="20"/>
                <w:szCs w:val="20"/>
                <w:color w:val="auto"/>
              </w:rPr>
            </w:pPr>
            <w:r>
              <w:rPr>
                <w:rFonts w:ascii="Arial" w:cs="Arial" w:eastAsia="Arial" w:hAnsi="Arial"/>
                <w:sz w:val="16"/>
                <w:szCs w:val="16"/>
                <w:color w:val="auto"/>
              </w:rPr>
              <w:t>170</w:t>
            </w:r>
          </w:p>
        </w:tc>
        <w:tc>
          <w:tcPr>
            <w:tcW w:w="1520" w:type="dxa"/>
            <w:vAlign w:val="bottom"/>
          </w:tcPr>
          <w:p>
            <w:pPr>
              <w:jc w:val="right"/>
              <w:ind w:right="320"/>
              <w:spacing w:after="0" w:line="165" w:lineRule="exact"/>
              <w:rPr>
                <w:sz w:val="20"/>
                <w:szCs w:val="20"/>
                <w:color w:val="auto"/>
              </w:rPr>
            </w:pPr>
            <w:r>
              <w:rPr>
                <w:rFonts w:ascii="Arial" w:cs="Arial" w:eastAsia="Arial" w:hAnsi="Arial"/>
                <w:sz w:val="16"/>
                <w:szCs w:val="16"/>
                <w:color w:val="auto"/>
              </w:rPr>
              <w:t>167</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200"/>
              <w:spacing w:after="0" w:line="165" w:lineRule="exact"/>
              <w:rPr>
                <w:sz w:val="20"/>
                <w:szCs w:val="20"/>
                <w:color w:val="auto"/>
              </w:rPr>
            </w:pPr>
            <w:r>
              <w:rPr>
                <w:rFonts w:ascii="Arial" w:cs="Arial" w:eastAsia="Arial" w:hAnsi="Arial"/>
                <w:sz w:val="16"/>
                <w:szCs w:val="16"/>
                <w:color w:val="auto"/>
              </w:rPr>
              <w:t>9</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20"/>
              <w:spacing w:after="0" w:line="165" w:lineRule="exact"/>
              <w:rPr>
                <w:sz w:val="20"/>
                <w:szCs w:val="20"/>
                <w:color w:val="auto"/>
              </w:rPr>
            </w:pPr>
            <w:r>
              <w:rPr>
                <w:rFonts w:ascii="Arial" w:cs="Arial" w:eastAsia="Arial" w:hAnsi="Arial"/>
                <w:sz w:val="16"/>
                <w:szCs w:val="16"/>
                <w:color w:val="auto"/>
              </w:rPr>
              <w:t>346</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0"/>
        </w:trPr>
        <w:tc>
          <w:tcPr>
            <w:tcW w:w="3600" w:type="dxa"/>
            <w:vAlign w:val="bottom"/>
            <w:tcBorders>
              <w:bottom w:val="single" w:sz="8" w:color="B2B2B2"/>
            </w:tcBorders>
          </w:tcPr>
          <w:p>
            <w:pPr>
              <w:spacing w:after="0"/>
              <w:rPr>
                <w:sz w:val="20"/>
                <w:szCs w:val="20"/>
                <w:color w:val="auto"/>
              </w:rPr>
            </w:pPr>
            <w:r>
              <w:rPr>
                <w:rFonts w:ascii="Arial" w:cs="Arial" w:eastAsia="Arial" w:hAnsi="Arial"/>
                <w:sz w:val="16"/>
                <w:szCs w:val="16"/>
                <w:color w:val="auto"/>
              </w:rPr>
              <w:t> Goodwill</w:t>
            </w:r>
          </w:p>
        </w:tc>
        <w:tc>
          <w:tcPr>
            <w:tcW w:w="2080" w:type="dxa"/>
            <w:vAlign w:val="bottom"/>
            <w:tcBorders>
              <w:bottom w:val="single" w:sz="8" w:color="B2B2B2"/>
            </w:tcBorders>
          </w:tcPr>
          <w:p>
            <w:pPr>
              <w:jc w:val="right"/>
              <w:ind w:right="421"/>
              <w:spacing w:after="0"/>
              <w:rPr>
                <w:sz w:val="20"/>
                <w:szCs w:val="20"/>
                <w:color w:val="auto"/>
              </w:rPr>
            </w:pPr>
            <w:r>
              <w:rPr>
                <w:rFonts w:ascii="Arial" w:cs="Arial" w:eastAsia="Arial" w:hAnsi="Arial"/>
                <w:sz w:val="16"/>
                <w:szCs w:val="16"/>
                <w:color w:val="auto"/>
              </w:rPr>
              <w:t>343</w:t>
            </w:r>
          </w:p>
        </w:tc>
        <w:tc>
          <w:tcPr>
            <w:tcW w:w="1520" w:type="dxa"/>
            <w:vAlign w:val="bottom"/>
            <w:tcBorders>
              <w:bottom w:val="single" w:sz="8" w:color="B2B2B2"/>
            </w:tcBorders>
          </w:tcPr>
          <w:p>
            <w:pPr>
              <w:jc w:val="right"/>
              <w:ind w:right="320"/>
              <w:spacing w:after="0"/>
              <w:rPr>
                <w:sz w:val="20"/>
                <w:szCs w:val="20"/>
                <w:color w:val="auto"/>
              </w:rPr>
            </w:pPr>
            <w:r>
              <w:rPr>
                <w:rFonts w:ascii="Arial" w:cs="Arial" w:eastAsia="Arial" w:hAnsi="Arial"/>
                <w:sz w:val="16"/>
                <w:szCs w:val="16"/>
                <w:color w:val="auto"/>
              </w:rPr>
              <w:t>490</w:t>
            </w:r>
          </w:p>
        </w:tc>
        <w:tc>
          <w:tcPr>
            <w:tcW w:w="240" w:type="dxa"/>
            <w:vAlign w:val="bottom"/>
            <w:tcBorders>
              <w:bottom w:val="single" w:sz="8" w:color="B2B2B2"/>
            </w:tcBorders>
          </w:tcPr>
          <w:p>
            <w:pPr>
              <w:spacing w:after="0"/>
              <w:rPr>
                <w:sz w:val="17"/>
                <w:szCs w:val="17"/>
                <w:color w:val="auto"/>
              </w:rPr>
            </w:pPr>
          </w:p>
        </w:tc>
        <w:tc>
          <w:tcPr>
            <w:tcW w:w="240" w:type="dxa"/>
            <w:vAlign w:val="bottom"/>
            <w:tcBorders>
              <w:bottom w:val="single" w:sz="8" w:color="B2B2B2"/>
            </w:tcBorders>
          </w:tcPr>
          <w:p>
            <w:pPr>
              <w:spacing w:after="0"/>
              <w:rPr>
                <w:sz w:val="17"/>
                <w:szCs w:val="17"/>
                <w:color w:val="auto"/>
              </w:rPr>
            </w:pPr>
          </w:p>
        </w:tc>
        <w:tc>
          <w:tcPr>
            <w:tcW w:w="900" w:type="dxa"/>
            <w:vAlign w:val="bottom"/>
            <w:tcBorders>
              <w:bottom w:val="single" w:sz="8" w:color="B2B2B2"/>
            </w:tcBorders>
          </w:tcPr>
          <w:p>
            <w:pPr>
              <w:jc w:val="right"/>
              <w:ind w:right="200"/>
              <w:spacing w:after="0"/>
              <w:rPr>
                <w:sz w:val="20"/>
                <w:szCs w:val="20"/>
                <w:color w:val="auto"/>
              </w:rPr>
            </w:pPr>
            <w:r>
              <w:rPr>
                <w:rFonts w:ascii="Arial" w:cs="Arial" w:eastAsia="Arial" w:hAnsi="Arial"/>
                <w:sz w:val="16"/>
                <w:szCs w:val="16"/>
                <w:color w:val="auto"/>
              </w:rPr>
              <w:t>46</w:t>
            </w:r>
          </w:p>
        </w:tc>
        <w:tc>
          <w:tcPr>
            <w:tcW w:w="400" w:type="dxa"/>
            <w:vAlign w:val="bottom"/>
            <w:tcBorders>
              <w:bottom w:val="single" w:sz="8" w:color="B2B2B2"/>
            </w:tcBorders>
          </w:tcPr>
          <w:p>
            <w:pPr>
              <w:spacing w:after="0"/>
              <w:rPr>
                <w:sz w:val="17"/>
                <w:szCs w:val="17"/>
                <w:color w:val="auto"/>
              </w:rPr>
            </w:pPr>
          </w:p>
        </w:tc>
        <w:tc>
          <w:tcPr>
            <w:tcW w:w="160" w:type="dxa"/>
            <w:vAlign w:val="bottom"/>
            <w:tcBorders>
              <w:bottom w:val="single" w:sz="8" w:color="B2B2B2"/>
            </w:tcBorders>
          </w:tcPr>
          <w:p>
            <w:pPr>
              <w:spacing w:after="0"/>
              <w:rPr>
                <w:sz w:val="17"/>
                <w:szCs w:val="17"/>
                <w:color w:val="auto"/>
              </w:rPr>
            </w:pPr>
          </w:p>
        </w:tc>
        <w:tc>
          <w:tcPr>
            <w:tcW w:w="140" w:type="dxa"/>
            <w:vAlign w:val="bottom"/>
            <w:tcBorders>
              <w:bottom w:val="single" w:sz="8" w:color="B2B2B2"/>
            </w:tcBorders>
          </w:tcPr>
          <w:p>
            <w:pPr>
              <w:spacing w:after="0"/>
              <w:rPr>
                <w:sz w:val="17"/>
                <w:szCs w:val="17"/>
                <w:color w:val="auto"/>
              </w:rPr>
            </w:pPr>
          </w:p>
        </w:tc>
        <w:tc>
          <w:tcPr>
            <w:tcW w:w="460" w:type="dxa"/>
            <w:vAlign w:val="bottom"/>
            <w:tcBorders>
              <w:bottom w:val="single" w:sz="8" w:color="B2B2B2"/>
            </w:tcBorders>
            <w:gridSpan w:val="2"/>
          </w:tcPr>
          <w:p>
            <w:pPr>
              <w:jc w:val="right"/>
              <w:ind w:right="20"/>
              <w:spacing w:after="0"/>
              <w:rPr>
                <w:sz w:val="20"/>
                <w:szCs w:val="20"/>
                <w:color w:val="auto"/>
              </w:rPr>
            </w:pPr>
            <w:r>
              <w:rPr>
                <w:rFonts w:ascii="Arial" w:cs="Arial" w:eastAsia="Arial" w:hAnsi="Arial"/>
                <w:sz w:val="16"/>
                <w:szCs w:val="16"/>
                <w:color w:val="auto"/>
              </w:rPr>
              <w:t>879</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9"/>
        </w:trPr>
        <w:tc>
          <w:tcPr>
            <w:tcW w:w="3600" w:type="dxa"/>
            <w:vAlign w:val="bottom"/>
            <w:tcBorders>
              <w:bottom w:val="single" w:sz="8" w:color="B2B2B2"/>
            </w:tcBorders>
          </w:tcPr>
          <w:p>
            <w:pPr>
              <w:spacing w:after="0" w:line="179" w:lineRule="exact"/>
              <w:rPr>
                <w:sz w:val="20"/>
                <w:szCs w:val="20"/>
                <w:color w:val="auto"/>
              </w:rPr>
            </w:pPr>
            <w:r>
              <w:rPr>
                <w:rFonts w:ascii="Arial" w:cs="Arial" w:eastAsia="Arial" w:hAnsi="Arial"/>
                <w:sz w:val="16"/>
                <w:szCs w:val="16"/>
                <w:color w:val="auto"/>
              </w:rPr>
              <w:t> Total</w:t>
            </w:r>
          </w:p>
        </w:tc>
        <w:tc>
          <w:tcPr>
            <w:tcW w:w="2080" w:type="dxa"/>
            <w:vAlign w:val="bottom"/>
            <w:tcBorders>
              <w:bottom w:val="single" w:sz="8" w:color="B2B2B2"/>
            </w:tcBorders>
          </w:tcPr>
          <w:p>
            <w:pPr>
              <w:jc w:val="right"/>
              <w:ind w:right="421"/>
              <w:spacing w:after="0" w:line="179" w:lineRule="exact"/>
              <w:rPr>
                <w:sz w:val="20"/>
                <w:szCs w:val="20"/>
                <w:color w:val="auto"/>
              </w:rPr>
            </w:pPr>
            <w:r>
              <w:rPr>
                <w:rFonts w:ascii="Arial" w:cs="Arial" w:eastAsia="Arial" w:hAnsi="Arial"/>
                <w:sz w:val="16"/>
                <w:szCs w:val="16"/>
                <w:color w:val="auto"/>
              </w:rPr>
              <w:t>513</w:t>
            </w:r>
          </w:p>
        </w:tc>
        <w:tc>
          <w:tcPr>
            <w:tcW w:w="1520" w:type="dxa"/>
            <w:vAlign w:val="bottom"/>
            <w:tcBorders>
              <w:bottom w:val="single" w:sz="8" w:color="B2B2B2"/>
            </w:tcBorders>
          </w:tcPr>
          <w:p>
            <w:pPr>
              <w:jc w:val="right"/>
              <w:ind w:right="320"/>
              <w:spacing w:after="0" w:line="179" w:lineRule="exact"/>
              <w:rPr>
                <w:sz w:val="20"/>
                <w:szCs w:val="20"/>
                <w:color w:val="auto"/>
              </w:rPr>
            </w:pPr>
            <w:r>
              <w:rPr>
                <w:rFonts w:ascii="Arial" w:cs="Arial" w:eastAsia="Arial" w:hAnsi="Arial"/>
                <w:sz w:val="16"/>
                <w:szCs w:val="16"/>
                <w:color w:val="auto"/>
              </w:rPr>
              <w:t>657</w:t>
            </w:r>
          </w:p>
        </w:tc>
        <w:tc>
          <w:tcPr>
            <w:tcW w:w="240" w:type="dxa"/>
            <w:vAlign w:val="bottom"/>
            <w:tcBorders>
              <w:bottom w:val="single" w:sz="8" w:color="B2B2B2"/>
            </w:tcBorders>
          </w:tcPr>
          <w:p>
            <w:pPr>
              <w:spacing w:after="0"/>
              <w:rPr>
                <w:sz w:val="15"/>
                <w:szCs w:val="15"/>
                <w:color w:val="auto"/>
              </w:rPr>
            </w:pPr>
          </w:p>
        </w:tc>
        <w:tc>
          <w:tcPr>
            <w:tcW w:w="240" w:type="dxa"/>
            <w:vAlign w:val="bottom"/>
            <w:tcBorders>
              <w:bottom w:val="single" w:sz="8" w:color="B2B2B2"/>
            </w:tcBorders>
          </w:tcPr>
          <w:p>
            <w:pPr>
              <w:spacing w:after="0"/>
              <w:rPr>
                <w:sz w:val="15"/>
                <w:szCs w:val="15"/>
                <w:color w:val="auto"/>
              </w:rPr>
            </w:pPr>
          </w:p>
        </w:tc>
        <w:tc>
          <w:tcPr>
            <w:tcW w:w="900" w:type="dxa"/>
            <w:vAlign w:val="bottom"/>
            <w:tcBorders>
              <w:bottom w:val="single" w:sz="8" w:color="B2B2B2"/>
            </w:tcBorders>
          </w:tcPr>
          <w:p>
            <w:pPr>
              <w:jc w:val="right"/>
              <w:ind w:right="200"/>
              <w:spacing w:after="0" w:line="179" w:lineRule="exact"/>
              <w:rPr>
                <w:sz w:val="20"/>
                <w:szCs w:val="20"/>
                <w:color w:val="auto"/>
              </w:rPr>
            </w:pPr>
            <w:r>
              <w:rPr>
                <w:rFonts w:ascii="Arial" w:cs="Arial" w:eastAsia="Arial" w:hAnsi="Arial"/>
                <w:sz w:val="16"/>
                <w:szCs w:val="16"/>
                <w:color w:val="auto"/>
              </w:rPr>
              <w:t>55</w:t>
            </w:r>
          </w:p>
        </w:tc>
        <w:tc>
          <w:tcPr>
            <w:tcW w:w="400" w:type="dxa"/>
            <w:vAlign w:val="bottom"/>
            <w:tcBorders>
              <w:bottom w:val="single" w:sz="8" w:color="B2B2B2"/>
            </w:tcBorders>
          </w:tcPr>
          <w:p>
            <w:pPr>
              <w:spacing w:after="0"/>
              <w:rPr>
                <w:sz w:val="15"/>
                <w:szCs w:val="15"/>
                <w:color w:val="auto"/>
              </w:rPr>
            </w:pPr>
          </w:p>
        </w:tc>
        <w:tc>
          <w:tcPr>
            <w:tcW w:w="160" w:type="dxa"/>
            <w:vAlign w:val="bottom"/>
            <w:tcBorders>
              <w:bottom w:val="single" w:sz="8" w:color="B2B2B2"/>
            </w:tcBorders>
          </w:tcPr>
          <w:p>
            <w:pPr>
              <w:spacing w:after="0"/>
              <w:rPr>
                <w:sz w:val="15"/>
                <w:szCs w:val="15"/>
                <w:color w:val="auto"/>
              </w:rPr>
            </w:pPr>
          </w:p>
        </w:tc>
        <w:tc>
          <w:tcPr>
            <w:tcW w:w="140" w:type="dxa"/>
            <w:vAlign w:val="bottom"/>
            <w:tcBorders>
              <w:bottom w:val="single" w:sz="8" w:color="B2B2B2"/>
            </w:tcBorders>
          </w:tcPr>
          <w:p>
            <w:pPr>
              <w:spacing w:after="0"/>
              <w:rPr>
                <w:sz w:val="15"/>
                <w:szCs w:val="15"/>
                <w:color w:val="auto"/>
              </w:rPr>
            </w:pPr>
          </w:p>
        </w:tc>
        <w:tc>
          <w:tcPr>
            <w:tcW w:w="460" w:type="dxa"/>
            <w:vAlign w:val="bottom"/>
            <w:tcBorders>
              <w:bottom w:val="single" w:sz="8" w:color="B2B2B2"/>
            </w:tcBorders>
            <w:gridSpan w:val="2"/>
          </w:tcPr>
          <w:p>
            <w:pPr>
              <w:jc w:val="right"/>
              <w:ind w:right="20"/>
              <w:spacing w:after="0" w:line="179" w:lineRule="exact"/>
              <w:rPr>
                <w:sz w:val="20"/>
                <w:szCs w:val="20"/>
                <w:color w:val="auto"/>
              </w:rPr>
            </w:pPr>
            <w:r>
              <w:rPr>
                <w:rFonts w:ascii="Arial" w:cs="Arial" w:eastAsia="Arial" w:hAnsi="Arial"/>
                <w:sz w:val="16"/>
                <w:szCs w:val="16"/>
                <w:color w:val="auto"/>
              </w:rPr>
              <w:t>1,225</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3600" w:type="dxa"/>
            <w:vAlign w:val="bottom"/>
          </w:tcPr>
          <w:p>
            <w:pPr>
              <w:spacing w:after="0" w:line="179" w:lineRule="exact"/>
              <w:rPr>
                <w:sz w:val="20"/>
                <w:szCs w:val="20"/>
                <w:color w:val="auto"/>
              </w:rPr>
            </w:pPr>
            <w:r>
              <w:rPr>
                <w:rFonts w:ascii="Arial" w:cs="Arial" w:eastAsia="Arial" w:hAnsi="Arial"/>
                <w:sz w:val="16"/>
                <w:szCs w:val="16"/>
                <w:color w:val="auto"/>
              </w:rPr>
              <w:t> Businesses acquired, net of cash</w:t>
            </w:r>
          </w:p>
        </w:tc>
        <w:tc>
          <w:tcPr>
            <w:tcW w:w="2080" w:type="dxa"/>
            <w:vAlign w:val="bottom"/>
          </w:tcPr>
          <w:p>
            <w:pPr>
              <w:jc w:val="right"/>
              <w:ind w:right="421"/>
              <w:spacing w:after="0" w:line="179" w:lineRule="exact"/>
              <w:rPr>
                <w:sz w:val="20"/>
                <w:szCs w:val="20"/>
                <w:color w:val="auto"/>
              </w:rPr>
            </w:pPr>
            <w:r>
              <w:rPr>
                <w:rFonts w:ascii="Arial" w:cs="Arial" w:eastAsia="Arial" w:hAnsi="Arial"/>
                <w:sz w:val="16"/>
                <w:szCs w:val="16"/>
                <w:color w:val="auto"/>
              </w:rPr>
              <w:t>488</w:t>
            </w:r>
          </w:p>
        </w:tc>
        <w:tc>
          <w:tcPr>
            <w:tcW w:w="1520" w:type="dxa"/>
            <w:vAlign w:val="bottom"/>
          </w:tcPr>
          <w:p>
            <w:pPr>
              <w:jc w:val="right"/>
              <w:ind w:right="320"/>
              <w:spacing w:after="0" w:line="179" w:lineRule="exact"/>
              <w:rPr>
                <w:sz w:val="20"/>
                <w:szCs w:val="20"/>
                <w:color w:val="auto"/>
              </w:rPr>
            </w:pPr>
            <w:r>
              <w:rPr>
                <w:rFonts w:ascii="Arial" w:cs="Arial" w:eastAsia="Arial" w:hAnsi="Arial"/>
                <w:sz w:val="16"/>
                <w:szCs w:val="16"/>
                <w:color w:val="auto"/>
              </w:rPr>
              <w:t>649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200"/>
              <w:spacing w:after="0" w:line="179" w:lineRule="exact"/>
              <w:rPr>
                <w:sz w:val="20"/>
                <w:szCs w:val="20"/>
                <w:color w:val="auto"/>
              </w:rPr>
            </w:pPr>
            <w:r>
              <w:rPr>
                <w:rFonts w:ascii="Arial" w:cs="Arial" w:eastAsia="Arial" w:hAnsi="Arial"/>
                <w:sz w:val="16"/>
                <w:szCs w:val="16"/>
                <w:color w:val="auto"/>
              </w:rPr>
              <w:t>53</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tcPr>
          <w:p>
            <w:pPr>
              <w:jc w:val="right"/>
              <w:ind w:right="20"/>
              <w:spacing w:after="0" w:line="179" w:lineRule="exact"/>
              <w:rPr>
                <w:sz w:val="20"/>
                <w:szCs w:val="20"/>
                <w:color w:val="auto"/>
              </w:rPr>
            </w:pPr>
            <w:r>
              <w:rPr>
                <w:rFonts w:ascii="Arial" w:cs="Arial" w:eastAsia="Arial" w:hAnsi="Arial"/>
                <w:sz w:val="16"/>
                <w:szCs w:val="16"/>
                <w:color w:val="auto"/>
              </w:rPr>
              <w:t>1,190</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9"/>
        </w:trPr>
        <w:tc>
          <w:tcPr>
            <w:tcW w:w="3600" w:type="dxa"/>
            <w:vAlign w:val="bottom"/>
            <w:tcBorders>
              <w:top w:val="single" w:sz="8" w:color="D64000"/>
              <w:bottom w:val="single" w:sz="8" w:color="7F7F7F"/>
            </w:tcBorders>
          </w:tcPr>
          <w:p>
            <w:pPr>
              <w:spacing w:after="0"/>
              <w:rPr>
                <w:sz w:val="13"/>
                <w:szCs w:val="13"/>
                <w:color w:val="auto"/>
              </w:rPr>
            </w:pPr>
          </w:p>
        </w:tc>
        <w:tc>
          <w:tcPr>
            <w:tcW w:w="2080" w:type="dxa"/>
            <w:vAlign w:val="bottom"/>
            <w:tcBorders>
              <w:top w:val="single" w:sz="8" w:color="D64000"/>
              <w:bottom w:val="single" w:sz="8" w:color="7F7F7F"/>
            </w:tcBorders>
          </w:tcPr>
          <w:p>
            <w:pPr>
              <w:spacing w:after="0"/>
              <w:rPr>
                <w:sz w:val="13"/>
                <w:szCs w:val="13"/>
                <w:color w:val="auto"/>
              </w:rPr>
            </w:pPr>
          </w:p>
        </w:tc>
        <w:tc>
          <w:tcPr>
            <w:tcW w:w="1520" w:type="dxa"/>
            <w:vAlign w:val="bottom"/>
            <w:tcBorders>
              <w:top w:val="single" w:sz="8" w:color="D64000"/>
              <w:bottom w:val="single" w:sz="8" w:color="7F7F7F"/>
            </w:tcBorders>
          </w:tcPr>
          <w:p>
            <w:pPr>
              <w:spacing w:after="0"/>
              <w:rPr>
                <w:sz w:val="13"/>
                <w:szCs w:val="13"/>
                <w:color w:val="auto"/>
              </w:rPr>
            </w:pPr>
          </w:p>
        </w:tc>
        <w:tc>
          <w:tcPr>
            <w:tcW w:w="240" w:type="dxa"/>
            <w:vAlign w:val="bottom"/>
            <w:tcBorders>
              <w:top w:val="single" w:sz="8" w:color="D64000"/>
              <w:bottom w:val="single" w:sz="8" w:color="7F7F7F"/>
            </w:tcBorders>
          </w:tcPr>
          <w:p>
            <w:pPr>
              <w:spacing w:after="0"/>
              <w:rPr>
                <w:sz w:val="13"/>
                <w:szCs w:val="13"/>
                <w:color w:val="auto"/>
              </w:rPr>
            </w:pPr>
          </w:p>
        </w:tc>
        <w:tc>
          <w:tcPr>
            <w:tcW w:w="240" w:type="dxa"/>
            <w:vAlign w:val="bottom"/>
            <w:tcBorders>
              <w:top w:val="single" w:sz="8" w:color="D64000"/>
              <w:bottom w:val="single" w:sz="8" w:color="7F7F7F"/>
            </w:tcBorders>
          </w:tcPr>
          <w:p>
            <w:pPr>
              <w:spacing w:after="0"/>
              <w:rPr>
                <w:sz w:val="13"/>
                <w:szCs w:val="13"/>
                <w:color w:val="auto"/>
              </w:rPr>
            </w:pPr>
          </w:p>
        </w:tc>
        <w:tc>
          <w:tcPr>
            <w:tcW w:w="900" w:type="dxa"/>
            <w:vAlign w:val="bottom"/>
            <w:tcBorders>
              <w:top w:val="single" w:sz="8" w:color="D64000"/>
              <w:bottom w:val="single" w:sz="8" w:color="7F7F7F"/>
            </w:tcBorders>
          </w:tcPr>
          <w:p>
            <w:pPr>
              <w:spacing w:after="0"/>
              <w:rPr>
                <w:sz w:val="13"/>
                <w:szCs w:val="13"/>
                <w:color w:val="auto"/>
              </w:rPr>
            </w:pPr>
          </w:p>
        </w:tc>
        <w:tc>
          <w:tcPr>
            <w:tcW w:w="400" w:type="dxa"/>
            <w:vAlign w:val="bottom"/>
            <w:tcBorders>
              <w:top w:val="single" w:sz="8" w:color="D64000"/>
              <w:bottom w:val="single" w:sz="8" w:color="7F7F7F"/>
            </w:tcBorders>
          </w:tcPr>
          <w:p>
            <w:pPr>
              <w:spacing w:after="0"/>
              <w:rPr>
                <w:sz w:val="13"/>
                <w:szCs w:val="13"/>
                <w:color w:val="auto"/>
              </w:rPr>
            </w:pPr>
          </w:p>
        </w:tc>
        <w:tc>
          <w:tcPr>
            <w:tcW w:w="160" w:type="dxa"/>
            <w:vAlign w:val="bottom"/>
            <w:tcBorders>
              <w:top w:val="single" w:sz="8" w:color="D64000"/>
              <w:bottom w:val="single" w:sz="8" w:color="7F7F7F"/>
            </w:tcBorders>
          </w:tcPr>
          <w:p>
            <w:pPr>
              <w:spacing w:after="0"/>
              <w:rPr>
                <w:sz w:val="13"/>
                <w:szCs w:val="13"/>
                <w:color w:val="auto"/>
              </w:rPr>
            </w:pPr>
          </w:p>
        </w:tc>
        <w:tc>
          <w:tcPr>
            <w:tcW w:w="140" w:type="dxa"/>
            <w:vAlign w:val="bottom"/>
            <w:tcBorders>
              <w:top w:val="single" w:sz="8" w:color="D64000"/>
              <w:bottom w:val="single" w:sz="8" w:color="7F7F7F"/>
            </w:tcBorders>
          </w:tcPr>
          <w:p>
            <w:pPr>
              <w:spacing w:after="0"/>
              <w:rPr>
                <w:sz w:val="13"/>
                <w:szCs w:val="13"/>
                <w:color w:val="auto"/>
              </w:rPr>
            </w:pPr>
          </w:p>
        </w:tc>
        <w:tc>
          <w:tcPr>
            <w:tcW w:w="440" w:type="dxa"/>
            <w:vAlign w:val="bottom"/>
            <w:tcBorders>
              <w:top w:val="single" w:sz="8" w:color="D64000"/>
              <w:bottom w:val="single" w:sz="8" w:color="7F7F7F"/>
            </w:tcBorders>
          </w:tcPr>
          <w:p>
            <w:pPr>
              <w:spacing w:after="0"/>
              <w:rPr>
                <w:sz w:val="13"/>
                <w:szCs w:val="13"/>
                <w:color w:val="auto"/>
              </w:rPr>
            </w:pPr>
          </w:p>
        </w:tc>
        <w:tc>
          <w:tcPr>
            <w:tcW w:w="20" w:type="dxa"/>
            <w:vAlign w:val="bottom"/>
            <w:tcBorders>
              <w:bottom w:val="single" w:sz="8" w:color="7F7F7F"/>
            </w:tcBorders>
          </w:tcPr>
          <w:p>
            <w:pPr>
              <w:spacing w:after="0"/>
              <w:rPr>
                <w:sz w:val="13"/>
                <w:szCs w:val="13"/>
                <w:color w:val="auto"/>
              </w:rPr>
            </w:pPr>
          </w:p>
        </w:tc>
        <w:tc>
          <w:tcPr>
            <w:tcW w:w="1060" w:type="dxa"/>
            <w:vAlign w:val="bottom"/>
            <w:tcBorders>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r>
      <w:tr>
        <w:trPr>
          <w:trHeight w:val="241"/>
        </w:trPr>
        <w:tc>
          <w:tcPr>
            <w:tcW w:w="3600" w:type="dxa"/>
            <w:vAlign w:val="bottom"/>
          </w:tcPr>
          <w:p>
            <w:pPr>
              <w:spacing w:after="0"/>
              <w:rPr>
                <w:sz w:val="20"/>
                <w:szCs w:val="20"/>
                <w:color w:val="auto"/>
              </w:rPr>
            </w:pPr>
            <w:r>
              <w:rPr>
                <w:rFonts w:ascii="Arial" w:cs="Arial" w:eastAsia="Arial" w:hAnsi="Arial"/>
                <w:sz w:val="17"/>
                <w:szCs w:val="17"/>
                <w:b w:val="1"/>
                <w:bCs w:val="1"/>
                <w:color w:val="auto"/>
              </w:rPr>
              <w:t>Thomson Reuters Annual Report 2024</w:t>
            </w:r>
          </w:p>
        </w:tc>
        <w:tc>
          <w:tcPr>
            <w:tcW w:w="20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2"/>
          </w:tcPr>
          <w:p>
            <w:pPr>
              <w:ind w:left="360"/>
              <w:spacing w:after="0"/>
              <w:rPr>
                <w:sz w:val="20"/>
                <w:szCs w:val="20"/>
                <w:color w:val="auto"/>
              </w:rPr>
            </w:pPr>
            <w:r>
              <w:rPr>
                <w:rFonts w:ascii="Arial" w:cs="Arial" w:eastAsia="Arial" w:hAnsi="Arial"/>
                <w:sz w:val="17"/>
                <w:szCs w:val="17"/>
                <w:color w:val="auto"/>
                <w:w w:val="96"/>
              </w:rPr>
              <w:t>Page 137</w:t>
            </w:r>
          </w:p>
        </w:tc>
      </w:tr>
    </w:tbl>
    <w:p>
      <w:pPr>
        <w:sectPr>
          <w:pgSz w:w="11900" w:h="16838" w:orient="portrait"/>
          <w:cols w:equalWidth="0" w:num="1">
            <w:col w:w="11040"/>
          </w:cols>
          <w:pgMar w:left="320" w:top="477" w:right="5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380"/>
        <w:spacing w:after="0" w:line="291" w:lineRule="auto"/>
        <w:rPr>
          <w:sz w:val="20"/>
          <w:szCs w:val="20"/>
          <w:color w:val="auto"/>
        </w:rPr>
      </w:pPr>
      <w:r>
        <w:rPr>
          <w:rFonts w:ascii="Arial" w:cs="Arial" w:eastAsia="Arial" w:hAnsi="Arial"/>
          <w:sz w:val="16"/>
          <w:szCs w:val="16"/>
          <w:color w:val="auto"/>
        </w:rPr>
        <w:t>The excess of the purchase price over the net assets acquired was recorded as goodwill and reflects synergies and the value of the acquired workforce. Relative to acquisitions completed in 2024 and 2023, the majority of goodwill is not expected to be deductible for tax purposes.</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Purchase price allocation</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Purchase price allocations related to certain acquisitions may be subject to adjustment pending completion of final valuations.</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Pagero</w:t>
      </w:r>
    </w:p>
    <w:p>
      <w:pPr>
        <w:spacing w:after="0" w:line="4" w:lineRule="exact"/>
        <w:rPr>
          <w:sz w:val="20"/>
          <w:szCs w:val="20"/>
          <w:color w:val="auto"/>
        </w:rPr>
      </w:pPr>
    </w:p>
    <w:p>
      <w:pPr>
        <w:ind w:left="220" w:right="100"/>
        <w:spacing w:after="0"/>
        <w:rPr>
          <w:sz w:val="20"/>
          <w:szCs w:val="20"/>
          <w:color w:val="auto"/>
        </w:rPr>
      </w:pPr>
      <w:r>
        <w:rPr>
          <w:rFonts w:ascii="Arial" w:cs="Arial" w:eastAsia="Arial" w:hAnsi="Arial"/>
          <w:sz w:val="17"/>
          <w:szCs w:val="17"/>
          <w:color w:val="auto"/>
        </w:rPr>
        <w:t>In January 2024, the Company acquired a controlling interest in Pagero through a public tender offer. Subsequently, the Company purchased the remaining interests from the non-controlling shareholders to increase its ownership of Pagero to 100%.</w:t>
      </w:r>
    </w:p>
    <w:p>
      <w:pPr>
        <w:spacing w:after="0" w:line="70" w:lineRule="exact"/>
        <w:rPr>
          <w:sz w:val="20"/>
          <w:szCs w:val="20"/>
          <w:color w:val="auto"/>
        </w:rPr>
      </w:pPr>
    </w:p>
    <w:p>
      <w:pPr>
        <w:ind w:left="220" w:right="180"/>
        <w:spacing w:after="0" w:line="238" w:lineRule="auto"/>
        <w:rPr>
          <w:sz w:val="20"/>
          <w:szCs w:val="20"/>
          <w:color w:val="auto"/>
        </w:rPr>
      </w:pPr>
      <w:r>
        <w:rPr>
          <w:rFonts w:ascii="Arial" w:cs="Arial" w:eastAsia="Arial" w:hAnsi="Arial"/>
          <w:sz w:val="17"/>
          <w:szCs w:val="17"/>
          <w:color w:val="auto"/>
        </w:rPr>
        <w:t>The non-controlling interest was measured at fair value, based on the tender offer price of SEK 50 per share, on the date of acquisition and recorded as part of equity. After the date of acquisition, the non-controlling interest was adjusted for its proportionate share of changes in equity. After the Company gained control of Pagero, purchases of the remaining shares from the non-controlling interests reduced equity and were presented in financing activities within the consolidated statement of cash flow.</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Other</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revenues and operating profit of acquired businesses were not material to the Company’s results of operations.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Note 31: Contingencies, Commitments and Guarantees</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Lawsuits and legal claims</w:t>
      </w:r>
    </w:p>
    <w:p>
      <w:pPr>
        <w:spacing w:after="0" w:line="6" w:lineRule="exact"/>
        <w:rPr>
          <w:sz w:val="20"/>
          <w:szCs w:val="20"/>
          <w:color w:val="auto"/>
        </w:rPr>
      </w:pPr>
    </w:p>
    <w:p>
      <w:pPr>
        <w:ind w:left="220" w:right="140"/>
        <w:spacing w:after="0" w:line="230" w:lineRule="auto"/>
        <w:rPr>
          <w:sz w:val="20"/>
          <w:szCs w:val="20"/>
          <w:color w:val="auto"/>
        </w:rPr>
      </w:pPr>
      <w:r>
        <w:rPr>
          <w:rFonts w:ascii="Arial" w:cs="Arial" w:eastAsia="Arial" w:hAnsi="Arial"/>
          <w:sz w:val="17"/>
          <w:szCs w:val="17"/>
          <w:color w:val="auto"/>
        </w:rPr>
        <w:t>The Company is engaged in various legal proceedings, claims, audits and investigations that have arisen in the ordinary course of business. These matters include, but are not limited to, employment matters, commercial matters, privacy and data protection matters, defamation matters and intellectual property infringement matters. The outcome of all the matters against the Company is subject to future resolution, including uncertainties of litigation. Litigation outcomes are difficult to predict with certainty due to various factors, including but not limited to: the preliminary nature of some claims; uncertain damage theories and demands; an incomplete factual record; uncertainty concerning legal theories and procedures and their resolution by the courts, at both trial and appellate levels; and the unpredictable nature of opposing parties. Based on information currently known to the Company and after consultation with outside legal counsel, management believes that the ultimate resolution of any such matters, individually or in the aggregate, will not have a material adverse impact on the Company’s financial condition taken as a whole.</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Uncertain tax positions</w:t>
      </w:r>
    </w:p>
    <w:p>
      <w:pPr>
        <w:spacing w:after="0" w:line="5" w:lineRule="exact"/>
        <w:rPr>
          <w:sz w:val="20"/>
          <w:szCs w:val="20"/>
          <w:color w:val="auto"/>
        </w:rPr>
      </w:pPr>
    </w:p>
    <w:p>
      <w:pPr>
        <w:jc w:val="both"/>
        <w:ind w:left="220" w:right="500"/>
        <w:spacing w:after="0" w:line="256" w:lineRule="auto"/>
        <w:rPr>
          <w:sz w:val="20"/>
          <w:szCs w:val="20"/>
          <w:color w:val="auto"/>
        </w:rPr>
      </w:pPr>
      <w:r>
        <w:rPr>
          <w:rFonts w:ascii="Arial" w:cs="Arial" w:eastAsia="Arial" w:hAnsi="Arial"/>
          <w:sz w:val="16"/>
          <w:szCs w:val="16"/>
          <w:color w:val="auto"/>
        </w:rPr>
        <w:t>The Company is subject to taxation in numerous jurisdictions and is routinely under audit by many different taxing authorities in the ordinary course of business. There are many transactions and calculations during the course of business for which the ultimate tax determination is uncertain, as taxing authorities may challenge some of the Company’s positions and propose adjustments or changes to its tax filings.</w:t>
      </w:r>
    </w:p>
    <w:p>
      <w:pPr>
        <w:spacing w:after="0" w:line="58" w:lineRule="exact"/>
        <w:rPr>
          <w:sz w:val="20"/>
          <w:szCs w:val="20"/>
          <w:color w:val="auto"/>
        </w:rPr>
      </w:pPr>
    </w:p>
    <w:p>
      <w:pPr>
        <w:ind w:left="220" w:right="120"/>
        <w:spacing w:after="0" w:line="233" w:lineRule="auto"/>
        <w:rPr>
          <w:sz w:val="20"/>
          <w:szCs w:val="20"/>
          <w:color w:val="auto"/>
        </w:rPr>
      </w:pPr>
      <w:r>
        <w:rPr>
          <w:rFonts w:ascii="Arial" w:cs="Arial" w:eastAsia="Arial" w:hAnsi="Arial"/>
          <w:sz w:val="17"/>
          <w:szCs w:val="17"/>
          <w:color w:val="auto"/>
        </w:rPr>
        <w:t>As a result, the Company maintains provisions for uncertain tax positions that it believes appropriately reflect its risk. These provisions are made using the Company’s best estimates of the amount expected to be paid based on a qualitative assessment of all relevant factors. When appropriate, the Company performs an expected value calculation to determine its provisions. The Company reviews the adequacy of these provisions at the end of each reporting period and adjusts them based on changing facts and circumstances. Due to the uncertainty associated with tax audits, it is possible that at some future date, liabilities resulting from such audits or related litigation could vary significantly from the Company’s provisions. However, based on currently enacted legislation, information currently known by the Company and after consultation with outside tax advisors, management believes that the ultimate resolution of any such matters, individually or in the aggregate, will not have a material adverse impact on the Company’s financial condition taken as a whole.</w:t>
      </w:r>
    </w:p>
    <w:p>
      <w:pPr>
        <w:spacing w:after="0" w:line="72" w:lineRule="exact"/>
        <w:rPr>
          <w:sz w:val="20"/>
          <w:szCs w:val="20"/>
          <w:color w:val="auto"/>
        </w:rPr>
      </w:pPr>
    </w:p>
    <w:p>
      <w:pPr>
        <w:ind w:left="220" w:right="60"/>
        <w:spacing w:after="0" w:line="234" w:lineRule="auto"/>
        <w:rPr>
          <w:sz w:val="20"/>
          <w:szCs w:val="20"/>
          <w:color w:val="auto"/>
        </w:rPr>
      </w:pPr>
      <w:r>
        <w:rPr>
          <w:rFonts w:ascii="Arial" w:cs="Arial" w:eastAsia="Arial" w:hAnsi="Arial"/>
          <w:sz w:val="17"/>
          <w:szCs w:val="17"/>
          <w:color w:val="auto"/>
        </w:rPr>
        <w:t>Prior to December 31, 2023, the Company paid $430 million of tax as required under notices of assessment issued by the U.K. tax authority, HM Revenue &amp; Customs (“HMRC”), under the Diverted Profits Tax (“DPT”) regime that collectively related to the 2015, 2016, 2017 and 2018 taxation years of certain of its current and former U.K. affiliates. The Company does not believe these current and former U.K. affiliates fall within the scope of the DPT regime. Because the Company believes its position is supported by the weight of law, it intends to vigorously defend its position and will continue contesting these assessments through all available administrative and judicial remedies. As the assessments largely relate to businesses that the Company has sold, the majority are subject to indemnity arrangements under which the Company has been required to pay additional taxes to HMRC or the indemnity counterparty.</w:t>
      </w:r>
    </w:p>
    <w:p>
      <w:pPr>
        <w:spacing w:after="0" w:line="70" w:lineRule="exact"/>
        <w:rPr>
          <w:sz w:val="20"/>
          <w:szCs w:val="20"/>
          <w:color w:val="auto"/>
        </w:rPr>
      </w:pPr>
    </w:p>
    <w:p>
      <w:pPr>
        <w:ind w:left="220" w:right="100"/>
        <w:spacing w:after="0" w:line="238" w:lineRule="auto"/>
        <w:rPr>
          <w:sz w:val="20"/>
          <w:szCs w:val="20"/>
          <w:color w:val="auto"/>
        </w:rPr>
      </w:pPr>
      <w:r>
        <w:rPr>
          <w:rFonts w:ascii="Arial" w:cs="Arial" w:eastAsia="Arial" w:hAnsi="Arial"/>
          <w:sz w:val="17"/>
          <w:szCs w:val="17"/>
          <w:color w:val="auto"/>
        </w:rPr>
        <w:t>The Company does not believe that the resolution of these matters will have a material adverse effect on its financial condition taken as a whole. Payments made by the Company are not a reflection of its view on the merits of the case. As the Company expects to receive refunds of substantially all of the aggregate of amounts paid pursuant to these notices of assessment, it has recorded substantially all of these payments as non-current receivables from HMRC or the indemnity counterparty, in its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93980</wp:posOffset>
            </wp:positionV>
            <wp:extent cx="686562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9"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138</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Guarantees</w:t>
      </w:r>
    </w:p>
    <w:p>
      <w:pPr>
        <w:spacing w:after="0" w:line="6" w:lineRule="exact"/>
        <w:rPr>
          <w:sz w:val="20"/>
          <w:szCs w:val="20"/>
          <w:color w:val="auto"/>
        </w:rPr>
      </w:pPr>
    </w:p>
    <w:p>
      <w:pPr>
        <w:ind w:left="220" w:right="60"/>
        <w:spacing w:after="0" w:line="241" w:lineRule="auto"/>
        <w:rPr>
          <w:sz w:val="20"/>
          <w:szCs w:val="20"/>
          <w:color w:val="auto"/>
        </w:rPr>
      </w:pPr>
      <w:r>
        <w:rPr>
          <w:rFonts w:ascii="Arial" w:cs="Arial" w:eastAsia="Arial" w:hAnsi="Arial"/>
          <w:sz w:val="16"/>
          <w:szCs w:val="16"/>
          <w:color w:val="auto"/>
        </w:rPr>
        <w:t>The Company has an investment in 3XSQ Associates, an entity jointly owned by a subsidiary of the Company and Rudin Times Square Associates LLC (“Rudin”), that owns and operates the 3 Times Square office building (“the building”) in New York, New York. In June 2022, 3XSQ Associates obtained a $415 million, 3-year term loan facility to refinance existing debt, fund the building’s redevelopment, and cover interest and operating costs during the redevelopment period. The building is pledged as loan collateral. Thomson Reuters and Rudin each guarantee 50% of</w:t>
      </w:r>
    </w:p>
    <w:p>
      <w:pPr>
        <w:ind w:left="420" w:hanging="202"/>
        <w:spacing w:after="0" w:line="231" w:lineRule="auto"/>
        <w:tabs>
          <w:tab w:leader="none" w:pos="42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certain principal loan amounts and (ii) interest and operating costs. Thomson Reuters and Rudin also jointly and severally guarantee</w:t>
      </w:r>
    </w:p>
    <w:p>
      <w:pPr>
        <w:ind w:left="220" w:right="440" w:hanging="2"/>
        <w:spacing w:after="0" w:line="232" w:lineRule="auto"/>
        <w:tabs>
          <w:tab w:leader="none" w:pos="416" w:val="left"/>
        </w:tabs>
        <w:numPr>
          <w:ilvl w:val="0"/>
          <w:numId w:val="148"/>
        </w:numPr>
        <w:rPr>
          <w:rFonts w:ascii="Arial" w:cs="Arial" w:eastAsia="Arial" w:hAnsi="Arial"/>
          <w:sz w:val="17"/>
          <w:szCs w:val="17"/>
          <w:color w:val="auto"/>
        </w:rPr>
      </w:pPr>
      <w:r>
        <w:rPr>
          <w:rFonts w:ascii="Arial" w:cs="Arial" w:eastAsia="Arial" w:hAnsi="Arial"/>
          <w:sz w:val="17"/>
          <w:szCs w:val="17"/>
          <w:color w:val="auto"/>
        </w:rPr>
        <w:t>completion of commenced works and (ii) lender losses arising from disallowed acts, environmental or otherwise. To minimize economic exposure to 50% for the joint and several obligations, Thomson Reuters and a parent entity of Rudin entered into a cross-indemnification arrangement. The Company believes the value of the building is expected to be sufficient to cover obligations that could arise from the guarantees. The guarantees do not impact the Company’s ability to borrow funds under its $2.0 billion syndicated credit facility or the related covenant calculation.</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Dispositions</w:t>
      </w:r>
    </w:p>
    <w:p>
      <w:pPr>
        <w:spacing w:after="0" w:line="6" w:lineRule="exact"/>
        <w:rPr>
          <w:sz w:val="20"/>
          <w:szCs w:val="20"/>
          <w:color w:val="auto"/>
        </w:rPr>
      </w:pPr>
    </w:p>
    <w:p>
      <w:pPr>
        <w:ind w:left="220" w:right="20"/>
        <w:spacing w:after="0" w:line="233" w:lineRule="auto"/>
        <w:rPr>
          <w:sz w:val="20"/>
          <w:szCs w:val="20"/>
          <w:color w:val="auto"/>
        </w:rPr>
      </w:pPr>
      <w:r>
        <w:rPr>
          <w:rFonts w:ascii="Arial" w:cs="Arial" w:eastAsia="Arial" w:hAnsi="Arial"/>
          <w:sz w:val="17"/>
          <w:szCs w:val="17"/>
          <w:color w:val="auto"/>
        </w:rPr>
        <w:t>In certain disposition agreements, the Company guarantees to the purchaser the recoverability of certain assets or limits on certain liabilities, including as in the “Uncertain tax positions” section above. The Company does not believe based upon current facts and circumstances described that additional payments in connection with these transactions would have a material adverse impact on the Company’s financial condition taken as a whole.</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Unconditional purchase obligations</w:t>
      </w:r>
    </w:p>
    <w:p>
      <w:pPr>
        <w:spacing w:after="0" w:line="6" w:lineRule="exact"/>
        <w:rPr>
          <w:sz w:val="20"/>
          <w:szCs w:val="20"/>
          <w:color w:val="auto"/>
        </w:rPr>
      </w:pPr>
    </w:p>
    <w:p>
      <w:pPr>
        <w:ind w:left="220" w:right="200"/>
        <w:spacing w:after="0"/>
        <w:rPr>
          <w:sz w:val="20"/>
          <w:szCs w:val="20"/>
          <w:color w:val="auto"/>
        </w:rPr>
      </w:pPr>
      <w:r>
        <w:rPr>
          <w:rFonts w:ascii="Arial" w:cs="Arial" w:eastAsia="Arial" w:hAnsi="Arial"/>
          <w:sz w:val="17"/>
          <w:szCs w:val="17"/>
          <w:color w:val="auto"/>
        </w:rPr>
        <w:t>The Company has various obligations for materials, supplies, outsourcing and other services contracted in the ordinary course of business. The future unconditional purchase obligations as of December 31, 2024 and 2023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142875</wp:posOffset>
            </wp:positionV>
            <wp:extent cx="617537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205"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5740" w:type="dxa"/>
            <w:vAlign w:val="bottom"/>
          </w:tcPr>
          <w:p>
            <w:pPr>
              <w:spacing w:after="0"/>
              <w:rPr>
                <w:sz w:val="17"/>
                <w:szCs w:val="17"/>
                <w:color w:val="auto"/>
              </w:rPr>
            </w:pPr>
          </w:p>
        </w:tc>
        <w:tc>
          <w:tcPr>
            <w:tcW w:w="1680" w:type="dxa"/>
            <w:vAlign w:val="bottom"/>
            <w:shd w:val="clear" w:color="auto" w:fill="E3F3EE"/>
          </w:tcPr>
          <w:p>
            <w:pPr>
              <w:ind w:left="1580"/>
              <w:spacing w:after="0"/>
              <w:rPr>
                <w:sz w:val="20"/>
                <w:szCs w:val="20"/>
                <w:color w:val="auto"/>
              </w:rPr>
            </w:pPr>
            <w:r>
              <w:rPr>
                <w:rFonts w:ascii="Arial" w:cs="Arial" w:eastAsia="Arial" w:hAnsi="Arial"/>
                <w:sz w:val="11"/>
                <w:szCs w:val="11"/>
                <w:b w:val="1"/>
                <w:bCs w:val="1"/>
                <w:color w:val="auto"/>
                <w:w w:val="72"/>
              </w:rPr>
              <w:t> </w:t>
            </w:r>
          </w:p>
        </w:tc>
        <w:tc>
          <w:tcPr>
            <w:tcW w:w="500" w:type="dxa"/>
            <w:vAlign w:val="bottom"/>
            <w:shd w:val="clear" w:color="auto" w:fill="E3F3EE"/>
          </w:tcPr>
          <w:p>
            <w:pPr>
              <w:jc w:val="right"/>
              <w:ind w:right="1"/>
              <w:spacing w:after="0"/>
              <w:rPr>
                <w:sz w:val="20"/>
                <w:szCs w:val="20"/>
                <w:color w:val="auto"/>
              </w:rPr>
            </w:pPr>
            <w:r>
              <w:rPr>
                <w:rFonts w:ascii="Arial" w:cs="Arial" w:eastAsia="Arial" w:hAnsi="Arial"/>
                <w:sz w:val="16"/>
                <w:szCs w:val="16"/>
                <w:b w:val="1"/>
                <w:bCs w:val="1"/>
                <w:color w:val="auto"/>
              </w:rPr>
              <w:t xml:space="preserve">       </w:t>
            </w:r>
          </w:p>
        </w:tc>
        <w:tc>
          <w:tcPr>
            <w:tcW w:w="1800" w:type="dxa"/>
            <w:vAlign w:val="bottom"/>
            <w:shd w:val="clear" w:color="auto" w:fill="E3F3EE"/>
          </w:tcPr>
          <w:p>
            <w:pPr>
              <w:jc w:val="right"/>
              <w:ind w:right="501"/>
              <w:spacing w:after="0"/>
              <w:rPr>
                <w:sz w:val="20"/>
                <w:szCs w:val="20"/>
                <w:color w:val="auto"/>
              </w:rPr>
            </w:pPr>
            <w:r>
              <w:rPr>
                <w:rFonts w:ascii="Arial" w:cs="Arial" w:eastAsia="Arial" w:hAnsi="Arial"/>
                <w:sz w:val="16"/>
                <w:szCs w:val="16"/>
                <w:b w:val="1"/>
                <w:bCs w:val="1"/>
                <w:color w:val="auto"/>
                <w:w w:val="93"/>
              </w:rPr>
              <w:t>   December 31,</w:t>
            </w:r>
          </w:p>
        </w:tc>
      </w:tr>
      <w:tr>
        <w:trPr>
          <w:trHeight w:val="192"/>
        </w:trPr>
        <w:tc>
          <w:tcPr>
            <w:tcW w:w="5740" w:type="dxa"/>
            <w:vAlign w:val="bottom"/>
            <w:tcBorders>
              <w:bottom w:val="single" w:sz="8" w:color="D64000"/>
            </w:tcBorders>
            <w:shd w:val="clear" w:color="auto" w:fill="1F473D"/>
          </w:tcPr>
          <w:p>
            <w:pPr>
              <w:spacing w:after="0"/>
              <w:rPr>
                <w:sz w:val="16"/>
                <w:szCs w:val="16"/>
                <w:color w:val="auto"/>
              </w:rPr>
            </w:pPr>
          </w:p>
        </w:tc>
        <w:tc>
          <w:tcPr>
            <w:tcW w:w="2180" w:type="dxa"/>
            <w:vAlign w:val="bottom"/>
            <w:tcBorders>
              <w:bottom w:val="single" w:sz="8" w:color="D64000"/>
            </w:tcBorders>
            <w:gridSpan w:val="2"/>
            <w:shd w:val="clear" w:color="auto" w:fill="1F473D"/>
          </w:tcPr>
          <w:p>
            <w:pPr>
              <w:jc w:val="right"/>
              <w:spacing w:after="0"/>
              <w:rPr>
                <w:sz w:val="20"/>
                <w:szCs w:val="20"/>
                <w:color w:val="auto"/>
              </w:rPr>
            </w:pPr>
            <w:r>
              <w:rPr>
                <w:rFonts w:ascii="Arial" w:cs="Arial" w:eastAsia="Arial" w:hAnsi="Arial"/>
                <w:sz w:val="16"/>
                <w:szCs w:val="16"/>
                <w:b w:val="1"/>
                <w:bCs w:val="1"/>
                <w:color w:val="FFFFFF"/>
              </w:rPr>
              <w:t>               2024</w:t>
            </w:r>
          </w:p>
        </w:tc>
        <w:tc>
          <w:tcPr>
            <w:tcW w:w="180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               2023</w:t>
            </w:r>
          </w:p>
        </w:tc>
      </w:tr>
      <w:tr>
        <w:trPr>
          <w:trHeight w:val="171"/>
        </w:trPr>
        <w:tc>
          <w:tcPr>
            <w:tcW w:w="7420" w:type="dxa"/>
            <w:vAlign w:val="bottom"/>
            <w:gridSpan w:val="2"/>
          </w:tcPr>
          <w:p>
            <w:pPr>
              <w:spacing w:after="0" w:line="171" w:lineRule="exact"/>
              <w:rPr>
                <w:sz w:val="20"/>
                <w:szCs w:val="20"/>
                <w:color w:val="auto"/>
              </w:rPr>
            </w:pPr>
            <w:r>
              <w:rPr>
                <w:rFonts w:ascii="Arial" w:cs="Arial" w:eastAsia="Arial" w:hAnsi="Arial"/>
                <w:sz w:val="16"/>
                <w:szCs w:val="16"/>
                <w:color w:val="auto"/>
              </w:rPr>
              <w:t> Within 1 year</w:t>
            </w:r>
          </w:p>
        </w:tc>
        <w:tc>
          <w:tcPr>
            <w:tcW w:w="500" w:type="dxa"/>
            <w:vAlign w:val="bottom"/>
          </w:tcPr>
          <w:p>
            <w:pPr>
              <w:jc w:val="right"/>
              <w:spacing w:after="0" w:line="171" w:lineRule="exact"/>
              <w:rPr>
                <w:sz w:val="20"/>
                <w:szCs w:val="20"/>
                <w:color w:val="auto"/>
              </w:rPr>
            </w:pPr>
            <w:r>
              <w:rPr>
                <w:rFonts w:ascii="Arial" w:cs="Arial" w:eastAsia="Arial" w:hAnsi="Arial"/>
                <w:sz w:val="16"/>
                <w:szCs w:val="16"/>
                <w:b w:val="1"/>
                <w:bCs w:val="1"/>
                <w:color w:val="auto"/>
              </w:rPr>
              <w:t>479</w:t>
            </w:r>
          </w:p>
        </w:tc>
        <w:tc>
          <w:tcPr>
            <w:tcW w:w="1800" w:type="dxa"/>
            <w:vAlign w:val="bottom"/>
          </w:tcPr>
          <w:p>
            <w:pPr>
              <w:jc w:val="right"/>
              <w:spacing w:after="0" w:line="171" w:lineRule="exact"/>
              <w:rPr>
                <w:sz w:val="20"/>
                <w:szCs w:val="20"/>
                <w:color w:val="auto"/>
              </w:rPr>
            </w:pPr>
            <w:r>
              <w:rPr>
                <w:rFonts w:ascii="Arial" w:cs="Arial" w:eastAsia="Arial" w:hAnsi="Arial"/>
                <w:sz w:val="16"/>
                <w:szCs w:val="16"/>
                <w:color w:val="auto"/>
              </w:rPr>
              <w:t>374</w:t>
            </w:r>
          </w:p>
        </w:tc>
      </w:tr>
      <w:tr>
        <w:trPr>
          <w:trHeight w:val="185"/>
        </w:trPr>
        <w:tc>
          <w:tcPr>
            <w:tcW w:w="7420" w:type="dxa"/>
            <w:vAlign w:val="bottom"/>
            <w:gridSpan w:val="2"/>
          </w:tcPr>
          <w:p>
            <w:pPr>
              <w:spacing w:after="0"/>
              <w:rPr>
                <w:sz w:val="20"/>
                <w:szCs w:val="20"/>
                <w:color w:val="auto"/>
              </w:rPr>
            </w:pPr>
            <w:r>
              <w:rPr>
                <w:rFonts w:ascii="Arial" w:cs="Arial" w:eastAsia="Arial" w:hAnsi="Arial"/>
                <w:sz w:val="16"/>
                <w:szCs w:val="16"/>
                <w:color w:val="auto"/>
              </w:rPr>
              <w:t> Between 1 and 2 years</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267</w:t>
            </w:r>
          </w:p>
        </w:tc>
        <w:tc>
          <w:tcPr>
            <w:tcW w:w="1800" w:type="dxa"/>
            <w:vAlign w:val="bottom"/>
          </w:tcPr>
          <w:p>
            <w:pPr>
              <w:jc w:val="right"/>
              <w:spacing w:after="0"/>
              <w:rPr>
                <w:sz w:val="20"/>
                <w:szCs w:val="20"/>
                <w:color w:val="auto"/>
              </w:rPr>
            </w:pPr>
            <w:r>
              <w:rPr>
                <w:rFonts w:ascii="Arial" w:cs="Arial" w:eastAsia="Arial" w:hAnsi="Arial"/>
                <w:sz w:val="16"/>
                <w:szCs w:val="16"/>
                <w:color w:val="auto"/>
              </w:rPr>
              <w:t>258</w:t>
            </w:r>
          </w:p>
        </w:tc>
      </w:tr>
      <w:tr>
        <w:trPr>
          <w:trHeight w:val="186"/>
        </w:trPr>
        <w:tc>
          <w:tcPr>
            <w:tcW w:w="7420" w:type="dxa"/>
            <w:vAlign w:val="bottom"/>
            <w:gridSpan w:val="2"/>
          </w:tcPr>
          <w:p>
            <w:pPr>
              <w:spacing w:after="0"/>
              <w:rPr>
                <w:sz w:val="20"/>
                <w:szCs w:val="20"/>
                <w:color w:val="auto"/>
              </w:rPr>
            </w:pPr>
            <w:r>
              <w:rPr>
                <w:rFonts w:ascii="Arial" w:cs="Arial" w:eastAsia="Arial" w:hAnsi="Arial"/>
                <w:sz w:val="16"/>
                <w:szCs w:val="16"/>
                <w:color w:val="auto"/>
              </w:rPr>
              <w:t> Between 2 and 3 years</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92</w:t>
            </w:r>
          </w:p>
        </w:tc>
        <w:tc>
          <w:tcPr>
            <w:tcW w:w="180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185"/>
        </w:trPr>
        <w:tc>
          <w:tcPr>
            <w:tcW w:w="7420" w:type="dxa"/>
            <w:vAlign w:val="bottom"/>
            <w:gridSpan w:val="2"/>
          </w:tcPr>
          <w:p>
            <w:pPr>
              <w:spacing w:after="0"/>
              <w:rPr>
                <w:sz w:val="20"/>
                <w:szCs w:val="20"/>
                <w:color w:val="auto"/>
              </w:rPr>
            </w:pPr>
            <w:r>
              <w:rPr>
                <w:rFonts w:ascii="Arial" w:cs="Arial" w:eastAsia="Arial" w:hAnsi="Arial"/>
                <w:sz w:val="16"/>
                <w:szCs w:val="16"/>
                <w:color w:val="auto"/>
              </w:rPr>
              <w:t> Between 3 and 4 years</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34</w:t>
            </w:r>
          </w:p>
        </w:tc>
        <w:tc>
          <w:tcPr>
            <w:tcW w:w="180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186"/>
        </w:trPr>
        <w:tc>
          <w:tcPr>
            <w:tcW w:w="7420" w:type="dxa"/>
            <w:vAlign w:val="bottom"/>
            <w:gridSpan w:val="2"/>
          </w:tcPr>
          <w:p>
            <w:pPr>
              <w:spacing w:after="0"/>
              <w:rPr>
                <w:sz w:val="20"/>
                <w:szCs w:val="20"/>
                <w:color w:val="auto"/>
              </w:rPr>
            </w:pPr>
            <w:r>
              <w:rPr>
                <w:rFonts w:ascii="Arial" w:cs="Arial" w:eastAsia="Arial" w:hAnsi="Arial"/>
                <w:sz w:val="16"/>
                <w:szCs w:val="16"/>
                <w:color w:val="auto"/>
              </w:rPr>
              <w:t> Between 4 and 5 years</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18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00"/>
        </w:trPr>
        <w:tc>
          <w:tcPr>
            <w:tcW w:w="742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color w:val="auto"/>
              </w:rPr>
              <w:t> Later than 5 years</w:t>
            </w:r>
          </w:p>
        </w:tc>
        <w:tc>
          <w:tcPr>
            <w:tcW w:w="500" w:type="dxa"/>
            <w:vAlign w:val="bottom"/>
            <w:tcBorders>
              <w:bottom w:val="single" w:sz="8" w:color="B2B2B2"/>
            </w:tcBorders>
          </w:tcPr>
          <w:p>
            <w:pPr>
              <w:jc w:val="right"/>
              <w:spacing w:after="0"/>
              <w:rPr>
                <w:sz w:val="20"/>
                <w:szCs w:val="20"/>
                <w:color w:val="auto"/>
              </w:rPr>
            </w:pPr>
            <w:r>
              <w:rPr>
                <w:rFonts w:ascii="Arial" w:cs="Arial" w:eastAsia="Arial" w:hAnsi="Arial"/>
                <w:sz w:val="16"/>
                <w:szCs w:val="16"/>
                <w:b w:val="1"/>
                <w:bCs w:val="1"/>
                <w:color w:val="auto"/>
              </w:rPr>
              <w:t>4</w:t>
            </w:r>
          </w:p>
        </w:tc>
        <w:tc>
          <w:tcPr>
            <w:tcW w:w="18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w:t>
            </w:r>
          </w:p>
        </w:tc>
      </w:tr>
      <w:tr>
        <w:trPr>
          <w:trHeight w:val="185"/>
        </w:trPr>
        <w:tc>
          <w:tcPr>
            <w:tcW w:w="5740" w:type="dxa"/>
            <w:vAlign w:val="bottom"/>
            <w:tcBorders>
              <w:bottom w:val="single" w:sz="8" w:color="D64000"/>
            </w:tcBorders>
          </w:tcPr>
          <w:p>
            <w:pPr>
              <w:spacing w:after="0"/>
              <w:rPr>
                <w:sz w:val="16"/>
                <w:szCs w:val="16"/>
                <w:color w:val="auto"/>
              </w:rPr>
            </w:pPr>
          </w:p>
        </w:tc>
        <w:tc>
          <w:tcPr>
            <w:tcW w:w="1680" w:type="dxa"/>
            <w:vAlign w:val="bottom"/>
            <w:tcBorders>
              <w:bottom w:val="single" w:sz="8" w:color="D64000"/>
            </w:tcBorders>
          </w:tcPr>
          <w:p>
            <w:pPr>
              <w:spacing w:after="0"/>
              <w:rPr>
                <w:sz w:val="16"/>
                <w:szCs w:val="16"/>
                <w:color w:val="auto"/>
              </w:rPr>
            </w:pPr>
          </w:p>
        </w:tc>
        <w:tc>
          <w:tcPr>
            <w:tcW w:w="50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b w:val="1"/>
                <w:bCs w:val="1"/>
                <w:color w:val="auto"/>
              </w:rPr>
              <w:t>883</w:t>
            </w:r>
          </w:p>
        </w:tc>
        <w:tc>
          <w:tcPr>
            <w:tcW w:w="180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808</w:t>
            </w:r>
          </w:p>
        </w:tc>
      </w:tr>
    </w:tbl>
    <w:p>
      <w:pPr>
        <w:spacing w:after="0" w:line="18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Note 32: Related Party Transactions</w:t>
      </w:r>
    </w:p>
    <w:p>
      <w:pPr>
        <w:spacing w:after="0" w:line="110" w:lineRule="exact"/>
        <w:rPr>
          <w:sz w:val="20"/>
          <w:szCs w:val="20"/>
          <w:color w:val="auto"/>
        </w:rPr>
      </w:pPr>
    </w:p>
    <w:p>
      <w:pPr>
        <w:ind w:left="220" w:right="200"/>
        <w:spacing w:after="0" w:line="260" w:lineRule="auto"/>
        <w:rPr>
          <w:sz w:val="20"/>
          <w:szCs w:val="20"/>
          <w:color w:val="auto"/>
        </w:rPr>
      </w:pPr>
      <w:r>
        <w:rPr>
          <w:rFonts w:ascii="Arial" w:cs="Arial" w:eastAsia="Arial" w:hAnsi="Arial"/>
          <w:sz w:val="17"/>
          <w:szCs w:val="17"/>
          <w:color w:val="auto"/>
        </w:rPr>
        <w:t>As of December 31, 2024, the Company’s principal shareholder, Woodbridge (together with its affiliates), beneficially owned approximately 70% of the Company’s common shares.</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Transactions with Woodbridge</w:t>
      </w:r>
    </w:p>
    <w:p>
      <w:pPr>
        <w:spacing w:after="0" w:line="6" w:lineRule="exact"/>
        <w:rPr>
          <w:sz w:val="20"/>
          <w:szCs w:val="20"/>
          <w:color w:val="auto"/>
        </w:rPr>
      </w:pPr>
    </w:p>
    <w:p>
      <w:pPr>
        <w:ind w:left="220" w:right="80"/>
        <w:spacing w:after="0" w:line="236" w:lineRule="auto"/>
        <w:rPr>
          <w:sz w:val="20"/>
          <w:szCs w:val="20"/>
          <w:color w:val="auto"/>
        </w:rPr>
      </w:pPr>
      <w:r>
        <w:rPr>
          <w:rFonts w:ascii="Arial" w:cs="Arial" w:eastAsia="Arial" w:hAnsi="Arial"/>
          <w:sz w:val="17"/>
          <w:szCs w:val="17"/>
          <w:color w:val="auto"/>
        </w:rPr>
        <w:t>From time to time, in the normal course of business, the Company enters into transactions with Woodbridge and certain of its affiliates. These transactions involve providing and receiving product and service offerings and are not material to the Company’s results of operations or financial condition either individually or in the aggregate.</w:t>
      </w:r>
    </w:p>
    <w:p>
      <w:pPr>
        <w:spacing w:after="0" w:line="70" w:lineRule="exact"/>
        <w:rPr>
          <w:sz w:val="20"/>
          <w:szCs w:val="20"/>
          <w:color w:val="auto"/>
        </w:rPr>
      </w:pPr>
    </w:p>
    <w:p>
      <w:pPr>
        <w:ind w:left="220" w:right="80"/>
        <w:spacing w:after="0" w:line="232" w:lineRule="auto"/>
        <w:rPr>
          <w:sz w:val="20"/>
          <w:szCs w:val="20"/>
          <w:color w:val="auto"/>
        </w:rPr>
      </w:pPr>
      <w:r>
        <w:rPr>
          <w:rFonts w:ascii="Arial" w:cs="Arial" w:eastAsia="Arial" w:hAnsi="Arial"/>
          <w:sz w:val="17"/>
          <w:szCs w:val="17"/>
          <w:color w:val="auto"/>
        </w:rPr>
        <w:t>In 2023, the Company sold two wholly owned Canadian subsidiaries to a company affiliated with Woodbridge for $42 million. The subsidiaries’ assets consisted of accumulated tax losses that management did not expect to utilize against future taxable income prior to their expiry. As such, no tax benefit for the losses had been recognized in the consolidated financial statements. Under Canadian law, certain losses may only be transferred to related companies, such as those affiliated with Woodbridge. The proceeds were recorded as gains within “Other operating gains, net” in the consolidated income statement. For each of these transactions, the board of directors’ Corporate Governance Committee obtained an independent fairness opinion. The Company utilized each independent fairness opinion to determine that the negotiated price between the Company and Woodbridge was reasonable. After reviewing these matters, the Corporate Governance Committee approved these transactions. Directors who were not considered independent because of their positions with Woodbridge refrained from deliberating and voting on the matters at the committee meetings.</w:t>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Transactions with YPL</w:t>
      </w:r>
    </w:p>
    <w:p>
      <w:pPr>
        <w:spacing w:after="0" w:line="6" w:lineRule="exact"/>
        <w:rPr>
          <w:sz w:val="20"/>
          <w:szCs w:val="20"/>
          <w:color w:val="auto"/>
        </w:rPr>
      </w:pPr>
    </w:p>
    <w:p>
      <w:pPr>
        <w:ind w:left="220" w:right="300"/>
        <w:spacing w:after="0"/>
        <w:rPr>
          <w:sz w:val="20"/>
          <w:szCs w:val="20"/>
          <w:color w:val="auto"/>
        </w:rPr>
      </w:pPr>
      <w:r>
        <w:rPr>
          <w:rFonts w:ascii="Arial" w:cs="Arial" w:eastAsia="Arial" w:hAnsi="Arial"/>
          <w:sz w:val="17"/>
          <w:szCs w:val="17"/>
          <w:color w:val="auto"/>
        </w:rPr>
        <w:t>In 2024 and 2023, the Company received $1.8 billion and $5.3 billion, respectively, of dividends from YPL related to the sale of the Company’s indirectly owned LSEG shares. See note 9 for further details about these transactions.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Transactions with 3XSQ Associates</w:t>
      </w:r>
    </w:p>
    <w:p>
      <w:pPr>
        <w:spacing w:after="0" w:line="6" w:lineRule="exact"/>
        <w:rPr>
          <w:sz w:val="20"/>
          <w:szCs w:val="20"/>
          <w:color w:val="auto"/>
        </w:rPr>
      </w:pPr>
    </w:p>
    <w:p>
      <w:pPr>
        <w:ind w:left="220" w:right="280"/>
        <w:spacing w:after="0" w:line="236" w:lineRule="auto"/>
        <w:rPr>
          <w:sz w:val="20"/>
          <w:szCs w:val="20"/>
          <w:color w:val="auto"/>
        </w:rPr>
      </w:pPr>
      <w:r>
        <w:rPr>
          <w:rFonts w:ascii="Arial" w:cs="Arial" w:eastAsia="Arial" w:hAnsi="Arial"/>
          <w:sz w:val="17"/>
          <w:szCs w:val="17"/>
          <w:color w:val="auto"/>
        </w:rPr>
        <w:t>In 2024, the Company contributed $10 million in cash pursuant to a capital call. In 2024 and 2023, the Company paid $4 million and $5 million, respectively, of rent to 3XSQ Associates for office space in the 3 Times Square building in New York, New York related to a lease through December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92075</wp:posOffset>
            </wp:positionV>
            <wp:extent cx="686562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6" w:lineRule="exact"/>
        <w:rPr>
          <w:sz w:val="20"/>
          <w:szCs w:val="20"/>
          <w:color w:val="auto"/>
        </w:rPr>
      </w:pPr>
    </w:p>
    <w:p>
      <w:pPr>
        <w:ind w:left="220"/>
        <w:spacing w:after="0"/>
        <w:tabs>
          <w:tab w:leader="none" w:pos="1030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6"/>
          <w:szCs w:val="16"/>
          <w:color w:val="auto"/>
        </w:rPr>
        <w:t>Page 139</w:t>
      </w:r>
    </w:p>
    <w:p>
      <w:pPr>
        <w:sectPr>
          <w:pgSz w:w="11900" w:h="16838" w:orient="portrait"/>
          <w:cols w:equalWidth="0" w:num="1">
            <w:col w:w="11040"/>
          </w:cols>
          <w:pgMar w:left="320" w:top="477" w:right="5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Transactions with Elite</w:t>
      </w:r>
    </w:p>
    <w:p>
      <w:pPr>
        <w:spacing w:after="0" w:line="6" w:lineRule="exact"/>
        <w:rPr>
          <w:sz w:val="20"/>
          <w:szCs w:val="20"/>
          <w:color w:val="auto"/>
        </w:rPr>
      </w:pPr>
    </w:p>
    <w:p>
      <w:pPr>
        <w:ind w:left="220" w:right="100"/>
        <w:spacing w:after="0" w:line="233" w:lineRule="auto"/>
        <w:rPr>
          <w:sz w:val="20"/>
          <w:szCs w:val="20"/>
          <w:color w:val="auto"/>
        </w:rPr>
      </w:pPr>
      <w:r>
        <w:rPr>
          <w:rFonts w:ascii="Arial" w:cs="Arial" w:eastAsia="Arial" w:hAnsi="Arial"/>
          <w:sz w:val="17"/>
          <w:szCs w:val="17"/>
          <w:color w:val="auto"/>
        </w:rPr>
        <w:t>In June 2023, the Company sold a majority interest in its Elite business to TPG and retained a 19.9% minority interest with board representation. To facilitate the separation, the Company provided certain operational services to Elite, including technology and administrative services, through May 2024. In 2024 and 2023, the Company recorded $2 million and $8 million, respectively, as a contra-expense against the costs associated with these services.</w:t>
      </w:r>
    </w:p>
    <w:p>
      <w:pPr>
        <w:spacing w:after="0" w:line="73" w:lineRule="exact"/>
        <w:rPr>
          <w:sz w:val="20"/>
          <w:szCs w:val="20"/>
          <w:color w:val="auto"/>
        </w:rPr>
      </w:pPr>
    </w:p>
    <w:p>
      <w:pPr>
        <w:ind w:left="220" w:right="440"/>
        <w:spacing w:after="0" w:line="260" w:lineRule="auto"/>
        <w:rPr>
          <w:sz w:val="20"/>
          <w:szCs w:val="20"/>
          <w:color w:val="auto"/>
        </w:rPr>
      </w:pPr>
      <w:r>
        <w:rPr>
          <w:rFonts w:ascii="Arial" w:cs="Arial" w:eastAsia="Arial" w:hAnsi="Arial"/>
          <w:sz w:val="17"/>
          <w:szCs w:val="17"/>
          <w:color w:val="auto"/>
        </w:rPr>
        <w:t>As of December 31, 2024, there were no balances outstanding between the Company and Elite. As of December 31, 2023, the consolidated statement of financial position included a receivable from Elite of $39 million and a payable to Elite of $12 million.</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Transactions with other associates</w:t>
      </w:r>
    </w:p>
    <w:p>
      <w:pPr>
        <w:spacing w:after="0" w:line="6" w:lineRule="exact"/>
        <w:rPr>
          <w:sz w:val="20"/>
          <w:szCs w:val="20"/>
          <w:color w:val="auto"/>
        </w:rPr>
      </w:pPr>
    </w:p>
    <w:p>
      <w:pPr>
        <w:ind w:left="220" w:right="20"/>
        <w:spacing w:after="0" w:line="236" w:lineRule="auto"/>
        <w:rPr>
          <w:sz w:val="20"/>
          <w:szCs w:val="20"/>
          <w:color w:val="auto"/>
        </w:rPr>
      </w:pPr>
      <w:r>
        <w:rPr>
          <w:rFonts w:ascii="Arial" w:cs="Arial" w:eastAsia="Arial" w:hAnsi="Arial"/>
          <w:sz w:val="17"/>
          <w:szCs w:val="17"/>
          <w:color w:val="auto"/>
        </w:rPr>
        <w:t>From time to time, the Company enters into transactions with other associates. These transactions typically involve providing or receiving services in the normal course of business and are not material to the Company’s results of operations or financial condition either individually or in the aggregate.</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Compensation of key management personnel</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Key management personnel compensation, including directors,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149225</wp:posOffset>
            </wp:positionV>
            <wp:extent cx="617537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215" w:lineRule="exact"/>
        <w:rPr>
          <w:sz w:val="20"/>
          <w:szCs w:val="20"/>
          <w:color w:val="auto"/>
        </w:rPr>
      </w:pPr>
    </w:p>
    <w:tbl>
      <w:tblPr>
        <w:tblLayout w:type="fixed"/>
        <w:tblInd w:w="220" w:type="dxa"/>
        <w:tblCellMar>
          <w:top w:w="0" w:type="dxa"/>
          <w:left w:w="0" w:type="dxa"/>
          <w:bottom w:w="0" w:type="dxa"/>
          <w:right w:w="0" w:type="dxa"/>
        </w:tblCellMar>
      </w:tblPr>
      <w:tr>
        <w:trPr>
          <w:trHeight w:val="199"/>
        </w:trPr>
        <w:tc>
          <w:tcPr>
            <w:tcW w:w="5660" w:type="dxa"/>
            <w:vAlign w:val="bottom"/>
          </w:tcPr>
          <w:p>
            <w:pPr>
              <w:spacing w:after="0"/>
              <w:rPr>
                <w:sz w:val="17"/>
                <w:szCs w:val="17"/>
                <w:color w:val="auto"/>
              </w:rPr>
            </w:pPr>
          </w:p>
        </w:tc>
        <w:tc>
          <w:tcPr>
            <w:tcW w:w="1160" w:type="dxa"/>
            <w:vAlign w:val="bottom"/>
            <w:shd w:val="clear" w:color="auto" w:fill="E3F3EE"/>
          </w:tcPr>
          <w:p>
            <w:pPr>
              <w:ind w:left="1020"/>
              <w:spacing w:after="0"/>
              <w:rPr>
                <w:sz w:val="20"/>
                <w:szCs w:val="20"/>
                <w:color w:val="auto"/>
              </w:rPr>
            </w:pPr>
            <w:r>
              <w:rPr>
                <w:rFonts w:ascii="Arial" w:cs="Arial" w:eastAsia="Arial" w:hAnsi="Arial"/>
                <w:sz w:val="16"/>
                <w:szCs w:val="16"/>
                <w:b w:val="1"/>
                <w:bCs w:val="1"/>
                <w:color w:val="auto"/>
                <w:w w:val="74"/>
              </w:rPr>
              <w:t> </w:t>
            </w:r>
          </w:p>
        </w:tc>
        <w:tc>
          <w:tcPr>
            <w:tcW w:w="160" w:type="dxa"/>
            <w:vAlign w:val="bottom"/>
            <w:shd w:val="clear" w:color="auto" w:fill="E3F3EE"/>
          </w:tcPr>
          <w:p>
            <w:pPr>
              <w:ind w:left="20"/>
              <w:spacing w:after="0"/>
              <w:rPr>
                <w:sz w:val="20"/>
                <w:szCs w:val="20"/>
                <w:color w:val="auto"/>
              </w:rPr>
            </w:pPr>
            <w:r>
              <w:rPr>
                <w:rFonts w:ascii="Arial" w:cs="Arial" w:eastAsia="Arial" w:hAnsi="Arial"/>
                <w:sz w:val="16"/>
                <w:szCs w:val="16"/>
                <w:b w:val="1"/>
                <w:bCs w:val="1"/>
                <w:color w:val="auto"/>
                <w:w w:val="74"/>
              </w:rPr>
              <w:t> </w:t>
            </w:r>
          </w:p>
        </w:tc>
        <w:tc>
          <w:tcPr>
            <w:tcW w:w="160" w:type="dxa"/>
            <w:vAlign w:val="bottom"/>
            <w:shd w:val="clear" w:color="auto" w:fill="E3F3EE"/>
          </w:tcPr>
          <w:p>
            <w:pPr>
              <w:ind w:left="20"/>
              <w:spacing w:after="0"/>
              <w:rPr>
                <w:sz w:val="20"/>
                <w:szCs w:val="20"/>
                <w:color w:val="auto"/>
              </w:rPr>
            </w:pPr>
            <w:r>
              <w:rPr>
                <w:rFonts w:ascii="Arial" w:cs="Arial" w:eastAsia="Arial" w:hAnsi="Arial"/>
                <w:sz w:val="16"/>
                <w:szCs w:val="16"/>
                <w:b w:val="1"/>
                <w:bCs w:val="1"/>
                <w:color w:val="auto"/>
                <w:w w:val="74"/>
              </w:rPr>
              <w:t> </w:t>
            </w:r>
          </w:p>
        </w:tc>
        <w:tc>
          <w:tcPr>
            <w:tcW w:w="2580" w:type="dxa"/>
            <w:vAlign w:val="bottom"/>
            <w:gridSpan w:val="2"/>
            <w:shd w:val="clear" w:color="auto" w:fill="E3F3EE"/>
          </w:tcPr>
          <w:p>
            <w:pPr>
              <w:jc w:val="right"/>
              <w:ind w:right="241"/>
              <w:spacing w:after="0"/>
              <w:rPr>
                <w:sz w:val="20"/>
                <w:szCs w:val="20"/>
                <w:color w:val="auto"/>
              </w:rPr>
            </w:pPr>
            <w:r>
              <w:rPr>
                <w:rFonts w:ascii="Arial" w:cs="Arial" w:eastAsia="Arial" w:hAnsi="Arial"/>
                <w:sz w:val="16"/>
                <w:szCs w:val="16"/>
                <w:b w:val="1"/>
                <w:bCs w:val="1"/>
                <w:color w:val="auto"/>
                <w:w w:val="97"/>
              </w:rPr>
              <w:t>     Year ended December 31,</w:t>
            </w:r>
          </w:p>
        </w:tc>
      </w:tr>
      <w:tr>
        <w:trPr>
          <w:trHeight w:val="192"/>
        </w:trPr>
        <w:tc>
          <w:tcPr>
            <w:tcW w:w="5660" w:type="dxa"/>
            <w:vAlign w:val="bottom"/>
            <w:tcBorders>
              <w:bottom w:val="single" w:sz="8" w:color="D64000"/>
            </w:tcBorders>
            <w:shd w:val="clear" w:color="auto" w:fill="1F473D"/>
          </w:tcPr>
          <w:p>
            <w:pPr>
              <w:spacing w:after="0"/>
              <w:rPr>
                <w:sz w:val="16"/>
                <w:szCs w:val="16"/>
                <w:color w:val="auto"/>
              </w:rPr>
            </w:pPr>
          </w:p>
        </w:tc>
        <w:tc>
          <w:tcPr>
            <w:tcW w:w="1160" w:type="dxa"/>
            <w:vAlign w:val="bottom"/>
            <w:tcBorders>
              <w:bottom w:val="single" w:sz="8" w:color="D64000"/>
            </w:tcBorders>
            <w:shd w:val="clear" w:color="auto" w:fill="1F473D"/>
          </w:tcPr>
          <w:p>
            <w:pPr>
              <w:ind w:left="780"/>
              <w:spacing w:after="0"/>
              <w:rPr>
                <w:sz w:val="20"/>
                <w:szCs w:val="20"/>
                <w:color w:val="auto"/>
              </w:rPr>
            </w:pPr>
            <w:r>
              <w:rPr>
                <w:rFonts w:ascii="Arial" w:cs="Arial" w:eastAsia="Arial" w:hAnsi="Arial"/>
                <w:sz w:val="16"/>
                <w:szCs w:val="16"/>
                <w:b w:val="1"/>
                <w:bCs w:val="1"/>
                <w:color w:val="FFFFFF"/>
              </w:rPr>
              <w:t xml:space="preserve">       </w:t>
            </w:r>
          </w:p>
        </w:tc>
        <w:tc>
          <w:tcPr>
            <w:tcW w:w="160" w:type="dxa"/>
            <w:vAlign w:val="bottom"/>
            <w:tcBorders>
              <w:bottom w:val="single" w:sz="8" w:color="D64000"/>
            </w:tcBorders>
            <w:shd w:val="clear" w:color="auto" w:fill="1F473D"/>
          </w:tcPr>
          <w:p>
            <w:pPr>
              <w:ind w:left="100"/>
              <w:spacing w:after="0"/>
              <w:rPr>
                <w:sz w:val="20"/>
                <w:szCs w:val="20"/>
                <w:color w:val="auto"/>
              </w:rPr>
            </w:pPr>
            <w:r>
              <w:rPr>
                <w:rFonts w:ascii="Arial" w:cs="Arial" w:eastAsia="Arial" w:hAnsi="Arial"/>
                <w:sz w:val="5"/>
                <w:szCs w:val="5"/>
                <w:b w:val="1"/>
                <w:bCs w:val="1"/>
                <w:color w:val="FFFFFF"/>
                <w:w w:val="79"/>
              </w:rPr>
              <w:t> </w:t>
            </w:r>
          </w:p>
        </w:tc>
        <w:tc>
          <w:tcPr>
            <w:tcW w:w="160" w:type="dxa"/>
            <w:vAlign w:val="bottom"/>
            <w:tcBorders>
              <w:bottom w:val="single" w:sz="8" w:color="D64000"/>
            </w:tcBorders>
            <w:shd w:val="clear" w:color="auto" w:fill="1F473D"/>
          </w:tcPr>
          <w:p>
            <w:pPr>
              <w:ind w:left="100"/>
              <w:spacing w:after="0"/>
              <w:rPr>
                <w:sz w:val="20"/>
                <w:szCs w:val="20"/>
                <w:color w:val="auto"/>
              </w:rPr>
            </w:pPr>
            <w:r>
              <w:rPr>
                <w:rFonts w:ascii="Arial" w:cs="Arial" w:eastAsia="Arial" w:hAnsi="Arial"/>
                <w:sz w:val="5"/>
                <w:szCs w:val="5"/>
                <w:b w:val="1"/>
                <w:bCs w:val="1"/>
                <w:color w:val="FFFFFF"/>
                <w:w w:val="79"/>
              </w:rPr>
              <w:t> </w:t>
            </w:r>
          </w:p>
        </w:tc>
        <w:tc>
          <w:tcPr>
            <w:tcW w:w="980" w:type="dxa"/>
            <w:vAlign w:val="bottom"/>
            <w:tcBorders>
              <w:bottom w:val="single" w:sz="8" w:color="D64000"/>
            </w:tcBorders>
            <w:shd w:val="clear" w:color="auto" w:fill="1F473D"/>
          </w:tcPr>
          <w:p>
            <w:pPr>
              <w:jc w:val="right"/>
              <w:ind w:right="461"/>
              <w:spacing w:after="0"/>
              <w:rPr>
                <w:sz w:val="20"/>
                <w:szCs w:val="20"/>
                <w:color w:val="auto"/>
              </w:rPr>
            </w:pPr>
            <w:r>
              <w:rPr>
                <w:rFonts w:ascii="Arial" w:cs="Arial" w:eastAsia="Arial" w:hAnsi="Arial"/>
                <w:sz w:val="16"/>
                <w:szCs w:val="16"/>
                <w:b w:val="1"/>
                <w:bCs w:val="1"/>
                <w:color w:val="FFFFFF"/>
              </w:rPr>
              <w:t>2024</w:t>
            </w:r>
          </w:p>
        </w:tc>
        <w:tc>
          <w:tcPr>
            <w:tcW w:w="1600" w:type="dxa"/>
            <w:vAlign w:val="bottom"/>
            <w:tcBorders>
              <w:bottom w:val="single" w:sz="8" w:color="D64000"/>
            </w:tcBorders>
            <w:shd w:val="clear" w:color="auto" w:fill="1F473D"/>
          </w:tcPr>
          <w:p>
            <w:pPr>
              <w:jc w:val="right"/>
              <w:spacing w:after="0"/>
              <w:rPr>
                <w:sz w:val="20"/>
                <w:szCs w:val="20"/>
                <w:color w:val="auto"/>
              </w:rPr>
            </w:pPr>
            <w:r>
              <w:rPr>
                <w:rFonts w:ascii="Arial" w:cs="Arial" w:eastAsia="Arial" w:hAnsi="Arial"/>
                <w:sz w:val="16"/>
                <w:szCs w:val="16"/>
                <w:color w:val="FFFFFF"/>
              </w:rPr>
              <w:t>               2023</w:t>
            </w:r>
          </w:p>
        </w:tc>
      </w:tr>
      <w:tr>
        <w:trPr>
          <w:trHeight w:val="171"/>
        </w:trPr>
        <w:tc>
          <w:tcPr>
            <w:tcW w:w="6820" w:type="dxa"/>
            <w:vAlign w:val="bottom"/>
            <w:gridSpan w:val="2"/>
          </w:tcPr>
          <w:p>
            <w:pPr>
              <w:spacing w:after="0" w:line="171" w:lineRule="exact"/>
              <w:rPr>
                <w:sz w:val="20"/>
                <w:szCs w:val="20"/>
                <w:color w:val="auto"/>
              </w:rPr>
            </w:pPr>
            <w:r>
              <w:rPr>
                <w:rFonts w:ascii="Arial" w:cs="Arial" w:eastAsia="Arial" w:hAnsi="Arial"/>
                <w:sz w:val="16"/>
                <w:szCs w:val="16"/>
                <w:color w:val="auto"/>
              </w:rPr>
              <w:t>Salaries and other benefits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381"/>
              <w:spacing w:after="0" w:line="171" w:lineRule="exact"/>
              <w:rPr>
                <w:sz w:val="20"/>
                <w:szCs w:val="20"/>
                <w:color w:val="auto"/>
              </w:rPr>
            </w:pPr>
            <w:r>
              <w:rPr>
                <w:rFonts w:ascii="Arial" w:cs="Arial" w:eastAsia="Arial" w:hAnsi="Arial"/>
                <w:sz w:val="16"/>
                <w:szCs w:val="16"/>
                <w:b w:val="1"/>
                <w:bCs w:val="1"/>
                <w:color w:val="auto"/>
              </w:rPr>
              <w:t>25</w:t>
            </w:r>
          </w:p>
        </w:tc>
        <w:tc>
          <w:tcPr>
            <w:tcW w:w="1600" w:type="dxa"/>
            <w:vAlign w:val="bottom"/>
          </w:tcPr>
          <w:p>
            <w:pPr>
              <w:jc w:val="right"/>
              <w:spacing w:after="0" w:line="171" w:lineRule="exact"/>
              <w:rPr>
                <w:sz w:val="20"/>
                <w:szCs w:val="20"/>
                <w:color w:val="auto"/>
              </w:rPr>
            </w:pPr>
            <w:r>
              <w:rPr>
                <w:rFonts w:ascii="Arial" w:cs="Arial" w:eastAsia="Arial" w:hAnsi="Arial"/>
                <w:sz w:val="16"/>
                <w:szCs w:val="16"/>
                <w:color w:val="auto"/>
              </w:rPr>
              <w:t>23</w:t>
            </w:r>
          </w:p>
        </w:tc>
      </w:tr>
      <w:tr>
        <w:trPr>
          <w:trHeight w:val="200"/>
        </w:trPr>
        <w:tc>
          <w:tcPr>
            <w:tcW w:w="6820" w:type="dxa"/>
            <w:vAlign w:val="bottom"/>
            <w:tcBorders>
              <w:bottom w:val="single" w:sz="8" w:color="B2B2B2"/>
            </w:tcBorders>
            <w:gridSpan w:val="2"/>
          </w:tcPr>
          <w:p>
            <w:pPr>
              <w:spacing w:after="0"/>
              <w:rPr>
                <w:sz w:val="20"/>
                <w:szCs w:val="20"/>
                <w:color w:val="auto"/>
              </w:rPr>
            </w:pPr>
            <w:r>
              <w:rPr>
                <w:rFonts w:ascii="Arial" w:cs="Arial" w:eastAsia="Arial" w:hAnsi="Arial"/>
                <w:sz w:val="16"/>
                <w:szCs w:val="16"/>
                <w:color w:val="auto"/>
              </w:rPr>
              <w:t>Share-based payments</w:t>
            </w:r>
          </w:p>
        </w:tc>
        <w:tc>
          <w:tcPr>
            <w:tcW w:w="160" w:type="dxa"/>
            <w:vAlign w:val="bottom"/>
            <w:tcBorders>
              <w:bottom w:val="single" w:sz="8" w:color="B2B2B2"/>
            </w:tcBorders>
          </w:tcPr>
          <w:p>
            <w:pPr>
              <w:spacing w:after="0"/>
              <w:rPr>
                <w:sz w:val="17"/>
                <w:szCs w:val="17"/>
                <w:color w:val="auto"/>
              </w:rPr>
            </w:pPr>
          </w:p>
        </w:tc>
        <w:tc>
          <w:tcPr>
            <w:tcW w:w="160" w:type="dxa"/>
            <w:vAlign w:val="bottom"/>
            <w:tcBorders>
              <w:bottom w:val="single" w:sz="8" w:color="B2B2B2"/>
            </w:tcBorders>
          </w:tcPr>
          <w:p>
            <w:pPr>
              <w:spacing w:after="0"/>
              <w:rPr>
                <w:sz w:val="17"/>
                <w:szCs w:val="17"/>
                <w:color w:val="auto"/>
              </w:rPr>
            </w:pPr>
          </w:p>
        </w:tc>
        <w:tc>
          <w:tcPr>
            <w:tcW w:w="980" w:type="dxa"/>
            <w:vAlign w:val="bottom"/>
            <w:tcBorders>
              <w:bottom w:val="single" w:sz="8" w:color="B2B2B2"/>
            </w:tcBorders>
          </w:tcPr>
          <w:p>
            <w:pPr>
              <w:jc w:val="right"/>
              <w:ind w:right="381"/>
              <w:spacing w:after="0"/>
              <w:rPr>
                <w:sz w:val="20"/>
                <w:szCs w:val="20"/>
                <w:color w:val="auto"/>
              </w:rPr>
            </w:pPr>
            <w:r>
              <w:rPr>
                <w:rFonts w:ascii="Arial" w:cs="Arial" w:eastAsia="Arial" w:hAnsi="Arial"/>
                <w:sz w:val="16"/>
                <w:szCs w:val="16"/>
                <w:b w:val="1"/>
                <w:bCs w:val="1"/>
                <w:color w:val="auto"/>
              </w:rPr>
              <w:t>19</w:t>
            </w:r>
          </w:p>
        </w:tc>
        <w:tc>
          <w:tcPr>
            <w:tcW w:w="1600" w:type="dxa"/>
            <w:vAlign w:val="bottom"/>
            <w:tcBorders>
              <w:bottom w:val="single" w:sz="8" w:color="B2B2B2"/>
            </w:tcBorders>
          </w:tcPr>
          <w:p>
            <w:pPr>
              <w:jc w:val="right"/>
              <w:spacing w:after="0"/>
              <w:rPr>
                <w:sz w:val="20"/>
                <w:szCs w:val="20"/>
                <w:color w:val="auto"/>
              </w:rPr>
            </w:pPr>
            <w:r>
              <w:rPr>
                <w:rFonts w:ascii="Arial" w:cs="Arial" w:eastAsia="Arial" w:hAnsi="Arial"/>
                <w:sz w:val="16"/>
                <w:szCs w:val="16"/>
                <w:color w:val="auto"/>
              </w:rPr>
              <w:t>17</w:t>
            </w:r>
          </w:p>
        </w:tc>
      </w:tr>
      <w:tr>
        <w:trPr>
          <w:trHeight w:val="185"/>
        </w:trPr>
        <w:tc>
          <w:tcPr>
            <w:tcW w:w="6820" w:type="dxa"/>
            <w:vAlign w:val="bottom"/>
            <w:tcBorders>
              <w:bottom w:val="single" w:sz="8" w:color="D64000"/>
            </w:tcBorders>
            <w:gridSpan w:val="2"/>
          </w:tcPr>
          <w:p>
            <w:pPr>
              <w:spacing w:after="0" w:line="179" w:lineRule="exact"/>
              <w:rPr>
                <w:sz w:val="20"/>
                <w:szCs w:val="20"/>
                <w:color w:val="auto"/>
              </w:rPr>
            </w:pPr>
            <w:r>
              <w:rPr>
                <w:rFonts w:ascii="Arial" w:cs="Arial" w:eastAsia="Arial" w:hAnsi="Arial"/>
                <w:sz w:val="16"/>
                <w:szCs w:val="16"/>
                <w:color w:val="auto"/>
              </w:rPr>
              <w:t>Total compensation</w:t>
            </w:r>
          </w:p>
        </w:tc>
        <w:tc>
          <w:tcPr>
            <w:tcW w:w="160" w:type="dxa"/>
            <w:vAlign w:val="bottom"/>
            <w:tcBorders>
              <w:bottom w:val="single" w:sz="8" w:color="D64000"/>
            </w:tcBorders>
          </w:tcPr>
          <w:p>
            <w:pPr>
              <w:spacing w:after="0"/>
              <w:rPr>
                <w:sz w:val="16"/>
                <w:szCs w:val="16"/>
                <w:color w:val="auto"/>
              </w:rPr>
            </w:pPr>
          </w:p>
        </w:tc>
        <w:tc>
          <w:tcPr>
            <w:tcW w:w="160" w:type="dxa"/>
            <w:vAlign w:val="bottom"/>
            <w:tcBorders>
              <w:bottom w:val="single" w:sz="8" w:color="D64000"/>
            </w:tcBorders>
          </w:tcPr>
          <w:p>
            <w:pPr>
              <w:spacing w:after="0"/>
              <w:rPr>
                <w:sz w:val="16"/>
                <w:szCs w:val="16"/>
                <w:color w:val="auto"/>
              </w:rPr>
            </w:pPr>
          </w:p>
        </w:tc>
        <w:tc>
          <w:tcPr>
            <w:tcW w:w="980" w:type="dxa"/>
            <w:vAlign w:val="bottom"/>
            <w:tcBorders>
              <w:bottom w:val="single" w:sz="8" w:color="D64000"/>
            </w:tcBorders>
          </w:tcPr>
          <w:p>
            <w:pPr>
              <w:jc w:val="right"/>
              <w:ind w:right="381"/>
              <w:spacing w:after="0" w:line="179" w:lineRule="exact"/>
              <w:rPr>
                <w:sz w:val="20"/>
                <w:szCs w:val="20"/>
                <w:color w:val="auto"/>
              </w:rPr>
            </w:pPr>
            <w:r>
              <w:rPr>
                <w:rFonts w:ascii="Arial" w:cs="Arial" w:eastAsia="Arial" w:hAnsi="Arial"/>
                <w:sz w:val="16"/>
                <w:szCs w:val="16"/>
                <w:b w:val="1"/>
                <w:bCs w:val="1"/>
                <w:color w:val="auto"/>
              </w:rPr>
              <w:t>44</w:t>
            </w:r>
          </w:p>
        </w:tc>
        <w:tc>
          <w:tcPr>
            <w:tcW w:w="1600" w:type="dxa"/>
            <w:vAlign w:val="bottom"/>
            <w:tcBorders>
              <w:bottom w:val="single" w:sz="8" w:color="D64000"/>
            </w:tcBorders>
          </w:tcPr>
          <w:p>
            <w:pPr>
              <w:jc w:val="right"/>
              <w:spacing w:after="0" w:line="179" w:lineRule="exact"/>
              <w:rPr>
                <w:sz w:val="20"/>
                <w:szCs w:val="20"/>
                <w:color w:val="auto"/>
              </w:rPr>
            </w:pPr>
            <w:r>
              <w:rPr>
                <w:rFonts w:ascii="Arial" w:cs="Arial" w:eastAsia="Arial" w:hAnsi="Arial"/>
                <w:sz w:val="16"/>
                <w:szCs w:val="16"/>
                <w:color w:val="auto"/>
              </w:rPr>
              <w:t>40</w:t>
            </w:r>
          </w:p>
        </w:tc>
      </w:tr>
    </w:tbl>
    <w:p>
      <w:pPr>
        <w:spacing w:after="0" w:line="8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Key management personnel are comprised of the Company’s directors and executive officers.</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Note 33: Subsequent Events</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Acquisition</w:t>
      </w:r>
    </w:p>
    <w:p>
      <w:pPr>
        <w:spacing w:after="0" w:line="6" w:lineRule="exact"/>
        <w:rPr>
          <w:sz w:val="20"/>
          <w:szCs w:val="20"/>
          <w:color w:val="auto"/>
        </w:rPr>
      </w:pPr>
    </w:p>
    <w:p>
      <w:pPr>
        <w:ind w:left="220" w:right="20"/>
        <w:spacing w:after="0" w:line="251" w:lineRule="auto"/>
        <w:rPr>
          <w:sz w:val="20"/>
          <w:szCs w:val="20"/>
          <w:color w:val="auto"/>
        </w:rPr>
      </w:pPr>
      <w:r>
        <w:rPr>
          <w:rFonts w:ascii="Arial" w:cs="Arial" w:eastAsia="Arial" w:hAnsi="Arial"/>
          <w:sz w:val="16"/>
          <w:szCs w:val="16"/>
          <w:color w:val="auto"/>
        </w:rPr>
        <w:t>In January 2025, the Company acquired cPaperless, LLC, doing business as SafeSend (“SafeSend”), for $600 million in cash. SafeSend is a U.S. based cloud-native provider of technology for tax and accounting professionals. SafeSend automates the “last-mile” of the tax return, including assembly, review, taxpayer e-signature, and delivery. This business will be substantially reported in the Tax &amp; Accounting Professionals segment. The Company is in the process of allocating the purchase consideration to the assets and liabilities assumed for accounting purposes.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2025 Dividends</w:t>
      </w:r>
    </w:p>
    <w:p>
      <w:pPr>
        <w:spacing w:after="0" w:line="6" w:lineRule="exact"/>
        <w:rPr>
          <w:sz w:val="20"/>
          <w:szCs w:val="20"/>
          <w:color w:val="auto"/>
        </w:rPr>
      </w:pPr>
    </w:p>
    <w:p>
      <w:pPr>
        <w:ind w:left="220" w:right="260"/>
        <w:spacing w:after="0" w:line="236" w:lineRule="auto"/>
        <w:rPr>
          <w:sz w:val="20"/>
          <w:szCs w:val="20"/>
          <w:color w:val="auto"/>
        </w:rPr>
      </w:pPr>
      <w:r>
        <w:rPr>
          <w:rFonts w:ascii="Arial" w:cs="Arial" w:eastAsia="Arial" w:hAnsi="Arial"/>
          <w:sz w:val="17"/>
          <w:szCs w:val="17"/>
          <w:color w:val="auto"/>
        </w:rPr>
        <w:t>In February 2025, the Company announced a 10% or $0.22 per share increase in the annualized dividend to $2.38 per common share, which was approved by the Company’s board of directors. A quarterly dividend of $0.595 per share will be paid on March 10, 2025 to shareholders of record as of February 20, 2025.</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Debt exchange offers</w:t>
      </w:r>
    </w:p>
    <w:p>
      <w:pPr>
        <w:spacing w:after="0" w:line="6" w:lineRule="exact"/>
        <w:rPr>
          <w:sz w:val="20"/>
          <w:szCs w:val="20"/>
          <w:color w:val="auto"/>
        </w:rPr>
      </w:pPr>
    </w:p>
    <w:p>
      <w:pPr>
        <w:ind w:left="220" w:right="20"/>
        <w:spacing w:after="0" w:line="233" w:lineRule="auto"/>
        <w:rPr>
          <w:sz w:val="20"/>
          <w:szCs w:val="20"/>
          <w:color w:val="auto"/>
        </w:rPr>
      </w:pPr>
      <w:r>
        <w:rPr>
          <w:rFonts w:ascii="Arial" w:cs="Arial" w:eastAsia="Arial" w:hAnsi="Arial"/>
          <w:sz w:val="17"/>
          <w:szCs w:val="17"/>
          <w:color w:val="auto"/>
        </w:rPr>
        <w:t>On February 11, 2025, the Company commenced offers to exchange all the notes of TRC listed below for new notes issued by TR Finance in order to optimize the Thomson Reuters group capital structure, align revenue generation to indebtedness, and give existing holders of the existing notes the option to receive notes issued by TR Finance with the same financial terms and substantially similar covenants as the applicable series of the existing notes:</w:t>
      </w:r>
    </w:p>
    <w:p>
      <w:pPr>
        <w:spacing w:after="0" w:line="86" w:lineRule="exact"/>
        <w:rPr>
          <w:sz w:val="20"/>
          <w:szCs w:val="20"/>
          <w:color w:val="auto"/>
        </w:rPr>
      </w:pPr>
    </w:p>
    <w:p>
      <w:pPr>
        <w:ind w:left="640" w:hanging="422"/>
        <w:spacing w:after="0"/>
        <w:tabs>
          <w:tab w:leader="none" w:pos="640" w:val="left"/>
        </w:tabs>
        <w:numPr>
          <w:ilvl w:val="0"/>
          <w:numId w:val="149"/>
        </w:numPr>
        <w:rPr>
          <w:rFonts w:ascii="Arial" w:cs="Arial" w:eastAsia="Arial" w:hAnsi="Arial"/>
          <w:sz w:val="17"/>
          <w:szCs w:val="17"/>
          <w:color w:val="D64000"/>
        </w:rPr>
      </w:pPr>
      <w:r>
        <w:rPr>
          <w:rFonts w:ascii="Arial" w:cs="Arial" w:eastAsia="Arial" w:hAnsi="Arial"/>
          <w:sz w:val="17"/>
          <w:szCs w:val="17"/>
          <w:color w:val="auto"/>
        </w:rPr>
        <w:t>$500 million 3.35% Notes due 2026;</w:t>
      </w:r>
    </w:p>
    <w:p>
      <w:pPr>
        <w:spacing w:after="0" w:line="6" w:lineRule="exact"/>
        <w:rPr>
          <w:rFonts w:ascii="Arial" w:cs="Arial" w:eastAsia="Arial" w:hAnsi="Arial"/>
          <w:sz w:val="17"/>
          <w:szCs w:val="17"/>
          <w:color w:val="D64000"/>
        </w:rPr>
      </w:pPr>
    </w:p>
    <w:p>
      <w:pPr>
        <w:ind w:left="640" w:hanging="422"/>
        <w:spacing w:after="0" w:line="227" w:lineRule="auto"/>
        <w:tabs>
          <w:tab w:leader="none" w:pos="640" w:val="left"/>
        </w:tabs>
        <w:numPr>
          <w:ilvl w:val="0"/>
          <w:numId w:val="149"/>
        </w:numPr>
        <w:rPr>
          <w:rFonts w:ascii="Arial" w:cs="Arial" w:eastAsia="Arial" w:hAnsi="Arial"/>
          <w:sz w:val="17"/>
          <w:szCs w:val="17"/>
          <w:color w:val="D64000"/>
        </w:rPr>
      </w:pPr>
      <w:r>
        <w:rPr>
          <w:rFonts w:ascii="Arial" w:cs="Arial" w:eastAsia="Arial" w:hAnsi="Arial"/>
          <w:sz w:val="17"/>
          <w:szCs w:val="17"/>
          <w:color w:val="auto"/>
        </w:rPr>
        <w:t>$500 million 5.85% Notes due 2040;</w:t>
      </w:r>
    </w:p>
    <w:p>
      <w:pPr>
        <w:ind w:left="640" w:hanging="422"/>
        <w:spacing w:after="0" w:line="227" w:lineRule="auto"/>
        <w:tabs>
          <w:tab w:leader="none" w:pos="640" w:val="left"/>
        </w:tabs>
        <w:numPr>
          <w:ilvl w:val="0"/>
          <w:numId w:val="149"/>
        </w:numPr>
        <w:rPr>
          <w:rFonts w:ascii="Arial" w:cs="Arial" w:eastAsia="Arial" w:hAnsi="Arial"/>
          <w:sz w:val="17"/>
          <w:szCs w:val="17"/>
          <w:color w:val="D64000"/>
        </w:rPr>
      </w:pPr>
      <w:r>
        <w:rPr>
          <w:rFonts w:ascii="Arial" w:cs="Arial" w:eastAsia="Arial" w:hAnsi="Arial"/>
          <w:sz w:val="17"/>
          <w:szCs w:val="17"/>
          <w:color w:val="auto"/>
        </w:rPr>
        <w:t>$119 million 4.50% Notes due 2043;</w:t>
      </w:r>
    </w:p>
    <w:p>
      <w:pPr>
        <w:ind w:left="640" w:hanging="422"/>
        <w:spacing w:after="0" w:line="227" w:lineRule="auto"/>
        <w:tabs>
          <w:tab w:leader="none" w:pos="640" w:val="left"/>
        </w:tabs>
        <w:numPr>
          <w:ilvl w:val="0"/>
          <w:numId w:val="149"/>
        </w:numPr>
        <w:rPr>
          <w:rFonts w:ascii="Arial" w:cs="Arial" w:eastAsia="Arial" w:hAnsi="Arial"/>
          <w:sz w:val="17"/>
          <w:szCs w:val="17"/>
          <w:color w:val="D64000"/>
        </w:rPr>
      </w:pPr>
      <w:r>
        <w:rPr>
          <w:rFonts w:ascii="Arial" w:cs="Arial" w:eastAsia="Arial" w:hAnsi="Arial"/>
          <w:sz w:val="17"/>
          <w:szCs w:val="17"/>
          <w:color w:val="auto"/>
        </w:rPr>
        <w:t>$350 million 5.65% Notes due 2043; and</w:t>
      </w:r>
    </w:p>
    <w:p>
      <w:pPr>
        <w:ind w:left="640" w:hanging="422"/>
        <w:spacing w:after="0"/>
        <w:tabs>
          <w:tab w:leader="none" w:pos="640" w:val="left"/>
        </w:tabs>
        <w:numPr>
          <w:ilvl w:val="0"/>
          <w:numId w:val="149"/>
        </w:numPr>
        <w:rPr>
          <w:rFonts w:ascii="Arial" w:cs="Arial" w:eastAsia="Arial" w:hAnsi="Arial"/>
          <w:sz w:val="17"/>
          <w:szCs w:val="17"/>
          <w:color w:val="D64000"/>
        </w:rPr>
      </w:pPr>
      <w:r>
        <w:rPr>
          <w:rFonts w:ascii="Arial" w:cs="Arial" w:eastAsia="Arial" w:hAnsi="Arial"/>
          <w:sz w:val="17"/>
          <w:szCs w:val="17"/>
          <w:color w:val="auto"/>
        </w:rPr>
        <w:t>$400 million 5.50% Debentures due 2035.</w:t>
      </w:r>
    </w:p>
    <w:p>
      <w:pPr>
        <w:spacing w:after="0" w:line="80" w:lineRule="exact"/>
        <w:rPr>
          <w:sz w:val="20"/>
          <w:szCs w:val="20"/>
          <w:color w:val="auto"/>
        </w:rPr>
      </w:pPr>
    </w:p>
    <w:p>
      <w:pPr>
        <w:ind w:left="220" w:right="120"/>
        <w:spacing w:after="0" w:line="235" w:lineRule="auto"/>
        <w:rPr>
          <w:sz w:val="20"/>
          <w:szCs w:val="20"/>
          <w:color w:val="auto"/>
        </w:rPr>
      </w:pPr>
      <w:r>
        <w:rPr>
          <w:rFonts w:ascii="Arial" w:cs="Arial" w:eastAsia="Arial" w:hAnsi="Arial"/>
          <w:sz w:val="17"/>
          <w:szCs w:val="17"/>
          <w:color w:val="auto"/>
        </w:rPr>
        <w:t>The notes to be issued by TR Finance have the same interest rate, interest payment dates and maturity date, and the economic terms of the optional redemption provisions are the same, as the above notes of TRC. The new notes will be fully and unconditionally guaranteed as to payment of principal, premium (if any) and interest by TRC as well as West Publishing Corporation, Thomson Reuters Applications Inc. and Thomson Reuters (Tax &amp; Accounting) Inc., each of which is an indirect 100% owned U.S. subsidiary of TRC. In addition, on or about the settlement date of the exchange offers, the three U.S. subsidiary guarantors will also guarantee the remaining TRC notes on the same basis that TRC and the three U.S. subsidiary guarantors will guarantee the TR Finance notes upon closing of the exchange offers.</w:t>
      </w:r>
    </w:p>
    <w:p>
      <w:pPr>
        <w:spacing w:after="0" w:line="71" w:lineRule="exact"/>
        <w:rPr>
          <w:sz w:val="20"/>
          <w:szCs w:val="20"/>
          <w:color w:val="auto"/>
        </w:rPr>
      </w:pPr>
    </w:p>
    <w:p>
      <w:pPr>
        <w:ind w:left="220" w:right="20"/>
        <w:spacing w:after="0" w:line="235" w:lineRule="auto"/>
        <w:rPr>
          <w:sz w:val="20"/>
          <w:szCs w:val="20"/>
          <w:color w:val="auto"/>
        </w:rPr>
      </w:pPr>
      <w:r>
        <w:rPr>
          <w:rFonts w:ascii="Arial" w:cs="Arial" w:eastAsia="Arial" w:hAnsi="Arial"/>
          <w:sz w:val="17"/>
          <w:szCs w:val="17"/>
          <w:color w:val="auto"/>
        </w:rPr>
        <w:t>In connection with the exchange offers, the Company is also soliciting consents from holders of the TRC notes to amend the TRC indenture and the applicable supplemental indentures governing the TRC notes, including certain covenants and related definitions, to modify or eliminate certain reporting requirements, restrictive covenants and events of default. In order for these proposed amendments to be adopted with respect to a series of TRC notes, holders of not less than a majority of the aggregate principal amount of the outstanding TRC notes of that series must consent. By tendering TRC notes for exchange pursuant to the exchange offers, holders will be deemed to have validly delivered their consent to the proposed amendments with respect to that specific series.</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exchange offers commenced on February 11, 2025 and will expire on March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108585</wp:posOffset>
            </wp:positionV>
            <wp:extent cx="686562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82"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140</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NYSE listing transferred to Nasdaq</w:t>
      </w:r>
    </w:p>
    <w:p>
      <w:pPr>
        <w:spacing w:after="0" w:line="6" w:lineRule="exact"/>
        <w:rPr>
          <w:sz w:val="20"/>
          <w:szCs w:val="20"/>
          <w:color w:val="auto"/>
        </w:rPr>
      </w:pPr>
    </w:p>
    <w:p>
      <w:pPr>
        <w:jc w:val="both"/>
        <w:ind w:left="220" w:right="180"/>
        <w:spacing w:after="0" w:line="236" w:lineRule="auto"/>
        <w:rPr>
          <w:sz w:val="20"/>
          <w:szCs w:val="20"/>
          <w:color w:val="auto"/>
        </w:rPr>
      </w:pPr>
      <w:r>
        <w:rPr>
          <w:rFonts w:ascii="Arial" w:cs="Arial" w:eastAsia="Arial" w:hAnsi="Arial"/>
          <w:sz w:val="17"/>
          <w:szCs w:val="17"/>
          <w:color w:val="auto"/>
        </w:rPr>
        <w:t>In February 2025, the Company announced that it voluntarily transferred its U.S. stock exchange listing to the Nasdaq from the NYSE effective February 25, 2025. The Company continues to trade under the symbol “TRI”. The Company ceased trading on the NYSE effective February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92075</wp:posOffset>
            </wp:positionV>
            <wp:extent cx="686562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6" w:lineRule="exact"/>
        <w:rPr>
          <w:sz w:val="20"/>
          <w:szCs w:val="20"/>
          <w:color w:val="auto"/>
        </w:rPr>
      </w:pPr>
    </w:p>
    <w:p>
      <w:pPr>
        <w:ind w:left="220"/>
        <w:spacing w:after="0"/>
        <w:tabs>
          <w:tab w:leader="none" w:pos="1030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6"/>
          <w:szCs w:val="16"/>
          <w:color w:val="auto"/>
        </w:rPr>
        <w:t>Page 141</w:t>
      </w:r>
    </w:p>
    <w:p>
      <w:pPr>
        <w:sectPr>
          <w:pgSz w:w="11900" w:h="16838" w:orient="portrait"/>
          <w:cols w:equalWidth="0" w:num="1">
            <w:col w:w="11040"/>
          </w:cols>
          <w:pgMar w:left="320" w:top="477" w:right="5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46"/>
          <w:szCs w:val="46"/>
          <w:color w:val="D64000"/>
        </w:rPr>
        <w:t>Governance</w:t>
      </w:r>
    </w:p>
    <w:p>
      <w:pPr>
        <w:spacing w:after="0" w:line="334"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Executive Officers</w:t>
      </w:r>
    </w:p>
    <w:p>
      <w:pPr>
        <w:spacing w:after="0" w:line="4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individuals are our executive officers as of March 5, 2025.</w:t>
      </w:r>
    </w:p>
    <w:p>
      <w:pPr>
        <w:spacing w:after="0" w:line="200" w:lineRule="exact"/>
        <w:rPr>
          <w:sz w:val="20"/>
          <w:szCs w:val="20"/>
          <w:color w:val="auto"/>
        </w:rPr>
      </w:pP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316"/>
        </w:trPr>
        <w:tc>
          <w:tcPr>
            <w:tcW w:w="1940" w:type="dxa"/>
            <w:vAlign w:val="bottom"/>
            <w:tcBorders>
              <w:bottom w:val="single" w:sz="8" w:color="262626"/>
            </w:tcBorders>
            <w:shd w:val="clear" w:color="auto" w:fill="262626"/>
          </w:tcPr>
          <w:p>
            <w:pPr>
              <w:spacing w:after="0"/>
              <w:rPr>
                <w:sz w:val="20"/>
                <w:szCs w:val="20"/>
                <w:color w:val="auto"/>
              </w:rPr>
            </w:pPr>
            <w:r>
              <w:rPr>
                <w:rFonts w:ascii="Arial" w:cs="Arial" w:eastAsia="Arial" w:hAnsi="Arial"/>
                <w:sz w:val="16"/>
                <w:szCs w:val="16"/>
                <w:b w:val="1"/>
                <w:bCs w:val="1"/>
                <w:color w:val="FFFFFF"/>
              </w:rPr>
              <w:t>  Name</w:t>
            </w:r>
          </w:p>
        </w:tc>
        <w:tc>
          <w:tcPr>
            <w:tcW w:w="1140" w:type="dxa"/>
            <w:vAlign w:val="bottom"/>
            <w:tcBorders>
              <w:bottom w:val="single" w:sz="8" w:color="262626"/>
            </w:tcBorders>
            <w:shd w:val="clear" w:color="auto" w:fill="262626"/>
          </w:tcPr>
          <w:p>
            <w:pPr>
              <w:jc w:val="center"/>
              <w:ind w:left="401"/>
              <w:spacing w:after="0"/>
              <w:rPr>
                <w:sz w:val="20"/>
                <w:szCs w:val="20"/>
                <w:color w:val="auto"/>
              </w:rPr>
            </w:pPr>
            <w:r>
              <w:rPr>
                <w:rFonts w:ascii="Arial" w:cs="Arial" w:eastAsia="Arial" w:hAnsi="Arial"/>
                <w:sz w:val="16"/>
                <w:szCs w:val="16"/>
                <w:b w:val="1"/>
                <w:bCs w:val="1"/>
                <w:color w:val="FFFFFF"/>
                <w:w w:val="99"/>
              </w:rPr>
              <w:t>Age</w:t>
            </w:r>
          </w:p>
        </w:tc>
        <w:tc>
          <w:tcPr>
            <w:tcW w:w="7720" w:type="dxa"/>
            <w:vAlign w:val="bottom"/>
            <w:tcBorders>
              <w:bottom w:val="single" w:sz="8" w:color="262626"/>
            </w:tcBorders>
            <w:shd w:val="clear" w:color="auto" w:fill="262626"/>
          </w:tcPr>
          <w:p>
            <w:pPr>
              <w:ind w:left="160"/>
              <w:spacing w:after="0"/>
              <w:rPr>
                <w:sz w:val="20"/>
                <w:szCs w:val="20"/>
                <w:color w:val="auto"/>
              </w:rPr>
            </w:pPr>
            <w:r>
              <w:rPr>
                <w:rFonts w:ascii="Arial" w:cs="Arial" w:eastAsia="Arial" w:hAnsi="Arial"/>
                <w:sz w:val="16"/>
                <w:szCs w:val="16"/>
                <w:b w:val="1"/>
                <w:bCs w:val="1"/>
                <w:color w:val="FFFFFF"/>
              </w:rPr>
              <w:t>Title</w:t>
            </w:r>
          </w:p>
        </w:tc>
      </w:tr>
      <w:tr>
        <w:trPr>
          <w:trHeight w:val="257"/>
        </w:trPr>
        <w:tc>
          <w:tcPr>
            <w:tcW w:w="1940" w:type="dxa"/>
            <w:vAlign w:val="bottom"/>
            <w:tcBorders>
              <w:top w:val="single" w:sz="8" w:color="D64000"/>
            </w:tcBorders>
          </w:tcPr>
          <w:p>
            <w:pPr>
              <w:spacing w:after="0"/>
              <w:rPr>
                <w:sz w:val="20"/>
                <w:szCs w:val="20"/>
                <w:color w:val="auto"/>
              </w:rPr>
            </w:pPr>
            <w:r>
              <w:rPr>
                <w:rFonts w:ascii="Arial" w:cs="Arial" w:eastAsia="Arial" w:hAnsi="Arial"/>
                <w:sz w:val="16"/>
                <w:szCs w:val="16"/>
                <w:b w:val="1"/>
                <w:bCs w:val="1"/>
                <w:color w:val="auto"/>
              </w:rPr>
              <w:t>Steve Hasker</w:t>
            </w:r>
          </w:p>
        </w:tc>
        <w:tc>
          <w:tcPr>
            <w:tcW w:w="1140" w:type="dxa"/>
            <w:vAlign w:val="bottom"/>
            <w:tcBorders>
              <w:top w:val="single" w:sz="8" w:color="D64000"/>
            </w:tcBorders>
          </w:tcPr>
          <w:p>
            <w:pPr>
              <w:jc w:val="center"/>
              <w:ind w:left="401"/>
              <w:spacing w:after="0"/>
              <w:rPr>
                <w:sz w:val="20"/>
                <w:szCs w:val="20"/>
                <w:color w:val="auto"/>
              </w:rPr>
            </w:pPr>
            <w:r>
              <w:rPr>
                <w:rFonts w:ascii="Arial" w:cs="Arial" w:eastAsia="Arial" w:hAnsi="Arial"/>
                <w:sz w:val="16"/>
                <w:szCs w:val="16"/>
                <w:color w:val="auto"/>
              </w:rPr>
              <w:t>55</w:t>
            </w:r>
          </w:p>
        </w:tc>
        <w:tc>
          <w:tcPr>
            <w:tcW w:w="7720" w:type="dxa"/>
            <w:vAlign w:val="bottom"/>
            <w:tcBorders>
              <w:top w:val="single" w:sz="8" w:color="D64000"/>
            </w:tcBorders>
          </w:tcPr>
          <w:p>
            <w:pPr>
              <w:ind w:left="160"/>
              <w:spacing w:after="0"/>
              <w:rPr>
                <w:sz w:val="20"/>
                <w:szCs w:val="20"/>
                <w:color w:val="auto"/>
              </w:rPr>
            </w:pPr>
            <w:r>
              <w:rPr>
                <w:rFonts w:ascii="Arial" w:cs="Arial" w:eastAsia="Arial" w:hAnsi="Arial"/>
                <w:sz w:val="16"/>
                <w:szCs w:val="16"/>
                <w:color w:val="auto"/>
              </w:rPr>
              <w:t>President &amp; Chief Executive Officer</w:t>
            </w:r>
          </w:p>
        </w:tc>
      </w:tr>
      <w:tr>
        <w:trPr>
          <w:trHeight w:val="35"/>
        </w:trPr>
        <w:tc>
          <w:tcPr>
            <w:tcW w:w="1940" w:type="dxa"/>
            <w:vAlign w:val="bottom"/>
            <w:tcBorders>
              <w:bottom w:val="single" w:sz="8" w:color="B2B2B2"/>
            </w:tcBorders>
          </w:tcPr>
          <w:p>
            <w:pPr>
              <w:spacing w:after="0"/>
              <w:rPr>
                <w:sz w:val="3"/>
                <w:szCs w:val="3"/>
                <w:color w:val="auto"/>
              </w:rPr>
            </w:pPr>
          </w:p>
        </w:tc>
        <w:tc>
          <w:tcPr>
            <w:tcW w:w="1140" w:type="dxa"/>
            <w:vAlign w:val="bottom"/>
            <w:tcBorders>
              <w:bottom w:val="single" w:sz="8" w:color="B2B2B2"/>
            </w:tcBorders>
          </w:tcPr>
          <w:p>
            <w:pPr>
              <w:spacing w:after="0"/>
              <w:rPr>
                <w:sz w:val="3"/>
                <w:szCs w:val="3"/>
                <w:color w:val="auto"/>
              </w:rPr>
            </w:pPr>
          </w:p>
        </w:tc>
        <w:tc>
          <w:tcPr>
            <w:tcW w:w="7720" w:type="dxa"/>
            <w:vAlign w:val="bottom"/>
            <w:tcBorders>
              <w:bottom w:val="single" w:sz="8" w:color="B2B2B2"/>
            </w:tcBorders>
          </w:tcPr>
          <w:p>
            <w:pPr>
              <w:spacing w:after="0"/>
              <w:rPr>
                <w:sz w:val="3"/>
                <w:szCs w:val="3"/>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6"/>
                <w:szCs w:val="16"/>
                <w:b w:val="1"/>
                <w:bCs w:val="1"/>
                <w:color w:val="auto"/>
              </w:rPr>
              <w:t>Michael Eastwood</w:t>
            </w:r>
          </w:p>
        </w:tc>
        <w:tc>
          <w:tcPr>
            <w:tcW w:w="1140" w:type="dxa"/>
            <w:vAlign w:val="bottom"/>
          </w:tcPr>
          <w:p>
            <w:pPr>
              <w:jc w:val="center"/>
              <w:ind w:left="401"/>
              <w:spacing w:after="0"/>
              <w:rPr>
                <w:sz w:val="20"/>
                <w:szCs w:val="20"/>
                <w:color w:val="auto"/>
              </w:rPr>
            </w:pPr>
            <w:r>
              <w:rPr>
                <w:rFonts w:ascii="Arial" w:cs="Arial" w:eastAsia="Arial" w:hAnsi="Arial"/>
                <w:sz w:val="16"/>
                <w:szCs w:val="16"/>
                <w:color w:val="auto"/>
              </w:rPr>
              <w:t>58</w:t>
            </w:r>
          </w:p>
        </w:tc>
        <w:tc>
          <w:tcPr>
            <w:tcW w:w="7720" w:type="dxa"/>
            <w:vAlign w:val="bottom"/>
          </w:tcPr>
          <w:p>
            <w:pPr>
              <w:ind w:left="160"/>
              <w:spacing w:after="0"/>
              <w:rPr>
                <w:sz w:val="20"/>
                <w:szCs w:val="20"/>
                <w:color w:val="auto"/>
              </w:rPr>
            </w:pPr>
            <w:r>
              <w:rPr>
                <w:rFonts w:ascii="Arial" w:cs="Arial" w:eastAsia="Arial" w:hAnsi="Arial"/>
                <w:sz w:val="16"/>
                <w:szCs w:val="16"/>
                <w:color w:val="auto"/>
              </w:rPr>
              <w:t>Chief Financial Officer</w:t>
            </w:r>
          </w:p>
        </w:tc>
      </w:tr>
      <w:tr>
        <w:trPr>
          <w:trHeight w:val="35"/>
        </w:trPr>
        <w:tc>
          <w:tcPr>
            <w:tcW w:w="1940" w:type="dxa"/>
            <w:vAlign w:val="bottom"/>
            <w:tcBorders>
              <w:bottom w:val="single" w:sz="8" w:color="B2B2B2"/>
            </w:tcBorders>
          </w:tcPr>
          <w:p>
            <w:pPr>
              <w:spacing w:after="0"/>
              <w:rPr>
                <w:sz w:val="3"/>
                <w:szCs w:val="3"/>
                <w:color w:val="auto"/>
              </w:rPr>
            </w:pPr>
          </w:p>
        </w:tc>
        <w:tc>
          <w:tcPr>
            <w:tcW w:w="1140" w:type="dxa"/>
            <w:vAlign w:val="bottom"/>
            <w:tcBorders>
              <w:bottom w:val="single" w:sz="8" w:color="B2B2B2"/>
            </w:tcBorders>
          </w:tcPr>
          <w:p>
            <w:pPr>
              <w:spacing w:after="0"/>
              <w:rPr>
                <w:sz w:val="3"/>
                <w:szCs w:val="3"/>
                <w:color w:val="auto"/>
              </w:rPr>
            </w:pPr>
          </w:p>
        </w:tc>
        <w:tc>
          <w:tcPr>
            <w:tcW w:w="7720" w:type="dxa"/>
            <w:vAlign w:val="bottom"/>
            <w:tcBorders>
              <w:bottom w:val="single" w:sz="8" w:color="B2B2B2"/>
            </w:tcBorders>
          </w:tcPr>
          <w:p>
            <w:pPr>
              <w:spacing w:after="0"/>
              <w:rPr>
                <w:sz w:val="3"/>
                <w:szCs w:val="3"/>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6"/>
                <w:szCs w:val="16"/>
                <w:b w:val="1"/>
                <w:bCs w:val="1"/>
                <w:color w:val="auto"/>
              </w:rPr>
              <w:t>Kirsty Roth</w:t>
            </w:r>
          </w:p>
        </w:tc>
        <w:tc>
          <w:tcPr>
            <w:tcW w:w="1140" w:type="dxa"/>
            <w:vAlign w:val="bottom"/>
          </w:tcPr>
          <w:p>
            <w:pPr>
              <w:jc w:val="center"/>
              <w:ind w:left="401"/>
              <w:spacing w:after="0"/>
              <w:rPr>
                <w:sz w:val="20"/>
                <w:szCs w:val="20"/>
                <w:color w:val="auto"/>
              </w:rPr>
            </w:pPr>
            <w:r>
              <w:rPr>
                <w:rFonts w:ascii="Arial" w:cs="Arial" w:eastAsia="Arial" w:hAnsi="Arial"/>
                <w:sz w:val="16"/>
                <w:szCs w:val="16"/>
                <w:color w:val="auto"/>
              </w:rPr>
              <w:t>49</w:t>
            </w:r>
          </w:p>
        </w:tc>
        <w:tc>
          <w:tcPr>
            <w:tcW w:w="7720" w:type="dxa"/>
            <w:vAlign w:val="bottom"/>
          </w:tcPr>
          <w:p>
            <w:pPr>
              <w:ind w:left="160"/>
              <w:spacing w:after="0"/>
              <w:rPr>
                <w:sz w:val="20"/>
                <w:szCs w:val="20"/>
                <w:color w:val="auto"/>
              </w:rPr>
            </w:pPr>
            <w:r>
              <w:rPr>
                <w:rFonts w:ascii="Arial" w:cs="Arial" w:eastAsia="Arial" w:hAnsi="Arial"/>
                <w:sz w:val="16"/>
                <w:szCs w:val="16"/>
                <w:color w:val="auto"/>
              </w:rPr>
              <w:t>Chief Operations &amp; Technology Officer</w:t>
            </w:r>
          </w:p>
        </w:tc>
      </w:tr>
      <w:tr>
        <w:trPr>
          <w:trHeight w:val="35"/>
        </w:trPr>
        <w:tc>
          <w:tcPr>
            <w:tcW w:w="1940" w:type="dxa"/>
            <w:vAlign w:val="bottom"/>
            <w:tcBorders>
              <w:bottom w:val="single" w:sz="8" w:color="B2B2B2"/>
            </w:tcBorders>
          </w:tcPr>
          <w:p>
            <w:pPr>
              <w:spacing w:after="0"/>
              <w:rPr>
                <w:sz w:val="3"/>
                <w:szCs w:val="3"/>
                <w:color w:val="auto"/>
              </w:rPr>
            </w:pPr>
          </w:p>
        </w:tc>
        <w:tc>
          <w:tcPr>
            <w:tcW w:w="1140" w:type="dxa"/>
            <w:vAlign w:val="bottom"/>
            <w:tcBorders>
              <w:bottom w:val="single" w:sz="8" w:color="B2B2B2"/>
            </w:tcBorders>
          </w:tcPr>
          <w:p>
            <w:pPr>
              <w:spacing w:after="0"/>
              <w:rPr>
                <w:sz w:val="3"/>
                <w:szCs w:val="3"/>
                <w:color w:val="auto"/>
              </w:rPr>
            </w:pPr>
          </w:p>
        </w:tc>
        <w:tc>
          <w:tcPr>
            <w:tcW w:w="7720" w:type="dxa"/>
            <w:vAlign w:val="bottom"/>
            <w:tcBorders>
              <w:bottom w:val="single" w:sz="8" w:color="B2B2B2"/>
            </w:tcBorders>
          </w:tcPr>
          <w:p>
            <w:pPr>
              <w:spacing w:after="0"/>
              <w:rPr>
                <w:sz w:val="3"/>
                <w:szCs w:val="3"/>
                <w:color w:val="auto"/>
              </w:rPr>
            </w:pPr>
          </w:p>
        </w:tc>
      </w:tr>
      <w:tr>
        <w:trPr>
          <w:trHeight w:val="285"/>
        </w:trPr>
        <w:tc>
          <w:tcPr>
            <w:tcW w:w="1940" w:type="dxa"/>
            <w:vAlign w:val="bottom"/>
            <w:tcBorders>
              <w:bottom w:val="single" w:sz="8" w:color="B2B2B2"/>
            </w:tcBorders>
          </w:tcPr>
          <w:p>
            <w:pPr>
              <w:spacing w:after="0"/>
              <w:rPr>
                <w:sz w:val="20"/>
                <w:szCs w:val="20"/>
                <w:color w:val="auto"/>
              </w:rPr>
            </w:pPr>
            <w:r>
              <w:rPr>
                <w:rFonts w:ascii="Arial" w:cs="Arial" w:eastAsia="Arial" w:hAnsi="Arial"/>
                <w:sz w:val="16"/>
                <w:szCs w:val="16"/>
                <w:b w:val="1"/>
                <w:bCs w:val="1"/>
                <w:color w:val="auto"/>
              </w:rPr>
              <w:t>David Wong</w:t>
            </w:r>
          </w:p>
        </w:tc>
        <w:tc>
          <w:tcPr>
            <w:tcW w:w="1140" w:type="dxa"/>
            <w:vAlign w:val="bottom"/>
            <w:tcBorders>
              <w:bottom w:val="single" w:sz="8" w:color="B2B2B2"/>
            </w:tcBorders>
          </w:tcPr>
          <w:p>
            <w:pPr>
              <w:jc w:val="center"/>
              <w:ind w:left="401"/>
              <w:spacing w:after="0"/>
              <w:rPr>
                <w:sz w:val="20"/>
                <w:szCs w:val="20"/>
                <w:color w:val="auto"/>
              </w:rPr>
            </w:pPr>
            <w:r>
              <w:rPr>
                <w:rFonts w:ascii="Arial" w:cs="Arial" w:eastAsia="Arial" w:hAnsi="Arial"/>
                <w:sz w:val="16"/>
                <w:szCs w:val="16"/>
                <w:color w:val="auto"/>
              </w:rPr>
              <w:t>40</w:t>
            </w:r>
          </w:p>
        </w:tc>
        <w:tc>
          <w:tcPr>
            <w:tcW w:w="7720" w:type="dxa"/>
            <w:vAlign w:val="bottom"/>
            <w:tcBorders>
              <w:bottom w:val="single" w:sz="8" w:color="B2B2B2"/>
            </w:tcBorders>
          </w:tcPr>
          <w:p>
            <w:pPr>
              <w:ind w:left="160"/>
              <w:spacing w:after="0"/>
              <w:rPr>
                <w:sz w:val="20"/>
                <w:szCs w:val="20"/>
                <w:color w:val="auto"/>
              </w:rPr>
            </w:pPr>
            <w:r>
              <w:rPr>
                <w:rFonts w:ascii="Arial" w:cs="Arial" w:eastAsia="Arial" w:hAnsi="Arial"/>
                <w:sz w:val="16"/>
                <w:szCs w:val="16"/>
                <w:color w:val="auto"/>
              </w:rPr>
              <w:t>Chief Product Officer</w:t>
            </w:r>
          </w:p>
        </w:tc>
      </w:tr>
      <w:tr>
        <w:trPr>
          <w:trHeight w:val="250"/>
        </w:trPr>
        <w:tc>
          <w:tcPr>
            <w:tcW w:w="1940" w:type="dxa"/>
            <w:vAlign w:val="bottom"/>
          </w:tcPr>
          <w:p>
            <w:pPr>
              <w:spacing w:after="0"/>
              <w:rPr>
                <w:sz w:val="20"/>
                <w:szCs w:val="20"/>
                <w:color w:val="auto"/>
              </w:rPr>
            </w:pPr>
            <w:r>
              <w:rPr>
                <w:rFonts w:ascii="Arial" w:cs="Arial" w:eastAsia="Arial" w:hAnsi="Arial"/>
                <w:sz w:val="16"/>
                <w:szCs w:val="16"/>
                <w:b w:val="1"/>
                <w:bCs w:val="1"/>
                <w:color w:val="auto"/>
              </w:rPr>
              <w:t>Ragunath Ramanathan</w:t>
            </w:r>
          </w:p>
        </w:tc>
        <w:tc>
          <w:tcPr>
            <w:tcW w:w="1140" w:type="dxa"/>
            <w:vAlign w:val="bottom"/>
          </w:tcPr>
          <w:p>
            <w:pPr>
              <w:jc w:val="center"/>
              <w:ind w:left="401"/>
              <w:spacing w:after="0"/>
              <w:rPr>
                <w:sz w:val="20"/>
                <w:szCs w:val="20"/>
                <w:color w:val="auto"/>
              </w:rPr>
            </w:pPr>
            <w:r>
              <w:rPr>
                <w:rFonts w:ascii="Arial" w:cs="Arial" w:eastAsia="Arial" w:hAnsi="Arial"/>
                <w:sz w:val="16"/>
                <w:szCs w:val="16"/>
                <w:color w:val="auto"/>
              </w:rPr>
              <w:t>53</w:t>
            </w:r>
          </w:p>
        </w:tc>
        <w:tc>
          <w:tcPr>
            <w:tcW w:w="7720" w:type="dxa"/>
            <w:vAlign w:val="bottom"/>
          </w:tcPr>
          <w:p>
            <w:pPr>
              <w:ind w:left="160"/>
              <w:spacing w:after="0"/>
              <w:rPr>
                <w:sz w:val="20"/>
                <w:szCs w:val="20"/>
                <w:color w:val="auto"/>
              </w:rPr>
            </w:pPr>
            <w:r>
              <w:rPr>
                <w:rFonts w:ascii="Arial" w:cs="Arial" w:eastAsia="Arial" w:hAnsi="Arial"/>
                <w:sz w:val="16"/>
                <w:szCs w:val="16"/>
                <w:color w:val="auto"/>
              </w:rPr>
              <w:t>President, Legal Professionals</w:t>
            </w:r>
          </w:p>
        </w:tc>
      </w:tr>
      <w:tr>
        <w:trPr>
          <w:trHeight w:val="35"/>
        </w:trPr>
        <w:tc>
          <w:tcPr>
            <w:tcW w:w="1940" w:type="dxa"/>
            <w:vAlign w:val="bottom"/>
            <w:tcBorders>
              <w:bottom w:val="single" w:sz="8" w:color="B2B2B2"/>
            </w:tcBorders>
          </w:tcPr>
          <w:p>
            <w:pPr>
              <w:spacing w:after="0"/>
              <w:rPr>
                <w:sz w:val="3"/>
                <w:szCs w:val="3"/>
                <w:color w:val="auto"/>
              </w:rPr>
            </w:pPr>
          </w:p>
        </w:tc>
        <w:tc>
          <w:tcPr>
            <w:tcW w:w="1140" w:type="dxa"/>
            <w:vAlign w:val="bottom"/>
            <w:tcBorders>
              <w:bottom w:val="single" w:sz="8" w:color="B2B2B2"/>
            </w:tcBorders>
          </w:tcPr>
          <w:p>
            <w:pPr>
              <w:spacing w:after="0"/>
              <w:rPr>
                <w:sz w:val="3"/>
                <w:szCs w:val="3"/>
                <w:color w:val="auto"/>
              </w:rPr>
            </w:pPr>
          </w:p>
        </w:tc>
        <w:tc>
          <w:tcPr>
            <w:tcW w:w="7720" w:type="dxa"/>
            <w:vAlign w:val="bottom"/>
            <w:tcBorders>
              <w:bottom w:val="single" w:sz="8" w:color="B2B2B2"/>
            </w:tcBorders>
          </w:tcPr>
          <w:p>
            <w:pPr>
              <w:spacing w:after="0"/>
              <w:rPr>
                <w:sz w:val="3"/>
                <w:szCs w:val="3"/>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6"/>
                <w:szCs w:val="16"/>
                <w:b w:val="1"/>
                <w:bCs w:val="1"/>
                <w:color w:val="auto"/>
              </w:rPr>
              <w:t>Elizabeth Beastrom</w:t>
            </w:r>
          </w:p>
        </w:tc>
        <w:tc>
          <w:tcPr>
            <w:tcW w:w="1140" w:type="dxa"/>
            <w:vAlign w:val="bottom"/>
          </w:tcPr>
          <w:p>
            <w:pPr>
              <w:jc w:val="center"/>
              <w:ind w:left="401"/>
              <w:spacing w:after="0"/>
              <w:rPr>
                <w:sz w:val="20"/>
                <w:szCs w:val="20"/>
                <w:color w:val="auto"/>
              </w:rPr>
            </w:pPr>
            <w:r>
              <w:rPr>
                <w:rFonts w:ascii="Arial" w:cs="Arial" w:eastAsia="Arial" w:hAnsi="Arial"/>
                <w:sz w:val="16"/>
                <w:szCs w:val="16"/>
                <w:color w:val="auto"/>
              </w:rPr>
              <w:t>57</w:t>
            </w:r>
          </w:p>
        </w:tc>
        <w:tc>
          <w:tcPr>
            <w:tcW w:w="7720" w:type="dxa"/>
            <w:vAlign w:val="bottom"/>
          </w:tcPr>
          <w:p>
            <w:pPr>
              <w:ind w:left="160"/>
              <w:spacing w:after="0"/>
              <w:rPr>
                <w:sz w:val="20"/>
                <w:szCs w:val="20"/>
                <w:color w:val="auto"/>
              </w:rPr>
            </w:pPr>
            <w:r>
              <w:rPr>
                <w:rFonts w:ascii="Arial" w:cs="Arial" w:eastAsia="Arial" w:hAnsi="Arial"/>
                <w:sz w:val="16"/>
                <w:szCs w:val="16"/>
                <w:color w:val="auto"/>
              </w:rPr>
              <w:t>President, Tax &amp; Accounting Professionals</w:t>
            </w:r>
          </w:p>
        </w:tc>
      </w:tr>
      <w:tr>
        <w:trPr>
          <w:trHeight w:val="35"/>
        </w:trPr>
        <w:tc>
          <w:tcPr>
            <w:tcW w:w="1940" w:type="dxa"/>
            <w:vAlign w:val="bottom"/>
            <w:tcBorders>
              <w:bottom w:val="single" w:sz="8" w:color="B2B2B2"/>
            </w:tcBorders>
          </w:tcPr>
          <w:p>
            <w:pPr>
              <w:spacing w:after="0"/>
              <w:rPr>
                <w:sz w:val="3"/>
                <w:szCs w:val="3"/>
                <w:color w:val="auto"/>
              </w:rPr>
            </w:pPr>
          </w:p>
        </w:tc>
        <w:tc>
          <w:tcPr>
            <w:tcW w:w="1140" w:type="dxa"/>
            <w:vAlign w:val="bottom"/>
            <w:tcBorders>
              <w:bottom w:val="single" w:sz="8" w:color="B2B2B2"/>
            </w:tcBorders>
          </w:tcPr>
          <w:p>
            <w:pPr>
              <w:spacing w:after="0"/>
              <w:rPr>
                <w:sz w:val="3"/>
                <w:szCs w:val="3"/>
                <w:color w:val="auto"/>
              </w:rPr>
            </w:pPr>
          </w:p>
        </w:tc>
        <w:tc>
          <w:tcPr>
            <w:tcW w:w="7720" w:type="dxa"/>
            <w:vAlign w:val="bottom"/>
            <w:tcBorders>
              <w:bottom w:val="single" w:sz="8" w:color="B2B2B2"/>
            </w:tcBorders>
          </w:tcPr>
          <w:p>
            <w:pPr>
              <w:spacing w:after="0"/>
              <w:rPr>
                <w:sz w:val="3"/>
                <w:szCs w:val="3"/>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6"/>
                <w:szCs w:val="16"/>
                <w:b w:val="1"/>
                <w:bCs w:val="1"/>
                <w:color w:val="auto"/>
              </w:rPr>
              <w:t>Laura A. Clayton</w:t>
            </w:r>
          </w:p>
        </w:tc>
        <w:tc>
          <w:tcPr>
            <w:tcW w:w="1140" w:type="dxa"/>
            <w:vAlign w:val="bottom"/>
          </w:tcPr>
          <w:p>
            <w:pPr>
              <w:jc w:val="center"/>
              <w:ind w:left="401"/>
              <w:spacing w:after="0"/>
              <w:rPr>
                <w:sz w:val="20"/>
                <w:szCs w:val="20"/>
                <w:color w:val="auto"/>
              </w:rPr>
            </w:pPr>
            <w:r>
              <w:rPr>
                <w:rFonts w:ascii="Arial" w:cs="Arial" w:eastAsia="Arial" w:hAnsi="Arial"/>
                <w:sz w:val="16"/>
                <w:szCs w:val="16"/>
                <w:color w:val="auto"/>
              </w:rPr>
              <w:t>64</w:t>
            </w:r>
          </w:p>
        </w:tc>
        <w:tc>
          <w:tcPr>
            <w:tcW w:w="7720" w:type="dxa"/>
            <w:vAlign w:val="bottom"/>
          </w:tcPr>
          <w:p>
            <w:pPr>
              <w:ind w:left="160"/>
              <w:spacing w:after="0"/>
              <w:rPr>
                <w:sz w:val="20"/>
                <w:szCs w:val="20"/>
                <w:color w:val="auto"/>
              </w:rPr>
            </w:pPr>
            <w:r>
              <w:rPr>
                <w:rFonts w:ascii="Arial" w:cs="Arial" w:eastAsia="Arial" w:hAnsi="Arial"/>
                <w:sz w:val="16"/>
                <w:szCs w:val="16"/>
                <w:color w:val="auto"/>
              </w:rPr>
              <w:t>President, Corporates</w:t>
            </w:r>
          </w:p>
        </w:tc>
      </w:tr>
      <w:tr>
        <w:trPr>
          <w:trHeight w:val="35"/>
        </w:trPr>
        <w:tc>
          <w:tcPr>
            <w:tcW w:w="1940" w:type="dxa"/>
            <w:vAlign w:val="bottom"/>
            <w:tcBorders>
              <w:bottom w:val="single" w:sz="8" w:color="B2B2B2"/>
            </w:tcBorders>
          </w:tcPr>
          <w:p>
            <w:pPr>
              <w:spacing w:after="0"/>
              <w:rPr>
                <w:sz w:val="3"/>
                <w:szCs w:val="3"/>
                <w:color w:val="auto"/>
              </w:rPr>
            </w:pPr>
          </w:p>
        </w:tc>
        <w:tc>
          <w:tcPr>
            <w:tcW w:w="1140" w:type="dxa"/>
            <w:vAlign w:val="bottom"/>
            <w:tcBorders>
              <w:bottom w:val="single" w:sz="8" w:color="B2B2B2"/>
            </w:tcBorders>
          </w:tcPr>
          <w:p>
            <w:pPr>
              <w:spacing w:after="0"/>
              <w:rPr>
                <w:sz w:val="3"/>
                <w:szCs w:val="3"/>
                <w:color w:val="auto"/>
              </w:rPr>
            </w:pPr>
          </w:p>
        </w:tc>
        <w:tc>
          <w:tcPr>
            <w:tcW w:w="7720" w:type="dxa"/>
            <w:vAlign w:val="bottom"/>
            <w:tcBorders>
              <w:bottom w:val="single" w:sz="8" w:color="B2B2B2"/>
            </w:tcBorders>
          </w:tcPr>
          <w:p>
            <w:pPr>
              <w:spacing w:after="0"/>
              <w:rPr>
                <w:sz w:val="3"/>
                <w:szCs w:val="3"/>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6"/>
                <w:szCs w:val="16"/>
                <w:b w:val="1"/>
                <w:bCs w:val="1"/>
                <w:color w:val="auto"/>
              </w:rPr>
              <w:t>Paul Bascobert</w:t>
            </w:r>
          </w:p>
        </w:tc>
        <w:tc>
          <w:tcPr>
            <w:tcW w:w="1140" w:type="dxa"/>
            <w:vAlign w:val="bottom"/>
          </w:tcPr>
          <w:p>
            <w:pPr>
              <w:jc w:val="center"/>
              <w:ind w:left="401"/>
              <w:spacing w:after="0"/>
              <w:rPr>
                <w:sz w:val="20"/>
                <w:szCs w:val="20"/>
                <w:color w:val="auto"/>
              </w:rPr>
            </w:pPr>
            <w:r>
              <w:rPr>
                <w:rFonts w:ascii="Arial" w:cs="Arial" w:eastAsia="Arial" w:hAnsi="Arial"/>
                <w:sz w:val="16"/>
                <w:szCs w:val="16"/>
                <w:color w:val="auto"/>
              </w:rPr>
              <w:t>60</w:t>
            </w:r>
          </w:p>
        </w:tc>
        <w:tc>
          <w:tcPr>
            <w:tcW w:w="7720" w:type="dxa"/>
            <w:vAlign w:val="bottom"/>
          </w:tcPr>
          <w:p>
            <w:pPr>
              <w:ind w:left="160"/>
              <w:spacing w:after="0"/>
              <w:rPr>
                <w:sz w:val="20"/>
                <w:szCs w:val="20"/>
                <w:color w:val="auto"/>
              </w:rPr>
            </w:pPr>
            <w:r>
              <w:rPr>
                <w:rFonts w:ascii="Arial" w:cs="Arial" w:eastAsia="Arial" w:hAnsi="Arial"/>
                <w:sz w:val="16"/>
                <w:szCs w:val="16"/>
                <w:color w:val="auto"/>
              </w:rPr>
              <w:t>President, Reuters News</w:t>
            </w:r>
          </w:p>
        </w:tc>
      </w:tr>
      <w:tr>
        <w:trPr>
          <w:trHeight w:val="35"/>
        </w:trPr>
        <w:tc>
          <w:tcPr>
            <w:tcW w:w="1940" w:type="dxa"/>
            <w:vAlign w:val="bottom"/>
            <w:tcBorders>
              <w:bottom w:val="single" w:sz="8" w:color="B2B2B2"/>
            </w:tcBorders>
          </w:tcPr>
          <w:p>
            <w:pPr>
              <w:spacing w:after="0"/>
              <w:rPr>
                <w:sz w:val="3"/>
                <w:szCs w:val="3"/>
                <w:color w:val="auto"/>
              </w:rPr>
            </w:pPr>
          </w:p>
        </w:tc>
        <w:tc>
          <w:tcPr>
            <w:tcW w:w="1140" w:type="dxa"/>
            <w:vAlign w:val="bottom"/>
            <w:tcBorders>
              <w:bottom w:val="single" w:sz="8" w:color="B2B2B2"/>
            </w:tcBorders>
          </w:tcPr>
          <w:p>
            <w:pPr>
              <w:spacing w:after="0"/>
              <w:rPr>
                <w:sz w:val="3"/>
                <w:szCs w:val="3"/>
                <w:color w:val="auto"/>
              </w:rPr>
            </w:pPr>
          </w:p>
        </w:tc>
        <w:tc>
          <w:tcPr>
            <w:tcW w:w="7720" w:type="dxa"/>
            <w:vAlign w:val="bottom"/>
            <w:tcBorders>
              <w:bottom w:val="single" w:sz="8" w:color="B2B2B2"/>
            </w:tcBorders>
          </w:tcPr>
          <w:p>
            <w:pPr>
              <w:spacing w:after="0"/>
              <w:rPr>
                <w:sz w:val="3"/>
                <w:szCs w:val="3"/>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6"/>
                <w:szCs w:val="16"/>
                <w:b w:val="1"/>
                <w:bCs w:val="1"/>
                <w:color w:val="auto"/>
              </w:rPr>
              <w:t>Mary Alice Vuicic</w:t>
            </w:r>
          </w:p>
        </w:tc>
        <w:tc>
          <w:tcPr>
            <w:tcW w:w="1140" w:type="dxa"/>
            <w:vAlign w:val="bottom"/>
          </w:tcPr>
          <w:p>
            <w:pPr>
              <w:jc w:val="center"/>
              <w:ind w:left="401"/>
              <w:spacing w:after="0"/>
              <w:rPr>
                <w:sz w:val="20"/>
                <w:szCs w:val="20"/>
                <w:color w:val="auto"/>
              </w:rPr>
            </w:pPr>
            <w:r>
              <w:rPr>
                <w:rFonts w:ascii="Arial" w:cs="Arial" w:eastAsia="Arial" w:hAnsi="Arial"/>
                <w:sz w:val="16"/>
                <w:szCs w:val="16"/>
                <w:color w:val="auto"/>
              </w:rPr>
              <w:t>57</w:t>
            </w:r>
          </w:p>
        </w:tc>
        <w:tc>
          <w:tcPr>
            <w:tcW w:w="7720" w:type="dxa"/>
            <w:vAlign w:val="bottom"/>
          </w:tcPr>
          <w:p>
            <w:pPr>
              <w:ind w:left="160"/>
              <w:spacing w:after="0"/>
              <w:rPr>
                <w:sz w:val="20"/>
                <w:szCs w:val="20"/>
                <w:color w:val="auto"/>
              </w:rPr>
            </w:pPr>
            <w:r>
              <w:rPr>
                <w:rFonts w:ascii="Arial" w:cs="Arial" w:eastAsia="Arial" w:hAnsi="Arial"/>
                <w:sz w:val="16"/>
                <w:szCs w:val="16"/>
                <w:color w:val="auto"/>
              </w:rPr>
              <w:t>Chief People Officer</w:t>
            </w:r>
          </w:p>
        </w:tc>
      </w:tr>
      <w:tr>
        <w:trPr>
          <w:trHeight w:val="35"/>
        </w:trPr>
        <w:tc>
          <w:tcPr>
            <w:tcW w:w="1940" w:type="dxa"/>
            <w:vAlign w:val="bottom"/>
            <w:tcBorders>
              <w:bottom w:val="single" w:sz="8" w:color="B2B2B2"/>
            </w:tcBorders>
          </w:tcPr>
          <w:p>
            <w:pPr>
              <w:spacing w:after="0"/>
              <w:rPr>
                <w:sz w:val="3"/>
                <w:szCs w:val="3"/>
                <w:color w:val="auto"/>
              </w:rPr>
            </w:pPr>
          </w:p>
        </w:tc>
        <w:tc>
          <w:tcPr>
            <w:tcW w:w="1140" w:type="dxa"/>
            <w:vAlign w:val="bottom"/>
            <w:tcBorders>
              <w:bottom w:val="single" w:sz="8" w:color="B2B2B2"/>
            </w:tcBorders>
          </w:tcPr>
          <w:p>
            <w:pPr>
              <w:spacing w:after="0"/>
              <w:rPr>
                <w:sz w:val="3"/>
                <w:szCs w:val="3"/>
                <w:color w:val="auto"/>
              </w:rPr>
            </w:pPr>
          </w:p>
        </w:tc>
        <w:tc>
          <w:tcPr>
            <w:tcW w:w="7720" w:type="dxa"/>
            <w:vAlign w:val="bottom"/>
            <w:tcBorders>
              <w:bottom w:val="single" w:sz="8" w:color="B2B2B2"/>
            </w:tcBorders>
          </w:tcPr>
          <w:p>
            <w:pPr>
              <w:spacing w:after="0"/>
              <w:rPr>
                <w:sz w:val="3"/>
                <w:szCs w:val="3"/>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6"/>
                <w:szCs w:val="16"/>
                <w:b w:val="1"/>
                <w:bCs w:val="1"/>
                <w:color w:val="auto"/>
              </w:rPr>
              <w:t>Norie Campbell</w:t>
            </w:r>
          </w:p>
        </w:tc>
        <w:tc>
          <w:tcPr>
            <w:tcW w:w="1140" w:type="dxa"/>
            <w:vAlign w:val="bottom"/>
          </w:tcPr>
          <w:p>
            <w:pPr>
              <w:jc w:val="center"/>
              <w:ind w:left="401"/>
              <w:spacing w:after="0"/>
              <w:rPr>
                <w:sz w:val="20"/>
                <w:szCs w:val="20"/>
                <w:color w:val="auto"/>
              </w:rPr>
            </w:pPr>
            <w:r>
              <w:rPr>
                <w:rFonts w:ascii="Arial" w:cs="Arial" w:eastAsia="Arial" w:hAnsi="Arial"/>
                <w:sz w:val="16"/>
                <w:szCs w:val="16"/>
                <w:color w:val="auto"/>
              </w:rPr>
              <w:t>53</w:t>
            </w:r>
          </w:p>
        </w:tc>
        <w:tc>
          <w:tcPr>
            <w:tcW w:w="7720" w:type="dxa"/>
            <w:vAlign w:val="bottom"/>
          </w:tcPr>
          <w:p>
            <w:pPr>
              <w:ind w:left="160"/>
              <w:spacing w:after="0"/>
              <w:rPr>
                <w:sz w:val="20"/>
                <w:szCs w:val="20"/>
                <w:color w:val="auto"/>
              </w:rPr>
            </w:pPr>
            <w:r>
              <w:rPr>
                <w:rFonts w:ascii="Arial" w:cs="Arial" w:eastAsia="Arial" w:hAnsi="Arial"/>
                <w:sz w:val="16"/>
                <w:szCs w:val="16"/>
                <w:color w:val="auto"/>
              </w:rPr>
              <w:t>Chief Legal Officer &amp; Company Secretary</w:t>
            </w:r>
          </w:p>
        </w:tc>
      </w:tr>
      <w:tr>
        <w:trPr>
          <w:trHeight w:val="107"/>
        </w:trPr>
        <w:tc>
          <w:tcPr>
            <w:tcW w:w="1940" w:type="dxa"/>
            <w:vAlign w:val="bottom"/>
            <w:tcBorders>
              <w:bottom w:val="single" w:sz="8" w:color="D64000"/>
            </w:tcBorders>
          </w:tcPr>
          <w:p>
            <w:pPr>
              <w:spacing w:after="0"/>
              <w:rPr>
                <w:sz w:val="9"/>
                <w:szCs w:val="9"/>
                <w:color w:val="auto"/>
              </w:rPr>
            </w:pPr>
          </w:p>
        </w:tc>
        <w:tc>
          <w:tcPr>
            <w:tcW w:w="1140" w:type="dxa"/>
            <w:vAlign w:val="bottom"/>
            <w:tcBorders>
              <w:bottom w:val="single" w:sz="8" w:color="D64000"/>
            </w:tcBorders>
          </w:tcPr>
          <w:p>
            <w:pPr>
              <w:spacing w:after="0"/>
              <w:rPr>
                <w:sz w:val="9"/>
                <w:szCs w:val="9"/>
                <w:color w:val="auto"/>
              </w:rPr>
            </w:pPr>
          </w:p>
        </w:tc>
        <w:tc>
          <w:tcPr>
            <w:tcW w:w="7720" w:type="dxa"/>
            <w:vAlign w:val="bottom"/>
            <w:tcBorders>
              <w:bottom w:val="single" w:sz="8" w:color="D64000"/>
            </w:tcBorders>
          </w:tcPr>
          <w:p>
            <w:pPr>
              <w:spacing w:after="0"/>
              <w:rPr>
                <w:sz w:val="9"/>
                <w:szCs w:val="9"/>
                <w:color w:val="auto"/>
              </w:rPr>
            </w:pPr>
          </w:p>
        </w:tc>
      </w:tr>
    </w:tbl>
    <w:p>
      <w:pPr>
        <w:spacing w:after="0" w:line="224" w:lineRule="exact"/>
        <w:rPr>
          <w:sz w:val="20"/>
          <w:szCs w:val="20"/>
          <w:color w:val="auto"/>
        </w:rPr>
      </w:pPr>
    </w:p>
    <w:p>
      <w:pPr>
        <w:ind w:left="2500" w:right="60"/>
        <w:spacing w:after="0" w:line="245" w:lineRule="auto"/>
        <w:rPr>
          <w:sz w:val="20"/>
          <w:szCs w:val="20"/>
          <w:color w:val="auto"/>
        </w:rPr>
      </w:pPr>
      <w:r>
        <w:rPr>
          <w:rFonts w:ascii="Arial" w:cs="Arial" w:eastAsia="Arial" w:hAnsi="Arial"/>
          <w:sz w:val="16"/>
          <w:szCs w:val="16"/>
          <w:b w:val="1"/>
          <w:bCs w:val="1"/>
          <w:color w:val="auto"/>
        </w:rPr>
        <w:t xml:space="preserve">Steve Hasker </w:t>
      </w:r>
      <w:r>
        <w:rPr>
          <w:rFonts w:ascii="Arial" w:cs="Arial" w:eastAsia="Arial" w:hAnsi="Arial"/>
          <w:sz w:val="16"/>
          <w:szCs w:val="16"/>
          <w:color w:val="auto"/>
        </w:rPr>
        <w:t>has been President and Chief Executive Officer and a director of Thomson Reuters since March 2020.</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joining Thomson Reuters in February 2020, he was Senior Advisor to TPG Capital, a private equity firm, from August 2019 to February 2020. Prior to that, he was Chief Executive Officer of CAA Global, a TPG Capital portfolio company, from January 2018 to August 2019. Steve served as Global President and Chief Operating Officer of Nielsen Holdings PLC from December 2015 to December 2017 and prior to that served as Nielsen’s President, Global Products from November 2009 to January 2014. Steve spent more than a decade with McKinsey &amp; Company as a partner in the Global Media, Entertainment and Information practice from 1998 to 2009. Before joining McKinsey, Steve spent five years in several financial roles in the United States and other countries. Steve started his career with PwC, where he qualified as a chartered accountant. Steve has an undergraduate economics degree from the University of Melbourne and received an MBA and master’s in international affairs from Columbia University. Steve is also a non-executive director of Appen Limited. He is a member of the Australia and New Zealand Institute of Chartered Accountants. Steve is based in Toronto, Ontario,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-1345565</wp:posOffset>
            </wp:positionV>
            <wp:extent cx="958850" cy="9588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958850" cy="958850"/>
                    </a:xfrm>
                    <a:prstGeom prst="rect">
                      <a:avLst/>
                    </a:prstGeom>
                    <a:noFill/>
                  </pic:spPr>
                </pic:pic>
              </a:graphicData>
            </a:graphic>
          </wp:anchor>
        </w:drawing>
      </w:r>
    </w:p>
    <w:p>
      <w:pPr>
        <w:spacing w:after="0" w:line="164" w:lineRule="exact"/>
        <w:rPr>
          <w:sz w:val="20"/>
          <w:szCs w:val="20"/>
          <w:color w:val="auto"/>
        </w:rPr>
      </w:pPr>
    </w:p>
    <w:p>
      <w:pPr>
        <w:ind w:left="2500" w:right="280"/>
        <w:spacing w:after="0" w:line="268" w:lineRule="auto"/>
        <w:rPr>
          <w:sz w:val="20"/>
          <w:szCs w:val="20"/>
          <w:color w:val="auto"/>
        </w:rPr>
      </w:pPr>
      <w:r>
        <w:rPr>
          <w:rFonts w:ascii="Arial" w:cs="Arial" w:eastAsia="Arial" w:hAnsi="Arial"/>
          <w:sz w:val="15"/>
          <w:szCs w:val="15"/>
          <w:b w:val="1"/>
          <w:bCs w:val="1"/>
          <w:color w:val="auto"/>
        </w:rPr>
        <w:t xml:space="preserve">Michael Eastwood </w:t>
      </w:r>
      <w:r>
        <w:rPr>
          <w:rFonts w:ascii="Arial" w:cs="Arial" w:eastAsia="Arial" w:hAnsi="Arial"/>
          <w:sz w:val="15"/>
          <w:szCs w:val="15"/>
          <w:color w:val="auto"/>
        </w:rPr>
        <w:t>has been Chief Financial Officer of Thomson Reuters since March 2020. Mike joined Thomson in</w:t>
      </w:r>
      <w:r>
        <w:rPr>
          <w:rFonts w:ascii="Arial" w:cs="Arial" w:eastAsia="Arial" w:hAnsi="Arial"/>
          <w:sz w:val="15"/>
          <w:szCs w:val="15"/>
          <w:b w:val="1"/>
          <w:bCs w:val="1"/>
          <w:color w:val="auto"/>
        </w:rPr>
        <w:t xml:space="preserve"> </w:t>
      </w:r>
      <w:r>
        <w:rPr>
          <w:rFonts w:ascii="Arial" w:cs="Arial" w:eastAsia="Arial" w:hAnsi="Arial"/>
          <w:sz w:val="15"/>
          <w:szCs w:val="15"/>
          <w:color w:val="auto"/>
        </w:rPr>
        <w:t>1998 and has had several senior finance roles. Mike was previously Senior Vice President and Head of Corporate Finance from January 2016 to March 2020. Prior to that, he was Chief Operations Officer for Thomson Reuters Latin America from April 2014 to December 2015. Mike was also previously Chief Financial Officer of the company’s former Intellectual Property &amp; Science business (which was sold in 2016). Mike received a BSA in Accounting from East Carolina University and an MBA from the University of North Carolina. Mike is based in Toronto, Ontario,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-648335</wp:posOffset>
            </wp:positionV>
            <wp:extent cx="958850" cy="9588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958850" cy="95885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2500" w:right="120"/>
        <w:spacing w:after="0" w:line="250" w:lineRule="auto"/>
        <w:rPr>
          <w:sz w:val="20"/>
          <w:szCs w:val="20"/>
          <w:color w:val="auto"/>
        </w:rPr>
      </w:pPr>
      <w:r>
        <w:rPr>
          <w:rFonts w:ascii="Arial" w:cs="Arial" w:eastAsia="Arial" w:hAnsi="Arial"/>
          <w:sz w:val="16"/>
          <w:szCs w:val="16"/>
          <w:b w:val="1"/>
          <w:bCs w:val="1"/>
          <w:color w:val="auto"/>
        </w:rPr>
        <w:t xml:space="preserve">Kirsty Roth </w:t>
      </w:r>
      <w:r>
        <w:rPr>
          <w:rFonts w:ascii="Arial" w:cs="Arial" w:eastAsia="Arial" w:hAnsi="Arial"/>
          <w:sz w:val="16"/>
          <w:szCs w:val="16"/>
          <w:color w:val="auto"/>
        </w:rPr>
        <w:t>has been Chief Operations and Technology Officer since August 2020. Prior to joining Thomson Reuters,</w:t>
      </w:r>
      <w:r>
        <w:rPr>
          <w:rFonts w:ascii="Arial" w:cs="Arial" w:eastAsia="Arial" w:hAnsi="Arial"/>
          <w:sz w:val="16"/>
          <w:szCs w:val="16"/>
          <w:b w:val="1"/>
          <w:bCs w:val="1"/>
          <w:color w:val="auto"/>
        </w:rPr>
        <w:t xml:space="preserve"> </w:t>
      </w:r>
      <w:r>
        <w:rPr>
          <w:rFonts w:ascii="Arial" w:cs="Arial" w:eastAsia="Arial" w:hAnsi="Arial"/>
          <w:sz w:val="16"/>
          <w:szCs w:val="16"/>
          <w:color w:val="auto"/>
        </w:rPr>
        <w:t>Kirsty was Global Head of Operations and a Group General Manager for HSBC from May 2016 to August 2020. Before that, Kirsty was Chief Operating Officer for Finance, Operations and IT at Credit Suisse from 2011 to 2016 and a Consulting Partner with Deloitte from 2001 to 2011. Kirsty received a bachelor’s degree in Chemistry from the University of Bristol. Kirsty resides in Wollerau, 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-523240</wp:posOffset>
            </wp:positionV>
            <wp:extent cx="958850" cy="9588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958850" cy="95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500" w:right="100"/>
        <w:spacing w:after="0" w:line="247" w:lineRule="auto"/>
        <w:rPr>
          <w:sz w:val="20"/>
          <w:szCs w:val="20"/>
          <w:color w:val="auto"/>
        </w:rPr>
      </w:pPr>
      <w:r>
        <w:rPr>
          <w:rFonts w:ascii="Arial" w:cs="Arial" w:eastAsia="Arial" w:hAnsi="Arial"/>
          <w:sz w:val="16"/>
          <w:szCs w:val="16"/>
          <w:b w:val="1"/>
          <w:bCs w:val="1"/>
          <w:color w:val="auto"/>
        </w:rPr>
        <w:t xml:space="preserve">David Wong </w:t>
      </w:r>
      <w:r>
        <w:rPr>
          <w:rFonts w:ascii="Arial" w:cs="Arial" w:eastAsia="Arial" w:hAnsi="Arial"/>
          <w:sz w:val="16"/>
          <w:szCs w:val="16"/>
          <w:color w:val="auto"/>
        </w:rPr>
        <w:t>has been Chief Product Officer since July 2020. Prior to joining Thomson Reuters, David worked at</w:t>
      </w:r>
      <w:r>
        <w:rPr>
          <w:rFonts w:ascii="Arial" w:cs="Arial" w:eastAsia="Arial" w:hAnsi="Arial"/>
          <w:sz w:val="16"/>
          <w:szCs w:val="16"/>
          <w:b w:val="1"/>
          <w:bCs w:val="1"/>
          <w:color w:val="auto"/>
        </w:rPr>
        <w:t xml:space="preserve"> </w:t>
      </w:r>
      <w:r>
        <w:rPr>
          <w:rFonts w:ascii="Arial" w:cs="Arial" w:eastAsia="Arial" w:hAnsi="Arial"/>
          <w:sz w:val="16"/>
          <w:szCs w:val="16"/>
          <w:color w:val="auto"/>
        </w:rPr>
        <w:t>Facebook as Product Management Lead from January 2019 to June 2020 and Product Manager from February 2018 to January 2019. David served as SVP of Product Leadership of Nielsen Holdings PLC from November 2014 to February 2018 and prior to that, served as Nielsen’s VP of Product Leadership from May 2011 to November 2014. David was also a consultant at McKinsey &amp; Company from August 2006 to March 2011. He holds a degree in Engineering Science from the University of Toronto, where he specialized in applied physics and electrical engineering. David resides in Toronto, Ontario,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395605</wp:posOffset>
            </wp:positionV>
            <wp:extent cx="686562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65620" cy="825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-756285</wp:posOffset>
            </wp:positionV>
            <wp:extent cx="958850" cy="95885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958850" cy="958850"/>
                    </a:xfrm>
                    <a:prstGeom prst="rect">
                      <a:avLst/>
                    </a:prstGeom>
                    <a:noFill/>
                  </pic:spPr>
                </pic:pic>
              </a:graphicData>
            </a:graphic>
          </wp:anchor>
        </w:drawing>
      </w:r>
    </w:p>
    <w:p>
      <w:pPr>
        <w:sectPr>
          <w:pgSz w:w="11900" w:h="16838" w:orient="portrait"/>
          <w:cols w:equalWidth="0" w:num="1">
            <w:col w:w="11040"/>
          </w:cols>
          <w:pgMar w:left="320" w:top="477"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142</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22" w:lineRule="exact"/>
        <w:rPr>
          <w:sz w:val="20"/>
          <w:szCs w:val="20"/>
          <w:color w:val="auto"/>
        </w:rPr>
      </w:pPr>
    </w:p>
    <w:p>
      <w:pPr>
        <w:ind w:left="2500" w:right="20"/>
        <w:spacing w:after="0" w:line="249" w:lineRule="auto"/>
        <w:rPr>
          <w:sz w:val="20"/>
          <w:szCs w:val="20"/>
          <w:color w:val="auto"/>
        </w:rPr>
      </w:pPr>
      <w:r>
        <w:rPr>
          <w:rFonts w:ascii="Arial" w:cs="Arial" w:eastAsia="Arial" w:hAnsi="Arial"/>
          <w:sz w:val="16"/>
          <w:szCs w:val="16"/>
          <w:b w:val="1"/>
          <w:bCs w:val="1"/>
          <w:color w:val="auto"/>
        </w:rPr>
        <w:t xml:space="preserve">Ragunath (Raghu) Ramanathan </w:t>
      </w:r>
      <w:r>
        <w:rPr>
          <w:rFonts w:ascii="Arial" w:cs="Arial" w:eastAsia="Arial" w:hAnsi="Arial"/>
          <w:sz w:val="16"/>
          <w:szCs w:val="16"/>
          <w:color w:val="auto"/>
        </w:rPr>
        <w:t>has been President, Legal Professionals since February 2024. Prior to joining</w:t>
      </w:r>
      <w:r>
        <w:rPr>
          <w:rFonts w:ascii="Arial" w:cs="Arial" w:eastAsia="Arial" w:hAnsi="Arial"/>
          <w:sz w:val="16"/>
          <w:szCs w:val="16"/>
          <w:b w:val="1"/>
          <w:bCs w:val="1"/>
          <w:color w:val="auto"/>
        </w:rPr>
        <w:t xml:space="preserve"> </w:t>
      </w:r>
      <w:r>
        <w:rPr>
          <w:rFonts w:ascii="Arial" w:cs="Arial" w:eastAsia="Arial" w:hAnsi="Arial"/>
          <w:sz w:val="16"/>
          <w:szCs w:val="16"/>
          <w:color w:val="auto"/>
        </w:rPr>
        <w:t>Thomson Reuters in February 2024, Raghu held several roles with SAP from August 2004 to February 2024, including most recently as their Chief Revenue Officer of SAP Business Technology Platform from February 2021 to February 2024 and Global Chief Operating Officer, SAP Business Technology Platform from April 2019 to February 2021. Raghu currently serves on the board of directors of Solace, a data company. He holds a bachelor’s degree in engineering from Coimbatore Institute of Technology in India and an MBA from the Indian Institute of Management in Ahmedabad. Raghu is based in New York, New York, United States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-763270</wp:posOffset>
            </wp:positionV>
            <wp:extent cx="958850" cy="95948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958850" cy="95948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500" w:right="20"/>
        <w:spacing w:after="0" w:line="247" w:lineRule="auto"/>
        <w:rPr>
          <w:sz w:val="20"/>
          <w:szCs w:val="20"/>
          <w:color w:val="auto"/>
        </w:rPr>
      </w:pPr>
      <w:r>
        <w:rPr>
          <w:rFonts w:ascii="Arial" w:cs="Arial" w:eastAsia="Arial" w:hAnsi="Arial"/>
          <w:sz w:val="16"/>
          <w:szCs w:val="16"/>
          <w:b w:val="1"/>
          <w:bCs w:val="1"/>
          <w:color w:val="auto"/>
        </w:rPr>
        <w:t xml:space="preserve">Elizabeth Beastrom </w:t>
      </w:r>
      <w:r>
        <w:rPr>
          <w:rFonts w:ascii="Arial" w:cs="Arial" w:eastAsia="Arial" w:hAnsi="Arial"/>
          <w:sz w:val="16"/>
          <w:szCs w:val="16"/>
          <w:color w:val="auto"/>
        </w:rPr>
        <w:t>has been President, Tax &amp; Accounting Professionals since March 2021. Prior to that, Elizabeth was</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Global Print from July 2018 through March 2021. From April 2018 through July 2018, Elizabeth led the FindLaw business as Managing Director. Prior to that, she was Chief Financial Officer, Vice President of Finance – Large and Medium Law Firms, Corporate Counsel and Legal Managed Services from August 2013 to April 2018. Prior to joining Thomson Reuters in December 2004, she was Finance Director at Valspar. She holds a bachelor’s degree in accounting from the University of Minnesota Carlson School of Management. Elizabeth resides in Eden Prairie, Minnesota,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-781685</wp:posOffset>
            </wp:positionV>
            <wp:extent cx="958850" cy="9594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958850" cy="95948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2500" w:right="20"/>
        <w:spacing w:after="0" w:line="245" w:lineRule="auto"/>
        <w:rPr>
          <w:sz w:val="20"/>
          <w:szCs w:val="20"/>
          <w:color w:val="auto"/>
        </w:rPr>
      </w:pPr>
      <w:r>
        <w:rPr>
          <w:rFonts w:ascii="Arial" w:cs="Arial" w:eastAsia="Arial" w:hAnsi="Arial"/>
          <w:sz w:val="16"/>
          <w:szCs w:val="16"/>
          <w:b w:val="1"/>
          <w:bCs w:val="1"/>
          <w:color w:val="auto"/>
        </w:rPr>
        <w:t xml:space="preserve">Laura A. Clayton </w:t>
      </w:r>
      <w:r>
        <w:rPr>
          <w:rFonts w:ascii="Arial" w:cs="Arial" w:eastAsia="Arial" w:hAnsi="Arial"/>
          <w:sz w:val="16"/>
          <w:szCs w:val="16"/>
          <w:color w:val="auto"/>
        </w:rPr>
        <w:t>(professionally known as Laura Clayton McDonnell) has been President, Corporates since March</w:t>
      </w:r>
      <w:r>
        <w:rPr>
          <w:rFonts w:ascii="Arial" w:cs="Arial" w:eastAsia="Arial" w:hAnsi="Arial"/>
          <w:sz w:val="16"/>
          <w:szCs w:val="16"/>
          <w:b w:val="1"/>
          <w:bCs w:val="1"/>
          <w:color w:val="auto"/>
        </w:rPr>
        <w:t xml:space="preserve"> </w:t>
      </w:r>
      <w:r>
        <w:rPr>
          <w:rFonts w:ascii="Arial" w:cs="Arial" w:eastAsia="Arial" w:hAnsi="Arial"/>
          <w:sz w:val="16"/>
          <w:szCs w:val="16"/>
          <w:color w:val="auto"/>
        </w:rPr>
        <w:t>2023. Prior to joining Thomson Reuters in March 2023, Laura was Senior Vice President, Sales – East, Canada and Latin America from January 2019 through February 2023 at ServiceNow, Inc., a cloud computing platform that helps companies manage digital workflows for enterprise operations. From November 2015 through December 2018, Laura was a Vice President at Microsoft Corporation, leading a team of industry sales, technical and business professionals in the New York area. Prior to that, she was Senior Vice President, North America Sales at Aspect Software from May 2014 through October 2015. From 2003 through 2014, Laura served in a number of positions at IBM, with her last role as Vice President, Strategic Services. Laura is a Trustee on the Thomson Reuters Foundation Board and serves on the board of directors of Signal AI, a private company, which provides insights for entities from data collected from traditional and social media. Laura holds a bachelor’s degree with honors in international business from San Jose State University and a JD and MBA in international business and finance from the University of California at Berkeley. She is licensed to practice law in the State of California and the District of Columbia. Laura resides in New York, New York,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-1345565</wp:posOffset>
            </wp:positionV>
            <wp:extent cx="958850" cy="9594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958850" cy="959485"/>
                    </a:xfrm>
                    <a:prstGeom prst="rect">
                      <a:avLst/>
                    </a:prstGeom>
                    <a:noFill/>
                  </pic:spPr>
                </pic:pic>
              </a:graphicData>
            </a:graphic>
          </wp:anchor>
        </w:drawing>
      </w:r>
    </w:p>
    <w:p>
      <w:pPr>
        <w:spacing w:after="0" w:line="58" w:lineRule="exact"/>
        <w:rPr>
          <w:sz w:val="20"/>
          <w:szCs w:val="20"/>
          <w:color w:val="auto"/>
        </w:rPr>
      </w:pPr>
    </w:p>
    <w:p>
      <w:pPr>
        <w:ind w:left="2500" w:right="120"/>
        <w:spacing w:after="0" w:line="265" w:lineRule="auto"/>
        <w:rPr>
          <w:sz w:val="20"/>
          <w:szCs w:val="20"/>
          <w:color w:val="auto"/>
        </w:rPr>
      </w:pPr>
      <w:r>
        <w:rPr>
          <w:rFonts w:ascii="Arial" w:cs="Arial" w:eastAsia="Arial" w:hAnsi="Arial"/>
          <w:sz w:val="15"/>
          <w:szCs w:val="15"/>
          <w:b w:val="1"/>
          <w:bCs w:val="1"/>
          <w:color w:val="auto"/>
        </w:rPr>
        <w:t xml:space="preserve">Paul Bascobert </w:t>
      </w:r>
      <w:r>
        <w:rPr>
          <w:rFonts w:ascii="Arial" w:cs="Arial" w:eastAsia="Arial" w:hAnsi="Arial"/>
          <w:sz w:val="15"/>
          <w:szCs w:val="15"/>
          <w:color w:val="auto"/>
        </w:rPr>
        <w:t>has been President of Reuters News since September 2022. Prior to joining Thomson Reuters in</w:t>
      </w:r>
      <w:r>
        <w:rPr>
          <w:rFonts w:ascii="Arial" w:cs="Arial" w:eastAsia="Arial" w:hAnsi="Arial"/>
          <w:sz w:val="15"/>
          <w:szCs w:val="15"/>
          <w:b w:val="1"/>
          <w:bCs w:val="1"/>
          <w:color w:val="auto"/>
        </w:rPr>
        <w:t xml:space="preserve"> </w:t>
      </w:r>
      <w:r>
        <w:rPr>
          <w:rFonts w:ascii="Arial" w:cs="Arial" w:eastAsia="Arial" w:hAnsi="Arial"/>
          <w:sz w:val="15"/>
          <w:szCs w:val="15"/>
          <w:color w:val="auto"/>
        </w:rPr>
        <w:t>September 2022, he was the CEO of Blue Ocean Acquisition Corp, a special purpose acquisition company focused on media, marketplace and tech platform businesses from April 2021 to September 2022. Prior to that, he was CEO of Gannett Co., Inc from August 2019 to July 2020. Paul served as President of XO Group, a U.S. based media and technology company from September 2016 to May 2019 and prior to that served as President of Yodle Inc. from May 2014 to September 2016. Paul also served as President of Bloomberg Businessweek and Head of Business Operations for the newly created Bloomberg Media Group from December 2009 to May 2014, as well as Senior Vice President of Operations and then Chief Marketing Officer at Dow Jones from January 2006 to December 2009. Paul has a degree in electrical engineering from Kettering University and an MBA in Finance from the Wharton School of the University of Pennsylvania and is a member of the Council on Foreign Relations. Paul resides in New York, New York, United States</w:t>
      </w: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-1174750</wp:posOffset>
            </wp:positionV>
            <wp:extent cx="958850" cy="9588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958850" cy="958850"/>
                    </a:xfrm>
                    <a:prstGeom prst="rect">
                      <a:avLst/>
                    </a:prstGeom>
                    <a:noFill/>
                  </pic:spPr>
                </pic:pic>
              </a:graphicData>
            </a:graphic>
          </wp:anchor>
        </w:drawing>
      </w:r>
    </w:p>
    <w:p>
      <w:pPr>
        <w:spacing w:after="0" w:line="36" w:lineRule="exact"/>
        <w:rPr>
          <w:sz w:val="20"/>
          <w:szCs w:val="20"/>
          <w:color w:val="auto"/>
        </w:rPr>
      </w:pPr>
    </w:p>
    <w:p>
      <w:pPr>
        <w:ind w:left="2500" w:right="60"/>
        <w:spacing w:after="0" w:line="245" w:lineRule="auto"/>
        <w:rPr>
          <w:sz w:val="20"/>
          <w:szCs w:val="20"/>
          <w:color w:val="auto"/>
        </w:rPr>
      </w:pPr>
      <w:r>
        <w:rPr>
          <w:rFonts w:ascii="Arial" w:cs="Arial" w:eastAsia="Arial" w:hAnsi="Arial"/>
          <w:sz w:val="16"/>
          <w:szCs w:val="16"/>
          <w:b w:val="1"/>
          <w:bCs w:val="1"/>
          <w:color w:val="auto"/>
        </w:rPr>
        <w:t xml:space="preserve">Mary Alice Vuicic </w:t>
      </w:r>
      <w:r>
        <w:rPr>
          <w:rFonts w:ascii="Arial" w:cs="Arial" w:eastAsia="Arial" w:hAnsi="Arial"/>
          <w:sz w:val="16"/>
          <w:szCs w:val="16"/>
          <w:color w:val="auto"/>
        </w:rPr>
        <w:t>has been Chief People Officer since November 2017. Previously, Mary Alice served as the Global</w:t>
      </w:r>
      <w:r>
        <w:rPr>
          <w:rFonts w:ascii="Arial" w:cs="Arial" w:eastAsia="Arial" w:hAnsi="Arial"/>
          <w:sz w:val="16"/>
          <w:szCs w:val="16"/>
          <w:b w:val="1"/>
          <w:bCs w:val="1"/>
          <w:color w:val="auto"/>
        </w:rPr>
        <w:t xml:space="preserve"> </w:t>
      </w:r>
      <w:r>
        <w:rPr>
          <w:rFonts w:ascii="Arial" w:cs="Arial" w:eastAsia="Arial" w:hAnsi="Arial"/>
          <w:sz w:val="16"/>
          <w:szCs w:val="16"/>
          <w:color w:val="auto"/>
        </w:rPr>
        <w:t>Chief Human Resources Officer for L Brands, a portfolio of retail brands, from October 2015 to October 2017. Before that, Mary Alice was Executive Vice President, Human Resources &amp; Labour Relations at Loblaw Companies Ltd. from March 2014 to May 2015 and she was Chief Administrative Officer &amp; Executive Vice President at Shoppers Drug Mart from January 2007 to March 2014 prior to its acquisition by Loblaw Companies Ltd. Mary Alice has also held senior executive roles at Walmart. Mary Alice is a Trustee on the Thomson Reuters Foundation Board and is an Advisory Board Member on the Good Jobs Institute. She has also served as a director of the Business Development Bank of Canada where she chaired the Human Resources Committee for eight years. She has a BA degree from the University of Windsor, an Advanced HR Certificate from the University of Toronto and completed the Advanced Management Program at Harvard Business School. Mary Alice resides in Toronto, Ontario,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-1107440</wp:posOffset>
            </wp:positionV>
            <wp:extent cx="958850" cy="9588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958850" cy="958850"/>
                    </a:xfrm>
                    <a:prstGeom prst="rect">
                      <a:avLst/>
                    </a:prstGeom>
                    <a:noFill/>
                  </pic:spPr>
                </pic:pic>
              </a:graphicData>
            </a:graphic>
          </wp:anchor>
        </w:drawing>
      </w:r>
    </w:p>
    <w:p>
      <w:pPr>
        <w:spacing w:after="0" w:line="63" w:lineRule="exact"/>
        <w:rPr>
          <w:sz w:val="20"/>
          <w:szCs w:val="20"/>
          <w:color w:val="auto"/>
        </w:rPr>
      </w:pPr>
    </w:p>
    <w:p>
      <w:pPr>
        <w:ind w:left="2500" w:right="140"/>
        <w:spacing w:after="0" w:line="250" w:lineRule="auto"/>
        <w:rPr>
          <w:sz w:val="20"/>
          <w:szCs w:val="20"/>
          <w:color w:val="auto"/>
        </w:rPr>
      </w:pPr>
      <w:r>
        <w:rPr>
          <w:rFonts w:ascii="Arial" w:cs="Arial" w:eastAsia="Arial" w:hAnsi="Arial"/>
          <w:sz w:val="16"/>
          <w:szCs w:val="16"/>
          <w:b w:val="1"/>
          <w:bCs w:val="1"/>
          <w:color w:val="auto"/>
        </w:rPr>
        <w:t xml:space="preserve">Norie Campbell </w:t>
      </w:r>
      <w:r>
        <w:rPr>
          <w:rFonts w:ascii="Arial" w:cs="Arial" w:eastAsia="Arial" w:hAnsi="Arial"/>
          <w:sz w:val="16"/>
          <w:szCs w:val="16"/>
          <w:color w:val="auto"/>
        </w:rPr>
        <w:t>has been Chief Legal Officer &amp; Company Secretary since September 2023. Prior to joining Thomson</w:t>
      </w:r>
      <w:r>
        <w:rPr>
          <w:rFonts w:ascii="Arial" w:cs="Arial" w:eastAsia="Arial" w:hAnsi="Arial"/>
          <w:sz w:val="16"/>
          <w:szCs w:val="16"/>
          <w:b w:val="1"/>
          <w:bCs w:val="1"/>
          <w:color w:val="auto"/>
        </w:rPr>
        <w:t xml:space="preserve"> </w:t>
      </w:r>
      <w:r>
        <w:rPr>
          <w:rFonts w:ascii="Arial" w:cs="Arial" w:eastAsia="Arial" w:hAnsi="Arial"/>
          <w:sz w:val="16"/>
          <w:szCs w:val="16"/>
          <w:color w:val="auto"/>
        </w:rPr>
        <w:t>Reuters in September 2023, she held a number of executive-level roles at TD Bank Group from December 2000 to April 2022 including serving as General Counsel for a decade. Norie serves as a director of the Rideau Hall Foundation and Toronto Metropolitan University. She has Bachelor of Laws and Master of Laws degrees from Osgoode Hall Law School. Norie resides in Toronto, Ontario,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620395</wp:posOffset>
            </wp:positionV>
            <wp:extent cx="686562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65620" cy="825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-598805</wp:posOffset>
            </wp:positionV>
            <wp:extent cx="958850" cy="9588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958850" cy="95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20"/>
        <w:spacing w:after="0"/>
        <w:tabs>
          <w:tab w:leader="none" w:pos="1030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6"/>
          <w:szCs w:val="16"/>
          <w:color w:val="auto"/>
        </w:rPr>
        <w:t>Page 143</w:t>
      </w:r>
    </w:p>
    <w:p>
      <w:pPr>
        <w:sectPr>
          <w:pgSz w:w="11900" w:h="16838" w:orient="portrait"/>
          <w:cols w:equalWidth="0" w:num="1">
            <w:col w:w="11040"/>
          </w:cols>
          <w:pgMar w:left="320" w:top="477" w:right="5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Directors</w:t>
      </w:r>
    </w:p>
    <w:p>
      <w:pPr>
        <w:spacing w:after="0" w:line="84" w:lineRule="exact"/>
        <w:rPr>
          <w:sz w:val="20"/>
          <w:szCs w:val="20"/>
          <w:color w:val="auto"/>
        </w:rPr>
      </w:pPr>
    </w:p>
    <w:p>
      <w:pPr>
        <w:ind w:left="220" w:right="120"/>
        <w:spacing w:after="0" w:line="236" w:lineRule="auto"/>
        <w:rPr>
          <w:sz w:val="20"/>
          <w:szCs w:val="20"/>
          <w:color w:val="auto"/>
        </w:rPr>
      </w:pPr>
      <w:r>
        <w:rPr>
          <w:rFonts w:ascii="Arial" w:cs="Arial" w:eastAsia="Arial" w:hAnsi="Arial"/>
          <w:sz w:val="17"/>
          <w:szCs w:val="17"/>
          <w:color w:val="auto"/>
        </w:rPr>
        <w:t>The names, city and country where they are based or reside, offices and principal occupations of our directors as of March 5, 2025 are shown below. Each director has been a director since the year indicated below. All of our directors have been engaged for more than five years in their present principal occupations or in other capacities within Thomson Reuters, except where noted below. Each director will continue to hold office until the next annual meeting of our shareholders (scheduled to be held on June 4, 2025) or until the director resigns or a successor is elected or appointed.</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All of our directors were elected at our 2024 annual meeting of shareholders.</w:t>
      </w:r>
    </w:p>
    <w:p>
      <w:pPr>
        <w:spacing w:after="0" w:line="251" w:lineRule="exact"/>
        <w:rPr>
          <w:sz w:val="20"/>
          <w:szCs w:val="20"/>
          <w:color w:val="auto"/>
        </w:rPr>
      </w:pPr>
    </w:p>
    <w:tbl>
      <w:tblPr>
        <w:tblLayout w:type="fixed"/>
        <w:tblInd w:w="220" w:type="dxa"/>
        <w:tblCellMar>
          <w:top w:w="0" w:type="dxa"/>
          <w:left w:w="0" w:type="dxa"/>
          <w:bottom w:w="0" w:type="dxa"/>
          <w:right w:w="0" w:type="dxa"/>
        </w:tblCellMar>
      </w:tblPr>
      <w:tr>
        <w:trPr>
          <w:trHeight w:val="252"/>
        </w:trPr>
        <w:tc>
          <w:tcPr>
            <w:tcW w:w="5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shd w:val="clear" w:color="auto" w:fill="BFBFBF"/>
          </w:tcPr>
          <w:p>
            <w:pPr>
              <w:spacing w:after="0"/>
              <w:rPr>
                <w:sz w:val="21"/>
                <w:szCs w:val="21"/>
                <w:color w:val="auto"/>
              </w:rPr>
            </w:pPr>
          </w:p>
        </w:tc>
        <w:tc>
          <w:tcPr>
            <w:tcW w:w="2460" w:type="dxa"/>
            <w:vAlign w:val="bottom"/>
            <w:gridSpan w:val="2"/>
            <w:shd w:val="clear" w:color="auto" w:fill="BFBFBF"/>
          </w:tcPr>
          <w:p>
            <w:pPr>
              <w:ind w:left="280"/>
              <w:spacing w:after="0"/>
              <w:rPr>
                <w:sz w:val="20"/>
                <w:szCs w:val="20"/>
                <w:color w:val="auto"/>
              </w:rPr>
            </w:pPr>
            <w:r>
              <w:rPr>
                <w:rFonts w:ascii="Arial" w:cs="Arial" w:eastAsia="Arial" w:hAnsi="Arial"/>
                <w:sz w:val="16"/>
                <w:szCs w:val="16"/>
                <w:b w:val="1"/>
                <w:bCs w:val="1"/>
                <w:color w:val="auto"/>
              </w:rPr>
              <w:t>Committee Memberships</w:t>
            </w:r>
          </w:p>
        </w:tc>
        <w:tc>
          <w:tcPr>
            <w:tcW w:w="580" w:type="dxa"/>
            <w:vAlign w:val="bottom"/>
            <w:shd w:val="clear" w:color="auto" w:fill="BFBFBF"/>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8"/>
        </w:trPr>
        <w:tc>
          <w:tcPr>
            <w:tcW w:w="5180" w:type="dxa"/>
            <w:vAlign w:val="bottom"/>
            <w:shd w:val="clear" w:color="auto" w:fill="262626"/>
          </w:tcPr>
          <w:p>
            <w:pPr>
              <w:spacing w:after="0"/>
              <w:rPr>
                <w:sz w:val="20"/>
                <w:szCs w:val="20"/>
                <w:color w:val="auto"/>
              </w:rPr>
            </w:pPr>
          </w:p>
        </w:tc>
        <w:tc>
          <w:tcPr>
            <w:tcW w:w="460" w:type="dxa"/>
            <w:vAlign w:val="bottom"/>
            <w:shd w:val="clear" w:color="auto" w:fill="262626"/>
          </w:tcPr>
          <w:p>
            <w:pPr>
              <w:spacing w:after="0"/>
              <w:rPr>
                <w:sz w:val="20"/>
                <w:szCs w:val="20"/>
                <w:color w:val="auto"/>
              </w:rPr>
            </w:pPr>
          </w:p>
        </w:tc>
        <w:tc>
          <w:tcPr>
            <w:tcW w:w="820" w:type="dxa"/>
            <w:vAlign w:val="bottom"/>
            <w:shd w:val="clear" w:color="auto" w:fill="262626"/>
          </w:tcPr>
          <w:p>
            <w:pPr>
              <w:spacing w:after="0"/>
              <w:rPr>
                <w:sz w:val="20"/>
                <w:szCs w:val="20"/>
                <w:color w:val="auto"/>
              </w:rPr>
            </w:pPr>
          </w:p>
        </w:tc>
        <w:tc>
          <w:tcPr>
            <w:tcW w:w="1280" w:type="dxa"/>
            <w:vAlign w:val="bottom"/>
            <w:shd w:val="clear" w:color="auto" w:fill="262626"/>
          </w:tcPr>
          <w:p>
            <w:pPr>
              <w:jc w:val="center"/>
              <w:spacing w:after="0"/>
              <w:rPr>
                <w:sz w:val="20"/>
                <w:szCs w:val="20"/>
                <w:color w:val="auto"/>
              </w:rPr>
            </w:pPr>
            <w:r>
              <w:rPr>
                <w:rFonts w:ascii="Arial" w:cs="Arial" w:eastAsia="Arial" w:hAnsi="Arial"/>
                <w:sz w:val="16"/>
                <w:szCs w:val="16"/>
                <w:b w:val="1"/>
                <w:bCs w:val="1"/>
                <w:color w:val="FFFFFF"/>
                <w:w w:val="99"/>
              </w:rPr>
              <w:t>Corporate</w:t>
            </w:r>
          </w:p>
        </w:tc>
        <w:tc>
          <w:tcPr>
            <w:tcW w:w="1180" w:type="dxa"/>
            <w:vAlign w:val="bottom"/>
            <w:shd w:val="clear" w:color="auto" w:fill="262626"/>
          </w:tcPr>
          <w:p>
            <w:pPr>
              <w:jc w:val="center"/>
              <w:spacing w:after="0"/>
              <w:rPr>
                <w:sz w:val="20"/>
                <w:szCs w:val="20"/>
                <w:color w:val="auto"/>
              </w:rPr>
            </w:pPr>
            <w:r>
              <w:rPr>
                <w:rFonts w:ascii="Arial" w:cs="Arial" w:eastAsia="Arial" w:hAnsi="Arial"/>
                <w:sz w:val="16"/>
                <w:szCs w:val="16"/>
                <w:b w:val="1"/>
                <w:bCs w:val="1"/>
                <w:color w:val="FFFFFF"/>
                <w:w w:val="99"/>
              </w:rPr>
              <w:t>Human</w:t>
            </w:r>
          </w:p>
        </w:tc>
        <w:tc>
          <w:tcPr>
            <w:tcW w:w="580" w:type="dxa"/>
            <w:vAlign w:val="bottom"/>
            <w:shd w:val="clear" w:color="auto" w:fill="262626"/>
          </w:tcPr>
          <w:p>
            <w:pPr>
              <w:spacing w:after="0"/>
              <w:rPr>
                <w:sz w:val="20"/>
                <w:szCs w:val="20"/>
                <w:color w:val="auto"/>
              </w:rPr>
            </w:pPr>
          </w:p>
        </w:tc>
        <w:tc>
          <w:tcPr>
            <w:tcW w:w="340" w:type="dxa"/>
            <w:vAlign w:val="bottom"/>
            <w:shd w:val="clear" w:color="auto" w:fill="262626"/>
          </w:tcPr>
          <w:p>
            <w:pPr>
              <w:ind w:left="220"/>
              <w:spacing w:after="0"/>
              <w:rPr>
                <w:sz w:val="20"/>
                <w:szCs w:val="20"/>
                <w:color w:val="auto"/>
              </w:rPr>
            </w:pPr>
            <w:r>
              <w:rPr>
                <w:rFonts w:ascii="Arial" w:cs="Arial" w:eastAsia="Arial" w:hAnsi="Arial"/>
                <w:sz w:val="11"/>
                <w:szCs w:val="11"/>
                <w:b w:val="1"/>
                <w:bCs w:val="1"/>
                <w:color w:val="FFFFFF"/>
                <w:w w:val="75"/>
              </w:rPr>
              <w:t>  </w:t>
            </w:r>
          </w:p>
        </w:tc>
        <w:tc>
          <w:tcPr>
            <w:tcW w:w="960" w:type="dxa"/>
            <w:vAlign w:val="bottom"/>
            <w:shd w:val="clear" w:color="auto" w:fill="262626"/>
          </w:tcPr>
          <w:p>
            <w:pPr>
              <w:ind w:left="60"/>
              <w:spacing w:after="0"/>
              <w:rPr>
                <w:sz w:val="20"/>
                <w:szCs w:val="20"/>
                <w:color w:val="auto"/>
              </w:rPr>
            </w:pPr>
            <w:r>
              <w:rPr>
                <w:rFonts w:ascii="Arial" w:cs="Arial" w:eastAsia="Arial" w:hAnsi="Arial"/>
                <w:sz w:val="16"/>
                <w:szCs w:val="16"/>
                <w:b w:val="1"/>
                <w:bCs w:val="1"/>
                <w:color w:val="FFFFFF"/>
              </w:rPr>
              <w:t xml:space="preserve">Director    </w:t>
            </w:r>
          </w:p>
        </w:tc>
      </w:tr>
      <w:tr>
        <w:trPr>
          <w:trHeight w:val="219"/>
        </w:trPr>
        <w:tc>
          <w:tcPr>
            <w:tcW w:w="5180" w:type="dxa"/>
            <w:vAlign w:val="bottom"/>
            <w:tcBorders>
              <w:bottom w:val="single" w:sz="8" w:color="D64000"/>
            </w:tcBorders>
            <w:shd w:val="clear" w:color="auto" w:fill="262626"/>
          </w:tcPr>
          <w:p>
            <w:pPr>
              <w:ind w:left="80"/>
              <w:spacing w:after="0"/>
              <w:rPr>
                <w:sz w:val="20"/>
                <w:szCs w:val="20"/>
                <w:color w:val="auto"/>
              </w:rPr>
            </w:pPr>
            <w:r>
              <w:rPr>
                <w:rFonts w:ascii="Arial" w:cs="Arial" w:eastAsia="Arial" w:hAnsi="Arial"/>
                <w:sz w:val="16"/>
                <w:szCs w:val="16"/>
                <w:b w:val="1"/>
                <w:bCs w:val="1"/>
                <w:color w:val="FFFFFF"/>
              </w:rPr>
              <w:t>Name</w:t>
            </w:r>
          </w:p>
        </w:tc>
        <w:tc>
          <w:tcPr>
            <w:tcW w:w="460" w:type="dxa"/>
            <w:vAlign w:val="bottom"/>
            <w:tcBorders>
              <w:bottom w:val="single" w:sz="8" w:color="D64000"/>
            </w:tcBorders>
            <w:shd w:val="clear" w:color="auto" w:fill="262626"/>
          </w:tcPr>
          <w:p>
            <w:pPr>
              <w:jc w:val="center"/>
              <w:ind w:left="41"/>
              <w:spacing w:after="0"/>
              <w:rPr>
                <w:sz w:val="20"/>
                <w:szCs w:val="20"/>
                <w:color w:val="auto"/>
              </w:rPr>
            </w:pPr>
            <w:r>
              <w:rPr>
                <w:rFonts w:ascii="Arial" w:cs="Arial" w:eastAsia="Arial" w:hAnsi="Arial"/>
                <w:sz w:val="16"/>
                <w:szCs w:val="16"/>
                <w:b w:val="1"/>
                <w:bCs w:val="1"/>
                <w:color w:val="FFFFFF"/>
                <w:w w:val="99"/>
              </w:rPr>
              <w:t>Age</w:t>
            </w:r>
          </w:p>
        </w:tc>
        <w:tc>
          <w:tcPr>
            <w:tcW w:w="820" w:type="dxa"/>
            <w:vAlign w:val="bottom"/>
            <w:tcBorders>
              <w:bottom w:val="single" w:sz="8" w:color="D64000"/>
            </w:tcBorders>
            <w:shd w:val="clear" w:color="auto" w:fill="262626"/>
          </w:tcPr>
          <w:p>
            <w:pPr>
              <w:jc w:val="center"/>
              <w:ind w:left="21"/>
              <w:spacing w:after="0"/>
              <w:rPr>
                <w:sz w:val="20"/>
                <w:szCs w:val="20"/>
                <w:color w:val="auto"/>
              </w:rPr>
            </w:pPr>
            <w:r>
              <w:rPr>
                <w:rFonts w:ascii="Arial" w:cs="Arial" w:eastAsia="Arial" w:hAnsi="Arial"/>
                <w:sz w:val="16"/>
                <w:szCs w:val="16"/>
                <w:b w:val="1"/>
                <w:bCs w:val="1"/>
                <w:color w:val="FFFFFF"/>
                <w:w w:val="97"/>
              </w:rPr>
              <w:t>Audit</w:t>
            </w:r>
          </w:p>
        </w:tc>
        <w:tc>
          <w:tcPr>
            <w:tcW w:w="1280" w:type="dxa"/>
            <w:vAlign w:val="bottom"/>
            <w:tcBorders>
              <w:bottom w:val="single" w:sz="8" w:color="D64000"/>
            </w:tcBorders>
            <w:shd w:val="clear" w:color="auto" w:fill="262626"/>
          </w:tcPr>
          <w:p>
            <w:pPr>
              <w:jc w:val="center"/>
              <w:spacing w:after="0"/>
              <w:rPr>
                <w:sz w:val="20"/>
                <w:szCs w:val="20"/>
                <w:color w:val="auto"/>
              </w:rPr>
            </w:pPr>
            <w:r>
              <w:rPr>
                <w:rFonts w:ascii="Arial" w:cs="Arial" w:eastAsia="Arial" w:hAnsi="Arial"/>
                <w:sz w:val="16"/>
                <w:szCs w:val="16"/>
                <w:b w:val="1"/>
                <w:bCs w:val="1"/>
                <w:color w:val="FFFFFF"/>
                <w:w w:val="99"/>
              </w:rPr>
              <w:t>Governance</w:t>
            </w:r>
          </w:p>
        </w:tc>
        <w:tc>
          <w:tcPr>
            <w:tcW w:w="1180" w:type="dxa"/>
            <w:vAlign w:val="bottom"/>
            <w:tcBorders>
              <w:bottom w:val="single" w:sz="8" w:color="D64000"/>
            </w:tcBorders>
            <w:shd w:val="clear" w:color="auto" w:fill="262626"/>
          </w:tcPr>
          <w:p>
            <w:pPr>
              <w:jc w:val="center"/>
              <w:spacing w:after="0"/>
              <w:rPr>
                <w:sz w:val="20"/>
                <w:szCs w:val="20"/>
                <w:color w:val="auto"/>
              </w:rPr>
            </w:pPr>
            <w:r>
              <w:rPr>
                <w:rFonts w:ascii="Arial" w:cs="Arial" w:eastAsia="Arial" w:hAnsi="Arial"/>
                <w:sz w:val="16"/>
                <w:szCs w:val="16"/>
                <w:b w:val="1"/>
                <w:bCs w:val="1"/>
                <w:color w:val="FFFFFF"/>
              </w:rPr>
              <w:t>Resources</w:t>
            </w:r>
          </w:p>
        </w:tc>
        <w:tc>
          <w:tcPr>
            <w:tcW w:w="920" w:type="dxa"/>
            <w:vAlign w:val="bottom"/>
            <w:tcBorders>
              <w:bottom w:val="single" w:sz="8" w:color="D64000"/>
            </w:tcBorders>
            <w:gridSpan w:val="2"/>
            <w:shd w:val="clear" w:color="auto" w:fill="262626"/>
          </w:tcPr>
          <w:p>
            <w:pPr>
              <w:jc w:val="center"/>
              <w:ind w:right="163"/>
              <w:spacing w:after="0"/>
              <w:rPr>
                <w:sz w:val="20"/>
                <w:szCs w:val="20"/>
                <w:color w:val="auto"/>
              </w:rPr>
            </w:pPr>
            <w:r>
              <w:rPr>
                <w:rFonts w:ascii="Arial" w:cs="Arial" w:eastAsia="Arial" w:hAnsi="Arial"/>
                <w:sz w:val="16"/>
                <w:szCs w:val="16"/>
                <w:b w:val="1"/>
                <w:bCs w:val="1"/>
                <w:color w:val="FFFFFF"/>
              </w:rPr>
              <w:t>Risk</w:t>
            </w:r>
          </w:p>
        </w:tc>
        <w:tc>
          <w:tcPr>
            <w:tcW w:w="960" w:type="dxa"/>
            <w:vAlign w:val="bottom"/>
            <w:tcBorders>
              <w:bottom w:val="single" w:sz="8" w:color="D64000"/>
            </w:tcBorders>
            <w:shd w:val="clear" w:color="auto" w:fill="262626"/>
          </w:tcPr>
          <w:p>
            <w:pPr>
              <w:jc w:val="center"/>
              <w:ind w:right="141"/>
              <w:spacing w:after="0"/>
              <w:rPr>
                <w:sz w:val="20"/>
                <w:szCs w:val="20"/>
                <w:color w:val="auto"/>
              </w:rPr>
            </w:pPr>
            <w:r>
              <w:rPr>
                <w:rFonts w:ascii="Arial" w:cs="Arial" w:eastAsia="Arial" w:hAnsi="Arial"/>
                <w:sz w:val="16"/>
                <w:szCs w:val="16"/>
                <w:b w:val="1"/>
                <w:bCs w:val="1"/>
                <w:color w:val="FFFFFF"/>
                <w:w w:val="98"/>
              </w:rPr>
              <w:t>Since</w:t>
            </w:r>
          </w:p>
        </w:tc>
      </w:tr>
      <w:tr>
        <w:trPr>
          <w:trHeight w:val="257"/>
        </w:trPr>
        <w:tc>
          <w:tcPr>
            <w:tcW w:w="5180" w:type="dxa"/>
            <w:vAlign w:val="bottom"/>
          </w:tcPr>
          <w:p>
            <w:pPr>
              <w:ind w:left="80"/>
              <w:spacing w:after="0"/>
              <w:rPr>
                <w:sz w:val="20"/>
                <w:szCs w:val="20"/>
                <w:color w:val="auto"/>
              </w:rPr>
            </w:pPr>
            <w:r>
              <w:rPr>
                <w:rFonts w:ascii="Arial" w:cs="Arial" w:eastAsia="Arial" w:hAnsi="Arial"/>
                <w:sz w:val="16"/>
                <w:szCs w:val="16"/>
                <w:b w:val="1"/>
                <w:bCs w:val="1"/>
                <w:color w:val="auto"/>
              </w:rPr>
              <w:t>David Thomson, Chairman</w:t>
            </w:r>
          </w:p>
        </w:tc>
        <w:tc>
          <w:tcPr>
            <w:tcW w:w="460" w:type="dxa"/>
            <w:vAlign w:val="bottom"/>
          </w:tcPr>
          <w:p>
            <w:pPr>
              <w:jc w:val="center"/>
              <w:ind w:left="41"/>
              <w:spacing w:after="0"/>
              <w:rPr>
                <w:sz w:val="20"/>
                <w:szCs w:val="20"/>
                <w:color w:val="auto"/>
              </w:rPr>
            </w:pPr>
            <w:r>
              <w:rPr>
                <w:rFonts w:ascii="Arial" w:cs="Arial" w:eastAsia="Arial" w:hAnsi="Arial"/>
                <w:sz w:val="16"/>
                <w:szCs w:val="16"/>
                <w:color w:val="auto"/>
              </w:rPr>
              <w:t>67</w:t>
            </w:r>
          </w:p>
        </w:tc>
        <w:tc>
          <w:tcPr>
            <w:tcW w:w="8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jc w:val="center"/>
              <w:ind w:right="141"/>
              <w:spacing w:after="0"/>
              <w:rPr>
                <w:sz w:val="20"/>
                <w:szCs w:val="20"/>
                <w:color w:val="auto"/>
              </w:rPr>
            </w:pPr>
            <w:r>
              <w:rPr>
                <w:rFonts w:ascii="Arial" w:cs="Arial" w:eastAsia="Arial" w:hAnsi="Arial"/>
                <w:sz w:val="16"/>
                <w:szCs w:val="16"/>
                <w:color w:val="auto"/>
                <w:w w:val="95"/>
              </w:rPr>
              <w:t>1988</w:t>
            </w:r>
          </w:p>
        </w:tc>
      </w:tr>
      <w:tr>
        <w:trPr>
          <w:trHeight w:val="35"/>
        </w:trPr>
        <w:tc>
          <w:tcPr>
            <w:tcW w:w="5180" w:type="dxa"/>
            <w:vAlign w:val="bottom"/>
            <w:tcBorders>
              <w:bottom w:val="single" w:sz="8" w:color="AFAFAF"/>
            </w:tcBorders>
          </w:tcPr>
          <w:p>
            <w:pPr>
              <w:spacing w:after="0"/>
              <w:rPr>
                <w:sz w:val="3"/>
                <w:szCs w:val="3"/>
                <w:color w:val="auto"/>
              </w:rPr>
            </w:pPr>
          </w:p>
        </w:tc>
        <w:tc>
          <w:tcPr>
            <w:tcW w:w="460" w:type="dxa"/>
            <w:vAlign w:val="bottom"/>
            <w:tcBorders>
              <w:bottom w:val="single" w:sz="8" w:color="AFAFAF"/>
            </w:tcBorders>
          </w:tcPr>
          <w:p>
            <w:pPr>
              <w:spacing w:after="0"/>
              <w:rPr>
                <w:sz w:val="3"/>
                <w:szCs w:val="3"/>
                <w:color w:val="auto"/>
              </w:rPr>
            </w:pPr>
          </w:p>
        </w:tc>
        <w:tc>
          <w:tcPr>
            <w:tcW w:w="820" w:type="dxa"/>
            <w:vAlign w:val="bottom"/>
            <w:tcBorders>
              <w:bottom w:val="single" w:sz="8" w:color="AFAFAF"/>
            </w:tcBorders>
          </w:tcPr>
          <w:p>
            <w:pPr>
              <w:spacing w:after="0"/>
              <w:rPr>
                <w:sz w:val="3"/>
                <w:szCs w:val="3"/>
                <w:color w:val="auto"/>
              </w:rPr>
            </w:pPr>
          </w:p>
        </w:tc>
        <w:tc>
          <w:tcPr>
            <w:tcW w:w="1280" w:type="dxa"/>
            <w:vAlign w:val="bottom"/>
            <w:tcBorders>
              <w:bottom w:val="single" w:sz="8" w:color="AFAFAF"/>
            </w:tcBorders>
          </w:tcPr>
          <w:p>
            <w:pPr>
              <w:spacing w:after="0"/>
              <w:rPr>
                <w:sz w:val="3"/>
                <w:szCs w:val="3"/>
                <w:color w:val="auto"/>
              </w:rPr>
            </w:pPr>
          </w:p>
        </w:tc>
        <w:tc>
          <w:tcPr>
            <w:tcW w:w="1180" w:type="dxa"/>
            <w:vAlign w:val="bottom"/>
            <w:tcBorders>
              <w:bottom w:val="single" w:sz="8" w:color="AFAFAF"/>
            </w:tcBorders>
          </w:tcPr>
          <w:p>
            <w:pPr>
              <w:spacing w:after="0"/>
              <w:rPr>
                <w:sz w:val="3"/>
                <w:szCs w:val="3"/>
                <w:color w:val="auto"/>
              </w:rPr>
            </w:pPr>
          </w:p>
        </w:tc>
        <w:tc>
          <w:tcPr>
            <w:tcW w:w="580" w:type="dxa"/>
            <w:vAlign w:val="bottom"/>
            <w:tcBorders>
              <w:bottom w:val="single" w:sz="8" w:color="AFAFAF"/>
            </w:tcBorders>
          </w:tcPr>
          <w:p>
            <w:pPr>
              <w:spacing w:after="0"/>
              <w:rPr>
                <w:sz w:val="3"/>
                <w:szCs w:val="3"/>
                <w:color w:val="auto"/>
              </w:rPr>
            </w:pPr>
          </w:p>
        </w:tc>
        <w:tc>
          <w:tcPr>
            <w:tcW w:w="340" w:type="dxa"/>
            <w:vAlign w:val="bottom"/>
            <w:tcBorders>
              <w:bottom w:val="single" w:sz="8" w:color="AFAFAF"/>
            </w:tcBorders>
          </w:tcPr>
          <w:p>
            <w:pPr>
              <w:spacing w:after="0"/>
              <w:rPr>
                <w:sz w:val="3"/>
                <w:szCs w:val="3"/>
                <w:color w:val="auto"/>
              </w:rPr>
            </w:pPr>
          </w:p>
        </w:tc>
        <w:tc>
          <w:tcPr>
            <w:tcW w:w="960" w:type="dxa"/>
            <w:vAlign w:val="bottom"/>
            <w:tcBorders>
              <w:bottom w:val="single" w:sz="8" w:color="AFAFAF"/>
            </w:tcBorders>
          </w:tcPr>
          <w:p>
            <w:pPr>
              <w:spacing w:after="0"/>
              <w:rPr>
                <w:sz w:val="3"/>
                <w:szCs w:val="3"/>
                <w:color w:val="auto"/>
              </w:rPr>
            </w:pPr>
          </w:p>
        </w:tc>
      </w:tr>
      <w:tr>
        <w:trPr>
          <w:trHeight w:val="250"/>
        </w:trPr>
        <w:tc>
          <w:tcPr>
            <w:tcW w:w="5180" w:type="dxa"/>
            <w:vAlign w:val="bottom"/>
          </w:tcPr>
          <w:p>
            <w:pPr>
              <w:ind w:left="80"/>
              <w:spacing w:after="0"/>
              <w:rPr>
                <w:sz w:val="20"/>
                <w:szCs w:val="20"/>
                <w:color w:val="auto"/>
              </w:rPr>
            </w:pPr>
            <w:r>
              <w:rPr>
                <w:rFonts w:ascii="Arial" w:cs="Arial" w:eastAsia="Arial" w:hAnsi="Arial"/>
                <w:sz w:val="16"/>
                <w:szCs w:val="16"/>
                <w:b w:val="1"/>
                <w:bCs w:val="1"/>
                <w:color w:val="auto"/>
              </w:rPr>
              <w:t>Steve Hasker</w:t>
            </w:r>
          </w:p>
        </w:tc>
        <w:tc>
          <w:tcPr>
            <w:tcW w:w="460" w:type="dxa"/>
            <w:vAlign w:val="bottom"/>
          </w:tcPr>
          <w:p>
            <w:pPr>
              <w:jc w:val="center"/>
              <w:ind w:left="41"/>
              <w:spacing w:after="0"/>
              <w:rPr>
                <w:sz w:val="20"/>
                <w:szCs w:val="20"/>
                <w:color w:val="auto"/>
              </w:rPr>
            </w:pPr>
            <w:r>
              <w:rPr>
                <w:rFonts w:ascii="Arial" w:cs="Arial" w:eastAsia="Arial" w:hAnsi="Arial"/>
                <w:sz w:val="16"/>
                <w:szCs w:val="16"/>
                <w:color w:val="auto"/>
              </w:rPr>
              <w:t>55</w:t>
            </w:r>
          </w:p>
        </w:tc>
        <w:tc>
          <w:tcPr>
            <w:tcW w:w="8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center"/>
              <w:ind w:right="141"/>
              <w:spacing w:after="0"/>
              <w:rPr>
                <w:sz w:val="20"/>
                <w:szCs w:val="20"/>
                <w:color w:val="auto"/>
              </w:rPr>
            </w:pPr>
            <w:r>
              <w:rPr>
                <w:rFonts w:ascii="Arial" w:cs="Arial" w:eastAsia="Arial" w:hAnsi="Arial"/>
                <w:sz w:val="16"/>
                <w:szCs w:val="16"/>
                <w:color w:val="auto"/>
                <w:w w:val="95"/>
              </w:rPr>
              <w:t>2020</w:t>
            </w:r>
          </w:p>
        </w:tc>
      </w:tr>
      <w:tr>
        <w:trPr>
          <w:trHeight w:val="35"/>
        </w:trPr>
        <w:tc>
          <w:tcPr>
            <w:tcW w:w="5180" w:type="dxa"/>
            <w:vAlign w:val="bottom"/>
            <w:tcBorders>
              <w:bottom w:val="single" w:sz="8" w:color="AFAFAF"/>
            </w:tcBorders>
          </w:tcPr>
          <w:p>
            <w:pPr>
              <w:spacing w:after="0"/>
              <w:rPr>
                <w:sz w:val="3"/>
                <w:szCs w:val="3"/>
                <w:color w:val="auto"/>
              </w:rPr>
            </w:pPr>
          </w:p>
        </w:tc>
        <w:tc>
          <w:tcPr>
            <w:tcW w:w="460" w:type="dxa"/>
            <w:vAlign w:val="bottom"/>
            <w:tcBorders>
              <w:bottom w:val="single" w:sz="8" w:color="AFAFAF"/>
            </w:tcBorders>
          </w:tcPr>
          <w:p>
            <w:pPr>
              <w:spacing w:after="0"/>
              <w:rPr>
                <w:sz w:val="3"/>
                <w:szCs w:val="3"/>
                <w:color w:val="auto"/>
              </w:rPr>
            </w:pPr>
          </w:p>
        </w:tc>
        <w:tc>
          <w:tcPr>
            <w:tcW w:w="820" w:type="dxa"/>
            <w:vAlign w:val="bottom"/>
            <w:tcBorders>
              <w:bottom w:val="single" w:sz="8" w:color="AFAFAF"/>
            </w:tcBorders>
          </w:tcPr>
          <w:p>
            <w:pPr>
              <w:spacing w:after="0"/>
              <w:rPr>
                <w:sz w:val="3"/>
                <w:szCs w:val="3"/>
                <w:color w:val="auto"/>
              </w:rPr>
            </w:pPr>
          </w:p>
        </w:tc>
        <w:tc>
          <w:tcPr>
            <w:tcW w:w="1280" w:type="dxa"/>
            <w:vAlign w:val="bottom"/>
            <w:tcBorders>
              <w:bottom w:val="single" w:sz="8" w:color="AFAFAF"/>
            </w:tcBorders>
          </w:tcPr>
          <w:p>
            <w:pPr>
              <w:spacing w:after="0"/>
              <w:rPr>
                <w:sz w:val="3"/>
                <w:szCs w:val="3"/>
                <w:color w:val="auto"/>
              </w:rPr>
            </w:pPr>
          </w:p>
        </w:tc>
        <w:tc>
          <w:tcPr>
            <w:tcW w:w="1180" w:type="dxa"/>
            <w:vAlign w:val="bottom"/>
            <w:tcBorders>
              <w:bottom w:val="single" w:sz="8" w:color="AFAFAF"/>
            </w:tcBorders>
          </w:tcPr>
          <w:p>
            <w:pPr>
              <w:spacing w:after="0"/>
              <w:rPr>
                <w:sz w:val="3"/>
                <w:szCs w:val="3"/>
                <w:color w:val="auto"/>
              </w:rPr>
            </w:pPr>
          </w:p>
        </w:tc>
        <w:tc>
          <w:tcPr>
            <w:tcW w:w="920" w:type="dxa"/>
            <w:vAlign w:val="bottom"/>
            <w:tcBorders>
              <w:bottom w:val="single" w:sz="8" w:color="AFAFAF"/>
            </w:tcBorders>
            <w:gridSpan w:val="2"/>
          </w:tcPr>
          <w:p>
            <w:pPr>
              <w:spacing w:after="0"/>
              <w:rPr>
                <w:sz w:val="3"/>
                <w:szCs w:val="3"/>
                <w:color w:val="auto"/>
              </w:rPr>
            </w:pPr>
          </w:p>
        </w:tc>
        <w:tc>
          <w:tcPr>
            <w:tcW w:w="960" w:type="dxa"/>
            <w:vAlign w:val="bottom"/>
            <w:tcBorders>
              <w:bottom w:val="single" w:sz="8" w:color="AFAFAF"/>
            </w:tcBorders>
          </w:tcPr>
          <w:p>
            <w:pPr>
              <w:spacing w:after="0"/>
              <w:rPr>
                <w:sz w:val="3"/>
                <w:szCs w:val="3"/>
                <w:color w:val="auto"/>
              </w:rPr>
            </w:pPr>
          </w:p>
        </w:tc>
      </w:tr>
      <w:tr>
        <w:trPr>
          <w:trHeight w:val="250"/>
        </w:trPr>
        <w:tc>
          <w:tcPr>
            <w:tcW w:w="5180" w:type="dxa"/>
            <w:vAlign w:val="bottom"/>
          </w:tcPr>
          <w:p>
            <w:pPr>
              <w:ind w:left="80"/>
              <w:spacing w:after="0"/>
              <w:rPr>
                <w:sz w:val="20"/>
                <w:szCs w:val="20"/>
                <w:color w:val="auto"/>
              </w:rPr>
            </w:pPr>
            <w:r>
              <w:rPr>
                <w:rFonts w:ascii="Arial" w:cs="Arial" w:eastAsia="Arial" w:hAnsi="Arial"/>
                <w:sz w:val="16"/>
                <w:szCs w:val="16"/>
                <w:b w:val="1"/>
                <w:bCs w:val="1"/>
                <w:color w:val="auto"/>
              </w:rPr>
              <w:t>Kirk E. Arnold</w:t>
            </w:r>
          </w:p>
        </w:tc>
        <w:tc>
          <w:tcPr>
            <w:tcW w:w="460" w:type="dxa"/>
            <w:vAlign w:val="bottom"/>
          </w:tcPr>
          <w:p>
            <w:pPr>
              <w:jc w:val="center"/>
              <w:ind w:left="41"/>
              <w:spacing w:after="0"/>
              <w:rPr>
                <w:sz w:val="20"/>
                <w:szCs w:val="20"/>
                <w:color w:val="auto"/>
              </w:rPr>
            </w:pPr>
            <w:r>
              <w:rPr>
                <w:rFonts w:ascii="Arial" w:cs="Arial" w:eastAsia="Arial" w:hAnsi="Arial"/>
                <w:sz w:val="16"/>
                <w:szCs w:val="16"/>
                <w:color w:val="auto"/>
              </w:rPr>
              <w:t>65</w:t>
            </w:r>
          </w:p>
        </w:tc>
        <w:tc>
          <w:tcPr>
            <w:tcW w:w="8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w:t>
            </w:r>
          </w:p>
        </w:tc>
        <w:tc>
          <w:tcPr>
            <w:tcW w:w="1180" w:type="dxa"/>
            <w:vAlign w:val="bottom"/>
          </w:tcPr>
          <w:p>
            <w:pPr>
              <w:jc w:val="center"/>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center"/>
              <w:ind w:right="163"/>
              <w:spacing w:after="0"/>
              <w:rPr>
                <w:sz w:val="20"/>
                <w:szCs w:val="20"/>
                <w:color w:val="auto"/>
              </w:rPr>
            </w:pPr>
            <w:r>
              <w:rPr>
                <w:rFonts w:ascii="Arial" w:cs="Arial" w:eastAsia="Arial" w:hAnsi="Arial"/>
                <w:sz w:val="16"/>
                <w:szCs w:val="16"/>
                <w:color w:val="auto"/>
                <w:w w:val="99"/>
              </w:rPr>
              <w:t>Chair</w:t>
            </w:r>
          </w:p>
        </w:tc>
        <w:tc>
          <w:tcPr>
            <w:tcW w:w="960" w:type="dxa"/>
            <w:vAlign w:val="bottom"/>
          </w:tcPr>
          <w:p>
            <w:pPr>
              <w:jc w:val="center"/>
              <w:ind w:right="141"/>
              <w:spacing w:after="0"/>
              <w:rPr>
                <w:sz w:val="20"/>
                <w:szCs w:val="20"/>
                <w:color w:val="auto"/>
              </w:rPr>
            </w:pPr>
            <w:r>
              <w:rPr>
                <w:rFonts w:ascii="Arial" w:cs="Arial" w:eastAsia="Arial" w:hAnsi="Arial"/>
                <w:sz w:val="16"/>
                <w:szCs w:val="16"/>
                <w:color w:val="auto"/>
                <w:w w:val="95"/>
              </w:rPr>
              <w:t>2020</w:t>
            </w:r>
          </w:p>
        </w:tc>
      </w:tr>
      <w:tr>
        <w:trPr>
          <w:trHeight w:val="35"/>
        </w:trPr>
        <w:tc>
          <w:tcPr>
            <w:tcW w:w="5180" w:type="dxa"/>
            <w:vAlign w:val="bottom"/>
            <w:tcBorders>
              <w:bottom w:val="single" w:sz="8" w:color="AFAFAF"/>
            </w:tcBorders>
          </w:tcPr>
          <w:p>
            <w:pPr>
              <w:spacing w:after="0"/>
              <w:rPr>
                <w:sz w:val="3"/>
                <w:szCs w:val="3"/>
                <w:color w:val="auto"/>
              </w:rPr>
            </w:pPr>
          </w:p>
        </w:tc>
        <w:tc>
          <w:tcPr>
            <w:tcW w:w="460" w:type="dxa"/>
            <w:vAlign w:val="bottom"/>
            <w:tcBorders>
              <w:bottom w:val="single" w:sz="8" w:color="AFAFAF"/>
            </w:tcBorders>
          </w:tcPr>
          <w:p>
            <w:pPr>
              <w:spacing w:after="0"/>
              <w:rPr>
                <w:sz w:val="3"/>
                <w:szCs w:val="3"/>
                <w:color w:val="auto"/>
              </w:rPr>
            </w:pPr>
          </w:p>
        </w:tc>
        <w:tc>
          <w:tcPr>
            <w:tcW w:w="820" w:type="dxa"/>
            <w:vAlign w:val="bottom"/>
            <w:tcBorders>
              <w:bottom w:val="single" w:sz="8" w:color="AFAFAF"/>
            </w:tcBorders>
          </w:tcPr>
          <w:p>
            <w:pPr>
              <w:spacing w:after="0"/>
              <w:rPr>
                <w:sz w:val="3"/>
                <w:szCs w:val="3"/>
                <w:color w:val="auto"/>
              </w:rPr>
            </w:pPr>
          </w:p>
        </w:tc>
        <w:tc>
          <w:tcPr>
            <w:tcW w:w="1280" w:type="dxa"/>
            <w:vAlign w:val="bottom"/>
            <w:tcBorders>
              <w:bottom w:val="single" w:sz="8" w:color="AFAFAF"/>
            </w:tcBorders>
          </w:tcPr>
          <w:p>
            <w:pPr>
              <w:spacing w:after="0"/>
              <w:rPr>
                <w:sz w:val="3"/>
                <w:szCs w:val="3"/>
                <w:color w:val="auto"/>
              </w:rPr>
            </w:pPr>
          </w:p>
        </w:tc>
        <w:tc>
          <w:tcPr>
            <w:tcW w:w="1180" w:type="dxa"/>
            <w:vAlign w:val="bottom"/>
            <w:tcBorders>
              <w:bottom w:val="single" w:sz="8" w:color="AFAFAF"/>
            </w:tcBorders>
          </w:tcPr>
          <w:p>
            <w:pPr>
              <w:spacing w:after="0"/>
              <w:rPr>
                <w:sz w:val="3"/>
                <w:szCs w:val="3"/>
                <w:color w:val="auto"/>
              </w:rPr>
            </w:pPr>
          </w:p>
        </w:tc>
        <w:tc>
          <w:tcPr>
            <w:tcW w:w="580" w:type="dxa"/>
            <w:vAlign w:val="bottom"/>
            <w:tcBorders>
              <w:bottom w:val="single" w:sz="8" w:color="AFAFAF"/>
            </w:tcBorders>
          </w:tcPr>
          <w:p>
            <w:pPr>
              <w:spacing w:after="0"/>
              <w:rPr>
                <w:sz w:val="3"/>
                <w:szCs w:val="3"/>
                <w:color w:val="auto"/>
              </w:rPr>
            </w:pPr>
          </w:p>
        </w:tc>
        <w:tc>
          <w:tcPr>
            <w:tcW w:w="340" w:type="dxa"/>
            <w:vAlign w:val="bottom"/>
            <w:tcBorders>
              <w:bottom w:val="single" w:sz="8" w:color="AFAFAF"/>
            </w:tcBorders>
          </w:tcPr>
          <w:p>
            <w:pPr>
              <w:spacing w:after="0"/>
              <w:rPr>
                <w:sz w:val="3"/>
                <w:szCs w:val="3"/>
                <w:color w:val="auto"/>
              </w:rPr>
            </w:pPr>
          </w:p>
        </w:tc>
        <w:tc>
          <w:tcPr>
            <w:tcW w:w="960" w:type="dxa"/>
            <w:vAlign w:val="bottom"/>
            <w:tcBorders>
              <w:bottom w:val="single" w:sz="8" w:color="AFAFAF"/>
            </w:tcBorders>
          </w:tcPr>
          <w:p>
            <w:pPr>
              <w:spacing w:after="0"/>
              <w:rPr>
                <w:sz w:val="3"/>
                <w:szCs w:val="3"/>
                <w:color w:val="auto"/>
              </w:rPr>
            </w:pPr>
          </w:p>
        </w:tc>
      </w:tr>
      <w:tr>
        <w:trPr>
          <w:trHeight w:val="285"/>
        </w:trPr>
        <w:tc>
          <w:tcPr>
            <w:tcW w:w="5180" w:type="dxa"/>
            <w:vAlign w:val="bottom"/>
            <w:tcBorders>
              <w:bottom w:val="single" w:sz="8" w:color="AFAFAF"/>
            </w:tcBorders>
          </w:tcPr>
          <w:p>
            <w:pPr>
              <w:ind w:left="80"/>
              <w:spacing w:after="0"/>
              <w:rPr>
                <w:sz w:val="20"/>
                <w:szCs w:val="20"/>
                <w:color w:val="auto"/>
              </w:rPr>
            </w:pPr>
            <w:r>
              <w:rPr>
                <w:rFonts w:ascii="Arial" w:cs="Arial" w:eastAsia="Arial" w:hAnsi="Arial"/>
                <w:sz w:val="16"/>
                <w:szCs w:val="16"/>
                <w:b w:val="1"/>
                <w:bCs w:val="1"/>
                <w:color w:val="auto"/>
              </w:rPr>
              <w:t>W. Edmund Clark, C.M.</w:t>
            </w:r>
            <w:r>
              <w:rPr>
                <w:rFonts w:ascii="Arial" w:cs="Arial" w:eastAsia="Arial" w:hAnsi="Arial"/>
                <w:sz w:val="19"/>
                <w:szCs w:val="19"/>
                <w:b w:val="1"/>
                <w:bCs w:val="1"/>
                <w:color w:val="auto"/>
                <w:vertAlign w:val="superscript"/>
              </w:rPr>
              <w:t>(1)</w:t>
            </w:r>
          </w:p>
        </w:tc>
        <w:tc>
          <w:tcPr>
            <w:tcW w:w="460" w:type="dxa"/>
            <w:vAlign w:val="bottom"/>
            <w:tcBorders>
              <w:bottom w:val="single" w:sz="8" w:color="AFAFAF"/>
            </w:tcBorders>
          </w:tcPr>
          <w:p>
            <w:pPr>
              <w:jc w:val="center"/>
              <w:ind w:left="41"/>
              <w:spacing w:after="0"/>
              <w:rPr>
                <w:sz w:val="20"/>
                <w:szCs w:val="20"/>
                <w:color w:val="auto"/>
              </w:rPr>
            </w:pPr>
            <w:r>
              <w:rPr>
                <w:rFonts w:ascii="Arial" w:cs="Arial" w:eastAsia="Arial" w:hAnsi="Arial"/>
                <w:sz w:val="16"/>
                <w:szCs w:val="16"/>
                <w:color w:val="auto"/>
              </w:rPr>
              <w:t>77</w:t>
            </w:r>
          </w:p>
        </w:tc>
        <w:tc>
          <w:tcPr>
            <w:tcW w:w="820" w:type="dxa"/>
            <w:vAlign w:val="bottom"/>
            <w:tcBorders>
              <w:bottom w:val="single" w:sz="8" w:color="AFAFAF"/>
            </w:tcBorders>
          </w:tcPr>
          <w:p>
            <w:pPr>
              <w:spacing w:after="0"/>
              <w:rPr>
                <w:sz w:val="24"/>
                <w:szCs w:val="24"/>
                <w:color w:val="auto"/>
              </w:rPr>
            </w:pPr>
          </w:p>
        </w:tc>
        <w:tc>
          <w:tcPr>
            <w:tcW w:w="1280" w:type="dxa"/>
            <w:vAlign w:val="bottom"/>
            <w:tcBorders>
              <w:bottom w:val="single" w:sz="8" w:color="AFAFAF"/>
            </w:tcBorders>
          </w:tcPr>
          <w:p>
            <w:pPr>
              <w:jc w:val="center"/>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FAFAF"/>
            </w:tcBorders>
          </w:tcPr>
          <w:p>
            <w:pPr>
              <w:jc w:val="center"/>
              <w:spacing w:after="0"/>
              <w:rPr>
                <w:sz w:val="20"/>
                <w:szCs w:val="20"/>
                <w:color w:val="auto"/>
              </w:rPr>
            </w:pPr>
            <w:r>
              <w:rPr>
                <w:rFonts w:ascii="Arial" w:cs="Arial" w:eastAsia="Arial" w:hAnsi="Arial"/>
                <w:sz w:val="16"/>
                <w:szCs w:val="16"/>
                <w:color w:val="auto"/>
                <w:w w:val="99"/>
              </w:rPr>
              <w:t>Chair</w:t>
            </w:r>
          </w:p>
        </w:tc>
        <w:tc>
          <w:tcPr>
            <w:tcW w:w="580" w:type="dxa"/>
            <w:vAlign w:val="bottom"/>
            <w:tcBorders>
              <w:bottom w:val="single" w:sz="8" w:color="AFAFAF"/>
            </w:tcBorders>
          </w:tcPr>
          <w:p>
            <w:pPr>
              <w:spacing w:after="0"/>
              <w:rPr>
                <w:sz w:val="24"/>
                <w:szCs w:val="24"/>
                <w:color w:val="auto"/>
              </w:rPr>
            </w:pPr>
          </w:p>
        </w:tc>
        <w:tc>
          <w:tcPr>
            <w:tcW w:w="340" w:type="dxa"/>
            <w:vAlign w:val="bottom"/>
            <w:tcBorders>
              <w:bottom w:val="single" w:sz="8" w:color="AFAFAF"/>
            </w:tcBorders>
          </w:tcPr>
          <w:p>
            <w:pPr>
              <w:spacing w:after="0"/>
              <w:rPr>
                <w:sz w:val="24"/>
                <w:szCs w:val="24"/>
                <w:color w:val="auto"/>
              </w:rPr>
            </w:pPr>
          </w:p>
        </w:tc>
        <w:tc>
          <w:tcPr>
            <w:tcW w:w="960" w:type="dxa"/>
            <w:vAlign w:val="bottom"/>
            <w:tcBorders>
              <w:bottom w:val="single" w:sz="8" w:color="AFAFAF"/>
            </w:tcBorders>
          </w:tcPr>
          <w:p>
            <w:pPr>
              <w:jc w:val="center"/>
              <w:ind w:right="141"/>
              <w:spacing w:after="0"/>
              <w:rPr>
                <w:sz w:val="20"/>
                <w:szCs w:val="20"/>
                <w:color w:val="auto"/>
              </w:rPr>
            </w:pPr>
            <w:r>
              <w:rPr>
                <w:rFonts w:ascii="Arial" w:cs="Arial" w:eastAsia="Arial" w:hAnsi="Arial"/>
                <w:sz w:val="16"/>
                <w:szCs w:val="16"/>
                <w:color w:val="auto"/>
                <w:w w:val="95"/>
              </w:rPr>
              <w:t>2015</w:t>
            </w:r>
          </w:p>
        </w:tc>
      </w:tr>
      <w:tr>
        <w:trPr>
          <w:trHeight w:val="250"/>
        </w:trPr>
        <w:tc>
          <w:tcPr>
            <w:tcW w:w="5180" w:type="dxa"/>
            <w:vAlign w:val="bottom"/>
          </w:tcPr>
          <w:p>
            <w:pPr>
              <w:ind w:left="80"/>
              <w:spacing w:after="0"/>
              <w:rPr>
                <w:sz w:val="20"/>
                <w:szCs w:val="20"/>
                <w:color w:val="auto"/>
              </w:rPr>
            </w:pPr>
            <w:r>
              <w:rPr>
                <w:rFonts w:ascii="Arial" w:cs="Arial" w:eastAsia="Arial" w:hAnsi="Arial"/>
                <w:sz w:val="16"/>
                <w:szCs w:val="16"/>
                <w:b w:val="1"/>
                <w:bCs w:val="1"/>
                <w:color w:val="auto"/>
              </w:rPr>
              <w:t>LaVerne Council</w:t>
            </w:r>
          </w:p>
        </w:tc>
        <w:tc>
          <w:tcPr>
            <w:tcW w:w="460" w:type="dxa"/>
            <w:vAlign w:val="bottom"/>
          </w:tcPr>
          <w:p>
            <w:pPr>
              <w:jc w:val="center"/>
              <w:ind w:left="41"/>
              <w:spacing w:after="0"/>
              <w:rPr>
                <w:sz w:val="20"/>
                <w:szCs w:val="20"/>
                <w:color w:val="auto"/>
              </w:rPr>
            </w:pPr>
            <w:r>
              <w:rPr>
                <w:rFonts w:ascii="Arial" w:cs="Arial" w:eastAsia="Arial" w:hAnsi="Arial"/>
                <w:sz w:val="16"/>
                <w:szCs w:val="16"/>
                <w:color w:val="auto"/>
              </w:rPr>
              <w:t>63</w:t>
            </w:r>
          </w:p>
        </w:tc>
        <w:tc>
          <w:tcPr>
            <w:tcW w:w="820" w:type="dxa"/>
            <w:vAlign w:val="bottom"/>
          </w:tcPr>
          <w:p>
            <w:pPr>
              <w:jc w:val="center"/>
              <w:ind w:left="1"/>
              <w:spacing w:after="0"/>
              <w:rPr>
                <w:sz w:val="20"/>
                <w:szCs w:val="20"/>
                <w:color w:val="auto"/>
              </w:rPr>
            </w:pPr>
            <w:r>
              <w:rPr>
                <w:rFonts w:ascii="Arial" w:cs="Arial" w:eastAsia="Arial" w:hAnsi="Arial"/>
                <w:sz w:val="16"/>
                <w:szCs w:val="16"/>
                <w:color w:val="auto"/>
              </w:rPr>
              <w:t>•</w:t>
            </w:r>
          </w:p>
        </w:tc>
        <w:tc>
          <w:tcPr>
            <w:tcW w:w="1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20" w:type="dxa"/>
            <w:vAlign w:val="bottom"/>
            <w:gridSpan w:val="2"/>
          </w:tcPr>
          <w:p>
            <w:pPr>
              <w:jc w:val="center"/>
              <w:ind w:right="163"/>
              <w:spacing w:after="0"/>
              <w:rPr>
                <w:sz w:val="20"/>
                <w:szCs w:val="20"/>
                <w:color w:val="auto"/>
              </w:rPr>
            </w:pPr>
            <w:r>
              <w:rPr>
                <w:rFonts w:ascii="Arial" w:cs="Arial" w:eastAsia="Arial" w:hAnsi="Arial"/>
                <w:sz w:val="16"/>
                <w:szCs w:val="16"/>
                <w:color w:val="auto"/>
              </w:rPr>
              <w:t>•</w:t>
            </w:r>
          </w:p>
        </w:tc>
        <w:tc>
          <w:tcPr>
            <w:tcW w:w="960" w:type="dxa"/>
            <w:vAlign w:val="bottom"/>
          </w:tcPr>
          <w:p>
            <w:pPr>
              <w:jc w:val="center"/>
              <w:ind w:right="141"/>
              <w:spacing w:after="0"/>
              <w:rPr>
                <w:sz w:val="20"/>
                <w:szCs w:val="20"/>
                <w:color w:val="auto"/>
              </w:rPr>
            </w:pPr>
            <w:r>
              <w:rPr>
                <w:rFonts w:ascii="Arial" w:cs="Arial" w:eastAsia="Arial" w:hAnsi="Arial"/>
                <w:sz w:val="16"/>
                <w:szCs w:val="16"/>
                <w:color w:val="auto"/>
                <w:w w:val="95"/>
              </w:rPr>
              <w:t>2022</w:t>
            </w:r>
          </w:p>
        </w:tc>
      </w:tr>
      <w:tr>
        <w:trPr>
          <w:trHeight w:val="35"/>
        </w:trPr>
        <w:tc>
          <w:tcPr>
            <w:tcW w:w="5180" w:type="dxa"/>
            <w:vAlign w:val="bottom"/>
            <w:tcBorders>
              <w:bottom w:val="single" w:sz="8" w:color="AFAFAF"/>
            </w:tcBorders>
          </w:tcPr>
          <w:p>
            <w:pPr>
              <w:spacing w:after="0"/>
              <w:rPr>
                <w:sz w:val="3"/>
                <w:szCs w:val="3"/>
                <w:color w:val="auto"/>
              </w:rPr>
            </w:pPr>
          </w:p>
        </w:tc>
        <w:tc>
          <w:tcPr>
            <w:tcW w:w="460" w:type="dxa"/>
            <w:vAlign w:val="bottom"/>
            <w:tcBorders>
              <w:bottom w:val="single" w:sz="8" w:color="AFAFAF"/>
            </w:tcBorders>
          </w:tcPr>
          <w:p>
            <w:pPr>
              <w:spacing w:after="0"/>
              <w:rPr>
                <w:sz w:val="3"/>
                <w:szCs w:val="3"/>
                <w:color w:val="auto"/>
              </w:rPr>
            </w:pPr>
          </w:p>
        </w:tc>
        <w:tc>
          <w:tcPr>
            <w:tcW w:w="820" w:type="dxa"/>
            <w:vAlign w:val="bottom"/>
            <w:tcBorders>
              <w:bottom w:val="single" w:sz="8" w:color="AFAFAF"/>
            </w:tcBorders>
          </w:tcPr>
          <w:p>
            <w:pPr>
              <w:spacing w:after="0"/>
              <w:rPr>
                <w:sz w:val="3"/>
                <w:szCs w:val="3"/>
                <w:color w:val="auto"/>
              </w:rPr>
            </w:pPr>
          </w:p>
        </w:tc>
        <w:tc>
          <w:tcPr>
            <w:tcW w:w="1280" w:type="dxa"/>
            <w:vAlign w:val="bottom"/>
            <w:tcBorders>
              <w:bottom w:val="single" w:sz="8" w:color="AFAFAF"/>
            </w:tcBorders>
          </w:tcPr>
          <w:p>
            <w:pPr>
              <w:spacing w:after="0"/>
              <w:rPr>
                <w:sz w:val="3"/>
                <w:szCs w:val="3"/>
                <w:color w:val="auto"/>
              </w:rPr>
            </w:pPr>
          </w:p>
        </w:tc>
        <w:tc>
          <w:tcPr>
            <w:tcW w:w="1180" w:type="dxa"/>
            <w:vAlign w:val="bottom"/>
            <w:tcBorders>
              <w:bottom w:val="single" w:sz="8" w:color="AFAFAF"/>
            </w:tcBorders>
          </w:tcPr>
          <w:p>
            <w:pPr>
              <w:spacing w:after="0"/>
              <w:rPr>
                <w:sz w:val="3"/>
                <w:szCs w:val="3"/>
                <w:color w:val="auto"/>
              </w:rPr>
            </w:pPr>
          </w:p>
        </w:tc>
        <w:tc>
          <w:tcPr>
            <w:tcW w:w="920" w:type="dxa"/>
            <w:vAlign w:val="bottom"/>
            <w:tcBorders>
              <w:bottom w:val="single" w:sz="8" w:color="AFAFAF"/>
            </w:tcBorders>
            <w:gridSpan w:val="2"/>
          </w:tcPr>
          <w:p>
            <w:pPr>
              <w:spacing w:after="0"/>
              <w:rPr>
                <w:sz w:val="3"/>
                <w:szCs w:val="3"/>
                <w:color w:val="auto"/>
              </w:rPr>
            </w:pPr>
          </w:p>
        </w:tc>
        <w:tc>
          <w:tcPr>
            <w:tcW w:w="960" w:type="dxa"/>
            <w:vAlign w:val="bottom"/>
            <w:tcBorders>
              <w:bottom w:val="single" w:sz="8" w:color="AFAFAF"/>
            </w:tcBorders>
          </w:tcPr>
          <w:p>
            <w:pPr>
              <w:spacing w:after="0"/>
              <w:rPr>
                <w:sz w:val="3"/>
                <w:szCs w:val="3"/>
                <w:color w:val="auto"/>
              </w:rPr>
            </w:pPr>
          </w:p>
        </w:tc>
      </w:tr>
      <w:tr>
        <w:trPr>
          <w:trHeight w:val="250"/>
        </w:trPr>
        <w:tc>
          <w:tcPr>
            <w:tcW w:w="5180" w:type="dxa"/>
            <w:vAlign w:val="bottom"/>
          </w:tcPr>
          <w:p>
            <w:pPr>
              <w:ind w:left="80"/>
              <w:spacing w:after="0"/>
              <w:rPr>
                <w:sz w:val="20"/>
                <w:szCs w:val="20"/>
                <w:color w:val="auto"/>
              </w:rPr>
            </w:pPr>
            <w:r>
              <w:rPr>
                <w:rFonts w:ascii="Arial" w:cs="Arial" w:eastAsia="Arial" w:hAnsi="Arial"/>
                <w:sz w:val="16"/>
                <w:szCs w:val="16"/>
                <w:b w:val="1"/>
                <w:bCs w:val="1"/>
                <w:color w:val="auto"/>
              </w:rPr>
              <w:t>Michael E. Daniels</w:t>
            </w:r>
          </w:p>
        </w:tc>
        <w:tc>
          <w:tcPr>
            <w:tcW w:w="460" w:type="dxa"/>
            <w:vAlign w:val="bottom"/>
          </w:tcPr>
          <w:p>
            <w:pPr>
              <w:jc w:val="center"/>
              <w:ind w:left="41"/>
              <w:spacing w:after="0"/>
              <w:rPr>
                <w:sz w:val="20"/>
                <w:szCs w:val="20"/>
                <w:color w:val="auto"/>
              </w:rPr>
            </w:pPr>
            <w:r>
              <w:rPr>
                <w:rFonts w:ascii="Arial" w:cs="Arial" w:eastAsia="Arial" w:hAnsi="Arial"/>
                <w:sz w:val="16"/>
                <w:szCs w:val="16"/>
                <w:color w:val="auto"/>
              </w:rPr>
              <w:t>70</w:t>
            </w:r>
          </w:p>
        </w:tc>
        <w:tc>
          <w:tcPr>
            <w:tcW w:w="820" w:type="dxa"/>
            <w:vAlign w:val="bottom"/>
          </w:tcPr>
          <w:p>
            <w:pPr>
              <w:jc w:val="center"/>
              <w:ind w:left="1"/>
              <w:spacing w:after="0"/>
              <w:rPr>
                <w:sz w:val="20"/>
                <w:szCs w:val="20"/>
                <w:color w:val="auto"/>
              </w:rPr>
            </w:pPr>
            <w:r>
              <w:rPr>
                <w:rFonts w:ascii="Arial" w:cs="Arial" w:eastAsia="Arial" w:hAnsi="Arial"/>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Chair</w:t>
            </w:r>
          </w:p>
        </w:tc>
        <w:tc>
          <w:tcPr>
            <w:tcW w:w="1180" w:type="dxa"/>
            <w:vAlign w:val="bottom"/>
          </w:tcPr>
          <w:p>
            <w:pPr>
              <w:jc w:val="center"/>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center"/>
              <w:ind w:right="163"/>
              <w:spacing w:after="0"/>
              <w:rPr>
                <w:sz w:val="20"/>
                <w:szCs w:val="20"/>
                <w:color w:val="auto"/>
              </w:rPr>
            </w:pPr>
            <w:r>
              <w:rPr>
                <w:rFonts w:ascii="Arial" w:cs="Arial" w:eastAsia="Arial" w:hAnsi="Arial"/>
                <w:sz w:val="16"/>
                <w:szCs w:val="16"/>
                <w:color w:val="auto"/>
              </w:rPr>
              <w:t>•</w:t>
            </w:r>
          </w:p>
        </w:tc>
        <w:tc>
          <w:tcPr>
            <w:tcW w:w="960" w:type="dxa"/>
            <w:vAlign w:val="bottom"/>
          </w:tcPr>
          <w:p>
            <w:pPr>
              <w:jc w:val="center"/>
              <w:ind w:right="141"/>
              <w:spacing w:after="0"/>
              <w:rPr>
                <w:sz w:val="20"/>
                <w:szCs w:val="20"/>
                <w:color w:val="auto"/>
              </w:rPr>
            </w:pPr>
            <w:r>
              <w:rPr>
                <w:rFonts w:ascii="Arial" w:cs="Arial" w:eastAsia="Arial" w:hAnsi="Arial"/>
                <w:sz w:val="16"/>
                <w:szCs w:val="16"/>
                <w:color w:val="auto"/>
                <w:w w:val="95"/>
              </w:rPr>
              <w:t>2014</w:t>
            </w:r>
          </w:p>
        </w:tc>
      </w:tr>
      <w:tr>
        <w:trPr>
          <w:trHeight w:val="35"/>
        </w:trPr>
        <w:tc>
          <w:tcPr>
            <w:tcW w:w="5180" w:type="dxa"/>
            <w:vAlign w:val="bottom"/>
            <w:tcBorders>
              <w:bottom w:val="single" w:sz="8" w:color="AFAFAF"/>
            </w:tcBorders>
          </w:tcPr>
          <w:p>
            <w:pPr>
              <w:spacing w:after="0"/>
              <w:rPr>
                <w:sz w:val="3"/>
                <w:szCs w:val="3"/>
                <w:color w:val="auto"/>
              </w:rPr>
            </w:pPr>
          </w:p>
        </w:tc>
        <w:tc>
          <w:tcPr>
            <w:tcW w:w="460" w:type="dxa"/>
            <w:vAlign w:val="bottom"/>
            <w:tcBorders>
              <w:bottom w:val="single" w:sz="8" w:color="AFAFAF"/>
            </w:tcBorders>
          </w:tcPr>
          <w:p>
            <w:pPr>
              <w:spacing w:after="0"/>
              <w:rPr>
                <w:sz w:val="3"/>
                <w:szCs w:val="3"/>
                <w:color w:val="auto"/>
              </w:rPr>
            </w:pPr>
          </w:p>
        </w:tc>
        <w:tc>
          <w:tcPr>
            <w:tcW w:w="820" w:type="dxa"/>
            <w:vAlign w:val="bottom"/>
            <w:tcBorders>
              <w:bottom w:val="single" w:sz="8" w:color="AFAFAF"/>
            </w:tcBorders>
          </w:tcPr>
          <w:p>
            <w:pPr>
              <w:spacing w:after="0"/>
              <w:rPr>
                <w:sz w:val="3"/>
                <w:szCs w:val="3"/>
                <w:color w:val="auto"/>
              </w:rPr>
            </w:pPr>
          </w:p>
        </w:tc>
        <w:tc>
          <w:tcPr>
            <w:tcW w:w="1280" w:type="dxa"/>
            <w:vAlign w:val="bottom"/>
            <w:tcBorders>
              <w:bottom w:val="single" w:sz="8" w:color="AFAFAF"/>
            </w:tcBorders>
          </w:tcPr>
          <w:p>
            <w:pPr>
              <w:spacing w:after="0"/>
              <w:rPr>
                <w:sz w:val="3"/>
                <w:szCs w:val="3"/>
                <w:color w:val="auto"/>
              </w:rPr>
            </w:pPr>
          </w:p>
        </w:tc>
        <w:tc>
          <w:tcPr>
            <w:tcW w:w="1180" w:type="dxa"/>
            <w:vAlign w:val="bottom"/>
            <w:tcBorders>
              <w:bottom w:val="single" w:sz="8" w:color="AFAFAF"/>
            </w:tcBorders>
          </w:tcPr>
          <w:p>
            <w:pPr>
              <w:spacing w:after="0"/>
              <w:rPr>
                <w:sz w:val="3"/>
                <w:szCs w:val="3"/>
                <w:color w:val="auto"/>
              </w:rPr>
            </w:pPr>
          </w:p>
        </w:tc>
        <w:tc>
          <w:tcPr>
            <w:tcW w:w="920" w:type="dxa"/>
            <w:vAlign w:val="bottom"/>
            <w:tcBorders>
              <w:bottom w:val="single" w:sz="8" w:color="AFAFAF"/>
            </w:tcBorders>
            <w:gridSpan w:val="2"/>
          </w:tcPr>
          <w:p>
            <w:pPr>
              <w:spacing w:after="0"/>
              <w:rPr>
                <w:sz w:val="3"/>
                <w:szCs w:val="3"/>
                <w:color w:val="auto"/>
              </w:rPr>
            </w:pPr>
          </w:p>
        </w:tc>
        <w:tc>
          <w:tcPr>
            <w:tcW w:w="960" w:type="dxa"/>
            <w:vAlign w:val="bottom"/>
            <w:tcBorders>
              <w:bottom w:val="single" w:sz="8" w:color="AFAFAF"/>
            </w:tcBorders>
          </w:tcPr>
          <w:p>
            <w:pPr>
              <w:spacing w:after="0"/>
              <w:rPr>
                <w:sz w:val="3"/>
                <w:szCs w:val="3"/>
                <w:color w:val="auto"/>
              </w:rPr>
            </w:pPr>
          </w:p>
        </w:tc>
      </w:tr>
      <w:tr>
        <w:trPr>
          <w:trHeight w:val="250"/>
        </w:trPr>
        <w:tc>
          <w:tcPr>
            <w:tcW w:w="5180" w:type="dxa"/>
            <w:vAlign w:val="bottom"/>
          </w:tcPr>
          <w:p>
            <w:pPr>
              <w:ind w:left="80"/>
              <w:spacing w:after="0"/>
              <w:rPr>
                <w:sz w:val="20"/>
                <w:szCs w:val="20"/>
                <w:color w:val="auto"/>
              </w:rPr>
            </w:pPr>
            <w:r>
              <w:rPr>
                <w:rFonts w:ascii="Arial" w:cs="Arial" w:eastAsia="Arial" w:hAnsi="Arial"/>
                <w:sz w:val="16"/>
                <w:szCs w:val="16"/>
                <w:b w:val="1"/>
                <w:bCs w:val="1"/>
                <w:color w:val="auto"/>
              </w:rPr>
              <w:t>Kirk Koenigsbauer</w:t>
            </w:r>
          </w:p>
        </w:tc>
        <w:tc>
          <w:tcPr>
            <w:tcW w:w="460" w:type="dxa"/>
            <w:vAlign w:val="bottom"/>
          </w:tcPr>
          <w:p>
            <w:pPr>
              <w:jc w:val="center"/>
              <w:ind w:left="41"/>
              <w:spacing w:after="0"/>
              <w:rPr>
                <w:sz w:val="20"/>
                <w:szCs w:val="20"/>
                <w:color w:val="auto"/>
              </w:rPr>
            </w:pPr>
            <w:r>
              <w:rPr>
                <w:rFonts w:ascii="Arial" w:cs="Arial" w:eastAsia="Arial" w:hAnsi="Arial"/>
                <w:sz w:val="16"/>
                <w:szCs w:val="16"/>
                <w:color w:val="auto"/>
              </w:rPr>
              <w:t>57</w:t>
            </w:r>
          </w:p>
        </w:tc>
        <w:tc>
          <w:tcPr>
            <w:tcW w:w="8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center"/>
              <w:ind w:right="163"/>
              <w:spacing w:after="0"/>
              <w:rPr>
                <w:sz w:val="20"/>
                <w:szCs w:val="20"/>
                <w:color w:val="auto"/>
              </w:rPr>
            </w:pPr>
            <w:r>
              <w:rPr>
                <w:rFonts w:ascii="Arial" w:cs="Arial" w:eastAsia="Arial" w:hAnsi="Arial"/>
                <w:sz w:val="16"/>
                <w:szCs w:val="16"/>
                <w:color w:val="auto"/>
              </w:rPr>
              <w:t>•</w:t>
            </w:r>
          </w:p>
        </w:tc>
        <w:tc>
          <w:tcPr>
            <w:tcW w:w="960" w:type="dxa"/>
            <w:vAlign w:val="bottom"/>
          </w:tcPr>
          <w:p>
            <w:pPr>
              <w:jc w:val="center"/>
              <w:ind w:right="141"/>
              <w:spacing w:after="0"/>
              <w:rPr>
                <w:sz w:val="20"/>
                <w:szCs w:val="20"/>
                <w:color w:val="auto"/>
              </w:rPr>
            </w:pPr>
            <w:r>
              <w:rPr>
                <w:rFonts w:ascii="Arial" w:cs="Arial" w:eastAsia="Arial" w:hAnsi="Arial"/>
                <w:sz w:val="16"/>
                <w:szCs w:val="16"/>
                <w:color w:val="auto"/>
                <w:w w:val="95"/>
              </w:rPr>
              <w:t>2020</w:t>
            </w:r>
          </w:p>
        </w:tc>
      </w:tr>
      <w:tr>
        <w:trPr>
          <w:trHeight w:val="35"/>
        </w:trPr>
        <w:tc>
          <w:tcPr>
            <w:tcW w:w="5180" w:type="dxa"/>
            <w:vAlign w:val="bottom"/>
            <w:tcBorders>
              <w:bottom w:val="single" w:sz="8" w:color="AFAFAF"/>
            </w:tcBorders>
          </w:tcPr>
          <w:p>
            <w:pPr>
              <w:spacing w:after="0"/>
              <w:rPr>
                <w:sz w:val="3"/>
                <w:szCs w:val="3"/>
                <w:color w:val="auto"/>
              </w:rPr>
            </w:pPr>
          </w:p>
        </w:tc>
        <w:tc>
          <w:tcPr>
            <w:tcW w:w="460" w:type="dxa"/>
            <w:vAlign w:val="bottom"/>
            <w:tcBorders>
              <w:bottom w:val="single" w:sz="8" w:color="AFAFAF"/>
            </w:tcBorders>
          </w:tcPr>
          <w:p>
            <w:pPr>
              <w:spacing w:after="0"/>
              <w:rPr>
                <w:sz w:val="3"/>
                <w:szCs w:val="3"/>
                <w:color w:val="auto"/>
              </w:rPr>
            </w:pPr>
          </w:p>
        </w:tc>
        <w:tc>
          <w:tcPr>
            <w:tcW w:w="820" w:type="dxa"/>
            <w:vAlign w:val="bottom"/>
            <w:tcBorders>
              <w:bottom w:val="single" w:sz="8" w:color="AFAFAF"/>
            </w:tcBorders>
          </w:tcPr>
          <w:p>
            <w:pPr>
              <w:spacing w:after="0"/>
              <w:rPr>
                <w:sz w:val="3"/>
                <w:szCs w:val="3"/>
                <w:color w:val="auto"/>
              </w:rPr>
            </w:pPr>
          </w:p>
        </w:tc>
        <w:tc>
          <w:tcPr>
            <w:tcW w:w="1280" w:type="dxa"/>
            <w:vAlign w:val="bottom"/>
            <w:tcBorders>
              <w:bottom w:val="single" w:sz="8" w:color="AFAFAF"/>
            </w:tcBorders>
          </w:tcPr>
          <w:p>
            <w:pPr>
              <w:spacing w:after="0"/>
              <w:rPr>
                <w:sz w:val="3"/>
                <w:szCs w:val="3"/>
                <w:color w:val="auto"/>
              </w:rPr>
            </w:pPr>
          </w:p>
        </w:tc>
        <w:tc>
          <w:tcPr>
            <w:tcW w:w="1180" w:type="dxa"/>
            <w:vAlign w:val="bottom"/>
            <w:tcBorders>
              <w:bottom w:val="single" w:sz="8" w:color="AFAFAF"/>
            </w:tcBorders>
          </w:tcPr>
          <w:p>
            <w:pPr>
              <w:spacing w:after="0"/>
              <w:rPr>
                <w:sz w:val="3"/>
                <w:szCs w:val="3"/>
                <w:color w:val="auto"/>
              </w:rPr>
            </w:pPr>
          </w:p>
        </w:tc>
        <w:tc>
          <w:tcPr>
            <w:tcW w:w="580" w:type="dxa"/>
            <w:vAlign w:val="bottom"/>
            <w:tcBorders>
              <w:bottom w:val="single" w:sz="8" w:color="AFAFAF"/>
            </w:tcBorders>
          </w:tcPr>
          <w:p>
            <w:pPr>
              <w:spacing w:after="0"/>
              <w:rPr>
                <w:sz w:val="3"/>
                <w:szCs w:val="3"/>
                <w:color w:val="auto"/>
              </w:rPr>
            </w:pPr>
          </w:p>
        </w:tc>
        <w:tc>
          <w:tcPr>
            <w:tcW w:w="340" w:type="dxa"/>
            <w:vAlign w:val="bottom"/>
            <w:tcBorders>
              <w:bottom w:val="single" w:sz="8" w:color="AFAFAF"/>
            </w:tcBorders>
          </w:tcPr>
          <w:p>
            <w:pPr>
              <w:spacing w:after="0"/>
              <w:rPr>
                <w:sz w:val="3"/>
                <w:szCs w:val="3"/>
                <w:color w:val="auto"/>
              </w:rPr>
            </w:pPr>
          </w:p>
        </w:tc>
        <w:tc>
          <w:tcPr>
            <w:tcW w:w="960" w:type="dxa"/>
            <w:vAlign w:val="bottom"/>
            <w:tcBorders>
              <w:bottom w:val="single" w:sz="8" w:color="AFAFAF"/>
            </w:tcBorders>
          </w:tcPr>
          <w:p>
            <w:pPr>
              <w:spacing w:after="0"/>
              <w:rPr>
                <w:sz w:val="3"/>
                <w:szCs w:val="3"/>
                <w:color w:val="auto"/>
              </w:rPr>
            </w:pPr>
          </w:p>
        </w:tc>
      </w:tr>
      <w:tr>
        <w:trPr>
          <w:trHeight w:val="250"/>
        </w:trPr>
        <w:tc>
          <w:tcPr>
            <w:tcW w:w="5180" w:type="dxa"/>
            <w:vAlign w:val="bottom"/>
          </w:tcPr>
          <w:p>
            <w:pPr>
              <w:ind w:left="80"/>
              <w:spacing w:after="0"/>
              <w:rPr>
                <w:sz w:val="20"/>
                <w:szCs w:val="20"/>
                <w:color w:val="auto"/>
              </w:rPr>
            </w:pPr>
            <w:r>
              <w:rPr>
                <w:rFonts w:ascii="Arial" w:cs="Arial" w:eastAsia="Arial" w:hAnsi="Arial"/>
                <w:sz w:val="16"/>
                <w:szCs w:val="16"/>
                <w:b w:val="1"/>
                <w:bCs w:val="1"/>
                <w:color w:val="auto"/>
              </w:rPr>
              <w:t>Deanna Oppenheimer</w:t>
            </w:r>
          </w:p>
        </w:tc>
        <w:tc>
          <w:tcPr>
            <w:tcW w:w="460" w:type="dxa"/>
            <w:vAlign w:val="bottom"/>
          </w:tcPr>
          <w:p>
            <w:pPr>
              <w:jc w:val="center"/>
              <w:ind w:left="41"/>
              <w:spacing w:after="0"/>
              <w:rPr>
                <w:sz w:val="20"/>
                <w:szCs w:val="20"/>
                <w:color w:val="auto"/>
              </w:rPr>
            </w:pPr>
            <w:r>
              <w:rPr>
                <w:rFonts w:ascii="Arial" w:cs="Arial" w:eastAsia="Arial" w:hAnsi="Arial"/>
                <w:sz w:val="16"/>
                <w:szCs w:val="16"/>
                <w:color w:val="auto"/>
              </w:rPr>
              <w:t>67</w:t>
            </w:r>
          </w:p>
        </w:tc>
        <w:tc>
          <w:tcPr>
            <w:tcW w:w="820" w:type="dxa"/>
            <w:vAlign w:val="bottom"/>
          </w:tcPr>
          <w:p>
            <w:pPr>
              <w:jc w:val="center"/>
              <w:ind w:left="1"/>
              <w:spacing w:after="0"/>
              <w:rPr>
                <w:sz w:val="20"/>
                <w:szCs w:val="20"/>
                <w:color w:val="auto"/>
              </w:rPr>
            </w:pPr>
            <w:r>
              <w:rPr>
                <w:rFonts w:ascii="Arial" w:cs="Arial" w:eastAsia="Arial" w:hAnsi="Arial"/>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rPr>
              <w:t>•</w:t>
            </w:r>
          </w:p>
        </w:tc>
        <w:tc>
          <w:tcPr>
            <w:tcW w:w="1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center"/>
              <w:ind w:right="141"/>
              <w:spacing w:after="0"/>
              <w:rPr>
                <w:sz w:val="20"/>
                <w:szCs w:val="20"/>
                <w:color w:val="auto"/>
              </w:rPr>
            </w:pPr>
            <w:r>
              <w:rPr>
                <w:rFonts w:ascii="Arial" w:cs="Arial" w:eastAsia="Arial" w:hAnsi="Arial"/>
                <w:sz w:val="16"/>
                <w:szCs w:val="16"/>
                <w:color w:val="auto"/>
                <w:w w:val="95"/>
              </w:rPr>
              <w:t>2020</w:t>
            </w:r>
          </w:p>
        </w:tc>
      </w:tr>
      <w:tr>
        <w:trPr>
          <w:trHeight w:val="35"/>
        </w:trPr>
        <w:tc>
          <w:tcPr>
            <w:tcW w:w="5180" w:type="dxa"/>
            <w:vAlign w:val="bottom"/>
            <w:tcBorders>
              <w:bottom w:val="single" w:sz="8" w:color="AFAFAF"/>
            </w:tcBorders>
          </w:tcPr>
          <w:p>
            <w:pPr>
              <w:spacing w:after="0"/>
              <w:rPr>
                <w:sz w:val="3"/>
                <w:szCs w:val="3"/>
                <w:color w:val="auto"/>
              </w:rPr>
            </w:pPr>
          </w:p>
        </w:tc>
        <w:tc>
          <w:tcPr>
            <w:tcW w:w="460" w:type="dxa"/>
            <w:vAlign w:val="bottom"/>
            <w:tcBorders>
              <w:bottom w:val="single" w:sz="8" w:color="AFAFAF"/>
            </w:tcBorders>
          </w:tcPr>
          <w:p>
            <w:pPr>
              <w:spacing w:after="0"/>
              <w:rPr>
                <w:sz w:val="3"/>
                <w:szCs w:val="3"/>
                <w:color w:val="auto"/>
              </w:rPr>
            </w:pPr>
          </w:p>
        </w:tc>
        <w:tc>
          <w:tcPr>
            <w:tcW w:w="820" w:type="dxa"/>
            <w:vAlign w:val="bottom"/>
            <w:tcBorders>
              <w:bottom w:val="single" w:sz="8" w:color="AFAFAF"/>
            </w:tcBorders>
          </w:tcPr>
          <w:p>
            <w:pPr>
              <w:spacing w:after="0"/>
              <w:rPr>
                <w:sz w:val="3"/>
                <w:szCs w:val="3"/>
                <w:color w:val="auto"/>
              </w:rPr>
            </w:pPr>
          </w:p>
        </w:tc>
        <w:tc>
          <w:tcPr>
            <w:tcW w:w="1280" w:type="dxa"/>
            <w:vAlign w:val="bottom"/>
            <w:tcBorders>
              <w:bottom w:val="single" w:sz="8" w:color="AFAFAF"/>
            </w:tcBorders>
          </w:tcPr>
          <w:p>
            <w:pPr>
              <w:spacing w:after="0"/>
              <w:rPr>
                <w:sz w:val="3"/>
                <w:szCs w:val="3"/>
                <w:color w:val="auto"/>
              </w:rPr>
            </w:pPr>
          </w:p>
        </w:tc>
        <w:tc>
          <w:tcPr>
            <w:tcW w:w="1180" w:type="dxa"/>
            <w:vAlign w:val="bottom"/>
            <w:tcBorders>
              <w:bottom w:val="single" w:sz="8" w:color="AFAFAF"/>
            </w:tcBorders>
          </w:tcPr>
          <w:p>
            <w:pPr>
              <w:spacing w:after="0"/>
              <w:rPr>
                <w:sz w:val="3"/>
                <w:szCs w:val="3"/>
                <w:color w:val="auto"/>
              </w:rPr>
            </w:pPr>
          </w:p>
        </w:tc>
        <w:tc>
          <w:tcPr>
            <w:tcW w:w="920" w:type="dxa"/>
            <w:vAlign w:val="bottom"/>
            <w:tcBorders>
              <w:bottom w:val="single" w:sz="8" w:color="AFAFAF"/>
            </w:tcBorders>
            <w:gridSpan w:val="2"/>
          </w:tcPr>
          <w:p>
            <w:pPr>
              <w:spacing w:after="0"/>
              <w:rPr>
                <w:sz w:val="3"/>
                <w:szCs w:val="3"/>
                <w:color w:val="auto"/>
              </w:rPr>
            </w:pPr>
          </w:p>
        </w:tc>
        <w:tc>
          <w:tcPr>
            <w:tcW w:w="960" w:type="dxa"/>
            <w:vAlign w:val="bottom"/>
            <w:tcBorders>
              <w:bottom w:val="single" w:sz="8" w:color="AFAFAF"/>
            </w:tcBorders>
          </w:tcPr>
          <w:p>
            <w:pPr>
              <w:spacing w:after="0"/>
              <w:rPr>
                <w:sz w:val="3"/>
                <w:szCs w:val="3"/>
                <w:color w:val="auto"/>
              </w:rPr>
            </w:pPr>
          </w:p>
        </w:tc>
      </w:tr>
      <w:tr>
        <w:trPr>
          <w:trHeight w:val="250"/>
        </w:trPr>
        <w:tc>
          <w:tcPr>
            <w:tcW w:w="5180" w:type="dxa"/>
            <w:vAlign w:val="bottom"/>
          </w:tcPr>
          <w:p>
            <w:pPr>
              <w:ind w:left="80"/>
              <w:spacing w:after="0"/>
              <w:rPr>
                <w:sz w:val="20"/>
                <w:szCs w:val="20"/>
                <w:color w:val="auto"/>
              </w:rPr>
            </w:pPr>
            <w:r>
              <w:rPr>
                <w:rFonts w:ascii="Arial" w:cs="Arial" w:eastAsia="Arial" w:hAnsi="Arial"/>
                <w:sz w:val="16"/>
                <w:szCs w:val="16"/>
                <w:b w:val="1"/>
                <w:bCs w:val="1"/>
                <w:color w:val="auto"/>
              </w:rPr>
              <w:t>Simon Paris</w:t>
            </w:r>
          </w:p>
        </w:tc>
        <w:tc>
          <w:tcPr>
            <w:tcW w:w="460" w:type="dxa"/>
            <w:vAlign w:val="bottom"/>
          </w:tcPr>
          <w:p>
            <w:pPr>
              <w:jc w:val="center"/>
              <w:ind w:left="41"/>
              <w:spacing w:after="0"/>
              <w:rPr>
                <w:sz w:val="20"/>
                <w:szCs w:val="20"/>
                <w:color w:val="auto"/>
              </w:rPr>
            </w:pPr>
            <w:r>
              <w:rPr>
                <w:rFonts w:ascii="Arial" w:cs="Arial" w:eastAsia="Arial" w:hAnsi="Arial"/>
                <w:sz w:val="16"/>
                <w:szCs w:val="16"/>
                <w:color w:val="auto"/>
              </w:rPr>
              <w:t>55</w:t>
            </w:r>
          </w:p>
        </w:tc>
        <w:tc>
          <w:tcPr>
            <w:tcW w:w="820" w:type="dxa"/>
            <w:vAlign w:val="bottom"/>
          </w:tcPr>
          <w:p>
            <w:pPr>
              <w:jc w:val="center"/>
              <w:ind w:left="1"/>
              <w:spacing w:after="0"/>
              <w:rPr>
                <w:sz w:val="20"/>
                <w:szCs w:val="20"/>
                <w:color w:val="auto"/>
              </w:rPr>
            </w:pPr>
            <w:r>
              <w:rPr>
                <w:rFonts w:ascii="Arial" w:cs="Arial" w:eastAsia="Arial" w:hAnsi="Arial"/>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rPr>
              <w:t>•</w:t>
            </w:r>
          </w:p>
        </w:tc>
        <w:tc>
          <w:tcPr>
            <w:tcW w:w="1180" w:type="dxa"/>
            <w:vAlign w:val="bottom"/>
          </w:tcPr>
          <w:p>
            <w:pPr>
              <w:spacing w:after="0"/>
              <w:rPr>
                <w:sz w:val="21"/>
                <w:szCs w:val="21"/>
                <w:color w:val="auto"/>
              </w:rPr>
            </w:pPr>
          </w:p>
        </w:tc>
        <w:tc>
          <w:tcPr>
            <w:tcW w:w="920" w:type="dxa"/>
            <w:vAlign w:val="bottom"/>
            <w:gridSpan w:val="2"/>
          </w:tcPr>
          <w:p>
            <w:pPr>
              <w:jc w:val="center"/>
              <w:ind w:right="163"/>
              <w:spacing w:after="0"/>
              <w:rPr>
                <w:sz w:val="20"/>
                <w:szCs w:val="20"/>
                <w:color w:val="auto"/>
              </w:rPr>
            </w:pPr>
            <w:r>
              <w:rPr>
                <w:rFonts w:ascii="Arial" w:cs="Arial" w:eastAsia="Arial" w:hAnsi="Arial"/>
                <w:sz w:val="16"/>
                <w:szCs w:val="16"/>
                <w:color w:val="auto"/>
              </w:rPr>
              <w:t>•</w:t>
            </w:r>
          </w:p>
        </w:tc>
        <w:tc>
          <w:tcPr>
            <w:tcW w:w="960" w:type="dxa"/>
            <w:vAlign w:val="bottom"/>
          </w:tcPr>
          <w:p>
            <w:pPr>
              <w:jc w:val="center"/>
              <w:ind w:right="141"/>
              <w:spacing w:after="0"/>
              <w:rPr>
                <w:sz w:val="20"/>
                <w:szCs w:val="20"/>
                <w:color w:val="auto"/>
              </w:rPr>
            </w:pPr>
            <w:r>
              <w:rPr>
                <w:rFonts w:ascii="Arial" w:cs="Arial" w:eastAsia="Arial" w:hAnsi="Arial"/>
                <w:sz w:val="16"/>
                <w:szCs w:val="16"/>
                <w:color w:val="auto"/>
                <w:w w:val="95"/>
              </w:rPr>
              <w:t>2020</w:t>
            </w:r>
          </w:p>
        </w:tc>
      </w:tr>
      <w:tr>
        <w:trPr>
          <w:trHeight w:val="35"/>
        </w:trPr>
        <w:tc>
          <w:tcPr>
            <w:tcW w:w="5180" w:type="dxa"/>
            <w:vAlign w:val="bottom"/>
            <w:tcBorders>
              <w:bottom w:val="single" w:sz="8" w:color="AFAFAF"/>
            </w:tcBorders>
          </w:tcPr>
          <w:p>
            <w:pPr>
              <w:spacing w:after="0"/>
              <w:rPr>
                <w:sz w:val="3"/>
                <w:szCs w:val="3"/>
                <w:color w:val="auto"/>
              </w:rPr>
            </w:pPr>
          </w:p>
        </w:tc>
        <w:tc>
          <w:tcPr>
            <w:tcW w:w="460" w:type="dxa"/>
            <w:vAlign w:val="bottom"/>
            <w:tcBorders>
              <w:bottom w:val="single" w:sz="8" w:color="AFAFAF"/>
            </w:tcBorders>
          </w:tcPr>
          <w:p>
            <w:pPr>
              <w:spacing w:after="0"/>
              <w:rPr>
                <w:sz w:val="3"/>
                <w:szCs w:val="3"/>
                <w:color w:val="auto"/>
              </w:rPr>
            </w:pPr>
          </w:p>
        </w:tc>
        <w:tc>
          <w:tcPr>
            <w:tcW w:w="820" w:type="dxa"/>
            <w:vAlign w:val="bottom"/>
            <w:tcBorders>
              <w:bottom w:val="single" w:sz="8" w:color="AFAFAF"/>
            </w:tcBorders>
          </w:tcPr>
          <w:p>
            <w:pPr>
              <w:spacing w:after="0"/>
              <w:rPr>
                <w:sz w:val="3"/>
                <w:szCs w:val="3"/>
                <w:color w:val="auto"/>
              </w:rPr>
            </w:pPr>
          </w:p>
        </w:tc>
        <w:tc>
          <w:tcPr>
            <w:tcW w:w="1280" w:type="dxa"/>
            <w:vAlign w:val="bottom"/>
            <w:tcBorders>
              <w:bottom w:val="single" w:sz="8" w:color="AFAFAF"/>
            </w:tcBorders>
          </w:tcPr>
          <w:p>
            <w:pPr>
              <w:spacing w:after="0"/>
              <w:rPr>
                <w:sz w:val="3"/>
                <w:szCs w:val="3"/>
                <w:color w:val="auto"/>
              </w:rPr>
            </w:pPr>
          </w:p>
        </w:tc>
        <w:tc>
          <w:tcPr>
            <w:tcW w:w="1180" w:type="dxa"/>
            <w:vAlign w:val="bottom"/>
            <w:tcBorders>
              <w:bottom w:val="single" w:sz="8" w:color="AFAFAF"/>
            </w:tcBorders>
          </w:tcPr>
          <w:p>
            <w:pPr>
              <w:spacing w:after="0"/>
              <w:rPr>
                <w:sz w:val="3"/>
                <w:szCs w:val="3"/>
                <w:color w:val="auto"/>
              </w:rPr>
            </w:pPr>
          </w:p>
        </w:tc>
        <w:tc>
          <w:tcPr>
            <w:tcW w:w="920" w:type="dxa"/>
            <w:vAlign w:val="bottom"/>
            <w:tcBorders>
              <w:bottom w:val="single" w:sz="8" w:color="AFAFAF"/>
            </w:tcBorders>
            <w:gridSpan w:val="2"/>
          </w:tcPr>
          <w:p>
            <w:pPr>
              <w:spacing w:after="0"/>
              <w:rPr>
                <w:sz w:val="3"/>
                <w:szCs w:val="3"/>
                <w:color w:val="auto"/>
              </w:rPr>
            </w:pPr>
          </w:p>
        </w:tc>
        <w:tc>
          <w:tcPr>
            <w:tcW w:w="960" w:type="dxa"/>
            <w:vAlign w:val="bottom"/>
            <w:tcBorders>
              <w:bottom w:val="single" w:sz="8" w:color="AFAFAF"/>
            </w:tcBorders>
          </w:tcPr>
          <w:p>
            <w:pPr>
              <w:spacing w:after="0"/>
              <w:rPr>
                <w:sz w:val="3"/>
                <w:szCs w:val="3"/>
                <w:color w:val="auto"/>
              </w:rPr>
            </w:pPr>
          </w:p>
        </w:tc>
      </w:tr>
      <w:tr>
        <w:trPr>
          <w:trHeight w:val="250"/>
        </w:trPr>
        <w:tc>
          <w:tcPr>
            <w:tcW w:w="5180" w:type="dxa"/>
            <w:vAlign w:val="bottom"/>
          </w:tcPr>
          <w:p>
            <w:pPr>
              <w:ind w:left="80"/>
              <w:spacing w:after="0"/>
              <w:rPr>
                <w:sz w:val="20"/>
                <w:szCs w:val="20"/>
                <w:color w:val="auto"/>
              </w:rPr>
            </w:pPr>
            <w:r>
              <w:rPr>
                <w:rFonts w:ascii="Arial" w:cs="Arial" w:eastAsia="Arial" w:hAnsi="Arial"/>
                <w:sz w:val="16"/>
                <w:szCs w:val="16"/>
                <w:b w:val="1"/>
                <w:bCs w:val="1"/>
                <w:color w:val="auto"/>
              </w:rPr>
              <w:t>Kim M. Rivera</w:t>
            </w:r>
          </w:p>
        </w:tc>
        <w:tc>
          <w:tcPr>
            <w:tcW w:w="460" w:type="dxa"/>
            <w:vAlign w:val="bottom"/>
          </w:tcPr>
          <w:p>
            <w:pPr>
              <w:jc w:val="center"/>
              <w:ind w:left="41"/>
              <w:spacing w:after="0"/>
              <w:rPr>
                <w:sz w:val="20"/>
                <w:szCs w:val="20"/>
                <w:color w:val="auto"/>
              </w:rPr>
            </w:pPr>
            <w:r>
              <w:rPr>
                <w:rFonts w:ascii="Arial" w:cs="Arial" w:eastAsia="Arial" w:hAnsi="Arial"/>
                <w:sz w:val="16"/>
                <w:szCs w:val="16"/>
                <w:color w:val="auto"/>
              </w:rPr>
              <w:t>56</w:t>
            </w:r>
          </w:p>
        </w:tc>
        <w:tc>
          <w:tcPr>
            <w:tcW w:w="820" w:type="dxa"/>
            <w:vAlign w:val="bottom"/>
          </w:tcPr>
          <w:p>
            <w:pPr>
              <w:jc w:val="center"/>
              <w:ind w:left="1"/>
              <w:spacing w:after="0"/>
              <w:rPr>
                <w:sz w:val="20"/>
                <w:szCs w:val="20"/>
                <w:color w:val="auto"/>
              </w:rPr>
            </w:pPr>
            <w:r>
              <w:rPr>
                <w:rFonts w:ascii="Arial" w:cs="Arial" w:eastAsia="Arial" w:hAnsi="Arial"/>
                <w:sz w:val="16"/>
                <w:szCs w:val="16"/>
                <w:color w:val="auto"/>
              </w:rPr>
              <w:t>•</w:t>
            </w:r>
          </w:p>
        </w:tc>
        <w:tc>
          <w:tcPr>
            <w:tcW w:w="1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20" w:type="dxa"/>
            <w:vAlign w:val="bottom"/>
            <w:gridSpan w:val="2"/>
          </w:tcPr>
          <w:p>
            <w:pPr>
              <w:jc w:val="center"/>
              <w:ind w:right="163"/>
              <w:spacing w:after="0"/>
              <w:rPr>
                <w:sz w:val="20"/>
                <w:szCs w:val="20"/>
                <w:color w:val="auto"/>
              </w:rPr>
            </w:pPr>
            <w:r>
              <w:rPr>
                <w:rFonts w:ascii="Arial" w:cs="Arial" w:eastAsia="Arial" w:hAnsi="Arial"/>
                <w:sz w:val="16"/>
                <w:szCs w:val="16"/>
                <w:color w:val="auto"/>
              </w:rPr>
              <w:t>•</w:t>
            </w:r>
          </w:p>
        </w:tc>
        <w:tc>
          <w:tcPr>
            <w:tcW w:w="960" w:type="dxa"/>
            <w:vAlign w:val="bottom"/>
          </w:tcPr>
          <w:p>
            <w:pPr>
              <w:jc w:val="center"/>
              <w:ind w:right="141"/>
              <w:spacing w:after="0"/>
              <w:rPr>
                <w:sz w:val="20"/>
                <w:szCs w:val="20"/>
                <w:color w:val="auto"/>
              </w:rPr>
            </w:pPr>
            <w:r>
              <w:rPr>
                <w:rFonts w:ascii="Arial" w:cs="Arial" w:eastAsia="Arial" w:hAnsi="Arial"/>
                <w:sz w:val="16"/>
                <w:szCs w:val="16"/>
                <w:color w:val="auto"/>
                <w:w w:val="95"/>
              </w:rPr>
              <w:t>2019</w:t>
            </w:r>
          </w:p>
        </w:tc>
      </w:tr>
      <w:tr>
        <w:trPr>
          <w:trHeight w:val="35"/>
        </w:trPr>
        <w:tc>
          <w:tcPr>
            <w:tcW w:w="5180" w:type="dxa"/>
            <w:vAlign w:val="bottom"/>
            <w:tcBorders>
              <w:bottom w:val="single" w:sz="8" w:color="AFAFAF"/>
            </w:tcBorders>
          </w:tcPr>
          <w:p>
            <w:pPr>
              <w:spacing w:after="0"/>
              <w:rPr>
                <w:sz w:val="3"/>
                <w:szCs w:val="3"/>
                <w:color w:val="auto"/>
              </w:rPr>
            </w:pPr>
          </w:p>
        </w:tc>
        <w:tc>
          <w:tcPr>
            <w:tcW w:w="460" w:type="dxa"/>
            <w:vAlign w:val="bottom"/>
            <w:tcBorders>
              <w:bottom w:val="single" w:sz="8" w:color="AFAFAF"/>
            </w:tcBorders>
          </w:tcPr>
          <w:p>
            <w:pPr>
              <w:spacing w:after="0"/>
              <w:rPr>
                <w:sz w:val="3"/>
                <w:szCs w:val="3"/>
                <w:color w:val="auto"/>
              </w:rPr>
            </w:pPr>
          </w:p>
        </w:tc>
        <w:tc>
          <w:tcPr>
            <w:tcW w:w="820" w:type="dxa"/>
            <w:vAlign w:val="bottom"/>
            <w:tcBorders>
              <w:bottom w:val="single" w:sz="8" w:color="AFAFAF"/>
            </w:tcBorders>
          </w:tcPr>
          <w:p>
            <w:pPr>
              <w:spacing w:after="0"/>
              <w:rPr>
                <w:sz w:val="3"/>
                <w:szCs w:val="3"/>
                <w:color w:val="auto"/>
              </w:rPr>
            </w:pPr>
          </w:p>
        </w:tc>
        <w:tc>
          <w:tcPr>
            <w:tcW w:w="1280" w:type="dxa"/>
            <w:vAlign w:val="bottom"/>
            <w:tcBorders>
              <w:bottom w:val="single" w:sz="8" w:color="AFAFAF"/>
            </w:tcBorders>
          </w:tcPr>
          <w:p>
            <w:pPr>
              <w:spacing w:after="0"/>
              <w:rPr>
                <w:sz w:val="3"/>
                <w:szCs w:val="3"/>
                <w:color w:val="auto"/>
              </w:rPr>
            </w:pPr>
          </w:p>
        </w:tc>
        <w:tc>
          <w:tcPr>
            <w:tcW w:w="1180" w:type="dxa"/>
            <w:vAlign w:val="bottom"/>
            <w:tcBorders>
              <w:bottom w:val="single" w:sz="8" w:color="AFAFAF"/>
            </w:tcBorders>
          </w:tcPr>
          <w:p>
            <w:pPr>
              <w:spacing w:after="0"/>
              <w:rPr>
                <w:sz w:val="3"/>
                <w:szCs w:val="3"/>
                <w:color w:val="auto"/>
              </w:rPr>
            </w:pPr>
          </w:p>
        </w:tc>
        <w:tc>
          <w:tcPr>
            <w:tcW w:w="920" w:type="dxa"/>
            <w:vAlign w:val="bottom"/>
            <w:tcBorders>
              <w:bottom w:val="single" w:sz="8" w:color="AFAFAF"/>
            </w:tcBorders>
            <w:gridSpan w:val="2"/>
          </w:tcPr>
          <w:p>
            <w:pPr>
              <w:spacing w:after="0"/>
              <w:rPr>
                <w:sz w:val="3"/>
                <w:szCs w:val="3"/>
                <w:color w:val="auto"/>
              </w:rPr>
            </w:pPr>
          </w:p>
        </w:tc>
        <w:tc>
          <w:tcPr>
            <w:tcW w:w="960" w:type="dxa"/>
            <w:vAlign w:val="bottom"/>
            <w:tcBorders>
              <w:bottom w:val="single" w:sz="8" w:color="AFAFAF"/>
            </w:tcBorders>
          </w:tcPr>
          <w:p>
            <w:pPr>
              <w:spacing w:after="0"/>
              <w:rPr>
                <w:sz w:val="3"/>
                <w:szCs w:val="3"/>
                <w:color w:val="auto"/>
              </w:rPr>
            </w:pPr>
          </w:p>
        </w:tc>
      </w:tr>
      <w:tr>
        <w:trPr>
          <w:trHeight w:val="250"/>
        </w:trPr>
        <w:tc>
          <w:tcPr>
            <w:tcW w:w="5180" w:type="dxa"/>
            <w:vAlign w:val="bottom"/>
          </w:tcPr>
          <w:p>
            <w:pPr>
              <w:ind w:left="80"/>
              <w:spacing w:after="0"/>
              <w:rPr>
                <w:sz w:val="20"/>
                <w:szCs w:val="20"/>
                <w:color w:val="auto"/>
              </w:rPr>
            </w:pPr>
            <w:r>
              <w:rPr>
                <w:rFonts w:ascii="Arial" w:cs="Arial" w:eastAsia="Arial" w:hAnsi="Arial"/>
                <w:sz w:val="16"/>
                <w:szCs w:val="16"/>
                <w:b w:val="1"/>
                <w:bCs w:val="1"/>
                <w:color w:val="auto"/>
              </w:rPr>
              <w:t>Barry Salzberg</w:t>
            </w:r>
          </w:p>
        </w:tc>
        <w:tc>
          <w:tcPr>
            <w:tcW w:w="460" w:type="dxa"/>
            <w:vAlign w:val="bottom"/>
          </w:tcPr>
          <w:p>
            <w:pPr>
              <w:jc w:val="center"/>
              <w:ind w:left="41"/>
              <w:spacing w:after="0"/>
              <w:rPr>
                <w:sz w:val="20"/>
                <w:szCs w:val="20"/>
                <w:color w:val="auto"/>
              </w:rPr>
            </w:pPr>
            <w:r>
              <w:rPr>
                <w:rFonts w:ascii="Arial" w:cs="Arial" w:eastAsia="Arial" w:hAnsi="Arial"/>
                <w:sz w:val="16"/>
                <w:szCs w:val="16"/>
                <w:color w:val="auto"/>
              </w:rPr>
              <w:t>71</w:t>
            </w:r>
          </w:p>
        </w:tc>
        <w:tc>
          <w:tcPr>
            <w:tcW w:w="820" w:type="dxa"/>
            <w:vAlign w:val="bottom"/>
          </w:tcPr>
          <w:p>
            <w:pPr>
              <w:jc w:val="center"/>
              <w:ind w:left="1"/>
              <w:spacing w:after="0"/>
              <w:rPr>
                <w:sz w:val="20"/>
                <w:szCs w:val="20"/>
                <w:color w:val="auto"/>
              </w:rPr>
            </w:pPr>
            <w:r>
              <w:rPr>
                <w:rFonts w:ascii="Arial" w:cs="Arial" w:eastAsia="Arial" w:hAnsi="Arial"/>
                <w:sz w:val="16"/>
                <w:szCs w:val="16"/>
                <w:color w:val="auto"/>
                <w:w w:val="99"/>
              </w:rPr>
              <w:t>Chair</w:t>
            </w:r>
          </w:p>
        </w:tc>
        <w:tc>
          <w:tcPr>
            <w:tcW w:w="1280" w:type="dxa"/>
            <w:vAlign w:val="bottom"/>
          </w:tcPr>
          <w:p>
            <w:pPr>
              <w:jc w:val="center"/>
              <w:spacing w:after="0"/>
              <w:rPr>
                <w:sz w:val="20"/>
                <w:szCs w:val="20"/>
                <w:color w:val="auto"/>
              </w:rPr>
            </w:pPr>
            <w:r>
              <w:rPr>
                <w:rFonts w:ascii="Arial" w:cs="Arial" w:eastAsia="Arial" w:hAnsi="Arial"/>
                <w:sz w:val="16"/>
                <w:szCs w:val="16"/>
                <w:color w:val="auto"/>
              </w:rPr>
              <w:t>•</w:t>
            </w:r>
          </w:p>
        </w:tc>
        <w:tc>
          <w:tcPr>
            <w:tcW w:w="1180" w:type="dxa"/>
            <w:vAlign w:val="bottom"/>
          </w:tcPr>
          <w:p>
            <w:pPr>
              <w:spacing w:after="0"/>
              <w:rPr>
                <w:sz w:val="21"/>
                <w:szCs w:val="21"/>
                <w:color w:val="auto"/>
              </w:rPr>
            </w:pPr>
          </w:p>
        </w:tc>
        <w:tc>
          <w:tcPr>
            <w:tcW w:w="920" w:type="dxa"/>
            <w:vAlign w:val="bottom"/>
            <w:gridSpan w:val="2"/>
          </w:tcPr>
          <w:p>
            <w:pPr>
              <w:jc w:val="center"/>
              <w:ind w:right="163"/>
              <w:spacing w:after="0"/>
              <w:rPr>
                <w:sz w:val="20"/>
                <w:szCs w:val="20"/>
                <w:color w:val="auto"/>
              </w:rPr>
            </w:pPr>
            <w:r>
              <w:rPr>
                <w:rFonts w:ascii="Arial" w:cs="Arial" w:eastAsia="Arial" w:hAnsi="Arial"/>
                <w:sz w:val="16"/>
                <w:szCs w:val="16"/>
                <w:color w:val="auto"/>
              </w:rPr>
              <w:t>•</w:t>
            </w:r>
          </w:p>
        </w:tc>
        <w:tc>
          <w:tcPr>
            <w:tcW w:w="960" w:type="dxa"/>
            <w:vAlign w:val="bottom"/>
          </w:tcPr>
          <w:p>
            <w:pPr>
              <w:jc w:val="center"/>
              <w:ind w:right="141"/>
              <w:spacing w:after="0"/>
              <w:rPr>
                <w:sz w:val="20"/>
                <w:szCs w:val="20"/>
                <w:color w:val="auto"/>
              </w:rPr>
            </w:pPr>
            <w:r>
              <w:rPr>
                <w:rFonts w:ascii="Arial" w:cs="Arial" w:eastAsia="Arial" w:hAnsi="Arial"/>
                <w:sz w:val="16"/>
                <w:szCs w:val="16"/>
                <w:color w:val="auto"/>
                <w:w w:val="95"/>
              </w:rPr>
              <w:t>2015</w:t>
            </w:r>
          </w:p>
        </w:tc>
      </w:tr>
      <w:tr>
        <w:trPr>
          <w:trHeight w:val="35"/>
        </w:trPr>
        <w:tc>
          <w:tcPr>
            <w:tcW w:w="5180" w:type="dxa"/>
            <w:vAlign w:val="bottom"/>
            <w:tcBorders>
              <w:bottom w:val="single" w:sz="8" w:color="AFAFAF"/>
            </w:tcBorders>
          </w:tcPr>
          <w:p>
            <w:pPr>
              <w:spacing w:after="0"/>
              <w:rPr>
                <w:sz w:val="3"/>
                <w:szCs w:val="3"/>
                <w:color w:val="auto"/>
              </w:rPr>
            </w:pPr>
          </w:p>
        </w:tc>
        <w:tc>
          <w:tcPr>
            <w:tcW w:w="460" w:type="dxa"/>
            <w:vAlign w:val="bottom"/>
            <w:tcBorders>
              <w:bottom w:val="single" w:sz="8" w:color="AFAFAF"/>
            </w:tcBorders>
          </w:tcPr>
          <w:p>
            <w:pPr>
              <w:spacing w:after="0"/>
              <w:rPr>
                <w:sz w:val="3"/>
                <w:szCs w:val="3"/>
                <w:color w:val="auto"/>
              </w:rPr>
            </w:pPr>
          </w:p>
        </w:tc>
        <w:tc>
          <w:tcPr>
            <w:tcW w:w="820" w:type="dxa"/>
            <w:vAlign w:val="bottom"/>
            <w:tcBorders>
              <w:bottom w:val="single" w:sz="8" w:color="AFAFAF"/>
            </w:tcBorders>
          </w:tcPr>
          <w:p>
            <w:pPr>
              <w:spacing w:after="0"/>
              <w:rPr>
                <w:sz w:val="3"/>
                <w:szCs w:val="3"/>
                <w:color w:val="auto"/>
              </w:rPr>
            </w:pPr>
          </w:p>
        </w:tc>
        <w:tc>
          <w:tcPr>
            <w:tcW w:w="1280" w:type="dxa"/>
            <w:vAlign w:val="bottom"/>
            <w:tcBorders>
              <w:bottom w:val="single" w:sz="8" w:color="AFAFAF"/>
            </w:tcBorders>
          </w:tcPr>
          <w:p>
            <w:pPr>
              <w:spacing w:after="0"/>
              <w:rPr>
                <w:sz w:val="3"/>
                <w:szCs w:val="3"/>
                <w:color w:val="auto"/>
              </w:rPr>
            </w:pPr>
          </w:p>
        </w:tc>
        <w:tc>
          <w:tcPr>
            <w:tcW w:w="1180" w:type="dxa"/>
            <w:vAlign w:val="bottom"/>
            <w:tcBorders>
              <w:bottom w:val="single" w:sz="8" w:color="AFAFAF"/>
            </w:tcBorders>
          </w:tcPr>
          <w:p>
            <w:pPr>
              <w:spacing w:after="0"/>
              <w:rPr>
                <w:sz w:val="3"/>
                <w:szCs w:val="3"/>
                <w:color w:val="auto"/>
              </w:rPr>
            </w:pPr>
          </w:p>
        </w:tc>
        <w:tc>
          <w:tcPr>
            <w:tcW w:w="580" w:type="dxa"/>
            <w:vAlign w:val="bottom"/>
            <w:tcBorders>
              <w:bottom w:val="single" w:sz="8" w:color="AFAFAF"/>
            </w:tcBorders>
          </w:tcPr>
          <w:p>
            <w:pPr>
              <w:spacing w:after="0"/>
              <w:rPr>
                <w:sz w:val="3"/>
                <w:szCs w:val="3"/>
                <w:color w:val="auto"/>
              </w:rPr>
            </w:pPr>
          </w:p>
        </w:tc>
        <w:tc>
          <w:tcPr>
            <w:tcW w:w="340" w:type="dxa"/>
            <w:vAlign w:val="bottom"/>
            <w:tcBorders>
              <w:bottom w:val="single" w:sz="8" w:color="AFAFAF"/>
            </w:tcBorders>
          </w:tcPr>
          <w:p>
            <w:pPr>
              <w:spacing w:after="0"/>
              <w:rPr>
                <w:sz w:val="3"/>
                <w:szCs w:val="3"/>
                <w:color w:val="auto"/>
              </w:rPr>
            </w:pPr>
          </w:p>
        </w:tc>
        <w:tc>
          <w:tcPr>
            <w:tcW w:w="960" w:type="dxa"/>
            <w:vAlign w:val="bottom"/>
            <w:tcBorders>
              <w:bottom w:val="single" w:sz="8" w:color="AFAFAF"/>
            </w:tcBorders>
          </w:tcPr>
          <w:p>
            <w:pPr>
              <w:spacing w:after="0"/>
              <w:rPr>
                <w:sz w:val="3"/>
                <w:szCs w:val="3"/>
                <w:color w:val="auto"/>
              </w:rPr>
            </w:pPr>
          </w:p>
        </w:tc>
      </w:tr>
      <w:tr>
        <w:trPr>
          <w:trHeight w:val="250"/>
        </w:trPr>
        <w:tc>
          <w:tcPr>
            <w:tcW w:w="5180" w:type="dxa"/>
            <w:vAlign w:val="bottom"/>
          </w:tcPr>
          <w:p>
            <w:pPr>
              <w:ind w:left="80"/>
              <w:spacing w:after="0"/>
              <w:rPr>
                <w:sz w:val="20"/>
                <w:szCs w:val="20"/>
                <w:color w:val="auto"/>
              </w:rPr>
            </w:pPr>
            <w:r>
              <w:rPr>
                <w:rFonts w:ascii="Arial" w:cs="Arial" w:eastAsia="Arial" w:hAnsi="Arial"/>
                <w:sz w:val="16"/>
                <w:szCs w:val="16"/>
                <w:b w:val="1"/>
                <w:bCs w:val="1"/>
                <w:color w:val="auto"/>
              </w:rPr>
              <w:t>Peter J. Thomson</w:t>
            </w:r>
          </w:p>
        </w:tc>
        <w:tc>
          <w:tcPr>
            <w:tcW w:w="460" w:type="dxa"/>
            <w:vAlign w:val="bottom"/>
          </w:tcPr>
          <w:p>
            <w:pPr>
              <w:jc w:val="center"/>
              <w:ind w:left="41"/>
              <w:spacing w:after="0"/>
              <w:rPr>
                <w:sz w:val="20"/>
                <w:szCs w:val="20"/>
                <w:color w:val="auto"/>
              </w:rPr>
            </w:pPr>
            <w:r>
              <w:rPr>
                <w:rFonts w:ascii="Arial" w:cs="Arial" w:eastAsia="Arial" w:hAnsi="Arial"/>
                <w:sz w:val="16"/>
                <w:szCs w:val="16"/>
                <w:color w:val="auto"/>
              </w:rPr>
              <w:t>59</w:t>
            </w:r>
          </w:p>
        </w:tc>
        <w:tc>
          <w:tcPr>
            <w:tcW w:w="8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center"/>
              <w:ind w:right="141"/>
              <w:spacing w:after="0"/>
              <w:rPr>
                <w:sz w:val="20"/>
                <w:szCs w:val="20"/>
                <w:color w:val="auto"/>
              </w:rPr>
            </w:pPr>
            <w:r>
              <w:rPr>
                <w:rFonts w:ascii="Arial" w:cs="Arial" w:eastAsia="Arial" w:hAnsi="Arial"/>
                <w:sz w:val="16"/>
                <w:szCs w:val="16"/>
                <w:color w:val="auto"/>
                <w:w w:val="95"/>
              </w:rPr>
              <w:t>1995</w:t>
            </w:r>
          </w:p>
        </w:tc>
      </w:tr>
      <w:tr>
        <w:trPr>
          <w:trHeight w:val="35"/>
        </w:trPr>
        <w:tc>
          <w:tcPr>
            <w:tcW w:w="5180" w:type="dxa"/>
            <w:vAlign w:val="bottom"/>
            <w:tcBorders>
              <w:bottom w:val="single" w:sz="8" w:color="AFAFAF"/>
            </w:tcBorders>
          </w:tcPr>
          <w:p>
            <w:pPr>
              <w:spacing w:after="0"/>
              <w:rPr>
                <w:sz w:val="3"/>
                <w:szCs w:val="3"/>
                <w:color w:val="auto"/>
              </w:rPr>
            </w:pPr>
          </w:p>
        </w:tc>
        <w:tc>
          <w:tcPr>
            <w:tcW w:w="460" w:type="dxa"/>
            <w:vAlign w:val="bottom"/>
            <w:tcBorders>
              <w:bottom w:val="single" w:sz="8" w:color="AFAFAF"/>
            </w:tcBorders>
          </w:tcPr>
          <w:p>
            <w:pPr>
              <w:spacing w:after="0"/>
              <w:rPr>
                <w:sz w:val="3"/>
                <w:szCs w:val="3"/>
                <w:color w:val="auto"/>
              </w:rPr>
            </w:pPr>
          </w:p>
        </w:tc>
        <w:tc>
          <w:tcPr>
            <w:tcW w:w="820" w:type="dxa"/>
            <w:vAlign w:val="bottom"/>
            <w:tcBorders>
              <w:bottom w:val="single" w:sz="8" w:color="AFAFAF"/>
            </w:tcBorders>
          </w:tcPr>
          <w:p>
            <w:pPr>
              <w:spacing w:after="0"/>
              <w:rPr>
                <w:sz w:val="3"/>
                <w:szCs w:val="3"/>
                <w:color w:val="auto"/>
              </w:rPr>
            </w:pPr>
          </w:p>
        </w:tc>
        <w:tc>
          <w:tcPr>
            <w:tcW w:w="1280" w:type="dxa"/>
            <w:vAlign w:val="bottom"/>
            <w:tcBorders>
              <w:bottom w:val="single" w:sz="8" w:color="AFAFAF"/>
            </w:tcBorders>
          </w:tcPr>
          <w:p>
            <w:pPr>
              <w:spacing w:after="0"/>
              <w:rPr>
                <w:sz w:val="3"/>
                <w:szCs w:val="3"/>
                <w:color w:val="auto"/>
              </w:rPr>
            </w:pPr>
          </w:p>
        </w:tc>
        <w:tc>
          <w:tcPr>
            <w:tcW w:w="1180" w:type="dxa"/>
            <w:vAlign w:val="bottom"/>
            <w:tcBorders>
              <w:bottom w:val="single" w:sz="8" w:color="AFAFAF"/>
            </w:tcBorders>
          </w:tcPr>
          <w:p>
            <w:pPr>
              <w:spacing w:after="0"/>
              <w:rPr>
                <w:sz w:val="3"/>
                <w:szCs w:val="3"/>
                <w:color w:val="auto"/>
              </w:rPr>
            </w:pPr>
          </w:p>
        </w:tc>
        <w:tc>
          <w:tcPr>
            <w:tcW w:w="580" w:type="dxa"/>
            <w:vAlign w:val="bottom"/>
            <w:tcBorders>
              <w:bottom w:val="single" w:sz="8" w:color="AFAFAF"/>
            </w:tcBorders>
          </w:tcPr>
          <w:p>
            <w:pPr>
              <w:spacing w:after="0"/>
              <w:rPr>
                <w:sz w:val="3"/>
                <w:szCs w:val="3"/>
                <w:color w:val="auto"/>
              </w:rPr>
            </w:pPr>
          </w:p>
        </w:tc>
        <w:tc>
          <w:tcPr>
            <w:tcW w:w="340" w:type="dxa"/>
            <w:vAlign w:val="bottom"/>
            <w:tcBorders>
              <w:bottom w:val="single" w:sz="8" w:color="AFAFAF"/>
            </w:tcBorders>
          </w:tcPr>
          <w:p>
            <w:pPr>
              <w:spacing w:after="0"/>
              <w:rPr>
                <w:sz w:val="3"/>
                <w:szCs w:val="3"/>
                <w:color w:val="auto"/>
              </w:rPr>
            </w:pPr>
          </w:p>
        </w:tc>
        <w:tc>
          <w:tcPr>
            <w:tcW w:w="960" w:type="dxa"/>
            <w:vAlign w:val="bottom"/>
            <w:tcBorders>
              <w:bottom w:val="single" w:sz="8" w:color="AFAFAF"/>
            </w:tcBorders>
          </w:tcPr>
          <w:p>
            <w:pPr>
              <w:spacing w:after="0"/>
              <w:rPr>
                <w:sz w:val="3"/>
                <w:szCs w:val="3"/>
                <w:color w:val="auto"/>
              </w:rPr>
            </w:pPr>
          </w:p>
        </w:tc>
      </w:tr>
      <w:tr>
        <w:trPr>
          <w:trHeight w:val="250"/>
        </w:trPr>
        <w:tc>
          <w:tcPr>
            <w:tcW w:w="5180" w:type="dxa"/>
            <w:vAlign w:val="bottom"/>
          </w:tcPr>
          <w:p>
            <w:pPr>
              <w:ind w:left="80"/>
              <w:spacing w:after="0"/>
              <w:rPr>
                <w:sz w:val="20"/>
                <w:szCs w:val="20"/>
                <w:color w:val="auto"/>
              </w:rPr>
            </w:pPr>
            <w:r>
              <w:rPr>
                <w:rFonts w:ascii="Arial" w:cs="Arial" w:eastAsia="Arial" w:hAnsi="Arial"/>
                <w:sz w:val="16"/>
                <w:szCs w:val="16"/>
                <w:b w:val="1"/>
                <w:bCs w:val="1"/>
                <w:color w:val="auto"/>
              </w:rPr>
              <w:t>Beth Wilson</w:t>
            </w:r>
          </w:p>
        </w:tc>
        <w:tc>
          <w:tcPr>
            <w:tcW w:w="460" w:type="dxa"/>
            <w:vAlign w:val="bottom"/>
          </w:tcPr>
          <w:p>
            <w:pPr>
              <w:jc w:val="center"/>
              <w:ind w:left="41"/>
              <w:spacing w:after="0"/>
              <w:rPr>
                <w:sz w:val="20"/>
                <w:szCs w:val="20"/>
                <w:color w:val="auto"/>
              </w:rPr>
            </w:pPr>
            <w:r>
              <w:rPr>
                <w:rFonts w:ascii="Arial" w:cs="Arial" w:eastAsia="Arial" w:hAnsi="Arial"/>
                <w:sz w:val="16"/>
                <w:szCs w:val="16"/>
                <w:color w:val="auto"/>
              </w:rPr>
              <w:t>56</w:t>
            </w:r>
          </w:p>
        </w:tc>
        <w:tc>
          <w:tcPr>
            <w:tcW w:w="820" w:type="dxa"/>
            <w:vAlign w:val="bottom"/>
          </w:tcPr>
          <w:p>
            <w:pPr>
              <w:jc w:val="center"/>
              <w:ind w:left="1"/>
              <w:spacing w:after="0"/>
              <w:rPr>
                <w:sz w:val="20"/>
                <w:szCs w:val="20"/>
                <w:color w:val="auto"/>
              </w:rPr>
            </w:pPr>
            <w:r>
              <w:rPr>
                <w:rFonts w:ascii="Arial" w:cs="Arial" w:eastAsia="Arial" w:hAnsi="Arial"/>
                <w:sz w:val="16"/>
                <w:szCs w:val="16"/>
                <w:color w:val="auto"/>
              </w:rPr>
              <w:t>•</w:t>
            </w:r>
          </w:p>
        </w:tc>
        <w:tc>
          <w:tcPr>
            <w:tcW w:w="128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center"/>
              <w:ind w:right="141"/>
              <w:spacing w:after="0"/>
              <w:rPr>
                <w:sz w:val="20"/>
                <w:szCs w:val="20"/>
                <w:color w:val="auto"/>
              </w:rPr>
            </w:pPr>
            <w:r>
              <w:rPr>
                <w:rFonts w:ascii="Arial" w:cs="Arial" w:eastAsia="Arial" w:hAnsi="Arial"/>
                <w:sz w:val="16"/>
                <w:szCs w:val="16"/>
                <w:color w:val="auto"/>
                <w:w w:val="95"/>
              </w:rPr>
              <w:t>2022</w:t>
            </w:r>
          </w:p>
        </w:tc>
      </w:tr>
      <w:tr>
        <w:trPr>
          <w:trHeight w:val="41"/>
        </w:trPr>
        <w:tc>
          <w:tcPr>
            <w:tcW w:w="5180" w:type="dxa"/>
            <w:vAlign w:val="bottom"/>
            <w:tcBorders>
              <w:bottom w:val="single" w:sz="8" w:color="D64000"/>
            </w:tcBorders>
          </w:tcPr>
          <w:p>
            <w:pPr>
              <w:spacing w:after="0"/>
              <w:rPr>
                <w:sz w:val="3"/>
                <w:szCs w:val="3"/>
                <w:color w:val="auto"/>
              </w:rPr>
            </w:pPr>
          </w:p>
        </w:tc>
        <w:tc>
          <w:tcPr>
            <w:tcW w:w="460" w:type="dxa"/>
            <w:vAlign w:val="bottom"/>
            <w:tcBorders>
              <w:bottom w:val="single" w:sz="8" w:color="D64000"/>
            </w:tcBorders>
          </w:tcPr>
          <w:p>
            <w:pPr>
              <w:spacing w:after="0"/>
              <w:rPr>
                <w:sz w:val="3"/>
                <w:szCs w:val="3"/>
                <w:color w:val="auto"/>
              </w:rPr>
            </w:pPr>
          </w:p>
        </w:tc>
        <w:tc>
          <w:tcPr>
            <w:tcW w:w="820" w:type="dxa"/>
            <w:vAlign w:val="bottom"/>
            <w:tcBorders>
              <w:bottom w:val="single" w:sz="8" w:color="D64000"/>
            </w:tcBorders>
          </w:tcPr>
          <w:p>
            <w:pPr>
              <w:spacing w:after="0"/>
              <w:rPr>
                <w:sz w:val="3"/>
                <w:szCs w:val="3"/>
                <w:color w:val="auto"/>
              </w:rPr>
            </w:pPr>
          </w:p>
        </w:tc>
        <w:tc>
          <w:tcPr>
            <w:tcW w:w="1280" w:type="dxa"/>
            <w:vAlign w:val="bottom"/>
            <w:tcBorders>
              <w:bottom w:val="single" w:sz="8" w:color="D64000"/>
            </w:tcBorders>
          </w:tcPr>
          <w:p>
            <w:pPr>
              <w:spacing w:after="0"/>
              <w:rPr>
                <w:sz w:val="3"/>
                <w:szCs w:val="3"/>
                <w:color w:val="auto"/>
              </w:rPr>
            </w:pPr>
          </w:p>
        </w:tc>
        <w:tc>
          <w:tcPr>
            <w:tcW w:w="1180" w:type="dxa"/>
            <w:vAlign w:val="bottom"/>
            <w:tcBorders>
              <w:bottom w:val="single" w:sz="8" w:color="D64000"/>
            </w:tcBorders>
          </w:tcPr>
          <w:p>
            <w:pPr>
              <w:spacing w:after="0"/>
              <w:rPr>
                <w:sz w:val="3"/>
                <w:szCs w:val="3"/>
                <w:color w:val="auto"/>
              </w:rPr>
            </w:pPr>
          </w:p>
        </w:tc>
        <w:tc>
          <w:tcPr>
            <w:tcW w:w="580" w:type="dxa"/>
            <w:vAlign w:val="bottom"/>
            <w:tcBorders>
              <w:bottom w:val="single" w:sz="8" w:color="D64000"/>
            </w:tcBorders>
          </w:tcPr>
          <w:p>
            <w:pPr>
              <w:spacing w:after="0"/>
              <w:rPr>
                <w:sz w:val="3"/>
                <w:szCs w:val="3"/>
                <w:color w:val="auto"/>
              </w:rPr>
            </w:pPr>
          </w:p>
        </w:tc>
        <w:tc>
          <w:tcPr>
            <w:tcW w:w="340" w:type="dxa"/>
            <w:vAlign w:val="bottom"/>
            <w:tcBorders>
              <w:bottom w:val="single" w:sz="8" w:color="D64000"/>
            </w:tcBorders>
          </w:tcPr>
          <w:p>
            <w:pPr>
              <w:spacing w:after="0"/>
              <w:rPr>
                <w:sz w:val="3"/>
                <w:szCs w:val="3"/>
                <w:color w:val="auto"/>
              </w:rPr>
            </w:pPr>
          </w:p>
        </w:tc>
        <w:tc>
          <w:tcPr>
            <w:tcW w:w="960" w:type="dxa"/>
            <w:vAlign w:val="bottom"/>
            <w:tcBorders>
              <w:bottom w:val="single" w:sz="8" w:color="D64000"/>
            </w:tcBorders>
          </w:tcPr>
          <w:p>
            <w:pPr>
              <w:spacing w:after="0"/>
              <w:rPr>
                <w:sz w:val="3"/>
                <w:szCs w:val="3"/>
                <w:color w:val="auto"/>
              </w:rPr>
            </w:pPr>
          </w:p>
        </w:tc>
      </w:tr>
    </w:tbl>
    <w:p>
      <w:pPr>
        <w:spacing w:after="0" w:line="110" w:lineRule="exact"/>
        <w:rPr>
          <w:sz w:val="20"/>
          <w:szCs w:val="20"/>
          <w:color w:val="auto"/>
        </w:rPr>
      </w:pPr>
    </w:p>
    <w:p>
      <w:pPr>
        <w:ind w:left="640" w:right="900" w:hanging="422"/>
        <w:spacing w:after="0" w:line="274" w:lineRule="auto"/>
        <w:tabs>
          <w:tab w:leader="none" w:pos="6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On December 23, 2024, it was announced that Mr. Clark will complete his service on the Thomson Reuters Board at the 2025 annual general meeting of shareholders, to be held on June 4, 2025.</w:t>
      </w:r>
    </w:p>
    <w:p>
      <w:pPr>
        <w:spacing w:after="0" w:line="91" w:lineRule="exact"/>
        <w:rPr>
          <w:sz w:val="20"/>
          <w:szCs w:val="20"/>
          <w:color w:val="auto"/>
        </w:rPr>
      </w:pPr>
    </w:p>
    <w:p>
      <w:pPr>
        <w:ind w:left="2500" w:right="180"/>
        <w:spacing w:after="0" w:line="253" w:lineRule="auto"/>
        <w:rPr>
          <w:sz w:val="20"/>
          <w:szCs w:val="20"/>
          <w:color w:val="auto"/>
        </w:rPr>
      </w:pPr>
      <w:r>
        <w:rPr>
          <w:rFonts w:ascii="Arial" w:cs="Arial" w:eastAsia="Arial" w:hAnsi="Arial"/>
          <w:sz w:val="16"/>
          <w:szCs w:val="16"/>
          <w:b w:val="1"/>
          <w:bCs w:val="1"/>
          <w:color w:val="auto"/>
        </w:rPr>
        <w:t xml:space="preserve">David Thomson </w:t>
      </w:r>
      <w:r>
        <w:rPr>
          <w:rFonts w:ascii="Arial" w:cs="Arial" w:eastAsia="Arial" w:hAnsi="Arial"/>
          <w:sz w:val="16"/>
          <w:szCs w:val="16"/>
          <w:color w:val="auto"/>
        </w:rPr>
        <w:t>is Chairman of Thomson Reuters. He is also a Chairman of Woodbridge, the Thomson family</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company, and Chairman of The Globe and Mail Inc., a Canadian media company. David is an active private investor with a focus on real estate and serves on the boards of several private companies. David has an MA from Cambridge.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-407035</wp:posOffset>
            </wp:positionV>
            <wp:extent cx="958850" cy="95885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958850" cy="95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500" w:right="60"/>
        <w:spacing w:after="0" w:line="245" w:lineRule="auto"/>
        <w:rPr>
          <w:sz w:val="20"/>
          <w:szCs w:val="20"/>
          <w:color w:val="auto"/>
        </w:rPr>
      </w:pPr>
      <w:r>
        <w:rPr>
          <w:rFonts w:ascii="Arial" w:cs="Arial" w:eastAsia="Arial" w:hAnsi="Arial"/>
          <w:sz w:val="16"/>
          <w:szCs w:val="16"/>
          <w:b w:val="1"/>
          <w:bCs w:val="1"/>
          <w:color w:val="auto"/>
        </w:rPr>
        <w:t xml:space="preserve">Steve Hasker </w:t>
      </w:r>
      <w:r>
        <w:rPr>
          <w:rFonts w:ascii="Arial" w:cs="Arial" w:eastAsia="Arial" w:hAnsi="Arial"/>
          <w:sz w:val="16"/>
          <w:szCs w:val="16"/>
          <w:color w:val="auto"/>
        </w:rPr>
        <w:t>has been President and Chief Executive Officer and a director of Thomson Reuters since March 2020.</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joining Thomson Reuters in February 2020, he was Senior Adviser to TPG Capital, a private equity firm, from August 2019 to February 2020. Prior to that, he was Chief Executive Officer of CAA Global, a TPG Capital portfolio company, from January 2018 to August 2019. Steve served as Global President and Chief Operating Officer of Nielsen Holdings PLC from December 2015 to December 2017 and prior to that served as Nielsen’s President, Global Products from November 2009 to January 2014. Steve spent more than a decade with McKinsey &amp; Company as a partner in the Global Media, Entertainment and Information practice from 1998 to 2009. Before joining McKinsey, Steve spent five years in several financial roles in the United States and other countries. Steve started his career with PwC, where he qualified as a chartered accountant. Steve has an undergraduate economics degree from the University of Melbourne and received an MBA and master’s in international affairs from Columbia University. Steve is also a non-executive director of Appen Limited. He is a member of the Australia and New Zealand Institute of Chartered Accountants. Steve is based in Toronto, Ontario,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100965</wp:posOffset>
            </wp:positionV>
            <wp:extent cx="686562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65620" cy="825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-1345565</wp:posOffset>
            </wp:positionV>
            <wp:extent cx="958850" cy="95885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958850" cy="958850"/>
                    </a:xfrm>
                    <a:prstGeom prst="rect">
                      <a:avLst/>
                    </a:prstGeom>
                    <a:noFill/>
                  </pic:spPr>
                </pic:pic>
              </a:graphicData>
            </a:graphic>
          </wp:anchor>
        </w:drawing>
      </w:r>
    </w:p>
    <w:p>
      <w:pPr>
        <w:spacing w:after="0" w:line="156"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144</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22" w:lineRule="exact"/>
        <w:rPr>
          <w:sz w:val="20"/>
          <w:szCs w:val="20"/>
          <w:color w:val="auto"/>
        </w:rPr>
      </w:pPr>
    </w:p>
    <w:p>
      <w:pPr>
        <w:ind w:left="2500" w:right="140"/>
        <w:spacing w:after="0" w:line="245" w:lineRule="auto"/>
        <w:rPr>
          <w:sz w:val="20"/>
          <w:szCs w:val="20"/>
          <w:color w:val="auto"/>
        </w:rPr>
      </w:pPr>
      <w:r>
        <w:rPr>
          <w:rFonts w:ascii="Arial" w:cs="Arial" w:eastAsia="Arial" w:hAnsi="Arial"/>
          <w:sz w:val="16"/>
          <w:szCs w:val="16"/>
          <w:b w:val="1"/>
          <w:bCs w:val="1"/>
          <w:color w:val="auto"/>
        </w:rPr>
        <w:t xml:space="preserve">Kirk E. Arnold </w:t>
      </w:r>
      <w:r>
        <w:rPr>
          <w:rFonts w:ascii="Arial" w:cs="Arial" w:eastAsia="Arial" w:hAnsi="Arial"/>
          <w:sz w:val="16"/>
          <w:szCs w:val="16"/>
          <w:color w:val="auto"/>
        </w:rPr>
        <w:t>is a corporate director. She was previously Chief Executive Officer of Data Intensity, LLC, a cloud-based</w:t>
      </w:r>
      <w:r>
        <w:rPr>
          <w:rFonts w:ascii="Arial" w:cs="Arial" w:eastAsia="Arial" w:hAnsi="Arial"/>
          <w:sz w:val="16"/>
          <w:szCs w:val="16"/>
          <w:b w:val="1"/>
          <w:bCs w:val="1"/>
          <w:color w:val="auto"/>
        </w:rPr>
        <w:t xml:space="preserve"> </w:t>
      </w:r>
      <w:r>
        <w:rPr>
          <w:rFonts w:ascii="Arial" w:cs="Arial" w:eastAsia="Arial" w:hAnsi="Arial"/>
          <w:sz w:val="16"/>
          <w:szCs w:val="16"/>
          <w:color w:val="auto"/>
        </w:rPr>
        <w:t>data, applications and analytics managed service provider, from 2013 to 2017. Prior to that, Kirk was Chief Operating Officer of Avid, a technology provider in the media industry, and Chief Executive Officer and President of Keane, Inc., then a publicly traded global services provider. She has also held senior leadership roles at Computer Sciences Corp., Fidelity Investments and IBM. In addition, she was founder and Chief Executive Officer of NerveWire, a management consulting and systems integration provider. She is a non-executive director of IngersollRand plc and Trane Technologies. Kirk also serves on the boards of several private companies, including Housecall Pro and The Predictive Index. In addition, she is a Senior Lecturer at MIT Sloan School of Management and an advisor to the Center for MIT Entrepreneurship. Kirk received a bachelor’s degree from Dartmouth College. Kirk resides in Kennebunk, Maine,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-1107440</wp:posOffset>
            </wp:positionV>
            <wp:extent cx="958850" cy="95948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958850" cy="959485"/>
                    </a:xfrm>
                    <a:prstGeom prst="rect">
                      <a:avLst/>
                    </a:prstGeom>
                    <a:noFill/>
                  </pic:spPr>
                </pic:pic>
              </a:graphicData>
            </a:graphic>
          </wp:anchor>
        </w:drawing>
      </w:r>
    </w:p>
    <w:p>
      <w:pPr>
        <w:spacing w:after="0" w:line="63" w:lineRule="exact"/>
        <w:rPr>
          <w:sz w:val="20"/>
          <w:szCs w:val="20"/>
          <w:color w:val="auto"/>
        </w:rPr>
      </w:pPr>
    </w:p>
    <w:p>
      <w:pPr>
        <w:ind w:left="2500" w:right="100"/>
        <w:spacing w:after="0" w:line="246" w:lineRule="auto"/>
        <w:rPr>
          <w:sz w:val="20"/>
          <w:szCs w:val="20"/>
          <w:color w:val="auto"/>
        </w:rPr>
      </w:pPr>
      <w:r>
        <w:rPr>
          <w:rFonts w:ascii="Arial" w:cs="Arial" w:eastAsia="Arial" w:hAnsi="Arial"/>
          <w:sz w:val="16"/>
          <w:szCs w:val="16"/>
          <w:b w:val="1"/>
          <w:bCs w:val="1"/>
          <w:color w:val="auto"/>
        </w:rPr>
        <w:t xml:space="preserve">W. Edmund Clark, C.M. </w:t>
      </w:r>
      <w:r>
        <w:rPr>
          <w:rFonts w:ascii="Arial" w:cs="Arial" w:eastAsia="Arial" w:hAnsi="Arial"/>
          <w:sz w:val="16"/>
          <w:szCs w:val="16"/>
          <w:color w:val="auto"/>
        </w:rPr>
        <w:t>is a corporate director. Ed served as Group President and Chief Executive Officer of TD Bank</w:t>
      </w:r>
      <w:r>
        <w:rPr>
          <w:rFonts w:ascii="Arial" w:cs="Arial" w:eastAsia="Arial" w:hAnsi="Arial"/>
          <w:sz w:val="16"/>
          <w:szCs w:val="16"/>
          <w:b w:val="1"/>
          <w:bCs w:val="1"/>
          <w:color w:val="auto"/>
        </w:rPr>
        <w:t xml:space="preserve"> </w:t>
      </w:r>
      <w:r>
        <w:rPr>
          <w:rFonts w:ascii="Arial" w:cs="Arial" w:eastAsia="Arial" w:hAnsi="Arial"/>
          <w:sz w:val="16"/>
          <w:szCs w:val="16"/>
          <w:color w:val="auto"/>
        </w:rPr>
        <w:t>Group from 2002 until his retirement in 2014. Ed was inducted as a Companion of the Canadian Order of the Business Hall of Fame in 2016. In 2014, Ed was elected to the Board of Trustees of the Brookings Institute. He is also Chair of the Vector Institute for Artificial Intelligence. He is also a non-executive director at Spin Master Corp. Ed has a BA from the University of Toronto, and an MA and Doctorate in Economics from Harvard University. Ed has also received honorary degrees from Mount Allison University, Queen’s University, Western University and the University of Toronto. In 2010, he was made an Officer of the Order of Canada, one of the country’s highest distinctions. Ed resides in Toronto, Ontario,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-872490</wp:posOffset>
            </wp:positionV>
            <wp:extent cx="958850" cy="9594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958850" cy="959485"/>
                    </a:xfrm>
                    <a:prstGeom prst="rect">
                      <a:avLst/>
                    </a:prstGeom>
                    <a:noFill/>
                  </pic:spPr>
                </pic:pic>
              </a:graphicData>
            </a:graphic>
          </wp:anchor>
        </w:drawing>
      </w:r>
    </w:p>
    <w:p>
      <w:pPr>
        <w:spacing w:after="0" w:line="340" w:lineRule="exact"/>
        <w:rPr>
          <w:sz w:val="20"/>
          <w:szCs w:val="20"/>
          <w:color w:val="auto"/>
        </w:rPr>
      </w:pPr>
    </w:p>
    <w:p>
      <w:pPr>
        <w:ind w:left="2500" w:right="20"/>
        <w:spacing w:after="0" w:line="244" w:lineRule="auto"/>
        <w:rPr>
          <w:sz w:val="20"/>
          <w:szCs w:val="20"/>
          <w:color w:val="auto"/>
        </w:rPr>
      </w:pPr>
      <w:r>
        <w:rPr>
          <w:rFonts w:ascii="Arial" w:cs="Arial" w:eastAsia="Arial" w:hAnsi="Arial"/>
          <w:sz w:val="16"/>
          <w:szCs w:val="16"/>
          <w:b w:val="1"/>
          <w:bCs w:val="1"/>
          <w:color w:val="auto"/>
        </w:rPr>
        <w:t xml:space="preserve">LaVerne Council </w:t>
      </w:r>
      <w:r>
        <w:rPr>
          <w:rFonts w:ascii="Arial" w:cs="Arial" w:eastAsia="Arial" w:hAnsi="Arial"/>
          <w:sz w:val="16"/>
          <w:szCs w:val="16"/>
          <w:color w:val="auto"/>
        </w:rPr>
        <w:t>is the Chief Executive Officer of Emerald One, LLC, an information technology consulting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focused on helping businesses develop innovative methodologies for driving change and transformation. She was the National Managing Principal, Enterprise Technology Strategy &amp; Innovation, for Grant Thornton LLP from 2017 to 2019 and served as the Senior Vice President and General Manager for MITRE Corporation in 2017. LaVerne was Assistant Secretary for the Office of Information &amp; Technology and Chief Information Officer for the United States Department of Veterans Affairs from 2015 to 2017. She was the Chief Executive Officer of Council Advisory Services, LLC from 2012 through 2015. LaVerne has also held significant corporate leadership roles focused on supply chain, IT centralization and integration. She served as the Corporate Vice President and Global Chief Information Officer for Johnson &amp; Johnson from 2006 through 2011. Before that, she served in several roles of increasing responsibility at DELL, Inc. from 2000 to 2006, including as the Global Vice President, Information Technology, Global Business Solutions, and Development Services. She is also a non-executive director of CONMED Corporation and Concentrix Corporation. She received her MBA from Illinois State University and her Bachelor of Business Administration in Computer Science from Western Illinois University. LaVerne also holds an honorary Doctorate of Business Administration from Drexel University. LaVerne resides in Great Falls, Virginia,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-1577340</wp:posOffset>
            </wp:positionV>
            <wp:extent cx="958850" cy="95948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958850" cy="959485"/>
                    </a:xfrm>
                    <a:prstGeom prst="rect">
                      <a:avLst/>
                    </a:prstGeom>
                    <a:noFill/>
                  </pic:spPr>
                </pic:pic>
              </a:graphicData>
            </a:graphic>
          </wp:anchor>
        </w:drawing>
      </w:r>
    </w:p>
    <w:p>
      <w:pPr>
        <w:spacing w:after="0" w:line="64" w:lineRule="exact"/>
        <w:rPr>
          <w:sz w:val="20"/>
          <w:szCs w:val="20"/>
          <w:color w:val="auto"/>
        </w:rPr>
      </w:pPr>
    </w:p>
    <w:p>
      <w:pPr>
        <w:ind w:left="2500" w:right="20"/>
        <w:spacing w:after="0" w:line="248" w:lineRule="auto"/>
        <w:rPr>
          <w:sz w:val="20"/>
          <w:szCs w:val="20"/>
          <w:color w:val="auto"/>
        </w:rPr>
      </w:pPr>
      <w:r>
        <w:rPr>
          <w:rFonts w:ascii="Arial" w:cs="Arial" w:eastAsia="Arial" w:hAnsi="Arial"/>
          <w:sz w:val="16"/>
          <w:szCs w:val="16"/>
          <w:b w:val="1"/>
          <w:bCs w:val="1"/>
          <w:color w:val="auto"/>
        </w:rPr>
        <w:t xml:space="preserve">Michael E. Daniels </w:t>
      </w:r>
      <w:r>
        <w:rPr>
          <w:rFonts w:ascii="Arial" w:cs="Arial" w:eastAsia="Arial" w:hAnsi="Arial"/>
          <w:sz w:val="16"/>
          <w:szCs w:val="16"/>
          <w:color w:val="auto"/>
        </w:rPr>
        <w:t>is a corporate director. In 2013, Mike retired as Senior Vice President and Group Executive IBM</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after 36 years with the company where he directed IBM’s consulting, systems integration, application management, cloud computing and outsourcing services around the globe. Mike also held a number of senior leadership positions in his career at IBM, including General Manager of Sales and Distribution Operations of the Americas as well as leading Global Services in the Asia Pacific region. Mike has a bachelor’s degree in political science from Holy Cross College. Mike resides in Hilton Head, South Carolina,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-638810</wp:posOffset>
            </wp:positionV>
            <wp:extent cx="958850" cy="95885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958850" cy="95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500" w:right="180"/>
        <w:spacing w:after="0" w:line="246" w:lineRule="auto"/>
        <w:rPr>
          <w:sz w:val="20"/>
          <w:szCs w:val="20"/>
          <w:color w:val="auto"/>
        </w:rPr>
      </w:pPr>
      <w:r>
        <w:rPr>
          <w:rFonts w:ascii="Arial" w:cs="Arial" w:eastAsia="Arial" w:hAnsi="Arial"/>
          <w:sz w:val="16"/>
          <w:szCs w:val="16"/>
          <w:b w:val="1"/>
          <w:bCs w:val="1"/>
          <w:color w:val="auto"/>
        </w:rPr>
        <w:t xml:space="preserve">Kirk Koenigsbauer </w:t>
      </w:r>
      <w:r>
        <w:rPr>
          <w:rFonts w:ascii="Arial" w:cs="Arial" w:eastAsia="Arial" w:hAnsi="Arial"/>
          <w:sz w:val="16"/>
          <w:szCs w:val="16"/>
          <w:color w:val="auto"/>
        </w:rPr>
        <w:t>has been Chief Operating Officer &amp; Corporate Vice President, Experiences and Devices Group at</w:t>
      </w:r>
      <w:r>
        <w:rPr>
          <w:rFonts w:ascii="Arial" w:cs="Arial" w:eastAsia="Arial" w:hAnsi="Arial"/>
          <w:sz w:val="16"/>
          <w:szCs w:val="16"/>
          <w:b w:val="1"/>
          <w:bCs w:val="1"/>
          <w:color w:val="auto"/>
        </w:rPr>
        <w:t xml:space="preserve"> </w:t>
      </w:r>
      <w:r>
        <w:rPr>
          <w:rFonts w:ascii="Arial" w:cs="Arial" w:eastAsia="Arial" w:hAnsi="Arial"/>
          <w:sz w:val="16"/>
          <w:szCs w:val="16"/>
          <w:color w:val="auto"/>
        </w:rPr>
        <w:t>Microsoft Corporation since February 2020. From December 2016 to February 2020, he was Corporate Vice President, Microsoft 365 and from July 2012 to November 2016, he was Corporate Vice President, Office Apps Engineering, at Microsoft. Prior to that, he was Corporate Vice President, Office Product Management at Microsoft from June 2002 to July 2012. Kirk worked at Amazon.com from 1998 to 2001 where he held the roles of General Manager, Software &amp; Video Games Stores and Director of Product Management, Auctions. Kirk also worked at Microsoft from 1992 to 1998 and as a consultant at Accenture from 1989 to 1991. Kirk has a bachelor’s degree from Colby College. Kirk resides in Seattle, Washington,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-872490</wp:posOffset>
            </wp:positionV>
            <wp:extent cx="958850" cy="9588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958850" cy="958850"/>
                    </a:xfrm>
                    <a:prstGeom prst="rect">
                      <a:avLst/>
                    </a:prstGeom>
                    <a:noFill/>
                  </pic:spPr>
                </pic:pic>
              </a:graphicData>
            </a:graphic>
          </wp:anchor>
        </w:drawing>
      </w:r>
    </w:p>
    <w:p>
      <w:pPr>
        <w:spacing w:after="0" w:line="340" w:lineRule="exact"/>
        <w:rPr>
          <w:sz w:val="20"/>
          <w:szCs w:val="20"/>
          <w:color w:val="auto"/>
        </w:rPr>
      </w:pPr>
    </w:p>
    <w:p>
      <w:pPr>
        <w:ind w:left="2500" w:right="40"/>
        <w:spacing w:after="0" w:line="266" w:lineRule="auto"/>
        <w:rPr>
          <w:sz w:val="20"/>
          <w:szCs w:val="20"/>
          <w:color w:val="auto"/>
        </w:rPr>
      </w:pPr>
      <w:r>
        <w:rPr>
          <w:rFonts w:ascii="Arial" w:cs="Arial" w:eastAsia="Arial" w:hAnsi="Arial"/>
          <w:sz w:val="15"/>
          <w:szCs w:val="15"/>
          <w:b w:val="1"/>
          <w:bCs w:val="1"/>
          <w:color w:val="auto"/>
        </w:rPr>
        <w:t xml:space="preserve">Deanna Oppenheimer </w:t>
      </w:r>
      <w:r>
        <w:rPr>
          <w:rFonts w:ascii="Arial" w:cs="Arial" w:eastAsia="Arial" w:hAnsi="Arial"/>
          <w:sz w:val="15"/>
          <w:szCs w:val="15"/>
          <w:color w:val="auto"/>
        </w:rPr>
        <w:t>is the founder of CameoWorks, LLC, a global firm that advises leaders of early stage companies</w:t>
      </w:r>
      <w:r>
        <w:rPr>
          <w:rFonts w:ascii="Arial" w:cs="Arial" w:eastAsia="Arial" w:hAnsi="Arial"/>
          <w:sz w:val="15"/>
          <w:szCs w:val="15"/>
          <w:b w:val="1"/>
          <w:bCs w:val="1"/>
          <w:color w:val="auto"/>
        </w:rPr>
        <w:t xml:space="preserve"> </w:t>
      </w:r>
      <w:r>
        <w:rPr>
          <w:rFonts w:ascii="Arial" w:cs="Arial" w:eastAsia="Arial" w:hAnsi="Arial"/>
          <w:sz w:val="15"/>
          <w:szCs w:val="15"/>
          <w:color w:val="auto"/>
        </w:rPr>
        <w:t>and consultancies. Deanna founded CameoWorks in 2012. From 2005 to 2011, she served in a number of roles at Barclays PLC, first as chief executive of UK Retail and Business Banking and then as vice chair of Global Retail Banking. From 1985 to 2005, Deanna served in a number of positions at Washington Mutual, Inc., with her last role as president of Consumer Banking. She is also the non-executive chair of the board of directors of InterContinental Hotels Group PLC, a director of the King’s Trust UK, a royal charity and a non-executive director of Slalom and is the founder of BoardReady. Deanna received a BA from the University of Puget Sound. Deanna resides in Seattle, Washington,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379095</wp:posOffset>
            </wp:positionV>
            <wp:extent cx="686562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65620" cy="825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-764540</wp:posOffset>
            </wp:positionV>
            <wp:extent cx="958850" cy="95885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958850" cy="958850"/>
                    </a:xfrm>
                    <a:prstGeom prst="rect">
                      <a:avLst/>
                    </a:prstGeom>
                    <a:noFill/>
                  </pic:spPr>
                </pic:pic>
              </a:graphicData>
            </a:graphic>
          </wp:anchor>
        </w:drawing>
      </w:r>
    </w:p>
    <w:p>
      <w:pPr>
        <w:sectPr>
          <w:pgSz w:w="11900" w:h="16838" w:orient="portrait"/>
          <w:cols w:equalWidth="0" w:num="1">
            <w:col w:w="11040"/>
          </w:cols>
          <w:pgMar w:left="320" w:top="477"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20"/>
        <w:spacing w:after="0"/>
        <w:tabs>
          <w:tab w:leader="none" w:pos="1030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6"/>
          <w:szCs w:val="16"/>
          <w:color w:val="auto"/>
        </w:rPr>
        <w:t>Page 145</w:t>
      </w:r>
    </w:p>
    <w:p>
      <w:pPr>
        <w:sectPr>
          <w:pgSz w:w="11900" w:h="16838" w:orient="portrait"/>
          <w:cols w:equalWidth="0" w:num="1">
            <w:col w:w="11040"/>
          </w:cols>
          <w:pgMar w:left="320" w:top="477" w:right="53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22" w:lineRule="exact"/>
        <w:rPr>
          <w:sz w:val="20"/>
          <w:szCs w:val="20"/>
          <w:color w:val="auto"/>
        </w:rPr>
      </w:pPr>
    </w:p>
    <w:p>
      <w:pPr>
        <w:ind w:left="2500" w:right="20"/>
        <w:spacing w:after="0" w:line="247" w:lineRule="auto"/>
        <w:rPr>
          <w:sz w:val="20"/>
          <w:szCs w:val="20"/>
          <w:color w:val="auto"/>
        </w:rPr>
      </w:pPr>
      <w:r>
        <w:rPr>
          <w:rFonts w:ascii="Arial" w:cs="Arial" w:eastAsia="Arial" w:hAnsi="Arial"/>
          <w:sz w:val="16"/>
          <w:szCs w:val="16"/>
          <w:b w:val="1"/>
          <w:bCs w:val="1"/>
          <w:color w:val="auto"/>
        </w:rPr>
        <w:t xml:space="preserve">Simon Paris </w:t>
      </w:r>
      <w:r>
        <w:rPr>
          <w:rFonts w:ascii="Arial" w:cs="Arial" w:eastAsia="Arial" w:hAnsi="Arial"/>
          <w:sz w:val="16"/>
          <w:szCs w:val="16"/>
          <w:color w:val="auto"/>
        </w:rPr>
        <w:t>is the Chief Executive Officer of Unit4, a company that provides enterprise cloud applications for</w:t>
      </w:r>
      <w:r>
        <w:rPr>
          <w:rFonts w:ascii="Arial" w:cs="Arial" w:eastAsia="Arial" w:hAnsi="Arial"/>
          <w:sz w:val="16"/>
          <w:szCs w:val="16"/>
          <w:b w:val="1"/>
          <w:bCs w:val="1"/>
          <w:color w:val="auto"/>
        </w:rPr>
        <w:t xml:space="preserve"> </w:t>
      </w:r>
      <w:r>
        <w:rPr>
          <w:rFonts w:ascii="Arial" w:cs="Arial" w:eastAsia="Arial" w:hAnsi="Arial"/>
          <w:sz w:val="16"/>
          <w:szCs w:val="16"/>
          <w:color w:val="auto"/>
        </w:rPr>
        <w:t>organizations, since February 2025. Prior to that, he was Chief Executive Officer of Finastra, a global financial technology (fintech) provider, from 2018 to January 2025. He joined Finastra (previously Misys) as president in 2015 and also served as its Chief Sales Officer, before being appointed Deputy CEO in 2017 and CEO in 2018. Simon previously worked at SAP from 2007 to 2015, where he held a number of senior leadership positions. Simon was also previously a senior consultant with McKinsey &amp; Company. Simon holds a BA from the European Business School and an MBA from INSEAD. Simon resides in London,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-756285</wp:posOffset>
            </wp:positionV>
            <wp:extent cx="958850" cy="9594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958850" cy="95948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2500" w:right="40"/>
        <w:spacing w:after="0" w:line="262" w:lineRule="auto"/>
        <w:rPr>
          <w:sz w:val="20"/>
          <w:szCs w:val="20"/>
          <w:color w:val="auto"/>
        </w:rPr>
      </w:pPr>
      <w:r>
        <w:rPr>
          <w:rFonts w:ascii="Arial" w:cs="Arial" w:eastAsia="Arial" w:hAnsi="Arial"/>
          <w:sz w:val="15"/>
          <w:szCs w:val="15"/>
          <w:b w:val="1"/>
          <w:bCs w:val="1"/>
          <w:color w:val="auto"/>
        </w:rPr>
        <w:t xml:space="preserve">Kim M. Rivera </w:t>
      </w:r>
      <w:r>
        <w:rPr>
          <w:rFonts w:ascii="Arial" w:cs="Arial" w:eastAsia="Arial" w:hAnsi="Arial"/>
          <w:sz w:val="15"/>
          <w:szCs w:val="15"/>
          <w:color w:val="auto"/>
        </w:rPr>
        <w:t>is the Chief Legal and Business Affairs Officer of One Trust, LLC, a privacy, security and governance</w:t>
      </w:r>
      <w:r>
        <w:rPr>
          <w:rFonts w:ascii="Arial" w:cs="Arial" w:eastAsia="Arial" w:hAnsi="Arial"/>
          <w:sz w:val="15"/>
          <w:szCs w:val="15"/>
          <w:b w:val="1"/>
          <w:bCs w:val="1"/>
          <w:color w:val="auto"/>
        </w:rPr>
        <w:t xml:space="preserve"> </w:t>
      </w:r>
      <w:r>
        <w:rPr>
          <w:rFonts w:ascii="Arial" w:cs="Arial" w:eastAsia="Arial" w:hAnsi="Arial"/>
          <w:sz w:val="15"/>
          <w:szCs w:val="15"/>
          <w:color w:val="auto"/>
        </w:rPr>
        <w:t>management software company. She was Special Advisor to the CEO of HP Inc. from February 2021 through December 2021. Prior to that, Kim was President, Strategy and Business Management and Chief Legal Officer at HP Inc. from January 2019 through January 2021. As President, Strategy and Business Management, she led corporate strategy and development, customer support, indirect procurement, real estate and workplace functions. In addition, Kim managed HP Inc.’s worldwide legal organization, including all aspects of legal and governmental affairs, brand security, compliance and ethics. She served as Chief Legal Officer and General Counsel of HP Inc. from November 2015 to January 2019. Prior to joining HP Inc., Kim was the Chief Legal Officer and Corporate Secretary for DaVita HealthCare Partners where she was employed from 2010 to 2015. Prior to that, she served as the Chief Compliance Officer and Head of International Legal Services at The Clorox Company and Chief Litigation Counsel for Rockwell Automation, as well as General Counsel for its Automation Controls and Information Group. Kim has a bachelor’s degree from Duke University and a Juris Doctor degree from Harvard Law School. Kim resides in Woodside, California,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-1349375</wp:posOffset>
            </wp:positionV>
            <wp:extent cx="958850" cy="95885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958850" cy="958850"/>
                    </a:xfrm>
                    <a:prstGeom prst="rect">
                      <a:avLst/>
                    </a:prstGeom>
                    <a:noFill/>
                  </pic:spPr>
                </pic:pic>
              </a:graphicData>
            </a:graphic>
          </wp:anchor>
        </w:drawing>
      </w:r>
    </w:p>
    <w:p>
      <w:pPr>
        <w:spacing w:after="0" w:line="52" w:lineRule="exact"/>
        <w:rPr>
          <w:sz w:val="20"/>
          <w:szCs w:val="20"/>
          <w:color w:val="auto"/>
        </w:rPr>
      </w:pPr>
    </w:p>
    <w:p>
      <w:pPr>
        <w:jc w:val="both"/>
        <w:ind w:left="2500" w:right="160"/>
        <w:spacing w:after="0" w:line="265" w:lineRule="auto"/>
        <w:rPr>
          <w:sz w:val="20"/>
          <w:szCs w:val="20"/>
          <w:color w:val="auto"/>
        </w:rPr>
      </w:pPr>
      <w:r>
        <w:rPr>
          <w:rFonts w:ascii="Arial" w:cs="Arial" w:eastAsia="Arial" w:hAnsi="Arial"/>
          <w:sz w:val="15"/>
          <w:szCs w:val="15"/>
          <w:b w:val="1"/>
          <w:bCs w:val="1"/>
          <w:color w:val="auto"/>
        </w:rPr>
        <w:t xml:space="preserve">Barry Salzberg </w:t>
      </w:r>
      <w:r>
        <w:rPr>
          <w:rFonts w:ascii="Arial" w:cs="Arial" w:eastAsia="Arial" w:hAnsi="Arial"/>
          <w:sz w:val="15"/>
          <w:szCs w:val="15"/>
          <w:color w:val="auto"/>
        </w:rPr>
        <w:t>is a corporate director. Barry served as the Global Chief Executive Officer of Deloitte Touche Tohmatsu</w:t>
      </w:r>
      <w:r>
        <w:rPr>
          <w:rFonts w:ascii="Arial" w:cs="Arial" w:eastAsia="Arial" w:hAnsi="Arial"/>
          <w:sz w:val="15"/>
          <w:szCs w:val="15"/>
          <w:b w:val="1"/>
          <w:bCs w:val="1"/>
          <w:color w:val="auto"/>
        </w:rPr>
        <w:t xml:space="preserve"> </w:t>
      </w:r>
      <w:r>
        <w:rPr>
          <w:rFonts w:ascii="Arial" w:cs="Arial" w:eastAsia="Arial" w:hAnsi="Arial"/>
          <w:sz w:val="15"/>
          <w:szCs w:val="15"/>
          <w:color w:val="auto"/>
        </w:rPr>
        <w:t>Limited from 2011 until his retirement in 2015. He joined Deloitte in 1977 and his roles included Chief Executive Officer and Managing Partner of the firm’s U.S. operations. Barry serves as a director at Embark Intermediate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-277495</wp:posOffset>
            </wp:positionV>
            <wp:extent cx="958850" cy="95885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958850" cy="958850"/>
                    </a:xfrm>
                    <a:prstGeom prst="rect">
                      <a:avLst/>
                    </a:prstGeom>
                    <a:noFill/>
                  </pic:spPr>
                </pic:pic>
              </a:graphicData>
            </a:graphic>
          </wp:anchor>
        </w:drawing>
      </w:r>
    </w:p>
    <w:p>
      <w:pPr>
        <w:ind w:left="2500" w:right="20"/>
        <w:spacing w:after="0" w:line="241" w:lineRule="auto"/>
        <w:rPr>
          <w:sz w:val="20"/>
          <w:szCs w:val="20"/>
          <w:color w:val="auto"/>
        </w:rPr>
      </w:pPr>
      <w:r>
        <w:rPr>
          <w:rFonts w:ascii="Arial" w:cs="Arial" w:eastAsia="Arial" w:hAnsi="Arial"/>
          <w:sz w:val="16"/>
          <w:szCs w:val="16"/>
          <w:color w:val="auto"/>
        </w:rPr>
        <w:t>Barry has previously served as a board member of New Profit, Inc. and previously served as Chairman of the United Way Worldwide, Chairman of the board of College Summit and Chairman of the board of the YMCA of Greater New</w:t>
      </w:r>
    </w:p>
    <w:p>
      <w:pPr>
        <w:spacing w:after="0" w:line="1" w:lineRule="exact"/>
        <w:rPr>
          <w:sz w:val="20"/>
          <w:szCs w:val="20"/>
          <w:color w:val="auto"/>
        </w:rPr>
      </w:pPr>
    </w:p>
    <w:p>
      <w:pPr>
        <w:jc w:val="both"/>
        <w:ind w:left="2500" w:right="140"/>
        <w:spacing w:after="0" w:line="248" w:lineRule="auto"/>
        <w:rPr>
          <w:sz w:val="20"/>
          <w:szCs w:val="20"/>
          <w:color w:val="auto"/>
        </w:rPr>
      </w:pPr>
      <w:r>
        <w:rPr>
          <w:rFonts w:ascii="Arial" w:cs="Arial" w:eastAsia="Arial" w:hAnsi="Arial"/>
          <w:sz w:val="16"/>
          <w:szCs w:val="16"/>
          <w:color w:val="auto"/>
        </w:rPr>
        <w:t>York. From July 2015 until June 2018, he was a Professor at Columbia Business School. Barry has a BS in Accounting from Brooklyn College, a JD from Brooklyn Law School, and an LLM in Taxation from the New York University School of Law. Barry resides in New York, New York, United States.</w:t>
      </w:r>
    </w:p>
    <w:p>
      <w:pPr>
        <w:spacing w:after="0" w:line="354" w:lineRule="exact"/>
        <w:rPr>
          <w:sz w:val="20"/>
          <w:szCs w:val="20"/>
          <w:color w:val="auto"/>
        </w:rPr>
      </w:pPr>
    </w:p>
    <w:p>
      <w:pPr>
        <w:jc w:val="both"/>
        <w:ind w:left="2500" w:right="280"/>
        <w:spacing w:after="0" w:line="258" w:lineRule="auto"/>
        <w:rPr>
          <w:sz w:val="20"/>
          <w:szCs w:val="20"/>
          <w:color w:val="auto"/>
        </w:rPr>
      </w:pPr>
      <w:r>
        <w:rPr>
          <w:rFonts w:ascii="Arial" w:cs="Arial" w:eastAsia="Arial" w:hAnsi="Arial"/>
          <w:sz w:val="16"/>
          <w:szCs w:val="16"/>
          <w:b w:val="1"/>
          <w:bCs w:val="1"/>
          <w:color w:val="auto"/>
        </w:rPr>
        <w:t xml:space="preserve">Peter J. Thomson </w:t>
      </w:r>
      <w:r>
        <w:rPr>
          <w:rFonts w:ascii="Arial" w:cs="Arial" w:eastAsia="Arial" w:hAnsi="Arial"/>
          <w:sz w:val="16"/>
          <w:szCs w:val="16"/>
          <w:color w:val="auto"/>
        </w:rPr>
        <w:t>is a Chairman of Woodbridge, the Thomson family investment company. Peter is an active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investor and serves on the boards of several private companies. Peter has a BA from the University of Western Ontario. Peter resides in Toronto, Ontario,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-291465</wp:posOffset>
            </wp:positionV>
            <wp:extent cx="958850" cy="95885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958850" cy="95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500" w:right="20"/>
        <w:spacing w:after="0" w:line="245" w:lineRule="auto"/>
        <w:rPr>
          <w:sz w:val="20"/>
          <w:szCs w:val="20"/>
          <w:color w:val="auto"/>
        </w:rPr>
      </w:pPr>
      <w:r>
        <w:rPr>
          <w:rFonts w:ascii="Arial" w:cs="Arial" w:eastAsia="Arial" w:hAnsi="Arial"/>
          <w:sz w:val="16"/>
          <w:szCs w:val="16"/>
          <w:b w:val="1"/>
          <w:bCs w:val="1"/>
          <w:color w:val="auto"/>
        </w:rPr>
        <w:t xml:space="preserve">Beth Wilson </w:t>
      </w:r>
      <w:r>
        <w:rPr>
          <w:rFonts w:ascii="Arial" w:cs="Arial" w:eastAsia="Arial" w:hAnsi="Arial"/>
          <w:sz w:val="16"/>
          <w:szCs w:val="16"/>
          <w:color w:val="auto"/>
        </w:rPr>
        <w:t>has been Chair of the Chartered Professional Accountants of Canada since October 2023. Prior to that, she</w:t>
      </w:r>
      <w:r>
        <w:rPr>
          <w:rFonts w:ascii="Arial" w:cs="Arial" w:eastAsia="Arial" w:hAnsi="Arial"/>
          <w:sz w:val="16"/>
          <w:szCs w:val="16"/>
          <w:b w:val="1"/>
          <w:bCs w:val="1"/>
          <w:color w:val="auto"/>
        </w:rPr>
        <w:t xml:space="preserve"> </w:t>
      </w:r>
      <w:r>
        <w:rPr>
          <w:rFonts w:ascii="Arial" w:cs="Arial" w:eastAsia="Arial" w:hAnsi="Arial"/>
          <w:sz w:val="16"/>
          <w:szCs w:val="16"/>
          <w:color w:val="auto"/>
        </w:rPr>
        <w:t>was the Vice-Chair of the Chartered Professional Accountants of Canada from October 2021 to October 2023. She is the former Chief Executive Officer of Dentons Canada LLP and was a member of the global leadership team, serving on the Global Board and Global Management Committee from July 2017 to January 2022. Prior to this role, Beth was an audit partner at KPMG from 2000 to 2016 and served as Managing Partner at KPMG in the Greater Toronto Area from 2009 to 2016. Between 2005 and 2016, she also served as a member of KPMG’s Management Committee in various leadership positions, including Canadian Managing Partner Community Leadership, Canadian Managing Partner Regions and Enterprise with responsibility for 24 regional offices across Canada, and Chief Human Resources Officer. Beth is currently a director at Traferox Technologies Inc., Woodgreen Foundation and Woodgreen Community Services, and a trustee of Hospital for SickKids. She is also a non-executive director at IGM Financial Inc. and Power Corporation of Canada. Beth has a BComm from the University of Toronto and is a CPA. Beth resides in Toronto, Ontario,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93980</wp:posOffset>
            </wp:positionV>
            <wp:extent cx="686562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65620" cy="825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-1226185</wp:posOffset>
            </wp:positionV>
            <wp:extent cx="958850" cy="95885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958850" cy="958850"/>
                    </a:xfrm>
                    <a:prstGeom prst="rect">
                      <a:avLst/>
                    </a:prstGeom>
                    <a:noFill/>
                  </pic:spPr>
                </pic:pic>
              </a:graphicData>
            </a:graphic>
          </wp:anchor>
        </w:drawing>
      </w:r>
    </w:p>
    <w:p>
      <w:pPr>
        <w:spacing w:after="0" w:line="159"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146</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Audit Committee</w:t>
      </w:r>
    </w:p>
    <w:p>
      <w:pPr>
        <w:spacing w:after="0" w:line="20" w:lineRule="exact"/>
        <w:rPr>
          <w:sz w:val="20"/>
          <w:szCs w:val="20"/>
          <w:color w:val="auto"/>
        </w:rPr>
      </w:pPr>
    </w:p>
    <w:p>
      <w:pPr>
        <w:ind w:left="220" w:right="40"/>
        <w:spacing w:after="0" w:line="232" w:lineRule="auto"/>
        <w:rPr>
          <w:sz w:val="20"/>
          <w:szCs w:val="20"/>
          <w:color w:val="auto"/>
        </w:rPr>
      </w:pPr>
      <w:r>
        <w:rPr>
          <w:rFonts w:ascii="Arial" w:cs="Arial" w:eastAsia="Arial" w:hAnsi="Arial"/>
          <w:sz w:val="17"/>
          <w:szCs w:val="17"/>
          <w:color w:val="auto"/>
        </w:rPr>
        <w:t>The Audit Committee comprises Barry Salzberg (Chair), LaVerne Council, Michael E. Daniels, Deanna Oppenheimer, Simon Paris, Kim M. Rivera and Beth Wilson. The Audit Committee is comprised entirely of independent directors. All members of the Audit Committee are financially literate in accordance with applicable Canadian and U.S. securities rules. Barry Salzberg and Beth Wilson each qualify as an “audit committee financial expert” (within the meaning of applicable SEC rules, and the Nasdaq listing rules). Biographies for each member of our Audit Committee are included earlier in this section of the annual report.</w:t>
      </w:r>
    </w:p>
    <w:p>
      <w:pPr>
        <w:spacing w:after="0" w:line="46" w:lineRule="exact"/>
        <w:rPr>
          <w:sz w:val="20"/>
          <w:szCs w:val="20"/>
          <w:color w:val="auto"/>
        </w:rPr>
      </w:pPr>
    </w:p>
    <w:p>
      <w:pPr>
        <w:ind w:left="220" w:right="20"/>
        <w:spacing w:after="0" w:line="243" w:lineRule="auto"/>
        <w:rPr>
          <w:sz w:val="20"/>
          <w:szCs w:val="20"/>
          <w:color w:val="auto"/>
        </w:rPr>
      </w:pPr>
      <w:r>
        <w:rPr>
          <w:rFonts w:ascii="Arial" w:cs="Arial" w:eastAsia="Arial" w:hAnsi="Arial"/>
          <w:sz w:val="17"/>
          <w:szCs w:val="17"/>
          <w:color w:val="auto"/>
        </w:rPr>
        <w:t>The following is a brief summary of the education and experience of each member of the Audit Committee that is relevant to the performance of his or her responsibilities, including any education or experience that has provided the member with an understanding of the accounting principles we use to prepare our financial statements.</w:t>
      </w:r>
    </w:p>
    <w:p>
      <w:pPr>
        <w:spacing w:after="0" w:line="223" w:lineRule="exact"/>
        <w:rPr>
          <w:sz w:val="20"/>
          <w:szCs w:val="20"/>
          <w:color w:val="auto"/>
        </w:rPr>
      </w:pPr>
    </w:p>
    <w:tbl>
      <w:tblPr>
        <w:tblLayout w:type="fixed"/>
        <w:tblInd w:w="220" w:type="dxa"/>
        <w:tblCellMar>
          <w:top w:w="0" w:type="dxa"/>
          <w:left w:w="0" w:type="dxa"/>
          <w:bottom w:w="0" w:type="dxa"/>
          <w:right w:w="0" w:type="dxa"/>
        </w:tblCellMar>
      </w:tblPr>
      <w:tr>
        <w:trPr>
          <w:trHeight w:val="316"/>
        </w:trPr>
        <w:tc>
          <w:tcPr>
            <w:tcW w:w="2580" w:type="dxa"/>
            <w:vAlign w:val="bottom"/>
            <w:tcBorders>
              <w:bottom w:val="single" w:sz="8" w:color="262626"/>
            </w:tcBorders>
            <w:shd w:val="clear" w:color="auto" w:fill="262626"/>
          </w:tcPr>
          <w:p>
            <w:pPr>
              <w:spacing w:after="0"/>
              <w:rPr>
                <w:sz w:val="20"/>
                <w:szCs w:val="20"/>
                <w:color w:val="auto"/>
              </w:rPr>
            </w:pPr>
            <w:r>
              <w:rPr>
                <w:rFonts w:ascii="Arial" w:cs="Arial" w:eastAsia="Arial" w:hAnsi="Arial"/>
                <w:sz w:val="16"/>
                <w:szCs w:val="16"/>
                <w:b w:val="1"/>
                <w:bCs w:val="1"/>
                <w:color w:val="FFFFFF"/>
              </w:rPr>
              <w:t> Audit Committee Member</w:t>
            </w:r>
          </w:p>
        </w:tc>
        <w:tc>
          <w:tcPr>
            <w:tcW w:w="7020" w:type="dxa"/>
            <w:vAlign w:val="bottom"/>
            <w:tcBorders>
              <w:bottom w:val="single" w:sz="8" w:color="262626"/>
            </w:tcBorders>
            <w:shd w:val="clear" w:color="auto" w:fill="262626"/>
          </w:tcPr>
          <w:p>
            <w:pPr>
              <w:ind w:left="120"/>
              <w:spacing w:after="0"/>
              <w:rPr>
                <w:sz w:val="20"/>
                <w:szCs w:val="20"/>
                <w:color w:val="auto"/>
              </w:rPr>
            </w:pPr>
            <w:r>
              <w:rPr>
                <w:rFonts w:ascii="Arial" w:cs="Arial" w:eastAsia="Arial" w:hAnsi="Arial"/>
                <w:sz w:val="16"/>
                <w:szCs w:val="16"/>
                <w:b w:val="1"/>
                <w:bCs w:val="1"/>
                <w:color w:val="FFFFFF"/>
              </w:rPr>
              <w:t>Education/Experience</w:t>
            </w:r>
          </w:p>
        </w:tc>
        <w:tc>
          <w:tcPr>
            <w:tcW w:w="1200" w:type="dxa"/>
            <w:vAlign w:val="bottom"/>
            <w:tcBorders>
              <w:bottom w:val="single" w:sz="8" w:color="262626"/>
            </w:tcBorders>
            <w:shd w:val="clear" w:color="auto" w:fill="262626"/>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2580" w:type="dxa"/>
            <w:vAlign w:val="bottom"/>
            <w:tcBorders>
              <w:top w:val="single" w:sz="8" w:color="D64000"/>
            </w:tcBorders>
          </w:tcPr>
          <w:p>
            <w:pPr>
              <w:spacing w:after="0"/>
              <w:rPr>
                <w:sz w:val="20"/>
                <w:szCs w:val="20"/>
                <w:color w:val="auto"/>
              </w:rPr>
            </w:pPr>
            <w:r>
              <w:rPr>
                <w:rFonts w:ascii="Arial" w:cs="Arial" w:eastAsia="Arial" w:hAnsi="Arial"/>
                <w:sz w:val="16"/>
                <w:szCs w:val="16"/>
                <w:b w:val="1"/>
                <w:bCs w:val="1"/>
                <w:color w:val="auto"/>
              </w:rPr>
              <w:t>Barry Salzberg (Chair)</w:t>
            </w:r>
          </w:p>
        </w:tc>
        <w:tc>
          <w:tcPr>
            <w:tcW w:w="7020" w:type="dxa"/>
            <w:vAlign w:val="bottom"/>
            <w:tcBorders>
              <w:top w:val="single" w:sz="8" w:color="D64000"/>
            </w:tcBorders>
          </w:tcPr>
          <w:p>
            <w:pPr>
              <w:ind w:left="12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Former Global Chief Executive Officer of Deloitte Touche Tohmatsu Limited</w:t>
            </w:r>
          </w:p>
        </w:tc>
        <w:tc>
          <w:tcPr>
            <w:tcW w:w="1200" w:type="dxa"/>
            <w:vAlign w:val="bottom"/>
            <w:tcBorders>
              <w:top w:val="single" w:sz="8" w:color="D64000"/>
            </w:tcBorders>
          </w:tcPr>
          <w:p>
            <w:pPr>
              <w:spacing w:after="0"/>
              <w:rPr>
                <w:sz w:val="21"/>
                <w:szCs w:val="21"/>
                <w:color w:val="auto"/>
              </w:rPr>
            </w:pPr>
          </w:p>
        </w:tc>
        <w:tc>
          <w:tcPr>
            <w:tcW w:w="20" w:type="dxa"/>
            <w:vAlign w:val="bottom"/>
          </w:tcPr>
          <w:p>
            <w:pPr>
              <w:spacing w:after="0"/>
              <w:rPr>
                <w:sz w:val="21"/>
                <w:szCs w:val="21"/>
                <w:color w:val="auto"/>
              </w:rPr>
            </w:pPr>
          </w:p>
        </w:tc>
      </w:tr>
      <w:tr>
        <w:trPr>
          <w:trHeight w:val="217"/>
        </w:trPr>
        <w:tc>
          <w:tcPr>
            <w:tcW w:w="258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Former Professor at Columbia Business School</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1"/>
        </w:trPr>
        <w:tc>
          <w:tcPr>
            <w:tcW w:w="2580" w:type="dxa"/>
            <w:vAlign w:val="bottom"/>
          </w:tcPr>
          <w:p>
            <w:pPr>
              <w:spacing w:after="0"/>
              <w:rPr>
                <w:sz w:val="17"/>
                <w:szCs w:val="17"/>
                <w:color w:val="auto"/>
              </w:rPr>
            </w:pPr>
          </w:p>
        </w:tc>
        <w:tc>
          <w:tcPr>
            <w:tcW w:w="8240" w:type="dxa"/>
            <w:vAlign w:val="bottom"/>
            <w:gridSpan w:val="3"/>
          </w:tcPr>
          <w:p>
            <w:pPr>
              <w:ind w:left="12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Degree in accounting from Brooklyn College, a JD from Brooklyn Law School and an LLM in tax from the New</w:t>
            </w:r>
          </w:p>
        </w:tc>
      </w:tr>
      <w:tr>
        <w:trPr>
          <w:trHeight w:val="210"/>
        </w:trPr>
        <w:tc>
          <w:tcPr>
            <w:tcW w:w="2580" w:type="dxa"/>
            <w:vAlign w:val="bottom"/>
          </w:tcPr>
          <w:p>
            <w:pPr>
              <w:spacing w:after="0"/>
              <w:rPr>
                <w:sz w:val="18"/>
                <w:szCs w:val="18"/>
                <w:color w:val="auto"/>
              </w:rPr>
            </w:pPr>
          </w:p>
        </w:tc>
        <w:tc>
          <w:tcPr>
            <w:tcW w:w="7020" w:type="dxa"/>
            <w:vAlign w:val="bottom"/>
          </w:tcPr>
          <w:p>
            <w:pPr>
              <w:ind w:left="280"/>
              <w:spacing w:after="0"/>
              <w:rPr>
                <w:sz w:val="20"/>
                <w:szCs w:val="20"/>
                <w:color w:val="auto"/>
              </w:rPr>
            </w:pPr>
            <w:r>
              <w:rPr>
                <w:rFonts w:ascii="Arial" w:cs="Arial" w:eastAsia="Arial" w:hAnsi="Arial"/>
                <w:sz w:val="16"/>
                <w:szCs w:val="16"/>
                <w:color w:val="auto"/>
              </w:rPr>
              <w:t>York University</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3"/>
        </w:trPr>
        <w:tc>
          <w:tcPr>
            <w:tcW w:w="2580" w:type="dxa"/>
            <w:vAlign w:val="bottom"/>
            <w:tcBorders>
              <w:bottom w:val="single" w:sz="8" w:color="AFAFAF"/>
            </w:tcBorders>
          </w:tcPr>
          <w:p>
            <w:pPr>
              <w:spacing w:after="0"/>
              <w:rPr>
                <w:sz w:val="3"/>
                <w:szCs w:val="3"/>
                <w:color w:val="auto"/>
              </w:rPr>
            </w:pPr>
          </w:p>
        </w:tc>
        <w:tc>
          <w:tcPr>
            <w:tcW w:w="7020" w:type="dxa"/>
            <w:vAlign w:val="bottom"/>
            <w:tcBorders>
              <w:bottom w:val="single" w:sz="8" w:color="AFAFAF"/>
            </w:tcBorders>
          </w:tcPr>
          <w:p>
            <w:pPr>
              <w:spacing w:after="0"/>
              <w:rPr>
                <w:sz w:val="3"/>
                <w:szCs w:val="3"/>
                <w:color w:val="auto"/>
              </w:rPr>
            </w:pPr>
          </w:p>
        </w:tc>
        <w:tc>
          <w:tcPr>
            <w:tcW w:w="1200" w:type="dxa"/>
            <w:vAlign w:val="bottom"/>
            <w:tcBorders>
              <w:bottom w:val="single" w:sz="8" w:color="AFAFAF"/>
            </w:tcBorders>
          </w:tcPr>
          <w:p>
            <w:pPr>
              <w:spacing w:after="0"/>
              <w:rPr>
                <w:sz w:val="3"/>
                <w:szCs w:val="3"/>
                <w:color w:val="auto"/>
              </w:rPr>
            </w:pPr>
          </w:p>
        </w:tc>
        <w:tc>
          <w:tcPr>
            <w:tcW w:w="20" w:type="dxa"/>
            <w:vAlign w:val="bottom"/>
          </w:tcPr>
          <w:p>
            <w:pPr>
              <w:spacing w:after="0"/>
              <w:rPr>
                <w:sz w:val="3"/>
                <w:szCs w:val="3"/>
                <w:color w:val="auto"/>
              </w:rPr>
            </w:pPr>
          </w:p>
        </w:tc>
      </w:tr>
      <w:tr>
        <w:trPr>
          <w:trHeight w:val="237"/>
        </w:trPr>
        <w:tc>
          <w:tcPr>
            <w:tcW w:w="2580" w:type="dxa"/>
            <w:vAlign w:val="bottom"/>
          </w:tcPr>
          <w:p>
            <w:pPr>
              <w:spacing w:after="0"/>
              <w:rPr>
                <w:sz w:val="20"/>
                <w:szCs w:val="20"/>
                <w:color w:val="auto"/>
              </w:rPr>
            </w:pPr>
            <w:r>
              <w:rPr>
                <w:rFonts w:ascii="Arial" w:cs="Arial" w:eastAsia="Arial" w:hAnsi="Arial"/>
                <w:sz w:val="16"/>
                <w:szCs w:val="16"/>
                <w:b w:val="1"/>
                <w:bCs w:val="1"/>
                <w:color w:val="auto"/>
              </w:rPr>
              <w:t>LaVerne Council</w:t>
            </w:r>
          </w:p>
        </w:tc>
        <w:tc>
          <w:tcPr>
            <w:tcW w:w="7020" w:type="dxa"/>
            <w:vAlign w:val="bottom"/>
          </w:tcPr>
          <w:p>
            <w:pPr>
              <w:ind w:left="12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MBA and bachelor’s degree in business administration</w:t>
            </w: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7"/>
        </w:trPr>
        <w:tc>
          <w:tcPr>
            <w:tcW w:w="2580" w:type="dxa"/>
            <w:vAlign w:val="bottom"/>
          </w:tcPr>
          <w:p>
            <w:pPr>
              <w:spacing w:after="0"/>
              <w:rPr>
                <w:sz w:val="18"/>
                <w:szCs w:val="18"/>
                <w:color w:val="auto"/>
              </w:rPr>
            </w:pPr>
          </w:p>
        </w:tc>
        <w:tc>
          <w:tcPr>
            <w:tcW w:w="8240" w:type="dxa"/>
            <w:vAlign w:val="bottom"/>
            <w:gridSpan w:val="3"/>
          </w:tcPr>
          <w:p>
            <w:pPr>
              <w:ind w:left="12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Member of CONMED Corporation and Concentrix Corporation boards of directors and audit committees</w:t>
            </w:r>
          </w:p>
        </w:tc>
      </w:tr>
      <w:tr>
        <w:trPr>
          <w:trHeight w:val="43"/>
        </w:trPr>
        <w:tc>
          <w:tcPr>
            <w:tcW w:w="2580" w:type="dxa"/>
            <w:vAlign w:val="bottom"/>
            <w:tcBorders>
              <w:bottom w:val="single" w:sz="8" w:color="AFAFAF"/>
            </w:tcBorders>
          </w:tcPr>
          <w:p>
            <w:pPr>
              <w:spacing w:after="0"/>
              <w:rPr>
                <w:sz w:val="3"/>
                <w:szCs w:val="3"/>
                <w:color w:val="auto"/>
              </w:rPr>
            </w:pPr>
          </w:p>
        </w:tc>
        <w:tc>
          <w:tcPr>
            <w:tcW w:w="7020" w:type="dxa"/>
            <w:vAlign w:val="bottom"/>
            <w:tcBorders>
              <w:bottom w:val="single" w:sz="8" w:color="AFAFAF"/>
            </w:tcBorders>
          </w:tcPr>
          <w:p>
            <w:pPr>
              <w:spacing w:after="0"/>
              <w:rPr>
                <w:sz w:val="3"/>
                <w:szCs w:val="3"/>
                <w:color w:val="auto"/>
              </w:rPr>
            </w:pPr>
          </w:p>
        </w:tc>
        <w:tc>
          <w:tcPr>
            <w:tcW w:w="1200" w:type="dxa"/>
            <w:vAlign w:val="bottom"/>
            <w:tcBorders>
              <w:bottom w:val="single" w:sz="8" w:color="AFAFAF"/>
            </w:tcBorders>
          </w:tcPr>
          <w:p>
            <w:pPr>
              <w:spacing w:after="0"/>
              <w:rPr>
                <w:sz w:val="3"/>
                <w:szCs w:val="3"/>
                <w:color w:val="auto"/>
              </w:rPr>
            </w:pPr>
          </w:p>
        </w:tc>
        <w:tc>
          <w:tcPr>
            <w:tcW w:w="20" w:type="dxa"/>
            <w:vAlign w:val="bottom"/>
          </w:tcPr>
          <w:p>
            <w:pPr>
              <w:spacing w:after="0"/>
              <w:rPr>
                <w:sz w:val="3"/>
                <w:szCs w:val="3"/>
                <w:color w:val="auto"/>
              </w:rPr>
            </w:pPr>
          </w:p>
        </w:tc>
      </w:tr>
      <w:tr>
        <w:trPr>
          <w:trHeight w:val="237"/>
        </w:trPr>
        <w:tc>
          <w:tcPr>
            <w:tcW w:w="2580" w:type="dxa"/>
            <w:vAlign w:val="bottom"/>
          </w:tcPr>
          <w:p>
            <w:pPr>
              <w:spacing w:after="0"/>
              <w:rPr>
                <w:sz w:val="20"/>
                <w:szCs w:val="20"/>
                <w:color w:val="auto"/>
              </w:rPr>
            </w:pPr>
            <w:r>
              <w:rPr>
                <w:rFonts w:ascii="Arial" w:cs="Arial" w:eastAsia="Arial" w:hAnsi="Arial"/>
                <w:sz w:val="16"/>
                <w:szCs w:val="16"/>
                <w:b w:val="1"/>
                <w:bCs w:val="1"/>
                <w:color w:val="auto"/>
              </w:rPr>
              <w:t>Michael E. Daniels</w:t>
            </w:r>
          </w:p>
        </w:tc>
        <w:tc>
          <w:tcPr>
            <w:tcW w:w="7020" w:type="dxa"/>
            <w:vAlign w:val="bottom"/>
          </w:tcPr>
          <w:p>
            <w:pPr>
              <w:ind w:left="12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Over 25 years of executive experience at IBM</w:t>
            </w: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7"/>
        </w:trPr>
        <w:tc>
          <w:tcPr>
            <w:tcW w:w="258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Former member of the Tyco International Ltd. audit committee</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3"/>
        </w:trPr>
        <w:tc>
          <w:tcPr>
            <w:tcW w:w="2580" w:type="dxa"/>
            <w:vAlign w:val="bottom"/>
            <w:tcBorders>
              <w:bottom w:val="single" w:sz="8" w:color="AFAFAF"/>
            </w:tcBorders>
          </w:tcPr>
          <w:p>
            <w:pPr>
              <w:spacing w:after="0"/>
              <w:rPr>
                <w:sz w:val="3"/>
                <w:szCs w:val="3"/>
                <w:color w:val="auto"/>
              </w:rPr>
            </w:pPr>
          </w:p>
        </w:tc>
        <w:tc>
          <w:tcPr>
            <w:tcW w:w="7020" w:type="dxa"/>
            <w:vAlign w:val="bottom"/>
            <w:tcBorders>
              <w:bottom w:val="single" w:sz="8" w:color="AFAFAF"/>
            </w:tcBorders>
          </w:tcPr>
          <w:p>
            <w:pPr>
              <w:spacing w:after="0"/>
              <w:rPr>
                <w:sz w:val="3"/>
                <w:szCs w:val="3"/>
                <w:color w:val="auto"/>
              </w:rPr>
            </w:pPr>
          </w:p>
        </w:tc>
        <w:tc>
          <w:tcPr>
            <w:tcW w:w="1200" w:type="dxa"/>
            <w:vAlign w:val="bottom"/>
            <w:tcBorders>
              <w:bottom w:val="single" w:sz="8" w:color="AFAFAF"/>
            </w:tcBorders>
          </w:tcPr>
          <w:p>
            <w:pPr>
              <w:spacing w:after="0"/>
              <w:rPr>
                <w:sz w:val="3"/>
                <w:szCs w:val="3"/>
                <w:color w:val="auto"/>
              </w:rPr>
            </w:pPr>
          </w:p>
        </w:tc>
        <w:tc>
          <w:tcPr>
            <w:tcW w:w="20" w:type="dxa"/>
            <w:vAlign w:val="bottom"/>
          </w:tcPr>
          <w:p>
            <w:pPr>
              <w:spacing w:after="0"/>
              <w:rPr>
                <w:sz w:val="3"/>
                <w:szCs w:val="3"/>
                <w:color w:val="auto"/>
              </w:rPr>
            </w:pPr>
          </w:p>
        </w:tc>
      </w:tr>
      <w:tr>
        <w:trPr>
          <w:trHeight w:val="237"/>
        </w:trPr>
        <w:tc>
          <w:tcPr>
            <w:tcW w:w="2580" w:type="dxa"/>
            <w:vAlign w:val="bottom"/>
          </w:tcPr>
          <w:p>
            <w:pPr>
              <w:spacing w:after="0"/>
              <w:rPr>
                <w:sz w:val="20"/>
                <w:szCs w:val="20"/>
                <w:color w:val="auto"/>
              </w:rPr>
            </w:pPr>
            <w:r>
              <w:rPr>
                <w:rFonts w:ascii="Arial" w:cs="Arial" w:eastAsia="Arial" w:hAnsi="Arial"/>
                <w:sz w:val="16"/>
                <w:szCs w:val="16"/>
                <w:b w:val="1"/>
                <w:bCs w:val="1"/>
                <w:color w:val="auto"/>
              </w:rPr>
              <w:t>Deanna Oppenheimer</w:t>
            </w:r>
          </w:p>
        </w:tc>
        <w:tc>
          <w:tcPr>
            <w:tcW w:w="7020" w:type="dxa"/>
            <w:vAlign w:val="bottom"/>
          </w:tcPr>
          <w:p>
            <w:pPr>
              <w:ind w:left="12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Former Vice Chair of Global Retail Banking of Barclays PLC</w:t>
            </w: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7"/>
        </w:trPr>
        <w:tc>
          <w:tcPr>
            <w:tcW w:w="258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Former President of Consumer Banking of Washington Mutual, Inc.</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2580" w:type="dxa"/>
            <w:vAlign w:val="bottom"/>
          </w:tcPr>
          <w:p>
            <w:pPr>
              <w:spacing w:after="0"/>
              <w:rPr>
                <w:sz w:val="19"/>
                <w:szCs w:val="19"/>
                <w:color w:val="auto"/>
              </w:rPr>
            </w:pPr>
          </w:p>
        </w:tc>
        <w:tc>
          <w:tcPr>
            <w:tcW w:w="7020" w:type="dxa"/>
            <w:vAlign w:val="bottom"/>
          </w:tcPr>
          <w:p>
            <w:pPr>
              <w:ind w:left="12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Former member of AXA Global Insurance audit committee</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2580" w:type="dxa"/>
            <w:vAlign w:val="bottom"/>
          </w:tcPr>
          <w:p>
            <w:pPr>
              <w:spacing w:after="0"/>
              <w:rPr>
                <w:sz w:val="19"/>
                <w:szCs w:val="19"/>
                <w:color w:val="auto"/>
              </w:rPr>
            </w:pPr>
          </w:p>
        </w:tc>
        <w:tc>
          <w:tcPr>
            <w:tcW w:w="7020" w:type="dxa"/>
            <w:vAlign w:val="bottom"/>
          </w:tcPr>
          <w:p>
            <w:pPr>
              <w:ind w:left="12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Former member of NCR Corporation audit committee</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
        </w:trPr>
        <w:tc>
          <w:tcPr>
            <w:tcW w:w="2580" w:type="dxa"/>
            <w:vAlign w:val="bottom"/>
            <w:tcBorders>
              <w:bottom w:val="single" w:sz="8" w:color="AFAFAF"/>
            </w:tcBorders>
          </w:tcPr>
          <w:p>
            <w:pPr>
              <w:spacing w:after="0"/>
              <w:rPr>
                <w:sz w:val="3"/>
                <w:szCs w:val="3"/>
                <w:color w:val="auto"/>
              </w:rPr>
            </w:pPr>
          </w:p>
        </w:tc>
        <w:tc>
          <w:tcPr>
            <w:tcW w:w="7020" w:type="dxa"/>
            <w:vAlign w:val="bottom"/>
            <w:tcBorders>
              <w:bottom w:val="single" w:sz="8" w:color="AFAFAF"/>
            </w:tcBorders>
          </w:tcPr>
          <w:p>
            <w:pPr>
              <w:spacing w:after="0"/>
              <w:rPr>
                <w:sz w:val="3"/>
                <w:szCs w:val="3"/>
                <w:color w:val="auto"/>
              </w:rPr>
            </w:pPr>
          </w:p>
        </w:tc>
        <w:tc>
          <w:tcPr>
            <w:tcW w:w="1200" w:type="dxa"/>
            <w:vAlign w:val="bottom"/>
            <w:tcBorders>
              <w:bottom w:val="single" w:sz="8" w:color="AFAFAF"/>
            </w:tcBorders>
          </w:tcPr>
          <w:p>
            <w:pPr>
              <w:spacing w:after="0"/>
              <w:rPr>
                <w:sz w:val="3"/>
                <w:szCs w:val="3"/>
                <w:color w:val="auto"/>
              </w:rPr>
            </w:pPr>
          </w:p>
        </w:tc>
        <w:tc>
          <w:tcPr>
            <w:tcW w:w="20" w:type="dxa"/>
            <w:vAlign w:val="bottom"/>
          </w:tcPr>
          <w:p>
            <w:pPr>
              <w:spacing w:after="0"/>
              <w:rPr>
                <w:sz w:val="3"/>
                <w:szCs w:val="3"/>
                <w:color w:val="auto"/>
              </w:rPr>
            </w:pPr>
          </w:p>
        </w:tc>
      </w:tr>
      <w:tr>
        <w:trPr>
          <w:trHeight w:val="237"/>
        </w:trPr>
        <w:tc>
          <w:tcPr>
            <w:tcW w:w="2580" w:type="dxa"/>
            <w:vAlign w:val="bottom"/>
          </w:tcPr>
          <w:p>
            <w:pPr>
              <w:spacing w:after="0"/>
              <w:rPr>
                <w:sz w:val="20"/>
                <w:szCs w:val="20"/>
                <w:color w:val="auto"/>
              </w:rPr>
            </w:pPr>
            <w:r>
              <w:rPr>
                <w:rFonts w:ascii="Arial" w:cs="Arial" w:eastAsia="Arial" w:hAnsi="Arial"/>
                <w:sz w:val="16"/>
                <w:szCs w:val="16"/>
                <w:b w:val="1"/>
                <w:bCs w:val="1"/>
                <w:color w:val="auto"/>
              </w:rPr>
              <w:t>Simon Paris</w:t>
            </w:r>
          </w:p>
        </w:tc>
        <w:tc>
          <w:tcPr>
            <w:tcW w:w="7020" w:type="dxa"/>
            <w:vAlign w:val="bottom"/>
          </w:tcPr>
          <w:p>
            <w:pPr>
              <w:ind w:left="12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Chief Executive Officer of Unit4</w:t>
            </w: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7"/>
        </w:trPr>
        <w:tc>
          <w:tcPr>
            <w:tcW w:w="258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Former Chief Executive Officer of Finastra</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2580" w:type="dxa"/>
            <w:vAlign w:val="bottom"/>
          </w:tcPr>
          <w:p>
            <w:pPr>
              <w:spacing w:after="0"/>
              <w:rPr>
                <w:sz w:val="19"/>
                <w:szCs w:val="19"/>
                <w:color w:val="auto"/>
              </w:rPr>
            </w:pPr>
          </w:p>
        </w:tc>
        <w:tc>
          <w:tcPr>
            <w:tcW w:w="7020" w:type="dxa"/>
            <w:vAlign w:val="bottom"/>
          </w:tcPr>
          <w:p>
            <w:pPr>
              <w:ind w:left="12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Former Chair of the World Trade Board</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
        </w:trPr>
        <w:tc>
          <w:tcPr>
            <w:tcW w:w="2580" w:type="dxa"/>
            <w:vAlign w:val="bottom"/>
            <w:tcBorders>
              <w:bottom w:val="single" w:sz="8" w:color="AFAFAF"/>
            </w:tcBorders>
          </w:tcPr>
          <w:p>
            <w:pPr>
              <w:spacing w:after="0"/>
              <w:rPr>
                <w:sz w:val="3"/>
                <w:szCs w:val="3"/>
                <w:color w:val="auto"/>
              </w:rPr>
            </w:pPr>
          </w:p>
        </w:tc>
        <w:tc>
          <w:tcPr>
            <w:tcW w:w="7020" w:type="dxa"/>
            <w:vAlign w:val="bottom"/>
            <w:tcBorders>
              <w:bottom w:val="single" w:sz="8" w:color="AFAFAF"/>
            </w:tcBorders>
          </w:tcPr>
          <w:p>
            <w:pPr>
              <w:spacing w:after="0"/>
              <w:rPr>
                <w:sz w:val="3"/>
                <w:szCs w:val="3"/>
                <w:color w:val="auto"/>
              </w:rPr>
            </w:pPr>
          </w:p>
        </w:tc>
        <w:tc>
          <w:tcPr>
            <w:tcW w:w="1200" w:type="dxa"/>
            <w:vAlign w:val="bottom"/>
            <w:tcBorders>
              <w:bottom w:val="single" w:sz="8" w:color="AFAFAF"/>
            </w:tcBorders>
          </w:tcPr>
          <w:p>
            <w:pPr>
              <w:spacing w:after="0"/>
              <w:rPr>
                <w:sz w:val="3"/>
                <w:szCs w:val="3"/>
                <w:color w:val="auto"/>
              </w:rPr>
            </w:pPr>
          </w:p>
        </w:tc>
        <w:tc>
          <w:tcPr>
            <w:tcW w:w="20" w:type="dxa"/>
            <w:vAlign w:val="bottom"/>
          </w:tcPr>
          <w:p>
            <w:pPr>
              <w:spacing w:after="0"/>
              <w:rPr>
                <w:sz w:val="3"/>
                <w:szCs w:val="3"/>
                <w:color w:val="auto"/>
              </w:rPr>
            </w:pPr>
          </w:p>
        </w:tc>
      </w:tr>
      <w:tr>
        <w:trPr>
          <w:trHeight w:val="237"/>
        </w:trPr>
        <w:tc>
          <w:tcPr>
            <w:tcW w:w="2580" w:type="dxa"/>
            <w:vAlign w:val="bottom"/>
          </w:tcPr>
          <w:p>
            <w:pPr>
              <w:spacing w:after="0"/>
              <w:rPr>
                <w:sz w:val="20"/>
                <w:szCs w:val="20"/>
                <w:color w:val="auto"/>
              </w:rPr>
            </w:pPr>
            <w:r>
              <w:rPr>
                <w:rFonts w:ascii="Arial" w:cs="Arial" w:eastAsia="Arial" w:hAnsi="Arial"/>
                <w:sz w:val="16"/>
                <w:szCs w:val="16"/>
                <w:b w:val="1"/>
                <w:bCs w:val="1"/>
                <w:color w:val="auto"/>
              </w:rPr>
              <w:t>Kim M. Rivera</w:t>
            </w:r>
          </w:p>
        </w:tc>
        <w:tc>
          <w:tcPr>
            <w:tcW w:w="7020" w:type="dxa"/>
            <w:vAlign w:val="bottom"/>
          </w:tcPr>
          <w:p>
            <w:pPr>
              <w:ind w:left="12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Chief Legal and Business Affairs Officer of One Trust, LLC</w:t>
            </w: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7"/>
        </w:trPr>
        <w:tc>
          <w:tcPr>
            <w:tcW w:w="258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Former President, Strategy and Business Management and Chief Legal Officer of HP Inc.</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2580" w:type="dxa"/>
            <w:vAlign w:val="bottom"/>
          </w:tcPr>
          <w:p>
            <w:pPr>
              <w:spacing w:after="0"/>
              <w:rPr>
                <w:sz w:val="19"/>
                <w:szCs w:val="19"/>
                <w:color w:val="auto"/>
              </w:rPr>
            </w:pPr>
          </w:p>
        </w:tc>
        <w:tc>
          <w:tcPr>
            <w:tcW w:w="7020" w:type="dxa"/>
            <w:vAlign w:val="bottom"/>
          </w:tcPr>
          <w:p>
            <w:pPr>
              <w:ind w:left="12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Supported audit committees of two publicly-traded Fortune 500 companies</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
        </w:trPr>
        <w:tc>
          <w:tcPr>
            <w:tcW w:w="2580" w:type="dxa"/>
            <w:vAlign w:val="bottom"/>
            <w:tcBorders>
              <w:bottom w:val="single" w:sz="8" w:color="AFAFAF"/>
            </w:tcBorders>
          </w:tcPr>
          <w:p>
            <w:pPr>
              <w:spacing w:after="0"/>
              <w:rPr>
                <w:sz w:val="3"/>
                <w:szCs w:val="3"/>
                <w:color w:val="auto"/>
              </w:rPr>
            </w:pPr>
          </w:p>
        </w:tc>
        <w:tc>
          <w:tcPr>
            <w:tcW w:w="7020" w:type="dxa"/>
            <w:vAlign w:val="bottom"/>
            <w:tcBorders>
              <w:bottom w:val="single" w:sz="8" w:color="AFAFAF"/>
            </w:tcBorders>
          </w:tcPr>
          <w:p>
            <w:pPr>
              <w:spacing w:after="0"/>
              <w:rPr>
                <w:sz w:val="3"/>
                <w:szCs w:val="3"/>
                <w:color w:val="auto"/>
              </w:rPr>
            </w:pPr>
          </w:p>
        </w:tc>
        <w:tc>
          <w:tcPr>
            <w:tcW w:w="1200" w:type="dxa"/>
            <w:vAlign w:val="bottom"/>
            <w:tcBorders>
              <w:bottom w:val="single" w:sz="8" w:color="AFAFAF"/>
            </w:tcBorders>
          </w:tcPr>
          <w:p>
            <w:pPr>
              <w:spacing w:after="0"/>
              <w:rPr>
                <w:sz w:val="3"/>
                <w:szCs w:val="3"/>
                <w:color w:val="auto"/>
              </w:rPr>
            </w:pPr>
          </w:p>
        </w:tc>
        <w:tc>
          <w:tcPr>
            <w:tcW w:w="20" w:type="dxa"/>
            <w:vAlign w:val="bottom"/>
          </w:tcPr>
          <w:p>
            <w:pPr>
              <w:spacing w:after="0"/>
              <w:rPr>
                <w:sz w:val="3"/>
                <w:szCs w:val="3"/>
                <w:color w:val="auto"/>
              </w:rPr>
            </w:pPr>
          </w:p>
        </w:tc>
      </w:tr>
      <w:tr>
        <w:trPr>
          <w:trHeight w:val="237"/>
        </w:trPr>
        <w:tc>
          <w:tcPr>
            <w:tcW w:w="2580" w:type="dxa"/>
            <w:vAlign w:val="bottom"/>
          </w:tcPr>
          <w:p>
            <w:pPr>
              <w:spacing w:after="0"/>
              <w:rPr>
                <w:sz w:val="20"/>
                <w:szCs w:val="20"/>
                <w:color w:val="auto"/>
              </w:rPr>
            </w:pPr>
            <w:r>
              <w:rPr>
                <w:rFonts w:ascii="Arial" w:cs="Arial" w:eastAsia="Arial" w:hAnsi="Arial"/>
                <w:sz w:val="16"/>
                <w:szCs w:val="16"/>
                <w:b w:val="1"/>
                <w:bCs w:val="1"/>
                <w:color w:val="auto"/>
              </w:rPr>
              <w:t>Beth Wilson</w:t>
            </w:r>
          </w:p>
        </w:tc>
        <w:tc>
          <w:tcPr>
            <w:tcW w:w="7020" w:type="dxa"/>
            <w:vAlign w:val="bottom"/>
          </w:tcPr>
          <w:p>
            <w:pPr>
              <w:ind w:left="12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Chair of the Chartered Professional Accountants of Canada</w:t>
            </w: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7"/>
        </w:trPr>
        <w:tc>
          <w:tcPr>
            <w:tcW w:w="258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Audit Committee Chair at The Hospital for Sick Children and Woodgreen Foundation</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2580" w:type="dxa"/>
            <w:vAlign w:val="bottom"/>
          </w:tcPr>
          <w:p>
            <w:pPr>
              <w:spacing w:after="0"/>
              <w:rPr>
                <w:sz w:val="19"/>
                <w:szCs w:val="19"/>
                <w:color w:val="auto"/>
              </w:rPr>
            </w:pPr>
          </w:p>
        </w:tc>
        <w:tc>
          <w:tcPr>
            <w:tcW w:w="7020" w:type="dxa"/>
            <w:vAlign w:val="bottom"/>
          </w:tcPr>
          <w:p>
            <w:pPr>
              <w:ind w:left="12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Member of Power Corporation of Canada and IGM Financial Inc. audit committees</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1"/>
        </w:trPr>
        <w:tc>
          <w:tcPr>
            <w:tcW w:w="2580" w:type="dxa"/>
            <w:vAlign w:val="bottom"/>
          </w:tcPr>
          <w:p>
            <w:pPr>
              <w:spacing w:after="0"/>
              <w:rPr>
                <w:sz w:val="17"/>
                <w:szCs w:val="17"/>
                <w:color w:val="auto"/>
              </w:rPr>
            </w:pPr>
          </w:p>
        </w:tc>
        <w:tc>
          <w:tcPr>
            <w:tcW w:w="8240" w:type="dxa"/>
            <w:vAlign w:val="bottom"/>
            <w:gridSpan w:val="3"/>
          </w:tcPr>
          <w:p>
            <w:pPr>
              <w:ind w:left="12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Bachelor of Commerce degree from University of Toronto and a Certified Professional Accountant in good</w:t>
            </w:r>
          </w:p>
        </w:tc>
      </w:tr>
      <w:tr>
        <w:trPr>
          <w:trHeight w:val="210"/>
        </w:trPr>
        <w:tc>
          <w:tcPr>
            <w:tcW w:w="2580" w:type="dxa"/>
            <w:vAlign w:val="bottom"/>
          </w:tcPr>
          <w:p>
            <w:pPr>
              <w:spacing w:after="0"/>
              <w:rPr>
                <w:sz w:val="18"/>
                <w:szCs w:val="18"/>
                <w:color w:val="auto"/>
              </w:rPr>
            </w:pPr>
          </w:p>
        </w:tc>
        <w:tc>
          <w:tcPr>
            <w:tcW w:w="7020" w:type="dxa"/>
            <w:vAlign w:val="bottom"/>
          </w:tcPr>
          <w:p>
            <w:pPr>
              <w:ind w:left="280"/>
              <w:spacing w:after="0"/>
              <w:rPr>
                <w:sz w:val="20"/>
                <w:szCs w:val="20"/>
                <w:color w:val="auto"/>
              </w:rPr>
            </w:pPr>
            <w:r>
              <w:rPr>
                <w:rFonts w:ascii="Arial" w:cs="Arial" w:eastAsia="Arial" w:hAnsi="Arial"/>
                <w:sz w:val="16"/>
                <w:szCs w:val="16"/>
                <w:color w:val="auto"/>
              </w:rPr>
              <w:t>standing with the Chartered Professional Accountants of Ontario</w:t>
            </w: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2580" w:type="dxa"/>
            <w:vAlign w:val="bottom"/>
          </w:tcPr>
          <w:p>
            <w:pPr>
              <w:spacing w:after="0"/>
              <w:rPr>
                <w:sz w:val="19"/>
                <w:szCs w:val="19"/>
                <w:color w:val="auto"/>
              </w:rPr>
            </w:pPr>
          </w:p>
        </w:tc>
        <w:tc>
          <w:tcPr>
            <w:tcW w:w="7020" w:type="dxa"/>
            <w:vAlign w:val="bottom"/>
          </w:tcPr>
          <w:p>
            <w:pPr>
              <w:ind w:left="12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Former Chief Executive Officer of Dentons Canada LLP</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2580" w:type="dxa"/>
            <w:vAlign w:val="bottom"/>
          </w:tcPr>
          <w:p>
            <w:pPr>
              <w:spacing w:after="0"/>
              <w:rPr>
                <w:sz w:val="19"/>
                <w:szCs w:val="19"/>
                <w:color w:val="auto"/>
              </w:rPr>
            </w:pPr>
          </w:p>
        </w:tc>
        <w:tc>
          <w:tcPr>
            <w:tcW w:w="7020" w:type="dxa"/>
            <w:vAlign w:val="bottom"/>
          </w:tcPr>
          <w:p>
            <w:pPr>
              <w:ind w:left="120"/>
              <w:spacing w:after="0"/>
              <w:rPr>
                <w:sz w:val="20"/>
                <w:szCs w:val="20"/>
                <w:color w:val="auto"/>
              </w:rPr>
            </w:pPr>
            <w:r>
              <w:rPr>
                <w:rFonts w:ascii="Arial" w:cs="Arial" w:eastAsia="Arial" w:hAnsi="Arial"/>
                <w:sz w:val="16"/>
                <w:szCs w:val="16"/>
                <w:color w:val="D64000"/>
              </w:rPr>
              <w:t>•</w:t>
            </w:r>
            <w:r>
              <w:rPr>
                <w:rFonts w:ascii="Arial" w:cs="Arial" w:eastAsia="Arial" w:hAnsi="Arial"/>
                <w:sz w:val="16"/>
                <w:szCs w:val="16"/>
                <w:color w:val="000000"/>
              </w:rPr>
              <w:t xml:space="preserve">  Former audit partner and Managing Partner at KPMG</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9"/>
        </w:trPr>
        <w:tc>
          <w:tcPr>
            <w:tcW w:w="9600" w:type="dxa"/>
            <w:vAlign w:val="bottom"/>
            <w:tcBorders>
              <w:bottom w:val="single" w:sz="8" w:color="D64000"/>
            </w:tcBorders>
            <w:gridSpan w:val="2"/>
          </w:tcPr>
          <w:p>
            <w:pPr>
              <w:spacing w:after="0"/>
              <w:rPr>
                <w:sz w:val="4"/>
                <w:szCs w:val="4"/>
                <w:color w:val="auto"/>
              </w:rPr>
            </w:pPr>
          </w:p>
        </w:tc>
        <w:tc>
          <w:tcPr>
            <w:tcW w:w="1200" w:type="dxa"/>
            <w:vAlign w:val="bottom"/>
            <w:tcBorders>
              <w:bottom w:val="single" w:sz="8" w:color="D64000"/>
            </w:tcBorders>
          </w:tcPr>
          <w:p>
            <w:pPr>
              <w:spacing w:after="0"/>
              <w:rPr>
                <w:sz w:val="4"/>
                <w:szCs w:val="4"/>
                <w:color w:val="auto"/>
              </w:rPr>
            </w:pPr>
          </w:p>
        </w:tc>
        <w:tc>
          <w:tcPr>
            <w:tcW w:w="20" w:type="dxa"/>
            <w:vAlign w:val="bottom"/>
          </w:tcPr>
          <w:p>
            <w:pPr>
              <w:spacing w:after="0"/>
              <w:rPr>
                <w:sz w:val="4"/>
                <w:szCs w:val="4"/>
                <w:color w:val="auto"/>
              </w:rPr>
            </w:pPr>
          </w:p>
        </w:tc>
      </w:tr>
      <w:tr>
        <w:trPr>
          <w:trHeight w:val="172"/>
        </w:trPr>
        <w:tc>
          <w:tcPr>
            <w:tcW w:w="9600" w:type="dxa"/>
            <w:vAlign w:val="bottom"/>
            <w:tcBorders>
              <w:bottom w:val="single" w:sz="8" w:color="7F7F7F"/>
            </w:tcBorders>
            <w:gridSpan w:val="2"/>
          </w:tcPr>
          <w:p>
            <w:pPr>
              <w:spacing w:after="0"/>
              <w:rPr>
                <w:sz w:val="14"/>
                <w:szCs w:val="14"/>
                <w:color w:val="auto"/>
              </w:rPr>
            </w:pPr>
          </w:p>
        </w:tc>
        <w:tc>
          <w:tcPr>
            <w:tcW w:w="1200" w:type="dxa"/>
            <w:vAlign w:val="bottom"/>
            <w:tcBorders>
              <w:bottom w:val="single" w:sz="8" w:color="7F7F7F"/>
            </w:tcBorders>
          </w:tcPr>
          <w:p>
            <w:pPr>
              <w:spacing w:after="0"/>
              <w:rPr>
                <w:sz w:val="14"/>
                <w:szCs w:val="14"/>
                <w:color w:val="auto"/>
              </w:rPr>
            </w:pPr>
          </w:p>
        </w:tc>
        <w:tc>
          <w:tcPr>
            <w:tcW w:w="20" w:type="dxa"/>
            <w:vAlign w:val="bottom"/>
          </w:tcPr>
          <w:p>
            <w:pPr>
              <w:spacing w:after="0"/>
              <w:rPr>
                <w:sz w:val="14"/>
                <w:szCs w:val="14"/>
                <w:color w:val="auto"/>
              </w:rPr>
            </w:pPr>
          </w:p>
        </w:tc>
      </w:tr>
      <w:tr>
        <w:trPr>
          <w:trHeight w:val="228"/>
        </w:trPr>
        <w:tc>
          <w:tcPr>
            <w:tcW w:w="9600" w:type="dxa"/>
            <w:vAlign w:val="bottom"/>
            <w:gridSpan w:val="2"/>
          </w:tcPr>
          <w:p>
            <w:pPr>
              <w:spacing w:after="0"/>
              <w:rPr>
                <w:sz w:val="20"/>
                <w:szCs w:val="20"/>
                <w:color w:val="auto"/>
              </w:rPr>
            </w:pPr>
            <w:r>
              <w:rPr>
                <w:rFonts w:ascii="Arial" w:cs="Arial" w:eastAsia="Arial" w:hAnsi="Arial"/>
                <w:sz w:val="17"/>
                <w:szCs w:val="17"/>
                <w:b w:val="1"/>
                <w:bCs w:val="1"/>
                <w:color w:val="auto"/>
              </w:rPr>
              <w:t>Thomson Reuters Annual Report 2024</w:t>
            </w:r>
          </w:p>
        </w:tc>
        <w:tc>
          <w:tcPr>
            <w:tcW w:w="1220" w:type="dxa"/>
            <w:vAlign w:val="bottom"/>
            <w:gridSpan w:val="2"/>
          </w:tcPr>
          <w:p>
            <w:pPr>
              <w:ind w:left="500"/>
              <w:spacing w:after="0"/>
              <w:rPr>
                <w:sz w:val="20"/>
                <w:szCs w:val="20"/>
                <w:color w:val="auto"/>
              </w:rPr>
            </w:pPr>
            <w:r>
              <w:rPr>
                <w:rFonts w:ascii="Arial" w:cs="Arial" w:eastAsia="Arial" w:hAnsi="Arial"/>
                <w:sz w:val="17"/>
                <w:szCs w:val="17"/>
                <w:color w:val="auto"/>
                <w:w w:val="96"/>
              </w:rPr>
              <w:t>Page 147</w:t>
            </w:r>
          </w:p>
        </w:tc>
      </w:tr>
    </w:tbl>
    <w:p>
      <w:pPr>
        <w:sectPr>
          <w:pgSz w:w="11900" w:h="16838" w:orient="portrait"/>
          <w:cols w:equalWidth="0" w:num="1">
            <w:col w:w="11040"/>
          </w:cols>
          <w:pgMar w:left="320" w:top="477" w:right="5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Principal Accountant Fees and Services</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sets forth fees related to services rendered by PricewaterhouseCoopers LLP and its affiliates in 2024 and 2023.</w:t>
      </w:r>
    </w:p>
    <w:p>
      <w:pPr>
        <w:spacing w:after="0" w:line="251" w:lineRule="exact"/>
        <w:rPr>
          <w:sz w:val="20"/>
          <w:szCs w:val="20"/>
          <w:color w:val="auto"/>
        </w:rPr>
      </w:pPr>
    </w:p>
    <w:tbl>
      <w:tblPr>
        <w:tblLayout w:type="fixed"/>
        <w:tblInd w:w="220" w:type="dxa"/>
        <w:tblCellMar>
          <w:top w:w="0" w:type="dxa"/>
          <w:left w:w="0" w:type="dxa"/>
          <w:bottom w:w="0" w:type="dxa"/>
          <w:right w:w="0" w:type="dxa"/>
        </w:tblCellMar>
      </w:tblPr>
      <w:tr>
        <w:trPr>
          <w:trHeight w:val="285"/>
        </w:trPr>
        <w:tc>
          <w:tcPr>
            <w:tcW w:w="4420" w:type="dxa"/>
            <w:vAlign w:val="bottom"/>
            <w:tcBorders>
              <w:bottom w:val="single" w:sz="8" w:color="D64000"/>
            </w:tcBorders>
            <w:shd w:val="clear" w:color="auto" w:fill="262626"/>
          </w:tcPr>
          <w:p>
            <w:pPr>
              <w:ind w:left="80"/>
              <w:spacing w:after="0"/>
              <w:rPr>
                <w:sz w:val="20"/>
                <w:szCs w:val="20"/>
                <w:color w:val="auto"/>
              </w:rPr>
            </w:pPr>
            <w:r>
              <w:rPr>
                <w:rFonts w:ascii="Arial" w:cs="Arial" w:eastAsia="Arial" w:hAnsi="Arial"/>
                <w:sz w:val="16"/>
                <w:szCs w:val="16"/>
                <w:b w:val="1"/>
                <w:bCs w:val="1"/>
                <w:color w:val="FFFFFF"/>
              </w:rPr>
              <w:t>(in millions of U.S. dollars)</w:t>
            </w:r>
          </w:p>
        </w:tc>
        <w:tc>
          <w:tcPr>
            <w:tcW w:w="3540" w:type="dxa"/>
            <w:vAlign w:val="bottom"/>
            <w:tcBorders>
              <w:bottom w:val="single" w:sz="8" w:color="D64000"/>
            </w:tcBorders>
            <w:shd w:val="clear" w:color="auto" w:fill="262626"/>
          </w:tcPr>
          <w:p>
            <w:pPr>
              <w:jc w:val="right"/>
              <w:ind w:right="381"/>
              <w:spacing w:after="0"/>
              <w:rPr>
                <w:sz w:val="20"/>
                <w:szCs w:val="20"/>
                <w:color w:val="auto"/>
              </w:rPr>
            </w:pPr>
            <w:r>
              <w:rPr>
                <w:rFonts w:ascii="Arial" w:cs="Arial" w:eastAsia="Arial" w:hAnsi="Arial"/>
                <w:sz w:val="16"/>
                <w:szCs w:val="16"/>
                <w:b w:val="1"/>
                <w:bCs w:val="1"/>
                <w:color w:val="FFFFFF"/>
              </w:rPr>
              <w:t>                     2024</w:t>
            </w:r>
          </w:p>
        </w:tc>
        <w:tc>
          <w:tcPr>
            <w:tcW w:w="2840" w:type="dxa"/>
            <w:vAlign w:val="bottom"/>
            <w:tcBorders>
              <w:bottom w:val="single" w:sz="8" w:color="D64000"/>
            </w:tcBorders>
            <w:shd w:val="clear" w:color="auto" w:fill="262626"/>
          </w:tcPr>
          <w:p>
            <w:pPr>
              <w:jc w:val="right"/>
              <w:ind w:right="661"/>
              <w:spacing w:after="0"/>
              <w:rPr>
                <w:sz w:val="20"/>
                <w:szCs w:val="20"/>
                <w:color w:val="auto"/>
              </w:rPr>
            </w:pPr>
            <w:r>
              <w:rPr>
                <w:rFonts w:ascii="Arial" w:cs="Arial" w:eastAsia="Arial" w:hAnsi="Arial"/>
                <w:sz w:val="16"/>
                <w:szCs w:val="16"/>
                <w:b w:val="1"/>
                <w:bCs w:val="1"/>
                <w:color w:val="FFFFFF"/>
              </w:rPr>
              <w:t>                        2023</w:t>
            </w:r>
          </w:p>
        </w:tc>
      </w:tr>
      <w:tr>
        <w:trPr>
          <w:trHeight w:val="257"/>
        </w:trPr>
        <w:tc>
          <w:tcPr>
            <w:tcW w:w="4420" w:type="dxa"/>
            <w:vAlign w:val="bottom"/>
          </w:tcPr>
          <w:p>
            <w:pPr>
              <w:ind w:left="80"/>
              <w:spacing w:after="0"/>
              <w:rPr>
                <w:sz w:val="20"/>
                <w:szCs w:val="20"/>
                <w:color w:val="auto"/>
              </w:rPr>
            </w:pPr>
            <w:r>
              <w:rPr>
                <w:rFonts w:ascii="Arial" w:cs="Arial" w:eastAsia="Arial" w:hAnsi="Arial"/>
                <w:sz w:val="16"/>
                <w:szCs w:val="16"/>
                <w:b w:val="1"/>
                <w:bCs w:val="1"/>
                <w:color w:val="auto"/>
              </w:rPr>
              <w:t>Audit fees</w:t>
            </w:r>
          </w:p>
        </w:tc>
        <w:tc>
          <w:tcPr>
            <w:tcW w:w="3540" w:type="dxa"/>
            <w:vAlign w:val="bottom"/>
          </w:tcPr>
          <w:p>
            <w:pPr>
              <w:jc w:val="right"/>
              <w:ind w:right="381"/>
              <w:spacing w:after="0"/>
              <w:rPr>
                <w:sz w:val="20"/>
                <w:szCs w:val="20"/>
                <w:color w:val="auto"/>
              </w:rPr>
            </w:pPr>
            <w:r>
              <w:rPr>
                <w:rFonts w:ascii="Arial" w:cs="Arial" w:eastAsia="Arial" w:hAnsi="Arial"/>
                <w:sz w:val="16"/>
                <w:szCs w:val="16"/>
                <w:color w:val="auto"/>
              </w:rPr>
              <w:t>$ 13.4</w:t>
            </w:r>
          </w:p>
        </w:tc>
        <w:tc>
          <w:tcPr>
            <w:tcW w:w="2840" w:type="dxa"/>
            <w:vAlign w:val="bottom"/>
          </w:tcPr>
          <w:p>
            <w:pPr>
              <w:jc w:val="right"/>
              <w:ind w:right="661"/>
              <w:spacing w:after="0"/>
              <w:rPr>
                <w:sz w:val="20"/>
                <w:szCs w:val="20"/>
                <w:color w:val="auto"/>
              </w:rPr>
            </w:pPr>
            <w:r>
              <w:rPr>
                <w:rFonts w:ascii="Arial" w:cs="Arial" w:eastAsia="Arial" w:hAnsi="Arial"/>
                <w:sz w:val="16"/>
                <w:szCs w:val="16"/>
                <w:color w:val="auto"/>
              </w:rPr>
              <w:t>$ 12.8</w:t>
            </w:r>
          </w:p>
        </w:tc>
      </w:tr>
      <w:tr>
        <w:trPr>
          <w:trHeight w:val="48"/>
        </w:trPr>
        <w:tc>
          <w:tcPr>
            <w:tcW w:w="4420" w:type="dxa"/>
            <w:vAlign w:val="bottom"/>
            <w:tcBorders>
              <w:bottom w:val="single" w:sz="8" w:color="B2B2B2"/>
            </w:tcBorders>
          </w:tcPr>
          <w:p>
            <w:pPr>
              <w:spacing w:after="0"/>
              <w:rPr>
                <w:sz w:val="4"/>
                <w:szCs w:val="4"/>
                <w:color w:val="auto"/>
              </w:rPr>
            </w:pPr>
          </w:p>
        </w:tc>
        <w:tc>
          <w:tcPr>
            <w:tcW w:w="3540" w:type="dxa"/>
            <w:vAlign w:val="bottom"/>
            <w:tcBorders>
              <w:bottom w:val="single" w:sz="8" w:color="B2B2B2"/>
            </w:tcBorders>
          </w:tcPr>
          <w:p>
            <w:pPr>
              <w:spacing w:after="0"/>
              <w:rPr>
                <w:sz w:val="4"/>
                <w:szCs w:val="4"/>
                <w:color w:val="auto"/>
              </w:rPr>
            </w:pPr>
          </w:p>
        </w:tc>
        <w:tc>
          <w:tcPr>
            <w:tcW w:w="2840" w:type="dxa"/>
            <w:vAlign w:val="bottom"/>
            <w:tcBorders>
              <w:bottom w:val="single" w:sz="8" w:color="B2B2B2"/>
            </w:tcBorders>
          </w:tcPr>
          <w:p>
            <w:pPr>
              <w:spacing w:after="0"/>
              <w:rPr>
                <w:sz w:val="4"/>
                <w:szCs w:val="4"/>
                <w:color w:val="auto"/>
              </w:rPr>
            </w:pPr>
          </w:p>
        </w:tc>
      </w:tr>
      <w:tr>
        <w:trPr>
          <w:trHeight w:val="250"/>
        </w:trPr>
        <w:tc>
          <w:tcPr>
            <w:tcW w:w="4420" w:type="dxa"/>
            <w:vAlign w:val="bottom"/>
          </w:tcPr>
          <w:p>
            <w:pPr>
              <w:ind w:left="80"/>
              <w:spacing w:after="0"/>
              <w:rPr>
                <w:sz w:val="20"/>
                <w:szCs w:val="20"/>
                <w:color w:val="auto"/>
              </w:rPr>
            </w:pPr>
            <w:r>
              <w:rPr>
                <w:rFonts w:ascii="Arial" w:cs="Arial" w:eastAsia="Arial" w:hAnsi="Arial"/>
                <w:sz w:val="16"/>
                <w:szCs w:val="16"/>
                <w:b w:val="1"/>
                <w:bCs w:val="1"/>
                <w:color w:val="auto"/>
              </w:rPr>
              <w:t>Audit-related fees</w:t>
            </w:r>
          </w:p>
        </w:tc>
        <w:tc>
          <w:tcPr>
            <w:tcW w:w="3540" w:type="dxa"/>
            <w:vAlign w:val="bottom"/>
          </w:tcPr>
          <w:p>
            <w:pPr>
              <w:jc w:val="right"/>
              <w:ind w:right="381"/>
              <w:spacing w:after="0"/>
              <w:rPr>
                <w:sz w:val="20"/>
                <w:szCs w:val="20"/>
                <w:color w:val="auto"/>
              </w:rPr>
            </w:pPr>
            <w:r>
              <w:rPr>
                <w:rFonts w:ascii="Arial" w:cs="Arial" w:eastAsia="Arial" w:hAnsi="Arial"/>
                <w:sz w:val="16"/>
                <w:szCs w:val="16"/>
                <w:color w:val="auto"/>
              </w:rPr>
              <w:t>1.1</w:t>
            </w:r>
          </w:p>
        </w:tc>
        <w:tc>
          <w:tcPr>
            <w:tcW w:w="2840" w:type="dxa"/>
            <w:vAlign w:val="bottom"/>
          </w:tcPr>
          <w:p>
            <w:pPr>
              <w:jc w:val="right"/>
              <w:ind w:right="661"/>
              <w:spacing w:after="0"/>
              <w:rPr>
                <w:sz w:val="20"/>
                <w:szCs w:val="20"/>
                <w:color w:val="auto"/>
              </w:rPr>
            </w:pPr>
            <w:r>
              <w:rPr>
                <w:rFonts w:ascii="Arial" w:cs="Arial" w:eastAsia="Arial" w:hAnsi="Arial"/>
                <w:sz w:val="16"/>
                <w:szCs w:val="16"/>
                <w:color w:val="auto"/>
              </w:rPr>
              <w:t>1.0</w:t>
            </w:r>
          </w:p>
        </w:tc>
      </w:tr>
      <w:tr>
        <w:trPr>
          <w:trHeight w:val="48"/>
        </w:trPr>
        <w:tc>
          <w:tcPr>
            <w:tcW w:w="4420" w:type="dxa"/>
            <w:vAlign w:val="bottom"/>
            <w:tcBorders>
              <w:bottom w:val="single" w:sz="8" w:color="B2B2B2"/>
            </w:tcBorders>
          </w:tcPr>
          <w:p>
            <w:pPr>
              <w:spacing w:after="0"/>
              <w:rPr>
                <w:sz w:val="4"/>
                <w:szCs w:val="4"/>
                <w:color w:val="auto"/>
              </w:rPr>
            </w:pPr>
          </w:p>
        </w:tc>
        <w:tc>
          <w:tcPr>
            <w:tcW w:w="3540" w:type="dxa"/>
            <w:vAlign w:val="bottom"/>
            <w:tcBorders>
              <w:bottom w:val="single" w:sz="8" w:color="B2B2B2"/>
            </w:tcBorders>
          </w:tcPr>
          <w:p>
            <w:pPr>
              <w:spacing w:after="0"/>
              <w:rPr>
                <w:sz w:val="4"/>
                <w:szCs w:val="4"/>
                <w:color w:val="auto"/>
              </w:rPr>
            </w:pPr>
          </w:p>
        </w:tc>
        <w:tc>
          <w:tcPr>
            <w:tcW w:w="2840" w:type="dxa"/>
            <w:vAlign w:val="bottom"/>
            <w:tcBorders>
              <w:bottom w:val="single" w:sz="8" w:color="B2B2B2"/>
            </w:tcBorders>
          </w:tcPr>
          <w:p>
            <w:pPr>
              <w:spacing w:after="0"/>
              <w:rPr>
                <w:sz w:val="4"/>
                <w:szCs w:val="4"/>
                <w:color w:val="auto"/>
              </w:rPr>
            </w:pPr>
          </w:p>
        </w:tc>
      </w:tr>
      <w:tr>
        <w:trPr>
          <w:trHeight w:val="250"/>
        </w:trPr>
        <w:tc>
          <w:tcPr>
            <w:tcW w:w="4420" w:type="dxa"/>
            <w:vAlign w:val="bottom"/>
          </w:tcPr>
          <w:p>
            <w:pPr>
              <w:ind w:left="80"/>
              <w:spacing w:after="0"/>
              <w:rPr>
                <w:sz w:val="20"/>
                <w:szCs w:val="20"/>
                <w:color w:val="auto"/>
              </w:rPr>
            </w:pPr>
            <w:r>
              <w:rPr>
                <w:rFonts w:ascii="Arial" w:cs="Arial" w:eastAsia="Arial" w:hAnsi="Arial"/>
                <w:sz w:val="16"/>
                <w:szCs w:val="16"/>
                <w:b w:val="1"/>
                <w:bCs w:val="1"/>
                <w:color w:val="auto"/>
              </w:rPr>
              <w:t>Tax fees</w:t>
            </w:r>
          </w:p>
        </w:tc>
        <w:tc>
          <w:tcPr>
            <w:tcW w:w="3540" w:type="dxa"/>
            <w:vAlign w:val="bottom"/>
          </w:tcPr>
          <w:p>
            <w:pPr>
              <w:jc w:val="right"/>
              <w:ind w:right="381"/>
              <w:spacing w:after="0"/>
              <w:rPr>
                <w:sz w:val="20"/>
                <w:szCs w:val="20"/>
                <w:color w:val="auto"/>
              </w:rPr>
            </w:pPr>
            <w:r>
              <w:rPr>
                <w:rFonts w:ascii="Arial" w:cs="Arial" w:eastAsia="Arial" w:hAnsi="Arial"/>
                <w:sz w:val="16"/>
                <w:szCs w:val="16"/>
                <w:color w:val="auto"/>
              </w:rPr>
              <w:t>0.7</w:t>
            </w:r>
          </w:p>
        </w:tc>
        <w:tc>
          <w:tcPr>
            <w:tcW w:w="2840" w:type="dxa"/>
            <w:vAlign w:val="bottom"/>
          </w:tcPr>
          <w:p>
            <w:pPr>
              <w:jc w:val="right"/>
              <w:ind w:right="661"/>
              <w:spacing w:after="0"/>
              <w:rPr>
                <w:sz w:val="20"/>
                <w:szCs w:val="20"/>
                <w:color w:val="auto"/>
              </w:rPr>
            </w:pPr>
            <w:r>
              <w:rPr>
                <w:rFonts w:ascii="Arial" w:cs="Arial" w:eastAsia="Arial" w:hAnsi="Arial"/>
                <w:sz w:val="16"/>
                <w:szCs w:val="16"/>
                <w:color w:val="auto"/>
              </w:rPr>
              <w:t>1.4</w:t>
            </w:r>
          </w:p>
        </w:tc>
      </w:tr>
      <w:tr>
        <w:trPr>
          <w:trHeight w:val="48"/>
        </w:trPr>
        <w:tc>
          <w:tcPr>
            <w:tcW w:w="4420" w:type="dxa"/>
            <w:vAlign w:val="bottom"/>
            <w:tcBorders>
              <w:bottom w:val="single" w:sz="8" w:color="B2B2B2"/>
            </w:tcBorders>
          </w:tcPr>
          <w:p>
            <w:pPr>
              <w:spacing w:after="0"/>
              <w:rPr>
                <w:sz w:val="4"/>
                <w:szCs w:val="4"/>
                <w:color w:val="auto"/>
              </w:rPr>
            </w:pPr>
          </w:p>
        </w:tc>
        <w:tc>
          <w:tcPr>
            <w:tcW w:w="3540" w:type="dxa"/>
            <w:vAlign w:val="bottom"/>
            <w:tcBorders>
              <w:bottom w:val="single" w:sz="8" w:color="B2B2B2"/>
            </w:tcBorders>
          </w:tcPr>
          <w:p>
            <w:pPr>
              <w:spacing w:after="0"/>
              <w:rPr>
                <w:sz w:val="4"/>
                <w:szCs w:val="4"/>
                <w:color w:val="auto"/>
              </w:rPr>
            </w:pPr>
          </w:p>
        </w:tc>
        <w:tc>
          <w:tcPr>
            <w:tcW w:w="2840" w:type="dxa"/>
            <w:vAlign w:val="bottom"/>
            <w:tcBorders>
              <w:bottom w:val="single" w:sz="8" w:color="B2B2B2"/>
            </w:tcBorders>
          </w:tcPr>
          <w:p>
            <w:pPr>
              <w:spacing w:after="0"/>
              <w:rPr>
                <w:sz w:val="4"/>
                <w:szCs w:val="4"/>
                <w:color w:val="auto"/>
              </w:rPr>
            </w:pPr>
          </w:p>
        </w:tc>
      </w:tr>
      <w:tr>
        <w:trPr>
          <w:trHeight w:val="250"/>
        </w:trPr>
        <w:tc>
          <w:tcPr>
            <w:tcW w:w="4420" w:type="dxa"/>
            <w:vAlign w:val="bottom"/>
          </w:tcPr>
          <w:p>
            <w:pPr>
              <w:ind w:left="80"/>
              <w:spacing w:after="0"/>
              <w:rPr>
                <w:sz w:val="20"/>
                <w:szCs w:val="20"/>
                <w:color w:val="auto"/>
              </w:rPr>
            </w:pPr>
            <w:r>
              <w:rPr>
                <w:rFonts w:ascii="Arial" w:cs="Arial" w:eastAsia="Arial" w:hAnsi="Arial"/>
                <w:sz w:val="16"/>
                <w:szCs w:val="16"/>
                <w:b w:val="1"/>
                <w:bCs w:val="1"/>
                <w:color w:val="auto"/>
              </w:rPr>
              <w:t>All other fees</w:t>
            </w:r>
          </w:p>
        </w:tc>
        <w:tc>
          <w:tcPr>
            <w:tcW w:w="3540" w:type="dxa"/>
            <w:vAlign w:val="bottom"/>
          </w:tcPr>
          <w:p>
            <w:pPr>
              <w:jc w:val="right"/>
              <w:ind w:right="381"/>
              <w:spacing w:after="0"/>
              <w:rPr>
                <w:sz w:val="20"/>
                <w:szCs w:val="20"/>
                <w:color w:val="auto"/>
              </w:rPr>
            </w:pPr>
            <w:r>
              <w:rPr>
                <w:rFonts w:ascii="Arial" w:cs="Arial" w:eastAsia="Arial" w:hAnsi="Arial"/>
                <w:sz w:val="16"/>
                <w:szCs w:val="16"/>
                <w:color w:val="auto"/>
              </w:rPr>
              <w:t>-</w:t>
            </w:r>
          </w:p>
        </w:tc>
        <w:tc>
          <w:tcPr>
            <w:tcW w:w="2840" w:type="dxa"/>
            <w:vAlign w:val="bottom"/>
          </w:tcPr>
          <w:p>
            <w:pPr>
              <w:jc w:val="right"/>
              <w:ind w:right="661"/>
              <w:spacing w:after="0"/>
              <w:rPr>
                <w:sz w:val="20"/>
                <w:szCs w:val="20"/>
                <w:color w:val="auto"/>
              </w:rPr>
            </w:pPr>
            <w:r>
              <w:rPr>
                <w:rFonts w:ascii="Arial" w:cs="Arial" w:eastAsia="Arial" w:hAnsi="Arial"/>
                <w:sz w:val="16"/>
                <w:szCs w:val="16"/>
                <w:color w:val="auto"/>
              </w:rPr>
              <w:t>-</w:t>
            </w:r>
          </w:p>
        </w:tc>
      </w:tr>
      <w:tr>
        <w:trPr>
          <w:trHeight w:val="48"/>
        </w:trPr>
        <w:tc>
          <w:tcPr>
            <w:tcW w:w="4420" w:type="dxa"/>
            <w:vAlign w:val="bottom"/>
            <w:tcBorders>
              <w:bottom w:val="single" w:sz="8" w:color="B2B2B2"/>
            </w:tcBorders>
          </w:tcPr>
          <w:p>
            <w:pPr>
              <w:spacing w:after="0"/>
              <w:rPr>
                <w:sz w:val="4"/>
                <w:szCs w:val="4"/>
                <w:color w:val="auto"/>
              </w:rPr>
            </w:pPr>
          </w:p>
        </w:tc>
        <w:tc>
          <w:tcPr>
            <w:tcW w:w="3540" w:type="dxa"/>
            <w:vAlign w:val="bottom"/>
            <w:tcBorders>
              <w:bottom w:val="single" w:sz="8" w:color="B2B2B2"/>
            </w:tcBorders>
          </w:tcPr>
          <w:p>
            <w:pPr>
              <w:spacing w:after="0"/>
              <w:rPr>
                <w:sz w:val="4"/>
                <w:szCs w:val="4"/>
                <w:color w:val="auto"/>
              </w:rPr>
            </w:pPr>
          </w:p>
        </w:tc>
        <w:tc>
          <w:tcPr>
            <w:tcW w:w="2840" w:type="dxa"/>
            <w:vAlign w:val="bottom"/>
            <w:tcBorders>
              <w:bottom w:val="single" w:sz="8" w:color="B2B2B2"/>
            </w:tcBorders>
          </w:tcPr>
          <w:p>
            <w:pPr>
              <w:spacing w:after="0"/>
              <w:rPr>
                <w:sz w:val="4"/>
                <w:szCs w:val="4"/>
                <w:color w:val="auto"/>
              </w:rPr>
            </w:pPr>
          </w:p>
        </w:tc>
      </w:tr>
      <w:tr>
        <w:trPr>
          <w:trHeight w:val="250"/>
        </w:trPr>
        <w:tc>
          <w:tcPr>
            <w:tcW w:w="4420" w:type="dxa"/>
            <w:vAlign w:val="bottom"/>
          </w:tcPr>
          <w:p>
            <w:pPr>
              <w:ind w:left="80"/>
              <w:spacing w:after="0"/>
              <w:rPr>
                <w:sz w:val="20"/>
                <w:szCs w:val="20"/>
                <w:color w:val="auto"/>
              </w:rPr>
            </w:pPr>
            <w:r>
              <w:rPr>
                <w:rFonts w:ascii="Arial" w:cs="Arial" w:eastAsia="Arial" w:hAnsi="Arial"/>
                <w:sz w:val="16"/>
                <w:szCs w:val="16"/>
                <w:b w:val="1"/>
                <w:bCs w:val="1"/>
                <w:color w:val="auto"/>
              </w:rPr>
              <w:t>Total</w:t>
            </w:r>
          </w:p>
        </w:tc>
        <w:tc>
          <w:tcPr>
            <w:tcW w:w="3540" w:type="dxa"/>
            <w:vAlign w:val="bottom"/>
          </w:tcPr>
          <w:p>
            <w:pPr>
              <w:jc w:val="right"/>
              <w:ind w:right="381"/>
              <w:spacing w:after="0"/>
              <w:rPr>
                <w:sz w:val="20"/>
                <w:szCs w:val="20"/>
                <w:color w:val="auto"/>
              </w:rPr>
            </w:pPr>
            <w:r>
              <w:rPr>
                <w:rFonts w:ascii="Arial" w:cs="Arial" w:eastAsia="Arial" w:hAnsi="Arial"/>
                <w:sz w:val="16"/>
                <w:szCs w:val="16"/>
                <w:b w:val="1"/>
                <w:bCs w:val="1"/>
                <w:color w:val="auto"/>
              </w:rPr>
              <w:t>$ 15.2</w:t>
            </w:r>
          </w:p>
        </w:tc>
        <w:tc>
          <w:tcPr>
            <w:tcW w:w="2840" w:type="dxa"/>
            <w:vAlign w:val="bottom"/>
          </w:tcPr>
          <w:p>
            <w:pPr>
              <w:jc w:val="right"/>
              <w:ind w:right="661"/>
              <w:spacing w:after="0"/>
              <w:rPr>
                <w:sz w:val="20"/>
                <w:szCs w:val="20"/>
                <w:color w:val="auto"/>
              </w:rPr>
            </w:pPr>
            <w:r>
              <w:rPr>
                <w:rFonts w:ascii="Arial" w:cs="Arial" w:eastAsia="Arial" w:hAnsi="Arial"/>
                <w:sz w:val="16"/>
                <w:szCs w:val="16"/>
                <w:b w:val="1"/>
                <w:bCs w:val="1"/>
                <w:color w:val="auto"/>
              </w:rPr>
              <w:t>$ 15.2</w:t>
            </w:r>
          </w:p>
        </w:tc>
      </w:tr>
      <w:tr>
        <w:trPr>
          <w:trHeight w:val="54"/>
        </w:trPr>
        <w:tc>
          <w:tcPr>
            <w:tcW w:w="4420" w:type="dxa"/>
            <w:vAlign w:val="bottom"/>
            <w:tcBorders>
              <w:bottom w:val="single" w:sz="8" w:color="D64000"/>
            </w:tcBorders>
          </w:tcPr>
          <w:p>
            <w:pPr>
              <w:spacing w:after="0"/>
              <w:rPr>
                <w:sz w:val="4"/>
                <w:szCs w:val="4"/>
                <w:color w:val="auto"/>
              </w:rPr>
            </w:pPr>
          </w:p>
        </w:tc>
        <w:tc>
          <w:tcPr>
            <w:tcW w:w="3540" w:type="dxa"/>
            <w:vAlign w:val="bottom"/>
            <w:tcBorders>
              <w:bottom w:val="single" w:sz="8" w:color="D64000"/>
            </w:tcBorders>
          </w:tcPr>
          <w:p>
            <w:pPr>
              <w:spacing w:after="0"/>
              <w:rPr>
                <w:sz w:val="4"/>
                <w:szCs w:val="4"/>
                <w:color w:val="auto"/>
              </w:rPr>
            </w:pPr>
          </w:p>
        </w:tc>
        <w:tc>
          <w:tcPr>
            <w:tcW w:w="2840" w:type="dxa"/>
            <w:vAlign w:val="bottom"/>
            <w:tcBorders>
              <w:bottom w:val="single" w:sz="8" w:color="D64000"/>
            </w:tcBorders>
          </w:tcPr>
          <w:p>
            <w:pPr>
              <w:spacing w:after="0"/>
              <w:rPr>
                <w:sz w:val="4"/>
                <w:szCs w:val="4"/>
                <w:color w:val="auto"/>
              </w:rPr>
            </w:pPr>
          </w:p>
        </w:tc>
      </w:tr>
    </w:tbl>
    <w:p>
      <w:pPr>
        <w:spacing w:after="0" w:line="8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are descriptions of fees for services rendered by PricewaterhouseCoopers LLP in 2024 and 2023.</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Audit Fees</w:t>
      </w:r>
    </w:p>
    <w:p>
      <w:pPr>
        <w:spacing w:after="0" w:line="57" w:lineRule="exact"/>
        <w:rPr>
          <w:sz w:val="20"/>
          <w:szCs w:val="20"/>
          <w:color w:val="auto"/>
        </w:rPr>
      </w:pPr>
    </w:p>
    <w:p>
      <w:pPr>
        <w:ind w:left="220" w:right="60"/>
        <w:spacing w:after="0" w:line="236" w:lineRule="auto"/>
        <w:rPr>
          <w:sz w:val="20"/>
          <w:szCs w:val="20"/>
          <w:color w:val="auto"/>
        </w:rPr>
      </w:pPr>
      <w:r>
        <w:rPr>
          <w:rFonts w:ascii="Arial" w:cs="Arial" w:eastAsia="Arial" w:hAnsi="Arial"/>
          <w:sz w:val="17"/>
          <w:szCs w:val="17"/>
          <w:color w:val="auto"/>
        </w:rPr>
        <w:t>These audit fees were for professional services rendered for the audits of consolidated financial statements, reviews of interim financial statements included in periodic reports, audits related to internal control over financial reporting, statutory audits and services that generally only the independent auditor can reasonably provide, such as comfort letters and consents. These services included French translations of our financial statements, management’s discussion and analysis and financial information included in our interim and annual filings and prospectuses and other offering documents.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Audit-related Fees</w:t>
      </w:r>
    </w:p>
    <w:p>
      <w:pPr>
        <w:spacing w:after="0" w:line="110" w:lineRule="exact"/>
        <w:rPr>
          <w:sz w:val="20"/>
          <w:szCs w:val="20"/>
          <w:color w:val="auto"/>
        </w:rPr>
      </w:pPr>
    </w:p>
    <w:p>
      <w:pPr>
        <w:ind w:left="220" w:right="60"/>
        <w:spacing w:after="0" w:line="238" w:lineRule="auto"/>
        <w:rPr>
          <w:sz w:val="20"/>
          <w:szCs w:val="20"/>
          <w:color w:val="auto"/>
        </w:rPr>
      </w:pPr>
      <w:r>
        <w:rPr>
          <w:rFonts w:ascii="Arial" w:cs="Arial" w:eastAsia="Arial" w:hAnsi="Arial"/>
          <w:sz w:val="17"/>
          <w:szCs w:val="17"/>
          <w:color w:val="auto"/>
        </w:rPr>
        <w:t>These audit-related fees were for assurance and related services that are reasonably related to the performance of the audit or review of the financial statements and are not reported under the “audit fees” category above. These services included transaction due diligence, pre-post implementation reviews, other attestation engagements, audits of various employee benefit plans and agreed-upon procedures principally related to executive compensation reporting.</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Tax Fees</w:t>
      </w:r>
    </w:p>
    <w:p>
      <w:pPr>
        <w:spacing w:after="0" w:line="110" w:lineRule="exact"/>
        <w:rPr>
          <w:sz w:val="20"/>
          <w:szCs w:val="20"/>
          <w:color w:val="auto"/>
        </w:rPr>
      </w:pPr>
    </w:p>
    <w:p>
      <w:pPr>
        <w:ind w:left="220" w:right="20"/>
        <w:spacing w:after="0" w:line="243" w:lineRule="auto"/>
        <w:rPr>
          <w:sz w:val="20"/>
          <w:szCs w:val="20"/>
          <w:color w:val="auto"/>
        </w:rPr>
      </w:pPr>
      <w:r>
        <w:rPr>
          <w:rFonts w:ascii="Arial" w:cs="Arial" w:eastAsia="Arial" w:hAnsi="Arial"/>
          <w:sz w:val="17"/>
          <w:szCs w:val="17"/>
          <w:color w:val="auto"/>
        </w:rPr>
        <w:t>Tax fees were for tax compliance, tax advice and tax planning. These services included the preparation and review of corporate tax returns, assistance with tax audits and transfer pricing matters, advisory services relating to federal, state, provincial and international tax compliance, and restructurings, mergers and acquisitions and divestitures.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All Other Fees</w:t>
      </w:r>
    </w:p>
    <w:p>
      <w:pPr>
        <w:spacing w:after="0" w:line="110" w:lineRule="exact"/>
        <w:rPr>
          <w:sz w:val="20"/>
          <w:szCs w:val="20"/>
          <w:color w:val="auto"/>
        </w:rPr>
      </w:pPr>
    </w:p>
    <w:p>
      <w:pPr>
        <w:ind w:left="220" w:right="500"/>
        <w:spacing w:after="0" w:line="260" w:lineRule="auto"/>
        <w:rPr>
          <w:sz w:val="20"/>
          <w:szCs w:val="20"/>
          <w:color w:val="auto"/>
        </w:rPr>
      </w:pPr>
      <w:r>
        <w:rPr>
          <w:rFonts w:ascii="Arial" w:cs="Arial" w:eastAsia="Arial" w:hAnsi="Arial"/>
          <w:sz w:val="17"/>
          <w:szCs w:val="17"/>
          <w:color w:val="auto"/>
        </w:rPr>
        <w:t>Fees disclosed in the tables above under the item “all other fees” were for services other than the audit fees, audit-related fees and tax fees described above.</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Pre-Approval Policies and Procedures</w:t>
      </w:r>
    </w:p>
    <w:p>
      <w:pPr>
        <w:spacing w:after="0" w:line="81" w:lineRule="exact"/>
        <w:rPr>
          <w:sz w:val="20"/>
          <w:szCs w:val="20"/>
          <w:color w:val="auto"/>
        </w:rPr>
      </w:pPr>
    </w:p>
    <w:p>
      <w:pPr>
        <w:ind w:left="220" w:right="140"/>
        <w:spacing w:after="0" w:line="260" w:lineRule="auto"/>
        <w:rPr>
          <w:sz w:val="20"/>
          <w:szCs w:val="20"/>
          <w:color w:val="auto"/>
        </w:rPr>
      </w:pPr>
      <w:r>
        <w:rPr>
          <w:rFonts w:ascii="Arial" w:cs="Arial" w:eastAsia="Arial" w:hAnsi="Arial"/>
          <w:sz w:val="17"/>
          <w:szCs w:val="17"/>
          <w:color w:val="auto"/>
        </w:rPr>
        <w:t>The Audit Committee has adopted a policy regarding its pre-approval of all audit and permissible non-audit services provided to our company by the independent auditors.</w:t>
      </w:r>
    </w:p>
    <w:p>
      <w:pPr>
        <w:spacing w:after="0" w:line="40" w:lineRule="exact"/>
        <w:rPr>
          <w:sz w:val="20"/>
          <w:szCs w:val="20"/>
          <w:color w:val="auto"/>
        </w:rPr>
      </w:pPr>
    </w:p>
    <w:p>
      <w:pPr>
        <w:ind w:left="1300" w:right="240" w:hanging="327"/>
        <w:spacing w:after="0" w:line="260" w:lineRule="auto"/>
        <w:tabs>
          <w:tab w:leader="none" w:pos="1300" w:val="left"/>
        </w:tabs>
        <w:numPr>
          <w:ilvl w:val="0"/>
          <w:numId w:val="151"/>
        </w:numPr>
        <w:rPr>
          <w:rFonts w:ascii="Arial" w:cs="Arial" w:eastAsia="Arial" w:hAnsi="Arial"/>
          <w:sz w:val="17"/>
          <w:szCs w:val="17"/>
          <w:color w:val="D64000"/>
        </w:rPr>
      </w:pPr>
      <w:r>
        <w:rPr>
          <w:rFonts w:ascii="Arial" w:cs="Arial" w:eastAsia="Arial" w:hAnsi="Arial"/>
          <w:sz w:val="17"/>
          <w:szCs w:val="17"/>
          <w:color w:val="auto"/>
        </w:rPr>
        <w:t>The policy gives detailed guidance to management as to the specific types of services that have been pre-approved by the Audit Committee.</w:t>
      </w:r>
    </w:p>
    <w:p>
      <w:pPr>
        <w:spacing w:after="0" w:line="40" w:lineRule="exact"/>
        <w:rPr>
          <w:rFonts w:ascii="Arial" w:cs="Arial" w:eastAsia="Arial" w:hAnsi="Arial"/>
          <w:sz w:val="17"/>
          <w:szCs w:val="17"/>
          <w:color w:val="D64000"/>
        </w:rPr>
      </w:pPr>
    </w:p>
    <w:p>
      <w:pPr>
        <w:ind w:left="1300" w:right="160" w:hanging="327"/>
        <w:spacing w:after="0" w:line="260" w:lineRule="auto"/>
        <w:tabs>
          <w:tab w:leader="none" w:pos="1300" w:val="left"/>
        </w:tabs>
        <w:numPr>
          <w:ilvl w:val="0"/>
          <w:numId w:val="151"/>
        </w:numPr>
        <w:rPr>
          <w:rFonts w:ascii="Arial" w:cs="Arial" w:eastAsia="Arial" w:hAnsi="Arial"/>
          <w:sz w:val="17"/>
          <w:szCs w:val="17"/>
          <w:color w:val="D64000"/>
        </w:rPr>
      </w:pPr>
      <w:r>
        <w:rPr>
          <w:rFonts w:ascii="Arial" w:cs="Arial" w:eastAsia="Arial" w:hAnsi="Arial"/>
          <w:sz w:val="17"/>
          <w:szCs w:val="17"/>
          <w:color w:val="auto"/>
        </w:rPr>
        <w:t>The policy requires the Audit Committee’s specific pre-approval of all other permitted types of services that have not already been pre-approved.</w:t>
      </w:r>
    </w:p>
    <w:p>
      <w:pPr>
        <w:spacing w:after="0" w:line="40" w:lineRule="exact"/>
        <w:rPr>
          <w:rFonts w:ascii="Arial" w:cs="Arial" w:eastAsia="Arial" w:hAnsi="Arial"/>
          <w:sz w:val="17"/>
          <w:szCs w:val="17"/>
          <w:color w:val="D64000"/>
        </w:rPr>
      </w:pPr>
    </w:p>
    <w:p>
      <w:pPr>
        <w:ind w:left="1300" w:right="200" w:hanging="327"/>
        <w:spacing w:after="0" w:line="238" w:lineRule="auto"/>
        <w:tabs>
          <w:tab w:leader="none" w:pos="1300" w:val="left"/>
        </w:tabs>
        <w:numPr>
          <w:ilvl w:val="0"/>
          <w:numId w:val="151"/>
        </w:numPr>
        <w:rPr>
          <w:rFonts w:ascii="Arial" w:cs="Arial" w:eastAsia="Arial" w:hAnsi="Arial"/>
          <w:sz w:val="17"/>
          <w:szCs w:val="17"/>
          <w:color w:val="D64000"/>
        </w:rPr>
      </w:pPr>
      <w:r>
        <w:rPr>
          <w:rFonts w:ascii="Arial" w:cs="Arial" w:eastAsia="Arial" w:hAnsi="Arial"/>
          <w:sz w:val="17"/>
          <w:szCs w:val="17"/>
          <w:color w:val="auto"/>
        </w:rPr>
        <w:t>The Audit Committee’s charter allows the Audit Committee to delegate to one or more members the authority to evaluate and approve engagements in the event that the need arises for approval between Audit Committee meetings. Pursuant to this charter provision, the Audit Committee has delegated this authority to its Chair. If the Chair approves any such engagements, he must report his approval decisions to the full Audit Committee at its next meeting.</w:t>
      </w:r>
    </w:p>
    <w:p>
      <w:pPr>
        <w:spacing w:after="0" w:line="59" w:lineRule="exact"/>
        <w:rPr>
          <w:rFonts w:ascii="Arial" w:cs="Arial" w:eastAsia="Arial" w:hAnsi="Arial"/>
          <w:sz w:val="17"/>
          <w:szCs w:val="17"/>
          <w:color w:val="D64000"/>
        </w:rPr>
      </w:pPr>
    </w:p>
    <w:p>
      <w:pPr>
        <w:ind w:left="1300" w:right="580" w:hanging="327"/>
        <w:spacing w:after="0" w:line="243" w:lineRule="auto"/>
        <w:tabs>
          <w:tab w:leader="none" w:pos="1300" w:val="left"/>
        </w:tabs>
        <w:numPr>
          <w:ilvl w:val="0"/>
          <w:numId w:val="151"/>
        </w:numPr>
        <w:rPr>
          <w:rFonts w:ascii="Arial" w:cs="Arial" w:eastAsia="Arial" w:hAnsi="Arial"/>
          <w:sz w:val="17"/>
          <w:szCs w:val="17"/>
          <w:color w:val="D64000"/>
        </w:rPr>
      </w:pPr>
      <w:r>
        <w:rPr>
          <w:rFonts w:ascii="Arial" w:cs="Arial" w:eastAsia="Arial" w:hAnsi="Arial"/>
          <w:sz w:val="17"/>
          <w:szCs w:val="17"/>
          <w:color w:val="auto"/>
        </w:rPr>
        <w:t>For the year ended December 31, 2024, none of the fees of Thomson Reuters described above made use of the de minimis exception to pre-approval provisions as provided for by Rule 2-01(c)(7)(i)(C) of SEC Regulation S-X and Section 2.4 of the Canadian Securities Administrators’ Multilateral Instrument 52-110 (Audit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91440</wp:posOffset>
            </wp:positionV>
            <wp:extent cx="686562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41"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148</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Woodbridge</w:t>
      </w:r>
    </w:p>
    <w:p>
      <w:pPr>
        <w:spacing w:after="0" w:line="110" w:lineRule="exact"/>
        <w:rPr>
          <w:sz w:val="20"/>
          <w:szCs w:val="20"/>
          <w:color w:val="auto"/>
        </w:rPr>
      </w:pPr>
    </w:p>
    <w:p>
      <w:pPr>
        <w:ind w:left="220" w:right="760"/>
        <w:spacing w:after="0" w:line="260" w:lineRule="auto"/>
        <w:rPr>
          <w:sz w:val="20"/>
          <w:szCs w:val="20"/>
          <w:color w:val="auto"/>
        </w:rPr>
      </w:pPr>
      <w:r>
        <w:rPr>
          <w:rFonts w:ascii="Arial" w:cs="Arial" w:eastAsia="Arial" w:hAnsi="Arial"/>
          <w:sz w:val="17"/>
          <w:szCs w:val="17"/>
          <w:color w:val="auto"/>
        </w:rPr>
        <w:t>As of March 3, 2025, Woodbridge and its affiliates beneficially owned approximately 70% of our common shares and is the principal and controlling shareholder of Thomson Reuters.</w:t>
      </w:r>
    </w:p>
    <w:p>
      <w:pPr>
        <w:spacing w:after="0" w:line="27" w:lineRule="exact"/>
        <w:rPr>
          <w:sz w:val="20"/>
          <w:szCs w:val="20"/>
          <w:color w:val="auto"/>
        </w:rPr>
      </w:pPr>
    </w:p>
    <w:p>
      <w:pPr>
        <w:jc w:val="both"/>
        <w:ind w:left="220" w:right="140"/>
        <w:spacing w:after="0" w:line="243" w:lineRule="auto"/>
        <w:rPr>
          <w:sz w:val="20"/>
          <w:szCs w:val="20"/>
          <w:color w:val="auto"/>
        </w:rPr>
      </w:pPr>
      <w:r>
        <w:rPr>
          <w:rFonts w:ascii="Arial" w:cs="Arial" w:eastAsia="Arial" w:hAnsi="Arial"/>
          <w:sz w:val="17"/>
          <w:szCs w:val="17"/>
          <w:color w:val="auto"/>
        </w:rPr>
        <w:t>Woodbridge, a private company, is the primary investment vehicle for members of the family of the late Roy H. Thomson, the first Lord Thomson of Fleet. Woodbridge is a professionally managed company that, in addition to its controlling interest in Thomson Reuters, has other substantial investments.</w:t>
      </w:r>
    </w:p>
    <w:p>
      <w:pPr>
        <w:spacing w:after="0" w:line="55" w:lineRule="exact"/>
        <w:rPr>
          <w:sz w:val="20"/>
          <w:szCs w:val="20"/>
          <w:color w:val="auto"/>
        </w:rPr>
      </w:pPr>
    </w:p>
    <w:p>
      <w:pPr>
        <w:ind w:left="220" w:right="180"/>
        <w:spacing w:after="0" w:line="235" w:lineRule="auto"/>
        <w:rPr>
          <w:sz w:val="20"/>
          <w:szCs w:val="20"/>
          <w:color w:val="auto"/>
        </w:rPr>
      </w:pPr>
      <w:r>
        <w:rPr>
          <w:rFonts w:ascii="Arial" w:cs="Arial" w:eastAsia="Arial" w:hAnsi="Arial"/>
          <w:sz w:val="17"/>
          <w:szCs w:val="17"/>
          <w:color w:val="auto"/>
        </w:rPr>
        <w:t>Prior to his passing in 2006, Kenneth R. Thomson controlled our company through Woodbridge. He did so by holding shares of a holding company of Woodbridge, Thomson Investments Limited. Under his estate arrangements, the 2003 TIL Settlement, a trust of which the trust company subsidiary of a Canadian chartered bank is trustee and members of the family of the late first Lord Thomson of Fleet are beneficiaries, holds those holding company shares. Kenneth R. Thomson established these arrangements to provide for long-term stability of the business of Woodbridge. The equity of Woodbridge continues to be owned by members of successive generations of the family of the first Lord Thomson of Fleet.</w:t>
      </w:r>
    </w:p>
    <w:p>
      <w:pPr>
        <w:spacing w:after="0" w:line="57" w:lineRule="exact"/>
        <w:rPr>
          <w:sz w:val="20"/>
          <w:szCs w:val="20"/>
          <w:color w:val="auto"/>
        </w:rPr>
      </w:pPr>
    </w:p>
    <w:p>
      <w:pPr>
        <w:ind w:left="220" w:right="60"/>
        <w:spacing w:after="0" w:line="243" w:lineRule="auto"/>
        <w:rPr>
          <w:sz w:val="20"/>
          <w:szCs w:val="20"/>
          <w:color w:val="auto"/>
        </w:rPr>
      </w:pPr>
      <w:r>
        <w:rPr>
          <w:rFonts w:ascii="Arial" w:cs="Arial" w:eastAsia="Arial" w:hAnsi="Arial"/>
          <w:sz w:val="17"/>
          <w:szCs w:val="17"/>
          <w:color w:val="auto"/>
        </w:rPr>
        <w:t>Under the estate arrangements of Kenneth R. Thomson, the directors and officers of Woodbridge are responsible for its business and operations. In certain limited circumstances, including very substantial dispositions of Thomson Reuters Corporation common shares by Woodbridge, the estate arrangements provide for approval of the trustee to be obtained.</w:t>
      </w:r>
    </w:p>
    <w:p>
      <w:pPr>
        <w:spacing w:after="0" w:line="42" w:lineRule="exact"/>
        <w:rPr>
          <w:sz w:val="20"/>
          <w:szCs w:val="20"/>
          <w:color w:val="auto"/>
        </w:rPr>
      </w:pPr>
    </w:p>
    <w:p>
      <w:pPr>
        <w:ind w:left="220" w:right="20"/>
        <w:spacing w:after="0" w:line="260" w:lineRule="auto"/>
        <w:rPr>
          <w:sz w:val="20"/>
          <w:szCs w:val="20"/>
          <w:color w:val="auto"/>
        </w:rPr>
      </w:pPr>
      <w:r>
        <w:rPr>
          <w:rFonts w:ascii="Arial" w:cs="Arial" w:eastAsia="Arial" w:hAnsi="Arial"/>
          <w:sz w:val="17"/>
          <w:szCs w:val="17"/>
          <w:color w:val="auto"/>
        </w:rPr>
        <w:t>Woodbridge’s primary investment is its holding of our shares. It actively monitors our company as a controlling shareholder. In its involvement with our company, Woodbridge focuses on these matters:</w:t>
      </w:r>
    </w:p>
    <w:p>
      <w:pPr>
        <w:spacing w:after="0" w:line="67" w:lineRule="exact"/>
        <w:rPr>
          <w:sz w:val="20"/>
          <w:szCs w:val="20"/>
          <w:color w:val="auto"/>
        </w:rPr>
      </w:pPr>
    </w:p>
    <w:p>
      <w:pPr>
        <w:ind w:left="1300" w:hanging="327"/>
        <w:spacing w:after="0"/>
        <w:tabs>
          <w:tab w:leader="none" w:pos="1300" w:val="left"/>
        </w:tabs>
        <w:numPr>
          <w:ilvl w:val="0"/>
          <w:numId w:val="152"/>
        </w:numPr>
        <w:rPr>
          <w:rFonts w:ascii="Arial" w:cs="Arial" w:eastAsia="Arial" w:hAnsi="Arial"/>
          <w:sz w:val="17"/>
          <w:szCs w:val="17"/>
          <w:color w:val="D64000"/>
        </w:rPr>
      </w:pPr>
      <w:r>
        <w:rPr>
          <w:rFonts w:ascii="Arial" w:cs="Arial" w:eastAsia="Arial" w:hAnsi="Arial"/>
          <w:sz w:val="17"/>
          <w:szCs w:val="17"/>
          <w:color w:val="auto"/>
        </w:rPr>
        <w:t>Corporate governance, including the effectiveness of our Board;</w:t>
      </w:r>
    </w:p>
    <w:p>
      <w:pPr>
        <w:spacing w:after="0" w:line="82" w:lineRule="exact"/>
        <w:rPr>
          <w:rFonts w:ascii="Arial" w:cs="Arial" w:eastAsia="Arial" w:hAnsi="Arial"/>
          <w:sz w:val="17"/>
          <w:szCs w:val="17"/>
          <w:color w:val="D64000"/>
        </w:rPr>
      </w:pPr>
    </w:p>
    <w:p>
      <w:pPr>
        <w:ind w:left="1300" w:hanging="327"/>
        <w:spacing w:after="0"/>
        <w:tabs>
          <w:tab w:leader="none" w:pos="1300" w:val="left"/>
        </w:tabs>
        <w:numPr>
          <w:ilvl w:val="0"/>
          <w:numId w:val="152"/>
        </w:numPr>
        <w:rPr>
          <w:rFonts w:ascii="Arial" w:cs="Arial" w:eastAsia="Arial" w:hAnsi="Arial"/>
          <w:sz w:val="17"/>
          <w:szCs w:val="17"/>
          <w:color w:val="D64000"/>
        </w:rPr>
      </w:pPr>
      <w:r>
        <w:rPr>
          <w:rFonts w:ascii="Arial" w:cs="Arial" w:eastAsia="Arial" w:hAnsi="Arial"/>
          <w:sz w:val="17"/>
          <w:szCs w:val="17"/>
          <w:color w:val="auto"/>
        </w:rPr>
        <w:t>Appointment of the Chief Executive Officer and other members of senior management and related succession planning;</w:t>
      </w:r>
    </w:p>
    <w:p>
      <w:pPr>
        <w:spacing w:after="0" w:line="82" w:lineRule="exact"/>
        <w:rPr>
          <w:rFonts w:ascii="Arial" w:cs="Arial" w:eastAsia="Arial" w:hAnsi="Arial"/>
          <w:sz w:val="17"/>
          <w:szCs w:val="17"/>
          <w:color w:val="D64000"/>
        </w:rPr>
      </w:pPr>
    </w:p>
    <w:p>
      <w:pPr>
        <w:ind w:left="1300" w:hanging="327"/>
        <w:spacing w:after="0"/>
        <w:tabs>
          <w:tab w:leader="none" w:pos="1300" w:val="left"/>
        </w:tabs>
        <w:numPr>
          <w:ilvl w:val="0"/>
          <w:numId w:val="152"/>
        </w:numPr>
        <w:rPr>
          <w:rFonts w:ascii="Arial" w:cs="Arial" w:eastAsia="Arial" w:hAnsi="Arial"/>
          <w:sz w:val="17"/>
          <w:szCs w:val="17"/>
          <w:color w:val="D64000"/>
        </w:rPr>
      </w:pPr>
      <w:r>
        <w:rPr>
          <w:rFonts w:ascii="Arial" w:cs="Arial" w:eastAsia="Arial" w:hAnsi="Arial"/>
          <w:sz w:val="17"/>
          <w:szCs w:val="17"/>
          <w:color w:val="auto"/>
        </w:rPr>
        <w:t>Development of the long-term business strategy of Thomson Reuters and assessment of its implementation; and</w:t>
      </w:r>
    </w:p>
    <w:p>
      <w:pPr>
        <w:spacing w:after="0" w:line="82" w:lineRule="exact"/>
        <w:rPr>
          <w:rFonts w:ascii="Arial" w:cs="Arial" w:eastAsia="Arial" w:hAnsi="Arial"/>
          <w:sz w:val="17"/>
          <w:szCs w:val="17"/>
          <w:color w:val="D64000"/>
        </w:rPr>
      </w:pPr>
    </w:p>
    <w:p>
      <w:pPr>
        <w:ind w:left="1300" w:hanging="327"/>
        <w:spacing w:after="0"/>
        <w:tabs>
          <w:tab w:leader="none" w:pos="1300" w:val="left"/>
        </w:tabs>
        <w:numPr>
          <w:ilvl w:val="0"/>
          <w:numId w:val="152"/>
        </w:numPr>
        <w:rPr>
          <w:rFonts w:ascii="Arial" w:cs="Arial" w:eastAsia="Arial" w:hAnsi="Arial"/>
          <w:sz w:val="17"/>
          <w:szCs w:val="17"/>
          <w:color w:val="D64000"/>
        </w:rPr>
      </w:pPr>
      <w:r>
        <w:rPr>
          <w:rFonts w:ascii="Arial" w:cs="Arial" w:eastAsia="Arial" w:hAnsi="Arial"/>
          <w:sz w:val="17"/>
          <w:szCs w:val="17"/>
          <w:color w:val="auto"/>
        </w:rPr>
        <w:t>Capital strategy.</w:t>
      </w:r>
    </w:p>
    <w:p>
      <w:pPr>
        <w:spacing w:after="0" w:line="83" w:lineRule="exact"/>
        <w:rPr>
          <w:sz w:val="20"/>
          <w:szCs w:val="20"/>
          <w:color w:val="auto"/>
        </w:rPr>
      </w:pPr>
    </w:p>
    <w:p>
      <w:pPr>
        <w:ind w:left="220" w:right="20"/>
        <w:spacing w:after="0" w:line="260" w:lineRule="auto"/>
        <w:rPr>
          <w:sz w:val="20"/>
          <w:szCs w:val="20"/>
          <w:color w:val="auto"/>
        </w:rPr>
      </w:pPr>
      <w:r>
        <w:rPr>
          <w:rFonts w:ascii="Arial" w:cs="Arial" w:eastAsia="Arial" w:hAnsi="Arial"/>
          <w:sz w:val="17"/>
          <w:szCs w:val="17"/>
          <w:color w:val="auto"/>
        </w:rPr>
        <w:t>With its substantial equity investment in our company, Woodbridge considers that its interests as a Thomson Reuters shareholder are aligned with those of all other shareholders.</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Controlled Company</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Our company is a “controlled company” as a result of Woodbridge’s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66675</wp:posOffset>
            </wp:positionV>
            <wp:extent cx="6873875" cy="2692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73875" cy="2692400"/>
                    </a:xfrm>
                    <a:prstGeom prst="rect">
                      <a:avLst/>
                    </a:prstGeom>
                    <a:noFill/>
                  </pic:spPr>
                </pic:pic>
              </a:graphicData>
            </a:graphic>
          </wp:anchor>
        </w:drawing>
      </w:r>
    </w:p>
    <w:p>
      <w:pPr>
        <w:spacing w:after="0" w:line="116" w:lineRule="exact"/>
        <w:rPr>
          <w:sz w:val="20"/>
          <w:szCs w:val="20"/>
          <w:color w:val="auto"/>
        </w:rPr>
      </w:pPr>
    </w:p>
    <w:p>
      <w:pPr>
        <w:ind w:left="460" w:right="160"/>
        <w:spacing w:after="0" w:line="260" w:lineRule="auto"/>
        <w:rPr>
          <w:sz w:val="20"/>
          <w:szCs w:val="20"/>
          <w:color w:val="auto"/>
        </w:rPr>
      </w:pPr>
      <w:r>
        <w:rPr>
          <w:rFonts w:ascii="Arial" w:cs="Arial" w:eastAsia="Arial" w:hAnsi="Arial"/>
          <w:sz w:val="17"/>
          <w:szCs w:val="17"/>
          <w:color w:val="auto"/>
        </w:rPr>
        <w:t>Thomson Reuters’ corporate governance practices include the following, which we believe are best practices for a Canadian public company with a controlling shareholder:</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17"/>
          <w:szCs w:val="17"/>
          <w:color w:val="D64000"/>
        </w:rPr>
        <w:t>•</w:t>
      </w:r>
      <w:r>
        <w:rPr>
          <w:rFonts w:ascii="Arial" w:cs="Arial" w:eastAsia="Arial" w:hAnsi="Arial"/>
          <w:sz w:val="17"/>
          <w:szCs w:val="17"/>
          <w:color w:val="000000"/>
        </w:rPr>
        <w:t xml:space="preserve">   No members of the day-to-day Thomson Reuters executive leadership team are related to, or otherwise affiliated with, Woodbridge.</w:t>
      </w:r>
    </w:p>
    <w:p>
      <w:pPr>
        <w:spacing w:after="0" w:line="83" w:lineRule="exact"/>
        <w:rPr>
          <w:sz w:val="20"/>
          <w:szCs w:val="20"/>
          <w:color w:val="auto"/>
        </w:rPr>
      </w:pPr>
    </w:p>
    <w:p>
      <w:pPr>
        <w:ind w:left="700" w:right="160" w:hanging="251"/>
        <w:spacing w:after="0" w:line="260" w:lineRule="auto"/>
        <w:rPr>
          <w:sz w:val="20"/>
          <w:szCs w:val="20"/>
          <w:color w:val="auto"/>
        </w:rPr>
      </w:pPr>
      <w:r>
        <w:rPr>
          <w:rFonts w:ascii="Arial" w:cs="Arial" w:eastAsia="Arial" w:hAnsi="Arial"/>
          <w:sz w:val="17"/>
          <w:szCs w:val="17"/>
          <w:color w:val="D64000"/>
        </w:rPr>
        <w:t>•</w:t>
      </w:r>
      <w:r>
        <w:rPr>
          <w:rFonts w:ascii="Arial" w:cs="Arial" w:eastAsia="Arial" w:hAnsi="Arial"/>
          <w:sz w:val="17"/>
          <w:szCs w:val="17"/>
          <w:color w:val="000000"/>
        </w:rPr>
        <w:t xml:space="preserve">  Woodbridge beneficially owns common shares that have one vote per share. Thomson Reuters has not issued a separate class of shares</w:t>
      </w:r>
      <w:r>
        <w:rPr>
          <w:rFonts w:ascii="Arial" w:cs="Arial" w:eastAsia="Arial" w:hAnsi="Arial"/>
          <w:sz w:val="17"/>
          <w:szCs w:val="17"/>
          <w:color w:val="D64000"/>
        </w:rPr>
        <w:t xml:space="preserve"> </w:t>
      </w:r>
      <w:r>
        <w:rPr>
          <w:rFonts w:ascii="Arial" w:cs="Arial" w:eastAsia="Arial" w:hAnsi="Arial"/>
          <w:sz w:val="17"/>
          <w:szCs w:val="17"/>
          <w:color w:val="000000"/>
        </w:rPr>
        <w:t>to Woodbridge with super-voting rights.</w:t>
      </w:r>
    </w:p>
    <w:p>
      <w:pPr>
        <w:spacing w:after="0" w:line="40" w:lineRule="exact"/>
        <w:rPr>
          <w:sz w:val="20"/>
          <w:szCs w:val="20"/>
          <w:color w:val="auto"/>
        </w:rPr>
      </w:pPr>
    </w:p>
    <w:p>
      <w:pPr>
        <w:ind w:left="700" w:right="140" w:hanging="251"/>
        <w:spacing w:after="0" w:line="238" w:lineRule="auto"/>
        <w:rPr>
          <w:sz w:val="20"/>
          <w:szCs w:val="20"/>
          <w:color w:val="auto"/>
        </w:rPr>
      </w:pPr>
      <w:r>
        <w:rPr>
          <w:rFonts w:ascii="Arial" w:cs="Arial" w:eastAsia="Arial" w:hAnsi="Arial"/>
          <w:sz w:val="17"/>
          <w:szCs w:val="17"/>
          <w:color w:val="D64000"/>
        </w:rPr>
        <w:t>•</w:t>
      </w:r>
      <w:r>
        <w:rPr>
          <w:rFonts w:ascii="Arial" w:cs="Arial" w:eastAsia="Arial" w:hAnsi="Arial"/>
          <w:sz w:val="17"/>
          <w:szCs w:val="17"/>
          <w:color w:val="000000"/>
        </w:rPr>
        <w:t xml:space="preserve">  The Thomson Reuters Board of Directors is comprised of a majority of independent directors and the number of directors affiliated with</w:t>
      </w:r>
      <w:r>
        <w:rPr>
          <w:rFonts w:ascii="Arial" w:cs="Arial" w:eastAsia="Arial" w:hAnsi="Arial"/>
          <w:sz w:val="17"/>
          <w:szCs w:val="17"/>
          <w:color w:val="D64000"/>
        </w:rPr>
        <w:t xml:space="preserve"> </w:t>
      </w:r>
      <w:r>
        <w:rPr>
          <w:rFonts w:ascii="Arial" w:cs="Arial" w:eastAsia="Arial" w:hAnsi="Arial"/>
          <w:sz w:val="17"/>
          <w:szCs w:val="17"/>
          <w:color w:val="000000"/>
        </w:rPr>
        <w:t>Woodbridge is lower than the proportion of common shares controlled by it. Woodbridge’s beneficial ownership (together with its affiliates) as of March 3, 2025 was approximately 70% of our common shares and its representatives on the Thomson Reuters Board comprise approximately 23% of our directors.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7"/>
          <w:szCs w:val="17"/>
          <w:color w:val="D64000"/>
        </w:rPr>
        <w:t>•</w:t>
      </w:r>
      <w:r>
        <w:rPr>
          <w:rFonts w:ascii="Arial" w:cs="Arial" w:eastAsia="Arial" w:hAnsi="Arial"/>
          <w:sz w:val="17"/>
          <w:szCs w:val="17"/>
          <w:color w:val="000000"/>
        </w:rPr>
        <w:t xml:space="preserve">  As David Thomson is the Chairman of the Board, we have a separate Lead Independent Director.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7"/>
          <w:szCs w:val="17"/>
          <w:color w:val="D64000"/>
        </w:rPr>
        <w:t>•</w:t>
      </w:r>
      <w:r>
        <w:rPr>
          <w:rFonts w:ascii="Arial" w:cs="Arial" w:eastAsia="Arial" w:hAnsi="Arial"/>
          <w:sz w:val="17"/>
          <w:szCs w:val="17"/>
          <w:color w:val="000000"/>
        </w:rPr>
        <w:t xml:space="preserve">  As part of each Board meeting, the independent directors meet separately without management or Woodbridge-affiliated directors present.</w:t>
      </w:r>
    </w:p>
    <w:p>
      <w:pPr>
        <w:spacing w:after="0" w:line="83" w:lineRule="exact"/>
        <w:rPr>
          <w:sz w:val="20"/>
          <w:szCs w:val="20"/>
          <w:color w:val="auto"/>
        </w:rPr>
      </w:pPr>
    </w:p>
    <w:p>
      <w:pPr>
        <w:ind w:left="700" w:right="800" w:hanging="251"/>
        <w:spacing w:after="0" w:line="260" w:lineRule="auto"/>
        <w:rPr>
          <w:sz w:val="20"/>
          <w:szCs w:val="20"/>
          <w:color w:val="auto"/>
        </w:rPr>
      </w:pPr>
      <w:r>
        <w:rPr>
          <w:rFonts w:ascii="Arial" w:cs="Arial" w:eastAsia="Arial" w:hAnsi="Arial"/>
          <w:sz w:val="17"/>
          <w:szCs w:val="17"/>
          <w:color w:val="D64000"/>
        </w:rPr>
        <w:t>•</w:t>
      </w:r>
      <w:r>
        <w:rPr>
          <w:rFonts w:ascii="Arial" w:cs="Arial" w:eastAsia="Arial" w:hAnsi="Arial"/>
          <w:sz w:val="17"/>
          <w:szCs w:val="17"/>
          <w:color w:val="000000"/>
        </w:rPr>
        <w:t xml:space="preserve">  All committees are comprised of a majority of independent directors (other than the Audit Committee, which is 100% independent</w:t>
      </w:r>
      <w:r>
        <w:rPr>
          <w:rFonts w:ascii="Arial" w:cs="Arial" w:eastAsia="Arial" w:hAnsi="Arial"/>
          <w:sz w:val="17"/>
          <w:szCs w:val="17"/>
          <w:color w:val="D64000"/>
        </w:rPr>
        <w:t xml:space="preserve"> </w:t>
      </w:r>
      <w:r>
        <w:rPr>
          <w:rFonts w:ascii="Arial" w:cs="Arial" w:eastAsia="Arial" w:hAnsi="Arial"/>
          <w:sz w:val="17"/>
          <w:szCs w:val="17"/>
          <w:color w:val="000000"/>
        </w:rPr>
        <w:t>directors).</w:t>
      </w:r>
    </w:p>
    <w:p>
      <w:pPr>
        <w:spacing w:after="0" w:line="40" w:lineRule="exact"/>
        <w:rPr>
          <w:sz w:val="20"/>
          <w:szCs w:val="20"/>
          <w:color w:val="auto"/>
        </w:rPr>
      </w:pPr>
    </w:p>
    <w:p>
      <w:pPr>
        <w:ind w:left="700" w:right="60" w:hanging="251"/>
        <w:spacing w:after="0" w:line="236" w:lineRule="auto"/>
        <w:rPr>
          <w:sz w:val="20"/>
          <w:szCs w:val="20"/>
          <w:color w:val="auto"/>
        </w:rPr>
      </w:pPr>
      <w:r>
        <w:rPr>
          <w:rFonts w:ascii="Arial" w:cs="Arial" w:eastAsia="Arial" w:hAnsi="Arial"/>
          <w:sz w:val="17"/>
          <w:szCs w:val="17"/>
          <w:color w:val="D64000"/>
        </w:rPr>
        <w:t>•</w:t>
      </w:r>
      <w:r>
        <w:rPr>
          <w:rFonts w:ascii="Arial" w:cs="Arial" w:eastAsia="Arial" w:hAnsi="Arial"/>
          <w:sz w:val="17"/>
          <w:szCs w:val="17"/>
          <w:color w:val="000000"/>
        </w:rPr>
        <w:t xml:space="preserve">  The Board has an effective and transparent process to deal with related party transactions or conflicts of interest between Thomson</w:t>
      </w:r>
      <w:r>
        <w:rPr>
          <w:rFonts w:ascii="Arial" w:cs="Arial" w:eastAsia="Arial" w:hAnsi="Arial"/>
          <w:sz w:val="17"/>
          <w:szCs w:val="17"/>
          <w:color w:val="D64000"/>
        </w:rPr>
        <w:t xml:space="preserve"> </w:t>
      </w:r>
      <w:r>
        <w:rPr>
          <w:rFonts w:ascii="Arial" w:cs="Arial" w:eastAsia="Arial" w:hAnsi="Arial"/>
          <w:sz w:val="17"/>
          <w:szCs w:val="17"/>
          <w:color w:val="000000"/>
        </w:rPr>
        <w:t>Reuters and Woodbridge or directors affiliated with Woodbridge. The Corporate Governance Committee of our Board utilizes a policy for considering related party transactions that may take place between our company and Woodbridge, with any committee members related to Woodbridge abstaining from voting. In addition, any transactions between Woodbridge and our company are subject to public disclosure and other requirements under applicable Canadian securities laws.</w:t>
      </w:r>
    </w:p>
    <w:p>
      <w:pPr>
        <w:spacing w:after="0" w:line="245" w:lineRule="exact"/>
        <w:rPr>
          <w:sz w:val="20"/>
          <w:szCs w:val="20"/>
          <w:color w:val="auto"/>
        </w:rPr>
      </w:pPr>
    </w:p>
    <w:p>
      <w:pPr>
        <w:ind w:left="220" w:right="120"/>
        <w:spacing w:after="0" w:line="238" w:lineRule="auto"/>
        <w:rPr>
          <w:sz w:val="20"/>
          <w:szCs w:val="20"/>
          <w:color w:val="auto"/>
        </w:rPr>
      </w:pPr>
      <w:r>
        <w:rPr>
          <w:rFonts w:ascii="Arial" w:cs="Arial" w:eastAsia="Arial" w:hAnsi="Arial"/>
          <w:sz w:val="17"/>
          <w:szCs w:val="17"/>
          <w:color w:val="auto"/>
        </w:rPr>
        <w:t>The Nasdaq listing rules require a listed company to have, among other things, solely independent directors on its compensation committee and directors to be nominated solely by independent directors. A “controlled company” (as defined by the Nasdaq listing rules) is a company of which more than 50% of the voting power for the election of directors is held by an individual, group or another company and is exempt from these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102235</wp:posOffset>
            </wp:positionV>
            <wp:extent cx="686562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9" w:lineRule="exact"/>
        <w:rPr>
          <w:sz w:val="20"/>
          <w:szCs w:val="20"/>
          <w:color w:val="auto"/>
        </w:rPr>
      </w:pPr>
    </w:p>
    <w:p>
      <w:pPr>
        <w:ind w:left="220"/>
        <w:spacing w:after="0"/>
        <w:tabs>
          <w:tab w:leader="none" w:pos="1030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6"/>
          <w:szCs w:val="16"/>
          <w:color w:val="auto"/>
        </w:rPr>
        <w:t>Page 149</w:t>
      </w:r>
    </w:p>
    <w:p>
      <w:pPr>
        <w:sectPr>
          <w:pgSz w:w="11900" w:h="16838" w:orient="portrait"/>
          <w:cols w:equalWidth="0" w:num="1">
            <w:col w:w="11040"/>
          </w:cols>
          <w:pgMar w:left="320" w:top="477" w:right="5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80"/>
        <w:spacing w:after="0" w:line="243" w:lineRule="auto"/>
        <w:rPr>
          <w:sz w:val="20"/>
          <w:szCs w:val="20"/>
          <w:color w:val="auto"/>
        </w:rPr>
      </w:pPr>
      <w:r>
        <w:rPr>
          <w:rFonts w:ascii="Arial" w:cs="Arial" w:eastAsia="Arial" w:hAnsi="Arial"/>
          <w:sz w:val="17"/>
          <w:szCs w:val="17"/>
          <w:color w:val="auto"/>
        </w:rPr>
        <w:t>Supplemental guidelines issued by the Canadian Coalition for Good Governance (CCGG) address controlled companies. A “controlled company” (as defined by CCGG) includes corporations with a controlling shareholder who controls a sufficient number of shares to be able to elect the board of directors or to direct the management or policies of the corporation.</w:t>
      </w:r>
    </w:p>
    <w:p>
      <w:pPr>
        <w:spacing w:after="0" w:line="42" w:lineRule="exact"/>
        <w:rPr>
          <w:sz w:val="20"/>
          <w:szCs w:val="20"/>
          <w:color w:val="auto"/>
        </w:rPr>
      </w:pPr>
    </w:p>
    <w:p>
      <w:pPr>
        <w:ind w:left="220" w:right="140"/>
        <w:spacing w:after="0" w:line="254" w:lineRule="auto"/>
        <w:rPr>
          <w:sz w:val="20"/>
          <w:szCs w:val="20"/>
          <w:color w:val="auto"/>
        </w:rPr>
      </w:pPr>
      <w:r>
        <w:rPr>
          <w:rFonts w:ascii="Arial" w:cs="Arial" w:eastAsia="Arial" w:hAnsi="Arial"/>
          <w:sz w:val="16"/>
          <w:szCs w:val="16"/>
          <w:color w:val="auto"/>
        </w:rPr>
        <w:t>While a majority of members of each of the Corporate Governance Committee and the HR Committee of our company are independent, the Board believes it is appropriate for Ed Clark and Peter Thomson, who are not considered to be independent under applicable rules because of their affiliation with Woodbridge, to serve on these committees and has approved our reliance on the Nasdaq’s controlled company exemption to do so. CCGG has stated that it believes it is appropriate for directors who are related to the controlling shareholder to sit on these committees to bring the knowledge and perspective of the controlling shareholder to executive compensation, appointments and board nominations.</w:t>
      </w:r>
    </w:p>
    <w:p>
      <w:pPr>
        <w:spacing w:after="0" w:line="4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directors affiliated with Woodbridge serve on our Audit Committee, which is required to have solely independent directors.</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 majority of members of the Risk Committee are also independent.</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Independent Directors</w:t>
      </w:r>
    </w:p>
    <w:p>
      <w:pPr>
        <w:spacing w:after="0" w:line="110" w:lineRule="exact"/>
        <w:rPr>
          <w:sz w:val="20"/>
          <w:szCs w:val="20"/>
          <w:color w:val="auto"/>
        </w:rPr>
      </w:pPr>
    </w:p>
    <w:p>
      <w:pPr>
        <w:ind w:left="220" w:right="100"/>
        <w:spacing w:after="0" w:line="234" w:lineRule="auto"/>
        <w:rPr>
          <w:sz w:val="20"/>
          <w:szCs w:val="20"/>
          <w:color w:val="auto"/>
        </w:rPr>
      </w:pPr>
      <w:r>
        <w:rPr>
          <w:rFonts w:ascii="Arial" w:cs="Arial" w:eastAsia="Arial" w:hAnsi="Arial"/>
          <w:sz w:val="17"/>
          <w:szCs w:val="17"/>
          <w:color w:val="auto"/>
        </w:rPr>
        <w:t>A majority of the Board is independent. Under the corporate governance guidelines adopted by the Board, a director is not considered independent unless the Board affirmatively determines that the director has no “material relationship” with Thomson Reuters. In determining the independence of directors, the Board considers all relevant facts and circumstances. In March 2025, the Board conducted its annual assessment of the independence of its members and determined that 9 of the 13 current directors (approximately 69%) serving on the Board were independent. In determining independence, the Board examined and relied on the applicable definitions of “independent” in the Nasdaq listing standards and Canadian Securities Administrators’ National Instrument 58-101. The Board’s determination of independence was also based on responses to questionnaires completed by directors.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 order for the Board to function independently from management:</w:t>
      </w:r>
    </w:p>
    <w:p>
      <w:pPr>
        <w:spacing w:after="0" w:line="83" w:lineRule="exact"/>
        <w:rPr>
          <w:sz w:val="20"/>
          <w:szCs w:val="20"/>
          <w:color w:val="auto"/>
        </w:rPr>
      </w:pPr>
    </w:p>
    <w:p>
      <w:pPr>
        <w:ind w:left="1300" w:hanging="327"/>
        <w:spacing w:after="0"/>
        <w:tabs>
          <w:tab w:leader="none" w:pos="1300" w:val="left"/>
        </w:tabs>
        <w:numPr>
          <w:ilvl w:val="0"/>
          <w:numId w:val="153"/>
        </w:numPr>
        <w:rPr>
          <w:rFonts w:ascii="Arial" w:cs="Arial" w:eastAsia="Arial" w:hAnsi="Arial"/>
          <w:sz w:val="17"/>
          <w:szCs w:val="17"/>
          <w:color w:val="D64000"/>
        </w:rPr>
      </w:pPr>
      <w:r>
        <w:rPr>
          <w:rFonts w:ascii="Arial" w:cs="Arial" w:eastAsia="Arial" w:hAnsi="Arial"/>
          <w:sz w:val="17"/>
          <w:szCs w:val="17"/>
          <w:color w:val="auto"/>
        </w:rPr>
        <w:t>The roles and responsibilities of the Chairman (David Thomson) and the CEO (Steve Hasker) are separate;</w:t>
      </w:r>
    </w:p>
    <w:p>
      <w:pPr>
        <w:spacing w:after="0" w:line="82" w:lineRule="exact"/>
        <w:rPr>
          <w:rFonts w:ascii="Arial" w:cs="Arial" w:eastAsia="Arial" w:hAnsi="Arial"/>
          <w:sz w:val="17"/>
          <w:szCs w:val="17"/>
          <w:color w:val="D64000"/>
        </w:rPr>
      </w:pPr>
    </w:p>
    <w:p>
      <w:pPr>
        <w:ind w:left="1300" w:hanging="327"/>
        <w:spacing w:after="0"/>
        <w:tabs>
          <w:tab w:leader="none" w:pos="1300" w:val="left"/>
        </w:tabs>
        <w:numPr>
          <w:ilvl w:val="0"/>
          <w:numId w:val="153"/>
        </w:numPr>
        <w:rPr>
          <w:rFonts w:ascii="Arial" w:cs="Arial" w:eastAsia="Arial" w:hAnsi="Arial"/>
          <w:sz w:val="17"/>
          <w:szCs w:val="17"/>
          <w:color w:val="D64000"/>
        </w:rPr>
      </w:pPr>
      <w:r>
        <w:rPr>
          <w:rFonts w:ascii="Arial" w:cs="Arial" w:eastAsia="Arial" w:hAnsi="Arial"/>
          <w:sz w:val="17"/>
          <w:szCs w:val="17"/>
          <w:color w:val="auto"/>
        </w:rPr>
        <w:t>We have a Lead Independent Director (Michael E. Daniels); and</w:t>
      </w:r>
    </w:p>
    <w:p>
      <w:pPr>
        <w:spacing w:after="0" w:line="82" w:lineRule="exact"/>
        <w:rPr>
          <w:rFonts w:ascii="Arial" w:cs="Arial" w:eastAsia="Arial" w:hAnsi="Arial"/>
          <w:sz w:val="17"/>
          <w:szCs w:val="17"/>
          <w:color w:val="D64000"/>
        </w:rPr>
      </w:pPr>
    </w:p>
    <w:p>
      <w:pPr>
        <w:ind w:left="1300" w:right="80" w:hanging="327"/>
        <w:spacing w:after="0" w:line="260" w:lineRule="auto"/>
        <w:tabs>
          <w:tab w:leader="none" w:pos="1300" w:val="left"/>
        </w:tabs>
        <w:numPr>
          <w:ilvl w:val="0"/>
          <w:numId w:val="153"/>
        </w:numPr>
        <w:rPr>
          <w:rFonts w:ascii="Arial" w:cs="Arial" w:eastAsia="Arial" w:hAnsi="Arial"/>
          <w:sz w:val="17"/>
          <w:szCs w:val="17"/>
          <w:color w:val="D64000"/>
        </w:rPr>
      </w:pPr>
      <w:r>
        <w:rPr>
          <w:rFonts w:ascii="Arial" w:cs="Arial" w:eastAsia="Arial" w:hAnsi="Arial"/>
          <w:sz w:val="17"/>
          <w:szCs w:val="17"/>
          <w:color w:val="auto"/>
        </w:rPr>
        <w:t>The Audit Committee is comprised entirely of independent directors (as required by applicable law) and the Corporate Governance Committee, Human Resources Committee and Risk Committee each have a majority of independent directors.</w:t>
      </w:r>
    </w:p>
    <w:p>
      <w:pPr>
        <w:spacing w:after="0" w:line="208" w:lineRule="exact"/>
        <w:rPr>
          <w:sz w:val="20"/>
          <w:szCs w:val="20"/>
          <w:color w:val="auto"/>
        </w:rPr>
      </w:pPr>
    </w:p>
    <w:tbl>
      <w:tblPr>
        <w:tblLayout w:type="fixed"/>
        <w:tblInd w:w="220" w:type="dxa"/>
        <w:tblCellMar>
          <w:top w:w="0" w:type="dxa"/>
          <w:left w:w="0" w:type="dxa"/>
          <w:bottom w:w="0" w:type="dxa"/>
          <w:right w:w="0" w:type="dxa"/>
        </w:tblCellMar>
      </w:tblPr>
      <w:tr>
        <w:trPr>
          <w:trHeight w:val="274"/>
        </w:trPr>
        <w:tc>
          <w:tcPr>
            <w:tcW w:w="2220" w:type="dxa"/>
            <w:vAlign w:val="bottom"/>
          </w:tcPr>
          <w:p>
            <w:pPr>
              <w:spacing w:after="0"/>
              <w:rPr>
                <w:sz w:val="23"/>
                <w:szCs w:val="23"/>
                <w:color w:val="auto"/>
              </w:rPr>
            </w:pPr>
          </w:p>
        </w:tc>
        <w:tc>
          <w:tcPr>
            <w:tcW w:w="1680" w:type="dxa"/>
            <w:vAlign w:val="bottom"/>
            <w:shd w:val="clear" w:color="auto" w:fill="B2B2B2"/>
          </w:tcPr>
          <w:p>
            <w:pPr>
              <w:spacing w:after="0"/>
              <w:rPr>
                <w:sz w:val="23"/>
                <w:szCs w:val="23"/>
                <w:color w:val="auto"/>
              </w:rPr>
            </w:pPr>
          </w:p>
        </w:tc>
        <w:tc>
          <w:tcPr>
            <w:tcW w:w="1620" w:type="dxa"/>
            <w:vAlign w:val="bottom"/>
            <w:shd w:val="clear" w:color="auto" w:fill="B2B2B2"/>
          </w:tcPr>
          <w:p>
            <w:pPr>
              <w:spacing w:after="0"/>
              <w:rPr>
                <w:sz w:val="23"/>
                <w:szCs w:val="23"/>
                <w:color w:val="auto"/>
              </w:rPr>
            </w:pPr>
          </w:p>
        </w:tc>
        <w:tc>
          <w:tcPr>
            <w:tcW w:w="5280" w:type="dxa"/>
            <w:vAlign w:val="bottom"/>
            <w:gridSpan w:val="2"/>
            <w:shd w:val="clear" w:color="auto" w:fill="B2B2B2"/>
          </w:tcPr>
          <w:p>
            <w:pPr>
              <w:ind w:left="180"/>
              <w:spacing w:after="0"/>
              <w:rPr>
                <w:sz w:val="20"/>
                <w:szCs w:val="20"/>
                <w:color w:val="auto"/>
              </w:rPr>
            </w:pPr>
            <w:r>
              <w:rPr>
                <w:rFonts w:ascii="Arial" w:cs="Arial" w:eastAsia="Arial" w:hAnsi="Arial"/>
                <w:sz w:val="16"/>
                <w:szCs w:val="16"/>
                <w:b w:val="1"/>
                <w:bCs w:val="1"/>
                <w:color w:val="auto"/>
              </w:rPr>
              <w:t>Director Independence</w:t>
            </w:r>
          </w:p>
        </w:tc>
      </w:tr>
      <w:tr>
        <w:trPr>
          <w:trHeight w:val="340"/>
        </w:trPr>
        <w:tc>
          <w:tcPr>
            <w:tcW w:w="2220" w:type="dxa"/>
            <w:vAlign w:val="bottom"/>
            <w:shd w:val="clear" w:color="auto" w:fill="262626"/>
          </w:tcPr>
          <w:p>
            <w:pPr>
              <w:spacing w:after="0"/>
              <w:rPr>
                <w:sz w:val="20"/>
                <w:szCs w:val="20"/>
                <w:color w:val="auto"/>
              </w:rPr>
            </w:pPr>
            <w:r>
              <w:rPr>
                <w:rFonts w:ascii="Arial" w:cs="Arial" w:eastAsia="Arial" w:hAnsi="Arial"/>
                <w:sz w:val="16"/>
                <w:szCs w:val="16"/>
                <w:b w:val="1"/>
                <w:bCs w:val="1"/>
                <w:color w:val="FFFFFF"/>
              </w:rPr>
              <w:t>  Name of Director Nominee</w:t>
            </w:r>
          </w:p>
        </w:tc>
        <w:tc>
          <w:tcPr>
            <w:tcW w:w="1680" w:type="dxa"/>
            <w:vAlign w:val="bottom"/>
            <w:shd w:val="clear" w:color="auto" w:fill="262626"/>
          </w:tcPr>
          <w:p>
            <w:pPr>
              <w:ind w:left="120"/>
              <w:spacing w:after="0"/>
              <w:rPr>
                <w:sz w:val="20"/>
                <w:szCs w:val="20"/>
                <w:color w:val="auto"/>
              </w:rPr>
            </w:pPr>
            <w:r>
              <w:rPr>
                <w:rFonts w:ascii="Arial" w:cs="Arial" w:eastAsia="Arial" w:hAnsi="Arial"/>
                <w:sz w:val="16"/>
                <w:szCs w:val="16"/>
                <w:b w:val="1"/>
                <w:bCs w:val="1"/>
                <w:color w:val="FFFFFF"/>
              </w:rPr>
              <w:t xml:space="preserve">      Management    </w:t>
            </w:r>
          </w:p>
        </w:tc>
        <w:tc>
          <w:tcPr>
            <w:tcW w:w="1620" w:type="dxa"/>
            <w:vAlign w:val="bottom"/>
            <w:shd w:val="clear" w:color="auto" w:fill="262626"/>
          </w:tcPr>
          <w:p>
            <w:pPr>
              <w:ind w:left="80"/>
              <w:spacing w:after="0"/>
              <w:rPr>
                <w:sz w:val="20"/>
                <w:szCs w:val="20"/>
                <w:color w:val="auto"/>
              </w:rPr>
            </w:pPr>
            <w:r>
              <w:rPr>
                <w:rFonts w:ascii="Arial" w:cs="Arial" w:eastAsia="Arial" w:hAnsi="Arial"/>
                <w:sz w:val="16"/>
                <w:szCs w:val="16"/>
                <w:b w:val="1"/>
                <w:bCs w:val="1"/>
                <w:color w:val="FFFFFF"/>
              </w:rPr>
              <w:t xml:space="preserve">      Independent   </w:t>
            </w:r>
          </w:p>
        </w:tc>
        <w:tc>
          <w:tcPr>
            <w:tcW w:w="1660" w:type="dxa"/>
            <w:vAlign w:val="bottom"/>
            <w:shd w:val="clear" w:color="auto" w:fill="262626"/>
          </w:tcPr>
          <w:p>
            <w:pPr>
              <w:ind w:left="80"/>
              <w:spacing w:after="0"/>
              <w:rPr>
                <w:sz w:val="20"/>
                <w:szCs w:val="20"/>
                <w:color w:val="auto"/>
              </w:rPr>
            </w:pPr>
            <w:r>
              <w:rPr>
                <w:rFonts w:ascii="Arial" w:cs="Arial" w:eastAsia="Arial" w:hAnsi="Arial"/>
                <w:sz w:val="16"/>
                <w:szCs w:val="16"/>
                <w:b w:val="1"/>
                <w:bCs w:val="1"/>
                <w:color w:val="FFFFFF"/>
                <w:w w:val="97"/>
              </w:rPr>
              <w:t>     Not Independent</w:t>
            </w:r>
          </w:p>
        </w:tc>
        <w:tc>
          <w:tcPr>
            <w:tcW w:w="3620" w:type="dxa"/>
            <w:vAlign w:val="bottom"/>
            <w:shd w:val="clear" w:color="auto" w:fill="262626"/>
          </w:tcPr>
          <w:p>
            <w:pPr>
              <w:ind w:left="80"/>
              <w:spacing w:after="0"/>
              <w:rPr>
                <w:sz w:val="20"/>
                <w:szCs w:val="20"/>
                <w:color w:val="auto"/>
              </w:rPr>
            </w:pPr>
            <w:r>
              <w:rPr>
                <w:rFonts w:ascii="Arial" w:cs="Arial" w:eastAsia="Arial" w:hAnsi="Arial"/>
                <w:sz w:val="16"/>
                <w:szCs w:val="16"/>
                <w:b w:val="1"/>
                <w:bCs w:val="1"/>
                <w:color w:val="FFFFFF"/>
              </w:rPr>
              <w:t>Reason for Non-Independence</w:t>
            </w:r>
          </w:p>
        </w:tc>
      </w:tr>
      <w:tr>
        <w:trPr>
          <w:trHeight w:val="61"/>
        </w:trPr>
        <w:tc>
          <w:tcPr>
            <w:tcW w:w="2220" w:type="dxa"/>
            <w:vAlign w:val="bottom"/>
            <w:shd w:val="clear" w:color="auto" w:fill="262626"/>
          </w:tcPr>
          <w:p>
            <w:pPr>
              <w:spacing w:after="0"/>
              <w:rPr>
                <w:sz w:val="5"/>
                <w:szCs w:val="5"/>
                <w:color w:val="auto"/>
              </w:rPr>
            </w:pPr>
          </w:p>
        </w:tc>
        <w:tc>
          <w:tcPr>
            <w:tcW w:w="1680" w:type="dxa"/>
            <w:vAlign w:val="bottom"/>
            <w:shd w:val="clear" w:color="auto" w:fill="262626"/>
          </w:tcPr>
          <w:p>
            <w:pPr>
              <w:spacing w:after="0"/>
              <w:rPr>
                <w:sz w:val="5"/>
                <w:szCs w:val="5"/>
                <w:color w:val="auto"/>
              </w:rPr>
            </w:pPr>
          </w:p>
        </w:tc>
        <w:tc>
          <w:tcPr>
            <w:tcW w:w="1620" w:type="dxa"/>
            <w:vAlign w:val="bottom"/>
            <w:shd w:val="clear" w:color="auto" w:fill="262626"/>
          </w:tcPr>
          <w:p>
            <w:pPr>
              <w:spacing w:after="0"/>
              <w:rPr>
                <w:sz w:val="5"/>
                <w:szCs w:val="5"/>
                <w:color w:val="auto"/>
              </w:rPr>
            </w:pPr>
          </w:p>
        </w:tc>
        <w:tc>
          <w:tcPr>
            <w:tcW w:w="1660" w:type="dxa"/>
            <w:vAlign w:val="bottom"/>
            <w:shd w:val="clear" w:color="auto" w:fill="262626"/>
          </w:tcPr>
          <w:p>
            <w:pPr>
              <w:spacing w:after="0"/>
              <w:rPr>
                <w:sz w:val="5"/>
                <w:szCs w:val="5"/>
                <w:color w:val="auto"/>
              </w:rPr>
            </w:pPr>
          </w:p>
        </w:tc>
        <w:tc>
          <w:tcPr>
            <w:tcW w:w="3620" w:type="dxa"/>
            <w:vAlign w:val="bottom"/>
            <w:shd w:val="clear" w:color="auto" w:fill="262626"/>
          </w:tcPr>
          <w:p>
            <w:pPr>
              <w:spacing w:after="0"/>
              <w:rPr>
                <w:sz w:val="5"/>
                <w:szCs w:val="5"/>
                <w:color w:val="auto"/>
              </w:rPr>
            </w:pPr>
          </w:p>
        </w:tc>
      </w:tr>
      <w:tr>
        <w:trPr>
          <w:trHeight w:val="284"/>
        </w:trPr>
        <w:tc>
          <w:tcPr>
            <w:tcW w:w="2220" w:type="dxa"/>
            <w:vAlign w:val="bottom"/>
          </w:tcPr>
          <w:p>
            <w:pPr>
              <w:spacing w:after="0"/>
              <w:rPr>
                <w:sz w:val="20"/>
                <w:szCs w:val="20"/>
                <w:color w:val="auto"/>
              </w:rPr>
            </w:pPr>
            <w:r>
              <w:rPr>
                <w:rFonts w:ascii="Arial" w:cs="Arial" w:eastAsia="Arial" w:hAnsi="Arial"/>
                <w:sz w:val="16"/>
                <w:szCs w:val="16"/>
                <w:b w:val="1"/>
                <w:bCs w:val="1"/>
                <w:color w:val="auto"/>
              </w:rPr>
              <w:t>  David Thomson</w:t>
            </w:r>
          </w:p>
        </w:tc>
        <w:tc>
          <w:tcPr>
            <w:tcW w:w="1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6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3620" w:type="dxa"/>
            <w:vAlign w:val="bottom"/>
          </w:tcPr>
          <w:p>
            <w:pPr>
              <w:ind w:left="80"/>
              <w:spacing w:after="0"/>
              <w:rPr>
                <w:sz w:val="20"/>
                <w:szCs w:val="20"/>
                <w:color w:val="auto"/>
              </w:rPr>
            </w:pPr>
            <w:r>
              <w:rPr>
                <w:rFonts w:ascii="Arial" w:cs="Arial" w:eastAsia="Arial" w:hAnsi="Arial"/>
                <w:sz w:val="16"/>
                <w:szCs w:val="16"/>
                <w:color w:val="auto"/>
              </w:rPr>
              <w:t>A Chairman of Woodbridge</w:t>
            </w:r>
          </w:p>
        </w:tc>
      </w:tr>
      <w:tr>
        <w:trPr>
          <w:trHeight w:val="47"/>
        </w:trPr>
        <w:tc>
          <w:tcPr>
            <w:tcW w:w="2220" w:type="dxa"/>
            <w:vAlign w:val="bottom"/>
            <w:tcBorders>
              <w:bottom w:val="single" w:sz="8" w:color="B2B2B2"/>
            </w:tcBorders>
          </w:tcPr>
          <w:p>
            <w:pPr>
              <w:spacing w:after="0"/>
              <w:rPr>
                <w:sz w:val="4"/>
                <w:szCs w:val="4"/>
                <w:color w:val="auto"/>
              </w:rPr>
            </w:pPr>
          </w:p>
        </w:tc>
        <w:tc>
          <w:tcPr>
            <w:tcW w:w="1680" w:type="dxa"/>
            <w:vAlign w:val="bottom"/>
            <w:tcBorders>
              <w:bottom w:val="single" w:sz="8" w:color="B2B2B2"/>
            </w:tcBorders>
          </w:tcPr>
          <w:p>
            <w:pPr>
              <w:spacing w:after="0"/>
              <w:rPr>
                <w:sz w:val="4"/>
                <w:szCs w:val="4"/>
                <w:color w:val="auto"/>
              </w:rPr>
            </w:pPr>
          </w:p>
        </w:tc>
        <w:tc>
          <w:tcPr>
            <w:tcW w:w="1620" w:type="dxa"/>
            <w:vAlign w:val="bottom"/>
            <w:tcBorders>
              <w:bottom w:val="single" w:sz="8" w:color="B2B2B2"/>
            </w:tcBorders>
          </w:tcPr>
          <w:p>
            <w:pPr>
              <w:spacing w:after="0"/>
              <w:rPr>
                <w:sz w:val="4"/>
                <w:szCs w:val="4"/>
                <w:color w:val="auto"/>
              </w:rPr>
            </w:pPr>
          </w:p>
        </w:tc>
        <w:tc>
          <w:tcPr>
            <w:tcW w:w="1660" w:type="dxa"/>
            <w:vAlign w:val="bottom"/>
            <w:tcBorders>
              <w:bottom w:val="single" w:sz="8" w:color="B2B2B2"/>
            </w:tcBorders>
          </w:tcPr>
          <w:p>
            <w:pPr>
              <w:spacing w:after="0"/>
              <w:rPr>
                <w:sz w:val="4"/>
                <w:szCs w:val="4"/>
                <w:color w:val="auto"/>
              </w:rPr>
            </w:pPr>
          </w:p>
        </w:tc>
        <w:tc>
          <w:tcPr>
            <w:tcW w:w="3620" w:type="dxa"/>
            <w:vAlign w:val="bottom"/>
            <w:tcBorders>
              <w:bottom w:val="single" w:sz="8" w:color="B2B2B2"/>
            </w:tcBorders>
          </w:tcPr>
          <w:p>
            <w:pPr>
              <w:spacing w:after="0"/>
              <w:rPr>
                <w:sz w:val="4"/>
                <w:szCs w:val="4"/>
                <w:color w:val="auto"/>
              </w:rPr>
            </w:pPr>
          </w:p>
        </w:tc>
      </w:tr>
      <w:tr>
        <w:trPr>
          <w:trHeight w:val="218"/>
        </w:trPr>
        <w:tc>
          <w:tcPr>
            <w:tcW w:w="2220" w:type="dxa"/>
            <w:vAlign w:val="bottom"/>
          </w:tcPr>
          <w:p>
            <w:pPr>
              <w:spacing w:after="0"/>
              <w:rPr>
                <w:sz w:val="20"/>
                <w:szCs w:val="20"/>
                <w:color w:val="auto"/>
              </w:rPr>
            </w:pPr>
            <w:r>
              <w:rPr>
                <w:rFonts w:ascii="Arial" w:cs="Arial" w:eastAsia="Arial" w:hAnsi="Arial"/>
                <w:sz w:val="16"/>
                <w:szCs w:val="16"/>
                <w:b w:val="1"/>
                <w:bCs w:val="1"/>
                <w:color w:val="auto"/>
              </w:rPr>
              <w:t>  Steve Hasker</w:t>
            </w:r>
          </w:p>
        </w:tc>
        <w:tc>
          <w:tcPr>
            <w:tcW w:w="1680" w:type="dxa"/>
            <w:vAlign w:val="bottom"/>
          </w:tcPr>
          <w:p>
            <w:pPr>
              <w:jc w:val="center"/>
              <w:ind w:left="1"/>
              <w:spacing w:after="0" w:line="161" w:lineRule="exact"/>
              <w:rPr>
                <w:sz w:val="20"/>
                <w:szCs w:val="20"/>
                <w:color w:val="auto"/>
              </w:rPr>
            </w:pPr>
            <w:r>
              <w:rPr>
                <w:rFonts w:ascii="MS PGothic" w:cs="MS PGothic" w:eastAsia="MS PGothic" w:hAnsi="MS PGothic"/>
                <w:sz w:val="16"/>
                <w:szCs w:val="16"/>
                <w:color w:val="auto"/>
                <w:w w:val="74"/>
              </w:rPr>
              <w:t>✓</w:t>
            </w:r>
          </w:p>
        </w:tc>
        <w:tc>
          <w:tcPr>
            <w:tcW w:w="1620" w:type="dxa"/>
            <w:vAlign w:val="bottom"/>
          </w:tcPr>
          <w:p>
            <w:pPr>
              <w:spacing w:after="0"/>
              <w:rPr>
                <w:sz w:val="18"/>
                <w:szCs w:val="18"/>
                <w:color w:val="auto"/>
              </w:rPr>
            </w:pPr>
          </w:p>
        </w:tc>
        <w:tc>
          <w:tcPr>
            <w:tcW w:w="166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3620" w:type="dxa"/>
            <w:vAlign w:val="bottom"/>
          </w:tcPr>
          <w:p>
            <w:pPr>
              <w:ind w:left="80"/>
              <w:spacing w:after="0"/>
              <w:rPr>
                <w:sz w:val="20"/>
                <w:szCs w:val="20"/>
                <w:color w:val="auto"/>
              </w:rPr>
            </w:pPr>
            <w:r>
              <w:rPr>
                <w:rFonts w:ascii="Arial" w:cs="Arial" w:eastAsia="Arial" w:hAnsi="Arial"/>
                <w:sz w:val="16"/>
                <w:szCs w:val="16"/>
                <w:color w:val="auto"/>
              </w:rPr>
              <w:t>President &amp; Chief Executive Officer of Thomson</w:t>
            </w:r>
          </w:p>
        </w:tc>
      </w:tr>
      <w:tr>
        <w:trPr>
          <w:trHeight w:val="210"/>
        </w:trPr>
        <w:tc>
          <w:tcPr>
            <w:tcW w:w="2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20" w:type="dxa"/>
            <w:vAlign w:val="bottom"/>
          </w:tcPr>
          <w:p>
            <w:pPr>
              <w:ind w:left="80"/>
              <w:spacing w:after="0"/>
              <w:rPr>
                <w:sz w:val="20"/>
                <w:szCs w:val="20"/>
                <w:color w:val="auto"/>
              </w:rPr>
            </w:pPr>
            <w:r>
              <w:rPr>
                <w:rFonts w:ascii="Arial" w:cs="Arial" w:eastAsia="Arial" w:hAnsi="Arial"/>
                <w:sz w:val="16"/>
                <w:szCs w:val="16"/>
                <w:color w:val="auto"/>
              </w:rPr>
              <w:t>Reuters</w:t>
            </w:r>
          </w:p>
        </w:tc>
      </w:tr>
      <w:tr>
        <w:trPr>
          <w:trHeight w:val="56"/>
        </w:trPr>
        <w:tc>
          <w:tcPr>
            <w:tcW w:w="2220" w:type="dxa"/>
            <w:vAlign w:val="bottom"/>
            <w:tcBorders>
              <w:bottom w:val="single" w:sz="8" w:color="B2B2B2"/>
            </w:tcBorders>
          </w:tcPr>
          <w:p>
            <w:pPr>
              <w:spacing w:after="0"/>
              <w:rPr>
                <w:sz w:val="4"/>
                <w:szCs w:val="4"/>
                <w:color w:val="auto"/>
              </w:rPr>
            </w:pPr>
          </w:p>
        </w:tc>
        <w:tc>
          <w:tcPr>
            <w:tcW w:w="1680" w:type="dxa"/>
            <w:vAlign w:val="bottom"/>
            <w:tcBorders>
              <w:bottom w:val="single" w:sz="8" w:color="B2B2B2"/>
            </w:tcBorders>
          </w:tcPr>
          <w:p>
            <w:pPr>
              <w:spacing w:after="0"/>
              <w:rPr>
                <w:sz w:val="4"/>
                <w:szCs w:val="4"/>
                <w:color w:val="auto"/>
              </w:rPr>
            </w:pPr>
          </w:p>
        </w:tc>
        <w:tc>
          <w:tcPr>
            <w:tcW w:w="1620" w:type="dxa"/>
            <w:vAlign w:val="bottom"/>
            <w:tcBorders>
              <w:bottom w:val="single" w:sz="8" w:color="B2B2B2"/>
            </w:tcBorders>
          </w:tcPr>
          <w:p>
            <w:pPr>
              <w:spacing w:after="0"/>
              <w:rPr>
                <w:sz w:val="4"/>
                <w:szCs w:val="4"/>
                <w:color w:val="auto"/>
              </w:rPr>
            </w:pPr>
          </w:p>
        </w:tc>
        <w:tc>
          <w:tcPr>
            <w:tcW w:w="1660" w:type="dxa"/>
            <w:vAlign w:val="bottom"/>
            <w:tcBorders>
              <w:bottom w:val="single" w:sz="8" w:color="B2B2B2"/>
            </w:tcBorders>
          </w:tcPr>
          <w:p>
            <w:pPr>
              <w:spacing w:after="0"/>
              <w:rPr>
                <w:sz w:val="4"/>
                <w:szCs w:val="4"/>
                <w:color w:val="auto"/>
              </w:rPr>
            </w:pPr>
          </w:p>
        </w:tc>
        <w:tc>
          <w:tcPr>
            <w:tcW w:w="3620" w:type="dxa"/>
            <w:vAlign w:val="bottom"/>
            <w:tcBorders>
              <w:bottom w:val="single" w:sz="8" w:color="B2B2B2"/>
            </w:tcBorders>
          </w:tcPr>
          <w:p>
            <w:pPr>
              <w:spacing w:after="0"/>
              <w:rPr>
                <w:sz w:val="4"/>
                <w:szCs w:val="4"/>
                <w:color w:val="auto"/>
              </w:rPr>
            </w:pPr>
          </w:p>
        </w:tc>
      </w:tr>
      <w:tr>
        <w:trPr>
          <w:trHeight w:val="264"/>
        </w:trPr>
        <w:tc>
          <w:tcPr>
            <w:tcW w:w="2220" w:type="dxa"/>
            <w:vAlign w:val="bottom"/>
          </w:tcPr>
          <w:p>
            <w:pPr>
              <w:spacing w:after="0"/>
              <w:rPr>
                <w:sz w:val="20"/>
                <w:szCs w:val="20"/>
                <w:color w:val="auto"/>
              </w:rPr>
            </w:pPr>
            <w:r>
              <w:rPr>
                <w:rFonts w:ascii="Arial" w:cs="Arial" w:eastAsia="Arial" w:hAnsi="Arial"/>
                <w:sz w:val="16"/>
                <w:szCs w:val="16"/>
                <w:b w:val="1"/>
                <w:bCs w:val="1"/>
                <w:color w:val="auto"/>
              </w:rPr>
              <w:t>  Kirk E. Arnold</w:t>
            </w:r>
          </w:p>
        </w:tc>
        <w:tc>
          <w:tcPr>
            <w:tcW w:w="1680" w:type="dxa"/>
            <w:vAlign w:val="bottom"/>
          </w:tcPr>
          <w:p>
            <w:pPr>
              <w:spacing w:after="0"/>
              <w:rPr>
                <w:sz w:val="22"/>
                <w:szCs w:val="22"/>
                <w:color w:val="auto"/>
              </w:rPr>
            </w:pPr>
          </w:p>
        </w:tc>
        <w:tc>
          <w:tcPr>
            <w:tcW w:w="16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660" w:type="dxa"/>
            <w:vAlign w:val="bottom"/>
          </w:tcPr>
          <w:p>
            <w:pPr>
              <w:spacing w:after="0"/>
              <w:rPr>
                <w:sz w:val="22"/>
                <w:szCs w:val="22"/>
                <w:color w:val="auto"/>
              </w:rPr>
            </w:pPr>
          </w:p>
        </w:tc>
        <w:tc>
          <w:tcPr>
            <w:tcW w:w="3620" w:type="dxa"/>
            <w:vAlign w:val="bottom"/>
          </w:tcPr>
          <w:p>
            <w:pPr>
              <w:spacing w:after="0"/>
              <w:rPr>
                <w:sz w:val="22"/>
                <w:szCs w:val="22"/>
                <w:color w:val="auto"/>
              </w:rPr>
            </w:pPr>
          </w:p>
        </w:tc>
      </w:tr>
      <w:tr>
        <w:trPr>
          <w:trHeight w:val="47"/>
        </w:trPr>
        <w:tc>
          <w:tcPr>
            <w:tcW w:w="2220" w:type="dxa"/>
            <w:vAlign w:val="bottom"/>
            <w:tcBorders>
              <w:bottom w:val="single" w:sz="8" w:color="B2B2B2"/>
            </w:tcBorders>
          </w:tcPr>
          <w:p>
            <w:pPr>
              <w:spacing w:after="0"/>
              <w:rPr>
                <w:sz w:val="4"/>
                <w:szCs w:val="4"/>
                <w:color w:val="auto"/>
              </w:rPr>
            </w:pPr>
          </w:p>
        </w:tc>
        <w:tc>
          <w:tcPr>
            <w:tcW w:w="1680" w:type="dxa"/>
            <w:vAlign w:val="bottom"/>
            <w:tcBorders>
              <w:bottom w:val="single" w:sz="8" w:color="B2B2B2"/>
            </w:tcBorders>
          </w:tcPr>
          <w:p>
            <w:pPr>
              <w:spacing w:after="0"/>
              <w:rPr>
                <w:sz w:val="4"/>
                <w:szCs w:val="4"/>
                <w:color w:val="auto"/>
              </w:rPr>
            </w:pPr>
          </w:p>
        </w:tc>
        <w:tc>
          <w:tcPr>
            <w:tcW w:w="1620" w:type="dxa"/>
            <w:vAlign w:val="bottom"/>
            <w:tcBorders>
              <w:bottom w:val="single" w:sz="8" w:color="B2B2B2"/>
            </w:tcBorders>
          </w:tcPr>
          <w:p>
            <w:pPr>
              <w:spacing w:after="0"/>
              <w:rPr>
                <w:sz w:val="4"/>
                <w:szCs w:val="4"/>
                <w:color w:val="auto"/>
              </w:rPr>
            </w:pPr>
          </w:p>
        </w:tc>
        <w:tc>
          <w:tcPr>
            <w:tcW w:w="1660" w:type="dxa"/>
            <w:vAlign w:val="bottom"/>
            <w:tcBorders>
              <w:bottom w:val="single" w:sz="8" w:color="B2B2B2"/>
            </w:tcBorders>
          </w:tcPr>
          <w:p>
            <w:pPr>
              <w:spacing w:after="0"/>
              <w:rPr>
                <w:sz w:val="4"/>
                <w:szCs w:val="4"/>
                <w:color w:val="auto"/>
              </w:rPr>
            </w:pPr>
          </w:p>
        </w:tc>
        <w:tc>
          <w:tcPr>
            <w:tcW w:w="3620" w:type="dxa"/>
            <w:vAlign w:val="bottom"/>
            <w:tcBorders>
              <w:bottom w:val="single" w:sz="8" w:color="B2B2B2"/>
            </w:tcBorders>
          </w:tcPr>
          <w:p>
            <w:pPr>
              <w:spacing w:after="0"/>
              <w:rPr>
                <w:sz w:val="4"/>
                <w:szCs w:val="4"/>
                <w:color w:val="auto"/>
              </w:rPr>
            </w:pPr>
          </w:p>
        </w:tc>
      </w:tr>
      <w:tr>
        <w:trPr>
          <w:trHeight w:val="218"/>
        </w:trPr>
        <w:tc>
          <w:tcPr>
            <w:tcW w:w="2220" w:type="dxa"/>
            <w:vAlign w:val="bottom"/>
          </w:tcPr>
          <w:p>
            <w:pPr>
              <w:spacing w:after="0"/>
              <w:rPr>
                <w:sz w:val="20"/>
                <w:szCs w:val="20"/>
                <w:color w:val="auto"/>
              </w:rPr>
            </w:pPr>
            <w:r>
              <w:rPr>
                <w:rFonts w:ascii="Arial" w:cs="Arial" w:eastAsia="Arial" w:hAnsi="Arial"/>
                <w:sz w:val="16"/>
                <w:szCs w:val="16"/>
                <w:b w:val="1"/>
                <w:bCs w:val="1"/>
                <w:color w:val="auto"/>
              </w:rPr>
              <w:t>  W. Edmund Clark, C.M.</w:t>
            </w:r>
            <w:r>
              <w:rPr>
                <w:rFonts w:ascii="Arial" w:cs="Arial" w:eastAsia="Arial" w:hAnsi="Arial"/>
                <w:sz w:val="19"/>
                <w:szCs w:val="19"/>
                <w:b w:val="1"/>
                <w:bCs w:val="1"/>
                <w:color w:val="auto"/>
                <w:vertAlign w:val="superscript"/>
              </w:rPr>
              <w:t>(1)</w:t>
            </w:r>
          </w:p>
        </w:tc>
        <w:tc>
          <w:tcPr>
            <w:tcW w:w="1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6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3620" w:type="dxa"/>
            <w:vAlign w:val="bottom"/>
          </w:tcPr>
          <w:p>
            <w:pPr>
              <w:ind w:left="80"/>
              <w:spacing w:after="0"/>
              <w:rPr>
                <w:sz w:val="20"/>
                <w:szCs w:val="20"/>
                <w:color w:val="auto"/>
              </w:rPr>
            </w:pPr>
            <w:r>
              <w:rPr>
                <w:rFonts w:ascii="Arial" w:cs="Arial" w:eastAsia="Arial" w:hAnsi="Arial"/>
                <w:sz w:val="16"/>
                <w:szCs w:val="16"/>
                <w:color w:val="auto"/>
              </w:rPr>
              <w:t>Due to role as advisor to the trustee of the 2003</w:t>
            </w:r>
          </w:p>
        </w:tc>
      </w:tr>
      <w:tr>
        <w:trPr>
          <w:trHeight w:val="210"/>
        </w:trPr>
        <w:tc>
          <w:tcPr>
            <w:tcW w:w="2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20" w:type="dxa"/>
            <w:vAlign w:val="bottom"/>
          </w:tcPr>
          <w:p>
            <w:pPr>
              <w:ind w:left="80"/>
              <w:spacing w:after="0"/>
              <w:rPr>
                <w:sz w:val="20"/>
                <w:szCs w:val="20"/>
                <w:color w:val="auto"/>
              </w:rPr>
            </w:pPr>
            <w:r>
              <w:rPr>
                <w:rFonts w:ascii="Arial" w:cs="Arial" w:eastAsia="Arial" w:hAnsi="Arial"/>
                <w:sz w:val="16"/>
                <w:szCs w:val="16"/>
                <w:color w:val="auto"/>
              </w:rPr>
              <w:t>TIL Settlement and Woodbridge during the period</w:t>
            </w:r>
          </w:p>
        </w:tc>
      </w:tr>
      <w:tr>
        <w:trPr>
          <w:trHeight w:val="56"/>
        </w:trPr>
        <w:tc>
          <w:tcPr>
            <w:tcW w:w="2220" w:type="dxa"/>
            <w:vAlign w:val="bottom"/>
            <w:tcBorders>
              <w:bottom w:val="single" w:sz="8" w:color="B2B2B2"/>
            </w:tcBorders>
          </w:tcPr>
          <w:p>
            <w:pPr>
              <w:spacing w:after="0"/>
              <w:rPr>
                <w:sz w:val="4"/>
                <w:szCs w:val="4"/>
                <w:color w:val="auto"/>
              </w:rPr>
            </w:pPr>
          </w:p>
        </w:tc>
        <w:tc>
          <w:tcPr>
            <w:tcW w:w="1680" w:type="dxa"/>
            <w:vAlign w:val="bottom"/>
            <w:tcBorders>
              <w:bottom w:val="single" w:sz="8" w:color="B2B2B2"/>
            </w:tcBorders>
          </w:tcPr>
          <w:p>
            <w:pPr>
              <w:spacing w:after="0"/>
              <w:rPr>
                <w:sz w:val="4"/>
                <w:szCs w:val="4"/>
                <w:color w:val="auto"/>
              </w:rPr>
            </w:pPr>
          </w:p>
        </w:tc>
        <w:tc>
          <w:tcPr>
            <w:tcW w:w="1620" w:type="dxa"/>
            <w:vAlign w:val="bottom"/>
            <w:tcBorders>
              <w:bottom w:val="single" w:sz="8" w:color="B2B2B2"/>
            </w:tcBorders>
          </w:tcPr>
          <w:p>
            <w:pPr>
              <w:spacing w:after="0"/>
              <w:rPr>
                <w:sz w:val="4"/>
                <w:szCs w:val="4"/>
                <w:color w:val="auto"/>
              </w:rPr>
            </w:pPr>
          </w:p>
        </w:tc>
        <w:tc>
          <w:tcPr>
            <w:tcW w:w="1660" w:type="dxa"/>
            <w:vAlign w:val="bottom"/>
            <w:tcBorders>
              <w:bottom w:val="single" w:sz="8" w:color="B2B2B2"/>
            </w:tcBorders>
          </w:tcPr>
          <w:p>
            <w:pPr>
              <w:spacing w:after="0"/>
              <w:rPr>
                <w:sz w:val="4"/>
                <w:szCs w:val="4"/>
                <w:color w:val="auto"/>
              </w:rPr>
            </w:pPr>
          </w:p>
        </w:tc>
        <w:tc>
          <w:tcPr>
            <w:tcW w:w="3620" w:type="dxa"/>
            <w:vAlign w:val="bottom"/>
            <w:tcBorders>
              <w:bottom w:val="single" w:sz="8" w:color="B2B2B2"/>
            </w:tcBorders>
          </w:tcPr>
          <w:p>
            <w:pPr>
              <w:spacing w:after="0"/>
              <w:rPr>
                <w:sz w:val="4"/>
                <w:szCs w:val="4"/>
                <w:color w:val="auto"/>
              </w:rPr>
            </w:pPr>
          </w:p>
        </w:tc>
      </w:tr>
      <w:tr>
        <w:trPr>
          <w:trHeight w:val="264"/>
        </w:trPr>
        <w:tc>
          <w:tcPr>
            <w:tcW w:w="2220" w:type="dxa"/>
            <w:vAlign w:val="bottom"/>
          </w:tcPr>
          <w:p>
            <w:pPr>
              <w:spacing w:after="0"/>
              <w:rPr>
                <w:sz w:val="20"/>
                <w:szCs w:val="20"/>
                <w:color w:val="auto"/>
              </w:rPr>
            </w:pPr>
            <w:r>
              <w:rPr>
                <w:rFonts w:ascii="Arial" w:cs="Arial" w:eastAsia="Arial" w:hAnsi="Arial"/>
                <w:sz w:val="16"/>
                <w:szCs w:val="16"/>
                <w:b w:val="1"/>
                <w:bCs w:val="1"/>
                <w:color w:val="auto"/>
              </w:rPr>
              <w:t>  LaVerne Council</w:t>
            </w:r>
          </w:p>
        </w:tc>
        <w:tc>
          <w:tcPr>
            <w:tcW w:w="1680" w:type="dxa"/>
            <w:vAlign w:val="bottom"/>
          </w:tcPr>
          <w:p>
            <w:pPr>
              <w:spacing w:after="0"/>
              <w:rPr>
                <w:sz w:val="22"/>
                <w:szCs w:val="22"/>
                <w:color w:val="auto"/>
              </w:rPr>
            </w:pPr>
          </w:p>
        </w:tc>
        <w:tc>
          <w:tcPr>
            <w:tcW w:w="16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660" w:type="dxa"/>
            <w:vAlign w:val="bottom"/>
          </w:tcPr>
          <w:p>
            <w:pPr>
              <w:spacing w:after="0"/>
              <w:rPr>
                <w:sz w:val="22"/>
                <w:szCs w:val="22"/>
                <w:color w:val="auto"/>
              </w:rPr>
            </w:pPr>
          </w:p>
        </w:tc>
        <w:tc>
          <w:tcPr>
            <w:tcW w:w="3620" w:type="dxa"/>
            <w:vAlign w:val="bottom"/>
          </w:tcPr>
          <w:p>
            <w:pPr>
              <w:spacing w:after="0"/>
              <w:rPr>
                <w:sz w:val="22"/>
                <w:szCs w:val="22"/>
                <w:color w:val="auto"/>
              </w:rPr>
            </w:pPr>
          </w:p>
        </w:tc>
      </w:tr>
      <w:tr>
        <w:trPr>
          <w:trHeight w:val="47"/>
        </w:trPr>
        <w:tc>
          <w:tcPr>
            <w:tcW w:w="2220" w:type="dxa"/>
            <w:vAlign w:val="bottom"/>
            <w:tcBorders>
              <w:bottom w:val="single" w:sz="8" w:color="B2B2B2"/>
            </w:tcBorders>
          </w:tcPr>
          <w:p>
            <w:pPr>
              <w:spacing w:after="0"/>
              <w:rPr>
                <w:sz w:val="4"/>
                <w:szCs w:val="4"/>
                <w:color w:val="auto"/>
              </w:rPr>
            </w:pPr>
          </w:p>
        </w:tc>
        <w:tc>
          <w:tcPr>
            <w:tcW w:w="1680" w:type="dxa"/>
            <w:vAlign w:val="bottom"/>
            <w:tcBorders>
              <w:bottom w:val="single" w:sz="8" w:color="B2B2B2"/>
            </w:tcBorders>
          </w:tcPr>
          <w:p>
            <w:pPr>
              <w:spacing w:after="0"/>
              <w:rPr>
                <w:sz w:val="4"/>
                <w:szCs w:val="4"/>
                <w:color w:val="auto"/>
              </w:rPr>
            </w:pPr>
          </w:p>
        </w:tc>
        <w:tc>
          <w:tcPr>
            <w:tcW w:w="1620" w:type="dxa"/>
            <w:vAlign w:val="bottom"/>
            <w:tcBorders>
              <w:bottom w:val="single" w:sz="8" w:color="B2B2B2"/>
            </w:tcBorders>
          </w:tcPr>
          <w:p>
            <w:pPr>
              <w:spacing w:after="0"/>
              <w:rPr>
                <w:sz w:val="4"/>
                <w:szCs w:val="4"/>
                <w:color w:val="auto"/>
              </w:rPr>
            </w:pPr>
          </w:p>
        </w:tc>
        <w:tc>
          <w:tcPr>
            <w:tcW w:w="1660" w:type="dxa"/>
            <w:vAlign w:val="bottom"/>
            <w:tcBorders>
              <w:bottom w:val="single" w:sz="8" w:color="B2B2B2"/>
            </w:tcBorders>
          </w:tcPr>
          <w:p>
            <w:pPr>
              <w:spacing w:after="0"/>
              <w:rPr>
                <w:sz w:val="4"/>
                <w:szCs w:val="4"/>
                <w:color w:val="auto"/>
              </w:rPr>
            </w:pPr>
          </w:p>
        </w:tc>
        <w:tc>
          <w:tcPr>
            <w:tcW w:w="3620" w:type="dxa"/>
            <w:vAlign w:val="bottom"/>
            <w:tcBorders>
              <w:bottom w:val="single" w:sz="8" w:color="B2B2B2"/>
            </w:tcBorders>
          </w:tcPr>
          <w:p>
            <w:pPr>
              <w:spacing w:after="0"/>
              <w:rPr>
                <w:sz w:val="4"/>
                <w:szCs w:val="4"/>
                <w:color w:val="auto"/>
              </w:rPr>
            </w:pPr>
          </w:p>
        </w:tc>
      </w:tr>
      <w:tr>
        <w:trPr>
          <w:trHeight w:val="264"/>
        </w:trPr>
        <w:tc>
          <w:tcPr>
            <w:tcW w:w="2220" w:type="dxa"/>
            <w:vAlign w:val="bottom"/>
          </w:tcPr>
          <w:p>
            <w:pPr>
              <w:spacing w:after="0"/>
              <w:rPr>
                <w:sz w:val="20"/>
                <w:szCs w:val="20"/>
                <w:color w:val="auto"/>
              </w:rPr>
            </w:pPr>
            <w:r>
              <w:rPr>
                <w:rFonts w:ascii="Arial" w:cs="Arial" w:eastAsia="Arial" w:hAnsi="Arial"/>
                <w:sz w:val="16"/>
                <w:szCs w:val="16"/>
                <w:b w:val="1"/>
                <w:bCs w:val="1"/>
                <w:color w:val="auto"/>
              </w:rPr>
              <w:t>  Michael E. Daniels</w:t>
            </w:r>
          </w:p>
        </w:tc>
        <w:tc>
          <w:tcPr>
            <w:tcW w:w="1680" w:type="dxa"/>
            <w:vAlign w:val="bottom"/>
          </w:tcPr>
          <w:p>
            <w:pPr>
              <w:spacing w:after="0"/>
              <w:rPr>
                <w:sz w:val="22"/>
                <w:szCs w:val="22"/>
                <w:color w:val="auto"/>
              </w:rPr>
            </w:pPr>
          </w:p>
        </w:tc>
        <w:tc>
          <w:tcPr>
            <w:tcW w:w="16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660" w:type="dxa"/>
            <w:vAlign w:val="bottom"/>
          </w:tcPr>
          <w:p>
            <w:pPr>
              <w:spacing w:after="0"/>
              <w:rPr>
                <w:sz w:val="22"/>
                <w:szCs w:val="22"/>
                <w:color w:val="auto"/>
              </w:rPr>
            </w:pPr>
          </w:p>
        </w:tc>
        <w:tc>
          <w:tcPr>
            <w:tcW w:w="3620" w:type="dxa"/>
            <w:vAlign w:val="bottom"/>
          </w:tcPr>
          <w:p>
            <w:pPr>
              <w:spacing w:after="0"/>
              <w:rPr>
                <w:sz w:val="22"/>
                <w:szCs w:val="22"/>
                <w:color w:val="auto"/>
              </w:rPr>
            </w:pPr>
          </w:p>
        </w:tc>
      </w:tr>
      <w:tr>
        <w:trPr>
          <w:trHeight w:val="47"/>
        </w:trPr>
        <w:tc>
          <w:tcPr>
            <w:tcW w:w="2220" w:type="dxa"/>
            <w:vAlign w:val="bottom"/>
            <w:tcBorders>
              <w:bottom w:val="single" w:sz="8" w:color="B2B2B2"/>
            </w:tcBorders>
          </w:tcPr>
          <w:p>
            <w:pPr>
              <w:spacing w:after="0"/>
              <w:rPr>
                <w:sz w:val="4"/>
                <w:szCs w:val="4"/>
                <w:color w:val="auto"/>
              </w:rPr>
            </w:pPr>
          </w:p>
        </w:tc>
        <w:tc>
          <w:tcPr>
            <w:tcW w:w="1680" w:type="dxa"/>
            <w:vAlign w:val="bottom"/>
            <w:tcBorders>
              <w:bottom w:val="single" w:sz="8" w:color="B2B2B2"/>
            </w:tcBorders>
          </w:tcPr>
          <w:p>
            <w:pPr>
              <w:spacing w:after="0"/>
              <w:rPr>
                <w:sz w:val="4"/>
                <w:szCs w:val="4"/>
                <w:color w:val="auto"/>
              </w:rPr>
            </w:pPr>
          </w:p>
        </w:tc>
        <w:tc>
          <w:tcPr>
            <w:tcW w:w="1620" w:type="dxa"/>
            <w:vAlign w:val="bottom"/>
            <w:tcBorders>
              <w:bottom w:val="single" w:sz="8" w:color="B2B2B2"/>
            </w:tcBorders>
          </w:tcPr>
          <w:p>
            <w:pPr>
              <w:spacing w:after="0"/>
              <w:rPr>
                <w:sz w:val="4"/>
                <w:szCs w:val="4"/>
                <w:color w:val="auto"/>
              </w:rPr>
            </w:pPr>
          </w:p>
        </w:tc>
        <w:tc>
          <w:tcPr>
            <w:tcW w:w="1660" w:type="dxa"/>
            <w:vAlign w:val="bottom"/>
            <w:tcBorders>
              <w:bottom w:val="single" w:sz="8" w:color="B2B2B2"/>
            </w:tcBorders>
          </w:tcPr>
          <w:p>
            <w:pPr>
              <w:spacing w:after="0"/>
              <w:rPr>
                <w:sz w:val="4"/>
                <w:szCs w:val="4"/>
                <w:color w:val="auto"/>
              </w:rPr>
            </w:pPr>
          </w:p>
        </w:tc>
        <w:tc>
          <w:tcPr>
            <w:tcW w:w="3620" w:type="dxa"/>
            <w:vAlign w:val="bottom"/>
            <w:tcBorders>
              <w:bottom w:val="single" w:sz="8" w:color="B2B2B2"/>
            </w:tcBorders>
          </w:tcPr>
          <w:p>
            <w:pPr>
              <w:spacing w:after="0"/>
              <w:rPr>
                <w:sz w:val="4"/>
                <w:szCs w:val="4"/>
                <w:color w:val="auto"/>
              </w:rPr>
            </w:pPr>
          </w:p>
        </w:tc>
      </w:tr>
      <w:tr>
        <w:trPr>
          <w:trHeight w:val="264"/>
        </w:trPr>
        <w:tc>
          <w:tcPr>
            <w:tcW w:w="2220" w:type="dxa"/>
            <w:vAlign w:val="bottom"/>
          </w:tcPr>
          <w:p>
            <w:pPr>
              <w:spacing w:after="0"/>
              <w:rPr>
                <w:sz w:val="20"/>
                <w:szCs w:val="20"/>
                <w:color w:val="auto"/>
              </w:rPr>
            </w:pPr>
            <w:r>
              <w:rPr>
                <w:rFonts w:ascii="Arial" w:cs="Arial" w:eastAsia="Arial" w:hAnsi="Arial"/>
                <w:sz w:val="16"/>
                <w:szCs w:val="16"/>
                <w:b w:val="1"/>
                <w:bCs w:val="1"/>
                <w:color w:val="auto"/>
              </w:rPr>
              <w:t>  Kirk Koenigsbauer</w:t>
            </w:r>
          </w:p>
        </w:tc>
        <w:tc>
          <w:tcPr>
            <w:tcW w:w="1680" w:type="dxa"/>
            <w:vAlign w:val="bottom"/>
          </w:tcPr>
          <w:p>
            <w:pPr>
              <w:spacing w:after="0"/>
              <w:rPr>
                <w:sz w:val="22"/>
                <w:szCs w:val="22"/>
                <w:color w:val="auto"/>
              </w:rPr>
            </w:pPr>
          </w:p>
        </w:tc>
        <w:tc>
          <w:tcPr>
            <w:tcW w:w="16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660" w:type="dxa"/>
            <w:vAlign w:val="bottom"/>
          </w:tcPr>
          <w:p>
            <w:pPr>
              <w:spacing w:after="0"/>
              <w:rPr>
                <w:sz w:val="22"/>
                <w:szCs w:val="22"/>
                <w:color w:val="auto"/>
              </w:rPr>
            </w:pPr>
          </w:p>
        </w:tc>
        <w:tc>
          <w:tcPr>
            <w:tcW w:w="3620" w:type="dxa"/>
            <w:vAlign w:val="bottom"/>
          </w:tcPr>
          <w:p>
            <w:pPr>
              <w:spacing w:after="0"/>
              <w:rPr>
                <w:sz w:val="22"/>
                <w:szCs w:val="22"/>
                <w:color w:val="auto"/>
              </w:rPr>
            </w:pPr>
          </w:p>
        </w:tc>
      </w:tr>
      <w:tr>
        <w:trPr>
          <w:trHeight w:val="47"/>
        </w:trPr>
        <w:tc>
          <w:tcPr>
            <w:tcW w:w="2220" w:type="dxa"/>
            <w:vAlign w:val="bottom"/>
            <w:tcBorders>
              <w:bottom w:val="single" w:sz="8" w:color="B2B2B2"/>
            </w:tcBorders>
          </w:tcPr>
          <w:p>
            <w:pPr>
              <w:spacing w:after="0"/>
              <w:rPr>
                <w:sz w:val="4"/>
                <w:szCs w:val="4"/>
                <w:color w:val="auto"/>
              </w:rPr>
            </w:pPr>
          </w:p>
        </w:tc>
        <w:tc>
          <w:tcPr>
            <w:tcW w:w="1680" w:type="dxa"/>
            <w:vAlign w:val="bottom"/>
            <w:tcBorders>
              <w:bottom w:val="single" w:sz="8" w:color="B2B2B2"/>
            </w:tcBorders>
          </w:tcPr>
          <w:p>
            <w:pPr>
              <w:spacing w:after="0"/>
              <w:rPr>
                <w:sz w:val="4"/>
                <w:szCs w:val="4"/>
                <w:color w:val="auto"/>
              </w:rPr>
            </w:pPr>
          </w:p>
        </w:tc>
        <w:tc>
          <w:tcPr>
            <w:tcW w:w="1620" w:type="dxa"/>
            <w:vAlign w:val="bottom"/>
            <w:tcBorders>
              <w:bottom w:val="single" w:sz="8" w:color="B2B2B2"/>
            </w:tcBorders>
          </w:tcPr>
          <w:p>
            <w:pPr>
              <w:spacing w:after="0"/>
              <w:rPr>
                <w:sz w:val="4"/>
                <w:szCs w:val="4"/>
                <w:color w:val="auto"/>
              </w:rPr>
            </w:pPr>
          </w:p>
        </w:tc>
        <w:tc>
          <w:tcPr>
            <w:tcW w:w="1660" w:type="dxa"/>
            <w:vAlign w:val="bottom"/>
            <w:tcBorders>
              <w:bottom w:val="single" w:sz="8" w:color="B2B2B2"/>
            </w:tcBorders>
          </w:tcPr>
          <w:p>
            <w:pPr>
              <w:spacing w:after="0"/>
              <w:rPr>
                <w:sz w:val="4"/>
                <w:szCs w:val="4"/>
                <w:color w:val="auto"/>
              </w:rPr>
            </w:pPr>
          </w:p>
        </w:tc>
        <w:tc>
          <w:tcPr>
            <w:tcW w:w="3620" w:type="dxa"/>
            <w:vAlign w:val="bottom"/>
            <w:tcBorders>
              <w:bottom w:val="single" w:sz="8" w:color="B2B2B2"/>
            </w:tcBorders>
          </w:tcPr>
          <w:p>
            <w:pPr>
              <w:spacing w:after="0"/>
              <w:rPr>
                <w:sz w:val="4"/>
                <w:szCs w:val="4"/>
                <w:color w:val="auto"/>
              </w:rPr>
            </w:pPr>
          </w:p>
        </w:tc>
      </w:tr>
      <w:tr>
        <w:trPr>
          <w:trHeight w:val="264"/>
        </w:trPr>
        <w:tc>
          <w:tcPr>
            <w:tcW w:w="2220" w:type="dxa"/>
            <w:vAlign w:val="bottom"/>
          </w:tcPr>
          <w:p>
            <w:pPr>
              <w:spacing w:after="0"/>
              <w:rPr>
                <w:sz w:val="20"/>
                <w:szCs w:val="20"/>
                <w:color w:val="auto"/>
              </w:rPr>
            </w:pPr>
            <w:r>
              <w:rPr>
                <w:rFonts w:ascii="Arial" w:cs="Arial" w:eastAsia="Arial" w:hAnsi="Arial"/>
                <w:sz w:val="16"/>
                <w:szCs w:val="16"/>
                <w:b w:val="1"/>
                <w:bCs w:val="1"/>
                <w:color w:val="auto"/>
              </w:rPr>
              <w:t>  Deanna Oppenheimer</w:t>
            </w:r>
          </w:p>
        </w:tc>
        <w:tc>
          <w:tcPr>
            <w:tcW w:w="1680" w:type="dxa"/>
            <w:vAlign w:val="bottom"/>
          </w:tcPr>
          <w:p>
            <w:pPr>
              <w:spacing w:after="0"/>
              <w:rPr>
                <w:sz w:val="22"/>
                <w:szCs w:val="22"/>
                <w:color w:val="auto"/>
              </w:rPr>
            </w:pPr>
          </w:p>
        </w:tc>
        <w:tc>
          <w:tcPr>
            <w:tcW w:w="16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660" w:type="dxa"/>
            <w:vAlign w:val="bottom"/>
          </w:tcPr>
          <w:p>
            <w:pPr>
              <w:spacing w:after="0"/>
              <w:rPr>
                <w:sz w:val="22"/>
                <w:szCs w:val="22"/>
                <w:color w:val="auto"/>
              </w:rPr>
            </w:pPr>
          </w:p>
        </w:tc>
        <w:tc>
          <w:tcPr>
            <w:tcW w:w="3620" w:type="dxa"/>
            <w:vAlign w:val="bottom"/>
          </w:tcPr>
          <w:p>
            <w:pPr>
              <w:spacing w:after="0"/>
              <w:rPr>
                <w:sz w:val="22"/>
                <w:szCs w:val="22"/>
                <w:color w:val="auto"/>
              </w:rPr>
            </w:pPr>
          </w:p>
        </w:tc>
      </w:tr>
      <w:tr>
        <w:trPr>
          <w:trHeight w:val="47"/>
        </w:trPr>
        <w:tc>
          <w:tcPr>
            <w:tcW w:w="2220" w:type="dxa"/>
            <w:vAlign w:val="bottom"/>
            <w:tcBorders>
              <w:bottom w:val="single" w:sz="8" w:color="B2B2B2"/>
            </w:tcBorders>
          </w:tcPr>
          <w:p>
            <w:pPr>
              <w:spacing w:after="0"/>
              <w:rPr>
                <w:sz w:val="4"/>
                <w:szCs w:val="4"/>
                <w:color w:val="auto"/>
              </w:rPr>
            </w:pPr>
          </w:p>
        </w:tc>
        <w:tc>
          <w:tcPr>
            <w:tcW w:w="1680" w:type="dxa"/>
            <w:vAlign w:val="bottom"/>
            <w:tcBorders>
              <w:bottom w:val="single" w:sz="8" w:color="B2B2B2"/>
            </w:tcBorders>
          </w:tcPr>
          <w:p>
            <w:pPr>
              <w:spacing w:after="0"/>
              <w:rPr>
                <w:sz w:val="4"/>
                <w:szCs w:val="4"/>
                <w:color w:val="auto"/>
              </w:rPr>
            </w:pPr>
          </w:p>
        </w:tc>
        <w:tc>
          <w:tcPr>
            <w:tcW w:w="1620" w:type="dxa"/>
            <w:vAlign w:val="bottom"/>
            <w:tcBorders>
              <w:bottom w:val="single" w:sz="8" w:color="B2B2B2"/>
            </w:tcBorders>
          </w:tcPr>
          <w:p>
            <w:pPr>
              <w:spacing w:after="0"/>
              <w:rPr>
                <w:sz w:val="4"/>
                <w:szCs w:val="4"/>
                <w:color w:val="auto"/>
              </w:rPr>
            </w:pPr>
          </w:p>
        </w:tc>
        <w:tc>
          <w:tcPr>
            <w:tcW w:w="1660" w:type="dxa"/>
            <w:vAlign w:val="bottom"/>
            <w:tcBorders>
              <w:bottom w:val="single" w:sz="8" w:color="B2B2B2"/>
            </w:tcBorders>
          </w:tcPr>
          <w:p>
            <w:pPr>
              <w:spacing w:after="0"/>
              <w:rPr>
                <w:sz w:val="4"/>
                <w:szCs w:val="4"/>
                <w:color w:val="auto"/>
              </w:rPr>
            </w:pPr>
          </w:p>
        </w:tc>
        <w:tc>
          <w:tcPr>
            <w:tcW w:w="3620" w:type="dxa"/>
            <w:vAlign w:val="bottom"/>
            <w:tcBorders>
              <w:bottom w:val="single" w:sz="8" w:color="B2B2B2"/>
            </w:tcBorders>
          </w:tcPr>
          <w:p>
            <w:pPr>
              <w:spacing w:after="0"/>
              <w:rPr>
                <w:sz w:val="4"/>
                <w:szCs w:val="4"/>
                <w:color w:val="auto"/>
              </w:rPr>
            </w:pPr>
          </w:p>
        </w:tc>
      </w:tr>
      <w:tr>
        <w:trPr>
          <w:trHeight w:val="264"/>
        </w:trPr>
        <w:tc>
          <w:tcPr>
            <w:tcW w:w="2220" w:type="dxa"/>
            <w:vAlign w:val="bottom"/>
          </w:tcPr>
          <w:p>
            <w:pPr>
              <w:spacing w:after="0"/>
              <w:rPr>
                <w:sz w:val="20"/>
                <w:szCs w:val="20"/>
                <w:color w:val="auto"/>
              </w:rPr>
            </w:pPr>
            <w:r>
              <w:rPr>
                <w:rFonts w:ascii="Arial" w:cs="Arial" w:eastAsia="Arial" w:hAnsi="Arial"/>
                <w:sz w:val="16"/>
                <w:szCs w:val="16"/>
                <w:b w:val="1"/>
                <w:bCs w:val="1"/>
                <w:color w:val="auto"/>
              </w:rPr>
              <w:t>  Simon Paris</w:t>
            </w:r>
          </w:p>
        </w:tc>
        <w:tc>
          <w:tcPr>
            <w:tcW w:w="1680" w:type="dxa"/>
            <w:vAlign w:val="bottom"/>
          </w:tcPr>
          <w:p>
            <w:pPr>
              <w:spacing w:after="0"/>
              <w:rPr>
                <w:sz w:val="22"/>
                <w:szCs w:val="22"/>
                <w:color w:val="auto"/>
              </w:rPr>
            </w:pPr>
          </w:p>
        </w:tc>
        <w:tc>
          <w:tcPr>
            <w:tcW w:w="16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660" w:type="dxa"/>
            <w:vAlign w:val="bottom"/>
          </w:tcPr>
          <w:p>
            <w:pPr>
              <w:spacing w:after="0"/>
              <w:rPr>
                <w:sz w:val="22"/>
                <w:szCs w:val="22"/>
                <w:color w:val="auto"/>
              </w:rPr>
            </w:pPr>
          </w:p>
        </w:tc>
        <w:tc>
          <w:tcPr>
            <w:tcW w:w="3620" w:type="dxa"/>
            <w:vAlign w:val="bottom"/>
          </w:tcPr>
          <w:p>
            <w:pPr>
              <w:spacing w:after="0"/>
              <w:rPr>
                <w:sz w:val="22"/>
                <w:szCs w:val="22"/>
                <w:color w:val="auto"/>
              </w:rPr>
            </w:pPr>
          </w:p>
        </w:tc>
      </w:tr>
      <w:tr>
        <w:trPr>
          <w:trHeight w:val="47"/>
        </w:trPr>
        <w:tc>
          <w:tcPr>
            <w:tcW w:w="2220" w:type="dxa"/>
            <w:vAlign w:val="bottom"/>
            <w:tcBorders>
              <w:bottom w:val="single" w:sz="8" w:color="B2B2B2"/>
            </w:tcBorders>
          </w:tcPr>
          <w:p>
            <w:pPr>
              <w:spacing w:after="0"/>
              <w:rPr>
                <w:sz w:val="4"/>
                <w:szCs w:val="4"/>
                <w:color w:val="auto"/>
              </w:rPr>
            </w:pPr>
          </w:p>
        </w:tc>
        <w:tc>
          <w:tcPr>
            <w:tcW w:w="1680" w:type="dxa"/>
            <w:vAlign w:val="bottom"/>
            <w:tcBorders>
              <w:bottom w:val="single" w:sz="8" w:color="B2B2B2"/>
            </w:tcBorders>
          </w:tcPr>
          <w:p>
            <w:pPr>
              <w:spacing w:after="0"/>
              <w:rPr>
                <w:sz w:val="4"/>
                <w:szCs w:val="4"/>
                <w:color w:val="auto"/>
              </w:rPr>
            </w:pPr>
          </w:p>
        </w:tc>
        <w:tc>
          <w:tcPr>
            <w:tcW w:w="1620" w:type="dxa"/>
            <w:vAlign w:val="bottom"/>
            <w:tcBorders>
              <w:bottom w:val="single" w:sz="8" w:color="B2B2B2"/>
            </w:tcBorders>
          </w:tcPr>
          <w:p>
            <w:pPr>
              <w:spacing w:after="0"/>
              <w:rPr>
                <w:sz w:val="4"/>
                <w:szCs w:val="4"/>
                <w:color w:val="auto"/>
              </w:rPr>
            </w:pPr>
          </w:p>
        </w:tc>
        <w:tc>
          <w:tcPr>
            <w:tcW w:w="1660" w:type="dxa"/>
            <w:vAlign w:val="bottom"/>
            <w:tcBorders>
              <w:bottom w:val="single" w:sz="8" w:color="B2B2B2"/>
            </w:tcBorders>
          </w:tcPr>
          <w:p>
            <w:pPr>
              <w:spacing w:after="0"/>
              <w:rPr>
                <w:sz w:val="4"/>
                <w:szCs w:val="4"/>
                <w:color w:val="auto"/>
              </w:rPr>
            </w:pPr>
          </w:p>
        </w:tc>
        <w:tc>
          <w:tcPr>
            <w:tcW w:w="3620" w:type="dxa"/>
            <w:vAlign w:val="bottom"/>
            <w:tcBorders>
              <w:bottom w:val="single" w:sz="8" w:color="B2B2B2"/>
            </w:tcBorders>
          </w:tcPr>
          <w:p>
            <w:pPr>
              <w:spacing w:after="0"/>
              <w:rPr>
                <w:sz w:val="4"/>
                <w:szCs w:val="4"/>
                <w:color w:val="auto"/>
              </w:rPr>
            </w:pPr>
          </w:p>
        </w:tc>
      </w:tr>
      <w:tr>
        <w:trPr>
          <w:trHeight w:val="264"/>
        </w:trPr>
        <w:tc>
          <w:tcPr>
            <w:tcW w:w="2220" w:type="dxa"/>
            <w:vAlign w:val="bottom"/>
          </w:tcPr>
          <w:p>
            <w:pPr>
              <w:spacing w:after="0"/>
              <w:rPr>
                <w:sz w:val="20"/>
                <w:szCs w:val="20"/>
                <w:color w:val="auto"/>
              </w:rPr>
            </w:pPr>
            <w:r>
              <w:rPr>
                <w:rFonts w:ascii="Arial" w:cs="Arial" w:eastAsia="Arial" w:hAnsi="Arial"/>
                <w:sz w:val="16"/>
                <w:szCs w:val="16"/>
                <w:b w:val="1"/>
                <w:bCs w:val="1"/>
                <w:color w:val="auto"/>
              </w:rPr>
              <w:t>  Kim M. Rivera</w:t>
            </w:r>
          </w:p>
        </w:tc>
        <w:tc>
          <w:tcPr>
            <w:tcW w:w="1680" w:type="dxa"/>
            <w:vAlign w:val="bottom"/>
          </w:tcPr>
          <w:p>
            <w:pPr>
              <w:spacing w:after="0"/>
              <w:rPr>
                <w:sz w:val="22"/>
                <w:szCs w:val="22"/>
                <w:color w:val="auto"/>
              </w:rPr>
            </w:pPr>
          </w:p>
        </w:tc>
        <w:tc>
          <w:tcPr>
            <w:tcW w:w="16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660" w:type="dxa"/>
            <w:vAlign w:val="bottom"/>
          </w:tcPr>
          <w:p>
            <w:pPr>
              <w:spacing w:after="0"/>
              <w:rPr>
                <w:sz w:val="22"/>
                <w:szCs w:val="22"/>
                <w:color w:val="auto"/>
              </w:rPr>
            </w:pPr>
          </w:p>
        </w:tc>
        <w:tc>
          <w:tcPr>
            <w:tcW w:w="3620" w:type="dxa"/>
            <w:vAlign w:val="bottom"/>
          </w:tcPr>
          <w:p>
            <w:pPr>
              <w:spacing w:after="0"/>
              <w:rPr>
                <w:sz w:val="22"/>
                <w:szCs w:val="22"/>
                <w:color w:val="auto"/>
              </w:rPr>
            </w:pPr>
          </w:p>
        </w:tc>
      </w:tr>
      <w:tr>
        <w:trPr>
          <w:trHeight w:val="47"/>
        </w:trPr>
        <w:tc>
          <w:tcPr>
            <w:tcW w:w="2220" w:type="dxa"/>
            <w:vAlign w:val="bottom"/>
            <w:tcBorders>
              <w:bottom w:val="single" w:sz="8" w:color="B2B2B2"/>
            </w:tcBorders>
          </w:tcPr>
          <w:p>
            <w:pPr>
              <w:spacing w:after="0"/>
              <w:rPr>
                <w:sz w:val="4"/>
                <w:szCs w:val="4"/>
                <w:color w:val="auto"/>
              </w:rPr>
            </w:pPr>
          </w:p>
        </w:tc>
        <w:tc>
          <w:tcPr>
            <w:tcW w:w="1680" w:type="dxa"/>
            <w:vAlign w:val="bottom"/>
            <w:tcBorders>
              <w:bottom w:val="single" w:sz="8" w:color="B2B2B2"/>
            </w:tcBorders>
          </w:tcPr>
          <w:p>
            <w:pPr>
              <w:spacing w:after="0"/>
              <w:rPr>
                <w:sz w:val="4"/>
                <w:szCs w:val="4"/>
                <w:color w:val="auto"/>
              </w:rPr>
            </w:pPr>
          </w:p>
        </w:tc>
        <w:tc>
          <w:tcPr>
            <w:tcW w:w="1620" w:type="dxa"/>
            <w:vAlign w:val="bottom"/>
            <w:tcBorders>
              <w:bottom w:val="single" w:sz="8" w:color="B2B2B2"/>
            </w:tcBorders>
          </w:tcPr>
          <w:p>
            <w:pPr>
              <w:spacing w:after="0"/>
              <w:rPr>
                <w:sz w:val="4"/>
                <w:szCs w:val="4"/>
                <w:color w:val="auto"/>
              </w:rPr>
            </w:pPr>
          </w:p>
        </w:tc>
        <w:tc>
          <w:tcPr>
            <w:tcW w:w="1660" w:type="dxa"/>
            <w:vAlign w:val="bottom"/>
            <w:tcBorders>
              <w:bottom w:val="single" w:sz="8" w:color="B2B2B2"/>
            </w:tcBorders>
          </w:tcPr>
          <w:p>
            <w:pPr>
              <w:spacing w:after="0"/>
              <w:rPr>
                <w:sz w:val="4"/>
                <w:szCs w:val="4"/>
                <w:color w:val="auto"/>
              </w:rPr>
            </w:pPr>
          </w:p>
        </w:tc>
        <w:tc>
          <w:tcPr>
            <w:tcW w:w="3620" w:type="dxa"/>
            <w:vAlign w:val="bottom"/>
            <w:tcBorders>
              <w:bottom w:val="single" w:sz="8" w:color="B2B2B2"/>
            </w:tcBorders>
          </w:tcPr>
          <w:p>
            <w:pPr>
              <w:spacing w:after="0"/>
              <w:rPr>
                <w:sz w:val="4"/>
                <w:szCs w:val="4"/>
                <w:color w:val="auto"/>
              </w:rPr>
            </w:pPr>
          </w:p>
        </w:tc>
      </w:tr>
      <w:tr>
        <w:trPr>
          <w:trHeight w:val="264"/>
        </w:trPr>
        <w:tc>
          <w:tcPr>
            <w:tcW w:w="2220" w:type="dxa"/>
            <w:vAlign w:val="bottom"/>
          </w:tcPr>
          <w:p>
            <w:pPr>
              <w:spacing w:after="0"/>
              <w:rPr>
                <w:sz w:val="20"/>
                <w:szCs w:val="20"/>
                <w:color w:val="auto"/>
              </w:rPr>
            </w:pPr>
            <w:r>
              <w:rPr>
                <w:rFonts w:ascii="Arial" w:cs="Arial" w:eastAsia="Arial" w:hAnsi="Arial"/>
                <w:sz w:val="16"/>
                <w:szCs w:val="16"/>
                <w:b w:val="1"/>
                <w:bCs w:val="1"/>
                <w:color w:val="auto"/>
              </w:rPr>
              <w:t>  Barry Salzberg</w:t>
            </w:r>
          </w:p>
        </w:tc>
        <w:tc>
          <w:tcPr>
            <w:tcW w:w="1680" w:type="dxa"/>
            <w:vAlign w:val="bottom"/>
          </w:tcPr>
          <w:p>
            <w:pPr>
              <w:spacing w:after="0"/>
              <w:rPr>
                <w:sz w:val="22"/>
                <w:szCs w:val="22"/>
                <w:color w:val="auto"/>
              </w:rPr>
            </w:pPr>
          </w:p>
        </w:tc>
        <w:tc>
          <w:tcPr>
            <w:tcW w:w="16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660" w:type="dxa"/>
            <w:vAlign w:val="bottom"/>
          </w:tcPr>
          <w:p>
            <w:pPr>
              <w:spacing w:after="0"/>
              <w:rPr>
                <w:sz w:val="22"/>
                <w:szCs w:val="22"/>
                <w:color w:val="auto"/>
              </w:rPr>
            </w:pPr>
          </w:p>
        </w:tc>
        <w:tc>
          <w:tcPr>
            <w:tcW w:w="3620" w:type="dxa"/>
            <w:vAlign w:val="bottom"/>
          </w:tcPr>
          <w:p>
            <w:pPr>
              <w:spacing w:after="0"/>
              <w:rPr>
                <w:sz w:val="22"/>
                <w:szCs w:val="22"/>
                <w:color w:val="auto"/>
              </w:rPr>
            </w:pPr>
          </w:p>
        </w:tc>
      </w:tr>
      <w:tr>
        <w:trPr>
          <w:trHeight w:val="47"/>
        </w:trPr>
        <w:tc>
          <w:tcPr>
            <w:tcW w:w="2220" w:type="dxa"/>
            <w:vAlign w:val="bottom"/>
            <w:tcBorders>
              <w:bottom w:val="single" w:sz="8" w:color="B2B2B2"/>
            </w:tcBorders>
          </w:tcPr>
          <w:p>
            <w:pPr>
              <w:spacing w:after="0"/>
              <w:rPr>
                <w:sz w:val="4"/>
                <w:szCs w:val="4"/>
                <w:color w:val="auto"/>
              </w:rPr>
            </w:pPr>
          </w:p>
        </w:tc>
        <w:tc>
          <w:tcPr>
            <w:tcW w:w="1680" w:type="dxa"/>
            <w:vAlign w:val="bottom"/>
            <w:tcBorders>
              <w:bottom w:val="single" w:sz="8" w:color="B2B2B2"/>
            </w:tcBorders>
          </w:tcPr>
          <w:p>
            <w:pPr>
              <w:spacing w:after="0"/>
              <w:rPr>
                <w:sz w:val="4"/>
                <w:szCs w:val="4"/>
                <w:color w:val="auto"/>
              </w:rPr>
            </w:pPr>
          </w:p>
        </w:tc>
        <w:tc>
          <w:tcPr>
            <w:tcW w:w="1620" w:type="dxa"/>
            <w:vAlign w:val="bottom"/>
            <w:tcBorders>
              <w:bottom w:val="single" w:sz="8" w:color="B2B2B2"/>
            </w:tcBorders>
          </w:tcPr>
          <w:p>
            <w:pPr>
              <w:spacing w:after="0"/>
              <w:rPr>
                <w:sz w:val="4"/>
                <w:szCs w:val="4"/>
                <w:color w:val="auto"/>
              </w:rPr>
            </w:pPr>
          </w:p>
        </w:tc>
        <w:tc>
          <w:tcPr>
            <w:tcW w:w="1660" w:type="dxa"/>
            <w:vAlign w:val="bottom"/>
            <w:tcBorders>
              <w:bottom w:val="single" w:sz="8" w:color="B2B2B2"/>
            </w:tcBorders>
          </w:tcPr>
          <w:p>
            <w:pPr>
              <w:spacing w:after="0"/>
              <w:rPr>
                <w:sz w:val="4"/>
                <w:szCs w:val="4"/>
                <w:color w:val="auto"/>
              </w:rPr>
            </w:pPr>
          </w:p>
        </w:tc>
        <w:tc>
          <w:tcPr>
            <w:tcW w:w="3620" w:type="dxa"/>
            <w:vAlign w:val="bottom"/>
            <w:tcBorders>
              <w:bottom w:val="single" w:sz="8" w:color="B2B2B2"/>
            </w:tcBorders>
          </w:tcPr>
          <w:p>
            <w:pPr>
              <w:spacing w:after="0"/>
              <w:rPr>
                <w:sz w:val="4"/>
                <w:szCs w:val="4"/>
                <w:color w:val="auto"/>
              </w:rPr>
            </w:pPr>
          </w:p>
        </w:tc>
      </w:tr>
      <w:tr>
        <w:trPr>
          <w:trHeight w:val="264"/>
        </w:trPr>
        <w:tc>
          <w:tcPr>
            <w:tcW w:w="2220" w:type="dxa"/>
            <w:vAlign w:val="bottom"/>
          </w:tcPr>
          <w:p>
            <w:pPr>
              <w:spacing w:after="0"/>
              <w:rPr>
                <w:sz w:val="20"/>
                <w:szCs w:val="20"/>
                <w:color w:val="auto"/>
              </w:rPr>
            </w:pPr>
            <w:r>
              <w:rPr>
                <w:rFonts w:ascii="Arial" w:cs="Arial" w:eastAsia="Arial" w:hAnsi="Arial"/>
                <w:sz w:val="16"/>
                <w:szCs w:val="16"/>
                <w:b w:val="1"/>
                <w:bCs w:val="1"/>
                <w:color w:val="auto"/>
              </w:rPr>
              <w:t>  Peter J. Thomson</w:t>
            </w:r>
          </w:p>
        </w:tc>
        <w:tc>
          <w:tcPr>
            <w:tcW w:w="16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66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3620" w:type="dxa"/>
            <w:vAlign w:val="bottom"/>
          </w:tcPr>
          <w:p>
            <w:pPr>
              <w:ind w:left="80"/>
              <w:spacing w:after="0"/>
              <w:rPr>
                <w:sz w:val="20"/>
                <w:szCs w:val="20"/>
                <w:color w:val="auto"/>
              </w:rPr>
            </w:pPr>
            <w:r>
              <w:rPr>
                <w:rFonts w:ascii="Arial" w:cs="Arial" w:eastAsia="Arial" w:hAnsi="Arial"/>
                <w:sz w:val="16"/>
                <w:szCs w:val="16"/>
                <w:color w:val="auto"/>
              </w:rPr>
              <w:t>A Chairman of Woodbridge</w:t>
            </w:r>
          </w:p>
        </w:tc>
      </w:tr>
      <w:tr>
        <w:trPr>
          <w:trHeight w:val="47"/>
        </w:trPr>
        <w:tc>
          <w:tcPr>
            <w:tcW w:w="2220" w:type="dxa"/>
            <w:vAlign w:val="bottom"/>
            <w:tcBorders>
              <w:bottom w:val="single" w:sz="8" w:color="B2B2B2"/>
            </w:tcBorders>
          </w:tcPr>
          <w:p>
            <w:pPr>
              <w:spacing w:after="0"/>
              <w:rPr>
                <w:sz w:val="4"/>
                <w:szCs w:val="4"/>
                <w:color w:val="auto"/>
              </w:rPr>
            </w:pPr>
          </w:p>
        </w:tc>
        <w:tc>
          <w:tcPr>
            <w:tcW w:w="1680" w:type="dxa"/>
            <w:vAlign w:val="bottom"/>
            <w:tcBorders>
              <w:bottom w:val="single" w:sz="8" w:color="B2B2B2"/>
            </w:tcBorders>
          </w:tcPr>
          <w:p>
            <w:pPr>
              <w:spacing w:after="0"/>
              <w:rPr>
                <w:sz w:val="4"/>
                <w:szCs w:val="4"/>
                <w:color w:val="auto"/>
              </w:rPr>
            </w:pPr>
          </w:p>
        </w:tc>
        <w:tc>
          <w:tcPr>
            <w:tcW w:w="1620" w:type="dxa"/>
            <w:vAlign w:val="bottom"/>
            <w:tcBorders>
              <w:bottom w:val="single" w:sz="8" w:color="B2B2B2"/>
            </w:tcBorders>
          </w:tcPr>
          <w:p>
            <w:pPr>
              <w:spacing w:after="0"/>
              <w:rPr>
                <w:sz w:val="4"/>
                <w:szCs w:val="4"/>
                <w:color w:val="auto"/>
              </w:rPr>
            </w:pPr>
          </w:p>
        </w:tc>
        <w:tc>
          <w:tcPr>
            <w:tcW w:w="1660" w:type="dxa"/>
            <w:vAlign w:val="bottom"/>
            <w:tcBorders>
              <w:bottom w:val="single" w:sz="8" w:color="B2B2B2"/>
            </w:tcBorders>
          </w:tcPr>
          <w:p>
            <w:pPr>
              <w:spacing w:after="0"/>
              <w:rPr>
                <w:sz w:val="4"/>
                <w:szCs w:val="4"/>
                <w:color w:val="auto"/>
              </w:rPr>
            </w:pPr>
          </w:p>
        </w:tc>
        <w:tc>
          <w:tcPr>
            <w:tcW w:w="3620" w:type="dxa"/>
            <w:vAlign w:val="bottom"/>
            <w:tcBorders>
              <w:bottom w:val="single" w:sz="8" w:color="B2B2B2"/>
            </w:tcBorders>
          </w:tcPr>
          <w:p>
            <w:pPr>
              <w:spacing w:after="0"/>
              <w:rPr>
                <w:sz w:val="4"/>
                <w:szCs w:val="4"/>
                <w:color w:val="auto"/>
              </w:rPr>
            </w:pPr>
          </w:p>
        </w:tc>
      </w:tr>
      <w:tr>
        <w:trPr>
          <w:trHeight w:val="264"/>
        </w:trPr>
        <w:tc>
          <w:tcPr>
            <w:tcW w:w="2220" w:type="dxa"/>
            <w:vAlign w:val="bottom"/>
          </w:tcPr>
          <w:p>
            <w:pPr>
              <w:spacing w:after="0"/>
              <w:rPr>
                <w:sz w:val="20"/>
                <w:szCs w:val="20"/>
                <w:color w:val="auto"/>
              </w:rPr>
            </w:pPr>
            <w:r>
              <w:rPr>
                <w:rFonts w:ascii="Arial" w:cs="Arial" w:eastAsia="Arial" w:hAnsi="Arial"/>
                <w:sz w:val="16"/>
                <w:szCs w:val="16"/>
                <w:b w:val="1"/>
                <w:bCs w:val="1"/>
                <w:color w:val="auto"/>
              </w:rPr>
              <w:t>  Beth Wilson</w:t>
            </w:r>
          </w:p>
        </w:tc>
        <w:tc>
          <w:tcPr>
            <w:tcW w:w="1680" w:type="dxa"/>
            <w:vAlign w:val="bottom"/>
          </w:tcPr>
          <w:p>
            <w:pPr>
              <w:spacing w:after="0"/>
              <w:rPr>
                <w:sz w:val="22"/>
                <w:szCs w:val="22"/>
                <w:color w:val="auto"/>
              </w:rPr>
            </w:pPr>
          </w:p>
        </w:tc>
        <w:tc>
          <w:tcPr>
            <w:tcW w:w="16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660" w:type="dxa"/>
            <w:vAlign w:val="bottom"/>
          </w:tcPr>
          <w:p>
            <w:pPr>
              <w:spacing w:after="0"/>
              <w:rPr>
                <w:sz w:val="22"/>
                <w:szCs w:val="22"/>
                <w:color w:val="auto"/>
              </w:rPr>
            </w:pPr>
          </w:p>
        </w:tc>
        <w:tc>
          <w:tcPr>
            <w:tcW w:w="3620" w:type="dxa"/>
            <w:vAlign w:val="bottom"/>
          </w:tcPr>
          <w:p>
            <w:pPr>
              <w:spacing w:after="0"/>
              <w:rPr>
                <w:sz w:val="22"/>
                <w:szCs w:val="22"/>
                <w:color w:val="auto"/>
              </w:rPr>
            </w:pPr>
          </w:p>
        </w:tc>
      </w:tr>
      <w:tr>
        <w:trPr>
          <w:trHeight w:val="54"/>
        </w:trPr>
        <w:tc>
          <w:tcPr>
            <w:tcW w:w="2220" w:type="dxa"/>
            <w:vAlign w:val="bottom"/>
            <w:tcBorders>
              <w:bottom w:val="single" w:sz="8" w:color="D64000"/>
            </w:tcBorders>
          </w:tcPr>
          <w:p>
            <w:pPr>
              <w:spacing w:after="0"/>
              <w:rPr>
                <w:sz w:val="4"/>
                <w:szCs w:val="4"/>
                <w:color w:val="auto"/>
              </w:rPr>
            </w:pPr>
          </w:p>
        </w:tc>
        <w:tc>
          <w:tcPr>
            <w:tcW w:w="1680" w:type="dxa"/>
            <w:vAlign w:val="bottom"/>
            <w:tcBorders>
              <w:bottom w:val="single" w:sz="8" w:color="D64000"/>
            </w:tcBorders>
          </w:tcPr>
          <w:p>
            <w:pPr>
              <w:spacing w:after="0"/>
              <w:rPr>
                <w:sz w:val="4"/>
                <w:szCs w:val="4"/>
                <w:color w:val="auto"/>
              </w:rPr>
            </w:pPr>
          </w:p>
        </w:tc>
        <w:tc>
          <w:tcPr>
            <w:tcW w:w="1620" w:type="dxa"/>
            <w:vAlign w:val="bottom"/>
            <w:tcBorders>
              <w:bottom w:val="single" w:sz="8" w:color="D64000"/>
            </w:tcBorders>
          </w:tcPr>
          <w:p>
            <w:pPr>
              <w:spacing w:after="0"/>
              <w:rPr>
                <w:sz w:val="4"/>
                <w:szCs w:val="4"/>
                <w:color w:val="auto"/>
              </w:rPr>
            </w:pPr>
          </w:p>
        </w:tc>
        <w:tc>
          <w:tcPr>
            <w:tcW w:w="1660" w:type="dxa"/>
            <w:vAlign w:val="bottom"/>
            <w:tcBorders>
              <w:bottom w:val="single" w:sz="8" w:color="D64000"/>
            </w:tcBorders>
          </w:tcPr>
          <w:p>
            <w:pPr>
              <w:spacing w:after="0"/>
              <w:rPr>
                <w:sz w:val="4"/>
                <w:szCs w:val="4"/>
                <w:color w:val="auto"/>
              </w:rPr>
            </w:pPr>
          </w:p>
        </w:tc>
        <w:tc>
          <w:tcPr>
            <w:tcW w:w="3620" w:type="dxa"/>
            <w:vAlign w:val="bottom"/>
            <w:tcBorders>
              <w:bottom w:val="single" w:sz="8" w:color="D64000"/>
            </w:tcBorders>
          </w:tcPr>
          <w:p>
            <w:pPr>
              <w:spacing w:after="0"/>
              <w:rPr>
                <w:sz w:val="4"/>
                <w:szCs w:val="4"/>
                <w:color w:val="auto"/>
              </w:rPr>
            </w:pPr>
          </w:p>
        </w:tc>
      </w:tr>
      <w:tr>
        <w:trPr>
          <w:trHeight w:val="257"/>
        </w:trPr>
        <w:tc>
          <w:tcPr>
            <w:tcW w:w="2220" w:type="dxa"/>
            <w:vAlign w:val="bottom"/>
          </w:tcPr>
          <w:p>
            <w:pPr>
              <w:spacing w:after="0"/>
              <w:rPr>
                <w:sz w:val="20"/>
                <w:szCs w:val="20"/>
                <w:color w:val="auto"/>
              </w:rPr>
            </w:pPr>
            <w:r>
              <w:rPr>
                <w:rFonts w:ascii="Arial" w:cs="Arial" w:eastAsia="Arial" w:hAnsi="Arial"/>
                <w:sz w:val="16"/>
                <w:szCs w:val="16"/>
                <w:b w:val="1"/>
                <w:bCs w:val="1"/>
                <w:color w:val="auto"/>
              </w:rPr>
              <w:t>  Total</w:t>
            </w:r>
          </w:p>
        </w:tc>
        <w:tc>
          <w:tcPr>
            <w:tcW w:w="1680" w:type="dxa"/>
            <w:vAlign w:val="bottom"/>
          </w:tcPr>
          <w:p>
            <w:pPr>
              <w:jc w:val="right"/>
              <w:ind w:right="681"/>
              <w:spacing w:after="0"/>
              <w:rPr>
                <w:sz w:val="20"/>
                <w:szCs w:val="20"/>
                <w:color w:val="auto"/>
              </w:rPr>
            </w:pPr>
            <w:r>
              <w:rPr>
                <w:rFonts w:ascii="Arial" w:cs="Arial" w:eastAsia="Arial" w:hAnsi="Arial"/>
                <w:sz w:val="16"/>
                <w:szCs w:val="16"/>
                <w:b w:val="1"/>
                <w:bCs w:val="1"/>
                <w:color w:val="auto"/>
              </w:rPr>
              <w:t>1</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rPr>
              <w:t>9</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89"/>
              </w:rPr>
              <w:t>4</w:t>
            </w:r>
          </w:p>
        </w:tc>
        <w:tc>
          <w:tcPr>
            <w:tcW w:w="36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30480</wp:posOffset>
            </wp:positionV>
            <wp:extent cx="6865620" cy="1651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65620" cy="16510"/>
                    </a:xfrm>
                    <a:prstGeom prst="rect">
                      <a:avLst/>
                    </a:prstGeom>
                    <a:noFill/>
                  </pic:spPr>
                </pic:pic>
              </a:graphicData>
            </a:graphic>
          </wp:anchor>
        </w:drawing>
      </w:r>
    </w:p>
    <w:p>
      <w:pPr>
        <w:spacing w:after="0" w:line="111" w:lineRule="exact"/>
        <w:rPr>
          <w:sz w:val="20"/>
          <w:szCs w:val="20"/>
          <w:color w:val="auto"/>
        </w:rPr>
      </w:pPr>
    </w:p>
    <w:p>
      <w:pPr>
        <w:ind w:left="640" w:right="900" w:hanging="316"/>
        <w:spacing w:after="0" w:line="274" w:lineRule="auto"/>
        <w:tabs>
          <w:tab w:leader="none" w:pos="6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On December 23, 2024, it was announced that Mr. Clark will complete his service on the Thomson Reuters Board at the 2025 annual general meeting of shareholders, to be held on June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75565</wp:posOffset>
            </wp:positionV>
            <wp:extent cx="686562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0"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150</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320"/>
        <w:spacing w:after="0" w:line="291" w:lineRule="auto"/>
        <w:rPr>
          <w:sz w:val="20"/>
          <w:szCs w:val="20"/>
          <w:color w:val="auto"/>
        </w:rPr>
      </w:pPr>
      <w:r>
        <w:rPr>
          <w:rFonts w:ascii="Arial" w:cs="Arial" w:eastAsia="Arial" w:hAnsi="Arial"/>
          <w:sz w:val="16"/>
          <w:szCs w:val="16"/>
          <w:color w:val="auto"/>
        </w:rPr>
        <w:t>David Thomson, Ed Clark and Peter Thomson are not members of Thomson Reuters executive management team. With its substantial equity investment in Thomson Reuters, Woodbridge considers that its interests as a shareholder are aligned with those of all other shareholders.</w:t>
      </w:r>
    </w:p>
    <w:p>
      <w:pPr>
        <w:spacing w:after="0" w:line="4" w:lineRule="exact"/>
        <w:rPr>
          <w:sz w:val="20"/>
          <w:szCs w:val="20"/>
          <w:color w:val="auto"/>
        </w:rPr>
      </w:pPr>
    </w:p>
    <w:p>
      <w:pPr>
        <w:ind w:left="220" w:right="60"/>
        <w:spacing w:after="0" w:line="260" w:lineRule="auto"/>
        <w:rPr>
          <w:sz w:val="20"/>
          <w:szCs w:val="20"/>
          <w:color w:val="auto"/>
        </w:rPr>
      </w:pPr>
      <w:r>
        <w:rPr>
          <w:rFonts w:ascii="Arial" w:cs="Arial" w:eastAsia="Arial" w:hAnsi="Arial"/>
          <w:sz w:val="17"/>
          <w:szCs w:val="17"/>
          <w:color w:val="auto"/>
        </w:rPr>
        <w:t>In determining the independence of directors, the Board also considers that in the normal course of business, we provide services to, and receive services from, companies with which some of the independent directors are affiliated.</w:t>
      </w:r>
    </w:p>
    <w:p>
      <w:pPr>
        <w:spacing w:after="0" w:line="4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Based on the specific facts and circumstances, the Board determined in March 2025 that these relationships were immaterial.</w:t>
      </w:r>
    </w:p>
    <w:p>
      <w:pPr>
        <w:spacing w:after="0" w:line="202" w:lineRule="exact"/>
        <w:rPr>
          <w:sz w:val="20"/>
          <w:szCs w:val="20"/>
          <w:color w:val="auto"/>
        </w:rPr>
      </w:pPr>
    </w:p>
    <w:p>
      <w:pPr>
        <w:ind w:left="220" w:right="2620"/>
        <w:spacing w:after="0" w:line="282" w:lineRule="auto"/>
        <w:rPr>
          <w:sz w:val="20"/>
          <w:szCs w:val="20"/>
          <w:color w:val="auto"/>
        </w:rPr>
      </w:pPr>
      <w:r>
        <w:rPr>
          <w:rFonts w:ascii="Arial" w:cs="Arial" w:eastAsia="Arial" w:hAnsi="Arial"/>
          <w:sz w:val="25"/>
          <w:szCs w:val="25"/>
          <w:b w:val="1"/>
          <w:bCs w:val="1"/>
          <w:color w:val="auto"/>
        </w:rPr>
        <w:t>Presiding Directors at Meetings of Non-Management and Independent Directors</w:t>
      </w:r>
    </w:p>
    <w:p>
      <w:pPr>
        <w:spacing w:after="0" w:line="1" w:lineRule="exact"/>
        <w:rPr>
          <w:sz w:val="20"/>
          <w:szCs w:val="20"/>
          <w:color w:val="auto"/>
        </w:rPr>
      </w:pPr>
    </w:p>
    <w:p>
      <w:pPr>
        <w:ind w:left="220" w:right="20"/>
        <w:spacing w:after="0" w:line="236" w:lineRule="auto"/>
        <w:rPr>
          <w:sz w:val="20"/>
          <w:szCs w:val="20"/>
          <w:color w:val="auto"/>
        </w:rPr>
      </w:pPr>
      <w:r>
        <w:rPr>
          <w:rFonts w:ascii="Arial" w:cs="Arial" w:eastAsia="Arial" w:hAnsi="Arial"/>
          <w:sz w:val="17"/>
          <w:szCs w:val="17"/>
          <w:color w:val="auto"/>
        </w:rPr>
        <w:t>At the beginning of each meeting, the Board has an “in-camera” session with the CEO, but no other members of management. This is intended to give the CEO an opportunity to discuss his objectives for the day’s meeting, and for directors to express preliminary observations based on their prior review of meeting materials. This permits a more effective use of time in the Board meeting. A similar session is held with the CEO at the end of the meeting, followed by a meeting of the Board without the CEO or other members of management present. Board committees also utilize “in-camera” meetings for discussions without the CEO or members of management present.</w:t>
      </w:r>
    </w:p>
    <w:p>
      <w:pPr>
        <w:spacing w:after="0" w:line="46" w:lineRule="exact"/>
        <w:rPr>
          <w:sz w:val="20"/>
          <w:szCs w:val="20"/>
          <w:color w:val="auto"/>
        </w:rPr>
      </w:pPr>
    </w:p>
    <w:p>
      <w:pPr>
        <w:ind w:left="220" w:right="40"/>
        <w:spacing w:after="0" w:line="235" w:lineRule="auto"/>
        <w:rPr>
          <w:sz w:val="20"/>
          <w:szCs w:val="20"/>
          <w:color w:val="auto"/>
        </w:rPr>
      </w:pPr>
      <w:r>
        <w:rPr>
          <w:rFonts w:ascii="Arial" w:cs="Arial" w:eastAsia="Arial" w:hAnsi="Arial"/>
          <w:sz w:val="17"/>
          <w:szCs w:val="17"/>
          <w:color w:val="auto"/>
        </w:rPr>
        <w:t>As part of each Board meeting, our independent directors meet as a group without the CEO and without the directors affiliated with Woodbridge. These meetings are chaired by the Lead Independent Director. The Lead Independent Director develops the agenda for these meetings, although discussion has not been limited to it. The agenda generally addresses any issues that might be specific to a public corporation with a controlling shareholder. The Lead Independent Director reports to the Chairman and the CEO on the substance of these meetings to the extent that action is appropriate or required. Six meetings of the independent directors took place in 2024 which were presided over by the Lead Independent Director (Michael E. Daniels).</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Code of Business Conduct and Ethics</w:t>
      </w:r>
    </w:p>
    <w:p>
      <w:pPr>
        <w:spacing w:after="0" w:line="110" w:lineRule="exact"/>
        <w:rPr>
          <w:sz w:val="20"/>
          <w:szCs w:val="20"/>
          <w:color w:val="auto"/>
        </w:rPr>
      </w:pPr>
    </w:p>
    <w:p>
      <w:pPr>
        <w:jc w:val="both"/>
        <w:ind w:left="220" w:right="540"/>
        <w:spacing w:after="0" w:line="243" w:lineRule="auto"/>
        <w:rPr>
          <w:sz w:val="20"/>
          <w:szCs w:val="20"/>
          <w:color w:val="auto"/>
        </w:rPr>
      </w:pPr>
      <w:r>
        <w:rPr>
          <w:rFonts w:ascii="Arial" w:cs="Arial" w:eastAsia="Arial" w:hAnsi="Arial"/>
          <w:sz w:val="17"/>
          <w:szCs w:val="17"/>
          <w:color w:val="auto"/>
        </w:rPr>
        <w:t>Our Code of Business Conduct and Ethics (Code), which was updated in March 2025, applies to our employees, contractors, directors and officers, including our CEO, CFO and Chief Accounting Officer &amp; Controller. We review the Code on an annual basis and make updates as necessary. Our updated Code reflects changes in style and appearance based on our new branding guidelines.</w:t>
      </w:r>
    </w:p>
    <w:p>
      <w:pPr>
        <w:spacing w:after="0" w:line="55" w:lineRule="exact"/>
        <w:rPr>
          <w:sz w:val="20"/>
          <w:szCs w:val="20"/>
          <w:color w:val="auto"/>
        </w:rPr>
      </w:pPr>
    </w:p>
    <w:p>
      <w:pPr>
        <w:ind w:left="220" w:right="60"/>
        <w:spacing w:after="0" w:line="234" w:lineRule="auto"/>
        <w:rPr>
          <w:sz w:val="20"/>
          <w:szCs w:val="20"/>
          <w:color w:val="auto"/>
        </w:rPr>
      </w:pPr>
      <w:r>
        <w:rPr>
          <w:rFonts w:ascii="Arial" w:cs="Arial" w:eastAsia="Arial" w:hAnsi="Arial"/>
          <w:sz w:val="17"/>
          <w:szCs w:val="17"/>
          <w:color w:val="auto"/>
        </w:rPr>
        <w:t>While the content of the updated Code and its provisions are fundamentally the same, it also highlights our commitment to social impact and reflects certain content updates to make the Code consistent with internal policies, laws and regulations that have changed in the last few years. Every year, we require our employees, contractors, directors and officers to submit an acknowledgment confirming that they have received and read a copy of the Code and understand their obligations to comply with the principles and policies outlined in it. In an effort to further promote a culture of ethical business conduct throughout Thomson Reuters, we have instituted an online training course for new employees and contractors that supplements the Code, as well as an annual refresher course for employees and contractors to complete. The Corporate Governance Committee receives an annual report regarding the Code from management.</w:t>
      </w:r>
    </w:p>
    <w:p>
      <w:pPr>
        <w:spacing w:after="0" w:line="44" w:lineRule="exact"/>
        <w:rPr>
          <w:sz w:val="20"/>
          <w:szCs w:val="20"/>
          <w:color w:val="auto"/>
        </w:rPr>
      </w:pPr>
    </w:p>
    <w:p>
      <w:pPr>
        <w:ind w:left="220" w:right="220"/>
        <w:spacing w:after="0" w:line="260" w:lineRule="auto"/>
        <w:rPr>
          <w:sz w:val="20"/>
          <w:szCs w:val="20"/>
          <w:color w:val="auto"/>
        </w:rPr>
      </w:pPr>
      <w:r>
        <w:rPr>
          <w:rFonts w:ascii="Arial" w:cs="Arial" w:eastAsia="Arial" w:hAnsi="Arial"/>
          <w:sz w:val="17"/>
          <w:szCs w:val="17"/>
          <w:color w:val="auto"/>
        </w:rPr>
        <w:t>In 2024 and through the date of this annual report, no material violations by our directors or executive officers were reported for the Code. Also, no waivers under the Code were sought by or granted to any of our directors or executive officers.</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Additional Disclosures</w:t>
      </w:r>
    </w:p>
    <w:p>
      <w:pPr>
        <w:spacing w:after="0" w:line="110" w:lineRule="exact"/>
        <w:rPr>
          <w:sz w:val="20"/>
          <w:szCs w:val="20"/>
          <w:color w:val="auto"/>
        </w:rPr>
      </w:pPr>
    </w:p>
    <w:p>
      <w:pPr>
        <w:jc w:val="both"/>
        <w:ind w:left="220" w:right="140"/>
        <w:spacing w:after="0" w:line="238" w:lineRule="auto"/>
        <w:rPr>
          <w:sz w:val="20"/>
          <w:szCs w:val="20"/>
          <w:color w:val="auto"/>
        </w:rPr>
      </w:pPr>
      <w:r>
        <w:rPr>
          <w:rFonts w:ascii="Arial" w:cs="Arial" w:eastAsia="Arial" w:hAnsi="Arial"/>
          <w:sz w:val="17"/>
          <w:szCs w:val="17"/>
          <w:color w:val="auto"/>
        </w:rPr>
        <w:t xml:space="preserve">Additional information regarding the members of our Board of Directors, including our corporate governance and compensation practices, will be provided in our management proxy circular, which is being prepared in connection with our upcoming annual meeting of shareholders to be held on June 4, 2025. Each Board committee has a written charter which is publicly available at </w:t>
      </w:r>
      <w:r>
        <w:rPr>
          <w:rFonts w:ascii="Arial" w:cs="Arial" w:eastAsia="Arial" w:hAnsi="Arial"/>
          <w:sz w:val="17"/>
          <w:szCs w:val="17"/>
          <w:color w:val="D64000"/>
        </w:rPr>
        <w:t>tr.com</w:t>
      </w:r>
      <w:r>
        <w:rPr>
          <w:rFonts w:ascii="Arial" w:cs="Arial" w:eastAsia="Arial" w:hAnsi="Arial"/>
          <w:sz w:val="17"/>
          <w:szCs w:val="17"/>
          <w:color w:val="auto"/>
        </w:rPr>
        <w:t>. The Audit Committee’s charter has been filed on SEDAR+ and EDGAR and is incorporated by reference in, and forms a part of, this annual report.</w:t>
      </w:r>
    </w:p>
    <w:p>
      <w:pPr>
        <w:spacing w:after="0" w:line="73" w:lineRule="exact"/>
        <w:rPr>
          <w:sz w:val="20"/>
          <w:szCs w:val="20"/>
          <w:color w:val="auto"/>
        </w:rPr>
      </w:pPr>
    </w:p>
    <w:p>
      <w:pPr>
        <w:ind w:left="220" w:right="20"/>
        <w:spacing w:after="0" w:line="236" w:lineRule="auto"/>
        <w:rPr>
          <w:sz w:val="20"/>
          <w:szCs w:val="20"/>
          <w:color w:val="auto"/>
        </w:rPr>
      </w:pPr>
      <w:r>
        <w:rPr>
          <w:rFonts w:ascii="Arial" w:cs="Arial" w:eastAsia="Arial" w:hAnsi="Arial"/>
          <w:sz w:val="17"/>
          <w:szCs w:val="17"/>
          <w:color w:val="auto"/>
        </w:rPr>
        <w:t>As of March 3, 2025, our executive officers and directors as a group beneficially owned, directly or indirectly, or exercised control or direction over, less than 1% of our outstanding common shares, based on the issued and outstanding shares of our company as of that date. David Thomson and Peter Thomson are the Chairmen of Woodbridge, our controlling shareholder. As of March 3, 2025, Woodbridge and its affiliates beneficially owned approximately 70% of our common shares. David Thomson and Peter Thomson are substantial shareholders of our company as members of the family that owns the equity of Woodbridge.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102235</wp:posOffset>
            </wp:positionV>
            <wp:extent cx="686562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8" w:lineRule="exact"/>
        <w:rPr>
          <w:sz w:val="20"/>
          <w:szCs w:val="20"/>
          <w:color w:val="auto"/>
        </w:rPr>
      </w:pPr>
    </w:p>
    <w:p>
      <w:pPr>
        <w:ind w:left="220"/>
        <w:spacing w:after="0"/>
        <w:tabs>
          <w:tab w:leader="none" w:pos="1030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6"/>
          <w:szCs w:val="16"/>
          <w:color w:val="auto"/>
        </w:rPr>
        <w:t>Page 151</w:t>
      </w:r>
    </w:p>
    <w:p>
      <w:pPr>
        <w:sectPr>
          <w:pgSz w:w="11900" w:h="16838" w:orient="portrait"/>
          <w:cols w:equalWidth="0" w:num="1">
            <w:col w:w="11040"/>
          </w:cols>
          <w:pgMar w:left="320" w:top="477" w:right="5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46"/>
          <w:szCs w:val="46"/>
          <w:color w:val="D64000"/>
        </w:rPr>
        <w:t>Additional Information</w:t>
      </w:r>
    </w:p>
    <w:p>
      <w:pPr>
        <w:spacing w:after="0" w:line="123" w:lineRule="exact"/>
        <w:rPr>
          <w:sz w:val="20"/>
          <w:szCs w:val="20"/>
          <w:color w:val="auto"/>
        </w:rPr>
      </w:pPr>
    </w:p>
    <w:p>
      <w:pPr>
        <w:ind w:left="220" w:right="60"/>
        <w:spacing w:after="0" w:line="238" w:lineRule="auto"/>
        <w:rPr>
          <w:sz w:val="20"/>
          <w:szCs w:val="20"/>
          <w:color w:val="auto"/>
        </w:rPr>
      </w:pPr>
      <w:r>
        <w:rPr>
          <w:rFonts w:ascii="Arial" w:cs="Arial" w:eastAsia="Arial" w:hAnsi="Arial"/>
          <w:sz w:val="17"/>
          <w:szCs w:val="17"/>
          <w:color w:val="auto"/>
        </w:rPr>
        <w:t>Thomson Reuters Corporation was incorporated under the Business Corporations Act (Ontario) by articles of incorporation dated December 28, 1977. Our company amalgamated with one of its wholly owned subsidiaries on March 10, 2010. On October 1, 2018, articles of amendment were filed to make certain amendments to our articles of amalgamation related to the Trust Principles and the consent rights of the Thomson Reuters Founders Share Company.</w:t>
      </w:r>
    </w:p>
    <w:p>
      <w:pPr>
        <w:spacing w:after="0" w:line="46" w:lineRule="exact"/>
        <w:rPr>
          <w:sz w:val="20"/>
          <w:szCs w:val="20"/>
          <w:color w:val="auto"/>
        </w:rPr>
      </w:pPr>
    </w:p>
    <w:p>
      <w:pPr>
        <w:ind w:left="220" w:right="320"/>
        <w:spacing w:after="0" w:line="260" w:lineRule="auto"/>
        <w:rPr>
          <w:sz w:val="20"/>
          <w:szCs w:val="20"/>
          <w:color w:val="auto"/>
        </w:rPr>
      </w:pPr>
      <w:r>
        <w:rPr>
          <w:rFonts w:ascii="Arial" w:cs="Arial" w:eastAsia="Arial" w:hAnsi="Arial"/>
          <w:sz w:val="17"/>
          <w:szCs w:val="17"/>
          <w:color w:val="auto"/>
        </w:rPr>
        <w:t>Our registered office and principal executive office is located at 19 Duncan Street, Toronto, Ontario M5H 3H1, Canada. Prior to April 17, 2008, Thomson Reuters Corporation was known as The Thomson Corporation.</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Description of Capital Structure</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of March 3, 2025:</w:t>
      </w:r>
    </w:p>
    <w:p>
      <w:pPr>
        <w:spacing w:after="0" w:line="83" w:lineRule="exact"/>
        <w:rPr>
          <w:sz w:val="20"/>
          <w:szCs w:val="20"/>
          <w:color w:val="auto"/>
        </w:rPr>
      </w:pPr>
    </w:p>
    <w:p>
      <w:pPr>
        <w:ind w:left="1300" w:right="460" w:hanging="327"/>
        <w:spacing w:after="0" w:line="260" w:lineRule="auto"/>
        <w:tabs>
          <w:tab w:leader="none" w:pos="1300" w:val="left"/>
        </w:tabs>
        <w:numPr>
          <w:ilvl w:val="0"/>
          <w:numId w:val="155"/>
        </w:numPr>
        <w:rPr>
          <w:rFonts w:ascii="Arial" w:cs="Arial" w:eastAsia="Arial" w:hAnsi="Arial"/>
          <w:sz w:val="17"/>
          <w:szCs w:val="17"/>
          <w:color w:val="D64000"/>
        </w:rPr>
      </w:pPr>
      <w:r>
        <w:rPr>
          <w:rFonts w:ascii="Arial" w:cs="Arial" w:eastAsia="Arial" w:hAnsi="Arial"/>
          <w:sz w:val="17"/>
          <w:szCs w:val="17"/>
          <w:color w:val="auto"/>
        </w:rPr>
        <w:t>Our authorized share capital consisted of an unlimited number of common shares, an unlimited number of preference shares, issuable in series, and a Thomson Reuters Founders Share; and</w:t>
      </w:r>
    </w:p>
    <w:p>
      <w:pPr>
        <w:spacing w:after="0" w:line="40" w:lineRule="exact"/>
        <w:rPr>
          <w:rFonts w:ascii="Arial" w:cs="Arial" w:eastAsia="Arial" w:hAnsi="Arial"/>
          <w:sz w:val="17"/>
          <w:szCs w:val="17"/>
          <w:color w:val="D64000"/>
        </w:rPr>
      </w:pPr>
    </w:p>
    <w:p>
      <w:pPr>
        <w:ind w:left="1300" w:right="360" w:hanging="327"/>
        <w:spacing w:after="0" w:line="260" w:lineRule="auto"/>
        <w:tabs>
          <w:tab w:leader="none" w:pos="1300" w:val="left"/>
        </w:tabs>
        <w:numPr>
          <w:ilvl w:val="0"/>
          <w:numId w:val="155"/>
        </w:numPr>
        <w:rPr>
          <w:rFonts w:ascii="Arial" w:cs="Arial" w:eastAsia="Arial" w:hAnsi="Arial"/>
          <w:sz w:val="17"/>
          <w:szCs w:val="17"/>
          <w:color w:val="D64000"/>
        </w:rPr>
      </w:pPr>
      <w:r>
        <w:rPr>
          <w:rFonts w:ascii="Arial" w:cs="Arial" w:eastAsia="Arial" w:hAnsi="Arial"/>
          <w:sz w:val="17"/>
          <w:szCs w:val="17"/>
          <w:color w:val="auto"/>
        </w:rPr>
        <w:t>We had outstanding 450,096,872 common shares, 6,000,000 Series II preference shares and one Thomson Reuters Founders Share.</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Common Shares</w:t>
      </w:r>
    </w:p>
    <w:p>
      <w:pPr>
        <w:spacing w:after="0" w:line="110" w:lineRule="exact"/>
        <w:rPr>
          <w:sz w:val="20"/>
          <w:szCs w:val="20"/>
          <w:color w:val="auto"/>
        </w:rPr>
      </w:pPr>
    </w:p>
    <w:p>
      <w:pPr>
        <w:ind w:left="220" w:right="40"/>
        <w:spacing w:after="0" w:line="235" w:lineRule="auto"/>
        <w:rPr>
          <w:sz w:val="20"/>
          <w:szCs w:val="20"/>
          <w:color w:val="auto"/>
        </w:rPr>
      </w:pPr>
      <w:r>
        <w:rPr>
          <w:rFonts w:ascii="Arial" w:cs="Arial" w:eastAsia="Arial" w:hAnsi="Arial"/>
          <w:sz w:val="17"/>
          <w:szCs w:val="17"/>
          <w:color w:val="auto"/>
        </w:rPr>
        <w:t>Each common share entitles its holder to receive notice of, to attend and to vote at all meetings of our shareholders (except for meetings of holders of a particular class or series of shares other than the common shares required by applicable laws to be held as a separate class or series meeting). Each common share also entitles its holder to receive dividends when declared by our Board of Directors, subject to the rights of holders of the preference shares. All dividends declared by our Board of Directors are paid equally on all common shares. Holders of common shares will participate equally in any distribution of our assets upon liquidation, dissolution or winding-up, subject to the rights of the holders of the preference shares. There are no preemptive, redemption, purchase or conversion rights attaching to our common shares.</w:t>
      </w:r>
    </w:p>
    <w:p>
      <w:pPr>
        <w:spacing w:after="0" w:line="57" w:lineRule="exact"/>
        <w:rPr>
          <w:sz w:val="20"/>
          <w:szCs w:val="20"/>
          <w:color w:val="auto"/>
        </w:rPr>
      </w:pPr>
    </w:p>
    <w:p>
      <w:pPr>
        <w:ind w:left="220" w:right="20"/>
        <w:spacing w:after="0" w:line="236" w:lineRule="auto"/>
        <w:rPr>
          <w:sz w:val="20"/>
          <w:szCs w:val="20"/>
          <w:color w:val="auto"/>
        </w:rPr>
      </w:pPr>
      <w:r>
        <w:rPr>
          <w:rFonts w:ascii="Arial" w:cs="Arial" w:eastAsia="Arial" w:hAnsi="Arial"/>
          <w:sz w:val="17"/>
          <w:szCs w:val="17"/>
          <w:color w:val="auto"/>
        </w:rPr>
        <w:t>We have also issued Depositary Interests (DIs) as an alternative way to hold our common shares. DIs are designed to facilitate the transfer and settlement of our shares in the U.K. when they are traded in the secondary market. Each DI represents one common share. The holder of DIs has beneficial ownership of the underlying common shares. The administrator of our DI program holds legal title to the common shares and holds the shares on behalf of and for the benefit of the DI holder. Holders of DIs have the same voting rights and receive the same dividends as other common shareholders.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Preference Shares</w:t>
      </w:r>
    </w:p>
    <w:p>
      <w:pPr>
        <w:spacing w:after="0" w:line="110" w:lineRule="exact"/>
        <w:rPr>
          <w:sz w:val="20"/>
          <w:szCs w:val="20"/>
          <w:color w:val="auto"/>
        </w:rPr>
      </w:pPr>
    </w:p>
    <w:p>
      <w:pPr>
        <w:ind w:left="220" w:right="120"/>
        <w:spacing w:after="0" w:line="232" w:lineRule="auto"/>
        <w:rPr>
          <w:sz w:val="20"/>
          <w:szCs w:val="20"/>
          <w:color w:val="auto"/>
        </w:rPr>
      </w:pPr>
      <w:r>
        <w:rPr>
          <w:rFonts w:ascii="Arial" w:cs="Arial" w:eastAsia="Arial" w:hAnsi="Arial"/>
          <w:sz w:val="17"/>
          <w:szCs w:val="17"/>
          <w:color w:val="auto"/>
        </w:rPr>
        <w:t>Our preference shares may be issued in one or more series as determined by our Board of Directors. Our Board of Directors is authorized to fix the number, the consideration per share and the rights and restrictions of the preference shares of each series. The preference shares of each series are to rank on a parity with the preference shares of each other series with respect to the payments of dividends and the return of capital on our liquidation, dissolution or winding-up. The preference shares are entitled to preference over the common shares and any other shares ranking junior to the preference shares with respect to the payment of dividends and the return of capital. The special rights and restrictions attaching to the preference shares as a class may not be amended without approval of at least two-thirds of the votes cast at a meeting of the holders of preference shares. The holders of preference shares are not entitled to any voting rights except as provided by our Board of Directors when authorizing a series or as provided by law. Our Series II preference shares are non-voting and are redeemable at our option for C$25.00 per share, together with accrued dividends. Dividends are payable quarterly at an annual rate of 70% of the Canadian bank prime rate applied to the stated capital of the shares.</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Thomson Reuters Founders Share</w:t>
      </w:r>
    </w:p>
    <w:p>
      <w:pPr>
        <w:spacing w:after="0" w:line="110" w:lineRule="exact"/>
        <w:rPr>
          <w:sz w:val="20"/>
          <w:szCs w:val="20"/>
          <w:color w:val="auto"/>
        </w:rPr>
      </w:pPr>
    </w:p>
    <w:p>
      <w:pPr>
        <w:ind w:left="220" w:right="40"/>
        <w:spacing w:after="0" w:line="243" w:lineRule="auto"/>
        <w:rPr>
          <w:sz w:val="20"/>
          <w:szCs w:val="20"/>
          <w:color w:val="auto"/>
        </w:rPr>
      </w:pPr>
      <w:r>
        <w:rPr>
          <w:rFonts w:ascii="Arial" w:cs="Arial" w:eastAsia="Arial" w:hAnsi="Arial"/>
          <w:sz w:val="17"/>
          <w:szCs w:val="17"/>
          <w:color w:val="auto"/>
        </w:rPr>
        <w:t>Our company has issued a Thomson Reuters Founders Share to the Thomson Reuters Founders Share Company, which enables the Thomson Reuters Founders Share Company to exercise extraordinary voting power to safeguard the Thomson Reuters Trust Principles and to thwart those whose holdings of Thomson Reuters voting shares threaten the Thomson Reuters Trust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91440</wp:posOffset>
            </wp:positionV>
            <wp:extent cx="686562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5"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152</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20"/>
        <w:spacing w:after="0" w:line="246" w:lineRule="auto"/>
        <w:rPr>
          <w:sz w:val="20"/>
          <w:szCs w:val="20"/>
          <w:color w:val="auto"/>
        </w:rPr>
      </w:pPr>
      <w:r>
        <w:rPr>
          <w:rFonts w:ascii="Arial" w:cs="Arial" w:eastAsia="Arial" w:hAnsi="Arial"/>
          <w:sz w:val="16"/>
          <w:szCs w:val="16"/>
          <w:color w:val="auto"/>
        </w:rPr>
        <w:t>The Founders Share entitles the Thomson Reuters Founders Share Company to vote in circumstances where an acquiring person, other than an approved person or an entity within Thomson Reuters, has become or becomes “interested” in, or the beneficial owner of, 15% or more of the outstanding voting shares of Thomson Reuters or has obtained or is attempting to obtain the ability to control the exercise of, or beneficial ownership of, 30% or more of the outstanding voting shares of Thomson Reuters. In general, votes cast by the Thomson Reuters Founders Share Company, alone or in combination with votes cast by approved persons, will be sufficient either to negate the voting power of the acquiring person or to constitute the requisite majority voting power. The rights attaching to the Founders Share may not be varied or abrogated in any respect without the prior written consent of the Thomson Reuters Founders Share Company. In addition, without the prior written consent of the Thomson Reuters Founders Share Company, we may not take certain fundamental corporate actions, including certain changes to our share capital, remove or amend provisions in our organizational documents relating to the Thomson Reuters Founders Share Company and the Founders Share, or effect a sale (or similar transactions) of Reuters News to an unrelated third-party or to effect or permit material acquisitions by, or material dispositions from, Reuters News. For a discussion of the Thomson Reuters Trust Principles, the Thomson Reuters Founders Share Company and proposed amendments to the Thomson Reuters Trust Principles arrangements, see the “Material Contracts” section below.</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Market for Securities</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Listings and Index Participation</w:t>
      </w:r>
    </w:p>
    <w:p>
      <w:pPr>
        <w:spacing w:after="0" w:line="110" w:lineRule="exact"/>
        <w:rPr>
          <w:sz w:val="20"/>
          <w:szCs w:val="20"/>
          <w:color w:val="auto"/>
        </w:rPr>
      </w:pPr>
    </w:p>
    <w:p>
      <w:pPr>
        <w:jc w:val="both"/>
        <w:ind w:left="220" w:right="20"/>
        <w:spacing w:after="0" w:line="238" w:lineRule="auto"/>
        <w:rPr>
          <w:sz w:val="20"/>
          <w:szCs w:val="20"/>
          <w:color w:val="auto"/>
        </w:rPr>
      </w:pPr>
      <w:r>
        <w:rPr>
          <w:rFonts w:ascii="Arial" w:cs="Arial" w:eastAsia="Arial" w:hAnsi="Arial"/>
          <w:sz w:val="17"/>
          <w:szCs w:val="17"/>
          <w:color w:val="auto"/>
        </w:rPr>
        <w:t>Our common shares are listed in Canadian dollars on the TSX and in U.S. dollars on the Nasdaq under the symbol “TRI”. On February 25, 2025, we transferred our U.S. stock exchange listing to the Nasdaq. Prior to that date our common shares were listed on the New York Stock Exchange. Our Series II preference shares are listed in Canadian dollars on the TSX under the symbol “TRI.PR.B”. Our company is included in the S&amp;P/TSX series of indices.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Share Prices</w:t>
      </w:r>
    </w:p>
    <w:p>
      <w:pPr>
        <w:spacing w:after="0" w:line="110" w:lineRule="exact"/>
        <w:rPr>
          <w:sz w:val="20"/>
          <w:szCs w:val="20"/>
          <w:color w:val="auto"/>
        </w:rPr>
      </w:pPr>
    </w:p>
    <w:p>
      <w:pPr>
        <w:ind w:left="220" w:right="380"/>
        <w:spacing w:after="0" w:line="260" w:lineRule="auto"/>
        <w:rPr>
          <w:sz w:val="20"/>
          <w:szCs w:val="20"/>
          <w:color w:val="auto"/>
        </w:rPr>
      </w:pPr>
      <w:r>
        <w:rPr>
          <w:rFonts w:ascii="Arial" w:cs="Arial" w:eastAsia="Arial" w:hAnsi="Arial"/>
          <w:sz w:val="17"/>
          <w:szCs w:val="17"/>
          <w:color w:val="auto"/>
        </w:rPr>
        <w:t>The following table provides information regarding the price history of our common shares and our Series II preference shares for the periods indicated.</w:t>
      </w:r>
    </w:p>
    <w:p>
      <w:pPr>
        <w:spacing w:after="0" w:line="49"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2180" w:type="dxa"/>
            <w:vAlign w:val="bottom"/>
          </w:tcPr>
          <w:p>
            <w:pPr>
              <w:spacing w:after="0"/>
              <w:rPr>
                <w:sz w:val="14"/>
                <w:szCs w:val="14"/>
                <w:color w:val="auto"/>
              </w:rPr>
            </w:pPr>
          </w:p>
        </w:tc>
        <w:tc>
          <w:tcPr>
            <w:tcW w:w="620" w:type="dxa"/>
            <w:vAlign w:val="bottom"/>
            <w:shd w:val="clear" w:color="auto" w:fill="B2B2B2"/>
          </w:tcPr>
          <w:p>
            <w:pPr>
              <w:spacing w:after="0"/>
              <w:rPr>
                <w:sz w:val="14"/>
                <w:szCs w:val="14"/>
                <w:color w:val="auto"/>
              </w:rPr>
            </w:pPr>
          </w:p>
        </w:tc>
        <w:tc>
          <w:tcPr>
            <w:tcW w:w="2360" w:type="dxa"/>
            <w:vAlign w:val="bottom"/>
            <w:tcBorders>
              <w:right w:val="single" w:sz="8" w:color="B2B2B2"/>
            </w:tcBorders>
            <w:gridSpan w:val="3"/>
            <w:shd w:val="clear" w:color="auto" w:fill="B2B2B2"/>
          </w:tcPr>
          <w:p>
            <w:pPr>
              <w:ind w:left="60"/>
              <w:spacing w:after="0"/>
              <w:rPr>
                <w:sz w:val="20"/>
                <w:szCs w:val="20"/>
                <w:color w:val="auto"/>
              </w:rPr>
            </w:pPr>
            <w:r>
              <w:rPr>
                <w:rFonts w:ascii="Arial" w:cs="Arial" w:eastAsia="Arial" w:hAnsi="Arial"/>
                <w:sz w:val="15"/>
                <w:szCs w:val="15"/>
                <w:b w:val="1"/>
                <w:bCs w:val="1"/>
                <w:color w:val="auto"/>
              </w:rPr>
              <w:t>Common Shares (C$)</w:t>
            </w:r>
          </w:p>
        </w:tc>
        <w:tc>
          <w:tcPr>
            <w:tcW w:w="600" w:type="dxa"/>
            <w:vAlign w:val="bottom"/>
            <w:shd w:val="clear" w:color="auto" w:fill="B2B2B2"/>
          </w:tcPr>
          <w:p>
            <w:pPr>
              <w:spacing w:after="0"/>
              <w:rPr>
                <w:sz w:val="14"/>
                <w:szCs w:val="14"/>
                <w:color w:val="auto"/>
              </w:rPr>
            </w:pPr>
          </w:p>
        </w:tc>
        <w:tc>
          <w:tcPr>
            <w:tcW w:w="2400" w:type="dxa"/>
            <w:vAlign w:val="bottom"/>
            <w:tcBorders>
              <w:right w:val="single" w:sz="8" w:color="B2B2B2"/>
            </w:tcBorders>
            <w:gridSpan w:val="3"/>
            <w:shd w:val="clear" w:color="auto" w:fill="B2B2B2"/>
          </w:tcPr>
          <w:p>
            <w:pPr>
              <w:ind w:left="40"/>
              <w:spacing w:after="0"/>
              <w:rPr>
                <w:sz w:val="20"/>
                <w:szCs w:val="20"/>
                <w:color w:val="auto"/>
              </w:rPr>
            </w:pPr>
            <w:r>
              <w:rPr>
                <w:rFonts w:ascii="Arial" w:cs="Arial" w:eastAsia="Arial" w:hAnsi="Arial"/>
                <w:sz w:val="15"/>
                <w:szCs w:val="15"/>
                <w:b w:val="1"/>
                <w:bCs w:val="1"/>
                <w:color w:val="auto"/>
              </w:rPr>
              <w:t>Common Shares (US$)</w:t>
            </w:r>
          </w:p>
        </w:tc>
        <w:tc>
          <w:tcPr>
            <w:tcW w:w="2640" w:type="dxa"/>
            <w:vAlign w:val="bottom"/>
            <w:gridSpan w:val="4"/>
            <w:shd w:val="clear" w:color="auto" w:fill="B2B2B2"/>
          </w:tcPr>
          <w:p>
            <w:pPr>
              <w:ind w:left="480"/>
              <w:spacing w:after="0"/>
              <w:rPr>
                <w:sz w:val="20"/>
                <w:szCs w:val="20"/>
                <w:color w:val="auto"/>
              </w:rPr>
            </w:pPr>
            <w:r>
              <w:rPr>
                <w:rFonts w:ascii="Arial" w:cs="Arial" w:eastAsia="Arial" w:hAnsi="Arial"/>
                <w:sz w:val="15"/>
                <w:szCs w:val="15"/>
                <w:b w:val="1"/>
                <w:bCs w:val="1"/>
                <w:color w:val="auto"/>
              </w:rPr>
              <w:t>Preference Shares (C$)</w:t>
            </w:r>
          </w:p>
        </w:tc>
        <w:tc>
          <w:tcPr>
            <w:tcW w:w="20" w:type="dxa"/>
            <w:vAlign w:val="bottom"/>
          </w:tcPr>
          <w:p>
            <w:pPr>
              <w:spacing w:after="0"/>
              <w:rPr>
                <w:sz w:val="14"/>
                <w:szCs w:val="14"/>
                <w:color w:val="auto"/>
              </w:rPr>
            </w:pPr>
          </w:p>
        </w:tc>
      </w:tr>
      <w:tr>
        <w:trPr>
          <w:trHeight w:val="142"/>
        </w:trPr>
        <w:tc>
          <w:tcPr>
            <w:tcW w:w="2180" w:type="dxa"/>
            <w:vAlign w:val="bottom"/>
          </w:tcPr>
          <w:p>
            <w:pPr>
              <w:spacing w:after="0"/>
              <w:rPr>
                <w:sz w:val="12"/>
                <w:szCs w:val="12"/>
                <w:color w:val="auto"/>
              </w:rPr>
            </w:pPr>
          </w:p>
        </w:tc>
        <w:tc>
          <w:tcPr>
            <w:tcW w:w="620" w:type="dxa"/>
            <w:vAlign w:val="bottom"/>
            <w:shd w:val="clear" w:color="auto" w:fill="262626"/>
          </w:tcPr>
          <w:p>
            <w:pPr>
              <w:spacing w:after="0"/>
              <w:rPr>
                <w:sz w:val="12"/>
                <w:szCs w:val="12"/>
                <w:color w:val="auto"/>
              </w:rPr>
            </w:pPr>
          </w:p>
        </w:tc>
        <w:tc>
          <w:tcPr>
            <w:tcW w:w="680" w:type="dxa"/>
            <w:vAlign w:val="bottom"/>
            <w:shd w:val="clear" w:color="auto" w:fill="262626"/>
          </w:tcPr>
          <w:p>
            <w:pPr>
              <w:spacing w:after="0"/>
              <w:rPr>
                <w:sz w:val="12"/>
                <w:szCs w:val="12"/>
                <w:color w:val="auto"/>
              </w:rPr>
            </w:pPr>
          </w:p>
        </w:tc>
        <w:tc>
          <w:tcPr>
            <w:tcW w:w="820" w:type="dxa"/>
            <w:vAlign w:val="bottom"/>
            <w:shd w:val="clear" w:color="auto" w:fill="262626"/>
          </w:tcPr>
          <w:p>
            <w:pPr>
              <w:jc w:val="right"/>
              <w:spacing w:after="0" w:line="142" w:lineRule="exact"/>
              <w:rPr>
                <w:sz w:val="20"/>
                <w:szCs w:val="20"/>
                <w:color w:val="auto"/>
              </w:rPr>
            </w:pPr>
            <w:r>
              <w:rPr>
                <w:rFonts w:ascii="Arial" w:cs="Arial" w:eastAsia="Arial" w:hAnsi="Arial"/>
                <w:sz w:val="15"/>
                <w:szCs w:val="15"/>
                <w:b w:val="1"/>
                <w:bCs w:val="1"/>
                <w:color w:val="FFFFFF"/>
              </w:rPr>
              <w:t> </w:t>
            </w:r>
          </w:p>
        </w:tc>
        <w:tc>
          <w:tcPr>
            <w:tcW w:w="860" w:type="dxa"/>
            <w:vAlign w:val="bottom"/>
            <w:tcBorders>
              <w:right w:val="single" w:sz="8" w:color="262626"/>
            </w:tcBorders>
            <w:shd w:val="clear" w:color="auto" w:fill="262626"/>
          </w:tcPr>
          <w:p>
            <w:pPr>
              <w:ind w:left="100"/>
              <w:spacing w:after="0" w:line="142" w:lineRule="exact"/>
              <w:rPr>
                <w:sz w:val="20"/>
                <w:szCs w:val="20"/>
                <w:color w:val="auto"/>
              </w:rPr>
            </w:pPr>
            <w:r>
              <w:rPr>
                <w:rFonts w:ascii="Arial" w:cs="Arial" w:eastAsia="Arial" w:hAnsi="Arial"/>
                <w:sz w:val="15"/>
                <w:szCs w:val="15"/>
                <w:b w:val="1"/>
                <w:bCs w:val="1"/>
                <w:color w:val="FFFFFF"/>
              </w:rPr>
              <w:t>Trading</w:t>
            </w:r>
          </w:p>
        </w:tc>
        <w:tc>
          <w:tcPr>
            <w:tcW w:w="600" w:type="dxa"/>
            <w:vAlign w:val="bottom"/>
            <w:shd w:val="clear" w:color="auto" w:fill="262626"/>
          </w:tcPr>
          <w:p>
            <w:pPr>
              <w:spacing w:after="0"/>
              <w:rPr>
                <w:sz w:val="12"/>
                <w:szCs w:val="12"/>
                <w:color w:val="auto"/>
              </w:rPr>
            </w:pPr>
          </w:p>
        </w:tc>
        <w:tc>
          <w:tcPr>
            <w:tcW w:w="700" w:type="dxa"/>
            <w:vAlign w:val="bottom"/>
            <w:shd w:val="clear" w:color="auto" w:fill="262626"/>
          </w:tcPr>
          <w:p>
            <w:pPr>
              <w:spacing w:after="0"/>
              <w:rPr>
                <w:sz w:val="12"/>
                <w:szCs w:val="12"/>
                <w:color w:val="auto"/>
              </w:rPr>
            </w:pPr>
          </w:p>
        </w:tc>
        <w:tc>
          <w:tcPr>
            <w:tcW w:w="720" w:type="dxa"/>
            <w:vAlign w:val="bottom"/>
            <w:shd w:val="clear" w:color="auto" w:fill="262626"/>
          </w:tcPr>
          <w:p>
            <w:pPr>
              <w:spacing w:after="0"/>
              <w:rPr>
                <w:sz w:val="12"/>
                <w:szCs w:val="12"/>
                <w:color w:val="auto"/>
              </w:rPr>
            </w:pPr>
          </w:p>
        </w:tc>
        <w:tc>
          <w:tcPr>
            <w:tcW w:w="980" w:type="dxa"/>
            <w:vAlign w:val="bottom"/>
            <w:tcBorders>
              <w:right w:val="single" w:sz="8" w:color="262626"/>
            </w:tcBorders>
            <w:shd w:val="clear" w:color="auto" w:fill="262626"/>
          </w:tcPr>
          <w:p>
            <w:pPr>
              <w:ind w:left="320"/>
              <w:spacing w:after="0" w:line="142" w:lineRule="exact"/>
              <w:rPr>
                <w:sz w:val="20"/>
                <w:szCs w:val="20"/>
                <w:color w:val="auto"/>
              </w:rPr>
            </w:pPr>
            <w:r>
              <w:rPr>
                <w:rFonts w:ascii="Arial" w:cs="Arial" w:eastAsia="Arial" w:hAnsi="Arial"/>
                <w:sz w:val="15"/>
                <w:szCs w:val="15"/>
                <w:b w:val="1"/>
                <w:bCs w:val="1"/>
                <w:color w:val="FFFFFF"/>
              </w:rPr>
              <w:t>Trading</w:t>
            </w:r>
          </w:p>
        </w:tc>
        <w:tc>
          <w:tcPr>
            <w:tcW w:w="600" w:type="dxa"/>
            <w:vAlign w:val="bottom"/>
            <w:tcBorders>
              <w:right w:val="single" w:sz="8" w:color="262626"/>
            </w:tcBorders>
            <w:shd w:val="clear" w:color="auto" w:fill="262626"/>
          </w:tcPr>
          <w:p>
            <w:pPr>
              <w:spacing w:after="0"/>
              <w:rPr>
                <w:sz w:val="12"/>
                <w:szCs w:val="12"/>
                <w:color w:val="auto"/>
              </w:rPr>
            </w:pPr>
          </w:p>
        </w:tc>
        <w:tc>
          <w:tcPr>
            <w:tcW w:w="600" w:type="dxa"/>
            <w:vAlign w:val="bottom"/>
            <w:tcBorders>
              <w:right w:val="single" w:sz="8" w:color="262626"/>
            </w:tcBorders>
            <w:shd w:val="clear" w:color="auto" w:fill="262626"/>
          </w:tcPr>
          <w:p>
            <w:pPr>
              <w:spacing w:after="0"/>
              <w:rPr>
                <w:sz w:val="12"/>
                <w:szCs w:val="12"/>
                <w:color w:val="auto"/>
              </w:rPr>
            </w:pPr>
          </w:p>
        </w:tc>
        <w:tc>
          <w:tcPr>
            <w:tcW w:w="720" w:type="dxa"/>
            <w:vAlign w:val="bottom"/>
            <w:tcBorders>
              <w:right w:val="single" w:sz="8" w:color="262626"/>
            </w:tcBorders>
            <w:shd w:val="clear" w:color="auto" w:fill="262626"/>
          </w:tcPr>
          <w:p>
            <w:pPr>
              <w:spacing w:after="0"/>
              <w:rPr>
                <w:sz w:val="12"/>
                <w:szCs w:val="12"/>
                <w:color w:val="auto"/>
              </w:rPr>
            </w:pPr>
          </w:p>
        </w:tc>
        <w:tc>
          <w:tcPr>
            <w:tcW w:w="720" w:type="dxa"/>
            <w:vAlign w:val="bottom"/>
            <w:shd w:val="clear" w:color="auto" w:fill="262626"/>
          </w:tcPr>
          <w:p>
            <w:pPr>
              <w:jc w:val="center"/>
              <w:spacing w:after="0" w:line="142" w:lineRule="exact"/>
              <w:rPr>
                <w:sz w:val="20"/>
                <w:szCs w:val="20"/>
                <w:color w:val="auto"/>
              </w:rPr>
            </w:pPr>
            <w:r>
              <w:rPr>
                <w:rFonts w:ascii="Arial" w:cs="Arial" w:eastAsia="Arial" w:hAnsi="Arial"/>
                <w:sz w:val="15"/>
                <w:szCs w:val="15"/>
                <w:b w:val="1"/>
                <w:bCs w:val="1"/>
                <w:color w:val="FFFFFF"/>
                <w:w w:val="98"/>
              </w:rPr>
              <w:t>Trading</w:t>
            </w:r>
          </w:p>
        </w:tc>
        <w:tc>
          <w:tcPr>
            <w:tcW w:w="20" w:type="dxa"/>
            <w:vAlign w:val="bottom"/>
          </w:tcPr>
          <w:p>
            <w:pPr>
              <w:spacing w:after="0"/>
              <w:rPr>
                <w:sz w:val="12"/>
                <w:szCs w:val="12"/>
                <w:color w:val="auto"/>
              </w:rPr>
            </w:pPr>
          </w:p>
        </w:tc>
      </w:tr>
      <w:tr>
        <w:trPr>
          <w:trHeight w:val="196"/>
        </w:trPr>
        <w:tc>
          <w:tcPr>
            <w:tcW w:w="2180" w:type="dxa"/>
            <w:vAlign w:val="bottom"/>
            <w:tcBorders>
              <w:bottom w:val="single" w:sz="8" w:color="D64000"/>
            </w:tcBorders>
          </w:tcPr>
          <w:p>
            <w:pPr>
              <w:spacing w:after="0"/>
              <w:rPr>
                <w:sz w:val="17"/>
                <w:szCs w:val="17"/>
                <w:color w:val="auto"/>
              </w:rPr>
            </w:pPr>
          </w:p>
        </w:tc>
        <w:tc>
          <w:tcPr>
            <w:tcW w:w="620" w:type="dxa"/>
            <w:vAlign w:val="bottom"/>
            <w:tcBorders>
              <w:bottom w:val="single" w:sz="8" w:color="D64000"/>
            </w:tcBorders>
            <w:shd w:val="clear" w:color="auto" w:fill="262626"/>
          </w:tcPr>
          <w:p>
            <w:pPr>
              <w:ind w:left="220"/>
              <w:spacing w:after="0"/>
              <w:rPr>
                <w:sz w:val="20"/>
                <w:szCs w:val="20"/>
                <w:color w:val="auto"/>
              </w:rPr>
            </w:pPr>
            <w:r>
              <w:rPr>
                <w:rFonts w:ascii="Arial" w:cs="Arial" w:eastAsia="Arial" w:hAnsi="Arial"/>
                <w:sz w:val="15"/>
                <w:szCs w:val="15"/>
                <w:b w:val="1"/>
                <w:bCs w:val="1"/>
                <w:color w:val="FFFFFF"/>
              </w:rPr>
              <w:t>High</w:t>
            </w:r>
          </w:p>
        </w:tc>
        <w:tc>
          <w:tcPr>
            <w:tcW w:w="680" w:type="dxa"/>
            <w:vAlign w:val="bottom"/>
            <w:tcBorders>
              <w:bottom w:val="single" w:sz="8" w:color="D64000"/>
            </w:tcBorders>
            <w:shd w:val="clear" w:color="auto" w:fill="262626"/>
          </w:tcPr>
          <w:p>
            <w:pPr>
              <w:ind w:left="300"/>
              <w:spacing w:after="0"/>
              <w:rPr>
                <w:sz w:val="20"/>
                <w:szCs w:val="20"/>
                <w:color w:val="auto"/>
              </w:rPr>
            </w:pPr>
            <w:r>
              <w:rPr>
                <w:rFonts w:ascii="Arial" w:cs="Arial" w:eastAsia="Arial" w:hAnsi="Arial"/>
                <w:sz w:val="15"/>
                <w:szCs w:val="15"/>
                <w:b w:val="1"/>
                <w:bCs w:val="1"/>
                <w:color w:val="FFFFFF"/>
              </w:rPr>
              <w:t>Low</w:t>
            </w:r>
          </w:p>
        </w:tc>
        <w:tc>
          <w:tcPr>
            <w:tcW w:w="820" w:type="dxa"/>
            <w:vAlign w:val="bottom"/>
            <w:tcBorders>
              <w:bottom w:val="single" w:sz="8" w:color="D64000"/>
            </w:tcBorders>
            <w:shd w:val="clear" w:color="auto" w:fill="262626"/>
          </w:tcPr>
          <w:p>
            <w:pPr>
              <w:jc w:val="right"/>
              <w:spacing w:after="0"/>
              <w:rPr>
                <w:sz w:val="20"/>
                <w:szCs w:val="20"/>
                <w:color w:val="auto"/>
              </w:rPr>
            </w:pPr>
            <w:r>
              <w:rPr>
                <w:rFonts w:ascii="Arial" w:cs="Arial" w:eastAsia="Arial" w:hAnsi="Arial"/>
                <w:sz w:val="15"/>
                <w:szCs w:val="15"/>
                <w:b w:val="1"/>
                <w:bCs w:val="1"/>
                <w:color w:val="FFFFFF"/>
              </w:rPr>
              <w:t xml:space="preserve">Closing   </w:t>
            </w:r>
          </w:p>
        </w:tc>
        <w:tc>
          <w:tcPr>
            <w:tcW w:w="860" w:type="dxa"/>
            <w:vAlign w:val="bottom"/>
            <w:tcBorders>
              <w:bottom w:val="single" w:sz="8" w:color="D64000"/>
              <w:right w:val="single" w:sz="8" w:color="262626"/>
            </w:tcBorders>
            <w:shd w:val="clear" w:color="auto" w:fill="262626"/>
          </w:tcPr>
          <w:p>
            <w:pPr>
              <w:ind w:left="100"/>
              <w:spacing w:after="0"/>
              <w:rPr>
                <w:sz w:val="20"/>
                <w:szCs w:val="20"/>
                <w:color w:val="auto"/>
              </w:rPr>
            </w:pPr>
            <w:r>
              <w:rPr>
                <w:rFonts w:ascii="Arial" w:cs="Arial" w:eastAsia="Arial" w:hAnsi="Arial"/>
                <w:sz w:val="15"/>
                <w:szCs w:val="15"/>
                <w:b w:val="1"/>
                <w:bCs w:val="1"/>
                <w:color w:val="FFFFFF"/>
              </w:rPr>
              <w:t>Volume</w:t>
            </w:r>
          </w:p>
        </w:tc>
        <w:tc>
          <w:tcPr>
            <w:tcW w:w="600" w:type="dxa"/>
            <w:vAlign w:val="bottom"/>
            <w:tcBorders>
              <w:bottom w:val="single" w:sz="8" w:color="D64000"/>
            </w:tcBorders>
            <w:shd w:val="clear" w:color="auto" w:fill="262626"/>
          </w:tcPr>
          <w:p>
            <w:pPr>
              <w:jc w:val="right"/>
              <w:spacing w:after="0"/>
              <w:rPr>
                <w:sz w:val="20"/>
                <w:szCs w:val="20"/>
                <w:color w:val="auto"/>
              </w:rPr>
            </w:pPr>
            <w:r>
              <w:rPr>
                <w:rFonts w:ascii="Arial" w:cs="Arial" w:eastAsia="Arial" w:hAnsi="Arial"/>
                <w:sz w:val="15"/>
                <w:szCs w:val="15"/>
                <w:b w:val="1"/>
                <w:bCs w:val="1"/>
                <w:color w:val="FFFFFF"/>
              </w:rPr>
              <w:t>High</w:t>
            </w:r>
          </w:p>
        </w:tc>
        <w:tc>
          <w:tcPr>
            <w:tcW w:w="700" w:type="dxa"/>
            <w:vAlign w:val="bottom"/>
            <w:tcBorders>
              <w:bottom w:val="single" w:sz="8" w:color="D64000"/>
            </w:tcBorders>
            <w:shd w:val="clear" w:color="auto" w:fill="262626"/>
          </w:tcPr>
          <w:p>
            <w:pPr>
              <w:jc w:val="right"/>
              <w:ind w:right="5"/>
              <w:spacing w:after="0"/>
              <w:rPr>
                <w:sz w:val="20"/>
                <w:szCs w:val="20"/>
                <w:color w:val="auto"/>
              </w:rPr>
            </w:pPr>
            <w:r>
              <w:rPr>
                <w:rFonts w:ascii="Arial" w:cs="Arial" w:eastAsia="Arial" w:hAnsi="Arial"/>
                <w:sz w:val="15"/>
                <w:szCs w:val="15"/>
                <w:b w:val="1"/>
                <w:bCs w:val="1"/>
                <w:color w:val="FFFFFF"/>
              </w:rPr>
              <w:t>Low</w:t>
            </w:r>
          </w:p>
        </w:tc>
        <w:tc>
          <w:tcPr>
            <w:tcW w:w="720" w:type="dxa"/>
            <w:vAlign w:val="bottom"/>
            <w:tcBorders>
              <w:bottom w:val="single" w:sz="8" w:color="D64000"/>
            </w:tcBorders>
            <w:shd w:val="clear" w:color="auto" w:fill="262626"/>
          </w:tcPr>
          <w:p>
            <w:pPr>
              <w:ind w:left="80"/>
              <w:spacing w:after="0"/>
              <w:rPr>
                <w:sz w:val="20"/>
                <w:szCs w:val="20"/>
                <w:color w:val="auto"/>
              </w:rPr>
            </w:pPr>
            <w:r>
              <w:rPr>
                <w:rFonts w:ascii="Arial" w:cs="Arial" w:eastAsia="Arial" w:hAnsi="Arial"/>
                <w:sz w:val="15"/>
                <w:szCs w:val="15"/>
                <w:b w:val="1"/>
                <w:bCs w:val="1"/>
                <w:color w:val="FFFFFF"/>
              </w:rPr>
              <w:t>Closing</w:t>
            </w:r>
          </w:p>
        </w:tc>
        <w:tc>
          <w:tcPr>
            <w:tcW w:w="980" w:type="dxa"/>
            <w:vAlign w:val="bottom"/>
            <w:tcBorders>
              <w:bottom w:val="single" w:sz="8" w:color="D64000"/>
              <w:right w:val="single" w:sz="8" w:color="262626"/>
            </w:tcBorders>
            <w:shd w:val="clear" w:color="auto" w:fill="262626"/>
          </w:tcPr>
          <w:p>
            <w:pPr>
              <w:ind w:left="340"/>
              <w:spacing w:after="0"/>
              <w:rPr>
                <w:sz w:val="20"/>
                <w:szCs w:val="20"/>
                <w:color w:val="auto"/>
              </w:rPr>
            </w:pPr>
            <w:r>
              <w:rPr>
                <w:rFonts w:ascii="Arial" w:cs="Arial" w:eastAsia="Arial" w:hAnsi="Arial"/>
                <w:sz w:val="15"/>
                <w:szCs w:val="15"/>
                <w:b w:val="1"/>
                <w:bCs w:val="1"/>
                <w:color w:val="FFFFFF"/>
              </w:rPr>
              <w:t>Volume</w:t>
            </w:r>
          </w:p>
        </w:tc>
        <w:tc>
          <w:tcPr>
            <w:tcW w:w="600" w:type="dxa"/>
            <w:vAlign w:val="bottom"/>
            <w:tcBorders>
              <w:bottom w:val="single" w:sz="8" w:color="D64000"/>
              <w:right w:val="single" w:sz="8" w:color="262626"/>
            </w:tcBorders>
            <w:shd w:val="clear" w:color="auto" w:fill="262626"/>
          </w:tcPr>
          <w:p>
            <w:pPr>
              <w:jc w:val="right"/>
              <w:ind w:right="25"/>
              <w:spacing w:after="0"/>
              <w:rPr>
                <w:sz w:val="20"/>
                <w:szCs w:val="20"/>
                <w:color w:val="auto"/>
              </w:rPr>
            </w:pPr>
            <w:r>
              <w:rPr>
                <w:rFonts w:ascii="Arial" w:cs="Arial" w:eastAsia="Arial" w:hAnsi="Arial"/>
                <w:sz w:val="15"/>
                <w:szCs w:val="15"/>
                <w:b w:val="1"/>
                <w:bCs w:val="1"/>
                <w:color w:val="FFFFFF"/>
              </w:rPr>
              <w:t>High</w:t>
            </w:r>
          </w:p>
        </w:tc>
        <w:tc>
          <w:tcPr>
            <w:tcW w:w="600" w:type="dxa"/>
            <w:vAlign w:val="bottom"/>
            <w:tcBorders>
              <w:bottom w:val="single" w:sz="8" w:color="D64000"/>
              <w:right w:val="single" w:sz="8" w:color="262626"/>
            </w:tcBorders>
            <w:shd w:val="clear" w:color="auto" w:fill="262626"/>
          </w:tcPr>
          <w:p>
            <w:pPr>
              <w:jc w:val="right"/>
              <w:ind w:right="45"/>
              <w:spacing w:after="0"/>
              <w:rPr>
                <w:sz w:val="20"/>
                <w:szCs w:val="20"/>
                <w:color w:val="auto"/>
              </w:rPr>
            </w:pPr>
            <w:r>
              <w:rPr>
                <w:rFonts w:ascii="Arial" w:cs="Arial" w:eastAsia="Arial" w:hAnsi="Arial"/>
                <w:sz w:val="15"/>
                <w:szCs w:val="15"/>
                <w:b w:val="1"/>
                <w:bCs w:val="1"/>
                <w:color w:val="FFFFFF"/>
              </w:rPr>
              <w:t>Low</w:t>
            </w:r>
          </w:p>
        </w:tc>
        <w:tc>
          <w:tcPr>
            <w:tcW w:w="720" w:type="dxa"/>
            <w:vAlign w:val="bottom"/>
            <w:tcBorders>
              <w:bottom w:val="single" w:sz="8" w:color="D64000"/>
              <w:right w:val="single" w:sz="8" w:color="262626"/>
            </w:tcBorders>
            <w:shd w:val="clear" w:color="auto" w:fill="262626"/>
          </w:tcPr>
          <w:p>
            <w:pPr>
              <w:jc w:val="right"/>
              <w:ind w:right="45"/>
              <w:spacing w:after="0"/>
              <w:rPr>
                <w:sz w:val="20"/>
                <w:szCs w:val="20"/>
                <w:color w:val="auto"/>
              </w:rPr>
            </w:pPr>
            <w:r>
              <w:rPr>
                <w:rFonts w:ascii="Arial" w:cs="Arial" w:eastAsia="Arial" w:hAnsi="Arial"/>
                <w:sz w:val="15"/>
                <w:szCs w:val="15"/>
                <w:b w:val="1"/>
                <w:bCs w:val="1"/>
                <w:color w:val="FFFFFF"/>
              </w:rPr>
              <w:t>Closing</w:t>
            </w:r>
          </w:p>
        </w:tc>
        <w:tc>
          <w:tcPr>
            <w:tcW w:w="720" w:type="dxa"/>
            <w:vAlign w:val="bottom"/>
            <w:tcBorders>
              <w:bottom w:val="single" w:sz="8" w:color="D64000"/>
            </w:tcBorders>
            <w:shd w:val="clear" w:color="auto" w:fill="262626"/>
          </w:tcPr>
          <w:p>
            <w:pPr>
              <w:jc w:val="center"/>
              <w:spacing w:after="0"/>
              <w:rPr>
                <w:sz w:val="20"/>
                <w:szCs w:val="20"/>
                <w:color w:val="auto"/>
              </w:rPr>
            </w:pPr>
            <w:r>
              <w:rPr>
                <w:rFonts w:ascii="Arial" w:cs="Arial" w:eastAsia="Arial" w:hAnsi="Arial"/>
                <w:sz w:val="15"/>
                <w:szCs w:val="15"/>
                <w:b w:val="1"/>
                <w:bCs w:val="1"/>
                <w:color w:val="FFFFFF"/>
                <w:w w:val="99"/>
              </w:rPr>
              <w:t>Volume</w:t>
            </w:r>
          </w:p>
        </w:tc>
        <w:tc>
          <w:tcPr>
            <w:tcW w:w="20" w:type="dxa"/>
            <w:vAlign w:val="bottom"/>
          </w:tcPr>
          <w:p>
            <w:pPr>
              <w:spacing w:after="0"/>
              <w:rPr>
                <w:sz w:val="17"/>
                <w:szCs w:val="17"/>
                <w:color w:val="auto"/>
              </w:rPr>
            </w:pPr>
          </w:p>
        </w:tc>
      </w:tr>
      <w:tr>
        <w:trPr>
          <w:trHeight w:val="199"/>
        </w:trPr>
        <w:tc>
          <w:tcPr>
            <w:tcW w:w="2180" w:type="dxa"/>
            <w:vAlign w:val="bottom"/>
            <w:shd w:val="clear" w:color="auto" w:fill="B2B2B2"/>
          </w:tcPr>
          <w:p>
            <w:pPr>
              <w:spacing w:after="0"/>
              <w:rPr>
                <w:sz w:val="20"/>
                <w:szCs w:val="20"/>
                <w:color w:val="auto"/>
              </w:rPr>
            </w:pPr>
            <w:r>
              <w:rPr>
                <w:rFonts w:ascii="Arial" w:cs="Arial" w:eastAsia="Arial" w:hAnsi="Arial"/>
                <w:sz w:val="15"/>
                <w:szCs w:val="15"/>
                <w:b w:val="1"/>
                <w:bCs w:val="1"/>
                <w:color w:val="auto"/>
              </w:rPr>
              <w:t>  2024</w:t>
            </w:r>
          </w:p>
        </w:tc>
        <w:tc>
          <w:tcPr>
            <w:tcW w:w="620" w:type="dxa"/>
            <w:vAlign w:val="bottom"/>
            <w:shd w:val="clear" w:color="auto" w:fill="B2B2B2"/>
          </w:tcPr>
          <w:p>
            <w:pPr>
              <w:spacing w:after="0"/>
              <w:rPr>
                <w:sz w:val="17"/>
                <w:szCs w:val="17"/>
                <w:color w:val="auto"/>
              </w:rPr>
            </w:pPr>
          </w:p>
        </w:tc>
        <w:tc>
          <w:tcPr>
            <w:tcW w:w="680" w:type="dxa"/>
            <w:vAlign w:val="bottom"/>
            <w:shd w:val="clear" w:color="auto" w:fill="B2B2B2"/>
          </w:tcPr>
          <w:p>
            <w:pPr>
              <w:spacing w:after="0"/>
              <w:rPr>
                <w:sz w:val="17"/>
                <w:szCs w:val="17"/>
                <w:color w:val="auto"/>
              </w:rPr>
            </w:pPr>
          </w:p>
        </w:tc>
        <w:tc>
          <w:tcPr>
            <w:tcW w:w="820" w:type="dxa"/>
            <w:vAlign w:val="bottom"/>
            <w:shd w:val="clear" w:color="auto" w:fill="B2B2B2"/>
          </w:tcPr>
          <w:p>
            <w:pPr>
              <w:spacing w:after="0"/>
              <w:rPr>
                <w:sz w:val="17"/>
                <w:szCs w:val="17"/>
                <w:color w:val="auto"/>
              </w:rPr>
            </w:pPr>
          </w:p>
        </w:tc>
        <w:tc>
          <w:tcPr>
            <w:tcW w:w="860" w:type="dxa"/>
            <w:vAlign w:val="bottom"/>
            <w:tcBorders>
              <w:right w:val="single" w:sz="8" w:color="B2B2B2"/>
            </w:tcBorders>
            <w:shd w:val="clear" w:color="auto" w:fill="B2B2B2"/>
          </w:tcPr>
          <w:p>
            <w:pPr>
              <w:spacing w:after="0"/>
              <w:rPr>
                <w:sz w:val="17"/>
                <w:szCs w:val="17"/>
                <w:color w:val="auto"/>
              </w:rPr>
            </w:pPr>
          </w:p>
        </w:tc>
        <w:tc>
          <w:tcPr>
            <w:tcW w:w="600" w:type="dxa"/>
            <w:vAlign w:val="bottom"/>
            <w:shd w:val="clear" w:color="auto" w:fill="B2B2B2"/>
          </w:tcPr>
          <w:p>
            <w:pPr>
              <w:spacing w:after="0"/>
              <w:rPr>
                <w:sz w:val="17"/>
                <w:szCs w:val="17"/>
                <w:color w:val="auto"/>
              </w:rPr>
            </w:pPr>
          </w:p>
        </w:tc>
        <w:tc>
          <w:tcPr>
            <w:tcW w:w="700" w:type="dxa"/>
            <w:vAlign w:val="bottom"/>
            <w:shd w:val="clear" w:color="auto" w:fill="B2B2B2"/>
          </w:tcPr>
          <w:p>
            <w:pPr>
              <w:spacing w:after="0"/>
              <w:rPr>
                <w:sz w:val="17"/>
                <w:szCs w:val="17"/>
                <w:color w:val="auto"/>
              </w:rPr>
            </w:pPr>
          </w:p>
        </w:tc>
        <w:tc>
          <w:tcPr>
            <w:tcW w:w="720" w:type="dxa"/>
            <w:vAlign w:val="bottom"/>
            <w:shd w:val="clear" w:color="auto" w:fill="B2B2B2"/>
          </w:tcPr>
          <w:p>
            <w:pPr>
              <w:spacing w:after="0"/>
              <w:rPr>
                <w:sz w:val="17"/>
                <w:szCs w:val="17"/>
                <w:color w:val="auto"/>
              </w:rPr>
            </w:pPr>
          </w:p>
        </w:tc>
        <w:tc>
          <w:tcPr>
            <w:tcW w:w="980" w:type="dxa"/>
            <w:vAlign w:val="bottom"/>
            <w:tcBorders>
              <w:right w:val="single" w:sz="8" w:color="B2B2B2"/>
            </w:tcBorders>
            <w:shd w:val="clear" w:color="auto" w:fill="B2B2B2"/>
          </w:tcPr>
          <w:p>
            <w:pPr>
              <w:spacing w:after="0"/>
              <w:rPr>
                <w:sz w:val="17"/>
                <w:szCs w:val="17"/>
                <w:color w:val="auto"/>
              </w:rPr>
            </w:pPr>
          </w:p>
        </w:tc>
        <w:tc>
          <w:tcPr>
            <w:tcW w:w="600" w:type="dxa"/>
            <w:vAlign w:val="bottom"/>
            <w:tcBorders>
              <w:right w:val="single" w:sz="8" w:color="B2B2B2"/>
            </w:tcBorders>
            <w:shd w:val="clear" w:color="auto" w:fill="B2B2B2"/>
          </w:tcPr>
          <w:p>
            <w:pPr>
              <w:spacing w:after="0"/>
              <w:rPr>
                <w:sz w:val="17"/>
                <w:szCs w:val="17"/>
                <w:color w:val="auto"/>
              </w:rPr>
            </w:pPr>
          </w:p>
        </w:tc>
        <w:tc>
          <w:tcPr>
            <w:tcW w:w="600" w:type="dxa"/>
            <w:vAlign w:val="bottom"/>
            <w:tcBorders>
              <w:right w:val="single" w:sz="8" w:color="B2B2B2"/>
            </w:tcBorders>
            <w:shd w:val="clear" w:color="auto" w:fill="B2B2B2"/>
          </w:tcPr>
          <w:p>
            <w:pPr>
              <w:spacing w:after="0"/>
              <w:rPr>
                <w:sz w:val="17"/>
                <w:szCs w:val="17"/>
                <w:color w:val="auto"/>
              </w:rPr>
            </w:pPr>
          </w:p>
        </w:tc>
        <w:tc>
          <w:tcPr>
            <w:tcW w:w="720" w:type="dxa"/>
            <w:vAlign w:val="bottom"/>
            <w:tcBorders>
              <w:right w:val="single" w:sz="8" w:color="B2B2B2"/>
            </w:tcBorders>
            <w:shd w:val="clear" w:color="auto" w:fill="B2B2B2"/>
          </w:tcPr>
          <w:p>
            <w:pPr>
              <w:spacing w:after="0"/>
              <w:rPr>
                <w:sz w:val="17"/>
                <w:szCs w:val="17"/>
                <w:color w:val="auto"/>
              </w:rPr>
            </w:pPr>
          </w:p>
        </w:tc>
        <w:tc>
          <w:tcPr>
            <w:tcW w:w="720" w:type="dxa"/>
            <w:vAlign w:val="bottom"/>
            <w:shd w:val="clear" w:color="auto" w:fill="B2B2B2"/>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2180" w:type="dxa"/>
            <w:vAlign w:val="bottom"/>
            <w:tcBorders>
              <w:bottom w:val="single" w:sz="8" w:color="B2B2B2"/>
            </w:tcBorders>
          </w:tcPr>
          <w:p>
            <w:pPr>
              <w:spacing w:after="0"/>
              <w:rPr>
                <w:sz w:val="20"/>
                <w:szCs w:val="20"/>
                <w:color w:val="auto"/>
              </w:rPr>
            </w:pPr>
            <w:r>
              <w:rPr>
                <w:rFonts w:ascii="Arial" w:cs="Arial" w:eastAsia="Arial" w:hAnsi="Arial"/>
                <w:sz w:val="15"/>
                <w:szCs w:val="15"/>
                <w:b w:val="1"/>
                <w:bCs w:val="1"/>
                <w:color w:val="auto"/>
              </w:rPr>
              <w:t>  January</w:t>
            </w:r>
          </w:p>
        </w:tc>
        <w:tc>
          <w:tcPr>
            <w:tcW w:w="620" w:type="dxa"/>
            <w:vAlign w:val="bottom"/>
            <w:tcBorders>
              <w:bottom w:val="single" w:sz="8" w:color="B2B2B2"/>
            </w:tcBorders>
          </w:tcPr>
          <w:p>
            <w:pPr>
              <w:ind w:left="100"/>
              <w:spacing w:after="0"/>
              <w:rPr>
                <w:sz w:val="20"/>
                <w:szCs w:val="20"/>
                <w:color w:val="auto"/>
              </w:rPr>
            </w:pPr>
            <w:r>
              <w:rPr>
                <w:rFonts w:ascii="Arial" w:cs="Arial" w:eastAsia="Arial" w:hAnsi="Arial"/>
                <w:sz w:val="15"/>
                <w:szCs w:val="15"/>
                <w:color w:val="auto"/>
              </w:rPr>
              <w:t>203.14</w:t>
            </w:r>
          </w:p>
        </w:tc>
        <w:tc>
          <w:tcPr>
            <w:tcW w:w="680" w:type="dxa"/>
            <w:vAlign w:val="bottom"/>
            <w:tcBorders>
              <w:bottom w:val="single" w:sz="8" w:color="B2B2B2"/>
            </w:tcBorders>
          </w:tcPr>
          <w:p>
            <w:pPr>
              <w:ind w:left="140"/>
              <w:spacing w:after="0"/>
              <w:rPr>
                <w:sz w:val="20"/>
                <w:szCs w:val="20"/>
                <w:color w:val="auto"/>
              </w:rPr>
            </w:pPr>
            <w:r>
              <w:rPr>
                <w:rFonts w:ascii="Arial" w:cs="Arial" w:eastAsia="Arial" w:hAnsi="Arial"/>
                <w:sz w:val="15"/>
                <w:szCs w:val="15"/>
                <w:color w:val="auto"/>
              </w:rPr>
              <w:t>191.42</w:t>
            </w:r>
          </w:p>
        </w:tc>
        <w:tc>
          <w:tcPr>
            <w:tcW w:w="820" w:type="dxa"/>
            <w:vAlign w:val="bottom"/>
            <w:tcBorders>
              <w:bottom w:val="single" w:sz="8" w:color="B2B2B2"/>
            </w:tcBorders>
          </w:tcPr>
          <w:p>
            <w:pPr>
              <w:jc w:val="right"/>
              <w:ind w:right="165"/>
              <w:spacing w:after="0"/>
              <w:rPr>
                <w:sz w:val="20"/>
                <w:szCs w:val="20"/>
                <w:color w:val="auto"/>
              </w:rPr>
            </w:pPr>
            <w:r>
              <w:rPr>
                <w:rFonts w:ascii="Arial" w:cs="Arial" w:eastAsia="Arial" w:hAnsi="Arial"/>
                <w:sz w:val="15"/>
                <w:szCs w:val="15"/>
                <w:color w:val="auto"/>
              </w:rPr>
              <w:t>199.61</w:t>
            </w:r>
          </w:p>
        </w:tc>
        <w:tc>
          <w:tcPr>
            <w:tcW w:w="860" w:type="dxa"/>
            <w:vAlign w:val="bottom"/>
            <w:tcBorders>
              <w:bottom w:val="single" w:sz="8" w:color="B2B2B2"/>
              <w:right w:val="single" w:sz="8" w:color="D64000"/>
            </w:tcBorders>
          </w:tcPr>
          <w:p>
            <w:pPr>
              <w:spacing w:after="0"/>
              <w:rPr>
                <w:sz w:val="20"/>
                <w:szCs w:val="20"/>
                <w:color w:val="auto"/>
              </w:rPr>
            </w:pPr>
            <w:r>
              <w:rPr>
                <w:rFonts w:ascii="Arial" w:cs="Arial" w:eastAsia="Arial" w:hAnsi="Arial"/>
                <w:sz w:val="15"/>
                <w:szCs w:val="15"/>
                <w:color w:val="auto"/>
              </w:rPr>
              <w:t>4,755,621</w:t>
            </w:r>
          </w:p>
        </w:tc>
        <w:tc>
          <w:tcPr>
            <w:tcW w:w="600" w:type="dxa"/>
            <w:vAlign w:val="bottom"/>
            <w:tcBorders>
              <w:bottom w:val="single" w:sz="8" w:color="B2B2B2"/>
            </w:tcBorders>
          </w:tcPr>
          <w:p>
            <w:pPr>
              <w:jc w:val="right"/>
              <w:spacing w:after="0"/>
              <w:rPr>
                <w:sz w:val="20"/>
                <w:szCs w:val="20"/>
                <w:color w:val="auto"/>
              </w:rPr>
            </w:pPr>
            <w:r>
              <w:rPr>
                <w:rFonts w:ascii="Arial" w:cs="Arial" w:eastAsia="Arial" w:hAnsi="Arial"/>
                <w:sz w:val="15"/>
                <w:szCs w:val="15"/>
                <w:color w:val="auto"/>
              </w:rPr>
              <w:t>151.17</w:t>
            </w:r>
          </w:p>
        </w:tc>
        <w:tc>
          <w:tcPr>
            <w:tcW w:w="700" w:type="dxa"/>
            <w:vAlign w:val="bottom"/>
            <w:tcBorders>
              <w:bottom w:val="single" w:sz="8" w:color="B2B2B2"/>
            </w:tcBorders>
          </w:tcPr>
          <w:p>
            <w:pPr>
              <w:jc w:val="right"/>
              <w:ind w:right="5"/>
              <w:spacing w:after="0"/>
              <w:rPr>
                <w:sz w:val="20"/>
                <w:szCs w:val="20"/>
                <w:color w:val="auto"/>
              </w:rPr>
            </w:pPr>
            <w:r>
              <w:rPr>
                <w:rFonts w:ascii="Arial" w:cs="Arial" w:eastAsia="Arial" w:hAnsi="Arial"/>
                <w:sz w:val="15"/>
                <w:szCs w:val="15"/>
                <w:color w:val="auto"/>
              </w:rPr>
              <w:t>143.31</w:t>
            </w:r>
          </w:p>
        </w:tc>
        <w:tc>
          <w:tcPr>
            <w:tcW w:w="720" w:type="dxa"/>
            <w:vAlign w:val="bottom"/>
            <w:tcBorders>
              <w:bottom w:val="single" w:sz="8" w:color="B2B2B2"/>
            </w:tcBorders>
          </w:tcPr>
          <w:p>
            <w:pPr>
              <w:ind w:left="120"/>
              <w:spacing w:after="0"/>
              <w:rPr>
                <w:sz w:val="20"/>
                <w:szCs w:val="20"/>
                <w:color w:val="auto"/>
              </w:rPr>
            </w:pPr>
            <w:r>
              <w:rPr>
                <w:rFonts w:ascii="Arial" w:cs="Arial" w:eastAsia="Arial" w:hAnsi="Arial"/>
                <w:sz w:val="15"/>
                <w:szCs w:val="15"/>
                <w:color w:val="auto"/>
              </w:rPr>
              <w:t>148.62</w:t>
            </w:r>
          </w:p>
        </w:tc>
        <w:tc>
          <w:tcPr>
            <w:tcW w:w="980" w:type="dxa"/>
            <w:vAlign w:val="bottom"/>
            <w:tcBorders>
              <w:bottom w:val="single" w:sz="8" w:color="B2B2B2"/>
              <w:right w:val="single" w:sz="8" w:color="D64000"/>
            </w:tcBorders>
          </w:tcPr>
          <w:p>
            <w:pPr>
              <w:ind w:left="100"/>
              <w:spacing w:after="0"/>
              <w:rPr>
                <w:sz w:val="20"/>
                <w:szCs w:val="20"/>
                <w:color w:val="auto"/>
              </w:rPr>
            </w:pPr>
            <w:r>
              <w:rPr>
                <w:rFonts w:ascii="Arial" w:cs="Arial" w:eastAsia="Arial" w:hAnsi="Arial"/>
                <w:sz w:val="15"/>
                <w:szCs w:val="15"/>
                <w:color w:val="auto"/>
              </w:rPr>
              <w:t>5,742,000</w:t>
            </w:r>
          </w:p>
        </w:tc>
        <w:tc>
          <w:tcPr>
            <w:tcW w:w="600" w:type="dxa"/>
            <w:vAlign w:val="bottom"/>
            <w:tcBorders>
              <w:bottom w:val="single" w:sz="8" w:color="B2B2B2"/>
              <w:right w:val="single" w:sz="8" w:color="B2B2B2"/>
            </w:tcBorders>
          </w:tcPr>
          <w:p>
            <w:pPr>
              <w:jc w:val="right"/>
              <w:ind w:right="45"/>
              <w:spacing w:after="0"/>
              <w:rPr>
                <w:sz w:val="20"/>
                <w:szCs w:val="20"/>
                <w:color w:val="auto"/>
              </w:rPr>
            </w:pPr>
            <w:r>
              <w:rPr>
                <w:rFonts w:ascii="Arial" w:cs="Arial" w:eastAsia="Arial" w:hAnsi="Arial"/>
                <w:sz w:val="15"/>
                <w:szCs w:val="15"/>
                <w:color w:val="auto"/>
              </w:rPr>
              <w:t>13.70</w:t>
            </w:r>
          </w:p>
        </w:tc>
        <w:tc>
          <w:tcPr>
            <w:tcW w:w="600" w:type="dxa"/>
            <w:vAlign w:val="bottom"/>
            <w:tcBorders>
              <w:bottom w:val="single" w:sz="8" w:color="B2B2B2"/>
              <w:right w:val="single" w:sz="8" w:color="B2B2B2"/>
            </w:tcBorders>
          </w:tcPr>
          <w:p>
            <w:pPr>
              <w:jc w:val="right"/>
              <w:ind w:right="45"/>
              <w:spacing w:after="0"/>
              <w:rPr>
                <w:sz w:val="20"/>
                <w:szCs w:val="20"/>
                <w:color w:val="auto"/>
              </w:rPr>
            </w:pPr>
            <w:r>
              <w:rPr>
                <w:rFonts w:ascii="Arial" w:cs="Arial" w:eastAsia="Arial" w:hAnsi="Arial"/>
                <w:sz w:val="15"/>
                <w:szCs w:val="15"/>
                <w:color w:val="auto"/>
              </w:rPr>
              <w:t>13.20</w:t>
            </w:r>
          </w:p>
        </w:tc>
        <w:tc>
          <w:tcPr>
            <w:tcW w:w="720" w:type="dxa"/>
            <w:vAlign w:val="bottom"/>
            <w:tcBorders>
              <w:bottom w:val="single" w:sz="8" w:color="B2B2B2"/>
              <w:right w:val="single" w:sz="8" w:color="B2B2B2"/>
            </w:tcBorders>
          </w:tcPr>
          <w:p>
            <w:pPr>
              <w:jc w:val="right"/>
              <w:ind w:right="165"/>
              <w:spacing w:after="0"/>
              <w:rPr>
                <w:sz w:val="20"/>
                <w:szCs w:val="20"/>
                <w:color w:val="auto"/>
              </w:rPr>
            </w:pPr>
            <w:r>
              <w:rPr>
                <w:rFonts w:ascii="Arial" w:cs="Arial" w:eastAsia="Arial" w:hAnsi="Arial"/>
                <w:sz w:val="15"/>
                <w:szCs w:val="15"/>
                <w:color w:val="auto"/>
              </w:rPr>
              <w:t>13.55</w:t>
            </w:r>
          </w:p>
        </w:tc>
        <w:tc>
          <w:tcPr>
            <w:tcW w:w="720" w:type="dxa"/>
            <w:vAlign w:val="bottom"/>
            <w:tcBorders>
              <w:bottom w:val="single" w:sz="8" w:color="B2B2B2"/>
            </w:tcBorders>
          </w:tcPr>
          <w:p>
            <w:pPr>
              <w:ind w:left="100"/>
              <w:spacing w:after="0"/>
              <w:rPr>
                <w:sz w:val="20"/>
                <w:szCs w:val="20"/>
                <w:color w:val="auto"/>
              </w:rPr>
            </w:pPr>
            <w:r>
              <w:rPr>
                <w:rFonts w:ascii="Arial" w:cs="Arial" w:eastAsia="Arial" w:hAnsi="Arial"/>
                <w:sz w:val="15"/>
                <w:szCs w:val="15"/>
                <w:color w:val="auto"/>
              </w:rPr>
              <w:t>32,876</w:t>
            </w:r>
          </w:p>
        </w:tc>
        <w:tc>
          <w:tcPr>
            <w:tcW w:w="20" w:type="dxa"/>
            <w:vAlign w:val="bottom"/>
          </w:tcPr>
          <w:p>
            <w:pPr>
              <w:spacing w:after="0"/>
              <w:rPr>
                <w:sz w:val="18"/>
                <w:szCs w:val="18"/>
                <w:color w:val="auto"/>
              </w:rPr>
            </w:pPr>
          </w:p>
        </w:tc>
      </w:tr>
      <w:tr>
        <w:trPr>
          <w:trHeight w:val="192"/>
        </w:trPr>
        <w:tc>
          <w:tcPr>
            <w:tcW w:w="2180" w:type="dxa"/>
            <w:vAlign w:val="bottom"/>
            <w:tcBorders>
              <w:bottom w:val="single" w:sz="8" w:color="B2B2B2"/>
            </w:tcBorders>
          </w:tcPr>
          <w:p>
            <w:pPr>
              <w:spacing w:after="0"/>
              <w:rPr>
                <w:sz w:val="20"/>
                <w:szCs w:val="20"/>
                <w:color w:val="auto"/>
              </w:rPr>
            </w:pPr>
            <w:r>
              <w:rPr>
                <w:rFonts w:ascii="Arial" w:cs="Arial" w:eastAsia="Arial" w:hAnsi="Arial"/>
                <w:sz w:val="15"/>
                <w:szCs w:val="15"/>
                <w:b w:val="1"/>
                <w:bCs w:val="1"/>
                <w:color w:val="auto"/>
              </w:rPr>
              <w:t>  February</w:t>
            </w:r>
          </w:p>
        </w:tc>
        <w:tc>
          <w:tcPr>
            <w:tcW w:w="620" w:type="dxa"/>
            <w:vAlign w:val="bottom"/>
            <w:tcBorders>
              <w:bottom w:val="single" w:sz="8" w:color="B2B2B2"/>
            </w:tcBorders>
          </w:tcPr>
          <w:p>
            <w:pPr>
              <w:ind w:left="100"/>
              <w:spacing w:after="0"/>
              <w:rPr>
                <w:sz w:val="20"/>
                <w:szCs w:val="20"/>
                <w:color w:val="auto"/>
              </w:rPr>
            </w:pPr>
            <w:r>
              <w:rPr>
                <w:rFonts w:ascii="Arial" w:cs="Arial" w:eastAsia="Arial" w:hAnsi="Arial"/>
                <w:sz w:val="15"/>
                <w:szCs w:val="15"/>
                <w:color w:val="auto"/>
              </w:rPr>
              <w:t>216.26</w:t>
            </w:r>
          </w:p>
        </w:tc>
        <w:tc>
          <w:tcPr>
            <w:tcW w:w="680" w:type="dxa"/>
            <w:vAlign w:val="bottom"/>
            <w:tcBorders>
              <w:bottom w:val="single" w:sz="8" w:color="B2B2B2"/>
            </w:tcBorders>
          </w:tcPr>
          <w:p>
            <w:pPr>
              <w:ind w:left="140"/>
              <w:spacing w:after="0"/>
              <w:rPr>
                <w:sz w:val="20"/>
                <w:szCs w:val="20"/>
                <w:color w:val="auto"/>
              </w:rPr>
            </w:pPr>
            <w:r>
              <w:rPr>
                <w:rFonts w:ascii="Arial" w:cs="Arial" w:eastAsia="Arial" w:hAnsi="Arial"/>
                <w:sz w:val="15"/>
                <w:szCs w:val="15"/>
                <w:color w:val="auto"/>
              </w:rPr>
              <w:t>200.99</w:t>
            </w:r>
          </w:p>
        </w:tc>
        <w:tc>
          <w:tcPr>
            <w:tcW w:w="820" w:type="dxa"/>
            <w:vAlign w:val="bottom"/>
            <w:tcBorders>
              <w:bottom w:val="single" w:sz="8" w:color="B2B2B2"/>
            </w:tcBorders>
          </w:tcPr>
          <w:p>
            <w:pPr>
              <w:jc w:val="right"/>
              <w:ind w:right="165"/>
              <w:spacing w:after="0"/>
              <w:rPr>
                <w:sz w:val="20"/>
                <w:szCs w:val="20"/>
                <w:color w:val="auto"/>
              </w:rPr>
            </w:pPr>
            <w:r>
              <w:rPr>
                <w:rFonts w:ascii="Arial" w:cs="Arial" w:eastAsia="Arial" w:hAnsi="Arial"/>
                <w:sz w:val="15"/>
                <w:szCs w:val="15"/>
                <w:color w:val="auto"/>
              </w:rPr>
              <w:t>214.24</w:t>
            </w:r>
          </w:p>
        </w:tc>
        <w:tc>
          <w:tcPr>
            <w:tcW w:w="860" w:type="dxa"/>
            <w:vAlign w:val="bottom"/>
            <w:tcBorders>
              <w:bottom w:val="single" w:sz="8" w:color="B2B2B2"/>
              <w:right w:val="single" w:sz="8" w:color="D64000"/>
            </w:tcBorders>
          </w:tcPr>
          <w:p>
            <w:pPr>
              <w:spacing w:after="0"/>
              <w:rPr>
                <w:sz w:val="20"/>
                <w:szCs w:val="20"/>
                <w:color w:val="auto"/>
              </w:rPr>
            </w:pPr>
            <w:r>
              <w:rPr>
                <w:rFonts w:ascii="Arial" w:cs="Arial" w:eastAsia="Arial" w:hAnsi="Arial"/>
                <w:sz w:val="15"/>
                <w:szCs w:val="15"/>
                <w:color w:val="auto"/>
              </w:rPr>
              <w:t>5,879,633</w:t>
            </w:r>
          </w:p>
        </w:tc>
        <w:tc>
          <w:tcPr>
            <w:tcW w:w="600" w:type="dxa"/>
            <w:vAlign w:val="bottom"/>
            <w:tcBorders>
              <w:bottom w:val="single" w:sz="8" w:color="B2B2B2"/>
            </w:tcBorders>
          </w:tcPr>
          <w:p>
            <w:pPr>
              <w:jc w:val="right"/>
              <w:spacing w:after="0"/>
              <w:rPr>
                <w:sz w:val="20"/>
                <w:szCs w:val="20"/>
                <w:color w:val="auto"/>
              </w:rPr>
            </w:pPr>
            <w:r>
              <w:rPr>
                <w:rFonts w:ascii="Arial" w:cs="Arial" w:eastAsia="Arial" w:hAnsi="Arial"/>
                <w:sz w:val="15"/>
                <w:szCs w:val="15"/>
                <w:color w:val="auto"/>
              </w:rPr>
              <w:t>160.29</w:t>
            </w:r>
          </w:p>
        </w:tc>
        <w:tc>
          <w:tcPr>
            <w:tcW w:w="700" w:type="dxa"/>
            <w:vAlign w:val="bottom"/>
            <w:tcBorders>
              <w:bottom w:val="single" w:sz="8" w:color="B2B2B2"/>
            </w:tcBorders>
          </w:tcPr>
          <w:p>
            <w:pPr>
              <w:jc w:val="right"/>
              <w:ind w:right="5"/>
              <w:spacing w:after="0"/>
              <w:rPr>
                <w:sz w:val="20"/>
                <w:szCs w:val="20"/>
                <w:color w:val="auto"/>
              </w:rPr>
            </w:pPr>
            <w:r>
              <w:rPr>
                <w:rFonts w:ascii="Arial" w:cs="Arial" w:eastAsia="Arial" w:hAnsi="Arial"/>
                <w:sz w:val="15"/>
                <w:szCs w:val="15"/>
                <w:color w:val="auto"/>
              </w:rPr>
              <w:t>149.09</w:t>
            </w:r>
          </w:p>
        </w:tc>
        <w:tc>
          <w:tcPr>
            <w:tcW w:w="720" w:type="dxa"/>
            <w:vAlign w:val="bottom"/>
            <w:tcBorders>
              <w:bottom w:val="single" w:sz="8" w:color="B2B2B2"/>
            </w:tcBorders>
          </w:tcPr>
          <w:p>
            <w:pPr>
              <w:ind w:left="120"/>
              <w:spacing w:after="0"/>
              <w:rPr>
                <w:sz w:val="20"/>
                <w:szCs w:val="20"/>
                <w:color w:val="auto"/>
              </w:rPr>
            </w:pPr>
            <w:r>
              <w:rPr>
                <w:rFonts w:ascii="Arial" w:cs="Arial" w:eastAsia="Arial" w:hAnsi="Arial"/>
                <w:sz w:val="15"/>
                <w:szCs w:val="15"/>
                <w:color w:val="auto"/>
              </w:rPr>
              <w:t>157.79</w:t>
            </w:r>
          </w:p>
        </w:tc>
        <w:tc>
          <w:tcPr>
            <w:tcW w:w="980" w:type="dxa"/>
            <w:vAlign w:val="bottom"/>
            <w:tcBorders>
              <w:bottom w:val="single" w:sz="8" w:color="B2B2B2"/>
              <w:right w:val="single" w:sz="8" w:color="D64000"/>
            </w:tcBorders>
          </w:tcPr>
          <w:p>
            <w:pPr>
              <w:ind w:left="100"/>
              <w:spacing w:after="0"/>
              <w:rPr>
                <w:sz w:val="20"/>
                <w:szCs w:val="20"/>
                <w:color w:val="auto"/>
              </w:rPr>
            </w:pPr>
            <w:r>
              <w:rPr>
                <w:rFonts w:ascii="Arial" w:cs="Arial" w:eastAsia="Arial" w:hAnsi="Arial"/>
                <w:sz w:val="15"/>
                <w:szCs w:val="15"/>
                <w:color w:val="auto"/>
              </w:rPr>
              <w:t>7,200,462</w:t>
            </w:r>
          </w:p>
        </w:tc>
        <w:tc>
          <w:tcPr>
            <w:tcW w:w="600" w:type="dxa"/>
            <w:vAlign w:val="bottom"/>
            <w:tcBorders>
              <w:bottom w:val="single" w:sz="8" w:color="B2B2B2"/>
              <w:right w:val="single" w:sz="8" w:color="B2B2B2"/>
            </w:tcBorders>
          </w:tcPr>
          <w:p>
            <w:pPr>
              <w:jc w:val="right"/>
              <w:ind w:right="45"/>
              <w:spacing w:after="0"/>
              <w:rPr>
                <w:sz w:val="20"/>
                <w:szCs w:val="20"/>
                <w:color w:val="auto"/>
              </w:rPr>
            </w:pPr>
            <w:r>
              <w:rPr>
                <w:rFonts w:ascii="Arial" w:cs="Arial" w:eastAsia="Arial" w:hAnsi="Arial"/>
                <w:sz w:val="15"/>
                <w:szCs w:val="15"/>
                <w:color w:val="auto"/>
              </w:rPr>
              <w:t>14.15</w:t>
            </w:r>
          </w:p>
        </w:tc>
        <w:tc>
          <w:tcPr>
            <w:tcW w:w="600" w:type="dxa"/>
            <w:vAlign w:val="bottom"/>
            <w:tcBorders>
              <w:bottom w:val="single" w:sz="8" w:color="B2B2B2"/>
              <w:right w:val="single" w:sz="8" w:color="B2B2B2"/>
            </w:tcBorders>
          </w:tcPr>
          <w:p>
            <w:pPr>
              <w:jc w:val="right"/>
              <w:ind w:right="45"/>
              <w:spacing w:after="0"/>
              <w:rPr>
                <w:sz w:val="20"/>
                <w:szCs w:val="20"/>
                <w:color w:val="auto"/>
              </w:rPr>
            </w:pPr>
            <w:r>
              <w:rPr>
                <w:rFonts w:ascii="Arial" w:cs="Arial" w:eastAsia="Arial" w:hAnsi="Arial"/>
                <w:sz w:val="15"/>
                <w:szCs w:val="15"/>
                <w:color w:val="auto"/>
              </w:rPr>
              <w:t>13.38</w:t>
            </w:r>
          </w:p>
        </w:tc>
        <w:tc>
          <w:tcPr>
            <w:tcW w:w="720" w:type="dxa"/>
            <w:vAlign w:val="bottom"/>
            <w:tcBorders>
              <w:bottom w:val="single" w:sz="8" w:color="B2B2B2"/>
              <w:right w:val="single" w:sz="8" w:color="B2B2B2"/>
            </w:tcBorders>
          </w:tcPr>
          <w:p>
            <w:pPr>
              <w:jc w:val="right"/>
              <w:ind w:right="165"/>
              <w:spacing w:after="0"/>
              <w:rPr>
                <w:sz w:val="20"/>
                <w:szCs w:val="20"/>
                <w:color w:val="auto"/>
              </w:rPr>
            </w:pPr>
            <w:r>
              <w:rPr>
                <w:rFonts w:ascii="Arial" w:cs="Arial" w:eastAsia="Arial" w:hAnsi="Arial"/>
                <w:sz w:val="15"/>
                <w:szCs w:val="15"/>
                <w:color w:val="auto"/>
              </w:rPr>
              <w:t>13.95</w:t>
            </w:r>
          </w:p>
        </w:tc>
        <w:tc>
          <w:tcPr>
            <w:tcW w:w="720" w:type="dxa"/>
            <w:vAlign w:val="bottom"/>
            <w:tcBorders>
              <w:bottom w:val="single" w:sz="8" w:color="B2B2B2"/>
            </w:tcBorders>
          </w:tcPr>
          <w:p>
            <w:pPr>
              <w:ind w:left="100"/>
              <w:spacing w:after="0"/>
              <w:rPr>
                <w:sz w:val="20"/>
                <w:szCs w:val="20"/>
                <w:color w:val="auto"/>
              </w:rPr>
            </w:pPr>
            <w:r>
              <w:rPr>
                <w:rFonts w:ascii="Arial" w:cs="Arial" w:eastAsia="Arial" w:hAnsi="Arial"/>
                <w:sz w:val="15"/>
                <w:szCs w:val="15"/>
                <w:color w:val="auto"/>
              </w:rPr>
              <w:t>73,791</w:t>
            </w:r>
          </w:p>
        </w:tc>
        <w:tc>
          <w:tcPr>
            <w:tcW w:w="20" w:type="dxa"/>
            <w:vAlign w:val="bottom"/>
          </w:tcPr>
          <w:p>
            <w:pPr>
              <w:spacing w:after="0"/>
              <w:rPr>
                <w:sz w:val="16"/>
                <w:szCs w:val="16"/>
                <w:color w:val="auto"/>
              </w:rPr>
            </w:pPr>
          </w:p>
        </w:tc>
      </w:tr>
      <w:tr>
        <w:trPr>
          <w:trHeight w:val="192"/>
        </w:trPr>
        <w:tc>
          <w:tcPr>
            <w:tcW w:w="2180" w:type="dxa"/>
            <w:vAlign w:val="bottom"/>
            <w:tcBorders>
              <w:bottom w:val="single" w:sz="8" w:color="B2B2B2"/>
            </w:tcBorders>
          </w:tcPr>
          <w:p>
            <w:pPr>
              <w:spacing w:after="0"/>
              <w:rPr>
                <w:sz w:val="20"/>
                <w:szCs w:val="20"/>
                <w:color w:val="auto"/>
              </w:rPr>
            </w:pPr>
            <w:r>
              <w:rPr>
                <w:rFonts w:ascii="Arial" w:cs="Arial" w:eastAsia="Arial" w:hAnsi="Arial"/>
                <w:sz w:val="15"/>
                <w:szCs w:val="15"/>
                <w:b w:val="1"/>
                <w:bCs w:val="1"/>
                <w:color w:val="auto"/>
              </w:rPr>
              <w:t>  March</w:t>
            </w:r>
          </w:p>
        </w:tc>
        <w:tc>
          <w:tcPr>
            <w:tcW w:w="620" w:type="dxa"/>
            <w:vAlign w:val="bottom"/>
            <w:tcBorders>
              <w:bottom w:val="single" w:sz="8" w:color="B2B2B2"/>
            </w:tcBorders>
          </w:tcPr>
          <w:p>
            <w:pPr>
              <w:ind w:left="100"/>
              <w:spacing w:after="0"/>
              <w:rPr>
                <w:sz w:val="20"/>
                <w:szCs w:val="20"/>
                <w:color w:val="auto"/>
              </w:rPr>
            </w:pPr>
            <w:r>
              <w:rPr>
                <w:rFonts w:ascii="Arial" w:cs="Arial" w:eastAsia="Arial" w:hAnsi="Arial"/>
                <w:sz w:val="15"/>
                <w:szCs w:val="15"/>
                <w:color w:val="auto"/>
              </w:rPr>
              <w:t>215.90</w:t>
            </w:r>
          </w:p>
        </w:tc>
        <w:tc>
          <w:tcPr>
            <w:tcW w:w="680" w:type="dxa"/>
            <w:vAlign w:val="bottom"/>
            <w:tcBorders>
              <w:bottom w:val="single" w:sz="8" w:color="B2B2B2"/>
            </w:tcBorders>
          </w:tcPr>
          <w:p>
            <w:pPr>
              <w:ind w:left="140"/>
              <w:spacing w:after="0"/>
              <w:rPr>
                <w:sz w:val="20"/>
                <w:szCs w:val="20"/>
                <w:color w:val="auto"/>
              </w:rPr>
            </w:pPr>
            <w:r>
              <w:rPr>
                <w:rFonts w:ascii="Arial" w:cs="Arial" w:eastAsia="Arial" w:hAnsi="Arial"/>
                <w:sz w:val="15"/>
                <w:szCs w:val="15"/>
                <w:color w:val="auto"/>
              </w:rPr>
              <w:t>210.75</w:t>
            </w:r>
          </w:p>
        </w:tc>
        <w:tc>
          <w:tcPr>
            <w:tcW w:w="820" w:type="dxa"/>
            <w:vAlign w:val="bottom"/>
            <w:tcBorders>
              <w:bottom w:val="single" w:sz="8" w:color="B2B2B2"/>
            </w:tcBorders>
          </w:tcPr>
          <w:p>
            <w:pPr>
              <w:jc w:val="right"/>
              <w:ind w:right="165"/>
              <w:spacing w:after="0"/>
              <w:rPr>
                <w:sz w:val="20"/>
                <w:szCs w:val="20"/>
                <w:color w:val="auto"/>
              </w:rPr>
            </w:pPr>
            <w:r>
              <w:rPr>
                <w:rFonts w:ascii="Arial" w:cs="Arial" w:eastAsia="Arial" w:hAnsi="Arial"/>
                <w:sz w:val="15"/>
                <w:szCs w:val="15"/>
                <w:color w:val="auto"/>
              </w:rPr>
              <w:t>210.80</w:t>
            </w:r>
          </w:p>
        </w:tc>
        <w:tc>
          <w:tcPr>
            <w:tcW w:w="860" w:type="dxa"/>
            <w:vAlign w:val="bottom"/>
            <w:tcBorders>
              <w:bottom w:val="single" w:sz="8" w:color="B2B2B2"/>
              <w:right w:val="single" w:sz="8" w:color="D64000"/>
            </w:tcBorders>
          </w:tcPr>
          <w:p>
            <w:pPr>
              <w:spacing w:after="0"/>
              <w:rPr>
                <w:sz w:val="20"/>
                <w:szCs w:val="20"/>
                <w:color w:val="auto"/>
              </w:rPr>
            </w:pPr>
            <w:r>
              <w:rPr>
                <w:rFonts w:ascii="Arial" w:cs="Arial" w:eastAsia="Arial" w:hAnsi="Arial"/>
                <w:sz w:val="15"/>
                <w:szCs w:val="15"/>
                <w:color w:val="auto"/>
              </w:rPr>
              <w:t>5,567,023</w:t>
            </w:r>
          </w:p>
        </w:tc>
        <w:tc>
          <w:tcPr>
            <w:tcW w:w="600" w:type="dxa"/>
            <w:vAlign w:val="bottom"/>
            <w:tcBorders>
              <w:bottom w:val="single" w:sz="8" w:color="B2B2B2"/>
            </w:tcBorders>
          </w:tcPr>
          <w:p>
            <w:pPr>
              <w:jc w:val="right"/>
              <w:spacing w:after="0"/>
              <w:rPr>
                <w:sz w:val="20"/>
                <w:szCs w:val="20"/>
                <w:color w:val="auto"/>
              </w:rPr>
            </w:pPr>
            <w:r>
              <w:rPr>
                <w:rFonts w:ascii="Arial" w:cs="Arial" w:eastAsia="Arial" w:hAnsi="Arial"/>
                <w:sz w:val="15"/>
                <w:szCs w:val="15"/>
                <w:color w:val="auto"/>
              </w:rPr>
              <w:t>159.29</w:t>
            </w:r>
          </w:p>
        </w:tc>
        <w:tc>
          <w:tcPr>
            <w:tcW w:w="700" w:type="dxa"/>
            <w:vAlign w:val="bottom"/>
            <w:tcBorders>
              <w:bottom w:val="single" w:sz="8" w:color="B2B2B2"/>
            </w:tcBorders>
          </w:tcPr>
          <w:p>
            <w:pPr>
              <w:jc w:val="right"/>
              <w:ind w:right="5"/>
              <w:spacing w:after="0"/>
              <w:rPr>
                <w:sz w:val="20"/>
                <w:szCs w:val="20"/>
                <w:color w:val="auto"/>
              </w:rPr>
            </w:pPr>
            <w:r>
              <w:rPr>
                <w:rFonts w:ascii="Arial" w:cs="Arial" w:eastAsia="Arial" w:hAnsi="Arial"/>
                <w:sz w:val="15"/>
                <w:szCs w:val="15"/>
                <w:color w:val="auto"/>
              </w:rPr>
              <w:t>155.09</w:t>
            </w:r>
          </w:p>
        </w:tc>
        <w:tc>
          <w:tcPr>
            <w:tcW w:w="720" w:type="dxa"/>
            <w:vAlign w:val="bottom"/>
            <w:tcBorders>
              <w:bottom w:val="single" w:sz="8" w:color="B2B2B2"/>
            </w:tcBorders>
          </w:tcPr>
          <w:p>
            <w:pPr>
              <w:ind w:left="120"/>
              <w:spacing w:after="0"/>
              <w:rPr>
                <w:sz w:val="20"/>
                <w:szCs w:val="20"/>
                <w:color w:val="auto"/>
              </w:rPr>
            </w:pPr>
            <w:r>
              <w:rPr>
                <w:rFonts w:ascii="Arial" w:cs="Arial" w:eastAsia="Arial" w:hAnsi="Arial"/>
                <w:sz w:val="15"/>
                <w:szCs w:val="15"/>
                <w:color w:val="auto"/>
              </w:rPr>
              <w:t>155.83</w:t>
            </w:r>
          </w:p>
        </w:tc>
        <w:tc>
          <w:tcPr>
            <w:tcW w:w="980" w:type="dxa"/>
            <w:vAlign w:val="bottom"/>
            <w:tcBorders>
              <w:bottom w:val="single" w:sz="8" w:color="B2B2B2"/>
              <w:right w:val="single" w:sz="8" w:color="D64000"/>
            </w:tcBorders>
          </w:tcPr>
          <w:p>
            <w:pPr>
              <w:ind w:left="100"/>
              <w:spacing w:after="0"/>
              <w:rPr>
                <w:sz w:val="20"/>
                <w:szCs w:val="20"/>
                <w:color w:val="auto"/>
              </w:rPr>
            </w:pPr>
            <w:r>
              <w:rPr>
                <w:rFonts w:ascii="Arial" w:cs="Arial" w:eastAsia="Arial" w:hAnsi="Arial"/>
                <w:sz w:val="15"/>
                <w:szCs w:val="15"/>
                <w:color w:val="auto"/>
              </w:rPr>
              <w:t>6,265,818</w:t>
            </w:r>
          </w:p>
        </w:tc>
        <w:tc>
          <w:tcPr>
            <w:tcW w:w="600" w:type="dxa"/>
            <w:vAlign w:val="bottom"/>
            <w:tcBorders>
              <w:bottom w:val="single" w:sz="8" w:color="B2B2B2"/>
              <w:right w:val="single" w:sz="8" w:color="B2B2B2"/>
            </w:tcBorders>
          </w:tcPr>
          <w:p>
            <w:pPr>
              <w:jc w:val="right"/>
              <w:ind w:right="45"/>
              <w:spacing w:after="0"/>
              <w:rPr>
                <w:sz w:val="20"/>
                <w:szCs w:val="20"/>
                <w:color w:val="auto"/>
              </w:rPr>
            </w:pPr>
            <w:r>
              <w:rPr>
                <w:rFonts w:ascii="Arial" w:cs="Arial" w:eastAsia="Arial" w:hAnsi="Arial"/>
                <w:sz w:val="15"/>
                <w:szCs w:val="15"/>
                <w:color w:val="auto"/>
              </w:rPr>
              <w:t>13.99</w:t>
            </w:r>
          </w:p>
        </w:tc>
        <w:tc>
          <w:tcPr>
            <w:tcW w:w="600" w:type="dxa"/>
            <w:vAlign w:val="bottom"/>
            <w:tcBorders>
              <w:bottom w:val="single" w:sz="8" w:color="B2B2B2"/>
              <w:right w:val="single" w:sz="8" w:color="B2B2B2"/>
            </w:tcBorders>
          </w:tcPr>
          <w:p>
            <w:pPr>
              <w:jc w:val="right"/>
              <w:ind w:right="45"/>
              <w:spacing w:after="0"/>
              <w:rPr>
                <w:sz w:val="20"/>
                <w:szCs w:val="20"/>
                <w:color w:val="auto"/>
              </w:rPr>
            </w:pPr>
            <w:r>
              <w:rPr>
                <w:rFonts w:ascii="Arial" w:cs="Arial" w:eastAsia="Arial" w:hAnsi="Arial"/>
                <w:sz w:val="15"/>
                <w:szCs w:val="15"/>
                <w:color w:val="auto"/>
              </w:rPr>
              <w:t>13.50</w:t>
            </w:r>
          </w:p>
        </w:tc>
        <w:tc>
          <w:tcPr>
            <w:tcW w:w="720" w:type="dxa"/>
            <w:vAlign w:val="bottom"/>
            <w:tcBorders>
              <w:bottom w:val="single" w:sz="8" w:color="B2B2B2"/>
              <w:right w:val="single" w:sz="8" w:color="B2B2B2"/>
            </w:tcBorders>
          </w:tcPr>
          <w:p>
            <w:pPr>
              <w:jc w:val="right"/>
              <w:ind w:right="165"/>
              <w:spacing w:after="0"/>
              <w:rPr>
                <w:sz w:val="20"/>
                <w:szCs w:val="20"/>
                <w:color w:val="auto"/>
              </w:rPr>
            </w:pPr>
            <w:r>
              <w:rPr>
                <w:rFonts w:ascii="Arial" w:cs="Arial" w:eastAsia="Arial" w:hAnsi="Arial"/>
                <w:sz w:val="15"/>
                <w:szCs w:val="15"/>
                <w:color w:val="auto"/>
              </w:rPr>
              <w:t>13.50</w:t>
            </w:r>
          </w:p>
        </w:tc>
        <w:tc>
          <w:tcPr>
            <w:tcW w:w="720" w:type="dxa"/>
            <w:vAlign w:val="bottom"/>
            <w:tcBorders>
              <w:bottom w:val="single" w:sz="8" w:color="B2B2B2"/>
            </w:tcBorders>
          </w:tcPr>
          <w:p>
            <w:pPr>
              <w:ind w:left="100"/>
              <w:spacing w:after="0"/>
              <w:rPr>
                <w:sz w:val="20"/>
                <w:szCs w:val="20"/>
                <w:color w:val="auto"/>
              </w:rPr>
            </w:pPr>
            <w:r>
              <w:rPr>
                <w:rFonts w:ascii="Arial" w:cs="Arial" w:eastAsia="Arial" w:hAnsi="Arial"/>
                <w:sz w:val="15"/>
                <w:szCs w:val="15"/>
                <w:color w:val="auto"/>
              </w:rPr>
              <w:t>32,836</w:t>
            </w:r>
          </w:p>
        </w:tc>
        <w:tc>
          <w:tcPr>
            <w:tcW w:w="20" w:type="dxa"/>
            <w:vAlign w:val="bottom"/>
          </w:tcPr>
          <w:p>
            <w:pPr>
              <w:spacing w:after="0"/>
              <w:rPr>
                <w:sz w:val="16"/>
                <w:szCs w:val="16"/>
                <w:color w:val="auto"/>
              </w:rPr>
            </w:pPr>
          </w:p>
        </w:tc>
      </w:tr>
      <w:tr>
        <w:trPr>
          <w:trHeight w:val="192"/>
        </w:trPr>
        <w:tc>
          <w:tcPr>
            <w:tcW w:w="2180" w:type="dxa"/>
            <w:vAlign w:val="bottom"/>
            <w:tcBorders>
              <w:bottom w:val="single" w:sz="8" w:color="B2B2B2"/>
            </w:tcBorders>
          </w:tcPr>
          <w:p>
            <w:pPr>
              <w:spacing w:after="0"/>
              <w:rPr>
                <w:sz w:val="20"/>
                <w:szCs w:val="20"/>
                <w:color w:val="auto"/>
              </w:rPr>
            </w:pPr>
            <w:r>
              <w:rPr>
                <w:rFonts w:ascii="Arial" w:cs="Arial" w:eastAsia="Arial" w:hAnsi="Arial"/>
                <w:sz w:val="15"/>
                <w:szCs w:val="15"/>
                <w:b w:val="1"/>
                <w:bCs w:val="1"/>
                <w:color w:val="auto"/>
              </w:rPr>
              <w:t>  April</w:t>
            </w:r>
          </w:p>
        </w:tc>
        <w:tc>
          <w:tcPr>
            <w:tcW w:w="620" w:type="dxa"/>
            <w:vAlign w:val="bottom"/>
            <w:tcBorders>
              <w:bottom w:val="single" w:sz="8" w:color="B2B2B2"/>
            </w:tcBorders>
          </w:tcPr>
          <w:p>
            <w:pPr>
              <w:ind w:left="100"/>
              <w:spacing w:after="0"/>
              <w:rPr>
                <w:sz w:val="20"/>
                <w:szCs w:val="20"/>
                <w:color w:val="auto"/>
              </w:rPr>
            </w:pPr>
            <w:r>
              <w:rPr>
                <w:rFonts w:ascii="Arial" w:cs="Arial" w:eastAsia="Arial" w:hAnsi="Arial"/>
                <w:sz w:val="15"/>
                <w:szCs w:val="15"/>
                <w:color w:val="auto"/>
              </w:rPr>
              <w:t>211.35</w:t>
            </w:r>
          </w:p>
        </w:tc>
        <w:tc>
          <w:tcPr>
            <w:tcW w:w="680" w:type="dxa"/>
            <w:vAlign w:val="bottom"/>
            <w:tcBorders>
              <w:bottom w:val="single" w:sz="8" w:color="B2B2B2"/>
            </w:tcBorders>
          </w:tcPr>
          <w:p>
            <w:pPr>
              <w:ind w:left="140"/>
              <w:spacing w:after="0"/>
              <w:rPr>
                <w:sz w:val="20"/>
                <w:szCs w:val="20"/>
                <w:color w:val="auto"/>
              </w:rPr>
            </w:pPr>
            <w:r>
              <w:rPr>
                <w:rFonts w:ascii="Arial" w:cs="Arial" w:eastAsia="Arial" w:hAnsi="Arial"/>
                <w:sz w:val="15"/>
                <w:szCs w:val="15"/>
                <w:color w:val="auto"/>
              </w:rPr>
              <w:t>206.11</w:t>
            </w:r>
          </w:p>
        </w:tc>
        <w:tc>
          <w:tcPr>
            <w:tcW w:w="820" w:type="dxa"/>
            <w:vAlign w:val="bottom"/>
            <w:tcBorders>
              <w:bottom w:val="single" w:sz="8" w:color="B2B2B2"/>
            </w:tcBorders>
          </w:tcPr>
          <w:p>
            <w:pPr>
              <w:jc w:val="right"/>
              <w:ind w:right="165"/>
              <w:spacing w:after="0"/>
              <w:rPr>
                <w:sz w:val="20"/>
                <w:szCs w:val="20"/>
                <w:color w:val="auto"/>
              </w:rPr>
            </w:pPr>
            <w:r>
              <w:rPr>
                <w:rFonts w:ascii="Arial" w:cs="Arial" w:eastAsia="Arial" w:hAnsi="Arial"/>
                <w:sz w:val="15"/>
                <w:szCs w:val="15"/>
                <w:color w:val="auto"/>
              </w:rPr>
              <w:t>207.93</w:t>
            </w:r>
          </w:p>
        </w:tc>
        <w:tc>
          <w:tcPr>
            <w:tcW w:w="860" w:type="dxa"/>
            <w:vAlign w:val="bottom"/>
            <w:tcBorders>
              <w:bottom w:val="single" w:sz="8" w:color="B2B2B2"/>
              <w:right w:val="single" w:sz="8" w:color="D64000"/>
            </w:tcBorders>
          </w:tcPr>
          <w:p>
            <w:pPr>
              <w:spacing w:after="0"/>
              <w:rPr>
                <w:sz w:val="20"/>
                <w:szCs w:val="20"/>
                <w:color w:val="auto"/>
              </w:rPr>
            </w:pPr>
            <w:r>
              <w:rPr>
                <w:rFonts w:ascii="Arial" w:cs="Arial" w:eastAsia="Arial" w:hAnsi="Arial"/>
                <w:sz w:val="15"/>
                <w:szCs w:val="15"/>
                <w:color w:val="auto"/>
              </w:rPr>
              <w:t>4,795,058</w:t>
            </w:r>
          </w:p>
        </w:tc>
        <w:tc>
          <w:tcPr>
            <w:tcW w:w="600" w:type="dxa"/>
            <w:vAlign w:val="bottom"/>
            <w:tcBorders>
              <w:bottom w:val="single" w:sz="8" w:color="B2B2B2"/>
            </w:tcBorders>
          </w:tcPr>
          <w:p>
            <w:pPr>
              <w:jc w:val="right"/>
              <w:spacing w:after="0"/>
              <w:rPr>
                <w:sz w:val="20"/>
                <w:szCs w:val="20"/>
                <w:color w:val="auto"/>
              </w:rPr>
            </w:pPr>
            <w:r>
              <w:rPr>
                <w:rFonts w:ascii="Arial" w:cs="Arial" w:eastAsia="Arial" w:hAnsi="Arial"/>
                <w:sz w:val="15"/>
                <w:szCs w:val="15"/>
                <w:color w:val="auto"/>
              </w:rPr>
              <w:t>155.30</w:t>
            </w:r>
          </w:p>
        </w:tc>
        <w:tc>
          <w:tcPr>
            <w:tcW w:w="700" w:type="dxa"/>
            <w:vAlign w:val="bottom"/>
            <w:tcBorders>
              <w:bottom w:val="single" w:sz="8" w:color="B2B2B2"/>
            </w:tcBorders>
          </w:tcPr>
          <w:p>
            <w:pPr>
              <w:jc w:val="right"/>
              <w:ind w:right="5"/>
              <w:spacing w:after="0"/>
              <w:rPr>
                <w:sz w:val="20"/>
                <w:szCs w:val="20"/>
                <w:color w:val="auto"/>
              </w:rPr>
            </w:pPr>
            <w:r>
              <w:rPr>
                <w:rFonts w:ascii="Arial" w:cs="Arial" w:eastAsia="Arial" w:hAnsi="Arial"/>
                <w:sz w:val="15"/>
                <w:szCs w:val="15"/>
                <w:color w:val="auto"/>
              </w:rPr>
              <w:t>150.22</w:t>
            </w:r>
          </w:p>
        </w:tc>
        <w:tc>
          <w:tcPr>
            <w:tcW w:w="720" w:type="dxa"/>
            <w:vAlign w:val="bottom"/>
            <w:tcBorders>
              <w:bottom w:val="single" w:sz="8" w:color="B2B2B2"/>
            </w:tcBorders>
          </w:tcPr>
          <w:p>
            <w:pPr>
              <w:ind w:left="120"/>
              <w:spacing w:after="0"/>
              <w:rPr>
                <w:sz w:val="20"/>
                <w:szCs w:val="20"/>
                <w:color w:val="auto"/>
              </w:rPr>
            </w:pPr>
            <w:r>
              <w:rPr>
                <w:rFonts w:ascii="Arial" w:cs="Arial" w:eastAsia="Arial" w:hAnsi="Arial"/>
                <w:sz w:val="15"/>
                <w:szCs w:val="15"/>
                <w:color w:val="auto"/>
              </w:rPr>
              <w:t>151.10</w:t>
            </w:r>
          </w:p>
        </w:tc>
        <w:tc>
          <w:tcPr>
            <w:tcW w:w="980" w:type="dxa"/>
            <w:vAlign w:val="bottom"/>
            <w:tcBorders>
              <w:bottom w:val="single" w:sz="8" w:color="B2B2B2"/>
              <w:right w:val="single" w:sz="8" w:color="D64000"/>
            </w:tcBorders>
          </w:tcPr>
          <w:p>
            <w:pPr>
              <w:ind w:left="100"/>
              <w:spacing w:after="0"/>
              <w:rPr>
                <w:sz w:val="20"/>
                <w:szCs w:val="20"/>
                <w:color w:val="auto"/>
              </w:rPr>
            </w:pPr>
            <w:r>
              <w:rPr>
                <w:rFonts w:ascii="Arial" w:cs="Arial" w:eastAsia="Arial" w:hAnsi="Arial"/>
                <w:sz w:val="15"/>
                <w:szCs w:val="15"/>
                <w:color w:val="auto"/>
              </w:rPr>
              <w:t>6,382,294</w:t>
            </w:r>
          </w:p>
        </w:tc>
        <w:tc>
          <w:tcPr>
            <w:tcW w:w="600" w:type="dxa"/>
            <w:vAlign w:val="bottom"/>
            <w:tcBorders>
              <w:bottom w:val="single" w:sz="8" w:color="B2B2B2"/>
              <w:right w:val="single" w:sz="8" w:color="B2B2B2"/>
            </w:tcBorders>
          </w:tcPr>
          <w:p>
            <w:pPr>
              <w:jc w:val="right"/>
              <w:ind w:right="45"/>
              <w:spacing w:after="0"/>
              <w:rPr>
                <w:sz w:val="20"/>
                <w:szCs w:val="20"/>
                <w:color w:val="auto"/>
              </w:rPr>
            </w:pPr>
            <w:r>
              <w:rPr>
                <w:rFonts w:ascii="Arial" w:cs="Arial" w:eastAsia="Arial" w:hAnsi="Arial"/>
                <w:sz w:val="15"/>
                <w:szCs w:val="15"/>
                <w:color w:val="auto"/>
              </w:rPr>
              <w:t>13.61</w:t>
            </w:r>
          </w:p>
        </w:tc>
        <w:tc>
          <w:tcPr>
            <w:tcW w:w="600" w:type="dxa"/>
            <w:vAlign w:val="bottom"/>
            <w:tcBorders>
              <w:bottom w:val="single" w:sz="8" w:color="B2B2B2"/>
              <w:right w:val="single" w:sz="8" w:color="B2B2B2"/>
            </w:tcBorders>
          </w:tcPr>
          <w:p>
            <w:pPr>
              <w:jc w:val="right"/>
              <w:ind w:right="45"/>
              <w:spacing w:after="0"/>
              <w:rPr>
                <w:sz w:val="20"/>
                <w:szCs w:val="20"/>
                <w:color w:val="auto"/>
              </w:rPr>
            </w:pPr>
            <w:r>
              <w:rPr>
                <w:rFonts w:ascii="Arial" w:cs="Arial" w:eastAsia="Arial" w:hAnsi="Arial"/>
                <w:sz w:val="15"/>
                <w:szCs w:val="15"/>
                <w:color w:val="auto"/>
              </w:rPr>
              <w:t>13.10</w:t>
            </w:r>
          </w:p>
        </w:tc>
        <w:tc>
          <w:tcPr>
            <w:tcW w:w="720" w:type="dxa"/>
            <w:vAlign w:val="bottom"/>
            <w:tcBorders>
              <w:bottom w:val="single" w:sz="8" w:color="B2B2B2"/>
              <w:right w:val="single" w:sz="8" w:color="B2B2B2"/>
            </w:tcBorders>
          </w:tcPr>
          <w:p>
            <w:pPr>
              <w:jc w:val="right"/>
              <w:ind w:right="165"/>
              <w:spacing w:after="0"/>
              <w:rPr>
                <w:sz w:val="20"/>
                <w:szCs w:val="20"/>
                <w:color w:val="auto"/>
              </w:rPr>
            </w:pPr>
            <w:r>
              <w:rPr>
                <w:rFonts w:ascii="Arial" w:cs="Arial" w:eastAsia="Arial" w:hAnsi="Arial"/>
                <w:sz w:val="15"/>
                <w:szCs w:val="15"/>
                <w:color w:val="auto"/>
              </w:rPr>
              <w:t>13.40</w:t>
            </w:r>
          </w:p>
        </w:tc>
        <w:tc>
          <w:tcPr>
            <w:tcW w:w="720" w:type="dxa"/>
            <w:vAlign w:val="bottom"/>
            <w:tcBorders>
              <w:bottom w:val="single" w:sz="8" w:color="B2B2B2"/>
            </w:tcBorders>
          </w:tcPr>
          <w:p>
            <w:pPr>
              <w:ind w:left="100"/>
              <w:spacing w:after="0"/>
              <w:rPr>
                <w:sz w:val="20"/>
                <w:szCs w:val="20"/>
                <w:color w:val="auto"/>
              </w:rPr>
            </w:pPr>
            <w:r>
              <w:rPr>
                <w:rFonts w:ascii="Arial" w:cs="Arial" w:eastAsia="Arial" w:hAnsi="Arial"/>
                <w:sz w:val="15"/>
                <w:szCs w:val="15"/>
                <w:color w:val="auto"/>
              </w:rPr>
              <w:t>82,575</w:t>
            </w:r>
          </w:p>
        </w:tc>
        <w:tc>
          <w:tcPr>
            <w:tcW w:w="20" w:type="dxa"/>
            <w:vAlign w:val="bottom"/>
          </w:tcPr>
          <w:p>
            <w:pPr>
              <w:spacing w:after="0"/>
              <w:rPr>
                <w:sz w:val="16"/>
                <w:szCs w:val="16"/>
                <w:color w:val="auto"/>
              </w:rPr>
            </w:pPr>
          </w:p>
        </w:tc>
      </w:tr>
      <w:tr>
        <w:trPr>
          <w:trHeight w:val="192"/>
        </w:trPr>
        <w:tc>
          <w:tcPr>
            <w:tcW w:w="2180" w:type="dxa"/>
            <w:vAlign w:val="bottom"/>
            <w:tcBorders>
              <w:bottom w:val="single" w:sz="8" w:color="B2B2B2"/>
            </w:tcBorders>
          </w:tcPr>
          <w:p>
            <w:pPr>
              <w:spacing w:after="0"/>
              <w:rPr>
                <w:sz w:val="20"/>
                <w:szCs w:val="20"/>
                <w:color w:val="auto"/>
              </w:rPr>
            </w:pPr>
            <w:r>
              <w:rPr>
                <w:rFonts w:ascii="Arial" w:cs="Arial" w:eastAsia="Arial" w:hAnsi="Arial"/>
                <w:sz w:val="15"/>
                <w:szCs w:val="15"/>
                <w:b w:val="1"/>
                <w:bCs w:val="1"/>
                <w:color w:val="auto"/>
              </w:rPr>
              <w:t>  May</w:t>
            </w:r>
          </w:p>
        </w:tc>
        <w:tc>
          <w:tcPr>
            <w:tcW w:w="620" w:type="dxa"/>
            <w:vAlign w:val="bottom"/>
            <w:tcBorders>
              <w:bottom w:val="single" w:sz="8" w:color="B2B2B2"/>
            </w:tcBorders>
          </w:tcPr>
          <w:p>
            <w:pPr>
              <w:ind w:left="100"/>
              <w:spacing w:after="0"/>
              <w:rPr>
                <w:sz w:val="20"/>
                <w:szCs w:val="20"/>
                <w:color w:val="auto"/>
              </w:rPr>
            </w:pPr>
            <w:r>
              <w:rPr>
                <w:rFonts w:ascii="Arial" w:cs="Arial" w:eastAsia="Arial" w:hAnsi="Arial"/>
                <w:sz w:val="15"/>
                <w:szCs w:val="15"/>
                <w:color w:val="auto"/>
              </w:rPr>
              <w:t>240.37</w:t>
            </w:r>
          </w:p>
        </w:tc>
        <w:tc>
          <w:tcPr>
            <w:tcW w:w="680" w:type="dxa"/>
            <w:vAlign w:val="bottom"/>
            <w:tcBorders>
              <w:bottom w:val="single" w:sz="8" w:color="B2B2B2"/>
            </w:tcBorders>
          </w:tcPr>
          <w:p>
            <w:pPr>
              <w:ind w:left="140"/>
              <w:spacing w:after="0"/>
              <w:rPr>
                <w:sz w:val="20"/>
                <w:szCs w:val="20"/>
                <w:color w:val="auto"/>
              </w:rPr>
            </w:pPr>
            <w:r>
              <w:rPr>
                <w:rFonts w:ascii="Arial" w:cs="Arial" w:eastAsia="Arial" w:hAnsi="Arial"/>
                <w:sz w:val="15"/>
                <w:szCs w:val="15"/>
                <w:color w:val="auto"/>
              </w:rPr>
              <w:t>208.41</w:t>
            </w:r>
          </w:p>
        </w:tc>
        <w:tc>
          <w:tcPr>
            <w:tcW w:w="820" w:type="dxa"/>
            <w:vAlign w:val="bottom"/>
            <w:tcBorders>
              <w:bottom w:val="single" w:sz="8" w:color="B2B2B2"/>
            </w:tcBorders>
          </w:tcPr>
          <w:p>
            <w:pPr>
              <w:jc w:val="right"/>
              <w:ind w:right="165"/>
              <w:spacing w:after="0"/>
              <w:rPr>
                <w:sz w:val="20"/>
                <w:szCs w:val="20"/>
                <w:color w:val="auto"/>
              </w:rPr>
            </w:pPr>
            <w:r>
              <w:rPr>
                <w:rFonts w:ascii="Arial" w:cs="Arial" w:eastAsia="Arial" w:hAnsi="Arial"/>
                <w:sz w:val="15"/>
                <w:szCs w:val="15"/>
                <w:color w:val="auto"/>
              </w:rPr>
              <w:t>234.54</w:t>
            </w:r>
          </w:p>
        </w:tc>
        <w:tc>
          <w:tcPr>
            <w:tcW w:w="860" w:type="dxa"/>
            <w:vAlign w:val="bottom"/>
            <w:tcBorders>
              <w:bottom w:val="single" w:sz="8" w:color="B2B2B2"/>
              <w:right w:val="single" w:sz="8" w:color="D64000"/>
            </w:tcBorders>
          </w:tcPr>
          <w:p>
            <w:pPr>
              <w:spacing w:after="0"/>
              <w:rPr>
                <w:sz w:val="20"/>
                <w:szCs w:val="20"/>
                <w:color w:val="auto"/>
              </w:rPr>
            </w:pPr>
            <w:r>
              <w:rPr>
                <w:rFonts w:ascii="Arial" w:cs="Arial" w:eastAsia="Arial" w:hAnsi="Arial"/>
                <w:sz w:val="15"/>
                <w:szCs w:val="15"/>
                <w:color w:val="auto"/>
              </w:rPr>
              <w:t>6,536,746</w:t>
            </w:r>
          </w:p>
        </w:tc>
        <w:tc>
          <w:tcPr>
            <w:tcW w:w="600" w:type="dxa"/>
            <w:vAlign w:val="bottom"/>
            <w:tcBorders>
              <w:bottom w:val="single" w:sz="8" w:color="B2B2B2"/>
            </w:tcBorders>
          </w:tcPr>
          <w:p>
            <w:pPr>
              <w:jc w:val="right"/>
              <w:spacing w:after="0"/>
              <w:rPr>
                <w:sz w:val="20"/>
                <w:szCs w:val="20"/>
                <w:color w:val="auto"/>
              </w:rPr>
            </w:pPr>
            <w:r>
              <w:rPr>
                <w:rFonts w:ascii="Arial" w:cs="Arial" w:eastAsia="Arial" w:hAnsi="Arial"/>
                <w:sz w:val="15"/>
                <w:szCs w:val="15"/>
                <w:color w:val="auto"/>
              </w:rPr>
              <w:t>175.79</w:t>
            </w:r>
          </w:p>
        </w:tc>
        <w:tc>
          <w:tcPr>
            <w:tcW w:w="700" w:type="dxa"/>
            <w:vAlign w:val="bottom"/>
            <w:tcBorders>
              <w:bottom w:val="single" w:sz="8" w:color="B2B2B2"/>
            </w:tcBorders>
          </w:tcPr>
          <w:p>
            <w:pPr>
              <w:jc w:val="right"/>
              <w:ind w:right="5"/>
              <w:spacing w:after="0"/>
              <w:rPr>
                <w:sz w:val="20"/>
                <w:szCs w:val="20"/>
                <w:color w:val="auto"/>
              </w:rPr>
            </w:pPr>
            <w:r>
              <w:rPr>
                <w:rFonts w:ascii="Arial" w:cs="Arial" w:eastAsia="Arial" w:hAnsi="Arial"/>
                <w:sz w:val="15"/>
                <w:szCs w:val="15"/>
                <w:color w:val="auto"/>
              </w:rPr>
              <w:t>151.48</w:t>
            </w:r>
          </w:p>
        </w:tc>
        <w:tc>
          <w:tcPr>
            <w:tcW w:w="720" w:type="dxa"/>
            <w:vAlign w:val="bottom"/>
            <w:tcBorders>
              <w:bottom w:val="single" w:sz="8" w:color="B2B2B2"/>
            </w:tcBorders>
          </w:tcPr>
          <w:p>
            <w:pPr>
              <w:ind w:left="120"/>
              <w:spacing w:after="0"/>
              <w:rPr>
                <w:sz w:val="20"/>
                <w:szCs w:val="20"/>
                <w:color w:val="auto"/>
              </w:rPr>
            </w:pPr>
            <w:r>
              <w:rPr>
                <w:rFonts w:ascii="Arial" w:cs="Arial" w:eastAsia="Arial" w:hAnsi="Arial"/>
                <w:sz w:val="15"/>
                <w:szCs w:val="15"/>
                <w:color w:val="auto"/>
              </w:rPr>
              <w:t>172.11</w:t>
            </w:r>
          </w:p>
        </w:tc>
        <w:tc>
          <w:tcPr>
            <w:tcW w:w="980" w:type="dxa"/>
            <w:vAlign w:val="bottom"/>
            <w:tcBorders>
              <w:bottom w:val="single" w:sz="8" w:color="B2B2B2"/>
              <w:right w:val="single" w:sz="8" w:color="D64000"/>
            </w:tcBorders>
          </w:tcPr>
          <w:p>
            <w:pPr>
              <w:ind w:left="100"/>
              <w:spacing w:after="0"/>
              <w:rPr>
                <w:sz w:val="20"/>
                <w:szCs w:val="20"/>
                <w:color w:val="auto"/>
              </w:rPr>
            </w:pPr>
            <w:r>
              <w:rPr>
                <w:rFonts w:ascii="Arial" w:cs="Arial" w:eastAsia="Arial" w:hAnsi="Arial"/>
                <w:sz w:val="15"/>
                <w:szCs w:val="15"/>
                <w:color w:val="auto"/>
              </w:rPr>
              <w:t>9,572,702</w:t>
            </w:r>
          </w:p>
        </w:tc>
        <w:tc>
          <w:tcPr>
            <w:tcW w:w="600" w:type="dxa"/>
            <w:vAlign w:val="bottom"/>
            <w:tcBorders>
              <w:bottom w:val="single" w:sz="8" w:color="B2B2B2"/>
              <w:right w:val="single" w:sz="8" w:color="B2B2B2"/>
            </w:tcBorders>
          </w:tcPr>
          <w:p>
            <w:pPr>
              <w:jc w:val="right"/>
              <w:ind w:right="45"/>
              <w:spacing w:after="0"/>
              <w:rPr>
                <w:sz w:val="20"/>
                <w:szCs w:val="20"/>
                <w:color w:val="auto"/>
              </w:rPr>
            </w:pPr>
            <w:r>
              <w:rPr>
                <w:rFonts w:ascii="Arial" w:cs="Arial" w:eastAsia="Arial" w:hAnsi="Arial"/>
                <w:sz w:val="15"/>
                <w:szCs w:val="15"/>
                <w:color w:val="auto"/>
              </w:rPr>
              <w:t>14.36</w:t>
            </w:r>
          </w:p>
        </w:tc>
        <w:tc>
          <w:tcPr>
            <w:tcW w:w="600" w:type="dxa"/>
            <w:vAlign w:val="bottom"/>
            <w:tcBorders>
              <w:bottom w:val="single" w:sz="8" w:color="B2B2B2"/>
              <w:right w:val="single" w:sz="8" w:color="B2B2B2"/>
            </w:tcBorders>
          </w:tcPr>
          <w:p>
            <w:pPr>
              <w:jc w:val="right"/>
              <w:ind w:right="45"/>
              <w:spacing w:after="0"/>
              <w:rPr>
                <w:sz w:val="20"/>
                <w:szCs w:val="20"/>
                <w:color w:val="auto"/>
              </w:rPr>
            </w:pPr>
            <w:r>
              <w:rPr>
                <w:rFonts w:ascii="Arial" w:cs="Arial" w:eastAsia="Arial" w:hAnsi="Arial"/>
                <w:sz w:val="15"/>
                <w:szCs w:val="15"/>
                <w:color w:val="auto"/>
              </w:rPr>
              <w:t>13.50</w:t>
            </w:r>
          </w:p>
        </w:tc>
        <w:tc>
          <w:tcPr>
            <w:tcW w:w="720" w:type="dxa"/>
            <w:vAlign w:val="bottom"/>
            <w:tcBorders>
              <w:bottom w:val="single" w:sz="8" w:color="B2B2B2"/>
              <w:right w:val="single" w:sz="8" w:color="B2B2B2"/>
            </w:tcBorders>
          </w:tcPr>
          <w:p>
            <w:pPr>
              <w:jc w:val="right"/>
              <w:ind w:right="165"/>
              <w:spacing w:after="0"/>
              <w:rPr>
                <w:sz w:val="20"/>
                <w:szCs w:val="20"/>
                <w:color w:val="auto"/>
              </w:rPr>
            </w:pPr>
            <w:r>
              <w:rPr>
                <w:rFonts w:ascii="Arial" w:cs="Arial" w:eastAsia="Arial" w:hAnsi="Arial"/>
                <w:sz w:val="15"/>
                <w:szCs w:val="15"/>
                <w:color w:val="auto"/>
              </w:rPr>
              <w:t>14.01</w:t>
            </w:r>
          </w:p>
        </w:tc>
        <w:tc>
          <w:tcPr>
            <w:tcW w:w="720" w:type="dxa"/>
            <w:vAlign w:val="bottom"/>
            <w:tcBorders>
              <w:bottom w:val="single" w:sz="8" w:color="B2B2B2"/>
            </w:tcBorders>
          </w:tcPr>
          <w:p>
            <w:pPr>
              <w:ind w:left="100"/>
              <w:spacing w:after="0"/>
              <w:rPr>
                <w:sz w:val="20"/>
                <w:szCs w:val="20"/>
                <w:color w:val="auto"/>
              </w:rPr>
            </w:pPr>
            <w:r>
              <w:rPr>
                <w:rFonts w:ascii="Arial" w:cs="Arial" w:eastAsia="Arial" w:hAnsi="Arial"/>
                <w:sz w:val="15"/>
                <w:szCs w:val="15"/>
                <w:color w:val="auto"/>
              </w:rPr>
              <w:t>55,122</w:t>
            </w:r>
          </w:p>
        </w:tc>
        <w:tc>
          <w:tcPr>
            <w:tcW w:w="20" w:type="dxa"/>
            <w:vAlign w:val="bottom"/>
          </w:tcPr>
          <w:p>
            <w:pPr>
              <w:spacing w:after="0"/>
              <w:rPr>
                <w:sz w:val="16"/>
                <w:szCs w:val="16"/>
                <w:color w:val="auto"/>
              </w:rPr>
            </w:pPr>
          </w:p>
        </w:tc>
      </w:tr>
      <w:tr>
        <w:trPr>
          <w:trHeight w:val="192"/>
        </w:trPr>
        <w:tc>
          <w:tcPr>
            <w:tcW w:w="2180" w:type="dxa"/>
            <w:vAlign w:val="bottom"/>
            <w:tcBorders>
              <w:bottom w:val="single" w:sz="8" w:color="B2B2B2"/>
            </w:tcBorders>
          </w:tcPr>
          <w:p>
            <w:pPr>
              <w:spacing w:after="0"/>
              <w:rPr>
                <w:sz w:val="20"/>
                <w:szCs w:val="20"/>
                <w:color w:val="auto"/>
              </w:rPr>
            </w:pPr>
            <w:r>
              <w:rPr>
                <w:rFonts w:ascii="Arial" w:cs="Arial" w:eastAsia="Arial" w:hAnsi="Arial"/>
                <w:sz w:val="15"/>
                <w:szCs w:val="15"/>
                <w:b w:val="1"/>
                <w:bCs w:val="1"/>
                <w:color w:val="auto"/>
              </w:rPr>
              <w:t>  June</w:t>
            </w:r>
          </w:p>
        </w:tc>
        <w:tc>
          <w:tcPr>
            <w:tcW w:w="620" w:type="dxa"/>
            <w:vAlign w:val="bottom"/>
            <w:tcBorders>
              <w:bottom w:val="single" w:sz="8" w:color="B2B2B2"/>
            </w:tcBorders>
          </w:tcPr>
          <w:p>
            <w:pPr>
              <w:ind w:left="100"/>
              <w:spacing w:after="0"/>
              <w:rPr>
                <w:sz w:val="20"/>
                <w:szCs w:val="20"/>
                <w:color w:val="auto"/>
              </w:rPr>
            </w:pPr>
            <w:r>
              <w:rPr>
                <w:rFonts w:ascii="Arial" w:cs="Arial" w:eastAsia="Arial" w:hAnsi="Arial"/>
                <w:sz w:val="15"/>
                <w:szCs w:val="15"/>
                <w:color w:val="auto"/>
              </w:rPr>
              <w:t>235.46</w:t>
            </w:r>
          </w:p>
        </w:tc>
        <w:tc>
          <w:tcPr>
            <w:tcW w:w="680" w:type="dxa"/>
            <w:vAlign w:val="bottom"/>
            <w:tcBorders>
              <w:bottom w:val="single" w:sz="8" w:color="B2B2B2"/>
            </w:tcBorders>
          </w:tcPr>
          <w:p>
            <w:pPr>
              <w:ind w:left="140"/>
              <w:spacing w:after="0"/>
              <w:rPr>
                <w:sz w:val="20"/>
                <w:szCs w:val="20"/>
                <w:color w:val="auto"/>
              </w:rPr>
            </w:pPr>
            <w:r>
              <w:rPr>
                <w:rFonts w:ascii="Arial" w:cs="Arial" w:eastAsia="Arial" w:hAnsi="Arial"/>
                <w:sz w:val="15"/>
                <w:szCs w:val="15"/>
                <w:color w:val="auto"/>
              </w:rPr>
              <w:t>225.74</w:t>
            </w:r>
          </w:p>
        </w:tc>
        <w:tc>
          <w:tcPr>
            <w:tcW w:w="820" w:type="dxa"/>
            <w:vAlign w:val="bottom"/>
            <w:tcBorders>
              <w:bottom w:val="single" w:sz="8" w:color="B2B2B2"/>
            </w:tcBorders>
          </w:tcPr>
          <w:p>
            <w:pPr>
              <w:jc w:val="right"/>
              <w:ind w:right="165"/>
              <w:spacing w:after="0"/>
              <w:rPr>
                <w:sz w:val="20"/>
                <w:szCs w:val="20"/>
                <w:color w:val="auto"/>
              </w:rPr>
            </w:pPr>
            <w:r>
              <w:rPr>
                <w:rFonts w:ascii="Arial" w:cs="Arial" w:eastAsia="Arial" w:hAnsi="Arial"/>
                <w:sz w:val="15"/>
                <w:szCs w:val="15"/>
                <w:color w:val="auto"/>
              </w:rPr>
              <w:t>230.61</w:t>
            </w:r>
          </w:p>
        </w:tc>
        <w:tc>
          <w:tcPr>
            <w:tcW w:w="860" w:type="dxa"/>
            <w:vAlign w:val="bottom"/>
            <w:tcBorders>
              <w:bottom w:val="single" w:sz="8" w:color="B2B2B2"/>
              <w:right w:val="single" w:sz="8" w:color="D64000"/>
            </w:tcBorders>
          </w:tcPr>
          <w:p>
            <w:pPr>
              <w:spacing w:after="0"/>
              <w:rPr>
                <w:sz w:val="20"/>
                <w:szCs w:val="20"/>
                <w:color w:val="auto"/>
              </w:rPr>
            </w:pPr>
            <w:r>
              <w:rPr>
                <w:rFonts w:ascii="Arial" w:cs="Arial" w:eastAsia="Arial" w:hAnsi="Arial"/>
                <w:sz w:val="15"/>
                <w:szCs w:val="15"/>
                <w:color w:val="auto"/>
              </w:rPr>
              <w:t>11,115,811</w:t>
            </w:r>
          </w:p>
        </w:tc>
        <w:tc>
          <w:tcPr>
            <w:tcW w:w="600" w:type="dxa"/>
            <w:vAlign w:val="bottom"/>
            <w:tcBorders>
              <w:bottom w:val="single" w:sz="8" w:color="B2B2B2"/>
            </w:tcBorders>
          </w:tcPr>
          <w:p>
            <w:pPr>
              <w:jc w:val="right"/>
              <w:spacing w:after="0"/>
              <w:rPr>
                <w:sz w:val="20"/>
                <w:szCs w:val="20"/>
                <w:color w:val="auto"/>
              </w:rPr>
            </w:pPr>
            <w:r>
              <w:rPr>
                <w:rFonts w:ascii="Arial" w:cs="Arial" w:eastAsia="Arial" w:hAnsi="Arial"/>
                <w:sz w:val="15"/>
                <w:szCs w:val="15"/>
                <w:color w:val="auto"/>
              </w:rPr>
              <w:t>172.25</w:t>
            </w:r>
          </w:p>
        </w:tc>
        <w:tc>
          <w:tcPr>
            <w:tcW w:w="700" w:type="dxa"/>
            <w:vAlign w:val="bottom"/>
            <w:tcBorders>
              <w:bottom w:val="single" w:sz="8" w:color="B2B2B2"/>
            </w:tcBorders>
          </w:tcPr>
          <w:p>
            <w:pPr>
              <w:jc w:val="right"/>
              <w:ind w:right="5"/>
              <w:spacing w:after="0"/>
              <w:rPr>
                <w:sz w:val="20"/>
                <w:szCs w:val="20"/>
                <w:color w:val="auto"/>
              </w:rPr>
            </w:pPr>
            <w:r>
              <w:rPr>
                <w:rFonts w:ascii="Arial" w:cs="Arial" w:eastAsia="Arial" w:hAnsi="Arial"/>
                <w:sz w:val="15"/>
                <w:szCs w:val="15"/>
                <w:color w:val="auto"/>
              </w:rPr>
              <w:t>165.22</w:t>
            </w:r>
          </w:p>
        </w:tc>
        <w:tc>
          <w:tcPr>
            <w:tcW w:w="720" w:type="dxa"/>
            <w:vAlign w:val="bottom"/>
            <w:tcBorders>
              <w:bottom w:val="single" w:sz="8" w:color="B2B2B2"/>
            </w:tcBorders>
          </w:tcPr>
          <w:p>
            <w:pPr>
              <w:ind w:left="120"/>
              <w:spacing w:after="0"/>
              <w:rPr>
                <w:sz w:val="20"/>
                <w:szCs w:val="20"/>
                <w:color w:val="auto"/>
              </w:rPr>
            </w:pPr>
            <w:r>
              <w:rPr>
                <w:rFonts w:ascii="Arial" w:cs="Arial" w:eastAsia="Arial" w:hAnsi="Arial"/>
                <w:sz w:val="15"/>
                <w:szCs w:val="15"/>
                <w:color w:val="auto"/>
              </w:rPr>
              <w:t>168.57</w:t>
            </w:r>
          </w:p>
        </w:tc>
        <w:tc>
          <w:tcPr>
            <w:tcW w:w="980" w:type="dxa"/>
            <w:vAlign w:val="bottom"/>
            <w:tcBorders>
              <w:bottom w:val="single" w:sz="8" w:color="B2B2B2"/>
              <w:right w:val="single" w:sz="8" w:color="D64000"/>
            </w:tcBorders>
          </w:tcPr>
          <w:p>
            <w:pPr>
              <w:ind w:left="100"/>
              <w:spacing w:after="0"/>
              <w:rPr>
                <w:sz w:val="20"/>
                <w:szCs w:val="20"/>
                <w:color w:val="auto"/>
              </w:rPr>
            </w:pPr>
            <w:r>
              <w:rPr>
                <w:rFonts w:ascii="Arial" w:cs="Arial" w:eastAsia="Arial" w:hAnsi="Arial"/>
                <w:sz w:val="15"/>
                <w:szCs w:val="15"/>
                <w:color w:val="auto"/>
              </w:rPr>
              <w:t>8,937,378</w:t>
            </w:r>
          </w:p>
        </w:tc>
        <w:tc>
          <w:tcPr>
            <w:tcW w:w="600" w:type="dxa"/>
            <w:vAlign w:val="bottom"/>
            <w:tcBorders>
              <w:bottom w:val="single" w:sz="8" w:color="B2B2B2"/>
              <w:right w:val="single" w:sz="8" w:color="B2B2B2"/>
            </w:tcBorders>
          </w:tcPr>
          <w:p>
            <w:pPr>
              <w:jc w:val="right"/>
              <w:ind w:right="45"/>
              <w:spacing w:after="0"/>
              <w:rPr>
                <w:sz w:val="20"/>
                <w:szCs w:val="20"/>
                <w:color w:val="auto"/>
              </w:rPr>
            </w:pPr>
            <w:r>
              <w:rPr>
                <w:rFonts w:ascii="Arial" w:cs="Arial" w:eastAsia="Arial" w:hAnsi="Arial"/>
                <w:sz w:val="15"/>
                <w:szCs w:val="15"/>
                <w:color w:val="auto"/>
              </w:rPr>
              <w:t>14.01</w:t>
            </w:r>
          </w:p>
        </w:tc>
        <w:tc>
          <w:tcPr>
            <w:tcW w:w="600" w:type="dxa"/>
            <w:vAlign w:val="bottom"/>
            <w:tcBorders>
              <w:bottom w:val="single" w:sz="8" w:color="B2B2B2"/>
              <w:right w:val="single" w:sz="8" w:color="B2B2B2"/>
            </w:tcBorders>
          </w:tcPr>
          <w:p>
            <w:pPr>
              <w:jc w:val="right"/>
              <w:ind w:right="45"/>
              <w:spacing w:after="0"/>
              <w:rPr>
                <w:sz w:val="20"/>
                <w:szCs w:val="20"/>
                <w:color w:val="auto"/>
              </w:rPr>
            </w:pPr>
            <w:r>
              <w:rPr>
                <w:rFonts w:ascii="Arial" w:cs="Arial" w:eastAsia="Arial" w:hAnsi="Arial"/>
                <w:sz w:val="15"/>
                <w:szCs w:val="15"/>
                <w:color w:val="auto"/>
              </w:rPr>
              <w:t>13.40</w:t>
            </w:r>
          </w:p>
        </w:tc>
        <w:tc>
          <w:tcPr>
            <w:tcW w:w="720" w:type="dxa"/>
            <w:vAlign w:val="bottom"/>
            <w:tcBorders>
              <w:bottom w:val="single" w:sz="8" w:color="B2B2B2"/>
              <w:right w:val="single" w:sz="8" w:color="B2B2B2"/>
            </w:tcBorders>
          </w:tcPr>
          <w:p>
            <w:pPr>
              <w:jc w:val="right"/>
              <w:ind w:right="165"/>
              <w:spacing w:after="0"/>
              <w:rPr>
                <w:sz w:val="20"/>
                <w:szCs w:val="20"/>
                <w:color w:val="auto"/>
              </w:rPr>
            </w:pPr>
            <w:r>
              <w:rPr>
                <w:rFonts w:ascii="Arial" w:cs="Arial" w:eastAsia="Arial" w:hAnsi="Arial"/>
                <w:sz w:val="15"/>
                <w:szCs w:val="15"/>
                <w:color w:val="auto"/>
              </w:rPr>
              <w:t>13.60</w:t>
            </w:r>
          </w:p>
        </w:tc>
        <w:tc>
          <w:tcPr>
            <w:tcW w:w="720" w:type="dxa"/>
            <w:vAlign w:val="bottom"/>
            <w:tcBorders>
              <w:bottom w:val="single" w:sz="8" w:color="B2B2B2"/>
            </w:tcBorders>
          </w:tcPr>
          <w:p>
            <w:pPr>
              <w:ind w:left="100"/>
              <w:spacing w:after="0"/>
              <w:rPr>
                <w:sz w:val="20"/>
                <w:szCs w:val="20"/>
                <w:color w:val="auto"/>
              </w:rPr>
            </w:pPr>
            <w:r>
              <w:rPr>
                <w:rFonts w:ascii="Arial" w:cs="Arial" w:eastAsia="Arial" w:hAnsi="Arial"/>
                <w:sz w:val="15"/>
                <w:szCs w:val="15"/>
                <w:color w:val="auto"/>
              </w:rPr>
              <w:t>58,364</w:t>
            </w:r>
          </w:p>
        </w:tc>
        <w:tc>
          <w:tcPr>
            <w:tcW w:w="20" w:type="dxa"/>
            <w:vAlign w:val="bottom"/>
          </w:tcPr>
          <w:p>
            <w:pPr>
              <w:spacing w:after="0"/>
              <w:rPr>
                <w:sz w:val="16"/>
                <w:szCs w:val="16"/>
                <w:color w:val="auto"/>
              </w:rPr>
            </w:pPr>
          </w:p>
        </w:tc>
      </w:tr>
      <w:tr>
        <w:trPr>
          <w:trHeight w:val="192"/>
        </w:trPr>
        <w:tc>
          <w:tcPr>
            <w:tcW w:w="2180" w:type="dxa"/>
            <w:vAlign w:val="bottom"/>
            <w:tcBorders>
              <w:bottom w:val="single" w:sz="8" w:color="B2B2B2"/>
            </w:tcBorders>
          </w:tcPr>
          <w:p>
            <w:pPr>
              <w:spacing w:after="0"/>
              <w:rPr>
                <w:sz w:val="20"/>
                <w:szCs w:val="20"/>
                <w:color w:val="auto"/>
              </w:rPr>
            </w:pPr>
            <w:r>
              <w:rPr>
                <w:rFonts w:ascii="Arial" w:cs="Arial" w:eastAsia="Arial" w:hAnsi="Arial"/>
                <w:sz w:val="15"/>
                <w:szCs w:val="15"/>
                <w:b w:val="1"/>
                <w:bCs w:val="1"/>
                <w:color w:val="auto"/>
              </w:rPr>
              <w:t>  July</w:t>
            </w:r>
          </w:p>
        </w:tc>
        <w:tc>
          <w:tcPr>
            <w:tcW w:w="620" w:type="dxa"/>
            <w:vAlign w:val="bottom"/>
            <w:tcBorders>
              <w:bottom w:val="single" w:sz="8" w:color="B2B2B2"/>
            </w:tcBorders>
          </w:tcPr>
          <w:p>
            <w:pPr>
              <w:ind w:left="100"/>
              <w:spacing w:after="0"/>
              <w:rPr>
                <w:sz w:val="20"/>
                <w:szCs w:val="20"/>
                <w:color w:val="auto"/>
              </w:rPr>
            </w:pPr>
            <w:r>
              <w:rPr>
                <w:rFonts w:ascii="Arial" w:cs="Arial" w:eastAsia="Arial" w:hAnsi="Arial"/>
                <w:sz w:val="15"/>
                <w:szCs w:val="15"/>
                <w:color w:val="auto"/>
              </w:rPr>
              <w:t>231.51</w:t>
            </w:r>
          </w:p>
        </w:tc>
        <w:tc>
          <w:tcPr>
            <w:tcW w:w="680" w:type="dxa"/>
            <w:vAlign w:val="bottom"/>
            <w:tcBorders>
              <w:bottom w:val="single" w:sz="8" w:color="B2B2B2"/>
            </w:tcBorders>
          </w:tcPr>
          <w:p>
            <w:pPr>
              <w:ind w:left="140"/>
              <w:spacing w:after="0"/>
              <w:rPr>
                <w:sz w:val="20"/>
                <w:szCs w:val="20"/>
                <w:color w:val="auto"/>
              </w:rPr>
            </w:pPr>
            <w:r>
              <w:rPr>
                <w:rFonts w:ascii="Arial" w:cs="Arial" w:eastAsia="Arial" w:hAnsi="Arial"/>
                <w:sz w:val="15"/>
                <w:szCs w:val="15"/>
                <w:color w:val="auto"/>
              </w:rPr>
              <w:t>222.56</w:t>
            </w:r>
          </w:p>
        </w:tc>
        <w:tc>
          <w:tcPr>
            <w:tcW w:w="820" w:type="dxa"/>
            <w:vAlign w:val="bottom"/>
            <w:tcBorders>
              <w:bottom w:val="single" w:sz="8" w:color="B2B2B2"/>
            </w:tcBorders>
          </w:tcPr>
          <w:p>
            <w:pPr>
              <w:jc w:val="right"/>
              <w:ind w:right="165"/>
              <w:spacing w:after="0"/>
              <w:rPr>
                <w:sz w:val="20"/>
                <w:szCs w:val="20"/>
                <w:color w:val="auto"/>
              </w:rPr>
            </w:pPr>
            <w:r>
              <w:rPr>
                <w:rFonts w:ascii="Arial" w:cs="Arial" w:eastAsia="Arial" w:hAnsi="Arial"/>
                <w:sz w:val="15"/>
                <w:szCs w:val="15"/>
                <w:color w:val="auto"/>
              </w:rPr>
              <w:t>223.75</w:t>
            </w:r>
          </w:p>
        </w:tc>
        <w:tc>
          <w:tcPr>
            <w:tcW w:w="860" w:type="dxa"/>
            <w:vAlign w:val="bottom"/>
            <w:tcBorders>
              <w:bottom w:val="single" w:sz="8" w:color="B2B2B2"/>
              <w:right w:val="single" w:sz="8" w:color="D64000"/>
            </w:tcBorders>
          </w:tcPr>
          <w:p>
            <w:pPr>
              <w:spacing w:after="0"/>
              <w:rPr>
                <w:sz w:val="20"/>
                <w:szCs w:val="20"/>
                <w:color w:val="auto"/>
              </w:rPr>
            </w:pPr>
            <w:r>
              <w:rPr>
                <w:rFonts w:ascii="Arial" w:cs="Arial" w:eastAsia="Arial" w:hAnsi="Arial"/>
                <w:sz w:val="15"/>
                <w:szCs w:val="15"/>
                <w:color w:val="auto"/>
              </w:rPr>
              <w:t>8,938,123</w:t>
            </w:r>
          </w:p>
        </w:tc>
        <w:tc>
          <w:tcPr>
            <w:tcW w:w="600" w:type="dxa"/>
            <w:vAlign w:val="bottom"/>
            <w:tcBorders>
              <w:bottom w:val="single" w:sz="8" w:color="B2B2B2"/>
            </w:tcBorders>
          </w:tcPr>
          <w:p>
            <w:pPr>
              <w:jc w:val="right"/>
              <w:spacing w:after="0"/>
              <w:rPr>
                <w:sz w:val="20"/>
                <w:szCs w:val="20"/>
                <w:color w:val="auto"/>
              </w:rPr>
            </w:pPr>
            <w:r>
              <w:rPr>
                <w:rFonts w:ascii="Arial" w:cs="Arial" w:eastAsia="Arial" w:hAnsi="Arial"/>
                <w:sz w:val="15"/>
                <w:szCs w:val="15"/>
                <w:color w:val="auto"/>
              </w:rPr>
              <w:t>169.22</w:t>
            </w:r>
          </w:p>
        </w:tc>
        <w:tc>
          <w:tcPr>
            <w:tcW w:w="700" w:type="dxa"/>
            <w:vAlign w:val="bottom"/>
            <w:tcBorders>
              <w:bottom w:val="single" w:sz="8" w:color="B2B2B2"/>
            </w:tcBorders>
          </w:tcPr>
          <w:p>
            <w:pPr>
              <w:jc w:val="right"/>
              <w:ind w:right="5"/>
              <w:spacing w:after="0"/>
              <w:rPr>
                <w:sz w:val="20"/>
                <w:szCs w:val="20"/>
                <w:color w:val="auto"/>
              </w:rPr>
            </w:pPr>
            <w:r>
              <w:rPr>
                <w:rFonts w:ascii="Arial" w:cs="Arial" w:eastAsia="Arial" w:hAnsi="Arial"/>
                <w:sz w:val="15"/>
                <w:szCs w:val="15"/>
                <w:color w:val="auto"/>
              </w:rPr>
              <w:t>160.63</w:t>
            </w:r>
          </w:p>
        </w:tc>
        <w:tc>
          <w:tcPr>
            <w:tcW w:w="720" w:type="dxa"/>
            <w:vAlign w:val="bottom"/>
            <w:tcBorders>
              <w:bottom w:val="single" w:sz="8" w:color="B2B2B2"/>
            </w:tcBorders>
          </w:tcPr>
          <w:p>
            <w:pPr>
              <w:ind w:left="120"/>
              <w:spacing w:after="0"/>
              <w:rPr>
                <w:sz w:val="20"/>
                <w:szCs w:val="20"/>
                <w:color w:val="auto"/>
              </w:rPr>
            </w:pPr>
            <w:r>
              <w:rPr>
                <w:rFonts w:ascii="Arial" w:cs="Arial" w:eastAsia="Arial" w:hAnsi="Arial"/>
                <w:sz w:val="15"/>
                <w:szCs w:val="15"/>
                <w:color w:val="auto"/>
              </w:rPr>
              <w:t>161.92</w:t>
            </w:r>
          </w:p>
        </w:tc>
        <w:tc>
          <w:tcPr>
            <w:tcW w:w="980" w:type="dxa"/>
            <w:vAlign w:val="bottom"/>
            <w:tcBorders>
              <w:bottom w:val="single" w:sz="8" w:color="B2B2B2"/>
              <w:right w:val="single" w:sz="8" w:color="D64000"/>
            </w:tcBorders>
          </w:tcPr>
          <w:p>
            <w:pPr>
              <w:ind w:left="100"/>
              <w:spacing w:after="0"/>
              <w:rPr>
                <w:sz w:val="20"/>
                <w:szCs w:val="20"/>
                <w:color w:val="auto"/>
              </w:rPr>
            </w:pPr>
            <w:r>
              <w:rPr>
                <w:rFonts w:ascii="Arial" w:cs="Arial" w:eastAsia="Arial" w:hAnsi="Arial"/>
                <w:sz w:val="15"/>
                <w:szCs w:val="15"/>
                <w:color w:val="auto"/>
              </w:rPr>
              <w:t>11,998,162</w:t>
            </w:r>
          </w:p>
        </w:tc>
        <w:tc>
          <w:tcPr>
            <w:tcW w:w="600" w:type="dxa"/>
            <w:vAlign w:val="bottom"/>
            <w:tcBorders>
              <w:bottom w:val="single" w:sz="8" w:color="B2B2B2"/>
              <w:right w:val="single" w:sz="8" w:color="B2B2B2"/>
            </w:tcBorders>
          </w:tcPr>
          <w:p>
            <w:pPr>
              <w:jc w:val="right"/>
              <w:ind w:right="45"/>
              <w:spacing w:after="0"/>
              <w:rPr>
                <w:sz w:val="20"/>
                <w:szCs w:val="20"/>
                <w:color w:val="auto"/>
              </w:rPr>
            </w:pPr>
            <w:r>
              <w:rPr>
                <w:rFonts w:ascii="Arial" w:cs="Arial" w:eastAsia="Arial" w:hAnsi="Arial"/>
                <w:sz w:val="15"/>
                <w:szCs w:val="15"/>
                <w:color w:val="auto"/>
              </w:rPr>
              <w:t>14.02</w:t>
            </w:r>
          </w:p>
        </w:tc>
        <w:tc>
          <w:tcPr>
            <w:tcW w:w="600" w:type="dxa"/>
            <w:vAlign w:val="bottom"/>
            <w:tcBorders>
              <w:bottom w:val="single" w:sz="8" w:color="B2B2B2"/>
              <w:right w:val="single" w:sz="8" w:color="B2B2B2"/>
            </w:tcBorders>
          </w:tcPr>
          <w:p>
            <w:pPr>
              <w:jc w:val="right"/>
              <w:ind w:right="45"/>
              <w:spacing w:after="0"/>
              <w:rPr>
                <w:sz w:val="20"/>
                <w:szCs w:val="20"/>
                <w:color w:val="auto"/>
              </w:rPr>
            </w:pPr>
            <w:r>
              <w:rPr>
                <w:rFonts w:ascii="Arial" w:cs="Arial" w:eastAsia="Arial" w:hAnsi="Arial"/>
                <w:sz w:val="15"/>
                <w:szCs w:val="15"/>
                <w:color w:val="auto"/>
              </w:rPr>
              <w:t>13.50</w:t>
            </w:r>
          </w:p>
        </w:tc>
        <w:tc>
          <w:tcPr>
            <w:tcW w:w="720" w:type="dxa"/>
            <w:vAlign w:val="bottom"/>
            <w:tcBorders>
              <w:bottom w:val="single" w:sz="8" w:color="B2B2B2"/>
              <w:right w:val="single" w:sz="8" w:color="B2B2B2"/>
            </w:tcBorders>
          </w:tcPr>
          <w:p>
            <w:pPr>
              <w:jc w:val="right"/>
              <w:ind w:right="165"/>
              <w:spacing w:after="0"/>
              <w:rPr>
                <w:sz w:val="20"/>
                <w:szCs w:val="20"/>
                <w:color w:val="auto"/>
              </w:rPr>
            </w:pPr>
            <w:r>
              <w:rPr>
                <w:rFonts w:ascii="Arial" w:cs="Arial" w:eastAsia="Arial" w:hAnsi="Arial"/>
                <w:sz w:val="15"/>
                <w:szCs w:val="15"/>
                <w:color w:val="auto"/>
              </w:rPr>
              <w:t>13.90</w:t>
            </w:r>
          </w:p>
        </w:tc>
        <w:tc>
          <w:tcPr>
            <w:tcW w:w="720" w:type="dxa"/>
            <w:vAlign w:val="bottom"/>
            <w:tcBorders>
              <w:bottom w:val="single" w:sz="8" w:color="B2B2B2"/>
            </w:tcBorders>
          </w:tcPr>
          <w:p>
            <w:pPr>
              <w:ind w:left="100"/>
              <w:spacing w:after="0"/>
              <w:rPr>
                <w:sz w:val="20"/>
                <w:szCs w:val="20"/>
                <w:color w:val="auto"/>
              </w:rPr>
            </w:pPr>
            <w:r>
              <w:rPr>
                <w:rFonts w:ascii="Arial" w:cs="Arial" w:eastAsia="Arial" w:hAnsi="Arial"/>
                <w:sz w:val="15"/>
                <w:szCs w:val="15"/>
                <w:color w:val="auto"/>
              </w:rPr>
              <w:t>62,087</w:t>
            </w:r>
          </w:p>
        </w:tc>
        <w:tc>
          <w:tcPr>
            <w:tcW w:w="20" w:type="dxa"/>
            <w:vAlign w:val="bottom"/>
          </w:tcPr>
          <w:p>
            <w:pPr>
              <w:spacing w:after="0"/>
              <w:rPr>
                <w:sz w:val="16"/>
                <w:szCs w:val="16"/>
                <w:color w:val="auto"/>
              </w:rPr>
            </w:pPr>
          </w:p>
        </w:tc>
      </w:tr>
      <w:tr>
        <w:trPr>
          <w:trHeight w:val="192"/>
        </w:trPr>
        <w:tc>
          <w:tcPr>
            <w:tcW w:w="2180" w:type="dxa"/>
            <w:vAlign w:val="bottom"/>
            <w:tcBorders>
              <w:bottom w:val="single" w:sz="8" w:color="B2B2B2"/>
            </w:tcBorders>
          </w:tcPr>
          <w:p>
            <w:pPr>
              <w:spacing w:after="0"/>
              <w:rPr>
                <w:sz w:val="20"/>
                <w:szCs w:val="20"/>
                <w:color w:val="auto"/>
              </w:rPr>
            </w:pPr>
            <w:r>
              <w:rPr>
                <w:rFonts w:ascii="Arial" w:cs="Arial" w:eastAsia="Arial" w:hAnsi="Arial"/>
                <w:sz w:val="15"/>
                <w:szCs w:val="15"/>
                <w:b w:val="1"/>
                <w:bCs w:val="1"/>
                <w:color w:val="auto"/>
              </w:rPr>
              <w:t>  August</w:t>
            </w:r>
          </w:p>
        </w:tc>
        <w:tc>
          <w:tcPr>
            <w:tcW w:w="620" w:type="dxa"/>
            <w:vAlign w:val="bottom"/>
            <w:tcBorders>
              <w:bottom w:val="single" w:sz="8" w:color="B2B2B2"/>
            </w:tcBorders>
          </w:tcPr>
          <w:p>
            <w:pPr>
              <w:ind w:left="100"/>
              <w:spacing w:after="0"/>
              <w:rPr>
                <w:sz w:val="20"/>
                <w:szCs w:val="20"/>
                <w:color w:val="auto"/>
              </w:rPr>
            </w:pPr>
            <w:r>
              <w:rPr>
                <w:rFonts w:ascii="Arial" w:cs="Arial" w:eastAsia="Arial" w:hAnsi="Arial"/>
                <w:sz w:val="15"/>
                <w:szCs w:val="15"/>
                <w:color w:val="auto"/>
              </w:rPr>
              <w:t>230.82</w:t>
            </w:r>
          </w:p>
        </w:tc>
        <w:tc>
          <w:tcPr>
            <w:tcW w:w="680" w:type="dxa"/>
            <w:vAlign w:val="bottom"/>
            <w:tcBorders>
              <w:bottom w:val="single" w:sz="8" w:color="B2B2B2"/>
            </w:tcBorders>
          </w:tcPr>
          <w:p>
            <w:pPr>
              <w:ind w:left="140"/>
              <w:spacing w:after="0"/>
              <w:rPr>
                <w:sz w:val="20"/>
                <w:szCs w:val="20"/>
                <w:color w:val="auto"/>
              </w:rPr>
            </w:pPr>
            <w:r>
              <w:rPr>
                <w:rFonts w:ascii="Arial" w:cs="Arial" w:eastAsia="Arial" w:hAnsi="Arial"/>
                <w:sz w:val="15"/>
                <w:szCs w:val="15"/>
                <w:color w:val="auto"/>
              </w:rPr>
              <w:t>217.02</w:t>
            </w:r>
          </w:p>
        </w:tc>
        <w:tc>
          <w:tcPr>
            <w:tcW w:w="820" w:type="dxa"/>
            <w:vAlign w:val="bottom"/>
            <w:tcBorders>
              <w:bottom w:val="single" w:sz="8" w:color="B2B2B2"/>
            </w:tcBorders>
          </w:tcPr>
          <w:p>
            <w:pPr>
              <w:jc w:val="right"/>
              <w:ind w:right="165"/>
              <w:spacing w:after="0"/>
              <w:rPr>
                <w:sz w:val="20"/>
                <w:szCs w:val="20"/>
                <w:color w:val="auto"/>
              </w:rPr>
            </w:pPr>
            <w:r>
              <w:rPr>
                <w:rFonts w:ascii="Arial" w:cs="Arial" w:eastAsia="Arial" w:hAnsi="Arial"/>
                <w:sz w:val="15"/>
                <w:szCs w:val="15"/>
                <w:color w:val="auto"/>
              </w:rPr>
              <w:t>230.82</w:t>
            </w:r>
          </w:p>
        </w:tc>
        <w:tc>
          <w:tcPr>
            <w:tcW w:w="860" w:type="dxa"/>
            <w:vAlign w:val="bottom"/>
            <w:tcBorders>
              <w:bottom w:val="single" w:sz="8" w:color="B2B2B2"/>
              <w:right w:val="single" w:sz="8" w:color="D64000"/>
            </w:tcBorders>
          </w:tcPr>
          <w:p>
            <w:pPr>
              <w:spacing w:after="0"/>
              <w:rPr>
                <w:sz w:val="20"/>
                <w:szCs w:val="20"/>
                <w:color w:val="auto"/>
              </w:rPr>
            </w:pPr>
            <w:r>
              <w:rPr>
                <w:rFonts w:ascii="Arial" w:cs="Arial" w:eastAsia="Arial" w:hAnsi="Arial"/>
                <w:sz w:val="15"/>
                <w:szCs w:val="15"/>
                <w:color w:val="auto"/>
              </w:rPr>
              <w:t>7,442,213</w:t>
            </w:r>
          </w:p>
        </w:tc>
        <w:tc>
          <w:tcPr>
            <w:tcW w:w="600" w:type="dxa"/>
            <w:vAlign w:val="bottom"/>
            <w:tcBorders>
              <w:bottom w:val="single" w:sz="8" w:color="B2B2B2"/>
            </w:tcBorders>
          </w:tcPr>
          <w:p>
            <w:pPr>
              <w:jc w:val="right"/>
              <w:spacing w:after="0"/>
              <w:rPr>
                <w:sz w:val="20"/>
                <w:szCs w:val="20"/>
                <w:color w:val="auto"/>
              </w:rPr>
            </w:pPr>
            <w:r>
              <w:rPr>
                <w:rFonts w:ascii="Arial" w:cs="Arial" w:eastAsia="Arial" w:hAnsi="Arial"/>
                <w:sz w:val="15"/>
                <w:szCs w:val="15"/>
                <w:color w:val="auto"/>
              </w:rPr>
              <w:t>171.18</w:t>
            </w:r>
          </w:p>
        </w:tc>
        <w:tc>
          <w:tcPr>
            <w:tcW w:w="700" w:type="dxa"/>
            <w:vAlign w:val="bottom"/>
            <w:tcBorders>
              <w:bottom w:val="single" w:sz="8" w:color="B2B2B2"/>
            </w:tcBorders>
          </w:tcPr>
          <w:p>
            <w:pPr>
              <w:jc w:val="right"/>
              <w:ind w:right="5"/>
              <w:spacing w:after="0"/>
              <w:rPr>
                <w:sz w:val="20"/>
                <w:szCs w:val="20"/>
                <w:color w:val="auto"/>
              </w:rPr>
            </w:pPr>
            <w:r>
              <w:rPr>
                <w:rFonts w:ascii="Arial" w:cs="Arial" w:eastAsia="Arial" w:hAnsi="Arial"/>
                <w:sz w:val="15"/>
                <w:szCs w:val="15"/>
                <w:color w:val="auto"/>
              </w:rPr>
              <w:t>154.77</w:t>
            </w:r>
          </w:p>
        </w:tc>
        <w:tc>
          <w:tcPr>
            <w:tcW w:w="720" w:type="dxa"/>
            <w:vAlign w:val="bottom"/>
            <w:tcBorders>
              <w:bottom w:val="single" w:sz="8" w:color="B2B2B2"/>
            </w:tcBorders>
          </w:tcPr>
          <w:p>
            <w:pPr>
              <w:ind w:left="120"/>
              <w:spacing w:after="0"/>
              <w:rPr>
                <w:sz w:val="20"/>
                <w:szCs w:val="20"/>
                <w:color w:val="auto"/>
              </w:rPr>
            </w:pPr>
            <w:r>
              <w:rPr>
                <w:rFonts w:ascii="Arial" w:cs="Arial" w:eastAsia="Arial" w:hAnsi="Arial"/>
                <w:sz w:val="15"/>
                <w:szCs w:val="15"/>
                <w:color w:val="auto"/>
              </w:rPr>
              <w:t>171.18</w:t>
            </w:r>
          </w:p>
        </w:tc>
        <w:tc>
          <w:tcPr>
            <w:tcW w:w="980" w:type="dxa"/>
            <w:vAlign w:val="bottom"/>
            <w:tcBorders>
              <w:bottom w:val="single" w:sz="8" w:color="B2B2B2"/>
              <w:right w:val="single" w:sz="8" w:color="D64000"/>
            </w:tcBorders>
          </w:tcPr>
          <w:p>
            <w:pPr>
              <w:ind w:left="100"/>
              <w:spacing w:after="0"/>
              <w:rPr>
                <w:sz w:val="20"/>
                <w:szCs w:val="20"/>
                <w:color w:val="auto"/>
              </w:rPr>
            </w:pPr>
            <w:r>
              <w:rPr>
                <w:rFonts w:ascii="Arial" w:cs="Arial" w:eastAsia="Arial" w:hAnsi="Arial"/>
                <w:sz w:val="15"/>
                <w:szCs w:val="15"/>
                <w:color w:val="auto"/>
              </w:rPr>
              <w:t>8,861,804</w:t>
            </w:r>
          </w:p>
        </w:tc>
        <w:tc>
          <w:tcPr>
            <w:tcW w:w="600" w:type="dxa"/>
            <w:vAlign w:val="bottom"/>
            <w:tcBorders>
              <w:bottom w:val="single" w:sz="8" w:color="B2B2B2"/>
              <w:right w:val="single" w:sz="8" w:color="B2B2B2"/>
            </w:tcBorders>
          </w:tcPr>
          <w:p>
            <w:pPr>
              <w:jc w:val="right"/>
              <w:ind w:right="45"/>
              <w:spacing w:after="0"/>
              <w:rPr>
                <w:sz w:val="20"/>
                <w:szCs w:val="20"/>
                <w:color w:val="auto"/>
              </w:rPr>
            </w:pPr>
            <w:r>
              <w:rPr>
                <w:rFonts w:ascii="Arial" w:cs="Arial" w:eastAsia="Arial" w:hAnsi="Arial"/>
                <w:sz w:val="15"/>
                <w:szCs w:val="15"/>
                <w:color w:val="auto"/>
              </w:rPr>
              <w:t>13.85</w:t>
            </w:r>
          </w:p>
        </w:tc>
        <w:tc>
          <w:tcPr>
            <w:tcW w:w="600" w:type="dxa"/>
            <w:vAlign w:val="bottom"/>
            <w:tcBorders>
              <w:bottom w:val="single" w:sz="8" w:color="B2B2B2"/>
              <w:right w:val="single" w:sz="8" w:color="B2B2B2"/>
            </w:tcBorders>
          </w:tcPr>
          <w:p>
            <w:pPr>
              <w:jc w:val="right"/>
              <w:ind w:right="45"/>
              <w:spacing w:after="0"/>
              <w:rPr>
                <w:sz w:val="20"/>
                <w:szCs w:val="20"/>
                <w:color w:val="auto"/>
              </w:rPr>
            </w:pPr>
            <w:r>
              <w:rPr>
                <w:rFonts w:ascii="Arial" w:cs="Arial" w:eastAsia="Arial" w:hAnsi="Arial"/>
                <w:sz w:val="15"/>
                <w:szCs w:val="15"/>
                <w:color w:val="auto"/>
              </w:rPr>
              <w:t>13.47</w:t>
            </w:r>
          </w:p>
        </w:tc>
        <w:tc>
          <w:tcPr>
            <w:tcW w:w="720" w:type="dxa"/>
            <w:vAlign w:val="bottom"/>
            <w:tcBorders>
              <w:bottom w:val="single" w:sz="8" w:color="B2B2B2"/>
              <w:right w:val="single" w:sz="8" w:color="B2B2B2"/>
            </w:tcBorders>
          </w:tcPr>
          <w:p>
            <w:pPr>
              <w:jc w:val="right"/>
              <w:ind w:right="165"/>
              <w:spacing w:after="0"/>
              <w:rPr>
                <w:sz w:val="20"/>
                <w:szCs w:val="20"/>
                <w:color w:val="auto"/>
              </w:rPr>
            </w:pPr>
            <w:r>
              <w:rPr>
                <w:rFonts w:ascii="Arial" w:cs="Arial" w:eastAsia="Arial" w:hAnsi="Arial"/>
                <w:sz w:val="15"/>
                <w:szCs w:val="15"/>
                <w:color w:val="auto"/>
              </w:rPr>
              <w:t>13.70</w:t>
            </w:r>
          </w:p>
        </w:tc>
        <w:tc>
          <w:tcPr>
            <w:tcW w:w="720" w:type="dxa"/>
            <w:vAlign w:val="bottom"/>
            <w:tcBorders>
              <w:bottom w:val="single" w:sz="8" w:color="B2B2B2"/>
            </w:tcBorders>
          </w:tcPr>
          <w:p>
            <w:pPr>
              <w:ind w:left="100"/>
              <w:spacing w:after="0"/>
              <w:rPr>
                <w:sz w:val="20"/>
                <w:szCs w:val="20"/>
                <w:color w:val="auto"/>
              </w:rPr>
            </w:pPr>
            <w:r>
              <w:rPr>
                <w:rFonts w:ascii="Arial" w:cs="Arial" w:eastAsia="Arial" w:hAnsi="Arial"/>
                <w:sz w:val="15"/>
                <w:szCs w:val="15"/>
                <w:color w:val="auto"/>
              </w:rPr>
              <w:t>29,718</w:t>
            </w:r>
          </w:p>
        </w:tc>
        <w:tc>
          <w:tcPr>
            <w:tcW w:w="20" w:type="dxa"/>
            <w:vAlign w:val="bottom"/>
          </w:tcPr>
          <w:p>
            <w:pPr>
              <w:spacing w:after="0"/>
              <w:rPr>
                <w:sz w:val="16"/>
                <w:szCs w:val="16"/>
                <w:color w:val="auto"/>
              </w:rPr>
            </w:pPr>
          </w:p>
        </w:tc>
      </w:tr>
      <w:tr>
        <w:trPr>
          <w:trHeight w:val="192"/>
        </w:trPr>
        <w:tc>
          <w:tcPr>
            <w:tcW w:w="2180" w:type="dxa"/>
            <w:vAlign w:val="bottom"/>
            <w:tcBorders>
              <w:bottom w:val="single" w:sz="8" w:color="B2B2B2"/>
            </w:tcBorders>
          </w:tcPr>
          <w:p>
            <w:pPr>
              <w:spacing w:after="0"/>
              <w:rPr>
                <w:sz w:val="20"/>
                <w:szCs w:val="20"/>
                <w:color w:val="auto"/>
              </w:rPr>
            </w:pPr>
            <w:r>
              <w:rPr>
                <w:rFonts w:ascii="Arial" w:cs="Arial" w:eastAsia="Arial" w:hAnsi="Arial"/>
                <w:sz w:val="15"/>
                <w:szCs w:val="15"/>
                <w:b w:val="1"/>
                <w:bCs w:val="1"/>
                <w:color w:val="auto"/>
              </w:rPr>
              <w:t>  September</w:t>
            </w:r>
          </w:p>
        </w:tc>
        <w:tc>
          <w:tcPr>
            <w:tcW w:w="620" w:type="dxa"/>
            <w:vAlign w:val="bottom"/>
            <w:tcBorders>
              <w:bottom w:val="single" w:sz="8" w:color="B2B2B2"/>
            </w:tcBorders>
          </w:tcPr>
          <w:p>
            <w:pPr>
              <w:ind w:left="100"/>
              <w:spacing w:after="0"/>
              <w:rPr>
                <w:sz w:val="20"/>
                <w:szCs w:val="20"/>
                <w:color w:val="auto"/>
              </w:rPr>
            </w:pPr>
            <w:r>
              <w:rPr>
                <w:rFonts w:ascii="Arial" w:cs="Arial" w:eastAsia="Arial" w:hAnsi="Arial"/>
                <w:sz w:val="15"/>
                <w:szCs w:val="15"/>
                <w:color w:val="auto"/>
              </w:rPr>
              <w:t>235.98</w:t>
            </w:r>
          </w:p>
        </w:tc>
        <w:tc>
          <w:tcPr>
            <w:tcW w:w="680" w:type="dxa"/>
            <w:vAlign w:val="bottom"/>
            <w:tcBorders>
              <w:bottom w:val="single" w:sz="8" w:color="B2B2B2"/>
            </w:tcBorders>
          </w:tcPr>
          <w:p>
            <w:pPr>
              <w:ind w:left="140"/>
              <w:spacing w:after="0"/>
              <w:rPr>
                <w:sz w:val="20"/>
                <w:szCs w:val="20"/>
                <w:color w:val="auto"/>
              </w:rPr>
            </w:pPr>
            <w:r>
              <w:rPr>
                <w:rFonts w:ascii="Arial" w:cs="Arial" w:eastAsia="Arial" w:hAnsi="Arial"/>
                <w:sz w:val="15"/>
                <w:szCs w:val="15"/>
                <w:color w:val="auto"/>
              </w:rPr>
              <w:t>225.52</w:t>
            </w:r>
          </w:p>
        </w:tc>
        <w:tc>
          <w:tcPr>
            <w:tcW w:w="820" w:type="dxa"/>
            <w:vAlign w:val="bottom"/>
            <w:tcBorders>
              <w:bottom w:val="single" w:sz="8" w:color="B2B2B2"/>
            </w:tcBorders>
          </w:tcPr>
          <w:p>
            <w:pPr>
              <w:jc w:val="right"/>
              <w:ind w:right="165"/>
              <w:spacing w:after="0"/>
              <w:rPr>
                <w:sz w:val="20"/>
                <w:szCs w:val="20"/>
                <w:color w:val="auto"/>
              </w:rPr>
            </w:pPr>
            <w:r>
              <w:rPr>
                <w:rFonts w:ascii="Arial" w:cs="Arial" w:eastAsia="Arial" w:hAnsi="Arial"/>
                <w:sz w:val="15"/>
                <w:szCs w:val="15"/>
                <w:color w:val="auto"/>
              </w:rPr>
              <w:t>230.69</w:t>
            </w:r>
          </w:p>
        </w:tc>
        <w:tc>
          <w:tcPr>
            <w:tcW w:w="860" w:type="dxa"/>
            <w:vAlign w:val="bottom"/>
            <w:tcBorders>
              <w:bottom w:val="single" w:sz="8" w:color="B2B2B2"/>
              <w:right w:val="single" w:sz="8" w:color="D64000"/>
            </w:tcBorders>
          </w:tcPr>
          <w:p>
            <w:pPr>
              <w:spacing w:after="0"/>
              <w:rPr>
                <w:sz w:val="20"/>
                <w:szCs w:val="20"/>
                <w:color w:val="auto"/>
              </w:rPr>
            </w:pPr>
            <w:r>
              <w:rPr>
                <w:rFonts w:ascii="Arial" w:cs="Arial" w:eastAsia="Arial" w:hAnsi="Arial"/>
                <w:sz w:val="15"/>
                <w:szCs w:val="15"/>
                <w:color w:val="auto"/>
              </w:rPr>
              <w:t>7,258,037</w:t>
            </w:r>
          </w:p>
        </w:tc>
        <w:tc>
          <w:tcPr>
            <w:tcW w:w="600" w:type="dxa"/>
            <w:vAlign w:val="bottom"/>
            <w:tcBorders>
              <w:bottom w:val="single" w:sz="8" w:color="B2B2B2"/>
            </w:tcBorders>
          </w:tcPr>
          <w:p>
            <w:pPr>
              <w:jc w:val="right"/>
              <w:spacing w:after="0"/>
              <w:rPr>
                <w:sz w:val="20"/>
                <w:szCs w:val="20"/>
                <w:color w:val="auto"/>
              </w:rPr>
            </w:pPr>
            <w:r>
              <w:rPr>
                <w:rFonts w:ascii="Arial" w:cs="Arial" w:eastAsia="Arial" w:hAnsi="Arial"/>
                <w:sz w:val="15"/>
                <w:szCs w:val="15"/>
                <w:color w:val="auto"/>
              </w:rPr>
              <w:t>173.76</w:t>
            </w:r>
          </w:p>
        </w:tc>
        <w:tc>
          <w:tcPr>
            <w:tcW w:w="700" w:type="dxa"/>
            <w:vAlign w:val="bottom"/>
            <w:tcBorders>
              <w:bottom w:val="single" w:sz="8" w:color="B2B2B2"/>
            </w:tcBorders>
          </w:tcPr>
          <w:p>
            <w:pPr>
              <w:jc w:val="right"/>
              <w:ind w:right="5"/>
              <w:spacing w:after="0"/>
              <w:rPr>
                <w:sz w:val="20"/>
                <w:szCs w:val="20"/>
                <w:color w:val="auto"/>
              </w:rPr>
            </w:pPr>
            <w:r>
              <w:rPr>
                <w:rFonts w:ascii="Arial" w:cs="Arial" w:eastAsia="Arial" w:hAnsi="Arial"/>
                <w:sz w:val="15"/>
                <w:szCs w:val="15"/>
                <w:color w:val="auto"/>
              </w:rPr>
              <w:t>166.24</w:t>
            </w:r>
          </w:p>
        </w:tc>
        <w:tc>
          <w:tcPr>
            <w:tcW w:w="720" w:type="dxa"/>
            <w:vAlign w:val="bottom"/>
            <w:tcBorders>
              <w:bottom w:val="single" w:sz="8" w:color="B2B2B2"/>
            </w:tcBorders>
          </w:tcPr>
          <w:p>
            <w:pPr>
              <w:ind w:left="120"/>
              <w:spacing w:after="0"/>
              <w:rPr>
                <w:sz w:val="20"/>
                <w:szCs w:val="20"/>
                <w:color w:val="auto"/>
              </w:rPr>
            </w:pPr>
            <w:r>
              <w:rPr>
                <w:rFonts w:ascii="Arial" w:cs="Arial" w:eastAsia="Arial" w:hAnsi="Arial"/>
                <w:sz w:val="15"/>
                <w:szCs w:val="15"/>
                <w:color w:val="auto"/>
              </w:rPr>
              <w:t>170.60</w:t>
            </w:r>
          </w:p>
        </w:tc>
        <w:tc>
          <w:tcPr>
            <w:tcW w:w="980" w:type="dxa"/>
            <w:vAlign w:val="bottom"/>
            <w:tcBorders>
              <w:bottom w:val="single" w:sz="8" w:color="B2B2B2"/>
              <w:right w:val="single" w:sz="8" w:color="D64000"/>
            </w:tcBorders>
          </w:tcPr>
          <w:p>
            <w:pPr>
              <w:ind w:left="100"/>
              <w:spacing w:after="0"/>
              <w:rPr>
                <w:sz w:val="20"/>
                <w:szCs w:val="20"/>
                <w:color w:val="auto"/>
              </w:rPr>
            </w:pPr>
            <w:r>
              <w:rPr>
                <w:rFonts w:ascii="Arial" w:cs="Arial" w:eastAsia="Arial" w:hAnsi="Arial"/>
                <w:sz w:val="15"/>
                <w:szCs w:val="15"/>
                <w:color w:val="auto"/>
              </w:rPr>
              <w:t>5,302,649</w:t>
            </w:r>
          </w:p>
        </w:tc>
        <w:tc>
          <w:tcPr>
            <w:tcW w:w="600" w:type="dxa"/>
            <w:vAlign w:val="bottom"/>
            <w:tcBorders>
              <w:bottom w:val="single" w:sz="8" w:color="B2B2B2"/>
              <w:right w:val="single" w:sz="8" w:color="B2B2B2"/>
            </w:tcBorders>
          </w:tcPr>
          <w:p>
            <w:pPr>
              <w:jc w:val="right"/>
              <w:ind w:right="45"/>
              <w:spacing w:after="0"/>
              <w:rPr>
                <w:sz w:val="20"/>
                <w:szCs w:val="20"/>
                <w:color w:val="auto"/>
              </w:rPr>
            </w:pPr>
            <w:r>
              <w:rPr>
                <w:rFonts w:ascii="Arial" w:cs="Arial" w:eastAsia="Arial" w:hAnsi="Arial"/>
                <w:sz w:val="15"/>
                <w:szCs w:val="15"/>
                <w:color w:val="auto"/>
              </w:rPr>
              <w:t>13.92</w:t>
            </w:r>
          </w:p>
        </w:tc>
        <w:tc>
          <w:tcPr>
            <w:tcW w:w="600" w:type="dxa"/>
            <w:vAlign w:val="bottom"/>
            <w:tcBorders>
              <w:bottom w:val="single" w:sz="8" w:color="B2B2B2"/>
              <w:right w:val="single" w:sz="8" w:color="B2B2B2"/>
            </w:tcBorders>
          </w:tcPr>
          <w:p>
            <w:pPr>
              <w:jc w:val="right"/>
              <w:ind w:right="45"/>
              <w:spacing w:after="0"/>
              <w:rPr>
                <w:sz w:val="20"/>
                <w:szCs w:val="20"/>
                <w:color w:val="auto"/>
              </w:rPr>
            </w:pPr>
            <w:r>
              <w:rPr>
                <w:rFonts w:ascii="Arial" w:cs="Arial" w:eastAsia="Arial" w:hAnsi="Arial"/>
                <w:sz w:val="15"/>
                <w:szCs w:val="15"/>
                <w:color w:val="auto"/>
              </w:rPr>
              <w:t>13.55</w:t>
            </w:r>
          </w:p>
        </w:tc>
        <w:tc>
          <w:tcPr>
            <w:tcW w:w="720" w:type="dxa"/>
            <w:vAlign w:val="bottom"/>
            <w:tcBorders>
              <w:bottom w:val="single" w:sz="8" w:color="B2B2B2"/>
              <w:right w:val="single" w:sz="8" w:color="B2B2B2"/>
            </w:tcBorders>
          </w:tcPr>
          <w:p>
            <w:pPr>
              <w:jc w:val="right"/>
              <w:ind w:right="165"/>
              <w:spacing w:after="0"/>
              <w:rPr>
                <w:sz w:val="20"/>
                <w:szCs w:val="20"/>
                <w:color w:val="auto"/>
              </w:rPr>
            </w:pPr>
            <w:r>
              <w:rPr>
                <w:rFonts w:ascii="Arial" w:cs="Arial" w:eastAsia="Arial" w:hAnsi="Arial"/>
                <w:sz w:val="15"/>
                <w:szCs w:val="15"/>
                <w:color w:val="auto"/>
              </w:rPr>
              <w:t>13.63</w:t>
            </w:r>
          </w:p>
        </w:tc>
        <w:tc>
          <w:tcPr>
            <w:tcW w:w="720" w:type="dxa"/>
            <w:vAlign w:val="bottom"/>
            <w:tcBorders>
              <w:bottom w:val="single" w:sz="8" w:color="B2B2B2"/>
            </w:tcBorders>
          </w:tcPr>
          <w:p>
            <w:pPr>
              <w:ind w:left="100"/>
              <w:spacing w:after="0"/>
              <w:rPr>
                <w:sz w:val="20"/>
                <w:szCs w:val="20"/>
                <w:color w:val="auto"/>
              </w:rPr>
            </w:pPr>
            <w:r>
              <w:rPr>
                <w:rFonts w:ascii="Arial" w:cs="Arial" w:eastAsia="Arial" w:hAnsi="Arial"/>
                <w:sz w:val="15"/>
                <w:szCs w:val="15"/>
                <w:color w:val="auto"/>
              </w:rPr>
              <w:t>37,424</w:t>
            </w:r>
          </w:p>
        </w:tc>
        <w:tc>
          <w:tcPr>
            <w:tcW w:w="20" w:type="dxa"/>
            <w:vAlign w:val="bottom"/>
          </w:tcPr>
          <w:p>
            <w:pPr>
              <w:spacing w:after="0"/>
              <w:rPr>
                <w:sz w:val="16"/>
                <w:szCs w:val="16"/>
                <w:color w:val="auto"/>
              </w:rPr>
            </w:pPr>
          </w:p>
        </w:tc>
      </w:tr>
      <w:tr>
        <w:trPr>
          <w:trHeight w:val="192"/>
        </w:trPr>
        <w:tc>
          <w:tcPr>
            <w:tcW w:w="2180" w:type="dxa"/>
            <w:vAlign w:val="bottom"/>
            <w:tcBorders>
              <w:bottom w:val="single" w:sz="8" w:color="B2B2B2"/>
            </w:tcBorders>
          </w:tcPr>
          <w:p>
            <w:pPr>
              <w:spacing w:after="0"/>
              <w:rPr>
                <w:sz w:val="20"/>
                <w:szCs w:val="20"/>
                <w:color w:val="auto"/>
              </w:rPr>
            </w:pPr>
            <w:r>
              <w:rPr>
                <w:rFonts w:ascii="Arial" w:cs="Arial" w:eastAsia="Arial" w:hAnsi="Arial"/>
                <w:sz w:val="15"/>
                <w:szCs w:val="15"/>
                <w:b w:val="1"/>
                <w:bCs w:val="1"/>
                <w:color w:val="auto"/>
              </w:rPr>
              <w:t>  October</w:t>
            </w:r>
          </w:p>
        </w:tc>
        <w:tc>
          <w:tcPr>
            <w:tcW w:w="620" w:type="dxa"/>
            <w:vAlign w:val="bottom"/>
            <w:tcBorders>
              <w:bottom w:val="single" w:sz="8" w:color="B2B2B2"/>
            </w:tcBorders>
          </w:tcPr>
          <w:p>
            <w:pPr>
              <w:ind w:left="100"/>
              <w:spacing w:after="0"/>
              <w:rPr>
                <w:sz w:val="20"/>
                <w:szCs w:val="20"/>
                <w:color w:val="auto"/>
              </w:rPr>
            </w:pPr>
            <w:r>
              <w:rPr>
                <w:rFonts w:ascii="Arial" w:cs="Arial" w:eastAsia="Arial" w:hAnsi="Arial"/>
                <w:sz w:val="15"/>
                <w:szCs w:val="15"/>
                <w:color w:val="auto"/>
              </w:rPr>
              <w:t>233.36</w:t>
            </w:r>
          </w:p>
        </w:tc>
        <w:tc>
          <w:tcPr>
            <w:tcW w:w="680" w:type="dxa"/>
            <w:vAlign w:val="bottom"/>
            <w:tcBorders>
              <w:bottom w:val="single" w:sz="8" w:color="B2B2B2"/>
            </w:tcBorders>
          </w:tcPr>
          <w:p>
            <w:pPr>
              <w:ind w:left="140"/>
              <w:spacing w:after="0"/>
              <w:rPr>
                <w:sz w:val="20"/>
                <w:szCs w:val="20"/>
                <w:color w:val="auto"/>
              </w:rPr>
            </w:pPr>
            <w:r>
              <w:rPr>
                <w:rFonts w:ascii="Arial" w:cs="Arial" w:eastAsia="Arial" w:hAnsi="Arial"/>
                <w:sz w:val="15"/>
                <w:szCs w:val="15"/>
                <w:color w:val="auto"/>
              </w:rPr>
              <w:t>225.22</w:t>
            </w:r>
          </w:p>
        </w:tc>
        <w:tc>
          <w:tcPr>
            <w:tcW w:w="820" w:type="dxa"/>
            <w:vAlign w:val="bottom"/>
            <w:tcBorders>
              <w:bottom w:val="single" w:sz="8" w:color="B2B2B2"/>
            </w:tcBorders>
          </w:tcPr>
          <w:p>
            <w:pPr>
              <w:jc w:val="right"/>
              <w:ind w:right="165"/>
              <w:spacing w:after="0"/>
              <w:rPr>
                <w:sz w:val="20"/>
                <w:szCs w:val="20"/>
                <w:color w:val="auto"/>
              </w:rPr>
            </w:pPr>
            <w:r>
              <w:rPr>
                <w:rFonts w:ascii="Arial" w:cs="Arial" w:eastAsia="Arial" w:hAnsi="Arial"/>
                <w:sz w:val="15"/>
                <w:szCs w:val="15"/>
                <w:color w:val="auto"/>
              </w:rPr>
              <w:t>227.91</w:t>
            </w:r>
          </w:p>
        </w:tc>
        <w:tc>
          <w:tcPr>
            <w:tcW w:w="860" w:type="dxa"/>
            <w:vAlign w:val="bottom"/>
            <w:tcBorders>
              <w:bottom w:val="single" w:sz="8" w:color="B2B2B2"/>
              <w:right w:val="single" w:sz="8" w:color="D64000"/>
            </w:tcBorders>
          </w:tcPr>
          <w:p>
            <w:pPr>
              <w:spacing w:after="0"/>
              <w:rPr>
                <w:sz w:val="20"/>
                <w:szCs w:val="20"/>
                <w:color w:val="auto"/>
              </w:rPr>
            </w:pPr>
            <w:r>
              <w:rPr>
                <w:rFonts w:ascii="Arial" w:cs="Arial" w:eastAsia="Arial" w:hAnsi="Arial"/>
                <w:sz w:val="15"/>
                <w:szCs w:val="15"/>
                <w:color w:val="auto"/>
              </w:rPr>
              <w:t>5,111,249</w:t>
            </w:r>
          </w:p>
        </w:tc>
        <w:tc>
          <w:tcPr>
            <w:tcW w:w="600" w:type="dxa"/>
            <w:vAlign w:val="bottom"/>
            <w:tcBorders>
              <w:bottom w:val="single" w:sz="8" w:color="B2B2B2"/>
            </w:tcBorders>
          </w:tcPr>
          <w:p>
            <w:pPr>
              <w:jc w:val="right"/>
              <w:spacing w:after="0"/>
              <w:rPr>
                <w:sz w:val="20"/>
                <w:szCs w:val="20"/>
                <w:color w:val="auto"/>
              </w:rPr>
            </w:pPr>
            <w:r>
              <w:rPr>
                <w:rFonts w:ascii="Arial" w:cs="Arial" w:eastAsia="Arial" w:hAnsi="Arial"/>
                <w:sz w:val="15"/>
                <w:szCs w:val="15"/>
                <w:color w:val="auto"/>
              </w:rPr>
              <w:t>170.54</w:t>
            </w:r>
          </w:p>
        </w:tc>
        <w:tc>
          <w:tcPr>
            <w:tcW w:w="700" w:type="dxa"/>
            <w:vAlign w:val="bottom"/>
            <w:tcBorders>
              <w:bottom w:val="single" w:sz="8" w:color="B2B2B2"/>
            </w:tcBorders>
          </w:tcPr>
          <w:p>
            <w:pPr>
              <w:jc w:val="right"/>
              <w:ind w:right="5"/>
              <w:spacing w:after="0"/>
              <w:rPr>
                <w:sz w:val="20"/>
                <w:szCs w:val="20"/>
                <w:color w:val="auto"/>
              </w:rPr>
            </w:pPr>
            <w:r>
              <w:rPr>
                <w:rFonts w:ascii="Arial" w:cs="Arial" w:eastAsia="Arial" w:hAnsi="Arial"/>
                <w:sz w:val="15"/>
                <w:szCs w:val="15"/>
                <w:color w:val="auto"/>
              </w:rPr>
              <w:t>163.64</w:t>
            </w:r>
          </w:p>
        </w:tc>
        <w:tc>
          <w:tcPr>
            <w:tcW w:w="720" w:type="dxa"/>
            <w:vAlign w:val="bottom"/>
            <w:tcBorders>
              <w:bottom w:val="single" w:sz="8" w:color="B2B2B2"/>
            </w:tcBorders>
          </w:tcPr>
          <w:p>
            <w:pPr>
              <w:ind w:left="120"/>
              <w:spacing w:after="0"/>
              <w:rPr>
                <w:sz w:val="20"/>
                <w:szCs w:val="20"/>
                <w:color w:val="auto"/>
              </w:rPr>
            </w:pPr>
            <w:r>
              <w:rPr>
                <w:rFonts w:ascii="Arial" w:cs="Arial" w:eastAsia="Arial" w:hAnsi="Arial"/>
                <w:sz w:val="15"/>
                <w:szCs w:val="15"/>
                <w:color w:val="auto"/>
              </w:rPr>
              <w:t>163.64</w:t>
            </w:r>
          </w:p>
        </w:tc>
        <w:tc>
          <w:tcPr>
            <w:tcW w:w="980" w:type="dxa"/>
            <w:vAlign w:val="bottom"/>
            <w:tcBorders>
              <w:bottom w:val="single" w:sz="8" w:color="B2B2B2"/>
              <w:right w:val="single" w:sz="8" w:color="D64000"/>
            </w:tcBorders>
          </w:tcPr>
          <w:p>
            <w:pPr>
              <w:ind w:left="100"/>
              <w:spacing w:after="0"/>
              <w:rPr>
                <w:sz w:val="20"/>
                <w:szCs w:val="20"/>
                <w:color w:val="auto"/>
              </w:rPr>
            </w:pPr>
            <w:r>
              <w:rPr>
                <w:rFonts w:ascii="Arial" w:cs="Arial" w:eastAsia="Arial" w:hAnsi="Arial"/>
                <w:sz w:val="15"/>
                <w:szCs w:val="15"/>
                <w:color w:val="auto"/>
              </w:rPr>
              <w:t>5,263,783</w:t>
            </w:r>
          </w:p>
        </w:tc>
        <w:tc>
          <w:tcPr>
            <w:tcW w:w="600" w:type="dxa"/>
            <w:vAlign w:val="bottom"/>
            <w:tcBorders>
              <w:bottom w:val="single" w:sz="8" w:color="B2B2B2"/>
              <w:right w:val="single" w:sz="8" w:color="B2B2B2"/>
            </w:tcBorders>
          </w:tcPr>
          <w:p>
            <w:pPr>
              <w:jc w:val="right"/>
              <w:ind w:right="45"/>
              <w:spacing w:after="0"/>
              <w:rPr>
                <w:sz w:val="20"/>
                <w:szCs w:val="20"/>
                <w:color w:val="auto"/>
              </w:rPr>
            </w:pPr>
            <w:r>
              <w:rPr>
                <w:rFonts w:ascii="Arial" w:cs="Arial" w:eastAsia="Arial" w:hAnsi="Arial"/>
                <w:sz w:val="15"/>
                <w:szCs w:val="15"/>
                <w:color w:val="auto"/>
              </w:rPr>
              <w:t>13.82</w:t>
            </w:r>
          </w:p>
        </w:tc>
        <w:tc>
          <w:tcPr>
            <w:tcW w:w="600" w:type="dxa"/>
            <w:vAlign w:val="bottom"/>
            <w:tcBorders>
              <w:bottom w:val="single" w:sz="8" w:color="B2B2B2"/>
              <w:right w:val="single" w:sz="8" w:color="B2B2B2"/>
            </w:tcBorders>
          </w:tcPr>
          <w:p>
            <w:pPr>
              <w:jc w:val="right"/>
              <w:ind w:right="45"/>
              <w:spacing w:after="0"/>
              <w:rPr>
                <w:sz w:val="20"/>
                <w:szCs w:val="20"/>
                <w:color w:val="auto"/>
              </w:rPr>
            </w:pPr>
            <w:r>
              <w:rPr>
                <w:rFonts w:ascii="Arial" w:cs="Arial" w:eastAsia="Arial" w:hAnsi="Arial"/>
                <w:sz w:val="15"/>
                <w:szCs w:val="15"/>
                <w:color w:val="auto"/>
              </w:rPr>
              <w:t>13.50</w:t>
            </w:r>
          </w:p>
        </w:tc>
        <w:tc>
          <w:tcPr>
            <w:tcW w:w="720" w:type="dxa"/>
            <w:vAlign w:val="bottom"/>
            <w:tcBorders>
              <w:bottom w:val="single" w:sz="8" w:color="B2B2B2"/>
              <w:right w:val="single" w:sz="8" w:color="B2B2B2"/>
            </w:tcBorders>
          </w:tcPr>
          <w:p>
            <w:pPr>
              <w:jc w:val="right"/>
              <w:ind w:right="165"/>
              <w:spacing w:after="0"/>
              <w:rPr>
                <w:sz w:val="20"/>
                <w:szCs w:val="20"/>
                <w:color w:val="auto"/>
              </w:rPr>
            </w:pPr>
            <w:r>
              <w:rPr>
                <w:rFonts w:ascii="Arial" w:cs="Arial" w:eastAsia="Arial" w:hAnsi="Arial"/>
                <w:sz w:val="15"/>
                <w:szCs w:val="15"/>
                <w:color w:val="auto"/>
              </w:rPr>
              <w:t>13.82</w:t>
            </w:r>
          </w:p>
        </w:tc>
        <w:tc>
          <w:tcPr>
            <w:tcW w:w="720" w:type="dxa"/>
            <w:vAlign w:val="bottom"/>
            <w:tcBorders>
              <w:bottom w:val="single" w:sz="8" w:color="B2B2B2"/>
            </w:tcBorders>
          </w:tcPr>
          <w:p>
            <w:pPr>
              <w:ind w:left="100"/>
              <w:spacing w:after="0"/>
              <w:rPr>
                <w:sz w:val="20"/>
                <w:szCs w:val="20"/>
                <w:color w:val="auto"/>
              </w:rPr>
            </w:pPr>
            <w:r>
              <w:rPr>
                <w:rFonts w:ascii="Arial" w:cs="Arial" w:eastAsia="Arial" w:hAnsi="Arial"/>
                <w:sz w:val="15"/>
                <w:szCs w:val="15"/>
                <w:color w:val="auto"/>
              </w:rPr>
              <w:t>40,758</w:t>
            </w:r>
          </w:p>
        </w:tc>
        <w:tc>
          <w:tcPr>
            <w:tcW w:w="20" w:type="dxa"/>
            <w:vAlign w:val="bottom"/>
          </w:tcPr>
          <w:p>
            <w:pPr>
              <w:spacing w:after="0"/>
              <w:rPr>
                <w:sz w:val="16"/>
                <w:szCs w:val="16"/>
                <w:color w:val="auto"/>
              </w:rPr>
            </w:pPr>
          </w:p>
        </w:tc>
      </w:tr>
      <w:tr>
        <w:trPr>
          <w:trHeight w:val="192"/>
        </w:trPr>
        <w:tc>
          <w:tcPr>
            <w:tcW w:w="2180" w:type="dxa"/>
            <w:vAlign w:val="bottom"/>
            <w:tcBorders>
              <w:bottom w:val="single" w:sz="8" w:color="B2B2B2"/>
            </w:tcBorders>
          </w:tcPr>
          <w:p>
            <w:pPr>
              <w:spacing w:after="0"/>
              <w:rPr>
                <w:sz w:val="20"/>
                <w:szCs w:val="20"/>
                <w:color w:val="auto"/>
              </w:rPr>
            </w:pPr>
            <w:r>
              <w:rPr>
                <w:rFonts w:ascii="Arial" w:cs="Arial" w:eastAsia="Arial" w:hAnsi="Arial"/>
                <w:sz w:val="15"/>
                <w:szCs w:val="15"/>
                <w:b w:val="1"/>
                <w:bCs w:val="1"/>
                <w:color w:val="auto"/>
              </w:rPr>
              <w:t>  November</w:t>
            </w:r>
          </w:p>
        </w:tc>
        <w:tc>
          <w:tcPr>
            <w:tcW w:w="620" w:type="dxa"/>
            <w:vAlign w:val="bottom"/>
            <w:tcBorders>
              <w:bottom w:val="single" w:sz="8" w:color="B2B2B2"/>
            </w:tcBorders>
          </w:tcPr>
          <w:p>
            <w:pPr>
              <w:ind w:left="100"/>
              <w:spacing w:after="0"/>
              <w:rPr>
                <w:sz w:val="20"/>
                <w:szCs w:val="20"/>
                <w:color w:val="auto"/>
              </w:rPr>
            </w:pPr>
            <w:r>
              <w:rPr>
                <w:rFonts w:ascii="Arial" w:cs="Arial" w:eastAsia="Arial" w:hAnsi="Arial"/>
                <w:sz w:val="15"/>
                <w:szCs w:val="15"/>
                <w:color w:val="auto"/>
              </w:rPr>
              <w:t>236.87</w:t>
            </w:r>
          </w:p>
        </w:tc>
        <w:tc>
          <w:tcPr>
            <w:tcW w:w="680" w:type="dxa"/>
            <w:vAlign w:val="bottom"/>
            <w:tcBorders>
              <w:bottom w:val="single" w:sz="8" w:color="B2B2B2"/>
            </w:tcBorders>
          </w:tcPr>
          <w:p>
            <w:pPr>
              <w:ind w:left="140"/>
              <w:spacing w:after="0"/>
              <w:rPr>
                <w:sz w:val="20"/>
                <w:szCs w:val="20"/>
                <w:color w:val="auto"/>
              </w:rPr>
            </w:pPr>
            <w:r>
              <w:rPr>
                <w:rFonts w:ascii="Arial" w:cs="Arial" w:eastAsia="Arial" w:hAnsi="Arial"/>
                <w:sz w:val="15"/>
                <w:szCs w:val="15"/>
                <w:color w:val="auto"/>
              </w:rPr>
              <w:t>224.36</w:t>
            </w:r>
          </w:p>
        </w:tc>
        <w:tc>
          <w:tcPr>
            <w:tcW w:w="820" w:type="dxa"/>
            <w:vAlign w:val="bottom"/>
            <w:tcBorders>
              <w:bottom w:val="single" w:sz="8" w:color="B2B2B2"/>
            </w:tcBorders>
          </w:tcPr>
          <w:p>
            <w:pPr>
              <w:jc w:val="right"/>
              <w:ind w:right="165"/>
              <w:spacing w:after="0"/>
              <w:rPr>
                <w:sz w:val="20"/>
                <w:szCs w:val="20"/>
                <w:color w:val="auto"/>
              </w:rPr>
            </w:pPr>
            <w:r>
              <w:rPr>
                <w:rFonts w:ascii="Arial" w:cs="Arial" w:eastAsia="Arial" w:hAnsi="Arial"/>
                <w:sz w:val="15"/>
                <w:szCs w:val="15"/>
                <w:color w:val="auto"/>
              </w:rPr>
              <w:t>228.44</w:t>
            </w:r>
          </w:p>
        </w:tc>
        <w:tc>
          <w:tcPr>
            <w:tcW w:w="860" w:type="dxa"/>
            <w:vAlign w:val="bottom"/>
            <w:tcBorders>
              <w:bottom w:val="single" w:sz="8" w:color="B2B2B2"/>
              <w:right w:val="single" w:sz="8" w:color="D64000"/>
            </w:tcBorders>
          </w:tcPr>
          <w:p>
            <w:pPr>
              <w:spacing w:after="0"/>
              <w:rPr>
                <w:sz w:val="20"/>
                <w:szCs w:val="20"/>
                <w:color w:val="auto"/>
              </w:rPr>
            </w:pPr>
            <w:r>
              <w:rPr>
                <w:rFonts w:ascii="Arial" w:cs="Arial" w:eastAsia="Arial" w:hAnsi="Arial"/>
                <w:sz w:val="15"/>
                <w:szCs w:val="15"/>
                <w:color w:val="auto"/>
              </w:rPr>
              <w:t>6,650,680</w:t>
            </w:r>
          </w:p>
        </w:tc>
        <w:tc>
          <w:tcPr>
            <w:tcW w:w="600" w:type="dxa"/>
            <w:vAlign w:val="bottom"/>
            <w:tcBorders>
              <w:bottom w:val="single" w:sz="8" w:color="B2B2B2"/>
            </w:tcBorders>
          </w:tcPr>
          <w:p>
            <w:pPr>
              <w:jc w:val="right"/>
              <w:spacing w:after="0"/>
              <w:rPr>
                <w:sz w:val="20"/>
                <w:szCs w:val="20"/>
                <w:color w:val="auto"/>
              </w:rPr>
            </w:pPr>
            <w:r>
              <w:rPr>
                <w:rFonts w:ascii="Arial" w:cs="Arial" w:eastAsia="Arial" w:hAnsi="Arial"/>
                <w:sz w:val="15"/>
                <w:szCs w:val="15"/>
                <w:color w:val="auto"/>
              </w:rPr>
              <w:t>171.14</w:t>
            </w:r>
          </w:p>
        </w:tc>
        <w:tc>
          <w:tcPr>
            <w:tcW w:w="700" w:type="dxa"/>
            <w:vAlign w:val="bottom"/>
            <w:tcBorders>
              <w:bottom w:val="single" w:sz="8" w:color="B2B2B2"/>
            </w:tcBorders>
          </w:tcPr>
          <w:p>
            <w:pPr>
              <w:jc w:val="right"/>
              <w:ind w:right="5"/>
              <w:spacing w:after="0"/>
              <w:rPr>
                <w:sz w:val="20"/>
                <w:szCs w:val="20"/>
                <w:color w:val="auto"/>
              </w:rPr>
            </w:pPr>
            <w:r>
              <w:rPr>
                <w:rFonts w:ascii="Arial" w:cs="Arial" w:eastAsia="Arial" w:hAnsi="Arial"/>
                <w:sz w:val="15"/>
                <w:szCs w:val="15"/>
                <w:color w:val="auto"/>
              </w:rPr>
              <w:t>160.72</w:t>
            </w:r>
          </w:p>
        </w:tc>
        <w:tc>
          <w:tcPr>
            <w:tcW w:w="720" w:type="dxa"/>
            <w:vAlign w:val="bottom"/>
            <w:tcBorders>
              <w:bottom w:val="single" w:sz="8" w:color="B2B2B2"/>
            </w:tcBorders>
          </w:tcPr>
          <w:p>
            <w:pPr>
              <w:ind w:left="120"/>
              <w:spacing w:after="0"/>
              <w:rPr>
                <w:sz w:val="20"/>
                <w:szCs w:val="20"/>
                <w:color w:val="auto"/>
              </w:rPr>
            </w:pPr>
            <w:r>
              <w:rPr>
                <w:rFonts w:ascii="Arial" w:cs="Arial" w:eastAsia="Arial" w:hAnsi="Arial"/>
                <w:sz w:val="15"/>
                <w:szCs w:val="15"/>
                <w:color w:val="auto"/>
              </w:rPr>
              <w:t>162.59</w:t>
            </w:r>
          </w:p>
        </w:tc>
        <w:tc>
          <w:tcPr>
            <w:tcW w:w="980" w:type="dxa"/>
            <w:vAlign w:val="bottom"/>
            <w:tcBorders>
              <w:bottom w:val="single" w:sz="8" w:color="B2B2B2"/>
              <w:right w:val="single" w:sz="8" w:color="D64000"/>
            </w:tcBorders>
          </w:tcPr>
          <w:p>
            <w:pPr>
              <w:ind w:left="100"/>
              <w:spacing w:after="0"/>
              <w:rPr>
                <w:sz w:val="20"/>
                <w:szCs w:val="20"/>
                <w:color w:val="auto"/>
              </w:rPr>
            </w:pPr>
            <w:r>
              <w:rPr>
                <w:rFonts w:ascii="Arial" w:cs="Arial" w:eastAsia="Arial" w:hAnsi="Arial"/>
                <w:sz w:val="15"/>
                <w:szCs w:val="15"/>
                <w:color w:val="auto"/>
              </w:rPr>
              <w:t>6,848,919</w:t>
            </w:r>
          </w:p>
        </w:tc>
        <w:tc>
          <w:tcPr>
            <w:tcW w:w="600" w:type="dxa"/>
            <w:vAlign w:val="bottom"/>
            <w:tcBorders>
              <w:bottom w:val="single" w:sz="8" w:color="B2B2B2"/>
              <w:right w:val="single" w:sz="8" w:color="B2B2B2"/>
            </w:tcBorders>
          </w:tcPr>
          <w:p>
            <w:pPr>
              <w:jc w:val="right"/>
              <w:ind w:right="45"/>
              <w:spacing w:after="0"/>
              <w:rPr>
                <w:sz w:val="20"/>
                <w:szCs w:val="20"/>
                <w:color w:val="auto"/>
              </w:rPr>
            </w:pPr>
            <w:r>
              <w:rPr>
                <w:rFonts w:ascii="Arial" w:cs="Arial" w:eastAsia="Arial" w:hAnsi="Arial"/>
                <w:sz w:val="15"/>
                <w:szCs w:val="15"/>
                <w:color w:val="auto"/>
              </w:rPr>
              <w:t>14.25</w:t>
            </w:r>
          </w:p>
        </w:tc>
        <w:tc>
          <w:tcPr>
            <w:tcW w:w="600" w:type="dxa"/>
            <w:vAlign w:val="bottom"/>
            <w:tcBorders>
              <w:bottom w:val="single" w:sz="8" w:color="B2B2B2"/>
              <w:right w:val="single" w:sz="8" w:color="B2B2B2"/>
            </w:tcBorders>
          </w:tcPr>
          <w:p>
            <w:pPr>
              <w:jc w:val="right"/>
              <w:ind w:right="45"/>
              <w:spacing w:after="0"/>
              <w:rPr>
                <w:sz w:val="20"/>
                <w:szCs w:val="20"/>
                <w:color w:val="auto"/>
              </w:rPr>
            </w:pPr>
            <w:r>
              <w:rPr>
                <w:rFonts w:ascii="Arial" w:cs="Arial" w:eastAsia="Arial" w:hAnsi="Arial"/>
                <w:sz w:val="15"/>
                <w:szCs w:val="15"/>
                <w:color w:val="auto"/>
              </w:rPr>
              <w:t>13.65</w:t>
            </w:r>
          </w:p>
        </w:tc>
        <w:tc>
          <w:tcPr>
            <w:tcW w:w="720" w:type="dxa"/>
            <w:vAlign w:val="bottom"/>
            <w:tcBorders>
              <w:bottom w:val="single" w:sz="8" w:color="B2B2B2"/>
              <w:right w:val="single" w:sz="8" w:color="B2B2B2"/>
            </w:tcBorders>
          </w:tcPr>
          <w:p>
            <w:pPr>
              <w:jc w:val="right"/>
              <w:ind w:right="165"/>
              <w:spacing w:after="0"/>
              <w:rPr>
                <w:sz w:val="20"/>
                <w:szCs w:val="20"/>
                <w:color w:val="auto"/>
              </w:rPr>
            </w:pPr>
            <w:r>
              <w:rPr>
                <w:rFonts w:ascii="Arial" w:cs="Arial" w:eastAsia="Arial" w:hAnsi="Arial"/>
                <w:sz w:val="15"/>
                <w:szCs w:val="15"/>
                <w:color w:val="auto"/>
              </w:rPr>
              <w:t>14.25</w:t>
            </w:r>
          </w:p>
        </w:tc>
        <w:tc>
          <w:tcPr>
            <w:tcW w:w="720" w:type="dxa"/>
            <w:vAlign w:val="bottom"/>
            <w:tcBorders>
              <w:bottom w:val="single" w:sz="8" w:color="B2B2B2"/>
            </w:tcBorders>
          </w:tcPr>
          <w:p>
            <w:pPr>
              <w:ind w:left="100"/>
              <w:spacing w:after="0"/>
              <w:rPr>
                <w:sz w:val="20"/>
                <w:szCs w:val="20"/>
                <w:color w:val="auto"/>
              </w:rPr>
            </w:pPr>
            <w:r>
              <w:rPr>
                <w:rFonts w:ascii="Arial" w:cs="Arial" w:eastAsia="Arial" w:hAnsi="Arial"/>
                <w:sz w:val="15"/>
                <w:szCs w:val="15"/>
                <w:color w:val="auto"/>
              </w:rPr>
              <w:t>92,580</w:t>
            </w:r>
          </w:p>
        </w:tc>
        <w:tc>
          <w:tcPr>
            <w:tcW w:w="20" w:type="dxa"/>
            <w:vAlign w:val="bottom"/>
          </w:tcPr>
          <w:p>
            <w:pPr>
              <w:spacing w:after="0"/>
              <w:rPr>
                <w:sz w:val="16"/>
                <w:szCs w:val="16"/>
                <w:color w:val="auto"/>
              </w:rPr>
            </w:pPr>
          </w:p>
        </w:tc>
      </w:tr>
      <w:tr>
        <w:trPr>
          <w:trHeight w:val="199"/>
        </w:trPr>
        <w:tc>
          <w:tcPr>
            <w:tcW w:w="2180" w:type="dxa"/>
            <w:vAlign w:val="bottom"/>
            <w:tcBorders>
              <w:bottom w:val="single" w:sz="8" w:color="D64000"/>
            </w:tcBorders>
          </w:tcPr>
          <w:p>
            <w:pPr>
              <w:spacing w:after="0"/>
              <w:rPr>
                <w:sz w:val="20"/>
                <w:szCs w:val="20"/>
                <w:color w:val="auto"/>
              </w:rPr>
            </w:pPr>
            <w:r>
              <w:rPr>
                <w:rFonts w:ascii="Arial" w:cs="Arial" w:eastAsia="Arial" w:hAnsi="Arial"/>
                <w:sz w:val="15"/>
                <w:szCs w:val="15"/>
                <w:b w:val="1"/>
                <w:bCs w:val="1"/>
                <w:color w:val="auto"/>
              </w:rPr>
              <w:t>  December</w:t>
            </w:r>
          </w:p>
        </w:tc>
        <w:tc>
          <w:tcPr>
            <w:tcW w:w="620" w:type="dxa"/>
            <w:vAlign w:val="bottom"/>
            <w:tcBorders>
              <w:bottom w:val="single" w:sz="8" w:color="D64000"/>
            </w:tcBorders>
          </w:tcPr>
          <w:p>
            <w:pPr>
              <w:ind w:left="100"/>
              <w:spacing w:after="0"/>
              <w:rPr>
                <w:sz w:val="20"/>
                <w:szCs w:val="20"/>
                <w:color w:val="auto"/>
              </w:rPr>
            </w:pPr>
            <w:r>
              <w:rPr>
                <w:rFonts w:ascii="Arial" w:cs="Arial" w:eastAsia="Arial" w:hAnsi="Arial"/>
                <w:sz w:val="15"/>
                <w:szCs w:val="15"/>
                <w:color w:val="auto"/>
              </w:rPr>
              <w:t>241.65</w:t>
            </w:r>
          </w:p>
        </w:tc>
        <w:tc>
          <w:tcPr>
            <w:tcW w:w="680" w:type="dxa"/>
            <w:vAlign w:val="bottom"/>
            <w:tcBorders>
              <w:bottom w:val="single" w:sz="8" w:color="D64000"/>
            </w:tcBorders>
          </w:tcPr>
          <w:p>
            <w:pPr>
              <w:ind w:left="140"/>
              <w:spacing w:after="0"/>
              <w:rPr>
                <w:sz w:val="20"/>
                <w:szCs w:val="20"/>
                <w:color w:val="auto"/>
              </w:rPr>
            </w:pPr>
            <w:r>
              <w:rPr>
                <w:rFonts w:ascii="Arial" w:cs="Arial" w:eastAsia="Arial" w:hAnsi="Arial"/>
                <w:sz w:val="15"/>
                <w:szCs w:val="15"/>
                <w:color w:val="auto"/>
              </w:rPr>
              <w:t>228.44</w:t>
            </w:r>
          </w:p>
        </w:tc>
        <w:tc>
          <w:tcPr>
            <w:tcW w:w="820" w:type="dxa"/>
            <w:vAlign w:val="bottom"/>
            <w:tcBorders>
              <w:bottom w:val="single" w:sz="8" w:color="D64000"/>
            </w:tcBorders>
          </w:tcPr>
          <w:p>
            <w:pPr>
              <w:jc w:val="right"/>
              <w:ind w:right="165"/>
              <w:spacing w:after="0"/>
              <w:rPr>
                <w:sz w:val="20"/>
                <w:szCs w:val="20"/>
                <w:color w:val="auto"/>
              </w:rPr>
            </w:pPr>
            <w:r>
              <w:rPr>
                <w:rFonts w:ascii="Arial" w:cs="Arial" w:eastAsia="Arial" w:hAnsi="Arial"/>
                <w:sz w:val="15"/>
                <w:szCs w:val="15"/>
                <w:color w:val="auto"/>
              </w:rPr>
              <w:t>230.82</w:t>
            </w:r>
          </w:p>
        </w:tc>
        <w:tc>
          <w:tcPr>
            <w:tcW w:w="860" w:type="dxa"/>
            <w:vAlign w:val="bottom"/>
            <w:tcBorders>
              <w:bottom w:val="single" w:sz="8" w:color="D64000"/>
              <w:right w:val="single" w:sz="8" w:color="D64000"/>
            </w:tcBorders>
          </w:tcPr>
          <w:p>
            <w:pPr>
              <w:spacing w:after="0"/>
              <w:rPr>
                <w:sz w:val="20"/>
                <w:szCs w:val="20"/>
                <w:color w:val="auto"/>
              </w:rPr>
            </w:pPr>
            <w:r>
              <w:rPr>
                <w:rFonts w:ascii="Arial" w:cs="Arial" w:eastAsia="Arial" w:hAnsi="Arial"/>
                <w:sz w:val="15"/>
                <w:szCs w:val="15"/>
                <w:color w:val="auto"/>
              </w:rPr>
              <w:t>5,690,651</w:t>
            </w:r>
          </w:p>
        </w:tc>
        <w:tc>
          <w:tcPr>
            <w:tcW w:w="600" w:type="dxa"/>
            <w:vAlign w:val="bottom"/>
            <w:tcBorders>
              <w:bottom w:val="single" w:sz="8" w:color="D64000"/>
            </w:tcBorders>
          </w:tcPr>
          <w:p>
            <w:pPr>
              <w:jc w:val="right"/>
              <w:spacing w:after="0"/>
              <w:rPr>
                <w:sz w:val="20"/>
                <w:szCs w:val="20"/>
                <w:color w:val="auto"/>
              </w:rPr>
            </w:pPr>
            <w:r>
              <w:rPr>
                <w:rFonts w:ascii="Arial" w:cs="Arial" w:eastAsia="Arial" w:hAnsi="Arial"/>
                <w:sz w:val="15"/>
                <w:szCs w:val="15"/>
                <w:color w:val="auto"/>
              </w:rPr>
              <w:t>170.56</w:t>
            </w:r>
          </w:p>
        </w:tc>
        <w:tc>
          <w:tcPr>
            <w:tcW w:w="700" w:type="dxa"/>
            <w:vAlign w:val="bottom"/>
            <w:tcBorders>
              <w:bottom w:val="single" w:sz="8" w:color="D64000"/>
            </w:tcBorders>
          </w:tcPr>
          <w:p>
            <w:pPr>
              <w:jc w:val="right"/>
              <w:ind w:right="5"/>
              <w:spacing w:after="0"/>
              <w:rPr>
                <w:sz w:val="20"/>
                <w:szCs w:val="20"/>
                <w:color w:val="auto"/>
              </w:rPr>
            </w:pPr>
            <w:r>
              <w:rPr>
                <w:rFonts w:ascii="Arial" w:cs="Arial" w:eastAsia="Arial" w:hAnsi="Arial"/>
                <w:sz w:val="15"/>
                <w:szCs w:val="15"/>
                <w:color w:val="auto"/>
              </w:rPr>
              <w:t>160.38</w:t>
            </w:r>
          </w:p>
        </w:tc>
        <w:tc>
          <w:tcPr>
            <w:tcW w:w="720" w:type="dxa"/>
            <w:vAlign w:val="bottom"/>
            <w:tcBorders>
              <w:bottom w:val="single" w:sz="8" w:color="D64000"/>
            </w:tcBorders>
          </w:tcPr>
          <w:p>
            <w:pPr>
              <w:ind w:left="120"/>
              <w:spacing w:after="0"/>
              <w:rPr>
                <w:sz w:val="20"/>
                <w:szCs w:val="20"/>
                <w:color w:val="auto"/>
              </w:rPr>
            </w:pPr>
            <w:r>
              <w:rPr>
                <w:rFonts w:ascii="Arial" w:cs="Arial" w:eastAsia="Arial" w:hAnsi="Arial"/>
                <w:sz w:val="15"/>
                <w:szCs w:val="15"/>
                <w:color w:val="auto"/>
              </w:rPr>
              <w:t>160.38</w:t>
            </w:r>
          </w:p>
        </w:tc>
        <w:tc>
          <w:tcPr>
            <w:tcW w:w="980" w:type="dxa"/>
            <w:vAlign w:val="bottom"/>
            <w:tcBorders>
              <w:bottom w:val="single" w:sz="8" w:color="D64000"/>
              <w:right w:val="single" w:sz="8" w:color="D64000"/>
            </w:tcBorders>
          </w:tcPr>
          <w:p>
            <w:pPr>
              <w:ind w:left="100"/>
              <w:spacing w:after="0"/>
              <w:rPr>
                <w:sz w:val="20"/>
                <w:szCs w:val="20"/>
                <w:color w:val="auto"/>
              </w:rPr>
            </w:pPr>
            <w:r>
              <w:rPr>
                <w:rFonts w:ascii="Arial" w:cs="Arial" w:eastAsia="Arial" w:hAnsi="Arial"/>
                <w:sz w:val="15"/>
                <w:szCs w:val="15"/>
                <w:color w:val="auto"/>
              </w:rPr>
              <w:t>5,086,668</w:t>
            </w:r>
          </w:p>
        </w:tc>
        <w:tc>
          <w:tcPr>
            <w:tcW w:w="600" w:type="dxa"/>
            <w:vAlign w:val="bottom"/>
            <w:tcBorders>
              <w:bottom w:val="single" w:sz="8" w:color="D64000"/>
              <w:right w:val="single" w:sz="8" w:color="B2B2B2"/>
            </w:tcBorders>
          </w:tcPr>
          <w:p>
            <w:pPr>
              <w:jc w:val="right"/>
              <w:ind w:right="45"/>
              <w:spacing w:after="0"/>
              <w:rPr>
                <w:sz w:val="20"/>
                <w:szCs w:val="20"/>
                <w:color w:val="auto"/>
              </w:rPr>
            </w:pPr>
            <w:r>
              <w:rPr>
                <w:rFonts w:ascii="Arial" w:cs="Arial" w:eastAsia="Arial" w:hAnsi="Arial"/>
                <w:sz w:val="15"/>
                <w:szCs w:val="15"/>
                <w:color w:val="auto"/>
              </w:rPr>
              <w:t>15.15</w:t>
            </w:r>
          </w:p>
        </w:tc>
        <w:tc>
          <w:tcPr>
            <w:tcW w:w="600" w:type="dxa"/>
            <w:vAlign w:val="bottom"/>
            <w:tcBorders>
              <w:bottom w:val="single" w:sz="8" w:color="D64000"/>
              <w:right w:val="single" w:sz="8" w:color="B2B2B2"/>
            </w:tcBorders>
          </w:tcPr>
          <w:p>
            <w:pPr>
              <w:jc w:val="right"/>
              <w:ind w:right="45"/>
              <w:spacing w:after="0"/>
              <w:rPr>
                <w:sz w:val="20"/>
                <w:szCs w:val="20"/>
                <w:color w:val="auto"/>
              </w:rPr>
            </w:pPr>
            <w:r>
              <w:rPr>
                <w:rFonts w:ascii="Arial" w:cs="Arial" w:eastAsia="Arial" w:hAnsi="Arial"/>
                <w:sz w:val="15"/>
                <w:szCs w:val="15"/>
                <w:color w:val="auto"/>
              </w:rPr>
              <w:t>14.25</w:t>
            </w:r>
          </w:p>
        </w:tc>
        <w:tc>
          <w:tcPr>
            <w:tcW w:w="720" w:type="dxa"/>
            <w:vAlign w:val="bottom"/>
            <w:tcBorders>
              <w:bottom w:val="single" w:sz="8" w:color="D64000"/>
              <w:right w:val="single" w:sz="8" w:color="B2B2B2"/>
            </w:tcBorders>
          </w:tcPr>
          <w:p>
            <w:pPr>
              <w:jc w:val="right"/>
              <w:ind w:right="165"/>
              <w:spacing w:after="0"/>
              <w:rPr>
                <w:sz w:val="20"/>
                <w:szCs w:val="20"/>
                <w:color w:val="auto"/>
              </w:rPr>
            </w:pPr>
            <w:r>
              <w:rPr>
                <w:rFonts w:ascii="Arial" w:cs="Arial" w:eastAsia="Arial" w:hAnsi="Arial"/>
                <w:sz w:val="15"/>
                <w:szCs w:val="15"/>
                <w:color w:val="auto"/>
              </w:rPr>
              <w:t>14.99</w:t>
            </w:r>
          </w:p>
        </w:tc>
        <w:tc>
          <w:tcPr>
            <w:tcW w:w="720" w:type="dxa"/>
            <w:vAlign w:val="bottom"/>
            <w:tcBorders>
              <w:bottom w:val="single" w:sz="8" w:color="D64000"/>
            </w:tcBorders>
          </w:tcPr>
          <w:p>
            <w:pPr>
              <w:ind w:left="100"/>
              <w:spacing w:after="0"/>
              <w:rPr>
                <w:sz w:val="20"/>
                <w:szCs w:val="20"/>
                <w:color w:val="auto"/>
              </w:rPr>
            </w:pPr>
            <w:r>
              <w:rPr>
                <w:rFonts w:ascii="Arial" w:cs="Arial" w:eastAsia="Arial" w:hAnsi="Arial"/>
                <w:sz w:val="15"/>
                <w:szCs w:val="15"/>
                <w:color w:val="auto"/>
              </w:rPr>
              <w:t>95,514</w:t>
            </w:r>
          </w:p>
        </w:tc>
        <w:tc>
          <w:tcPr>
            <w:tcW w:w="20" w:type="dxa"/>
            <w:vAlign w:val="bottom"/>
          </w:tcPr>
          <w:p>
            <w:pPr>
              <w:spacing w:after="0"/>
              <w:rPr>
                <w:sz w:val="17"/>
                <w:szCs w:val="17"/>
                <w:color w:val="auto"/>
              </w:rPr>
            </w:pPr>
          </w:p>
        </w:tc>
      </w:tr>
      <w:tr>
        <w:trPr>
          <w:trHeight w:val="225"/>
        </w:trPr>
        <w:tc>
          <w:tcPr>
            <w:tcW w:w="2180" w:type="dxa"/>
            <w:vAlign w:val="bottom"/>
            <w:shd w:val="clear" w:color="auto" w:fill="B2B2B2"/>
          </w:tcPr>
          <w:p>
            <w:pPr>
              <w:spacing w:after="0"/>
              <w:rPr>
                <w:sz w:val="20"/>
                <w:szCs w:val="20"/>
                <w:color w:val="auto"/>
              </w:rPr>
            </w:pPr>
            <w:r>
              <w:rPr>
                <w:rFonts w:ascii="Arial" w:cs="Arial" w:eastAsia="Arial" w:hAnsi="Arial"/>
                <w:sz w:val="15"/>
                <w:szCs w:val="15"/>
                <w:b w:val="1"/>
                <w:bCs w:val="1"/>
                <w:color w:val="auto"/>
              </w:rPr>
              <w:t>  2025</w:t>
            </w:r>
          </w:p>
        </w:tc>
        <w:tc>
          <w:tcPr>
            <w:tcW w:w="620" w:type="dxa"/>
            <w:vAlign w:val="bottom"/>
            <w:shd w:val="clear" w:color="auto" w:fill="B2B2B2"/>
          </w:tcPr>
          <w:p>
            <w:pPr>
              <w:spacing w:after="0"/>
              <w:rPr>
                <w:sz w:val="19"/>
                <w:szCs w:val="19"/>
                <w:color w:val="auto"/>
              </w:rPr>
            </w:pPr>
          </w:p>
        </w:tc>
        <w:tc>
          <w:tcPr>
            <w:tcW w:w="680" w:type="dxa"/>
            <w:vAlign w:val="bottom"/>
            <w:shd w:val="clear" w:color="auto" w:fill="B2B2B2"/>
          </w:tcPr>
          <w:p>
            <w:pPr>
              <w:spacing w:after="0"/>
              <w:rPr>
                <w:sz w:val="19"/>
                <w:szCs w:val="19"/>
                <w:color w:val="auto"/>
              </w:rPr>
            </w:pPr>
          </w:p>
        </w:tc>
        <w:tc>
          <w:tcPr>
            <w:tcW w:w="820" w:type="dxa"/>
            <w:vAlign w:val="bottom"/>
            <w:shd w:val="clear" w:color="auto" w:fill="B2B2B2"/>
          </w:tcPr>
          <w:p>
            <w:pPr>
              <w:spacing w:after="0"/>
              <w:rPr>
                <w:sz w:val="19"/>
                <w:szCs w:val="19"/>
                <w:color w:val="auto"/>
              </w:rPr>
            </w:pPr>
          </w:p>
        </w:tc>
        <w:tc>
          <w:tcPr>
            <w:tcW w:w="860" w:type="dxa"/>
            <w:vAlign w:val="bottom"/>
            <w:tcBorders>
              <w:right w:val="single" w:sz="8" w:color="B2B2B2"/>
            </w:tcBorders>
            <w:shd w:val="clear" w:color="auto" w:fill="B2B2B2"/>
          </w:tcPr>
          <w:p>
            <w:pPr>
              <w:spacing w:after="0"/>
              <w:rPr>
                <w:sz w:val="19"/>
                <w:szCs w:val="19"/>
                <w:color w:val="auto"/>
              </w:rPr>
            </w:pPr>
          </w:p>
        </w:tc>
        <w:tc>
          <w:tcPr>
            <w:tcW w:w="600" w:type="dxa"/>
            <w:vAlign w:val="bottom"/>
            <w:shd w:val="clear" w:color="auto" w:fill="B2B2B2"/>
          </w:tcPr>
          <w:p>
            <w:pPr>
              <w:spacing w:after="0"/>
              <w:rPr>
                <w:sz w:val="19"/>
                <w:szCs w:val="19"/>
                <w:color w:val="auto"/>
              </w:rPr>
            </w:pPr>
          </w:p>
        </w:tc>
        <w:tc>
          <w:tcPr>
            <w:tcW w:w="700" w:type="dxa"/>
            <w:vAlign w:val="bottom"/>
            <w:shd w:val="clear" w:color="auto" w:fill="B2B2B2"/>
          </w:tcPr>
          <w:p>
            <w:pPr>
              <w:spacing w:after="0"/>
              <w:rPr>
                <w:sz w:val="19"/>
                <w:szCs w:val="19"/>
                <w:color w:val="auto"/>
              </w:rPr>
            </w:pPr>
          </w:p>
        </w:tc>
        <w:tc>
          <w:tcPr>
            <w:tcW w:w="720" w:type="dxa"/>
            <w:vAlign w:val="bottom"/>
            <w:shd w:val="clear" w:color="auto" w:fill="B2B2B2"/>
          </w:tcPr>
          <w:p>
            <w:pPr>
              <w:spacing w:after="0"/>
              <w:rPr>
                <w:sz w:val="19"/>
                <w:szCs w:val="19"/>
                <w:color w:val="auto"/>
              </w:rPr>
            </w:pPr>
          </w:p>
        </w:tc>
        <w:tc>
          <w:tcPr>
            <w:tcW w:w="980" w:type="dxa"/>
            <w:vAlign w:val="bottom"/>
            <w:tcBorders>
              <w:right w:val="single" w:sz="8" w:color="B2B2B2"/>
            </w:tcBorders>
            <w:shd w:val="clear" w:color="auto" w:fill="B2B2B2"/>
          </w:tcPr>
          <w:p>
            <w:pPr>
              <w:spacing w:after="0"/>
              <w:rPr>
                <w:sz w:val="19"/>
                <w:szCs w:val="19"/>
                <w:color w:val="auto"/>
              </w:rPr>
            </w:pPr>
          </w:p>
        </w:tc>
        <w:tc>
          <w:tcPr>
            <w:tcW w:w="600" w:type="dxa"/>
            <w:vAlign w:val="bottom"/>
            <w:tcBorders>
              <w:right w:val="single" w:sz="8" w:color="B2B2B2"/>
            </w:tcBorders>
            <w:shd w:val="clear" w:color="auto" w:fill="B2B2B2"/>
          </w:tcPr>
          <w:p>
            <w:pPr>
              <w:spacing w:after="0"/>
              <w:rPr>
                <w:sz w:val="19"/>
                <w:szCs w:val="19"/>
                <w:color w:val="auto"/>
              </w:rPr>
            </w:pPr>
          </w:p>
        </w:tc>
        <w:tc>
          <w:tcPr>
            <w:tcW w:w="600" w:type="dxa"/>
            <w:vAlign w:val="bottom"/>
            <w:tcBorders>
              <w:right w:val="single" w:sz="8" w:color="B2B2B2"/>
            </w:tcBorders>
            <w:shd w:val="clear" w:color="auto" w:fill="B2B2B2"/>
          </w:tcPr>
          <w:p>
            <w:pPr>
              <w:spacing w:after="0"/>
              <w:rPr>
                <w:sz w:val="19"/>
                <w:szCs w:val="19"/>
                <w:color w:val="auto"/>
              </w:rPr>
            </w:pPr>
          </w:p>
        </w:tc>
        <w:tc>
          <w:tcPr>
            <w:tcW w:w="720" w:type="dxa"/>
            <w:vAlign w:val="bottom"/>
            <w:tcBorders>
              <w:right w:val="single" w:sz="8" w:color="B2B2B2"/>
            </w:tcBorders>
            <w:shd w:val="clear" w:color="auto" w:fill="B2B2B2"/>
          </w:tcPr>
          <w:p>
            <w:pPr>
              <w:spacing w:after="0"/>
              <w:rPr>
                <w:sz w:val="19"/>
                <w:szCs w:val="19"/>
                <w:color w:val="auto"/>
              </w:rPr>
            </w:pPr>
          </w:p>
        </w:tc>
        <w:tc>
          <w:tcPr>
            <w:tcW w:w="720" w:type="dxa"/>
            <w:vAlign w:val="bottom"/>
            <w:shd w:val="clear" w:color="auto" w:fill="B2B2B2"/>
          </w:tcPr>
          <w:p>
            <w:pPr>
              <w:spacing w:after="0"/>
              <w:rPr>
                <w:sz w:val="19"/>
                <w:szCs w:val="19"/>
                <w:color w:val="auto"/>
              </w:rPr>
            </w:pPr>
          </w:p>
        </w:tc>
        <w:tc>
          <w:tcPr>
            <w:tcW w:w="20" w:type="dxa"/>
            <w:vAlign w:val="bottom"/>
          </w:tcPr>
          <w:p>
            <w:pPr>
              <w:spacing w:after="0"/>
              <w:rPr>
                <w:sz w:val="19"/>
                <w:szCs w:val="19"/>
                <w:color w:val="auto"/>
              </w:rPr>
            </w:pPr>
          </w:p>
        </w:tc>
      </w:tr>
      <w:tr>
        <w:trPr>
          <w:trHeight w:val="212"/>
        </w:trPr>
        <w:tc>
          <w:tcPr>
            <w:tcW w:w="2180" w:type="dxa"/>
            <w:vAlign w:val="bottom"/>
            <w:tcBorders>
              <w:bottom w:val="single" w:sz="8" w:color="B2B2B2"/>
            </w:tcBorders>
          </w:tcPr>
          <w:p>
            <w:pPr>
              <w:spacing w:after="0"/>
              <w:rPr>
                <w:sz w:val="20"/>
                <w:szCs w:val="20"/>
                <w:color w:val="auto"/>
              </w:rPr>
            </w:pPr>
            <w:r>
              <w:rPr>
                <w:rFonts w:ascii="Arial" w:cs="Arial" w:eastAsia="Arial" w:hAnsi="Arial"/>
                <w:sz w:val="15"/>
                <w:szCs w:val="15"/>
                <w:b w:val="1"/>
                <w:bCs w:val="1"/>
                <w:color w:val="auto"/>
              </w:rPr>
              <w:t>  January</w:t>
            </w:r>
          </w:p>
        </w:tc>
        <w:tc>
          <w:tcPr>
            <w:tcW w:w="620" w:type="dxa"/>
            <w:vAlign w:val="bottom"/>
            <w:tcBorders>
              <w:bottom w:val="single" w:sz="8" w:color="B2B2B2"/>
            </w:tcBorders>
          </w:tcPr>
          <w:p>
            <w:pPr>
              <w:ind w:left="100"/>
              <w:spacing w:after="0"/>
              <w:rPr>
                <w:sz w:val="20"/>
                <w:szCs w:val="20"/>
                <w:color w:val="auto"/>
              </w:rPr>
            </w:pPr>
            <w:r>
              <w:rPr>
                <w:rFonts w:ascii="Arial" w:cs="Arial" w:eastAsia="Arial" w:hAnsi="Arial"/>
                <w:sz w:val="15"/>
                <w:szCs w:val="15"/>
                <w:color w:val="auto"/>
              </w:rPr>
              <w:t>244.65</w:t>
            </w:r>
          </w:p>
        </w:tc>
        <w:tc>
          <w:tcPr>
            <w:tcW w:w="680" w:type="dxa"/>
            <w:vAlign w:val="bottom"/>
            <w:tcBorders>
              <w:bottom w:val="single" w:sz="8" w:color="B2B2B2"/>
            </w:tcBorders>
          </w:tcPr>
          <w:p>
            <w:pPr>
              <w:ind w:left="140"/>
              <w:spacing w:after="0"/>
              <w:rPr>
                <w:sz w:val="20"/>
                <w:szCs w:val="20"/>
                <w:color w:val="auto"/>
              </w:rPr>
            </w:pPr>
            <w:r>
              <w:rPr>
                <w:rFonts w:ascii="Arial" w:cs="Arial" w:eastAsia="Arial" w:hAnsi="Arial"/>
                <w:sz w:val="15"/>
                <w:szCs w:val="15"/>
                <w:color w:val="auto"/>
              </w:rPr>
              <w:t>221.65</w:t>
            </w:r>
          </w:p>
        </w:tc>
        <w:tc>
          <w:tcPr>
            <w:tcW w:w="820" w:type="dxa"/>
            <w:vAlign w:val="bottom"/>
            <w:tcBorders>
              <w:bottom w:val="single" w:sz="8" w:color="B2B2B2"/>
            </w:tcBorders>
          </w:tcPr>
          <w:p>
            <w:pPr>
              <w:jc w:val="right"/>
              <w:ind w:right="165"/>
              <w:spacing w:after="0"/>
              <w:rPr>
                <w:sz w:val="20"/>
                <w:szCs w:val="20"/>
                <w:color w:val="auto"/>
              </w:rPr>
            </w:pPr>
            <w:r>
              <w:rPr>
                <w:rFonts w:ascii="Arial" w:cs="Arial" w:eastAsia="Arial" w:hAnsi="Arial"/>
                <w:sz w:val="15"/>
                <w:szCs w:val="15"/>
                <w:color w:val="auto"/>
              </w:rPr>
              <w:t>244.23</w:t>
            </w:r>
          </w:p>
        </w:tc>
        <w:tc>
          <w:tcPr>
            <w:tcW w:w="860" w:type="dxa"/>
            <w:vAlign w:val="bottom"/>
            <w:tcBorders>
              <w:bottom w:val="single" w:sz="8" w:color="B2B2B2"/>
              <w:right w:val="single" w:sz="8" w:color="D64000"/>
            </w:tcBorders>
          </w:tcPr>
          <w:p>
            <w:pPr>
              <w:spacing w:after="0"/>
              <w:rPr>
                <w:sz w:val="20"/>
                <w:szCs w:val="20"/>
                <w:color w:val="auto"/>
              </w:rPr>
            </w:pPr>
            <w:r>
              <w:rPr>
                <w:rFonts w:ascii="Arial" w:cs="Arial" w:eastAsia="Arial" w:hAnsi="Arial"/>
                <w:sz w:val="15"/>
                <w:szCs w:val="15"/>
                <w:color w:val="auto"/>
              </w:rPr>
              <w:t>5,550,283</w:t>
            </w:r>
          </w:p>
        </w:tc>
        <w:tc>
          <w:tcPr>
            <w:tcW w:w="600" w:type="dxa"/>
            <w:vAlign w:val="bottom"/>
            <w:tcBorders>
              <w:bottom w:val="single" w:sz="8" w:color="B2B2B2"/>
            </w:tcBorders>
          </w:tcPr>
          <w:p>
            <w:pPr>
              <w:jc w:val="right"/>
              <w:spacing w:after="0"/>
              <w:rPr>
                <w:sz w:val="20"/>
                <w:szCs w:val="20"/>
                <w:color w:val="auto"/>
              </w:rPr>
            </w:pPr>
            <w:r>
              <w:rPr>
                <w:rFonts w:ascii="Arial" w:cs="Arial" w:eastAsia="Arial" w:hAnsi="Arial"/>
                <w:sz w:val="15"/>
                <w:szCs w:val="15"/>
                <w:color w:val="auto"/>
              </w:rPr>
              <w:t>169.04</w:t>
            </w:r>
          </w:p>
        </w:tc>
        <w:tc>
          <w:tcPr>
            <w:tcW w:w="700" w:type="dxa"/>
            <w:vAlign w:val="bottom"/>
            <w:tcBorders>
              <w:bottom w:val="single" w:sz="8" w:color="B2B2B2"/>
            </w:tcBorders>
          </w:tcPr>
          <w:p>
            <w:pPr>
              <w:jc w:val="right"/>
              <w:ind w:right="5"/>
              <w:spacing w:after="0"/>
              <w:rPr>
                <w:sz w:val="20"/>
                <w:szCs w:val="20"/>
                <w:color w:val="auto"/>
              </w:rPr>
            </w:pPr>
            <w:r>
              <w:rPr>
                <w:rFonts w:ascii="Arial" w:cs="Arial" w:eastAsia="Arial" w:hAnsi="Arial"/>
                <w:sz w:val="15"/>
                <w:szCs w:val="15"/>
                <w:color w:val="auto"/>
              </w:rPr>
              <w:t>154.46</w:t>
            </w:r>
          </w:p>
        </w:tc>
        <w:tc>
          <w:tcPr>
            <w:tcW w:w="720" w:type="dxa"/>
            <w:vAlign w:val="bottom"/>
            <w:tcBorders>
              <w:bottom w:val="single" w:sz="8" w:color="B2B2B2"/>
            </w:tcBorders>
          </w:tcPr>
          <w:p>
            <w:pPr>
              <w:ind w:left="120"/>
              <w:spacing w:after="0"/>
              <w:rPr>
                <w:sz w:val="20"/>
                <w:szCs w:val="20"/>
                <w:color w:val="auto"/>
              </w:rPr>
            </w:pPr>
            <w:r>
              <w:rPr>
                <w:rFonts w:ascii="Arial" w:cs="Arial" w:eastAsia="Arial" w:hAnsi="Arial"/>
                <w:sz w:val="15"/>
                <w:szCs w:val="15"/>
                <w:color w:val="auto"/>
              </w:rPr>
              <w:t>168.25</w:t>
            </w:r>
          </w:p>
        </w:tc>
        <w:tc>
          <w:tcPr>
            <w:tcW w:w="980" w:type="dxa"/>
            <w:vAlign w:val="bottom"/>
            <w:tcBorders>
              <w:bottom w:val="single" w:sz="8" w:color="B2B2B2"/>
              <w:right w:val="single" w:sz="8" w:color="D64000"/>
            </w:tcBorders>
          </w:tcPr>
          <w:p>
            <w:pPr>
              <w:ind w:left="100"/>
              <w:spacing w:after="0"/>
              <w:rPr>
                <w:sz w:val="20"/>
                <w:szCs w:val="20"/>
                <w:color w:val="auto"/>
              </w:rPr>
            </w:pPr>
            <w:r>
              <w:rPr>
                <w:rFonts w:ascii="Arial" w:cs="Arial" w:eastAsia="Arial" w:hAnsi="Arial"/>
                <w:sz w:val="15"/>
                <w:szCs w:val="15"/>
                <w:color w:val="auto"/>
              </w:rPr>
              <w:t>6,157,382</w:t>
            </w:r>
          </w:p>
        </w:tc>
        <w:tc>
          <w:tcPr>
            <w:tcW w:w="600" w:type="dxa"/>
            <w:vAlign w:val="bottom"/>
            <w:tcBorders>
              <w:bottom w:val="single" w:sz="8" w:color="B2B2B2"/>
              <w:right w:val="single" w:sz="8" w:color="B2B2B2"/>
            </w:tcBorders>
          </w:tcPr>
          <w:p>
            <w:pPr>
              <w:jc w:val="right"/>
              <w:ind w:right="45"/>
              <w:spacing w:after="0"/>
              <w:rPr>
                <w:sz w:val="20"/>
                <w:szCs w:val="20"/>
                <w:color w:val="auto"/>
              </w:rPr>
            </w:pPr>
            <w:r>
              <w:rPr>
                <w:rFonts w:ascii="Arial" w:cs="Arial" w:eastAsia="Arial" w:hAnsi="Arial"/>
                <w:sz w:val="15"/>
                <w:szCs w:val="15"/>
                <w:color w:val="auto"/>
              </w:rPr>
              <w:t>15.25</w:t>
            </w:r>
          </w:p>
        </w:tc>
        <w:tc>
          <w:tcPr>
            <w:tcW w:w="600" w:type="dxa"/>
            <w:vAlign w:val="bottom"/>
            <w:tcBorders>
              <w:bottom w:val="single" w:sz="8" w:color="B2B2B2"/>
              <w:right w:val="single" w:sz="8" w:color="B2B2B2"/>
            </w:tcBorders>
          </w:tcPr>
          <w:p>
            <w:pPr>
              <w:jc w:val="right"/>
              <w:ind w:right="45"/>
              <w:spacing w:after="0"/>
              <w:rPr>
                <w:sz w:val="20"/>
                <w:szCs w:val="20"/>
                <w:color w:val="auto"/>
              </w:rPr>
            </w:pPr>
            <w:r>
              <w:rPr>
                <w:rFonts w:ascii="Arial" w:cs="Arial" w:eastAsia="Arial" w:hAnsi="Arial"/>
                <w:sz w:val="15"/>
                <w:szCs w:val="15"/>
                <w:color w:val="auto"/>
              </w:rPr>
              <w:t>14.70</w:t>
            </w:r>
          </w:p>
        </w:tc>
        <w:tc>
          <w:tcPr>
            <w:tcW w:w="720" w:type="dxa"/>
            <w:vAlign w:val="bottom"/>
            <w:tcBorders>
              <w:bottom w:val="single" w:sz="8" w:color="B2B2B2"/>
              <w:right w:val="single" w:sz="8" w:color="B2B2B2"/>
            </w:tcBorders>
          </w:tcPr>
          <w:p>
            <w:pPr>
              <w:jc w:val="right"/>
              <w:ind w:right="165"/>
              <w:spacing w:after="0"/>
              <w:rPr>
                <w:sz w:val="20"/>
                <w:szCs w:val="20"/>
                <w:color w:val="auto"/>
              </w:rPr>
            </w:pPr>
            <w:r>
              <w:rPr>
                <w:rFonts w:ascii="Arial" w:cs="Arial" w:eastAsia="Arial" w:hAnsi="Arial"/>
                <w:sz w:val="15"/>
                <w:szCs w:val="15"/>
                <w:color w:val="auto"/>
              </w:rPr>
              <w:t>15.15</w:t>
            </w:r>
          </w:p>
        </w:tc>
        <w:tc>
          <w:tcPr>
            <w:tcW w:w="720" w:type="dxa"/>
            <w:vAlign w:val="bottom"/>
            <w:tcBorders>
              <w:bottom w:val="single" w:sz="8" w:color="B2B2B2"/>
            </w:tcBorders>
          </w:tcPr>
          <w:p>
            <w:pPr>
              <w:ind w:left="100"/>
              <w:spacing w:after="0"/>
              <w:rPr>
                <w:sz w:val="20"/>
                <w:szCs w:val="20"/>
                <w:color w:val="auto"/>
              </w:rPr>
            </w:pPr>
            <w:r>
              <w:rPr>
                <w:rFonts w:ascii="Arial" w:cs="Arial" w:eastAsia="Arial" w:hAnsi="Arial"/>
                <w:sz w:val="15"/>
                <w:szCs w:val="15"/>
                <w:color w:val="auto"/>
              </w:rPr>
              <w:t>76,461</w:t>
            </w:r>
          </w:p>
        </w:tc>
        <w:tc>
          <w:tcPr>
            <w:tcW w:w="20" w:type="dxa"/>
            <w:vAlign w:val="bottom"/>
          </w:tcPr>
          <w:p>
            <w:pPr>
              <w:spacing w:after="0"/>
              <w:rPr>
                <w:sz w:val="18"/>
                <w:szCs w:val="18"/>
                <w:color w:val="auto"/>
              </w:rPr>
            </w:pPr>
          </w:p>
        </w:tc>
      </w:tr>
      <w:tr>
        <w:trPr>
          <w:trHeight w:val="198"/>
        </w:trPr>
        <w:tc>
          <w:tcPr>
            <w:tcW w:w="2180" w:type="dxa"/>
            <w:vAlign w:val="bottom"/>
            <w:tcBorders>
              <w:bottom w:val="single" w:sz="8" w:color="D64000"/>
            </w:tcBorders>
          </w:tcPr>
          <w:p>
            <w:pPr>
              <w:spacing w:after="0"/>
              <w:rPr>
                <w:sz w:val="20"/>
                <w:szCs w:val="20"/>
                <w:color w:val="auto"/>
              </w:rPr>
            </w:pPr>
            <w:r>
              <w:rPr>
                <w:rFonts w:ascii="Arial" w:cs="Arial" w:eastAsia="Arial" w:hAnsi="Arial"/>
                <w:sz w:val="15"/>
                <w:szCs w:val="15"/>
                <w:b w:val="1"/>
                <w:bCs w:val="1"/>
                <w:color w:val="auto"/>
              </w:rPr>
              <w:t>  February</w:t>
            </w:r>
          </w:p>
        </w:tc>
        <w:tc>
          <w:tcPr>
            <w:tcW w:w="620" w:type="dxa"/>
            <w:vAlign w:val="bottom"/>
            <w:tcBorders>
              <w:bottom w:val="single" w:sz="8" w:color="D64000"/>
            </w:tcBorders>
          </w:tcPr>
          <w:p>
            <w:pPr>
              <w:ind w:left="100"/>
              <w:spacing w:after="0"/>
              <w:rPr>
                <w:sz w:val="20"/>
                <w:szCs w:val="20"/>
                <w:color w:val="auto"/>
              </w:rPr>
            </w:pPr>
            <w:r>
              <w:rPr>
                <w:rFonts w:ascii="Arial" w:cs="Arial" w:eastAsia="Arial" w:hAnsi="Arial"/>
                <w:sz w:val="15"/>
                <w:szCs w:val="15"/>
                <w:color w:val="auto"/>
              </w:rPr>
              <w:t>258.63</w:t>
            </w:r>
          </w:p>
        </w:tc>
        <w:tc>
          <w:tcPr>
            <w:tcW w:w="680" w:type="dxa"/>
            <w:vAlign w:val="bottom"/>
            <w:tcBorders>
              <w:bottom w:val="single" w:sz="8" w:color="D64000"/>
            </w:tcBorders>
          </w:tcPr>
          <w:p>
            <w:pPr>
              <w:ind w:left="140"/>
              <w:spacing w:after="0"/>
              <w:rPr>
                <w:sz w:val="20"/>
                <w:szCs w:val="20"/>
                <w:color w:val="auto"/>
              </w:rPr>
            </w:pPr>
            <w:r>
              <w:rPr>
                <w:rFonts w:ascii="Arial" w:cs="Arial" w:eastAsia="Arial" w:hAnsi="Arial"/>
                <w:sz w:val="15"/>
                <w:szCs w:val="15"/>
                <w:color w:val="auto"/>
              </w:rPr>
              <w:t>237.57</w:t>
            </w:r>
          </w:p>
        </w:tc>
        <w:tc>
          <w:tcPr>
            <w:tcW w:w="820" w:type="dxa"/>
            <w:vAlign w:val="bottom"/>
            <w:tcBorders>
              <w:bottom w:val="single" w:sz="8" w:color="D64000"/>
            </w:tcBorders>
          </w:tcPr>
          <w:p>
            <w:pPr>
              <w:jc w:val="right"/>
              <w:ind w:right="165"/>
              <w:spacing w:after="0"/>
              <w:rPr>
                <w:sz w:val="20"/>
                <w:szCs w:val="20"/>
                <w:color w:val="auto"/>
              </w:rPr>
            </w:pPr>
            <w:r>
              <w:rPr>
                <w:rFonts w:ascii="Arial" w:cs="Arial" w:eastAsia="Arial" w:hAnsi="Arial"/>
                <w:sz w:val="15"/>
                <w:szCs w:val="15"/>
                <w:color w:val="auto"/>
              </w:rPr>
              <w:t>258.63</w:t>
            </w:r>
          </w:p>
        </w:tc>
        <w:tc>
          <w:tcPr>
            <w:tcW w:w="860" w:type="dxa"/>
            <w:vAlign w:val="bottom"/>
            <w:tcBorders>
              <w:bottom w:val="single" w:sz="8" w:color="D64000"/>
              <w:right w:val="single" w:sz="8" w:color="D64000"/>
            </w:tcBorders>
          </w:tcPr>
          <w:p>
            <w:pPr>
              <w:spacing w:after="0"/>
              <w:rPr>
                <w:sz w:val="20"/>
                <w:szCs w:val="20"/>
                <w:color w:val="auto"/>
              </w:rPr>
            </w:pPr>
            <w:r>
              <w:rPr>
                <w:rFonts w:ascii="Arial" w:cs="Arial" w:eastAsia="Arial" w:hAnsi="Arial"/>
                <w:sz w:val="15"/>
                <w:szCs w:val="15"/>
                <w:color w:val="auto"/>
              </w:rPr>
              <w:t>9,524,739</w:t>
            </w:r>
          </w:p>
        </w:tc>
        <w:tc>
          <w:tcPr>
            <w:tcW w:w="600" w:type="dxa"/>
            <w:vAlign w:val="bottom"/>
            <w:tcBorders>
              <w:bottom w:val="single" w:sz="8" w:color="D64000"/>
            </w:tcBorders>
          </w:tcPr>
          <w:p>
            <w:pPr>
              <w:jc w:val="right"/>
              <w:spacing w:after="0"/>
              <w:rPr>
                <w:sz w:val="20"/>
                <w:szCs w:val="20"/>
                <w:color w:val="auto"/>
              </w:rPr>
            </w:pPr>
            <w:r>
              <w:rPr>
                <w:rFonts w:ascii="Arial" w:cs="Arial" w:eastAsia="Arial" w:hAnsi="Arial"/>
                <w:sz w:val="15"/>
                <w:szCs w:val="15"/>
                <w:color w:val="auto"/>
              </w:rPr>
              <w:t>179.32</w:t>
            </w:r>
          </w:p>
        </w:tc>
        <w:tc>
          <w:tcPr>
            <w:tcW w:w="700" w:type="dxa"/>
            <w:vAlign w:val="bottom"/>
            <w:tcBorders>
              <w:bottom w:val="single" w:sz="8" w:color="D64000"/>
            </w:tcBorders>
          </w:tcPr>
          <w:p>
            <w:pPr>
              <w:jc w:val="right"/>
              <w:ind w:right="5"/>
              <w:spacing w:after="0"/>
              <w:rPr>
                <w:sz w:val="20"/>
                <w:szCs w:val="20"/>
                <w:color w:val="auto"/>
              </w:rPr>
            </w:pPr>
            <w:r>
              <w:rPr>
                <w:rFonts w:ascii="Arial" w:cs="Arial" w:eastAsia="Arial" w:hAnsi="Arial"/>
                <w:sz w:val="15"/>
                <w:szCs w:val="15"/>
                <w:color w:val="auto"/>
              </w:rPr>
              <w:t>168.06</w:t>
            </w:r>
          </w:p>
        </w:tc>
        <w:tc>
          <w:tcPr>
            <w:tcW w:w="720" w:type="dxa"/>
            <w:vAlign w:val="bottom"/>
            <w:tcBorders>
              <w:bottom w:val="single" w:sz="8" w:color="D64000"/>
            </w:tcBorders>
          </w:tcPr>
          <w:p>
            <w:pPr>
              <w:ind w:left="120"/>
              <w:spacing w:after="0"/>
              <w:rPr>
                <w:sz w:val="20"/>
                <w:szCs w:val="20"/>
                <w:color w:val="auto"/>
              </w:rPr>
            </w:pPr>
            <w:r>
              <w:rPr>
                <w:rFonts w:ascii="Arial" w:cs="Arial" w:eastAsia="Arial" w:hAnsi="Arial"/>
                <w:sz w:val="15"/>
                <w:szCs w:val="15"/>
                <w:color w:val="auto"/>
              </w:rPr>
              <w:t>178.82</w:t>
            </w:r>
          </w:p>
        </w:tc>
        <w:tc>
          <w:tcPr>
            <w:tcW w:w="980" w:type="dxa"/>
            <w:vAlign w:val="bottom"/>
            <w:tcBorders>
              <w:bottom w:val="single" w:sz="8" w:color="D64000"/>
              <w:right w:val="single" w:sz="8" w:color="D64000"/>
            </w:tcBorders>
          </w:tcPr>
          <w:p>
            <w:pPr>
              <w:ind w:left="100"/>
              <w:spacing w:after="0"/>
              <w:rPr>
                <w:sz w:val="20"/>
                <w:szCs w:val="20"/>
                <w:color w:val="auto"/>
              </w:rPr>
            </w:pPr>
            <w:r>
              <w:rPr>
                <w:rFonts w:ascii="Arial" w:cs="Arial" w:eastAsia="Arial" w:hAnsi="Arial"/>
                <w:sz w:val="15"/>
                <w:szCs w:val="15"/>
                <w:color w:val="auto"/>
              </w:rPr>
              <w:t>12,599,643</w:t>
            </w:r>
          </w:p>
        </w:tc>
        <w:tc>
          <w:tcPr>
            <w:tcW w:w="600" w:type="dxa"/>
            <w:vAlign w:val="bottom"/>
            <w:tcBorders>
              <w:bottom w:val="single" w:sz="8" w:color="D64000"/>
              <w:right w:val="single" w:sz="8" w:color="B2B2B2"/>
            </w:tcBorders>
          </w:tcPr>
          <w:p>
            <w:pPr>
              <w:jc w:val="right"/>
              <w:ind w:right="45"/>
              <w:spacing w:after="0"/>
              <w:rPr>
                <w:sz w:val="20"/>
                <w:szCs w:val="20"/>
                <w:color w:val="auto"/>
              </w:rPr>
            </w:pPr>
            <w:r>
              <w:rPr>
                <w:rFonts w:ascii="Arial" w:cs="Arial" w:eastAsia="Arial" w:hAnsi="Arial"/>
                <w:sz w:val="15"/>
                <w:szCs w:val="15"/>
                <w:color w:val="auto"/>
              </w:rPr>
              <w:t>15.30</w:t>
            </w:r>
          </w:p>
        </w:tc>
        <w:tc>
          <w:tcPr>
            <w:tcW w:w="600" w:type="dxa"/>
            <w:vAlign w:val="bottom"/>
            <w:tcBorders>
              <w:bottom w:val="single" w:sz="8" w:color="D64000"/>
              <w:right w:val="single" w:sz="8" w:color="B2B2B2"/>
            </w:tcBorders>
          </w:tcPr>
          <w:p>
            <w:pPr>
              <w:jc w:val="right"/>
              <w:ind w:right="45"/>
              <w:spacing w:after="0"/>
              <w:rPr>
                <w:sz w:val="20"/>
                <w:szCs w:val="20"/>
                <w:color w:val="auto"/>
              </w:rPr>
            </w:pPr>
            <w:r>
              <w:rPr>
                <w:rFonts w:ascii="Arial" w:cs="Arial" w:eastAsia="Arial" w:hAnsi="Arial"/>
                <w:sz w:val="15"/>
                <w:szCs w:val="15"/>
                <w:color w:val="auto"/>
              </w:rPr>
              <w:t>14.80</w:t>
            </w:r>
          </w:p>
        </w:tc>
        <w:tc>
          <w:tcPr>
            <w:tcW w:w="720" w:type="dxa"/>
            <w:vAlign w:val="bottom"/>
            <w:tcBorders>
              <w:bottom w:val="single" w:sz="8" w:color="D64000"/>
              <w:right w:val="single" w:sz="8" w:color="B2B2B2"/>
            </w:tcBorders>
          </w:tcPr>
          <w:p>
            <w:pPr>
              <w:jc w:val="right"/>
              <w:ind w:right="165"/>
              <w:spacing w:after="0"/>
              <w:rPr>
                <w:sz w:val="20"/>
                <w:szCs w:val="20"/>
                <w:color w:val="auto"/>
              </w:rPr>
            </w:pPr>
            <w:r>
              <w:rPr>
                <w:rFonts w:ascii="Arial" w:cs="Arial" w:eastAsia="Arial" w:hAnsi="Arial"/>
                <w:sz w:val="15"/>
                <w:szCs w:val="15"/>
                <w:color w:val="auto"/>
              </w:rPr>
              <w:t>15.03</w:t>
            </w:r>
          </w:p>
        </w:tc>
        <w:tc>
          <w:tcPr>
            <w:tcW w:w="720" w:type="dxa"/>
            <w:vAlign w:val="bottom"/>
            <w:tcBorders>
              <w:bottom w:val="single" w:sz="8" w:color="D64000"/>
            </w:tcBorders>
          </w:tcPr>
          <w:p>
            <w:pPr>
              <w:ind w:left="100"/>
              <w:spacing w:after="0"/>
              <w:rPr>
                <w:sz w:val="20"/>
                <w:szCs w:val="20"/>
                <w:color w:val="auto"/>
              </w:rPr>
            </w:pPr>
            <w:r>
              <w:rPr>
                <w:rFonts w:ascii="Arial" w:cs="Arial" w:eastAsia="Arial" w:hAnsi="Arial"/>
                <w:sz w:val="15"/>
                <w:szCs w:val="15"/>
                <w:color w:val="auto"/>
              </w:rPr>
              <w:t>180,344</w:t>
            </w:r>
          </w:p>
        </w:tc>
        <w:tc>
          <w:tcPr>
            <w:tcW w:w="20" w:type="dxa"/>
            <w:vAlign w:val="bottom"/>
          </w:tcPr>
          <w:p>
            <w:pPr>
              <w:spacing w:after="0"/>
              <w:rPr>
                <w:sz w:val="17"/>
                <w:szCs w:val="17"/>
                <w:color w:val="auto"/>
              </w:rPr>
            </w:pPr>
          </w:p>
        </w:tc>
      </w:tr>
      <w:tr>
        <w:trPr>
          <w:trHeight w:val="172"/>
        </w:trPr>
        <w:tc>
          <w:tcPr>
            <w:tcW w:w="3480" w:type="dxa"/>
            <w:vAlign w:val="bottom"/>
            <w:tcBorders>
              <w:bottom w:val="single" w:sz="8" w:color="7F7F7F"/>
            </w:tcBorders>
            <w:gridSpan w:val="3"/>
          </w:tcPr>
          <w:p>
            <w:pPr>
              <w:spacing w:after="0"/>
              <w:rPr>
                <w:sz w:val="14"/>
                <w:szCs w:val="14"/>
                <w:color w:val="auto"/>
              </w:rPr>
            </w:pPr>
          </w:p>
        </w:tc>
        <w:tc>
          <w:tcPr>
            <w:tcW w:w="820" w:type="dxa"/>
            <w:vAlign w:val="bottom"/>
            <w:tcBorders>
              <w:bottom w:val="single" w:sz="8" w:color="7F7F7F"/>
            </w:tcBorders>
          </w:tcPr>
          <w:p>
            <w:pPr>
              <w:spacing w:after="0"/>
              <w:rPr>
                <w:sz w:val="14"/>
                <w:szCs w:val="14"/>
                <w:color w:val="auto"/>
              </w:rPr>
            </w:pPr>
          </w:p>
        </w:tc>
        <w:tc>
          <w:tcPr>
            <w:tcW w:w="860" w:type="dxa"/>
            <w:vAlign w:val="bottom"/>
            <w:tcBorders>
              <w:bottom w:val="single" w:sz="8" w:color="7F7F7F"/>
            </w:tcBorders>
          </w:tcPr>
          <w:p>
            <w:pPr>
              <w:spacing w:after="0"/>
              <w:rPr>
                <w:sz w:val="14"/>
                <w:szCs w:val="14"/>
                <w:color w:val="auto"/>
              </w:rPr>
            </w:pPr>
          </w:p>
        </w:tc>
        <w:tc>
          <w:tcPr>
            <w:tcW w:w="600" w:type="dxa"/>
            <w:vAlign w:val="bottom"/>
            <w:tcBorders>
              <w:bottom w:val="single" w:sz="8" w:color="7F7F7F"/>
            </w:tcBorders>
          </w:tcPr>
          <w:p>
            <w:pPr>
              <w:spacing w:after="0"/>
              <w:rPr>
                <w:sz w:val="14"/>
                <w:szCs w:val="14"/>
                <w:color w:val="auto"/>
              </w:rPr>
            </w:pPr>
          </w:p>
        </w:tc>
        <w:tc>
          <w:tcPr>
            <w:tcW w:w="700" w:type="dxa"/>
            <w:vAlign w:val="bottom"/>
            <w:tcBorders>
              <w:bottom w:val="single" w:sz="8" w:color="7F7F7F"/>
            </w:tcBorders>
          </w:tcPr>
          <w:p>
            <w:pPr>
              <w:spacing w:after="0"/>
              <w:rPr>
                <w:sz w:val="14"/>
                <w:szCs w:val="14"/>
                <w:color w:val="auto"/>
              </w:rPr>
            </w:pPr>
          </w:p>
        </w:tc>
        <w:tc>
          <w:tcPr>
            <w:tcW w:w="720" w:type="dxa"/>
            <w:vAlign w:val="bottom"/>
            <w:tcBorders>
              <w:bottom w:val="single" w:sz="8" w:color="7F7F7F"/>
            </w:tcBorders>
          </w:tcPr>
          <w:p>
            <w:pPr>
              <w:spacing w:after="0"/>
              <w:rPr>
                <w:sz w:val="14"/>
                <w:szCs w:val="14"/>
                <w:color w:val="auto"/>
              </w:rPr>
            </w:pPr>
          </w:p>
        </w:tc>
        <w:tc>
          <w:tcPr>
            <w:tcW w:w="980" w:type="dxa"/>
            <w:vAlign w:val="bottom"/>
            <w:tcBorders>
              <w:bottom w:val="single" w:sz="8" w:color="7F7F7F"/>
            </w:tcBorders>
          </w:tcPr>
          <w:p>
            <w:pPr>
              <w:spacing w:after="0"/>
              <w:rPr>
                <w:sz w:val="14"/>
                <w:szCs w:val="14"/>
                <w:color w:val="auto"/>
              </w:rPr>
            </w:pPr>
          </w:p>
        </w:tc>
        <w:tc>
          <w:tcPr>
            <w:tcW w:w="600" w:type="dxa"/>
            <w:vAlign w:val="bottom"/>
            <w:tcBorders>
              <w:bottom w:val="single" w:sz="8" w:color="7F7F7F"/>
            </w:tcBorders>
          </w:tcPr>
          <w:p>
            <w:pPr>
              <w:spacing w:after="0"/>
              <w:rPr>
                <w:sz w:val="14"/>
                <w:szCs w:val="14"/>
                <w:color w:val="auto"/>
              </w:rPr>
            </w:pPr>
          </w:p>
        </w:tc>
        <w:tc>
          <w:tcPr>
            <w:tcW w:w="600" w:type="dxa"/>
            <w:vAlign w:val="bottom"/>
            <w:tcBorders>
              <w:bottom w:val="single" w:sz="8" w:color="7F7F7F"/>
            </w:tcBorders>
          </w:tcPr>
          <w:p>
            <w:pPr>
              <w:spacing w:after="0"/>
              <w:rPr>
                <w:sz w:val="14"/>
                <w:szCs w:val="14"/>
                <w:color w:val="auto"/>
              </w:rPr>
            </w:pPr>
          </w:p>
        </w:tc>
        <w:tc>
          <w:tcPr>
            <w:tcW w:w="720" w:type="dxa"/>
            <w:vAlign w:val="bottom"/>
            <w:tcBorders>
              <w:bottom w:val="single" w:sz="8" w:color="7F7F7F"/>
            </w:tcBorders>
          </w:tcPr>
          <w:p>
            <w:pPr>
              <w:spacing w:after="0"/>
              <w:rPr>
                <w:sz w:val="14"/>
                <w:szCs w:val="14"/>
                <w:color w:val="auto"/>
              </w:rPr>
            </w:pPr>
          </w:p>
        </w:tc>
        <w:tc>
          <w:tcPr>
            <w:tcW w:w="720" w:type="dxa"/>
            <w:vAlign w:val="bottom"/>
            <w:tcBorders>
              <w:bottom w:val="single" w:sz="8" w:color="7F7F7F"/>
            </w:tcBorders>
          </w:tcPr>
          <w:p>
            <w:pPr>
              <w:spacing w:after="0"/>
              <w:rPr>
                <w:sz w:val="14"/>
                <w:szCs w:val="14"/>
                <w:color w:val="auto"/>
              </w:rPr>
            </w:pPr>
          </w:p>
        </w:tc>
        <w:tc>
          <w:tcPr>
            <w:tcW w:w="20" w:type="dxa"/>
            <w:vAlign w:val="bottom"/>
          </w:tcPr>
          <w:p>
            <w:pPr>
              <w:spacing w:after="0"/>
              <w:rPr>
                <w:sz w:val="14"/>
                <w:szCs w:val="14"/>
                <w:color w:val="auto"/>
              </w:rPr>
            </w:pPr>
          </w:p>
        </w:tc>
      </w:tr>
      <w:tr>
        <w:trPr>
          <w:trHeight w:val="241"/>
        </w:trPr>
        <w:tc>
          <w:tcPr>
            <w:tcW w:w="3480" w:type="dxa"/>
            <w:vAlign w:val="bottom"/>
            <w:gridSpan w:val="3"/>
          </w:tcPr>
          <w:p>
            <w:pPr>
              <w:spacing w:after="0"/>
              <w:rPr>
                <w:sz w:val="20"/>
                <w:szCs w:val="20"/>
                <w:color w:val="auto"/>
              </w:rPr>
            </w:pPr>
            <w:r>
              <w:rPr>
                <w:rFonts w:ascii="Arial" w:cs="Arial" w:eastAsia="Arial" w:hAnsi="Arial"/>
                <w:sz w:val="17"/>
                <w:szCs w:val="17"/>
                <w:b w:val="1"/>
                <w:bCs w:val="1"/>
                <w:color w:val="auto"/>
              </w:rPr>
              <w:t>Thomson Reuters Annual Report 2024</w:t>
            </w: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gridSpan w:val="2"/>
          </w:tcPr>
          <w:p>
            <w:pPr>
              <w:jc w:val="center"/>
              <w:spacing w:after="0"/>
              <w:rPr>
                <w:sz w:val="20"/>
                <w:szCs w:val="20"/>
                <w:color w:val="auto"/>
              </w:rPr>
            </w:pPr>
            <w:r>
              <w:rPr>
                <w:rFonts w:ascii="Arial" w:cs="Arial" w:eastAsia="Arial" w:hAnsi="Arial"/>
                <w:sz w:val="17"/>
                <w:szCs w:val="17"/>
                <w:color w:val="auto"/>
                <w:w w:val="98"/>
              </w:rPr>
              <w:t>Page 153</w:t>
            </w:r>
          </w:p>
        </w:tc>
      </w:tr>
    </w:tbl>
    <w:p>
      <w:pPr>
        <w:sectPr>
          <w:pgSz w:w="11900" w:h="16838" w:orient="portrait"/>
          <w:cols w:equalWidth="0" w:num="1">
            <w:col w:w="11040"/>
          </w:cols>
          <w:pgMar w:left="320" w:top="477" w:right="5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Dividends</w:t>
      </w:r>
    </w:p>
    <w:p>
      <w:pPr>
        <w:spacing w:after="0" w:line="84" w:lineRule="exact"/>
        <w:rPr>
          <w:sz w:val="20"/>
          <w:szCs w:val="20"/>
          <w:color w:val="auto"/>
        </w:rPr>
      </w:pPr>
    </w:p>
    <w:p>
      <w:pPr>
        <w:ind w:left="220" w:right="860"/>
        <w:spacing w:after="0" w:line="260" w:lineRule="auto"/>
        <w:rPr>
          <w:sz w:val="20"/>
          <w:szCs w:val="20"/>
          <w:color w:val="auto"/>
        </w:rPr>
      </w:pPr>
      <w:r>
        <w:rPr>
          <w:rFonts w:ascii="Arial" w:cs="Arial" w:eastAsia="Arial" w:hAnsi="Arial"/>
          <w:sz w:val="17"/>
          <w:szCs w:val="17"/>
          <w:color w:val="auto"/>
        </w:rPr>
        <w:t>Our company and our predecessor companies have paid dividends for over 30 years and we view dividends as a critical component of shareholder return.</w:t>
      </w:r>
    </w:p>
    <w:p>
      <w:pPr>
        <w:spacing w:after="0" w:line="40" w:lineRule="exact"/>
        <w:rPr>
          <w:sz w:val="20"/>
          <w:szCs w:val="20"/>
          <w:color w:val="auto"/>
        </w:rPr>
      </w:pPr>
    </w:p>
    <w:p>
      <w:pPr>
        <w:ind w:left="220" w:right="400"/>
        <w:spacing w:after="0" w:line="260" w:lineRule="auto"/>
        <w:rPr>
          <w:sz w:val="20"/>
          <w:szCs w:val="20"/>
          <w:color w:val="auto"/>
        </w:rPr>
      </w:pPr>
      <w:r>
        <w:rPr>
          <w:rFonts w:ascii="Arial" w:cs="Arial" w:eastAsia="Arial" w:hAnsi="Arial"/>
          <w:sz w:val="17"/>
          <w:szCs w:val="17"/>
          <w:color w:val="auto"/>
        </w:rPr>
        <w:t>Any dividends that we declare on our shares take into account all factors that our Board considers relevant, including our available cash flow, financial condition and capital requirements.</w:t>
      </w:r>
    </w:p>
    <w:p>
      <w:pPr>
        <w:spacing w:after="0" w:line="40" w:lineRule="exact"/>
        <w:rPr>
          <w:sz w:val="20"/>
          <w:szCs w:val="20"/>
          <w:color w:val="auto"/>
        </w:rPr>
      </w:pPr>
    </w:p>
    <w:p>
      <w:pPr>
        <w:ind w:left="220" w:right="180"/>
        <w:spacing w:after="0" w:line="238" w:lineRule="auto"/>
        <w:rPr>
          <w:sz w:val="20"/>
          <w:szCs w:val="20"/>
          <w:color w:val="auto"/>
        </w:rPr>
      </w:pPr>
      <w:r>
        <w:rPr>
          <w:rFonts w:ascii="Arial" w:cs="Arial" w:eastAsia="Arial" w:hAnsi="Arial"/>
          <w:sz w:val="17"/>
          <w:szCs w:val="17"/>
          <w:color w:val="auto"/>
        </w:rPr>
        <w:t>Our Board reviews our dividend policy each fiscal year. In February 2025, we announced that our Board approved a 10% increase to our annualized dividend rate of $0.22 to $2.38 per share (or $0.0595 per share on a quarterly basis), effective with our dividend to be paid on March 10, 2025 to common shareholders of record as of February 20, 2025. The declaration of dividends by our Board and the amount of those dividends is at the discretion of the Board.</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graph shows our annualized dividends per common share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1164590</wp:posOffset>
            </wp:positionH>
            <wp:positionV relativeFrom="paragraph">
              <wp:posOffset>318770</wp:posOffset>
            </wp:positionV>
            <wp:extent cx="4812665" cy="21793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812665" cy="217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0" w:right="220"/>
        <w:spacing w:after="0" w:line="260" w:lineRule="auto"/>
        <w:rPr>
          <w:sz w:val="20"/>
          <w:szCs w:val="20"/>
          <w:color w:val="auto"/>
        </w:rPr>
      </w:pPr>
      <w:r>
        <w:rPr>
          <w:rFonts w:ascii="Arial" w:cs="Arial" w:eastAsia="Arial" w:hAnsi="Arial"/>
          <w:sz w:val="17"/>
          <w:szCs w:val="17"/>
          <w:color w:val="auto"/>
        </w:rPr>
        <w:t>The following table provides information regarding the default currencies for our dividend payments, as well as other currency options that were available to our shareholders as of March 1, 2025.</w:t>
      </w:r>
    </w:p>
    <w:p>
      <w:pPr>
        <w:spacing w:after="0" w:line="208" w:lineRule="exact"/>
        <w:rPr>
          <w:sz w:val="20"/>
          <w:szCs w:val="20"/>
          <w:color w:val="auto"/>
        </w:rPr>
      </w:pPr>
    </w:p>
    <w:tbl>
      <w:tblPr>
        <w:tblLayout w:type="fixed"/>
        <w:tblInd w:w="220" w:type="dxa"/>
        <w:tblCellMar>
          <w:top w:w="0" w:type="dxa"/>
          <w:left w:w="0" w:type="dxa"/>
          <w:bottom w:w="0" w:type="dxa"/>
          <w:right w:w="0" w:type="dxa"/>
        </w:tblCellMar>
      </w:tblPr>
      <w:tr>
        <w:trPr>
          <w:trHeight w:val="364"/>
        </w:trPr>
        <w:tc>
          <w:tcPr>
            <w:tcW w:w="3240" w:type="dxa"/>
            <w:vAlign w:val="bottom"/>
            <w:tcBorders>
              <w:bottom w:val="single" w:sz="8" w:color="262626"/>
            </w:tcBorders>
            <w:shd w:val="clear" w:color="auto" w:fill="262626"/>
          </w:tcPr>
          <w:p>
            <w:pPr>
              <w:spacing w:after="0"/>
              <w:rPr>
                <w:sz w:val="24"/>
                <w:szCs w:val="24"/>
                <w:color w:val="auto"/>
              </w:rPr>
            </w:pPr>
          </w:p>
        </w:tc>
        <w:tc>
          <w:tcPr>
            <w:tcW w:w="2900" w:type="dxa"/>
            <w:vAlign w:val="bottom"/>
            <w:tcBorders>
              <w:bottom w:val="single" w:sz="8" w:color="262626"/>
            </w:tcBorders>
            <w:shd w:val="clear" w:color="auto" w:fill="262626"/>
          </w:tcPr>
          <w:p>
            <w:pPr>
              <w:ind w:left="120"/>
              <w:spacing w:after="0"/>
              <w:rPr>
                <w:sz w:val="20"/>
                <w:szCs w:val="20"/>
                <w:color w:val="auto"/>
              </w:rPr>
            </w:pPr>
            <w:r>
              <w:rPr>
                <w:rFonts w:ascii="Arial" w:cs="Arial" w:eastAsia="Arial" w:hAnsi="Arial"/>
                <w:sz w:val="16"/>
                <w:szCs w:val="16"/>
                <w:b w:val="1"/>
                <w:bCs w:val="1"/>
                <w:color w:val="FFFFFF"/>
              </w:rPr>
              <w:t>Dividend Currency (Default)</w:t>
            </w:r>
          </w:p>
        </w:tc>
        <w:tc>
          <w:tcPr>
            <w:tcW w:w="4660" w:type="dxa"/>
            <w:vAlign w:val="bottom"/>
            <w:tcBorders>
              <w:bottom w:val="single" w:sz="8" w:color="262626"/>
            </w:tcBorders>
            <w:shd w:val="clear" w:color="auto" w:fill="262626"/>
          </w:tcPr>
          <w:p>
            <w:pPr>
              <w:ind w:left="680"/>
              <w:spacing w:after="0"/>
              <w:rPr>
                <w:sz w:val="20"/>
                <w:szCs w:val="20"/>
                <w:color w:val="auto"/>
              </w:rPr>
            </w:pPr>
            <w:r>
              <w:rPr>
                <w:rFonts w:ascii="Arial" w:cs="Arial" w:eastAsia="Arial" w:hAnsi="Arial"/>
                <w:sz w:val="16"/>
                <w:szCs w:val="16"/>
                <w:b w:val="1"/>
                <w:bCs w:val="1"/>
                <w:color w:val="FFFFFF"/>
              </w:rPr>
              <w:t>Dividend Currency (For Electing Holders)</w:t>
            </w:r>
          </w:p>
        </w:tc>
      </w:tr>
      <w:tr>
        <w:trPr>
          <w:trHeight w:val="171"/>
        </w:trPr>
        <w:tc>
          <w:tcPr>
            <w:tcW w:w="3240" w:type="dxa"/>
            <w:vAlign w:val="bottom"/>
          </w:tcPr>
          <w:p>
            <w:pPr>
              <w:spacing w:after="0" w:line="171" w:lineRule="exact"/>
              <w:rPr>
                <w:sz w:val="20"/>
                <w:szCs w:val="20"/>
                <w:color w:val="auto"/>
              </w:rPr>
            </w:pPr>
            <w:r>
              <w:rPr>
                <w:rFonts w:ascii="Arial" w:cs="Arial" w:eastAsia="Arial" w:hAnsi="Arial"/>
                <w:sz w:val="16"/>
                <w:szCs w:val="16"/>
                <w:b w:val="1"/>
                <w:bCs w:val="1"/>
                <w:color w:val="auto"/>
              </w:rPr>
              <w:t>  Common shares</w:t>
            </w:r>
          </w:p>
        </w:tc>
        <w:tc>
          <w:tcPr>
            <w:tcW w:w="2900" w:type="dxa"/>
            <w:vAlign w:val="bottom"/>
          </w:tcPr>
          <w:p>
            <w:pPr>
              <w:ind w:left="120"/>
              <w:spacing w:after="0" w:line="171" w:lineRule="exact"/>
              <w:rPr>
                <w:sz w:val="20"/>
                <w:szCs w:val="20"/>
                <w:color w:val="auto"/>
              </w:rPr>
            </w:pPr>
            <w:r>
              <w:rPr>
                <w:rFonts w:ascii="Arial" w:cs="Arial" w:eastAsia="Arial" w:hAnsi="Arial"/>
                <w:sz w:val="16"/>
                <w:szCs w:val="16"/>
                <w:color w:val="auto"/>
              </w:rPr>
              <w:t>U.S. dollars</w:t>
            </w:r>
          </w:p>
        </w:tc>
        <w:tc>
          <w:tcPr>
            <w:tcW w:w="4660" w:type="dxa"/>
            <w:vAlign w:val="bottom"/>
          </w:tcPr>
          <w:p>
            <w:pPr>
              <w:ind w:left="680"/>
              <w:spacing w:after="0" w:line="171" w:lineRule="exact"/>
              <w:rPr>
                <w:sz w:val="20"/>
                <w:szCs w:val="20"/>
                <w:color w:val="auto"/>
              </w:rPr>
            </w:pPr>
            <w:r>
              <w:rPr>
                <w:rFonts w:ascii="Arial" w:cs="Arial" w:eastAsia="Arial" w:hAnsi="Arial"/>
                <w:sz w:val="16"/>
                <w:szCs w:val="16"/>
                <w:color w:val="auto"/>
              </w:rPr>
              <w:t>Canadian dollars</w:t>
            </w:r>
          </w:p>
        </w:tc>
      </w:tr>
      <w:tr>
        <w:trPr>
          <w:trHeight w:val="211"/>
        </w:trPr>
        <w:tc>
          <w:tcPr>
            <w:tcW w:w="3240" w:type="dxa"/>
            <w:vAlign w:val="bottom"/>
            <w:tcBorders>
              <w:bottom w:val="single" w:sz="8" w:color="B2B2B2"/>
            </w:tcBorders>
          </w:tcPr>
          <w:p>
            <w:pPr>
              <w:spacing w:after="0"/>
              <w:rPr>
                <w:sz w:val="18"/>
                <w:szCs w:val="18"/>
                <w:color w:val="auto"/>
              </w:rPr>
            </w:pPr>
          </w:p>
        </w:tc>
        <w:tc>
          <w:tcPr>
            <w:tcW w:w="2900" w:type="dxa"/>
            <w:vAlign w:val="bottom"/>
            <w:tcBorders>
              <w:bottom w:val="single" w:sz="8" w:color="B2B2B2"/>
            </w:tcBorders>
          </w:tcPr>
          <w:p>
            <w:pPr>
              <w:spacing w:after="0"/>
              <w:rPr>
                <w:sz w:val="18"/>
                <w:szCs w:val="18"/>
                <w:color w:val="auto"/>
              </w:rPr>
            </w:pPr>
          </w:p>
        </w:tc>
        <w:tc>
          <w:tcPr>
            <w:tcW w:w="4660" w:type="dxa"/>
            <w:vAlign w:val="bottom"/>
            <w:tcBorders>
              <w:bottom w:val="single" w:sz="8" w:color="B2B2B2"/>
            </w:tcBorders>
          </w:tcPr>
          <w:p>
            <w:pPr>
              <w:ind w:left="680"/>
              <w:spacing w:after="0"/>
              <w:rPr>
                <w:sz w:val="20"/>
                <w:szCs w:val="20"/>
                <w:color w:val="auto"/>
              </w:rPr>
            </w:pPr>
            <w:r>
              <w:rPr>
                <w:rFonts w:ascii="Arial" w:cs="Arial" w:eastAsia="Arial" w:hAnsi="Arial"/>
                <w:sz w:val="16"/>
                <w:szCs w:val="16"/>
                <w:color w:val="auto"/>
              </w:rPr>
              <w:t>British pounds sterling</w:t>
            </w:r>
          </w:p>
        </w:tc>
      </w:tr>
      <w:tr>
        <w:trPr>
          <w:trHeight w:val="166"/>
        </w:trPr>
        <w:tc>
          <w:tcPr>
            <w:tcW w:w="3240" w:type="dxa"/>
            <w:vAlign w:val="bottom"/>
          </w:tcPr>
          <w:p>
            <w:pPr>
              <w:spacing w:after="0" w:line="166" w:lineRule="exact"/>
              <w:rPr>
                <w:sz w:val="20"/>
                <w:szCs w:val="20"/>
                <w:color w:val="auto"/>
              </w:rPr>
            </w:pPr>
            <w:r>
              <w:rPr>
                <w:rFonts w:ascii="Arial" w:cs="Arial" w:eastAsia="Arial" w:hAnsi="Arial"/>
                <w:sz w:val="16"/>
                <w:szCs w:val="16"/>
                <w:b w:val="1"/>
                <w:bCs w:val="1"/>
                <w:color w:val="auto"/>
              </w:rPr>
              <w:t>  DIs (representing common shares)</w:t>
            </w:r>
          </w:p>
        </w:tc>
        <w:tc>
          <w:tcPr>
            <w:tcW w:w="2900" w:type="dxa"/>
            <w:vAlign w:val="bottom"/>
          </w:tcPr>
          <w:p>
            <w:pPr>
              <w:ind w:left="120"/>
              <w:spacing w:after="0" w:line="166" w:lineRule="exact"/>
              <w:rPr>
                <w:sz w:val="20"/>
                <w:szCs w:val="20"/>
                <w:color w:val="auto"/>
              </w:rPr>
            </w:pPr>
            <w:r>
              <w:rPr>
                <w:rFonts w:ascii="Arial" w:cs="Arial" w:eastAsia="Arial" w:hAnsi="Arial"/>
                <w:sz w:val="16"/>
                <w:szCs w:val="16"/>
                <w:color w:val="auto"/>
              </w:rPr>
              <w:t>British pounds sterling</w:t>
            </w:r>
          </w:p>
        </w:tc>
        <w:tc>
          <w:tcPr>
            <w:tcW w:w="4660" w:type="dxa"/>
            <w:vAlign w:val="bottom"/>
          </w:tcPr>
          <w:p>
            <w:pPr>
              <w:ind w:left="680"/>
              <w:spacing w:after="0" w:line="166" w:lineRule="exact"/>
              <w:rPr>
                <w:sz w:val="20"/>
                <w:szCs w:val="20"/>
                <w:color w:val="auto"/>
              </w:rPr>
            </w:pPr>
            <w:r>
              <w:rPr>
                <w:rFonts w:ascii="Arial" w:cs="Arial" w:eastAsia="Arial" w:hAnsi="Arial"/>
                <w:sz w:val="16"/>
                <w:szCs w:val="16"/>
                <w:color w:val="auto"/>
              </w:rPr>
              <w:t>U.S. dollars</w:t>
            </w:r>
          </w:p>
        </w:tc>
      </w:tr>
      <w:tr>
        <w:trPr>
          <w:trHeight w:val="211"/>
        </w:trPr>
        <w:tc>
          <w:tcPr>
            <w:tcW w:w="3240" w:type="dxa"/>
            <w:vAlign w:val="bottom"/>
            <w:tcBorders>
              <w:bottom w:val="single" w:sz="8" w:color="B2B2B2"/>
            </w:tcBorders>
          </w:tcPr>
          <w:p>
            <w:pPr>
              <w:spacing w:after="0"/>
              <w:rPr>
                <w:sz w:val="18"/>
                <w:szCs w:val="18"/>
                <w:color w:val="auto"/>
              </w:rPr>
            </w:pPr>
          </w:p>
        </w:tc>
        <w:tc>
          <w:tcPr>
            <w:tcW w:w="2900" w:type="dxa"/>
            <w:vAlign w:val="bottom"/>
            <w:tcBorders>
              <w:bottom w:val="single" w:sz="8" w:color="B2B2B2"/>
            </w:tcBorders>
          </w:tcPr>
          <w:p>
            <w:pPr>
              <w:spacing w:after="0"/>
              <w:rPr>
                <w:sz w:val="18"/>
                <w:szCs w:val="18"/>
                <w:color w:val="auto"/>
              </w:rPr>
            </w:pPr>
          </w:p>
        </w:tc>
        <w:tc>
          <w:tcPr>
            <w:tcW w:w="4660" w:type="dxa"/>
            <w:vAlign w:val="bottom"/>
            <w:tcBorders>
              <w:bottom w:val="single" w:sz="8" w:color="B2B2B2"/>
            </w:tcBorders>
          </w:tcPr>
          <w:p>
            <w:pPr>
              <w:ind w:left="680"/>
              <w:spacing w:after="0"/>
              <w:rPr>
                <w:sz w:val="20"/>
                <w:szCs w:val="20"/>
                <w:color w:val="auto"/>
              </w:rPr>
            </w:pPr>
            <w:r>
              <w:rPr>
                <w:rFonts w:ascii="Arial" w:cs="Arial" w:eastAsia="Arial" w:hAnsi="Arial"/>
                <w:sz w:val="16"/>
                <w:szCs w:val="16"/>
                <w:color w:val="auto"/>
              </w:rPr>
              <w:t>Canadian dollars</w:t>
            </w:r>
          </w:p>
        </w:tc>
      </w:tr>
      <w:tr>
        <w:trPr>
          <w:trHeight w:val="187"/>
        </w:trPr>
        <w:tc>
          <w:tcPr>
            <w:tcW w:w="3240" w:type="dxa"/>
            <w:vAlign w:val="bottom"/>
            <w:tcBorders>
              <w:bottom w:val="single" w:sz="8" w:color="D64000"/>
            </w:tcBorders>
          </w:tcPr>
          <w:p>
            <w:pPr>
              <w:spacing w:after="0" w:line="181" w:lineRule="exact"/>
              <w:rPr>
                <w:sz w:val="20"/>
                <w:szCs w:val="20"/>
                <w:color w:val="auto"/>
              </w:rPr>
            </w:pPr>
            <w:r>
              <w:rPr>
                <w:rFonts w:ascii="Arial" w:cs="Arial" w:eastAsia="Arial" w:hAnsi="Arial"/>
                <w:sz w:val="16"/>
                <w:szCs w:val="16"/>
                <w:b w:val="1"/>
                <w:bCs w:val="1"/>
                <w:color w:val="auto"/>
              </w:rPr>
              <w:t>  Series II preference shares</w:t>
            </w:r>
          </w:p>
        </w:tc>
        <w:tc>
          <w:tcPr>
            <w:tcW w:w="2900" w:type="dxa"/>
            <w:vAlign w:val="bottom"/>
            <w:tcBorders>
              <w:bottom w:val="single" w:sz="8" w:color="D64000"/>
            </w:tcBorders>
          </w:tcPr>
          <w:p>
            <w:pPr>
              <w:ind w:left="120"/>
              <w:spacing w:after="0" w:line="181" w:lineRule="exact"/>
              <w:rPr>
                <w:sz w:val="20"/>
                <w:szCs w:val="20"/>
                <w:color w:val="auto"/>
              </w:rPr>
            </w:pPr>
            <w:r>
              <w:rPr>
                <w:rFonts w:ascii="Arial" w:cs="Arial" w:eastAsia="Arial" w:hAnsi="Arial"/>
                <w:sz w:val="16"/>
                <w:szCs w:val="16"/>
                <w:color w:val="auto"/>
              </w:rPr>
              <w:t>Canadian dollars</w:t>
            </w:r>
          </w:p>
        </w:tc>
        <w:tc>
          <w:tcPr>
            <w:tcW w:w="4660" w:type="dxa"/>
            <w:vAlign w:val="bottom"/>
            <w:tcBorders>
              <w:bottom w:val="single" w:sz="8" w:color="D64000"/>
            </w:tcBorders>
          </w:tcPr>
          <w:p>
            <w:pPr>
              <w:ind w:left="680"/>
              <w:spacing w:after="0" w:line="181" w:lineRule="exact"/>
              <w:rPr>
                <w:sz w:val="20"/>
                <w:szCs w:val="20"/>
                <w:color w:val="auto"/>
              </w:rPr>
            </w:pPr>
            <w:r>
              <w:rPr>
                <w:rFonts w:ascii="Arial" w:cs="Arial" w:eastAsia="Arial" w:hAnsi="Arial"/>
                <w:sz w:val="16"/>
                <w:szCs w:val="16"/>
                <w:color w:val="auto"/>
              </w:rPr>
              <w:t>N/A</w:t>
            </w:r>
          </w:p>
        </w:tc>
      </w:tr>
    </w:tbl>
    <w:p>
      <w:pPr>
        <w:spacing w:after="0" w:line="336" w:lineRule="exact"/>
        <w:rPr>
          <w:sz w:val="20"/>
          <w:szCs w:val="20"/>
          <w:color w:val="auto"/>
        </w:rPr>
      </w:pPr>
    </w:p>
    <w:p>
      <w:pPr>
        <w:ind w:left="220" w:right="40"/>
        <w:spacing w:after="0" w:line="260" w:lineRule="auto"/>
        <w:rPr>
          <w:sz w:val="20"/>
          <w:szCs w:val="20"/>
          <w:color w:val="auto"/>
        </w:rPr>
      </w:pPr>
      <w:r>
        <w:rPr>
          <w:rFonts w:ascii="Arial" w:cs="Arial" w:eastAsia="Arial" w:hAnsi="Arial"/>
          <w:sz w:val="17"/>
          <w:szCs w:val="17"/>
          <w:color w:val="auto"/>
        </w:rPr>
        <w:t>We also have a dividend reinvestment plan which allows eligible holders of our common shares to elect to have their cash dividends reinvested in additional shares.</w:t>
      </w:r>
    </w:p>
    <w:p>
      <w:pPr>
        <w:spacing w:after="0" w:line="27" w:lineRule="exact"/>
        <w:rPr>
          <w:sz w:val="20"/>
          <w:szCs w:val="20"/>
          <w:color w:val="auto"/>
        </w:rPr>
      </w:pPr>
    </w:p>
    <w:p>
      <w:pPr>
        <w:ind w:left="220" w:right="700"/>
        <w:spacing w:after="0" w:line="260" w:lineRule="auto"/>
        <w:rPr>
          <w:sz w:val="20"/>
          <w:szCs w:val="20"/>
          <w:color w:val="auto"/>
        </w:rPr>
      </w:pPr>
      <w:r>
        <w:rPr>
          <w:rFonts w:ascii="Arial" w:cs="Arial" w:eastAsia="Arial" w:hAnsi="Arial"/>
          <w:sz w:val="17"/>
          <w:szCs w:val="17"/>
          <w:color w:val="auto"/>
        </w:rPr>
        <w:t>Additional information regarding currency elections for our dividends as well as our dividend reinvestment plan is provided in the Investor Relations section of our website under “Stock Info – Dividend Timetable”.</w:t>
      </w:r>
    </w:p>
    <w:p>
      <w:pPr>
        <w:spacing w:after="0" w:line="40" w:lineRule="exact"/>
        <w:rPr>
          <w:sz w:val="20"/>
          <w:szCs w:val="20"/>
          <w:color w:val="auto"/>
        </w:rPr>
      </w:pPr>
    </w:p>
    <w:p>
      <w:pPr>
        <w:ind w:left="220" w:right="340"/>
        <w:spacing w:after="0" w:line="260" w:lineRule="auto"/>
        <w:rPr>
          <w:sz w:val="20"/>
          <w:szCs w:val="20"/>
          <w:color w:val="auto"/>
        </w:rPr>
      </w:pPr>
      <w:r>
        <w:rPr>
          <w:rFonts w:ascii="Arial" w:cs="Arial" w:eastAsia="Arial" w:hAnsi="Arial"/>
          <w:sz w:val="17"/>
          <w:szCs w:val="17"/>
          <w:color w:val="auto"/>
        </w:rPr>
        <w:t>We pay dividends on our Series II preference shares quarterly at an annual rate of 70% of the Canadian bank prime rate applied to the stated capital of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81915</wp:posOffset>
            </wp:positionV>
            <wp:extent cx="686562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9"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154</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right="460"/>
        <w:spacing w:after="0" w:line="260" w:lineRule="auto"/>
        <w:rPr>
          <w:sz w:val="20"/>
          <w:szCs w:val="20"/>
          <w:color w:val="auto"/>
        </w:rPr>
      </w:pPr>
      <w:r>
        <w:rPr>
          <w:rFonts w:ascii="Arial" w:cs="Arial" w:eastAsia="Arial" w:hAnsi="Arial"/>
          <w:sz w:val="17"/>
          <w:szCs w:val="17"/>
          <w:color w:val="auto"/>
        </w:rPr>
        <w:t>The table below sets forth the dividends declared on our common shares and Series II preference shares in the last three years and the first quarter of 2025.</w:t>
      </w:r>
    </w:p>
    <w:p>
      <w:pPr>
        <w:spacing w:after="0" w:line="62" w:lineRule="exact"/>
        <w:rPr>
          <w:sz w:val="20"/>
          <w:szCs w:val="20"/>
          <w:color w:val="auto"/>
        </w:rPr>
      </w:pPr>
    </w:p>
    <w:tbl>
      <w:tblPr>
        <w:tblLayout w:type="fixed"/>
        <w:tblInd w:w="220" w:type="dxa"/>
        <w:tblCellMar>
          <w:top w:w="0" w:type="dxa"/>
          <w:left w:w="0" w:type="dxa"/>
          <w:bottom w:w="0" w:type="dxa"/>
          <w:right w:w="0" w:type="dxa"/>
        </w:tblCellMar>
      </w:tblPr>
      <w:tr>
        <w:trPr>
          <w:trHeight w:val="278"/>
        </w:trPr>
        <w:tc>
          <w:tcPr>
            <w:tcW w:w="5480" w:type="dxa"/>
            <w:vAlign w:val="bottom"/>
            <w:tcBorders>
              <w:bottom w:val="single" w:sz="8" w:color="D64000"/>
            </w:tcBorders>
          </w:tcPr>
          <w:p>
            <w:pPr>
              <w:spacing w:after="0"/>
              <w:rPr>
                <w:sz w:val="24"/>
                <w:szCs w:val="24"/>
                <w:color w:val="auto"/>
              </w:rPr>
            </w:pPr>
          </w:p>
        </w:tc>
        <w:tc>
          <w:tcPr>
            <w:tcW w:w="300" w:type="dxa"/>
            <w:vAlign w:val="bottom"/>
            <w:tcBorders>
              <w:bottom w:val="single" w:sz="8" w:color="D64000"/>
            </w:tcBorders>
            <w:shd w:val="clear" w:color="auto" w:fill="262626"/>
          </w:tcPr>
          <w:p>
            <w:pPr>
              <w:spacing w:after="0"/>
              <w:rPr>
                <w:sz w:val="24"/>
                <w:szCs w:val="24"/>
                <w:color w:val="auto"/>
              </w:rPr>
            </w:pPr>
          </w:p>
        </w:tc>
        <w:tc>
          <w:tcPr>
            <w:tcW w:w="220" w:type="dxa"/>
            <w:vAlign w:val="bottom"/>
            <w:tcBorders>
              <w:bottom w:val="single" w:sz="8" w:color="D64000"/>
            </w:tcBorders>
            <w:shd w:val="clear" w:color="auto" w:fill="262626"/>
          </w:tcPr>
          <w:p>
            <w:pPr>
              <w:spacing w:after="0"/>
              <w:rPr>
                <w:sz w:val="24"/>
                <w:szCs w:val="24"/>
                <w:color w:val="auto"/>
              </w:rPr>
            </w:pPr>
          </w:p>
        </w:tc>
        <w:tc>
          <w:tcPr>
            <w:tcW w:w="2080" w:type="dxa"/>
            <w:vAlign w:val="bottom"/>
            <w:tcBorders>
              <w:bottom w:val="single" w:sz="8" w:color="D64000"/>
            </w:tcBorders>
            <w:shd w:val="clear" w:color="auto" w:fill="262626"/>
          </w:tcPr>
          <w:p>
            <w:pPr>
              <w:jc w:val="right"/>
              <w:ind w:right="221"/>
              <w:spacing w:after="0"/>
              <w:rPr>
                <w:sz w:val="20"/>
                <w:szCs w:val="20"/>
                <w:color w:val="auto"/>
              </w:rPr>
            </w:pPr>
            <w:r>
              <w:rPr>
                <w:rFonts w:ascii="Arial" w:cs="Arial" w:eastAsia="Arial" w:hAnsi="Arial"/>
                <w:sz w:val="16"/>
                <w:szCs w:val="16"/>
                <w:b w:val="1"/>
                <w:bCs w:val="1"/>
                <w:color w:val="FFFFFF"/>
              </w:rPr>
              <w:t>Common Shares (US$)</w:t>
            </w:r>
          </w:p>
        </w:tc>
        <w:tc>
          <w:tcPr>
            <w:tcW w:w="2720" w:type="dxa"/>
            <w:vAlign w:val="bottom"/>
            <w:tcBorders>
              <w:bottom w:val="single" w:sz="8" w:color="D64000"/>
            </w:tcBorders>
            <w:gridSpan w:val="2"/>
            <w:shd w:val="clear" w:color="auto" w:fill="262626"/>
          </w:tcPr>
          <w:p>
            <w:pPr>
              <w:ind w:left="300"/>
              <w:spacing w:after="0"/>
              <w:rPr>
                <w:sz w:val="20"/>
                <w:szCs w:val="20"/>
                <w:color w:val="auto"/>
              </w:rPr>
            </w:pPr>
            <w:r>
              <w:rPr>
                <w:rFonts w:ascii="Arial" w:cs="Arial" w:eastAsia="Arial" w:hAnsi="Arial"/>
                <w:sz w:val="16"/>
                <w:szCs w:val="16"/>
                <w:b w:val="1"/>
                <w:bCs w:val="1"/>
                <w:color w:val="FFFFFF"/>
                <w:w w:val="99"/>
              </w:rPr>
              <w:t>Series II Preference Shares (C$)</w:t>
            </w:r>
          </w:p>
        </w:tc>
      </w:tr>
      <w:tr>
        <w:trPr>
          <w:trHeight w:val="245"/>
        </w:trPr>
        <w:tc>
          <w:tcPr>
            <w:tcW w:w="5480" w:type="dxa"/>
            <w:vAlign w:val="bottom"/>
            <w:shd w:val="clear" w:color="auto" w:fill="B2B2B2"/>
          </w:tcPr>
          <w:p>
            <w:pPr>
              <w:spacing w:after="0"/>
              <w:rPr>
                <w:sz w:val="20"/>
                <w:szCs w:val="20"/>
                <w:color w:val="auto"/>
              </w:rPr>
            </w:pPr>
            <w:r>
              <w:rPr>
                <w:rFonts w:ascii="Arial" w:cs="Arial" w:eastAsia="Arial" w:hAnsi="Arial"/>
                <w:sz w:val="16"/>
                <w:szCs w:val="16"/>
                <w:b w:val="1"/>
                <w:bCs w:val="1"/>
                <w:color w:val="auto"/>
              </w:rPr>
              <w:t>  2022</w:t>
            </w:r>
          </w:p>
        </w:tc>
        <w:tc>
          <w:tcPr>
            <w:tcW w:w="300" w:type="dxa"/>
            <w:vAlign w:val="bottom"/>
            <w:shd w:val="clear" w:color="auto" w:fill="B2B2B2"/>
          </w:tcPr>
          <w:p>
            <w:pPr>
              <w:spacing w:after="0"/>
              <w:rPr>
                <w:sz w:val="21"/>
                <w:szCs w:val="21"/>
                <w:color w:val="auto"/>
              </w:rPr>
            </w:pPr>
          </w:p>
        </w:tc>
        <w:tc>
          <w:tcPr>
            <w:tcW w:w="220" w:type="dxa"/>
            <w:vAlign w:val="bottom"/>
            <w:shd w:val="clear" w:color="auto" w:fill="B2B2B2"/>
          </w:tcPr>
          <w:p>
            <w:pPr>
              <w:spacing w:after="0"/>
              <w:rPr>
                <w:sz w:val="21"/>
                <w:szCs w:val="21"/>
                <w:color w:val="auto"/>
              </w:rPr>
            </w:pPr>
          </w:p>
        </w:tc>
        <w:tc>
          <w:tcPr>
            <w:tcW w:w="2080" w:type="dxa"/>
            <w:vAlign w:val="bottom"/>
            <w:shd w:val="clear" w:color="auto" w:fill="B2B2B2"/>
          </w:tcPr>
          <w:p>
            <w:pPr>
              <w:spacing w:after="0"/>
              <w:rPr>
                <w:sz w:val="21"/>
                <w:szCs w:val="21"/>
                <w:color w:val="auto"/>
              </w:rPr>
            </w:pPr>
          </w:p>
        </w:tc>
        <w:tc>
          <w:tcPr>
            <w:tcW w:w="500" w:type="dxa"/>
            <w:vAlign w:val="bottom"/>
            <w:shd w:val="clear" w:color="auto" w:fill="B2B2B2"/>
          </w:tcPr>
          <w:p>
            <w:pPr>
              <w:spacing w:after="0"/>
              <w:rPr>
                <w:sz w:val="21"/>
                <w:szCs w:val="21"/>
                <w:color w:val="auto"/>
              </w:rPr>
            </w:pPr>
          </w:p>
        </w:tc>
        <w:tc>
          <w:tcPr>
            <w:tcW w:w="2220" w:type="dxa"/>
            <w:vAlign w:val="bottom"/>
            <w:shd w:val="clear" w:color="auto" w:fill="B2B2B2"/>
          </w:tcPr>
          <w:p>
            <w:pPr>
              <w:spacing w:after="0"/>
              <w:rPr>
                <w:sz w:val="21"/>
                <w:szCs w:val="21"/>
                <w:color w:val="auto"/>
              </w:rPr>
            </w:pPr>
          </w:p>
        </w:tc>
      </w:tr>
      <w:tr>
        <w:trPr>
          <w:trHeight w:val="218"/>
        </w:trPr>
        <w:tc>
          <w:tcPr>
            <w:tcW w:w="5480" w:type="dxa"/>
            <w:vAlign w:val="bottom"/>
          </w:tcPr>
          <w:p>
            <w:pPr>
              <w:ind w:left="160"/>
              <w:spacing w:after="0"/>
              <w:rPr>
                <w:sz w:val="20"/>
                <w:szCs w:val="20"/>
                <w:color w:val="auto"/>
              </w:rPr>
            </w:pPr>
            <w:r>
              <w:rPr>
                <w:rFonts w:ascii="Arial" w:cs="Arial" w:eastAsia="Arial" w:hAnsi="Arial"/>
                <w:sz w:val="16"/>
                <w:szCs w:val="16"/>
                <w:b w:val="1"/>
                <w:bCs w:val="1"/>
                <w:color w:val="auto"/>
              </w:rPr>
              <w:t> Q1</w:t>
            </w:r>
          </w:p>
        </w:tc>
        <w:tc>
          <w:tcPr>
            <w:tcW w:w="300" w:type="dxa"/>
            <w:vAlign w:val="bottom"/>
          </w:tcPr>
          <w:p>
            <w:pPr>
              <w:ind w:left="200"/>
              <w:spacing w:after="0"/>
              <w:rPr>
                <w:sz w:val="20"/>
                <w:szCs w:val="20"/>
                <w:color w:val="auto"/>
              </w:rPr>
            </w:pPr>
            <w:r>
              <w:rPr>
                <w:rFonts w:ascii="Arial" w:cs="Arial" w:eastAsia="Arial" w:hAnsi="Arial"/>
                <w:sz w:val="11"/>
                <w:szCs w:val="11"/>
                <w:color w:val="auto"/>
                <w:w w:val="72"/>
              </w:rPr>
              <w:t> </w:t>
            </w:r>
          </w:p>
        </w:tc>
        <w:tc>
          <w:tcPr>
            <w:tcW w:w="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541"/>
              <w:spacing w:after="0"/>
              <w:rPr>
                <w:sz w:val="20"/>
                <w:szCs w:val="20"/>
                <w:color w:val="auto"/>
              </w:rPr>
            </w:pPr>
            <w:r>
              <w:rPr>
                <w:rFonts w:ascii="Arial" w:cs="Arial" w:eastAsia="Arial" w:hAnsi="Arial"/>
                <w:sz w:val="16"/>
                <w:szCs w:val="16"/>
                <w:color w:val="auto"/>
              </w:rPr>
              <w:t>0.445000</w:t>
            </w:r>
          </w:p>
        </w:tc>
        <w:tc>
          <w:tcPr>
            <w:tcW w:w="500" w:type="dxa"/>
            <w:vAlign w:val="bottom"/>
          </w:tcPr>
          <w:p>
            <w:pPr>
              <w:ind w:left="300"/>
              <w:spacing w:after="0"/>
              <w:rPr>
                <w:sz w:val="20"/>
                <w:szCs w:val="20"/>
                <w:color w:val="auto"/>
              </w:rPr>
            </w:pPr>
            <w:r>
              <w:rPr>
                <w:rFonts w:ascii="Arial" w:cs="Arial" w:eastAsia="Arial" w:hAnsi="Arial"/>
                <w:sz w:val="16"/>
                <w:szCs w:val="16"/>
                <w:color w:val="auto"/>
                <w:w w:val="87"/>
              </w:rPr>
              <w:t>C$</w:t>
            </w:r>
          </w:p>
        </w:tc>
        <w:tc>
          <w:tcPr>
            <w:tcW w:w="2220" w:type="dxa"/>
            <w:vAlign w:val="bottom"/>
          </w:tcPr>
          <w:p>
            <w:pPr>
              <w:ind w:left="820"/>
              <w:spacing w:after="0"/>
              <w:rPr>
                <w:sz w:val="20"/>
                <w:szCs w:val="20"/>
                <w:color w:val="auto"/>
              </w:rPr>
            </w:pPr>
            <w:r>
              <w:rPr>
                <w:rFonts w:ascii="Arial" w:cs="Arial" w:eastAsia="Arial" w:hAnsi="Arial"/>
                <w:sz w:val="16"/>
                <w:szCs w:val="16"/>
                <w:color w:val="auto"/>
              </w:rPr>
              <w:t>0.107445</w:t>
            </w:r>
          </w:p>
        </w:tc>
      </w:tr>
      <w:tr>
        <w:trPr>
          <w:trHeight w:val="60"/>
        </w:trPr>
        <w:tc>
          <w:tcPr>
            <w:tcW w:w="5480" w:type="dxa"/>
            <w:vAlign w:val="bottom"/>
            <w:tcBorders>
              <w:bottom w:val="single" w:sz="8" w:color="B2B2B2"/>
            </w:tcBorders>
          </w:tcPr>
          <w:p>
            <w:pPr>
              <w:spacing w:after="0"/>
              <w:rPr>
                <w:sz w:val="5"/>
                <w:szCs w:val="5"/>
                <w:color w:val="auto"/>
              </w:rPr>
            </w:pPr>
          </w:p>
        </w:tc>
        <w:tc>
          <w:tcPr>
            <w:tcW w:w="300" w:type="dxa"/>
            <w:vAlign w:val="bottom"/>
            <w:tcBorders>
              <w:bottom w:val="single" w:sz="8" w:color="B2B2B2"/>
            </w:tcBorders>
          </w:tcPr>
          <w:p>
            <w:pPr>
              <w:spacing w:after="0"/>
              <w:rPr>
                <w:sz w:val="5"/>
                <w:szCs w:val="5"/>
                <w:color w:val="auto"/>
              </w:rPr>
            </w:pPr>
          </w:p>
        </w:tc>
        <w:tc>
          <w:tcPr>
            <w:tcW w:w="220" w:type="dxa"/>
            <w:vAlign w:val="bottom"/>
            <w:tcBorders>
              <w:bottom w:val="single" w:sz="8" w:color="B2B2B2"/>
            </w:tcBorders>
          </w:tcPr>
          <w:p>
            <w:pPr>
              <w:spacing w:after="0"/>
              <w:rPr>
                <w:sz w:val="5"/>
                <w:szCs w:val="5"/>
                <w:color w:val="auto"/>
              </w:rPr>
            </w:pPr>
          </w:p>
        </w:tc>
        <w:tc>
          <w:tcPr>
            <w:tcW w:w="2080" w:type="dxa"/>
            <w:vAlign w:val="bottom"/>
            <w:tcBorders>
              <w:bottom w:val="single" w:sz="8" w:color="B2B2B2"/>
            </w:tcBorders>
          </w:tcPr>
          <w:p>
            <w:pPr>
              <w:spacing w:after="0"/>
              <w:rPr>
                <w:sz w:val="5"/>
                <w:szCs w:val="5"/>
                <w:color w:val="auto"/>
              </w:rPr>
            </w:pPr>
          </w:p>
        </w:tc>
        <w:tc>
          <w:tcPr>
            <w:tcW w:w="500" w:type="dxa"/>
            <w:vAlign w:val="bottom"/>
            <w:tcBorders>
              <w:bottom w:val="single" w:sz="8" w:color="B2B2B2"/>
            </w:tcBorders>
          </w:tcPr>
          <w:p>
            <w:pPr>
              <w:spacing w:after="0"/>
              <w:rPr>
                <w:sz w:val="5"/>
                <w:szCs w:val="5"/>
                <w:color w:val="auto"/>
              </w:rPr>
            </w:pPr>
          </w:p>
        </w:tc>
        <w:tc>
          <w:tcPr>
            <w:tcW w:w="2220" w:type="dxa"/>
            <w:vAlign w:val="bottom"/>
            <w:tcBorders>
              <w:bottom w:val="single" w:sz="8" w:color="B2B2B2"/>
            </w:tcBorders>
          </w:tcPr>
          <w:p>
            <w:pPr>
              <w:spacing w:after="0"/>
              <w:rPr>
                <w:sz w:val="5"/>
                <w:szCs w:val="5"/>
                <w:color w:val="auto"/>
              </w:rPr>
            </w:pPr>
          </w:p>
        </w:tc>
      </w:tr>
      <w:tr>
        <w:trPr>
          <w:trHeight w:val="211"/>
        </w:trPr>
        <w:tc>
          <w:tcPr>
            <w:tcW w:w="5480" w:type="dxa"/>
            <w:vAlign w:val="bottom"/>
          </w:tcPr>
          <w:p>
            <w:pPr>
              <w:ind w:left="160"/>
              <w:spacing w:after="0"/>
              <w:rPr>
                <w:sz w:val="20"/>
                <w:szCs w:val="20"/>
                <w:color w:val="auto"/>
              </w:rPr>
            </w:pPr>
            <w:r>
              <w:rPr>
                <w:rFonts w:ascii="Arial" w:cs="Arial" w:eastAsia="Arial" w:hAnsi="Arial"/>
                <w:sz w:val="16"/>
                <w:szCs w:val="16"/>
                <w:b w:val="1"/>
                <w:bCs w:val="1"/>
                <w:color w:val="auto"/>
              </w:rPr>
              <w:t> Q2</w:t>
            </w:r>
          </w:p>
        </w:tc>
        <w:tc>
          <w:tcPr>
            <w:tcW w:w="300" w:type="dxa"/>
            <w:vAlign w:val="bottom"/>
          </w:tcPr>
          <w:p>
            <w:pPr>
              <w:ind w:left="200"/>
              <w:spacing w:after="0"/>
              <w:rPr>
                <w:sz w:val="20"/>
                <w:szCs w:val="20"/>
                <w:color w:val="auto"/>
              </w:rPr>
            </w:pPr>
            <w:r>
              <w:rPr>
                <w:rFonts w:ascii="Arial" w:cs="Arial" w:eastAsia="Arial" w:hAnsi="Arial"/>
                <w:sz w:val="11"/>
                <w:szCs w:val="11"/>
                <w:color w:val="auto"/>
                <w:w w:val="72"/>
              </w:rPr>
              <w:t> </w:t>
            </w:r>
          </w:p>
        </w:tc>
        <w:tc>
          <w:tcPr>
            <w:tcW w:w="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541"/>
              <w:spacing w:after="0"/>
              <w:rPr>
                <w:sz w:val="20"/>
                <w:szCs w:val="20"/>
                <w:color w:val="auto"/>
              </w:rPr>
            </w:pPr>
            <w:r>
              <w:rPr>
                <w:rFonts w:ascii="Arial" w:cs="Arial" w:eastAsia="Arial" w:hAnsi="Arial"/>
                <w:sz w:val="16"/>
                <w:szCs w:val="16"/>
                <w:color w:val="auto"/>
              </w:rPr>
              <w:t>0.445000</w:t>
            </w:r>
          </w:p>
        </w:tc>
        <w:tc>
          <w:tcPr>
            <w:tcW w:w="500" w:type="dxa"/>
            <w:vAlign w:val="bottom"/>
          </w:tcPr>
          <w:p>
            <w:pPr>
              <w:ind w:left="300"/>
              <w:spacing w:after="0"/>
              <w:rPr>
                <w:sz w:val="20"/>
                <w:szCs w:val="20"/>
                <w:color w:val="auto"/>
              </w:rPr>
            </w:pPr>
            <w:r>
              <w:rPr>
                <w:rFonts w:ascii="Arial" w:cs="Arial" w:eastAsia="Arial" w:hAnsi="Arial"/>
                <w:sz w:val="16"/>
                <w:szCs w:val="16"/>
                <w:color w:val="auto"/>
                <w:w w:val="87"/>
              </w:rPr>
              <w:t>C$</w:t>
            </w:r>
          </w:p>
        </w:tc>
        <w:tc>
          <w:tcPr>
            <w:tcW w:w="2220" w:type="dxa"/>
            <w:vAlign w:val="bottom"/>
          </w:tcPr>
          <w:p>
            <w:pPr>
              <w:ind w:left="820"/>
              <w:spacing w:after="0"/>
              <w:rPr>
                <w:sz w:val="20"/>
                <w:szCs w:val="20"/>
                <w:color w:val="auto"/>
              </w:rPr>
            </w:pPr>
            <w:r>
              <w:rPr>
                <w:rFonts w:ascii="Arial" w:cs="Arial" w:eastAsia="Arial" w:hAnsi="Arial"/>
                <w:sz w:val="16"/>
                <w:szCs w:val="16"/>
                <w:color w:val="auto"/>
              </w:rPr>
              <w:t>0.140053</w:t>
            </w:r>
          </w:p>
        </w:tc>
      </w:tr>
      <w:tr>
        <w:trPr>
          <w:trHeight w:val="60"/>
        </w:trPr>
        <w:tc>
          <w:tcPr>
            <w:tcW w:w="5480" w:type="dxa"/>
            <w:vAlign w:val="bottom"/>
            <w:tcBorders>
              <w:bottom w:val="single" w:sz="8" w:color="B2B2B2"/>
            </w:tcBorders>
          </w:tcPr>
          <w:p>
            <w:pPr>
              <w:spacing w:after="0"/>
              <w:rPr>
                <w:sz w:val="5"/>
                <w:szCs w:val="5"/>
                <w:color w:val="auto"/>
              </w:rPr>
            </w:pPr>
          </w:p>
        </w:tc>
        <w:tc>
          <w:tcPr>
            <w:tcW w:w="300" w:type="dxa"/>
            <w:vAlign w:val="bottom"/>
            <w:tcBorders>
              <w:bottom w:val="single" w:sz="8" w:color="B2B2B2"/>
            </w:tcBorders>
          </w:tcPr>
          <w:p>
            <w:pPr>
              <w:spacing w:after="0"/>
              <w:rPr>
                <w:sz w:val="5"/>
                <w:szCs w:val="5"/>
                <w:color w:val="auto"/>
              </w:rPr>
            </w:pPr>
          </w:p>
        </w:tc>
        <w:tc>
          <w:tcPr>
            <w:tcW w:w="220" w:type="dxa"/>
            <w:vAlign w:val="bottom"/>
            <w:tcBorders>
              <w:bottom w:val="single" w:sz="8" w:color="B2B2B2"/>
            </w:tcBorders>
          </w:tcPr>
          <w:p>
            <w:pPr>
              <w:spacing w:after="0"/>
              <w:rPr>
                <w:sz w:val="5"/>
                <w:szCs w:val="5"/>
                <w:color w:val="auto"/>
              </w:rPr>
            </w:pPr>
          </w:p>
        </w:tc>
        <w:tc>
          <w:tcPr>
            <w:tcW w:w="2080" w:type="dxa"/>
            <w:vAlign w:val="bottom"/>
            <w:tcBorders>
              <w:bottom w:val="single" w:sz="8" w:color="B2B2B2"/>
            </w:tcBorders>
          </w:tcPr>
          <w:p>
            <w:pPr>
              <w:spacing w:after="0"/>
              <w:rPr>
                <w:sz w:val="5"/>
                <w:szCs w:val="5"/>
                <w:color w:val="auto"/>
              </w:rPr>
            </w:pPr>
          </w:p>
        </w:tc>
        <w:tc>
          <w:tcPr>
            <w:tcW w:w="500" w:type="dxa"/>
            <w:vAlign w:val="bottom"/>
            <w:tcBorders>
              <w:bottom w:val="single" w:sz="8" w:color="B2B2B2"/>
            </w:tcBorders>
          </w:tcPr>
          <w:p>
            <w:pPr>
              <w:spacing w:after="0"/>
              <w:rPr>
                <w:sz w:val="5"/>
                <w:szCs w:val="5"/>
                <w:color w:val="auto"/>
              </w:rPr>
            </w:pPr>
          </w:p>
        </w:tc>
        <w:tc>
          <w:tcPr>
            <w:tcW w:w="2220" w:type="dxa"/>
            <w:vAlign w:val="bottom"/>
            <w:tcBorders>
              <w:bottom w:val="single" w:sz="8" w:color="B2B2B2"/>
            </w:tcBorders>
          </w:tcPr>
          <w:p>
            <w:pPr>
              <w:spacing w:after="0"/>
              <w:rPr>
                <w:sz w:val="5"/>
                <w:szCs w:val="5"/>
                <w:color w:val="auto"/>
              </w:rPr>
            </w:pPr>
          </w:p>
        </w:tc>
      </w:tr>
      <w:tr>
        <w:trPr>
          <w:trHeight w:val="211"/>
        </w:trPr>
        <w:tc>
          <w:tcPr>
            <w:tcW w:w="5480" w:type="dxa"/>
            <w:vAlign w:val="bottom"/>
          </w:tcPr>
          <w:p>
            <w:pPr>
              <w:ind w:left="160"/>
              <w:spacing w:after="0"/>
              <w:rPr>
                <w:sz w:val="20"/>
                <w:szCs w:val="20"/>
                <w:color w:val="auto"/>
              </w:rPr>
            </w:pPr>
            <w:r>
              <w:rPr>
                <w:rFonts w:ascii="Arial" w:cs="Arial" w:eastAsia="Arial" w:hAnsi="Arial"/>
                <w:sz w:val="16"/>
                <w:szCs w:val="16"/>
                <w:b w:val="1"/>
                <w:bCs w:val="1"/>
                <w:color w:val="auto"/>
              </w:rPr>
              <w:t> Q3</w:t>
            </w:r>
          </w:p>
        </w:tc>
        <w:tc>
          <w:tcPr>
            <w:tcW w:w="300" w:type="dxa"/>
            <w:vAlign w:val="bottom"/>
          </w:tcPr>
          <w:p>
            <w:pPr>
              <w:ind w:left="200"/>
              <w:spacing w:after="0"/>
              <w:rPr>
                <w:sz w:val="20"/>
                <w:szCs w:val="20"/>
                <w:color w:val="auto"/>
              </w:rPr>
            </w:pPr>
            <w:r>
              <w:rPr>
                <w:rFonts w:ascii="Arial" w:cs="Arial" w:eastAsia="Arial" w:hAnsi="Arial"/>
                <w:sz w:val="11"/>
                <w:szCs w:val="11"/>
                <w:color w:val="auto"/>
                <w:w w:val="72"/>
              </w:rPr>
              <w:t> </w:t>
            </w:r>
          </w:p>
        </w:tc>
        <w:tc>
          <w:tcPr>
            <w:tcW w:w="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541"/>
              <w:spacing w:after="0"/>
              <w:rPr>
                <w:sz w:val="20"/>
                <w:szCs w:val="20"/>
                <w:color w:val="auto"/>
              </w:rPr>
            </w:pPr>
            <w:r>
              <w:rPr>
                <w:rFonts w:ascii="Arial" w:cs="Arial" w:eastAsia="Arial" w:hAnsi="Arial"/>
                <w:sz w:val="16"/>
                <w:szCs w:val="16"/>
                <w:color w:val="auto"/>
              </w:rPr>
              <w:t>0.445000</w:t>
            </w:r>
          </w:p>
        </w:tc>
        <w:tc>
          <w:tcPr>
            <w:tcW w:w="500" w:type="dxa"/>
            <w:vAlign w:val="bottom"/>
          </w:tcPr>
          <w:p>
            <w:pPr>
              <w:ind w:left="300"/>
              <w:spacing w:after="0"/>
              <w:rPr>
                <w:sz w:val="20"/>
                <w:szCs w:val="20"/>
                <w:color w:val="auto"/>
              </w:rPr>
            </w:pPr>
            <w:r>
              <w:rPr>
                <w:rFonts w:ascii="Arial" w:cs="Arial" w:eastAsia="Arial" w:hAnsi="Arial"/>
                <w:sz w:val="16"/>
                <w:szCs w:val="16"/>
                <w:color w:val="auto"/>
                <w:w w:val="87"/>
              </w:rPr>
              <w:t>C$</w:t>
            </w:r>
          </w:p>
        </w:tc>
        <w:tc>
          <w:tcPr>
            <w:tcW w:w="2220" w:type="dxa"/>
            <w:vAlign w:val="bottom"/>
          </w:tcPr>
          <w:p>
            <w:pPr>
              <w:jc w:val="center"/>
              <w:ind w:left="41"/>
              <w:spacing w:after="0"/>
              <w:rPr>
                <w:sz w:val="20"/>
                <w:szCs w:val="20"/>
                <w:color w:val="auto"/>
              </w:rPr>
            </w:pPr>
            <w:r>
              <w:rPr>
                <w:rFonts w:ascii="Arial" w:cs="Arial" w:eastAsia="Arial" w:hAnsi="Arial"/>
                <w:sz w:val="16"/>
                <w:szCs w:val="16"/>
                <w:color w:val="auto"/>
                <w:w w:val="98"/>
              </w:rPr>
              <w:t>0.203345</w:t>
            </w:r>
          </w:p>
        </w:tc>
      </w:tr>
      <w:tr>
        <w:trPr>
          <w:trHeight w:val="60"/>
        </w:trPr>
        <w:tc>
          <w:tcPr>
            <w:tcW w:w="5480" w:type="dxa"/>
            <w:vAlign w:val="bottom"/>
            <w:tcBorders>
              <w:bottom w:val="single" w:sz="8" w:color="B2B2B2"/>
            </w:tcBorders>
          </w:tcPr>
          <w:p>
            <w:pPr>
              <w:spacing w:after="0"/>
              <w:rPr>
                <w:sz w:val="5"/>
                <w:szCs w:val="5"/>
                <w:color w:val="auto"/>
              </w:rPr>
            </w:pPr>
          </w:p>
        </w:tc>
        <w:tc>
          <w:tcPr>
            <w:tcW w:w="300" w:type="dxa"/>
            <w:vAlign w:val="bottom"/>
            <w:tcBorders>
              <w:bottom w:val="single" w:sz="8" w:color="B2B2B2"/>
            </w:tcBorders>
          </w:tcPr>
          <w:p>
            <w:pPr>
              <w:spacing w:after="0"/>
              <w:rPr>
                <w:sz w:val="5"/>
                <w:szCs w:val="5"/>
                <w:color w:val="auto"/>
              </w:rPr>
            </w:pPr>
          </w:p>
        </w:tc>
        <w:tc>
          <w:tcPr>
            <w:tcW w:w="220" w:type="dxa"/>
            <w:vAlign w:val="bottom"/>
            <w:tcBorders>
              <w:bottom w:val="single" w:sz="8" w:color="B2B2B2"/>
            </w:tcBorders>
          </w:tcPr>
          <w:p>
            <w:pPr>
              <w:spacing w:after="0"/>
              <w:rPr>
                <w:sz w:val="5"/>
                <w:szCs w:val="5"/>
                <w:color w:val="auto"/>
              </w:rPr>
            </w:pPr>
          </w:p>
        </w:tc>
        <w:tc>
          <w:tcPr>
            <w:tcW w:w="2080" w:type="dxa"/>
            <w:vAlign w:val="bottom"/>
            <w:tcBorders>
              <w:bottom w:val="single" w:sz="8" w:color="B2B2B2"/>
            </w:tcBorders>
          </w:tcPr>
          <w:p>
            <w:pPr>
              <w:spacing w:after="0"/>
              <w:rPr>
                <w:sz w:val="5"/>
                <w:szCs w:val="5"/>
                <w:color w:val="auto"/>
              </w:rPr>
            </w:pPr>
          </w:p>
        </w:tc>
        <w:tc>
          <w:tcPr>
            <w:tcW w:w="500" w:type="dxa"/>
            <w:vAlign w:val="bottom"/>
            <w:tcBorders>
              <w:bottom w:val="single" w:sz="8" w:color="B2B2B2"/>
            </w:tcBorders>
          </w:tcPr>
          <w:p>
            <w:pPr>
              <w:spacing w:after="0"/>
              <w:rPr>
                <w:sz w:val="5"/>
                <w:szCs w:val="5"/>
                <w:color w:val="auto"/>
              </w:rPr>
            </w:pPr>
          </w:p>
        </w:tc>
        <w:tc>
          <w:tcPr>
            <w:tcW w:w="2220" w:type="dxa"/>
            <w:vAlign w:val="bottom"/>
            <w:tcBorders>
              <w:bottom w:val="single" w:sz="8" w:color="B2B2B2"/>
            </w:tcBorders>
          </w:tcPr>
          <w:p>
            <w:pPr>
              <w:spacing w:after="0"/>
              <w:rPr>
                <w:sz w:val="5"/>
                <w:szCs w:val="5"/>
                <w:color w:val="auto"/>
              </w:rPr>
            </w:pPr>
          </w:p>
        </w:tc>
      </w:tr>
      <w:tr>
        <w:trPr>
          <w:trHeight w:val="211"/>
        </w:trPr>
        <w:tc>
          <w:tcPr>
            <w:tcW w:w="5480" w:type="dxa"/>
            <w:vAlign w:val="bottom"/>
          </w:tcPr>
          <w:p>
            <w:pPr>
              <w:ind w:left="160"/>
              <w:spacing w:after="0"/>
              <w:rPr>
                <w:sz w:val="20"/>
                <w:szCs w:val="20"/>
                <w:color w:val="auto"/>
              </w:rPr>
            </w:pPr>
            <w:r>
              <w:rPr>
                <w:rFonts w:ascii="Arial" w:cs="Arial" w:eastAsia="Arial" w:hAnsi="Arial"/>
                <w:sz w:val="16"/>
                <w:szCs w:val="16"/>
                <w:b w:val="1"/>
                <w:bCs w:val="1"/>
                <w:color w:val="auto"/>
              </w:rPr>
              <w:t> Q4</w:t>
            </w:r>
          </w:p>
        </w:tc>
        <w:tc>
          <w:tcPr>
            <w:tcW w:w="300" w:type="dxa"/>
            <w:vAlign w:val="bottom"/>
          </w:tcPr>
          <w:p>
            <w:pPr>
              <w:ind w:left="200"/>
              <w:spacing w:after="0"/>
              <w:rPr>
                <w:sz w:val="20"/>
                <w:szCs w:val="20"/>
                <w:color w:val="auto"/>
              </w:rPr>
            </w:pPr>
            <w:r>
              <w:rPr>
                <w:rFonts w:ascii="Arial" w:cs="Arial" w:eastAsia="Arial" w:hAnsi="Arial"/>
                <w:sz w:val="11"/>
                <w:szCs w:val="11"/>
                <w:color w:val="auto"/>
                <w:w w:val="72"/>
              </w:rPr>
              <w:t> </w:t>
            </w:r>
          </w:p>
        </w:tc>
        <w:tc>
          <w:tcPr>
            <w:tcW w:w="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541"/>
              <w:spacing w:after="0"/>
              <w:rPr>
                <w:sz w:val="20"/>
                <w:szCs w:val="20"/>
                <w:color w:val="auto"/>
              </w:rPr>
            </w:pPr>
            <w:r>
              <w:rPr>
                <w:rFonts w:ascii="Arial" w:cs="Arial" w:eastAsia="Arial" w:hAnsi="Arial"/>
                <w:sz w:val="16"/>
                <w:szCs w:val="16"/>
                <w:color w:val="auto"/>
              </w:rPr>
              <w:t>0.445000</w:t>
            </w:r>
          </w:p>
        </w:tc>
        <w:tc>
          <w:tcPr>
            <w:tcW w:w="500" w:type="dxa"/>
            <w:vAlign w:val="bottom"/>
          </w:tcPr>
          <w:p>
            <w:pPr>
              <w:ind w:left="300"/>
              <w:spacing w:after="0"/>
              <w:rPr>
                <w:sz w:val="20"/>
                <w:szCs w:val="20"/>
                <w:color w:val="auto"/>
              </w:rPr>
            </w:pPr>
            <w:r>
              <w:rPr>
                <w:rFonts w:ascii="Arial" w:cs="Arial" w:eastAsia="Arial" w:hAnsi="Arial"/>
                <w:sz w:val="16"/>
                <w:szCs w:val="16"/>
                <w:color w:val="auto"/>
                <w:w w:val="87"/>
              </w:rPr>
              <w:t>C$</w:t>
            </w:r>
          </w:p>
        </w:tc>
        <w:tc>
          <w:tcPr>
            <w:tcW w:w="2220" w:type="dxa"/>
            <w:vAlign w:val="bottom"/>
          </w:tcPr>
          <w:p>
            <w:pPr>
              <w:ind w:left="800"/>
              <w:spacing w:after="0"/>
              <w:rPr>
                <w:sz w:val="20"/>
                <w:szCs w:val="20"/>
                <w:color w:val="auto"/>
              </w:rPr>
            </w:pPr>
            <w:r>
              <w:rPr>
                <w:rFonts w:ascii="Arial" w:cs="Arial" w:eastAsia="Arial" w:hAnsi="Arial"/>
                <w:sz w:val="16"/>
                <w:szCs w:val="16"/>
                <w:color w:val="auto"/>
              </w:rPr>
              <w:t>0.257159  </w:t>
            </w:r>
          </w:p>
        </w:tc>
      </w:tr>
      <w:tr>
        <w:trPr>
          <w:trHeight w:val="60"/>
        </w:trPr>
        <w:tc>
          <w:tcPr>
            <w:tcW w:w="5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20" w:type="dxa"/>
            <w:vAlign w:val="bottom"/>
          </w:tcPr>
          <w:p>
            <w:pPr>
              <w:spacing w:after="0"/>
              <w:rPr>
                <w:sz w:val="5"/>
                <w:szCs w:val="5"/>
                <w:color w:val="auto"/>
              </w:rPr>
            </w:pPr>
          </w:p>
        </w:tc>
      </w:tr>
      <w:tr>
        <w:trPr>
          <w:trHeight w:val="212"/>
        </w:trPr>
        <w:tc>
          <w:tcPr>
            <w:tcW w:w="5480" w:type="dxa"/>
            <w:vAlign w:val="bottom"/>
            <w:shd w:val="clear" w:color="auto" w:fill="B2B2B2"/>
          </w:tcPr>
          <w:p>
            <w:pPr>
              <w:spacing w:after="0"/>
              <w:rPr>
                <w:sz w:val="20"/>
                <w:szCs w:val="20"/>
                <w:color w:val="auto"/>
              </w:rPr>
            </w:pPr>
            <w:r>
              <w:rPr>
                <w:rFonts w:ascii="Arial" w:cs="Arial" w:eastAsia="Arial" w:hAnsi="Arial"/>
                <w:sz w:val="16"/>
                <w:szCs w:val="16"/>
                <w:b w:val="1"/>
                <w:bCs w:val="1"/>
                <w:color w:val="auto"/>
              </w:rPr>
              <w:t>  2023</w:t>
            </w:r>
          </w:p>
        </w:tc>
        <w:tc>
          <w:tcPr>
            <w:tcW w:w="3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2080" w:type="dxa"/>
            <w:vAlign w:val="bottom"/>
            <w:shd w:val="clear" w:color="auto" w:fill="B2B2B2"/>
          </w:tcPr>
          <w:p>
            <w:pPr>
              <w:spacing w:after="0"/>
              <w:rPr>
                <w:sz w:val="18"/>
                <w:szCs w:val="18"/>
                <w:color w:val="auto"/>
              </w:rPr>
            </w:pPr>
          </w:p>
        </w:tc>
        <w:tc>
          <w:tcPr>
            <w:tcW w:w="500" w:type="dxa"/>
            <w:vAlign w:val="bottom"/>
            <w:shd w:val="clear" w:color="auto" w:fill="B2B2B2"/>
          </w:tcPr>
          <w:p>
            <w:pPr>
              <w:spacing w:after="0"/>
              <w:rPr>
                <w:sz w:val="18"/>
                <w:szCs w:val="18"/>
                <w:color w:val="auto"/>
              </w:rPr>
            </w:pPr>
          </w:p>
        </w:tc>
        <w:tc>
          <w:tcPr>
            <w:tcW w:w="2220" w:type="dxa"/>
            <w:vAlign w:val="bottom"/>
            <w:shd w:val="clear" w:color="auto" w:fill="B2B2B2"/>
          </w:tcPr>
          <w:p>
            <w:pPr>
              <w:spacing w:after="0"/>
              <w:rPr>
                <w:sz w:val="18"/>
                <w:szCs w:val="18"/>
                <w:color w:val="auto"/>
              </w:rPr>
            </w:pPr>
          </w:p>
        </w:tc>
      </w:tr>
      <w:tr>
        <w:trPr>
          <w:trHeight w:val="218"/>
        </w:trPr>
        <w:tc>
          <w:tcPr>
            <w:tcW w:w="5480" w:type="dxa"/>
            <w:vAlign w:val="bottom"/>
          </w:tcPr>
          <w:p>
            <w:pPr>
              <w:ind w:left="160"/>
              <w:spacing w:after="0"/>
              <w:rPr>
                <w:sz w:val="20"/>
                <w:szCs w:val="20"/>
                <w:color w:val="auto"/>
              </w:rPr>
            </w:pPr>
            <w:r>
              <w:rPr>
                <w:rFonts w:ascii="Arial" w:cs="Arial" w:eastAsia="Arial" w:hAnsi="Arial"/>
                <w:sz w:val="16"/>
                <w:szCs w:val="16"/>
                <w:b w:val="1"/>
                <w:bCs w:val="1"/>
                <w:color w:val="auto"/>
              </w:rPr>
              <w:t> Q1</w:t>
            </w:r>
          </w:p>
        </w:tc>
        <w:tc>
          <w:tcPr>
            <w:tcW w:w="300" w:type="dxa"/>
            <w:vAlign w:val="bottom"/>
          </w:tcPr>
          <w:p>
            <w:pPr>
              <w:ind w:left="200"/>
              <w:spacing w:after="0"/>
              <w:rPr>
                <w:sz w:val="20"/>
                <w:szCs w:val="20"/>
                <w:color w:val="auto"/>
              </w:rPr>
            </w:pPr>
            <w:r>
              <w:rPr>
                <w:rFonts w:ascii="Arial" w:cs="Arial" w:eastAsia="Arial" w:hAnsi="Arial"/>
                <w:sz w:val="11"/>
                <w:szCs w:val="11"/>
                <w:color w:val="auto"/>
                <w:w w:val="72"/>
              </w:rPr>
              <w:t> </w:t>
            </w:r>
          </w:p>
        </w:tc>
        <w:tc>
          <w:tcPr>
            <w:tcW w:w="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541"/>
              <w:spacing w:after="0"/>
              <w:rPr>
                <w:sz w:val="20"/>
                <w:szCs w:val="20"/>
                <w:color w:val="auto"/>
              </w:rPr>
            </w:pPr>
            <w:r>
              <w:rPr>
                <w:rFonts w:ascii="Arial" w:cs="Arial" w:eastAsia="Arial" w:hAnsi="Arial"/>
                <w:sz w:val="16"/>
                <w:szCs w:val="16"/>
                <w:color w:val="auto"/>
              </w:rPr>
              <w:t>0.490000</w:t>
            </w:r>
          </w:p>
        </w:tc>
        <w:tc>
          <w:tcPr>
            <w:tcW w:w="500" w:type="dxa"/>
            <w:vAlign w:val="bottom"/>
          </w:tcPr>
          <w:p>
            <w:pPr>
              <w:ind w:left="300"/>
              <w:spacing w:after="0"/>
              <w:rPr>
                <w:sz w:val="20"/>
                <w:szCs w:val="20"/>
                <w:color w:val="auto"/>
              </w:rPr>
            </w:pPr>
            <w:r>
              <w:rPr>
                <w:rFonts w:ascii="Arial" w:cs="Arial" w:eastAsia="Arial" w:hAnsi="Arial"/>
                <w:sz w:val="16"/>
                <w:szCs w:val="16"/>
                <w:color w:val="auto"/>
                <w:w w:val="87"/>
              </w:rPr>
              <w:t>C$</w:t>
            </w:r>
          </w:p>
        </w:tc>
        <w:tc>
          <w:tcPr>
            <w:tcW w:w="2220" w:type="dxa"/>
            <w:vAlign w:val="bottom"/>
          </w:tcPr>
          <w:p>
            <w:pPr>
              <w:jc w:val="center"/>
              <w:ind w:left="41"/>
              <w:spacing w:after="0"/>
              <w:rPr>
                <w:sz w:val="20"/>
                <w:szCs w:val="20"/>
                <w:color w:val="auto"/>
              </w:rPr>
            </w:pPr>
            <w:r>
              <w:rPr>
                <w:rFonts w:ascii="Arial" w:cs="Arial" w:eastAsia="Arial" w:hAnsi="Arial"/>
                <w:sz w:val="16"/>
                <w:szCs w:val="16"/>
                <w:color w:val="auto"/>
                <w:w w:val="98"/>
              </w:rPr>
              <w:t>0.285658</w:t>
            </w:r>
          </w:p>
        </w:tc>
      </w:tr>
      <w:tr>
        <w:trPr>
          <w:trHeight w:val="60"/>
        </w:trPr>
        <w:tc>
          <w:tcPr>
            <w:tcW w:w="5480" w:type="dxa"/>
            <w:vAlign w:val="bottom"/>
            <w:tcBorders>
              <w:bottom w:val="single" w:sz="8" w:color="B2B2B2"/>
            </w:tcBorders>
          </w:tcPr>
          <w:p>
            <w:pPr>
              <w:spacing w:after="0"/>
              <w:rPr>
                <w:sz w:val="5"/>
                <w:szCs w:val="5"/>
                <w:color w:val="auto"/>
              </w:rPr>
            </w:pPr>
          </w:p>
        </w:tc>
        <w:tc>
          <w:tcPr>
            <w:tcW w:w="300" w:type="dxa"/>
            <w:vAlign w:val="bottom"/>
            <w:tcBorders>
              <w:bottom w:val="single" w:sz="8" w:color="B2B2B2"/>
            </w:tcBorders>
          </w:tcPr>
          <w:p>
            <w:pPr>
              <w:spacing w:after="0"/>
              <w:rPr>
                <w:sz w:val="5"/>
                <w:szCs w:val="5"/>
                <w:color w:val="auto"/>
              </w:rPr>
            </w:pPr>
          </w:p>
        </w:tc>
        <w:tc>
          <w:tcPr>
            <w:tcW w:w="220" w:type="dxa"/>
            <w:vAlign w:val="bottom"/>
            <w:tcBorders>
              <w:bottom w:val="single" w:sz="8" w:color="B2B2B2"/>
            </w:tcBorders>
          </w:tcPr>
          <w:p>
            <w:pPr>
              <w:spacing w:after="0"/>
              <w:rPr>
                <w:sz w:val="5"/>
                <w:szCs w:val="5"/>
                <w:color w:val="auto"/>
              </w:rPr>
            </w:pPr>
          </w:p>
        </w:tc>
        <w:tc>
          <w:tcPr>
            <w:tcW w:w="2080" w:type="dxa"/>
            <w:vAlign w:val="bottom"/>
            <w:tcBorders>
              <w:bottom w:val="single" w:sz="8" w:color="B2B2B2"/>
            </w:tcBorders>
          </w:tcPr>
          <w:p>
            <w:pPr>
              <w:spacing w:after="0"/>
              <w:rPr>
                <w:sz w:val="5"/>
                <w:szCs w:val="5"/>
                <w:color w:val="auto"/>
              </w:rPr>
            </w:pPr>
          </w:p>
        </w:tc>
        <w:tc>
          <w:tcPr>
            <w:tcW w:w="500" w:type="dxa"/>
            <w:vAlign w:val="bottom"/>
            <w:tcBorders>
              <w:bottom w:val="single" w:sz="8" w:color="B2B2B2"/>
            </w:tcBorders>
          </w:tcPr>
          <w:p>
            <w:pPr>
              <w:spacing w:after="0"/>
              <w:rPr>
                <w:sz w:val="5"/>
                <w:szCs w:val="5"/>
                <w:color w:val="auto"/>
              </w:rPr>
            </w:pPr>
          </w:p>
        </w:tc>
        <w:tc>
          <w:tcPr>
            <w:tcW w:w="2220" w:type="dxa"/>
            <w:vAlign w:val="bottom"/>
            <w:tcBorders>
              <w:bottom w:val="single" w:sz="8" w:color="B2B2B2"/>
            </w:tcBorders>
          </w:tcPr>
          <w:p>
            <w:pPr>
              <w:spacing w:after="0"/>
              <w:rPr>
                <w:sz w:val="5"/>
                <w:szCs w:val="5"/>
                <w:color w:val="auto"/>
              </w:rPr>
            </w:pPr>
          </w:p>
        </w:tc>
      </w:tr>
      <w:tr>
        <w:trPr>
          <w:trHeight w:val="211"/>
        </w:trPr>
        <w:tc>
          <w:tcPr>
            <w:tcW w:w="5480" w:type="dxa"/>
            <w:vAlign w:val="bottom"/>
          </w:tcPr>
          <w:p>
            <w:pPr>
              <w:ind w:left="160"/>
              <w:spacing w:after="0"/>
              <w:rPr>
                <w:sz w:val="20"/>
                <w:szCs w:val="20"/>
                <w:color w:val="auto"/>
              </w:rPr>
            </w:pPr>
            <w:r>
              <w:rPr>
                <w:rFonts w:ascii="Arial" w:cs="Arial" w:eastAsia="Arial" w:hAnsi="Arial"/>
                <w:sz w:val="16"/>
                <w:szCs w:val="16"/>
                <w:b w:val="1"/>
                <w:bCs w:val="1"/>
                <w:color w:val="auto"/>
              </w:rPr>
              <w:t> Q2</w:t>
            </w:r>
          </w:p>
        </w:tc>
        <w:tc>
          <w:tcPr>
            <w:tcW w:w="300" w:type="dxa"/>
            <w:vAlign w:val="bottom"/>
          </w:tcPr>
          <w:p>
            <w:pPr>
              <w:ind w:left="200"/>
              <w:spacing w:after="0"/>
              <w:rPr>
                <w:sz w:val="20"/>
                <w:szCs w:val="20"/>
                <w:color w:val="auto"/>
              </w:rPr>
            </w:pPr>
            <w:r>
              <w:rPr>
                <w:rFonts w:ascii="Arial" w:cs="Arial" w:eastAsia="Arial" w:hAnsi="Arial"/>
                <w:sz w:val="11"/>
                <w:szCs w:val="11"/>
                <w:color w:val="auto"/>
                <w:w w:val="72"/>
              </w:rPr>
              <w:t> </w:t>
            </w:r>
          </w:p>
        </w:tc>
        <w:tc>
          <w:tcPr>
            <w:tcW w:w="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541"/>
              <w:spacing w:after="0"/>
              <w:rPr>
                <w:sz w:val="20"/>
                <w:szCs w:val="20"/>
                <w:color w:val="auto"/>
              </w:rPr>
            </w:pPr>
            <w:r>
              <w:rPr>
                <w:rFonts w:ascii="Arial" w:cs="Arial" w:eastAsia="Arial" w:hAnsi="Arial"/>
                <w:sz w:val="16"/>
                <w:szCs w:val="16"/>
                <w:color w:val="auto"/>
              </w:rPr>
              <w:t>0.490000</w:t>
            </w:r>
          </w:p>
        </w:tc>
        <w:tc>
          <w:tcPr>
            <w:tcW w:w="500" w:type="dxa"/>
            <w:vAlign w:val="bottom"/>
          </w:tcPr>
          <w:p>
            <w:pPr>
              <w:ind w:left="300"/>
              <w:spacing w:after="0"/>
              <w:rPr>
                <w:sz w:val="20"/>
                <w:szCs w:val="20"/>
                <w:color w:val="auto"/>
              </w:rPr>
            </w:pPr>
            <w:r>
              <w:rPr>
                <w:rFonts w:ascii="Arial" w:cs="Arial" w:eastAsia="Arial" w:hAnsi="Arial"/>
                <w:sz w:val="16"/>
                <w:szCs w:val="16"/>
                <w:color w:val="auto"/>
                <w:w w:val="87"/>
              </w:rPr>
              <w:t>C$</w:t>
            </w:r>
          </w:p>
        </w:tc>
        <w:tc>
          <w:tcPr>
            <w:tcW w:w="2220" w:type="dxa"/>
            <w:vAlign w:val="bottom"/>
          </w:tcPr>
          <w:p>
            <w:pPr>
              <w:ind w:left="820"/>
              <w:spacing w:after="0"/>
              <w:rPr>
                <w:sz w:val="20"/>
                <w:szCs w:val="20"/>
                <w:color w:val="auto"/>
              </w:rPr>
            </w:pPr>
            <w:r>
              <w:rPr>
                <w:rFonts w:ascii="Arial" w:cs="Arial" w:eastAsia="Arial" w:hAnsi="Arial"/>
                <w:sz w:val="16"/>
                <w:szCs w:val="16"/>
                <w:color w:val="auto"/>
              </w:rPr>
              <w:t>0.293631</w:t>
            </w:r>
          </w:p>
        </w:tc>
      </w:tr>
      <w:tr>
        <w:trPr>
          <w:trHeight w:val="60"/>
        </w:trPr>
        <w:tc>
          <w:tcPr>
            <w:tcW w:w="5480" w:type="dxa"/>
            <w:vAlign w:val="bottom"/>
            <w:tcBorders>
              <w:bottom w:val="single" w:sz="8" w:color="B2B2B2"/>
            </w:tcBorders>
          </w:tcPr>
          <w:p>
            <w:pPr>
              <w:spacing w:after="0"/>
              <w:rPr>
                <w:sz w:val="5"/>
                <w:szCs w:val="5"/>
                <w:color w:val="auto"/>
              </w:rPr>
            </w:pPr>
          </w:p>
        </w:tc>
        <w:tc>
          <w:tcPr>
            <w:tcW w:w="300" w:type="dxa"/>
            <w:vAlign w:val="bottom"/>
            <w:tcBorders>
              <w:bottom w:val="single" w:sz="8" w:color="B2B2B2"/>
            </w:tcBorders>
          </w:tcPr>
          <w:p>
            <w:pPr>
              <w:spacing w:after="0"/>
              <w:rPr>
                <w:sz w:val="5"/>
                <w:szCs w:val="5"/>
                <w:color w:val="auto"/>
              </w:rPr>
            </w:pPr>
          </w:p>
        </w:tc>
        <w:tc>
          <w:tcPr>
            <w:tcW w:w="220" w:type="dxa"/>
            <w:vAlign w:val="bottom"/>
            <w:tcBorders>
              <w:bottom w:val="single" w:sz="8" w:color="B2B2B2"/>
            </w:tcBorders>
          </w:tcPr>
          <w:p>
            <w:pPr>
              <w:spacing w:after="0"/>
              <w:rPr>
                <w:sz w:val="5"/>
                <w:szCs w:val="5"/>
                <w:color w:val="auto"/>
              </w:rPr>
            </w:pPr>
          </w:p>
        </w:tc>
        <w:tc>
          <w:tcPr>
            <w:tcW w:w="2080" w:type="dxa"/>
            <w:vAlign w:val="bottom"/>
            <w:tcBorders>
              <w:bottom w:val="single" w:sz="8" w:color="B2B2B2"/>
            </w:tcBorders>
          </w:tcPr>
          <w:p>
            <w:pPr>
              <w:spacing w:after="0"/>
              <w:rPr>
                <w:sz w:val="5"/>
                <w:szCs w:val="5"/>
                <w:color w:val="auto"/>
              </w:rPr>
            </w:pPr>
          </w:p>
        </w:tc>
        <w:tc>
          <w:tcPr>
            <w:tcW w:w="500" w:type="dxa"/>
            <w:vAlign w:val="bottom"/>
            <w:tcBorders>
              <w:bottom w:val="single" w:sz="8" w:color="B2B2B2"/>
            </w:tcBorders>
          </w:tcPr>
          <w:p>
            <w:pPr>
              <w:spacing w:after="0"/>
              <w:rPr>
                <w:sz w:val="5"/>
                <w:szCs w:val="5"/>
                <w:color w:val="auto"/>
              </w:rPr>
            </w:pPr>
          </w:p>
        </w:tc>
        <w:tc>
          <w:tcPr>
            <w:tcW w:w="2220" w:type="dxa"/>
            <w:vAlign w:val="bottom"/>
            <w:tcBorders>
              <w:bottom w:val="single" w:sz="8" w:color="B2B2B2"/>
            </w:tcBorders>
          </w:tcPr>
          <w:p>
            <w:pPr>
              <w:spacing w:after="0"/>
              <w:rPr>
                <w:sz w:val="5"/>
                <w:szCs w:val="5"/>
                <w:color w:val="auto"/>
              </w:rPr>
            </w:pPr>
          </w:p>
        </w:tc>
      </w:tr>
      <w:tr>
        <w:trPr>
          <w:trHeight w:val="211"/>
        </w:trPr>
        <w:tc>
          <w:tcPr>
            <w:tcW w:w="5480" w:type="dxa"/>
            <w:vAlign w:val="bottom"/>
          </w:tcPr>
          <w:p>
            <w:pPr>
              <w:ind w:left="160"/>
              <w:spacing w:after="0"/>
              <w:rPr>
                <w:sz w:val="20"/>
                <w:szCs w:val="20"/>
                <w:color w:val="auto"/>
              </w:rPr>
            </w:pPr>
            <w:r>
              <w:rPr>
                <w:rFonts w:ascii="Arial" w:cs="Arial" w:eastAsia="Arial" w:hAnsi="Arial"/>
                <w:sz w:val="16"/>
                <w:szCs w:val="16"/>
                <w:b w:val="1"/>
                <w:bCs w:val="1"/>
                <w:color w:val="auto"/>
              </w:rPr>
              <w:t> Q3</w:t>
            </w:r>
          </w:p>
        </w:tc>
        <w:tc>
          <w:tcPr>
            <w:tcW w:w="300" w:type="dxa"/>
            <w:vAlign w:val="bottom"/>
          </w:tcPr>
          <w:p>
            <w:pPr>
              <w:ind w:left="200"/>
              <w:spacing w:after="0"/>
              <w:rPr>
                <w:sz w:val="20"/>
                <w:szCs w:val="20"/>
                <w:color w:val="auto"/>
              </w:rPr>
            </w:pPr>
            <w:r>
              <w:rPr>
                <w:rFonts w:ascii="Arial" w:cs="Arial" w:eastAsia="Arial" w:hAnsi="Arial"/>
                <w:sz w:val="11"/>
                <w:szCs w:val="11"/>
                <w:color w:val="auto"/>
                <w:w w:val="72"/>
              </w:rPr>
              <w:t> </w:t>
            </w:r>
          </w:p>
        </w:tc>
        <w:tc>
          <w:tcPr>
            <w:tcW w:w="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541"/>
              <w:spacing w:after="0"/>
              <w:rPr>
                <w:sz w:val="20"/>
                <w:szCs w:val="20"/>
                <w:color w:val="auto"/>
              </w:rPr>
            </w:pPr>
            <w:r>
              <w:rPr>
                <w:rFonts w:ascii="Arial" w:cs="Arial" w:eastAsia="Arial" w:hAnsi="Arial"/>
                <w:sz w:val="16"/>
                <w:szCs w:val="16"/>
                <w:color w:val="auto"/>
              </w:rPr>
              <w:t>0.490000</w:t>
            </w:r>
          </w:p>
        </w:tc>
        <w:tc>
          <w:tcPr>
            <w:tcW w:w="500" w:type="dxa"/>
            <w:vAlign w:val="bottom"/>
          </w:tcPr>
          <w:p>
            <w:pPr>
              <w:ind w:left="300"/>
              <w:spacing w:after="0"/>
              <w:rPr>
                <w:sz w:val="20"/>
                <w:szCs w:val="20"/>
                <w:color w:val="auto"/>
              </w:rPr>
            </w:pPr>
            <w:r>
              <w:rPr>
                <w:rFonts w:ascii="Arial" w:cs="Arial" w:eastAsia="Arial" w:hAnsi="Arial"/>
                <w:sz w:val="16"/>
                <w:szCs w:val="16"/>
                <w:color w:val="auto"/>
                <w:w w:val="87"/>
              </w:rPr>
              <w:t>C$</w:t>
            </w:r>
          </w:p>
        </w:tc>
        <w:tc>
          <w:tcPr>
            <w:tcW w:w="2220" w:type="dxa"/>
            <w:vAlign w:val="bottom"/>
          </w:tcPr>
          <w:p>
            <w:pPr>
              <w:ind w:left="820"/>
              <w:spacing w:after="0"/>
              <w:rPr>
                <w:sz w:val="20"/>
                <w:szCs w:val="20"/>
                <w:color w:val="auto"/>
              </w:rPr>
            </w:pPr>
            <w:r>
              <w:rPr>
                <w:rFonts w:ascii="Arial" w:cs="Arial" w:eastAsia="Arial" w:hAnsi="Arial"/>
                <w:sz w:val="16"/>
                <w:szCs w:val="16"/>
                <w:color w:val="auto"/>
              </w:rPr>
              <w:t>0.315825</w:t>
            </w:r>
          </w:p>
        </w:tc>
      </w:tr>
      <w:tr>
        <w:trPr>
          <w:trHeight w:val="60"/>
        </w:trPr>
        <w:tc>
          <w:tcPr>
            <w:tcW w:w="5480" w:type="dxa"/>
            <w:vAlign w:val="bottom"/>
            <w:tcBorders>
              <w:bottom w:val="single" w:sz="8" w:color="B2B2B2"/>
            </w:tcBorders>
          </w:tcPr>
          <w:p>
            <w:pPr>
              <w:spacing w:after="0"/>
              <w:rPr>
                <w:sz w:val="5"/>
                <w:szCs w:val="5"/>
                <w:color w:val="auto"/>
              </w:rPr>
            </w:pPr>
          </w:p>
        </w:tc>
        <w:tc>
          <w:tcPr>
            <w:tcW w:w="300" w:type="dxa"/>
            <w:vAlign w:val="bottom"/>
            <w:tcBorders>
              <w:bottom w:val="single" w:sz="8" w:color="B2B2B2"/>
            </w:tcBorders>
          </w:tcPr>
          <w:p>
            <w:pPr>
              <w:spacing w:after="0"/>
              <w:rPr>
                <w:sz w:val="5"/>
                <w:szCs w:val="5"/>
                <w:color w:val="auto"/>
              </w:rPr>
            </w:pPr>
          </w:p>
        </w:tc>
        <w:tc>
          <w:tcPr>
            <w:tcW w:w="220" w:type="dxa"/>
            <w:vAlign w:val="bottom"/>
            <w:tcBorders>
              <w:bottom w:val="single" w:sz="8" w:color="B2B2B2"/>
            </w:tcBorders>
          </w:tcPr>
          <w:p>
            <w:pPr>
              <w:spacing w:after="0"/>
              <w:rPr>
                <w:sz w:val="5"/>
                <w:szCs w:val="5"/>
                <w:color w:val="auto"/>
              </w:rPr>
            </w:pPr>
          </w:p>
        </w:tc>
        <w:tc>
          <w:tcPr>
            <w:tcW w:w="2080" w:type="dxa"/>
            <w:vAlign w:val="bottom"/>
            <w:tcBorders>
              <w:bottom w:val="single" w:sz="8" w:color="B2B2B2"/>
            </w:tcBorders>
          </w:tcPr>
          <w:p>
            <w:pPr>
              <w:spacing w:after="0"/>
              <w:rPr>
                <w:sz w:val="5"/>
                <w:szCs w:val="5"/>
                <w:color w:val="auto"/>
              </w:rPr>
            </w:pPr>
          </w:p>
        </w:tc>
        <w:tc>
          <w:tcPr>
            <w:tcW w:w="500" w:type="dxa"/>
            <w:vAlign w:val="bottom"/>
            <w:tcBorders>
              <w:bottom w:val="single" w:sz="8" w:color="B2B2B2"/>
            </w:tcBorders>
          </w:tcPr>
          <w:p>
            <w:pPr>
              <w:spacing w:after="0"/>
              <w:rPr>
                <w:sz w:val="5"/>
                <w:szCs w:val="5"/>
                <w:color w:val="auto"/>
              </w:rPr>
            </w:pPr>
          </w:p>
        </w:tc>
        <w:tc>
          <w:tcPr>
            <w:tcW w:w="2220" w:type="dxa"/>
            <w:vAlign w:val="bottom"/>
            <w:tcBorders>
              <w:bottom w:val="single" w:sz="8" w:color="B2B2B2"/>
            </w:tcBorders>
          </w:tcPr>
          <w:p>
            <w:pPr>
              <w:spacing w:after="0"/>
              <w:rPr>
                <w:sz w:val="5"/>
                <w:szCs w:val="5"/>
                <w:color w:val="auto"/>
              </w:rPr>
            </w:pPr>
          </w:p>
        </w:tc>
      </w:tr>
      <w:tr>
        <w:trPr>
          <w:trHeight w:val="211"/>
        </w:trPr>
        <w:tc>
          <w:tcPr>
            <w:tcW w:w="5480" w:type="dxa"/>
            <w:vAlign w:val="bottom"/>
          </w:tcPr>
          <w:p>
            <w:pPr>
              <w:ind w:left="160"/>
              <w:spacing w:after="0"/>
              <w:rPr>
                <w:sz w:val="20"/>
                <w:szCs w:val="20"/>
                <w:color w:val="auto"/>
              </w:rPr>
            </w:pPr>
            <w:r>
              <w:rPr>
                <w:rFonts w:ascii="Arial" w:cs="Arial" w:eastAsia="Arial" w:hAnsi="Arial"/>
                <w:sz w:val="16"/>
                <w:szCs w:val="16"/>
                <w:b w:val="1"/>
                <w:bCs w:val="1"/>
                <w:color w:val="auto"/>
              </w:rPr>
              <w:t> Q4</w:t>
            </w:r>
          </w:p>
        </w:tc>
        <w:tc>
          <w:tcPr>
            <w:tcW w:w="300" w:type="dxa"/>
            <w:vAlign w:val="bottom"/>
          </w:tcPr>
          <w:p>
            <w:pPr>
              <w:ind w:left="200"/>
              <w:spacing w:after="0"/>
              <w:rPr>
                <w:sz w:val="20"/>
                <w:szCs w:val="20"/>
                <w:color w:val="auto"/>
              </w:rPr>
            </w:pPr>
            <w:r>
              <w:rPr>
                <w:rFonts w:ascii="Arial" w:cs="Arial" w:eastAsia="Arial" w:hAnsi="Arial"/>
                <w:sz w:val="11"/>
                <w:szCs w:val="11"/>
                <w:color w:val="auto"/>
                <w:w w:val="72"/>
              </w:rPr>
              <w:t> </w:t>
            </w:r>
          </w:p>
        </w:tc>
        <w:tc>
          <w:tcPr>
            <w:tcW w:w="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541"/>
              <w:spacing w:after="0"/>
              <w:rPr>
                <w:sz w:val="20"/>
                <w:szCs w:val="20"/>
                <w:color w:val="auto"/>
              </w:rPr>
            </w:pPr>
            <w:r>
              <w:rPr>
                <w:rFonts w:ascii="Arial" w:cs="Arial" w:eastAsia="Arial" w:hAnsi="Arial"/>
                <w:sz w:val="16"/>
                <w:szCs w:val="16"/>
                <w:color w:val="auto"/>
              </w:rPr>
              <w:t>0.490000</w:t>
            </w:r>
          </w:p>
        </w:tc>
        <w:tc>
          <w:tcPr>
            <w:tcW w:w="500" w:type="dxa"/>
            <w:vAlign w:val="bottom"/>
          </w:tcPr>
          <w:p>
            <w:pPr>
              <w:ind w:left="300"/>
              <w:spacing w:after="0"/>
              <w:rPr>
                <w:sz w:val="20"/>
                <w:szCs w:val="20"/>
                <w:color w:val="auto"/>
              </w:rPr>
            </w:pPr>
            <w:r>
              <w:rPr>
                <w:rFonts w:ascii="Arial" w:cs="Arial" w:eastAsia="Arial" w:hAnsi="Arial"/>
                <w:sz w:val="16"/>
                <w:szCs w:val="16"/>
                <w:color w:val="auto"/>
                <w:w w:val="87"/>
              </w:rPr>
              <w:t>C$</w:t>
            </w:r>
          </w:p>
        </w:tc>
        <w:tc>
          <w:tcPr>
            <w:tcW w:w="2220" w:type="dxa"/>
            <w:vAlign w:val="bottom"/>
          </w:tcPr>
          <w:p>
            <w:pPr>
              <w:ind w:left="820"/>
              <w:spacing w:after="0"/>
              <w:rPr>
                <w:sz w:val="20"/>
                <w:szCs w:val="20"/>
                <w:color w:val="auto"/>
              </w:rPr>
            </w:pPr>
            <w:r>
              <w:rPr>
                <w:rFonts w:ascii="Arial" w:cs="Arial" w:eastAsia="Arial" w:hAnsi="Arial"/>
                <w:sz w:val="16"/>
                <w:szCs w:val="16"/>
                <w:color w:val="auto"/>
              </w:rPr>
              <w:t>0.317589</w:t>
            </w:r>
          </w:p>
        </w:tc>
      </w:tr>
      <w:tr>
        <w:trPr>
          <w:trHeight w:val="60"/>
        </w:trPr>
        <w:tc>
          <w:tcPr>
            <w:tcW w:w="5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20" w:type="dxa"/>
            <w:vAlign w:val="bottom"/>
          </w:tcPr>
          <w:p>
            <w:pPr>
              <w:spacing w:after="0"/>
              <w:rPr>
                <w:sz w:val="5"/>
                <w:szCs w:val="5"/>
                <w:color w:val="auto"/>
              </w:rPr>
            </w:pPr>
          </w:p>
        </w:tc>
      </w:tr>
      <w:tr>
        <w:trPr>
          <w:trHeight w:val="212"/>
        </w:trPr>
        <w:tc>
          <w:tcPr>
            <w:tcW w:w="5480" w:type="dxa"/>
            <w:vAlign w:val="bottom"/>
            <w:shd w:val="clear" w:color="auto" w:fill="B2B2B2"/>
          </w:tcPr>
          <w:p>
            <w:pPr>
              <w:spacing w:after="0"/>
              <w:rPr>
                <w:sz w:val="20"/>
                <w:szCs w:val="20"/>
                <w:color w:val="auto"/>
              </w:rPr>
            </w:pPr>
            <w:r>
              <w:rPr>
                <w:rFonts w:ascii="Arial" w:cs="Arial" w:eastAsia="Arial" w:hAnsi="Arial"/>
                <w:sz w:val="16"/>
                <w:szCs w:val="16"/>
                <w:b w:val="1"/>
                <w:bCs w:val="1"/>
                <w:color w:val="auto"/>
              </w:rPr>
              <w:t>  2024</w:t>
            </w:r>
          </w:p>
        </w:tc>
        <w:tc>
          <w:tcPr>
            <w:tcW w:w="3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2080" w:type="dxa"/>
            <w:vAlign w:val="bottom"/>
            <w:shd w:val="clear" w:color="auto" w:fill="B2B2B2"/>
          </w:tcPr>
          <w:p>
            <w:pPr>
              <w:spacing w:after="0"/>
              <w:rPr>
                <w:sz w:val="18"/>
                <w:szCs w:val="18"/>
                <w:color w:val="auto"/>
              </w:rPr>
            </w:pPr>
          </w:p>
        </w:tc>
        <w:tc>
          <w:tcPr>
            <w:tcW w:w="500" w:type="dxa"/>
            <w:vAlign w:val="bottom"/>
            <w:shd w:val="clear" w:color="auto" w:fill="B2B2B2"/>
          </w:tcPr>
          <w:p>
            <w:pPr>
              <w:spacing w:after="0"/>
              <w:rPr>
                <w:sz w:val="18"/>
                <w:szCs w:val="18"/>
                <w:color w:val="auto"/>
              </w:rPr>
            </w:pPr>
          </w:p>
        </w:tc>
        <w:tc>
          <w:tcPr>
            <w:tcW w:w="2220" w:type="dxa"/>
            <w:vAlign w:val="bottom"/>
            <w:shd w:val="clear" w:color="auto" w:fill="B2B2B2"/>
          </w:tcPr>
          <w:p>
            <w:pPr>
              <w:spacing w:after="0"/>
              <w:rPr>
                <w:sz w:val="18"/>
                <w:szCs w:val="18"/>
                <w:color w:val="auto"/>
              </w:rPr>
            </w:pPr>
          </w:p>
        </w:tc>
      </w:tr>
      <w:tr>
        <w:trPr>
          <w:trHeight w:val="218"/>
        </w:trPr>
        <w:tc>
          <w:tcPr>
            <w:tcW w:w="5480" w:type="dxa"/>
            <w:vAlign w:val="bottom"/>
          </w:tcPr>
          <w:p>
            <w:pPr>
              <w:ind w:left="160"/>
              <w:spacing w:after="0"/>
              <w:rPr>
                <w:sz w:val="20"/>
                <w:szCs w:val="20"/>
                <w:color w:val="auto"/>
              </w:rPr>
            </w:pPr>
            <w:r>
              <w:rPr>
                <w:rFonts w:ascii="Arial" w:cs="Arial" w:eastAsia="Arial" w:hAnsi="Arial"/>
                <w:sz w:val="16"/>
                <w:szCs w:val="16"/>
                <w:b w:val="1"/>
                <w:bCs w:val="1"/>
                <w:color w:val="auto"/>
              </w:rPr>
              <w:t> Q1</w:t>
            </w:r>
          </w:p>
        </w:tc>
        <w:tc>
          <w:tcPr>
            <w:tcW w:w="300" w:type="dxa"/>
            <w:vAlign w:val="bottom"/>
          </w:tcPr>
          <w:p>
            <w:pPr>
              <w:ind w:left="200"/>
              <w:spacing w:after="0"/>
              <w:rPr>
                <w:sz w:val="20"/>
                <w:szCs w:val="20"/>
                <w:color w:val="auto"/>
              </w:rPr>
            </w:pPr>
            <w:r>
              <w:rPr>
                <w:rFonts w:ascii="Arial" w:cs="Arial" w:eastAsia="Arial" w:hAnsi="Arial"/>
                <w:sz w:val="11"/>
                <w:szCs w:val="11"/>
                <w:color w:val="auto"/>
                <w:w w:val="72"/>
              </w:rPr>
              <w:t> </w:t>
            </w:r>
          </w:p>
        </w:tc>
        <w:tc>
          <w:tcPr>
            <w:tcW w:w="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541"/>
              <w:spacing w:after="0"/>
              <w:rPr>
                <w:sz w:val="20"/>
                <w:szCs w:val="20"/>
                <w:color w:val="auto"/>
              </w:rPr>
            </w:pPr>
            <w:r>
              <w:rPr>
                <w:rFonts w:ascii="Arial" w:cs="Arial" w:eastAsia="Arial" w:hAnsi="Arial"/>
                <w:sz w:val="16"/>
                <w:szCs w:val="16"/>
                <w:color w:val="auto"/>
              </w:rPr>
              <w:t>0.540000</w:t>
            </w:r>
          </w:p>
        </w:tc>
        <w:tc>
          <w:tcPr>
            <w:tcW w:w="500" w:type="dxa"/>
            <w:vAlign w:val="bottom"/>
          </w:tcPr>
          <w:p>
            <w:pPr>
              <w:ind w:left="300"/>
              <w:spacing w:after="0"/>
              <w:rPr>
                <w:sz w:val="20"/>
                <w:szCs w:val="20"/>
                <w:color w:val="auto"/>
              </w:rPr>
            </w:pPr>
            <w:r>
              <w:rPr>
                <w:rFonts w:ascii="Arial" w:cs="Arial" w:eastAsia="Arial" w:hAnsi="Arial"/>
                <w:sz w:val="16"/>
                <w:szCs w:val="16"/>
                <w:color w:val="auto"/>
                <w:w w:val="87"/>
              </w:rPr>
              <w:t>C$</w:t>
            </w:r>
          </w:p>
        </w:tc>
        <w:tc>
          <w:tcPr>
            <w:tcW w:w="2220" w:type="dxa"/>
            <w:vAlign w:val="bottom"/>
          </w:tcPr>
          <w:p>
            <w:pPr>
              <w:ind w:left="800"/>
              <w:spacing w:after="0"/>
              <w:rPr>
                <w:sz w:val="20"/>
                <w:szCs w:val="20"/>
                <w:color w:val="auto"/>
              </w:rPr>
            </w:pPr>
            <w:r>
              <w:rPr>
                <w:rFonts w:ascii="Arial" w:cs="Arial" w:eastAsia="Arial" w:hAnsi="Arial"/>
                <w:sz w:val="16"/>
                <w:szCs w:val="16"/>
                <w:color w:val="auto"/>
              </w:rPr>
              <w:t>0.313279  </w:t>
            </w:r>
          </w:p>
        </w:tc>
      </w:tr>
      <w:tr>
        <w:trPr>
          <w:trHeight w:val="60"/>
        </w:trPr>
        <w:tc>
          <w:tcPr>
            <w:tcW w:w="5480" w:type="dxa"/>
            <w:vAlign w:val="bottom"/>
            <w:tcBorders>
              <w:bottom w:val="single" w:sz="8" w:color="B2B2B2"/>
            </w:tcBorders>
          </w:tcPr>
          <w:p>
            <w:pPr>
              <w:spacing w:after="0"/>
              <w:rPr>
                <w:sz w:val="5"/>
                <w:szCs w:val="5"/>
                <w:color w:val="auto"/>
              </w:rPr>
            </w:pPr>
          </w:p>
        </w:tc>
        <w:tc>
          <w:tcPr>
            <w:tcW w:w="300" w:type="dxa"/>
            <w:vAlign w:val="bottom"/>
            <w:tcBorders>
              <w:bottom w:val="single" w:sz="8" w:color="B2B2B2"/>
            </w:tcBorders>
          </w:tcPr>
          <w:p>
            <w:pPr>
              <w:spacing w:after="0"/>
              <w:rPr>
                <w:sz w:val="5"/>
                <w:szCs w:val="5"/>
                <w:color w:val="auto"/>
              </w:rPr>
            </w:pPr>
          </w:p>
        </w:tc>
        <w:tc>
          <w:tcPr>
            <w:tcW w:w="220" w:type="dxa"/>
            <w:vAlign w:val="bottom"/>
            <w:tcBorders>
              <w:bottom w:val="single" w:sz="8" w:color="B2B2B2"/>
            </w:tcBorders>
          </w:tcPr>
          <w:p>
            <w:pPr>
              <w:spacing w:after="0"/>
              <w:rPr>
                <w:sz w:val="5"/>
                <w:szCs w:val="5"/>
                <w:color w:val="auto"/>
              </w:rPr>
            </w:pPr>
          </w:p>
        </w:tc>
        <w:tc>
          <w:tcPr>
            <w:tcW w:w="2080" w:type="dxa"/>
            <w:vAlign w:val="bottom"/>
            <w:tcBorders>
              <w:bottom w:val="single" w:sz="8" w:color="B2B2B2"/>
            </w:tcBorders>
          </w:tcPr>
          <w:p>
            <w:pPr>
              <w:spacing w:after="0"/>
              <w:rPr>
                <w:sz w:val="5"/>
                <w:szCs w:val="5"/>
                <w:color w:val="auto"/>
              </w:rPr>
            </w:pPr>
          </w:p>
        </w:tc>
        <w:tc>
          <w:tcPr>
            <w:tcW w:w="500" w:type="dxa"/>
            <w:vAlign w:val="bottom"/>
            <w:tcBorders>
              <w:bottom w:val="single" w:sz="8" w:color="B2B2B2"/>
            </w:tcBorders>
          </w:tcPr>
          <w:p>
            <w:pPr>
              <w:spacing w:after="0"/>
              <w:rPr>
                <w:sz w:val="5"/>
                <w:szCs w:val="5"/>
                <w:color w:val="auto"/>
              </w:rPr>
            </w:pPr>
          </w:p>
        </w:tc>
        <w:tc>
          <w:tcPr>
            <w:tcW w:w="2220" w:type="dxa"/>
            <w:vAlign w:val="bottom"/>
            <w:tcBorders>
              <w:bottom w:val="single" w:sz="8" w:color="B2B2B2"/>
            </w:tcBorders>
          </w:tcPr>
          <w:p>
            <w:pPr>
              <w:spacing w:after="0"/>
              <w:rPr>
                <w:sz w:val="5"/>
                <w:szCs w:val="5"/>
                <w:color w:val="auto"/>
              </w:rPr>
            </w:pPr>
          </w:p>
        </w:tc>
      </w:tr>
      <w:tr>
        <w:trPr>
          <w:trHeight w:val="211"/>
        </w:trPr>
        <w:tc>
          <w:tcPr>
            <w:tcW w:w="5480" w:type="dxa"/>
            <w:vAlign w:val="bottom"/>
          </w:tcPr>
          <w:p>
            <w:pPr>
              <w:ind w:left="160"/>
              <w:spacing w:after="0"/>
              <w:rPr>
                <w:sz w:val="20"/>
                <w:szCs w:val="20"/>
                <w:color w:val="auto"/>
              </w:rPr>
            </w:pPr>
            <w:r>
              <w:rPr>
                <w:rFonts w:ascii="Arial" w:cs="Arial" w:eastAsia="Arial" w:hAnsi="Arial"/>
                <w:sz w:val="16"/>
                <w:szCs w:val="16"/>
                <w:b w:val="1"/>
                <w:bCs w:val="1"/>
                <w:color w:val="auto"/>
              </w:rPr>
              <w:t> Q2</w:t>
            </w:r>
          </w:p>
        </w:tc>
        <w:tc>
          <w:tcPr>
            <w:tcW w:w="300" w:type="dxa"/>
            <w:vAlign w:val="bottom"/>
          </w:tcPr>
          <w:p>
            <w:pPr>
              <w:ind w:left="200"/>
              <w:spacing w:after="0"/>
              <w:rPr>
                <w:sz w:val="20"/>
                <w:szCs w:val="20"/>
                <w:color w:val="auto"/>
              </w:rPr>
            </w:pPr>
            <w:r>
              <w:rPr>
                <w:rFonts w:ascii="Arial" w:cs="Arial" w:eastAsia="Arial" w:hAnsi="Arial"/>
                <w:sz w:val="11"/>
                <w:szCs w:val="11"/>
                <w:color w:val="auto"/>
                <w:w w:val="72"/>
              </w:rPr>
              <w:t> </w:t>
            </w:r>
          </w:p>
        </w:tc>
        <w:tc>
          <w:tcPr>
            <w:tcW w:w="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541"/>
              <w:spacing w:after="0"/>
              <w:rPr>
                <w:sz w:val="20"/>
                <w:szCs w:val="20"/>
                <w:color w:val="auto"/>
              </w:rPr>
            </w:pPr>
            <w:r>
              <w:rPr>
                <w:rFonts w:ascii="Arial" w:cs="Arial" w:eastAsia="Arial" w:hAnsi="Arial"/>
                <w:sz w:val="16"/>
                <w:szCs w:val="16"/>
                <w:color w:val="auto"/>
              </w:rPr>
              <w:t>0.540000</w:t>
            </w:r>
          </w:p>
        </w:tc>
        <w:tc>
          <w:tcPr>
            <w:tcW w:w="500" w:type="dxa"/>
            <w:vAlign w:val="bottom"/>
          </w:tcPr>
          <w:p>
            <w:pPr>
              <w:ind w:left="300"/>
              <w:spacing w:after="0"/>
              <w:rPr>
                <w:sz w:val="20"/>
                <w:szCs w:val="20"/>
                <w:color w:val="auto"/>
              </w:rPr>
            </w:pPr>
            <w:r>
              <w:rPr>
                <w:rFonts w:ascii="Arial" w:cs="Arial" w:eastAsia="Arial" w:hAnsi="Arial"/>
                <w:sz w:val="16"/>
                <w:szCs w:val="16"/>
                <w:color w:val="auto"/>
                <w:w w:val="87"/>
              </w:rPr>
              <w:t>C$</w:t>
            </w:r>
          </w:p>
        </w:tc>
        <w:tc>
          <w:tcPr>
            <w:tcW w:w="2220" w:type="dxa"/>
            <w:vAlign w:val="bottom"/>
          </w:tcPr>
          <w:p>
            <w:pPr>
              <w:jc w:val="center"/>
              <w:ind w:left="41"/>
              <w:spacing w:after="0"/>
              <w:rPr>
                <w:sz w:val="20"/>
                <w:szCs w:val="20"/>
                <w:color w:val="auto"/>
              </w:rPr>
            </w:pPr>
            <w:r>
              <w:rPr>
                <w:rFonts w:ascii="Arial" w:cs="Arial" w:eastAsia="Arial" w:hAnsi="Arial"/>
                <w:sz w:val="16"/>
                <w:szCs w:val="16"/>
                <w:color w:val="auto"/>
                <w:w w:val="95"/>
              </w:rPr>
              <w:t>0.311973  </w:t>
            </w:r>
          </w:p>
        </w:tc>
      </w:tr>
      <w:tr>
        <w:trPr>
          <w:trHeight w:val="60"/>
        </w:trPr>
        <w:tc>
          <w:tcPr>
            <w:tcW w:w="5480" w:type="dxa"/>
            <w:vAlign w:val="bottom"/>
            <w:tcBorders>
              <w:bottom w:val="single" w:sz="8" w:color="B2B2B2"/>
            </w:tcBorders>
          </w:tcPr>
          <w:p>
            <w:pPr>
              <w:spacing w:after="0"/>
              <w:rPr>
                <w:sz w:val="5"/>
                <w:szCs w:val="5"/>
                <w:color w:val="auto"/>
              </w:rPr>
            </w:pPr>
          </w:p>
        </w:tc>
        <w:tc>
          <w:tcPr>
            <w:tcW w:w="300" w:type="dxa"/>
            <w:vAlign w:val="bottom"/>
            <w:tcBorders>
              <w:bottom w:val="single" w:sz="8" w:color="B2B2B2"/>
            </w:tcBorders>
          </w:tcPr>
          <w:p>
            <w:pPr>
              <w:spacing w:after="0"/>
              <w:rPr>
                <w:sz w:val="5"/>
                <w:szCs w:val="5"/>
                <w:color w:val="auto"/>
              </w:rPr>
            </w:pPr>
          </w:p>
        </w:tc>
        <w:tc>
          <w:tcPr>
            <w:tcW w:w="220" w:type="dxa"/>
            <w:vAlign w:val="bottom"/>
            <w:tcBorders>
              <w:bottom w:val="single" w:sz="8" w:color="B2B2B2"/>
            </w:tcBorders>
          </w:tcPr>
          <w:p>
            <w:pPr>
              <w:spacing w:after="0"/>
              <w:rPr>
                <w:sz w:val="5"/>
                <w:szCs w:val="5"/>
                <w:color w:val="auto"/>
              </w:rPr>
            </w:pPr>
          </w:p>
        </w:tc>
        <w:tc>
          <w:tcPr>
            <w:tcW w:w="2080" w:type="dxa"/>
            <w:vAlign w:val="bottom"/>
            <w:tcBorders>
              <w:bottom w:val="single" w:sz="8" w:color="B2B2B2"/>
            </w:tcBorders>
          </w:tcPr>
          <w:p>
            <w:pPr>
              <w:spacing w:after="0"/>
              <w:rPr>
                <w:sz w:val="5"/>
                <w:szCs w:val="5"/>
                <w:color w:val="auto"/>
              </w:rPr>
            </w:pPr>
          </w:p>
        </w:tc>
        <w:tc>
          <w:tcPr>
            <w:tcW w:w="500" w:type="dxa"/>
            <w:vAlign w:val="bottom"/>
            <w:tcBorders>
              <w:bottom w:val="single" w:sz="8" w:color="B2B2B2"/>
            </w:tcBorders>
          </w:tcPr>
          <w:p>
            <w:pPr>
              <w:spacing w:after="0"/>
              <w:rPr>
                <w:sz w:val="5"/>
                <w:szCs w:val="5"/>
                <w:color w:val="auto"/>
              </w:rPr>
            </w:pPr>
          </w:p>
        </w:tc>
        <w:tc>
          <w:tcPr>
            <w:tcW w:w="2220" w:type="dxa"/>
            <w:vAlign w:val="bottom"/>
            <w:tcBorders>
              <w:bottom w:val="single" w:sz="8" w:color="B2B2B2"/>
            </w:tcBorders>
          </w:tcPr>
          <w:p>
            <w:pPr>
              <w:spacing w:after="0"/>
              <w:rPr>
                <w:sz w:val="5"/>
                <w:szCs w:val="5"/>
                <w:color w:val="auto"/>
              </w:rPr>
            </w:pPr>
          </w:p>
        </w:tc>
      </w:tr>
      <w:tr>
        <w:trPr>
          <w:trHeight w:val="211"/>
        </w:trPr>
        <w:tc>
          <w:tcPr>
            <w:tcW w:w="5480" w:type="dxa"/>
            <w:vAlign w:val="bottom"/>
          </w:tcPr>
          <w:p>
            <w:pPr>
              <w:ind w:left="160"/>
              <w:spacing w:after="0"/>
              <w:rPr>
                <w:sz w:val="20"/>
                <w:szCs w:val="20"/>
                <w:color w:val="auto"/>
              </w:rPr>
            </w:pPr>
            <w:r>
              <w:rPr>
                <w:rFonts w:ascii="Arial" w:cs="Arial" w:eastAsia="Arial" w:hAnsi="Arial"/>
                <w:sz w:val="16"/>
                <w:szCs w:val="16"/>
                <w:b w:val="1"/>
                <w:bCs w:val="1"/>
                <w:color w:val="auto"/>
              </w:rPr>
              <w:t> Q3</w:t>
            </w:r>
          </w:p>
        </w:tc>
        <w:tc>
          <w:tcPr>
            <w:tcW w:w="300" w:type="dxa"/>
            <w:vAlign w:val="bottom"/>
          </w:tcPr>
          <w:p>
            <w:pPr>
              <w:ind w:left="200"/>
              <w:spacing w:after="0"/>
              <w:rPr>
                <w:sz w:val="20"/>
                <w:szCs w:val="20"/>
                <w:color w:val="auto"/>
              </w:rPr>
            </w:pPr>
            <w:r>
              <w:rPr>
                <w:rFonts w:ascii="Arial" w:cs="Arial" w:eastAsia="Arial" w:hAnsi="Arial"/>
                <w:sz w:val="11"/>
                <w:szCs w:val="11"/>
                <w:color w:val="auto"/>
                <w:w w:val="72"/>
              </w:rPr>
              <w:t> </w:t>
            </w:r>
          </w:p>
        </w:tc>
        <w:tc>
          <w:tcPr>
            <w:tcW w:w="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541"/>
              <w:spacing w:after="0"/>
              <w:rPr>
                <w:sz w:val="20"/>
                <w:szCs w:val="20"/>
                <w:color w:val="auto"/>
              </w:rPr>
            </w:pPr>
            <w:r>
              <w:rPr>
                <w:rFonts w:ascii="Arial" w:cs="Arial" w:eastAsia="Arial" w:hAnsi="Arial"/>
                <w:sz w:val="16"/>
                <w:szCs w:val="16"/>
                <w:color w:val="auto"/>
              </w:rPr>
              <w:t>0.540000</w:t>
            </w:r>
          </w:p>
        </w:tc>
        <w:tc>
          <w:tcPr>
            <w:tcW w:w="500" w:type="dxa"/>
            <w:vAlign w:val="bottom"/>
          </w:tcPr>
          <w:p>
            <w:pPr>
              <w:ind w:left="300"/>
              <w:spacing w:after="0"/>
              <w:rPr>
                <w:sz w:val="20"/>
                <w:szCs w:val="20"/>
                <w:color w:val="auto"/>
              </w:rPr>
            </w:pPr>
            <w:r>
              <w:rPr>
                <w:rFonts w:ascii="Arial" w:cs="Arial" w:eastAsia="Arial" w:hAnsi="Arial"/>
                <w:sz w:val="16"/>
                <w:szCs w:val="16"/>
                <w:color w:val="auto"/>
                <w:w w:val="87"/>
              </w:rPr>
              <w:t>C$</w:t>
            </w:r>
          </w:p>
        </w:tc>
        <w:tc>
          <w:tcPr>
            <w:tcW w:w="2220" w:type="dxa"/>
            <w:vAlign w:val="bottom"/>
          </w:tcPr>
          <w:p>
            <w:pPr>
              <w:jc w:val="center"/>
              <w:ind w:left="41"/>
              <w:spacing w:after="0"/>
              <w:rPr>
                <w:sz w:val="20"/>
                <w:szCs w:val="20"/>
                <w:color w:val="auto"/>
              </w:rPr>
            </w:pPr>
            <w:r>
              <w:rPr>
                <w:rFonts w:ascii="Arial" w:cs="Arial" w:eastAsia="Arial" w:hAnsi="Arial"/>
                <w:sz w:val="16"/>
                <w:szCs w:val="16"/>
                <w:color w:val="auto"/>
                <w:w w:val="98"/>
              </w:rPr>
              <w:t>0.296486</w:t>
            </w:r>
          </w:p>
        </w:tc>
      </w:tr>
      <w:tr>
        <w:trPr>
          <w:trHeight w:val="60"/>
        </w:trPr>
        <w:tc>
          <w:tcPr>
            <w:tcW w:w="5480" w:type="dxa"/>
            <w:vAlign w:val="bottom"/>
            <w:tcBorders>
              <w:bottom w:val="single" w:sz="8" w:color="B2B2B2"/>
            </w:tcBorders>
          </w:tcPr>
          <w:p>
            <w:pPr>
              <w:spacing w:after="0"/>
              <w:rPr>
                <w:sz w:val="5"/>
                <w:szCs w:val="5"/>
                <w:color w:val="auto"/>
              </w:rPr>
            </w:pPr>
          </w:p>
        </w:tc>
        <w:tc>
          <w:tcPr>
            <w:tcW w:w="300" w:type="dxa"/>
            <w:vAlign w:val="bottom"/>
            <w:tcBorders>
              <w:bottom w:val="single" w:sz="8" w:color="B2B2B2"/>
            </w:tcBorders>
          </w:tcPr>
          <w:p>
            <w:pPr>
              <w:spacing w:after="0"/>
              <w:rPr>
                <w:sz w:val="5"/>
                <w:szCs w:val="5"/>
                <w:color w:val="auto"/>
              </w:rPr>
            </w:pPr>
          </w:p>
        </w:tc>
        <w:tc>
          <w:tcPr>
            <w:tcW w:w="220" w:type="dxa"/>
            <w:vAlign w:val="bottom"/>
            <w:tcBorders>
              <w:bottom w:val="single" w:sz="8" w:color="B2B2B2"/>
            </w:tcBorders>
          </w:tcPr>
          <w:p>
            <w:pPr>
              <w:spacing w:after="0"/>
              <w:rPr>
                <w:sz w:val="5"/>
                <w:szCs w:val="5"/>
                <w:color w:val="auto"/>
              </w:rPr>
            </w:pPr>
          </w:p>
        </w:tc>
        <w:tc>
          <w:tcPr>
            <w:tcW w:w="2080" w:type="dxa"/>
            <w:vAlign w:val="bottom"/>
            <w:tcBorders>
              <w:bottom w:val="single" w:sz="8" w:color="B2B2B2"/>
            </w:tcBorders>
          </w:tcPr>
          <w:p>
            <w:pPr>
              <w:spacing w:after="0"/>
              <w:rPr>
                <w:sz w:val="5"/>
                <w:szCs w:val="5"/>
                <w:color w:val="auto"/>
              </w:rPr>
            </w:pPr>
          </w:p>
        </w:tc>
        <w:tc>
          <w:tcPr>
            <w:tcW w:w="500" w:type="dxa"/>
            <w:vAlign w:val="bottom"/>
            <w:tcBorders>
              <w:bottom w:val="single" w:sz="8" w:color="B2B2B2"/>
            </w:tcBorders>
          </w:tcPr>
          <w:p>
            <w:pPr>
              <w:spacing w:after="0"/>
              <w:rPr>
                <w:sz w:val="5"/>
                <w:szCs w:val="5"/>
                <w:color w:val="auto"/>
              </w:rPr>
            </w:pPr>
          </w:p>
        </w:tc>
        <w:tc>
          <w:tcPr>
            <w:tcW w:w="2220" w:type="dxa"/>
            <w:vAlign w:val="bottom"/>
            <w:tcBorders>
              <w:bottom w:val="single" w:sz="8" w:color="B2B2B2"/>
            </w:tcBorders>
          </w:tcPr>
          <w:p>
            <w:pPr>
              <w:spacing w:after="0"/>
              <w:rPr>
                <w:sz w:val="5"/>
                <w:szCs w:val="5"/>
                <w:color w:val="auto"/>
              </w:rPr>
            </w:pPr>
          </w:p>
        </w:tc>
      </w:tr>
      <w:tr>
        <w:trPr>
          <w:trHeight w:val="211"/>
        </w:trPr>
        <w:tc>
          <w:tcPr>
            <w:tcW w:w="5480" w:type="dxa"/>
            <w:vAlign w:val="bottom"/>
          </w:tcPr>
          <w:p>
            <w:pPr>
              <w:ind w:left="160"/>
              <w:spacing w:after="0"/>
              <w:rPr>
                <w:sz w:val="20"/>
                <w:szCs w:val="20"/>
                <w:color w:val="auto"/>
              </w:rPr>
            </w:pPr>
            <w:r>
              <w:rPr>
                <w:rFonts w:ascii="Arial" w:cs="Arial" w:eastAsia="Arial" w:hAnsi="Arial"/>
                <w:sz w:val="16"/>
                <w:szCs w:val="16"/>
                <w:b w:val="1"/>
                <w:bCs w:val="1"/>
                <w:color w:val="auto"/>
              </w:rPr>
              <w:t> Q4</w:t>
            </w:r>
          </w:p>
        </w:tc>
        <w:tc>
          <w:tcPr>
            <w:tcW w:w="300" w:type="dxa"/>
            <w:vAlign w:val="bottom"/>
          </w:tcPr>
          <w:p>
            <w:pPr>
              <w:ind w:left="200"/>
              <w:spacing w:after="0"/>
              <w:rPr>
                <w:sz w:val="20"/>
                <w:szCs w:val="20"/>
                <w:color w:val="auto"/>
              </w:rPr>
            </w:pPr>
            <w:r>
              <w:rPr>
                <w:rFonts w:ascii="Arial" w:cs="Arial" w:eastAsia="Arial" w:hAnsi="Arial"/>
                <w:sz w:val="11"/>
                <w:szCs w:val="11"/>
                <w:color w:val="auto"/>
                <w:w w:val="72"/>
              </w:rPr>
              <w:t> </w:t>
            </w:r>
          </w:p>
        </w:tc>
        <w:tc>
          <w:tcPr>
            <w:tcW w:w="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541"/>
              <w:spacing w:after="0"/>
              <w:rPr>
                <w:sz w:val="20"/>
                <w:szCs w:val="20"/>
                <w:color w:val="auto"/>
              </w:rPr>
            </w:pPr>
            <w:r>
              <w:rPr>
                <w:rFonts w:ascii="Arial" w:cs="Arial" w:eastAsia="Arial" w:hAnsi="Arial"/>
                <w:sz w:val="16"/>
                <w:szCs w:val="16"/>
                <w:color w:val="auto"/>
              </w:rPr>
              <w:t>0.540000</w:t>
            </w:r>
          </w:p>
        </w:tc>
        <w:tc>
          <w:tcPr>
            <w:tcW w:w="500" w:type="dxa"/>
            <w:vAlign w:val="bottom"/>
          </w:tcPr>
          <w:p>
            <w:pPr>
              <w:ind w:left="300"/>
              <w:spacing w:after="0"/>
              <w:rPr>
                <w:sz w:val="20"/>
                <w:szCs w:val="20"/>
                <w:color w:val="auto"/>
              </w:rPr>
            </w:pPr>
            <w:r>
              <w:rPr>
                <w:rFonts w:ascii="Arial" w:cs="Arial" w:eastAsia="Arial" w:hAnsi="Arial"/>
                <w:sz w:val="16"/>
                <w:szCs w:val="16"/>
                <w:color w:val="auto"/>
                <w:w w:val="87"/>
              </w:rPr>
              <w:t>C$</w:t>
            </w:r>
          </w:p>
        </w:tc>
        <w:tc>
          <w:tcPr>
            <w:tcW w:w="2220" w:type="dxa"/>
            <w:vAlign w:val="bottom"/>
          </w:tcPr>
          <w:p>
            <w:pPr>
              <w:ind w:left="820"/>
              <w:spacing w:after="0"/>
              <w:rPr>
                <w:sz w:val="20"/>
                <w:szCs w:val="20"/>
                <w:color w:val="auto"/>
              </w:rPr>
            </w:pPr>
            <w:r>
              <w:rPr>
                <w:rFonts w:ascii="Arial" w:cs="Arial" w:eastAsia="Arial" w:hAnsi="Arial"/>
                <w:sz w:val="16"/>
                <w:szCs w:val="16"/>
                <w:color w:val="auto"/>
              </w:rPr>
              <w:t>0.267014</w:t>
            </w:r>
          </w:p>
        </w:tc>
      </w:tr>
      <w:tr>
        <w:trPr>
          <w:trHeight w:val="60"/>
        </w:trPr>
        <w:tc>
          <w:tcPr>
            <w:tcW w:w="5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20" w:type="dxa"/>
            <w:vAlign w:val="bottom"/>
          </w:tcPr>
          <w:p>
            <w:pPr>
              <w:spacing w:after="0"/>
              <w:rPr>
                <w:sz w:val="5"/>
                <w:szCs w:val="5"/>
                <w:color w:val="auto"/>
              </w:rPr>
            </w:pPr>
          </w:p>
        </w:tc>
      </w:tr>
      <w:tr>
        <w:trPr>
          <w:trHeight w:val="212"/>
        </w:trPr>
        <w:tc>
          <w:tcPr>
            <w:tcW w:w="5480" w:type="dxa"/>
            <w:vAlign w:val="bottom"/>
            <w:shd w:val="clear" w:color="auto" w:fill="B2B2B2"/>
          </w:tcPr>
          <w:p>
            <w:pPr>
              <w:spacing w:after="0"/>
              <w:rPr>
                <w:sz w:val="20"/>
                <w:szCs w:val="20"/>
                <w:color w:val="auto"/>
              </w:rPr>
            </w:pPr>
            <w:r>
              <w:rPr>
                <w:rFonts w:ascii="Arial" w:cs="Arial" w:eastAsia="Arial" w:hAnsi="Arial"/>
                <w:sz w:val="16"/>
                <w:szCs w:val="16"/>
                <w:b w:val="1"/>
                <w:bCs w:val="1"/>
                <w:color w:val="auto"/>
              </w:rPr>
              <w:t>  2025</w:t>
            </w:r>
          </w:p>
        </w:tc>
        <w:tc>
          <w:tcPr>
            <w:tcW w:w="300" w:type="dxa"/>
            <w:vAlign w:val="bottom"/>
            <w:shd w:val="clear" w:color="auto" w:fill="B2B2B2"/>
          </w:tcPr>
          <w:p>
            <w:pPr>
              <w:spacing w:after="0"/>
              <w:rPr>
                <w:sz w:val="18"/>
                <w:szCs w:val="18"/>
                <w:color w:val="auto"/>
              </w:rPr>
            </w:pPr>
          </w:p>
        </w:tc>
        <w:tc>
          <w:tcPr>
            <w:tcW w:w="220" w:type="dxa"/>
            <w:vAlign w:val="bottom"/>
            <w:shd w:val="clear" w:color="auto" w:fill="B2B2B2"/>
          </w:tcPr>
          <w:p>
            <w:pPr>
              <w:spacing w:after="0"/>
              <w:rPr>
                <w:sz w:val="18"/>
                <w:szCs w:val="18"/>
                <w:color w:val="auto"/>
              </w:rPr>
            </w:pPr>
          </w:p>
        </w:tc>
        <w:tc>
          <w:tcPr>
            <w:tcW w:w="2080" w:type="dxa"/>
            <w:vAlign w:val="bottom"/>
            <w:shd w:val="clear" w:color="auto" w:fill="B2B2B2"/>
          </w:tcPr>
          <w:p>
            <w:pPr>
              <w:spacing w:after="0"/>
              <w:rPr>
                <w:sz w:val="18"/>
                <w:szCs w:val="18"/>
                <w:color w:val="auto"/>
              </w:rPr>
            </w:pPr>
          </w:p>
        </w:tc>
        <w:tc>
          <w:tcPr>
            <w:tcW w:w="500" w:type="dxa"/>
            <w:vAlign w:val="bottom"/>
            <w:shd w:val="clear" w:color="auto" w:fill="B2B2B2"/>
          </w:tcPr>
          <w:p>
            <w:pPr>
              <w:spacing w:after="0"/>
              <w:rPr>
                <w:sz w:val="18"/>
                <w:szCs w:val="18"/>
                <w:color w:val="auto"/>
              </w:rPr>
            </w:pPr>
          </w:p>
        </w:tc>
        <w:tc>
          <w:tcPr>
            <w:tcW w:w="2220" w:type="dxa"/>
            <w:vAlign w:val="bottom"/>
            <w:shd w:val="clear" w:color="auto" w:fill="B2B2B2"/>
          </w:tcPr>
          <w:p>
            <w:pPr>
              <w:spacing w:after="0"/>
              <w:rPr>
                <w:sz w:val="18"/>
                <w:szCs w:val="18"/>
                <w:color w:val="auto"/>
              </w:rPr>
            </w:pPr>
          </w:p>
        </w:tc>
      </w:tr>
      <w:tr>
        <w:trPr>
          <w:trHeight w:val="218"/>
        </w:trPr>
        <w:tc>
          <w:tcPr>
            <w:tcW w:w="5480" w:type="dxa"/>
            <w:vAlign w:val="bottom"/>
          </w:tcPr>
          <w:p>
            <w:pPr>
              <w:ind w:left="160"/>
              <w:spacing w:after="0"/>
              <w:rPr>
                <w:sz w:val="20"/>
                <w:szCs w:val="20"/>
                <w:color w:val="auto"/>
              </w:rPr>
            </w:pPr>
            <w:r>
              <w:rPr>
                <w:rFonts w:ascii="Arial" w:cs="Arial" w:eastAsia="Arial" w:hAnsi="Arial"/>
                <w:sz w:val="16"/>
                <w:szCs w:val="16"/>
                <w:b w:val="1"/>
                <w:bCs w:val="1"/>
                <w:color w:val="auto"/>
              </w:rPr>
              <w:t> Q1</w:t>
            </w:r>
          </w:p>
        </w:tc>
        <w:tc>
          <w:tcPr>
            <w:tcW w:w="300" w:type="dxa"/>
            <w:vAlign w:val="bottom"/>
          </w:tcPr>
          <w:p>
            <w:pPr>
              <w:ind w:left="200"/>
              <w:spacing w:after="0"/>
              <w:rPr>
                <w:sz w:val="20"/>
                <w:szCs w:val="20"/>
                <w:color w:val="auto"/>
              </w:rPr>
            </w:pPr>
            <w:r>
              <w:rPr>
                <w:rFonts w:ascii="Arial" w:cs="Arial" w:eastAsia="Arial" w:hAnsi="Arial"/>
                <w:sz w:val="11"/>
                <w:szCs w:val="11"/>
                <w:color w:val="auto"/>
                <w:w w:val="72"/>
              </w:rPr>
              <w:t> </w:t>
            </w:r>
          </w:p>
        </w:tc>
        <w:tc>
          <w:tcPr>
            <w:tcW w:w="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541"/>
              <w:spacing w:after="0"/>
              <w:rPr>
                <w:sz w:val="20"/>
                <w:szCs w:val="20"/>
                <w:color w:val="auto"/>
              </w:rPr>
            </w:pPr>
            <w:r>
              <w:rPr>
                <w:rFonts w:ascii="Arial" w:cs="Arial" w:eastAsia="Arial" w:hAnsi="Arial"/>
                <w:sz w:val="16"/>
                <w:szCs w:val="16"/>
                <w:color w:val="auto"/>
              </w:rPr>
              <w:t>0.595000</w:t>
            </w:r>
          </w:p>
        </w:tc>
        <w:tc>
          <w:tcPr>
            <w:tcW w:w="500" w:type="dxa"/>
            <w:vAlign w:val="bottom"/>
          </w:tcPr>
          <w:p>
            <w:pPr>
              <w:ind w:left="300"/>
              <w:spacing w:after="0"/>
              <w:rPr>
                <w:sz w:val="20"/>
                <w:szCs w:val="20"/>
                <w:color w:val="auto"/>
              </w:rPr>
            </w:pPr>
            <w:r>
              <w:rPr>
                <w:rFonts w:ascii="Arial" w:cs="Arial" w:eastAsia="Arial" w:hAnsi="Arial"/>
                <w:sz w:val="16"/>
                <w:szCs w:val="16"/>
                <w:color w:val="auto"/>
                <w:w w:val="87"/>
              </w:rPr>
              <w:t>C$</w:t>
            </w:r>
          </w:p>
        </w:tc>
        <w:tc>
          <w:tcPr>
            <w:tcW w:w="2220" w:type="dxa"/>
            <w:vAlign w:val="bottom"/>
          </w:tcPr>
          <w:p>
            <w:pPr>
              <w:jc w:val="center"/>
              <w:ind w:left="41"/>
              <w:spacing w:after="0"/>
              <w:rPr>
                <w:sz w:val="20"/>
                <w:szCs w:val="20"/>
                <w:color w:val="auto"/>
              </w:rPr>
            </w:pPr>
            <w:r>
              <w:rPr>
                <w:rFonts w:ascii="Arial" w:cs="Arial" w:eastAsia="Arial" w:hAnsi="Arial"/>
                <w:sz w:val="16"/>
                <w:szCs w:val="16"/>
                <w:color w:val="auto"/>
                <w:w w:val="9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38100</wp:posOffset>
            </wp:positionV>
            <wp:extent cx="6865620"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65620" cy="17145"/>
                    </a:xfrm>
                    <a:prstGeom prst="rect">
                      <a:avLst/>
                    </a:prstGeom>
                    <a:noFill/>
                  </pic:spPr>
                </pic:pic>
              </a:graphicData>
            </a:graphic>
          </wp:anchor>
        </w:drawing>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3"/>
          <w:szCs w:val="13"/>
          <w:color w:val="auto"/>
        </w:rPr>
        <w:t>*As of the date of this annual report, our company had not yet finalized the final dividend amount for the first quarter 2025 dividend on our Series II preference shares.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Transfer Agents and Registrars</w:t>
      </w:r>
    </w:p>
    <w:p>
      <w:pPr>
        <w:spacing w:after="0" w:line="119" w:lineRule="exact"/>
        <w:rPr>
          <w:sz w:val="20"/>
          <w:szCs w:val="20"/>
          <w:color w:val="auto"/>
        </w:rPr>
      </w:pPr>
    </w:p>
    <w:tbl>
      <w:tblPr>
        <w:tblLayout w:type="fixed"/>
        <w:tblInd w:w="220" w:type="dxa"/>
        <w:tblCellMar>
          <w:top w:w="0" w:type="dxa"/>
          <w:left w:w="0" w:type="dxa"/>
          <w:bottom w:w="0" w:type="dxa"/>
          <w:right w:w="0" w:type="dxa"/>
        </w:tblCellMar>
      </w:tblPr>
      <w:tr>
        <w:trPr>
          <w:trHeight w:val="225"/>
        </w:trPr>
        <w:tc>
          <w:tcPr>
            <w:tcW w:w="2180" w:type="dxa"/>
            <w:vAlign w:val="bottom"/>
            <w:shd w:val="clear" w:color="auto" w:fill="262626"/>
          </w:tcPr>
          <w:p>
            <w:pPr>
              <w:spacing w:after="0"/>
              <w:rPr>
                <w:sz w:val="20"/>
                <w:szCs w:val="20"/>
                <w:color w:val="auto"/>
              </w:rPr>
            </w:pPr>
            <w:r>
              <w:rPr>
                <w:rFonts w:ascii="Arial" w:cs="Arial" w:eastAsia="Arial" w:hAnsi="Arial"/>
                <w:sz w:val="16"/>
                <w:szCs w:val="16"/>
                <w:b w:val="1"/>
                <w:bCs w:val="1"/>
                <w:color w:val="FFFFFF"/>
              </w:rPr>
              <w:t>  Type of Shares</w:t>
            </w:r>
          </w:p>
        </w:tc>
        <w:tc>
          <w:tcPr>
            <w:tcW w:w="1520" w:type="dxa"/>
            <w:vAlign w:val="bottom"/>
            <w:shd w:val="clear" w:color="auto" w:fill="262626"/>
          </w:tcPr>
          <w:p>
            <w:pPr>
              <w:ind w:left="120"/>
              <w:spacing w:after="0"/>
              <w:rPr>
                <w:sz w:val="20"/>
                <w:szCs w:val="20"/>
                <w:color w:val="auto"/>
              </w:rPr>
            </w:pPr>
            <w:r>
              <w:rPr>
                <w:rFonts w:ascii="Arial" w:cs="Arial" w:eastAsia="Arial" w:hAnsi="Arial"/>
                <w:sz w:val="16"/>
                <w:szCs w:val="16"/>
                <w:b w:val="1"/>
                <w:bCs w:val="1"/>
                <w:color w:val="FFFFFF"/>
              </w:rPr>
              <w:t>  Country</w:t>
            </w:r>
          </w:p>
        </w:tc>
        <w:tc>
          <w:tcPr>
            <w:tcW w:w="3480" w:type="dxa"/>
            <w:vAlign w:val="bottom"/>
            <w:shd w:val="clear" w:color="auto" w:fill="262626"/>
          </w:tcPr>
          <w:p>
            <w:pPr>
              <w:ind w:left="200"/>
              <w:spacing w:after="0"/>
              <w:rPr>
                <w:sz w:val="20"/>
                <w:szCs w:val="20"/>
                <w:color w:val="auto"/>
              </w:rPr>
            </w:pPr>
            <w:r>
              <w:rPr>
                <w:rFonts w:ascii="Arial" w:cs="Arial" w:eastAsia="Arial" w:hAnsi="Arial"/>
                <w:sz w:val="16"/>
                <w:szCs w:val="16"/>
                <w:b w:val="1"/>
                <w:bCs w:val="1"/>
                <w:color w:val="FFFFFF"/>
              </w:rPr>
              <w:t>Transfer Agent/Registrar</w:t>
            </w:r>
          </w:p>
        </w:tc>
        <w:tc>
          <w:tcPr>
            <w:tcW w:w="3620" w:type="dxa"/>
            <w:vAlign w:val="bottom"/>
            <w:shd w:val="clear" w:color="auto" w:fill="262626"/>
          </w:tcPr>
          <w:p>
            <w:pPr>
              <w:ind w:left="300"/>
              <w:spacing w:after="0"/>
              <w:rPr>
                <w:sz w:val="20"/>
                <w:szCs w:val="20"/>
                <w:color w:val="auto"/>
              </w:rPr>
            </w:pPr>
            <w:r>
              <w:rPr>
                <w:rFonts w:ascii="Arial" w:cs="Arial" w:eastAsia="Arial" w:hAnsi="Arial"/>
                <w:sz w:val="16"/>
                <w:szCs w:val="16"/>
                <w:b w:val="1"/>
                <w:bCs w:val="1"/>
                <w:color w:val="FFFFFF"/>
              </w:rPr>
              <w:t>Location of Transfer Facilities</w:t>
            </w:r>
          </w:p>
        </w:tc>
      </w:tr>
      <w:tr>
        <w:trPr>
          <w:trHeight w:val="185"/>
        </w:trPr>
        <w:tc>
          <w:tcPr>
            <w:tcW w:w="2180" w:type="dxa"/>
            <w:vAlign w:val="bottom"/>
          </w:tcPr>
          <w:p>
            <w:pPr>
              <w:spacing w:after="0"/>
              <w:rPr>
                <w:sz w:val="20"/>
                <w:szCs w:val="20"/>
                <w:color w:val="auto"/>
              </w:rPr>
            </w:pPr>
            <w:r>
              <w:rPr>
                <w:rFonts w:ascii="Arial" w:cs="Arial" w:eastAsia="Arial" w:hAnsi="Arial"/>
                <w:sz w:val="16"/>
                <w:szCs w:val="16"/>
                <w:b w:val="1"/>
                <w:bCs w:val="1"/>
                <w:color w:val="auto"/>
              </w:rPr>
              <w:t>  Common shares</w:t>
            </w:r>
          </w:p>
        </w:tc>
        <w:tc>
          <w:tcPr>
            <w:tcW w:w="1520" w:type="dxa"/>
            <w:vAlign w:val="bottom"/>
            <w:tcBorders>
              <w:bottom w:val="single" w:sz="8" w:color="AFAFAF"/>
            </w:tcBorders>
          </w:tcPr>
          <w:p>
            <w:pPr>
              <w:ind w:left="120"/>
              <w:spacing w:after="0"/>
              <w:rPr>
                <w:sz w:val="20"/>
                <w:szCs w:val="20"/>
                <w:color w:val="auto"/>
              </w:rPr>
            </w:pPr>
            <w:r>
              <w:rPr>
                <w:rFonts w:ascii="Arial" w:cs="Arial" w:eastAsia="Arial" w:hAnsi="Arial"/>
                <w:sz w:val="16"/>
                <w:szCs w:val="16"/>
                <w:color w:val="auto"/>
              </w:rPr>
              <w:t>  Canada</w:t>
            </w:r>
          </w:p>
        </w:tc>
        <w:tc>
          <w:tcPr>
            <w:tcW w:w="3480" w:type="dxa"/>
            <w:vAlign w:val="bottom"/>
            <w:tcBorders>
              <w:bottom w:val="single" w:sz="8" w:color="AFAFAF"/>
            </w:tcBorders>
          </w:tcPr>
          <w:p>
            <w:pPr>
              <w:ind w:left="200"/>
              <w:spacing w:after="0"/>
              <w:rPr>
                <w:sz w:val="20"/>
                <w:szCs w:val="20"/>
                <w:color w:val="auto"/>
              </w:rPr>
            </w:pPr>
            <w:r>
              <w:rPr>
                <w:rFonts w:ascii="Arial" w:cs="Arial" w:eastAsia="Arial" w:hAnsi="Arial"/>
                <w:sz w:val="16"/>
                <w:szCs w:val="16"/>
                <w:color w:val="auto"/>
              </w:rPr>
              <w:t>Computershare Trust Company of Canada</w:t>
            </w:r>
          </w:p>
        </w:tc>
        <w:tc>
          <w:tcPr>
            <w:tcW w:w="3620" w:type="dxa"/>
            <w:vAlign w:val="bottom"/>
            <w:tcBorders>
              <w:bottom w:val="single" w:sz="8" w:color="AFAFAF"/>
            </w:tcBorders>
          </w:tcPr>
          <w:p>
            <w:pPr>
              <w:ind w:left="300"/>
              <w:spacing w:after="0"/>
              <w:rPr>
                <w:sz w:val="20"/>
                <w:szCs w:val="20"/>
                <w:color w:val="auto"/>
              </w:rPr>
            </w:pPr>
            <w:r>
              <w:rPr>
                <w:rFonts w:ascii="Arial" w:cs="Arial" w:eastAsia="Arial" w:hAnsi="Arial"/>
                <w:sz w:val="16"/>
                <w:szCs w:val="16"/>
                <w:color w:val="auto"/>
              </w:rPr>
              <w:t>Toronto; Montreal; Calgary; and Vancouver</w:t>
            </w:r>
          </w:p>
        </w:tc>
      </w:tr>
      <w:tr>
        <w:trPr>
          <w:trHeight w:val="165"/>
        </w:trPr>
        <w:tc>
          <w:tcPr>
            <w:tcW w:w="2180" w:type="dxa"/>
            <w:vAlign w:val="bottom"/>
          </w:tcPr>
          <w:p>
            <w:pPr>
              <w:spacing w:after="0"/>
              <w:rPr>
                <w:sz w:val="14"/>
                <w:szCs w:val="14"/>
                <w:color w:val="auto"/>
              </w:rPr>
            </w:pPr>
          </w:p>
        </w:tc>
        <w:tc>
          <w:tcPr>
            <w:tcW w:w="1520" w:type="dxa"/>
            <w:vAlign w:val="bottom"/>
          </w:tcPr>
          <w:p>
            <w:pPr>
              <w:ind w:left="120"/>
              <w:spacing w:after="0" w:line="165" w:lineRule="exact"/>
              <w:rPr>
                <w:sz w:val="20"/>
                <w:szCs w:val="20"/>
                <w:color w:val="auto"/>
              </w:rPr>
            </w:pPr>
            <w:r>
              <w:rPr>
                <w:rFonts w:ascii="Arial" w:cs="Arial" w:eastAsia="Arial" w:hAnsi="Arial"/>
                <w:sz w:val="16"/>
                <w:szCs w:val="16"/>
                <w:color w:val="auto"/>
              </w:rPr>
              <w:t>  United States</w:t>
            </w:r>
          </w:p>
        </w:tc>
        <w:tc>
          <w:tcPr>
            <w:tcW w:w="3480" w:type="dxa"/>
            <w:vAlign w:val="bottom"/>
          </w:tcPr>
          <w:p>
            <w:pPr>
              <w:ind w:left="200"/>
              <w:spacing w:after="0" w:line="165" w:lineRule="exact"/>
              <w:rPr>
                <w:sz w:val="20"/>
                <w:szCs w:val="20"/>
                <w:color w:val="auto"/>
              </w:rPr>
            </w:pPr>
            <w:r>
              <w:rPr>
                <w:rFonts w:ascii="Arial" w:cs="Arial" w:eastAsia="Arial" w:hAnsi="Arial"/>
                <w:sz w:val="16"/>
                <w:szCs w:val="16"/>
                <w:color w:val="auto"/>
              </w:rPr>
              <w:t>Computershare Trust Company N.A.</w:t>
            </w:r>
          </w:p>
        </w:tc>
        <w:tc>
          <w:tcPr>
            <w:tcW w:w="3620" w:type="dxa"/>
            <w:vAlign w:val="bottom"/>
          </w:tcPr>
          <w:p>
            <w:pPr>
              <w:ind w:left="300"/>
              <w:spacing w:after="0" w:line="165" w:lineRule="exact"/>
              <w:rPr>
                <w:sz w:val="20"/>
                <w:szCs w:val="20"/>
                <w:color w:val="auto"/>
              </w:rPr>
            </w:pPr>
            <w:r>
              <w:rPr>
                <w:rFonts w:ascii="Arial" w:cs="Arial" w:eastAsia="Arial" w:hAnsi="Arial"/>
                <w:sz w:val="16"/>
                <w:szCs w:val="16"/>
                <w:color w:val="auto"/>
              </w:rPr>
              <w:t>Canton, Massachusetts; and Jersey City,</w:t>
            </w:r>
          </w:p>
        </w:tc>
      </w:tr>
      <w:tr>
        <w:trPr>
          <w:trHeight w:val="200"/>
        </w:trPr>
        <w:tc>
          <w:tcPr>
            <w:tcW w:w="2180" w:type="dxa"/>
            <w:vAlign w:val="bottom"/>
          </w:tcPr>
          <w:p>
            <w:pPr>
              <w:spacing w:after="0"/>
              <w:rPr>
                <w:sz w:val="17"/>
                <w:szCs w:val="17"/>
                <w:color w:val="auto"/>
              </w:rPr>
            </w:pPr>
          </w:p>
        </w:tc>
        <w:tc>
          <w:tcPr>
            <w:tcW w:w="1520" w:type="dxa"/>
            <w:vAlign w:val="bottom"/>
            <w:tcBorders>
              <w:bottom w:val="single" w:sz="8" w:color="AFAFAF"/>
            </w:tcBorders>
          </w:tcPr>
          <w:p>
            <w:pPr>
              <w:spacing w:after="0"/>
              <w:rPr>
                <w:sz w:val="17"/>
                <w:szCs w:val="17"/>
                <w:color w:val="auto"/>
              </w:rPr>
            </w:pPr>
          </w:p>
        </w:tc>
        <w:tc>
          <w:tcPr>
            <w:tcW w:w="3480" w:type="dxa"/>
            <w:vAlign w:val="bottom"/>
            <w:tcBorders>
              <w:bottom w:val="single" w:sz="8" w:color="AFAFAF"/>
            </w:tcBorders>
          </w:tcPr>
          <w:p>
            <w:pPr>
              <w:spacing w:after="0"/>
              <w:rPr>
                <w:sz w:val="17"/>
                <w:szCs w:val="17"/>
                <w:color w:val="auto"/>
              </w:rPr>
            </w:pPr>
          </w:p>
        </w:tc>
        <w:tc>
          <w:tcPr>
            <w:tcW w:w="3620" w:type="dxa"/>
            <w:vAlign w:val="bottom"/>
            <w:tcBorders>
              <w:bottom w:val="single" w:sz="8" w:color="AFAFAF"/>
            </w:tcBorders>
          </w:tcPr>
          <w:p>
            <w:pPr>
              <w:ind w:left="300"/>
              <w:spacing w:after="0"/>
              <w:rPr>
                <w:sz w:val="20"/>
                <w:szCs w:val="20"/>
                <w:color w:val="auto"/>
              </w:rPr>
            </w:pPr>
            <w:r>
              <w:rPr>
                <w:rFonts w:ascii="Arial" w:cs="Arial" w:eastAsia="Arial" w:hAnsi="Arial"/>
                <w:sz w:val="16"/>
                <w:szCs w:val="16"/>
                <w:color w:val="auto"/>
              </w:rPr>
              <w:t>New Jersey</w:t>
            </w:r>
          </w:p>
        </w:tc>
      </w:tr>
      <w:tr>
        <w:trPr>
          <w:trHeight w:val="179"/>
        </w:trPr>
        <w:tc>
          <w:tcPr>
            <w:tcW w:w="2180" w:type="dxa"/>
            <w:vAlign w:val="bottom"/>
            <w:tcBorders>
              <w:bottom w:val="single" w:sz="8" w:color="AFAFAF"/>
            </w:tcBorders>
          </w:tcPr>
          <w:p>
            <w:pPr>
              <w:spacing w:after="0"/>
              <w:rPr>
                <w:sz w:val="15"/>
                <w:szCs w:val="15"/>
                <w:color w:val="auto"/>
              </w:rPr>
            </w:pPr>
          </w:p>
        </w:tc>
        <w:tc>
          <w:tcPr>
            <w:tcW w:w="1520" w:type="dxa"/>
            <w:vAlign w:val="bottom"/>
            <w:tcBorders>
              <w:bottom w:val="single" w:sz="8" w:color="AFAFAF"/>
            </w:tcBorders>
          </w:tcPr>
          <w:p>
            <w:pPr>
              <w:ind w:left="120"/>
              <w:spacing w:after="0" w:line="179" w:lineRule="exact"/>
              <w:rPr>
                <w:sz w:val="20"/>
                <w:szCs w:val="20"/>
                <w:color w:val="auto"/>
              </w:rPr>
            </w:pPr>
            <w:r>
              <w:rPr>
                <w:rFonts w:ascii="Arial" w:cs="Arial" w:eastAsia="Arial" w:hAnsi="Arial"/>
                <w:sz w:val="16"/>
                <w:szCs w:val="16"/>
                <w:color w:val="auto"/>
              </w:rPr>
              <w:t>  United Kingdom</w:t>
            </w:r>
          </w:p>
        </w:tc>
        <w:tc>
          <w:tcPr>
            <w:tcW w:w="3480" w:type="dxa"/>
            <w:vAlign w:val="bottom"/>
            <w:tcBorders>
              <w:bottom w:val="single" w:sz="8" w:color="AFAFAF"/>
            </w:tcBorders>
          </w:tcPr>
          <w:p>
            <w:pPr>
              <w:ind w:left="200"/>
              <w:spacing w:after="0" w:line="179" w:lineRule="exact"/>
              <w:rPr>
                <w:sz w:val="20"/>
                <w:szCs w:val="20"/>
                <w:color w:val="auto"/>
              </w:rPr>
            </w:pPr>
            <w:r>
              <w:rPr>
                <w:rFonts w:ascii="Arial" w:cs="Arial" w:eastAsia="Arial" w:hAnsi="Arial"/>
                <w:sz w:val="16"/>
                <w:szCs w:val="16"/>
                <w:color w:val="auto"/>
              </w:rPr>
              <w:t>Computershare Investor Services PLC</w:t>
            </w:r>
          </w:p>
        </w:tc>
        <w:tc>
          <w:tcPr>
            <w:tcW w:w="3620" w:type="dxa"/>
            <w:vAlign w:val="bottom"/>
            <w:tcBorders>
              <w:bottom w:val="single" w:sz="8" w:color="AFAFAF"/>
            </w:tcBorders>
          </w:tcPr>
          <w:p>
            <w:pPr>
              <w:ind w:left="300"/>
              <w:spacing w:after="0" w:line="179" w:lineRule="exact"/>
              <w:rPr>
                <w:sz w:val="20"/>
                <w:szCs w:val="20"/>
                <w:color w:val="auto"/>
              </w:rPr>
            </w:pPr>
            <w:r>
              <w:rPr>
                <w:rFonts w:ascii="Arial" w:cs="Arial" w:eastAsia="Arial" w:hAnsi="Arial"/>
                <w:sz w:val="16"/>
                <w:szCs w:val="16"/>
                <w:color w:val="auto"/>
              </w:rPr>
              <w:t>Bristol, England</w:t>
            </w:r>
          </w:p>
        </w:tc>
      </w:tr>
      <w:tr>
        <w:trPr>
          <w:trHeight w:val="179"/>
        </w:trPr>
        <w:tc>
          <w:tcPr>
            <w:tcW w:w="21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b w:val="1"/>
                <w:bCs w:val="1"/>
                <w:color w:val="auto"/>
              </w:rPr>
              <w:t>  Depositary interests</w:t>
            </w:r>
          </w:p>
        </w:tc>
        <w:tc>
          <w:tcPr>
            <w:tcW w:w="1520" w:type="dxa"/>
            <w:vAlign w:val="bottom"/>
            <w:tcBorders>
              <w:bottom w:val="single" w:sz="8" w:color="AFAFAF"/>
            </w:tcBorders>
          </w:tcPr>
          <w:p>
            <w:pPr>
              <w:ind w:left="120"/>
              <w:spacing w:after="0" w:line="179" w:lineRule="exact"/>
              <w:rPr>
                <w:sz w:val="20"/>
                <w:szCs w:val="20"/>
                <w:color w:val="auto"/>
              </w:rPr>
            </w:pPr>
            <w:r>
              <w:rPr>
                <w:rFonts w:ascii="Arial" w:cs="Arial" w:eastAsia="Arial" w:hAnsi="Arial"/>
                <w:sz w:val="16"/>
                <w:szCs w:val="16"/>
                <w:color w:val="auto"/>
              </w:rPr>
              <w:t>  United Kingdom</w:t>
            </w:r>
          </w:p>
        </w:tc>
        <w:tc>
          <w:tcPr>
            <w:tcW w:w="3480" w:type="dxa"/>
            <w:vAlign w:val="bottom"/>
            <w:tcBorders>
              <w:bottom w:val="single" w:sz="8" w:color="AFAFAF"/>
            </w:tcBorders>
          </w:tcPr>
          <w:p>
            <w:pPr>
              <w:ind w:left="200"/>
              <w:spacing w:after="0" w:line="179" w:lineRule="exact"/>
              <w:rPr>
                <w:sz w:val="20"/>
                <w:szCs w:val="20"/>
                <w:color w:val="auto"/>
              </w:rPr>
            </w:pPr>
            <w:r>
              <w:rPr>
                <w:rFonts w:ascii="Arial" w:cs="Arial" w:eastAsia="Arial" w:hAnsi="Arial"/>
                <w:sz w:val="16"/>
                <w:szCs w:val="16"/>
                <w:color w:val="auto"/>
              </w:rPr>
              <w:t>Computershare Investor Services PLC</w:t>
            </w:r>
          </w:p>
        </w:tc>
        <w:tc>
          <w:tcPr>
            <w:tcW w:w="3620" w:type="dxa"/>
            <w:vAlign w:val="bottom"/>
            <w:tcBorders>
              <w:bottom w:val="single" w:sz="8" w:color="AFAFAF"/>
            </w:tcBorders>
          </w:tcPr>
          <w:p>
            <w:pPr>
              <w:ind w:left="300"/>
              <w:spacing w:after="0" w:line="179" w:lineRule="exact"/>
              <w:rPr>
                <w:sz w:val="20"/>
                <w:szCs w:val="20"/>
                <w:color w:val="auto"/>
              </w:rPr>
            </w:pPr>
            <w:r>
              <w:rPr>
                <w:rFonts w:ascii="Arial" w:cs="Arial" w:eastAsia="Arial" w:hAnsi="Arial"/>
                <w:sz w:val="16"/>
                <w:szCs w:val="16"/>
                <w:color w:val="auto"/>
              </w:rPr>
              <w:t>Bristol, England</w:t>
            </w:r>
          </w:p>
        </w:tc>
      </w:tr>
      <w:tr>
        <w:trPr>
          <w:trHeight w:val="185"/>
        </w:trPr>
        <w:tc>
          <w:tcPr>
            <w:tcW w:w="2180" w:type="dxa"/>
            <w:vAlign w:val="bottom"/>
            <w:tcBorders>
              <w:bottom w:val="single" w:sz="8" w:color="D64000"/>
            </w:tcBorders>
          </w:tcPr>
          <w:p>
            <w:pPr>
              <w:spacing w:after="0" w:line="179" w:lineRule="exact"/>
              <w:rPr>
                <w:sz w:val="20"/>
                <w:szCs w:val="20"/>
                <w:color w:val="auto"/>
              </w:rPr>
            </w:pPr>
            <w:r>
              <w:rPr>
                <w:rFonts w:ascii="Arial" w:cs="Arial" w:eastAsia="Arial" w:hAnsi="Arial"/>
                <w:sz w:val="16"/>
                <w:szCs w:val="16"/>
                <w:b w:val="1"/>
                <w:bCs w:val="1"/>
                <w:color w:val="auto"/>
                <w:w w:val="99"/>
              </w:rPr>
              <w:t>  Series II preference shares</w:t>
            </w:r>
          </w:p>
        </w:tc>
        <w:tc>
          <w:tcPr>
            <w:tcW w:w="1520" w:type="dxa"/>
            <w:vAlign w:val="bottom"/>
            <w:tcBorders>
              <w:bottom w:val="single" w:sz="8" w:color="D64000"/>
            </w:tcBorders>
          </w:tcPr>
          <w:p>
            <w:pPr>
              <w:ind w:left="120"/>
              <w:spacing w:after="0" w:line="179" w:lineRule="exact"/>
              <w:rPr>
                <w:sz w:val="20"/>
                <w:szCs w:val="20"/>
                <w:color w:val="auto"/>
              </w:rPr>
            </w:pPr>
            <w:r>
              <w:rPr>
                <w:rFonts w:ascii="Arial" w:cs="Arial" w:eastAsia="Arial" w:hAnsi="Arial"/>
                <w:sz w:val="16"/>
                <w:szCs w:val="16"/>
                <w:color w:val="auto"/>
              </w:rPr>
              <w:t>  Canada</w:t>
            </w:r>
          </w:p>
        </w:tc>
        <w:tc>
          <w:tcPr>
            <w:tcW w:w="3480" w:type="dxa"/>
            <w:vAlign w:val="bottom"/>
            <w:tcBorders>
              <w:bottom w:val="single" w:sz="8" w:color="D64000"/>
            </w:tcBorders>
          </w:tcPr>
          <w:p>
            <w:pPr>
              <w:ind w:left="200"/>
              <w:spacing w:after="0" w:line="179" w:lineRule="exact"/>
              <w:rPr>
                <w:sz w:val="20"/>
                <w:szCs w:val="20"/>
                <w:color w:val="auto"/>
              </w:rPr>
            </w:pPr>
            <w:r>
              <w:rPr>
                <w:rFonts w:ascii="Arial" w:cs="Arial" w:eastAsia="Arial" w:hAnsi="Arial"/>
                <w:sz w:val="16"/>
                <w:szCs w:val="16"/>
                <w:color w:val="auto"/>
              </w:rPr>
              <w:t>Computershare Trust Company of Canada</w:t>
            </w:r>
          </w:p>
        </w:tc>
        <w:tc>
          <w:tcPr>
            <w:tcW w:w="3620" w:type="dxa"/>
            <w:vAlign w:val="bottom"/>
            <w:tcBorders>
              <w:bottom w:val="single" w:sz="8" w:color="D64000"/>
            </w:tcBorders>
          </w:tcPr>
          <w:p>
            <w:pPr>
              <w:ind w:left="300"/>
              <w:spacing w:after="0" w:line="179" w:lineRule="exact"/>
              <w:rPr>
                <w:sz w:val="20"/>
                <w:szCs w:val="20"/>
                <w:color w:val="auto"/>
              </w:rPr>
            </w:pPr>
            <w:r>
              <w:rPr>
                <w:rFonts w:ascii="Arial" w:cs="Arial" w:eastAsia="Arial" w:hAnsi="Arial"/>
                <w:sz w:val="16"/>
                <w:szCs w:val="16"/>
                <w:color w:val="auto"/>
              </w:rPr>
              <w:t>Toronto</w:t>
            </w:r>
          </w:p>
        </w:tc>
      </w:tr>
    </w:tbl>
    <w:p>
      <w:pPr>
        <w:spacing w:after="0" w:line="18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Ratings of Debt Securities</w:t>
      </w:r>
    </w:p>
    <w:p>
      <w:pPr>
        <w:spacing w:after="0" w:line="216" w:lineRule="exact"/>
        <w:rPr>
          <w:sz w:val="20"/>
          <w:szCs w:val="20"/>
          <w:color w:val="auto"/>
        </w:rPr>
      </w:pPr>
    </w:p>
    <w:p>
      <w:pPr>
        <w:ind w:left="220" w:right="20"/>
        <w:spacing w:after="0" w:line="238" w:lineRule="auto"/>
        <w:rPr>
          <w:sz w:val="20"/>
          <w:szCs w:val="20"/>
          <w:color w:val="auto"/>
        </w:rPr>
      </w:pPr>
      <w:r>
        <w:rPr>
          <w:rFonts w:ascii="Arial" w:cs="Arial" w:eastAsia="Arial" w:hAnsi="Arial"/>
          <w:sz w:val="17"/>
          <w:szCs w:val="17"/>
          <w:color w:val="auto"/>
        </w:rPr>
        <w:t>Our access to financing depends on, among other things, suitable market conditions and the maintenance of suitable long-term credit ratings. Our credit ratings may be adversely affected by various factors, including increased debt levels, decreased earnings, declines in customer demands, increased competition, a further deterioration in general economic and business conditions and adverse publicity. Any downgrades in our credit ratings may impede our access to the debt markets or raise our borrowing rates.</w:t>
      </w:r>
    </w:p>
    <w:p>
      <w:pPr>
        <w:spacing w:after="0" w:line="46" w:lineRule="exact"/>
        <w:rPr>
          <w:sz w:val="20"/>
          <w:szCs w:val="20"/>
          <w:color w:val="auto"/>
        </w:rPr>
      </w:pPr>
    </w:p>
    <w:p>
      <w:pPr>
        <w:ind w:left="220" w:right="20"/>
        <w:spacing w:after="0" w:line="235" w:lineRule="auto"/>
        <w:rPr>
          <w:sz w:val="20"/>
          <w:szCs w:val="20"/>
          <w:color w:val="auto"/>
        </w:rPr>
      </w:pPr>
      <w:r>
        <w:rPr>
          <w:rFonts w:ascii="Arial" w:cs="Arial" w:eastAsia="Arial" w:hAnsi="Arial"/>
          <w:sz w:val="17"/>
          <w:szCs w:val="17"/>
          <w:color w:val="auto"/>
        </w:rPr>
        <w:t>Our long-term unsecured debt securities are rated Baa1 (stable) by Moody’s, BBB+ (stable) by S&amp;P, BBB (high) (stable) by DBRS and BBB+ (stable) by Fitch. These credit ratings are not recommendations to purchase, hold or sell securities and do not address the market price or suitability of a specific security for a particular investor. Credit ratings may not reflect the potential impact of all risks on the value of securities. In addition, real or anticipated changes in the rating assigned to a security will generally affect the market value of that security. Shareholders cannot be assured that a rating will remain in effect for any given period of time or that a rating will not be revised or withdrawn entirely by a rating agency in the future.</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Moody’s Investors Services (Moody’s)</w:t>
      </w:r>
    </w:p>
    <w:p>
      <w:pPr>
        <w:spacing w:after="0" w:line="216" w:lineRule="exact"/>
        <w:rPr>
          <w:sz w:val="20"/>
          <w:szCs w:val="20"/>
          <w:color w:val="auto"/>
        </w:rPr>
      </w:pPr>
    </w:p>
    <w:p>
      <w:pPr>
        <w:ind w:left="220" w:right="80"/>
        <w:spacing w:after="0" w:line="235" w:lineRule="auto"/>
        <w:rPr>
          <w:sz w:val="20"/>
          <w:szCs w:val="20"/>
          <w:color w:val="auto"/>
        </w:rPr>
      </w:pPr>
      <w:r>
        <w:rPr>
          <w:rFonts w:ascii="Arial" w:cs="Arial" w:eastAsia="Arial" w:hAnsi="Arial"/>
          <w:sz w:val="17"/>
          <w:szCs w:val="17"/>
          <w:color w:val="auto"/>
        </w:rPr>
        <w:t>Moody’s long-term credit ratings are on a rating scale that ranges from Aaa to C, which represents the range from highest to lowest quality of such securities rated. Moody’s “Baa” rating assigned to our long-term debt instruments is the fourth highest rating of nine rating categories. Obligations rated “Baa” are subject to moderate credit risk. They are considered medium-grade and as such may possess certain speculative characteristics. Moody’s appends numerical modifiers from 1 to 3 to its long-term debt ratings, which indicate where the obligation ranks within its generic rating category, with 1 being the highest. Ratings outlooks represent Moody’s assessment regarding the likely direction of the rating over the medium-term.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100965</wp:posOffset>
            </wp:positionV>
            <wp:extent cx="686562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7" w:lineRule="exact"/>
        <w:rPr>
          <w:sz w:val="20"/>
          <w:szCs w:val="20"/>
          <w:color w:val="auto"/>
        </w:rPr>
      </w:pPr>
    </w:p>
    <w:p>
      <w:pPr>
        <w:ind w:left="220"/>
        <w:spacing w:after="0"/>
        <w:tabs>
          <w:tab w:leader="none" w:pos="1030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6"/>
          <w:szCs w:val="16"/>
          <w:color w:val="auto"/>
        </w:rPr>
        <w:t>Page 155</w:t>
      </w:r>
    </w:p>
    <w:p>
      <w:pPr>
        <w:sectPr>
          <w:pgSz w:w="11900" w:h="16838" w:orient="portrait"/>
          <w:cols w:equalWidth="0" w:num="1">
            <w:col w:w="11040"/>
          </w:cols>
          <w:pgMar w:left="320" w:top="477" w:right="5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Standard &amp; Poor’s Global Ratings (S&amp;P)</w:t>
      </w:r>
    </w:p>
    <w:p>
      <w:pPr>
        <w:spacing w:after="0" w:line="216" w:lineRule="exact"/>
        <w:rPr>
          <w:sz w:val="20"/>
          <w:szCs w:val="20"/>
          <w:color w:val="auto"/>
        </w:rPr>
      </w:pPr>
    </w:p>
    <w:p>
      <w:pPr>
        <w:ind w:left="220" w:right="100"/>
        <w:spacing w:after="0" w:line="234" w:lineRule="auto"/>
        <w:rPr>
          <w:sz w:val="20"/>
          <w:szCs w:val="20"/>
          <w:color w:val="auto"/>
        </w:rPr>
      </w:pPr>
      <w:r>
        <w:rPr>
          <w:rFonts w:ascii="Arial" w:cs="Arial" w:eastAsia="Arial" w:hAnsi="Arial"/>
          <w:sz w:val="17"/>
          <w:szCs w:val="17"/>
          <w:color w:val="auto"/>
        </w:rPr>
        <w:t>S&amp;P’s long-term credit ratings are on a rating scale that ranges from AAA to D, which represents the range from highest to lowest quality of such securities rated. S&amp;P’s “BBB” rating assigned to our long-term debt instruments is the fourth highest rating of 10 rating categories. A “BBB” rating indicates that the obligor has adequate capacity to meet its financial commitments. However, adverse economic conditions or changing circumstances are more likely to lead to a weakened capacity of the obligor to meet its financial commitment. S&amp;P uses “+” or “-” designations to indicate the relative standing of securities within a particular rating category. Outlooks represent S&amp;P’s assessment regarding the potential direction of the rating over the immediate term (typically six months to two years). In May 2024, S&amp;P upgraded Thomson Reuters’ rating from BBB to BBB+ with Stable rating outlook.</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DBRS Limited (DBRS)</w:t>
      </w:r>
    </w:p>
    <w:p>
      <w:pPr>
        <w:spacing w:after="0" w:line="216" w:lineRule="exact"/>
        <w:rPr>
          <w:sz w:val="20"/>
          <w:szCs w:val="20"/>
          <w:color w:val="auto"/>
        </w:rPr>
      </w:pPr>
    </w:p>
    <w:p>
      <w:pPr>
        <w:ind w:left="220" w:right="20"/>
        <w:spacing w:after="0" w:line="236" w:lineRule="auto"/>
        <w:rPr>
          <w:sz w:val="20"/>
          <w:szCs w:val="20"/>
          <w:color w:val="auto"/>
        </w:rPr>
      </w:pPr>
      <w:r>
        <w:rPr>
          <w:rFonts w:ascii="Arial" w:cs="Arial" w:eastAsia="Arial" w:hAnsi="Arial"/>
          <w:sz w:val="17"/>
          <w:szCs w:val="17"/>
          <w:color w:val="auto"/>
        </w:rPr>
        <w:t>DBRS’ credit ratings are on a long-term debt rating scale that ranges from AAA to D, which represents the range from highest to lowest quality of such securities rated. DBRS’s “BBB” rating assigned to our long-term debt is the fourth highest of the 10 rating categories for long-term debt. Debt securities rated “BBB” are of adequate credit quality, and while the capacity for the payment of financial obligations is considered acceptable, it may be vulnerable to future events. A reference to “high” or “low” reflects the relative strength within the rating category. Rating Trends represent DBRS’s opinion regarding the outlook for the ratings, should present tendencies continue.</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Fitch Ratings (Fitch)</w:t>
      </w:r>
    </w:p>
    <w:p>
      <w:pPr>
        <w:spacing w:after="0" w:line="216" w:lineRule="exact"/>
        <w:rPr>
          <w:sz w:val="20"/>
          <w:szCs w:val="20"/>
          <w:color w:val="auto"/>
        </w:rPr>
      </w:pPr>
    </w:p>
    <w:p>
      <w:pPr>
        <w:ind w:left="220" w:right="80"/>
        <w:spacing w:after="0" w:line="235" w:lineRule="auto"/>
        <w:rPr>
          <w:sz w:val="20"/>
          <w:szCs w:val="20"/>
          <w:color w:val="auto"/>
        </w:rPr>
      </w:pPr>
      <w:r>
        <w:rPr>
          <w:rFonts w:ascii="Arial" w:cs="Arial" w:eastAsia="Arial" w:hAnsi="Arial"/>
          <w:sz w:val="17"/>
          <w:szCs w:val="17"/>
          <w:color w:val="auto"/>
        </w:rPr>
        <w:t>Fitch’s long-term credit ratings are on a rating scale that ranges from AAA to D, which represents the range from highest to lowest quality of such securities rated. Fitch’s “BBB” rating assigned to our long-term debt instruments is the fourth highest rating of 11 rating categories. A “BBB” rating indicates a low expectation of default, and that while the capacity for payment of financial commitments is considered adequate, adverse business or economic conditions are more likely to impair this capacity. Fitch uses “+” or “-” designations to indicate the relative standing of securities within a particular rating category. Outlooks represents Fitch’s assessment regarding the direction a rating is likely to move over a one to two-year period.</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Investment in LSEG</w:t>
      </w:r>
    </w:p>
    <w:p>
      <w:pPr>
        <w:spacing w:after="0" w:line="84" w:lineRule="exact"/>
        <w:rPr>
          <w:sz w:val="20"/>
          <w:szCs w:val="20"/>
          <w:color w:val="auto"/>
        </w:rPr>
      </w:pPr>
    </w:p>
    <w:p>
      <w:pPr>
        <w:ind w:left="220" w:right="140"/>
        <w:spacing w:after="0" w:line="238" w:lineRule="auto"/>
        <w:rPr>
          <w:sz w:val="20"/>
          <w:szCs w:val="20"/>
          <w:color w:val="auto"/>
        </w:rPr>
      </w:pPr>
      <w:r>
        <w:rPr>
          <w:rFonts w:ascii="Arial" w:cs="Arial" w:eastAsia="Arial" w:hAnsi="Arial"/>
          <w:sz w:val="17"/>
          <w:szCs w:val="17"/>
          <w:color w:val="auto"/>
        </w:rPr>
        <w:t>On January 29, 2021, Thomson Reuters and private equity funds affiliated with Blackstone closed the sale of Refinitiv to LSEG in an all-share transaction. As of the January 29, 2021 closing date, we indirectly owned approximately 82.5 million LSEG shares. Thomson Reuters’ interest in LSEG shares were held through YPL, an entity jointly owned by Thomson Reuters and Blackstone’s consortium. As of May 2024, all of our remaining holdings of LSEG shares have been sold.</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Material Contracts</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Credit Facility Agreement</w:t>
      </w:r>
    </w:p>
    <w:p>
      <w:pPr>
        <w:spacing w:after="0" w:line="97" w:lineRule="exact"/>
        <w:rPr>
          <w:sz w:val="20"/>
          <w:szCs w:val="20"/>
          <w:color w:val="auto"/>
        </w:rPr>
      </w:pPr>
    </w:p>
    <w:p>
      <w:pPr>
        <w:ind w:left="220"/>
        <w:spacing w:after="0" w:line="232" w:lineRule="auto"/>
        <w:rPr>
          <w:sz w:val="20"/>
          <w:szCs w:val="20"/>
          <w:color w:val="auto"/>
        </w:rPr>
      </w:pPr>
      <w:r>
        <w:rPr>
          <w:rFonts w:ascii="Arial" w:cs="Arial" w:eastAsia="Arial" w:hAnsi="Arial"/>
          <w:sz w:val="17"/>
          <w:szCs w:val="17"/>
          <w:color w:val="auto"/>
        </w:rPr>
        <w:t>We have a $2.0 billion syndicated credit facility agreement which matures in November 2027. The facility may be used to provide liquidity for general corporate purposes (including acquisitions or support for our commercial paper program). There were no outstanding borrowings under the credit facility as of December 31, 2024 and 2023. We have the option to request an increase, subject to approval by applicable lenders, in the lenders’ commitments in an aggregate amount of $600 million for a maximum credit facility commitment of $2.6 billion. Based on our current credit ratings, the cost of borrowing under the agreement is priced at Term Secured Overnight Financing Rate (SOFR)/Euro Interbank Offered Rate (EURIBOR)/ Simple Sterling Overnight Index Average (SONIA) plus 102.5 bp. If our debt rating is downgraded by at least two of Moody’s, S&amp;P or Fitch, our facility fees and borrowing costs could increase, although availability would be unaffected. Conversely, an upgrade in our ratings may reduce our facility fees and borrowing costs. We also monitor the lenders that are party to our facility and believe they continue to be able to lend to us.</w:t>
      </w:r>
    </w:p>
    <w:p>
      <w:pPr>
        <w:spacing w:after="0" w:line="48" w:lineRule="exact"/>
        <w:rPr>
          <w:sz w:val="20"/>
          <w:szCs w:val="20"/>
          <w:color w:val="auto"/>
        </w:rPr>
      </w:pPr>
    </w:p>
    <w:p>
      <w:pPr>
        <w:ind w:left="220" w:right="20"/>
        <w:spacing w:after="0" w:line="250" w:lineRule="auto"/>
        <w:rPr>
          <w:sz w:val="20"/>
          <w:szCs w:val="20"/>
          <w:color w:val="auto"/>
        </w:rPr>
      </w:pPr>
      <w:r>
        <w:rPr>
          <w:rFonts w:ascii="Arial" w:cs="Arial" w:eastAsia="Arial" w:hAnsi="Arial"/>
          <w:sz w:val="16"/>
          <w:szCs w:val="16"/>
          <w:color w:val="auto"/>
        </w:rPr>
        <w:t>We guarantee borrowings by our subsidiaries under the credit facility. We must also maintain a ratio of net debt as defined in the credit agreement (total debt after swaps less cash and cash equivalents) as of the last day of each fiscal quarter to EBITDA as defined in the credit agreement (earnings before interest, income taxes, depreciation and amortization and other modifications described in the credit agreement) for the last four quarters ended of not more than 4.5:1. If we complete an acquisition with a purchase price of over $500 million, we may elect, subject to notification, to temporarily increase the ratio of net debt to EBITDA to 5.0:1 at the end of the quarter within which the transaction closed for each of the three immediately following fiscal quarters. At the end of that period, the ratio would revert to 4:5:1. As of December 31, 2024, we were in compliance with this covenant as our ratio of net debt to EBITDA, as calculated under the terms of our syndicated credit facility, was 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87630</wp:posOffset>
            </wp:positionV>
            <wp:extent cx="686562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49"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156</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Thomson Reuters Trust Principles and Thomson Reuters Founders Share Company</w:t>
      </w:r>
    </w:p>
    <w:p>
      <w:pPr>
        <w:spacing w:after="0" w:line="84" w:lineRule="exact"/>
        <w:rPr>
          <w:sz w:val="20"/>
          <w:szCs w:val="20"/>
          <w:color w:val="auto"/>
        </w:rPr>
      </w:pPr>
    </w:p>
    <w:p>
      <w:pPr>
        <w:ind w:left="220" w:right="360"/>
        <w:spacing w:after="0" w:line="260" w:lineRule="auto"/>
        <w:rPr>
          <w:sz w:val="20"/>
          <w:szCs w:val="20"/>
          <w:color w:val="auto"/>
        </w:rPr>
      </w:pPr>
      <w:r>
        <w:rPr>
          <w:rFonts w:ascii="Arial" w:cs="Arial" w:eastAsia="Arial" w:hAnsi="Arial"/>
          <w:sz w:val="17"/>
          <w:szCs w:val="17"/>
          <w:color w:val="auto"/>
        </w:rPr>
        <w:t>Our company is dedicated to upholding the Thomson Reuters Trust Principles and to preserving its integrity, independence and freedom from bias in the gathering and dissemination of information and news.</w:t>
      </w:r>
    </w:p>
    <w:p>
      <w:pPr>
        <w:spacing w:after="0" w:line="4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Trust Principles read as follows:</w:t>
      </w:r>
    </w:p>
    <w:p>
      <w:pPr>
        <w:spacing w:after="0" w:line="83" w:lineRule="exact"/>
        <w:rPr>
          <w:sz w:val="20"/>
          <w:szCs w:val="20"/>
          <w:color w:val="auto"/>
        </w:rPr>
      </w:pPr>
    </w:p>
    <w:p>
      <w:pPr>
        <w:ind w:left="1300" w:hanging="327"/>
        <w:spacing w:after="0"/>
        <w:tabs>
          <w:tab w:leader="none" w:pos="1300" w:val="left"/>
        </w:tabs>
        <w:numPr>
          <w:ilvl w:val="0"/>
          <w:numId w:val="156"/>
        </w:numPr>
        <w:rPr>
          <w:rFonts w:ascii="Arial" w:cs="Arial" w:eastAsia="Arial" w:hAnsi="Arial"/>
          <w:sz w:val="17"/>
          <w:szCs w:val="17"/>
          <w:color w:val="D64000"/>
        </w:rPr>
      </w:pPr>
      <w:r>
        <w:rPr>
          <w:rFonts w:ascii="Arial" w:cs="Arial" w:eastAsia="Arial" w:hAnsi="Arial"/>
          <w:sz w:val="17"/>
          <w:szCs w:val="17"/>
          <w:color w:val="auto"/>
        </w:rPr>
        <w:t>That Reuters shall at no time pass into the hands of any one interest, group or faction;</w:t>
      </w:r>
    </w:p>
    <w:p>
      <w:pPr>
        <w:spacing w:after="0" w:line="82" w:lineRule="exact"/>
        <w:rPr>
          <w:rFonts w:ascii="Arial" w:cs="Arial" w:eastAsia="Arial" w:hAnsi="Arial"/>
          <w:sz w:val="17"/>
          <w:szCs w:val="17"/>
          <w:color w:val="D64000"/>
        </w:rPr>
      </w:pPr>
    </w:p>
    <w:p>
      <w:pPr>
        <w:ind w:left="1300" w:hanging="327"/>
        <w:spacing w:after="0"/>
        <w:tabs>
          <w:tab w:leader="none" w:pos="1300" w:val="left"/>
        </w:tabs>
        <w:numPr>
          <w:ilvl w:val="0"/>
          <w:numId w:val="156"/>
        </w:numPr>
        <w:rPr>
          <w:rFonts w:ascii="Arial" w:cs="Arial" w:eastAsia="Arial" w:hAnsi="Arial"/>
          <w:sz w:val="17"/>
          <w:szCs w:val="17"/>
          <w:color w:val="D64000"/>
        </w:rPr>
      </w:pPr>
      <w:r>
        <w:rPr>
          <w:rFonts w:ascii="Arial" w:cs="Arial" w:eastAsia="Arial" w:hAnsi="Arial"/>
          <w:sz w:val="17"/>
          <w:szCs w:val="17"/>
          <w:color w:val="auto"/>
        </w:rPr>
        <w:t>That the integrity, independence and freedom from bias of Thomson Reuters shall at all times be fully preserved;</w:t>
      </w:r>
    </w:p>
    <w:p>
      <w:pPr>
        <w:spacing w:after="0" w:line="82" w:lineRule="exact"/>
        <w:rPr>
          <w:rFonts w:ascii="Arial" w:cs="Arial" w:eastAsia="Arial" w:hAnsi="Arial"/>
          <w:sz w:val="17"/>
          <w:szCs w:val="17"/>
          <w:color w:val="D64000"/>
        </w:rPr>
      </w:pPr>
    </w:p>
    <w:p>
      <w:pPr>
        <w:ind w:left="1300" w:right="300" w:hanging="327"/>
        <w:spacing w:after="0" w:line="291" w:lineRule="auto"/>
        <w:tabs>
          <w:tab w:leader="none" w:pos="1300" w:val="left"/>
        </w:tabs>
        <w:numPr>
          <w:ilvl w:val="0"/>
          <w:numId w:val="156"/>
        </w:numPr>
        <w:rPr>
          <w:rFonts w:ascii="Arial" w:cs="Arial" w:eastAsia="Arial" w:hAnsi="Arial"/>
          <w:sz w:val="16"/>
          <w:szCs w:val="16"/>
          <w:color w:val="D64000"/>
        </w:rPr>
      </w:pPr>
      <w:r>
        <w:rPr>
          <w:rFonts w:ascii="Arial" w:cs="Arial" w:eastAsia="Arial" w:hAnsi="Arial"/>
          <w:sz w:val="16"/>
          <w:szCs w:val="16"/>
          <w:color w:val="auto"/>
        </w:rPr>
        <w:t>That Reuters shall supply unbiased and reliable news services to newspapers, news agencies, broadcasters and other media subscribers and to businesses, governments, institutions, individuals and others with whom Reuters has or may have contracts;</w:t>
      </w:r>
    </w:p>
    <w:p>
      <w:pPr>
        <w:spacing w:after="0" w:line="17" w:lineRule="exact"/>
        <w:rPr>
          <w:rFonts w:ascii="Arial" w:cs="Arial" w:eastAsia="Arial" w:hAnsi="Arial"/>
          <w:sz w:val="16"/>
          <w:szCs w:val="16"/>
          <w:color w:val="D64000"/>
        </w:rPr>
      </w:pPr>
    </w:p>
    <w:p>
      <w:pPr>
        <w:ind w:left="1300" w:hanging="327"/>
        <w:spacing w:after="0"/>
        <w:tabs>
          <w:tab w:leader="none" w:pos="1300" w:val="left"/>
        </w:tabs>
        <w:numPr>
          <w:ilvl w:val="0"/>
          <w:numId w:val="156"/>
        </w:numPr>
        <w:rPr>
          <w:rFonts w:ascii="Arial" w:cs="Arial" w:eastAsia="Arial" w:hAnsi="Arial"/>
          <w:sz w:val="17"/>
          <w:szCs w:val="17"/>
          <w:color w:val="D64000"/>
        </w:rPr>
      </w:pPr>
      <w:r>
        <w:rPr>
          <w:rFonts w:ascii="Arial" w:cs="Arial" w:eastAsia="Arial" w:hAnsi="Arial"/>
          <w:sz w:val="17"/>
          <w:szCs w:val="17"/>
          <w:color w:val="auto"/>
        </w:rPr>
        <w:t>That Thomson Reuters shall pay due regard to the many interests which it serves in addition to those of the media; and</w:t>
      </w:r>
    </w:p>
    <w:p>
      <w:pPr>
        <w:spacing w:after="0" w:line="82" w:lineRule="exact"/>
        <w:rPr>
          <w:rFonts w:ascii="Arial" w:cs="Arial" w:eastAsia="Arial" w:hAnsi="Arial"/>
          <w:sz w:val="17"/>
          <w:szCs w:val="17"/>
          <w:color w:val="D64000"/>
        </w:rPr>
      </w:pPr>
    </w:p>
    <w:p>
      <w:pPr>
        <w:ind w:left="1300" w:right="140" w:hanging="327"/>
        <w:spacing w:after="0" w:line="260" w:lineRule="auto"/>
        <w:tabs>
          <w:tab w:leader="none" w:pos="1300" w:val="left"/>
        </w:tabs>
        <w:numPr>
          <w:ilvl w:val="0"/>
          <w:numId w:val="156"/>
        </w:numPr>
        <w:rPr>
          <w:rFonts w:ascii="Arial" w:cs="Arial" w:eastAsia="Arial" w:hAnsi="Arial"/>
          <w:sz w:val="17"/>
          <w:szCs w:val="17"/>
          <w:color w:val="D64000"/>
        </w:rPr>
      </w:pPr>
      <w:r>
        <w:rPr>
          <w:rFonts w:ascii="Arial" w:cs="Arial" w:eastAsia="Arial" w:hAnsi="Arial"/>
          <w:sz w:val="17"/>
          <w:szCs w:val="17"/>
          <w:color w:val="auto"/>
        </w:rPr>
        <w:t>That no effort shall be spared to expand, develop and adapt the news and other services and products of Thomson Reuters so as to maintain its leading position in the international news and information business.</w:t>
      </w:r>
    </w:p>
    <w:p>
      <w:pPr>
        <w:spacing w:after="0" w:line="40" w:lineRule="exact"/>
        <w:rPr>
          <w:sz w:val="20"/>
          <w:szCs w:val="20"/>
          <w:color w:val="auto"/>
        </w:rPr>
      </w:pPr>
    </w:p>
    <w:p>
      <w:pPr>
        <w:jc w:val="both"/>
        <w:ind w:left="220" w:right="620"/>
        <w:spacing w:after="0" w:line="243" w:lineRule="auto"/>
        <w:rPr>
          <w:sz w:val="20"/>
          <w:szCs w:val="20"/>
          <w:color w:val="auto"/>
        </w:rPr>
      </w:pPr>
      <w:r>
        <w:rPr>
          <w:rFonts w:ascii="Arial" w:cs="Arial" w:eastAsia="Arial" w:hAnsi="Arial"/>
          <w:sz w:val="17"/>
          <w:szCs w:val="17"/>
          <w:color w:val="auto"/>
        </w:rPr>
        <w:t>The Thomson Reuters Founders Share Company was established in 1984 when Reuters became a public company. The directors of the Thomson Reuters Founders Share Company have a duty to ensure, to the extent possible, that the Thomson Reuters Trust Principles are complied with.</w:t>
      </w:r>
    </w:p>
    <w:p>
      <w:pPr>
        <w:spacing w:after="0" w:line="42" w:lineRule="exact"/>
        <w:rPr>
          <w:sz w:val="20"/>
          <w:szCs w:val="20"/>
          <w:color w:val="auto"/>
        </w:rPr>
      </w:pPr>
    </w:p>
    <w:p>
      <w:pPr>
        <w:ind w:left="220" w:right="420"/>
        <w:spacing w:after="0" w:line="245" w:lineRule="auto"/>
        <w:rPr>
          <w:sz w:val="20"/>
          <w:szCs w:val="20"/>
          <w:color w:val="auto"/>
        </w:rPr>
      </w:pPr>
      <w:r>
        <w:rPr>
          <w:rFonts w:ascii="Arial" w:cs="Arial" w:eastAsia="Arial" w:hAnsi="Arial"/>
          <w:sz w:val="16"/>
          <w:szCs w:val="16"/>
          <w:color w:val="auto"/>
        </w:rPr>
        <w:t>The directors of the Thomson Reuters Founders Share Company are experienced and eminent people from the world of politics, diplomacy, media, public service and business. They generally have all held high offices in their respective sectors. The directors are selected by a nomination committee and proposed to the board of the Thomson Reuters Founders Share Company to be considered for appointment. The nomination committee also has unique features. Two of its members are appointed in consultation with the European Court of Human Rights (ECHR) and assist in scrutinizing candidates’ suitability. These have historically been judges of the ECHR. Our Board currently has two representatives on the nomination committee. In addition to the chairman and deputy chairman of the Thomson Reuters Founders</w:t>
      </w:r>
    </w:p>
    <w:p>
      <w:pPr>
        <w:spacing w:after="0" w:line="2" w:lineRule="exact"/>
        <w:rPr>
          <w:sz w:val="20"/>
          <w:szCs w:val="20"/>
          <w:color w:val="auto"/>
        </w:rPr>
      </w:pPr>
    </w:p>
    <w:p>
      <w:pPr>
        <w:jc w:val="both"/>
        <w:ind w:left="220" w:right="80"/>
        <w:spacing w:after="0" w:line="236" w:lineRule="auto"/>
        <w:rPr>
          <w:sz w:val="20"/>
          <w:szCs w:val="20"/>
          <w:color w:val="auto"/>
        </w:rPr>
      </w:pPr>
      <w:r>
        <w:rPr>
          <w:rFonts w:ascii="Arial" w:cs="Arial" w:eastAsia="Arial" w:hAnsi="Arial"/>
          <w:sz w:val="17"/>
          <w:szCs w:val="17"/>
          <w:color w:val="auto"/>
        </w:rPr>
        <w:t>Share Company, who are also members of the nomination committee, the chairman of the Thomson Reuters Founders Share Company appoints three other representatives to the nomination committee. Other members are representatives of press associations from the United Kingdom and Australia.</w:t>
      </w:r>
    </w:p>
    <w:p>
      <w:pPr>
        <w:spacing w:after="0" w:line="57" w:lineRule="exact"/>
        <w:rPr>
          <w:sz w:val="20"/>
          <w:szCs w:val="20"/>
          <w:color w:val="auto"/>
        </w:rPr>
      </w:pPr>
    </w:p>
    <w:p>
      <w:pPr>
        <w:ind w:left="220" w:right="20"/>
        <w:spacing w:after="0" w:line="235" w:lineRule="auto"/>
        <w:rPr>
          <w:sz w:val="20"/>
          <w:szCs w:val="20"/>
          <w:color w:val="auto"/>
        </w:rPr>
      </w:pPr>
      <w:r>
        <w:rPr>
          <w:rFonts w:ascii="Arial" w:cs="Arial" w:eastAsia="Arial" w:hAnsi="Arial"/>
          <w:sz w:val="17"/>
          <w:szCs w:val="17"/>
          <w:color w:val="auto"/>
        </w:rPr>
        <w:t>The directors of the Thomson Reuters Founders Share Company have a minimum of two meetings per year. They receive reports on our activities in different fields in which we operate. The directors meet with representatives of senior management at the Thomson Reuters Founders Share Company board meetings and Thomson Reuters site visits; the directors of the Thomson Reuters Founders Share Company also have access to our Board, as necessary. Through the Thomson Reuters Founders Share Company’s chairman, regular contact is maintained with our company. The Thomson Reuters Founders Share Company also has certain consultation rights as to the appointments of the president and editor in chief of the news services of Reuters News.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25"/>
          <w:szCs w:val="25"/>
          <w:b w:val="1"/>
          <w:bCs w:val="1"/>
          <w:i w:val="1"/>
          <w:iCs w:val="1"/>
          <w:color w:val="D64000"/>
        </w:rPr>
        <w:t>Amended and Restated Reuters Support Agreement</w:t>
      </w:r>
    </w:p>
    <w:p>
      <w:pPr>
        <w:spacing w:after="0" w:line="82" w:lineRule="exact"/>
        <w:rPr>
          <w:sz w:val="20"/>
          <w:szCs w:val="20"/>
          <w:color w:val="auto"/>
        </w:rPr>
      </w:pPr>
    </w:p>
    <w:p>
      <w:pPr>
        <w:ind w:left="220" w:right="60"/>
        <w:spacing w:after="0" w:line="241" w:lineRule="auto"/>
        <w:rPr>
          <w:sz w:val="20"/>
          <w:szCs w:val="20"/>
          <w:color w:val="auto"/>
        </w:rPr>
      </w:pPr>
      <w:r>
        <w:rPr>
          <w:rFonts w:ascii="Arial" w:cs="Arial" w:eastAsia="Arial" w:hAnsi="Arial"/>
          <w:sz w:val="17"/>
          <w:szCs w:val="17"/>
          <w:color w:val="auto"/>
        </w:rPr>
        <w:t xml:space="preserve">In December 2020, Thomson Reuters Founders Share Company, Thomson Reuters and Reuters News entered into an Amended and Restated Reuters Support Agreement (ARRSA). The following is a summary of certain provisions of the agreement, a copy of which has been filed with the Canadian Securities Administrators’ SEDAR+ website, </w:t>
      </w:r>
      <w:r>
        <w:rPr>
          <w:rFonts w:ascii="Arial" w:cs="Arial" w:eastAsia="Arial" w:hAnsi="Arial"/>
          <w:sz w:val="17"/>
          <w:szCs w:val="17"/>
          <w:b w:val="1"/>
          <w:bCs w:val="1"/>
          <w:color w:val="auto"/>
        </w:rPr>
        <w:t>www.sedarplus.ca</w:t>
      </w:r>
      <w:r>
        <w:rPr>
          <w:rFonts w:ascii="Arial" w:cs="Arial" w:eastAsia="Arial" w:hAnsi="Arial"/>
          <w:sz w:val="17"/>
          <w:szCs w:val="17"/>
          <w:color w:val="auto"/>
        </w:rPr>
        <w:t xml:space="preserve">, and in the EDGAR section of the Securities and Exchange Commission’s (SEC) website at </w:t>
      </w:r>
      <w:r>
        <w:rPr>
          <w:rFonts w:ascii="Arial" w:cs="Arial" w:eastAsia="Arial" w:hAnsi="Arial"/>
          <w:sz w:val="17"/>
          <w:szCs w:val="17"/>
          <w:b w:val="1"/>
          <w:bCs w:val="1"/>
          <w:color w:val="auto"/>
        </w:rPr>
        <w:t>www.sec.gov.</w:t>
      </w:r>
    </w:p>
    <w:p>
      <w:pPr>
        <w:spacing w:after="0" w:line="50" w:lineRule="exact"/>
        <w:rPr>
          <w:sz w:val="20"/>
          <w:szCs w:val="20"/>
          <w:color w:val="auto"/>
        </w:rPr>
      </w:pPr>
    </w:p>
    <w:p>
      <w:pPr>
        <w:ind w:left="220" w:right="20"/>
        <w:spacing w:after="0" w:line="232" w:lineRule="auto"/>
        <w:rPr>
          <w:sz w:val="20"/>
          <w:szCs w:val="20"/>
          <w:color w:val="auto"/>
        </w:rPr>
      </w:pPr>
      <w:r>
        <w:rPr>
          <w:rFonts w:ascii="Arial" w:cs="Arial" w:eastAsia="Arial" w:hAnsi="Arial"/>
          <w:sz w:val="17"/>
          <w:szCs w:val="17"/>
          <w:color w:val="auto"/>
        </w:rPr>
        <w:t>Under the ARRSA, the prior written consent of Thomson Reuters Founders Share Company is required to effect a sale (or similar transaction) to an unrelated third-party of, a material acquisition by, or material dispositions from, Reuters News. Reuters News will remain a separate business unit of Thomson Reuters – the sole unit that carries on the business of providing multimedia news services. Reuters News will receive access to capital and shared services and will continue to provide services to our company’s other business units. Reuters News has agreed to invest all of the license fees payable under the news agreement with LSEG into the Reuters News business, and has agreed not to amend the news agreement in a manner that would negatively impact the annual fee payable, significantly increase Reuters News’ costs without reimbursement or amend any provision related to the Trust Principles without Thomson Reuters Founders Share Company’s prior written consent. Thomson Reuters and Reuters News agreed not to amend any provisions of the Brand License Agreements related to the Trust Principles without Thomson Reuters Founders Share Company’s prior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95250</wp:posOffset>
            </wp:positionV>
            <wp:extent cx="686562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61" w:lineRule="exact"/>
        <w:rPr>
          <w:sz w:val="20"/>
          <w:szCs w:val="20"/>
          <w:color w:val="auto"/>
        </w:rPr>
      </w:pPr>
    </w:p>
    <w:p>
      <w:pPr>
        <w:ind w:left="220"/>
        <w:spacing w:after="0"/>
        <w:tabs>
          <w:tab w:leader="none" w:pos="1030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6"/>
          <w:szCs w:val="16"/>
          <w:color w:val="auto"/>
        </w:rPr>
        <w:t>Page 157</w:t>
      </w:r>
    </w:p>
    <w:p>
      <w:pPr>
        <w:sectPr>
          <w:pgSz w:w="11900" w:h="16838" w:orient="portrait"/>
          <w:cols w:equalWidth="0" w:num="1">
            <w:col w:w="11040"/>
          </w:cols>
          <w:pgMar w:left="320" w:top="477" w:right="5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10" w:lineRule="exact"/>
        <w:rPr>
          <w:sz w:val="20"/>
          <w:szCs w:val="20"/>
          <w:color w:val="auto"/>
        </w:rPr>
      </w:pPr>
    </w:p>
    <w:p>
      <w:pPr>
        <w:ind w:left="220"/>
        <w:spacing w:after="0"/>
        <w:rPr>
          <w:sz w:val="20"/>
          <w:szCs w:val="20"/>
          <w:color w:val="auto"/>
        </w:rPr>
      </w:pPr>
      <w:r>
        <w:rPr>
          <w:rFonts w:ascii="Arial" w:cs="Arial" w:eastAsia="Arial" w:hAnsi="Arial"/>
          <w:sz w:val="25"/>
          <w:szCs w:val="25"/>
          <w:b w:val="1"/>
          <w:bCs w:val="1"/>
          <w:i w:val="1"/>
          <w:iCs w:val="1"/>
          <w:color w:val="D64000"/>
        </w:rPr>
        <w:t>Directors of the Thomson Reuters Founders Share Company</w:t>
      </w:r>
    </w:p>
    <w:p>
      <w:pPr>
        <w:spacing w:after="0" w:line="82" w:lineRule="exact"/>
        <w:rPr>
          <w:sz w:val="20"/>
          <w:szCs w:val="20"/>
          <w:color w:val="auto"/>
        </w:rPr>
      </w:pPr>
    </w:p>
    <w:p>
      <w:pPr>
        <w:ind w:left="220" w:right="280"/>
        <w:spacing w:after="0" w:line="260" w:lineRule="auto"/>
        <w:rPr>
          <w:sz w:val="20"/>
          <w:szCs w:val="20"/>
          <w:color w:val="auto"/>
        </w:rPr>
      </w:pPr>
      <w:r>
        <w:rPr>
          <w:rFonts w:ascii="Arial" w:cs="Arial" w:eastAsia="Arial" w:hAnsi="Arial"/>
          <w:sz w:val="17"/>
          <w:szCs w:val="17"/>
          <w:color w:val="auto"/>
        </w:rPr>
        <w:t>The current directors of the Thomson Reuters Founders Share Company, with their countries of residence and the year of initial appointments, are:</w:t>
      </w:r>
    </w:p>
    <w:p>
      <w:pPr>
        <w:spacing w:after="0" w:line="62" w:lineRule="exact"/>
        <w:rPr>
          <w:sz w:val="20"/>
          <w:szCs w:val="20"/>
          <w:color w:val="auto"/>
        </w:rPr>
      </w:pPr>
    </w:p>
    <w:tbl>
      <w:tblPr>
        <w:tblLayout w:type="fixed"/>
        <w:tblInd w:w="220" w:type="dxa"/>
        <w:tblCellMar>
          <w:top w:w="0" w:type="dxa"/>
          <w:left w:w="0" w:type="dxa"/>
          <w:bottom w:w="0" w:type="dxa"/>
          <w:right w:w="0" w:type="dxa"/>
        </w:tblCellMar>
      </w:tblPr>
      <w:tr>
        <w:trPr>
          <w:trHeight w:val="257"/>
        </w:trPr>
        <w:tc>
          <w:tcPr>
            <w:tcW w:w="3780" w:type="dxa"/>
            <w:vAlign w:val="bottom"/>
            <w:shd w:val="clear" w:color="auto" w:fill="262626"/>
          </w:tcPr>
          <w:p>
            <w:pPr>
              <w:spacing w:after="0"/>
              <w:rPr>
                <w:sz w:val="20"/>
                <w:szCs w:val="20"/>
                <w:color w:val="auto"/>
              </w:rPr>
            </w:pPr>
            <w:r>
              <w:rPr>
                <w:rFonts w:ascii="Arial" w:cs="Arial" w:eastAsia="Arial" w:hAnsi="Arial"/>
                <w:sz w:val="16"/>
                <w:szCs w:val="16"/>
                <w:b w:val="1"/>
                <w:bCs w:val="1"/>
                <w:color w:val="FFFFFF"/>
              </w:rPr>
              <w:t>  Name</w:t>
            </w:r>
          </w:p>
        </w:tc>
        <w:tc>
          <w:tcPr>
            <w:tcW w:w="3560" w:type="dxa"/>
            <w:vAlign w:val="bottom"/>
            <w:shd w:val="clear" w:color="auto" w:fill="262626"/>
          </w:tcPr>
          <w:p>
            <w:pPr>
              <w:jc w:val="center"/>
              <w:ind w:left="81"/>
              <w:spacing w:after="0"/>
              <w:rPr>
                <w:sz w:val="20"/>
                <w:szCs w:val="20"/>
                <w:color w:val="auto"/>
              </w:rPr>
            </w:pPr>
            <w:r>
              <w:rPr>
                <w:rFonts w:ascii="Arial" w:cs="Arial" w:eastAsia="Arial" w:hAnsi="Arial"/>
                <w:sz w:val="16"/>
                <w:szCs w:val="16"/>
                <w:b w:val="1"/>
                <w:bCs w:val="1"/>
                <w:color w:val="FFFFFF"/>
                <w:w w:val="97"/>
              </w:rPr>
              <w:t>Country</w:t>
            </w:r>
          </w:p>
        </w:tc>
        <w:tc>
          <w:tcPr>
            <w:tcW w:w="3460" w:type="dxa"/>
            <w:vAlign w:val="bottom"/>
            <w:shd w:val="clear" w:color="auto" w:fill="262626"/>
          </w:tcPr>
          <w:p>
            <w:pPr>
              <w:jc w:val="center"/>
              <w:ind w:left="61"/>
              <w:spacing w:after="0"/>
              <w:rPr>
                <w:sz w:val="20"/>
                <w:szCs w:val="20"/>
                <w:color w:val="auto"/>
              </w:rPr>
            </w:pPr>
            <w:r>
              <w:rPr>
                <w:rFonts w:ascii="Arial" w:cs="Arial" w:eastAsia="Arial" w:hAnsi="Arial"/>
                <w:sz w:val="16"/>
                <w:szCs w:val="16"/>
                <w:b w:val="1"/>
                <w:bCs w:val="1"/>
                <w:color w:val="FFFFFF"/>
                <w:w w:val="99"/>
              </w:rPr>
              <w:t>Director Since</w:t>
            </w:r>
          </w:p>
        </w:tc>
      </w:tr>
      <w:tr>
        <w:trPr>
          <w:trHeight w:val="61"/>
        </w:trPr>
        <w:tc>
          <w:tcPr>
            <w:tcW w:w="3780" w:type="dxa"/>
            <w:vAlign w:val="bottom"/>
            <w:shd w:val="clear" w:color="auto" w:fill="262626"/>
          </w:tcPr>
          <w:p>
            <w:pPr>
              <w:spacing w:after="0"/>
              <w:rPr>
                <w:sz w:val="5"/>
                <w:szCs w:val="5"/>
                <w:color w:val="auto"/>
              </w:rPr>
            </w:pPr>
          </w:p>
        </w:tc>
        <w:tc>
          <w:tcPr>
            <w:tcW w:w="3560" w:type="dxa"/>
            <w:vAlign w:val="bottom"/>
            <w:shd w:val="clear" w:color="auto" w:fill="262626"/>
          </w:tcPr>
          <w:p>
            <w:pPr>
              <w:spacing w:after="0"/>
              <w:rPr>
                <w:sz w:val="5"/>
                <w:szCs w:val="5"/>
                <w:color w:val="auto"/>
              </w:rPr>
            </w:pPr>
          </w:p>
        </w:tc>
        <w:tc>
          <w:tcPr>
            <w:tcW w:w="3460" w:type="dxa"/>
            <w:vAlign w:val="bottom"/>
            <w:shd w:val="clear" w:color="auto" w:fill="262626"/>
          </w:tcPr>
          <w:p>
            <w:pPr>
              <w:spacing w:after="0"/>
              <w:rPr>
                <w:sz w:val="5"/>
                <w:szCs w:val="5"/>
                <w:color w:val="auto"/>
              </w:rPr>
            </w:pPr>
          </w:p>
        </w:tc>
      </w:tr>
      <w:tr>
        <w:trPr>
          <w:trHeight w:val="186"/>
        </w:trPr>
        <w:tc>
          <w:tcPr>
            <w:tcW w:w="3780" w:type="dxa"/>
            <w:vAlign w:val="bottom"/>
            <w:tcBorders>
              <w:bottom w:val="single" w:sz="8" w:color="AFAFAF"/>
            </w:tcBorders>
          </w:tcPr>
          <w:p>
            <w:pPr>
              <w:spacing w:after="0"/>
              <w:rPr>
                <w:sz w:val="20"/>
                <w:szCs w:val="20"/>
                <w:color w:val="auto"/>
              </w:rPr>
            </w:pPr>
            <w:r>
              <w:rPr>
                <w:rFonts w:ascii="Arial" w:cs="Arial" w:eastAsia="Arial" w:hAnsi="Arial"/>
                <w:sz w:val="16"/>
                <w:szCs w:val="16"/>
                <w:b w:val="1"/>
                <w:bCs w:val="1"/>
                <w:color w:val="auto"/>
              </w:rPr>
              <w:t>  Kim Williams (Chairman)</w:t>
            </w:r>
          </w:p>
        </w:tc>
        <w:tc>
          <w:tcPr>
            <w:tcW w:w="3560" w:type="dxa"/>
            <w:vAlign w:val="bottom"/>
            <w:tcBorders>
              <w:bottom w:val="single" w:sz="8" w:color="AFAFAF"/>
            </w:tcBorders>
          </w:tcPr>
          <w:p>
            <w:pPr>
              <w:jc w:val="center"/>
              <w:ind w:left="61"/>
              <w:spacing w:after="0"/>
              <w:rPr>
                <w:sz w:val="20"/>
                <w:szCs w:val="20"/>
                <w:color w:val="auto"/>
              </w:rPr>
            </w:pPr>
            <w:r>
              <w:rPr>
                <w:rFonts w:ascii="Arial" w:cs="Arial" w:eastAsia="Arial" w:hAnsi="Arial"/>
                <w:sz w:val="16"/>
                <w:szCs w:val="16"/>
                <w:color w:val="auto"/>
                <w:w w:val="99"/>
              </w:rPr>
              <w:t>Australia</w:t>
            </w:r>
          </w:p>
        </w:tc>
        <w:tc>
          <w:tcPr>
            <w:tcW w:w="3460" w:type="dxa"/>
            <w:vAlign w:val="bottom"/>
            <w:tcBorders>
              <w:bottom w:val="single" w:sz="8" w:color="AFAFAF"/>
            </w:tcBorders>
          </w:tcPr>
          <w:p>
            <w:pPr>
              <w:jc w:val="center"/>
              <w:ind w:left="61"/>
              <w:spacing w:after="0"/>
              <w:rPr>
                <w:sz w:val="20"/>
                <w:szCs w:val="20"/>
                <w:color w:val="auto"/>
              </w:rPr>
            </w:pPr>
            <w:r>
              <w:rPr>
                <w:rFonts w:ascii="Arial" w:cs="Arial" w:eastAsia="Arial" w:hAnsi="Arial"/>
                <w:sz w:val="16"/>
                <w:szCs w:val="16"/>
                <w:color w:val="auto"/>
              </w:rPr>
              <w:t>2016</w:t>
            </w:r>
          </w:p>
        </w:tc>
      </w:tr>
      <w:tr>
        <w:trPr>
          <w:trHeight w:val="179"/>
        </w:trPr>
        <w:tc>
          <w:tcPr>
            <w:tcW w:w="37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b w:val="1"/>
                <w:bCs w:val="1"/>
                <w:color w:val="auto"/>
              </w:rPr>
              <w:t>  Linda Robinson</w:t>
            </w:r>
          </w:p>
        </w:tc>
        <w:tc>
          <w:tcPr>
            <w:tcW w:w="3560" w:type="dxa"/>
            <w:vAlign w:val="bottom"/>
            <w:tcBorders>
              <w:bottom w:val="single" w:sz="8" w:color="AFAFAF"/>
            </w:tcBorders>
          </w:tcPr>
          <w:p>
            <w:pPr>
              <w:jc w:val="center"/>
              <w:ind w:left="81"/>
              <w:spacing w:after="0" w:line="179" w:lineRule="exact"/>
              <w:rPr>
                <w:sz w:val="20"/>
                <w:szCs w:val="20"/>
                <w:color w:val="auto"/>
              </w:rPr>
            </w:pPr>
            <w:r>
              <w:rPr>
                <w:rFonts w:ascii="Arial" w:cs="Arial" w:eastAsia="Arial" w:hAnsi="Arial"/>
                <w:sz w:val="16"/>
                <w:szCs w:val="16"/>
                <w:color w:val="auto"/>
              </w:rPr>
              <w:t>U.K.</w:t>
            </w:r>
          </w:p>
        </w:tc>
        <w:tc>
          <w:tcPr>
            <w:tcW w:w="3460" w:type="dxa"/>
            <w:vAlign w:val="bottom"/>
            <w:tcBorders>
              <w:bottom w:val="single" w:sz="8" w:color="AFAFAF"/>
            </w:tcBorders>
          </w:tcPr>
          <w:p>
            <w:pPr>
              <w:jc w:val="center"/>
              <w:ind w:left="61"/>
              <w:spacing w:after="0" w:line="179" w:lineRule="exact"/>
              <w:rPr>
                <w:sz w:val="20"/>
                <w:szCs w:val="20"/>
                <w:color w:val="auto"/>
              </w:rPr>
            </w:pPr>
            <w:r>
              <w:rPr>
                <w:rFonts w:ascii="Arial" w:cs="Arial" w:eastAsia="Arial" w:hAnsi="Arial"/>
                <w:sz w:val="16"/>
                <w:szCs w:val="16"/>
                <w:color w:val="auto"/>
              </w:rPr>
              <w:t>2019</w:t>
            </w:r>
          </w:p>
        </w:tc>
      </w:tr>
      <w:tr>
        <w:trPr>
          <w:trHeight w:val="179"/>
        </w:trPr>
        <w:tc>
          <w:tcPr>
            <w:tcW w:w="37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b w:val="1"/>
                <w:bCs w:val="1"/>
                <w:color w:val="auto"/>
              </w:rPr>
              <w:t>  Pawel Dangel</w:t>
            </w:r>
          </w:p>
        </w:tc>
        <w:tc>
          <w:tcPr>
            <w:tcW w:w="3560" w:type="dxa"/>
            <w:vAlign w:val="bottom"/>
            <w:tcBorders>
              <w:bottom w:val="single" w:sz="8" w:color="AFAFAF"/>
            </w:tcBorders>
          </w:tcPr>
          <w:p>
            <w:pPr>
              <w:jc w:val="center"/>
              <w:ind w:left="61"/>
              <w:spacing w:after="0" w:line="179" w:lineRule="exact"/>
              <w:rPr>
                <w:sz w:val="20"/>
                <w:szCs w:val="20"/>
                <w:color w:val="auto"/>
              </w:rPr>
            </w:pPr>
            <w:r>
              <w:rPr>
                <w:rFonts w:ascii="Arial" w:cs="Arial" w:eastAsia="Arial" w:hAnsi="Arial"/>
                <w:sz w:val="16"/>
                <w:szCs w:val="16"/>
                <w:color w:val="auto"/>
              </w:rPr>
              <w:t>Poland</w:t>
            </w:r>
          </w:p>
        </w:tc>
        <w:tc>
          <w:tcPr>
            <w:tcW w:w="3460" w:type="dxa"/>
            <w:vAlign w:val="bottom"/>
            <w:tcBorders>
              <w:bottom w:val="single" w:sz="8" w:color="AFAFAF"/>
            </w:tcBorders>
          </w:tcPr>
          <w:p>
            <w:pPr>
              <w:jc w:val="center"/>
              <w:ind w:left="61"/>
              <w:spacing w:after="0" w:line="179" w:lineRule="exact"/>
              <w:rPr>
                <w:sz w:val="20"/>
                <w:szCs w:val="20"/>
                <w:color w:val="auto"/>
              </w:rPr>
            </w:pPr>
            <w:r>
              <w:rPr>
                <w:rFonts w:ascii="Arial" w:cs="Arial" w:eastAsia="Arial" w:hAnsi="Arial"/>
                <w:sz w:val="16"/>
                <w:szCs w:val="16"/>
                <w:color w:val="auto"/>
              </w:rPr>
              <w:t>2020</w:t>
            </w:r>
          </w:p>
        </w:tc>
      </w:tr>
      <w:tr>
        <w:trPr>
          <w:trHeight w:val="179"/>
        </w:trPr>
        <w:tc>
          <w:tcPr>
            <w:tcW w:w="37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b w:val="1"/>
                <w:bCs w:val="1"/>
                <w:color w:val="auto"/>
              </w:rPr>
              <w:t>  Anne Bouverot</w:t>
            </w:r>
          </w:p>
        </w:tc>
        <w:tc>
          <w:tcPr>
            <w:tcW w:w="3560" w:type="dxa"/>
            <w:vAlign w:val="bottom"/>
            <w:tcBorders>
              <w:bottom w:val="single" w:sz="8" w:color="AFAFAF"/>
            </w:tcBorders>
          </w:tcPr>
          <w:p>
            <w:pPr>
              <w:jc w:val="center"/>
              <w:ind w:left="61"/>
              <w:spacing w:after="0" w:line="179" w:lineRule="exact"/>
              <w:rPr>
                <w:sz w:val="20"/>
                <w:szCs w:val="20"/>
                <w:color w:val="auto"/>
              </w:rPr>
            </w:pPr>
            <w:r>
              <w:rPr>
                <w:rFonts w:ascii="Arial" w:cs="Arial" w:eastAsia="Arial" w:hAnsi="Arial"/>
                <w:sz w:val="16"/>
                <w:szCs w:val="16"/>
                <w:color w:val="auto"/>
              </w:rPr>
              <w:t>France</w:t>
            </w:r>
          </w:p>
        </w:tc>
        <w:tc>
          <w:tcPr>
            <w:tcW w:w="3460" w:type="dxa"/>
            <w:vAlign w:val="bottom"/>
            <w:tcBorders>
              <w:bottom w:val="single" w:sz="8" w:color="AFAFAF"/>
            </w:tcBorders>
          </w:tcPr>
          <w:p>
            <w:pPr>
              <w:jc w:val="center"/>
              <w:ind w:left="61"/>
              <w:spacing w:after="0" w:line="179" w:lineRule="exact"/>
              <w:rPr>
                <w:sz w:val="20"/>
                <w:szCs w:val="20"/>
                <w:color w:val="auto"/>
              </w:rPr>
            </w:pPr>
            <w:r>
              <w:rPr>
                <w:rFonts w:ascii="Arial" w:cs="Arial" w:eastAsia="Arial" w:hAnsi="Arial"/>
                <w:sz w:val="16"/>
                <w:szCs w:val="16"/>
                <w:color w:val="auto"/>
              </w:rPr>
              <w:t>2021</w:t>
            </w:r>
          </w:p>
        </w:tc>
      </w:tr>
      <w:tr>
        <w:trPr>
          <w:trHeight w:val="179"/>
        </w:trPr>
        <w:tc>
          <w:tcPr>
            <w:tcW w:w="37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b w:val="1"/>
                <w:bCs w:val="1"/>
                <w:color w:val="auto"/>
              </w:rPr>
              <w:t>  Aiko Doden</w:t>
            </w:r>
          </w:p>
        </w:tc>
        <w:tc>
          <w:tcPr>
            <w:tcW w:w="3560" w:type="dxa"/>
            <w:vAlign w:val="bottom"/>
            <w:tcBorders>
              <w:bottom w:val="single" w:sz="8" w:color="AFAFAF"/>
            </w:tcBorders>
          </w:tcPr>
          <w:p>
            <w:pPr>
              <w:jc w:val="center"/>
              <w:ind w:left="81"/>
              <w:spacing w:after="0" w:line="179" w:lineRule="exact"/>
              <w:rPr>
                <w:sz w:val="20"/>
                <w:szCs w:val="20"/>
                <w:color w:val="auto"/>
              </w:rPr>
            </w:pPr>
            <w:r>
              <w:rPr>
                <w:rFonts w:ascii="Arial" w:cs="Arial" w:eastAsia="Arial" w:hAnsi="Arial"/>
                <w:sz w:val="16"/>
                <w:szCs w:val="16"/>
                <w:color w:val="auto"/>
              </w:rPr>
              <w:t>Japan</w:t>
            </w:r>
          </w:p>
        </w:tc>
        <w:tc>
          <w:tcPr>
            <w:tcW w:w="3460" w:type="dxa"/>
            <w:vAlign w:val="bottom"/>
            <w:tcBorders>
              <w:bottom w:val="single" w:sz="8" w:color="AFAFAF"/>
            </w:tcBorders>
          </w:tcPr>
          <w:p>
            <w:pPr>
              <w:jc w:val="center"/>
              <w:ind w:left="61"/>
              <w:spacing w:after="0" w:line="179" w:lineRule="exact"/>
              <w:rPr>
                <w:sz w:val="20"/>
                <w:szCs w:val="20"/>
                <w:color w:val="auto"/>
              </w:rPr>
            </w:pPr>
            <w:r>
              <w:rPr>
                <w:rFonts w:ascii="Arial" w:cs="Arial" w:eastAsia="Arial" w:hAnsi="Arial"/>
                <w:sz w:val="16"/>
                <w:szCs w:val="16"/>
                <w:color w:val="auto"/>
              </w:rPr>
              <w:t>2021</w:t>
            </w:r>
          </w:p>
        </w:tc>
      </w:tr>
      <w:tr>
        <w:trPr>
          <w:trHeight w:val="179"/>
        </w:trPr>
        <w:tc>
          <w:tcPr>
            <w:tcW w:w="37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b w:val="1"/>
                <w:bCs w:val="1"/>
                <w:color w:val="auto"/>
              </w:rPr>
              <w:t>  Murilo Portugal</w:t>
            </w:r>
          </w:p>
        </w:tc>
        <w:tc>
          <w:tcPr>
            <w:tcW w:w="3560" w:type="dxa"/>
            <w:vAlign w:val="bottom"/>
            <w:tcBorders>
              <w:bottom w:val="single" w:sz="8" w:color="AFAFAF"/>
            </w:tcBorders>
          </w:tcPr>
          <w:p>
            <w:pPr>
              <w:jc w:val="center"/>
              <w:ind w:left="81"/>
              <w:spacing w:after="0" w:line="179" w:lineRule="exact"/>
              <w:rPr>
                <w:sz w:val="20"/>
                <w:szCs w:val="20"/>
                <w:color w:val="auto"/>
              </w:rPr>
            </w:pPr>
            <w:r>
              <w:rPr>
                <w:rFonts w:ascii="Arial" w:cs="Arial" w:eastAsia="Arial" w:hAnsi="Arial"/>
                <w:sz w:val="16"/>
                <w:szCs w:val="16"/>
                <w:color w:val="auto"/>
                <w:w w:val="99"/>
              </w:rPr>
              <w:t>Brazil</w:t>
            </w:r>
          </w:p>
        </w:tc>
        <w:tc>
          <w:tcPr>
            <w:tcW w:w="3460" w:type="dxa"/>
            <w:vAlign w:val="bottom"/>
            <w:tcBorders>
              <w:bottom w:val="single" w:sz="8" w:color="AFAFAF"/>
            </w:tcBorders>
          </w:tcPr>
          <w:p>
            <w:pPr>
              <w:jc w:val="center"/>
              <w:ind w:left="61"/>
              <w:spacing w:after="0" w:line="179" w:lineRule="exact"/>
              <w:rPr>
                <w:sz w:val="20"/>
                <w:szCs w:val="20"/>
                <w:color w:val="auto"/>
              </w:rPr>
            </w:pPr>
            <w:r>
              <w:rPr>
                <w:rFonts w:ascii="Arial" w:cs="Arial" w:eastAsia="Arial" w:hAnsi="Arial"/>
                <w:sz w:val="16"/>
                <w:szCs w:val="16"/>
                <w:color w:val="auto"/>
              </w:rPr>
              <w:t>2022</w:t>
            </w:r>
          </w:p>
        </w:tc>
      </w:tr>
      <w:tr>
        <w:trPr>
          <w:trHeight w:val="179"/>
        </w:trPr>
        <w:tc>
          <w:tcPr>
            <w:tcW w:w="37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b w:val="1"/>
                <w:bCs w:val="1"/>
                <w:color w:val="auto"/>
              </w:rPr>
              <w:t>  Nikiwe Bikitsha</w:t>
            </w:r>
          </w:p>
        </w:tc>
        <w:tc>
          <w:tcPr>
            <w:tcW w:w="3560" w:type="dxa"/>
            <w:vAlign w:val="bottom"/>
            <w:tcBorders>
              <w:bottom w:val="single" w:sz="8" w:color="AFAFAF"/>
            </w:tcBorders>
          </w:tcPr>
          <w:p>
            <w:pPr>
              <w:jc w:val="center"/>
              <w:ind w:left="61"/>
              <w:spacing w:after="0" w:line="179" w:lineRule="exact"/>
              <w:rPr>
                <w:sz w:val="20"/>
                <w:szCs w:val="20"/>
                <w:color w:val="auto"/>
              </w:rPr>
            </w:pPr>
            <w:r>
              <w:rPr>
                <w:rFonts w:ascii="Arial" w:cs="Arial" w:eastAsia="Arial" w:hAnsi="Arial"/>
                <w:sz w:val="16"/>
                <w:szCs w:val="16"/>
                <w:color w:val="auto"/>
                <w:w w:val="98"/>
              </w:rPr>
              <w:t>South Africa</w:t>
            </w:r>
          </w:p>
        </w:tc>
        <w:tc>
          <w:tcPr>
            <w:tcW w:w="3460" w:type="dxa"/>
            <w:vAlign w:val="bottom"/>
            <w:tcBorders>
              <w:bottom w:val="single" w:sz="8" w:color="AFAFAF"/>
            </w:tcBorders>
          </w:tcPr>
          <w:p>
            <w:pPr>
              <w:jc w:val="center"/>
              <w:ind w:left="61"/>
              <w:spacing w:after="0" w:line="179" w:lineRule="exact"/>
              <w:rPr>
                <w:sz w:val="20"/>
                <w:szCs w:val="20"/>
                <w:color w:val="auto"/>
              </w:rPr>
            </w:pPr>
            <w:r>
              <w:rPr>
                <w:rFonts w:ascii="Arial" w:cs="Arial" w:eastAsia="Arial" w:hAnsi="Arial"/>
                <w:sz w:val="16"/>
                <w:szCs w:val="16"/>
                <w:color w:val="auto"/>
              </w:rPr>
              <w:t>2023</w:t>
            </w:r>
          </w:p>
        </w:tc>
      </w:tr>
      <w:tr>
        <w:trPr>
          <w:trHeight w:val="179"/>
        </w:trPr>
        <w:tc>
          <w:tcPr>
            <w:tcW w:w="37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b w:val="1"/>
                <w:bCs w:val="1"/>
                <w:color w:val="auto"/>
              </w:rPr>
              <w:t>  Yuen Yuen Ang</w:t>
            </w:r>
          </w:p>
        </w:tc>
        <w:tc>
          <w:tcPr>
            <w:tcW w:w="3560" w:type="dxa"/>
            <w:vAlign w:val="bottom"/>
            <w:tcBorders>
              <w:bottom w:val="single" w:sz="8" w:color="AFAFAF"/>
            </w:tcBorders>
          </w:tcPr>
          <w:p>
            <w:pPr>
              <w:jc w:val="center"/>
              <w:ind w:left="81"/>
              <w:spacing w:after="0" w:line="179" w:lineRule="exact"/>
              <w:rPr>
                <w:sz w:val="20"/>
                <w:szCs w:val="20"/>
                <w:color w:val="auto"/>
              </w:rPr>
            </w:pPr>
            <w:r>
              <w:rPr>
                <w:rFonts w:ascii="Arial" w:cs="Arial" w:eastAsia="Arial" w:hAnsi="Arial"/>
                <w:sz w:val="16"/>
                <w:szCs w:val="16"/>
                <w:color w:val="auto"/>
              </w:rPr>
              <w:t>U.S.</w:t>
            </w:r>
          </w:p>
        </w:tc>
        <w:tc>
          <w:tcPr>
            <w:tcW w:w="3460" w:type="dxa"/>
            <w:vAlign w:val="bottom"/>
            <w:tcBorders>
              <w:bottom w:val="single" w:sz="8" w:color="AFAFAF"/>
            </w:tcBorders>
          </w:tcPr>
          <w:p>
            <w:pPr>
              <w:jc w:val="center"/>
              <w:ind w:left="61"/>
              <w:spacing w:after="0" w:line="179" w:lineRule="exact"/>
              <w:rPr>
                <w:sz w:val="20"/>
                <w:szCs w:val="20"/>
                <w:color w:val="auto"/>
              </w:rPr>
            </w:pPr>
            <w:r>
              <w:rPr>
                <w:rFonts w:ascii="Arial" w:cs="Arial" w:eastAsia="Arial" w:hAnsi="Arial"/>
                <w:sz w:val="16"/>
                <w:szCs w:val="16"/>
                <w:color w:val="auto"/>
              </w:rPr>
              <w:t>2023</w:t>
            </w:r>
          </w:p>
        </w:tc>
      </w:tr>
      <w:tr>
        <w:trPr>
          <w:trHeight w:val="179"/>
        </w:trPr>
        <w:tc>
          <w:tcPr>
            <w:tcW w:w="37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b w:val="1"/>
                <w:bCs w:val="1"/>
                <w:color w:val="auto"/>
              </w:rPr>
              <w:t>  Stephen Toope</w:t>
            </w:r>
          </w:p>
        </w:tc>
        <w:tc>
          <w:tcPr>
            <w:tcW w:w="3560" w:type="dxa"/>
            <w:vAlign w:val="bottom"/>
            <w:tcBorders>
              <w:bottom w:val="single" w:sz="8" w:color="AFAFAF"/>
            </w:tcBorders>
          </w:tcPr>
          <w:p>
            <w:pPr>
              <w:jc w:val="center"/>
              <w:ind w:left="81"/>
              <w:spacing w:after="0" w:line="179" w:lineRule="exact"/>
              <w:rPr>
                <w:sz w:val="20"/>
                <w:szCs w:val="20"/>
                <w:color w:val="auto"/>
              </w:rPr>
            </w:pPr>
            <w:r>
              <w:rPr>
                <w:rFonts w:ascii="Arial" w:cs="Arial" w:eastAsia="Arial" w:hAnsi="Arial"/>
                <w:sz w:val="16"/>
                <w:szCs w:val="16"/>
                <w:color w:val="auto"/>
                <w:w w:val="99"/>
              </w:rPr>
              <w:t>Canada</w:t>
            </w:r>
          </w:p>
        </w:tc>
        <w:tc>
          <w:tcPr>
            <w:tcW w:w="3460" w:type="dxa"/>
            <w:vAlign w:val="bottom"/>
            <w:tcBorders>
              <w:bottom w:val="single" w:sz="8" w:color="AFAFAF"/>
            </w:tcBorders>
          </w:tcPr>
          <w:p>
            <w:pPr>
              <w:jc w:val="center"/>
              <w:ind w:left="61"/>
              <w:spacing w:after="0" w:line="179" w:lineRule="exact"/>
              <w:rPr>
                <w:sz w:val="20"/>
                <w:szCs w:val="20"/>
                <w:color w:val="auto"/>
              </w:rPr>
            </w:pPr>
            <w:r>
              <w:rPr>
                <w:rFonts w:ascii="Arial" w:cs="Arial" w:eastAsia="Arial" w:hAnsi="Arial"/>
                <w:sz w:val="16"/>
                <w:szCs w:val="16"/>
                <w:color w:val="auto"/>
              </w:rPr>
              <w:t>2024</w:t>
            </w:r>
          </w:p>
        </w:tc>
      </w:tr>
      <w:tr>
        <w:trPr>
          <w:trHeight w:val="179"/>
        </w:trPr>
        <w:tc>
          <w:tcPr>
            <w:tcW w:w="37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b w:val="1"/>
                <w:bCs w:val="1"/>
                <w:color w:val="auto"/>
              </w:rPr>
              <w:t>  Naushad Forbes</w:t>
            </w:r>
          </w:p>
        </w:tc>
        <w:tc>
          <w:tcPr>
            <w:tcW w:w="3560" w:type="dxa"/>
            <w:vAlign w:val="bottom"/>
            <w:tcBorders>
              <w:bottom w:val="single" w:sz="8" w:color="AFAFAF"/>
            </w:tcBorders>
          </w:tcPr>
          <w:p>
            <w:pPr>
              <w:jc w:val="center"/>
              <w:ind w:left="61"/>
              <w:spacing w:after="0" w:line="179" w:lineRule="exact"/>
              <w:rPr>
                <w:sz w:val="20"/>
                <w:szCs w:val="20"/>
                <w:color w:val="auto"/>
              </w:rPr>
            </w:pPr>
            <w:r>
              <w:rPr>
                <w:rFonts w:ascii="Arial" w:cs="Arial" w:eastAsia="Arial" w:hAnsi="Arial"/>
                <w:sz w:val="16"/>
                <w:szCs w:val="16"/>
                <w:color w:val="auto"/>
                <w:w w:val="97"/>
              </w:rPr>
              <w:t>India</w:t>
            </w:r>
          </w:p>
        </w:tc>
        <w:tc>
          <w:tcPr>
            <w:tcW w:w="3460" w:type="dxa"/>
            <w:vAlign w:val="bottom"/>
            <w:tcBorders>
              <w:bottom w:val="single" w:sz="8" w:color="AFAFAF"/>
            </w:tcBorders>
          </w:tcPr>
          <w:p>
            <w:pPr>
              <w:jc w:val="center"/>
              <w:ind w:left="61"/>
              <w:spacing w:after="0" w:line="179" w:lineRule="exact"/>
              <w:rPr>
                <w:sz w:val="20"/>
                <w:szCs w:val="20"/>
                <w:color w:val="auto"/>
              </w:rPr>
            </w:pPr>
            <w:r>
              <w:rPr>
                <w:rFonts w:ascii="Arial" w:cs="Arial" w:eastAsia="Arial" w:hAnsi="Arial"/>
                <w:sz w:val="16"/>
                <w:szCs w:val="16"/>
                <w:color w:val="auto"/>
              </w:rPr>
              <w:t>2024</w:t>
            </w:r>
          </w:p>
        </w:tc>
      </w:tr>
      <w:tr>
        <w:trPr>
          <w:trHeight w:val="179"/>
        </w:trPr>
        <w:tc>
          <w:tcPr>
            <w:tcW w:w="37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b w:val="1"/>
                <w:bCs w:val="1"/>
                <w:color w:val="auto"/>
              </w:rPr>
              <w:t>  Michael Froman</w:t>
            </w:r>
          </w:p>
        </w:tc>
        <w:tc>
          <w:tcPr>
            <w:tcW w:w="3560" w:type="dxa"/>
            <w:vAlign w:val="bottom"/>
            <w:tcBorders>
              <w:bottom w:val="single" w:sz="8" w:color="AFAFAF"/>
            </w:tcBorders>
          </w:tcPr>
          <w:p>
            <w:pPr>
              <w:jc w:val="center"/>
              <w:ind w:left="81"/>
              <w:spacing w:after="0" w:line="179" w:lineRule="exact"/>
              <w:rPr>
                <w:sz w:val="20"/>
                <w:szCs w:val="20"/>
                <w:color w:val="auto"/>
              </w:rPr>
            </w:pPr>
            <w:r>
              <w:rPr>
                <w:rFonts w:ascii="Arial" w:cs="Arial" w:eastAsia="Arial" w:hAnsi="Arial"/>
                <w:sz w:val="16"/>
                <w:szCs w:val="16"/>
                <w:color w:val="auto"/>
              </w:rPr>
              <w:t>U.S.</w:t>
            </w:r>
          </w:p>
        </w:tc>
        <w:tc>
          <w:tcPr>
            <w:tcW w:w="3460" w:type="dxa"/>
            <w:vAlign w:val="bottom"/>
            <w:tcBorders>
              <w:bottom w:val="single" w:sz="8" w:color="AFAFAF"/>
            </w:tcBorders>
          </w:tcPr>
          <w:p>
            <w:pPr>
              <w:jc w:val="center"/>
              <w:ind w:left="61"/>
              <w:spacing w:after="0" w:line="179" w:lineRule="exact"/>
              <w:rPr>
                <w:sz w:val="20"/>
                <w:szCs w:val="20"/>
                <w:color w:val="auto"/>
              </w:rPr>
            </w:pPr>
            <w:r>
              <w:rPr>
                <w:rFonts w:ascii="Arial" w:cs="Arial" w:eastAsia="Arial" w:hAnsi="Arial"/>
                <w:sz w:val="16"/>
                <w:szCs w:val="16"/>
                <w:color w:val="auto"/>
              </w:rPr>
              <w:t>2024</w:t>
            </w:r>
          </w:p>
        </w:tc>
      </w:tr>
      <w:tr>
        <w:trPr>
          <w:trHeight w:val="179"/>
        </w:trPr>
        <w:tc>
          <w:tcPr>
            <w:tcW w:w="37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b w:val="1"/>
                <w:bCs w:val="1"/>
                <w:color w:val="auto"/>
              </w:rPr>
              <w:t>  Ann Marie Lipinski</w:t>
            </w:r>
          </w:p>
        </w:tc>
        <w:tc>
          <w:tcPr>
            <w:tcW w:w="3560" w:type="dxa"/>
            <w:vAlign w:val="bottom"/>
            <w:tcBorders>
              <w:bottom w:val="single" w:sz="8" w:color="AFAFAF"/>
            </w:tcBorders>
          </w:tcPr>
          <w:p>
            <w:pPr>
              <w:jc w:val="center"/>
              <w:ind w:left="81"/>
              <w:spacing w:after="0" w:line="179" w:lineRule="exact"/>
              <w:rPr>
                <w:sz w:val="20"/>
                <w:szCs w:val="20"/>
                <w:color w:val="auto"/>
              </w:rPr>
            </w:pPr>
            <w:r>
              <w:rPr>
                <w:rFonts w:ascii="Arial" w:cs="Arial" w:eastAsia="Arial" w:hAnsi="Arial"/>
                <w:sz w:val="16"/>
                <w:szCs w:val="16"/>
                <w:color w:val="auto"/>
              </w:rPr>
              <w:t>U.S.</w:t>
            </w:r>
          </w:p>
        </w:tc>
        <w:tc>
          <w:tcPr>
            <w:tcW w:w="3460" w:type="dxa"/>
            <w:vAlign w:val="bottom"/>
            <w:tcBorders>
              <w:bottom w:val="single" w:sz="8" w:color="AFAFAF"/>
            </w:tcBorders>
          </w:tcPr>
          <w:p>
            <w:pPr>
              <w:jc w:val="center"/>
              <w:ind w:left="61"/>
              <w:spacing w:after="0" w:line="179" w:lineRule="exact"/>
              <w:rPr>
                <w:sz w:val="20"/>
                <w:szCs w:val="20"/>
                <w:color w:val="auto"/>
              </w:rPr>
            </w:pPr>
            <w:r>
              <w:rPr>
                <w:rFonts w:ascii="Arial" w:cs="Arial" w:eastAsia="Arial" w:hAnsi="Arial"/>
                <w:sz w:val="16"/>
                <w:szCs w:val="16"/>
                <w:color w:val="auto"/>
              </w:rPr>
              <w:t>2024</w:t>
            </w:r>
          </w:p>
        </w:tc>
      </w:tr>
      <w:tr>
        <w:trPr>
          <w:trHeight w:val="179"/>
        </w:trPr>
        <w:tc>
          <w:tcPr>
            <w:tcW w:w="37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b w:val="1"/>
                <w:bCs w:val="1"/>
                <w:color w:val="auto"/>
              </w:rPr>
              <w:t>  Sharmila Nebhrajani</w:t>
            </w:r>
          </w:p>
        </w:tc>
        <w:tc>
          <w:tcPr>
            <w:tcW w:w="3560" w:type="dxa"/>
            <w:vAlign w:val="bottom"/>
            <w:tcBorders>
              <w:bottom w:val="single" w:sz="8" w:color="AFAFAF"/>
            </w:tcBorders>
          </w:tcPr>
          <w:p>
            <w:pPr>
              <w:jc w:val="center"/>
              <w:ind w:left="81"/>
              <w:spacing w:after="0" w:line="179" w:lineRule="exact"/>
              <w:rPr>
                <w:sz w:val="20"/>
                <w:szCs w:val="20"/>
                <w:color w:val="auto"/>
              </w:rPr>
            </w:pPr>
            <w:r>
              <w:rPr>
                <w:rFonts w:ascii="Arial" w:cs="Arial" w:eastAsia="Arial" w:hAnsi="Arial"/>
                <w:sz w:val="16"/>
                <w:szCs w:val="16"/>
                <w:color w:val="auto"/>
              </w:rPr>
              <w:t>U.K.</w:t>
            </w:r>
          </w:p>
        </w:tc>
        <w:tc>
          <w:tcPr>
            <w:tcW w:w="3460" w:type="dxa"/>
            <w:vAlign w:val="bottom"/>
            <w:tcBorders>
              <w:bottom w:val="single" w:sz="8" w:color="AFAFAF"/>
            </w:tcBorders>
          </w:tcPr>
          <w:p>
            <w:pPr>
              <w:jc w:val="center"/>
              <w:ind w:left="61"/>
              <w:spacing w:after="0" w:line="179" w:lineRule="exact"/>
              <w:rPr>
                <w:sz w:val="20"/>
                <w:szCs w:val="20"/>
                <w:color w:val="auto"/>
              </w:rPr>
            </w:pPr>
            <w:r>
              <w:rPr>
                <w:rFonts w:ascii="Arial" w:cs="Arial" w:eastAsia="Arial" w:hAnsi="Arial"/>
                <w:sz w:val="16"/>
                <w:szCs w:val="16"/>
                <w:color w:val="auto"/>
              </w:rPr>
              <w:t>2024</w:t>
            </w:r>
          </w:p>
        </w:tc>
      </w:tr>
      <w:tr>
        <w:trPr>
          <w:trHeight w:val="179"/>
        </w:trPr>
        <w:tc>
          <w:tcPr>
            <w:tcW w:w="37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b w:val="1"/>
                <w:bCs w:val="1"/>
                <w:color w:val="auto"/>
              </w:rPr>
              <w:t>  Tim Gardam</w:t>
            </w:r>
          </w:p>
        </w:tc>
        <w:tc>
          <w:tcPr>
            <w:tcW w:w="3560" w:type="dxa"/>
            <w:vAlign w:val="bottom"/>
            <w:tcBorders>
              <w:bottom w:val="single" w:sz="8" w:color="AFAFAF"/>
            </w:tcBorders>
          </w:tcPr>
          <w:p>
            <w:pPr>
              <w:jc w:val="center"/>
              <w:ind w:left="81"/>
              <w:spacing w:after="0" w:line="179" w:lineRule="exact"/>
              <w:rPr>
                <w:sz w:val="20"/>
                <w:szCs w:val="20"/>
                <w:color w:val="auto"/>
              </w:rPr>
            </w:pPr>
            <w:r>
              <w:rPr>
                <w:rFonts w:ascii="Arial" w:cs="Arial" w:eastAsia="Arial" w:hAnsi="Arial"/>
                <w:sz w:val="16"/>
                <w:szCs w:val="16"/>
                <w:color w:val="auto"/>
              </w:rPr>
              <w:t>U.K.</w:t>
            </w:r>
          </w:p>
        </w:tc>
        <w:tc>
          <w:tcPr>
            <w:tcW w:w="3460" w:type="dxa"/>
            <w:vAlign w:val="bottom"/>
            <w:tcBorders>
              <w:bottom w:val="single" w:sz="8" w:color="AFAFAF"/>
            </w:tcBorders>
          </w:tcPr>
          <w:p>
            <w:pPr>
              <w:jc w:val="center"/>
              <w:ind w:left="61"/>
              <w:spacing w:after="0" w:line="179" w:lineRule="exact"/>
              <w:rPr>
                <w:sz w:val="20"/>
                <w:szCs w:val="20"/>
                <w:color w:val="auto"/>
              </w:rPr>
            </w:pPr>
            <w:r>
              <w:rPr>
                <w:rFonts w:ascii="Arial" w:cs="Arial" w:eastAsia="Arial" w:hAnsi="Arial"/>
                <w:sz w:val="16"/>
                <w:szCs w:val="16"/>
                <w:color w:val="auto"/>
              </w:rPr>
              <w:t>2024</w:t>
            </w:r>
          </w:p>
        </w:tc>
      </w:tr>
      <w:tr>
        <w:trPr>
          <w:trHeight w:val="179"/>
        </w:trPr>
        <w:tc>
          <w:tcPr>
            <w:tcW w:w="37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b w:val="1"/>
                <w:bCs w:val="1"/>
                <w:color w:val="auto"/>
              </w:rPr>
              <w:t>  Aidan Eyakuze</w:t>
            </w:r>
          </w:p>
        </w:tc>
        <w:tc>
          <w:tcPr>
            <w:tcW w:w="3560" w:type="dxa"/>
            <w:vAlign w:val="bottom"/>
            <w:tcBorders>
              <w:bottom w:val="single" w:sz="8" w:color="AFAFAF"/>
            </w:tcBorders>
          </w:tcPr>
          <w:p>
            <w:pPr>
              <w:jc w:val="center"/>
              <w:ind w:left="81"/>
              <w:spacing w:after="0" w:line="179" w:lineRule="exact"/>
              <w:rPr>
                <w:sz w:val="20"/>
                <w:szCs w:val="20"/>
                <w:color w:val="auto"/>
              </w:rPr>
            </w:pPr>
            <w:r>
              <w:rPr>
                <w:rFonts w:ascii="Arial" w:cs="Arial" w:eastAsia="Arial" w:hAnsi="Arial"/>
                <w:sz w:val="16"/>
                <w:szCs w:val="16"/>
                <w:color w:val="auto"/>
                <w:w w:val="97"/>
              </w:rPr>
              <w:t>Tanzania</w:t>
            </w:r>
          </w:p>
        </w:tc>
        <w:tc>
          <w:tcPr>
            <w:tcW w:w="3460" w:type="dxa"/>
            <w:vAlign w:val="bottom"/>
            <w:tcBorders>
              <w:bottom w:val="single" w:sz="8" w:color="AFAFAF"/>
            </w:tcBorders>
          </w:tcPr>
          <w:p>
            <w:pPr>
              <w:jc w:val="center"/>
              <w:ind w:left="61"/>
              <w:spacing w:after="0" w:line="179" w:lineRule="exact"/>
              <w:rPr>
                <w:sz w:val="20"/>
                <w:szCs w:val="20"/>
                <w:color w:val="auto"/>
              </w:rPr>
            </w:pPr>
            <w:r>
              <w:rPr>
                <w:rFonts w:ascii="Arial" w:cs="Arial" w:eastAsia="Arial" w:hAnsi="Arial"/>
                <w:sz w:val="16"/>
                <w:szCs w:val="16"/>
                <w:color w:val="auto"/>
              </w:rPr>
              <w:t>2025</w:t>
            </w:r>
          </w:p>
        </w:tc>
      </w:tr>
    </w:tbl>
    <w:p>
      <w:pPr>
        <w:spacing w:after="0" w:line="71" w:lineRule="exact"/>
        <w:rPr>
          <w:sz w:val="20"/>
          <w:szCs w:val="20"/>
          <w:color w:val="auto"/>
        </w:rPr>
      </w:pPr>
    </w:p>
    <w:p>
      <w:pPr>
        <w:ind w:left="220" w:right="20"/>
        <w:spacing w:after="0" w:line="251" w:lineRule="auto"/>
        <w:rPr>
          <w:sz w:val="20"/>
          <w:szCs w:val="20"/>
          <w:color w:val="auto"/>
        </w:rPr>
      </w:pPr>
      <w:r>
        <w:rPr>
          <w:rFonts w:ascii="Arial" w:cs="Arial" w:eastAsia="Arial" w:hAnsi="Arial"/>
          <w:sz w:val="16"/>
          <w:szCs w:val="16"/>
          <w:color w:val="auto"/>
        </w:rPr>
        <w:t>Directors are appointed for an initial term of three years and must retire on December 31 following the third anniversary of appointment. Those directors are eligible for re-appointment for additional terms of three years, subject to a maximum term of nine years. Further, where a director has served three terms and was due to retire on or prior to December 31, 2024, the other directors had the right to, by way of a one-off exception where they deem the relevant circumstances to be of an exceptional nature, approve (acting by a majority) the extension of such director’s third term of appointment for a period of 12 months. Prior to December 31, 2024, the directors of Thomson Reuters Founders Share Company approved an exception to the foregoing to permit an extension to Kim Williams’ term for an additional 12 months ending on December 31, 2025.</w:t>
      </w:r>
    </w:p>
    <w:p>
      <w:pPr>
        <w:spacing w:after="0" w:line="51" w:lineRule="exact"/>
        <w:rPr>
          <w:sz w:val="20"/>
          <w:szCs w:val="20"/>
          <w:color w:val="auto"/>
        </w:rPr>
      </w:pPr>
    </w:p>
    <w:p>
      <w:pPr>
        <w:ind w:left="220" w:right="20"/>
        <w:spacing w:after="0" w:line="243" w:lineRule="auto"/>
        <w:rPr>
          <w:sz w:val="20"/>
          <w:szCs w:val="20"/>
          <w:color w:val="auto"/>
        </w:rPr>
      </w:pPr>
      <w:r>
        <w:rPr>
          <w:rFonts w:ascii="Arial" w:cs="Arial" w:eastAsia="Arial" w:hAnsi="Arial"/>
          <w:sz w:val="17"/>
          <w:szCs w:val="17"/>
          <w:color w:val="auto"/>
        </w:rPr>
        <w:t>Our company is a party to a Deed of Mutual Covenant, under which Thomson Reuters and the Thomson Reuters Founders Share Company have covenanted with press associations from the United Kingdom and Australia to use their best endeavors to ensure that the Trust Principles are complied with in relation to Thomson Reuters.</w:t>
      </w:r>
    </w:p>
    <w:p>
      <w:pPr>
        <w:spacing w:after="0" w:line="42" w:lineRule="exact"/>
        <w:rPr>
          <w:sz w:val="20"/>
          <w:szCs w:val="20"/>
          <w:color w:val="auto"/>
        </w:rPr>
      </w:pPr>
    </w:p>
    <w:p>
      <w:pPr>
        <w:jc w:val="both"/>
        <w:ind w:left="220" w:right="100"/>
        <w:spacing w:after="0" w:line="266" w:lineRule="auto"/>
        <w:rPr>
          <w:sz w:val="20"/>
          <w:szCs w:val="20"/>
          <w:color w:val="auto"/>
        </w:rPr>
      </w:pPr>
      <w:r>
        <w:rPr>
          <w:rFonts w:ascii="Arial" w:cs="Arial" w:eastAsia="Arial" w:hAnsi="Arial"/>
          <w:sz w:val="16"/>
          <w:szCs w:val="16"/>
          <w:color w:val="auto"/>
        </w:rPr>
        <w:t>Under a Thomson Reuters Trust Principles Support Agreement, Woodbridge has agreed to support the Trust Principles and to exercise its voting rights to give effect to this support and the Thomson Reuters Founders Share Company has irrevocably designated Woodbridge as an approved person for so long as Woodbridge is controlled by members of the Thomson family, companies controlled by them and trusts for their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80010</wp:posOffset>
            </wp:positionV>
            <wp:extent cx="686562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37"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158</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Principal Subsidiaries</w:t>
      </w:r>
    </w:p>
    <w:p>
      <w:pPr>
        <w:spacing w:after="0" w:line="84" w:lineRule="exact"/>
        <w:rPr>
          <w:sz w:val="20"/>
          <w:szCs w:val="20"/>
          <w:color w:val="auto"/>
        </w:rPr>
      </w:pPr>
    </w:p>
    <w:p>
      <w:pPr>
        <w:ind w:left="220" w:right="40"/>
        <w:spacing w:after="0" w:line="236" w:lineRule="auto"/>
        <w:rPr>
          <w:sz w:val="20"/>
          <w:szCs w:val="20"/>
          <w:color w:val="auto"/>
        </w:rPr>
      </w:pPr>
      <w:r>
        <w:rPr>
          <w:rFonts w:ascii="Arial" w:cs="Arial" w:eastAsia="Arial" w:hAnsi="Arial"/>
          <w:sz w:val="17"/>
          <w:szCs w:val="17"/>
          <w:color w:val="auto"/>
        </w:rPr>
        <w:t>The following provides information about our principal subsidiaries as of December 31, 2024. As of that date, we beneficially owned, directly or indirectly, 100% of the voting securities and non-voting securities of each of these subsidiaries. Certain subsidiaries, each of which represents not more than 10% of the consolidated assets and not more than 10% of the consolidated revenues of our company, and all of which, in the aggregate, represent not more than 20% of the total consolidated assets and the total consolidated revenues of our company as of December 31, 2024, have been omitted.</w:t>
      </w:r>
    </w:p>
    <w:p>
      <w:pPr>
        <w:spacing w:after="0" w:line="81" w:lineRule="exact"/>
        <w:rPr>
          <w:sz w:val="20"/>
          <w:szCs w:val="20"/>
          <w:color w:val="auto"/>
        </w:rPr>
      </w:pPr>
    </w:p>
    <w:tbl>
      <w:tblPr>
        <w:tblLayout w:type="fixed"/>
        <w:tblInd w:w="220" w:type="dxa"/>
        <w:tblCellMar>
          <w:top w:w="0" w:type="dxa"/>
          <w:left w:w="0" w:type="dxa"/>
          <w:bottom w:w="0" w:type="dxa"/>
          <w:right w:w="0" w:type="dxa"/>
        </w:tblCellMar>
      </w:tblPr>
      <w:tr>
        <w:trPr>
          <w:trHeight w:val="272"/>
        </w:trPr>
        <w:tc>
          <w:tcPr>
            <w:tcW w:w="440" w:type="dxa"/>
            <w:vAlign w:val="bottom"/>
          </w:tcPr>
          <w:p>
            <w:pPr>
              <w:spacing w:after="0"/>
              <w:rPr>
                <w:sz w:val="23"/>
                <w:szCs w:val="23"/>
                <w:color w:val="auto"/>
              </w:rPr>
            </w:pPr>
          </w:p>
        </w:tc>
        <w:tc>
          <w:tcPr>
            <w:tcW w:w="4980" w:type="dxa"/>
            <w:vAlign w:val="bottom"/>
            <w:tcBorders>
              <w:bottom w:val="single" w:sz="8" w:color="262626"/>
            </w:tcBorders>
            <w:shd w:val="clear" w:color="auto" w:fill="262626"/>
          </w:tcPr>
          <w:p>
            <w:pPr>
              <w:spacing w:after="0"/>
              <w:rPr>
                <w:sz w:val="20"/>
                <w:szCs w:val="20"/>
                <w:color w:val="auto"/>
              </w:rPr>
            </w:pPr>
            <w:r>
              <w:rPr>
                <w:rFonts w:ascii="Arial" w:cs="Arial" w:eastAsia="Arial" w:hAnsi="Arial"/>
                <w:sz w:val="16"/>
                <w:szCs w:val="16"/>
                <w:b w:val="1"/>
                <w:bCs w:val="1"/>
                <w:color w:val="FFFFFF"/>
              </w:rPr>
              <w:t>  Subsidiary</w:t>
            </w:r>
          </w:p>
        </w:tc>
        <w:tc>
          <w:tcPr>
            <w:tcW w:w="4960" w:type="dxa"/>
            <w:vAlign w:val="bottom"/>
            <w:tcBorders>
              <w:bottom w:val="single" w:sz="8" w:color="262626"/>
            </w:tcBorders>
            <w:shd w:val="clear" w:color="auto" w:fill="262626"/>
          </w:tcPr>
          <w:p>
            <w:pPr>
              <w:ind w:left="100"/>
              <w:spacing w:after="0"/>
              <w:rPr>
                <w:sz w:val="20"/>
                <w:szCs w:val="20"/>
                <w:color w:val="auto"/>
              </w:rPr>
            </w:pPr>
            <w:r>
              <w:rPr>
                <w:rFonts w:ascii="Arial" w:cs="Arial" w:eastAsia="Arial" w:hAnsi="Arial"/>
                <w:sz w:val="16"/>
                <w:szCs w:val="16"/>
                <w:b w:val="1"/>
                <w:bCs w:val="1"/>
                <w:color w:val="FFFFFF"/>
              </w:rPr>
              <w:t>Jurisdiction of Incorporation/Formation</w:t>
            </w: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86"/>
        </w:trPr>
        <w:tc>
          <w:tcPr>
            <w:tcW w:w="440" w:type="dxa"/>
            <w:vAlign w:val="bottom"/>
          </w:tcPr>
          <w:p>
            <w:pPr>
              <w:spacing w:after="0"/>
              <w:rPr>
                <w:sz w:val="16"/>
                <w:szCs w:val="16"/>
                <w:color w:val="auto"/>
              </w:rPr>
            </w:pPr>
          </w:p>
        </w:tc>
        <w:tc>
          <w:tcPr>
            <w:tcW w:w="4980" w:type="dxa"/>
            <w:vAlign w:val="bottom"/>
            <w:tcBorders>
              <w:bottom w:val="single" w:sz="8" w:color="AFAFAF"/>
            </w:tcBorders>
          </w:tcPr>
          <w:p>
            <w:pPr>
              <w:spacing w:after="0"/>
              <w:rPr>
                <w:sz w:val="20"/>
                <w:szCs w:val="20"/>
                <w:color w:val="auto"/>
              </w:rPr>
            </w:pPr>
            <w:r>
              <w:rPr>
                <w:rFonts w:ascii="Arial" w:cs="Arial" w:eastAsia="Arial" w:hAnsi="Arial"/>
                <w:sz w:val="16"/>
                <w:szCs w:val="16"/>
                <w:color w:val="auto"/>
              </w:rPr>
              <w:t>  3276838 Nova Scotia Company</w:t>
            </w:r>
          </w:p>
        </w:tc>
        <w:tc>
          <w:tcPr>
            <w:tcW w:w="4960" w:type="dxa"/>
            <w:vAlign w:val="bottom"/>
            <w:tcBorders>
              <w:bottom w:val="single" w:sz="8" w:color="AFAFAF"/>
            </w:tcBorders>
          </w:tcPr>
          <w:p>
            <w:pPr>
              <w:ind w:left="100"/>
              <w:spacing w:after="0"/>
              <w:rPr>
                <w:sz w:val="20"/>
                <w:szCs w:val="20"/>
                <w:color w:val="auto"/>
              </w:rPr>
            </w:pPr>
            <w:r>
              <w:rPr>
                <w:rFonts w:ascii="Arial" w:cs="Arial" w:eastAsia="Arial" w:hAnsi="Arial"/>
                <w:sz w:val="16"/>
                <w:szCs w:val="16"/>
                <w:color w:val="auto"/>
              </w:rPr>
              <w:t>Nova Scotia, Canada</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Bedrijfsbeheer TRA B.V.</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The Netherlands</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Capital Confirmation Inc.</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Delaware, United States</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Casetext, Inc.</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Delaware, United States</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HighQ Solutions Limited</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England</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LiveNote Technologies Limited</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England</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LN Holdings Limited</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Bermuda</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Pagero AB</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Sweden</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Pagero GmbH</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Germany</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Pagero Sverge AB</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Sweden</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Pagero UK Ltd.</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England</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Reuters News &amp; Media Inc.</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Delaware, United States</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Reuters News &amp; Media Limited</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England</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SurePrep, LLC</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Delaware, United States</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Thomson Reuters (Australia) Pty Limited</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Australia</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Thomson Reuters (Legal) Inc.</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Minnesota, United States</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Thomson Reuters (Professional) Australia Limited</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Australia</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Thomson Reuters (Professional) UK Limited</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England</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Thomson Reuters (Tax &amp; Accounting) Inc.</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Texas, United States</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Thomson Reuters (TRI) Inc.</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Delaware, United States</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Thomson Reuters America Corporation</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Delaware, United States</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Thomson Reuters Applications Inc.</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Delaware, United States</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Thomson Reuters Brasil Conteúdo e Tecnologia Ltda</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Brazil</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Thomson Reuters Canada Limited</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Ontario, Canada</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Thomson Reuters Contact Center, S.A. de C.V.</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Mexico</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Thomson Reuters Enterprise Centre GmbH</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Switzerland</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Thomson Reuters Finance S.A.</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Luxembourg</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Thomson Reuters Group Limited</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England</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Thomson Reuters Holdco LLC</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Delaware, United States</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Thomson Reuters Holdings B.V.</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The Netherlands</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Thomson Reuters Holdings Inc.</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Delaware, United States</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Thomson Reuters Holdings S.A.</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Luxembourg</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Thomson Reuters Investment Holdings Limited</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England</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Thomson Reuters MX Servicios, S.A. de C.V.</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Mexico</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Thomson Reuters No. 4 Inc.</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Delaware, United States</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Thomson Reuters No. 5 LLC</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Delaware, United States</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Thomson Reuters No. 8 LLC</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Delaware, United States</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Thomson Reuters U.S. LLC</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Delaware, United States</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TR (2008) Limited</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England</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440" w:type="dxa"/>
            <w:vAlign w:val="bottom"/>
          </w:tcPr>
          <w:p>
            <w:pPr>
              <w:spacing w:after="0"/>
              <w:rPr>
                <w:sz w:val="15"/>
                <w:szCs w:val="15"/>
                <w:color w:val="auto"/>
              </w:rPr>
            </w:pPr>
          </w:p>
        </w:tc>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TR 2023 LLC</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Delaware, United States</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5"/>
        </w:trPr>
        <w:tc>
          <w:tcPr>
            <w:tcW w:w="5420" w:type="dxa"/>
            <w:vAlign w:val="bottom"/>
            <w:tcBorders>
              <w:bottom w:val="single" w:sz="8" w:color="7F7F7F"/>
            </w:tcBorders>
            <w:gridSpan w:val="2"/>
          </w:tcPr>
          <w:p>
            <w:pPr>
              <w:spacing w:after="0"/>
              <w:rPr>
                <w:sz w:val="14"/>
                <w:szCs w:val="14"/>
                <w:color w:val="auto"/>
              </w:rPr>
            </w:pPr>
          </w:p>
        </w:tc>
        <w:tc>
          <w:tcPr>
            <w:tcW w:w="5380" w:type="dxa"/>
            <w:vAlign w:val="bottom"/>
            <w:tcBorders>
              <w:bottom w:val="single" w:sz="8" w:color="7F7F7F"/>
            </w:tcBorders>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28"/>
        </w:trPr>
        <w:tc>
          <w:tcPr>
            <w:tcW w:w="5420" w:type="dxa"/>
            <w:vAlign w:val="bottom"/>
            <w:gridSpan w:val="2"/>
          </w:tcPr>
          <w:p>
            <w:pPr>
              <w:spacing w:after="0"/>
              <w:rPr>
                <w:sz w:val="20"/>
                <w:szCs w:val="20"/>
                <w:color w:val="auto"/>
              </w:rPr>
            </w:pPr>
            <w:r>
              <w:rPr>
                <w:rFonts w:ascii="Arial" w:cs="Arial" w:eastAsia="Arial" w:hAnsi="Arial"/>
                <w:sz w:val="17"/>
                <w:szCs w:val="17"/>
                <w:b w:val="1"/>
                <w:bCs w:val="1"/>
                <w:color w:val="auto"/>
              </w:rPr>
              <w:t>Thomson Reuters Annual Report 2024</w:t>
            </w:r>
          </w:p>
        </w:tc>
        <w:tc>
          <w:tcPr>
            <w:tcW w:w="5400" w:type="dxa"/>
            <w:vAlign w:val="bottom"/>
            <w:gridSpan w:val="3"/>
          </w:tcPr>
          <w:p>
            <w:pPr>
              <w:ind w:left="4680"/>
              <w:spacing w:after="0"/>
              <w:rPr>
                <w:sz w:val="20"/>
                <w:szCs w:val="20"/>
                <w:color w:val="auto"/>
              </w:rPr>
            </w:pPr>
            <w:r>
              <w:rPr>
                <w:rFonts w:ascii="Arial" w:cs="Arial" w:eastAsia="Arial" w:hAnsi="Arial"/>
                <w:sz w:val="17"/>
                <w:szCs w:val="17"/>
                <w:color w:val="auto"/>
                <w:w w:val="96"/>
              </w:rPr>
              <w:t>Page 159</w:t>
            </w:r>
          </w:p>
        </w:tc>
      </w:tr>
    </w:tbl>
    <w:p>
      <w:pPr>
        <w:sectPr>
          <w:pgSz w:w="11900" w:h="16838" w:orient="portrait"/>
          <w:cols w:equalWidth="0" w:num="1">
            <w:col w:w="11040"/>
          </w:cols>
          <w:pgMar w:left="320" w:top="477" w:right="5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30" w:lineRule="exact"/>
        <w:rPr>
          <w:sz w:val="20"/>
          <w:szCs w:val="20"/>
          <w:color w:val="auto"/>
        </w:rPr>
      </w:pPr>
    </w:p>
    <w:tbl>
      <w:tblPr>
        <w:tblLayout w:type="fixed"/>
        <w:tblInd w:w="660" w:type="dxa"/>
        <w:tblCellMar>
          <w:top w:w="0" w:type="dxa"/>
          <w:left w:w="0" w:type="dxa"/>
          <w:bottom w:w="0" w:type="dxa"/>
          <w:right w:w="0" w:type="dxa"/>
        </w:tblCellMar>
      </w:tblPr>
      <w:tr>
        <w:trPr>
          <w:trHeight w:val="272"/>
        </w:trPr>
        <w:tc>
          <w:tcPr>
            <w:tcW w:w="4980" w:type="dxa"/>
            <w:vAlign w:val="bottom"/>
            <w:tcBorders>
              <w:bottom w:val="single" w:sz="8" w:color="262626"/>
            </w:tcBorders>
            <w:shd w:val="clear" w:color="auto" w:fill="262626"/>
          </w:tcPr>
          <w:p>
            <w:pPr>
              <w:spacing w:after="0"/>
              <w:rPr>
                <w:sz w:val="20"/>
                <w:szCs w:val="20"/>
                <w:color w:val="auto"/>
              </w:rPr>
            </w:pPr>
            <w:r>
              <w:rPr>
                <w:rFonts w:ascii="Arial" w:cs="Arial" w:eastAsia="Arial" w:hAnsi="Arial"/>
                <w:sz w:val="16"/>
                <w:szCs w:val="16"/>
                <w:b w:val="1"/>
                <w:bCs w:val="1"/>
                <w:color w:val="FFFFFF"/>
              </w:rPr>
              <w:t>  Subsidiary</w:t>
            </w:r>
          </w:p>
        </w:tc>
        <w:tc>
          <w:tcPr>
            <w:tcW w:w="4960" w:type="dxa"/>
            <w:vAlign w:val="bottom"/>
            <w:tcBorders>
              <w:bottom w:val="single" w:sz="8" w:color="262626"/>
            </w:tcBorders>
            <w:shd w:val="clear" w:color="auto" w:fill="262626"/>
          </w:tcPr>
          <w:p>
            <w:pPr>
              <w:ind w:left="100"/>
              <w:spacing w:after="0"/>
              <w:rPr>
                <w:sz w:val="20"/>
                <w:szCs w:val="20"/>
                <w:color w:val="auto"/>
              </w:rPr>
            </w:pPr>
            <w:r>
              <w:rPr>
                <w:rFonts w:ascii="Arial" w:cs="Arial" w:eastAsia="Arial" w:hAnsi="Arial"/>
                <w:sz w:val="16"/>
                <w:szCs w:val="16"/>
                <w:b w:val="1"/>
                <w:bCs w:val="1"/>
                <w:color w:val="FFFFFF"/>
              </w:rPr>
              <w:t>Jurisdiction of Incorporation/Formation</w:t>
            </w:r>
          </w:p>
        </w:tc>
      </w:tr>
      <w:tr>
        <w:trPr>
          <w:trHeight w:val="186"/>
        </w:trPr>
        <w:tc>
          <w:tcPr>
            <w:tcW w:w="4980" w:type="dxa"/>
            <w:vAlign w:val="bottom"/>
            <w:tcBorders>
              <w:bottom w:val="single" w:sz="8" w:color="AFAFAF"/>
            </w:tcBorders>
          </w:tcPr>
          <w:p>
            <w:pPr>
              <w:spacing w:after="0"/>
              <w:rPr>
                <w:sz w:val="20"/>
                <w:szCs w:val="20"/>
                <w:color w:val="auto"/>
              </w:rPr>
            </w:pPr>
            <w:r>
              <w:rPr>
                <w:rFonts w:ascii="Arial" w:cs="Arial" w:eastAsia="Arial" w:hAnsi="Arial"/>
                <w:sz w:val="16"/>
                <w:szCs w:val="16"/>
                <w:color w:val="auto"/>
              </w:rPr>
              <w:t>  TR Finance LLC</w:t>
            </w:r>
          </w:p>
        </w:tc>
        <w:tc>
          <w:tcPr>
            <w:tcW w:w="4960" w:type="dxa"/>
            <w:vAlign w:val="bottom"/>
            <w:tcBorders>
              <w:bottom w:val="single" w:sz="8" w:color="AFAFAF"/>
            </w:tcBorders>
          </w:tcPr>
          <w:p>
            <w:pPr>
              <w:ind w:left="100"/>
              <w:spacing w:after="0"/>
              <w:rPr>
                <w:sz w:val="20"/>
                <w:szCs w:val="20"/>
                <w:color w:val="auto"/>
              </w:rPr>
            </w:pPr>
            <w:r>
              <w:rPr>
                <w:rFonts w:ascii="Arial" w:cs="Arial" w:eastAsia="Arial" w:hAnsi="Arial"/>
                <w:sz w:val="16"/>
                <w:szCs w:val="16"/>
                <w:color w:val="auto"/>
              </w:rPr>
              <w:t>Delaware, United States</w:t>
            </w:r>
          </w:p>
        </w:tc>
      </w:tr>
      <w:tr>
        <w:trPr>
          <w:trHeight w:val="179"/>
        </w:trPr>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TR Holdings Limited</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Bermuda</w:t>
            </w:r>
          </w:p>
        </w:tc>
      </w:tr>
      <w:tr>
        <w:trPr>
          <w:trHeight w:val="179"/>
        </w:trPr>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TR U.S. Inc.</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Delaware, United States</w:t>
            </w:r>
          </w:p>
        </w:tc>
      </w:tr>
      <w:tr>
        <w:trPr>
          <w:trHeight w:val="179"/>
        </w:trPr>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TTC (1994) Limited</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England</w:t>
            </w:r>
          </w:p>
        </w:tc>
      </w:tr>
      <w:tr>
        <w:trPr>
          <w:trHeight w:val="179"/>
        </w:trPr>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TTC Holdings Limited</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Bermuda</w:t>
            </w:r>
          </w:p>
        </w:tc>
      </w:tr>
      <w:tr>
        <w:trPr>
          <w:trHeight w:val="179"/>
        </w:trPr>
        <w:tc>
          <w:tcPr>
            <w:tcW w:w="4980" w:type="dxa"/>
            <w:vAlign w:val="bottom"/>
            <w:tcBorders>
              <w:bottom w:val="single" w:sz="8" w:color="AFAFAF"/>
            </w:tcBorders>
          </w:tcPr>
          <w:p>
            <w:pPr>
              <w:spacing w:after="0" w:line="179" w:lineRule="exact"/>
              <w:rPr>
                <w:sz w:val="20"/>
                <w:szCs w:val="20"/>
                <w:color w:val="auto"/>
              </w:rPr>
            </w:pPr>
            <w:r>
              <w:rPr>
                <w:rFonts w:ascii="Arial" w:cs="Arial" w:eastAsia="Arial" w:hAnsi="Arial"/>
                <w:sz w:val="16"/>
                <w:szCs w:val="16"/>
                <w:color w:val="auto"/>
              </w:rPr>
              <w:t>  West Publishing Corporation</w:t>
            </w:r>
          </w:p>
        </w:tc>
        <w:tc>
          <w:tcPr>
            <w:tcW w:w="4960" w:type="dxa"/>
            <w:vAlign w:val="bottom"/>
            <w:tcBorders>
              <w:bottom w:val="single" w:sz="8" w:color="AFAFAF"/>
            </w:tcBorders>
          </w:tcPr>
          <w:p>
            <w:pPr>
              <w:ind w:left="100"/>
              <w:spacing w:after="0" w:line="179" w:lineRule="exact"/>
              <w:rPr>
                <w:sz w:val="20"/>
                <w:szCs w:val="20"/>
                <w:color w:val="auto"/>
              </w:rPr>
            </w:pPr>
            <w:r>
              <w:rPr>
                <w:rFonts w:ascii="Arial" w:cs="Arial" w:eastAsia="Arial" w:hAnsi="Arial"/>
                <w:sz w:val="16"/>
                <w:szCs w:val="16"/>
                <w:color w:val="auto"/>
              </w:rPr>
              <w:t>Minnesota, United States</w:t>
            </w:r>
          </w:p>
        </w:tc>
      </w:tr>
    </w:tbl>
    <w:p>
      <w:pPr>
        <w:spacing w:after="0" w:line="18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Interests of Experts</w:t>
      </w:r>
    </w:p>
    <w:p>
      <w:pPr>
        <w:spacing w:after="0" w:line="216" w:lineRule="exact"/>
        <w:rPr>
          <w:sz w:val="20"/>
          <w:szCs w:val="20"/>
          <w:color w:val="auto"/>
        </w:rPr>
      </w:pPr>
    </w:p>
    <w:p>
      <w:pPr>
        <w:ind w:left="220" w:right="100"/>
        <w:spacing w:after="0" w:line="235" w:lineRule="auto"/>
        <w:rPr>
          <w:sz w:val="20"/>
          <w:szCs w:val="20"/>
          <w:color w:val="auto"/>
        </w:rPr>
      </w:pPr>
      <w:r>
        <w:rPr>
          <w:rFonts w:ascii="Arial" w:cs="Arial" w:eastAsia="Arial" w:hAnsi="Arial"/>
          <w:sz w:val="17"/>
          <w:szCs w:val="17"/>
          <w:color w:val="auto"/>
        </w:rPr>
        <w:t>Our independent registered public accounting firm is PricewaterhouseCoopers LLP, who has issued an independent registered public accounting firm’s report dated March 6, 2025 in respect of our consolidated financial statements as of December 31, 2024 and December 31, 2023 and for each of the years ended December 31, 2024 and December 31, 2023 and our internal control over financial reporting as of December 31, 2024. PricewaterhouseCoopers LLP has advised that it is independent with respect to our company within the meaning of the Rules of Professional Conduct of the Institute of Chartered Accountants of Ontario and has complied with the auditor independence rules of the U.S. Securities and Exchange Commission and the requirements of the Public Company Accounting Oversight Board (United States).</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Further Information and Disclosures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Cybersecurity Risk Management</w:t>
      </w:r>
    </w:p>
    <w:p>
      <w:pPr>
        <w:spacing w:after="0" w:line="216" w:lineRule="exact"/>
        <w:rPr>
          <w:sz w:val="20"/>
          <w:szCs w:val="20"/>
          <w:color w:val="auto"/>
        </w:rPr>
      </w:pPr>
    </w:p>
    <w:p>
      <w:pPr>
        <w:ind w:left="220" w:right="160"/>
        <w:spacing w:after="0" w:line="235" w:lineRule="auto"/>
        <w:rPr>
          <w:sz w:val="20"/>
          <w:szCs w:val="20"/>
          <w:color w:val="auto"/>
        </w:rPr>
      </w:pPr>
      <w:r>
        <w:rPr>
          <w:rFonts w:ascii="Arial" w:cs="Arial" w:eastAsia="Arial" w:hAnsi="Arial"/>
          <w:sz w:val="17"/>
          <w:szCs w:val="17"/>
          <w:color w:val="auto"/>
        </w:rPr>
        <w:t>We implement a wide range of security policies, standards, technology, and practices, which are integrated in our overall enterprise risk management framework. Under the leadership of our Chief Operations &amp; Technology Officer, teams across the organization play a critical role in identifying, assessing, responding, monitoring, and reporting risks under the guidelines of the enterprise risk management framework. Our Information Security Risk Management (ISRM) team who is responsible for operating and enhancing our security capabilities, based on the National Institute of Standards and Technology (NIST) Cybersecurity Framework (CSF) and Capability Maturity Model (CMMI), to help prevent, detect, and respond to cybersecurity threats.</w:t>
      </w:r>
    </w:p>
    <w:p>
      <w:pPr>
        <w:spacing w:after="0" w:line="44" w:lineRule="exact"/>
        <w:rPr>
          <w:sz w:val="20"/>
          <w:szCs w:val="20"/>
          <w:color w:val="auto"/>
        </w:rPr>
      </w:pPr>
    </w:p>
    <w:p>
      <w:pPr>
        <w:ind w:left="220" w:right="60"/>
        <w:spacing w:after="0" w:line="236" w:lineRule="auto"/>
        <w:rPr>
          <w:sz w:val="20"/>
          <w:szCs w:val="20"/>
          <w:color w:val="auto"/>
        </w:rPr>
      </w:pPr>
      <w:r>
        <w:rPr>
          <w:rFonts w:ascii="Arial" w:cs="Arial" w:eastAsia="Arial" w:hAnsi="Arial"/>
          <w:sz w:val="17"/>
          <w:szCs w:val="17"/>
          <w:color w:val="auto"/>
        </w:rPr>
        <w:t>Our Chief Operations &amp; Technology Officer is in charge of the management of cybersecurity risks as an important component of our overall enterprise risk management framework. Our Board of Directors is responsible for confirming that a system is in place to identify the principal risks facing Thomson Reuters and that appropriate procedures and systems are in place to monitor, mitigate and manage those risks. The Board of Directors, through its committees, periodically receives reports from or meets with members of management to discuss material enterprise risks, including cybersecurity risks.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Iran Threat Reduction and Syria Human Rights Act Disclosure</w:t>
      </w:r>
    </w:p>
    <w:p>
      <w:pPr>
        <w:spacing w:after="0" w:line="97" w:lineRule="exact"/>
        <w:rPr>
          <w:sz w:val="20"/>
          <w:szCs w:val="20"/>
          <w:color w:val="auto"/>
        </w:rPr>
      </w:pPr>
    </w:p>
    <w:p>
      <w:pPr>
        <w:ind w:left="220" w:right="100"/>
        <w:spacing w:after="0" w:line="243" w:lineRule="auto"/>
        <w:rPr>
          <w:sz w:val="20"/>
          <w:szCs w:val="20"/>
          <w:color w:val="auto"/>
        </w:rPr>
      </w:pPr>
      <w:r>
        <w:rPr>
          <w:rFonts w:ascii="Arial" w:cs="Arial" w:eastAsia="Arial" w:hAnsi="Arial"/>
          <w:sz w:val="17"/>
          <w:szCs w:val="17"/>
          <w:color w:val="auto"/>
        </w:rPr>
        <w:t>The Iran Threat Reduction and Syria Human Rights Act of 2012 (ITRA) requires us to disclose information in our annual report if we or any of our affiliates knowingly engaged in certain transactions or dealings related to Iran and other sanctioned individuals or entities in 2024. Disclosure is generally required, even if the transactions or dealings were conducted in compliance with applicable law and regulations.</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During 2024, one of our non-U.S. subsidiaries sold Reuters news text newswires and video products to one broadcasting entity in Iran covered by</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ITRA. These transactions were exempt from U.S. economic sanctions laws and regulations, to the extent they may apply, as information or</w:t>
      </w:r>
    </w:p>
    <w:p>
      <w:pPr>
        <w:ind w:left="220"/>
        <w:spacing w:after="0" w:line="227" w:lineRule="auto"/>
        <w:rPr>
          <w:sz w:val="20"/>
          <w:szCs w:val="20"/>
          <w:color w:val="auto"/>
        </w:rPr>
      </w:pPr>
      <w:r>
        <w:rPr>
          <w:rFonts w:ascii="Arial" w:cs="Arial" w:eastAsia="Arial" w:hAnsi="Arial"/>
          <w:sz w:val="17"/>
          <w:szCs w:val="17"/>
          <w:color w:val="auto"/>
        </w:rPr>
        <w:t>informational materials per 31 CFR § 560.210 (c). The aggregate gross revenue attributable to these 2024 sales was approximately</w:t>
      </w:r>
    </w:p>
    <w:p>
      <w:pPr>
        <w:ind w:left="220"/>
        <w:spacing w:after="0" w:line="228" w:lineRule="auto"/>
        <w:rPr>
          <w:sz w:val="20"/>
          <w:szCs w:val="20"/>
          <w:color w:val="auto"/>
        </w:rPr>
      </w:pPr>
      <w:r>
        <w:rPr>
          <w:rFonts w:ascii="Arial" w:cs="Arial" w:eastAsia="Arial" w:hAnsi="Arial"/>
          <w:sz w:val="17"/>
          <w:szCs w:val="17"/>
          <w:color w:val="auto"/>
        </w:rPr>
        <w:t>$707,000. We recognized $170,000 of revenue from these sales in 2024. These sales represented approximately 0.01% of our company’s 2024</w:t>
      </w:r>
    </w:p>
    <w:p>
      <w:pPr>
        <w:ind w:left="220"/>
        <w:spacing w:after="0" w:line="228" w:lineRule="auto"/>
        <w:rPr>
          <w:sz w:val="20"/>
          <w:szCs w:val="20"/>
          <w:color w:val="auto"/>
        </w:rPr>
      </w:pPr>
      <w:r>
        <w:rPr>
          <w:rFonts w:ascii="Arial" w:cs="Arial" w:eastAsia="Arial" w:hAnsi="Arial"/>
          <w:sz w:val="17"/>
          <w:szCs w:val="17"/>
          <w:color w:val="auto"/>
        </w:rPr>
        <w:t>consolidated revenues. Additionally, in 2024, we recognized approximately $910,000 in revenue related to the delayed collection of outstanding</w:t>
      </w:r>
    </w:p>
    <w:p>
      <w:pPr>
        <w:ind w:left="220"/>
        <w:spacing w:after="0"/>
        <w:rPr>
          <w:sz w:val="20"/>
          <w:szCs w:val="20"/>
          <w:color w:val="auto"/>
        </w:rPr>
      </w:pPr>
      <w:r>
        <w:rPr>
          <w:rFonts w:ascii="Arial" w:cs="Arial" w:eastAsia="Arial" w:hAnsi="Arial"/>
          <w:sz w:val="16"/>
          <w:szCs w:val="16"/>
          <w:color w:val="auto"/>
        </w:rPr>
        <w:t>receivables from prior-year periods related to the same broadcasting entity bringing total revenue recognized in 2024 to $1,080,000. We estimate</w:t>
      </w:r>
    </w:p>
    <w:p>
      <w:pPr>
        <w:ind w:left="220"/>
        <w:spacing w:after="0" w:line="229" w:lineRule="auto"/>
        <w:rPr>
          <w:sz w:val="20"/>
          <w:szCs w:val="20"/>
          <w:color w:val="auto"/>
        </w:rPr>
      </w:pPr>
      <w:r>
        <w:rPr>
          <w:rFonts w:ascii="Arial" w:cs="Arial" w:eastAsia="Arial" w:hAnsi="Arial"/>
          <w:sz w:val="17"/>
          <w:szCs w:val="17"/>
          <w:color w:val="auto"/>
        </w:rPr>
        <w:t>that the 2024 net profit attributable to this revenue (utilizing Reuters News’ 2024 segment adjusted EBITDA margin disclosed in this annual</w:t>
      </w:r>
    </w:p>
    <w:p>
      <w:pPr>
        <w:ind w:left="220"/>
        <w:spacing w:after="0"/>
        <w:rPr>
          <w:sz w:val="20"/>
          <w:szCs w:val="20"/>
          <w:color w:val="auto"/>
        </w:rPr>
      </w:pPr>
      <w:r>
        <w:rPr>
          <w:rFonts w:ascii="Arial" w:cs="Arial" w:eastAsia="Arial" w:hAnsi="Arial"/>
          <w:sz w:val="17"/>
          <w:szCs w:val="17"/>
          <w:color w:val="auto"/>
        </w:rPr>
        <w:t>report) was approximately $250,000. We discussed these pre-2024 outstanding receivables in our previously-filed annual reports.</w:t>
      </w:r>
    </w:p>
    <w:p>
      <w:pPr>
        <w:spacing w:after="0" w:line="67" w:lineRule="exact"/>
        <w:rPr>
          <w:sz w:val="20"/>
          <w:szCs w:val="20"/>
          <w:color w:val="auto"/>
        </w:rPr>
      </w:pPr>
    </w:p>
    <w:p>
      <w:pPr>
        <w:ind w:left="220" w:right="20"/>
        <w:spacing w:after="0" w:line="243" w:lineRule="auto"/>
        <w:rPr>
          <w:sz w:val="20"/>
          <w:szCs w:val="20"/>
          <w:color w:val="auto"/>
        </w:rPr>
      </w:pPr>
      <w:r>
        <w:rPr>
          <w:rFonts w:ascii="Arial" w:cs="Arial" w:eastAsia="Arial" w:hAnsi="Arial"/>
          <w:sz w:val="17"/>
          <w:szCs w:val="17"/>
          <w:color w:val="auto"/>
        </w:rPr>
        <w:t>Our Reuters News business plans to continue current contracts but does not plan on entering into any new sales contracts with customers covered by the ITRA, subject to limited exceptions where continued sales are permissible under applicable export control and economic sanctions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91440</wp:posOffset>
            </wp:positionV>
            <wp:extent cx="686562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pacing w:after="0" w:line="155" w:lineRule="exact"/>
        <w:rPr>
          <w:sz w:val="20"/>
          <w:szCs w:val="20"/>
          <w:color w:val="auto"/>
        </w:rPr>
      </w:pPr>
    </w:p>
    <w:p>
      <w:pPr>
        <w:ind w:left="220"/>
        <w:spacing w:after="0"/>
        <w:tabs>
          <w:tab w:leader="none" w:pos="7960" w:val="left"/>
        </w:tabs>
        <w:rPr>
          <w:sz w:val="20"/>
          <w:szCs w:val="20"/>
          <w:color w:val="auto"/>
        </w:rPr>
      </w:pPr>
      <w:r>
        <w:rPr>
          <w:rFonts w:ascii="Arial" w:cs="Arial" w:eastAsia="Arial" w:hAnsi="Arial"/>
          <w:sz w:val="17"/>
          <w:szCs w:val="17"/>
          <w:color w:val="auto"/>
        </w:rPr>
        <w:t>Page 160</w:t>
      </w:r>
      <w:r>
        <w:rPr>
          <w:sz w:val="20"/>
          <w:szCs w:val="20"/>
          <w:color w:val="auto"/>
        </w:rPr>
        <w:tab/>
      </w:r>
      <w:r>
        <w:rPr>
          <w:rFonts w:ascii="Arial" w:cs="Arial" w:eastAsia="Arial" w:hAnsi="Arial"/>
          <w:sz w:val="16"/>
          <w:szCs w:val="16"/>
          <w:b w:val="1"/>
          <w:bCs w:val="1"/>
          <w:color w:val="auto"/>
        </w:rPr>
        <w:t>Thomson Reuters Annual Report 2024</w:t>
      </w:r>
    </w:p>
    <w:p>
      <w:pPr>
        <w:sectPr>
          <w:pgSz w:w="11900" w:h="16838" w:orient="portrait"/>
          <w:cols w:equalWidth="0" w:num="1">
            <w:col w:w="11040"/>
          </w:cols>
          <w:pgMar w:left="320" w:top="477" w:right="5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D64000"/>
        </w:rPr>
        <w:t>Other Information and Disclosures</w:t>
      </w:r>
    </w:p>
    <w:p>
      <w:pPr>
        <w:spacing w:after="0" w:line="216" w:lineRule="exact"/>
        <w:rPr>
          <w:sz w:val="20"/>
          <w:szCs w:val="20"/>
          <w:color w:val="auto"/>
        </w:rPr>
      </w:pPr>
    </w:p>
    <w:p>
      <w:pPr>
        <w:jc w:val="both"/>
        <w:ind w:left="220" w:right="240"/>
        <w:spacing w:after="0" w:line="243" w:lineRule="auto"/>
        <w:rPr>
          <w:sz w:val="20"/>
          <w:szCs w:val="20"/>
          <w:color w:val="auto"/>
        </w:rPr>
      </w:pPr>
      <w:r>
        <w:rPr>
          <w:rFonts w:ascii="Arial" w:cs="Arial" w:eastAsia="Arial" w:hAnsi="Arial"/>
          <w:sz w:val="17"/>
          <w:szCs w:val="17"/>
          <w:color w:val="auto"/>
        </w:rPr>
        <w:t>Steve Hasker, our President and Chief Executive Officer and a director of our company, was a director of Global Eagle Entertainment Inc. until May 2020. In July 2020, Global Eagle Entertainment Inc. commenced voluntary proceedings under Chapter 11 of the United States Bankruptcy Code.</w:t>
      </w:r>
    </w:p>
    <w:p>
      <w:pPr>
        <w:spacing w:after="0" w:line="42" w:lineRule="exact"/>
        <w:rPr>
          <w:sz w:val="20"/>
          <w:szCs w:val="20"/>
          <w:color w:val="auto"/>
        </w:rPr>
      </w:pPr>
    </w:p>
    <w:p>
      <w:pPr>
        <w:ind w:left="220" w:right="960"/>
        <w:spacing w:after="0" w:line="260" w:lineRule="auto"/>
        <w:rPr>
          <w:sz w:val="20"/>
          <w:szCs w:val="20"/>
          <w:color w:val="auto"/>
        </w:rPr>
      </w:pPr>
      <w:r>
        <w:rPr>
          <w:rFonts w:ascii="Arial" w:cs="Arial" w:eastAsia="Arial" w:hAnsi="Arial"/>
          <w:sz w:val="17"/>
          <w:szCs w:val="17"/>
          <w:color w:val="auto"/>
        </w:rPr>
        <w:t>Kim Rivera, a director of our company, was a director of Cano Health, Inc. In February 2024, Cano Health, Inc. commenced voluntary proceedings under Chapter 11 of the United States Bankruptcy Code.</w:t>
      </w:r>
    </w:p>
    <w:p>
      <w:pPr>
        <w:spacing w:after="0" w:line="40" w:lineRule="exact"/>
        <w:rPr>
          <w:sz w:val="20"/>
          <w:szCs w:val="20"/>
          <w:color w:val="auto"/>
        </w:rPr>
      </w:pPr>
    </w:p>
    <w:p>
      <w:pPr>
        <w:ind w:left="220" w:right="140"/>
        <w:spacing w:after="0" w:line="243" w:lineRule="auto"/>
        <w:rPr>
          <w:sz w:val="20"/>
          <w:szCs w:val="20"/>
          <w:color w:val="auto"/>
        </w:rPr>
      </w:pPr>
      <w:r>
        <w:rPr>
          <w:rFonts w:ascii="Arial" w:cs="Arial" w:eastAsia="Arial" w:hAnsi="Arial"/>
          <w:sz w:val="17"/>
          <w:szCs w:val="17"/>
          <w:color w:val="auto"/>
        </w:rPr>
        <w:t xml:space="preserve">For more information about Thomson Reuters, please see our various filings and notifications posted on our website, </w:t>
      </w:r>
      <w:r>
        <w:rPr>
          <w:rFonts w:ascii="Arial" w:cs="Arial" w:eastAsia="Arial" w:hAnsi="Arial"/>
          <w:sz w:val="17"/>
          <w:szCs w:val="17"/>
          <w:color w:val="D64000"/>
        </w:rPr>
        <w:t>tr.com</w:t>
      </w:r>
      <w:r>
        <w:rPr>
          <w:rFonts w:ascii="Arial" w:cs="Arial" w:eastAsia="Arial" w:hAnsi="Arial"/>
          <w:sz w:val="17"/>
          <w:szCs w:val="17"/>
          <w:color w:val="auto"/>
        </w:rPr>
        <w:t xml:space="preserve">, the Canadian Securities Administrators’ SEDAR+ website, </w:t>
      </w:r>
      <w:r>
        <w:rPr>
          <w:rFonts w:ascii="Arial" w:cs="Arial" w:eastAsia="Arial" w:hAnsi="Arial"/>
          <w:sz w:val="17"/>
          <w:szCs w:val="17"/>
          <w:color w:val="D64000"/>
        </w:rPr>
        <w:t>www.sedarplus.ca</w:t>
      </w:r>
      <w:r>
        <w:rPr>
          <w:rFonts w:ascii="Arial" w:cs="Arial" w:eastAsia="Arial" w:hAnsi="Arial"/>
          <w:sz w:val="17"/>
          <w:szCs w:val="17"/>
          <w:color w:val="auto"/>
        </w:rPr>
        <w:t xml:space="preserve">, and in the EDGAR section of the Securities and Exchange Commission’s (SEC) website at </w:t>
      </w:r>
      <w:r>
        <w:rPr>
          <w:rFonts w:ascii="Arial" w:cs="Arial" w:eastAsia="Arial" w:hAnsi="Arial"/>
          <w:sz w:val="17"/>
          <w:szCs w:val="17"/>
          <w:color w:val="D64000"/>
        </w:rPr>
        <w:t>www.sec.gov</w:t>
      </w:r>
      <w:r>
        <w:rPr>
          <w:rFonts w:ascii="Arial" w:cs="Arial" w:eastAsia="Arial" w:hAnsi="Arial"/>
          <w:sz w:val="17"/>
          <w:szCs w:val="17"/>
          <w:color w:val="auto"/>
        </w:rPr>
        <w:t>.</w:t>
      </w:r>
    </w:p>
    <w:p>
      <w:pPr>
        <w:spacing w:after="0" w:line="55" w:lineRule="exact"/>
        <w:rPr>
          <w:sz w:val="20"/>
          <w:szCs w:val="20"/>
          <w:color w:val="auto"/>
        </w:rPr>
      </w:pPr>
    </w:p>
    <w:p>
      <w:pPr>
        <w:ind w:left="220" w:right="20"/>
        <w:spacing w:after="0" w:line="236" w:lineRule="auto"/>
        <w:rPr>
          <w:sz w:val="20"/>
          <w:szCs w:val="20"/>
          <w:color w:val="auto"/>
        </w:rPr>
      </w:pPr>
      <w:r>
        <w:rPr>
          <w:rFonts w:ascii="Arial" w:cs="Arial" w:eastAsia="Arial" w:hAnsi="Arial"/>
          <w:sz w:val="17"/>
          <w:szCs w:val="17"/>
          <w:color w:val="auto"/>
        </w:rPr>
        <w:t>Additional information, including directors’ and officers’ remuneration and indebtedness, principal holders of our shares and securities authorized for issuance under our equity compensation plans, will be contained in our management proxy circular, which is being prepared in connection with our upcoming annual meeting of shareholders to be held on June 4, 2025. Copies of our management proxy circular will be available upon request in writing to: Investor Relations Department, Thomson Reuters, 3 Times Square, New York, New York 10036, United States. Requests may also be sent by e-mail to: investor.relations@tr.com.</w:t>
      </w:r>
    </w:p>
    <w:p>
      <w:pPr>
        <w:spacing w:after="0" w:line="46" w:lineRule="exact"/>
        <w:rPr>
          <w:sz w:val="20"/>
          <w:szCs w:val="20"/>
          <w:color w:val="auto"/>
        </w:rPr>
      </w:pPr>
    </w:p>
    <w:p>
      <w:pPr>
        <w:ind w:left="220" w:right="60"/>
        <w:spacing w:after="0" w:line="260" w:lineRule="auto"/>
        <w:rPr>
          <w:sz w:val="20"/>
          <w:szCs w:val="20"/>
          <w:color w:val="auto"/>
        </w:rPr>
      </w:pPr>
      <w:r>
        <w:rPr>
          <w:rFonts w:ascii="Arial" w:cs="Arial" w:eastAsia="Arial" w:hAnsi="Arial"/>
          <w:sz w:val="17"/>
          <w:szCs w:val="17"/>
          <w:color w:val="auto"/>
        </w:rPr>
        <w:t>Information required to be provided pursuant to Canadian Securities Administrators Multilateral Instrument Form 52-110F1 (Audit Committees) for our company is included in the “Governance” section of this annual report.</w:t>
      </w:r>
    </w:p>
    <w:p>
      <w:pPr>
        <w:spacing w:after="0" w:line="40" w:lineRule="exact"/>
        <w:rPr>
          <w:sz w:val="20"/>
          <w:szCs w:val="20"/>
          <w:color w:val="auto"/>
        </w:rPr>
      </w:pPr>
    </w:p>
    <w:p>
      <w:pPr>
        <w:ind w:left="220" w:right="220"/>
        <w:spacing w:after="0" w:line="260" w:lineRule="auto"/>
        <w:rPr>
          <w:sz w:val="20"/>
          <w:szCs w:val="20"/>
          <w:color w:val="auto"/>
        </w:rPr>
      </w:pPr>
      <w:r>
        <w:rPr>
          <w:rFonts w:ascii="Arial" w:cs="Arial" w:eastAsia="Arial" w:hAnsi="Arial"/>
          <w:sz w:val="17"/>
          <w:szCs w:val="17"/>
          <w:color w:val="auto"/>
        </w:rPr>
        <w:t>Additional financial information is included in the “Management’s Discussion and Analysis” and “Consolidated Financial Statements” sections of this annual report.</w:t>
      </w:r>
    </w:p>
    <w:p>
      <w:pPr>
        <w:spacing w:after="0" w:line="27" w:lineRule="exact"/>
        <w:rPr>
          <w:sz w:val="20"/>
          <w:szCs w:val="20"/>
          <w:color w:val="auto"/>
        </w:rPr>
      </w:pPr>
    </w:p>
    <w:p>
      <w:pPr>
        <w:ind w:left="220" w:right="100"/>
        <w:spacing w:after="0" w:line="243" w:lineRule="auto"/>
        <w:rPr>
          <w:sz w:val="20"/>
          <w:szCs w:val="20"/>
          <w:color w:val="auto"/>
        </w:rPr>
      </w:pPr>
      <w:r>
        <w:rPr>
          <w:rFonts w:ascii="Arial" w:cs="Arial" w:eastAsia="Arial" w:hAnsi="Arial"/>
          <w:sz w:val="17"/>
          <w:szCs w:val="17"/>
          <w:color w:val="auto"/>
        </w:rPr>
        <w:t>Under Rule 5615(a)(3) of the Nasdaq listing rules, we are required to disclose any home country practices we follow as a foreign private issuer in lieu of certain Nasdaq corporate governance requirements. Pursuant to Nasdaq Rule 5615(a)(3), Thomson Reuters follows home country practices in lieu of two Nasdaq listing rules.</w:t>
      </w:r>
    </w:p>
    <w:p>
      <w:pPr>
        <w:spacing w:after="0" w:line="55" w:lineRule="exact"/>
        <w:rPr>
          <w:sz w:val="20"/>
          <w:szCs w:val="20"/>
          <w:color w:val="auto"/>
        </w:rPr>
      </w:pPr>
    </w:p>
    <w:p>
      <w:pPr>
        <w:jc w:val="both"/>
        <w:ind w:left="220" w:right="280"/>
        <w:spacing w:after="0" w:line="266" w:lineRule="auto"/>
        <w:rPr>
          <w:sz w:val="20"/>
          <w:szCs w:val="20"/>
          <w:color w:val="auto"/>
        </w:rPr>
      </w:pPr>
      <w:r>
        <w:rPr>
          <w:rFonts w:ascii="Arial" w:cs="Arial" w:eastAsia="Arial" w:hAnsi="Arial"/>
          <w:sz w:val="16"/>
          <w:szCs w:val="16"/>
          <w:color w:val="auto"/>
        </w:rPr>
        <w:t>Nasdaq Listing Rule 5635 requires shareholder approval of all “equity compensation plans” and material revisions to these types of plans (with limited exceptions). TSX rules require shareholder approval of security-based compensation arrangements only for plans which involve newly issued shares or specified amendments to the plans. Similar to a number of other Canadian issuers, our company follows the TSX rules.</w:t>
      </w:r>
    </w:p>
    <w:p>
      <w:pPr>
        <w:spacing w:after="0" w:line="37" w:lineRule="exact"/>
        <w:rPr>
          <w:sz w:val="20"/>
          <w:szCs w:val="20"/>
          <w:color w:val="auto"/>
        </w:rPr>
      </w:pPr>
    </w:p>
    <w:p>
      <w:pPr>
        <w:ind w:left="220" w:right="100"/>
        <w:spacing w:after="0" w:line="235" w:lineRule="auto"/>
        <w:rPr>
          <w:sz w:val="20"/>
          <w:szCs w:val="20"/>
          <w:color w:val="auto"/>
        </w:rPr>
      </w:pPr>
      <w:r>
        <w:rPr>
          <w:rFonts w:ascii="Arial" w:cs="Arial" w:eastAsia="Arial" w:hAnsi="Arial"/>
          <w:sz w:val="17"/>
          <w:szCs w:val="17"/>
          <w:color w:val="auto"/>
        </w:rPr>
        <w:t>Further, Nasdaq Rule 5620(c) requires that the minimum quorum for a shareholder meeting shall be 33-1/3% of the outstanding common shares, whereas Thomson Reuters’ by-laws provide that a quorum for a shareholder meeting shall either be: (a) two persons present and each are entitled to vote or (b) the holder of the Thomson Reuters Founders Share. However, if the shareholder meeting includes the consideration of any resolution on which the holder of the Thomson Reuters Founders Share is entitled to vote, a quorum shall not be present for any purpose unless the holder of the Thomson Reuters Founders Share is present. Thomson Reuters’ quorum requirements comply with the Business Corporations Act (Ontario), and the TSX rules do not contain specific quorum requirements.</w:t>
      </w:r>
    </w:p>
    <w:p>
      <w:pPr>
        <w:spacing w:after="0" w:line="44" w:lineRule="exact"/>
        <w:rPr>
          <w:sz w:val="20"/>
          <w:szCs w:val="20"/>
          <w:color w:val="auto"/>
        </w:rPr>
      </w:pPr>
    </w:p>
    <w:p>
      <w:pPr>
        <w:ind w:left="220" w:right="40"/>
        <w:spacing w:after="0" w:line="236" w:lineRule="auto"/>
        <w:rPr>
          <w:sz w:val="20"/>
          <w:szCs w:val="20"/>
          <w:color w:val="auto"/>
        </w:rPr>
      </w:pPr>
      <w:r>
        <w:rPr>
          <w:rFonts w:ascii="Arial" w:cs="Arial" w:eastAsia="Arial" w:hAnsi="Arial"/>
          <w:sz w:val="17"/>
          <w:szCs w:val="17"/>
          <w:color w:val="auto"/>
        </w:rPr>
        <w:t xml:space="preserve">Our Code of Business Conduct and Ethics, corporate governance guidelines and Board committee charters are available on </w:t>
      </w:r>
      <w:r>
        <w:rPr>
          <w:rFonts w:ascii="Arial" w:cs="Arial" w:eastAsia="Arial" w:hAnsi="Arial"/>
          <w:sz w:val="17"/>
          <w:szCs w:val="17"/>
          <w:color w:val="D64000"/>
        </w:rPr>
        <w:t>tr.com</w:t>
      </w:r>
      <w:r>
        <w:rPr>
          <w:rFonts w:ascii="Arial" w:cs="Arial" w:eastAsia="Arial" w:hAnsi="Arial"/>
          <w:sz w:val="17"/>
          <w:szCs w:val="17"/>
          <w:color w:val="auto"/>
        </w:rPr>
        <w:t xml:space="preserve"> as well as in print or electronically (without charge) to any shareholder who requests a copy in writing or by e-mail to our Investor Relations Department. Shareholders and other interested parties may contact the Board or its non-management or independent directors as a group, or the directors who preside over their meetings, by writing to them by e-mail at board@tr.com or by mail at Thomson Reuters Board of Directors, Attention: Chief Legal Officer and Company Secretary, Thomson Reuters, 19 Duncan, Toronto, Ontario M5H 3H1, Canada.</w:t>
      </w:r>
    </w:p>
    <w:p>
      <w:pPr>
        <w:spacing w:after="0" w:line="59" w:lineRule="exact"/>
        <w:rPr>
          <w:sz w:val="20"/>
          <w:szCs w:val="20"/>
          <w:color w:val="auto"/>
        </w:rPr>
      </w:pPr>
    </w:p>
    <w:p>
      <w:pPr>
        <w:ind w:left="220" w:right="80"/>
        <w:spacing w:after="0" w:line="238" w:lineRule="auto"/>
        <w:rPr>
          <w:sz w:val="20"/>
          <w:szCs w:val="20"/>
          <w:color w:val="auto"/>
        </w:rPr>
      </w:pPr>
      <w:r>
        <w:rPr>
          <w:rFonts w:ascii="Arial" w:cs="Arial" w:eastAsia="Arial" w:hAnsi="Arial"/>
          <w:sz w:val="17"/>
          <w:szCs w:val="17"/>
          <w:color w:val="auto"/>
        </w:rPr>
        <w:t>Any statement in this annual report about any of our contracts or other documents is not necessarily complete. If the contract or document is filed as an exhibit to our annual report with the SEC or as a material contract with the Canadian securities regulatory authorities, then the contract or document is deemed to modify the description contained in this annual report. You should review the contracts or documents themselves for a complete description.</w:t>
      </w:r>
    </w:p>
    <w:p>
      <w:pPr>
        <w:spacing w:after="0" w:line="59" w:lineRule="exact"/>
        <w:rPr>
          <w:sz w:val="20"/>
          <w:szCs w:val="20"/>
          <w:color w:val="auto"/>
        </w:rPr>
      </w:pPr>
    </w:p>
    <w:p>
      <w:pPr>
        <w:jc w:val="both"/>
        <w:ind w:left="220" w:right="20"/>
        <w:spacing w:after="0" w:line="238" w:lineRule="auto"/>
        <w:rPr>
          <w:sz w:val="20"/>
          <w:szCs w:val="20"/>
          <w:color w:val="auto"/>
        </w:rPr>
      </w:pPr>
      <w:r>
        <w:rPr>
          <w:rFonts w:ascii="Arial" w:cs="Arial" w:eastAsia="Arial" w:hAnsi="Arial"/>
          <w:sz w:val="17"/>
          <w:szCs w:val="17"/>
          <w:color w:val="auto"/>
        </w:rPr>
        <w:t>We are required to file reports and other information with the SEC under the U.S. Securities Exchange Act of 1934, as amended, and regulations under that act. As a foreign private issuer, we are exempt from the rules under the U.S. Securities Exchange Act prescribing the form and content of proxy statements and our officers, directors and principal shareholders are exempt from the reporting and short swing profit recovery provisions contained in Section 16 of the U.S. Securities Exchange Act.</w:t>
      </w:r>
    </w:p>
    <w:p>
      <w:pPr>
        <w:spacing w:after="0" w:line="139" w:lineRule="exact"/>
        <w:rPr>
          <w:sz w:val="20"/>
          <w:szCs w:val="20"/>
          <w:color w:val="auto"/>
        </w:rPr>
      </w:pPr>
    </w:p>
    <w:p>
      <w:pPr>
        <w:ind w:left="220"/>
        <w:spacing w:after="0"/>
        <w:tabs>
          <w:tab w:leader="none" w:pos="10300" w:val="left"/>
        </w:tabs>
        <w:rPr>
          <w:sz w:val="20"/>
          <w:szCs w:val="20"/>
          <w:color w:val="auto"/>
        </w:rPr>
      </w:pPr>
      <w:r>
        <w:rPr>
          <w:rFonts w:ascii="Arial" w:cs="Arial" w:eastAsia="Arial" w:hAnsi="Arial"/>
          <w:sz w:val="17"/>
          <w:szCs w:val="17"/>
          <w:b w:val="1"/>
          <w:bCs w:val="1"/>
          <w:color w:val="auto"/>
        </w:rPr>
        <w:t>Thomson Reuters Annual Report 2024</w:t>
      </w:r>
      <w:r>
        <w:rPr>
          <w:sz w:val="20"/>
          <w:szCs w:val="20"/>
          <w:color w:val="auto"/>
        </w:rPr>
        <w:tab/>
      </w:r>
      <w:r>
        <w:rPr>
          <w:rFonts w:ascii="Arial" w:cs="Arial" w:eastAsia="Arial" w:hAnsi="Arial"/>
          <w:sz w:val="16"/>
          <w:szCs w:val="16"/>
          <w:color w:val="auto"/>
        </w:rPr>
        <w:t>Page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-118110</wp:posOffset>
            </wp:positionV>
            <wp:extent cx="686562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65620" cy="8255"/>
                    </a:xfrm>
                    <a:prstGeom prst="rect">
                      <a:avLst/>
                    </a:prstGeom>
                    <a:noFill/>
                  </pic:spPr>
                </pic:pic>
              </a:graphicData>
            </a:graphic>
          </wp:anchor>
        </w:drawing>
      </w:r>
    </w:p>
    <w:p>
      <w:pPr>
        <w:sectPr>
          <w:pgSz w:w="11900" w:h="16838" w:orient="portrait"/>
          <w:cols w:equalWidth="0" w:num="1">
            <w:col w:w="11040"/>
          </w:cols>
          <w:pgMar w:left="320" w:top="477" w:right="5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35"/>
          <w:szCs w:val="35"/>
          <w:color w:val="D64000"/>
        </w:rPr>
        <w:t>Cross Reference Tables</w:t>
      </w:r>
    </w:p>
    <w:p>
      <w:pPr>
        <w:spacing w:after="0" w:line="128" w:lineRule="exact"/>
        <w:rPr>
          <w:sz w:val="20"/>
          <w:szCs w:val="20"/>
          <w:color w:val="auto"/>
        </w:rPr>
      </w:pPr>
    </w:p>
    <w:p>
      <w:pPr>
        <w:ind w:left="220" w:right="660"/>
        <w:spacing w:after="0" w:line="260" w:lineRule="auto"/>
        <w:rPr>
          <w:sz w:val="20"/>
          <w:szCs w:val="20"/>
          <w:color w:val="auto"/>
        </w:rPr>
      </w:pPr>
      <w:r>
        <w:rPr>
          <w:rFonts w:ascii="Arial" w:cs="Arial" w:eastAsia="Arial" w:hAnsi="Arial"/>
          <w:sz w:val="17"/>
          <w:szCs w:val="17"/>
          <w:color w:val="auto"/>
        </w:rPr>
        <w:t>For the convenience of our shareholders, we have prepared one annual report for the year ended December 31, 2024 that addresses our disclosure requirements under applicable Canadian and U.S. laws and regulations.</w:t>
      </w:r>
    </w:p>
    <w:p>
      <w:pPr>
        <w:spacing w:after="0" w:line="27" w:lineRule="exact"/>
        <w:rPr>
          <w:sz w:val="20"/>
          <w:szCs w:val="20"/>
          <w:color w:val="auto"/>
        </w:rPr>
      </w:pPr>
    </w:p>
    <w:p>
      <w:pPr>
        <w:ind w:left="220" w:right="300"/>
        <w:spacing w:after="0" w:line="243" w:lineRule="auto"/>
        <w:rPr>
          <w:sz w:val="20"/>
          <w:szCs w:val="20"/>
          <w:color w:val="auto"/>
        </w:rPr>
      </w:pPr>
      <w:r>
        <w:rPr>
          <w:rFonts w:ascii="Arial" w:cs="Arial" w:eastAsia="Arial" w:hAnsi="Arial"/>
          <w:sz w:val="17"/>
          <w:szCs w:val="17"/>
          <w:color w:val="auto"/>
        </w:rPr>
        <w:t>The following pages include cross reference tables that reflect where we have disclosed information required to be contained in an annual information form prepared in accordance with Canadian laws and regulations and an annual report on Form 40-F prepared in accordance with SEC requirements.</w:t>
      </w:r>
    </w:p>
    <w:p>
      <w:pPr>
        <w:spacing w:after="0" w:line="55" w:lineRule="exact"/>
        <w:rPr>
          <w:sz w:val="20"/>
          <w:szCs w:val="20"/>
          <w:color w:val="auto"/>
        </w:rPr>
      </w:pPr>
    </w:p>
    <w:p>
      <w:pPr>
        <w:ind w:left="220" w:right="660"/>
        <w:spacing w:after="0" w:line="260" w:lineRule="auto"/>
        <w:rPr>
          <w:sz w:val="20"/>
          <w:szCs w:val="20"/>
          <w:color w:val="auto"/>
        </w:rPr>
      </w:pPr>
      <w:r>
        <w:rPr>
          <w:rFonts w:ascii="Arial" w:cs="Arial" w:eastAsia="Arial" w:hAnsi="Arial"/>
          <w:sz w:val="17"/>
          <w:szCs w:val="17"/>
          <w:color w:val="auto"/>
        </w:rPr>
        <w:t>For the convenience of our shareholders, we have prepared one annual report for the year ended December 31, 2024 that addresses our disclosure requirements under applicable Canadian and U.S. laws and regulations.</w:t>
      </w:r>
    </w:p>
    <w:p>
      <w:pPr>
        <w:spacing w:after="0" w:line="40" w:lineRule="exact"/>
        <w:rPr>
          <w:sz w:val="20"/>
          <w:szCs w:val="20"/>
          <w:color w:val="auto"/>
        </w:rPr>
      </w:pPr>
    </w:p>
    <w:p>
      <w:pPr>
        <w:ind w:left="220" w:right="300"/>
        <w:spacing w:after="0" w:line="243" w:lineRule="auto"/>
        <w:rPr>
          <w:sz w:val="20"/>
          <w:szCs w:val="20"/>
          <w:color w:val="auto"/>
        </w:rPr>
      </w:pPr>
      <w:r>
        <w:rPr>
          <w:rFonts w:ascii="Arial" w:cs="Arial" w:eastAsia="Arial" w:hAnsi="Arial"/>
          <w:sz w:val="17"/>
          <w:szCs w:val="17"/>
          <w:color w:val="auto"/>
        </w:rPr>
        <w:t>The following pages include cross reference tables that reflect where we have disclosed information required to be contained in an annual information form prepared in accordance with Canadian laws and regulations and an annual report on Form 40-F prepared in accordance with SEC requirements.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25"/>
          <w:szCs w:val="25"/>
          <w:color w:val="auto"/>
        </w:rPr>
        <w:t>Annual Information Form (Form 51-102F2) Cross Reference Table</w:t>
      </w:r>
    </w:p>
    <w:p>
      <w:pPr>
        <w:spacing w:after="0" w:line="237"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780" w:type="dxa"/>
            <w:vAlign w:val="bottom"/>
          </w:tcPr>
          <w:p>
            <w:pPr>
              <w:spacing w:after="0"/>
              <w:rPr>
                <w:sz w:val="14"/>
                <w:szCs w:val="14"/>
                <w:color w:val="auto"/>
              </w:rPr>
            </w:pPr>
          </w:p>
        </w:tc>
        <w:tc>
          <w:tcPr>
            <w:tcW w:w="66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Cover Page</w:t>
            </w:r>
          </w:p>
        </w:tc>
        <w:tc>
          <w:tcPr>
            <w:tcW w:w="3400" w:type="dxa"/>
            <w:vAlign w:val="bottom"/>
            <w:gridSpan w:val="2"/>
          </w:tcPr>
          <w:p>
            <w:pPr>
              <w:ind w:left="2100"/>
              <w:spacing w:after="0"/>
              <w:rPr>
                <w:sz w:val="20"/>
                <w:szCs w:val="20"/>
                <w:color w:val="auto"/>
              </w:rPr>
            </w:pPr>
            <w:r>
              <w:rPr>
                <w:rFonts w:ascii="Arial" w:cs="Arial" w:eastAsia="Arial" w:hAnsi="Arial"/>
                <w:sz w:val="15"/>
                <w:szCs w:val="15"/>
                <w:b w:val="1"/>
                <w:bCs w:val="1"/>
                <w:color w:val="auto"/>
              </w:rPr>
              <w:t>Page/Document</w:t>
            </w:r>
          </w:p>
        </w:tc>
        <w:tc>
          <w:tcPr>
            <w:tcW w:w="0" w:type="dxa"/>
            <w:vAlign w:val="bottom"/>
          </w:tcPr>
          <w:p>
            <w:pPr>
              <w:spacing w:after="0"/>
              <w:rPr>
                <w:sz w:val="1"/>
                <w:szCs w:val="1"/>
                <w:color w:val="auto"/>
              </w:rPr>
            </w:pPr>
          </w:p>
        </w:tc>
      </w:tr>
      <w:tr>
        <w:trPr>
          <w:trHeight w:val="185"/>
        </w:trPr>
        <w:tc>
          <w:tcPr>
            <w:tcW w:w="780" w:type="dxa"/>
            <w:vAlign w:val="bottom"/>
          </w:tcPr>
          <w:p>
            <w:pPr>
              <w:spacing w:after="0"/>
              <w:rPr>
                <w:sz w:val="20"/>
                <w:szCs w:val="20"/>
                <w:color w:val="auto"/>
              </w:rPr>
            </w:pPr>
            <w:r>
              <w:rPr>
                <w:rFonts w:ascii="Arial" w:cs="Arial" w:eastAsia="Arial" w:hAnsi="Arial"/>
                <w:sz w:val="16"/>
                <w:szCs w:val="16"/>
                <w:color w:val="auto"/>
              </w:rPr>
              <w:t>Item 1.</w:t>
            </w:r>
          </w:p>
        </w:tc>
        <w:tc>
          <w:tcPr>
            <w:tcW w:w="6640" w:type="dxa"/>
            <w:vAlign w:val="bottom"/>
            <w:gridSpan w:val="2"/>
            <w:vMerge w:val="continue"/>
          </w:tcPr>
          <w:p>
            <w:pPr>
              <w:spacing w:after="0"/>
              <w:rPr>
                <w:sz w:val="16"/>
                <w:szCs w:val="16"/>
                <w:color w:val="auto"/>
              </w:rPr>
            </w:pPr>
          </w:p>
        </w:tc>
        <w:tc>
          <w:tcPr>
            <w:tcW w:w="3400" w:type="dxa"/>
            <w:vAlign w:val="bottom"/>
            <w:gridSpan w:val="2"/>
          </w:tcPr>
          <w:p>
            <w:pPr>
              <w:ind w:left="2100"/>
              <w:spacing w:after="0"/>
              <w:rPr>
                <w:sz w:val="20"/>
                <w:szCs w:val="20"/>
                <w:color w:val="auto"/>
              </w:rPr>
            </w:pPr>
            <w:r>
              <w:rPr>
                <w:rFonts w:ascii="Arial" w:cs="Arial" w:eastAsia="Arial" w:hAnsi="Arial"/>
                <w:sz w:val="16"/>
                <w:szCs w:val="16"/>
                <w:color w:val="auto"/>
              </w:rPr>
              <w:t>Cover</w:t>
            </w:r>
          </w:p>
        </w:tc>
        <w:tc>
          <w:tcPr>
            <w:tcW w:w="0" w:type="dxa"/>
            <w:vAlign w:val="bottom"/>
          </w:tcPr>
          <w:p>
            <w:pPr>
              <w:spacing w:after="0"/>
              <w:rPr>
                <w:sz w:val="1"/>
                <w:szCs w:val="1"/>
                <w:color w:val="auto"/>
              </w:rPr>
            </w:pPr>
          </w:p>
        </w:tc>
      </w:tr>
      <w:tr>
        <w:trPr>
          <w:trHeight w:val="186"/>
        </w:trPr>
        <w:tc>
          <w:tcPr>
            <w:tcW w:w="780" w:type="dxa"/>
            <w:vAlign w:val="bottom"/>
          </w:tcPr>
          <w:p>
            <w:pPr>
              <w:spacing w:after="0"/>
              <w:rPr>
                <w:sz w:val="20"/>
                <w:szCs w:val="20"/>
                <w:color w:val="auto"/>
              </w:rPr>
            </w:pPr>
            <w:r>
              <w:rPr>
                <w:rFonts w:ascii="Arial" w:cs="Arial" w:eastAsia="Arial" w:hAnsi="Arial"/>
                <w:sz w:val="16"/>
                <w:szCs w:val="16"/>
                <w:color w:val="auto"/>
              </w:rPr>
              <w:t>Item 2.</w:t>
            </w:r>
          </w:p>
        </w:tc>
        <w:tc>
          <w:tcPr>
            <w:tcW w:w="6640" w:type="dxa"/>
            <w:vAlign w:val="bottom"/>
            <w:gridSpan w:val="2"/>
          </w:tcPr>
          <w:p>
            <w:pPr>
              <w:ind w:left="60"/>
              <w:spacing w:after="0"/>
              <w:rPr>
                <w:sz w:val="20"/>
                <w:szCs w:val="20"/>
                <w:color w:val="auto"/>
              </w:rPr>
            </w:pPr>
            <w:r>
              <w:rPr>
                <w:rFonts w:ascii="Arial" w:cs="Arial" w:eastAsia="Arial" w:hAnsi="Arial"/>
                <w:sz w:val="16"/>
                <w:szCs w:val="16"/>
                <w:b w:val="1"/>
                <w:bCs w:val="1"/>
                <w:color w:val="auto"/>
              </w:rPr>
              <w:t>Table of Contents</w:t>
            </w:r>
          </w:p>
        </w:tc>
        <w:tc>
          <w:tcPr>
            <w:tcW w:w="3380" w:type="dxa"/>
            <w:vAlign w:val="bottom"/>
          </w:tcPr>
          <w:p>
            <w:pPr>
              <w:ind w:left="2100"/>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80" w:type="dxa"/>
            <w:vAlign w:val="bottom"/>
          </w:tcPr>
          <w:p>
            <w:pPr>
              <w:spacing w:after="0"/>
              <w:rPr>
                <w:sz w:val="20"/>
                <w:szCs w:val="20"/>
                <w:color w:val="auto"/>
              </w:rPr>
            </w:pPr>
            <w:r>
              <w:rPr>
                <w:rFonts w:ascii="Arial" w:cs="Arial" w:eastAsia="Arial" w:hAnsi="Arial"/>
                <w:sz w:val="16"/>
                <w:szCs w:val="16"/>
                <w:color w:val="auto"/>
              </w:rPr>
              <w:t>Item 3.</w:t>
            </w:r>
          </w:p>
        </w:tc>
        <w:tc>
          <w:tcPr>
            <w:tcW w:w="6640" w:type="dxa"/>
            <w:vAlign w:val="bottom"/>
            <w:gridSpan w:val="2"/>
          </w:tcPr>
          <w:p>
            <w:pPr>
              <w:ind w:left="60"/>
              <w:spacing w:after="0"/>
              <w:rPr>
                <w:sz w:val="20"/>
                <w:szCs w:val="20"/>
                <w:color w:val="auto"/>
              </w:rPr>
            </w:pPr>
            <w:r>
              <w:rPr>
                <w:rFonts w:ascii="Arial" w:cs="Arial" w:eastAsia="Arial" w:hAnsi="Arial"/>
                <w:sz w:val="16"/>
                <w:szCs w:val="16"/>
                <w:b w:val="1"/>
                <w:bCs w:val="1"/>
                <w:color w:val="auto"/>
              </w:rPr>
              <w:t>Corporate Structure</w:t>
            </w:r>
          </w:p>
        </w:tc>
        <w:tc>
          <w:tcPr>
            <w:tcW w:w="3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auto"/>
                <w:w w:val="98"/>
              </w:rPr>
              <w:t>3.1</w:t>
            </w:r>
          </w:p>
        </w:tc>
        <w:tc>
          <w:tcPr>
            <w:tcW w:w="6340" w:type="dxa"/>
            <w:vAlign w:val="bottom"/>
          </w:tcPr>
          <w:p>
            <w:pPr>
              <w:ind w:left="40"/>
              <w:spacing w:after="0"/>
              <w:rPr>
                <w:sz w:val="20"/>
                <w:szCs w:val="20"/>
                <w:color w:val="auto"/>
              </w:rPr>
            </w:pPr>
            <w:r>
              <w:rPr>
                <w:rFonts w:ascii="Arial" w:cs="Arial" w:eastAsia="Arial" w:hAnsi="Arial"/>
                <w:sz w:val="16"/>
                <w:szCs w:val="16"/>
                <w:color w:val="auto"/>
              </w:rPr>
              <w:t>Name, Address And Incorporation</w:t>
            </w:r>
          </w:p>
        </w:tc>
        <w:tc>
          <w:tcPr>
            <w:tcW w:w="3380" w:type="dxa"/>
            <w:vAlign w:val="bottom"/>
          </w:tcPr>
          <w:p>
            <w:pPr>
              <w:ind w:left="2100"/>
              <w:spacing w:after="0"/>
              <w:rPr>
                <w:sz w:val="20"/>
                <w:szCs w:val="20"/>
                <w:color w:val="auto"/>
              </w:rPr>
            </w:pPr>
            <w:r>
              <w:rPr>
                <w:rFonts w:ascii="Arial" w:cs="Arial" w:eastAsia="Arial" w:hAnsi="Arial"/>
                <w:sz w:val="16"/>
                <w:szCs w:val="16"/>
                <w:color w:val="auto"/>
              </w:rPr>
              <w:t>152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auto"/>
                <w:w w:val="98"/>
              </w:rPr>
              <w:t>3.2</w:t>
            </w:r>
          </w:p>
        </w:tc>
        <w:tc>
          <w:tcPr>
            <w:tcW w:w="6340" w:type="dxa"/>
            <w:vAlign w:val="bottom"/>
          </w:tcPr>
          <w:p>
            <w:pPr>
              <w:ind w:left="40"/>
              <w:spacing w:after="0"/>
              <w:rPr>
                <w:sz w:val="20"/>
                <w:szCs w:val="20"/>
                <w:color w:val="auto"/>
              </w:rPr>
            </w:pPr>
            <w:r>
              <w:rPr>
                <w:rFonts w:ascii="Arial" w:cs="Arial" w:eastAsia="Arial" w:hAnsi="Arial"/>
                <w:sz w:val="16"/>
                <w:szCs w:val="16"/>
                <w:color w:val="auto"/>
              </w:rPr>
              <w:t>Intercorporate Relationships</w:t>
            </w:r>
          </w:p>
        </w:tc>
        <w:tc>
          <w:tcPr>
            <w:tcW w:w="3380" w:type="dxa"/>
            <w:vAlign w:val="bottom"/>
          </w:tcPr>
          <w:p>
            <w:pPr>
              <w:ind w:left="2100"/>
              <w:spacing w:after="0"/>
              <w:rPr>
                <w:sz w:val="20"/>
                <w:szCs w:val="20"/>
                <w:color w:val="auto"/>
              </w:rPr>
            </w:pPr>
            <w:r>
              <w:rPr>
                <w:rFonts w:ascii="Arial" w:cs="Arial" w:eastAsia="Arial" w:hAnsi="Arial"/>
                <w:sz w:val="16"/>
                <w:szCs w:val="16"/>
                <w:color w:val="auto"/>
              </w:rPr>
              <w:t>159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80" w:type="dxa"/>
            <w:vAlign w:val="bottom"/>
          </w:tcPr>
          <w:p>
            <w:pPr>
              <w:spacing w:after="0"/>
              <w:rPr>
                <w:sz w:val="20"/>
                <w:szCs w:val="20"/>
                <w:color w:val="auto"/>
              </w:rPr>
            </w:pPr>
            <w:r>
              <w:rPr>
                <w:rFonts w:ascii="Arial" w:cs="Arial" w:eastAsia="Arial" w:hAnsi="Arial"/>
                <w:sz w:val="16"/>
                <w:szCs w:val="16"/>
                <w:color w:val="auto"/>
              </w:rPr>
              <w:t>Item 4.</w:t>
            </w:r>
          </w:p>
        </w:tc>
        <w:tc>
          <w:tcPr>
            <w:tcW w:w="6640" w:type="dxa"/>
            <w:vAlign w:val="bottom"/>
            <w:gridSpan w:val="2"/>
          </w:tcPr>
          <w:p>
            <w:pPr>
              <w:ind w:left="60"/>
              <w:spacing w:after="0"/>
              <w:rPr>
                <w:sz w:val="20"/>
                <w:szCs w:val="20"/>
                <w:color w:val="auto"/>
              </w:rPr>
            </w:pPr>
            <w:r>
              <w:rPr>
                <w:rFonts w:ascii="Arial" w:cs="Arial" w:eastAsia="Arial" w:hAnsi="Arial"/>
                <w:sz w:val="16"/>
                <w:szCs w:val="16"/>
                <w:b w:val="1"/>
                <w:bCs w:val="1"/>
                <w:color w:val="auto"/>
              </w:rPr>
              <w:t>General Development of the Business</w:t>
            </w:r>
          </w:p>
        </w:tc>
        <w:tc>
          <w:tcPr>
            <w:tcW w:w="3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auto"/>
                <w:w w:val="98"/>
              </w:rPr>
              <w:t>4.1</w:t>
            </w:r>
          </w:p>
        </w:tc>
        <w:tc>
          <w:tcPr>
            <w:tcW w:w="6340" w:type="dxa"/>
            <w:vAlign w:val="bottom"/>
          </w:tcPr>
          <w:p>
            <w:pPr>
              <w:ind w:left="40"/>
              <w:spacing w:after="0"/>
              <w:rPr>
                <w:sz w:val="20"/>
                <w:szCs w:val="20"/>
                <w:color w:val="auto"/>
              </w:rPr>
            </w:pPr>
            <w:r>
              <w:rPr>
                <w:rFonts w:ascii="Arial" w:cs="Arial" w:eastAsia="Arial" w:hAnsi="Arial"/>
                <w:sz w:val="16"/>
                <w:szCs w:val="16"/>
                <w:color w:val="auto"/>
              </w:rPr>
              <w:t>Three Year History</w:t>
            </w:r>
          </w:p>
        </w:tc>
        <w:tc>
          <w:tcPr>
            <w:tcW w:w="3380" w:type="dxa"/>
            <w:vAlign w:val="bottom"/>
          </w:tcPr>
          <w:p>
            <w:pPr>
              <w:ind w:left="2100"/>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80" w:type="dxa"/>
            <w:vAlign w:val="bottom"/>
          </w:tcPr>
          <w:p>
            <w:pPr>
              <w:spacing w:after="0"/>
              <w:rPr>
                <w:sz w:val="16"/>
                <w:szCs w:val="16"/>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auto"/>
                <w:w w:val="98"/>
              </w:rPr>
              <w:t>4.2</w:t>
            </w:r>
          </w:p>
        </w:tc>
        <w:tc>
          <w:tcPr>
            <w:tcW w:w="6340" w:type="dxa"/>
            <w:vAlign w:val="bottom"/>
          </w:tcPr>
          <w:p>
            <w:pPr>
              <w:ind w:left="40"/>
              <w:spacing w:after="0"/>
              <w:rPr>
                <w:sz w:val="20"/>
                <w:szCs w:val="20"/>
                <w:color w:val="auto"/>
              </w:rPr>
            </w:pPr>
            <w:r>
              <w:rPr>
                <w:rFonts w:ascii="Arial" w:cs="Arial" w:eastAsia="Arial" w:hAnsi="Arial"/>
                <w:sz w:val="16"/>
                <w:szCs w:val="16"/>
                <w:color w:val="auto"/>
              </w:rPr>
              <w:t>Significant Acquisitions</w:t>
            </w:r>
          </w:p>
        </w:tc>
        <w:tc>
          <w:tcPr>
            <w:tcW w:w="3380" w:type="dxa"/>
            <w:vAlign w:val="bottom"/>
          </w:tcPr>
          <w:p>
            <w:pPr>
              <w:ind w:left="2100"/>
              <w:spacing w:after="0"/>
              <w:rPr>
                <w:sz w:val="20"/>
                <w:szCs w:val="20"/>
                <w:color w:val="auto"/>
              </w:rPr>
            </w:pPr>
            <w:r>
              <w:rPr>
                <w:rFonts w:ascii="Arial" w:cs="Arial" w:eastAsia="Arial" w:hAnsi="Arial"/>
                <w:sz w:val="16"/>
                <w:szCs w:val="16"/>
                <w:color w:val="auto"/>
              </w:rPr>
              <w:t>11, 32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0" w:type="dxa"/>
            <w:vAlign w:val="bottom"/>
          </w:tcPr>
          <w:p>
            <w:pPr>
              <w:spacing w:after="0"/>
              <w:rPr>
                <w:sz w:val="20"/>
                <w:szCs w:val="20"/>
                <w:color w:val="auto"/>
              </w:rPr>
            </w:pPr>
            <w:r>
              <w:rPr>
                <w:rFonts w:ascii="Arial" w:cs="Arial" w:eastAsia="Arial" w:hAnsi="Arial"/>
                <w:sz w:val="16"/>
                <w:szCs w:val="16"/>
                <w:color w:val="auto"/>
              </w:rPr>
              <w:t>Item 5.</w:t>
            </w:r>
          </w:p>
        </w:tc>
        <w:tc>
          <w:tcPr>
            <w:tcW w:w="6640" w:type="dxa"/>
            <w:vAlign w:val="bottom"/>
            <w:gridSpan w:val="2"/>
          </w:tcPr>
          <w:p>
            <w:pPr>
              <w:ind w:left="60"/>
              <w:spacing w:after="0"/>
              <w:rPr>
                <w:sz w:val="20"/>
                <w:szCs w:val="20"/>
                <w:color w:val="auto"/>
              </w:rPr>
            </w:pPr>
            <w:r>
              <w:rPr>
                <w:rFonts w:ascii="Arial" w:cs="Arial" w:eastAsia="Arial" w:hAnsi="Arial"/>
                <w:sz w:val="16"/>
                <w:szCs w:val="16"/>
                <w:b w:val="1"/>
                <w:bCs w:val="1"/>
                <w:color w:val="auto"/>
              </w:rPr>
              <w:t>Describe the Business</w:t>
            </w:r>
          </w:p>
        </w:tc>
        <w:tc>
          <w:tcPr>
            <w:tcW w:w="3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80" w:type="dxa"/>
            <w:vAlign w:val="bottom"/>
          </w:tcPr>
          <w:p>
            <w:pPr>
              <w:spacing w:after="0"/>
              <w:rPr>
                <w:sz w:val="16"/>
                <w:szCs w:val="16"/>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auto"/>
                <w:w w:val="98"/>
              </w:rPr>
              <w:t>5.1</w:t>
            </w:r>
          </w:p>
        </w:tc>
        <w:tc>
          <w:tcPr>
            <w:tcW w:w="6340" w:type="dxa"/>
            <w:vAlign w:val="bottom"/>
          </w:tcPr>
          <w:p>
            <w:pPr>
              <w:ind w:left="40"/>
              <w:spacing w:after="0"/>
              <w:rPr>
                <w:sz w:val="20"/>
                <w:szCs w:val="20"/>
                <w:color w:val="auto"/>
              </w:rPr>
            </w:pPr>
            <w:r>
              <w:rPr>
                <w:rFonts w:ascii="Arial" w:cs="Arial" w:eastAsia="Arial" w:hAnsi="Arial"/>
                <w:sz w:val="16"/>
                <w:szCs w:val="16"/>
                <w:color w:val="auto"/>
              </w:rPr>
              <w:t>General</w:t>
            </w:r>
          </w:p>
        </w:tc>
        <w:tc>
          <w:tcPr>
            <w:tcW w:w="3380" w:type="dxa"/>
            <w:vAlign w:val="bottom"/>
          </w:tcPr>
          <w:p>
            <w:pPr>
              <w:ind w:left="2100"/>
              <w:spacing w:after="0"/>
              <w:rPr>
                <w:sz w:val="20"/>
                <w:szCs w:val="20"/>
                <w:color w:val="auto"/>
              </w:rPr>
            </w:pPr>
            <w:r>
              <w:rPr>
                <w:rFonts w:ascii="Arial" w:cs="Arial" w:eastAsia="Arial" w:hAnsi="Arial"/>
                <w:sz w:val="16"/>
                <w:szCs w:val="16"/>
                <w:color w:val="auto"/>
              </w:rPr>
              <w:t>2-15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auto"/>
                <w:w w:val="98"/>
              </w:rPr>
              <w:t>5.2</w:t>
            </w:r>
          </w:p>
        </w:tc>
        <w:tc>
          <w:tcPr>
            <w:tcW w:w="6340" w:type="dxa"/>
            <w:vAlign w:val="bottom"/>
          </w:tcPr>
          <w:p>
            <w:pPr>
              <w:ind w:left="40"/>
              <w:spacing w:after="0"/>
              <w:rPr>
                <w:sz w:val="20"/>
                <w:szCs w:val="20"/>
                <w:color w:val="auto"/>
              </w:rPr>
            </w:pPr>
            <w:r>
              <w:rPr>
                <w:rFonts w:ascii="Arial" w:cs="Arial" w:eastAsia="Arial" w:hAnsi="Arial"/>
                <w:sz w:val="16"/>
                <w:szCs w:val="16"/>
                <w:color w:val="auto"/>
              </w:rPr>
              <w:t>Risk Factors</w:t>
            </w:r>
          </w:p>
        </w:tc>
        <w:tc>
          <w:tcPr>
            <w:tcW w:w="3380" w:type="dxa"/>
            <w:vAlign w:val="bottom"/>
          </w:tcPr>
          <w:p>
            <w:pPr>
              <w:ind w:left="2100"/>
              <w:spacing w:after="0"/>
              <w:rPr>
                <w:sz w:val="20"/>
                <w:szCs w:val="20"/>
                <w:color w:val="auto"/>
              </w:rPr>
            </w:pPr>
            <w:r>
              <w:rPr>
                <w:rFonts w:ascii="Arial" w:cs="Arial" w:eastAsia="Arial" w:hAnsi="Arial"/>
                <w:sz w:val="16"/>
                <w:szCs w:val="16"/>
                <w:color w:val="auto"/>
              </w:rPr>
              <w:t>16-27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80" w:type="dxa"/>
            <w:vAlign w:val="bottom"/>
          </w:tcPr>
          <w:p>
            <w:pPr>
              <w:spacing w:after="0"/>
              <w:rPr>
                <w:sz w:val="16"/>
                <w:szCs w:val="16"/>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auto"/>
                <w:w w:val="98"/>
              </w:rPr>
              <w:t>5.3</w:t>
            </w:r>
          </w:p>
        </w:tc>
        <w:tc>
          <w:tcPr>
            <w:tcW w:w="6340" w:type="dxa"/>
            <w:vAlign w:val="bottom"/>
          </w:tcPr>
          <w:p>
            <w:pPr>
              <w:ind w:left="40"/>
              <w:spacing w:after="0"/>
              <w:rPr>
                <w:sz w:val="20"/>
                <w:szCs w:val="20"/>
                <w:color w:val="auto"/>
              </w:rPr>
            </w:pPr>
            <w:r>
              <w:rPr>
                <w:rFonts w:ascii="Arial" w:cs="Arial" w:eastAsia="Arial" w:hAnsi="Arial"/>
                <w:sz w:val="16"/>
                <w:szCs w:val="16"/>
                <w:color w:val="auto"/>
              </w:rPr>
              <w:t>Companies With Asset-Backed Securities Outstanding</w:t>
            </w:r>
          </w:p>
        </w:tc>
        <w:tc>
          <w:tcPr>
            <w:tcW w:w="3400" w:type="dxa"/>
            <w:vAlign w:val="bottom"/>
            <w:gridSpan w:val="2"/>
          </w:tcPr>
          <w:p>
            <w:pPr>
              <w:ind w:left="210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5"/>
        </w:trPr>
        <w:tc>
          <w:tcPr>
            <w:tcW w:w="780" w:type="dxa"/>
            <w:vAlign w:val="bottom"/>
          </w:tcPr>
          <w:p>
            <w:pPr>
              <w:spacing w:after="0"/>
              <w:rPr>
                <w:sz w:val="16"/>
                <w:szCs w:val="16"/>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auto"/>
                <w:w w:val="98"/>
              </w:rPr>
              <w:t>5.4</w:t>
            </w:r>
          </w:p>
        </w:tc>
        <w:tc>
          <w:tcPr>
            <w:tcW w:w="6340" w:type="dxa"/>
            <w:vAlign w:val="bottom"/>
          </w:tcPr>
          <w:p>
            <w:pPr>
              <w:ind w:left="40"/>
              <w:spacing w:after="0"/>
              <w:rPr>
                <w:sz w:val="20"/>
                <w:szCs w:val="20"/>
                <w:color w:val="auto"/>
              </w:rPr>
            </w:pPr>
            <w:r>
              <w:rPr>
                <w:rFonts w:ascii="Arial" w:cs="Arial" w:eastAsia="Arial" w:hAnsi="Arial"/>
                <w:sz w:val="16"/>
                <w:szCs w:val="16"/>
                <w:color w:val="auto"/>
              </w:rPr>
              <w:t>Companies With Mineral Projects</w:t>
            </w:r>
          </w:p>
        </w:tc>
        <w:tc>
          <w:tcPr>
            <w:tcW w:w="3400" w:type="dxa"/>
            <w:vAlign w:val="bottom"/>
            <w:gridSpan w:val="2"/>
          </w:tcPr>
          <w:p>
            <w:pPr>
              <w:ind w:left="210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auto"/>
                <w:w w:val="98"/>
              </w:rPr>
              <w:t>5.5</w:t>
            </w:r>
          </w:p>
        </w:tc>
        <w:tc>
          <w:tcPr>
            <w:tcW w:w="6340" w:type="dxa"/>
            <w:vAlign w:val="bottom"/>
          </w:tcPr>
          <w:p>
            <w:pPr>
              <w:ind w:left="40"/>
              <w:spacing w:after="0"/>
              <w:rPr>
                <w:sz w:val="20"/>
                <w:szCs w:val="20"/>
                <w:color w:val="auto"/>
              </w:rPr>
            </w:pPr>
            <w:r>
              <w:rPr>
                <w:rFonts w:ascii="Arial" w:cs="Arial" w:eastAsia="Arial" w:hAnsi="Arial"/>
                <w:sz w:val="16"/>
                <w:szCs w:val="16"/>
                <w:color w:val="auto"/>
              </w:rPr>
              <w:t>Companies With Oil And Gas Activities</w:t>
            </w:r>
          </w:p>
        </w:tc>
        <w:tc>
          <w:tcPr>
            <w:tcW w:w="3400" w:type="dxa"/>
            <w:vAlign w:val="bottom"/>
            <w:gridSpan w:val="2"/>
          </w:tcPr>
          <w:p>
            <w:pPr>
              <w:ind w:left="210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5"/>
        </w:trPr>
        <w:tc>
          <w:tcPr>
            <w:tcW w:w="780" w:type="dxa"/>
            <w:vAlign w:val="bottom"/>
          </w:tcPr>
          <w:p>
            <w:pPr>
              <w:spacing w:after="0"/>
              <w:rPr>
                <w:sz w:val="20"/>
                <w:szCs w:val="20"/>
                <w:color w:val="auto"/>
              </w:rPr>
            </w:pPr>
            <w:r>
              <w:rPr>
                <w:rFonts w:ascii="Arial" w:cs="Arial" w:eastAsia="Arial" w:hAnsi="Arial"/>
                <w:sz w:val="16"/>
                <w:szCs w:val="16"/>
                <w:color w:val="auto"/>
              </w:rPr>
              <w:t>Item 6.</w:t>
            </w:r>
          </w:p>
        </w:tc>
        <w:tc>
          <w:tcPr>
            <w:tcW w:w="6640" w:type="dxa"/>
            <w:vAlign w:val="bottom"/>
            <w:gridSpan w:val="2"/>
          </w:tcPr>
          <w:p>
            <w:pPr>
              <w:ind w:left="60"/>
              <w:spacing w:after="0"/>
              <w:rPr>
                <w:sz w:val="20"/>
                <w:szCs w:val="20"/>
                <w:color w:val="auto"/>
              </w:rPr>
            </w:pPr>
            <w:r>
              <w:rPr>
                <w:rFonts w:ascii="Arial" w:cs="Arial" w:eastAsia="Arial" w:hAnsi="Arial"/>
                <w:sz w:val="16"/>
                <w:szCs w:val="16"/>
                <w:b w:val="1"/>
                <w:bCs w:val="1"/>
                <w:color w:val="auto"/>
              </w:rPr>
              <w:t>Dividends</w:t>
            </w:r>
          </w:p>
        </w:tc>
        <w:tc>
          <w:tcPr>
            <w:tcW w:w="3380" w:type="dxa"/>
            <w:vAlign w:val="bottom"/>
          </w:tcPr>
          <w:p>
            <w:pPr>
              <w:ind w:left="2100"/>
              <w:spacing w:after="0"/>
              <w:rPr>
                <w:sz w:val="20"/>
                <w:szCs w:val="20"/>
                <w:color w:val="auto"/>
              </w:rPr>
            </w:pPr>
            <w:r>
              <w:rPr>
                <w:rFonts w:ascii="Arial" w:cs="Arial" w:eastAsia="Arial" w:hAnsi="Arial"/>
                <w:sz w:val="16"/>
                <w:szCs w:val="16"/>
                <w:color w:val="auto"/>
              </w:rPr>
              <w:t>154-155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80" w:type="dxa"/>
            <w:vAlign w:val="bottom"/>
          </w:tcPr>
          <w:p>
            <w:pPr>
              <w:spacing w:after="0"/>
              <w:rPr>
                <w:sz w:val="20"/>
                <w:szCs w:val="20"/>
                <w:color w:val="auto"/>
              </w:rPr>
            </w:pPr>
            <w:r>
              <w:rPr>
                <w:rFonts w:ascii="Arial" w:cs="Arial" w:eastAsia="Arial" w:hAnsi="Arial"/>
                <w:sz w:val="16"/>
                <w:szCs w:val="16"/>
                <w:color w:val="auto"/>
              </w:rPr>
              <w:t>Item 7.</w:t>
            </w:r>
          </w:p>
        </w:tc>
        <w:tc>
          <w:tcPr>
            <w:tcW w:w="6640" w:type="dxa"/>
            <w:vAlign w:val="bottom"/>
            <w:gridSpan w:val="2"/>
          </w:tcPr>
          <w:p>
            <w:pPr>
              <w:ind w:left="60"/>
              <w:spacing w:after="0"/>
              <w:rPr>
                <w:sz w:val="20"/>
                <w:szCs w:val="20"/>
                <w:color w:val="auto"/>
              </w:rPr>
            </w:pPr>
            <w:r>
              <w:rPr>
                <w:rFonts w:ascii="Arial" w:cs="Arial" w:eastAsia="Arial" w:hAnsi="Arial"/>
                <w:sz w:val="16"/>
                <w:szCs w:val="16"/>
                <w:b w:val="1"/>
                <w:bCs w:val="1"/>
                <w:color w:val="auto"/>
              </w:rPr>
              <w:t>Description of Capital Structure</w:t>
            </w:r>
          </w:p>
        </w:tc>
        <w:tc>
          <w:tcPr>
            <w:tcW w:w="3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80" w:type="dxa"/>
            <w:vAlign w:val="bottom"/>
          </w:tcPr>
          <w:p>
            <w:pPr>
              <w:spacing w:after="0"/>
              <w:rPr>
                <w:sz w:val="16"/>
                <w:szCs w:val="16"/>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auto"/>
                <w:w w:val="98"/>
              </w:rPr>
              <w:t>7.1</w:t>
            </w:r>
          </w:p>
        </w:tc>
        <w:tc>
          <w:tcPr>
            <w:tcW w:w="6340" w:type="dxa"/>
            <w:vAlign w:val="bottom"/>
          </w:tcPr>
          <w:p>
            <w:pPr>
              <w:ind w:left="40"/>
              <w:spacing w:after="0"/>
              <w:rPr>
                <w:sz w:val="20"/>
                <w:szCs w:val="20"/>
                <w:color w:val="auto"/>
              </w:rPr>
            </w:pPr>
            <w:r>
              <w:rPr>
                <w:rFonts w:ascii="Arial" w:cs="Arial" w:eastAsia="Arial" w:hAnsi="Arial"/>
                <w:sz w:val="16"/>
                <w:szCs w:val="16"/>
                <w:color w:val="auto"/>
              </w:rPr>
              <w:t>General Description Of Capital Structure</w:t>
            </w:r>
          </w:p>
        </w:tc>
        <w:tc>
          <w:tcPr>
            <w:tcW w:w="3380" w:type="dxa"/>
            <w:vAlign w:val="bottom"/>
          </w:tcPr>
          <w:p>
            <w:pPr>
              <w:ind w:left="2100"/>
              <w:spacing w:after="0"/>
              <w:rPr>
                <w:sz w:val="20"/>
                <w:szCs w:val="20"/>
                <w:color w:val="auto"/>
              </w:rPr>
            </w:pPr>
            <w:r>
              <w:rPr>
                <w:rFonts w:ascii="Arial" w:cs="Arial" w:eastAsia="Arial" w:hAnsi="Arial"/>
                <w:sz w:val="16"/>
                <w:szCs w:val="16"/>
                <w:color w:val="auto"/>
              </w:rPr>
              <w:t>152-153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80" w:type="dxa"/>
            <w:vAlign w:val="bottom"/>
          </w:tcPr>
          <w:p>
            <w:pPr>
              <w:spacing w:after="0"/>
              <w:rPr>
                <w:sz w:val="16"/>
                <w:szCs w:val="16"/>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auto"/>
                <w:w w:val="98"/>
              </w:rPr>
              <w:t>7.2</w:t>
            </w:r>
          </w:p>
        </w:tc>
        <w:tc>
          <w:tcPr>
            <w:tcW w:w="6340" w:type="dxa"/>
            <w:vAlign w:val="bottom"/>
          </w:tcPr>
          <w:p>
            <w:pPr>
              <w:ind w:left="40"/>
              <w:spacing w:after="0"/>
              <w:rPr>
                <w:sz w:val="20"/>
                <w:szCs w:val="20"/>
                <w:color w:val="auto"/>
              </w:rPr>
            </w:pPr>
            <w:r>
              <w:rPr>
                <w:rFonts w:ascii="Arial" w:cs="Arial" w:eastAsia="Arial" w:hAnsi="Arial"/>
                <w:sz w:val="16"/>
                <w:szCs w:val="16"/>
                <w:color w:val="auto"/>
              </w:rPr>
              <w:t>Constraints</w:t>
            </w:r>
          </w:p>
        </w:tc>
        <w:tc>
          <w:tcPr>
            <w:tcW w:w="3400" w:type="dxa"/>
            <w:vAlign w:val="bottom"/>
            <w:gridSpan w:val="2"/>
          </w:tcPr>
          <w:p>
            <w:pPr>
              <w:ind w:left="210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5"/>
        </w:trPr>
        <w:tc>
          <w:tcPr>
            <w:tcW w:w="780" w:type="dxa"/>
            <w:vAlign w:val="bottom"/>
          </w:tcPr>
          <w:p>
            <w:pPr>
              <w:spacing w:after="0"/>
              <w:rPr>
                <w:sz w:val="16"/>
                <w:szCs w:val="16"/>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auto"/>
                <w:w w:val="98"/>
              </w:rPr>
              <w:t>7.3</w:t>
            </w:r>
          </w:p>
        </w:tc>
        <w:tc>
          <w:tcPr>
            <w:tcW w:w="6340" w:type="dxa"/>
            <w:vAlign w:val="bottom"/>
          </w:tcPr>
          <w:p>
            <w:pPr>
              <w:ind w:left="40"/>
              <w:spacing w:after="0"/>
              <w:rPr>
                <w:sz w:val="20"/>
                <w:szCs w:val="20"/>
                <w:color w:val="auto"/>
              </w:rPr>
            </w:pPr>
            <w:r>
              <w:rPr>
                <w:rFonts w:ascii="Arial" w:cs="Arial" w:eastAsia="Arial" w:hAnsi="Arial"/>
                <w:sz w:val="16"/>
                <w:szCs w:val="16"/>
                <w:color w:val="auto"/>
              </w:rPr>
              <w:t>Ratings</w:t>
            </w:r>
          </w:p>
        </w:tc>
        <w:tc>
          <w:tcPr>
            <w:tcW w:w="3380" w:type="dxa"/>
            <w:vAlign w:val="bottom"/>
          </w:tcPr>
          <w:p>
            <w:pPr>
              <w:ind w:left="2100"/>
              <w:spacing w:after="0"/>
              <w:rPr>
                <w:sz w:val="20"/>
                <w:szCs w:val="20"/>
                <w:color w:val="auto"/>
              </w:rPr>
            </w:pPr>
            <w:r>
              <w:rPr>
                <w:rFonts w:ascii="Arial" w:cs="Arial" w:eastAsia="Arial" w:hAnsi="Arial"/>
                <w:sz w:val="16"/>
                <w:szCs w:val="16"/>
                <w:color w:val="auto"/>
              </w:rPr>
              <w:t>155-156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0" w:type="dxa"/>
            <w:vAlign w:val="bottom"/>
          </w:tcPr>
          <w:p>
            <w:pPr>
              <w:spacing w:after="0"/>
              <w:rPr>
                <w:sz w:val="20"/>
                <w:szCs w:val="20"/>
                <w:color w:val="auto"/>
              </w:rPr>
            </w:pPr>
            <w:r>
              <w:rPr>
                <w:rFonts w:ascii="Arial" w:cs="Arial" w:eastAsia="Arial" w:hAnsi="Arial"/>
                <w:sz w:val="16"/>
                <w:szCs w:val="16"/>
                <w:color w:val="auto"/>
              </w:rPr>
              <w:t>Item 8.</w:t>
            </w:r>
          </w:p>
        </w:tc>
        <w:tc>
          <w:tcPr>
            <w:tcW w:w="66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Market for Securities</w:t>
            </w:r>
          </w:p>
        </w:tc>
        <w:tc>
          <w:tcPr>
            <w:tcW w:w="3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80" w:type="dxa"/>
            <w:vAlign w:val="bottom"/>
          </w:tcPr>
          <w:p>
            <w:pPr>
              <w:spacing w:after="0"/>
              <w:rPr>
                <w:sz w:val="16"/>
                <w:szCs w:val="16"/>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auto"/>
                <w:w w:val="98"/>
              </w:rPr>
              <w:t>8.1</w:t>
            </w:r>
          </w:p>
        </w:tc>
        <w:tc>
          <w:tcPr>
            <w:tcW w:w="6340" w:type="dxa"/>
            <w:vAlign w:val="bottom"/>
          </w:tcPr>
          <w:p>
            <w:pPr>
              <w:ind w:left="40"/>
              <w:spacing w:after="0"/>
              <w:rPr>
                <w:sz w:val="20"/>
                <w:szCs w:val="20"/>
                <w:color w:val="auto"/>
              </w:rPr>
            </w:pPr>
            <w:r>
              <w:rPr>
                <w:rFonts w:ascii="Arial" w:cs="Arial" w:eastAsia="Arial" w:hAnsi="Arial"/>
                <w:sz w:val="16"/>
                <w:szCs w:val="16"/>
                <w:color w:val="auto"/>
              </w:rPr>
              <w:t>Trading Price And Volume</w:t>
            </w:r>
          </w:p>
        </w:tc>
        <w:tc>
          <w:tcPr>
            <w:tcW w:w="3380" w:type="dxa"/>
            <w:vAlign w:val="bottom"/>
          </w:tcPr>
          <w:p>
            <w:pPr>
              <w:ind w:left="2100"/>
              <w:spacing w:after="0"/>
              <w:rPr>
                <w:sz w:val="20"/>
                <w:szCs w:val="20"/>
                <w:color w:val="auto"/>
              </w:rPr>
            </w:pPr>
            <w:r>
              <w:rPr>
                <w:rFonts w:ascii="Arial" w:cs="Arial" w:eastAsia="Arial" w:hAnsi="Arial"/>
                <w:sz w:val="16"/>
                <w:szCs w:val="16"/>
                <w:color w:val="auto"/>
              </w:rPr>
              <w:t>153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80" w:type="dxa"/>
            <w:vAlign w:val="bottom"/>
          </w:tcPr>
          <w:p>
            <w:pPr>
              <w:spacing w:after="0"/>
              <w:rPr>
                <w:sz w:val="16"/>
                <w:szCs w:val="16"/>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auto"/>
                <w:w w:val="98"/>
              </w:rPr>
              <w:t>8.2</w:t>
            </w:r>
          </w:p>
        </w:tc>
        <w:tc>
          <w:tcPr>
            <w:tcW w:w="6340" w:type="dxa"/>
            <w:vAlign w:val="bottom"/>
          </w:tcPr>
          <w:p>
            <w:pPr>
              <w:ind w:left="40"/>
              <w:spacing w:after="0"/>
              <w:rPr>
                <w:sz w:val="20"/>
                <w:szCs w:val="20"/>
                <w:color w:val="auto"/>
              </w:rPr>
            </w:pPr>
            <w:r>
              <w:rPr>
                <w:rFonts w:ascii="Arial" w:cs="Arial" w:eastAsia="Arial" w:hAnsi="Arial"/>
                <w:sz w:val="16"/>
                <w:szCs w:val="16"/>
                <w:color w:val="auto"/>
              </w:rPr>
              <w:t>Prior Sales</w:t>
            </w:r>
          </w:p>
        </w:tc>
        <w:tc>
          <w:tcPr>
            <w:tcW w:w="3400" w:type="dxa"/>
            <w:vAlign w:val="bottom"/>
            <w:gridSpan w:val="2"/>
          </w:tcPr>
          <w:p>
            <w:pPr>
              <w:ind w:left="210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5"/>
        </w:trPr>
        <w:tc>
          <w:tcPr>
            <w:tcW w:w="780" w:type="dxa"/>
            <w:vAlign w:val="bottom"/>
          </w:tcPr>
          <w:p>
            <w:pPr>
              <w:spacing w:after="0"/>
              <w:rPr>
                <w:sz w:val="20"/>
                <w:szCs w:val="20"/>
                <w:color w:val="auto"/>
              </w:rPr>
            </w:pPr>
            <w:r>
              <w:rPr>
                <w:rFonts w:ascii="Arial" w:cs="Arial" w:eastAsia="Arial" w:hAnsi="Arial"/>
                <w:sz w:val="16"/>
                <w:szCs w:val="16"/>
                <w:color w:val="auto"/>
              </w:rPr>
              <w:t>Item 9.</w:t>
            </w:r>
          </w:p>
        </w:tc>
        <w:tc>
          <w:tcPr>
            <w:tcW w:w="6640" w:type="dxa"/>
            <w:vAlign w:val="bottom"/>
            <w:gridSpan w:val="2"/>
          </w:tcPr>
          <w:p>
            <w:pPr>
              <w:ind w:left="60"/>
              <w:spacing w:after="0"/>
              <w:rPr>
                <w:sz w:val="20"/>
                <w:szCs w:val="20"/>
                <w:color w:val="auto"/>
              </w:rPr>
            </w:pPr>
            <w:r>
              <w:rPr>
                <w:rFonts w:ascii="Arial" w:cs="Arial" w:eastAsia="Arial" w:hAnsi="Arial"/>
                <w:sz w:val="16"/>
                <w:szCs w:val="16"/>
                <w:b w:val="1"/>
                <w:bCs w:val="1"/>
                <w:color w:val="auto"/>
              </w:rPr>
              <w:t>Escrowed Securities and Securities Subject to Contractual Restriction on Transfer</w:t>
            </w:r>
          </w:p>
        </w:tc>
        <w:tc>
          <w:tcPr>
            <w:tcW w:w="3400" w:type="dxa"/>
            <w:vAlign w:val="bottom"/>
            <w:gridSpan w:val="2"/>
          </w:tcPr>
          <w:p>
            <w:pPr>
              <w:ind w:left="210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5"/>
        </w:trPr>
        <w:tc>
          <w:tcPr>
            <w:tcW w:w="780" w:type="dxa"/>
            <w:vAlign w:val="bottom"/>
          </w:tcPr>
          <w:p>
            <w:pPr>
              <w:spacing w:after="0"/>
              <w:rPr>
                <w:sz w:val="20"/>
                <w:szCs w:val="20"/>
                <w:color w:val="auto"/>
              </w:rPr>
            </w:pPr>
            <w:r>
              <w:rPr>
                <w:rFonts w:ascii="Arial" w:cs="Arial" w:eastAsia="Arial" w:hAnsi="Arial"/>
                <w:sz w:val="16"/>
                <w:szCs w:val="16"/>
                <w:color w:val="auto"/>
              </w:rPr>
              <w:t>Item 10.</w:t>
            </w:r>
          </w:p>
        </w:tc>
        <w:tc>
          <w:tcPr>
            <w:tcW w:w="6640" w:type="dxa"/>
            <w:vAlign w:val="bottom"/>
            <w:gridSpan w:val="2"/>
          </w:tcPr>
          <w:p>
            <w:pPr>
              <w:ind w:left="60"/>
              <w:spacing w:after="0"/>
              <w:rPr>
                <w:sz w:val="20"/>
                <w:szCs w:val="20"/>
                <w:color w:val="auto"/>
              </w:rPr>
            </w:pPr>
            <w:r>
              <w:rPr>
                <w:rFonts w:ascii="Arial" w:cs="Arial" w:eastAsia="Arial" w:hAnsi="Arial"/>
                <w:sz w:val="16"/>
                <w:szCs w:val="16"/>
                <w:b w:val="1"/>
                <w:bCs w:val="1"/>
                <w:color w:val="auto"/>
              </w:rPr>
              <w:t>Directors and Officers</w:t>
            </w:r>
          </w:p>
        </w:tc>
        <w:tc>
          <w:tcPr>
            <w:tcW w:w="3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80" w:type="dxa"/>
            <w:vAlign w:val="bottom"/>
          </w:tcPr>
          <w:p>
            <w:pPr>
              <w:spacing w:after="0"/>
              <w:rPr>
                <w:sz w:val="16"/>
                <w:szCs w:val="16"/>
                <w:color w:val="auto"/>
              </w:rPr>
            </w:pPr>
          </w:p>
        </w:tc>
        <w:tc>
          <w:tcPr>
            <w:tcW w:w="6640" w:type="dxa"/>
            <w:vAlign w:val="bottom"/>
            <w:gridSpan w:val="2"/>
          </w:tcPr>
          <w:p>
            <w:pPr>
              <w:ind w:left="60"/>
              <w:spacing w:after="0"/>
              <w:rPr>
                <w:sz w:val="20"/>
                <w:szCs w:val="20"/>
                <w:color w:val="auto"/>
              </w:rPr>
            </w:pPr>
            <w:r>
              <w:rPr>
                <w:rFonts w:ascii="Arial" w:cs="Arial" w:eastAsia="Arial" w:hAnsi="Arial"/>
                <w:sz w:val="16"/>
                <w:szCs w:val="16"/>
                <w:color w:val="auto"/>
              </w:rPr>
              <w:t>10.1 Name, Occupation And Security Holding</w:t>
            </w:r>
          </w:p>
        </w:tc>
        <w:tc>
          <w:tcPr>
            <w:tcW w:w="3380" w:type="dxa"/>
            <w:vAlign w:val="bottom"/>
          </w:tcPr>
          <w:p>
            <w:pPr>
              <w:ind w:left="2100"/>
              <w:spacing w:after="0"/>
              <w:rPr>
                <w:sz w:val="20"/>
                <w:szCs w:val="20"/>
                <w:color w:val="auto"/>
              </w:rPr>
            </w:pPr>
            <w:r>
              <w:rPr>
                <w:rFonts w:ascii="Arial" w:cs="Arial" w:eastAsia="Arial" w:hAnsi="Arial"/>
                <w:sz w:val="16"/>
                <w:szCs w:val="16"/>
                <w:color w:val="auto"/>
              </w:rPr>
              <w:t>142-151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6640" w:type="dxa"/>
            <w:vAlign w:val="bottom"/>
            <w:gridSpan w:val="2"/>
          </w:tcPr>
          <w:p>
            <w:pPr>
              <w:ind w:left="60"/>
              <w:spacing w:after="0"/>
              <w:rPr>
                <w:sz w:val="20"/>
                <w:szCs w:val="20"/>
                <w:color w:val="auto"/>
              </w:rPr>
            </w:pPr>
            <w:r>
              <w:rPr>
                <w:rFonts w:ascii="Arial" w:cs="Arial" w:eastAsia="Arial" w:hAnsi="Arial"/>
                <w:sz w:val="16"/>
                <w:szCs w:val="16"/>
                <w:color w:val="auto"/>
              </w:rPr>
              <w:t>10.2 Cease Trade Orders, Bankruptcies, Penalties Or Sanctions</w:t>
            </w:r>
          </w:p>
        </w:tc>
        <w:tc>
          <w:tcPr>
            <w:tcW w:w="3380" w:type="dxa"/>
            <w:vAlign w:val="bottom"/>
          </w:tcPr>
          <w:p>
            <w:pPr>
              <w:ind w:left="2100"/>
              <w:spacing w:after="0"/>
              <w:rPr>
                <w:sz w:val="20"/>
                <w:szCs w:val="20"/>
                <w:color w:val="auto"/>
              </w:rPr>
            </w:pPr>
            <w:r>
              <w:rPr>
                <w:rFonts w:ascii="Arial" w:cs="Arial" w:eastAsia="Arial" w:hAnsi="Arial"/>
                <w:sz w:val="16"/>
                <w:szCs w:val="16"/>
                <w:color w:val="auto"/>
              </w:rPr>
              <w:t>161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80" w:type="dxa"/>
            <w:vAlign w:val="bottom"/>
          </w:tcPr>
          <w:p>
            <w:pPr>
              <w:spacing w:after="0"/>
              <w:rPr>
                <w:sz w:val="16"/>
                <w:szCs w:val="16"/>
                <w:color w:val="auto"/>
              </w:rPr>
            </w:pPr>
          </w:p>
        </w:tc>
        <w:tc>
          <w:tcPr>
            <w:tcW w:w="6640" w:type="dxa"/>
            <w:vAlign w:val="bottom"/>
            <w:gridSpan w:val="2"/>
          </w:tcPr>
          <w:p>
            <w:pPr>
              <w:ind w:left="60"/>
              <w:spacing w:after="0"/>
              <w:rPr>
                <w:sz w:val="20"/>
                <w:szCs w:val="20"/>
                <w:color w:val="auto"/>
              </w:rPr>
            </w:pPr>
            <w:r>
              <w:rPr>
                <w:rFonts w:ascii="Arial" w:cs="Arial" w:eastAsia="Arial" w:hAnsi="Arial"/>
                <w:sz w:val="16"/>
                <w:szCs w:val="16"/>
                <w:color w:val="auto"/>
              </w:rPr>
              <w:t>10.3 Conflicts Of Interest</w:t>
            </w:r>
          </w:p>
        </w:tc>
        <w:tc>
          <w:tcPr>
            <w:tcW w:w="3400" w:type="dxa"/>
            <w:vAlign w:val="bottom"/>
            <w:gridSpan w:val="2"/>
          </w:tcPr>
          <w:p>
            <w:pPr>
              <w:ind w:left="210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5"/>
        </w:trPr>
        <w:tc>
          <w:tcPr>
            <w:tcW w:w="780" w:type="dxa"/>
            <w:vAlign w:val="bottom"/>
          </w:tcPr>
          <w:p>
            <w:pPr>
              <w:spacing w:after="0"/>
              <w:rPr>
                <w:sz w:val="20"/>
                <w:szCs w:val="20"/>
                <w:color w:val="auto"/>
              </w:rPr>
            </w:pPr>
            <w:r>
              <w:rPr>
                <w:rFonts w:ascii="Arial" w:cs="Arial" w:eastAsia="Arial" w:hAnsi="Arial"/>
                <w:sz w:val="16"/>
                <w:szCs w:val="16"/>
                <w:color w:val="auto"/>
              </w:rPr>
              <w:t>Item 11.</w:t>
            </w:r>
          </w:p>
        </w:tc>
        <w:tc>
          <w:tcPr>
            <w:tcW w:w="6640" w:type="dxa"/>
            <w:vAlign w:val="bottom"/>
            <w:gridSpan w:val="2"/>
          </w:tcPr>
          <w:p>
            <w:pPr>
              <w:ind w:left="60"/>
              <w:spacing w:after="0"/>
              <w:rPr>
                <w:sz w:val="20"/>
                <w:szCs w:val="20"/>
                <w:color w:val="auto"/>
              </w:rPr>
            </w:pPr>
            <w:r>
              <w:rPr>
                <w:rFonts w:ascii="Arial" w:cs="Arial" w:eastAsia="Arial" w:hAnsi="Arial"/>
                <w:sz w:val="16"/>
                <w:szCs w:val="16"/>
                <w:b w:val="1"/>
                <w:bCs w:val="1"/>
                <w:color w:val="auto"/>
              </w:rPr>
              <w:t>Promoters</w:t>
            </w:r>
          </w:p>
        </w:tc>
        <w:tc>
          <w:tcPr>
            <w:tcW w:w="3400" w:type="dxa"/>
            <w:vAlign w:val="bottom"/>
            <w:gridSpan w:val="2"/>
          </w:tcPr>
          <w:p>
            <w:pPr>
              <w:ind w:left="210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5"/>
        </w:trPr>
        <w:tc>
          <w:tcPr>
            <w:tcW w:w="780" w:type="dxa"/>
            <w:vAlign w:val="bottom"/>
          </w:tcPr>
          <w:p>
            <w:pPr>
              <w:spacing w:after="0"/>
              <w:rPr>
                <w:sz w:val="20"/>
                <w:szCs w:val="20"/>
                <w:color w:val="auto"/>
              </w:rPr>
            </w:pPr>
            <w:r>
              <w:rPr>
                <w:rFonts w:ascii="Arial" w:cs="Arial" w:eastAsia="Arial" w:hAnsi="Arial"/>
                <w:sz w:val="16"/>
                <w:szCs w:val="16"/>
                <w:color w:val="auto"/>
              </w:rPr>
              <w:t>Item 12.</w:t>
            </w:r>
          </w:p>
        </w:tc>
        <w:tc>
          <w:tcPr>
            <w:tcW w:w="6640" w:type="dxa"/>
            <w:vAlign w:val="bottom"/>
            <w:gridSpan w:val="2"/>
          </w:tcPr>
          <w:p>
            <w:pPr>
              <w:ind w:left="60"/>
              <w:spacing w:after="0"/>
              <w:rPr>
                <w:sz w:val="20"/>
                <w:szCs w:val="20"/>
                <w:color w:val="auto"/>
              </w:rPr>
            </w:pPr>
            <w:r>
              <w:rPr>
                <w:rFonts w:ascii="Arial" w:cs="Arial" w:eastAsia="Arial" w:hAnsi="Arial"/>
                <w:sz w:val="16"/>
                <w:szCs w:val="16"/>
                <w:b w:val="1"/>
                <w:bCs w:val="1"/>
                <w:color w:val="auto"/>
              </w:rPr>
              <w:t>Legal Proceedings and Regulatory Actions</w:t>
            </w:r>
          </w:p>
        </w:tc>
        <w:tc>
          <w:tcPr>
            <w:tcW w:w="3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80" w:type="dxa"/>
            <w:vAlign w:val="bottom"/>
          </w:tcPr>
          <w:p>
            <w:pPr>
              <w:spacing w:after="0"/>
              <w:rPr>
                <w:sz w:val="16"/>
                <w:szCs w:val="16"/>
                <w:color w:val="auto"/>
              </w:rPr>
            </w:pPr>
          </w:p>
        </w:tc>
        <w:tc>
          <w:tcPr>
            <w:tcW w:w="6640" w:type="dxa"/>
            <w:vAlign w:val="bottom"/>
            <w:gridSpan w:val="2"/>
          </w:tcPr>
          <w:p>
            <w:pPr>
              <w:ind w:left="60"/>
              <w:spacing w:after="0"/>
              <w:rPr>
                <w:sz w:val="20"/>
                <w:szCs w:val="20"/>
                <w:color w:val="auto"/>
              </w:rPr>
            </w:pPr>
            <w:r>
              <w:rPr>
                <w:rFonts w:ascii="Arial" w:cs="Arial" w:eastAsia="Arial" w:hAnsi="Arial"/>
                <w:sz w:val="16"/>
                <w:szCs w:val="16"/>
                <w:color w:val="auto"/>
              </w:rPr>
              <w:t>12.1 Legal Proceedings</w:t>
            </w:r>
          </w:p>
        </w:tc>
        <w:tc>
          <w:tcPr>
            <w:tcW w:w="3380" w:type="dxa"/>
            <w:vAlign w:val="bottom"/>
          </w:tcPr>
          <w:p>
            <w:pPr>
              <w:ind w:left="2100"/>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6640" w:type="dxa"/>
            <w:vAlign w:val="bottom"/>
            <w:gridSpan w:val="2"/>
          </w:tcPr>
          <w:p>
            <w:pPr>
              <w:ind w:left="60"/>
              <w:spacing w:after="0"/>
              <w:rPr>
                <w:sz w:val="20"/>
                <w:szCs w:val="20"/>
                <w:color w:val="auto"/>
              </w:rPr>
            </w:pPr>
            <w:r>
              <w:rPr>
                <w:rFonts w:ascii="Arial" w:cs="Arial" w:eastAsia="Arial" w:hAnsi="Arial"/>
                <w:sz w:val="16"/>
                <w:szCs w:val="16"/>
                <w:color w:val="auto"/>
              </w:rPr>
              <w:t>12.2 Regulatory Actions</w:t>
            </w:r>
          </w:p>
        </w:tc>
        <w:tc>
          <w:tcPr>
            <w:tcW w:w="3380" w:type="dxa"/>
            <w:vAlign w:val="bottom"/>
          </w:tcPr>
          <w:p>
            <w:pPr>
              <w:ind w:left="2100"/>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780" w:type="dxa"/>
            <w:vAlign w:val="bottom"/>
          </w:tcPr>
          <w:p>
            <w:pPr>
              <w:spacing w:after="0"/>
              <w:rPr>
                <w:sz w:val="20"/>
                <w:szCs w:val="20"/>
                <w:color w:val="auto"/>
              </w:rPr>
            </w:pPr>
            <w:r>
              <w:rPr>
                <w:rFonts w:ascii="Arial" w:cs="Arial" w:eastAsia="Arial" w:hAnsi="Arial"/>
                <w:sz w:val="16"/>
                <w:szCs w:val="16"/>
                <w:color w:val="auto"/>
              </w:rPr>
              <w:t>Item 13.</w:t>
            </w:r>
          </w:p>
        </w:tc>
        <w:tc>
          <w:tcPr>
            <w:tcW w:w="6640" w:type="dxa"/>
            <w:vAlign w:val="bottom"/>
            <w:gridSpan w:val="2"/>
          </w:tcPr>
          <w:p>
            <w:pPr>
              <w:ind w:left="60"/>
              <w:spacing w:after="0"/>
              <w:rPr>
                <w:sz w:val="20"/>
                <w:szCs w:val="20"/>
                <w:color w:val="auto"/>
              </w:rPr>
            </w:pPr>
            <w:r>
              <w:rPr>
                <w:rFonts w:ascii="Arial" w:cs="Arial" w:eastAsia="Arial" w:hAnsi="Arial"/>
                <w:sz w:val="16"/>
                <w:szCs w:val="16"/>
                <w:color w:val="auto"/>
              </w:rPr>
              <w:t>Interest of Management and Others in Material Transactions</w:t>
            </w:r>
          </w:p>
        </w:tc>
        <w:tc>
          <w:tcPr>
            <w:tcW w:w="3380" w:type="dxa"/>
            <w:vAlign w:val="bottom"/>
          </w:tcPr>
          <w:p>
            <w:pPr>
              <w:ind w:left="2100"/>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80" w:type="dxa"/>
            <w:vAlign w:val="bottom"/>
          </w:tcPr>
          <w:p>
            <w:pPr>
              <w:spacing w:after="0"/>
              <w:rPr>
                <w:sz w:val="20"/>
                <w:szCs w:val="20"/>
                <w:color w:val="auto"/>
              </w:rPr>
            </w:pPr>
            <w:r>
              <w:rPr>
                <w:rFonts w:ascii="Arial" w:cs="Arial" w:eastAsia="Arial" w:hAnsi="Arial"/>
                <w:sz w:val="16"/>
                <w:szCs w:val="16"/>
                <w:color w:val="auto"/>
              </w:rPr>
              <w:t>Item 14.</w:t>
            </w:r>
          </w:p>
        </w:tc>
        <w:tc>
          <w:tcPr>
            <w:tcW w:w="6640" w:type="dxa"/>
            <w:vAlign w:val="bottom"/>
            <w:gridSpan w:val="2"/>
          </w:tcPr>
          <w:p>
            <w:pPr>
              <w:ind w:left="60"/>
              <w:spacing w:after="0"/>
              <w:rPr>
                <w:sz w:val="20"/>
                <w:szCs w:val="20"/>
                <w:color w:val="auto"/>
              </w:rPr>
            </w:pPr>
            <w:r>
              <w:rPr>
                <w:rFonts w:ascii="Arial" w:cs="Arial" w:eastAsia="Arial" w:hAnsi="Arial"/>
                <w:sz w:val="16"/>
                <w:szCs w:val="16"/>
                <w:color w:val="auto"/>
              </w:rPr>
              <w:t>Transfer Agents and Registrars</w:t>
            </w:r>
          </w:p>
        </w:tc>
        <w:tc>
          <w:tcPr>
            <w:tcW w:w="3380" w:type="dxa"/>
            <w:vAlign w:val="bottom"/>
          </w:tcPr>
          <w:p>
            <w:pPr>
              <w:ind w:left="2100"/>
              <w:spacing w:after="0"/>
              <w:rPr>
                <w:sz w:val="20"/>
                <w:szCs w:val="20"/>
                <w:color w:val="auto"/>
              </w:rPr>
            </w:pPr>
            <w:r>
              <w:rPr>
                <w:rFonts w:ascii="Arial" w:cs="Arial" w:eastAsia="Arial" w:hAnsi="Arial"/>
                <w:sz w:val="16"/>
                <w:szCs w:val="16"/>
                <w:color w:val="auto"/>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80" w:type="dxa"/>
            <w:vAlign w:val="bottom"/>
            <w:tcBorders>
              <w:bottom w:val="single" w:sz="8" w:color="7F7F7F"/>
            </w:tcBorders>
          </w:tcPr>
          <w:p>
            <w:pPr>
              <w:spacing w:after="0"/>
              <w:rPr>
                <w:sz w:val="12"/>
                <w:szCs w:val="12"/>
                <w:color w:val="auto"/>
              </w:rPr>
            </w:pPr>
          </w:p>
        </w:tc>
        <w:tc>
          <w:tcPr>
            <w:tcW w:w="300" w:type="dxa"/>
            <w:vAlign w:val="bottom"/>
            <w:tcBorders>
              <w:bottom w:val="single" w:sz="8" w:color="7F7F7F"/>
            </w:tcBorders>
          </w:tcPr>
          <w:p>
            <w:pPr>
              <w:spacing w:after="0"/>
              <w:rPr>
                <w:sz w:val="12"/>
                <w:szCs w:val="12"/>
                <w:color w:val="auto"/>
              </w:rPr>
            </w:pPr>
          </w:p>
        </w:tc>
        <w:tc>
          <w:tcPr>
            <w:tcW w:w="6340" w:type="dxa"/>
            <w:vAlign w:val="bottom"/>
            <w:tcBorders>
              <w:bottom w:val="single" w:sz="8" w:color="7F7F7F"/>
            </w:tcBorders>
          </w:tcPr>
          <w:p>
            <w:pPr>
              <w:spacing w:after="0"/>
              <w:rPr>
                <w:sz w:val="12"/>
                <w:szCs w:val="12"/>
                <w:color w:val="auto"/>
              </w:rPr>
            </w:pPr>
          </w:p>
        </w:tc>
        <w:tc>
          <w:tcPr>
            <w:tcW w:w="3380" w:type="dxa"/>
            <w:vAlign w:val="bottom"/>
            <w:tcBorders>
              <w:bottom w:val="single" w:sz="8" w:color="7F7F7F"/>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20"/>
                <w:szCs w:val="20"/>
                <w:color w:val="auto"/>
              </w:rPr>
            </w:pPr>
            <w:r>
              <w:rPr>
                <w:rFonts w:ascii="Arial" w:cs="Arial" w:eastAsia="Arial" w:hAnsi="Arial"/>
                <w:sz w:val="17"/>
                <w:szCs w:val="17"/>
                <w:color w:val="auto"/>
              </w:rPr>
              <w:t>Page 162</w:t>
            </w:r>
          </w:p>
        </w:tc>
        <w:tc>
          <w:tcPr>
            <w:tcW w:w="30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3380" w:type="dxa"/>
            <w:vAlign w:val="bottom"/>
          </w:tcPr>
          <w:p>
            <w:pPr>
              <w:ind w:left="340"/>
              <w:spacing w:after="0"/>
              <w:rPr>
                <w:sz w:val="20"/>
                <w:szCs w:val="20"/>
                <w:color w:val="auto"/>
              </w:rPr>
            </w:pPr>
            <w:r>
              <w:rPr>
                <w:rFonts w:ascii="Arial" w:cs="Arial" w:eastAsia="Arial" w:hAnsi="Arial"/>
                <w:sz w:val="17"/>
                <w:szCs w:val="17"/>
                <w:b w:val="1"/>
                <w:bCs w:val="1"/>
                <w:color w:val="auto"/>
                <w:w w:val="97"/>
              </w:rPr>
              <w:t>Thomson Reuters Annual Report 2024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77" w:right="5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64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980" w:type="dxa"/>
            <w:vAlign w:val="bottom"/>
            <w:gridSpan w:val="2"/>
          </w:tcPr>
          <w:p>
            <w:pPr>
              <w:ind w:left="1680"/>
              <w:spacing w:after="0"/>
              <w:rPr>
                <w:sz w:val="20"/>
                <w:szCs w:val="20"/>
                <w:color w:val="auto"/>
              </w:rPr>
            </w:pPr>
            <w:r>
              <w:rPr>
                <w:rFonts w:ascii="Arial" w:cs="Arial" w:eastAsia="Arial" w:hAnsi="Arial"/>
                <w:sz w:val="15"/>
                <w:szCs w:val="15"/>
                <w:b w:val="1"/>
                <w:bCs w:val="1"/>
                <w:color w:val="auto"/>
              </w:rPr>
              <w:t>Page/Document</w:t>
            </w:r>
          </w:p>
        </w:tc>
        <w:tc>
          <w:tcPr>
            <w:tcW w:w="0" w:type="dxa"/>
            <w:vAlign w:val="bottom"/>
          </w:tcPr>
          <w:p>
            <w:pPr>
              <w:spacing w:after="0"/>
              <w:rPr>
                <w:sz w:val="1"/>
                <w:szCs w:val="1"/>
                <w:color w:val="auto"/>
              </w:rPr>
            </w:pPr>
          </w:p>
        </w:tc>
      </w:tr>
      <w:tr>
        <w:trPr>
          <w:trHeight w:val="186"/>
        </w:trPr>
        <w:tc>
          <w:tcPr>
            <w:tcW w:w="640" w:type="dxa"/>
            <w:vAlign w:val="bottom"/>
          </w:tcPr>
          <w:p>
            <w:pPr>
              <w:spacing w:after="0"/>
              <w:rPr>
                <w:sz w:val="20"/>
                <w:szCs w:val="20"/>
                <w:color w:val="auto"/>
              </w:rPr>
            </w:pPr>
            <w:r>
              <w:rPr>
                <w:rFonts w:ascii="Arial" w:cs="Arial" w:eastAsia="Arial" w:hAnsi="Arial"/>
                <w:sz w:val="16"/>
                <w:szCs w:val="16"/>
                <w:color w:val="auto"/>
              </w:rPr>
              <w:t>Item 15.</w:t>
            </w:r>
          </w:p>
        </w:tc>
        <w:tc>
          <w:tcPr>
            <w:tcW w:w="7200" w:type="dxa"/>
            <w:vAlign w:val="bottom"/>
          </w:tcPr>
          <w:p>
            <w:pPr>
              <w:ind w:left="240"/>
              <w:spacing w:after="0"/>
              <w:rPr>
                <w:sz w:val="20"/>
                <w:szCs w:val="20"/>
                <w:color w:val="auto"/>
              </w:rPr>
            </w:pPr>
            <w:r>
              <w:rPr>
                <w:rFonts w:ascii="Arial" w:cs="Arial" w:eastAsia="Arial" w:hAnsi="Arial"/>
                <w:sz w:val="16"/>
                <w:szCs w:val="16"/>
                <w:color w:val="auto"/>
              </w:rPr>
              <w:t>Material Contracts</w:t>
            </w:r>
          </w:p>
        </w:tc>
        <w:tc>
          <w:tcPr>
            <w:tcW w:w="2960" w:type="dxa"/>
            <w:vAlign w:val="bottom"/>
          </w:tcPr>
          <w:p>
            <w:pPr>
              <w:ind w:left="1680"/>
              <w:spacing w:after="0"/>
              <w:rPr>
                <w:sz w:val="20"/>
                <w:szCs w:val="20"/>
                <w:color w:val="auto"/>
              </w:rPr>
            </w:pPr>
            <w:r>
              <w:rPr>
                <w:rFonts w:ascii="Arial" w:cs="Arial" w:eastAsia="Arial" w:hAnsi="Arial"/>
                <w:sz w:val="16"/>
                <w:szCs w:val="16"/>
                <w:color w:val="auto"/>
              </w:rPr>
              <w:t>156-158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40" w:type="dxa"/>
            <w:vAlign w:val="bottom"/>
          </w:tcPr>
          <w:p>
            <w:pPr>
              <w:spacing w:after="0"/>
              <w:rPr>
                <w:sz w:val="20"/>
                <w:szCs w:val="20"/>
                <w:color w:val="auto"/>
              </w:rPr>
            </w:pPr>
            <w:r>
              <w:rPr>
                <w:rFonts w:ascii="Arial" w:cs="Arial" w:eastAsia="Arial" w:hAnsi="Arial"/>
                <w:sz w:val="16"/>
                <w:szCs w:val="16"/>
                <w:color w:val="auto"/>
              </w:rPr>
              <w:t>Item 16.</w:t>
            </w:r>
          </w:p>
        </w:tc>
        <w:tc>
          <w:tcPr>
            <w:tcW w:w="7200" w:type="dxa"/>
            <w:vAlign w:val="bottom"/>
          </w:tcPr>
          <w:p>
            <w:pPr>
              <w:ind w:left="240"/>
              <w:spacing w:after="0"/>
              <w:rPr>
                <w:sz w:val="20"/>
                <w:szCs w:val="20"/>
                <w:color w:val="auto"/>
              </w:rPr>
            </w:pPr>
            <w:r>
              <w:rPr>
                <w:rFonts w:ascii="Arial" w:cs="Arial" w:eastAsia="Arial" w:hAnsi="Arial"/>
                <w:sz w:val="16"/>
                <w:szCs w:val="16"/>
                <w:color w:val="auto"/>
              </w:rPr>
              <w:t>Interest of Experts</w:t>
            </w:r>
          </w:p>
        </w:tc>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40" w:type="dxa"/>
            <w:vAlign w:val="bottom"/>
          </w:tcPr>
          <w:p>
            <w:pPr>
              <w:spacing w:after="0"/>
              <w:rPr>
                <w:sz w:val="16"/>
                <w:szCs w:val="16"/>
                <w:color w:val="auto"/>
              </w:rPr>
            </w:pPr>
          </w:p>
        </w:tc>
        <w:tc>
          <w:tcPr>
            <w:tcW w:w="7200" w:type="dxa"/>
            <w:vAlign w:val="bottom"/>
          </w:tcPr>
          <w:p>
            <w:pPr>
              <w:ind w:left="240"/>
              <w:spacing w:after="0"/>
              <w:rPr>
                <w:sz w:val="20"/>
                <w:szCs w:val="20"/>
                <w:color w:val="auto"/>
              </w:rPr>
            </w:pPr>
            <w:r>
              <w:rPr>
                <w:rFonts w:ascii="Arial" w:cs="Arial" w:eastAsia="Arial" w:hAnsi="Arial"/>
                <w:sz w:val="16"/>
                <w:szCs w:val="16"/>
                <w:color w:val="auto"/>
              </w:rPr>
              <w:t>16.1 Names Of Experts</w:t>
            </w:r>
          </w:p>
        </w:tc>
        <w:tc>
          <w:tcPr>
            <w:tcW w:w="2960" w:type="dxa"/>
            <w:vAlign w:val="bottom"/>
          </w:tcPr>
          <w:p>
            <w:pPr>
              <w:ind w:left="1680"/>
              <w:spacing w:after="0"/>
              <w:rPr>
                <w:sz w:val="20"/>
                <w:szCs w:val="20"/>
                <w:color w:val="auto"/>
              </w:rPr>
            </w:pPr>
            <w:r>
              <w:rPr>
                <w:rFonts w:ascii="Arial" w:cs="Arial" w:eastAsia="Arial" w:hAnsi="Arial"/>
                <w:sz w:val="16"/>
                <w:szCs w:val="16"/>
                <w:color w:val="auto"/>
              </w:rPr>
              <w:t>160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40" w:type="dxa"/>
            <w:vAlign w:val="bottom"/>
          </w:tcPr>
          <w:p>
            <w:pPr>
              <w:spacing w:after="0"/>
              <w:rPr>
                <w:sz w:val="16"/>
                <w:szCs w:val="16"/>
                <w:color w:val="auto"/>
              </w:rPr>
            </w:pPr>
          </w:p>
        </w:tc>
        <w:tc>
          <w:tcPr>
            <w:tcW w:w="7200" w:type="dxa"/>
            <w:vAlign w:val="bottom"/>
          </w:tcPr>
          <w:p>
            <w:pPr>
              <w:ind w:left="240"/>
              <w:spacing w:after="0"/>
              <w:rPr>
                <w:sz w:val="20"/>
                <w:szCs w:val="20"/>
                <w:color w:val="auto"/>
              </w:rPr>
            </w:pPr>
            <w:r>
              <w:rPr>
                <w:rFonts w:ascii="Arial" w:cs="Arial" w:eastAsia="Arial" w:hAnsi="Arial"/>
                <w:sz w:val="16"/>
                <w:szCs w:val="16"/>
                <w:color w:val="auto"/>
              </w:rPr>
              <w:t>16.2 Interests Of Experts</w:t>
            </w:r>
          </w:p>
        </w:tc>
        <w:tc>
          <w:tcPr>
            <w:tcW w:w="2960" w:type="dxa"/>
            <w:vAlign w:val="bottom"/>
          </w:tcPr>
          <w:p>
            <w:pPr>
              <w:ind w:left="1680"/>
              <w:spacing w:after="0"/>
              <w:rPr>
                <w:sz w:val="20"/>
                <w:szCs w:val="20"/>
                <w:color w:val="auto"/>
              </w:rPr>
            </w:pPr>
            <w:r>
              <w:rPr>
                <w:rFonts w:ascii="Arial" w:cs="Arial" w:eastAsia="Arial" w:hAnsi="Arial"/>
                <w:sz w:val="16"/>
                <w:szCs w:val="16"/>
                <w:color w:val="auto"/>
              </w:rPr>
              <w:t>160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40" w:type="dxa"/>
            <w:vAlign w:val="bottom"/>
          </w:tcPr>
          <w:p>
            <w:pPr>
              <w:spacing w:after="0"/>
              <w:rPr>
                <w:sz w:val="20"/>
                <w:szCs w:val="20"/>
                <w:color w:val="auto"/>
              </w:rPr>
            </w:pPr>
            <w:r>
              <w:rPr>
                <w:rFonts w:ascii="Arial" w:cs="Arial" w:eastAsia="Arial" w:hAnsi="Arial"/>
                <w:sz w:val="16"/>
                <w:szCs w:val="16"/>
                <w:color w:val="auto"/>
              </w:rPr>
              <w:t>Item 17.</w:t>
            </w:r>
          </w:p>
        </w:tc>
        <w:tc>
          <w:tcPr>
            <w:tcW w:w="7200" w:type="dxa"/>
            <w:vAlign w:val="bottom"/>
          </w:tcPr>
          <w:p>
            <w:pPr>
              <w:ind w:left="240"/>
              <w:spacing w:after="0"/>
              <w:rPr>
                <w:sz w:val="20"/>
                <w:szCs w:val="20"/>
                <w:color w:val="auto"/>
              </w:rPr>
            </w:pPr>
            <w:r>
              <w:rPr>
                <w:rFonts w:ascii="Arial" w:cs="Arial" w:eastAsia="Arial" w:hAnsi="Arial"/>
                <w:sz w:val="16"/>
                <w:szCs w:val="16"/>
                <w:color w:val="auto"/>
              </w:rPr>
              <w:t>Additional Information</w:t>
            </w:r>
          </w:p>
        </w:tc>
        <w:tc>
          <w:tcPr>
            <w:tcW w:w="2960" w:type="dxa"/>
            <w:vAlign w:val="bottom"/>
          </w:tcPr>
          <w:p>
            <w:pPr>
              <w:ind w:left="1680"/>
              <w:spacing w:after="0"/>
              <w:rPr>
                <w:sz w:val="20"/>
                <w:szCs w:val="20"/>
                <w:color w:val="auto"/>
              </w:rPr>
            </w:pPr>
            <w:r>
              <w:rPr>
                <w:rFonts w:ascii="Arial" w:cs="Arial" w:eastAsia="Arial" w:hAnsi="Arial"/>
                <w:sz w:val="16"/>
                <w:szCs w:val="16"/>
                <w:color w:val="auto"/>
              </w:rPr>
              <w:t>161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6"/>
                <w:szCs w:val="16"/>
                <w:color w:val="auto"/>
              </w:rPr>
              <w:t>Item 18.</w:t>
            </w:r>
          </w:p>
        </w:tc>
        <w:tc>
          <w:tcPr>
            <w:tcW w:w="7200" w:type="dxa"/>
            <w:vAlign w:val="bottom"/>
          </w:tcPr>
          <w:p>
            <w:pPr>
              <w:ind w:left="240"/>
              <w:spacing w:after="0"/>
              <w:rPr>
                <w:sz w:val="20"/>
                <w:szCs w:val="20"/>
                <w:color w:val="auto"/>
              </w:rPr>
            </w:pPr>
            <w:r>
              <w:rPr>
                <w:rFonts w:ascii="Arial" w:cs="Arial" w:eastAsia="Arial" w:hAnsi="Arial"/>
                <w:sz w:val="16"/>
                <w:szCs w:val="16"/>
                <w:color w:val="auto"/>
              </w:rPr>
              <w:t>Additional Disclosure for Companies Not Sending Information Circulars</w:t>
            </w:r>
          </w:p>
        </w:tc>
        <w:tc>
          <w:tcPr>
            <w:tcW w:w="2980" w:type="dxa"/>
            <w:vAlign w:val="bottom"/>
            <w:gridSpan w:val="2"/>
          </w:tcPr>
          <w:p>
            <w:pPr>
              <w:ind w:left="16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507"/>
        </w:trPr>
        <w:tc>
          <w:tcPr>
            <w:tcW w:w="7840" w:type="dxa"/>
            <w:vAlign w:val="bottom"/>
            <w:gridSpan w:val="2"/>
          </w:tcPr>
          <w:p>
            <w:pPr>
              <w:spacing w:after="0"/>
              <w:rPr>
                <w:sz w:val="20"/>
                <w:szCs w:val="20"/>
                <w:color w:val="auto"/>
              </w:rPr>
            </w:pPr>
            <w:r>
              <w:rPr>
                <w:rFonts w:ascii="Arial" w:cs="Arial" w:eastAsia="Arial" w:hAnsi="Arial"/>
                <w:sz w:val="25"/>
                <w:szCs w:val="25"/>
                <w:color w:val="auto"/>
              </w:rPr>
              <w:t>Form 40-F Cross Reference Table</w:t>
            </w: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6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980" w:type="dxa"/>
            <w:vAlign w:val="bottom"/>
            <w:gridSpan w:val="2"/>
          </w:tcPr>
          <w:p>
            <w:pPr>
              <w:ind w:left="1680"/>
              <w:spacing w:after="0"/>
              <w:rPr>
                <w:sz w:val="20"/>
                <w:szCs w:val="20"/>
                <w:color w:val="auto"/>
              </w:rPr>
            </w:pPr>
            <w:r>
              <w:rPr>
                <w:rFonts w:ascii="Arial" w:cs="Arial" w:eastAsia="Arial" w:hAnsi="Arial"/>
                <w:sz w:val="15"/>
                <w:szCs w:val="15"/>
                <w:b w:val="1"/>
                <w:bCs w:val="1"/>
                <w:color w:val="auto"/>
              </w:rPr>
              <w:t>Page/Document</w:t>
            </w:r>
          </w:p>
        </w:tc>
        <w:tc>
          <w:tcPr>
            <w:tcW w:w="0" w:type="dxa"/>
            <w:vAlign w:val="bottom"/>
          </w:tcPr>
          <w:p>
            <w:pPr>
              <w:spacing w:after="0"/>
              <w:rPr>
                <w:sz w:val="1"/>
                <w:szCs w:val="1"/>
                <w:color w:val="auto"/>
              </w:rPr>
            </w:pPr>
          </w:p>
        </w:tc>
      </w:tr>
      <w:tr>
        <w:trPr>
          <w:trHeight w:val="185"/>
        </w:trPr>
        <w:tc>
          <w:tcPr>
            <w:tcW w:w="7840" w:type="dxa"/>
            <w:vAlign w:val="bottom"/>
            <w:gridSpan w:val="2"/>
          </w:tcPr>
          <w:p>
            <w:pPr>
              <w:spacing w:after="0"/>
              <w:rPr>
                <w:sz w:val="20"/>
                <w:szCs w:val="20"/>
                <w:color w:val="auto"/>
              </w:rPr>
            </w:pPr>
            <w:r>
              <w:rPr>
                <w:rFonts w:ascii="Arial" w:cs="Arial" w:eastAsia="Arial" w:hAnsi="Arial"/>
                <w:sz w:val="16"/>
                <w:szCs w:val="16"/>
                <w:color w:val="auto"/>
              </w:rPr>
              <w:t>Annual Information Form</w:t>
            </w:r>
          </w:p>
        </w:tc>
        <w:tc>
          <w:tcPr>
            <w:tcW w:w="2980" w:type="dxa"/>
            <w:vAlign w:val="bottom"/>
            <w:gridSpan w:val="2"/>
          </w:tcPr>
          <w:p>
            <w:pPr>
              <w:ind w:left="1680"/>
              <w:spacing w:after="0"/>
              <w:rPr>
                <w:sz w:val="20"/>
                <w:szCs w:val="20"/>
                <w:color w:val="auto"/>
              </w:rPr>
            </w:pPr>
            <w:r>
              <w:rPr>
                <w:rFonts w:ascii="Arial" w:cs="Arial" w:eastAsia="Arial" w:hAnsi="Arial"/>
                <w:sz w:val="16"/>
                <w:szCs w:val="16"/>
                <w:color w:val="auto"/>
              </w:rPr>
              <w:t>See AIF Table</w:t>
            </w:r>
          </w:p>
        </w:tc>
        <w:tc>
          <w:tcPr>
            <w:tcW w:w="0" w:type="dxa"/>
            <w:vAlign w:val="bottom"/>
          </w:tcPr>
          <w:p>
            <w:pPr>
              <w:spacing w:after="0"/>
              <w:rPr>
                <w:sz w:val="1"/>
                <w:szCs w:val="1"/>
                <w:color w:val="auto"/>
              </w:rPr>
            </w:pPr>
          </w:p>
        </w:tc>
      </w:tr>
      <w:tr>
        <w:trPr>
          <w:trHeight w:val="186"/>
        </w:trPr>
        <w:tc>
          <w:tcPr>
            <w:tcW w:w="7840" w:type="dxa"/>
            <w:vAlign w:val="bottom"/>
            <w:gridSpan w:val="2"/>
          </w:tcPr>
          <w:p>
            <w:pPr>
              <w:spacing w:after="0"/>
              <w:rPr>
                <w:sz w:val="20"/>
                <w:szCs w:val="20"/>
                <w:color w:val="auto"/>
              </w:rPr>
            </w:pPr>
            <w:r>
              <w:rPr>
                <w:rFonts w:ascii="Arial" w:cs="Arial" w:eastAsia="Arial" w:hAnsi="Arial"/>
                <w:sz w:val="16"/>
                <w:szCs w:val="16"/>
                <w:color w:val="auto"/>
              </w:rPr>
              <w:t>Audited Annual Financial Statements</w:t>
            </w:r>
          </w:p>
        </w:tc>
        <w:tc>
          <w:tcPr>
            <w:tcW w:w="2960" w:type="dxa"/>
            <w:vAlign w:val="bottom"/>
          </w:tcPr>
          <w:p>
            <w:pPr>
              <w:ind w:left="1680"/>
              <w:spacing w:after="0"/>
              <w:rPr>
                <w:sz w:val="20"/>
                <w:szCs w:val="20"/>
                <w:color w:val="auto"/>
              </w:rPr>
            </w:pPr>
            <w:r>
              <w:rPr>
                <w:rFonts w:ascii="Arial" w:cs="Arial" w:eastAsia="Arial" w:hAnsi="Arial"/>
                <w:sz w:val="16"/>
                <w:szCs w:val="16"/>
                <w:color w:val="auto"/>
              </w:rPr>
              <w:t>81-141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840" w:type="dxa"/>
            <w:vAlign w:val="bottom"/>
            <w:gridSpan w:val="2"/>
          </w:tcPr>
          <w:p>
            <w:pPr>
              <w:spacing w:after="0"/>
              <w:rPr>
                <w:sz w:val="20"/>
                <w:szCs w:val="20"/>
                <w:color w:val="auto"/>
              </w:rPr>
            </w:pPr>
            <w:r>
              <w:rPr>
                <w:rFonts w:ascii="Arial" w:cs="Arial" w:eastAsia="Arial" w:hAnsi="Arial"/>
                <w:sz w:val="16"/>
                <w:szCs w:val="16"/>
                <w:color w:val="auto"/>
              </w:rPr>
              <w:t>Management’s Discussion And Analysis</w:t>
            </w:r>
          </w:p>
        </w:tc>
        <w:tc>
          <w:tcPr>
            <w:tcW w:w="2960" w:type="dxa"/>
            <w:vAlign w:val="bottom"/>
          </w:tcPr>
          <w:p>
            <w:pPr>
              <w:ind w:left="1680"/>
              <w:spacing w:after="0"/>
              <w:rPr>
                <w:sz w:val="20"/>
                <w:szCs w:val="20"/>
                <w:color w:val="auto"/>
              </w:rPr>
            </w:pPr>
            <w:r>
              <w:rPr>
                <w:rFonts w:ascii="Arial" w:cs="Arial" w:eastAsia="Arial" w:hAnsi="Arial"/>
                <w:sz w:val="16"/>
                <w:szCs w:val="16"/>
                <w:color w:val="auto"/>
              </w:rPr>
              <w:t>28-80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40" w:type="dxa"/>
            <w:vAlign w:val="bottom"/>
            <w:gridSpan w:val="2"/>
          </w:tcPr>
          <w:p>
            <w:pPr>
              <w:spacing w:after="0"/>
              <w:rPr>
                <w:sz w:val="20"/>
                <w:szCs w:val="20"/>
                <w:color w:val="auto"/>
              </w:rPr>
            </w:pPr>
            <w:r>
              <w:rPr>
                <w:rFonts w:ascii="Arial" w:cs="Arial" w:eastAsia="Arial" w:hAnsi="Arial"/>
                <w:sz w:val="16"/>
                <w:szCs w:val="16"/>
                <w:color w:val="auto"/>
              </w:rPr>
              <w:t>Disclosure Controls And Procedures</w:t>
            </w:r>
          </w:p>
        </w:tc>
        <w:tc>
          <w:tcPr>
            <w:tcW w:w="2960" w:type="dxa"/>
            <w:vAlign w:val="bottom"/>
          </w:tcPr>
          <w:p>
            <w:pPr>
              <w:ind w:left="1680"/>
              <w:spacing w:after="0"/>
              <w:rPr>
                <w:sz w:val="20"/>
                <w:szCs w:val="20"/>
                <w:color w:val="auto"/>
              </w:rPr>
            </w:pPr>
            <w:r>
              <w:rPr>
                <w:rFonts w:ascii="Arial" w:cs="Arial" w:eastAsia="Arial" w:hAnsi="Arial"/>
                <w:sz w:val="16"/>
                <w:szCs w:val="16"/>
                <w:color w:val="auto"/>
              </w:rPr>
              <w:t>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40" w:type="dxa"/>
            <w:vAlign w:val="bottom"/>
            <w:gridSpan w:val="2"/>
          </w:tcPr>
          <w:p>
            <w:pPr>
              <w:spacing w:after="0"/>
              <w:rPr>
                <w:sz w:val="20"/>
                <w:szCs w:val="20"/>
                <w:color w:val="auto"/>
              </w:rPr>
            </w:pPr>
            <w:r>
              <w:rPr>
                <w:rFonts w:ascii="Arial" w:cs="Arial" w:eastAsia="Arial" w:hAnsi="Arial"/>
                <w:sz w:val="16"/>
                <w:szCs w:val="16"/>
                <w:color w:val="auto"/>
              </w:rPr>
              <w:t>Internal Control Over Financial Reporting</w:t>
            </w:r>
          </w:p>
        </w:tc>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40" w:type="dxa"/>
            <w:vAlign w:val="bottom"/>
          </w:tcPr>
          <w:p>
            <w:pPr>
              <w:spacing w:after="0"/>
              <w:rPr>
                <w:sz w:val="16"/>
                <w:szCs w:val="16"/>
                <w:color w:val="auto"/>
              </w:rPr>
            </w:pPr>
          </w:p>
        </w:tc>
        <w:tc>
          <w:tcPr>
            <w:tcW w:w="7200" w:type="dxa"/>
            <w:vAlign w:val="bottom"/>
          </w:tcPr>
          <w:p>
            <w:pPr>
              <w:ind w:left="80"/>
              <w:spacing w:after="0"/>
              <w:rPr>
                <w:sz w:val="20"/>
                <w:szCs w:val="20"/>
                <w:color w:val="auto"/>
              </w:rPr>
            </w:pPr>
            <w:r>
              <w:rPr>
                <w:rFonts w:ascii="Arial" w:cs="Arial" w:eastAsia="Arial" w:hAnsi="Arial"/>
                <w:sz w:val="16"/>
                <w:szCs w:val="16"/>
                <w:color w:val="auto"/>
              </w:rPr>
              <w:t>a. Changes In Internal Controls Over Financial Reporting</w:t>
            </w:r>
          </w:p>
        </w:tc>
        <w:tc>
          <w:tcPr>
            <w:tcW w:w="2960" w:type="dxa"/>
            <w:vAlign w:val="bottom"/>
          </w:tcPr>
          <w:p>
            <w:pPr>
              <w:ind w:left="1680"/>
              <w:spacing w:after="0"/>
              <w:rPr>
                <w:sz w:val="20"/>
                <w:szCs w:val="20"/>
                <w:color w:val="auto"/>
              </w:rPr>
            </w:pPr>
            <w:r>
              <w:rPr>
                <w:rFonts w:ascii="Arial" w:cs="Arial" w:eastAsia="Arial" w:hAnsi="Arial"/>
                <w:sz w:val="16"/>
                <w:szCs w:val="16"/>
                <w:color w:val="auto"/>
              </w:rPr>
              <w:t>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40" w:type="dxa"/>
            <w:vAlign w:val="bottom"/>
          </w:tcPr>
          <w:p>
            <w:pPr>
              <w:spacing w:after="0"/>
              <w:rPr>
                <w:sz w:val="16"/>
                <w:szCs w:val="16"/>
                <w:color w:val="auto"/>
              </w:rPr>
            </w:pPr>
          </w:p>
        </w:tc>
        <w:tc>
          <w:tcPr>
            <w:tcW w:w="7200" w:type="dxa"/>
            <w:vAlign w:val="bottom"/>
          </w:tcPr>
          <w:p>
            <w:pPr>
              <w:ind w:left="80"/>
              <w:spacing w:after="0"/>
              <w:rPr>
                <w:sz w:val="20"/>
                <w:szCs w:val="20"/>
                <w:color w:val="auto"/>
              </w:rPr>
            </w:pPr>
            <w:r>
              <w:rPr>
                <w:rFonts w:ascii="Arial" w:cs="Arial" w:eastAsia="Arial" w:hAnsi="Arial"/>
                <w:sz w:val="16"/>
                <w:szCs w:val="16"/>
                <w:color w:val="auto"/>
              </w:rPr>
              <w:t>b. Management’s Report On Internal Control Over Financial Reporting</w:t>
            </w:r>
          </w:p>
        </w:tc>
        <w:tc>
          <w:tcPr>
            <w:tcW w:w="2960" w:type="dxa"/>
            <w:vAlign w:val="bottom"/>
          </w:tcPr>
          <w:p>
            <w:pPr>
              <w:ind w:left="1680"/>
              <w:spacing w:after="0"/>
              <w:rPr>
                <w:sz w:val="20"/>
                <w:szCs w:val="20"/>
                <w:color w:val="auto"/>
              </w:rPr>
            </w:pPr>
            <w:r>
              <w:rPr>
                <w:rFonts w:ascii="Arial" w:cs="Arial" w:eastAsia="Arial" w:hAnsi="Arial"/>
                <w:sz w:val="16"/>
                <w:szCs w:val="16"/>
                <w:color w:val="auto"/>
              </w:rPr>
              <w:t>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40" w:type="dxa"/>
            <w:vAlign w:val="bottom"/>
          </w:tcPr>
          <w:p>
            <w:pPr>
              <w:spacing w:after="0"/>
              <w:rPr>
                <w:sz w:val="16"/>
                <w:szCs w:val="16"/>
                <w:color w:val="auto"/>
              </w:rPr>
            </w:pPr>
          </w:p>
        </w:tc>
        <w:tc>
          <w:tcPr>
            <w:tcW w:w="7200" w:type="dxa"/>
            <w:vAlign w:val="bottom"/>
          </w:tcPr>
          <w:p>
            <w:pPr>
              <w:ind w:left="80"/>
              <w:spacing w:after="0"/>
              <w:rPr>
                <w:sz w:val="20"/>
                <w:szCs w:val="20"/>
                <w:color w:val="auto"/>
              </w:rPr>
            </w:pPr>
            <w:r>
              <w:rPr>
                <w:rFonts w:ascii="Arial" w:cs="Arial" w:eastAsia="Arial" w:hAnsi="Arial"/>
                <w:sz w:val="16"/>
                <w:szCs w:val="16"/>
                <w:color w:val="auto"/>
              </w:rPr>
              <w:t>c. Independent Auditor’s Report On Internal Control Over Financial Reporting</w:t>
            </w:r>
          </w:p>
        </w:tc>
        <w:tc>
          <w:tcPr>
            <w:tcW w:w="2960" w:type="dxa"/>
            <w:vAlign w:val="bottom"/>
          </w:tcPr>
          <w:p>
            <w:pPr>
              <w:ind w:left="1680"/>
              <w:spacing w:after="0"/>
              <w:rPr>
                <w:sz w:val="20"/>
                <w:szCs w:val="20"/>
                <w:color w:val="auto"/>
              </w:rPr>
            </w:pPr>
            <w:r>
              <w:rPr>
                <w:rFonts w:ascii="Arial" w:cs="Arial" w:eastAsia="Arial" w:hAnsi="Arial"/>
                <w:sz w:val="16"/>
                <w:szCs w:val="16"/>
                <w:color w:val="auto"/>
              </w:rPr>
              <w:t>82-83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40" w:type="dxa"/>
            <w:vAlign w:val="bottom"/>
            <w:gridSpan w:val="2"/>
          </w:tcPr>
          <w:p>
            <w:pPr>
              <w:spacing w:after="0"/>
              <w:rPr>
                <w:sz w:val="20"/>
                <w:szCs w:val="20"/>
                <w:color w:val="auto"/>
              </w:rPr>
            </w:pPr>
            <w:r>
              <w:rPr>
                <w:rFonts w:ascii="Arial" w:cs="Arial" w:eastAsia="Arial" w:hAnsi="Arial"/>
                <w:sz w:val="16"/>
                <w:szCs w:val="16"/>
                <w:color w:val="auto"/>
              </w:rPr>
              <w:t>Notice Pursuant To Regulation BTR</w:t>
            </w:r>
          </w:p>
        </w:tc>
        <w:tc>
          <w:tcPr>
            <w:tcW w:w="2980" w:type="dxa"/>
            <w:vAlign w:val="bottom"/>
            <w:gridSpan w:val="2"/>
          </w:tcPr>
          <w:p>
            <w:pPr>
              <w:ind w:left="16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5"/>
        </w:trPr>
        <w:tc>
          <w:tcPr>
            <w:tcW w:w="7840" w:type="dxa"/>
            <w:vAlign w:val="bottom"/>
            <w:gridSpan w:val="2"/>
          </w:tcPr>
          <w:p>
            <w:pPr>
              <w:spacing w:after="0"/>
              <w:rPr>
                <w:sz w:val="20"/>
                <w:szCs w:val="20"/>
                <w:color w:val="auto"/>
              </w:rPr>
            </w:pPr>
            <w:r>
              <w:rPr>
                <w:rFonts w:ascii="Arial" w:cs="Arial" w:eastAsia="Arial" w:hAnsi="Arial"/>
                <w:sz w:val="16"/>
                <w:szCs w:val="16"/>
                <w:color w:val="auto"/>
              </w:rPr>
              <w:t>Audit Committee Financial Expert</w:t>
            </w:r>
          </w:p>
        </w:tc>
        <w:tc>
          <w:tcPr>
            <w:tcW w:w="2960" w:type="dxa"/>
            <w:vAlign w:val="bottom"/>
          </w:tcPr>
          <w:p>
            <w:pPr>
              <w:ind w:left="1680"/>
              <w:spacing w:after="0"/>
              <w:rPr>
                <w:sz w:val="20"/>
                <w:szCs w:val="20"/>
                <w:color w:val="auto"/>
              </w:rPr>
            </w:pPr>
            <w:r>
              <w:rPr>
                <w:rFonts w:ascii="Arial" w:cs="Arial" w:eastAsia="Arial" w:hAnsi="Arial"/>
                <w:sz w:val="16"/>
                <w:szCs w:val="16"/>
                <w:color w:val="auto"/>
              </w:rPr>
              <w:t>147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40" w:type="dxa"/>
            <w:vAlign w:val="bottom"/>
            <w:gridSpan w:val="2"/>
          </w:tcPr>
          <w:p>
            <w:pPr>
              <w:spacing w:after="0"/>
              <w:rPr>
                <w:sz w:val="20"/>
                <w:szCs w:val="20"/>
                <w:color w:val="auto"/>
              </w:rPr>
            </w:pPr>
            <w:r>
              <w:rPr>
                <w:rFonts w:ascii="Arial" w:cs="Arial" w:eastAsia="Arial" w:hAnsi="Arial"/>
                <w:sz w:val="16"/>
                <w:szCs w:val="16"/>
                <w:color w:val="auto"/>
              </w:rPr>
              <w:t>Code Of Ethics</w:t>
            </w:r>
          </w:p>
        </w:tc>
        <w:tc>
          <w:tcPr>
            <w:tcW w:w="2960" w:type="dxa"/>
            <w:vAlign w:val="bottom"/>
          </w:tcPr>
          <w:p>
            <w:pPr>
              <w:ind w:left="1680"/>
              <w:spacing w:after="0"/>
              <w:rPr>
                <w:sz w:val="20"/>
                <w:szCs w:val="20"/>
                <w:color w:val="auto"/>
              </w:rPr>
            </w:pPr>
            <w:r>
              <w:rPr>
                <w:rFonts w:ascii="Arial" w:cs="Arial" w:eastAsia="Arial" w:hAnsi="Arial"/>
                <w:sz w:val="16"/>
                <w:szCs w:val="16"/>
                <w:color w:val="auto"/>
              </w:rPr>
              <w:t>151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40" w:type="dxa"/>
            <w:vAlign w:val="bottom"/>
            <w:gridSpan w:val="2"/>
          </w:tcPr>
          <w:p>
            <w:pPr>
              <w:spacing w:after="0"/>
              <w:rPr>
                <w:sz w:val="20"/>
                <w:szCs w:val="20"/>
                <w:color w:val="auto"/>
              </w:rPr>
            </w:pPr>
            <w:r>
              <w:rPr>
                <w:rFonts w:ascii="Arial" w:cs="Arial" w:eastAsia="Arial" w:hAnsi="Arial"/>
                <w:sz w:val="16"/>
                <w:szCs w:val="16"/>
                <w:color w:val="auto"/>
              </w:rPr>
              <w:t>Principal Accountant Fees And Services</w:t>
            </w:r>
          </w:p>
        </w:tc>
        <w:tc>
          <w:tcPr>
            <w:tcW w:w="2960" w:type="dxa"/>
            <w:vAlign w:val="bottom"/>
          </w:tcPr>
          <w:p>
            <w:pPr>
              <w:ind w:left="1680"/>
              <w:spacing w:after="0"/>
              <w:rPr>
                <w:sz w:val="20"/>
                <w:szCs w:val="20"/>
                <w:color w:val="auto"/>
              </w:rPr>
            </w:pPr>
            <w:r>
              <w:rPr>
                <w:rFonts w:ascii="Arial" w:cs="Arial" w:eastAsia="Arial" w:hAnsi="Arial"/>
                <w:sz w:val="16"/>
                <w:szCs w:val="16"/>
                <w:color w:val="auto"/>
              </w:rPr>
              <w:t>148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840" w:type="dxa"/>
            <w:vAlign w:val="bottom"/>
            <w:gridSpan w:val="2"/>
          </w:tcPr>
          <w:p>
            <w:pPr>
              <w:spacing w:after="0"/>
              <w:rPr>
                <w:sz w:val="20"/>
                <w:szCs w:val="20"/>
                <w:color w:val="auto"/>
              </w:rPr>
            </w:pPr>
            <w:r>
              <w:rPr>
                <w:rFonts w:ascii="Arial" w:cs="Arial" w:eastAsia="Arial" w:hAnsi="Arial"/>
                <w:sz w:val="16"/>
                <w:szCs w:val="16"/>
                <w:color w:val="auto"/>
              </w:rPr>
              <w:t>Off-Balance Sheet Arrangements</w:t>
            </w:r>
          </w:p>
        </w:tc>
        <w:tc>
          <w:tcPr>
            <w:tcW w:w="2960" w:type="dxa"/>
            <w:vAlign w:val="bottom"/>
          </w:tcPr>
          <w:p>
            <w:pPr>
              <w:ind w:left="1680"/>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40" w:type="dxa"/>
            <w:vAlign w:val="bottom"/>
            <w:gridSpan w:val="2"/>
          </w:tcPr>
          <w:p>
            <w:pPr>
              <w:spacing w:after="0"/>
              <w:rPr>
                <w:sz w:val="20"/>
                <w:szCs w:val="20"/>
                <w:color w:val="auto"/>
              </w:rPr>
            </w:pPr>
            <w:r>
              <w:rPr>
                <w:rFonts w:ascii="Arial" w:cs="Arial" w:eastAsia="Arial" w:hAnsi="Arial"/>
                <w:sz w:val="16"/>
                <w:szCs w:val="16"/>
                <w:color w:val="auto"/>
              </w:rPr>
              <w:t>Material Cash Requirements</w:t>
            </w:r>
          </w:p>
        </w:tc>
        <w:tc>
          <w:tcPr>
            <w:tcW w:w="2960" w:type="dxa"/>
            <w:vAlign w:val="bottom"/>
          </w:tcPr>
          <w:p>
            <w:pPr>
              <w:ind w:left="1680"/>
              <w:spacing w:after="0"/>
              <w:rPr>
                <w:sz w:val="20"/>
                <w:szCs w:val="20"/>
                <w:color w:val="auto"/>
              </w:rPr>
            </w:pPr>
            <w:r>
              <w:rPr>
                <w:rFonts w:ascii="Arial" w:cs="Arial" w:eastAsia="Arial" w:hAnsi="Arial"/>
                <w:sz w:val="16"/>
                <w:szCs w:val="16"/>
                <w:color w:val="auto"/>
              </w:rPr>
              <w:t>45, 46, 50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840" w:type="dxa"/>
            <w:vAlign w:val="bottom"/>
            <w:gridSpan w:val="2"/>
          </w:tcPr>
          <w:p>
            <w:pPr>
              <w:spacing w:after="0"/>
              <w:rPr>
                <w:sz w:val="20"/>
                <w:szCs w:val="20"/>
                <w:color w:val="auto"/>
              </w:rPr>
            </w:pPr>
            <w:r>
              <w:rPr>
                <w:rFonts w:ascii="Arial" w:cs="Arial" w:eastAsia="Arial" w:hAnsi="Arial"/>
                <w:sz w:val="16"/>
                <w:szCs w:val="16"/>
                <w:color w:val="auto"/>
              </w:rPr>
              <w:t>Identification Of The Audit Committee</w:t>
            </w:r>
          </w:p>
        </w:tc>
        <w:tc>
          <w:tcPr>
            <w:tcW w:w="2960" w:type="dxa"/>
            <w:vAlign w:val="bottom"/>
          </w:tcPr>
          <w:p>
            <w:pPr>
              <w:ind w:left="1680"/>
              <w:spacing w:after="0"/>
              <w:rPr>
                <w:sz w:val="20"/>
                <w:szCs w:val="20"/>
                <w:color w:val="auto"/>
              </w:rPr>
            </w:pPr>
            <w:r>
              <w:rPr>
                <w:rFonts w:ascii="Arial" w:cs="Arial" w:eastAsia="Arial" w:hAnsi="Arial"/>
                <w:sz w:val="16"/>
                <w:szCs w:val="16"/>
                <w:color w:val="auto"/>
              </w:rPr>
              <w:t>147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40" w:type="dxa"/>
            <w:vAlign w:val="bottom"/>
            <w:gridSpan w:val="2"/>
          </w:tcPr>
          <w:p>
            <w:pPr>
              <w:spacing w:after="0"/>
              <w:rPr>
                <w:sz w:val="20"/>
                <w:szCs w:val="20"/>
                <w:color w:val="auto"/>
              </w:rPr>
            </w:pPr>
            <w:r>
              <w:rPr>
                <w:rFonts w:ascii="Arial" w:cs="Arial" w:eastAsia="Arial" w:hAnsi="Arial"/>
                <w:sz w:val="16"/>
                <w:szCs w:val="16"/>
                <w:color w:val="auto"/>
              </w:rPr>
              <w:t>Disclosure Regarding Foreign Jurisdictions that Prevent Inspections</w:t>
            </w:r>
          </w:p>
        </w:tc>
        <w:tc>
          <w:tcPr>
            <w:tcW w:w="2980" w:type="dxa"/>
            <w:vAlign w:val="bottom"/>
            <w:gridSpan w:val="2"/>
          </w:tcPr>
          <w:p>
            <w:pPr>
              <w:ind w:left="16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49"/>
        </w:trPr>
        <w:tc>
          <w:tcPr>
            <w:tcW w:w="7840" w:type="dxa"/>
            <w:vAlign w:val="bottom"/>
            <w:tcBorders>
              <w:bottom w:val="single" w:sz="8" w:color="7F7F7F"/>
            </w:tcBorders>
            <w:gridSpan w:val="2"/>
          </w:tcPr>
          <w:p>
            <w:pPr>
              <w:spacing w:after="0"/>
              <w:rPr>
                <w:sz w:val="12"/>
                <w:szCs w:val="12"/>
                <w:color w:val="auto"/>
              </w:rPr>
            </w:pPr>
          </w:p>
        </w:tc>
        <w:tc>
          <w:tcPr>
            <w:tcW w:w="2960" w:type="dxa"/>
            <w:vAlign w:val="bottom"/>
            <w:tcBorders>
              <w:bottom w:val="single" w:sz="8" w:color="7F7F7F"/>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7840" w:type="dxa"/>
            <w:vAlign w:val="bottom"/>
            <w:gridSpan w:val="2"/>
          </w:tcPr>
          <w:p>
            <w:pPr>
              <w:spacing w:after="0"/>
              <w:rPr>
                <w:sz w:val="20"/>
                <w:szCs w:val="20"/>
                <w:color w:val="auto"/>
              </w:rPr>
            </w:pPr>
            <w:r>
              <w:rPr>
                <w:rFonts w:ascii="Arial" w:cs="Arial" w:eastAsia="Arial" w:hAnsi="Arial"/>
                <w:sz w:val="17"/>
                <w:szCs w:val="17"/>
                <w:b w:val="1"/>
                <w:bCs w:val="1"/>
                <w:color w:val="auto"/>
              </w:rPr>
              <w:t>Thomson Reuters Annual Report 2024</w:t>
            </w:r>
          </w:p>
        </w:tc>
        <w:tc>
          <w:tcPr>
            <w:tcW w:w="2960" w:type="dxa"/>
            <w:vAlign w:val="bottom"/>
          </w:tcPr>
          <w:p>
            <w:pPr>
              <w:ind w:left="2260"/>
              <w:spacing w:after="0"/>
              <w:rPr>
                <w:sz w:val="20"/>
                <w:szCs w:val="20"/>
                <w:color w:val="auto"/>
              </w:rPr>
            </w:pPr>
            <w:r>
              <w:rPr>
                <w:rFonts w:ascii="Arial" w:cs="Arial" w:eastAsia="Arial" w:hAnsi="Arial"/>
                <w:sz w:val="17"/>
                <w:szCs w:val="17"/>
                <w:color w:val="auto"/>
                <w:w w:val="93"/>
              </w:rPr>
              <w:t>Page 163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77" w:right="5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5461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6770"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20"/>
        <w:spacing w:after="0"/>
        <w:rPr>
          <w:sz w:val="20"/>
          <w:szCs w:val="20"/>
          <w:color w:val="auto"/>
        </w:rPr>
      </w:pPr>
      <w:r>
        <w:rPr>
          <w:rFonts w:ascii="Arial" w:cs="Arial" w:eastAsia="Arial" w:hAnsi="Arial"/>
          <w:sz w:val="25"/>
          <w:szCs w:val="25"/>
          <w:color w:val="FF4338"/>
        </w:rPr>
        <w:t>THOMSON REUTERS</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25"/>
          <w:szCs w:val="25"/>
          <w:color w:val="auto"/>
        </w:rPr>
        <w:t>19 Duncan Street</w:t>
      </w:r>
    </w:p>
    <w:p>
      <w:pPr>
        <w:spacing w:after="0" w:line="28" w:lineRule="exact"/>
        <w:rPr>
          <w:sz w:val="20"/>
          <w:szCs w:val="20"/>
          <w:color w:val="auto"/>
        </w:rPr>
      </w:pPr>
    </w:p>
    <w:p>
      <w:pPr>
        <w:ind w:left="220"/>
        <w:spacing w:after="0"/>
        <w:rPr>
          <w:sz w:val="20"/>
          <w:szCs w:val="20"/>
          <w:color w:val="auto"/>
        </w:rPr>
      </w:pPr>
      <w:r>
        <w:rPr>
          <w:rFonts w:ascii="Arial" w:cs="Arial" w:eastAsia="Arial" w:hAnsi="Arial"/>
          <w:sz w:val="24"/>
          <w:szCs w:val="24"/>
          <w:color w:val="auto"/>
        </w:rPr>
        <w:t>Toronto, Ontario M5H 3H1</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25"/>
          <w:szCs w:val="25"/>
          <w:color w:val="auto"/>
        </w:rPr>
        <w:t>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4984750</wp:posOffset>
            </wp:positionH>
            <wp:positionV relativeFrom="paragraph">
              <wp:posOffset>-165735</wp:posOffset>
            </wp:positionV>
            <wp:extent cx="2019300" cy="673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019300" cy="673100"/>
                    </a:xfrm>
                    <a:prstGeom prst="rect">
                      <a:avLst/>
                    </a:prstGeom>
                    <a:noFill/>
                  </pic:spPr>
                </pic:pic>
              </a:graphicData>
            </a:graphic>
          </wp:anchor>
        </w:drawing>
      </w:r>
    </w:p>
    <w:p>
      <w:pPr>
        <w:spacing w:after="0" w:line="40" w:lineRule="exact"/>
        <w:rPr>
          <w:sz w:val="20"/>
          <w:szCs w:val="20"/>
          <w:color w:val="auto"/>
        </w:rPr>
      </w:pPr>
    </w:p>
    <w:p>
      <w:pPr>
        <w:ind w:left="220"/>
        <w:spacing w:after="0"/>
        <w:rPr>
          <w:sz w:val="20"/>
          <w:szCs w:val="20"/>
          <w:color w:val="auto"/>
        </w:rPr>
      </w:pPr>
      <w:r>
        <w:rPr>
          <w:rFonts w:ascii="Arial" w:cs="Arial" w:eastAsia="Arial" w:hAnsi="Arial"/>
          <w:sz w:val="25"/>
          <w:szCs w:val="25"/>
          <w:color w:val="auto"/>
        </w:rPr>
        <w:t>tel: +1 647 480 7000</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25"/>
          <w:szCs w:val="25"/>
          <w:color w:val="FF4338"/>
        </w:rPr>
        <w:t>tr.com</w:t>
      </w:r>
    </w:p>
    <w:p>
      <w:pPr>
        <w:sectPr>
          <w:pgSz w:w="11900" w:h="16838" w:orient="portrait"/>
          <w:cols w:equalWidth="0" w:num="1">
            <w:col w:w="10139"/>
          </w:cols>
          <w:pgMar w:left="320" w:top="477" w:right="1440"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9" w:lineRule="exact"/>
        <w:rPr>
          <w:sz w:val="20"/>
          <w:szCs w:val="20"/>
          <w:color w:val="auto"/>
        </w:rPr>
      </w:pPr>
    </w:p>
    <w:p>
      <w:pPr>
        <w:jc w:val="both"/>
        <w:ind w:right="260"/>
        <w:spacing w:after="0" w:line="259"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Annual Report on Form 40-F for the year ended December 31, 2024 of Thomson Reuters Corporation of our report dated March 6, 2025 relating to the consolidated financial statements and the effectiveness of internal control over financial reporting, which appears in Exhibit 99.1, which is incorporated by reference in this Annual Report on Form 40-F.</w:t>
      </w:r>
    </w:p>
    <w:p>
      <w:pPr>
        <w:spacing w:after="0" w:line="17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also consent to the incorporation by reference in the Registration Statements on Form F-10 (Nos. 333-284827 and 333-279991), Form S-8 (Nos. 333-218186, 333-188914, 333-126782, 333-135721, 333-152029, 333-162035 and 333-12284) and Form F-3 (No. 333-150560) of Thomson Reuters Corporation and the Registration Statements on Form F-3 (No. 333-280007) and Form F-4 (No. 333-284840) of TR Finance LLC of our report dated March 6, 2025 referred to above. We also consent to the reference to us under the heading “Interests of Experts,” which appears in Exhibit 99.1, which is incorporated by reference in this Annual Report on Form 40-F.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ectPr>
          <w:pgSz w:w="11900" w:h="16838" w:orient="portrait"/>
          <w:cols w:equalWidth="0" w:num="1">
            <w:col w:w="10820"/>
          </w:cols>
          <w:pgMar w:left="540" w:top="119" w:right="5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1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2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9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I, Steve Hasker, certify that:</w:t>
      </w:r>
    </w:p>
    <w:p>
      <w:pPr>
        <w:spacing w:after="0" w:line="124" w:lineRule="exact"/>
        <w:rPr>
          <w:sz w:val="20"/>
          <w:szCs w:val="20"/>
          <w:color w:val="auto"/>
        </w:rPr>
      </w:pPr>
    </w:p>
    <w:p>
      <w:pPr>
        <w:ind w:left="422" w:hanging="422"/>
        <w:spacing w:after="0"/>
        <w:tabs>
          <w:tab w:leader="none" w:pos="42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40-F of Thomson Reuters Corporation;</w:t>
      </w:r>
    </w:p>
    <w:p>
      <w:pPr>
        <w:spacing w:after="0" w:line="124" w:lineRule="exact"/>
        <w:rPr>
          <w:rFonts w:ascii="Times New Roman" w:cs="Times New Roman" w:eastAsia="Times New Roman" w:hAnsi="Times New Roman"/>
          <w:sz w:val="18"/>
          <w:szCs w:val="18"/>
          <w:color w:val="auto"/>
        </w:rPr>
      </w:pPr>
    </w:p>
    <w:p>
      <w:pPr>
        <w:jc w:val="both"/>
        <w:ind w:left="422" w:right="120" w:hanging="422"/>
        <w:spacing w:after="0" w:line="259" w:lineRule="auto"/>
        <w:tabs>
          <w:tab w:leader="none" w:pos="42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Times New Roman" w:cs="Times New Roman" w:eastAsia="Times New Roman" w:hAnsi="Times New Roman"/>
          <w:sz w:val="18"/>
          <w:szCs w:val="18"/>
          <w:color w:val="auto"/>
        </w:rPr>
      </w:pPr>
    </w:p>
    <w:p>
      <w:pPr>
        <w:ind w:left="422" w:right="80" w:hanging="422"/>
        <w:spacing w:after="0" w:line="274" w:lineRule="auto"/>
        <w:tabs>
          <w:tab w:leader="none" w:pos="42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70" w:lineRule="exact"/>
        <w:rPr>
          <w:rFonts w:ascii="Times New Roman" w:cs="Times New Roman" w:eastAsia="Times New Roman" w:hAnsi="Times New Roman"/>
          <w:sz w:val="18"/>
          <w:szCs w:val="18"/>
          <w:color w:val="auto"/>
        </w:rPr>
      </w:pPr>
    </w:p>
    <w:p>
      <w:pPr>
        <w:ind w:left="422" w:right="380" w:hanging="422"/>
        <w:spacing w:after="0" w:line="272" w:lineRule="auto"/>
        <w:tabs>
          <w:tab w:leader="none" w:pos="422"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issuer and have:</w:t>
      </w:r>
    </w:p>
    <w:p>
      <w:pPr>
        <w:spacing w:after="0" w:line="104" w:lineRule="exact"/>
        <w:rPr>
          <w:rFonts w:ascii="Times New Roman" w:cs="Times New Roman" w:eastAsia="Times New Roman" w:hAnsi="Times New Roman"/>
          <w:sz w:val="17"/>
          <w:szCs w:val="17"/>
          <w:color w:val="auto"/>
        </w:rPr>
      </w:pPr>
    </w:p>
    <w:p>
      <w:pPr>
        <w:jc w:val="both"/>
        <w:ind w:left="962" w:right="20" w:hanging="538"/>
        <w:spacing w:after="0" w:line="259" w:lineRule="auto"/>
        <w:tabs>
          <w:tab w:leader="none" w:pos="962"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spacing w:after="0" w:line="85" w:lineRule="exact"/>
        <w:rPr>
          <w:rFonts w:ascii="Times New Roman" w:cs="Times New Roman" w:eastAsia="Times New Roman" w:hAnsi="Times New Roman"/>
          <w:sz w:val="18"/>
          <w:szCs w:val="18"/>
          <w:color w:val="auto"/>
        </w:rPr>
      </w:pPr>
    </w:p>
    <w:p>
      <w:pPr>
        <w:ind w:left="962" w:right="160" w:hanging="538"/>
        <w:spacing w:after="0" w:line="259" w:lineRule="auto"/>
        <w:tabs>
          <w:tab w:leader="none" w:pos="962"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rFonts w:ascii="Times New Roman" w:cs="Times New Roman" w:eastAsia="Times New Roman" w:hAnsi="Times New Roman"/>
          <w:sz w:val="18"/>
          <w:szCs w:val="18"/>
          <w:color w:val="auto"/>
        </w:rPr>
      </w:pPr>
    </w:p>
    <w:p>
      <w:pPr>
        <w:ind w:left="962" w:right="320" w:hanging="538"/>
        <w:spacing w:after="0" w:line="304" w:lineRule="auto"/>
        <w:tabs>
          <w:tab w:leader="none" w:pos="962"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jc w:val="both"/>
        <w:ind w:left="962" w:right="160" w:hanging="538"/>
        <w:spacing w:after="0" w:line="259" w:lineRule="auto"/>
        <w:tabs>
          <w:tab w:leader="none" w:pos="962"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issuer’s internal control over financial reporting that occurred during the period covered by the annual report that has materially affected, or is reasonably likely to materially affect, the issuer’s internal control over financial reporting; and</w:t>
      </w:r>
    </w:p>
    <w:p>
      <w:pPr>
        <w:spacing w:after="0" w:line="85" w:lineRule="exact"/>
        <w:rPr>
          <w:rFonts w:ascii="Times New Roman" w:cs="Times New Roman" w:eastAsia="Times New Roman" w:hAnsi="Times New Roman"/>
          <w:sz w:val="18"/>
          <w:szCs w:val="18"/>
          <w:color w:val="auto"/>
        </w:rPr>
      </w:pPr>
    </w:p>
    <w:p>
      <w:pPr>
        <w:ind w:left="422" w:right="80" w:hanging="422"/>
        <w:spacing w:after="0" w:line="274" w:lineRule="auto"/>
        <w:tabs>
          <w:tab w:leader="none" w:pos="42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officer(s) and I have disclosed, based on our most recent evaluation of internal control over financial reporting, to the issuer’s auditors and the audit committee of the issuer’s board of directors (or persons performing the equivalent functions):</w:t>
      </w:r>
    </w:p>
    <w:p>
      <w:pPr>
        <w:spacing w:after="0" w:line="70" w:lineRule="exact"/>
        <w:rPr>
          <w:rFonts w:ascii="Times New Roman" w:cs="Times New Roman" w:eastAsia="Times New Roman" w:hAnsi="Times New Roman"/>
          <w:sz w:val="18"/>
          <w:szCs w:val="18"/>
          <w:color w:val="auto"/>
        </w:rPr>
      </w:pPr>
    </w:p>
    <w:p>
      <w:pPr>
        <w:ind w:left="962" w:right="560" w:hanging="538"/>
        <w:spacing w:after="0" w:line="274" w:lineRule="auto"/>
        <w:tabs>
          <w:tab w:leader="none" w:pos="962"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issuer’s ability to record, process, summarize and report financial information; and</w:t>
      </w:r>
    </w:p>
    <w:p>
      <w:pPr>
        <w:spacing w:after="0" w:line="70" w:lineRule="exact"/>
        <w:rPr>
          <w:rFonts w:ascii="Times New Roman" w:cs="Times New Roman" w:eastAsia="Times New Roman" w:hAnsi="Times New Roman"/>
          <w:sz w:val="18"/>
          <w:szCs w:val="18"/>
          <w:color w:val="auto"/>
        </w:rPr>
      </w:pPr>
    </w:p>
    <w:p>
      <w:pPr>
        <w:ind w:left="962" w:right="500" w:hanging="538"/>
        <w:spacing w:after="0" w:line="274" w:lineRule="auto"/>
        <w:tabs>
          <w:tab w:leader="none" w:pos="962"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issuer’s internal control over financial reporting.</w:t>
      </w:r>
    </w:p>
    <w:p>
      <w:pPr>
        <w:spacing w:after="0" w:line="16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Date: March 6, 2025</w:t>
      </w:r>
    </w:p>
    <w:p>
      <w:pPr>
        <w:spacing w:after="0" w:line="244" w:lineRule="exact"/>
        <w:rPr>
          <w:sz w:val="20"/>
          <w:szCs w:val="20"/>
          <w:color w:val="auto"/>
        </w:rPr>
      </w:pPr>
    </w:p>
    <w:p>
      <w:pPr>
        <w:ind w:left="6502"/>
        <w:spacing w:after="0"/>
        <w:rPr>
          <w:sz w:val="20"/>
          <w:szCs w:val="20"/>
          <w:color w:val="auto"/>
        </w:rPr>
      </w:pPr>
      <w:r>
        <w:rPr>
          <w:rFonts w:ascii="Times New Roman" w:cs="Times New Roman" w:eastAsia="Times New Roman" w:hAnsi="Times New Roman"/>
          <w:sz w:val="18"/>
          <w:szCs w:val="18"/>
          <w:color w:val="auto"/>
        </w:rPr>
        <w:t>/s/ Steve Hasker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4122420</wp:posOffset>
            </wp:positionH>
            <wp:positionV relativeFrom="paragraph">
              <wp:posOffset>14605</wp:posOffset>
            </wp:positionV>
            <wp:extent cx="274256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742565" cy="8255"/>
                    </a:xfrm>
                    <a:prstGeom prst="rect">
                      <a:avLst/>
                    </a:prstGeom>
                    <a:noFill/>
                  </pic:spPr>
                </pic:pic>
              </a:graphicData>
            </a:graphic>
          </wp:anchor>
        </w:drawing>
      </w:r>
    </w:p>
    <w:p>
      <w:pPr>
        <w:spacing w:after="0" w:line="12" w:lineRule="exact"/>
        <w:rPr>
          <w:sz w:val="20"/>
          <w:szCs w:val="20"/>
          <w:color w:val="auto"/>
        </w:rPr>
      </w:pPr>
    </w:p>
    <w:p>
      <w:pPr>
        <w:ind w:left="6502"/>
        <w:spacing w:after="0"/>
        <w:rPr>
          <w:sz w:val="20"/>
          <w:szCs w:val="20"/>
          <w:color w:val="auto"/>
        </w:rPr>
      </w:pPr>
      <w:r>
        <w:rPr>
          <w:rFonts w:ascii="Times New Roman" w:cs="Times New Roman" w:eastAsia="Times New Roman" w:hAnsi="Times New Roman"/>
          <w:sz w:val="18"/>
          <w:szCs w:val="18"/>
          <w:color w:val="auto"/>
        </w:rPr>
        <w:t>Steve Hasker</w:t>
      </w:r>
    </w:p>
    <w:p>
      <w:pPr>
        <w:spacing w:after="0" w:line="24" w:lineRule="exact"/>
        <w:rPr>
          <w:sz w:val="20"/>
          <w:szCs w:val="20"/>
          <w:color w:val="auto"/>
        </w:rPr>
      </w:pPr>
    </w:p>
    <w:p>
      <w:pPr>
        <w:ind w:left="6502"/>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822"/>
          </w:cols>
          <w:pgMar w:left="538" w:top="119" w:right="5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1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2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9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I, Michael Eastwood, certify that:</w:t>
      </w:r>
    </w:p>
    <w:p>
      <w:pPr>
        <w:spacing w:after="0" w:line="124" w:lineRule="exact"/>
        <w:rPr>
          <w:sz w:val="20"/>
          <w:szCs w:val="20"/>
          <w:color w:val="auto"/>
        </w:rPr>
      </w:pPr>
    </w:p>
    <w:p>
      <w:pPr>
        <w:ind w:left="422" w:hanging="422"/>
        <w:spacing w:after="0"/>
        <w:tabs>
          <w:tab w:leader="none" w:pos="422"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40-F of Thomson Reuters Corporation;</w:t>
      </w:r>
    </w:p>
    <w:p>
      <w:pPr>
        <w:spacing w:after="0" w:line="124" w:lineRule="exact"/>
        <w:rPr>
          <w:rFonts w:ascii="Times New Roman" w:cs="Times New Roman" w:eastAsia="Times New Roman" w:hAnsi="Times New Roman"/>
          <w:sz w:val="18"/>
          <w:szCs w:val="18"/>
          <w:color w:val="auto"/>
        </w:rPr>
      </w:pPr>
    </w:p>
    <w:p>
      <w:pPr>
        <w:jc w:val="both"/>
        <w:ind w:left="422" w:right="120" w:hanging="422"/>
        <w:spacing w:after="0" w:line="259" w:lineRule="auto"/>
        <w:tabs>
          <w:tab w:leader="none" w:pos="422"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Times New Roman" w:cs="Times New Roman" w:eastAsia="Times New Roman" w:hAnsi="Times New Roman"/>
          <w:sz w:val="18"/>
          <w:szCs w:val="18"/>
          <w:color w:val="auto"/>
        </w:rPr>
      </w:pPr>
    </w:p>
    <w:p>
      <w:pPr>
        <w:ind w:left="422" w:right="80" w:hanging="422"/>
        <w:spacing w:after="0" w:line="274" w:lineRule="auto"/>
        <w:tabs>
          <w:tab w:leader="none" w:pos="422"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70" w:lineRule="exact"/>
        <w:rPr>
          <w:rFonts w:ascii="Times New Roman" w:cs="Times New Roman" w:eastAsia="Times New Roman" w:hAnsi="Times New Roman"/>
          <w:sz w:val="18"/>
          <w:szCs w:val="18"/>
          <w:color w:val="auto"/>
        </w:rPr>
      </w:pPr>
    </w:p>
    <w:p>
      <w:pPr>
        <w:ind w:left="422" w:right="380" w:hanging="422"/>
        <w:spacing w:after="0" w:line="272" w:lineRule="auto"/>
        <w:tabs>
          <w:tab w:leader="none" w:pos="422"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issuer and have:</w:t>
      </w:r>
    </w:p>
    <w:p>
      <w:pPr>
        <w:spacing w:after="0" w:line="104" w:lineRule="exact"/>
        <w:rPr>
          <w:rFonts w:ascii="Times New Roman" w:cs="Times New Roman" w:eastAsia="Times New Roman" w:hAnsi="Times New Roman"/>
          <w:sz w:val="17"/>
          <w:szCs w:val="17"/>
          <w:color w:val="auto"/>
        </w:rPr>
      </w:pPr>
    </w:p>
    <w:p>
      <w:pPr>
        <w:jc w:val="both"/>
        <w:ind w:left="962" w:right="20" w:hanging="538"/>
        <w:spacing w:after="0" w:line="259" w:lineRule="auto"/>
        <w:tabs>
          <w:tab w:leader="none" w:pos="962"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spacing w:after="0" w:line="85" w:lineRule="exact"/>
        <w:rPr>
          <w:rFonts w:ascii="Times New Roman" w:cs="Times New Roman" w:eastAsia="Times New Roman" w:hAnsi="Times New Roman"/>
          <w:sz w:val="18"/>
          <w:szCs w:val="18"/>
          <w:color w:val="auto"/>
        </w:rPr>
      </w:pPr>
    </w:p>
    <w:p>
      <w:pPr>
        <w:ind w:left="962" w:right="160" w:hanging="538"/>
        <w:spacing w:after="0" w:line="259" w:lineRule="auto"/>
        <w:tabs>
          <w:tab w:leader="none" w:pos="962"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rFonts w:ascii="Times New Roman" w:cs="Times New Roman" w:eastAsia="Times New Roman" w:hAnsi="Times New Roman"/>
          <w:sz w:val="18"/>
          <w:szCs w:val="18"/>
          <w:color w:val="auto"/>
        </w:rPr>
      </w:pPr>
    </w:p>
    <w:p>
      <w:pPr>
        <w:ind w:left="962" w:right="320" w:hanging="538"/>
        <w:spacing w:after="0" w:line="304" w:lineRule="auto"/>
        <w:tabs>
          <w:tab w:leader="none" w:pos="962" w:val="left"/>
        </w:tabs>
        <w:numPr>
          <w:ilvl w:val="1"/>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jc w:val="both"/>
        <w:ind w:left="962" w:right="160" w:hanging="538"/>
        <w:spacing w:after="0" w:line="259" w:lineRule="auto"/>
        <w:tabs>
          <w:tab w:leader="none" w:pos="962"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issuer’s internal control over financial reporting that occurred during the period covered by the annual report that has materially affected, or is reasonably likely to materially affect, the issuer’s internal control over financial reporting; and</w:t>
      </w:r>
    </w:p>
    <w:p>
      <w:pPr>
        <w:spacing w:after="0" w:line="85" w:lineRule="exact"/>
        <w:rPr>
          <w:rFonts w:ascii="Times New Roman" w:cs="Times New Roman" w:eastAsia="Times New Roman" w:hAnsi="Times New Roman"/>
          <w:sz w:val="18"/>
          <w:szCs w:val="18"/>
          <w:color w:val="auto"/>
        </w:rPr>
      </w:pPr>
    </w:p>
    <w:p>
      <w:pPr>
        <w:ind w:left="422" w:right="80" w:hanging="422"/>
        <w:spacing w:after="0" w:line="274" w:lineRule="auto"/>
        <w:tabs>
          <w:tab w:leader="none" w:pos="422"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officer(s) and I have disclosed, based on our most recent evaluation of internal control over financial reporting, to the issuer’s auditors and the audit committee of the issuer’s board of directors (or persons performing the equivalent functions):</w:t>
      </w:r>
    </w:p>
    <w:p>
      <w:pPr>
        <w:spacing w:after="0" w:line="71" w:lineRule="exact"/>
        <w:rPr>
          <w:sz w:val="20"/>
          <w:szCs w:val="20"/>
          <w:color w:val="auto"/>
        </w:rPr>
      </w:pPr>
    </w:p>
    <w:p>
      <w:pPr>
        <w:ind w:left="962" w:right="560" w:hanging="538"/>
        <w:spacing w:after="0" w:line="274" w:lineRule="auto"/>
        <w:tabs>
          <w:tab w:leader="none" w:pos="96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issuer’s ability to record, process, summarize and report financial information; and</w:t>
      </w:r>
    </w:p>
    <w:p>
      <w:pPr>
        <w:spacing w:after="0" w:line="70" w:lineRule="exact"/>
        <w:rPr>
          <w:rFonts w:ascii="Times New Roman" w:cs="Times New Roman" w:eastAsia="Times New Roman" w:hAnsi="Times New Roman"/>
          <w:sz w:val="18"/>
          <w:szCs w:val="18"/>
          <w:color w:val="auto"/>
        </w:rPr>
      </w:pPr>
    </w:p>
    <w:p>
      <w:pPr>
        <w:ind w:left="962" w:right="500" w:hanging="538"/>
        <w:spacing w:after="0" w:line="274" w:lineRule="auto"/>
        <w:tabs>
          <w:tab w:leader="none" w:pos="96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issuer’s internal control over financial reporting.</w:t>
      </w:r>
    </w:p>
    <w:p>
      <w:pPr>
        <w:spacing w:after="0" w:line="16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Date: March 6, 2025</w:t>
      </w:r>
    </w:p>
    <w:p>
      <w:pPr>
        <w:spacing w:after="0" w:line="244" w:lineRule="exact"/>
        <w:rPr>
          <w:sz w:val="20"/>
          <w:szCs w:val="20"/>
          <w:color w:val="auto"/>
        </w:rPr>
      </w:pPr>
    </w:p>
    <w:p>
      <w:pPr>
        <w:ind w:left="6502"/>
        <w:spacing w:after="0"/>
        <w:rPr>
          <w:sz w:val="20"/>
          <w:szCs w:val="20"/>
          <w:color w:val="auto"/>
        </w:rPr>
      </w:pPr>
      <w:r>
        <w:rPr>
          <w:rFonts w:ascii="Times New Roman" w:cs="Times New Roman" w:eastAsia="Times New Roman" w:hAnsi="Times New Roman"/>
          <w:sz w:val="18"/>
          <w:szCs w:val="18"/>
          <w:color w:val="auto"/>
        </w:rPr>
        <w:t>/s/ Michael Eastwood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4122420</wp:posOffset>
            </wp:positionH>
            <wp:positionV relativeFrom="paragraph">
              <wp:posOffset>14605</wp:posOffset>
            </wp:positionV>
            <wp:extent cx="274256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742565" cy="8255"/>
                    </a:xfrm>
                    <a:prstGeom prst="rect">
                      <a:avLst/>
                    </a:prstGeom>
                    <a:noFill/>
                  </pic:spPr>
                </pic:pic>
              </a:graphicData>
            </a:graphic>
          </wp:anchor>
        </w:drawing>
      </w:r>
    </w:p>
    <w:p>
      <w:pPr>
        <w:spacing w:after="0" w:line="12" w:lineRule="exact"/>
        <w:rPr>
          <w:sz w:val="20"/>
          <w:szCs w:val="20"/>
          <w:color w:val="auto"/>
        </w:rPr>
      </w:pPr>
    </w:p>
    <w:p>
      <w:pPr>
        <w:ind w:left="6502"/>
        <w:spacing w:after="0"/>
        <w:rPr>
          <w:sz w:val="20"/>
          <w:szCs w:val="20"/>
          <w:color w:val="auto"/>
        </w:rPr>
      </w:pPr>
      <w:r>
        <w:rPr>
          <w:rFonts w:ascii="Times New Roman" w:cs="Times New Roman" w:eastAsia="Times New Roman" w:hAnsi="Times New Roman"/>
          <w:sz w:val="18"/>
          <w:szCs w:val="18"/>
          <w:color w:val="auto"/>
        </w:rPr>
        <w:t>Michael Eastwood</w:t>
      </w:r>
    </w:p>
    <w:p>
      <w:pPr>
        <w:spacing w:after="0" w:line="24" w:lineRule="exact"/>
        <w:rPr>
          <w:sz w:val="20"/>
          <w:szCs w:val="20"/>
          <w:color w:val="auto"/>
        </w:rPr>
      </w:pPr>
    </w:p>
    <w:p>
      <w:pPr>
        <w:ind w:left="6502"/>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822"/>
          </w:cols>
          <w:pgMar w:left="538" w:top="119" w:right="5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21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2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BY</w:t>
      </w:r>
    </w:p>
    <w:p>
      <w:pPr>
        <w:spacing w:after="0" w:line="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I, Steve Hasker, President and Chief Executive Officer of Thomson Reuters Corporation (the “Company”), hereby certify, pursuant to 18 U.S.C.</w:t>
      </w:r>
    </w:p>
    <w:p>
      <w:pPr>
        <w:spacing w:after="0" w:line="2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Sarbanes-Oxley Act of 2002, that:</w:t>
      </w:r>
    </w:p>
    <w:p>
      <w:pPr>
        <w:spacing w:after="0" w:line="92" w:lineRule="exact"/>
        <w:rPr>
          <w:sz w:val="20"/>
          <w:szCs w:val="20"/>
          <w:color w:val="auto"/>
        </w:rPr>
      </w:pPr>
    </w:p>
    <w:p>
      <w:pPr>
        <w:ind w:left="2" w:right="480" w:hanging="2"/>
        <w:spacing w:after="0" w:line="274" w:lineRule="auto"/>
        <w:tabs>
          <w:tab w:leader="none" w:pos="18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40-F for the year ended December 31, 2024 (the “Form 40-F”) fully complies with the requirements of Section 13(a) or 15(d) of the Securities Exchange Act of 1934, as amended; and</w:t>
      </w:r>
    </w:p>
    <w:p>
      <w:pPr>
        <w:spacing w:after="0" w:line="163" w:lineRule="exact"/>
        <w:rPr>
          <w:rFonts w:ascii="Times New Roman" w:cs="Times New Roman" w:eastAsia="Times New Roman" w:hAnsi="Times New Roman"/>
          <w:sz w:val="18"/>
          <w:szCs w:val="18"/>
          <w:color w:val="auto"/>
        </w:rPr>
      </w:pPr>
    </w:p>
    <w:p>
      <w:pPr>
        <w:ind w:left="2" w:right="100" w:hanging="2"/>
        <w:spacing w:after="0" w:line="506" w:lineRule="auto"/>
        <w:tabs>
          <w:tab w:leader="none" w:pos="19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40-F fairly presents, in all material respects, the financial condition and results of operations of the Company. Date: March 6, 2025</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By: /s/ Steve Hasker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14605</wp:posOffset>
            </wp:positionV>
            <wp:extent cx="251587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515870" cy="8255"/>
                    </a:xfrm>
                    <a:prstGeom prst="rect">
                      <a:avLst/>
                    </a:prstGeom>
                    <a:noFill/>
                  </pic:spPr>
                </pic:pic>
              </a:graphicData>
            </a:graphic>
          </wp:anchor>
        </w:drawing>
      </w:r>
    </w:p>
    <w:p>
      <w:pPr>
        <w:spacing w:after="0" w:line="12"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8"/>
          <w:szCs w:val="18"/>
          <w:color w:val="auto"/>
        </w:rPr>
        <w:t>Steve Hasker</w:t>
      </w:r>
    </w:p>
    <w:p>
      <w:pPr>
        <w:spacing w:after="0" w:line="24"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822"/>
          </w:cols>
          <w:pgMar w:left="538" w:top="119" w:right="5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99.6</w:t>
      </w:r>
    </w:p>
    <w:p>
      <w:pPr>
        <w:spacing w:after="0" w:line="21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2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BY</w:t>
      </w:r>
    </w:p>
    <w:p>
      <w:pPr>
        <w:spacing w:after="0" w:line="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ind w:left="2" w:right="80"/>
        <w:spacing w:after="0" w:line="274" w:lineRule="auto"/>
        <w:rPr>
          <w:sz w:val="20"/>
          <w:szCs w:val="20"/>
          <w:color w:val="auto"/>
        </w:rPr>
      </w:pPr>
      <w:r>
        <w:rPr>
          <w:rFonts w:ascii="Times New Roman" w:cs="Times New Roman" w:eastAsia="Times New Roman" w:hAnsi="Times New Roman"/>
          <w:sz w:val="18"/>
          <w:szCs w:val="18"/>
          <w:color w:val="auto"/>
        </w:rPr>
        <w:t>I, Michael Eastwood, Chief Financial Officer of Thomson Reuters Corporation (the “Company”), hereby certify, pursuant to 18 U.S.C. Section 1350, as adopted pursuant to Section 906 of the Sarbanes-Oxley Act of 2002, that:</w:t>
      </w:r>
    </w:p>
    <w:p>
      <w:pPr>
        <w:spacing w:after="0" w:line="57" w:lineRule="exact"/>
        <w:rPr>
          <w:sz w:val="20"/>
          <w:szCs w:val="20"/>
          <w:color w:val="auto"/>
        </w:rPr>
      </w:pPr>
    </w:p>
    <w:p>
      <w:pPr>
        <w:ind w:left="2" w:right="480" w:hanging="2"/>
        <w:spacing w:after="0" w:line="274" w:lineRule="auto"/>
        <w:tabs>
          <w:tab w:leader="none" w:pos="18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40-F for the year ended December 31, 2024 (the “Form 40-F”) fully complies with the requirements of Section 13(a) or 15(d) of the Securities Exchange Act of 1934, as amended; and</w:t>
      </w:r>
    </w:p>
    <w:p>
      <w:pPr>
        <w:spacing w:after="0" w:line="57" w:lineRule="exact"/>
        <w:rPr>
          <w:rFonts w:ascii="Times New Roman" w:cs="Times New Roman" w:eastAsia="Times New Roman" w:hAnsi="Times New Roman"/>
          <w:sz w:val="18"/>
          <w:szCs w:val="18"/>
          <w:color w:val="auto"/>
        </w:rPr>
      </w:pPr>
    </w:p>
    <w:p>
      <w:pPr>
        <w:ind w:left="182" w:hanging="182"/>
        <w:spacing w:after="0"/>
        <w:tabs>
          <w:tab w:leader="none" w:pos="182"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Form 40-F fairly presents, in all material respects, the financial condition and results of operations of the Company.</w:t>
      </w:r>
    </w:p>
    <w:p>
      <w:pPr>
        <w:spacing w:after="0" w:line="22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Date: March 6, 2025</w:t>
      </w:r>
    </w:p>
    <w:p>
      <w:pPr>
        <w:spacing w:after="0" w:line="24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By: /s/ Michael Eastwood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14605</wp:posOffset>
            </wp:positionV>
            <wp:extent cx="251587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515870" cy="8255"/>
                    </a:xfrm>
                    <a:prstGeom prst="rect">
                      <a:avLst/>
                    </a:prstGeom>
                    <a:noFill/>
                  </pic:spPr>
                </pic:pic>
              </a:graphicData>
            </a:graphic>
          </wp:anchor>
        </w:drawing>
      </w:r>
    </w:p>
    <w:p>
      <w:pPr>
        <w:spacing w:after="0" w:line="12"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8"/>
          <w:szCs w:val="18"/>
          <w:color w:val="auto"/>
        </w:rPr>
        <w:t>Michael Eastwood</w:t>
      </w:r>
    </w:p>
    <w:p>
      <w:pPr>
        <w:spacing w:after="0" w:line="24"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822"/>
          </w:cols>
          <w:pgMar w:left="538" w:top="119" w:right="5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9"/>
          <w:szCs w:val="19"/>
          <w:b w:val="1"/>
          <w:bCs w:val="1"/>
          <w:color w:val="auto"/>
        </w:rPr>
        <w:t>Exhibit 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5896610</wp:posOffset>
            </wp:positionH>
            <wp:positionV relativeFrom="paragraph">
              <wp:posOffset>161290</wp:posOffset>
            </wp:positionV>
            <wp:extent cx="967740" cy="32829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49"/>
          <w:szCs w:val="49"/>
          <w:color w:val="D64000"/>
        </w:rPr>
        <w:t>Trust Matters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49"/>
          <w:szCs w:val="49"/>
          <w:b w:val="1"/>
          <w:bCs w:val="1"/>
          <w:color w:val="auto"/>
        </w:rPr>
        <w:t>Code of Business Conduct and Ethics</w:t>
      </w:r>
    </w:p>
    <w:p>
      <w:pPr>
        <w:spacing w:after="0" w:line="118" w:lineRule="exact"/>
        <w:rPr>
          <w:sz w:val="20"/>
          <w:szCs w:val="20"/>
          <w:color w:val="auto"/>
        </w:rPr>
      </w:pPr>
    </w:p>
    <w:p>
      <w:pPr>
        <w:ind w:left="8260"/>
        <w:spacing w:after="0"/>
        <w:rPr>
          <w:sz w:val="20"/>
          <w:szCs w:val="20"/>
          <w:color w:val="auto"/>
        </w:rPr>
      </w:pPr>
      <w:r>
        <w:rPr>
          <w:rFonts w:ascii="Arial" w:cs="Arial" w:eastAsia="Arial" w:hAnsi="Arial"/>
          <w:sz w:val="32"/>
          <w:szCs w:val="32"/>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280670</wp:posOffset>
            </wp:positionV>
            <wp:extent cx="6899275" cy="53676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99275" cy="5367655"/>
                    </a:xfrm>
                    <a:prstGeom prst="rect">
                      <a:avLst/>
                    </a:prstGeom>
                    <a:noFill/>
                  </pic:spPr>
                </pic:pic>
              </a:graphicData>
            </a:graphic>
          </wp:anchor>
        </w:drawing>
      </w:r>
    </w:p>
    <w:p>
      <w:pPr>
        <w:sectPr>
          <w:pgSz w:w="11900" w:h="16838" w:orient="portrait"/>
          <w:cols w:equalWidth="0" w:num="1">
            <w:col w:w="10820"/>
          </w:cols>
          <w:pgMar w:left="540" w:top="118" w:right="539" w:bottom="1440" w:gutter="0" w:footer="0" w:header="0"/>
        </w:sectPr>
      </w:pPr>
    </w:p>
    <w:bookmarkStart w:id="182" w:name="page183"/>
    <w:bookmarkEnd w:id="182"/>
    <w:p>
      <w:pPr>
        <w:spacing w:after="0"/>
        <w:rPr>
          <w:sz w:val="20"/>
          <w:szCs w:val="20"/>
          <w:color w:val="auto"/>
        </w:rPr>
      </w:pPr>
      <w:r>
        <w:rPr>
          <w:rFonts w:ascii="Arial" w:cs="Arial" w:eastAsia="Arial" w:hAnsi="Arial"/>
          <w:sz w:val="35"/>
          <w:szCs w:val="35"/>
          <w:b w:val="1"/>
          <w:bCs w:val="1"/>
          <w:color w:val="123121"/>
        </w:rPr>
        <w:t>Contents</w:t>
      </w:r>
    </w:p>
    <w:p>
      <w:pPr>
        <w:spacing w:after="0" w:line="226" w:lineRule="exact"/>
        <w:rPr>
          <w:sz w:val="20"/>
          <w:szCs w:val="20"/>
          <w:color w:val="auto"/>
        </w:rPr>
      </w:pPr>
    </w:p>
    <w:p>
      <w:pPr>
        <w:ind w:right="760"/>
        <w:spacing w:after="0" w:line="336" w:lineRule="auto"/>
        <w:rPr>
          <w:sz w:val="20"/>
          <w:szCs w:val="20"/>
          <w:color w:val="auto"/>
        </w:rPr>
      </w:pPr>
      <w:r>
        <w:rPr>
          <w:rFonts w:ascii="Arial" w:cs="Arial" w:eastAsia="Arial" w:hAnsi="Arial"/>
          <w:sz w:val="17"/>
          <w:szCs w:val="17"/>
          <w:b w:val="1"/>
          <w:bCs w:val="1"/>
          <w:u w:val="single" w:color="auto"/>
          <w:color w:val="0000EE"/>
        </w:rPr>
        <w:t>Message from CEO Steve Hasker Trust matters at Thomson Reuters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EE"/>
        </w:rPr>
        <w:t>The Trust Principles</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EE"/>
        </w:rPr>
        <w:t>Our Culture</w:t>
      </w:r>
    </w:p>
    <w:p>
      <w:pPr>
        <w:spacing w:after="0" w:line="28"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0000EE"/>
        </w:rPr>
        <w:t>Purpose</w:t>
      </w:r>
    </w:p>
    <w:p>
      <w:pPr>
        <w:spacing w:after="0" w:line="28"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0000EE"/>
        </w:rPr>
        <w:t>Mindsets and behaviors</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EE"/>
        </w:rPr>
        <w:t>Our Code</w:t>
      </w:r>
    </w:p>
    <w:p>
      <w:pPr>
        <w:spacing w:after="0" w:line="28"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0000EE"/>
        </w:rPr>
        <w:t>A global code</w:t>
      </w:r>
    </w:p>
    <w:p>
      <w:pPr>
        <w:spacing w:after="0" w:line="28"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0000EE"/>
        </w:rPr>
        <w:t>Regulated entities</w:t>
      </w:r>
    </w:p>
    <w:p>
      <w:pPr>
        <w:spacing w:after="0" w:line="28"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0000EE"/>
        </w:rPr>
        <w:t>Reuters journalists</w:t>
      </w:r>
    </w:p>
    <w:p>
      <w:pPr>
        <w:spacing w:after="0" w:line="28"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0000EE"/>
        </w:rPr>
        <w:t>Waiver</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EE"/>
        </w:rPr>
        <w:t>Our responsibilities</w:t>
      </w:r>
    </w:p>
    <w:p>
      <w:pPr>
        <w:spacing w:after="0" w:line="28"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0000EE"/>
        </w:rPr>
        <w:t>Accountability for everyone</w:t>
      </w:r>
    </w:p>
    <w:p>
      <w:pPr>
        <w:spacing w:after="0" w:line="28"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0000EE"/>
        </w:rPr>
        <w:t>Responsibilities of leaders and managers</w:t>
      </w:r>
    </w:p>
    <w:p>
      <w:pPr>
        <w:spacing w:after="0" w:line="28"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0000EE"/>
        </w:rPr>
        <w:t>Making ethical decisions</w:t>
      </w:r>
    </w:p>
    <w:p>
      <w:pPr>
        <w:spacing w:after="0" w:line="28" w:lineRule="exact"/>
        <w:rPr>
          <w:sz w:val="20"/>
          <w:szCs w:val="20"/>
          <w:color w:val="auto"/>
        </w:rPr>
      </w:pPr>
    </w:p>
    <w:p>
      <w:pPr>
        <w:ind w:left="320" w:right="1260" w:hanging="158"/>
        <w:spacing w:after="0" w:line="276" w:lineRule="auto"/>
        <w:rPr>
          <w:sz w:val="20"/>
          <w:szCs w:val="20"/>
          <w:color w:val="auto"/>
        </w:rPr>
      </w:pPr>
      <w:r>
        <w:rPr>
          <w:rFonts w:ascii="Arial" w:cs="Arial" w:eastAsia="Arial" w:hAnsi="Arial"/>
          <w:sz w:val="16"/>
          <w:szCs w:val="16"/>
          <w:u w:val="single" w:color="auto"/>
          <w:color w:val="0000EE"/>
        </w:rPr>
        <w:t>Speaking up and seeking help Anonymity and confidentiality Retaliation is prohibited Investigations</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6"/>
          <w:szCs w:val="16"/>
          <w:u w:val="single" w:color="auto"/>
          <w:color w:val="0000EE"/>
        </w:rPr>
        <w:t>Fair process and disciplinary action</w:t>
      </w:r>
    </w:p>
    <w:p>
      <w:pPr>
        <w:spacing w:after="0" w:line="103" w:lineRule="exact"/>
        <w:rPr>
          <w:sz w:val="20"/>
          <w:szCs w:val="20"/>
          <w:color w:val="auto"/>
        </w:rPr>
      </w:pPr>
    </w:p>
    <w:p>
      <w:pPr>
        <w:jc w:val="center"/>
        <w:ind w:right="1280"/>
        <w:spacing w:after="0"/>
        <w:rPr>
          <w:sz w:val="20"/>
          <w:szCs w:val="20"/>
          <w:color w:val="auto"/>
        </w:rPr>
      </w:pPr>
      <w:r>
        <w:rPr>
          <w:rFonts w:ascii="Arial" w:cs="Arial" w:eastAsia="Arial" w:hAnsi="Arial"/>
          <w:sz w:val="17"/>
          <w:szCs w:val="17"/>
          <w:b w:val="1"/>
          <w:bCs w:val="1"/>
          <w:u w:val="single" w:color="auto"/>
          <w:color w:val="0000EE"/>
        </w:rPr>
        <w:t>Trust matters for our people</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EE"/>
        </w:rPr>
        <w:t>Providing equal opportunities</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EE"/>
        </w:rPr>
        <w:t>Embracing inclusion and belonging</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EE"/>
        </w:rPr>
        <w:t>Fostering a respectful workplace</w:t>
      </w:r>
    </w:p>
    <w:p>
      <w:pPr>
        <w:spacing w:after="0" w:line="28" w:lineRule="exact"/>
        <w:rPr>
          <w:sz w:val="20"/>
          <w:szCs w:val="20"/>
          <w:color w:val="auto"/>
        </w:rPr>
      </w:pPr>
    </w:p>
    <w:p>
      <w:pPr>
        <w:ind w:left="480" w:right="860"/>
        <w:spacing w:after="0" w:line="276" w:lineRule="auto"/>
        <w:rPr>
          <w:sz w:val="20"/>
          <w:szCs w:val="20"/>
          <w:color w:val="auto"/>
        </w:rPr>
      </w:pPr>
      <w:r>
        <w:rPr>
          <w:rFonts w:ascii="Arial" w:cs="Arial" w:eastAsia="Arial" w:hAnsi="Arial"/>
          <w:sz w:val="16"/>
          <w:szCs w:val="16"/>
          <w:u w:val="single" w:color="auto"/>
          <w:color w:val="0000EE"/>
        </w:rPr>
        <w:t>Anti-discrimination Harassment and bullying Speaking up for safe workplaces</w:t>
      </w:r>
    </w:p>
    <w:p>
      <w:pPr>
        <w:spacing w:after="0" w:line="1" w:lineRule="exact"/>
        <w:rPr>
          <w:sz w:val="20"/>
          <w:szCs w:val="20"/>
          <w:color w:val="auto"/>
        </w:rPr>
      </w:pPr>
    </w:p>
    <w:p>
      <w:pPr>
        <w:ind w:left="480" w:right="280" w:hanging="317"/>
        <w:spacing w:after="0" w:line="276" w:lineRule="auto"/>
        <w:rPr>
          <w:sz w:val="20"/>
          <w:szCs w:val="20"/>
          <w:color w:val="auto"/>
        </w:rPr>
      </w:pPr>
      <w:r>
        <w:rPr>
          <w:rFonts w:ascii="Arial" w:cs="Arial" w:eastAsia="Arial" w:hAnsi="Arial"/>
          <w:sz w:val="16"/>
          <w:szCs w:val="16"/>
          <w:u w:val="single" w:color="auto"/>
          <w:color w:val="0000EE"/>
        </w:rPr>
        <w:t>Keeping workplaces safe, secure and healthy Health and safety</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6"/>
          <w:szCs w:val="16"/>
          <w:u w:val="single" w:color="auto"/>
          <w:color w:val="0000EE"/>
        </w:rPr>
        <w:t>Security</w:t>
      </w:r>
    </w:p>
    <w:p>
      <w:pPr>
        <w:spacing w:after="0" w:line="28" w:lineRule="exact"/>
        <w:rPr>
          <w:sz w:val="20"/>
          <w:szCs w:val="20"/>
          <w:color w:val="auto"/>
        </w:rPr>
      </w:pPr>
    </w:p>
    <w:p>
      <w:pPr>
        <w:ind w:left="480" w:right="200"/>
        <w:spacing w:after="0" w:line="310" w:lineRule="auto"/>
        <w:rPr>
          <w:sz w:val="20"/>
          <w:szCs w:val="20"/>
          <w:color w:val="auto"/>
        </w:rPr>
      </w:pPr>
      <w:r>
        <w:rPr>
          <w:rFonts w:ascii="Arial" w:cs="Arial" w:eastAsia="Arial" w:hAnsi="Arial"/>
          <w:sz w:val="16"/>
          <w:szCs w:val="16"/>
          <w:u w:val="single" w:color="auto"/>
          <w:color w:val="0000EE"/>
        </w:rPr>
        <w:t>Threats, workplace violence and weapons Drugs and alcohol</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Trust matters in our marketplace</w:t>
      </w:r>
    </w:p>
    <w:p>
      <w:pPr>
        <w:spacing w:after="0" w:line="37" w:lineRule="exact"/>
        <w:rPr>
          <w:sz w:val="20"/>
          <w:szCs w:val="20"/>
          <w:color w:val="auto"/>
        </w:rPr>
      </w:pPr>
    </w:p>
    <w:p>
      <w:pPr>
        <w:ind w:left="480" w:right="300" w:hanging="317"/>
        <w:spacing w:after="0" w:line="267" w:lineRule="auto"/>
        <w:rPr>
          <w:sz w:val="20"/>
          <w:szCs w:val="20"/>
          <w:color w:val="auto"/>
        </w:rPr>
      </w:pPr>
      <w:r>
        <w:rPr>
          <w:rFonts w:ascii="Arial" w:cs="Arial" w:eastAsia="Arial" w:hAnsi="Arial"/>
          <w:sz w:val="16"/>
          <w:szCs w:val="16"/>
          <w:u w:val="single" w:color="auto"/>
          <w:color w:val="0000EE"/>
        </w:rPr>
        <w:t>Recognizing and avoiding conflicts of interest Relatives and friends</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6"/>
          <w:szCs w:val="16"/>
          <w:u w:val="single" w:color="auto"/>
          <w:color w:val="0000EE"/>
        </w:rPr>
        <w:t>Corporate opportunities</w:t>
      </w:r>
    </w:p>
    <w:p>
      <w:pPr>
        <w:spacing w:after="0" w:line="28" w:lineRule="exact"/>
        <w:rPr>
          <w:sz w:val="20"/>
          <w:szCs w:val="20"/>
          <w:color w:val="auto"/>
        </w:rPr>
      </w:pPr>
    </w:p>
    <w:p>
      <w:pPr>
        <w:ind w:left="480"/>
        <w:spacing w:after="0"/>
        <w:rPr>
          <w:sz w:val="20"/>
          <w:szCs w:val="20"/>
          <w:color w:val="auto"/>
        </w:rPr>
      </w:pPr>
      <w:r>
        <w:rPr>
          <w:rFonts w:ascii="Arial" w:cs="Arial" w:eastAsia="Arial" w:hAnsi="Arial"/>
          <w:sz w:val="16"/>
          <w:szCs w:val="16"/>
          <w:u w:val="single" w:color="auto"/>
          <w:color w:val="0000EE"/>
        </w:rPr>
        <w:t>Outside employment</w:t>
      </w:r>
    </w:p>
    <w:p>
      <w:pPr>
        <w:spacing w:after="0" w:line="28" w:lineRule="exact"/>
        <w:rPr>
          <w:sz w:val="20"/>
          <w:szCs w:val="20"/>
          <w:color w:val="auto"/>
        </w:rPr>
      </w:pPr>
    </w:p>
    <w:p>
      <w:pPr>
        <w:ind w:left="480"/>
        <w:spacing w:after="0" w:line="276" w:lineRule="auto"/>
        <w:rPr>
          <w:sz w:val="20"/>
          <w:szCs w:val="20"/>
          <w:color w:val="auto"/>
        </w:rPr>
      </w:pPr>
      <w:r>
        <w:rPr>
          <w:rFonts w:ascii="Arial" w:cs="Arial" w:eastAsia="Arial" w:hAnsi="Arial"/>
          <w:sz w:val="16"/>
          <w:szCs w:val="16"/>
          <w:u w:val="single" w:color="auto"/>
          <w:color w:val="0000EE"/>
        </w:rPr>
        <w:t>Practicing law on behalf of Thomson Reuters Joining the Board of another company Organizational conflicts of interest</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EE"/>
        </w:rPr>
        <w:t>Dealing fairly and honestly</w:t>
      </w:r>
    </w:p>
    <w:p>
      <w:pPr>
        <w:spacing w:after="0" w:line="28" w:lineRule="exact"/>
        <w:rPr>
          <w:sz w:val="20"/>
          <w:szCs w:val="20"/>
          <w:color w:val="auto"/>
        </w:rPr>
      </w:pPr>
    </w:p>
    <w:p>
      <w:pPr>
        <w:ind w:left="480"/>
        <w:spacing w:after="0"/>
        <w:rPr>
          <w:sz w:val="20"/>
          <w:szCs w:val="20"/>
          <w:color w:val="auto"/>
        </w:rPr>
      </w:pPr>
      <w:r>
        <w:rPr>
          <w:rFonts w:ascii="Arial" w:cs="Arial" w:eastAsia="Arial" w:hAnsi="Arial"/>
          <w:sz w:val="16"/>
          <w:szCs w:val="16"/>
          <w:u w:val="single" w:color="auto"/>
          <w:color w:val="0000EE"/>
        </w:rPr>
        <w:t>Fair dealing</w:t>
      </w:r>
    </w:p>
    <w:p>
      <w:pPr>
        <w:spacing w:after="0" w:line="28" w:lineRule="exact"/>
        <w:rPr>
          <w:sz w:val="20"/>
          <w:szCs w:val="20"/>
          <w:color w:val="auto"/>
        </w:rPr>
      </w:pPr>
    </w:p>
    <w:p>
      <w:pPr>
        <w:ind w:left="480"/>
        <w:spacing w:after="0"/>
        <w:rPr>
          <w:sz w:val="20"/>
          <w:szCs w:val="20"/>
          <w:color w:val="auto"/>
        </w:rPr>
      </w:pPr>
      <w:r>
        <w:rPr>
          <w:rFonts w:ascii="Arial" w:cs="Arial" w:eastAsia="Arial" w:hAnsi="Arial"/>
          <w:sz w:val="16"/>
          <w:szCs w:val="16"/>
          <w:u w:val="single" w:color="auto"/>
          <w:color w:val="0000EE"/>
        </w:rPr>
        <w:t>Competition and antitrust</w:t>
      </w:r>
    </w:p>
    <w:p>
      <w:pPr>
        <w:spacing w:after="0" w:line="28" w:lineRule="exact"/>
        <w:rPr>
          <w:sz w:val="20"/>
          <w:szCs w:val="20"/>
          <w:color w:val="auto"/>
        </w:rPr>
      </w:pPr>
    </w:p>
    <w:p>
      <w:pPr>
        <w:ind w:left="480" w:right="980" w:hanging="317"/>
        <w:spacing w:after="0" w:line="310" w:lineRule="auto"/>
        <w:rPr>
          <w:sz w:val="20"/>
          <w:szCs w:val="20"/>
          <w:color w:val="auto"/>
        </w:rPr>
      </w:pPr>
      <w:r>
        <w:rPr>
          <w:rFonts w:ascii="Arial" w:cs="Arial" w:eastAsia="Arial" w:hAnsi="Arial"/>
          <w:sz w:val="16"/>
          <w:szCs w:val="16"/>
          <w:u w:val="single" w:color="auto"/>
          <w:color w:val="0000EE"/>
        </w:rPr>
        <w:t>Working in our global markets Anti-bribery and anti-corruption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967740" cy="32829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spacing w:after="0" w:line="1" w:lineRule="exact"/>
        <w:rPr>
          <w:sz w:val="1"/>
          <w:szCs w:val="1"/>
          <w:color w:val="auto"/>
        </w:rPr>
      </w:pPr>
    </w:p>
    <w:tbl>
      <w:tblPr>
        <w:tblLayout w:type="fixed"/>
        <w:tblInd w:w="580" w:type="dxa"/>
        <w:tblCellMar>
          <w:top w:w="0" w:type="dxa"/>
          <w:left w:w="0" w:type="dxa"/>
          <w:bottom w:w="0" w:type="dxa"/>
          <w:right w:w="0" w:type="dxa"/>
        </w:tblCellMar>
      </w:tblPr>
      <w:tr>
        <w:trPr>
          <w:trHeight w:val="207"/>
        </w:trPr>
        <w:tc>
          <w:tcPr>
            <w:tcW w:w="380" w:type="dxa"/>
            <w:vAlign w:val="bottom"/>
          </w:tcPr>
          <w:p>
            <w:pPr>
              <w:jc w:val="right"/>
              <w:ind w:right="100"/>
              <w:spacing w:after="0"/>
              <w:rPr>
                <w:sz w:val="20"/>
                <w:szCs w:val="20"/>
                <w:color w:val="auto"/>
              </w:rPr>
            </w:pPr>
            <w:r>
              <w:rPr>
                <w:rFonts w:ascii="Arial" w:cs="Arial" w:eastAsia="Arial" w:hAnsi="Arial"/>
                <w:sz w:val="18"/>
                <w:szCs w:val="18"/>
                <w:b w:val="1"/>
                <w:bCs w:val="1"/>
                <w:color w:val="D64000"/>
              </w:rPr>
              <w:t>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Borders>
              <w:bottom w:val="single" w:sz="8" w:color="0000EE"/>
            </w:tcBorders>
            <w:gridSpan w:val="10"/>
          </w:tcPr>
          <w:p>
            <w:pPr>
              <w:spacing w:after="0"/>
              <w:rPr>
                <w:sz w:val="20"/>
                <w:szCs w:val="20"/>
                <w:color w:val="auto"/>
              </w:rPr>
            </w:pPr>
            <w:r>
              <w:rPr>
                <w:rFonts w:ascii="Arial" w:cs="Arial" w:eastAsia="Arial" w:hAnsi="Arial"/>
                <w:sz w:val="16"/>
                <w:szCs w:val="16"/>
                <w:color w:val="0000EE"/>
                <w:w w:val="97"/>
              </w:rPr>
              <w:t>Gifts and entertainment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92"/>
        </w:trPr>
        <w:tc>
          <w:tcPr>
            <w:tcW w:w="380" w:type="dxa"/>
            <w:vAlign w:val="bottom"/>
            <w:vMerge w:val="restart"/>
          </w:tcPr>
          <w:p>
            <w:pPr>
              <w:jc w:val="right"/>
              <w:ind w:right="100"/>
              <w:spacing w:after="0"/>
              <w:rPr>
                <w:sz w:val="20"/>
                <w:szCs w:val="20"/>
                <w:color w:val="auto"/>
              </w:rPr>
            </w:pPr>
            <w:r>
              <w:rPr>
                <w:rFonts w:ascii="Arial" w:cs="Arial" w:eastAsia="Arial" w:hAnsi="Arial"/>
                <w:sz w:val="18"/>
                <w:szCs w:val="18"/>
                <w:b w:val="1"/>
                <w:bCs w:val="1"/>
                <w:color w:val="D64000"/>
              </w:rPr>
              <w:t>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tcBorders>
              <w:bottom w:val="single" w:sz="8" w:color="0000EE"/>
            </w:tcBorders>
            <w:gridSpan w:val="21"/>
          </w:tcPr>
          <w:p>
            <w:pPr>
              <w:spacing w:after="0"/>
              <w:rPr>
                <w:sz w:val="20"/>
                <w:szCs w:val="20"/>
                <w:color w:val="auto"/>
              </w:rPr>
            </w:pPr>
            <w:r>
              <w:rPr>
                <w:rFonts w:ascii="Arial" w:cs="Arial" w:eastAsia="Arial" w:hAnsi="Arial"/>
                <w:sz w:val="16"/>
                <w:szCs w:val="16"/>
                <w:color w:val="0000EE"/>
                <w:w w:val="98"/>
              </w:rPr>
              <w:t>Sanctions, embargoes and export controls</w:t>
            </w:r>
          </w:p>
        </w:tc>
        <w:tc>
          <w:tcPr>
            <w:tcW w:w="1280" w:type="dxa"/>
            <w:vAlign w:val="bottom"/>
            <w:gridSpan w:val="10"/>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79"/>
        </w:trPr>
        <w:tc>
          <w:tcPr>
            <w:tcW w:w="3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60" w:type="dxa"/>
            <w:vAlign w:val="bottom"/>
            <w:gridSpan w:val="31"/>
          </w:tcPr>
          <w:p>
            <w:pPr>
              <w:spacing w:after="0" w:line="179" w:lineRule="exact"/>
              <w:rPr>
                <w:sz w:val="20"/>
                <w:szCs w:val="20"/>
                <w:color w:val="auto"/>
              </w:rPr>
            </w:pPr>
            <w:r>
              <w:rPr>
                <w:rFonts w:ascii="Arial" w:cs="Arial" w:eastAsia="Arial" w:hAnsi="Arial"/>
                <w:sz w:val="16"/>
                <w:szCs w:val="16"/>
                <w:color w:val="0000EE"/>
              </w:rPr>
              <w:t>Anti-money laundering</w:t>
            </w:r>
          </w:p>
        </w:tc>
        <w:tc>
          <w:tcPr>
            <w:tcW w:w="500" w:type="dxa"/>
            <w:vAlign w:val="bottom"/>
          </w:tcPr>
          <w:p>
            <w:pPr>
              <w:jc w:val="right"/>
              <w:spacing w:after="0" w:line="179"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7"/>
        </w:trPr>
        <w:tc>
          <w:tcPr>
            <w:tcW w:w="380" w:type="dxa"/>
            <w:vAlign w:val="bottom"/>
            <w:vMerge w:val="restart"/>
          </w:tcPr>
          <w:p>
            <w:pPr>
              <w:jc w:val="right"/>
              <w:ind w:right="100"/>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660" w:type="dxa"/>
            <w:vAlign w:val="bottom"/>
            <w:gridSpan w:val="26"/>
            <w:vMerge w:val="restart"/>
          </w:tcPr>
          <w:p>
            <w:pPr>
              <w:spacing w:after="0"/>
              <w:rPr>
                <w:sz w:val="20"/>
                <w:szCs w:val="20"/>
                <w:color w:val="auto"/>
              </w:rPr>
            </w:pPr>
            <w:r>
              <w:rPr>
                <w:rFonts w:ascii="Arial" w:cs="Arial" w:eastAsia="Arial" w:hAnsi="Arial"/>
                <w:sz w:val="18"/>
                <w:szCs w:val="18"/>
                <w:b w:val="1"/>
                <w:bCs w:val="1"/>
                <w:color w:val="0000EE"/>
                <w:w w:val="97"/>
              </w:rPr>
              <w:t>Trust matters in our assets and information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D64000"/>
              </w:rPr>
              <w:t>28</w:t>
            </w:r>
          </w:p>
        </w:tc>
        <w:tc>
          <w:tcPr>
            <w:tcW w:w="0" w:type="dxa"/>
            <w:vAlign w:val="bottom"/>
          </w:tcPr>
          <w:p>
            <w:pPr>
              <w:spacing w:after="0"/>
              <w:rPr>
                <w:sz w:val="1"/>
                <w:szCs w:val="1"/>
                <w:color w:val="auto"/>
              </w:rPr>
            </w:pPr>
          </w:p>
        </w:tc>
      </w:tr>
      <w:tr>
        <w:trPr>
          <w:trHeight w:val="125"/>
        </w:trPr>
        <w:tc>
          <w:tcPr>
            <w:tcW w:w="380" w:type="dxa"/>
            <w:vAlign w:val="bottom"/>
          </w:tcPr>
          <w:p>
            <w:pPr>
              <w:jc w:val="right"/>
              <w:ind w:right="100"/>
              <w:spacing w:after="0" w:line="120" w:lineRule="exact"/>
              <w:rPr>
                <w:sz w:val="20"/>
                <w:szCs w:val="20"/>
                <w:color w:val="auto"/>
              </w:rPr>
            </w:pPr>
            <w:r>
              <w:rPr>
                <w:rFonts w:ascii="Arial" w:cs="Arial" w:eastAsia="Arial" w:hAnsi="Arial"/>
                <w:sz w:val="12"/>
                <w:szCs w:val="12"/>
                <w:color w:val="auto"/>
              </w:rPr>
              <w:t>5</w:t>
            </w:r>
          </w:p>
        </w:tc>
        <w:tc>
          <w:tcPr>
            <w:tcW w:w="200" w:type="dxa"/>
            <w:vAlign w:val="bottom"/>
          </w:tcPr>
          <w:p>
            <w:pPr>
              <w:spacing w:after="0"/>
              <w:rPr>
                <w:sz w:val="10"/>
                <w:szCs w:val="10"/>
                <w:color w:val="auto"/>
              </w:rPr>
            </w:pPr>
          </w:p>
        </w:tc>
        <w:tc>
          <w:tcPr>
            <w:tcW w:w="3660" w:type="dxa"/>
            <w:vAlign w:val="bottom"/>
            <w:tcBorders>
              <w:bottom w:val="single" w:sz="8" w:color="0000EE"/>
            </w:tcBorders>
            <w:gridSpan w:val="26"/>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380" w:type="dxa"/>
            <w:vAlign w:val="bottom"/>
            <w:vMerge w:val="restart"/>
          </w:tcPr>
          <w:p>
            <w:pPr>
              <w:jc w:val="right"/>
              <w:ind w:right="100"/>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6"/>
                <w:szCs w:val="16"/>
                <w:color w:val="auto"/>
              </w:rPr>
            </w:pPr>
          </w:p>
        </w:tc>
        <w:tc>
          <w:tcPr>
            <w:tcW w:w="4740" w:type="dxa"/>
            <w:vAlign w:val="bottom"/>
            <w:gridSpan w:val="33"/>
          </w:tcPr>
          <w:p>
            <w:pPr>
              <w:ind w:left="160"/>
              <w:spacing w:after="0"/>
              <w:rPr>
                <w:sz w:val="20"/>
                <w:szCs w:val="20"/>
                <w:color w:val="auto"/>
              </w:rPr>
            </w:pPr>
            <w:r>
              <w:rPr>
                <w:rFonts w:ascii="Arial" w:cs="Arial" w:eastAsia="Arial" w:hAnsi="Arial"/>
                <w:sz w:val="16"/>
                <w:szCs w:val="16"/>
                <w:color w:val="0000EE"/>
              </w:rPr>
              <w:t>Responsible use of AI</w:t>
            </w:r>
          </w:p>
        </w:tc>
        <w:tc>
          <w:tcPr>
            <w:tcW w:w="5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3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3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60" w:type="dxa"/>
            <w:vAlign w:val="bottom"/>
            <w:gridSpan w:val="31"/>
            <w:vMerge w:val="restart"/>
          </w:tcPr>
          <w:p>
            <w:pPr>
              <w:spacing w:after="0"/>
              <w:rPr>
                <w:sz w:val="20"/>
                <w:szCs w:val="20"/>
                <w:color w:val="auto"/>
              </w:rPr>
            </w:pPr>
            <w:r>
              <w:rPr>
                <w:rFonts w:ascii="Arial" w:cs="Arial" w:eastAsia="Arial" w:hAnsi="Arial"/>
                <w:sz w:val="16"/>
                <w:szCs w:val="16"/>
                <w:color w:val="0000EE"/>
              </w:rPr>
              <w:t>Data and AI Ethics Principles</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22"/>
        </w:trPr>
        <w:tc>
          <w:tcPr>
            <w:tcW w:w="380" w:type="dxa"/>
            <w:vAlign w:val="bottom"/>
            <w:vMerge w:val="restart"/>
          </w:tcPr>
          <w:p>
            <w:pPr>
              <w:jc w:val="right"/>
              <w:ind w:right="100"/>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60" w:type="dxa"/>
            <w:vAlign w:val="bottom"/>
            <w:gridSpan w:val="31"/>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3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740" w:type="dxa"/>
            <w:vAlign w:val="bottom"/>
            <w:gridSpan w:val="33"/>
            <w:vMerge w:val="restart"/>
          </w:tcPr>
          <w:p>
            <w:pPr>
              <w:ind w:left="160"/>
              <w:spacing w:after="0"/>
              <w:rPr>
                <w:sz w:val="20"/>
                <w:szCs w:val="20"/>
                <w:color w:val="auto"/>
              </w:rPr>
            </w:pPr>
            <w:r>
              <w:rPr>
                <w:rFonts w:ascii="Arial" w:cs="Arial" w:eastAsia="Arial" w:hAnsi="Arial"/>
                <w:sz w:val="16"/>
                <w:szCs w:val="16"/>
                <w:color w:val="0000EE"/>
              </w:rPr>
              <w:t>Respecting our intellectual property &amp; that of others</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22"/>
        </w:trPr>
        <w:tc>
          <w:tcPr>
            <w:tcW w:w="380" w:type="dxa"/>
            <w:vAlign w:val="bottom"/>
            <w:vMerge w:val="restart"/>
          </w:tcPr>
          <w:p>
            <w:pPr>
              <w:jc w:val="right"/>
              <w:ind w:right="100"/>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0"/>
                <w:szCs w:val="10"/>
                <w:color w:val="auto"/>
              </w:rPr>
            </w:pPr>
          </w:p>
        </w:tc>
        <w:tc>
          <w:tcPr>
            <w:tcW w:w="4740" w:type="dxa"/>
            <w:vAlign w:val="bottom"/>
            <w:gridSpan w:val="33"/>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3300" w:type="dxa"/>
            <w:vAlign w:val="bottom"/>
            <w:tcBorders>
              <w:top w:val="single" w:sz="8" w:color="0000EE"/>
            </w:tcBorders>
            <w:gridSpan w:val="26"/>
            <w:vMerge w:val="restart"/>
          </w:tcPr>
          <w:p>
            <w:pPr>
              <w:spacing w:after="0"/>
              <w:rPr>
                <w:sz w:val="20"/>
                <w:szCs w:val="20"/>
                <w:color w:val="auto"/>
              </w:rPr>
            </w:pPr>
            <w:r>
              <w:rPr>
                <w:rFonts w:ascii="Arial" w:cs="Arial" w:eastAsia="Arial" w:hAnsi="Arial"/>
                <w:sz w:val="16"/>
                <w:szCs w:val="16"/>
                <w:color w:val="0000EE"/>
              </w:rPr>
              <w:t>Intellectual property of others</w:t>
            </w:r>
          </w:p>
        </w:tc>
        <w:tc>
          <w:tcPr>
            <w:tcW w:w="960" w:type="dxa"/>
            <w:vAlign w:val="bottom"/>
            <w:gridSpan w:val="5"/>
            <w:vMerge w:val="restart"/>
          </w:tcPr>
          <w:p>
            <w:pPr>
              <w:spacing w:after="0"/>
              <w:rPr>
                <w:sz w:val="6"/>
                <w:szCs w:val="6"/>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22"/>
        </w:trPr>
        <w:tc>
          <w:tcPr>
            <w:tcW w:w="380" w:type="dxa"/>
            <w:vAlign w:val="bottom"/>
            <w:vMerge w:val="restart"/>
          </w:tcPr>
          <w:p>
            <w:pPr>
              <w:jc w:val="right"/>
              <w:ind w:right="100"/>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300" w:type="dxa"/>
            <w:vAlign w:val="bottom"/>
            <w:gridSpan w:val="26"/>
            <w:vMerge w:val="continue"/>
          </w:tcPr>
          <w:p>
            <w:pPr>
              <w:spacing w:after="0"/>
              <w:rPr>
                <w:sz w:val="10"/>
                <w:szCs w:val="10"/>
                <w:color w:val="auto"/>
              </w:rPr>
            </w:pPr>
          </w:p>
        </w:tc>
        <w:tc>
          <w:tcPr>
            <w:tcW w:w="960" w:type="dxa"/>
            <w:vAlign w:val="bottom"/>
            <w:gridSpan w:val="5"/>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20" w:type="dxa"/>
            <w:vAlign w:val="bottom"/>
            <w:tcBorders>
              <w:top w:val="single" w:sz="8" w:color="0000EE"/>
            </w:tcBorders>
            <w:gridSpan w:val="11"/>
            <w:vMerge w:val="restart"/>
          </w:tcPr>
          <w:p>
            <w:pPr>
              <w:spacing w:after="0"/>
              <w:rPr>
                <w:sz w:val="20"/>
                <w:szCs w:val="20"/>
                <w:color w:val="auto"/>
              </w:rPr>
            </w:pPr>
            <w:r>
              <w:rPr>
                <w:rFonts w:ascii="Arial" w:cs="Arial" w:eastAsia="Arial" w:hAnsi="Arial"/>
                <w:sz w:val="16"/>
                <w:szCs w:val="16"/>
                <w:color w:val="0000EE"/>
                <w:w w:val="99"/>
              </w:rPr>
              <w:t>Competitive intelligence</w:t>
            </w:r>
          </w:p>
        </w:tc>
        <w:tc>
          <w:tcPr>
            <w:tcW w:w="320" w:type="dxa"/>
            <w:vAlign w:val="bottom"/>
            <w:tcBorders>
              <w:top w:val="single" w:sz="8" w:color="0000EE"/>
            </w:tcBorders>
            <w:gridSpan w:val="4"/>
            <w:vMerge w:val="restart"/>
          </w:tcPr>
          <w:p>
            <w:pPr>
              <w:spacing w:after="0"/>
              <w:rPr>
                <w:sz w:val="6"/>
                <w:szCs w:val="6"/>
                <w:color w:val="auto"/>
              </w:rPr>
            </w:pPr>
          </w:p>
        </w:tc>
        <w:tc>
          <w:tcPr>
            <w:tcW w:w="2220" w:type="dxa"/>
            <w:vAlign w:val="bottom"/>
            <w:gridSpan w:val="16"/>
            <w:vMerge w:val="restart"/>
          </w:tcPr>
          <w:p>
            <w:pPr>
              <w:spacing w:after="0"/>
              <w:rPr>
                <w:sz w:val="6"/>
                <w:szCs w:val="6"/>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27"/>
        </w:trPr>
        <w:tc>
          <w:tcPr>
            <w:tcW w:w="380" w:type="dxa"/>
            <w:vAlign w:val="bottom"/>
            <w:vMerge w:val="restart"/>
          </w:tcPr>
          <w:p>
            <w:pPr>
              <w:jc w:val="right"/>
              <w:ind w:right="100"/>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20" w:type="dxa"/>
            <w:vAlign w:val="bottom"/>
            <w:tcBorders>
              <w:bottom w:val="single" w:sz="8" w:color="0000EE"/>
            </w:tcBorders>
            <w:gridSpan w:val="11"/>
            <w:vMerge w:val="continue"/>
          </w:tcPr>
          <w:p>
            <w:pPr>
              <w:spacing w:after="0"/>
              <w:rPr>
                <w:sz w:val="10"/>
                <w:szCs w:val="10"/>
                <w:color w:val="auto"/>
              </w:rPr>
            </w:pPr>
          </w:p>
        </w:tc>
        <w:tc>
          <w:tcPr>
            <w:tcW w:w="320" w:type="dxa"/>
            <w:vAlign w:val="bottom"/>
            <w:gridSpan w:val="4"/>
            <w:vMerge w:val="continue"/>
          </w:tcPr>
          <w:p>
            <w:pPr>
              <w:spacing w:after="0"/>
              <w:rPr>
                <w:sz w:val="10"/>
                <w:szCs w:val="10"/>
                <w:color w:val="auto"/>
              </w:rPr>
            </w:pPr>
          </w:p>
        </w:tc>
        <w:tc>
          <w:tcPr>
            <w:tcW w:w="2220" w:type="dxa"/>
            <w:vAlign w:val="bottom"/>
            <w:gridSpan w:val="16"/>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740" w:type="dxa"/>
            <w:vAlign w:val="bottom"/>
            <w:gridSpan w:val="33"/>
            <w:vMerge w:val="restart"/>
          </w:tcPr>
          <w:p>
            <w:pPr>
              <w:ind w:left="160"/>
              <w:spacing w:after="0"/>
              <w:rPr>
                <w:sz w:val="20"/>
                <w:szCs w:val="20"/>
                <w:color w:val="auto"/>
              </w:rPr>
            </w:pPr>
            <w:r>
              <w:rPr>
                <w:rFonts w:ascii="Arial" w:cs="Arial" w:eastAsia="Arial" w:hAnsi="Arial"/>
                <w:sz w:val="16"/>
                <w:szCs w:val="16"/>
                <w:color w:val="0000EE"/>
              </w:rPr>
              <w:t>Protecting confidential information &amp; data privacy</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22"/>
        </w:trPr>
        <w:tc>
          <w:tcPr>
            <w:tcW w:w="380" w:type="dxa"/>
            <w:vAlign w:val="bottom"/>
            <w:vMerge w:val="restart"/>
          </w:tcPr>
          <w:p>
            <w:pPr>
              <w:jc w:val="right"/>
              <w:ind w:right="100"/>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0"/>
                <w:szCs w:val="10"/>
                <w:color w:val="auto"/>
              </w:rPr>
            </w:pPr>
          </w:p>
        </w:tc>
        <w:tc>
          <w:tcPr>
            <w:tcW w:w="4740" w:type="dxa"/>
            <w:vAlign w:val="bottom"/>
            <w:gridSpan w:val="33"/>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3120" w:type="dxa"/>
            <w:vAlign w:val="bottom"/>
            <w:tcBorders>
              <w:top w:val="single" w:sz="8" w:color="0000EE"/>
            </w:tcBorders>
            <w:gridSpan w:val="23"/>
            <w:vMerge w:val="restart"/>
          </w:tcPr>
          <w:p>
            <w:pPr>
              <w:spacing w:after="0"/>
              <w:rPr>
                <w:sz w:val="20"/>
                <w:szCs w:val="20"/>
                <w:color w:val="auto"/>
              </w:rPr>
            </w:pPr>
            <w:r>
              <w:rPr>
                <w:rFonts w:ascii="Arial" w:cs="Arial" w:eastAsia="Arial" w:hAnsi="Arial"/>
                <w:sz w:val="16"/>
                <w:szCs w:val="16"/>
                <w:color w:val="0000EE"/>
              </w:rPr>
              <w:t>Confidential information</w:t>
            </w:r>
          </w:p>
        </w:tc>
        <w:tc>
          <w:tcPr>
            <w:tcW w:w="1140" w:type="dxa"/>
            <w:vAlign w:val="bottom"/>
            <w:gridSpan w:val="8"/>
            <w:vMerge w:val="restart"/>
          </w:tcPr>
          <w:p>
            <w:pPr>
              <w:spacing w:after="0"/>
              <w:rPr>
                <w:sz w:val="6"/>
                <w:szCs w:val="6"/>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22"/>
        </w:trPr>
        <w:tc>
          <w:tcPr>
            <w:tcW w:w="380" w:type="dxa"/>
            <w:vAlign w:val="bottom"/>
            <w:vMerge w:val="restart"/>
          </w:tcPr>
          <w:p>
            <w:pPr>
              <w:jc w:val="right"/>
              <w:ind w:right="100"/>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120" w:type="dxa"/>
            <w:vAlign w:val="bottom"/>
            <w:gridSpan w:val="23"/>
            <w:vMerge w:val="continue"/>
          </w:tcPr>
          <w:p>
            <w:pPr>
              <w:spacing w:after="0"/>
              <w:rPr>
                <w:sz w:val="10"/>
                <w:szCs w:val="10"/>
                <w:color w:val="auto"/>
              </w:rPr>
            </w:pPr>
          </w:p>
        </w:tc>
        <w:tc>
          <w:tcPr>
            <w:tcW w:w="1140" w:type="dxa"/>
            <w:vAlign w:val="bottom"/>
            <w:gridSpan w:val="8"/>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3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940" w:type="dxa"/>
            <w:vAlign w:val="bottom"/>
            <w:gridSpan w:val="14"/>
            <w:vMerge w:val="restart"/>
          </w:tcPr>
          <w:p>
            <w:pPr>
              <w:spacing w:after="0"/>
              <w:rPr>
                <w:sz w:val="20"/>
                <w:szCs w:val="20"/>
                <w:color w:val="auto"/>
              </w:rPr>
            </w:pPr>
            <w:r>
              <w:rPr>
                <w:rFonts w:ascii="Arial" w:cs="Arial" w:eastAsia="Arial" w:hAnsi="Arial"/>
                <w:sz w:val="16"/>
                <w:szCs w:val="16"/>
                <w:color w:val="0000EE"/>
                <w:w w:val="98"/>
              </w:rPr>
              <w:t>Data protection and privacy</w:t>
            </w:r>
          </w:p>
        </w:tc>
        <w:tc>
          <w:tcPr>
            <w:tcW w:w="2320" w:type="dxa"/>
            <w:vAlign w:val="bottom"/>
            <w:gridSpan w:val="17"/>
            <w:vMerge w:val="restart"/>
          </w:tcPr>
          <w:p>
            <w:pPr>
              <w:spacing w:after="0"/>
              <w:rPr>
                <w:sz w:val="6"/>
                <w:szCs w:val="6"/>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27"/>
        </w:trPr>
        <w:tc>
          <w:tcPr>
            <w:tcW w:w="380" w:type="dxa"/>
            <w:vAlign w:val="bottom"/>
            <w:vMerge w:val="restart"/>
          </w:tcPr>
          <w:p>
            <w:pPr>
              <w:jc w:val="right"/>
              <w:ind w:right="100"/>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940" w:type="dxa"/>
            <w:vAlign w:val="bottom"/>
            <w:tcBorders>
              <w:bottom w:val="single" w:sz="8" w:color="0000EE"/>
            </w:tcBorders>
            <w:gridSpan w:val="14"/>
            <w:vMerge w:val="continue"/>
          </w:tcPr>
          <w:p>
            <w:pPr>
              <w:spacing w:after="0"/>
              <w:rPr>
                <w:sz w:val="10"/>
                <w:szCs w:val="10"/>
                <w:color w:val="auto"/>
              </w:rPr>
            </w:pPr>
          </w:p>
        </w:tc>
        <w:tc>
          <w:tcPr>
            <w:tcW w:w="2320" w:type="dxa"/>
            <w:vAlign w:val="bottom"/>
            <w:gridSpan w:val="17"/>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60" w:type="dxa"/>
            <w:vAlign w:val="bottom"/>
            <w:gridSpan w:val="31"/>
            <w:vMerge w:val="restart"/>
          </w:tcPr>
          <w:p>
            <w:pPr>
              <w:spacing w:after="0"/>
              <w:rPr>
                <w:sz w:val="20"/>
                <w:szCs w:val="20"/>
                <w:color w:val="auto"/>
              </w:rPr>
            </w:pPr>
            <w:r>
              <w:rPr>
                <w:rFonts w:ascii="Arial" w:cs="Arial" w:eastAsia="Arial" w:hAnsi="Arial"/>
                <w:sz w:val="16"/>
                <w:szCs w:val="16"/>
                <w:color w:val="0000EE"/>
              </w:rPr>
              <w:t>Using and protecting our confidential information and other</w:t>
            </w: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380" w:type="dxa"/>
            <w:vAlign w:val="bottom"/>
            <w:vMerge w:val="restart"/>
          </w:tcPr>
          <w:p>
            <w:pPr>
              <w:jc w:val="right"/>
              <w:ind w:right="100"/>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60" w:type="dxa"/>
            <w:vAlign w:val="bottom"/>
            <w:gridSpan w:val="31"/>
            <w:vMerge w:val="continue"/>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70"/>
        </w:trPr>
        <w:tc>
          <w:tcPr>
            <w:tcW w:w="3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120" w:type="dxa"/>
            <w:vAlign w:val="bottom"/>
            <w:tcBorders>
              <w:top w:val="single" w:sz="8" w:color="0000EE"/>
            </w:tcBorders>
            <w:gridSpan w:val="30"/>
            <w:vMerge w:val="restart"/>
          </w:tcPr>
          <w:p>
            <w:pPr>
              <w:spacing w:after="0" w:line="165" w:lineRule="exact"/>
              <w:rPr>
                <w:sz w:val="20"/>
                <w:szCs w:val="20"/>
                <w:color w:val="auto"/>
              </w:rPr>
            </w:pPr>
            <w:r>
              <w:rPr>
                <w:rFonts w:ascii="Arial" w:cs="Arial" w:eastAsia="Arial" w:hAnsi="Arial"/>
                <w:sz w:val="16"/>
                <w:szCs w:val="16"/>
                <w:color w:val="0000EE"/>
              </w:rPr>
              <w:t>data</w:t>
            </w:r>
          </w:p>
        </w:tc>
        <w:tc>
          <w:tcPr>
            <w:tcW w:w="140" w:type="dxa"/>
            <w:vAlign w:val="bottom"/>
            <w:vMerge w:val="restart"/>
          </w:tcPr>
          <w:p>
            <w:pPr>
              <w:spacing w:after="0"/>
              <w:rPr>
                <w:sz w:val="6"/>
                <w:szCs w:val="6"/>
                <w:color w:val="auto"/>
              </w:rPr>
            </w:pPr>
          </w:p>
        </w:tc>
        <w:tc>
          <w:tcPr>
            <w:tcW w:w="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380" w:type="dxa"/>
            <w:vAlign w:val="bottom"/>
            <w:vMerge w:val="restart"/>
          </w:tcPr>
          <w:p>
            <w:pPr>
              <w:jc w:val="right"/>
              <w:ind w:right="100"/>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120" w:type="dxa"/>
            <w:vAlign w:val="bottom"/>
            <w:gridSpan w:val="30"/>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4740" w:type="dxa"/>
            <w:vAlign w:val="bottom"/>
            <w:gridSpan w:val="33"/>
            <w:vMerge w:val="restart"/>
          </w:tcPr>
          <w:p>
            <w:pPr>
              <w:ind w:left="160"/>
              <w:spacing w:after="0"/>
              <w:rPr>
                <w:sz w:val="20"/>
                <w:szCs w:val="20"/>
                <w:color w:val="auto"/>
              </w:rPr>
            </w:pPr>
            <w:r>
              <w:rPr>
                <w:rFonts w:ascii="Arial" w:cs="Arial" w:eastAsia="Arial" w:hAnsi="Arial"/>
                <w:sz w:val="16"/>
                <w:szCs w:val="16"/>
                <w:color w:val="0000EE"/>
              </w:rPr>
              <w:t>Using information and communications systems responsibly</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96"/>
        </w:trPr>
        <w:tc>
          <w:tcPr>
            <w:tcW w:w="380" w:type="dxa"/>
            <w:vAlign w:val="bottom"/>
            <w:vMerge w:val="restart"/>
          </w:tcPr>
          <w:p>
            <w:pPr>
              <w:jc w:val="right"/>
              <w:ind w:right="100"/>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8"/>
                <w:szCs w:val="8"/>
                <w:color w:val="auto"/>
              </w:rPr>
            </w:pPr>
          </w:p>
        </w:tc>
        <w:tc>
          <w:tcPr>
            <w:tcW w:w="4740" w:type="dxa"/>
            <w:vAlign w:val="bottom"/>
            <w:gridSpan w:val="33"/>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4740" w:type="dxa"/>
            <w:vAlign w:val="bottom"/>
            <w:gridSpan w:val="33"/>
            <w:vMerge w:val="restart"/>
          </w:tcPr>
          <w:p>
            <w:pPr>
              <w:ind w:left="160"/>
              <w:spacing w:after="0"/>
              <w:rPr>
                <w:sz w:val="20"/>
                <w:szCs w:val="20"/>
                <w:color w:val="auto"/>
              </w:rPr>
            </w:pPr>
            <w:r>
              <w:rPr>
                <w:rFonts w:ascii="Arial" w:cs="Arial" w:eastAsia="Arial" w:hAnsi="Arial"/>
                <w:sz w:val="16"/>
                <w:szCs w:val="16"/>
                <w:color w:val="0000EE"/>
              </w:rPr>
              <w:t>Safeguarding our assets</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96"/>
        </w:trPr>
        <w:tc>
          <w:tcPr>
            <w:tcW w:w="380" w:type="dxa"/>
            <w:vAlign w:val="bottom"/>
            <w:vMerge w:val="restart"/>
          </w:tcPr>
          <w:p>
            <w:pPr>
              <w:jc w:val="right"/>
              <w:ind w:right="100"/>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8"/>
                <w:szCs w:val="8"/>
                <w:color w:val="auto"/>
              </w:rPr>
            </w:pPr>
          </w:p>
        </w:tc>
        <w:tc>
          <w:tcPr>
            <w:tcW w:w="4740" w:type="dxa"/>
            <w:vAlign w:val="bottom"/>
            <w:gridSpan w:val="33"/>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80" w:type="dxa"/>
            <w:vAlign w:val="bottom"/>
            <w:vMerge w:val="continue"/>
          </w:tcPr>
          <w:p>
            <w:pPr>
              <w:spacing w:after="0"/>
              <w:rPr>
                <w:sz w:val="8"/>
                <w:szCs w:val="8"/>
                <w:color w:val="auto"/>
              </w:rPr>
            </w:pPr>
          </w:p>
        </w:tc>
        <w:tc>
          <w:tcPr>
            <w:tcW w:w="4940" w:type="dxa"/>
            <w:vAlign w:val="bottom"/>
            <w:gridSpan w:val="34"/>
            <w:vMerge w:val="restart"/>
          </w:tcPr>
          <w:p>
            <w:pPr>
              <w:ind w:left="200"/>
              <w:spacing w:after="0"/>
              <w:rPr>
                <w:sz w:val="20"/>
                <w:szCs w:val="20"/>
                <w:color w:val="auto"/>
              </w:rPr>
            </w:pPr>
            <w:r>
              <w:rPr>
                <w:rFonts w:ascii="Arial" w:cs="Arial" w:eastAsia="Arial" w:hAnsi="Arial"/>
                <w:sz w:val="18"/>
                <w:szCs w:val="18"/>
                <w:b w:val="1"/>
                <w:bCs w:val="1"/>
                <w:color w:val="0000EE"/>
              </w:rPr>
              <w:t>Trust matters in our controls</w:t>
            </w: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D64000"/>
              </w:rPr>
              <w:t>39</w:t>
            </w:r>
          </w:p>
        </w:tc>
        <w:tc>
          <w:tcPr>
            <w:tcW w:w="0" w:type="dxa"/>
            <w:vAlign w:val="bottom"/>
          </w:tcPr>
          <w:p>
            <w:pPr>
              <w:spacing w:after="0"/>
              <w:rPr>
                <w:sz w:val="1"/>
                <w:szCs w:val="1"/>
                <w:color w:val="auto"/>
              </w:rPr>
            </w:pPr>
          </w:p>
        </w:tc>
      </w:tr>
      <w:tr>
        <w:trPr>
          <w:trHeight w:val="188"/>
        </w:trPr>
        <w:tc>
          <w:tcPr>
            <w:tcW w:w="380" w:type="dxa"/>
            <w:vAlign w:val="bottom"/>
          </w:tcPr>
          <w:p>
            <w:pPr>
              <w:jc w:val="right"/>
              <w:ind w:right="100"/>
              <w:spacing w:after="0"/>
              <w:rPr>
                <w:sz w:val="20"/>
                <w:szCs w:val="20"/>
                <w:color w:val="auto"/>
              </w:rPr>
            </w:pPr>
            <w:r>
              <w:rPr>
                <w:rFonts w:ascii="Arial" w:cs="Arial" w:eastAsia="Arial" w:hAnsi="Arial"/>
                <w:sz w:val="16"/>
                <w:szCs w:val="16"/>
                <w:color w:val="auto"/>
              </w:rPr>
              <w:t>8</w:t>
            </w:r>
          </w:p>
        </w:tc>
        <w:tc>
          <w:tcPr>
            <w:tcW w:w="4940" w:type="dxa"/>
            <w:vAlign w:val="bottom"/>
            <w:gridSpan w:val="34"/>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0" w:type="dxa"/>
            <w:vAlign w:val="bottom"/>
          </w:tcPr>
          <w:p>
            <w:pPr>
              <w:jc w:val="right"/>
              <w:ind w:right="100"/>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6"/>
                <w:szCs w:val="16"/>
                <w:color w:val="auto"/>
              </w:rPr>
            </w:pPr>
          </w:p>
        </w:tc>
        <w:tc>
          <w:tcPr>
            <w:tcW w:w="2400" w:type="dxa"/>
            <w:vAlign w:val="bottom"/>
            <w:tcBorders>
              <w:top w:val="single" w:sz="8" w:color="0000EE"/>
            </w:tcBorders>
            <w:gridSpan w:val="15"/>
          </w:tcPr>
          <w:p>
            <w:pPr>
              <w:ind w:left="160"/>
              <w:spacing w:after="0"/>
              <w:rPr>
                <w:sz w:val="20"/>
                <w:szCs w:val="20"/>
                <w:color w:val="auto"/>
              </w:rPr>
            </w:pPr>
            <w:r>
              <w:rPr>
                <w:rFonts w:ascii="Arial" w:cs="Arial" w:eastAsia="Arial" w:hAnsi="Arial"/>
                <w:sz w:val="16"/>
                <w:szCs w:val="16"/>
                <w:color w:val="0000EE"/>
              </w:rPr>
              <w:t>Accurate financial records</w:t>
            </w:r>
          </w:p>
        </w:tc>
        <w:tc>
          <w:tcPr>
            <w:tcW w:w="2340" w:type="dxa"/>
            <w:vAlign w:val="bottom"/>
            <w:gridSpan w:val="18"/>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380" w:type="dxa"/>
            <w:vAlign w:val="bottom"/>
            <w:vMerge w:val="restart"/>
          </w:tcPr>
          <w:p>
            <w:pPr>
              <w:jc w:val="right"/>
              <w:ind w:right="100"/>
              <w:spacing w:after="0"/>
              <w:rPr>
                <w:sz w:val="20"/>
                <w:szCs w:val="20"/>
                <w:color w:val="auto"/>
              </w:rPr>
            </w:pPr>
            <w:r>
              <w:rPr>
                <w:rFonts w:ascii="Arial" w:cs="Arial" w:eastAsia="Arial" w:hAnsi="Arial"/>
                <w:sz w:val="16"/>
                <w:szCs w:val="16"/>
                <w:color w:val="auto"/>
              </w:rPr>
              <w:t>9</w:t>
            </w: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color w:val="0000EE"/>
                <w:w w:val="99"/>
              </w:rPr>
              <w:t>Tax payments and records</w:t>
            </w:r>
          </w:p>
        </w:tc>
        <w:tc>
          <w:tcPr>
            <w:tcW w:w="2340" w:type="dxa"/>
            <w:vAlign w:val="bottom"/>
            <w:gridSpan w:val="18"/>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2"/>
        </w:trPr>
        <w:tc>
          <w:tcPr>
            <w:tcW w:w="380" w:type="dxa"/>
            <w:vAlign w:val="bottom"/>
          </w:tcPr>
          <w:p>
            <w:pPr>
              <w:jc w:val="right"/>
              <w:ind w:right="100"/>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w w:val="97"/>
              </w:rPr>
              <w:t>Raising concerns</w:t>
            </w:r>
          </w:p>
        </w:tc>
        <w:tc>
          <w:tcPr>
            <w:tcW w:w="3020" w:type="dxa"/>
            <w:vAlign w:val="bottom"/>
            <w:gridSpan w:val="25"/>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2"/>
        </w:trPr>
        <w:tc>
          <w:tcPr>
            <w:tcW w:w="380" w:type="dxa"/>
            <w:vAlign w:val="bottom"/>
            <w:vMerge w:val="restart"/>
          </w:tcPr>
          <w:p>
            <w:pPr>
              <w:jc w:val="right"/>
              <w:ind w:right="100"/>
              <w:spacing w:after="0"/>
              <w:rPr>
                <w:sz w:val="20"/>
                <w:szCs w:val="20"/>
                <w:color w:val="auto"/>
              </w:rPr>
            </w:pPr>
            <w:r>
              <w:rPr>
                <w:rFonts w:ascii="Arial" w:cs="Arial" w:eastAsia="Arial" w:hAnsi="Arial"/>
                <w:sz w:val="18"/>
                <w:szCs w:val="18"/>
                <w:b w:val="1"/>
                <w:bCs w:val="1"/>
                <w:color w:val="D64000"/>
                <w:w w:val="89"/>
              </w:rPr>
              <w:t>10</w:t>
            </w:r>
          </w:p>
        </w:tc>
        <w:tc>
          <w:tcPr>
            <w:tcW w:w="200" w:type="dxa"/>
            <w:vAlign w:val="bottom"/>
          </w:tcPr>
          <w:p>
            <w:pPr>
              <w:spacing w:after="0"/>
              <w:rPr>
                <w:sz w:val="16"/>
                <w:szCs w:val="16"/>
                <w:color w:val="auto"/>
              </w:rPr>
            </w:pPr>
          </w:p>
        </w:tc>
        <w:tc>
          <w:tcPr>
            <w:tcW w:w="4740" w:type="dxa"/>
            <w:vAlign w:val="bottom"/>
            <w:gridSpan w:val="33"/>
          </w:tcPr>
          <w:p>
            <w:pPr>
              <w:ind w:left="160"/>
              <w:spacing w:after="0"/>
              <w:rPr>
                <w:sz w:val="20"/>
                <w:szCs w:val="20"/>
                <w:color w:val="auto"/>
              </w:rPr>
            </w:pPr>
            <w:r>
              <w:rPr>
                <w:rFonts w:ascii="Arial" w:cs="Arial" w:eastAsia="Arial" w:hAnsi="Arial"/>
                <w:sz w:val="16"/>
                <w:szCs w:val="16"/>
                <w:color w:val="0000EE"/>
              </w:rPr>
              <w:t>Managing our records</w:t>
            </w:r>
          </w:p>
        </w:tc>
        <w:tc>
          <w:tcPr>
            <w:tcW w:w="50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3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4740" w:type="dxa"/>
            <w:vAlign w:val="bottom"/>
            <w:gridSpan w:val="33"/>
            <w:vMerge w:val="restart"/>
          </w:tcPr>
          <w:p>
            <w:pPr>
              <w:ind w:left="160"/>
              <w:spacing w:after="0"/>
              <w:rPr>
                <w:sz w:val="20"/>
                <w:szCs w:val="20"/>
                <w:color w:val="auto"/>
              </w:rPr>
            </w:pPr>
            <w:r>
              <w:rPr>
                <w:rFonts w:ascii="Arial" w:cs="Arial" w:eastAsia="Arial" w:hAnsi="Arial"/>
                <w:sz w:val="16"/>
                <w:szCs w:val="16"/>
                <w:color w:val="0000EE"/>
              </w:rPr>
              <w:t>Contract authorization</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94"/>
        </w:trPr>
        <w:tc>
          <w:tcPr>
            <w:tcW w:w="380" w:type="dxa"/>
            <w:vAlign w:val="bottom"/>
            <w:vMerge w:val="restart"/>
          </w:tcPr>
          <w:p>
            <w:pPr>
              <w:jc w:val="right"/>
              <w:ind w:right="100"/>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8"/>
                <w:szCs w:val="8"/>
                <w:color w:val="auto"/>
              </w:rPr>
            </w:pPr>
          </w:p>
        </w:tc>
        <w:tc>
          <w:tcPr>
            <w:tcW w:w="4740" w:type="dxa"/>
            <w:vAlign w:val="bottom"/>
            <w:gridSpan w:val="33"/>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4740" w:type="dxa"/>
            <w:vAlign w:val="bottom"/>
            <w:gridSpan w:val="33"/>
            <w:vMerge w:val="restart"/>
          </w:tcPr>
          <w:p>
            <w:pPr>
              <w:ind w:left="160"/>
              <w:spacing w:after="0"/>
              <w:rPr>
                <w:sz w:val="20"/>
                <w:szCs w:val="20"/>
                <w:color w:val="auto"/>
              </w:rPr>
            </w:pPr>
            <w:r>
              <w:rPr>
                <w:rFonts w:ascii="Arial" w:cs="Arial" w:eastAsia="Arial" w:hAnsi="Arial"/>
                <w:sz w:val="16"/>
                <w:szCs w:val="16"/>
                <w:color w:val="0000EE"/>
                <w:w w:val="98"/>
              </w:rPr>
              <w:t>Engaging with the media, public speaking and using social media</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96"/>
        </w:trPr>
        <w:tc>
          <w:tcPr>
            <w:tcW w:w="380" w:type="dxa"/>
            <w:vAlign w:val="bottom"/>
            <w:vMerge w:val="restart"/>
          </w:tcPr>
          <w:p>
            <w:pPr>
              <w:jc w:val="right"/>
              <w:ind w:right="100"/>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8"/>
                <w:szCs w:val="8"/>
                <w:color w:val="auto"/>
              </w:rPr>
            </w:pPr>
          </w:p>
        </w:tc>
        <w:tc>
          <w:tcPr>
            <w:tcW w:w="4740" w:type="dxa"/>
            <w:vAlign w:val="bottom"/>
            <w:gridSpan w:val="33"/>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1820" w:type="dxa"/>
            <w:vAlign w:val="bottom"/>
            <w:tcBorders>
              <w:top w:val="single" w:sz="8" w:color="0000EE"/>
            </w:tcBorders>
            <w:gridSpan w:val="12"/>
            <w:vMerge w:val="restart"/>
          </w:tcPr>
          <w:p>
            <w:pPr>
              <w:spacing w:after="0"/>
              <w:rPr>
                <w:sz w:val="20"/>
                <w:szCs w:val="20"/>
                <w:color w:val="auto"/>
              </w:rPr>
            </w:pPr>
            <w:r>
              <w:rPr>
                <w:rFonts w:ascii="Arial" w:cs="Arial" w:eastAsia="Arial" w:hAnsi="Arial"/>
                <w:sz w:val="16"/>
                <w:szCs w:val="16"/>
                <w:color w:val="0000EE"/>
                <w:w w:val="98"/>
              </w:rPr>
              <w:t>Authorized Spokesperson</w:t>
            </w:r>
          </w:p>
        </w:tc>
        <w:tc>
          <w:tcPr>
            <w:tcW w:w="2440" w:type="dxa"/>
            <w:vAlign w:val="bottom"/>
            <w:tcBorders>
              <w:top w:val="single" w:sz="8" w:color="0000EE"/>
            </w:tcBorders>
            <w:gridSpan w:val="19"/>
            <w:vMerge w:val="restart"/>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01"/>
        </w:trPr>
        <w:tc>
          <w:tcPr>
            <w:tcW w:w="380" w:type="dxa"/>
            <w:vAlign w:val="bottom"/>
            <w:vMerge w:val="restart"/>
          </w:tcPr>
          <w:p>
            <w:pPr>
              <w:jc w:val="right"/>
              <w:ind w:right="100"/>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20" w:type="dxa"/>
            <w:vAlign w:val="bottom"/>
            <w:tcBorders>
              <w:bottom w:val="single" w:sz="8" w:color="0000EE"/>
            </w:tcBorders>
            <w:gridSpan w:val="12"/>
            <w:vMerge w:val="continue"/>
          </w:tcPr>
          <w:p>
            <w:pPr>
              <w:spacing w:after="0"/>
              <w:rPr>
                <w:sz w:val="8"/>
                <w:szCs w:val="8"/>
                <w:color w:val="auto"/>
              </w:rPr>
            </w:pPr>
          </w:p>
        </w:tc>
        <w:tc>
          <w:tcPr>
            <w:tcW w:w="2440" w:type="dxa"/>
            <w:vAlign w:val="bottom"/>
            <w:gridSpan w:val="19"/>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60" w:type="dxa"/>
            <w:vAlign w:val="bottom"/>
            <w:gridSpan w:val="31"/>
            <w:vMerge w:val="restart"/>
          </w:tcPr>
          <w:p>
            <w:pPr>
              <w:spacing w:after="0"/>
              <w:rPr>
                <w:sz w:val="20"/>
                <w:szCs w:val="20"/>
                <w:color w:val="auto"/>
              </w:rPr>
            </w:pPr>
            <w:r>
              <w:rPr>
                <w:rFonts w:ascii="Arial" w:cs="Arial" w:eastAsia="Arial" w:hAnsi="Arial"/>
                <w:sz w:val="16"/>
                <w:szCs w:val="16"/>
                <w:color w:val="0000EE"/>
              </w:rPr>
              <w:t>Public speaking and engaging with the media</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96"/>
        </w:trPr>
        <w:tc>
          <w:tcPr>
            <w:tcW w:w="380" w:type="dxa"/>
            <w:vAlign w:val="bottom"/>
            <w:vMerge w:val="restart"/>
          </w:tcPr>
          <w:p>
            <w:pPr>
              <w:jc w:val="right"/>
              <w:ind w:right="100"/>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60" w:type="dxa"/>
            <w:vAlign w:val="bottom"/>
            <w:gridSpan w:val="31"/>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20" w:type="dxa"/>
            <w:vAlign w:val="bottom"/>
            <w:gridSpan w:val="25"/>
            <w:vMerge w:val="restart"/>
          </w:tcPr>
          <w:p>
            <w:pPr>
              <w:spacing w:after="0"/>
              <w:rPr>
                <w:sz w:val="20"/>
                <w:szCs w:val="20"/>
                <w:color w:val="auto"/>
              </w:rPr>
            </w:pPr>
            <w:r>
              <w:rPr>
                <w:rFonts w:ascii="Arial" w:cs="Arial" w:eastAsia="Arial" w:hAnsi="Arial"/>
                <w:sz w:val="16"/>
                <w:szCs w:val="16"/>
                <w:color w:val="0000EE"/>
                <w:w w:val="98"/>
              </w:rPr>
              <w:t>Personal use of social media and other online</w:t>
            </w:r>
          </w:p>
        </w:tc>
        <w:tc>
          <w:tcPr>
            <w:tcW w:w="1040" w:type="dxa"/>
            <w:vAlign w:val="bottom"/>
            <w:gridSpan w:val="6"/>
            <w:vMerge w:val="restart"/>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380" w:type="dxa"/>
            <w:vAlign w:val="bottom"/>
            <w:vMerge w:val="restart"/>
          </w:tcPr>
          <w:p>
            <w:pPr>
              <w:jc w:val="right"/>
              <w:ind w:right="100"/>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20" w:type="dxa"/>
            <w:vAlign w:val="bottom"/>
            <w:tcBorders>
              <w:bottom w:val="single" w:sz="8" w:color="0000EE"/>
            </w:tcBorders>
            <w:gridSpan w:val="25"/>
            <w:vMerge w:val="continue"/>
          </w:tcPr>
          <w:p>
            <w:pPr>
              <w:spacing w:after="0"/>
              <w:rPr>
                <w:sz w:val="8"/>
                <w:szCs w:val="8"/>
                <w:color w:val="auto"/>
              </w:rPr>
            </w:pPr>
          </w:p>
        </w:tc>
        <w:tc>
          <w:tcPr>
            <w:tcW w:w="1040" w:type="dxa"/>
            <w:vAlign w:val="bottom"/>
            <w:gridSpan w:val="6"/>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60" w:type="dxa"/>
            <w:vAlign w:val="bottom"/>
            <w:gridSpan w:val="31"/>
            <w:vMerge w:val="restart"/>
          </w:tcPr>
          <w:p>
            <w:pPr>
              <w:ind w:left="160"/>
              <w:spacing w:after="0" w:line="165" w:lineRule="exact"/>
              <w:rPr>
                <w:sz w:val="20"/>
                <w:szCs w:val="20"/>
                <w:color w:val="auto"/>
              </w:rPr>
            </w:pPr>
            <w:r>
              <w:rPr>
                <w:rFonts w:ascii="Arial" w:cs="Arial" w:eastAsia="Arial" w:hAnsi="Arial"/>
                <w:sz w:val="16"/>
                <w:szCs w:val="16"/>
                <w:color w:val="0000EE"/>
              </w:rPr>
              <w:t>communications</w:t>
            </w:r>
          </w:p>
        </w:tc>
        <w:tc>
          <w:tcPr>
            <w:tcW w:w="500" w:type="dxa"/>
            <w:vAlign w:val="bottom"/>
            <w:vMerge w:val="restart"/>
          </w:tcPr>
          <w:p>
            <w:pPr>
              <w:jc w:val="right"/>
              <w:spacing w:after="0" w:line="165"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69"/>
        </w:trPr>
        <w:tc>
          <w:tcPr>
            <w:tcW w:w="380" w:type="dxa"/>
            <w:vAlign w:val="bottom"/>
            <w:vMerge w:val="restart"/>
          </w:tcPr>
          <w:p>
            <w:pPr>
              <w:jc w:val="right"/>
              <w:ind w:right="100"/>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60" w:type="dxa"/>
            <w:vAlign w:val="bottom"/>
            <w:gridSpan w:val="31"/>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80" w:type="dxa"/>
            <w:vAlign w:val="bottom"/>
            <w:vMerge w:val="continue"/>
          </w:tcPr>
          <w:p>
            <w:pPr>
              <w:spacing w:after="0"/>
              <w:rPr>
                <w:sz w:val="10"/>
                <w:szCs w:val="10"/>
                <w:color w:val="auto"/>
              </w:rPr>
            </w:pPr>
          </w:p>
        </w:tc>
        <w:tc>
          <w:tcPr>
            <w:tcW w:w="4940" w:type="dxa"/>
            <w:vAlign w:val="bottom"/>
            <w:gridSpan w:val="34"/>
            <w:vMerge w:val="restart"/>
          </w:tcPr>
          <w:p>
            <w:pPr>
              <w:ind w:left="200"/>
              <w:spacing w:after="0"/>
              <w:rPr>
                <w:sz w:val="20"/>
                <w:szCs w:val="20"/>
                <w:color w:val="auto"/>
              </w:rPr>
            </w:pPr>
            <w:r>
              <w:rPr>
                <w:rFonts w:ascii="Arial" w:cs="Arial" w:eastAsia="Arial" w:hAnsi="Arial"/>
                <w:sz w:val="18"/>
                <w:szCs w:val="18"/>
                <w:b w:val="1"/>
                <w:bCs w:val="1"/>
                <w:color w:val="0000EE"/>
              </w:rPr>
              <w:t>Trust matters in our communities</w:t>
            </w: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D64000"/>
              </w:rPr>
              <w:t>47</w:t>
            </w:r>
          </w:p>
        </w:tc>
        <w:tc>
          <w:tcPr>
            <w:tcW w:w="0" w:type="dxa"/>
            <w:vAlign w:val="bottom"/>
          </w:tcPr>
          <w:p>
            <w:pPr>
              <w:spacing w:after="0"/>
              <w:rPr>
                <w:sz w:val="1"/>
                <w:szCs w:val="1"/>
                <w:color w:val="auto"/>
              </w:rPr>
            </w:pPr>
          </w:p>
        </w:tc>
      </w:tr>
      <w:tr>
        <w:trPr>
          <w:trHeight w:val="162"/>
        </w:trPr>
        <w:tc>
          <w:tcPr>
            <w:tcW w:w="380" w:type="dxa"/>
            <w:vAlign w:val="bottom"/>
          </w:tcPr>
          <w:p>
            <w:pPr>
              <w:jc w:val="right"/>
              <w:ind w:right="100"/>
              <w:spacing w:after="0" w:line="142" w:lineRule="exact"/>
              <w:rPr>
                <w:sz w:val="20"/>
                <w:szCs w:val="20"/>
                <w:color w:val="auto"/>
              </w:rPr>
            </w:pPr>
            <w:r>
              <w:rPr>
                <w:rFonts w:ascii="Arial" w:cs="Arial" w:eastAsia="Arial" w:hAnsi="Arial"/>
                <w:sz w:val="16"/>
                <w:szCs w:val="16"/>
                <w:color w:val="auto"/>
              </w:rPr>
              <w:t>14</w:t>
            </w:r>
          </w:p>
        </w:tc>
        <w:tc>
          <w:tcPr>
            <w:tcW w:w="4940" w:type="dxa"/>
            <w:vAlign w:val="bottom"/>
            <w:gridSpan w:val="34"/>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6"/>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80" w:type="dxa"/>
            <w:vAlign w:val="bottom"/>
          </w:tcPr>
          <w:p>
            <w:pPr>
              <w:jc w:val="right"/>
              <w:ind w:right="100"/>
              <w:spacing w:after="0" w:line="179" w:lineRule="exact"/>
              <w:rPr>
                <w:sz w:val="20"/>
                <w:szCs w:val="20"/>
                <w:color w:val="auto"/>
              </w:rPr>
            </w:pPr>
            <w:r>
              <w:rPr>
                <w:rFonts w:ascii="Arial" w:cs="Arial" w:eastAsia="Arial" w:hAnsi="Arial"/>
                <w:sz w:val="16"/>
                <w:szCs w:val="16"/>
                <w:color w:val="auto"/>
              </w:rPr>
              <w:t>14</w:t>
            </w:r>
          </w:p>
        </w:tc>
        <w:tc>
          <w:tcPr>
            <w:tcW w:w="200" w:type="dxa"/>
            <w:vAlign w:val="bottom"/>
          </w:tcPr>
          <w:p>
            <w:pPr>
              <w:spacing w:after="0"/>
              <w:rPr>
                <w:sz w:val="16"/>
                <w:szCs w:val="16"/>
                <w:color w:val="auto"/>
              </w:rPr>
            </w:pPr>
          </w:p>
        </w:tc>
        <w:tc>
          <w:tcPr>
            <w:tcW w:w="4740" w:type="dxa"/>
            <w:vAlign w:val="bottom"/>
            <w:gridSpan w:val="33"/>
          </w:tcPr>
          <w:p>
            <w:pPr>
              <w:ind w:left="160"/>
              <w:spacing w:after="0" w:line="179" w:lineRule="exact"/>
              <w:rPr>
                <w:sz w:val="20"/>
                <w:szCs w:val="20"/>
                <w:color w:val="auto"/>
              </w:rPr>
            </w:pPr>
            <w:r>
              <w:rPr>
                <w:rFonts w:ascii="Arial" w:cs="Arial" w:eastAsia="Arial" w:hAnsi="Arial"/>
                <w:sz w:val="16"/>
                <w:szCs w:val="16"/>
                <w:color w:val="0000EE"/>
              </w:rPr>
              <w:t>Being a responsible global corporate citizen</w:t>
            </w:r>
          </w:p>
        </w:tc>
        <w:tc>
          <w:tcPr>
            <w:tcW w:w="500" w:type="dxa"/>
            <w:vAlign w:val="bottom"/>
          </w:tcPr>
          <w:p>
            <w:pPr>
              <w:jc w:val="right"/>
              <w:spacing w:after="0" w:line="179"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92"/>
        </w:trPr>
        <w:tc>
          <w:tcPr>
            <w:tcW w:w="380" w:type="dxa"/>
            <w:vAlign w:val="bottom"/>
          </w:tcPr>
          <w:p>
            <w:pPr>
              <w:jc w:val="right"/>
              <w:ind w:right="100"/>
              <w:spacing w:after="0" w:line="179" w:lineRule="exact"/>
              <w:rPr>
                <w:sz w:val="20"/>
                <w:szCs w:val="20"/>
                <w:color w:val="auto"/>
              </w:rPr>
            </w:pPr>
            <w:r>
              <w:rPr>
                <w:rFonts w:ascii="Arial" w:cs="Arial" w:eastAsia="Arial" w:hAnsi="Arial"/>
                <w:sz w:val="16"/>
                <w:szCs w:val="16"/>
                <w:color w:val="auto"/>
              </w:rPr>
              <w:t>14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940" w:type="dxa"/>
            <w:vAlign w:val="bottom"/>
            <w:tcBorders>
              <w:top w:val="single" w:sz="8" w:color="0000EE"/>
              <w:bottom w:val="single" w:sz="8" w:color="0000EE"/>
            </w:tcBorders>
            <w:gridSpan w:val="5"/>
          </w:tcPr>
          <w:p>
            <w:pPr>
              <w:spacing w:after="0" w:line="179" w:lineRule="exact"/>
              <w:rPr>
                <w:sz w:val="20"/>
                <w:szCs w:val="20"/>
                <w:color w:val="auto"/>
              </w:rPr>
            </w:pPr>
            <w:r>
              <w:rPr>
                <w:rFonts w:ascii="Arial" w:cs="Arial" w:eastAsia="Arial" w:hAnsi="Arial"/>
                <w:sz w:val="16"/>
                <w:szCs w:val="16"/>
                <w:color w:val="0000EE"/>
                <w:w w:val="96"/>
              </w:rPr>
              <w:t>Human rights</w:t>
            </w:r>
          </w:p>
        </w:tc>
        <w:tc>
          <w:tcPr>
            <w:tcW w:w="1820" w:type="dxa"/>
            <w:vAlign w:val="bottom"/>
            <w:tcBorders>
              <w:top w:val="single" w:sz="8" w:color="0000EE"/>
            </w:tcBorders>
            <w:gridSpan w:val="13"/>
          </w:tcPr>
          <w:p>
            <w:pPr>
              <w:spacing w:after="0"/>
              <w:rPr>
                <w:sz w:val="16"/>
                <w:szCs w:val="16"/>
                <w:color w:val="auto"/>
              </w:rPr>
            </w:pPr>
          </w:p>
        </w:tc>
        <w:tc>
          <w:tcPr>
            <w:tcW w:w="1500" w:type="dxa"/>
            <w:vAlign w:val="bottom"/>
            <w:gridSpan w:val="13"/>
          </w:tcPr>
          <w:p>
            <w:pPr>
              <w:spacing w:after="0"/>
              <w:rPr>
                <w:sz w:val="16"/>
                <w:szCs w:val="16"/>
                <w:color w:val="auto"/>
              </w:rPr>
            </w:pPr>
          </w:p>
        </w:tc>
        <w:tc>
          <w:tcPr>
            <w:tcW w:w="500" w:type="dxa"/>
            <w:vAlign w:val="bottom"/>
          </w:tcPr>
          <w:p>
            <w:pPr>
              <w:jc w:val="right"/>
              <w:spacing w:after="0" w:line="179"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92"/>
        </w:trPr>
        <w:tc>
          <w:tcPr>
            <w:tcW w:w="380" w:type="dxa"/>
            <w:vAlign w:val="bottom"/>
          </w:tcPr>
          <w:p>
            <w:pPr>
              <w:jc w:val="right"/>
              <w:ind w:right="100"/>
              <w:spacing w:after="0" w:line="179" w:lineRule="exact"/>
              <w:rPr>
                <w:sz w:val="20"/>
                <w:szCs w:val="20"/>
                <w:color w:val="auto"/>
              </w:rPr>
            </w:pPr>
            <w:r>
              <w:rPr>
                <w:rFonts w:ascii="Arial" w:cs="Arial" w:eastAsia="Arial" w:hAnsi="Arial"/>
                <w:sz w:val="16"/>
                <w:szCs w:val="16"/>
                <w:color w:val="auto"/>
              </w:rPr>
              <w:t>15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60" w:type="dxa"/>
            <w:vAlign w:val="bottom"/>
            <w:gridSpan w:val="31"/>
          </w:tcPr>
          <w:p>
            <w:pPr>
              <w:spacing w:after="0" w:line="179" w:lineRule="exact"/>
              <w:rPr>
                <w:sz w:val="20"/>
                <w:szCs w:val="20"/>
                <w:color w:val="auto"/>
              </w:rPr>
            </w:pPr>
            <w:r>
              <w:rPr>
                <w:rFonts w:ascii="Arial" w:cs="Arial" w:eastAsia="Arial" w:hAnsi="Arial"/>
                <w:sz w:val="16"/>
                <w:szCs w:val="16"/>
                <w:color w:val="0000EE"/>
              </w:rPr>
              <w:t>Responsible sourcing and the Supply Chain Ethical Code</w:t>
            </w:r>
          </w:p>
        </w:tc>
        <w:tc>
          <w:tcPr>
            <w:tcW w:w="500" w:type="dxa"/>
            <w:vAlign w:val="bottom"/>
          </w:tcPr>
          <w:p>
            <w:pPr>
              <w:jc w:val="right"/>
              <w:spacing w:after="0" w:line="179"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92"/>
        </w:trPr>
        <w:tc>
          <w:tcPr>
            <w:tcW w:w="380" w:type="dxa"/>
            <w:vAlign w:val="bottom"/>
          </w:tcPr>
          <w:p>
            <w:pPr>
              <w:jc w:val="right"/>
              <w:ind w:right="100"/>
              <w:spacing w:after="0" w:line="179" w:lineRule="exact"/>
              <w:rPr>
                <w:sz w:val="20"/>
                <w:szCs w:val="20"/>
                <w:color w:val="auto"/>
              </w:rPr>
            </w:pPr>
            <w:r>
              <w:rPr>
                <w:rFonts w:ascii="Arial" w:cs="Arial" w:eastAsia="Arial" w:hAnsi="Arial"/>
                <w:sz w:val="16"/>
                <w:szCs w:val="16"/>
                <w:color w:val="auto"/>
              </w:rPr>
              <w:t>16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tcBorders>
              <w:top w:val="single" w:sz="8" w:color="0000EE"/>
              <w:bottom w:val="single" w:sz="8" w:color="0000EE"/>
            </w:tcBorders>
            <w:gridSpan w:val="15"/>
          </w:tcPr>
          <w:p>
            <w:pPr>
              <w:spacing w:after="0" w:line="179" w:lineRule="exact"/>
              <w:rPr>
                <w:sz w:val="20"/>
                <w:szCs w:val="20"/>
                <w:color w:val="auto"/>
              </w:rPr>
            </w:pPr>
            <w:r>
              <w:rPr>
                <w:rFonts w:ascii="Arial" w:cs="Arial" w:eastAsia="Arial" w:hAnsi="Arial"/>
                <w:sz w:val="16"/>
                <w:szCs w:val="16"/>
                <w:color w:val="0000EE"/>
              </w:rPr>
              <w:t>Environmental responsibility</w:t>
            </w:r>
          </w:p>
        </w:tc>
        <w:tc>
          <w:tcPr>
            <w:tcW w:w="1040" w:type="dxa"/>
            <w:vAlign w:val="bottom"/>
            <w:tcBorders>
              <w:top w:val="single" w:sz="8" w:color="0000EE"/>
            </w:tcBorders>
            <w:gridSpan w:val="7"/>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Borders>
              <w:top w:val="single" w:sz="8" w:color="0000EE"/>
            </w:tcBorders>
            <w:gridSpan w:val="6"/>
          </w:tcPr>
          <w:p>
            <w:pPr>
              <w:spacing w:after="0"/>
              <w:rPr>
                <w:sz w:val="16"/>
                <w:szCs w:val="16"/>
                <w:color w:val="auto"/>
              </w:rPr>
            </w:pPr>
          </w:p>
        </w:tc>
        <w:tc>
          <w:tcPr>
            <w:tcW w:w="240" w:type="dxa"/>
            <w:vAlign w:val="bottom"/>
            <w:gridSpan w:val="2"/>
          </w:tcPr>
          <w:p>
            <w:pPr>
              <w:spacing w:after="0"/>
              <w:rPr>
                <w:sz w:val="16"/>
                <w:szCs w:val="16"/>
                <w:color w:val="auto"/>
              </w:rPr>
            </w:pPr>
          </w:p>
        </w:tc>
        <w:tc>
          <w:tcPr>
            <w:tcW w:w="500" w:type="dxa"/>
            <w:vAlign w:val="bottom"/>
          </w:tcPr>
          <w:p>
            <w:pPr>
              <w:jc w:val="right"/>
              <w:spacing w:after="0" w:line="179"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92"/>
        </w:trPr>
        <w:tc>
          <w:tcPr>
            <w:tcW w:w="380" w:type="dxa"/>
            <w:vAlign w:val="bottom"/>
            <w:vMerge w:val="restart"/>
          </w:tcPr>
          <w:p>
            <w:pPr>
              <w:jc w:val="right"/>
              <w:ind w:right="100"/>
              <w:spacing w:after="0"/>
              <w:rPr>
                <w:sz w:val="20"/>
                <w:szCs w:val="20"/>
                <w:color w:val="auto"/>
              </w:rPr>
            </w:pPr>
            <w:r>
              <w:rPr>
                <w:rFonts w:ascii="Arial" w:cs="Arial" w:eastAsia="Arial" w:hAnsi="Arial"/>
                <w:sz w:val="18"/>
                <w:szCs w:val="18"/>
                <w:b w:val="1"/>
                <w:bCs w:val="1"/>
                <w:color w:val="D64000"/>
                <w:w w:val="89"/>
              </w:rPr>
              <w:t>17</w:t>
            </w:r>
          </w:p>
        </w:tc>
        <w:tc>
          <w:tcPr>
            <w:tcW w:w="200" w:type="dxa"/>
            <w:vAlign w:val="bottom"/>
          </w:tcPr>
          <w:p>
            <w:pPr>
              <w:spacing w:after="0"/>
              <w:rPr>
                <w:sz w:val="16"/>
                <w:szCs w:val="16"/>
                <w:color w:val="auto"/>
              </w:rPr>
            </w:pPr>
          </w:p>
        </w:tc>
        <w:tc>
          <w:tcPr>
            <w:tcW w:w="4740" w:type="dxa"/>
            <w:vAlign w:val="bottom"/>
            <w:gridSpan w:val="33"/>
          </w:tcPr>
          <w:p>
            <w:pPr>
              <w:ind w:left="160"/>
              <w:spacing w:after="0"/>
              <w:rPr>
                <w:sz w:val="20"/>
                <w:szCs w:val="20"/>
                <w:color w:val="auto"/>
              </w:rPr>
            </w:pPr>
            <w:r>
              <w:rPr>
                <w:rFonts w:ascii="Arial" w:cs="Arial" w:eastAsia="Arial" w:hAnsi="Arial"/>
                <w:sz w:val="16"/>
                <w:szCs w:val="16"/>
                <w:color w:val="0000EE"/>
              </w:rPr>
              <w:t>Contributing to our communities</w:t>
            </w:r>
          </w:p>
        </w:tc>
        <w:tc>
          <w:tcPr>
            <w:tcW w:w="50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
        </w:trPr>
        <w:tc>
          <w:tcPr>
            <w:tcW w:w="3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740" w:type="dxa"/>
            <w:vAlign w:val="bottom"/>
            <w:gridSpan w:val="33"/>
            <w:vMerge w:val="restart"/>
          </w:tcPr>
          <w:p>
            <w:pPr>
              <w:ind w:left="160"/>
              <w:spacing w:after="0"/>
              <w:rPr>
                <w:sz w:val="20"/>
                <w:szCs w:val="20"/>
                <w:color w:val="auto"/>
              </w:rPr>
            </w:pPr>
            <w:r>
              <w:rPr>
                <w:rFonts w:ascii="Arial" w:cs="Arial" w:eastAsia="Arial" w:hAnsi="Arial"/>
                <w:sz w:val="16"/>
                <w:szCs w:val="16"/>
                <w:color w:val="0000EE"/>
              </w:rPr>
              <w:t>Participating in the political process</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67"/>
        </w:trPr>
        <w:tc>
          <w:tcPr>
            <w:tcW w:w="380" w:type="dxa"/>
            <w:vAlign w:val="bottom"/>
            <w:vMerge w:val="restart"/>
          </w:tcPr>
          <w:p>
            <w:pPr>
              <w:jc w:val="right"/>
              <w:ind w:right="100"/>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5"/>
                <w:szCs w:val="5"/>
                <w:color w:val="auto"/>
              </w:rPr>
            </w:pPr>
          </w:p>
        </w:tc>
        <w:tc>
          <w:tcPr>
            <w:tcW w:w="4740" w:type="dxa"/>
            <w:vAlign w:val="bottom"/>
            <w:gridSpan w:val="33"/>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3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640" w:type="dxa"/>
            <w:vAlign w:val="bottom"/>
            <w:tcBorders>
              <w:top w:val="single" w:sz="8" w:color="0000EE"/>
            </w:tcBorders>
            <w:gridSpan w:val="4"/>
            <w:vMerge w:val="restart"/>
          </w:tcPr>
          <w:p>
            <w:pPr>
              <w:spacing w:after="0"/>
              <w:rPr>
                <w:sz w:val="20"/>
                <w:szCs w:val="20"/>
                <w:color w:val="auto"/>
              </w:rPr>
            </w:pPr>
            <w:r>
              <w:rPr>
                <w:rFonts w:ascii="Arial" w:cs="Arial" w:eastAsia="Arial" w:hAnsi="Arial"/>
                <w:sz w:val="16"/>
                <w:szCs w:val="16"/>
                <w:color w:val="0000EE"/>
                <w:w w:val="95"/>
              </w:rPr>
              <w:t>Lobbying</w:t>
            </w:r>
          </w:p>
        </w:tc>
        <w:tc>
          <w:tcPr>
            <w:tcW w:w="1520" w:type="dxa"/>
            <w:vAlign w:val="bottom"/>
            <w:tcBorders>
              <w:top w:val="single" w:sz="8" w:color="0000EE"/>
            </w:tcBorders>
            <w:gridSpan w:val="12"/>
            <w:vMerge w:val="restart"/>
          </w:tcPr>
          <w:p>
            <w:pPr>
              <w:spacing w:after="0"/>
              <w:rPr>
                <w:sz w:val="10"/>
                <w:szCs w:val="10"/>
                <w:color w:val="auto"/>
              </w:rPr>
            </w:pPr>
          </w:p>
        </w:tc>
        <w:tc>
          <w:tcPr>
            <w:tcW w:w="2100" w:type="dxa"/>
            <w:vAlign w:val="bottom"/>
            <w:gridSpan w:val="15"/>
            <w:vMerge w:val="restart"/>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74"/>
        </w:trPr>
        <w:tc>
          <w:tcPr>
            <w:tcW w:w="380" w:type="dxa"/>
            <w:vAlign w:val="bottom"/>
            <w:vMerge w:val="restart"/>
          </w:tcPr>
          <w:p>
            <w:pPr>
              <w:jc w:val="right"/>
              <w:ind w:right="100"/>
              <w:spacing w:after="0"/>
              <w:rPr>
                <w:sz w:val="20"/>
                <w:szCs w:val="20"/>
                <w:color w:val="auto"/>
              </w:rPr>
            </w:pPr>
            <w:r>
              <w:rPr>
                <w:rFonts w:ascii="Arial" w:cs="Arial" w:eastAsia="Arial" w:hAnsi="Arial"/>
                <w:sz w:val="16"/>
                <w:szCs w:val="16"/>
                <w:color w:val="auto"/>
              </w:rPr>
              <w:t>18</w:t>
            </w: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Borders>
              <w:bottom w:val="single" w:sz="8" w:color="0000EE"/>
            </w:tcBorders>
            <w:gridSpan w:val="4"/>
            <w:vMerge w:val="continue"/>
          </w:tcPr>
          <w:p>
            <w:pPr>
              <w:spacing w:after="0"/>
              <w:rPr>
                <w:sz w:val="6"/>
                <w:szCs w:val="6"/>
                <w:color w:val="auto"/>
              </w:rPr>
            </w:pPr>
          </w:p>
        </w:tc>
        <w:tc>
          <w:tcPr>
            <w:tcW w:w="1520" w:type="dxa"/>
            <w:vAlign w:val="bottom"/>
            <w:gridSpan w:val="12"/>
            <w:vMerge w:val="continue"/>
          </w:tcPr>
          <w:p>
            <w:pPr>
              <w:spacing w:after="0"/>
              <w:rPr>
                <w:sz w:val="6"/>
                <w:szCs w:val="6"/>
                <w:color w:val="auto"/>
              </w:rPr>
            </w:pPr>
          </w:p>
        </w:tc>
        <w:tc>
          <w:tcPr>
            <w:tcW w:w="2100" w:type="dxa"/>
            <w:vAlign w:val="bottom"/>
            <w:gridSpan w:val="15"/>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3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60" w:type="dxa"/>
            <w:vAlign w:val="bottom"/>
            <w:gridSpan w:val="31"/>
            <w:vMerge w:val="restart"/>
          </w:tcPr>
          <w:p>
            <w:pPr>
              <w:spacing w:after="0"/>
              <w:rPr>
                <w:sz w:val="20"/>
                <w:szCs w:val="20"/>
                <w:color w:val="auto"/>
              </w:rPr>
            </w:pPr>
            <w:r>
              <w:rPr>
                <w:rFonts w:ascii="Arial" w:cs="Arial" w:eastAsia="Arial" w:hAnsi="Arial"/>
                <w:sz w:val="16"/>
                <w:szCs w:val="16"/>
                <w:color w:val="0000EE"/>
              </w:rPr>
              <w:t>Independence from foreign government interests</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69"/>
        </w:trPr>
        <w:tc>
          <w:tcPr>
            <w:tcW w:w="380" w:type="dxa"/>
            <w:vAlign w:val="bottom"/>
            <w:vMerge w:val="restart"/>
          </w:tcPr>
          <w:p>
            <w:pPr>
              <w:jc w:val="right"/>
              <w:ind w:right="100"/>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60" w:type="dxa"/>
            <w:vAlign w:val="bottom"/>
            <w:gridSpan w:val="31"/>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3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780" w:type="dxa"/>
            <w:vAlign w:val="bottom"/>
            <w:tcBorders>
              <w:top w:val="single" w:sz="8" w:color="0000EE"/>
            </w:tcBorders>
            <w:gridSpan w:val="19"/>
            <w:vMerge w:val="restart"/>
          </w:tcPr>
          <w:p>
            <w:pPr>
              <w:spacing w:after="0"/>
              <w:rPr>
                <w:sz w:val="20"/>
                <w:szCs w:val="20"/>
                <w:color w:val="auto"/>
              </w:rPr>
            </w:pPr>
            <w:r>
              <w:rPr>
                <w:rFonts w:ascii="Arial" w:cs="Arial" w:eastAsia="Arial" w:hAnsi="Arial"/>
                <w:sz w:val="16"/>
                <w:szCs w:val="16"/>
                <w:color w:val="0000EE"/>
              </w:rPr>
              <w:t>Personal political activity</w:t>
            </w:r>
          </w:p>
        </w:tc>
        <w:tc>
          <w:tcPr>
            <w:tcW w:w="40" w:type="dxa"/>
            <w:vAlign w:val="bottom"/>
            <w:vMerge w:val="restart"/>
          </w:tcPr>
          <w:p>
            <w:pPr>
              <w:spacing w:after="0"/>
              <w:rPr>
                <w:sz w:val="10"/>
                <w:szCs w:val="10"/>
                <w:color w:val="auto"/>
              </w:rPr>
            </w:pPr>
          </w:p>
        </w:tc>
        <w:tc>
          <w:tcPr>
            <w:tcW w:w="600" w:type="dxa"/>
            <w:vAlign w:val="bottom"/>
            <w:tcBorders>
              <w:top w:val="single" w:sz="8" w:color="0000EE"/>
            </w:tcBorders>
            <w:gridSpan w:val="7"/>
            <w:vMerge w:val="restart"/>
          </w:tcPr>
          <w:p>
            <w:pPr>
              <w:spacing w:after="0"/>
              <w:rPr>
                <w:sz w:val="10"/>
                <w:szCs w:val="10"/>
                <w:color w:val="auto"/>
              </w:rPr>
            </w:pPr>
          </w:p>
        </w:tc>
        <w:tc>
          <w:tcPr>
            <w:tcW w:w="840" w:type="dxa"/>
            <w:vAlign w:val="bottom"/>
            <w:gridSpan w:val="4"/>
            <w:vMerge w:val="restart"/>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69"/>
        </w:trPr>
        <w:tc>
          <w:tcPr>
            <w:tcW w:w="380" w:type="dxa"/>
            <w:vAlign w:val="bottom"/>
            <w:vMerge w:val="restart"/>
          </w:tcPr>
          <w:p>
            <w:pPr>
              <w:jc w:val="right"/>
              <w:ind w:right="100"/>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780" w:type="dxa"/>
            <w:vAlign w:val="bottom"/>
            <w:gridSpan w:val="19"/>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600" w:type="dxa"/>
            <w:vAlign w:val="bottom"/>
            <w:gridSpan w:val="7"/>
            <w:vMerge w:val="continue"/>
          </w:tcPr>
          <w:p>
            <w:pPr>
              <w:spacing w:after="0"/>
              <w:rPr>
                <w:sz w:val="6"/>
                <w:szCs w:val="6"/>
                <w:color w:val="auto"/>
              </w:rPr>
            </w:pPr>
          </w:p>
        </w:tc>
        <w:tc>
          <w:tcPr>
            <w:tcW w:w="840" w:type="dxa"/>
            <w:vAlign w:val="bottom"/>
            <w:gridSpan w:val="4"/>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740" w:type="dxa"/>
            <w:vAlign w:val="bottom"/>
            <w:gridSpan w:val="33"/>
            <w:vMerge w:val="restart"/>
          </w:tcPr>
          <w:p>
            <w:pPr>
              <w:ind w:left="160"/>
              <w:spacing w:after="0"/>
              <w:rPr>
                <w:sz w:val="20"/>
                <w:szCs w:val="20"/>
                <w:color w:val="auto"/>
              </w:rPr>
            </w:pPr>
            <w:r>
              <w:rPr>
                <w:rFonts w:ascii="Arial" w:cs="Arial" w:eastAsia="Arial" w:hAnsi="Arial"/>
                <w:sz w:val="16"/>
                <w:szCs w:val="16"/>
                <w:i w:val="1"/>
                <w:iCs w:val="1"/>
                <w:color w:val="0000EE"/>
              </w:rPr>
              <w:t>Seek Help: Helpful contact information</w:t>
            </w:r>
          </w:p>
        </w:tc>
        <w:tc>
          <w:tcPr>
            <w:tcW w:w="50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52</w:t>
            </w:r>
          </w:p>
        </w:tc>
        <w:tc>
          <w:tcPr>
            <w:tcW w:w="0" w:type="dxa"/>
            <w:vAlign w:val="bottom"/>
          </w:tcPr>
          <w:p>
            <w:pPr>
              <w:spacing w:after="0"/>
              <w:rPr>
                <w:sz w:val="1"/>
                <w:szCs w:val="1"/>
                <w:color w:val="auto"/>
              </w:rPr>
            </w:pPr>
          </w:p>
        </w:tc>
      </w:tr>
      <w:tr>
        <w:trPr>
          <w:trHeight w:val="69"/>
        </w:trPr>
        <w:tc>
          <w:tcPr>
            <w:tcW w:w="380" w:type="dxa"/>
            <w:vAlign w:val="bottom"/>
            <w:vMerge w:val="restart"/>
          </w:tcPr>
          <w:p>
            <w:pPr>
              <w:jc w:val="right"/>
              <w:ind w:right="100"/>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6"/>
                <w:szCs w:val="6"/>
                <w:color w:val="auto"/>
              </w:rPr>
            </w:pPr>
          </w:p>
        </w:tc>
        <w:tc>
          <w:tcPr>
            <w:tcW w:w="4740" w:type="dxa"/>
            <w:vAlign w:val="bottom"/>
            <w:gridSpan w:val="33"/>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740" w:type="dxa"/>
            <w:vAlign w:val="bottom"/>
            <w:gridSpan w:val="33"/>
            <w:vMerge w:val="restart"/>
          </w:tcPr>
          <w:p>
            <w:pPr>
              <w:ind w:left="160"/>
              <w:spacing w:after="0"/>
              <w:rPr>
                <w:sz w:val="20"/>
                <w:szCs w:val="20"/>
                <w:color w:val="auto"/>
              </w:rPr>
            </w:pPr>
            <w:r>
              <w:rPr>
                <w:rFonts w:ascii="Arial" w:cs="Arial" w:eastAsia="Arial" w:hAnsi="Arial"/>
                <w:sz w:val="16"/>
                <w:szCs w:val="16"/>
                <w:i w:val="1"/>
                <w:iCs w:val="1"/>
                <w:color w:val="0000EE"/>
              </w:rPr>
              <w:t>Legal notice</w:t>
            </w:r>
          </w:p>
        </w:tc>
        <w:tc>
          <w:tcPr>
            <w:tcW w:w="50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53</w:t>
            </w:r>
          </w:p>
        </w:tc>
        <w:tc>
          <w:tcPr>
            <w:tcW w:w="0" w:type="dxa"/>
            <w:vAlign w:val="bottom"/>
          </w:tcPr>
          <w:p>
            <w:pPr>
              <w:spacing w:after="0"/>
              <w:rPr>
                <w:sz w:val="1"/>
                <w:szCs w:val="1"/>
                <w:color w:val="auto"/>
              </w:rPr>
            </w:pPr>
          </w:p>
        </w:tc>
      </w:tr>
      <w:tr>
        <w:trPr>
          <w:trHeight w:val="69"/>
        </w:trPr>
        <w:tc>
          <w:tcPr>
            <w:tcW w:w="380" w:type="dxa"/>
            <w:vAlign w:val="bottom"/>
            <w:vMerge w:val="restart"/>
          </w:tcPr>
          <w:p>
            <w:pPr>
              <w:jc w:val="right"/>
              <w:ind w:right="100"/>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6"/>
                <w:szCs w:val="6"/>
                <w:color w:val="auto"/>
              </w:rPr>
            </w:pPr>
          </w:p>
        </w:tc>
        <w:tc>
          <w:tcPr>
            <w:tcW w:w="4740" w:type="dxa"/>
            <w:vAlign w:val="bottom"/>
            <w:gridSpan w:val="33"/>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3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380" w:type="dxa"/>
            <w:vAlign w:val="bottom"/>
          </w:tcPr>
          <w:p>
            <w:pPr>
              <w:jc w:val="right"/>
              <w:ind w:right="100"/>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 w:type="dxa"/>
            <w:vAlign w:val="bottom"/>
          </w:tcPr>
          <w:p>
            <w:pPr>
              <w:jc w:val="right"/>
              <w:ind w:right="100"/>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 w:type="dxa"/>
            <w:vAlign w:val="bottom"/>
          </w:tcPr>
          <w:p>
            <w:pPr>
              <w:jc w:val="right"/>
              <w:ind w:right="100"/>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 w:type="dxa"/>
            <w:vAlign w:val="bottom"/>
          </w:tcPr>
          <w:p>
            <w:pPr>
              <w:jc w:val="right"/>
              <w:ind w:right="100"/>
              <w:spacing w:after="0"/>
              <w:rPr>
                <w:sz w:val="20"/>
                <w:szCs w:val="20"/>
                <w:color w:val="auto"/>
              </w:rPr>
            </w:pPr>
            <w:r>
              <w:rPr>
                <w:rFonts w:ascii="Arial" w:cs="Arial" w:eastAsia="Arial" w:hAnsi="Arial"/>
                <w:sz w:val="16"/>
                <w:szCs w:val="16"/>
                <w:color w:val="auto"/>
              </w:rPr>
              <w:t>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 w:type="dxa"/>
            <w:vAlign w:val="bottom"/>
          </w:tcPr>
          <w:p>
            <w:pPr>
              <w:jc w:val="right"/>
              <w:ind w:right="100"/>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 w:type="dxa"/>
            <w:vAlign w:val="bottom"/>
          </w:tcPr>
          <w:p>
            <w:pPr>
              <w:jc w:val="right"/>
              <w:ind w:right="100"/>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-2916555</wp:posOffset>
            </wp:positionH>
            <wp:positionV relativeFrom="paragraph">
              <wp:posOffset>-6711950</wp:posOffset>
            </wp:positionV>
            <wp:extent cx="7176770"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280" w:type="dxa"/>
            <w:vAlign w:val="bottom"/>
          </w:tcPr>
          <w:p>
            <w:pPr>
              <w:spacing w:after="0"/>
              <w:rPr>
                <w:sz w:val="20"/>
                <w:szCs w:val="20"/>
                <w:color w:val="auto"/>
              </w:rPr>
            </w:pPr>
            <w:r>
              <w:rPr>
                <w:rFonts w:ascii="Arial" w:cs="Arial" w:eastAsia="Arial" w:hAnsi="Arial"/>
                <w:sz w:val="19"/>
                <w:szCs w:val="19"/>
                <w:color w:val="auto"/>
              </w:rPr>
              <w:t>© 2024 Thomson Reuters</w:t>
            </w:r>
          </w:p>
        </w:tc>
        <w:tc>
          <w:tcPr>
            <w:tcW w:w="2180" w:type="dxa"/>
            <w:vAlign w:val="bottom"/>
          </w:tcPr>
          <w:p>
            <w:pPr>
              <w:jc w:val="right"/>
              <w:spacing w:after="0"/>
              <w:rPr>
                <w:sz w:val="20"/>
                <w:szCs w:val="20"/>
                <w:color w:val="auto"/>
              </w:rPr>
            </w:pPr>
            <w:r>
              <w:rPr>
                <w:rFonts w:ascii="Arial" w:cs="Arial" w:eastAsia="Arial" w:hAnsi="Arial"/>
                <w:sz w:val="19"/>
                <w:szCs w:val="19"/>
                <w:color w:val="auto"/>
              </w:rPr>
              <w:t>2</w:t>
            </w:r>
          </w:p>
        </w:tc>
      </w:tr>
    </w:tbl>
    <w:p>
      <w:pPr>
        <w:sectPr>
          <w:pgSz w:w="11900" w:h="16838" w:orient="portrait"/>
          <w:cols w:equalWidth="0" w:num="2">
            <w:col w:w="3640" w:space="720"/>
            <w:col w:w="6460"/>
          </w:cols>
          <w:pgMar w:left="540" w:top="248" w:right="539" w:bottom="1440" w:gutter="0" w:footer="0" w:header="0"/>
        </w:sectPr>
      </w:pPr>
    </w:p>
    <w:bookmarkStart w:id="183" w:name="page184"/>
    <w:bookmarkEnd w:id="183"/>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281876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6770" cy="2818765"/>
                    </a:xfrm>
                    <a:prstGeom prst="rect">
                      <a:avLst/>
                    </a:prstGeom>
                    <a:noFill/>
                  </pic:spPr>
                </pic:pic>
              </a:graphicData>
            </a:graphic>
          </wp:anchor>
        </w:drawing>
      </w:r>
    </w:p>
    <w:p>
      <w:pPr>
        <w:ind w:right="6280"/>
        <w:spacing w:after="0" w:line="293" w:lineRule="auto"/>
        <w:rPr>
          <w:sz w:val="20"/>
          <w:szCs w:val="20"/>
          <w:color w:val="auto"/>
        </w:rPr>
      </w:pPr>
      <w:r>
        <w:rPr>
          <w:rFonts w:ascii="Arial" w:cs="Arial" w:eastAsia="Arial" w:hAnsi="Arial"/>
          <w:sz w:val="49"/>
          <w:szCs w:val="49"/>
          <w:b w:val="1"/>
          <w:bCs w:val="1"/>
          <w:color w:val="123121"/>
        </w:rPr>
        <w:t>Message from CEO Steve Hasker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Dear Colleagues,</w:t>
      </w:r>
    </w:p>
    <w:p>
      <w:pPr>
        <w:spacing w:after="0" w:line="247" w:lineRule="exact"/>
        <w:rPr>
          <w:sz w:val="20"/>
          <w:szCs w:val="20"/>
          <w:color w:val="auto"/>
        </w:rPr>
      </w:pPr>
    </w:p>
    <w:p>
      <w:pPr>
        <w:jc w:val="both"/>
        <w:ind w:right="5380"/>
        <w:spacing w:after="0" w:line="268" w:lineRule="auto"/>
        <w:rPr>
          <w:sz w:val="20"/>
          <w:szCs w:val="20"/>
          <w:color w:val="auto"/>
        </w:rPr>
      </w:pPr>
      <w:r>
        <w:rPr>
          <w:rFonts w:ascii="Arial" w:cs="Arial" w:eastAsia="Arial" w:hAnsi="Arial"/>
          <w:sz w:val="20"/>
          <w:szCs w:val="20"/>
          <w:color w:val="auto"/>
        </w:rPr>
        <w:t>Thomson Reuters is on an exciting journey to becoming the leading content-driven AI technology company, informing the way forward for professionals around the globe.</w:t>
      </w:r>
    </w:p>
    <w:p>
      <w:pPr>
        <w:spacing w:after="0" w:line="210" w:lineRule="exact"/>
        <w:rPr>
          <w:sz w:val="20"/>
          <w:szCs w:val="20"/>
          <w:color w:val="auto"/>
        </w:rPr>
      </w:pPr>
    </w:p>
    <w:p>
      <w:pPr>
        <w:ind w:right="40"/>
        <w:spacing w:after="0" w:line="262" w:lineRule="auto"/>
        <w:rPr>
          <w:sz w:val="20"/>
          <w:szCs w:val="20"/>
          <w:color w:val="auto"/>
        </w:rPr>
      </w:pPr>
      <w:r>
        <w:rPr>
          <w:rFonts w:ascii="Arial" w:cs="Arial" w:eastAsia="Arial" w:hAnsi="Arial"/>
          <w:sz w:val="20"/>
          <w:szCs w:val="20"/>
          <w:color w:val="auto"/>
        </w:rPr>
        <w:t>As we grow and progress, one thing must remain constant — our commitment to operating with the highest standards of ethics and integrity. We each uphold the standards of our Trust Principles: integrity, independence and freedom from bias. Just as we help our customers pursue justice, truth and transparency, we must treat our employees in the same regard. Trust is our most valuable asset and we must work diligently to protect it. </w:t>
      </w:r>
    </w:p>
    <w:p>
      <w:pPr>
        <w:spacing w:after="0" w:line="188" w:lineRule="exact"/>
        <w:rPr>
          <w:sz w:val="20"/>
          <w:szCs w:val="20"/>
          <w:color w:val="auto"/>
        </w:rPr>
      </w:pPr>
    </w:p>
    <w:p>
      <w:pPr>
        <w:jc w:val="both"/>
        <w:ind w:right="80"/>
        <w:spacing w:after="0" w:line="262" w:lineRule="auto"/>
        <w:rPr>
          <w:sz w:val="20"/>
          <w:szCs w:val="20"/>
          <w:color w:val="auto"/>
        </w:rPr>
      </w:pPr>
      <w:r>
        <w:rPr>
          <w:rFonts w:ascii="Arial" w:cs="Arial" w:eastAsia="Arial" w:hAnsi="Arial"/>
          <w:sz w:val="20"/>
          <w:szCs w:val="20"/>
          <w:color w:val="auto"/>
        </w:rPr>
        <w:t>The Thomson Reuters Code of Business Conduct and Ethics sets forth high ethical standards for how we operate as a company. It applies to all directors, officers, employees, and contingent workers, and any third party acting on behalf of TR should be made aware of their obligation to comply with the Code. It is your obligation to familiarize yourself with the Code. Its principles will serve as a guide when you encounter ethical questions throughout your career.</w:t>
      </w:r>
    </w:p>
    <w:p>
      <w:pPr>
        <w:spacing w:after="0" w:line="202" w:lineRule="exact"/>
        <w:rPr>
          <w:sz w:val="20"/>
          <w:szCs w:val="20"/>
          <w:color w:val="auto"/>
        </w:rPr>
      </w:pPr>
    </w:p>
    <w:p>
      <w:pPr>
        <w:ind w:right="360"/>
        <w:spacing w:after="0" w:line="288" w:lineRule="auto"/>
        <w:rPr>
          <w:sz w:val="20"/>
          <w:szCs w:val="20"/>
          <w:color w:val="auto"/>
        </w:rPr>
      </w:pPr>
      <w:r>
        <w:rPr>
          <w:rFonts w:ascii="Arial" w:cs="Arial" w:eastAsia="Arial" w:hAnsi="Arial"/>
          <w:sz w:val="20"/>
          <w:szCs w:val="20"/>
          <w:color w:val="auto"/>
        </w:rPr>
        <w:t>If you suspect misconduct, you can report it without fear of retaliation to your supervisor, HR, the ethics hotline or our Chief Compliance Officer.</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Thank you for acting with integrity in every action, every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227330</wp:posOffset>
            </wp:positionV>
            <wp:extent cx="1043305" cy="48768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043305" cy="48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Steve Hasker</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President and CEO</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D64000"/>
        </w:rPr>
        <w:t>Thomson Reuters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109855</wp:posOffset>
            </wp:positionV>
            <wp:extent cx="967740" cy="32829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4360" w:type="dxa"/>
        <w:tblCellMar>
          <w:top w:w="0" w:type="dxa"/>
          <w:left w:w="0" w:type="dxa"/>
          <w:bottom w:w="0" w:type="dxa"/>
          <w:right w:w="0" w:type="dxa"/>
        </w:tblCellMar>
      </w:tblPr>
      <w:tr>
        <w:trPr>
          <w:trHeight w:val="256"/>
        </w:trPr>
        <w:tc>
          <w:tcPr>
            <w:tcW w:w="4280" w:type="dxa"/>
            <w:vAlign w:val="bottom"/>
          </w:tcPr>
          <w:p>
            <w:pPr>
              <w:spacing w:after="0"/>
              <w:rPr>
                <w:sz w:val="20"/>
                <w:szCs w:val="20"/>
                <w:color w:val="auto"/>
              </w:rPr>
            </w:pPr>
            <w:r>
              <w:rPr>
                <w:rFonts w:ascii="Arial" w:cs="Arial" w:eastAsia="Arial" w:hAnsi="Arial"/>
                <w:sz w:val="19"/>
                <w:szCs w:val="19"/>
                <w:color w:val="auto"/>
              </w:rPr>
              <w:t>© 2024 Thomson Reuters</w:t>
            </w:r>
          </w:p>
        </w:tc>
        <w:tc>
          <w:tcPr>
            <w:tcW w:w="2180" w:type="dxa"/>
            <w:vAlign w:val="bottom"/>
          </w:tcPr>
          <w:p>
            <w:pPr>
              <w:jc w:val="right"/>
              <w:spacing w:after="0"/>
              <w:rPr>
                <w:sz w:val="20"/>
                <w:szCs w:val="20"/>
                <w:color w:val="auto"/>
              </w:rPr>
            </w:pPr>
            <w:r>
              <w:rPr>
                <w:rFonts w:ascii="Arial" w:cs="Arial" w:eastAsia="Arial" w:hAnsi="Arial"/>
                <w:sz w:val="19"/>
                <w:szCs w:val="19"/>
                <w:color w:val="auto"/>
              </w:rPr>
              <w:t>3</w:t>
            </w:r>
          </w:p>
        </w:tc>
      </w:tr>
    </w:tbl>
    <w:p>
      <w:pPr>
        <w:sectPr>
          <w:pgSz w:w="11900" w:h="16838" w:orient="portrait"/>
          <w:cols w:equalWidth="0" w:num="1">
            <w:col w:w="10820"/>
          </w:cols>
          <w:pgMar w:left="540" w:top="1440" w:right="539" w:bottom="1440" w:gutter="0" w:footer="0" w:header="0"/>
        </w:sectPr>
      </w:pPr>
    </w:p>
    <w:bookmarkStart w:id="184" w:name="page185"/>
    <w:bookmarkEnd w:id="1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258318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6770" cy="258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340"/>
        <w:spacing w:after="0" w:line="253" w:lineRule="auto"/>
        <w:rPr>
          <w:sz w:val="20"/>
          <w:szCs w:val="20"/>
          <w:color w:val="auto"/>
        </w:rPr>
      </w:pPr>
      <w:r>
        <w:rPr>
          <w:rFonts w:ascii="Arial" w:cs="Arial" w:eastAsia="Arial" w:hAnsi="Arial"/>
          <w:sz w:val="19"/>
          <w:szCs w:val="19"/>
          <w:color w:val="auto"/>
        </w:rPr>
        <w:t>Thomson Reuters is built on a legacy of integrity and performance. For over 150 years, we have delivered vital information and expertise that empowers customers globally. Our core strength is that we are driven by one single quality that binds, empowers and defines us more than any other, which is Trust.</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Trust is the cornerstone of our identity, binding us with our customers and defining our actions as individuals and as a team.</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Together with our customers, we shape the future, recognizing the mutual dependency that underlies our success.</w:t>
      </w:r>
    </w:p>
    <w:p>
      <w:pPr>
        <w:spacing w:after="0" w:line="108" w:lineRule="exact"/>
        <w:rPr>
          <w:sz w:val="20"/>
          <w:szCs w:val="20"/>
          <w:color w:val="auto"/>
        </w:rPr>
      </w:pPr>
    </w:p>
    <w:p>
      <w:pPr>
        <w:ind w:right="80"/>
        <w:spacing w:after="0" w:line="253" w:lineRule="auto"/>
        <w:rPr>
          <w:sz w:val="20"/>
          <w:szCs w:val="20"/>
          <w:color w:val="auto"/>
        </w:rPr>
      </w:pPr>
      <w:r>
        <w:rPr>
          <w:rFonts w:ascii="Arial" w:cs="Arial" w:eastAsia="Arial" w:hAnsi="Arial"/>
          <w:sz w:val="19"/>
          <w:szCs w:val="19"/>
          <w:color w:val="auto"/>
        </w:rPr>
        <w:t>Our commitment to doing the right thing for the right reasons fuels our actions, acknowledging the impact on others and striving for positive outcomes. This Code of Business Conduct and Ethics reflects our values, emphasizing that Trust Matters. It guides us in meeting high expectations, fostering innovation, and ensuring continued success.</w:t>
      </w:r>
    </w:p>
    <w:p>
      <w:pPr>
        <w:spacing w:after="0" w:line="353" w:lineRule="exact"/>
        <w:rPr>
          <w:sz w:val="20"/>
          <w:szCs w:val="20"/>
          <w:color w:val="auto"/>
        </w:rPr>
      </w:pPr>
    </w:p>
    <w:p>
      <w:pPr>
        <w:spacing w:after="0"/>
        <w:rPr>
          <w:sz w:val="20"/>
          <w:szCs w:val="20"/>
          <w:color w:val="auto"/>
        </w:rPr>
      </w:pPr>
      <w:r>
        <w:rPr>
          <w:rFonts w:ascii="Arial" w:cs="Arial" w:eastAsia="Arial" w:hAnsi="Arial"/>
          <w:sz w:val="35"/>
          <w:szCs w:val="35"/>
          <w:b w:val="1"/>
          <w:bCs w:val="1"/>
          <w:color w:val="D64000"/>
        </w:rPr>
        <w:t>The Trust Principles</w:t>
      </w:r>
    </w:p>
    <w:p>
      <w:pPr>
        <w:spacing w:after="0" w:line="170" w:lineRule="exact"/>
        <w:rPr>
          <w:sz w:val="20"/>
          <w:szCs w:val="20"/>
          <w:color w:val="auto"/>
        </w:rPr>
      </w:pPr>
    </w:p>
    <w:p>
      <w:pPr>
        <w:ind w:right="20"/>
        <w:spacing w:after="0" w:line="246" w:lineRule="auto"/>
        <w:rPr>
          <w:sz w:val="20"/>
          <w:szCs w:val="20"/>
          <w:color w:val="auto"/>
        </w:rPr>
      </w:pPr>
      <w:r>
        <w:rPr>
          <w:rFonts w:ascii="Arial" w:cs="Arial" w:eastAsia="Arial" w:hAnsi="Arial"/>
          <w:sz w:val="19"/>
          <w:szCs w:val="19"/>
          <w:color w:val="auto"/>
        </w:rPr>
        <w:t>In observing this Code, we must remember that the Thomson Reuters Trust Principles guide the conduct of every individual within the organization. These principles are not just a set of guidelines; they are an invaluable asset that defines Thomson Reuters, unifying our content and providing the bedrock for the trusted answers sought by our customers. The Trust Principles are:</w:t>
      </w:r>
    </w:p>
    <w:p>
      <w:pPr>
        <w:spacing w:after="0" w:line="71" w:lineRule="exact"/>
        <w:rPr>
          <w:sz w:val="20"/>
          <w:szCs w:val="20"/>
          <w:color w:val="auto"/>
        </w:rPr>
      </w:pPr>
    </w:p>
    <w:p>
      <w:pPr>
        <w:ind w:left="740" w:hanging="318"/>
        <w:spacing w:after="0"/>
        <w:tabs>
          <w:tab w:leader="none" w:pos="740" w:val="left"/>
        </w:tabs>
        <w:numPr>
          <w:ilvl w:val="0"/>
          <w:numId w:val="162"/>
        </w:numPr>
        <w:rPr>
          <w:rFonts w:ascii="Arial" w:cs="Arial" w:eastAsia="Arial" w:hAnsi="Arial"/>
          <w:sz w:val="19"/>
          <w:szCs w:val="19"/>
          <w:b w:val="1"/>
          <w:bCs w:val="1"/>
          <w:color w:val="D64000"/>
        </w:rPr>
      </w:pPr>
      <w:r>
        <w:rPr>
          <w:rFonts w:ascii="Arial" w:cs="Arial" w:eastAsia="Arial" w:hAnsi="Arial"/>
          <w:sz w:val="19"/>
          <w:szCs w:val="19"/>
          <w:color w:val="auto"/>
        </w:rPr>
        <w:t>That Reuters shall at no time pass into the hands of any one interest, group or faction;</w:t>
      </w:r>
    </w:p>
    <w:p>
      <w:pPr>
        <w:spacing w:after="0" w:line="11" w:lineRule="exact"/>
        <w:rPr>
          <w:rFonts w:ascii="Arial" w:cs="Arial" w:eastAsia="Arial" w:hAnsi="Arial"/>
          <w:sz w:val="19"/>
          <w:szCs w:val="19"/>
          <w:b w:val="1"/>
          <w:bCs w:val="1"/>
          <w:color w:val="D64000"/>
        </w:rPr>
      </w:pPr>
    </w:p>
    <w:p>
      <w:pPr>
        <w:ind w:left="740" w:hanging="318"/>
        <w:spacing w:after="0" w:line="232" w:lineRule="auto"/>
        <w:tabs>
          <w:tab w:leader="none" w:pos="740" w:val="left"/>
        </w:tabs>
        <w:numPr>
          <w:ilvl w:val="0"/>
          <w:numId w:val="162"/>
        </w:numPr>
        <w:rPr>
          <w:rFonts w:ascii="Arial" w:cs="Arial" w:eastAsia="Arial" w:hAnsi="Arial"/>
          <w:sz w:val="19"/>
          <w:szCs w:val="19"/>
          <w:b w:val="1"/>
          <w:bCs w:val="1"/>
          <w:color w:val="D64000"/>
        </w:rPr>
      </w:pPr>
      <w:r>
        <w:rPr>
          <w:rFonts w:ascii="Arial" w:cs="Arial" w:eastAsia="Arial" w:hAnsi="Arial"/>
          <w:sz w:val="19"/>
          <w:szCs w:val="19"/>
          <w:color w:val="auto"/>
        </w:rPr>
        <w:t>That the integrity, independence and freedom from bias of Thomson Reuters shall at all times be fully preserved;</w:t>
      </w:r>
    </w:p>
    <w:p>
      <w:pPr>
        <w:ind w:left="740" w:right="80" w:hanging="318"/>
        <w:spacing w:after="0" w:line="232" w:lineRule="auto"/>
        <w:tabs>
          <w:tab w:leader="none" w:pos="740" w:val="left"/>
        </w:tabs>
        <w:numPr>
          <w:ilvl w:val="0"/>
          <w:numId w:val="162"/>
        </w:numPr>
        <w:rPr>
          <w:rFonts w:ascii="Arial" w:cs="Arial" w:eastAsia="Arial" w:hAnsi="Arial"/>
          <w:sz w:val="19"/>
          <w:szCs w:val="19"/>
          <w:b w:val="1"/>
          <w:bCs w:val="1"/>
          <w:color w:val="D64000"/>
        </w:rPr>
      </w:pPr>
      <w:r>
        <w:rPr>
          <w:rFonts w:ascii="Arial" w:cs="Arial" w:eastAsia="Arial" w:hAnsi="Arial"/>
          <w:sz w:val="19"/>
          <w:szCs w:val="19"/>
          <w:color w:val="auto"/>
        </w:rPr>
        <w:t>That Reuters shall supply unbiased and reliable news services to newspapers, news agencies, broadcasters and other media subscribers and to businesses, governments, institutions, individuals and others with whom Reuters has or may have contracts;</w:t>
      </w:r>
    </w:p>
    <w:p>
      <w:pPr>
        <w:spacing w:after="0" w:line="2" w:lineRule="exact"/>
        <w:rPr>
          <w:rFonts w:ascii="Arial" w:cs="Arial" w:eastAsia="Arial" w:hAnsi="Arial"/>
          <w:sz w:val="19"/>
          <w:szCs w:val="19"/>
          <w:b w:val="1"/>
          <w:bCs w:val="1"/>
          <w:color w:val="D64000"/>
        </w:rPr>
      </w:pPr>
    </w:p>
    <w:p>
      <w:pPr>
        <w:ind w:left="740" w:right="240" w:hanging="318"/>
        <w:spacing w:after="0" w:line="232" w:lineRule="auto"/>
        <w:tabs>
          <w:tab w:leader="none" w:pos="740" w:val="left"/>
        </w:tabs>
        <w:numPr>
          <w:ilvl w:val="0"/>
          <w:numId w:val="162"/>
        </w:numPr>
        <w:rPr>
          <w:rFonts w:ascii="Arial" w:cs="Arial" w:eastAsia="Arial" w:hAnsi="Arial"/>
          <w:sz w:val="19"/>
          <w:szCs w:val="19"/>
          <w:b w:val="1"/>
          <w:bCs w:val="1"/>
          <w:color w:val="D64000"/>
        </w:rPr>
      </w:pPr>
      <w:r>
        <w:rPr>
          <w:rFonts w:ascii="Arial" w:cs="Arial" w:eastAsia="Arial" w:hAnsi="Arial"/>
          <w:sz w:val="19"/>
          <w:szCs w:val="19"/>
          <w:color w:val="auto"/>
        </w:rPr>
        <w:t>That Thomson Reuters shall pay due regard to the many interests which it serves in addition to those of the media; and</w:t>
      </w:r>
    </w:p>
    <w:p>
      <w:pPr>
        <w:spacing w:after="0" w:line="1" w:lineRule="exact"/>
        <w:rPr>
          <w:rFonts w:ascii="Arial" w:cs="Arial" w:eastAsia="Arial" w:hAnsi="Arial"/>
          <w:sz w:val="19"/>
          <w:szCs w:val="19"/>
          <w:b w:val="1"/>
          <w:bCs w:val="1"/>
          <w:color w:val="D64000"/>
        </w:rPr>
      </w:pPr>
    </w:p>
    <w:p>
      <w:pPr>
        <w:ind w:left="740" w:right="220" w:hanging="318"/>
        <w:spacing w:after="0" w:line="254" w:lineRule="auto"/>
        <w:tabs>
          <w:tab w:leader="none" w:pos="740" w:val="left"/>
        </w:tabs>
        <w:numPr>
          <w:ilvl w:val="0"/>
          <w:numId w:val="162"/>
        </w:numPr>
        <w:rPr>
          <w:rFonts w:ascii="Arial" w:cs="Arial" w:eastAsia="Arial" w:hAnsi="Arial"/>
          <w:sz w:val="19"/>
          <w:szCs w:val="19"/>
          <w:b w:val="1"/>
          <w:bCs w:val="1"/>
          <w:color w:val="D64000"/>
        </w:rPr>
      </w:pPr>
      <w:r>
        <w:rPr>
          <w:rFonts w:ascii="Arial" w:cs="Arial" w:eastAsia="Arial" w:hAnsi="Arial"/>
          <w:sz w:val="19"/>
          <w:szCs w:val="19"/>
          <w:color w:val="auto"/>
        </w:rPr>
        <w:t>That no effort shall be spared to expand, develop and adapt the news and other services and products of Thomson Reuters so as to maintain its leading position in the international news and information business.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1A7EE5"/>
        </w:rPr>
        <w:t>The Trust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967740" cy="32829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4360" w:type="dxa"/>
        <w:tblCellMar>
          <w:top w:w="0" w:type="dxa"/>
          <w:left w:w="0" w:type="dxa"/>
          <w:bottom w:w="0" w:type="dxa"/>
          <w:right w:w="0" w:type="dxa"/>
        </w:tblCellMar>
      </w:tblPr>
      <w:tr>
        <w:trPr>
          <w:trHeight w:val="256"/>
        </w:trPr>
        <w:tc>
          <w:tcPr>
            <w:tcW w:w="4280" w:type="dxa"/>
            <w:vAlign w:val="bottom"/>
          </w:tcPr>
          <w:p>
            <w:pPr>
              <w:spacing w:after="0"/>
              <w:rPr>
                <w:sz w:val="20"/>
                <w:szCs w:val="20"/>
                <w:color w:val="auto"/>
              </w:rPr>
            </w:pPr>
            <w:r>
              <w:rPr>
                <w:rFonts w:ascii="Arial" w:cs="Arial" w:eastAsia="Arial" w:hAnsi="Arial"/>
                <w:sz w:val="19"/>
                <w:szCs w:val="19"/>
                <w:color w:val="auto"/>
              </w:rPr>
              <w:t>© 2024 Thomson Reuters</w:t>
            </w:r>
          </w:p>
        </w:tc>
        <w:tc>
          <w:tcPr>
            <w:tcW w:w="2180" w:type="dxa"/>
            <w:vAlign w:val="bottom"/>
          </w:tcPr>
          <w:p>
            <w:pPr>
              <w:jc w:val="right"/>
              <w:spacing w:after="0"/>
              <w:rPr>
                <w:sz w:val="20"/>
                <w:szCs w:val="20"/>
                <w:color w:val="auto"/>
              </w:rPr>
            </w:pPr>
            <w:r>
              <w:rPr>
                <w:rFonts w:ascii="Arial" w:cs="Arial" w:eastAsia="Arial" w:hAnsi="Arial"/>
                <w:sz w:val="19"/>
                <w:szCs w:val="19"/>
                <w:color w:val="auto"/>
              </w:rPr>
              <w:t>4</w:t>
            </w:r>
          </w:p>
        </w:tc>
      </w:tr>
    </w:tbl>
    <w:p>
      <w:pPr>
        <w:sectPr>
          <w:pgSz w:w="11900" w:h="16838" w:orient="portrait"/>
          <w:cols w:equalWidth="0" w:num="1">
            <w:col w:w="10820"/>
          </w:cols>
          <w:pgMar w:left="540" w:top="1440" w:right="539" w:bottom="1440" w:gutter="0" w:footer="0" w:header="0"/>
        </w:sectPr>
      </w:pPr>
    </w:p>
    <w:bookmarkStart w:id="185" w:name="page186"/>
    <w:bookmarkEnd w:id="185"/>
    <w:p>
      <w:pPr>
        <w:spacing w:after="0"/>
        <w:rPr>
          <w:sz w:val="20"/>
          <w:szCs w:val="20"/>
          <w:color w:val="auto"/>
        </w:rPr>
      </w:pPr>
      <w:r>
        <w:rPr>
          <w:rFonts w:ascii="Arial" w:cs="Arial" w:eastAsia="Arial" w:hAnsi="Arial"/>
          <w:sz w:val="35"/>
          <w:szCs w:val="35"/>
          <w:b w:val="1"/>
          <w:bCs w:val="1"/>
          <w:color w:val="D64000"/>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Our Culture</w:t>
      </w:r>
    </w:p>
    <w:p>
      <w:pPr>
        <w:spacing w:after="0" w:line="332"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Purpose</w:t>
      </w:r>
    </w:p>
    <w:p>
      <w:pPr>
        <w:spacing w:after="0" w:line="192" w:lineRule="exact"/>
        <w:rPr>
          <w:sz w:val="20"/>
          <w:szCs w:val="20"/>
          <w:color w:val="auto"/>
        </w:rPr>
      </w:pPr>
    </w:p>
    <w:p>
      <w:pPr>
        <w:ind w:right="320"/>
        <w:spacing w:after="0" w:line="273" w:lineRule="auto"/>
        <w:rPr>
          <w:sz w:val="20"/>
          <w:szCs w:val="20"/>
          <w:color w:val="auto"/>
        </w:rPr>
      </w:pPr>
      <w:r>
        <w:rPr>
          <w:rFonts w:ascii="Arial" w:cs="Arial" w:eastAsia="Arial" w:hAnsi="Arial"/>
          <w:sz w:val="19"/>
          <w:szCs w:val="19"/>
          <w:color w:val="auto"/>
        </w:rPr>
        <w:t xml:space="preserve">Our company purpose is to </w:t>
      </w:r>
      <w:r>
        <w:rPr>
          <w:rFonts w:ascii="Arial" w:cs="Arial" w:eastAsia="Arial" w:hAnsi="Arial"/>
          <w:sz w:val="19"/>
          <w:szCs w:val="19"/>
          <w:i w:val="1"/>
          <w:iCs w:val="1"/>
          <w:color w:val="auto"/>
        </w:rPr>
        <w:t>Inform the Way Forward</w:t>
      </w:r>
      <w:r>
        <w:rPr>
          <w:rFonts w:ascii="Arial" w:cs="Arial" w:eastAsia="Arial" w:hAnsi="Arial"/>
          <w:sz w:val="19"/>
          <w:szCs w:val="19"/>
          <w:color w:val="auto"/>
        </w:rPr>
        <w:t>, reflecting our commitment to serving professionals, advancing critical institutions and building trust through our products and our actions.</w:t>
      </w:r>
    </w:p>
    <w:p>
      <w:pPr>
        <w:spacing w:after="0" w:line="73" w:lineRule="exact"/>
        <w:rPr>
          <w:sz w:val="20"/>
          <w:szCs w:val="20"/>
          <w:color w:val="auto"/>
        </w:rPr>
      </w:pPr>
    </w:p>
    <w:p>
      <w:pPr>
        <w:ind w:right="220"/>
        <w:spacing w:after="0" w:line="253" w:lineRule="auto"/>
        <w:rPr>
          <w:sz w:val="20"/>
          <w:szCs w:val="20"/>
          <w:color w:val="auto"/>
        </w:rPr>
      </w:pPr>
      <w:r>
        <w:rPr>
          <w:rFonts w:ascii="Arial" w:cs="Arial" w:eastAsia="Arial" w:hAnsi="Arial"/>
          <w:sz w:val="19"/>
          <w:szCs w:val="19"/>
          <w:color w:val="auto"/>
        </w:rPr>
        <w:t>Purpose, in our context, extends beyond profit-making; it unites our commercial value and societal impact, shaping our core reason for existence and influencing every aspect of our business. This guiding principle informs our strategy, inspires our team, engages our customers and community, and is deeply embedded in our culture.</w:t>
      </w:r>
    </w:p>
    <w:p>
      <w:pPr>
        <w:spacing w:after="0" w:line="91" w:lineRule="exact"/>
        <w:rPr>
          <w:sz w:val="20"/>
          <w:szCs w:val="20"/>
          <w:color w:val="auto"/>
        </w:rPr>
      </w:pPr>
    </w:p>
    <w:p>
      <w:pPr>
        <w:ind w:right="760"/>
        <w:spacing w:after="0" w:line="253" w:lineRule="auto"/>
        <w:rPr>
          <w:sz w:val="20"/>
          <w:szCs w:val="20"/>
          <w:color w:val="auto"/>
        </w:rPr>
      </w:pPr>
      <w:r>
        <w:rPr>
          <w:rFonts w:ascii="Arial" w:cs="Arial" w:eastAsia="Arial" w:hAnsi="Arial"/>
          <w:sz w:val="19"/>
          <w:szCs w:val="19"/>
          <w:color w:val="auto"/>
        </w:rPr>
        <w:t xml:space="preserve">Our products and business play a central role in how we </w:t>
      </w:r>
      <w:r>
        <w:rPr>
          <w:rFonts w:ascii="Arial" w:cs="Arial" w:eastAsia="Arial" w:hAnsi="Arial"/>
          <w:sz w:val="19"/>
          <w:szCs w:val="19"/>
          <w:color w:val="4C4D4F"/>
        </w:rPr>
        <w:t>Inform the Way</w:t>
      </w:r>
      <w:r>
        <w:rPr>
          <w:rFonts w:ascii="Arial" w:cs="Arial" w:eastAsia="Arial" w:hAnsi="Arial"/>
          <w:sz w:val="19"/>
          <w:szCs w:val="19"/>
          <w:color w:val="auto"/>
        </w:rPr>
        <w:t xml:space="preserve"> Forward by empowering the most informed professionals worldwide. Collaborating with our customers, we elevate knowledge, act with courage and integrity, and champion justice, truth, and transparency—values that underpin progress and create value.</w:t>
      </w:r>
    </w:p>
    <w:p>
      <w:pPr>
        <w:spacing w:after="0" w:line="76" w:lineRule="exact"/>
        <w:rPr>
          <w:sz w:val="20"/>
          <w:szCs w:val="20"/>
          <w:color w:val="auto"/>
        </w:rPr>
      </w:pPr>
    </w:p>
    <w:p>
      <w:pPr>
        <w:spacing w:after="0"/>
        <w:rPr>
          <w:sz w:val="20"/>
          <w:szCs w:val="20"/>
          <w:color w:val="auto"/>
        </w:rPr>
      </w:pPr>
      <w:r>
        <w:rPr>
          <w:rFonts w:ascii="Arial" w:cs="Arial" w:eastAsia="Arial" w:hAnsi="Arial"/>
          <w:sz w:val="19"/>
          <w:szCs w:val="19"/>
          <w:b w:val="1"/>
          <w:bCs w:val="1"/>
          <w:color w:val="1A7EE5"/>
        </w:rPr>
        <w:t>Inform the Way Forward on TR.com</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1A7EE5"/>
        </w:rPr>
        <w:t>Inform the Way Forward on the intranet</w:t>
      </w:r>
    </w:p>
    <w:p>
      <w:pPr>
        <w:spacing w:after="0" w:line="26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Mindsets and behaviors</w:t>
      </w:r>
    </w:p>
    <w:p>
      <w:pPr>
        <w:spacing w:after="0" w:line="165" w:lineRule="exact"/>
        <w:rPr>
          <w:sz w:val="20"/>
          <w:szCs w:val="20"/>
          <w:color w:val="auto"/>
        </w:rPr>
      </w:pPr>
    </w:p>
    <w:p>
      <w:pPr>
        <w:jc w:val="both"/>
        <w:ind w:right="80"/>
        <w:spacing w:after="0" w:line="253" w:lineRule="auto"/>
        <w:rPr>
          <w:sz w:val="20"/>
          <w:szCs w:val="20"/>
          <w:color w:val="auto"/>
        </w:rPr>
      </w:pPr>
      <w:r>
        <w:rPr>
          <w:rFonts w:ascii="Arial" w:cs="Arial" w:eastAsia="Arial" w:hAnsi="Arial"/>
          <w:sz w:val="19"/>
          <w:szCs w:val="19"/>
          <w:color w:val="auto"/>
        </w:rPr>
        <w:t>The Thomson Reuters Mindsets &amp; Behaviors articulate the core mindsets (how we think) and behaviors (how we act) and are critical for driving the business forward and ensuring customer satisfaction. These are the shared, unwavering, and prioritized traits that collectively contribute to our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2135505</wp:posOffset>
            </wp:positionH>
            <wp:positionV relativeFrom="paragraph">
              <wp:posOffset>130175</wp:posOffset>
            </wp:positionV>
            <wp:extent cx="2599690" cy="128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599690" cy="128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color w:val="1A7EE5"/>
        </w:rPr>
        <w:t>Mindsets and behaviors on the intranet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967740" cy="32829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4360" w:type="dxa"/>
        <w:tblCellMar>
          <w:top w:w="0" w:type="dxa"/>
          <w:left w:w="0" w:type="dxa"/>
          <w:bottom w:w="0" w:type="dxa"/>
          <w:right w:w="0" w:type="dxa"/>
        </w:tblCellMar>
      </w:tblPr>
      <w:tr>
        <w:trPr>
          <w:trHeight w:val="256"/>
        </w:trPr>
        <w:tc>
          <w:tcPr>
            <w:tcW w:w="4280" w:type="dxa"/>
            <w:vAlign w:val="bottom"/>
          </w:tcPr>
          <w:p>
            <w:pPr>
              <w:spacing w:after="0"/>
              <w:rPr>
                <w:sz w:val="20"/>
                <w:szCs w:val="20"/>
                <w:color w:val="auto"/>
              </w:rPr>
            </w:pPr>
            <w:r>
              <w:rPr>
                <w:rFonts w:ascii="Arial" w:cs="Arial" w:eastAsia="Arial" w:hAnsi="Arial"/>
                <w:sz w:val="19"/>
                <w:szCs w:val="19"/>
                <w:color w:val="auto"/>
              </w:rPr>
              <w:t>© 2024 Thomson Reuters</w:t>
            </w:r>
          </w:p>
        </w:tc>
        <w:tc>
          <w:tcPr>
            <w:tcW w:w="2180" w:type="dxa"/>
            <w:vAlign w:val="bottom"/>
          </w:tcPr>
          <w:p>
            <w:pPr>
              <w:jc w:val="right"/>
              <w:spacing w:after="0"/>
              <w:rPr>
                <w:sz w:val="20"/>
                <w:szCs w:val="20"/>
                <w:color w:val="auto"/>
              </w:rPr>
            </w:pPr>
            <w:r>
              <w:rPr>
                <w:rFonts w:ascii="Arial" w:cs="Arial" w:eastAsia="Arial" w:hAnsi="Arial"/>
                <w:sz w:val="19"/>
                <w:szCs w:val="19"/>
                <w:color w:val="auto"/>
              </w:rPr>
              <w:t>5</w:t>
            </w:r>
          </w:p>
        </w:tc>
      </w:tr>
    </w:tbl>
    <w:p>
      <w:pPr>
        <w:sectPr>
          <w:pgSz w:w="11900" w:h="16838" w:orient="portrait"/>
          <w:cols w:equalWidth="0" w:num="1">
            <w:col w:w="10820"/>
          </w:cols>
          <w:pgMar w:left="540" w:top="248" w:right="539" w:bottom="1440" w:gutter="0" w:footer="0" w:header="0"/>
        </w:sectPr>
      </w:pPr>
    </w:p>
    <w:bookmarkStart w:id="186" w:name="page187"/>
    <w:bookmarkEnd w:id="186"/>
    <w:p>
      <w:pPr>
        <w:spacing w:after="0"/>
        <w:rPr>
          <w:sz w:val="20"/>
          <w:szCs w:val="20"/>
          <w:color w:val="auto"/>
        </w:rPr>
      </w:pPr>
      <w:r>
        <w:rPr>
          <w:rFonts w:ascii="Arial" w:cs="Arial" w:eastAsia="Arial" w:hAnsi="Arial"/>
          <w:sz w:val="35"/>
          <w:szCs w:val="35"/>
          <w:b w:val="1"/>
          <w:bCs w:val="1"/>
          <w:color w:val="D64000"/>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Our Code</w:t>
      </w:r>
    </w:p>
    <w:p>
      <w:pPr>
        <w:spacing w:after="0" w:line="170" w:lineRule="exact"/>
        <w:rPr>
          <w:sz w:val="20"/>
          <w:szCs w:val="20"/>
          <w:color w:val="auto"/>
        </w:rPr>
      </w:pPr>
    </w:p>
    <w:p>
      <w:pPr>
        <w:ind w:right="120"/>
        <w:spacing w:after="0" w:line="246" w:lineRule="auto"/>
        <w:rPr>
          <w:sz w:val="20"/>
          <w:szCs w:val="20"/>
          <w:color w:val="auto"/>
        </w:rPr>
      </w:pPr>
      <w:r>
        <w:rPr>
          <w:rFonts w:ascii="Arial" w:cs="Arial" w:eastAsia="Arial" w:hAnsi="Arial"/>
          <w:sz w:val="19"/>
          <w:szCs w:val="19"/>
          <w:color w:val="auto"/>
        </w:rPr>
        <w:t>The Code applies to all employees, officers and directors of Thomson Reuters Corporation and our majority-owned or controlled subsidiaries, as well as to consultants, contractors, temporary employees. Any third parties or agents (such as business partners) acting on our behalf or performing services for us should be made aware of their obligation to comply with the Code.</w:t>
      </w:r>
    </w:p>
    <w:p>
      <w:pPr>
        <w:spacing w:after="0" w:line="26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A global code</w:t>
      </w:r>
    </w:p>
    <w:p>
      <w:pPr>
        <w:spacing w:after="0" w:line="192" w:lineRule="exact"/>
        <w:rPr>
          <w:sz w:val="20"/>
          <w:szCs w:val="20"/>
          <w:color w:val="auto"/>
        </w:rPr>
      </w:pPr>
    </w:p>
    <w:p>
      <w:pPr>
        <w:jc w:val="both"/>
        <w:ind w:right="300"/>
        <w:spacing w:after="0" w:line="245" w:lineRule="auto"/>
        <w:rPr>
          <w:sz w:val="20"/>
          <w:szCs w:val="20"/>
          <w:color w:val="auto"/>
        </w:rPr>
      </w:pPr>
      <w:r>
        <w:rPr>
          <w:rFonts w:ascii="Arial" w:cs="Arial" w:eastAsia="Arial" w:hAnsi="Arial"/>
          <w:sz w:val="19"/>
          <w:szCs w:val="19"/>
          <w:color w:val="auto"/>
        </w:rPr>
        <w:t xml:space="preserve">With thousands of employees around the world, Thomson Reuters operates under a wide variety of laws and regulations. Regardless of where we operate, our values and trust principles will not change. This Code underscores those values and principles and helps guide how we engage with our customers, our business partners (such as vendors, suppliers, agents, etc.), our colleagues and the communities where we work and live. The Code is also a practical resource to check policies, guide decisions and help employees and others understand when and how to </w:t>
      </w:r>
      <w:r>
        <w:rPr>
          <w:rFonts w:ascii="Arial" w:cs="Arial" w:eastAsia="Arial" w:hAnsi="Arial"/>
          <w:sz w:val="19"/>
          <w:szCs w:val="19"/>
          <w:b w:val="1"/>
          <w:bCs w:val="1"/>
          <w:color w:val="1A7EE5"/>
        </w:rPr>
        <w:t>Seek Help</w:t>
      </w:r>
      <w:r>
        <w:rPr>
          <w:rFonts w:ascii="Arial" w:cs="Arial" w:eastAsia="Arial" w:hAnsi="Arial"/>
          <w:sz w:val="19"/>
          <w:szCs w:val="19"/>
          <w:color w:val="auto"/>
        </w:rPr>
        <w:t>.</w:t>
      </w:r>
    </w:p>
    <w:p>
      <w:pPr>
        <w:spacing w:after="0" w:line="157" w:lineRule="exact"/>
        <w:rPr>
          <w:sz w:val="20"/>
          <w:szCs w:val="20"/>
          <w:color w:val="auto"/>
        </w:rPr>
      </w:pPr>
    </w:p>
    <w:p>
      <w:pPr>
        <w:ind w:right="120"/>
        <w:spacing w:after="0" w:line="258" w:lineRule="auto"/>
        <w:rPr>
          <w:sz w:val="20"/>
          <w:szCs w:val="20"/>
          <w:color w:val="auto"/>
        </w:rPr>
      </w:pPr>
      <w:r>
        <w:rPr>
          <w:rFonts w:ascii="Arial" w:cs="Arial" w:eastAsia="Arial" w:hAnsi="Arial"/>
          <w:sz w:val="19"/>
          <w:szCs w:val="19"/>
          <w:color w:val="auto"/>
        </w:rPr>
        <w:t xml:space="preserve">The Code applies in every country we do business. If there is ever a conflict between this Code and local laws and/or supplemental policies that apply to our job, we must comply with the most restrictive requirement. If any of us have questions about how the Code might apply, we should </w:t>
      </w:r>
      <w:r>
        <w:rPr>
          <w:rFonts w:ascii="Arial" w:cs="Arial" w:eastAsia="Arial" w:hAnsi="Arial"/>
          <w:sz w:val="19"/>
          <w:szCs w:val="19"/>
          <w:b w:val="1"/>
          <w:bCs w:val="1"/>
          <w:color w:val="1A7EE5"/>
        </w:rPr>
        <w:t>Seek Help</w:t>
      </w:r>
      <w:r>
        <w:rPr>
          <w:rFonts w:ascii="Arial" w:cs="Arial" w:eastAsia="Arial" w:hAnsi="Arial"/>
          <w:sz w:val="19"/>
          <w:szCs w:val="19"/>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Regulated entities</w:t>
      </w:r>
    </w:p>
    <w:p>
      <w:pPr>
        <w:spacing w:after="0" w:line="192" w:lineRule="exact"/>
        <w:rPr>
          <w:sz w:val="20"/>
          <w:szCs w:val="20"/>
          <w:color w:val="auto"/>
        </w:rPr>
      </w:pPr>
    </w:p>
    <w:p>
      <w:pPr>
        <w:jc w:val="both"/>
        <w:ind w:right="440"/>
        <w:spacing w:after="0" w:line="253" w:lineRule="auto"/>
        <w:rPr>
          <w:sz w:val="20"/>
          <w:szCs w:val="20"/>
          <w:color w:val="auto"/>
        </w:rPr>
      </w:pPr>
      <w:r>
        <w:rPr>
          <w:rFonts w:ascii="Arial" w:cs="Arial" w:eastAsia="Arial" w:hAnsi="Arial"/>
          <w:sz w:val="19"/>
          <w:szCs w:val="19"/>
          <w:color w:val="auto"/>
        </w:rPr>
        <w:t xml:space="preserve">Regulated entities within Thomson Reuters may have their own policies and procedures that apply to staff acting on their behalf. These policies always take precedence over Thomson Reuters policies addressing the same topic. </w:t>
      </w:r>
      <w:r>
        <w:rPr>
          <w:rFonts w:ascii="Arial" w:cs="Arial" w:eastAsia="Arial" w:hAnsi="Arial"/>
          <w:sz w:val="19"/>
          <w:szCs w:val="19"/>
          <w:b w:val="1"/>
          <w:bCs w:val="1"/>
          <w:color w:val="1A7EE5"/>
        </w:rPr>
        <w:t>Seek Help</w:t>
      </w:r>
      <w:r>
        <w:rPr>
          <w:rFonts w:ascii="Arial" w:cs="Arial" w:eastAsia="Arial" w:hAnsi="Arial"/>
          <w:sz w:val="19"/>
          <w:szCs w:val="19"/>
          <w:color w:val="auto"/>
        </w:rPr>
        <w:t xml:space="preserve"> for more information.</w:t>
      </w:r>
    </w:p>
    <w:p>
      <w:pPr>
        <w:spacing w:after="0" w:line="25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Reuters journalists</w:t>
      </w:r>
    </w:p>
    <w:p>
      <w:pPr>
        <w:spacing w:after="0" w:line="232" w:lineRule="exact"/>
        <w:rPr>
          <w:sz w:val="20"/>
          <w:szCs w:val="20"/>
          <w:color w:val="auto"/>
        </w:rPr>
      </w:pPr>
    </w:p>
    <w:p>
      <w:pPr>
        <w:ind w:right="300"/>
        <w:spacing w:after="0" w:line="250" w:lineRule="auto"/>
        <w:rPr>
          <w:sz w:val="20"/>
          <w:szCs w:val="20"/>
          <w:color w:val="auto"/>
        </w:rPr>
      </w:pPr>
      <w:r>
        <w:rPr>
          <w:rFonts w:ascii="Arial" w:cs="Arial" w:eastAsia="Arial" w:hAnsi="Arial"/>
          <w:sz w:val="19"/>
          <w:szCs w:val="19"/>
          <w:color w:val="auto"/>
        </w:rPr>
        <w:t xml:space="preserve">Because of the nature of their jobs, Reuters journalists have policies that, in some cases, are more restrictive than the company’s general policies (such as those relating to personal political activity) and, in some cases, may be less restrictive (such as reporting on what a third party might view as confidential). Reuters journalists should review the Handbook of Journalism and </w:t>
      </w:r>
      <w:r>
        <w:rPr>
          <w:rFonts w:ascii="Arial" w:cs="Arial" w:eastAsia="Arial" w:hAnsi="Arial"/>
          <w:sz w:val="19"/>
          <w:szCs w:val="19"/>
          <w:b w:val="1"/>
          <w:bCs w:val="1"/>
          <w:color w:val="1A7EE5"/>
        </w:rPr>
        <w:t>Seek Help</w:t>
      </w:r>
      <w:r>
        <w:rPr>
          <w:rFonts w:ascii="Arial" w:cs="Arial" w:eastAsia="Arial" w:hAnsi="Arial"/>
          <w:sz w:val="19"/>
          <w:szCs w:val="19"/>
          <w:color w:val="auto"/>
        </w:rPr>
        <w:t xml:space="preserve"> for more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Waiver</w:t>
      </w:r>
    </w:p>
    <w:p>
      <w:pPr>
        <w:spacing w:after="0" w:line="205" w:lineRule="exact"/>
        <w:rPr>
          <w:sz w:val="20"/>
          <w:szCs w:val="20"/>
          <w:color w:val="auto"/>
        </w:rPr>
      </w:pPr>
    </w:p>
    <w:p>
      <w:pPr>
        <w:ind w:right="100"/>
        <w:spacing w:after="0" w:line="246" w:lineRule="auto"/>
        <w:rPr>
          <w:sz w:val="20"/>
          <w:szCs w:val="20"/>
          <w:color w:val="auto"/>
        </w:rPr>
      </w:pPr>
      <w:r>
        <w:rPr>
          <w:rFonts w:ascii="Arial" w:cs="Arial" w:eastAsia="Arial" w:hAnsi="Arial"/>
          <w:sz w:val="19"/>
          <w:szCs w:val="19"/>
          <w:color w:val="auto"/>
        </w:rPr>
        <w:t>In the unusual circumstance that you believe you may need a waiver of a particular provision of the Code, you should contact the Chief Legal Officer of Thomson Reuters. Any waiver for executive officers or directors may be granted only by the Thomson Reuters Board of Directors or a Board committee and will be disclosed by Thomson Reuters to the extent required by law, regulation or stock exchange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967740" cy="32829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383" w:lineRule="exact"/>
        <w:rPr>
          <w:sz w:val="20"/>
          <w:szCs w:val="20"/>
          <w:color w:val="auto"/>
        </w:rPr>
      </w:pPr>
    </w:p>
    <w:tbl>
      <w:tblPr>
        <w:tblLayout w:type="fixed"/>
        <w:tblInd w:w="4360" w:type="dxa"/>
        <w:tblCellMar>
          <w:top w:w="0" w:type="dxa"/>
          <w:left w:w="0" w:type="dxa"/>
          <w:bottom w:w="0" w:type="dxa"/>
          <w:right w:w="0" w:type="dxa"/>
        </w:tblCellMar>
      </w:tblPr>
      <w:tr>
        <w:trPr>
          <w:trHeight w:val="256"/>
        </w:trPr>
        <w:tc>
          <w:tcPr>
            <w:tcW w:w="4280" w:type="dxa"/>
            <w:vAlign w:val="bottom"/>
          </w:tcPr>
          <w:p>
            <w:pPr>
              <w:spacing w:after="0"/>
              <w:rPr>
                <w:sz w:val="20"/>
                <w:szCs w:val="20"/>
                <w:color w:val="auto"/>
              </w:rPr>
            </w:pPr>
            <w:r>
              <w:rPr>
                <w:rFonts w:ascii="Arial" w:cs="Arial" w:eastAsia="Arial" w:hAnsi="Arial"/>
                <w:sz w:val="19"/>
                <w:szCs w:val="19"/>
                <w:color w:val="auto"/>
              </w:rPr>
              <w:t>© 2024 Thomson Reuters</w:t>
            </w:r>
          </w:p>
        </w:tc>
        <w:tc>
          <w:tcPr>
            <w:tcW w:w="2180" w:type="dxa"/>
            <w:vAlign w:val="bottom"/>
          </w:tcPr>
          <w:p>
            <w:pPr>
              <w:jc w:val="right"/>
              <w:spacing w:after="0"/>
              <w:rPr>
                <w:sz w:val="20"/>
                <w:szCs w:val="20"/>
                <w:color w:val="auto"/>
              </w:rPr>
            </w:pPr>
            <w:r>
              <w:rPr>
                <w:rFonts w:ascii="Arial" w:cs="Arial" w:eastAsia="Arial" w:hAnsi="Arial"/>
                <w:sz w:val="19"/>
                <w:szCs w:val="19"/>
                <w:color w:val="auto"/>
              </w:rPr>
              <w:t>6</w:t>
            </w:r>
          </w:p>
        </w:tc>
      </w:tr>
    </w:tbl>
    <w:p>
      <w:pPr>
        <w:sectPr>
          <w:pgSz w:w="11900" w:h="16838" w:orient="portrait"/>
          <w:cols w:equalWidth="0" w:num="1">
            <w:col w:w="10820"/>
          </w:cols>
          <w:pgMar w:left="540" w:top="248" w:right="539" w:bottom="1440" w:gutter="0" w:footer="0" w:header="0"/>
        </w:sectPr>
      </w:pPr>
    </w:p>
    <w:bookmarkStart w:id="187" w:name="page188"/>
    <w:bookmarkEnd w:id="187"/>
    <w:p>
      <w:pPr>
        <w:spacing w:after="0"/>
        <w:rPr>
          <w:sz w:val="20"/>
          <w:szCs w:val="20"/>
          <w:color w:val="auto"/>
        </w:rPr>
      </w:pPr>
      <w:r>
        <w:rPr>
          <w:rFonts w:ascii="Arial" w:cs="Arial" w:eastAsia="Arial" w:hAnsi="Arial"/>
          <w:sz w:val="35"/>
          <w:szCs w:val="35"/>
          <w:b w:val="1"/>
          <w:bCs w:val="1"/>
          <w:color w:val="D64000"/>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Our responsibilities</w:t>
      </w:r>
    </w:p>
    <w:p>
      <w:pPr>
        <w:spacing w:after="0" w:line="332"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Accountability for everyone</w:t>
      </w:r>
    </w:p>
    <w:p>
      <w:pPr>
        <w:spacing w:after="0" w:line="192" w:lineRule="exact"/>
        <w:rPr>
          <w:sz w:val="20"/>
          <w:szCs w:val="20"/>
          <w:color w:val="auto"/>
        </w:rPr>
      </w:pPr>
    </w:p>
    <w:p>
      <w:pPr>
        <w:ind w:right="700"/>
        <w:spacing w:after="0" w:line="250" w:lineRule="auto"/>
        <w:rPr>
          <w:sz w:val="20"/>
          <w:szCs w:val="20"/>
          <w:color w:val="auto"/>
        </w:rPr>
      </w:pPr>
      <w:r>
        <w:rPr>
          <w:rFonts w:ascii="Arial" w:cs="Arial" w:eastAsia="Arial" w:hAnsi="Arial"/>
          <w:sz w:val="19"/>
          <w:szCs w:val="19"/>
          <w:color w:val="auto"/>
        </w:rPr>
        <w:t xml:space="preserve">All Thomson Reuters employees have an obligation to hold themselves and each other to the policies and high ethical standards described in this Code. This means we each are expected to read and understand the Code, as well as any supplemental materials that might apply to us, and act accordingly. If you are unsure about any part of the Code or supplemental materials, or how to access them, then please </w:t>
      </w:r>
      <w:r>
        <w:rPr>
          <w:rFonts w:ascii="Arial" w:cs="Arial" w:eastAsia="Arial" w:hAnsi="Arial"/>
          <w:sz w:val="19"/>
          <w:szCs w:val="19"/>
          <w:b w:val="1"/>
          <w:bCs w:val="1"/>
          <w:color w:val="1A7EE5"/>
        </w:rPr>
        <w:t>Seek Help</w:t>
      </w:r>
      <w:r>
        <w:rPr>
          <w:rFonts w:ascii="Arial" w:cs="Arial" w:eastAsia="Arial" w:hAnsi="Arial"/>
          <w:sz w:val="19"/>
          <w:szCs w:val="19"/>
          <w:color w:val="auto"/>
        </w:rPr>
        <w:t>.</w:t>
      </w:r>
    </w:p>
    <w:p>
      <w:pPr>
        <w:spacing w:after="0" w:line="150" w:lineRule="exact"/>
        <w:rPr>
          <w:sz w:val="20"/>
          <w:szCs w:val="20"/>
          <w:color w:val="auto"/>
        </w:rPr>
      </w:pPr>
    </w:p>
    <w:p>
      <w:pPr>
        <w:ind w:left="840" w:hanging="418"/>
        <w:spacing w:after="0"/>
        <w:tabs>
          <w:tab w:leader="none" w:pos="840" w:val="left"/>
        </w:tabs>
        <w:numPr>
          <w:ilvl w:val="0"/>
          <w:numId w:val="163"/>
        </w:numPr>
        <w:rPr>
          <w:rFonts w:ascii="Times New Roman" w:cs="Times New Roman" w:eastAsia="Times New Roman" w:hAnsi="Times New Roman"/>
          <w:sz w:val="18"/>
          <w:szCs w:val="18"/>
          <w:color w:val="D64000"/>
        </w:rPr>
      </w:pPr>
      <w:r>
        <w:rPr>
          <w:rFonts w:ascii="Arial" w:cs="Arial" w:eastAsia="Arial" w:hAnsi="Arial"/>
          <w:sz w:val="19"/>
          <w:szCs w:val="19"/>
          <w:color w:val="auto"/>
        </w:rPr>
        <w:t>Learn about, understand and comply with the laws, rules, regulations and policies that apply to our specific positions</w:t>
      </w:r>
    </w:p>
    <w:p>
      <w:pPr>
        <w:spacing w:after="0" w:line="37"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163"/>
        </w:numPr>
        <w:rPr>
          <w:rFonts w:ascii="Times New Roman" w:cs="Times New Roman" w:eastAsia="Times New Roman" w:hAnsi="Times New Roman"/>
          <w:sz w:val="18"/>
          <w:szCs w:val="18"/>
          <w:color w:val="D64000"/>
        </w:rPr>
      </w:pPr>
      <w:r>
        <w:rPr>
          <w:rFonts w:ascii="Arial" w:cs="Arial" w:eastAsia="Arial" w:hAnsi="Arial"/>
          <w:sz w:val="19"/>
          <w:szCs w:val="19"/>
          <w:b w:val="1"/>
          <w:bCs w:val="1"/>
          <w:color w:val="1A7EE5"/>
        </w:rPr>
        <w:t xml:space="preserve">Seek Help </w:t>
      </w:r>
      <w:r>
        <w:rPr>
          <w:rFonts w:ascii="Arial" w:cs="Arial" w:eastAsia="Arial" w:hAnsi="Arial"/>
          <w:sz w:val="19"/>
          <w:szCs w:val="19"/>
          <w:color w:val="000000"/>
        </w:rPr>
        <w:t>if we have questions about the applicability or interpretation of any law, rule, regulation or policy</w:t>
      </w:r>
    </w:p>
    <w:p>
      <w:pPr>
        <w:spacing w:after="0" w:line="43"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163"/>
        </w:numPr>
        <w:rPr>
          <w:rFonts w:ascii="Times New Roman" w:cs="Times New Roman" w:eastAsia="Times New Roman" w:hAnsi="Times New Roman"/>
          <w:sz w:val="18"/>
          <w:szCs w:val="18"/>
          <w:color w:val="D64000"/>
        </w:rPr>
      </w:pPr>
      <w:r>
        <w:rPr>
          <w:rFonts w:ascii="Arial" w:cs="Arial" w:eastAsia="Arial" w:hAnsi="Arial"/>
          <w:sz w:val="19"/>
          <w:szCs w:val="19"/>
          <w:color w:val="auto"/>
        </w:rPr>
        <w:t>Speak up if we see or suspect unethical behavior or a violation — whether of laws, policies or this Code</w:t>
      </w:r>
    </w:p>
    <w:p>
      <w:pPr>
        <w:spacing w:after="0" w:line="23"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163"/>
        </w:numPr>
        <w:rPr>
          <w:rFonts w:ascii="Times New Roman" w:cs="Times New Roman" w:eastAsia="Times New Roman" w:hAnsi="Times New Roman"/>
          <w:sz w:val="18"/>
          <w:szCs w:val="18"/>
          <w:color w:val="D64000"/>
        </w:rPr>
      </w:pPr>
      <w:r>
        <w:rPr>
          <w:rFonts w:ascii="Arial" w:cs="Arial" w:eastAsia="Arial" w:hAnsi="Arial"/>
          <w:sz w:val="19"/>
          <w:szCs w:val="19"/>
          <w:color w:val="auto"/>
        </w:rPr>
        <w:t>Complete mandatory compliance training</w:t>
      </w:r>
    </w:p>
    <w:p>
      <w:pPr>
        <w:spacing w:after="0" w:line="33"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163"/>
        </w:numPr>
        <w:rPr>
          <w:rFonts w:ascii="Times New Roman" w:cs="Times New Roman" w:eastAsia="Times New Roman" w:hAnsi="Times New Roman"/>
          <w:sz w:val="18"/>
          <w:szCs w:val="18"/>
          <w:color w:val="D64000"/>
        </w:rPr>
      </w:pPr>
      <w:r>
        <w:rPr>
          <w:rFonts w:ascii="Arial" w:cs="Arial" w:eastAsia="Arial" w:hAnsi="Arial"/>
          <w:sz w:val="19"/>
          <w:szCs w:val="19"/>
          <w:color w:val="auto"/>
        </w:rPr>
        <w:t>Respect local customs of countries where we do business, as long as doing so does not violate laws or this Code</w:t>
      </w:r>
    </w:p>
    <w:p>
      <w:pPr>
        <w:spacing w:after="0" w:line="33" w:lineRule="exact"/>
        <w:rPr>
          <w:rFonts w:ascii="Times New Roman" w:cs="Times New Roman" w:eastAsia="Times New Roman" w:hAnsi="Times New Roman"/>
          <w:sz w:val="18"/>
          <w:szCs w:val="18"/>
          <w:color w:val="D64000"/>
        </w:rPr>
      </w:pPr>
    </w:p>
    <w:p>
      <w:pPr>
        <w:ind w:left="840" w:right="80" w:hanging="418"/>
        <w:spacing w:after="0" w:line="269" w:lineRule="auto"/>
        <w:tabs>
          <w:tab w:leader="none" w:pos="840" w:val="left"/>
        </w:tabs>
        <w:numPr>
          <w:ilvl w:val="0"/>
          <w:numId w:val="163"/>
        </w:numPr>
        <w:rPr>
          <w:rFonts w:ascii="Times New Roman" w:cs="Times New Roman" w:eastAsia="Times New Roman" w:hAnsi="Times New Roman"/>
          <w:sz w:val="18"/>
          <w:szCs w:val="18"/>
          <w:color w:val="D64000"/>
        </w:rPr>
      </w:pPr>
      <w:r>
        <w:rPr>
          <w:rFonts w:ascii="Arial" w:cs="Arial" w:eastAsia="Arial" w:hAnsi="Arial"/>
          <w:sz w:val="19"/>
          <w:szCs w:val="19"/>
          <w:b w:val="1"/>
          <w:bCs w:val="1"/>
          <w:color w:val="1A7EE5"/>
        </w:rPr>
        <w:t xml:space="preserve">Acknowledge on the Intranet </w:t>
      </w:r>
      <w:r>
        <w:rPr>
          <w:rFonts w:ascii="Arial" w:cs="Arial" w:eastAsia="Arial" w:hAnsi="Arial"/>
          <w:sz w:val="19"/>
          <w:szCs w:val="19"/>
          <w:color w:val="000000"/>
        </w:rPr>
        <w:t>that we have received and read this Code and understand our obligations to comply</w:t>
      </w:r>
      <w:r>
        <w:rPr>
          <w:rFonts w:ascii="Arial" w:cs="Arial" w:eastAsia="Arial" w:hAnsi="Arial"/>
          <w:sz w:val="19"/>
          <w:szCs w:val="19"/>
          <w:b w:val="1"/>
          <w:bCs w:val="1"/>
          <w:color w:val="1A7EE5"/>
        </w:rPr>
        <w:t xml:space="preserve"> </w:t>
      </w:r>
      <w:r>
        <w:rPr>
          <w:rFonts w:ascii="Arial" w:cs="Arial" w:eastAsia="Arial" w:hAnsi="Arial"/>
          <w:sz w:val="19"/>
          <w:szCs w:val="19"/>
          <w:color w:val="000000"/>
        </w:rPr>
        <w:t>with it</w:t>
      </w:r>
    </w:p>
    <w:p>
      <w:pPr>
        <w:spacing w:after="0" w:line="142" w:lineRule="exact"/>
        <w:rPr>
          <w:sz w:val="20"/>
          <w:szCs w:val="20"/>
          <w:color w:val="auto"/>
        </w:rPr>
      </w:pPr>
    </w:p>
    <w:p>
      <w:pPr>
        <w:ind w:right="140"/>
        <w:spacing w:after="0" w:line="273" w:lineRule="auto"/>
        <w:rPr>
          <w:sz w:val="20"/>
          <w:szCs w:val="20"/>
          <w:color w:val="auto"/>
        </w:rPr>
      </w:pPr>
      <w:r>
        <w:rPr>
          <w:rFonts w:ascii="Arial" w:cs="Arial" w:eastAsia="Arial" w:hAnsi="Arial"/>
          <w:sz w:val="19"/>
          <w:szCs w:val="19"/>
          <w:color w:val="auto"/>
        </w:rPr>
        <w:t>Disciplinary action, up to and including termination and/or legal proceedings, may result from any failure to comply with laws, rules or regulations that apply to each of us, our Code, or any other Thomson Reuters policy or requirement.</w:t>
      </w:r>
    </w:p>
    <w:p>
      <w:pPr>
        <w:spacing w:after="0" w:line="23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Responsibilities of leaders and managers</w:t>
      </w:r>
    </w:p>
    <w:p>
      <w:pPr>
        <w:spacing w:after="0" w:line="205" w:lineRule="exact"/>
        <w:rPr>
          <w:sz w:val="20"/>
          <w:szCs w:val="20"/>
          <w:color w:val="auto"/>
        </w:rPr>
      </w:pPr>
    </w:p>
    <w:p>
      <w:pPr>
        <w:ind w:right="300"/>
        <w:spacing w:after="0" w:line="246" w:lineRule="auto"/>
        <w:rPr>
          <w:sz w:val="20"/>
          <w:szCs w:val="20"/>
          <w:color w:val="auto"/>
        </w:rPr>
      </w:pPr>
      <w:r>
        <w:rPr>
          <w:rFonts w:ascii="Arial" w:cs="Arial" w:eastAsia="Arial" w:hAnsi="Arial"/>
          <w:sz w:val="19"/>
          <w:szCs w:val="19"/>
          <w:color w:val="auto"/>
        </w:rPr>
        <w:t>Leaders — including managers and supervisors — at Thomson Reuters are expected to hold themselves to the same high standards that they demand of their teams. Leaders play an essential role in building a culture of transparency, open communication and trust that extends from colleagues to customers to external business partners. To help achieve this, leaders should:</w:t>
      </w:r>
    </w:p>
    <w:p>
      <w:pPr>
        <w:spacing w:after="0" w:line="164" w:lineRule="exact"/>
        <w:rPr>
          <w:sz w:val="20"/>
          <w:szCs w:val="20"/>
          <w:color w:val="auto"/>
        </w:rPr>
      </w:pPr>
    </w:p>
    <w:p>
      <w:pPr>
        <w:ind w:left="840" w:hanging="418"/>
        <w:spacing w:after="0"/>
        <w:tabs>
          <w:tab w:leader="none" w:pos="840" w:val="left"/>
        </w:tabs>
        <w:numPr>
          <w:ilvl w:val="0"/>
          <w:numId w:val="164"/>
        </w:numPr>
        <w:rPr>
          <w:rFonts w:ascii="Times New Roman" w:cs="Times New Roman" w:eastAsia="Times New Roman" w:hAnsi="Times New Roman"/>
          <w:sz w:val="18"/>
          <w:szCs w:val="18"/>
          <w:color w:val="D64000"/>
        </w:rPr>
      </w:pPr>
      <w:r>
        <w:rPr>
          <w:rFonts w:ascii="Arial" w:cs="Arial" w:eastAsia="Arial" w:hAnsi="Arial"/>
          <w:sz w:val="19"/>
          <w:szCs w:val="19"/>
          <w:color w:val="auto"/>
        </w:rPr>
        <w:t>Listen and take action when team members raise concerns — whether big or small</w:t>
      </w:r>
    </w:p>
    <w:p>
      <w:pPr>
        <w:spacing w:after="0" w:line="37"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164"/>
        </w:numPr>
        <w:rPr>
          <w:rFonts w:ascii="Times New Roman" w:cs="Times New Roman" w:eastAsia="Times New Roman" w:hAnsi="Times New Roman"/>
          <w:sz w:val="18"/>
          <w:szCs w:val="18"/>
          <w:color w:val="D64000"/>
        </w:rPr>
      </w:pPr>
      <w:r>
        <w:rPr>
          <w:rFonts w:ascii="Arial" w:cs="Arial" w:eastAsia="Arial" w:hAnsi="Arial"/>
          <w:sz w:val="19"/>
          <w:szCs w:val="19"/>
          <w:color w:val="auto"/>
        </w:rPr>
        <w:t>Be knowledgeable about the laws, rules, regulations and policies that apply to their teams</w:t>
      </w:r>
    </w:p>
    <w:p>
      <w:pPr>
        <w:spacing w:after="0" w:line="33"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164"/>
        </w:numPr>
        <w:rPr>
          <w:rFonts w:ascii="Times New Roman" w:cs="Times New Roman" w:eastAsia="Times New Roman" w:hAnsi="Times New Roman"/>
          <w:sz w:val="18"/>
          <w:szCs w:val="18"/>
          <w:color w:val="D64000"/>
        </w:rPr>
      </w:pPr>
      <w:r>
        <w:rPr>
          <w:rFonts w:ascii="Arial" w:cs="Arial" w:eastAsia="Arial" w:hAnsi="Arial"/>
          <w:sz w:val="19"/>
          <w:szCs w:val="19"/>
          <w:color w:val="auto"/>
        </w:rPr>
        <w:t>Personally handle or escalate compliance issues appropriately</w:t>
      </w:r>
    </w:p>
    <w:p>
      <w:pPr>
        <w:spacing w:after="0" w:line="33"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164"/>
        </w:numPr>
        <w:rPr>
          <w:rFonts w:ascii="Times New Roman" w:cs="Times New Roman" w:eastAsia="Times New Roman" w:hAnsi="Times New Roman"/>
          <w:sz w:val="18"/>
          <w:szCs w:val="18"/>
          <w:color w:val="D64000"/>
        </w:rPr>
      </w:pPr>
      <w:r>
        <w:rPr>
          <w:rFonts w:ascii="Arial" w:cs="Arial" w:eastAsia="Arial" w:hAnsi="Arial"/>
          <w:sz w:val="19"/>
          <w:szCs w:val="19"/>
          <w:color w:val="auto"/>
        </w:rPr>
        <w:t>Highlight and recognize decisions that honor our values and long-term success over short-term gain</w:t>
      </w:r>
    </w:p>
    <w:p>
      <w:pPr>
        <w:spacing w:after="0" w:line="33"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164"/>
        </w:numPr>
        <w:rPr>
          <w:rFonts w:ascii="Times New Roman" w:cs="Times New Roman" w:eastAsia="Times New Roman" w:hAnsi="Times New Roman"/>
          <w:sz w:val="18"/>
          <w:szCs w:val="18"/>
          <w:color w:val="D64000"/>
        </w:rPr>
      </w:pPr>
      <w:r>
        <w:rPr>
          <w:rFonts w:ascii="Arial" w:cs="Arial" w:eastAsia="Arial" w:hAnsi="Arial"/>
          <w:sz w:val="19"/>
          <w:szCs w:val="19"/>
          <w:color w:val="auto"/>
        </w:rPr>
        <w:t>Demonstrate accountability and a willingness to listen to all points of view</w:t>
      </w:r>
    </w:p>
    <w:p>
      <w:pPr>
        <w:spacing w:after="0" w:line="33"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164"/>
        </w:numPr>
        <w:rPr>
          <w:rFonts w:ascii="Times New Roman" w:cs="Times New Roman" w:eastAsia="Times New Roman" w:hAnsi="Times New Roman"/>
          <w:sz w:val="18"/>
          <w:szCs w:val="18"/>
          <w:color w:val="D64000"/>
        </w:rPr>
      </w:pPr>
      <w:r>
        <w:rPr>
          <w:rFonts w:ascii="Arial" w:cs="Arial" w:eastAsia="Arial" w:hAnsi="Arial"/>
          <w:sz w:val="19"/>
          <w:szCs w:val="19"/>
          <w:color w:val="auto"/>
        </w:rPr>
        <w:t>Make time to discuss the importance of ethics and compliance regularly with their teams</w:t>
      </w:r>
    </w:p>
    <w:p>
      <w:pPr>
        <w:spacing w:after="0" w:line="33" w:lineRule="exact"/>
        <w:rPr>
          <w:rFonts w:ascii="Times New Roman" w:cs="Times New Roman" w:eastAsia="Times New Roman" w:hAnsi="Times New Roman"/>
          <w:sz w:val="18"/>
          <w:szCs w:val="18"/>
          <w:color w:val="D64000"/>
        </w:rPr>
      </w:pPr>
    </w:p>
    <w:p>
      <w:pPr>
        <w:jc w:val="both"/>
        <w:ind w:left="840" w:right="180" w:hanging="418"/>
        <w:spacing w:after="0" w:line="251" w:lineRule="auto"/>
        <w:tabs>
          <w:tab w:leader="none" w:pos="840" w:val="left"/>
        </w:tabs>
        <w:numPr>
          <w:ilvl w:val="0"/>
          <w:numId w:val="164"/>
        </w:numPr>
        <w:rPr>
          <w:rFonts w:ascii="Times New Roman" w:cs="Times New Roman" w:eastAsia="Times New Roman" w:hAnsi="Times New Roman"/>
          <w:sz w:val="18"/>
          <w:szCs w:val="18"/>
          <w:color w:val="D64000"/>
        </w:rPr>
      </w:pPr>
      <w:r>
        <w:rPr>
          <w:rFonts w:ascii="Arial" w:cs="Arial" w:eastAsia="Arial" w:hAnsi="Arial"/>
          <w:sz w:val="19"/>
          <w:szCs w:val="19"/>
          <w:color w:val="auto"/>
        </w:rPr>
        <w:t>Encourage colleagues and others to contact their manager, Human Resources or the Enterprise Compliance team for help when issues or questions arise and to be timely and candid in reporting any unethical or illegal conduct or compliance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72390</wp:posOffset>
            </wp:positionV>
            <wp:extent cx="967740" cy="32829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377" w:lineRule="exact"/>
        <w:rPr>
          <w:sz w:val="20"/>
          <w:szCs w:val="20"/>
          <w:color w:val="auto"/>
        </w:rPr>
      </w:pPr>
    </w:p>
    <w:tbl>
      <w:tblPr>
        <w:tblLayout w:type="fixed"/>
        <w:tblInd w:w="4360" w:type="dxa"/>
        <w:tblCellMar>
          <w:top w:w="0" w:type="dxa"/>
          <w:left w:w="0" w:type="dxa"/>
          <w:bottom w:w="0" w:type="dxa"/>
          <w:right w:w="0" w:type="dxa"/>
        </w:tblCellMar>
      </w:tblPr>
      <w:tr>
        <w:trPr>
          <w:trHeight w:val="256"/>
        </w:trPr>
        <w:tc>
          <w:tcPr>
            <w:tcW w:w="4280" w:type="dxa"/>
            <w:vAlign w:val="bottom"/>
          </w:tcPr>
          <w:p>
            <w:pPr>
              <w:spacing w:after="0"/>
              <w:rPr>
                <w:sz w:val="20"/>
                <w:szCs w:val="20"/>
                <w:color w:val="auto"/>
              </w:rPr>
            </w:pPr>
            <w:r>
              <w:rPr>
                <w:rFonts w:ascii="Arial" w:cs="Arial" w:eastAsia="Arial" w:hAnsi="Arial"/>
                <w:sz w:val="19"/>
                <w:szCs w:val="19"/>
                <w:color w:val="auto"/>
              </w:rPr>
              <w:t>© 2024 Thomson Reuters</w:t>
            </w:r>
          </w:p>
        </w:tc>
        <w:tc>
          <w:tcPr>
            <w:tcW w:w="2180" w:type="dxa"/>
            <w:vAlign w:val="bottom"/>
          </w:tcPr>
          <w:p>
            <w:pPr>
              <w:jc w:val="right"/>
              <w:spacing w:after="0"/>
              <w:rPr>
                <w:sz w:val="20"/>
                <w:szCs w:val="20"/>
                <w:color w:val="auto"/>
              </w:rPr>
            </w:pPr>
            <w:r>
              <w:rPr>
                <w:rFonts w:ascii="Arial" w:cs="Arial" w:eastAsia="Arial" w:hAnsi="Arial"/>
                <w:sz w:val="19"/>
                <w:szCs w:val="19"/>
                <w:color w:val="auto"/>
              </w:rPr>
              <w:t>7</w:t>
            </w:r>
          </w:p>
        </w:tc>
      </w:tr>
    </w:tbl>
    <w:p>
      <w:pPr>
        <w:sectPr>
          <w:pgSz w:w="11900" w:h="16838" w:orient="portrait"/>
          <w:cols w:equalWidth="0" w:num="1">
            <w:col w:w="10820"/>
          </w:cols>
          <w:pgMar w:left="540" w:top="248" w:right="539" w:bottom="1440" w:gutter="0" w:footer="0" w:header="0"/>
        </w:sectPr>
      </w:pPr>
    </w:p>
    <w:bookmarkStart w:id="188" w:name="page189"/>
    <w:bookmarkEnd w:id="188"/>
    <w:p>
      <w:pP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Making ethical decisions</w:t>
      </w:r>
    </w:p>
    <w:p>
      <w:pPr>
        <w:spacing w:after="0" w:line="192" w:lineRule="exact"/>
        <w:rPr>
          <w:sz w:val="20"/>
          <w:szCs w:val="20"/>
          <w:color w:val="auto"/>
        </w:rPr>
      </w:pPr>
    </w:p>
    <w:p>
      <w:pPr>
        <w:ind w:right="220"/>
        <w:spacing w:after="0" w:line="284" w:lineRule="auto"/>
        <w:rPr>
          <w:sz w:val="20"/>
          <w:szCs w:val="20"/>
          <w:color w:val="auto"/>
        </w:rPr>
      </w:pPr>
      <w:r>
        <w:rPr>
          <w:rFonts w:ascii="Arial" w:cs="Arial" w:eastAsia="Arial" w:hAnsi="Arial"/>
          <w:sz w:val="19"/>
          <w:szCs w:val="19"/>
          <w:color w:val="auto"/>
        </w:rPr>
        <w:t xml:space="preserve">Even those of us who are very familiar with this Code and our policies may find ourselves in situations where we are unsure of what course to take. In such cases, we can </w:t>
      </w:r>
      <w:r>
        <w:rPr>
          <w:rFonts w:ascii="Arial" w:cs="Arial" w:eastAsia="Arial" w:hAnsi="Arial"/>
          <w:sz w:val="19"/>
          <w:szCs w:val="19"/>
          <w:b w:val="1"/>
          <w:bCs w:val="1"/>
          <w:color w:val="1A7EE5"/>
        </w:rPr>
        <w:t>Seek Help</w:t>
      </w:r>
      <w:r>
        <w:rPr>
          <w:rFonts w:ascii="Arial" w:cs="Arial" w:eastAsia="Arial" w:hAnsi="Arial"/>
          <w:sz w:val="19"/>
          <w:szCs w:val="19"/>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color w:val="auto"/>
        </w:rPr>
        <w:t>Before moving forward, ask these questions:</w:t>
      </w:r>
    </w:p>
    <w:p>
      <w:pPr>
        <w:spacing w:after="0" w:line="232" w:lineRule="exact"/>
        <w:rPr>
          <w:sz w:val="20"/>
          <w:szCs w:val="20"/>
          <w:color w:val="auto"/>
        </w:rPr>
      </w:pPr>
    </w:p>
    <w:p>
      <w:pPr>
        <w:ind w:left="840" w:hanging="418"/>
        <w:spacing w:after="0"/>
        <w:tabs>
          <w:tab w:leader="none" w:pos="840" w:val="left"/>
        </w:tabs>
        <w:numPr>
          <w:ilvl w:val="0"/>
          <w:numId w:val="165"/>
        </w:numPr>
        <w:rPr>
          <w:rFonts w:ascii="Times New Roman" w:cs="Times New Roman" w:eastAsia="Times New Roman" w:hAnsi="Times New Roman"/>
          <w:sz w:val="18"/>
          <w:szCs w:val="18"/>
          <w:color w:val="D64000"/>
        </w:rPr>
      </w:pPr>
      <w:r>
        <w:rPr>
          <w:rFonts w:ascii="Arial" w:cs="Arial" w:eastAsia="Arial" w:hAnsi="Arial"/>
          <w:sz w:val="19"/>
          <w:szCs w:val="19"/>
          <w:i w:val="1"/>
          <w:iCs w:val="1"/>
          <w:color w:val="auto"/>
        </w:rPr>
        <w:t>Am I following applicable laws and regulations? Is the action ethical?</w:t>
      </w:r>
    </w:p>
    <w:p>
      <w:pPr>
        <w:spacing w:after="0" w:line="112"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165"/>
        </w:numPr>
        <w:rPr>
          <w:rFonts w:ascii="Times New Roman" w:cs="Times New Roman" w:eastAsia="Times New Roman" w:hAnsi="Times New Roman"/>
          <w:sz w:val="18"/>
          <w:szCs w:val="18"/>
          <w:color w:val="D64000"/>
        </w:rPr>
      </w:pPr>
      <w:r>
        <w:rPr>
          <w:rFonts w:ascii="Arial" w:cs="Arial" w:eastAsia="Arial" w:hAnsi="Arial"/>
          <w:sz w:val="19"/>
          <w:szCs w:val="19"/>
          <w:i w:val="1"/>
          <w:iCs w:val="1"/>
          <w:color w:val="auto"/>
        </w:rPr>
        <w:t>Am I following the Code, Trust Principles and other company policies?</w:t>
      </w:r>
    </w:p>
    <w:p>
      <w:pPr>
        <w:spacing w:after="0" w:line="112"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165"/>
        </w:numPr>
        <w:rPr>
          <w:rFonts w:ascii="Times New Roman" w:cs="Times New Roman" w:eastAsia="Times New Roman" w:hAnsi="Times New Roman"/>
          <w:sz w:val="18"/>
          <w:szCs w:val="18"/>
          <w:color w:val="D64000"/>
        </w:rPr>
      </w:pPr>
      <w:r>
        <w:rPr>
          <w:rFonts w:ascii="Arial" w:cs="Arial" w:eastAsia="Arial" w:hAnsi="Arial"/>
          <w:sz w:val="19"/>
          <w:szCs w:val="19"/>
          <w:i w:val="1"/>
          <w:iCs w:val="1"/>
          <w:color w:val="auto"/>
        </w:rPr>
        <w:t>Have I considered the wider implications of my decision?</w:t>
      </w:r>
    </w:p>
    <w:p>
      <w:pPr>
        <w:spacing w:after="0" w:line="112"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165"/>
        </w:numPr>
        <w:rPr>
          <w:rFonts w:ascii="Times New Roman" w:cs="Times New Roman" w:eastAsia="Times New Roman" w:hAnsi="Times New Roman"/>
          <w:sz w:val="18"/>
          <w:szCs w:val="18"/>
          <w:color w:val="D64000"/>
        </w:rPr>
      </w:pPr>
      <w:r>
        <w:rPr>
          <w:rFonts w:ascii="Arial" w:cs="Arial" w:eastAsia="Arial" w:hAnsi="Arial"/>
          <w:sz w:val="19"/>
          <w:szCs w:val="19"/>
          <w:i w:val="1"/>
          <w:iCs w:val="1"/>
          <w:color w:val="auto"/>
        </w:rPr>
        <w:t>Would I feel comfortable if my decision were made public?</w:t>
      </w:r>
    </w:p>
    <w:p>
      <w:pPr>
        <w:spacing w:after="0" w:line="112"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165"/>
        </w:numPr>
        <w:rPr>
          <w:rFonts w:ascii="Times New Roman" w:cs="Times New Roman" w:eastAsia="Times New Roman" w:hAnsi="Times New Roman"/>
          <w:sz w:val="18"/>
          <w:szCs w:val="18"/>
          <w:color w:val="D64000"/>
        </w:rPr>
      </w:pPr>
      <w:r>
        <w:rPr>
          <w:rFonts w:ascii="Arial" w:cs="Arial" w:eastAsia="Arial" w:hAnsi="Arial"/>
          <w:sz w:val="19"/>
          <w:szCs w:val="19"/>
          <w:i w:val="1"/>
          <w:iCs w:val="1"/>
          <w:color w:val="auto"/>
        </w:rPr>
        <w:t>Does my decision take all stakeholders into account?</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If the answer to any of these questions is no or not sure, stop and </w:t>
      </w:r>
      <w:r>
        <w:rPr>
          <w:rFonts w:ascii="Arial" w:cs="Arial" w:eastAsia="Arial" w:hAnsi="Arial"/>
          <w:sz w:val="19"/>
          <w:szCs w:val="19"/>
          <w:b w:val="1"/>
          <w:bCs w:val="1"/>
          <w:color w:val="1A7EE5"/>
        </w:rPr>
        <w:t>Seek Help</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35"/>
          <w:szCs w:val="35"/>
          <w:b w:val="1"/>
          <w:bCs w:val="1"/>
          <w:color w:val="D64000"/>
        </w:rPr>
        <w:t>Speaking up and seeking help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5770245</wp:posOffset>
            </wp:positionH>
            <wp:positionV relativeFrom="paragraph">
              <wp:posOffset>-37465</wp:posOffset>
            </wp:positionV>
            <wp:extent cx="647700" cy="6477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47700" cy="647700"/>
                    </a:xfrm>
                    <a:prstGeom prst="rect">
                      <a:avLst/>
                    </a:prstGeom>
                    <a:noFill/>
                  </pic:spPr>
                </pic:pic>
              </a:graphicData>
            </a:graphic>
          </wp:anchor>
        </w:drawing>
      </w:r>
    </w:p>
    <w:p>
      <w:pPr>
        <w:spacing w:after="0" w:line="124" w:lineRule="exact"/>
        <w:rPr>
          <w:sz w:val="20"/>
          <w:szCs w:val="20"/>
          <w:color w:val="auto"/>
        </w:rPr>
      </w:pPr>
    </w:p>
    <w:p>
      <w:pPr>
        <w:ind w:right="1980"/>
        <w:spacing w:after="0" w:line="236" w:lineRule="auto"/>
        <w:rPr>
          <w:sz w:val="20"/>
          <w:szCs w:val="20"/>
          <w:color w:val="auto"/>
        </w:rPr>
      </w:pPr>
      <w:r>
        <w:rPr>
          <w:rFonts w:ascii="Arial" w:cs="Arial" w:eastAsia="Arial" w:hAnsi="Arial"/>
          <w:sz w:val="19"/>
          <w:szCs w:val="19"/>
          <w:color w:val="auto"/>
        </w:rPr>
        <w:t xml:space="preserve">We all have an obligation to speak up to report unethical or illegal conduct or if we reasonably believe that a violation of this Code has occurred. Our willingness to </w:t>
      </w:r>
      <w:r>
        <w:rPr>
          <w:rFonts w:ascii="Arial" w:cs="Arial" w:eastAsia="Arial" w:hAnsi="Arial"/>
          <w:sz w:val="19"/>
          <w:szCs w:val="19"/>
          <w:b w:val="1"/>
          <w:bCs w:val="1"/>
          <w:color w:val="1A7EE5"/>
        </w:rPr>
        <w:t>Seek Help</w:t>
      </w:r>
      <w:r>
        <w:rPr>
          <w:rFonts w:ascii="Arial" w:cs="Arial" w:eastAsia="Arial" w:hAnsi="Arial"/>
          <w:sz w:val="19"/>
          <w:szCs w:val="19"/>
          <w:color w:val="auto"/>
        </w:rPr>
        <w:t xml:space="preserve"> and to accurately and truthfully describe the situation in a timely manner is of the utmost importance. Thomson Reuters values open communication.</w:t>
      </w:r>
    </w:p>
    <w:p>
      <w:pPr>
        <w:ind w:left="9080"/>
        <w:spacing w:after="0"/>
        <w:rPr>
          <w:sz w:val="20"/>
          <w:szCs w:val="20"/>
          <w:color w:val="auto"/>
        </w:rPr>
      </w:pPr>
      <w:r>
        <w:rPr>
          <w:rFonts w:ascii="Arial" w:cs="Arial" w:eastAsia="Arial" w:hAnsi="Arial"/>
          <w:sz w:val="14"/>
          <w:szCs w:val="14"/>
          <w:color w:val="D64000"/>
        </w:rPr>
        <w:t>  Ethics Hotline</w:t>
      </w:r>
    </w:p>
    <w:p>
      <w:pPr>
        <w:ind w:left="9080"/>
        <w:spacing w:after="0"/>
        <w:rPr>
          <w:sz w:val="20"/>
          <w:szCs w:val="20"/>
          <w:color w:val="auto"/>
        </w:rPr>
      </w:pPr>
      <w:r>
        <w:rPr>
          <w:rFonts w:ascii="Arial" w:cs="Arial" w:eastAsia="Arial" w:hAnsi="Arial"/>
          <w:sz w:val="14"/>
          <w:szCs w:val="14"/>
          <w:color w:val="D64000"/>
        </w:rPr>
        <w:t>     QR Code</w:t>
      </w:r>
    </w:p>
    <w:p>
      <w:pPr>
        <w:spacing w:after="0" w:line="3" w:lineRule="exact"/>
        <w:rPr>
          <w:sz w:val="20"/>
          <w:szCs w:val="20"/>
          <w:color w:val="auto"/>
        </w:rPr>
      </w:pPr>
    </w:p>
    <w:p>
      <w:pPr>
        <w:ind w:right="220"/>
        <w:spacing w:after="0" w:line="248" w:lineRule="auto"/>
        <w:rPr>
          <w:sz w:val="20"/>
          <w:szCs w:val="20"/>
          <w:color w:val="auto"/>
        </w:rPr>
      </w:pPr>
      <w:r>
        <w:rPr>
          <w:rFonts w:ascii="Arial" w:cs="Arial" w:eastAsia="Arial" w:hAnsi="Arial"/>
          <w:sz w:val="19"/>
          <w:szCs w:val="19"/>
          <w:color w:val="auto"/>
        </w:rPr>
        <w:t xml:space="preserve">You are encouraged to ask questions and </w:t>
      </w:r>
      <w:r>
        <w:rPr>
          <w:rFonts w:ascii="Arial" w:cs="Arial" w:eastAsia="Arial" w:hAnsi="Arial"/>
          <w:sz w:val="19"/>
          <w:szCs w:val="19"/>
          <w:b w:val="1"/>
          <w:bCs w:val="1"/>
          <w:color w:val="1A7EE5"/>
        </w:rPr>
        <w:t>Seek Help</w:t>
      </w:r>
      <w:r>
        <w:rPr>
          <w:rFonts w:ascii="Arial" w:cs="Arial" w:eastAsia="Arial" w:hAnsi="Arial"/>
          <w:sz w:val="19"/>
          <w:szCs w:val="19"/>
          <w:color w:val="auto"/>
        </w:rPr>
        <w:t xml:space="preserve"> whenever you have a concern. Speak up even if you are not sure something problematic has occurred. You have several options for doing so: your manager, Human Resources, the General Counsel’s Office, the Enterprise Compliance team or the </w:t>
      </w:r>
      <w:r>
        <w:rPr>
          <w:rFonts w:ascii="Arial" w:cs="Arial" w:eastAsia="Arial" w:hAnsi="Arial"/>
          <w:sz w:val="19"/>
          <w:szCs w:val="19"/>
          <w:b w:val="1"/>
          <w:bCs w:val="1"/>
          <w:color w:val="1A7EE5"/>
        </w:rPr>
        <w:t>Business Conduct and Ethics Hotline</w:t>
      </w:r>
      <w:r>
        <w:rPr>
          <w:rFonts w:ascii="Arial" w:cs="Arial" w:eastAsia="Arial" w:hAnsi="Arial"/>
          <w:sz w:val="19"/>
          <w:szCs w:val="19"/>
          <w:color w:val="auto"/>
        </w:rPr>
        <w:t xml:space="preserve"> (Ethics Hotline).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6865620" cy="6813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65620" cy="681355"/>
                    </a:xfrm>
                    <a:prstGeom prst="rect">
                      <a:avLst/>
                    </a:prstGeom>
                    <a:noFill/>
                  </pic:spPr>
                </pic:pic>
              </a:graphicData>
            </a:graphic>
          </wp:anchor>
        </w:drawing>
      </w:r>
    </w:p>
    <w:p>
      <w:pPr>
        <w:spacing w:after="0" w:line="331" w:lineRule="exact"/>
        <w:rPr>
          <w:sz w:val="20"/>
          <w:szCs w:val="20"/>
          <w:color w:val="auto"/>
        </w:rPr>
      </w:pPr>
    </w:p>
    <w:p>
      <w:pPr>
        <w:ind w:left="140"/>
        <w:spacing w:after="0"/>
        <w:rPr>
          <w:sz w:val="20"/>
          <w:szCs w:val="20"/>
          <w:color w:val="auto"/>
        </w:rPr>
      </w:pPr>
      <w:r>
        <w:rPr>
          <w:rFonts w:ascii="Arial" w:cs="Arial" w:eastAsia="Arial" w:hAnsi="Arial"/>
          <w:sz w:val="19"/>
          <w:szCs w:val="19"/>
          <w:b w:val="1"/>
          <w:bCs w:val="1"/>
          <w:i w:val="1"/>
          <w:iCs w:val="1"/>
          <w:color w:val="123121"/>
        </w:rPr>
        <w:t>Reporting fraud or suspected fraud</w:t>
      </w:r>
    </w:p>
    <w:p>
      <w:pPr>
        <w:spacing w:after="0" w:line="131" w:lineRule="exact"/>
        <w:rPr>
          <w:sz w:val="20"/>
          <w:szCs w:val="20"/>
          <w:color w:val="auto"/>
        </w:rPr>
      </w:pPr>
    </w:p>
    <w:p>
      <w:pPr>
        <w:ind w:left="160" w:right="100"/>
        <w:spacing w:after="0" w:line="259" w:lineRule="auto"/>
        <w:rPr>
          <w:sz w:val="20"/>
          <w:szCs w:val="20"/>
          <w:color w:val="auto"/>
        </w:rPr>
      </w:pPr>
      <w:r>
        <w:rPr>
          <w:rFonts w:ascii="Arial" w:cs="Arial" w:eastAsia="Arial" w:hAnsi="Arial"/>
          <w:sz w:val="18"/>
          <w:szCs w:val="18"/>
          <w:color w:val="auto"/>
        </w:rPr>
        <w:t>Report suspected fraudulent activities by current or former employees, directors, officers, contractors or third parties to Internal Audit. In addition, attempts to inappropriately influence external auditors should be reported to Internal Audit.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Anonymity and confidentiality</w:t>
      </w:r>
    </w:p>
    <w:p>
      <w:pPr>
        <w:spacing w:after="0" w:line="165" w:lineRule="exact"/>
        <w:rPr>
          <w:sz w:val="20"/>
          <w:szCs w:val="20"/>
          <w:color w:val="auto"/>
        </w:rPr>
      </w:pPr>
    </w:p>
    <w:p>
      <w:pPr>
        <w:ind w:right="140"/>
        <w:spacing w:after="0" w:line="247" w:lineRule="auto"/>
        <w:rPr>
          <w:sz w:val="20"/>
          <w:szCs w:val="20"/>
          <w:color w:val="auto"/>
        </w:rPr>
      </w:pPr>
      <w:r>
        <w:rPr>
          <w:rFonts w:ascii="Arial" w:cs="Arial" w:eastAsia="Arial" w:hAnsi="Arial"/>
          <w:sz w:val="19"/>
          <w:szCs w:val="19"/>
          <w:color w:val="auto"/>
        </w:rPr>
        <w:t xml:space="preserve">There may be times when you are not comfortable contacting your manager directly about an issue (for example, if the issue concerns your manager), you can contact the Business Conduct and Ethics Hotline by logging on to </w:t>
      </w:r>
      <w:r>
        <w:rPr>
          <w:rFonts w:ascii="Arial" w:cs="Arial" w:eastAsia="Arial" w:hAnsi="Arial"/>
          <w:sz w:val="19"/>
          <w:szCs w:val="19"/>
          <w:b w:val="1"/>
          <w:bCs w:val="1"/>
          <w:color w:val="1A7EE5"/>
        </w:rPr>
        <w:t xml:space="preserve">https://www.compliance-hotline.com/ThomsonReuters.jsp </w:t>
      </w:r>
      <w:r>
        <w:rPr>
          <w:rFonts w:ascii="Arial" w:cs="Arial" w:eastAsia="Arial" w:hAnsi="Arial"/>
          <w:sz w:val="19"/>
          <w:szCs w:val="19"/>
          <w:color w:val="000000"/>
        </w:rPr>
        <w:t>where you will find instructions for reporting via phone or the</w:t>
      </w:r>
      <w:r>
        <w:rPr>
          <w:rFonts w:ascii="Arial" w:cs="Arial" w:eastAsia="Arial" w:hAnsi="Arial"/>
          <w:sz w:val="19"/>
          <w:szCs w:val="19"/>
          <w:b w:val="1"/>
          <w:bCs w:val="1"/>
          <w:color w:val="1A7EE5"/>
        </w:rPr>
        <w:t xml:space="preserve"> </w:t>
      </w:r>
      <w:r>
        <w:rPr>
          <w:rFonts w:ascii="Arial" w:cs="Arial" w:eastAsia="Arial" w:hAnsi="Arial"/>
          <w:sz w:val="19"/>
          <w:szCs w:val="19"/>
          <w:color w:val="000000"/>
        </w:rPr>
        <w:t>website.</w:t>
      </w:r>
    </w:p>
    <w:p>
      <w:pPr>
        <w:spacing w:after="0" w:line="346" w:lineRule="exact"/>
        <w:rPr>
          <w:sz w:val="20"/>
          <w:szCs w:val="20"/>
          <w:color w:val="auto"/>
        </w:rPr>
      </w:pPr>
    </w:p>
    <w:p>
      <w:pPr>
        <w:jc w:val="both"/>
        <w:ind w:right="80"/>
        <w:spacing w:after="0" w:line="253" w:lineRule="auto"/>
        <w:rPr>
          <w:sz w:val="20"/>
          <w:szCs w:val="20"/>
          <w:color w:val="auto"/>
        </w:rPr>
      </w:pPr>
      <w:r>
        <w:rPr>
          <w:rFonts w:ascii="Arial" w:cs="Arial" w:eastAsia="Arial" w:hAnsi="Arial"/>
          <w:sz w:val="19"/>
          <w:szCs w:val="19"/>
          <w:color w:val="auto"/>
        </w:rPr>
        <w:t>The Hotline is managed by an independent third party and it is available to you 24/7. You may submit a report anonymously if you choose. After reporting your question or concern, you will be able to check back in and receive status updates regarding your submission. Confidentiality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71120</wp:posOffset>
            </wp:positionV>
            <wp:extent cx="967740" cy="32829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376" w:lineRule="exact"/>
        <w:rPr>
          <w:sz w:val="20"/>
          <w:szCs w:val="20"/>
          <w:color w:val="auto"/>
        </w:rPr>
      </w:pPr>
    </w:p>
    <w:tbl>
      <w:tblPr>
        <w:tblLayout w:type="fixed"/>
        <w:tblInd w:w="4360" w:type="dxa"/>
        <w:tblCellMar>
          <w:top w:w="0" w:type="dxa"/>
          <w:left w:w="0" w:type="dxa"/>
          <w:bottom w:w="0" w:type="dxa"/>
          <w:right w:w="0" w:type="dxa"/>
        </w:tblCellMar>
      </w:tblPr>
      <w:tr>
        <w:trPr>
          <w:trHeight w:val="256"/>
        </w:trPr>
        <w:tc>
          <w:tcPr>
            <w:tcW w:w="4280" w:type="dxa"/>
            <w:vAlign w:val="bottom"/>
          </w:tcPr>
          <w:p>
            <w:pPr>
              <w:spacing w:after="0"/>
              <w:rPr>
                <w:sz w:val="20"/>
                <w:szCs w:val="20"/>
                <w:color w:val="auto"/>
              </w:rPr>
            </w:pPr>
            <w:r>
              <w:rPr>
                <w:rFonts w:ascii="Arial" w:cs="Arial" w:eastAsia="Arial" w:hAnsi="Arial"/>
                <w:sz w:val="19"/>
                <w:szCs w:val="19"/>
                <w:color w:val="auto"/>
              </w:rPr>
              <w:t>© 2024 Thomson Reuters</w:t>
            </w:r>
          </w:p>
        </w:tc>
        <w:tc>
          <w:tcPr>
            <w:tcW w:w="2180" w:type="dxa"/>
            <w:vAlign w:val="bottom"/>
          </w:tcPr>
          <w:p>
            <w:pPr>
              <w:jc w:val="right"/>
              <w:spacing w:after="0"/>
              <w:rPr>
                <w:sz w:val="20"/>
                <w:szCs w:val="20"/>
                <w:color w:val="auto"/>
              </w:rPr>
            </w:pPr>
            <w:r>
              <w:rPr>
                <w:rFonts w:ascii="Arial" w:cs="Arial" w:eastAsia="Arial" w:hAnsi="Arial"/>
                <w:sz w:val="19"/>
                <w:szCs w:val="19"/>
                <w:color w:val="auto"/>
              </w:rPr>
              <w:t>8</w:t>
            </w:r>
          </w:p>
        </w:tc>
      </w:tr>
    </w:tbl>
    <w:p>
      <w:pPr>
        <w:sectPr>
          <w:pgSz w:w="11900" w:h="16838" w:orient="portrait"/>
          <w:cols w:equalWidth="0" w:num="1">
            <w:col w:w="10820"/>
          </w:cols>
          <w:pgMar w:left="540" w:top="253" w:right="539" w:bottom="1440" w:gutter="0" w:footer="0" w:header="0"/>
        </w:sectPr>
      </w:pPr>
    </w:p>
    <w:bookmarkStart w:id="189" w:name="page190"/>
    <w:bookmarkEnd w:id="189"/>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maintained to the fullest extent possible, and information will be shared only on a need-to-know basis.</w:t>
      </w:r>
    </w:p>
    <w:p>
      <w:pPr>
        <w:spacing w:after="0" w:line="100"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 xml:space="preserve">In certain countries, local laws and regulations restrict the types of reports that can be made through the Ethics Hotline or may require consent to disclose your identity. If you are in such a country and attempting to make a report, </w:t>
      </w:r>
      <w:r>
        <w:rPr>
          <w:rFonts w:ascii="Arial" w:cs="Arial" w:eastAsia="Arial" w:hAnsi="Arial"/>
          <w:sz w:val="19"/>
          <w:szCs w:val="19"/>
          <w:b w:val="1"/>
          <w:bCs w:val="1"/>
          <w:color w:val="1A7EE5"/>
        </w:rPr>
        <w:t>Seek Help</w:t>
      </w:r>
      <w:r>
        <w:rPr>
          <w:rFonts w:ascii="Arial" w:cs="Arial" w:eastAsia="Arial" w:hAnsi="Arial"/>
          <w:sz w:val="19"/>
          <w:szCs w:val="19"/>
          <w:color w:val="auto"/>
        </w:rPr>
        <w:t xml:space="preserve">. You can also visit the </w:t>
      </w:r>
      <w:r>
        <w:rPr>
          <w:rFonts w:ascii="Arial" w:cs="Arial" w:eastAsia="Arial" w:hAnsi="Arial"/>
          <w:sz w:val="19"/>
          <w:szCs w:val="19"/>
          <w:b w:val="1"/>
          <w:bCs w:val="1"/>
          <w:color w:val="1A7EE5"/>
        </w:rPr>
        <w:t>Hotline information on the Intranet</w:t>
      </w:r>
      <w:r>
        <w:rPr>
          <w:rFonts w:ascii="Arial" w:cs="Arial" w:eastAsia="Arial" w:hAnsi="Arial"/>
          <w:sz w:val="19"/>
          <w:szCs w:val="19"/>
          <w:color w:val="auto"/>
        </w:rPr>
        <w:t>.</w:t>
      </w:r>
    </w:p>
    <w:p>
      <w:pPr>
        <w:spacing w:after="0" w:line="143"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Nothing in the Code prohibits you from reporting potential violations of law to, or participating in an investigation conducted by national, federal, state or local government agency, including self-regulatory organizations recognized under applicable law.</w:t>
      </w:r>
    </w:p>
    <w:p>
      <w:pPr>
        <w:spacing w:after="0" w:line="23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Retaliation is prohibited</w:t>
      </w:r>
    </w:p>
    <w:p>
      <w:pPr>
        <w:spacing w:after="0" w:line="192" w:lineRule="exact"/>
        <w:rPr>
          <w:sz w:val="20"/>
          <w:szCs w:val="20"/>
          <w:color w:val="auto"/>
        </w:rPr>
      </w:pPr>
    </w:p>
    <w:p>
      <w:pPr>
        <w:ind w:right="180"/>
        <w:spacing w:after="0" w:line="250" w:lineRule="auto"/>
        <w:rPr>
          <w:sz w:val="20"/>
          <w:szCs w:val="20"/>
          <w:color w:val="auto"/>
        </w:rPr>
      </w:pPr>
      <w:r>
        <w:rPr>
          <w:rFonts w:ascii="Arial" w:cs="Arial" w:eastAsia="Arial" w:hAnsi="Arial"/>
          <w:sz w:val="19"/>
          <w:szCs w:val="19"/>
          <w:color w:val="auto"/>
        </w:rPr>
        <w:t xml:space="preserve">Thomson Reuters prohibits retaliation against anyone who makes an inquiry or reports an allegation in good faith or who truthfully participates in an investigation. “Good faith” does not mean you have to be right or have incontrovertible proof — it just means you have a reasonable belief in the truth and accuracy of what you’re reporting. If you know or suspect someone is retaliating or are aware of plans to retaliate against you or someone else, </w:t>
      </w:r>
      <w:r>
        <w:rPr>
          <w:rFonts w:ascii="Arial" w:cs="Arial" w:eastAsia="Arial" w:hAnsi="Arial"/>
          <w:sz w:val="19"/>
          <w:szCs w:val="19"/>
          <w:b w:val="1"/>
          <w:bCs w:val="1"/>
          <w:color w:val="1A7EE5"/>
        </w:rPr>
        <w:t>Seek Help</w:t>
      </w:r>
      <w:r>
        <w:rPr>
          <w:rFonts w:ascii="Arial" w:cs="Arial" w:eastAsia="Arial" w:hAnsi="Arial"/>
          <w:sz w:val="19"/>
          <w:szCs w:val="19"/>
          <w:color w:val="auto"/>
        </w:rPr>
        <w:t>.</w:t>
      </w:r>
    </w:p>
    <w:p>
      <w:pPr>
        <w:spacing w:after="0" w:line="24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Investigations</w:t>
      </w:r>
    </w:p>
    <w:p>
      <w:pPr>
        <w:spacing w:after="0" w:line="205" w:lineRule="exact"/>
        <w:rPr>
          <w:sz w:val="20"/>
          <w:szCs w:val="20"/>
          <w:color w:val="auto"/>
        </w:rPr>
      </w:pPr>
    </w:p>
    <w:p>
      <w:pPr>
        <w:ind w:right="200"/>
        <w:spacing w:after="0" w:line="246" w:lineRule="auto"/>
        <w:rPr>
          <w:sz w:val="20"/>
          <w:szCs w:val="20"/>
          <w:color w:val="auto"/>
        </w:rPr>
      </w:pPr>
      <w:r>
        <w:rPr>
          <w:rFonts w:ascii="Arial" w:cs="Arial" w:eastAsia="Arial" w:hAnsi="Arial"/>
          <w:sz w:val="19"/>
          <w:szCs w:val="19"/>
          <w:color w:val="auto"/>
        </w:rPr>
        <w:t>Investigations will be conducted promptly and thoroughly, and confidentiality will be maintained to the fullest extent possible. Information regarding complaints and reports will be maintained by the Human Resources, General Counsel’s Office or Internal Audit departments, as appropriate. The applicable department will maintain records of any such reports or complaints, tracking their receipt, investigation, and resolution.</w:t>
      </w:r>
    </w:p>
    <w:p>
      <w:pPr>
        <w:spacing w:after="0" w:line="26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Fair process and disciplinary action</w:t>
      </w:r>
    </w:p>
    <w:p>
      <w:pPr>
        <w:spacing w:after="0" w:line="192" w:lineRule="exact"/>
        <w:rPr>
          <w:sz w:val="20"/>
          <w:szCs w:val="20"/>
          <w:color w:val="auto"/>
        </w:rPr>
      </w:pPr>
    </w:p>
    <w:p>
      <w:pPr>
        <w:ind w:right="120"/>
        <w:spacing w:after="0" w:line="273" w:lineRule="auto"/>
        <w:rPr>
          <w:sz w:val="20"/>
          <w:szCs w:val="20"/>
          <w:color w:val="auto"/>
        </w:rPr>
      </w:pPr>
      <w:r>
        <w:rPr>
          <w:rFonts w:ascii="Arial" w:cs="Arial" w:eastAsia="Arial" w:hAnsi="Arial"/>
          <w:sz w:val="19"/>
          <w:szCs w:val="19"/>
          <w:color w:val="auto"/>
        </w:rPr>
        <w:t>All reasonable efforts will be made to determine the relevant facts behind any reported violation and bring the investigation to a timely conclusion. Any employee who becomes involved in an investigation is obligated to cooperate.</w:t>
      </w:r>
    </w:p>
    <w:p>
      <w:pPr>
        <w:spacing w:after="0" w:line="139" w:lineRule="exact"/>
        <w:rPr>
          <w:sz w:val="20"/>
          <w:szCs w:val="20"/>
          <w:color w:val="auto"/>
        </w:rPr>
      </w:pPr>
    </w:p>
    <w:p>
      <w:pPr>
        <w:ind w:right="760"/>
        <w:spacing w:after="0" w:line="273" w:lineRule="auto"/>
        <w:rPr>
          <w:sz w:val="20"/>
          <w:szCs w:val="20"/>
          <w:color w:val="auto"/>
        </w:rPr>
      </w:pPr>
      <w:r>
        <w:rPr>
          <w:rFonts w:ascii="Arial" w:cs="Arial" w:eastAsia="Arial" w:hAnsi="Arial"/>
          <w:sz w:val="19"/>
          <w:szCs w:val="19"/>
          <w:color w:val="auto"/>
        </w:rPr>
        <w:t>Failing to cooperate with an investigation may result in disciplinary action, up to and including termination and/or legal proceedings. Failure to cooperate includes:</w:t>
      </w:r>
    </w:p>
    <w:p>
      <w:pPr>
        <w:spacing w:after="0" w:line="139" w:lineRule="exact"/>
        <w:rPr>
          <w:sz w:val="20"/>
          <w:szCs w:val="20"/>
          <w:color w:val="auto"/>
        </w:rPr>
      </w:pPr>
    </w:p>
    <w:p>
      <w:pPr>
        <w:ind w:left="840" w:hanging="418"/>
        <w:spacing w:after="0"/>
        <w:tabs>
          <w:tab w:leader="none" w:pos="840" w:val="left"/>
        </w:tabs>
        <w:numPr>
          <w:ilvl w:val="0"/>
          <w:numId w:val="166"/>
        </w:numPr>
        <w:rPr>
          <w:rFonts w:ascii="Times New Roman" w:cs="Times New Roman" w:eastAsia="Times New Roman" w:hAnsi="Times New Roman"/>
          <w:sz w:val="18"/>
          <w:szCs w:val="18"/>
          <w:color w:val="D64000"/>
        </w:rPr>
      </w:pPr>
      <w:r>
        <w:rPr>
          <w:rFonts w:ascii="Arial" w:cs="Arial" w:eastAsia="Arial" w:hAnsi="Arial"/>
          <w:sz w:val="19"/>
          <w:szCs w:val="19"/>
          <w:color w:val="auto"/>
        </w:rPr>
        <w:t>Knowingly providing false or misleading information</w:t>
      </w:r>
    </w:p>
    <w:p>
      <w:pPr>
        <w:spacing w:after="0" w:line="112"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166"/>
        </w:numPr>
        <w:rPr>
          <w:rFonts w:ascii="Times New Roman" w:cs="Times New Roman" w:eastAsia="Times New Roman" w:hAnsi="Times New Roman"/>
          <w:sz w:val="18"/>
          <w:szCs w:val="18"/>
          <w:color w:val="D64000"/>
        </w:rPr>
      </w:pPr>
      <w:r>
        <w:rPr>
          <w:rFonts w:ascii="Arial" w:cs="Arial" w:eastAsia="Arial" w:hAnsi="Arial"/>
          <w:sz w:val="19"/>
          <w:szCs w:val="19"/>
          <w:color w:val="auto"/>
        </w:rPr>
        <w:t>Refusing to be available for a meeting or discussion during an investigation</w:t>
      </w:r>
    </w:p>
    <w:p>
      <w:pPr>
        <w:spacing w:after="0" w:line="112"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166"/>
        </w:numPr>
        <w:rPr>
          <w:rFonts w:ascii="Times New Roman" w:cs="Times New Roman" w:eastAsia="Times New Roman" w:hAnsi="Times New Roman"/>
          <w:sz w:val="18"/>
          <w:szCs w:val="18"/>
          <w:color w:val="D64000"/>
        </w:rPr>
      </w:pPr>
      <w:r>
        <w:rPr>
          <w:rFonts w:ascii="Arial" w:cs="Arial" w:eastAsia="Arial" w:hAnsi="Arial"/>
          <w:sz w:val="19"/>
          <w:szCs w:val="19"/>
          <w:color w:val="auto"/>
        </w:rPr>
        <w:t>Knowingly withholding, destroying, altering or deleting pertinent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102235</wp:posOffset>
            </wp:positionV>
            <wp:extent cx="967740" cy="32829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4360" w:type="dxa"/>
        <w:tblCellMar>
          <w:top w:w="0" w:type="dxa"/>
          <w:left w:w="0" w:type="dxa"/>
          <w:bottom w:w="0" w:type="dxa"/>
          <w:right w:w="0" w:type="dxa"/>
        </w:tblCellMar>
      </w:tblPr>
      <w:tr>
        <w:trPr>
          <w:trHeight w:val="256"/>
        </w:trPr>
        <w:tc>
          <w:tcPr>
            <w:tcW w:w="4280" w:type="dxa"/>
            <w:vAlign w:val="bottom"/>
          </w:tcPr>
          <w:p>
            <w:pPr>
              <w:spacing w:after="0"/>
              <w:rPr>
                <w:sz w:val="20"/>
                <w:szCs w:val="20"/>
                <w:color w:val="auto"/>
              </w:rPr>
            </w:pPr>
            <w:r>
              <w:rPr>
                <w:rFonts w:ascii="Arial" w:cs="Arial" w:eastAsia="Arial" w:hAnsi="Arial"/>
                <w:sz w:val="19"/>
                <w:szCs w:val="19"/>
                <w:color w:val="auto"/>
              </w:rPr>
              <w:t>© 2024 Thomson Reuters</w:t>
            </w:r>
          </w:p>
        </w:tc>
        <w:tc>
          <w:tcPr>
            <w:tcW w:w="2180" w:type="dxa"/>
            <w:vAlign w:val="bottom"/>
          </w:tcPr>
          <w:p>
            <w:pPr>
              <w:jc w:val="right"/>
              <w:spacing w:after="0"/>
              <w:rPr>
                <w:sz w:val="20"/>
                <w:szCs w:val="20"/>
                <w:color w:val="auto"/>
              </w:rPr>
            </w:pPr>
            <w:r>
              <w:rPr>
                <w:rFonts w:ascii="Arial" w:cs="Arial" w:eastAsia="Arial" w:hAnsi="Arial"/>
                <w:sz w:val="19"/>
                <w:szCs w:val="19"/>
                <w:color w:val="auto"/>
              </w:rPr>
              <w:t>9</w:t>
            </w:r>
          </w:p>
        </w:tc>
      </w:tr>
    </w:tbl>
    <w:p>
      <w:pPr>
        <w:sectPr>
          <w:pgSz w:w="11900" w:h="16838" w:orient="portrait"/>
          <w:cols w:equalWidth="0" w:num="1">
            <w:col w:w="10820"/>
          </w:cols>
          <w:pgMar w:left="540" w:top="264" w:right="539" w:bottom="1440" w:gutter="0" w:footer="0" w:header="0"/>
        </w:sectPr>
      </w:pPr>
    </w:p>
    <w:bookmarkStart w:id="190" w:name="page191"/>
    <w:bookmarkEnd w:id="1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244856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6770" cy="2448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
        <w:spacing w:after="0"/>
        <w:rPr>
          <w:sz w:val="20"/>
          <w:szCs w:val="20"/>
          <w:color w:val="auto"/>
        </w:rPr>
      </w:pPr>
      <w:r>
        <w:rPr>
          <w:rFonts w:ascii="Arial" w:cs="Arial" w:eastAsia="Arial" w:hAnsi="Arial"/>
          <w:sz w:val="35"/>
          <w:szCs w:val="35"/>
          <w:b w:val="1"/>
          <w:bCs w:val="1"/>
          <w:color w:val="D64000"/>
        </w:rPr>
        <w:t>Providing equal opportunities</w:t>
      </w:r>
    </w:p>
    <w:p>
      <w:pPr>
        <w:spacing w:after="0" w:line="279"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auto"/>
        </w:rPr>
        <w:t>We are trusted to . . .</w:t>
      </w:r>
    </w:p>
    <w:p>
      <w:pPr>
        <w:spacing w:after="0" w:line="192" w:lineRule="exact"/>
        <w:rPr>
          <w:sz w:val="20"/>
          <w:szCs w:val="20"/>
          <w:color w:val="auto"/>
        </w:rPr>
      </w:pPr>
    </w:p>
    <w:p>
      <w:pPr>
        <w:ind w:left="2"/>
        <w:spacing w:after="0"/>
        <w:rPr>
          <w:sz w:val="20"/>
          <w:szCs w:val="20"/>
          <w:color w:val="auto"/>
        </w:rPr>
      </w:pPr>
      <w:r>
        <w:rPr>
          <w:rFonts w:ascii="Arial" w:cs="Arial" w:eastAsia="Arial" w:hAnsi="Arial"/>
          <w:sz w:val="19"/>
          <w:szCs w:val="19"/>
          <w:i w:val="1"/>
          <w:iCs w:val="1"/>
          <w:color w:val="auto"/>
        </w:rPr>
        <w:t>…promote equal employment and provide reasonable accommodations for qualified individuals.</w:t>
      </w:r>
    </w:p>
    <w:p>
      <w:pPr>
        <w:spacing w:after="0" w:line="206" w:lineRule="exact"/>
        <w:rPr>
          <w:sz w:val="20"/>
          <w:szCs w:val="20"/>
          <w:color w:val="auto"/>
        </w:rPr>
      </w:pPr>
    </w:p>
    <w:p>
      <w:pPr>
        <w:ind w:left="2" w:right="520"/>
        <w:spacing w:after="0" w:line="250" w:lineRule="auto"/>
        <w:rPr>
          <w:sz w:val="20"/>
          <w:szCs w:val="20"/>
          <w:color w:val="auto"/>
        </w:rPr>
      </w:pPr>
      <w:r>
        <w:rPr>
          <w:rFonts w:ascii="Arial" w:cs="Arial" w:eastAsia="Arial" w:hAnsi="Arial"/>
          <w:sz w:val="19"/>
          <w:szCs w:val="19"/>
          <w:color w:val="auto"/>
        </w:rPr>
        <w:t xml:space="preserve">We are committed to complying with applicable laws, rules and regulations governing nondiscrimination wherever we do business and providing equal employment opportunities with regard to hiring, compensation, promotion, classification, training, apprenticeship, referral for employment and other terms of employment for all persons without regard to the classifications listed in the </w:t>
      </w:r>
      <w:r>
        <w:rPr>
          <w:rFonts w:ascii="Arial" w:cs="Arial" w:eastAsia="Arial" w:hAnsi="Arial"/>
          <w:sz w:val="19"/>
          <w:szCs w:val="19"/>
          <w:b w:val="1"/>
          <w:bCs w:val="1"/>
          <w:color w:val="1A7EE5"/>
        </w:rPr>
        <w:t>Anti-discrimination section</w:t>
      </w:r>
      <w:r>
        <w:rPr>
          <w:rFonts w:ascii="Arial" w:cs="Arial" w:eastAsia="Arial" w:hAnsi="Arial"/>
          <w:sz w:val="19"/>
          <w:szCs w:val="19"/>
          <w:color w:val="auto"/>
        </w:rPr>
        <w:t xml:space="preserve"> of this Code.</w:t>
      </w:r>
    </w:p>
    <w:p>
      <w:pPr>
        <w:spacing w:after="0" w:line="150" w:lineRule="exact"/>
        <w:rPr>
          <w:sz w:val="20"/>
          <w:szCs w:val="20"/>
          <w:color w:val="auto"/>
        </w:rPr>
      </w:pPr>
    </w:p>
    <w:p>
      <w:pPr>
        <w:ind w:left="2" w:right="120"/>
        <w:spacing w:after="0" w:line="243" w:lineRule="auto"/>
        <w:rPr>
          <w:sz w:val="20"/>
          <w:szCs w:val="20"/>
          <w:color w:val="auto"/>
        </w:rPr>
      </w:pPr>
      <w:r>
        <w:rPr>
          <w:rFonts w:ascii="Arial" w:cs="Arial" w:eastAsia="Arial" w:hAnsi="Arial"/>
          <w:sz w:val="19"/>
          <w:szCs w:val="19"/>
          <w:color w:val="auto"/>
        </w:rPr>
        <w:t>We also make reasonable accommodations for qualified individuals with disabilities and for colleagues with sincerely held religious beliefs. For these purposes, a “reasonable accommodation” is a modification or adjustment to job duties or the work environment that enables an employee to perform the essential functions of the job while not putting undue hardship on Thomson Reuters. Contact your manager or Human Resources if you believe you require an accommodation to perform the essential functions of your position, need a religious accommodation or have questions.</w:t>
      </w:r>
    </w:p>
    <w:p>
      <w:pPr>
        <w:spacing w:after="0" w:line="164"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1A7EE5"/>
        </w:rPr>
        <w:t>Workplace Policies on the Intranet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wp:posOffset>
            </wp:positionV>
            <wp:extent cx="6899275" cy="173291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99275" cy="173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02"/>
        <w:spacing w:after="0"/>
        <w:rPr>
          <w:sz w:val="20"/>
          <w:szCs w:val="20"/>
          <w:color w:val="auto"/>
        </w:rPr>
      </w:pPr>
      <w:r>
        <w:rPr>
          <w:rFonts w:ascii="Arial" w:cs="Arial" w:eastAsia="Arial" w:hAnsi="Arial"/>
          <w:sz w:val="21"/>
          <w:szCs w:val="21"/>
          <w:b w:val="1"/>
          <w:bCs w:val="1"/>
          <w:i w:val="1"/>
          <w:iCs w:val="1"/>
          <w:color w:val="D64000"/>
        </w:rPr>
        <w:t>Connecting the dots</w:t>
      </w:r>
    </w:p>
    <w:p>
      <w:pPr>
        <w:spacing w:after="0" w:line="226" w:lineRule="exact"/>
        <w:rPr>
          <w:sz w:val="20"/>
          <w:szCs w:val="20"/>
          <w:color w:val="auto"/>
        </w:rPr>
      </w:pPr>
    </w:p>
    <w:p>
      <w:pPr>
        <w:ind w:left="522" w:right="640" w:hanging="522"/>
        <w:spacing w:after="0" w:line="224" w:lineRule="auto"/>
        <w:tabs>
          <w:tab w:leader="none" w:pos="133" w:val="left"/>
        </w:tabs>
        <w:numPr>
          <w:ilvl w:val="0"/>
          <w:numId w:val="167"/>
        </w:numPr>
        <w:rPr>
          <w:rFonts w:ascii="Arial" w:cs="Arial" w:eastAsia="Arial" w:hAnsi="Arial"/>
          <w:sz w:val="25"/>
          <w:szCs w:val="25"/>
          <w:b w:val="1"/>
          <w:bCs w:val="1"/>
          <w:color w:val="auto"/>
        </w:rPr>
      </w:pPr>
      <w:r>
        <w:rPr>
          <w:rFonts w:ascii="Arial" w:cs="Arial" w:eastAsia="Arial" w:hAnsi="Arial"/>
          <w:sz w:val="25"/>
          <w:szCs w:val="25"/>
          <w:b w:val="1"/>
          <w:bCs w:val="1"/>
          <w:color w:val="auto"/>
        </w:rPr>
        <w:t>Q</w:t>
      </w:r>
      <w:r>
        <w:rPr>
          <w:rFonts w:ascii="Arial" w:cs="Arial" w:eastAsia="Arial" w:hAnsi="Arial"/>
          <w:sz w:val="17"/>
          <w:szCs w:val="17"/>
          <w:b w:val="1"/>
          <w:bCs w:val="1"/>
          <w:color w:val="auto"/>
        </w:rPr>
        <w:t xml:space="preserve">   I’m considering two job candidates who have similar qualifications on paper. One has a physical disability that may</w:t>
      </w:r>
      <w:r>
        <w:rPr>
          <w:rFonts w:ascii="Arial" w:cs="Arial" w:eastAsia="Arial" w:hAnsi="Arial"/>
          <w:sz w:val="25"/>
          <w:szCs w:val="25"/>
          <w:b w:val="1"/>
          <w:bCs w:val="1"/>
          <w:color w:val="auto"/>
        </w:rPr>
        <w:t xml:space="preserve"> </w:t>
      </w:r>
      <w:r>
        <w:rPr>
          <w:rFonts w:ascii="Arial" w:cs="Arial" w:eastAsia="Arial" w:hAnsi="Arial"/>
          <w:sz w:val="17"/>
          <w:szCs w:val="17"/>
          <w:b w:val="1"/>
          <w:bCs w:val="1"/>
          <w:color w:val="auto"/>
        </w:rPr>
        <w:t>hamper the ability to get around the office. Am I allowed to factor this trait into my evaluation of the candidates?</w:t>
      </w:r>
    </w:p>
    <w:p>
      <w:pPr>
        <w:spacing w:after="0" w:line="59" w:lineRule="exact"/>
        <w:rPr>
          <w:rFonts w:ascii="Arial" w:cs="Arial" w:eastAsia="Arial" w:hAnsi="Arial"/>
          <w:sz w:val="25"/>
          <w:szCs w:val="25"/>
          <w:b w:val="1"/>
          <w:bCs w:val="1"/>
          <w:color w:val="auto"/>
        </w:rPr>
      </w:pPr>
    </w:p>
    <w:p>
      <w:pPr>
        <w:ind w:left="522" w:right="180" w:hanging="522"/>
        <w:spacing w:after="0" w:line="283" w:lineRule="auto"/>
        <w:tabs>
          <w:tab w:leader="none" w:pos="124" w:val="left"/>
        </w:tabs>
        <w:numPr>
          <w:ilvl w:val="0"/>
          <w:numId w:val="167"/>
        </w:numPr>
        <w:rPr>
          <w:rFonts w:ascii="Arial" w:cs="Arial" w:eastAsia="Arial" w:hAnsi="Arial"/>
          <w:sz w:val="24"/>
          <w:szCs w:val="24"/>
          <w:b w:val="1"/>
          <w:bCs w:val="1"/>
          <w:color w:val="auto"/>
        </w:rPr>
      </w:pPr>
      <w:r>
        <w:rPr>
          <w:rFonts w:ascii="Arial" w:cs="Arial" w:eastAsia="Arial" w:hAnsi="Arial"/>
          <w:sz w:val="24"/>
          <w:szCs w:val="24"/>
          <w:b w:val="1"/>
          <w:bCs w:val="1"/>
          <w:color w:val="auto"/>
        </w:rPr>
        <w:t>A</w:t>
      </w:r>
      <w:r>
        <w:rPr>
          <w:rFonts w:ascii="Arial" w:cs="Arial" w:eastAsia="Arial" w:hAnsi="Arial"/>
          <w:sz w:val="16"/>
          <w:szCs w:val="16"/>
          <w:color w:val="auto"/>
        </w:rPr>
        <w:t xml:space="preserve">   You should not assume that a disability will limit someone’s ability to perform his or her job. However, if you reasonably believe the</w:t>
      </w:r>
      <w:r>
        <w:rPr>
          <w:rFonts w:ascii="Arial" w:cs="Arial" w:eastAsia="Arial" w:hAnsi="Arial"/>
          <w:sz w:val="24"/>
          <w:szCs w:val="24"/>
          <w:b w:val="1"/>
          <w:bCs w:val="1"/>
          <w:color w:val="auto"/>
        </w:rPr>
        <w:t xml:space="preserve"> </w:t>
      </w:r>
      <w:r>
        <w:rPr>
          <w:rFonts w:ascii="Arial" w:cs="Arial" w:eastAsia="Arial" w:hAnsi="Arial"/>
          <w:sz w:val="16"/>
          <w:szCs w:val="16"/>
          <w:color w:val="auto"/>
        </w:rPr>
        <w:t>disability would legitimately affect the individual’s ability to perform the essential functions of the job, you should contact human resources to discuss whether reasonable accommodations could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196850</wp:posOffset>
            </wp:positionV>
            <wp:extent cx="967740" cy="32829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tbl>
      <w:tblPr>
        <w:tblLayout w:type="fixed"/>
        <w:tblInd w:w="4362"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10</w:t>
            </w:r>
          </w:p>
        </w:tc>
      </w:tr>
    </w:tbl>
    <w:p>
      <w:pPr>
        <w:sectPr>
          <w:pgSz w:w="11900" w:h="16838" w:orient="portrait"/>
          <w:cols w:equalWidth="0" w:num="1">
            <w:col w:w="10822"/>
          </w:cols>
          <w:pgMar w:left="538" w:top="1440" w:right="539" w:bottom="1440" w:gutter="0" w:footer="0" w:header="0"/>
        </w:sectPr>
      </w:pPr>
    </w:p>
    <w:bookmarkStart w:id="191" w:name="page192"/>
    <w:bookmarkEnd w:id="191"/>
    <w:p>
      <w:pPr>
        <w:spacing w:after="0"/>
        <w:rPr>
          <w:sz w:val="20"/>
          <w:szCs w:val="20"/>
          <w:color w:val="auto"/>
        </w:rPr>
      </w:pPr>
      <w:r>
        <w:rPr>
          <w:rFonts w:ascii="Arial" w:cs="Arial" w:eastAsia="Arial" w:hAnsi="Arial"/>
          <w:sz w:val="35"/>
          <w:szCs w:val="35"/>
          <w:b w:val="1"/>
          <w:bCs w:val="1"/>
          <w:color w:val="D64000"/>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Embracing inclusion and belonging</w:t>
      </w:r>
    </w:p>
    <w:p>
      <w:pPr>
        <w:spacing w:after="0" w:line="22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We are trusted to . . .</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…foster an inclusive workplace and a workforce that reflects the wide range of customers and communities we serve.</w:t>
      </w:r>
    </w:p>
    <w:p>
      <w:pPr>
        <w:spacing w:after="0" w:line="248"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Why it matters</w:t>
      </w:r>
    </w:p>
    <w:p>
      <w:pPr>
        <w:spacing w:after="0" w:line="165"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We work best in partnership. When our workforce has an extensive range of skills, expertise and experiences, it enhances our abilities as colleagues to partner with each other and with our customers. The more perspectives we can provide, the more potential there is for innovation. The more that all employees feel valued and free to reach their full potential, the more trust can develop among all of us.</w:t>
      </w:r>
    </w:p>
    <w:p>
      <w:pPr>
        <w:spacing w:after="0" w:line="164"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In short, a commitment to inclusion and belonging not only honors our values but also fuels our competitive edge in the global marketplace.</w:t>
      </w:r>
    </w:p>
    <w:p>
      <w:pPr>
        <w:spacing w:after="0" w:line="18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How we deliver</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We foster an inclusive workplace where all colleagues are valued and have the opportunity to reach their full potential.</w:t>
      </w:r>
    </w:p>
    <w:p>
      <w:pPr>
        <w:spacing w:after="0" w:line="206" w:lineRule="exact"/>
        <w:rPr>
          <w:sz w:val="20"/>
          <w:szCs w:val="20"/>
          <w:color w:val="auto"/>
        </w:rPr>
      </w:pPr>
    </w:p>
    <w:p>
      <w:pPr>
        <w:ind w:right="500"/>
        <w:spacing w:after="0" w:line="273" w:lineRule="auto"/>
        <w:rPr>
          <w:sz w:val="20"/>
          <w:szCs w:val="20"/>
          <w:color w:val="auto"/>
        </w:rPr>
      </w:pPr>
      <w:r>
        <w:rPr>
          <w:rFonts w:ascii="Arial" w:cs="Arial" w:eastAsia="Arial" w:hAnsi="Arial"/>
          <w:sz w:val="19"/>
          <w:szCs w:val="19"/>
          <w:color w:val="auto"/>
        </w:rPr>
        <w:t>We embrace a range of perspectives, experiences and styles. We know this drives innovation and delivers a competitive advantage.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35"/>
          <w:szCs w:val="35"/>
          <w:b w:val="1"/>
          <w:bCs w:val="1"/>
          <w:color w:val="D64000"/>
        </w:rPr>
        <w:t>Fostering a respectful workplace</w:t>
      </w:r>
    </w:p>
    <w:p>
      <w:pPr>
        <w:spacing w:after="0" w:line="279"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We are trusted to . . .</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…actively foster a work environment where everyone is treated with dignity and respect.</w:t>
      </w:r>
    </w:p>
    <w:p>
      <w:pPr>
        <w:spacing w:after="0" w:line="23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Why it matters</w:t>
      </w:r>
    </w:p>
    <w:p>
      <w:pPr>
        <w:spacing w:after="0" w:line="165" w:lineRule="exact"/>
        <w:rPr>
          <w:sz w:val="20"/>
          <w:szCs w:val="20"/>
          <w:color w:val="auto"/>
        </w:rPr>
      </w:pPr>
    </w:p>
    <w:p>
      <w:pPr>
        <w:ind w:right="120"/>
        <w:spacing w:after="0" w:line="246" w:lineRule="auto"/>
        <w:rPr>
          <w:sz w:val="20"/>
          <w:szCs w:val="20"/>
          <w:color w:val="auto"/>
        </w:rPr>
      </w:pPr>
      <w:r>
        <w:rPr>
          <w:rFonts w:ascii="Arial" w:cs="Arial" w:eastAsia="Arial" w:hAnsi="Arial"/>
          <w:sz w:val="19"/>
          <w:szCs w:val="19"/>
          <w:color w:val="auto"/>
        </w:rPr>
        <w:t>When discrimination, harassment and bullying are allowed to take root in a workplace, they inhibit communication and damage productivity. We cannot properly share ideas and concerns or work together as a team if any member of our team or partnership feels targeted or unsafe. Additionally, these types of acts may leave us vulnerable (as individuals and as a company) to fines, lawsuits and civil or even criminal proceedings.</w:t>
      </w:r>
    </w:p>
    <w:p>
      <w:pPr>
        <w:spacing w:after="0" w:line="164" w:lineRule="exact"/>
        <w:rPr>
          <w:sz w:val="20"/>
          <w:szCs w:val="20"/>
          <w:color w:val="auto"/>
        </w:rPr>
      </w:pPr>
    </w:p>
    <w:p>
      <w:pPr>
        <w:ind w:right="520"/>
        <w:spacing w:after="0" w:line="273" w:lineRule="auto"/>
        <w:rPr>
          <w:sz w:val="20"/>
          <w:szCs w:val="20"/>
          <w:color w:val="auto"/>
        </w:rPr>
      </w:pPr>
      <w:r>
        <w:rPr>
          <w:rFonts w:ascii="Arial" w:cs="Arial" w:eastAsia="Arial" w:hAnsi="Arial"/>
          <w:sz w:val="19"/>
          <w:szCs w:val="19"/>
          <w:color w:val="auto"/>
        </w:rPr>
        <w:t>By putting a premium on fairness, equality, respect and dignity and not allowing discrimination, harassment and bullying, everyone who enters our workplaces should feel protected and empowered to achieve their full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967740" cy="32829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357" w:lineRule="exact"/>
        <w:rPr>
          <w:sz w:val="20"/>
          <w:szCs w:val="20"/>
          <w:color w:val="auto"/>
        </w:rPr>
      </w:pPr>
    </w:p>
    <w:tbl>
      <w:tblPr>
        <w:tblLayout w:type="fixed"/>
        <w:tblInd w:w="4360" w:type="dxa"/>
        <w:tblCellMar>
          <w:top w:w="0" w:type="dxa"/>
          <w:left w:w="0" w:type="dxa"/>
          <w:bottom w:w="0" w:type="dxa"/>
          <w:right w:w="0" w:type="dxa"/>
        </w:tblCellMar>
      </w:tblPr>
      <w:tr>
        <w:trPr>
          <w:trHeight w:val="256"/>
        </w:trPr>
        <w:tc>
          <w:tcPr>
            <w:tcW w:w="424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20" w:type="dxa"/>
            <w:vAlign w:val="bottom"/>
          </w:tcPr>
          <w:p>
            <w:pPr>
              <w:jc w:val="right"/>
              <w:spacing w:after="0"/>
              <w:rPr>
                <w:sz w:val="20"/>
                <w:szCs w:val="20"/>
                <w:color w:val="auto"/>
              </w:rPr>
            </w:pPr>
            <w:r>
              <w:rPr>
                <w:rFonts w:ascii="Arial" w:cs="Arial" w:eastAsia="Arial" w:hAnsi="Arial"/>
                <w:sz w:val="19"/>
                <w:szCs w:val="19"/>
                <w:color w:val="auto"/>
              </w:rPr>
              <w:t>11</w:t>
            </w:r>
          </w:p>
        </w:tc>
      </w:tr>
    </w:tbl>
    <w:p>
      <w:pPr>
        <w:sectPr>
          <w:pgSz w:w="11900" w:h="16838" w:orient="portrait"/>
          <w:cols w:equalWidth="0" w:num="1">
            <w:col w:w="10820"/>
          </w:cols>
          <w:pgMar w:left="540" w:top="248" w:right="539" w:bottom="1440" w:gutter="0" w:footer="0" w:header="0"/>
        </w:sectPr>
      </w:pPr>
    </w:p>
    <w:bookmarkStart w:id="192" w:name="page193"/>
    <w:bookmarkEnd w:id="192"/>
    <w:p>
      <w:pP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How we deliver</w:t>
      </w:r>
    </w:p>
    <w:p>
      <w:pPr>
        <w:spacing w:after="0" w:line="228" w:lineRule="exact"/>
        <w:rPr>
          <w:sz w:val="20"/>
          <w:szCs w:val="20"/>
          <w:color w:val="auto"/>
        </w:rPr>
      </w:pPr>
    </w:p>
    <w:p>
      <w:pPr>
        <w:spacing w:after="0"/>
        <w:rPr>
          <w:sz w:val="20"/>
          <w:szCs w:val="20"/>
          <w:color w:val="auto"/>
        </w:rPr>
      </w:pPr>
      <w:r>
        <w:rPr>
          <w:rFonts w:ascii="Arial" w:cs="Arial" w:eastAsia="Arial" w:hAnsi="Arial"/>
          <w:sz w:val="26"/>
          <w:szCs w:val="26"/>
          <w:i w:val="1"/>
          <w:iCs w:val="1"/>
          <w:color w:val="D64000"/>
        </w:rPr>
        <w:t>Anti-discrimination</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color w:val="auto"/>
        </w:rPr>
        <w:t>We do not tolerate discrimination. This means we do not allow unequal treatment on the basis of:</w:t>
      </w:r>
    </w:p>
    <w:p>
      <w:pPr>
        <w:spacing w:after="0" w:line="192" w:lineRule="exact"/>
        <w:rPr>
          <w:sz w:val="20"/>
          <w:szCs w:val="20"/>
          <w:color w:val="auto"/>
        </w:rPr>
      </w:pPr>
    </w:p>
    <w:tbl>
      <w:tblPr>
        <w:tblLayout w:type="fixed"/>
        <w:tblInd w:w="340" w:type="dxa"/>
        <w:tblCellMar>
          <w:top w:w="0" w:type="dxa"/>
          <w:left w:w="0" w:type="dxa"/>
          <w:bottom w:w="0" w:type="dxa"/>
          <w:right w:w="0" w:type="dxa"/>
        </w:tblCellMar>
      </w:tblPr>
      <w:tr>
        <w:trPr>
          <w:trHeight w:val="252"/>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D64000"/>
              </w:rPr>
              <w:t xml:space="preserve">●   </w:t>
            </w:r>
            <w:r>
              <w:rPr>
                <w:rFonts w:ascii="Arial" w:cs="Arial" w:eastAsia="Arial" w:hAnsi="Arial"/>
                <w:sz w:val="19"/>
                <w:szCs w:val="19"/>
                <w:color w:val="000000"/>
              </w:rPr>
              <w:t>Race, color or ethnicity</w:t>
            </w: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D64000"/>
              </w:rPr>
              <w:t>●</w:t>
            </w:r>
          </w:p>
        </w:tc>
        <w:tc>
          <w:tcPr>
            <w:tcW w:w="3100" w:type="dxa"/>
            <w:vAlign w:val="bottom"/>
          </w:tcPr>
          <w:p>
            <w:pPr>
              <w:ind w:left="100"/>
              <w:spacing w:after="0"/>
              <w:rPr>
                <w:sz w:val="20"/>
                <w:szCs w:val="20"/>
                <w:color w:val="auto"/>
              </w:rPr>
            </w:pPr>
            <w:r>
              <w:rPr>
                <w:rFonts w:ascii="Arial" w:cs="Arial" w:eastAsia="Arial" w:hAnsi="Arial"/>
                <w:sz w:val="19"/>
                <w:szCs w:val="19"/>
                <w:color w:val="auto"/>
              </w:rPr>
              <w:t>Gender identity or expression</w:t>
            </w: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D64000"/>
              </w:rPr>
              <w:t>●</w:t>
            </w:r>
          </w:p>
        </w:tc>
        <w:tc>
          <w:tcPr>
            <w:tcW w:w="2780" w:type="dxa"/>
            <w:vAlign w:val="bottom"/>
          </w:tcPr>
          <w:p>
            <w:pPr>
              <w:ind w:left="120"/>
              <w:spacing w:after="0"/>
              <w:rPr>
                <w:sz w:val="20"/>
                <w:szCs w:val="20"/>
                <w:color w:val="auto"/>
              </w:rPr>
            </w:pPr>
            <w:r>
              <w:rPr>
                <w:rFonts w:ascii="Arial" w:cs="Arial" w:eastAsia="Arial" w:hAnsi="Arial"/>
                <w:sz w:val="19"/>
                <w:szCs w:val="19"/>
                <w:color w:val="auto"/>
              </w:rPr>
              <w:t>Veteran status</w:t>
            </w:r>
          </w:p>
        </w:tc>
        <w:tc>
          <w:tcPr>
            <w:tcW w:w="0" w:type="dxa"/>
            <w:vAlign w:val="bottom"/>
          </w:tcPr>
          <w:p>
            <w:pPr>
              <w:spacing w:after="0"/>
              <w:rPr>
                <w:sz w:val="1"/>
                <w:szCs w:val="1"/>
                <w:color w:val="auto"/>
              </w:rPr>
            </w:pPr>
          </w:p>
        </w:tc>
      </w:tr>
      <w:tr>
        <w:trPr>
          <w:trHeight w:val="21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D64000"/>
              </w:rPr>
              <w:t>●</w:t>
            </w:r>
          </w:p>
        </w:tc>
        <w:tc>
          <w:tcPr>
            <w:tcW w:w="2740" w:type="dxa"/>
            <w:vAlign w:val="bottom"/>
          </w:tcPr>
          <w:p>
            <w:pPr>
              <w:ind w:left="120"/>
              <w:spacing w:after="0" w:line="212" w:lineRule="exact"/>
              <w:rPr>
                <w:sz w:val="20"/>
                <w:szCs w:val="20"/>
                <w:color w:val="auto"/>
              </w:rPr>
            </w:pPr>
            <w:r>
              <w:rPr>
                <w:rFonts w:ascii="Arial" w:cs="Arial" w:eastAsia="Arial" w:hAnsi="Arial"/>
                <w:sz w:val="19"/>
                <w:szCs w:val="19"/>
                <w:color w:val="auto"/>
              </w:rPr>
              <w:t>Religion</w:t>
            </w: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D64000"/>
              </w:rPr>
              <w:t>●</w:t>
            </w:r>
          </w:p>
        </w:tc>
        <w:tc>
          <w:tcPr>
            <w:tcW w:w="3100" w:type="dxa"/>
            <w:vAlign w:val="bottom"/>
          </w:tcPr>
          <w:p>
            <w:pPr>
              <w:ind w:left="100"/>
              <w:spacing w:after="0" w:line="212" w:lineRule="exact"/>
              <w:rPr>
                <w:sz w:val="20"/>
                <w:szCs w:val="20"/>
                <w:color w:val="auto"/>
              </w:rPr>
            </w:pPr>
            <w:r>
              <w:rPr>
                <w:rFonts w:ascii="Arial" w:cs="Arial" w:eastAsia="Arial" w:hAnsi="Arial"/>
                <w:sz w:val="19"/>
                <w:szCs w:val="19"/>
                <w:color w:val="auto"/>
              </w:rPr>
              <w:t>Marital status</w:t>
            </w: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D64000"/>
              </w:rPr>
              <w:t>●</w:t>
            </w:r>
          </w:p>
        </w:tc>
        <w:tc>
          <w:tcPr>
            <w:tcW w:w="2780" w:type="dxa"/>
            <w:vAlign w:val="bottom"/>
          </w:tcPr>
          <w:p>
            <w:pPr>
              <w:ind w:left="120"/>
              <w:spacing w:after="0" w:line="212" w:lineRule="exact"/>
              <w:rPr>
                <w:sz w:val="20"/>
                <w:szCs w:val="20"/>
                <w:color w:val="auto"/>
              </w:rPr>
            </w:pPr>
            <w:r>
              <w:rPr>
                <w:rFonts w:ascii="Arial" w:cs="Arial" w:eastAsia="Arial" w:hAnsi="Arial"/>
                <w:sz w:val="19"/>
                <w:szCs w:val="19"/>
                <w:color w:val="auto"/>
              </w:rPr>
              <w:t>Any other classification</w:t>
            </w: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D64000"/>
              </w:rPr>
              <w:t>●</w:t>
            </w:r>
          </w:p>
        </w:tc>
        <w:tc>
          <w:tcPr>
            <w:tcW w:w="2740" w:type="dxa"/>
            <w:vAlign w:val="bottom"/>
          </w:tcPr>
          <w:p>
            <w:pPr>
              <w:ind w:left="120"/>
              <w:spacing w:after="0"/>
              <w:rPr>
                <w:sz w:val="20"/>
                <w:szCs w:val="20"/>
                <w:color w:val="auto"/>
              </w:rPr>
            </w:pPr>
            <w:r>
              <w:rPr>
                <w:rFonts w:ascii="Arial" w:cs="Arial" w:eastAsia="Arial" w:hAnsi="Arial"/>
                <w:sz w:val="19"/>
                <w:szCs w:val="19"/>
                <w:color w:val="auto"/>
              </w:rPr>
              <w:t>Sex or gender</w:t>
            </w: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D64000"/>
              </w:rPr>
              <w:t>●</w:t>
            </w:r>
          </w:p>
        </w:tc>
        <w:tc>
          <w:tcPr>
            <w:tcW w:w="3100" w:type="dxa"/>
            <w:vAlign w:val="bottom"/>
          </w:tcPr>
          <w:p>
            <w:pPr>
              <w:ind w:left="100"/>
              <w:spacing w:after="0"/>
              <w:rPr>
                <w:sz w:val="20"/>
                <w:szCs w:val="20"/>
                <w:color w:val="auto"/>
              </w:rPr>
            </w:pPr>
            <w:r>
              <w:rPr>
                <w:rFonts w:ascii="Arial" w:cs="Arial" w:eastAsia="Arial" w:hAnsi="Arial"/>
                <w:sz w:val="19"/>
                <w:szCs w:val="19"/>
                <w:color w:val="auto"/>
              </w:rPr>
              <w:t>National origin</w:t>
            </w:r>
          </w:p>
        </w:tc>
        <w:tc>
          <w:tcPr>
            <w:tcW w:w="680" w:type="dxa"/>
            <w:vAlign w:val="bottom"/>
          </w:tcPr>
          <w:p>
            <w:pPr>
              <w:spacing w:after="0"/>
              <w:rPr>
                <w:sz w:val="20"/>
                <w:szCs w:val="20"/>
                <w:color w:val="auto"/>
              </w:rPr>
            </w:pPr>
          </w:p>
        </w:tc>
        <w:tc>
          <w:tcPr>
            <w:tcW w:w="2780" w:type="dxa"/>
            <w:vAlign w:val="bottom"/>
          </w:tcPr>
          <w:p>
            <w:pPr>
              <w:ind w:left="120"/>
              <w:spacing w:after="0"/>
              <w:rPr>
                <w:sz w:val="20"/>
                <w:szCs w:val="20"/>
                <w:color w:val="auto"/>
              </w:rPr>
            </w:pPr>
            <w:r>
              <w:rPr>
                <w:rFonts w:ascii="Arial" w:cs="Arial" w:eastAsia="Arial" w:hAnsi="Arial"/>
                <w:sz w:val="19"/>
                <w:szCs w:val="19"/>
                <w:color w:val="auto"/>
              </w:rPr>
              <w:t>protected by applicable laws or</w:t>
            </w:r>
          </w:p>
        </w:tc>
        <w:tc>
          <w:tcPr>
            <w:tcW w:w="0" w:type="dxa"/>
            <w:vAlign w:val="bottom"/>
          </w:tcPr>
          <w:p>
            <w:pPr>
              <w:spacing w:after="0"/>
              <w:rPr>
                <w:sz w:val="1"/>
                <w:szCs w:val="1"/>
                <w:color w:val="auto"/>
              </w:rPr>
            </w:pPr>
          </w:p>
        </w:tc>
      </w:tr>
      <w:tr>
        <w:trPr>
          <w:trHeight w:val="252"/>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D64000"/>
              </w:rPr>
              <w:t>●</w:t>
            </w:r>
          </w:p>
        </w:tc>
        <w:tc>
          <w:tcPr>
            <w:tcW w:w="2740" w:type="dxa"/>
            <w:vAlign w:val="bottom"/>
            <w:vMerge w:val="restart"/>
          </w:tcPr>
          <w:p>
            <w:pPr>
              <w:ind w:left="120"/>
              <w:spacing w:after="0"/>
              <w:rPr>
                <w:sz w:val="20"/>
                <w:szCs w:val="20"/>
                <w:color w:val="auto"/>
              </w:rPr>
            </w:pPr>
            <w:r>
              <w:rPr>
                <w:rFonts w:ascii="Arial" w:cs="Arial" w:eastAsia="Arial" w:hAnsi="Arial"/>
                <w:sz w:val="19"/>
                <w:szCs w:val="19"/>
                <w:color w:val="auto"/>
              </w:rPr>
              <w:t>Pregnancy</w:t>
            </w:r>
          </w:p>
        </w:tc>
        <w:tc>
          <w:tcPr>
            <w:tcW w:w="88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D64000"/>
              </w:rPr>
              <w:t>●</w:t>
            </w:r>
          </w:p>
        </w:tc>
        <w:tc>
          <w:tcPr>
            <w:tcW w:w="3100" w:type="dxa"/>
            <w:vAlign w:val="bottom"/>
            <w:vMerge w:val="restart"/>
          </w:tcPr>
          <w:p>
            <w:pPr>
              <w:ind w:left="100"/>
              <w:spacing w:after="0"/>
              <w:rPr>
                <w:sz w:val="20"/>
                <w:szCs w:val="20"/>
                <w:color w:val="auto"/>
              </w:rPr>
            </w:pPr>
            <w:r>
              <w:rPr>
                <w:rFonts w:ascii="Arial" w:cs="Arial" w:eastAsia="Arial" w:hAnsi="Arial"/>
                <w:sz w:val="19"/>
                <w:szCs w:val="19"/>
                <w:color w:val="auto"/>
              </w:rPr>
              <w:t>Citizenship status</w:t>
            </w:r>
          </w:p>
        </w:tc>
        <w:tc>
          <w:tcPr>
            <w:tcW w:w="680" w:type="dxa"/>
            <w:vAlign w:val="bottom"/>
          </w:tcPr>
          <w:p>
            <w:pPr>
              <w:spacing w:after="0"/>
              <w:rPr>
                <w:sz w:val="21"/>
                <w:szCs w:val="21"/>
                <w:color w:val="auto"/>
              </w:rPr>
            </w:pPr>
          </w:p>
        </w:tc>
        <w:tc>
          <w:tcPr>
            <w:tcW w:w="2780" w:type="dxa"/>
            <w:vAlign w:val="bottom"/>
          </w:tcPr>
          <w:p>
            <w:pPr>
              <w:ind w:left="120"/>
              <w:spacing w:after="0"/>
              <w:rPr>
                <w:sz w:val="20"/>
                <w:szCs w:val="20"/>
                <w:color w:val="auto"/>
              </w:rPr>
            </w:pPr>
            <w:r>
              <w:rPr>
                <w:rFonts w:ascii="Arial" w:cs="Arial" w:eastAsia="Arial" w:hAnsi="Arial"/>
                <w:sz w:val="19"/>
                <w:szCs w:val="19"/>
                <w:color w:val="auto"/>
              </w:rPr>
              <w:t>regulations</w:t>
            </w:r>
          </w:p>
        </w:tc>
        <w:tc>
          <w:tcPr>
            <w:tcW w:w="0" w:type="dxa"/>
            <w:vAlign w:val="bottom"/>
          </w:tcPr>
          <w:p>
            <w:pPr>
              <w:spacing w:after="0"/>
              <w:rPr>
                <w:sz w:val="1"/>
                <w:szCs w:val="1"/>
                <w:color w:val="auto"/>
              </w:rPr>
            </w:pPr>
          </w:p>
        </w:tc>
      </w:tr>
      <w:tr>
        <w:trPr>
          <w:trHeight w:val="58"/>
        </w:trPr>
        <w:tc>
          <w:tcPr>
            <w:tcW w:w="240" w:type="dxa"/>
            <w:vAlign w:val="bottom"/>
            <w:vMerge w:val="continue"/>
          </w:tcPr>
          <w:p>
            <w:pPr>
              <w:spacing w:after="0"/>
              <w:rPr>
                <w:sz w:val="5"/>
                <w:szCs w:val="5"/>
                <w:color w:val="auto"/>
              </w:rPr>
            </w:pPr>
          </w:p>
        </w:tc>
        <w:tc>
          <w:tcPr>
            <w:tcW w:w="27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31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D64000"/>
              </w:rPr>
              <w:t>●</w:t>
            </w:r>
          </w:p>
        </w:tc>
        <w:tc>
          <w:tcPr>
            <w:tcW w:w="2740" w:type="dxa"/>
            <w:vAlign w:val="bottom"/>
          </w:tcPr>
          <w:p>
            <w:pPr>
              <w:ind w:left="120"/>
              <w:spacing w:after="0"/>
              <w:rPr>
                <w:sz w:val="20"/>
                <w:szCs w:val="20"/>
                <w:color w:val="auto"/>
              </w:rPr>
            </w:pPr>
            <w:r>
              <w:rPr>
                <w:rFonts w:ascii="Arial" w:cs="Arial" w:eastAsia="Arial" w:hAnsi="Arial"/>
                <w:sz w:val="19"/>
                <w:szCs w:val="19"/>
                <w:color w:val="auto"/>
              </w:rPr>
              <w:t>Sexual orientation</w:t>
            </w: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D64000"/>
              </w:rPr>
              <w:t>●</w:t>
            </w:r>
          </w:p>
        </w:tc>
        <w:tc>
          <w:tcPr>
            <w:tcW w:w="3100" w:type="dxa"/>
            <w:vAlign w:val="bottom"/>
          </w:tcPr>
          <w:p>
            <w:pPr>
              <w:ind w:left="100"/>
              <w:spacing w:after="0"/>
              <w:rPr>
                <w:sz w:val="20"/>
                <w:szCs w:val="20"/>
                <w:color w:val="auto"/>
              </w:rPr>
            </w:pPr>
            <w:r>
              <w:rPr>
                <w:rFonts w:ascii="Arial" w:cs="Arial" w:eastAsia="Arial" w:hAnsi="Arial"/>
                <w:sz w:val="19"/>
                <w:szCs w:val="19"/>
                <w:color w:val="auto"/>
              </w:rPr>
              <w:t>Disability</w:t>
            </w:r>
          </w:p>
        </w:tc>
        <w:tc>
          <w:tcPr>
            <w:tcW w:w="68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700" w:hanging="358"/>
        <w:spacing w:after="0"/>
        <w:tabs>
          <w:tab w:leader="none" w:pos="700" w:val="left"/>
        </w:tabs>
        <w:numPr>
          <w:ilvl w:val="0"/>
          <w:numId w:val="168"/>
        </w:numPr>
        <w:rPr>
          <w:rFonts w:ascii="Times New Roman" w:cs="Times New Roman" w:eastAsia="Times New Roman" w:hAnsi="Times New Roman"/>
          <w:sz w:val="18"/>
          <w:szCs w:val="18"/>
          <w:color w:val="D64000"/>
        </w:rPr>
      </w:pPr>
      <w:r>
        <w:rPr>
          <w:rFonts w:ascii="Arial" w:cs="Arial" w:eastAsia="Arial" w:hAnsi="Arial"/>
          <w:sz w:val="19"/>
          <w:szCs w:val="19"/>
          <w:color w:val="auto"/>
        </w:rPr>
        <w:t>Age</w:t>
      </w:r>
    </w:p>
    <w:p>
      <w:pPr>
        <w:spacing w:after="0" w:line="370" w:lineRule="exact"/>
        <w:rPr>
          <w:sz w:val="20"/>
          <w:szCs w:val="20"/>
          <w:color w:val="auto"/>
        </w:rPr>
      </w:pPr>
    </w:p>
    <w:p>
      <w:pPr>
        <w:spacing w:after="0"/>
        <w:rPr>
          <w:sz w:val="20"/>
          <w:szCs w:val="20"/>
          <w:color w:val="auto"/>
        </w:rPr>
      </w:pPr>
      <w:r>
        <w:rPr>
          <w:rFonts w:ascii="Arial" w:cs="Arial" w:eastAsia="Arial" w:hAnsi="Arial"/>
          <w:sz w:val="26"/>
          <w:szCs w:val="26"/>
          <w:i w:val="1"/>
          <w:iCs w:val="1"/>
          <w:color w:val="D64000"/>
        </w:rPr>
        <w:t>Harassment and bullying</w:t>
      </w:r>
    </w:p>
    <w:p>
      <w:pPr>
        <w:spacing w:after="0" w:line="182" w:lineRule="exact"/>
        <w:rPr>
          <w:sz w:val="20"/>
          <w:szCs w:val="20"/>
          <w:color w:val="auto"/>
        </w:rPr>
      </w:pPr>
    </w:p>
    <w:p>
      <w:pPr>
        <w:ind w:right="440"/>
        <w:spacing w:after="0" w:line="253" w:lineRule="auto"/>
        <w:rPr>
          <w:sz w:val="20"/>
          <w:szCs w:val="20"/>
          <w:color w:val="auto"/>
        </w:rPr>
      </w:pPr>
      <w:r>
        <w:rPr>
          <w:rFonts w:ascii="Arial" w:cs="Arial" w:eastAsia="Arial" w:hAnsi="Arial"/>
          <w:sz w:val="19"/>
          <w:szCs w:val="19"/>
          <w:color w:val="auto"/>
        </w:rPr>
        <w:t>We also do not tolerate harassment of any kind at our workplaces, including sexual harassment and bullying. We support dignity in the workplace without regard for whether the person engaging in the conduct or the recipient is an employee, manager, vendor, supplier, customer, contractor, consultant or visitor. This means we do not allow conduct that:</w:t>
      </w:r>
    </w:p>
    <w:p>
      <w:pPr>
        <w:spacing w:after="0" w:line="64" w:lineRule="exact"/>
        <w:rPr>
          <w:sz w:val="20"/>
          <w:szCs w:val="20"/>
          <w:color w:val="auto"/>
        </w:rPr>
      </w:pPr>
    </w:p>
    <w:p>
      <w:pPr>
        <w:ind w:left="640" w:right="440" w:hanging="324"/>
        <w:spacing w:after="0" w:line="273" w:lineRule="auto"/>
        <w:tabs>
          <w:tab w:leader="none" w:pos="640" w:val="left"/>
        </w:tabs>
        <w:numPr>
          <w:ilvl w:val="0"/>
          <w:numId w:val="169"/>
        </w:numPr>
        <w:rPr>
          <w:rFonts w:ascii="Times New Roman" w:cs="Times New Roman" w:eastAsia="Times New Roman" w:hAnsi="Times New Roman"/>
          <w:sz w:val="18"/>
          <w:szCs w:val="18"/>
          <w:color w:val="D64000"/>
        </w:rPr>
      </w:pPr>
      <w:r>
        <w:rPr>
          <w:rFonts w:ascii="Arial" w:cs="Arial" w:eastAsia="Arial" w:hAnsi="Arial"/>
          <w:sz w:val="19"/>
          <w:szCs w:val="19"/>
          <w:color w:val="auto"/>
        </w:rPr>
        <w:t>Has the purpose or effect of creating an intimidating, hostile or offensive work environment or otherwise adversely affects an individual’s employment opportunities</w:t>
      </w:r>
    </w:p>
    <w:p>
      <w:pPr>
        <w:spacing w:after="0" w:line="6" w:lineRule="exact"/>
        <w:rPr>
          <w:rFonts w:ascii="Times New Roman" w:cs="Times New Roman" w:eastAsia="Times New Roman" w:hAnsi="Times New Roman"/>
          <w:sz w:val="18"/>
          <w:szCs w:val="18"/>
          <w:color w:val="D64000"/>
        </w:rPr>
      </w:pPr>
    </w:p>
    <w:p>
      <w:pPr>
        <w:ind w:left="640" w:hanging="324"/>
        <w:spacing w:after="0"/>
        <w:tabs>
          <w:tab w:leader="none" w:pos="640" w:val="left"/>
        </w:tabs>
        <w:numPr>
          <w:ilvl w:val="0"/>
          <w:numId w:val="169"/>
        </w:numPr>
        <w:rPr>
          <w:rFonts w:ascii="Times New Roman" w:cs="Times New Roman" w:eastAsia="Times New Roman" w:hAnsi="Times New Roman"/>
          <w:sz w:val="18"/>
          <w:szCs w:val="18"/>
          <w:color w:val="D64000"/>
        </w:rPr>
      </w:pPr>
      <w:r>
        <w:rPr>
          <w:rFonts w:ascii="Arial" w:cs="Arial" w:eastAsia="Arial" w:hAnsi="Arial"/>
          <w:sz w:val="19"/>
          <w:szCs w:val="19"/>
          <w:color w:val="auto"/>
        </w:rPr>
        <w:t>Explicitly or implicitly links submission to sexual conduct as a term or condition of employment or promotion decisions</w:t>
      </w:r>
    </w:p>
    <w:p>
      <w:pPr>
        <w:spacing w:after="0" w:line="206"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Thomson Reuters will not tolerate discrimination, harassment or bullying in the workplace. Even if local law does not explicitly prohibit these acts, we hold our employees to a higher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110490</wp:posOffset>
            </wp:positionV>
            <wp:extent cx="6882765" cy="13716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82765" cy="1371600"/>
                    </a:xfrm>
                    <a:prstGeom prst="rect">
                      <a:avLst/>
                    </a:prstGeom>
                    <a:noFill/>
                  </pic:spPr>
                </pic:pic>
              </a:graphicData>
            </a:graphic>
          </wp:anchor>
        </w:drawing>
      </w:r>
    </w:p>
    <w:p>
      <w:pPr>
        <w:spacing w:after="0" w:line="344"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123121"/>
        </w:rPr>
        <w:t>Examples of sexual harassment can include:</w:t>
      </w:r>
    </w:p>
    <w:p>
      <w:pPr>
        <w:spacing w:after="0" w:line="117" w:lineRule="exact"/>
        <w:rPr>
          <w:sz w:val="20"/>
          <w:szCs w:val="20"/>
          <w:color w:val="auto"/>
        </w:rPr>
      </w:pPr>
    </w:p>
    <w:p>
      <w:pPr>
        <w:ind w:left="660" w:hanging="225"/>
        <w:spacing w:after="0"/>
        <w:tabs>
          <w:tab w:leader="none" w:pos="660" w:val="left"/>
        </w:tabs>
        <w:numPr>
          <w:ilvl w:val="0"/>
          <w:numId w:val="170"/>
        </w:numPr>
        <w:rPr>
          <w:rFonts w:ascii="Times New Roman" w:cs="Times New Roman" w:eastAsia="Times New Roman" w:hAnsi="Times New Roman"/>
          <w:sz w:val="18"/>
          <w:szCs w:val="18"/>
          <w:color w:val="D64000"/>
        </w:rPr>
      </w:pPr>
      <w:r>
        <w:rPr>
          <w:rFonts w:ascii="Arial" w:cs="Arial" w:eastAsia="Arial" w:hAnsi="Arial"/>
          <w:sz w:val="18"/>
          <w:szCs w:val="18"/>
          <w:color w:val="auto"/>
        </w:rPr>
        <w:t>Unwelcome propositions, demands or advances of a sexual nature</w:t>
      </w:r>
    </w:p>
    <w:p>
      <w:pPr>
        <w:spacing w:after="0" w:line="123" w:lineRule="exact"/>
        <w:rPr>
          <w:rFonts w:ascii="Times New Roman" w:cs="Times New Roman" w:eastAsia="Times New Roman" w:hAnsi="Times New Roman"/>
          <w:sz w:val="18"/>
          <w:szCs w:val="18"/>
          <w:color w:val="D64000"/>
        </w:rPr>
      </w:pPr>
    </w:p>
    <w:p>
      <w:pPr>
        <w:ind w:left="660" w:hanging="225"/>
        <w:spacing w:after="0"/>
        <w:tabs>
          <w:tab w:leader="none" w:pos="660" w:val="left"/>
        </w:tabs>
        <w:numPr>
          <w:ilvl w:val="0"/>
          <w:numId w:val="170"/>
        </w:numPr>
        <w:rPr>
          <w:rFonts w:ascii="Times New Roman" w:cs="Times New Roman" w:eastAsia="Times New Roman" w:hAnsi="Times New Roman"/>
          <w:sz w:val="18"/>
          <w:szCs w:val="18"/>
          <w:color w:val="D64000"/>
        </w:rPr>
      </w:pPr>
      <w:r>
        <w:rPr>
          <w:rFonts w:ascii="Arial" w:cs="Arial" w:eastAsia="Arial" w:hAnsi="Arial"/>
          <w:sz w:val="18"/>
          <w:szCs w:val="18"/>
          <w:color w:val="auto"/>
        </w:rPr>
        <w:t>Unwelcome physical contact such as hugging, kissing, grabbing, pinching, patting, or brushing up against someone</w:t>
      </w:r>
    </w:p>
    <w:p>
      <w:pPr>
        <w:spacing w:after="0" w:line="123" w:lineRule="exact"/>
        <w:rPr>
          <w:rFonts w:ascii="Times New Roman" w:cs="Times New Roman" w:eastAsia="Times New Roman" w:hAnsi="Times New Roman"/>
          <w:sz w:val="18"/>
          <w:szCs w:val="18"/>
          <w:color w:val="D64000"/>
        </w:rPr>
      </w:pPr>
    </w:p>
    <w:p>
      <w:pPr>
        <w:ind w:left="660" w:right="160" w:hanging="225"/>
        <w:spacing w:after="0" w:line="258" w:lineRule="auto"/>
        <w:tabs>
          <w:tab w:leader="none" w:pos="660" w:val="left"/>
        </w:tabs>
        <w:numPr>
          <w:ilvl w:val="0"/>
          <w:numId w:val="170"/>
        </w:numPr>
        <w:rPr>
          <w:rFonts w:ascii="Times New Roman" w:cs="Times New Roman" w:eastAsia="Times New Roman" w:hAnsi="Times New Roman"/>
          <w:sz w:val="18"/>
          <w:szCs w:val="18"/>
          <w:color w:val="D64000"/>
        </w:rPr>
      </w:pPr>
      <w:r>
        <w:rPr>
          <w:rFonts w:ascii="Arial" w:cs="Arial" w:eastAsia="Arial" w:hAnsi="Arial"/>
          <w:sz w:val="18"/>
          <w:szCs w:val="18"/>
          <w:color w:val="auto"/>
        </w:rPr>
        <w:t>Unwelcome and inappropriate remarks about someone’s body or appearance, sexual gestures or comments or unwanted verbal or physical interactions of a sexual nature</w:t>
      </w:r>
    </w:p>
    <w:p>
      <w:pPr>
        <w:spacing w:after="0" w:line="70" w:lineRule="exact"/>
        <w:rPr>
          <w:rFonts w:ascii="Times New Roman" w:cs="Times New Roman" w:eastAsia="Times New Roman" w:hAnsi="Times New Roman"/>
          <w:sz w:val="18"/>
          <w:szCs w:val="18"/>
          <w:color w:val="D64000"/>
        </w:rPr>
      </w:pPr>
    </w:p>
    <w:p>
      <w:pPr>
        <w:ind w:left="660" w:hanging="225"/>
        <w:spacing w:after="0"/>
        <w:tabs>
          <w:tab w:leader="none" w:pos="660" w:val="left"/>
        </w:tabs>
        <w:numPr>
          <w:ilvl w:val="0"/>
          <w:numId w:val="170"/>
        </w:numPr>
        <w:rPr>
          <w:rFonts w:ascii="Times New Roman" w:cs="Times New Roman" w:eastAsia="Times New Roman" w:hAnsi="Times New Roman"/>
          <w:sz w:val="18"/>
          <w:szCs w:val="18"/>
          <w:color w:val="D64000"/>
        </w:rPr>
      </w:pPr>
      <w:r>
        <w:rPr>
          <w:rFonts w:ascii="Arial" w:cs="Arial" w:eastAsia="Arial" w:hAnsi="Arial"/>
          <w:sz w:val="18"/>
          <w:szCs w:val="18"/>
          <w:color w:val="auto"/>
        </w:rPr>
        <w:t>Unwelcome vulgar or obscene gestures, language, or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248920</wp:posOffset>
            </wp:positionV>
            <wp:extent cx="6882765" cy="123698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82765" cy="1236980"/>
                    </a:xfrm>
                    <a:prstGeom prst="rect">
                      <a:avLst/>
                    </a:prstGeom>
                    <a:noFill/>
                  </pic:spPr>
                </pic:pic>
              </a:graphicData>
            </a:graphic>
          </wp:anchor>
        </w:drawing>
      </w:r>
    </w:p>
    <w:p>
      <w:pPr>
        <w:sectPr>
          <w:pgSz w:w="11900" w:h="16838" w:orient="portrait"/>
          <w:cols w:equalWidth="0" w:num="1">
            <w:col w:w="10820"/>
          </w:cols>
          <w:pgMar w:left="540" w:top="253" w:right="5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100"/>
        <w:spacing w:after="0"/>
        <w:rPr>
          <w:sz w:val="20"/>
          <w:szCs w:val="20"/>
          <w:color w:val="auto"/>
        </w:rPr>
      </w:pPr>
      <w:r>
        <w:rPr>
          <w:rFonts w:ascii="Arial" w:cs="Arial" w:eastAsia="Arial" w:hAnsi="Arial"/>
          <w:sz w:val="19"/>
          <w:szCs w:val="19"/>
          <w:b w:val="1"/>
          <w:bCs w:val="1"/>
          <w:i w:val="1"/>
          <w:iCs w:val="1"/>
          <w:color w:val="123121"/>
        </w:rPr>
        <w:t>Examples of bullying can include:</w:t>
      </w:r>
    </w:p>
    <w:p>
      <w:pPr>
        <w:spacing w:after="0" w:line="117" w:lineRule="exact"/>
        <w:rPr>
          <w:sz w:val="20"/>
          <w:szCs w:val="20"/>
          <w:color w:val="auto"/>
        </w:rPr>
      </w:pPr>
    </w:p>
    <w:p>
      <w:pPr>
        <w:ind w:left="620" w:hanging="185"/>
        <w:spacing w:after="0"/>
        <w:tabs>
          <w:tab w:leader="none" w:pos="620" w:val="left"/>
        </w:tabs>
        <w:numPr>
          <w:ilvl w:val="0"/>
          <w:numId w:val="171"/>
        </w:numPr>
        <w:rPr>
          <w:rFonts w:ascii="Times New Roman" w:cs="Times New Roman" w:eastAsia="Times New Roman" w:hAnsi="Times New Roman"/>
          <w:sz w:val="18"/>
          <w:szCs w:val="18"/>
          <w:color w:val="D64000"/>
        </w:rPr>
      </w:pPr>
      <w:r>
        <w:rPr>
          <w:rFonts w:ascii="Arial" w:cs="Arial" w:eastAsia="Arial" w:hAnsi="Arial"/>
          <w:sz w:val="18"/>
          <w:szCs w:val="18"/>
          <w:color w:val="auto"/>
        </w:rPr>
        <w:t>Humiliation, threats, or abuse</w:t>
      </w:r>
    </w:p>
    <w:p>
      <w:pPr>
        <w:spacing w:after="0" w:line="123" w:lineRule="exact"/>
        <w:rPr>
          <w:rFonts w:ascii="Times New Roman" w:cs="Times New Roman" w:eastAsia="Times New Roman" w:hAnsi="Times New Roman"/>
          <w:sz w:val="18"/>
          <w:szCs w:val="18"/>
          <w:color w:val="D64000"/>
        </w:rPr>
      </w:pPr>
    </w:p>
    <w:p>
      <w:pPr>
        <w:ind w:left="620" w:hanging="185"/>
        <w:spacing w:after="0"/>
        <w:tabs>
          <w:tab w:leader="none" w:pos="620" w:val="left"/>
        </w:tabs>
        <w:numPr>
          <w:ilvl w:val="0"/>
          <w:numId w:val="171"/>
        </w:numPr>
        <w:rPr>
          <w:rFonts w:ascii="Times New Roman" w:cs="Times New Roman" w:eastAsia="Times New Roman" w:hAnsi="Times New Roman"/>
          <w:sz w:val="18"/>
          <w:szCs w:val="18"/>
          <w:color w:val="D64000"/>
        </w:rPr>
      </w:pPr>
      <w:r>
        <w:rPr>
          <w:rFonts w:ascii="Arial" w:cs="Arial" w:eastAsia="Arial" w:hAnsi="Arial"/>
          <w:sz w:val="18"/>
          <w:szCs w:val="18"/>
          <w:color w:val="auto"/>
        </w:rPr>
        <w:t>Aggressive behavior</w:t>
      </w:r>
    </w:p>
    <w:p>
      <w:pPr>
        <w:spacing w:after="0" w:line="123" w:lineRule="exact"/>
        <w:rPr>
          <w:rFonts w:ascii="Times New Roman" w:cs="Times New Roman" w:eastAsia="Times New Roman" w:hAnsi="Times New Roman"/>
          <w:sz w:val="18"/>
          <w:szCs w:val="18"/>
          <w:color w:val="D64000"/>
        </w:rPr>
      </w:pPr>
    </w:p>
    <w:p>
      <w:pPr>
        <w:ind w:left="620" w:hanging="185"/>
        <w:spacing w:after="0"/>
        <w:tabs>
          <w:tab w:leader="none" w:pos="620" w:val="left"/>
        </w:tabs>
        <w:numPr>
          <w:ilvl w:val="0"/>
          <w:numId w:val="171"/>
        </w:numPr>
        <w:rPr>
          <w:rFonts w:ascii="Times New Roman" w:cs="Times New Roman" w:eastAsia="Times New Roman" w:hAnsi="Times New Roman"/>
          <w:sz w:val="18"/>
          <w:szCs w:val="18"/>
          <w:color w:val="D64000"/>
        </w:rPr>
      </w:pPr>
      <w:r>
        <w:rPr>
          <w:rFonts w:ascii="Arial" w:cs="Arial" w:eastAsia="Arial" w:hAnsi="Arial"/>
          <w:sz w:val="18"/>
          <w:szCs w:val="18"/>
          <w:color w:val="auto"/>
        </w:rPr>
        <w:t>Teasing or practical jokes</w:t>
      </w:r>
    </w:p>
    <w:p>
      <w:pPr>
        <w:spacing w:after="0" w:line="123" w:lineRule="exact"/>
        <w:rPr>
          <w:rFonts w:ascii="Times New Roman" w:cs="Times New Roman" w:eastAsia="Times New Roman" w:hAnsi="Times New Roman"/>
          <w:sz w:val="18"/>
          <w:szCs w:val="18"/>
          <w:color w:val="D64000"/>
        </w:rPr>
      </w:pPr>
    </w:p>
    <w:p>
      <w:pPr>
        <w:ind w:left="620" w:hanging="185"/>
        <w:spacing w:after="0"/>
        <w:tabs>
          <w:tab w:leader="none" w:pos="620" w:val="left"/>
        </w:tabs>
        <w:numPr>
          <w:ilvl w:val="0"/>
          <w:numId w:val="171"/>
        </w:numPr>
        <w:rPr>
          <w:rFonts w:ascii="Times New Roman" w:cs="Times New Roman" w:eastAsia="Times New Roman" w:hAnsi="Times New Roman"/>
          <w:sz w:val="17"/>
          <w:szCs w:val="17"/>
          <w:color w:val="D64000"/>
        </w:rPr>
      </w:pPr>
      <w:r>
        <w:rPr>
          <w:rFonts w:ascii="Arial" w:cs="Arial" w:eastAsia="Arial" w:hAnsi="Arial"/>
          <w:sz w:val="17"/>
          <w:szCs w:val="17"/>
          <w:color w:val="auto"/>
        </w:rPr>
        <w:t>Pressuring someone to do something against their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323850</wp:posOffset>
            </wp:positionV>
            <wp:extent cx="967740" cy="32829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123121"/>
        </w:rPr>
        <w:t>Examples of harassment can include :</w:t>
      </w:r>
    </w:p>
    <w:p>
      <w:pPr>
        <w:spacing w:after="0" w:line="117" w:lineRule="exact"/>
        <w:rPr>
          <w:sz w:val="20"/>
          <w:szCs w:val="20"/>
          <w:color w:val="auto"/>
        </w:rPr>
      </w:pPr>
    </w:p>
    <w:p>
      <w:pPr>
        <w:ind w:left="480" w:right="260" w:hanging="191"/>
        <w:spacing w:after="0" w:line="258" w:lineRule="auto"/>
        <w:tabs>
          <w:tab w:leader="none" w:pos="480" w:val="left"/>
        </w:tabs>
        <w:numPr>
          <w:ilvl w:val="0"/>
          <w:numId w:val="172"/>
        </w:numPr>
        <w:rPr>
          <w:rFonts w:ascii="Times New Roman" w:cs="Times New Roman" w:eastAsia="Times New Roman" w:hAnsi="Times New Roman"/>
          <w:sz w:val="18"/>
          <w:szCs w:val="18"/>
          <w:color w:val="D64000"/>
        </w:rPr>
      </w:pPr>
      <w:r>
        <w:rPr>
          <w:rFonts w:ascii="Arial" w:cs="Arial" w:eastAsia="Arial" w:hAnsi="Arial"/>
          <w:sz w:val="18"/>
          <w:szCs w:val="18"/>
          <w:color w:val="auto"/>
        </w:rPr>
        <w:t>Slurs, disparaging remarks, off-color jokes, insults, vulgar language, epithets, and teasing</w:t>
      </w:r>
    </w:p>
    <w:p>
      <w:pPr>
        <w:spacing w:after="0" w:line="70" w:lineRule="exact"/>
        <w:rPr>
          <w:rFonts w:ascii="Times New Roman" w:cs="Times New Roman" w:eastAsia="Times New Roman" w:hAnsi="Times New Roman"/>
          <w:sz w:val="18"/>
          <w:szCs w:val="18"/>
          <w:color w:val="D64000"/>
        </w:rPr>
      </w:pPr>
    </w:p>
    <w:p>
      <w:pPr>
        <w:ind w:left="480" w:right="160" w:hanging="191"/>
        <w:spacing w:after="0" w:line="258" w:lineRule="auto"/>
        <w:tabs>
          <w:tab w:leader="none" w:pos="480" w:val="left"/>
        </w:tabs>
        <w:numPr>
          <w:ilvl w:val="0"/>
          <w:numId w:val="172"/>
        </w:numPr>
        <w:rPr>
          <w:rFonts w:ascii="Times New Roman" w:cs="Times New Roman" w:eastAsia="Times New Roman" w:hAnsi="Times New Roman"/>
          <w:sz w:val="18"/>
          <w:szCs w:val="18"/>
          <w:color w:val="D64000"/>
        </w:rPr>
      </w:pPr>
      <w:r>
        <w:rPr>
          <w:rFonts w:ascii="Arial" w:cs="Arial" w:eastAsia="Arial" w:hAnsi="Arial"/>
          <w:sz w:val="18"/>
          <w:szCs w:val="18"/>
          <w:color w:val="auto"/>
        </w:rPr>
        <w:t>Displaying offensive posters, symbols, cartoons, drawings, computer images or e-mails</w:t>
      </w:r>
    </w:p>
    <w:p>
      <w:pPr>
        <w:spacing w:after="0" w:line="427" w:lineRule="exact"/>
        <w:rPr>
          <w:sz w:val="20"/>
          <w:szCs w:val="20"/>
          <w:color w:val="auto"/>
        </w:rPr>
      </w:pPr>
    </w:p>
    <w:p>
      <w:pPr>
        <w:sectPr>
          <w:pgSz w:w="11900" w:h="16838" w:orient="portrait"/>
          <w:cols w:equalWidth="0" w:num="2">
            <w:col w:w="4900" w:space="720"/>
            <w:col w:w="5200"/>
          </w:cols>
          <w:pgMar w:left="540" w:top="253" w:right="539" w:bottom="1440" w:gutter="0" w:footer="0" w:header="0"/>
          <w:type w:val="continuous"/>
        </w:sectPr>
      </w:pPr>
    </w:p>
    <w:p>
      <w:pPr>
        <w:spacing w:after="0" w:line="200" w:lineRule="exact"/>
        <w:rPr>
          <w:sz w:val="20"/>
          <w:szCs w:val="20"/>
          <w:color w:val="auto"/>
        </w:rPr>
      </w:pPr>
    </w:p>
    <w:p>
      <w:pPr>
        <w:spacing w:after="0" w:line="393" w:lineRule="exact"/>
        <w:rPr>
          <w:sz w:val="20"/>
          <w:szCs w:val="20"/>
          <w:color w:val="auto"/>
        </w:rPr>
      </w:pPr>
    </w:p>
    <w:tbl>
      <w:tblPr>
        <w:tblLayout w:type="fixed"/>
        <w:tblInd w:w="4360"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12</w:t>
            </w:r>
          </w:p>
        </w:tc>
      </w:tr>
    </w:tbl>
    <w:p>
      <w:pPr>
        <w:sectPr>
          <w:pgSz w:w="11900" w:h="16838" w:orient="portrait"/>
          <w:cols w:equalWidth="0" w:num="1">
            <w:col w:w="10820"/>
          </w:cols>
          <w:pgMar w:left="540" w:top="253" w:right="539" w:bottom="1440" w:gutter="0" w:footer="0" w:header="0"/>
          <w:type w:val="continuous"/>
        </w:sectPr>
      </w:pPr>
    </w:p>
    <w:bookmarkStart w:id="193" w:name="page194"/>
    <w:bookmarkEnd w:id="193"/>
    <w:p>
      <w:pPr>
        <w:spacing w:after="0"/>
        <w:rPr>
          <w:sz w:val="20"/>
          <w:szCs w:val="20"/>
          <w:color w:val="auto"/>
        </w:rPr>
      </w:pPr>
      <w:r>
        <w:rPr>
          <w:rFonts w:ascii="Arial" w:cs="Arial" w:eastAsia="Arial" w:hAnsi="Arial"/>
          <w:sz w:val="21"/>
          <w:szCs w:val="21"/>
          <w:b w:val="1"/>
          <w:bCs w:val="1"/>
          <w:i w:val="1"/>
          <w:iCs w:val="1"/>
          <w:color w:val="D64000"/>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6770" cy="38100"/>
                    </a:xfrm>
                    <a:prstGeom prst="rect">
                      <a:avLst/>
                    </a:prstGeom>
                    <a:noFill/>
                  </pic:spPr>
                </pic:pic>
              </a:graphicData>
            </a:graphic>
          </wp:anchor>
        </w:drawing>
        <w:drawing>
          <wp:anchor simplePos="0" relativeHeight="251657728" behindDoc="1" locked="0" layoutInCell="0" allowOverlap="1">
            <wp:simplePos x="0" y="0"/>
            <wp:positionH relativeFrom="page">
              <wp:posOffset>341630</wp:posOffset>
            </wp:positionH>
            <wp:positionV relativeFrom="page">
              <wp:posOffset>181610</wp:posOffset>
            </wp:positionV>
            <wp:extent cx="6899275" cy="191833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99275" cy="1918335"/>
                    </a:xfrm>
                    <a:prstGeom prst="rect">
                      <a:avLst/>
                    </a:prstGeom>
                    <a:noFill/>
                  </pic:spPr>
                </pic:pic>
              </a:graphicData>
            </a:graphic>
          </wp:anchor>
        </w:drawing>
        <w:t>  Connecting the dots</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auto"/>
        </w:rPr>
        <w:t>Q</w:t>
      </w:r>
      <w:r>
        <w:rPr>
          <w:rFonts w:ascii="Arial" w:cs="Arial" w:eastAsia="Arial" w:hAnsi="Arial"/>
          <w:sz w:val="17"/>
          <w:szCs w:val="17"/>
          <w:b w:val="1"/>
          <w:bCs w:val="1"/>
          <w:color w:val="auto"/>
        </w:rPr>
        <w:t xml:space="preserve">    I’ve noticed that one of our customers keeps making mildly sexual comments that seem to make one of my colleagues</w:t>
      </w:r>
    </w:p>
    <w:p>
      <w:pPr>
        <w:spacing w:after="0" w:line="26" w:lineRule="exact"/>
        <w:rPr>
          <w:sz w:val="20"/>
          <w:szCs w:val="20"/>
          <w:color w:val="auto"/>
        </w:rPr>
      </w:pPr>
    </w:p>
    <w:p>
      <w:pPr>
        <w:ind w:left="520" w:right="560"/>
        <w:spacing w:after="0" w:line="252" w:lineRule="auto"/>
        <w:rPr>
          <w:sz w:val="20"/>
          <w:szCs w:val="20"/>
          <w:color w:val="auto"/>
        </w:rPr>
      </w:pPr>
      <w:r>
        <w:rPr>
          <w:rFonts w:ascii="Arial" w:cs="Arial" w:eastAsia="Arial" w:hAnsi="Arial"/>
          <w:sz w:val="18"/>
          <w:szCs w:val="18"/>
          <w:b w:val="1"/>
          <w:bCs w:val="1"/>
          <w:color w:val="auto"/>
        </w:rPr>
        <w:t>uncomfortable. If that colleague never makes a complaint to the company, is there anything I can do? Do we have to accept the behavior to maintain the customer relationship?</w:t>
      </w:r>
    </w:p>
    <w:p>
      <w:pPr>
        <w:spacing w:after="0" w:line="153"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auto"/>
        </w:rPr>
        <w:t>A</w:t>
      </w:r>
      <w:r>
        <w:rPr>
          <w:rFonts w:ascii="Arial" w:cs="Arial" w:eastAsia="Arial" w:hAnsi="Arial"/>
          <w:sz w:val="17"/>
          <w:szCs w:val="17"/>
          <w:color w:val="auto"/>
        </w:rPr>
        <w:t xml:space="preserve">    Even if an apparent target of the behavior does not make a complaint, the individual still may be uncomfortable. You should talk to</w:t>
      </w:r>
    </w:p>
    <w:p>
      <w:pPr>
        <w:spacing w:after="0" w:line="26" w:lineRule="exact"/>
        <w:rPr>
          <w:sz w:val="20"/>
          <w:szCs w:val="20"/>
          <w:color w:val="auto"/>
        </w:rPr>
      </w:pPr>
    </w:p>
    <w:p>
      <w:pPr>
        <w:ind w:left="520" w:right="120"/>
        <w:spacing w:after="0"/>
        <w:rPr>
          <w:sz w:val="20"/>
          <w:szCs w:val="20"/>
          <w:color w:val="auto"/>
        </w:rPr>
      </w:pPr>
      <w:r>
        <w:rPr>
          <w:rFonts w:ascii="Arial" w:cs="Arial" w:eastAsia="Arial" w:hAnsi="Arial"/>
          <w:sz w:val="18"/>
          <w:szCs w:val="18"/>
          <w:color w:val="auto"/>
        </w:rPr>
        <w:t>Human Resources. While Thomson Reuters is always mindful of customer relationships, we never want our employees to be in an uncomfortable work environment. The company will take appropriate steps to address the behavior.</w:t>
      </w:r>
    </w:p>
    <w:p>
      <w:pPr>
        <w:spacing w:after="0" w:line="237" w:lineRule="exact"/>
        <w:rPr>
          <w:sz w:val="20"/>
          <w:szCs w:val="20"/>
          <w:color w:val="auto"/>
        </w:rPr>
      </w:pPr>
    </w:p>
    <w:p>
      <w:pPr>
        <w:ind w:left="100"/>
        <w:spacing w:after="0"/>
        <w:rPr>
          <w:sz w:val="20"/>
          <w:szCs w:val="20"/>
          <w:color w:val="auto"/>
        </w:rPr>
      </w:pPr>
      <w:r>
        <w:rPr>
          <w:rFonts w:ascii="Arial" w:cs="Arial" w:eastAsia="Arial" w:hAnsi="Arial"/>
          <w:sz w:val="26"/>
          <w:szCs w:val="26"/>
          <w:i w:val="1"/>
          <w:iCs w:val="1"/>
          <w:color w:val="D64000"/>
        </w:rPr>
        <w:t>Speaking up for safe workplaces</w:t>
      </w:r>
    </w:p>
    <w:p>
      <w:pPr>
        <w:spacing w:after="0" w:line="155" w:lineRule="exact"/>
        <w:rPr>
          <w:sz w:val="20"/>
          <w:szCs w:val="20"/>
          <w:color w:val="auto"/>
        </w:rPr>
      </w:pPr>
    </w:p>
    <w:p>
      <w:pPr>
        <w:ind w:left="100" w:right="100"/>
        <w:spacing w:after="0" w:line="245" w:lineRule="auto"/>
        <w:rPr>
          <w:sz w:val="20"/>
          <w:szCs w:val="20"/>
          <w:color w:val="auto"/>
        </w:rPr>
      </w:pPr>
      <w:r>
        <w:rPr>
          <w:rFonts w:ascii="Arial" w:cs="Arial" w:eastAsia="Arial" w:hAnsi="Arial"/>
          <w:sz w:val="19"/>
          <w:szCs w:val="19"/>
          <w:color w:val="auto"/>
        </w:rPr>
        <w:t xml:space="preserve">If you witness inappropriate conduct in the workplace, speak up and do not look the other way, regardless of whether the individual who engaged in the behavior is a manager, colleague, vendor, supplier, customer, contractor, consultant or visitor. If you are comfortable addressing the behavior directly with the individual who engaged in it, you may, however, you are not required to do so. In any event, you should contact the Human Resources department or </w:t>
      </w:r>
      <w:r>
        <w:rPr>
          <w:rFonts w:ascii="Arial" w:cs="Arial" w:eastAsia="Arial" w:hAnsi="Arial"/>
          <w:sz w:val="19"/>
          <w:szCs w:val="19"/>
          <w:b w:val="1"/>
          <w:bCs w:val="1"/>
          <w:color w:val="1A7EE5"/>
        </w:rPr>
        <w:t>Seek Help</w:t>
      </w:r>
      <w:r>
        <w:rPr>
          <w:rFonts w:ascii="Arial" w:cs="Arial" w:eastAsia="Arial" w:hAnsi="Arial"/>
          <w:sz w:val="19"/>
          <w:szCs w:val="19"/>
          <w:color w:val="auto"/>
        </w:rPr>
        <w:t xml:space="preserve"> (and contact the </w:t>
      </w:r>
      <w:r>
        <w:rPr>
          <w:rFonts w:ascii="Arial" w:cs="Arial" w:eastAsia="Arial" w:hAnsi="Arial"/>
          <w:sz w:val="19"/>
          <w:szCs w:val="19"/>
          <w:b w:val="1"/>
          <w:bCs w:val="1"/>
          <w:color w:val="1A7EE5"/>
        </w:rPr>
        <w:t xml:space="preserve">Security Operations Center (SOC) </w:t>
      </w:r>
      <w:r>
        <w:rPr>
          <w:rFonts w:ascii="Arial" w:cs="Arial" w:eastAsia="Arial" w:hAnsi="Arial"/>
          <w:sz w:val="19"/>
          <w:szCs w:val="19"/>
          <w:color w:val="000000"/>
        </w:rPr>
        <w:t>if you believe the particular situation may require their involvement).</w:t>
      </w:r>
    </w:p>
    <w:p>
      <w:pPr>
        <w:spacing w:after="0" w:line="157" w:lineRule="exact"/>
        <w:rPr>
          <w:sz w:val="20"/>
          <w:szCs w:val="20"/>
          <w:color w:val="auto"/>
        </w:rPr>
      </w:pPr>
    </w:p>
    <w:p>
      <w:pPr>
        <w:ind w:left="100" w:right="220"/>
        <w:spacing w:after="0" w:line="273" w:lineRule="auto"/>
        <w:rPr>
          <w:sz w:val="20"/>
          <w:szCs w:val="20"/>
          <w:color w:val="auto"/>
        </w:rPr>
      </w:pPr>
      <w:r>
        <w:rPr>
          <w:rFonts w:ascii="Arial" w:cs="Arial" w:eastAsia="Arial" w:hAnsi="Arial"/>
          <w:sz w:val="19"/>
          <w:szCs w:val="19"/>
          <w:color w:val="auto"/>
        </w:rPr>
        <w:t>Thomson Reuters will take prompt and appropriate action if it determines that a violation has occurred, which may result in disciplinary action, up to and including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110490</wp:posOffset>
            </wp:positionV>
            <wp:extent cx="6882765" cy="95123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82765" cy="95123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123121"/>
        </w:rPr>
        <w:t>Managers</w:t>
      </w:r>
    </w:p>
    <w:p>
      <w:pPr>
        <w:spacing w:after="0" w:line="104" w:lineRule="exact"/>
        <w:rPr>
          <w:sz w:val="20"/>
          <w:szCs w:val="20"/>
          <w:color w:val="auto"/>
        </w:rPr>
      </w:pPr>
    </w:p>
    <w:p>
      <w:pPr>
        <w:ind w:left="120" w:right="580"/>
        <w:spacing w:after="0" w:line="244" w:lineRule="auto"/>
        <w:rPr>
          <w:sz w:val="20"/>
          <w:szCs w:val="20"/>
          <w:color w:val="auto"/>
        </w:rPr>
      </w:pPr>
      <w:r>
        <w:rPr>
          <w:rFonts w:ascii="Arial" w:cs="Arial" w:eastAsia="Arial" w:hAnsi="Arial"/>
          <w:sz w:val="18"/>
          <w:szCs w:val="18"/>
          <w:color w:val="auto"/>
        </w:rPr>
        <w:t>We hold managers (which include supervisors) to an even higher standard and require them to raise or address any inappropriate conduct they learn of in the workplace, even if they are aware of it indirectly or have not received a specific complaint about the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266065</wp:posOffset>
            </wp:positionV>
            <wp:extent cx="967740" cy="32829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4360"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13</w:t>
            </w:r>
          </w:p>
        </w:tc>
      </w:tr>
    </w:tbl>
    <w:p>
      <w:pPr>
        <w:sectPr>
          <w:pgSz w:w="11900" w:h="16838" w:orient="portrait"/>
          <w:cols w:equalWidth="0" w:num="1">
            <w:col w:w="10820"/>
          </w:cols>
          <w:pgMar w:left="540" w:top="1067" w:right="539" w:bottom="1440" w:gutter="0" w:footer="0" w:header="0"/>
        </w:sectPr>
      </w:pPr>
    </w:p>
    <w:bookmarkStart w:id="194" w:name="page195"/>
    <w:bookmarkEnd w:id="194"/>
    <w:p>
      <w:pPr>
        <w:spacing w:after="0"/>
        <w:rPr>
          <w:sz w:val="20"/>
          <w:szCs w:val="20"/>
          <w:color w:val="auto"/>
        </w:rPr>
      </w:pPr>
      <w:r>
        <w:rPr>
          <w:rFonts w:ascii="Arial" w:cs="Arial" w:eastAsia="Arial" w:hAnsi="Arial"/>
          <w:sz w:val="35"/>
          <w:szCs w:val="35"/>
          <w:b w:val="1"/>
          <w:bCs w:val="1"/>
          <w:color w:val="D64000"/>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Keeping workplaces safe, secure and healthy</w:t>
      </w:r>
    </w:p>
    <w:p>
      <w:pPr>
        <w:spacing w:after="0" w:line="279"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We are trusted to . . .</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…ensure a work environment where health, safety and security are paramount.</w:t>
      </w:r>
    </w:p>
    <w:p>
      <w:pPr>
        <w:spacing w:after="0" w:line="248"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Why it matters</w:t>
      </w:r>
    </w:p>
    <w:p>
      <w:pPr>
        <w:spacing w:after="0" w:line="232" w:lineRule="exact"/>
        <w:rPr>
          <w:sz w:val="20"/>
          <w:szCs w:val="20"/>
          <w:color w:val="auto"/>
        </w:rPr>
      </w:pPr>
    </w:p>
    <w:p>
      <w:pPr>
        <w:ind w:right="320"/>
        <w:spacing w:after="0" w:line="273" w:lineRule="auto"/>
        <w:rPr>
          <w:sz w:val="20"/>
          <w:szCs w:val="20"/>
          <w:color w:val="auto"/>
        </w:rPr>
      </w:pPr>
      <w:r>
        <w:rPr>
          <w:rFonts w:ascii="Arial" w:cs="Arial" w:eastAsia="Arial" w:hAnsi="Arial"/>
          <w:sz w:val="19"/>
          <w:szCs w:val="19"/>
          <w:color w:val="auto"/>
        </w:rPr>
        <w:t>A safe and healthy workplace not only protects us from harm but also builds trust, prevents costly accidents and enhances the company’s reputation as a responsible corporate citizen.</w:t>
      </w:r>
    </w:p>
    <w:p>
      <w:pPr>
        <w:spacing w:after="0" w:line="18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How we deliver</w:t>
      </w:r>
    </w:p>
    <w:p>
      <w:pPr>
        <w:spacing w:after="0" w:line="162" w:lineRule="exact"/>
        <w:rPr>
          <w:sz w:val="20"/>
          <w:szCs w:val="20"/>
          <w:color w:val="auto"/>
        </w:rPr>
      </w:pPr>
    </w:p>
    <w:p>
      <w:pPr>
        <w:spacing w:after="0"/>
        <w:rPr>
          <w:sz w:val="20"/>
          <w:szCs w:val="20"/>
          <w:color w:val="auto"/>
        </w:rPr>
      </w:pPr>
      <w:r>
        <w:rPr>
          <w:rFonts w:ascii="Arial" w:cs="Arial" w:eastAsia="Arial" w:hAnsi="Arial"/>
          <w:sz w:val="26"/>
          <w:szCs w:val="26"/>
          <w:i w:val="1"/>
          <w:iCs w:val="1"/>
          <w:color w:val="D64000"/>
        </w:rPr>
        <w:t>Health and safety</w:t>
      </w:r>
    </w:p>
    <w:p>
      <w:pPr>
        <w:spacing w:after="0" w:line="155" w:lineRule="exact"/>
        <w:rPr>
          <w:sz w:val="20"/>
          <w:szCs w:val="20"/>
          <w:color w:val="auto"/>
        </w:rPr>
      </w:pPr>
    </w:p>
    <w:p>
      <w:pPr>
        <w:ind w:right="260"/>
        <w:spacing w:after="0" w:line="253" w:lineRule="auto"/>
        <w:rPr>
          <w:sz w:val="20"/>
          <w:szCs w:val="20"/>
          <w:color w:val="auto"/>
        </w:rPr>
      </w:pPr>
      <w:r>
        <w:rPr>
          <w:rFonts w:ascii="Arial" w:cs="Arial" w:eastAsia="Arial" w:hAnsi="Arial"/>
          <w:sz w:val="19"/>
          <w:szCs w:val="19"/>
          <w:color w:val="auto"/>
        </w:rPr>
        <w:t>To conduct business operations and activities in a manner that prevents injury and ill-health for employees, customers, visitors and contractors, protects the environment, conserves natural resources and positions us as a responsible neighbor, we:</w:t>
      </w:r>
    </w:p>
    <w:p>
      <w:pPr>
        <w:spacing w:after="0" w:line="157" w:lineRule="exact"/>
        <w:rPr>
          <w:sz w:val="20"/>
          <w:szCs w:val="20"/>
          <w:color w:val="auto"/>
        </w:rPr>
      </w:pPr>
    </w:p>
    <w:p>
      <w:pPr>
        <w:ind w:left="840" w:right="340" w:hanging="418"/>
        <w:spacing w:after="0" w:line="273" w:lineRule="auto"/>
        <w:tabs>
          <w:tab w:leader="none" w:pos="840" w:val="left"/>
        </w:tabs>
        <w:numPr>
          <w:ilvl w:val="0"/>
          <w:numId w:val="173"/>
        </w:numPr>
        <w:rPr>
          <w:rFonts w:ascii="Times New Roman" w:cs="Times New Roman" w:eastAsia="Times New Roman" w:hAnsi="Times New Roman"/>
          <w:sz w:val="18"/>
          <w:szCs w:val="18"/>
          <w:color w:val="D64000"/>
        </w:rPr>
      </w:pPr>
      <w:r>
        <w:rPr>
          <w:rFonts w:ascii="Arial" w:cs="Arial" w:eastAsia="Arial" w:hAnsi="Arial"/>
          <w:sz w:val="19"/>
          <w:szCs w:val="19"/>
          <w:color w:val="auto"/>
        </w:rPr>
        <w:t>Comply with both the letter and the spirit of all applicable occupational and environmental health and safety laws and regulations</w:t>
      </w:r>
    </w:p>
    <w:p>
      <w:pPr>
        <w:spacing w:after="0" w:line="46" w:lineRule="exact"/>
        <w:rPr>
          <w:rFonts w:ascii="Times New Roman" w:cs="Times New Roman" w:eastAsia="Times New Roman" w:hAnsi="Times New Roman"/>
          <w:sz w:val="18"/>
          <w:szCs w:val="18"/>
          <w:color w:val="D64000"/>
        </w:rPr>
      </w:pPr>
    </w:p>
    <w:p>
      <w:pPr>
        <w:ind w:left="840" w:right="120" w:hanging="418"/>
        <w:spacing w:after="0" w:line="273" w:lineRule="auto"/>
        <w:tabs>
          <w:tab w:leader="none" w:pos="840" w:val="left"/>
        </w:tabs>
        <w:numPr>
          <w:ilvl w:val="0"/>
          <w:numId w:val="173"/>
        </w:numPr>
        <w:rPr>
          <w:rFonts w:ascii="Times New Roman" w:cs="Times New Roman" w:eastAsia="Times New Roman" w:hAnsi="Times New Roman"/>
          <w:sz w:val="18"/>
          <w:szCs w:val="18"/>
          <w:color w:val="D64000"/>
        </w:rPr>
      </w:pPr>
      <w:r>
        <w:rPr>
          <w:rFonts w:ascii="Arial" w:cs="Arial" w:eastAsia="Arial" w:hAnsi="Arial"/>
          <w:sz w:val="19"/>
          <w:szCs w:val="19"/>
          <w:color w:val="auto"/>
        </w:rPr>
        <w:t>Develop, implement, continually improve and follow policies, procedures, and guidelines to ensure compliance with applicable regulations and support our values, commitments and expectations</w:t>
      </w:r>
    </w:p>
    <w:p>
      <w:pPr>
        <w:spacing w:after="0" w:line="46" w:lineRule="exact"/>
        <w:rPr>
          <w:rFonts w:ascii="Times New Roman" w:cs="Times New Roman" w:eastAsia="Times New Roman" w:hAnsi="Times New Roman"/>
          <w:sz w:val="18"/>
          <w:szCs w:val="18"/>
          <w:color w:val="D64000"/>
        </w:rPr>
      </w:pPr>
    </w:p>
    <w:p>
      <w:pPr>
        <w:ind w:left="840" w:right="460" w:hanging="418"/>
        <w:spacing w:after="0" w:line="273" w:lineRule="auto"/>
        <w:tabs>
          <w:tab w:leader="none" w:pos="840" w:val="left"/>
        </w:tabs>
        <w:numPr>
          <w:ilvl w:val="0"/>
          <w:numId w:val="173"/>
        </w:numPr>
        <w:rPr>
          <w:rFonts w:ascii="Times New Roman" w:cs="Times New Roman" w:eastAsia="Times New Roman" w:hAnsi="Times New Roman"/>
          <w:sz w:val="18"/>
          <w:szCs w:val="18"/>
          <w:color w:val="D64000"/>
        </w:rPr>
      </w:pPr>
      <w:r>
        <w:rPr>
          <w:rFonts w:ascii="Arial" w:cs="Arial" w:eastAsia="Arial" w:hAnsi="Arial"/>
          <w:sz w:val="19"/>
          <w:szCs w:val="19"/>
          <w:color w:val="auto"/>
        </w:rPr>
        <w:t>Provide EHS training, instruction, information, and effective communication to all TR staff and those performing work at our locations relevant to their role and responsibilities</w:t>
      </w:r>
    </w:p>
    <w:p>
      <w:pPr>
        <w:spacing w:after="0" w:line="46" w:lineRule="exact"/>
        <w:rPr>
          <w:rFonts w:ascii="Times New Roman" w:cs="Times New Roman" w:eastAsia="Times New Roman" w:hAnsi="Times New Roman"/>
          <w:sz w:val="18"/>
          <w:szCs w:val="18"/>
          <w:color w:val="D64000"/>
        </w:rPr>
      </w:pPr>
    </w:p>
    <w:p>
      <w:pPr>
        <w:ind w:left="840" w:right="760" w:hanging="418"/>
        <w:spacing w:after="0" w:line="273" w:lineRule="auto"/>
        <w:tabs>
          <w:tab w:leader="none" w:pos="840" w:val="left"/>
        </w:tabs>
        <w:numPr>
          <w:ilvl w:val="0"/>
          <w:numId w:val="173"/>
        </w:numPr>
        <w:rPr>
          <w:rFonts w:ascii="Times New Roman" w:cs="Times New Roman" w:eastAsia="Times New Roman" w:hAnsi="Times New Roman"/>
          <w:sz w:val="18"/>
          <w:szCs w:val="18"/>
          <w:color w:val="D64000"/>
        </w:rPr>
      </w:pPr>
      <w:r>
        <w:rPr>
          <w:rFonts w:ascii="Arial" w:cs="Arial" w:eastAsia="Arial" w:hAnsi="Arial"/>
          <w:sz w:val="19"/>
          <w:szCs w:val="19"/>
          <w:color w:val="auto"/>
        </w:rPr>
        <w:t>Develop management processes and solutions that mitigate risks, protect our people and environment, and demonstrate value to our customers and stakeholders</w:t>
      </w:r>
    </w:p>
    <w:p>
      <w:pPr>
        <w:spacing w:after="0" w:line="46"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173"/>
        </w:numPr>
        <w:rPr>
          <w:rFonts w:ascii="Times New Roman" w:cs="Times New Roman" w:eastAsia="Times New Roman" w:hAnsi="Times New Roman"/>
          <w:sz w:val="18"/>
          <w:szCs w:val="18"/>
          <w:color w:val="D64000"/>
        </w:rPr>
      </w:pPr>
      <w:r>
        <w:rPr>
          <w:rFonts w:ascii="Arial" w:cs="Arial" w:eastAsia="Arial" w:hAnsi="Arial"/>
          <w:sz w:val="19"/>
          <w:szCs w:val="19"/>
          <w:color w:val="auto"/>
        </w:rPr>
        <w:t>Require that all contractors, vendors and colleagues abide by safety and environmental regulations</w:t>
      </w:r>
    </w:p>
    <w:p>
      <w:pPr>
        <w:spacing w:after="0" w:line="112" w:lineRule="exact"/>
        <w:rPr>
          <w:rFonts w:ascii="Times New Roman" w:cs="Times New Roman" w:eastAsia="Times New Roman" w:hAnsi="Times New Roman"/>
          <w:sz w:val="18"/>
          <w:szCs w:val="18"/>
          <w:color w:val="D64000"/>
        </w:rPr>
      </w:pPr>
    </w:p>
    <w:p>
      <w:pPr>
        <w:ind w:left="840" w:right="240" w:hanging="418"/>
        <w:spacing w:after="0" w:line="273" w:lineRule="auto"/>
        <w:tabs>
          <w:tab w:leader="none" w:pos="840" w:val="left"/>
        </w:tabs>
        <w:numPr>
          <w:ilvl w:val="0"/>
          <w:numId w:val="173"/>
        </w:numPr>
        <w:rPr>
          <w:rFonts w:ascii="Times New Roman" w:cs="Times New Roman" w:eastAsia="Times New Roman" w:hAnsi="Times New Roman"/>
          <w:sz w:val="18"/>
          <w:szCs w:val="18"/>
          <w:color w:val="D64000"/>
        </w:rPr>
      </w:pPr>
      <w:r>
        <w:rPr>
          <w:rFonts w:ascii="Arial" w:cs="Arial" w:eastAsia="Arial" w:hAnsi="Arial"/>
          <w:sz w:val="19"/>
          <w:szCs w:val="19"/>
          <w:color w:val="auto"/>
        </w:rPr>
        <w:t>Perform assessments to identify safety hazards or potential regulatory non-compliance and take action to remedy these situations</w:t>
      </w:r>
    </w:p>
    <w:p>
      <w:pPr>
        <w:spacing w:after="0" w:line="46"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173"/>
        </w:numPr>
        <w:rPr>
          <w:rFonts w:ascii="Times New Roman" w:cs="Times New Roman" w:eastAsia="Times New Roman" w:hAnsi="Times New Roman"/>
          <w:sz w:val="18"/>
          <w:szCs w:val="18"/>
          <w:color w:val="D64000"/>
        </w:rPr>
      </w:pPr>
      <w:r>
        <w:rPr>
          <w:rFonts w:ascii="Arial" w:cs="Arial" w:eastAsia="Arial" w:hAnsi="Arial"/>
          <w:sz w:val="19"/>
          <w:szCs w:val="19"/>
          <w:color w:val="auto"/>
        </w:rPr>
        <w:t>Maintain accurate and up-to-date environmental and safety records</w:t>
      </w:r>
    </w:p>
    <w:p>
      <w:pPr>
        <w:spacing w:after="0" w:line="255" w:lineRule="exact"/>
        <w:rPr>
          <w:sz w:val="20"/>
          <w:szCs w:val="20"/>
          <w:color w:val="auto"/>
        </w:rPr>
      </w:pPr>
    </w:p>
    <w:p>
      <w:pPr>
        <w:spacing w:after="0"/>
        <w:rPr>
          <w:sz w:val="20"/>
          <w:szCs w:val="20"/>
          <w:color w:val="auto"/>
        </w:rPr>
      </w:pPr>
      <w:r>
        <w:rPr>
          <w:rFonts w:ascii="Arial" w:cs="Arial" w:eastAsia="Arial" w:hAnsi="Arial"/>
          <w:sz w:val="26"/>
          <w:szCs w:val="26"/>
          <w:i w:val="1"/>
          <w:iCs w:val="1"/>
          <w:color w:val="D64000"/>
        </w:rPr>
        <w:t>Security</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We do our part to ensure the security of our workplaces by:</w:t>
      </w:r>
    </w:p>
    <w:p>
      <w:pPr>
        <w:spacing w:after="0" w:line="206" w:lineRule="exact"/>
        <w:rPr>
          <w:sz w:val="20"/>
          <w:szCs w:val="20"/>
          <w:color w:val="auto"/>
        </w:rPr>
      </w:pPr>
    </w:p>
    <w:p>
      <w:pPr>
        <w:ind w:left="840" w:hanging="418"/>
        <w:spacing w:after="0"/>
        <w:tabs>
          <w:tab w:leader="none" w:pos="840" w:val="left"/>
        </w:tabs>
        <w:numPr>
          <w:ilvl w:val="0"/>
          <w:numId w:val="174"/>
        </w:numPr>
        <w:rPr>
          <w:rFonts w:ascii="Times New Roman" w:cs="Times New Roman" w:eastAsia="Times New Roman" w:hAnsi="Times New Roman"/>
          <w:sz w:val="18"/>
          <w:szCs w:val="18"/>
          <w:color w:val="D64000"/>
        </w:rPr>
      </w:pPr>
      <w:r>
        <w:rPr>
          <w:rFonts w:ascii="Arial" w:cs="Arial" w:eastAsia="Arial" w:hAnsi="Arial"/>
          <w:sz w:val="19"/>
          <w:szCs w:val="19"/>
          <w:color w:val="auto"/>
        </w:rPr>
        <w:t>Following all required security procedures and access controls in our facilities</w:t>
      </w:r>
    </w:p>
    <w:p>
      <w:pPr>
        <w:spacing w:after="0" w:line="112"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174"/>
        </w:numPr>
        <w:rPr>
          <w:rFonts w:ascii="Times New Roman" w:cs="Times New Roman" w:eastAsia="Times New Roman" w:hAnsi="Times New Roman"/>
          <w:sz w:val="18"/>
          <w:szCs w:val="18"/>
          <w:color w:val="D64000"/>
        </w:rPr>
      </w:pPr>
      <w:r>
        <w:rPr>
          <w:rFonts w:ascii="Arial" w:cs="Arial" w:eastAsia="Arial" w:hAnsi="Arial"/>
          <w:sz w:val="19"/>
          <w:szCs w:val="19"/>
          <w:color w:val="auto"/>
        </w:rPr>
        <w:t>Speaking up when we see something that seems suspicious or threatening</w:t>
      </w:r>
    </w:p>
    <w:p>
      <w:pPr>
        <w:spacing w:after="0" w:line="112"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174"/>
        </w:numPr>
        <w:rPr>
          <w:rFonts w:ascii="Times New Roman" w:cs="Times New Roman" w:eastAsia="Times New Roman" w:hAnsi="Times New Roman"/>
          <w:sz w:val="18"/>
          <w:szCs w:val="18"/>
          <w:color w:val="D64000"/>
        </w:rPr>
      </w:pPr>
      <w:r>
        <w:rPr>
          <w:rFonts w:ascii="Arial" w:cs="Arial" w:eastAsia="Arial" w:hAnsi="Arial"/>
          <w:sz w:val="19"/>
          <w:szCs w:val="19"/>
          <w:color w:val="auto"/>
        </w:rPr>
        <w:t>Participating in safety-related drills and preparations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102235</wp:posOffset>
            </wp:positionV>
            <wp:extent cx="967740" cy="32829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4360"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14</w:t>
            </w:r>
          </w:p>
        </w:tc>
      </w:tr>
    </w:tbl>
    <w:p>
      <w:pPr>
        <w:sectPr>
          <w:pgSz w:w="11900" w:h="16838" w:orient="portrait"/>
          <w:cols w:equalWidth="0" w:num="1">
            <w:col w:w="10820"/>
          </w:cols>
          <w:pgMar w:left="540" w:top="248" w:right="539" w:bottom="1440" w:gutter="0" w:footer="0" w:header="0"/>
        </w:sectPr>
      </w:pPr>
    </w:p>
    <w:bookmarkStart w:id="195" w:name="page196"/>
    <w:bookmarkEnd w:id="195"/>
    <w:p>
      <w:pPr>
        <w:spacing w:after="0"/>
        <w:rPr>
          <w:sz w:val="20"/>
          <w:szCs w:val="20"/>
          <w:color w:val="auto"/>
        </w:rPr>
      </w:pPr>
      <w:r>
        <w:rPr>
          <w:rFonts w:ascii="Arial" w:cs="Arial" w:eastAsia="Arial" w:hAnsi="Arial"/>
          <w:sz w:val="26"/>
          <w:szCs w:val="26"/>
          <w:i w:val="1"/>
          <w:iCs w:val="1"/>
          <w:color w:val="D64000"/>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Threats, workplace violence and weapons</w:t>
      </w:r>
    </w:p>
    <w:p>
      <w:pPr>
        <w:spacing w:after="0" w:line="116" w:lineRule="exact"/>
        <w:rPr>
          <w:sz w:val="20"/>
          <w:szCs w:val="20"/>
          <w:color w:val="auto"/>
        </w:rPr>
      </w:pPr>
    </w:p>
    <w:p>
      <w:pPr>
        <w:ind w:right="680"/>
        <w:spacing w:after="0" w:line="273" w:lineRule="auto"/>
        <w:rPr>
          <w:sz w:val="20"/>
          <w:szCs w:val="20"/>
          <w:color w:val="auto"/>
        </w:rPr>
      </w:pPr>
      <w:r>
        <w:rPr>
          <w:rFonts w:ascii="Arial" w:cs="Arial" w:eastAsia="Arial" w:hAnsi="Arial"/>
          <w:sz w:val="19"/>
          <w:szCs w:val="19"/>
          <w:color w:val="auto"/>
        </w:rPr>
        <w:t>We do not tolerate acts or threats of violence, intimidation or hostility in our workplace, whether directed at colleagues, vendors, suppliers, customers, or visitors. We also do not allow:</w:t>
      </w:r>
    </w:p>
    <w:p>
      <w:pPr>
        <w:spacing w:after="0" w:line="139" w:lineRule="exact"/>
        <w:rPr>
          <w:sz w:val="20"/>
          <w:szCs w:val="20"/>
          <w:color w:val="auto"/>
        </w:rPr>
      </w:pPr>
    </w:p>
    <w:p>
      <w:pPr>
        <w:ind w:left="840" w:right="320" w:hanging="418"/>
        <w:spacing w:after="0" w:line="253" w:lineRule="auto"/>
        <w:tabs>
          <w:tab w:leader="none" w:pos="840" w:val="left"/>
        </w:tabs>
        <w:numPr>
          <w:ilvl w:val="0"/>
          <w:numId w:val="175"/>
        </w:numPr>
        <w:rPr>
          <w:rFonts w:ascii="Times New Roman" w:cs="Times New Roman" w:eastAsia="Times New Roman" w:hAnsi="Times New Roman"/>
          <w:sz w:val="18"/>
          <w:szCs w:val="18"/>
          <w:color w:val="D64000"/>
        </w:rPr>
      </w:pPr>
      <w:r>
        <w:rPr>
          <w:rFonts w:ascii="Arial" w:cs="Arial" w:eastAsia="Arial" w:hAnsi="Arial"/>
          <w:sz w:val="19"/>
          <w:szCs w:val="19"/>
          <w:color w:val="auto"/>
        </w:rPr>
        <w:t>Weapons or hazardous devices at any facilities leased or owned by Thomson Reuters, at Thomson Reuters– sponsored functions, or on company business unless legally allowed and cleared with prior written approval from the Global/Regional Head of Security</w:t>
      </w:r>
    </w:p>
    <w:p>
      <w:pPr>
        <w:spacing w:after="0" w:line="11"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175"/>
        </w:numPr>
        <w:rPr>
          <w:rFonts w:ascii="Times New Roman" w:cs="Times New Roman" w:eastAsia="Times New Roman" w:hAnsi="Times New Roman"/>
          <w:sz w:val="18"/>
          <w:szCs w:val="18"/>
          <w:color w:val="D64000"/>
        </w:rPr>
      </w:pPr>
      <w:r>
        <w:rPr>
          <w:rFonts w:ascii="Arial" w:cs="Arial" w:eastAsia="Arial" w:hAnsi="Arial"/>
          <w:sz w:val="19"/>
          <w:szCs w:val="19"/>
          <w:color w:val="auto"/>
        </w:rPr>
        <w:t>Behavior that injures or is likely to injure another person</w:t>
      </w:r>
    </w:p>
    <w:p>
      <w:pPr>
        <w:spacing w:after="0" w:line="59"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175"/>
        </w:numPr>
        <w:rPr>
          <w:rFonts w:ascii="Times New Roman" w:cs="Times New Roman" w:eastAsia="Times New Roman" w:hAnsi="Times New Roman"/>
          <w:sz w:val="18"/>
          <w:szCs w:val="18"/>
          <w:color w:val="D64000"/>
        </w:rPr>
      </w:pPr>
      <w:r>
        <w:rPr>
          <w:rFonts w:ascii="Arial" w:cs="Arial" w:eastAsia="Arial" w:hAnsi="Arial"/>
          <w:sz w:val="19"/>
          <w:szCs w:val="19"/>
          <w:color w:val="auto"/>
        </w:rPr>
        <w:t>The making or sending of harassing or threatening statements (regardless of how these messages are delivered)</w:t>
      </w:r>
    </w:p>
    <w:p>
      <w:pPr>
        <w:spacing w:after="0" w:line="59"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175"/>
        </w:numPr>
        <w:rPr>
          <w:rFonts w:ascii="Times New Roman" w:cs="Times New Roman" w:eastAsia="Times New Roman" w:hAnsi="Times New Roman"/>
          <w:sz w:val="18"/>
          <w:szCs w:val="18"/>
          <w:color w:val="D64000"/>
        </w:rPr>
      </w:pPr>
      <w:r>
        <w:rPr>
          <w:rFonts w:ascii="Arial" w:cs="Arial" w:eastAsia="Arial" w:hAnsi="Arial"/>
          <w:sz w:val="19"/>
          <w:szCs w:val="19"/>
          <w:color w:val="auto"/>
        </w:rPr>
        <w:t>Behavior that damages or is likely to damage property</w:t>
      </w:r>
    </w:p>
    <w:p>
      <w:pPr>
        <w:spacing w:after="0" w:line="59"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175"/>
        </w:numPr>
        <w:rPr>
          <w:rFonts w:ascii="Times New Roman" w:cs="Times New Roman" w:eastAsia="Times New Roman" w:hAnsi="Times New Roman"/>
          <w:sz w:val="18"/>
          <w:szCs w:val="18"/>
          <w:color w:val="D64000"/>
        </w:rPr>
      </w:pPr>
      <w:r>
        <w:rPr>
          <w:rFonts w:ascii="Arial" w:cs="Arial" w:eastAsia="Arial" w:hAnsi="Arial"/>
          <w:sz w:val="19"/>
          <w:szCs w:val="19"/>
          <w:color w:val="auto"/>
        </w:rPr>
        <w:t>Stalking or surveillance of another person</w:t>
      </w:r>
    </w:p>
    <w:p>
      <w:pPr>
        <w:spacing w:after="0" w:line="59"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175"/>
        </w:numPr>
        <w:rPr>
          <w:rFonts w:ascii="Times New Roman" w:cs="Times New Roman" w:eastAsia="Times New Roman" w:hAnsi="Times New Roman"/>
          <w:sz w:val="18"/>
          <w:szCs w:val="18"/>
          <w:color w:val="D64000"/>
        </w:rPr>
      </w:pPr>
      <w:r>
        <w:rPr>
          <w:rFonts w:ascii="Arial" w:cs="Arial" w:eastAsia="Arial" w:hAnsi="Arial"/>
          <w:sz w:val="19"/>
          <w:szCs w:val="19"/>
          <w:color w:val="auto"/>
        </w:rPr>
        <w:t>Committing or threatening to commit violent acts</w:t>
      </w:r>
    </w:p>
    <w:p>
      <w:pPr>
        <w:spacing w:after="0" w:line="206" w:lineRule="exact"/>
        <w:rPr>
          <w:sz w:val="20"/>
          <w:szCs w:val="20"/>
          <w:color w:val="auto"/>
        </w:rPr>
      </w:pPr>
    </w:p>
    <w:p>
      <w:pPr>
        <w:ind w:right="140"/>
        <w:spacing w:after="0" w:line="245" w:lineRule="auto"/>
        <w:rPr>
          <w:sz w:val="20"/>
          <w:szCs w:val="20"/>
          <w:color w:val="auto"/>
        </w:rPr>
      </w:pPr>
      <w:r>
        <w:rPr>
          <w:rFonts w:ascii="Arial" w:cs="Arial" w:eastAsia="Arial" w:hAnsi="Arial"/>
          <w:sz w:val="19"/>
          <w:szCs w:val="19"/>
          <w:color w:val="auto"/>
        </w:rPr>
        <w:t xml:space="preserve">This may extend to activities outside of work if they adversely affect the company’s reputation or interests or the safety of our employees. If you feel someone is being threatened or subjected to violence, are concerned that someone may cause harm to him or herself or see something suspicious, move out of harm’s way, call the local police, follow the instructions of emergency authorities and call the </w:t>
      </w:r>
      <w:r>
        <w:rPr>
          <w:rFonts w:ascii="Arial" w:cs="Arial" w:eastAsia="Arial" w:hAnsi="Arial"/>
          <w:sz w:val="19"/>
          <w:szCs w:val="19"/>
          <w:b w:val="1"/>
          <w:bCs w:val="1"/>
          <w:color w:val="1A7EE5"/>
        </w:rPr>
        <w:t>Security Operations Centre (SOC)</w:t>
      </w:r>
      <w:r>
        <w:rPr>
          <w:rFonts w:ascii="Arial" w:cs="Arial" w:eastAsia="Arial" w:hAnsi="Arial"/>
          <w:sz w:val="19"/>
          <w:szCs w:val="19"/>
          <w:color w:val="auto"/>
        </w:rPr>
        <w:t xml:space="preserve"> and </w:t>
      </w:r>
      <w:r>
        <w:rPr>
          <w:rFonts w:ascii="Arial" w:cs="Arial" w:eastAsia="Arial" w:hAnsi="Arial"/>
          <w:sz w:val="19"/>
          <w:szCs w:val="19"/>
          <w:b w:val="1"/>
          <w:bCs w:val="1"/>
          <w:color w:val="1A7EE5"/>
        </w:rPr>
        <w:t>Human Resources</w:t>
      </w:r>
      <w:r>
        <w:rPr>
          <w:rFonts w:ascii="Arial" w:cs="Arial" w:eastAsia="Arial" w:hAnsi="Arial"/>
          <w:sz w:val="19"/>
          <w:szCs w:val="19"/>
          <w:b w:val="1"/>
          <w:bCs w:val="1"/>
          <w:color w:val="auto"/>
        </w:rPr>
        <w:t>.</w:t>
      </w:r>
      <w:r>
        <w:rPr>
          <w:rFonts w:ascii="Arial" w:cs="Arial" w:eastAsia="Arial" w:hAnsi="Arial"/>
          <w:sz w:val="19"/>
          <w:szCs w:val="19"/>
          <w:color w:val="auto"/>
        </w:rPr>
        <w:t xml:space="preserve"> If there is a life-threatening emergency, contact the </w:t>
      </w:r>
      <w:r>
        <w:rPr>
          <w:rFonts w:ascii="Arial" w:cs="Arial" w:eastAsia="Arial" w:hAnsi="Arial"/>
          <w:sz w:val="19"/>
          <w:szCs w:val="19"/>
          <w:b w:val="1"/>
          <w:bCs w:val="1"/>
          <w:color w:val="auto"/>
        </w:rPr>
        <w:t>local police or emergency services first</w:t>
      </w:r>
      <w:r>
        <w:rPr>
          <w:rFonts w:ascii="Arial" w:cs="Arial" w:eastAsia="Arial" w:hAnsi="Arial"/>
          <w:sz w:val="19"/>
          <w:szCs w:val="19"/>
          <w:color w:val="auto"/>
        </w:rPr>
        <w:t xml:space="preserve">, then </w:t>
      </w:r>
      <w:r>
        <w:rPr>
          <w:rFonts w:ascii="Arial" w:cs="Arial" w:eastAsia="Arial" w:hAnsi="Arial"/>
          <w:sz w:val="19"/>
          <w:szCs w:val="19"/>
          <w:b w:val="1"/>
          <w:bCs w:val="1"/>
          <w:color w:val="1A7EE5"/>
        </w:rPr>
        <w:t>SOC</w:t>
      </w:r>
      <w:r>
        <w:rPr>
          <w:rFonts w:ascii="Arial" w:cs="Arial" w:eastAsia="Arial" w:hAnsi="Arial"/>
          <w:sz w:val="19"/>
          <w:szCs w:val="19"/>
          <w:color w:val="auto"/>
        </w:rPr>
        <w:t xml:space="preserve"> and </w:t>
      </w:r>
      <w:r>
        <w:rPr>
          <w:rFonts w:ascii="Arial" w:cs="Arial" w:eastAsia="Arial" w:hAnsi="Arial"/>
          <w:sz w:val="19"/>
          <w:szCs w:val="19"/>
          <w:b w:val="1"/>
          <w:bCs w:val="1"/>
          <w:color w:val="1A7EE5"/>
        </w:rPr>
        <w:t>Human Resources</w:t>
      </w:r>
      <w:r>
        <w:rPr>
          <w:rFonts w:ascii="Arial" w:cs="Arial" w:eastAsia="Arial" w:hAnsi="Arial"/>
          <w:sz w:val="19"/>
          <w:szCs w:val="19"/>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A7EE5"/>
        </w:rPr>
        <w:t>Þ</w:t>
      </w:r>
      <w:r>
        <w:rPr>
          <w:rFonts w:ascii="Arial" w:cs="Arial" w:eastAsia="Arial" w:hAnsi="Arial"/>
          <w:sz w:val="19"/>
          <w:szCs w:val="19"/>
          <w:b w:val="1"/>
          <w:bCs w:val="1"/>
          <w:color w:val="1A7EE5"/>
        </w:rPr>
        <w:t xml:space="preserve">  TR Corporate Security Incident Report Form</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A7EE5"/>
        </w:rPr>
        <w:t>Þ</w:t>
      </w:r>
      <w:r>
        <w:rPr>
          <w:rFonts w:ascii="Arial" w:cs="Arial" w:eastAsia="Arial" w:hAnsi="Arial"/>
          <w:sz w:val="19"/>
          <w:szCs w:val="19"/>
          <w:b w:val="1"/>
          <w:bCs w:val="1"/>
          <w:color w:val="1A7EE5"/>
        </w:rPr>
        <w:t xml:space="preserve">  Global Security on the Intranet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A7EE5"/>
        </w:rPr>
        <w:t>Þ</w:t>
      </w:r>
      <w:r>
        <w:rPr>
          <w:rFonts w:ascii="Arial" w:cs="Arial" w:eastAsia="Arial" w:hAnsi="Arial"/>
          <w:sz w:val="19"/>
          <w:szCs w:val="19"/>
          <w:b w:val="1"/>
          <w:bCs w:val="1"/>
          <w:color w:val="1A7EE5"/>
        </w:rPr>
        <w:t xml:space="preserve">  Workplace Violence Prevention Policy on Workday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A7EE5"/>
        </w:rPr>
        <w:t>Þ</w:t>
      </w:r>
      <w:r>
        <w:rPr>
          <w:rFonts w:ascii="Arial" w:cs="Arial" w:eastAsia="Arial" w:hAnsi="Arial"/>
          <w:sz w:val="19"/>
          <w:szCs w:val="19"/>
          <w:b w:val="1"/>
          <w:bCs w:val="1"/>
          <w:color w:val="1A7EE5"/>
        </w:rPr>
        <w:t xml:space="preserve">  Environmental, Health and Safety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304800</wp:posOffset>
            </wp:positionV>
            <wp:extent cx="7000240" cy="39560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000240" cy="395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5"/>
          <w:szCs w:val="5"/>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008495" cy="116967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008495" cy="116967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D64000"/>
        </w:rPr>
        <w:t>  Connect the dots</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auto"/>
        </w:rPr>
        <w:t>Q</w:t>
      </w:r>
      <w:r>
        <w:rPr>
          <w:rFonts w:ascii="Arial" w:cs="Arial" w:eastAsia="Arial" w:hAnsi="Arial"/>
          <w:sz w:val="17"/>
          <w:szCs w:val="17"/>
          <w:b w:val="1"/>
          <w:bCs w:val="1"/>
          <w:color w:val="auto"/>
        </w:rPr>
        <w:t xml:space="preserve">   I have a domestic issue at home that affects my personal safety. Do I need to disclose it at work?</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auto"/>
        </w:rPr>
        <w:t>A</w:t>
      </w:r>
      <w:r>
        <w:rPr>
          <w:rFonts w:ascii="Arial" w:cs="Arial" w:eastAsia="Arial" w:hAnsi="Arial"/>
          <w:sz w:val="17"/>
          <w:szCs w:val="17"/>
          <w:color w:val="auto"/>
        </w:rPr>
        <w:t xml:space="preserve">   If you have a domestic or personal issue that may apply to or affect safety in the workplace (e.g., an order of protection or a</w:t>
      </w:r>
    </w:p>
    <w:p>
      <w:pPr>
        <w:spacing w:after="0" w:line="26" w:lineRule="exact"/>
        <w:rPr>
          <w:sz w:val="20"/>
          <w:szCs w:val="20"/>
          <w:color w:val="auto"/>
        </w:rPr>
      </w:pPr>
    </w:p>
    <w:p>
      <w:pPr>
        <w:ind w:left="500" w:right="100"/>
        <w:spacing w:after="0"/>
        <w:rPr>
          <w:sz w:val="20"/>
          <w:szCs w:val="20"/>
          <w:color w:val="auto"/>
        </w:rPr>
      </w:pPr>
      <w:r>
        <w:rPr>
          <w:rFonts w:ascii="Arial" w:cs="Arial" w:eastAsia="Arial" w:hAnsi="Arial"/>
          <w:sz w:val="18"/>
          <w:szCs w:val="18"/>
          <w:color w:val="auto"/>
        </w:rPr>
        <w:t xml:space="preserve">restraining order), you should report it to </w:t>
      </w:r>
      <w:r>
        <w:rPr>
          <w:rFonts w:ascii="Arial" w:cs="Arial" w:eastAsia="Arial" w:hAnsi="Arial"/>
          <w:sz w:val="18"/>
          <w:szCs w:val="18"/>
          <w:b w:val="1"/>
          <w:bCs w:val="1"/>
          <w:color w:val="1A7EE5"/>
        </w:rPr>
        <w:t>Human Resources</w:t>
      </w:r>
      <w:r>
        <w:rPr>
          <w:rFonts w:ascii="Arial" w:cs="Arial" w:eastAsia="Arial" w:hAnsi="Arial"/>
          <w:sz w:val="18"/>
          <w:szCs w:val="18"/>
          <w:color w:val="auto"/>
        </w:rPr>
        <w:t xml:space="preserve"> and </w:t>
      </w:r>
      <w:r>
        <w:rPr>
          <w:rFonts w:ascii="Arial" w:cs="Arial" w:eastAsia="Arial" w:hAnsi="Arial"/>
          <w:sz w:val="18"/>
          <w:szCs w:val="18"/>
          <w:b w:val="1"/>
          <w:bCs w:val="1"/>
          <w:color w:val="1A7EE5"/>
        </w:rPr>
        <w:t>SOC</w:t>
      </w:r>
      <w:r>
        <w:rPr>
          <w:rFonts w:ascii="Arial" w:cs="Arial" w:eastAsia="Arial" w:hAnsi="Arial"/>
          <w:sz w:val="18"/>
          <w:szCs w:val="18"/>
          <w:b w:val="1"/>
          <w:bCs w:val="1"/>
          <w:color w:val="auto"/>
        </w:rPr>
        <w:t>.</w:t>
      </w:r>
      <w:r>
        <w:rPr>
          <w:rFonts w:ascii="Arial" w:cs="Arial" w:eastAsia="Arial" w:hAnsi="Arial"/>
          <w:sz w:val="18"/>
          <w:szCs w:val="18"/>
          <w:color w:val="auto"/>
        </w:rPr>
        <w:t xml:space="preserve"> That is the best way to help ensure not only your safety but also that of your colleagues. Also see the Workplace Violence Prevention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242570</wp:posOffset>
            </wp:positionV>
            <wp:extent cx="984250" cy="33655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984250" cy="336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360"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15</w:t>
            </w:r>
          </w:p>
        </w:tc>
      </w:tr>
    </w:tbl>
    <w:p>
      <w:pPr>
        <w:sectPr>
          <w:pgSz w:w="11900" w:h="16838" w:orient="portrait"/>
          <w:cols w:equalWidth="0" w:num="1">
            <w:col w:w="10820"/>
          </w:cols>
          <w:pgMar w:left="540" w:top="260" w:right="539" w:bottom="1440" w:gutter="0" w:footer="0" w:header="0"/>
        </w:sectPr>
      </w:pPr>
    </w:p>
    <w:bookmarkStart w:id="196" w:name="page197"/>
    <w:bookmarkEnd w:id="196"/>
    <w:p>
      <w:pPr>
        <w:ind w:left="2"/>
        <w:spacing w:after="0"/>
        <w:rPr>
          <w:sz w:val="20"/>
          <w:szCs w:val="20"/>
          <w:color w:val="auto"/>
        </w:rPr>
      </w:pPr>
      <w:r>
        <w:rPr>
          <w:rFonts w:ascii="Arial" w:cs="Arial" w:eastAsia="Arial" w:hAnsi="Arial"/>
          <w:sz w:val="26"/>
          <w:szCs w:val="26"/>
          <w:i w:val="1"/>
          <w:iCs w:val="1"/>
          <w:color w:val="D64000"/>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Drugs and alcohol</w:t>
      </w:r>
    </w:p>
    <w:p>
      <w:pPr>
        <w:spacing w:after="0" w:line="155" w:lineRule="exact"/>
        <w:rPr>
          <w:sz w:val="20"/>
          <w:szCs w:val="20"/>
          <w:color w:val="auto"/>
        </w:rPr>
      </w:pPr>
    </w:p>
    <w:p>
      <w:pPr>
        <w:ind w:left="2" w:right="140"/>
        <w:spacing w:after="0" w:line="246" w:lineRule="auto"/>
        <w:rPr>
          <w:sz w:val="20"/>
          <w:szCs w:val="20"/>
          <w:color w:val="auto"/>
        </w:rPr>
      </w:pPr>
      <w:r>
        <w:rPr>
          <w:rFonts w:ascii="Arial" w:cs="Arial" w:eastAsia="Arial" w:hAnsi="Arial"/>
          <w:sz w:val="19"/>
          <w:szCs w:val="19"/>
          <w:color w:val="auto"/>
        </w:rPr>
        <w:t>Drugs and alcohol can be a danger to everyone in the workplace. Thomson Reuters does not allow the possession, use, purchase, sale, attempted sale, distribution, manufacturing or being under the influence of illegal drugs in its workplaces. We also do not allow the abuse or misuse of alcohol, prescription drugs or other impairing substances in the workplace, whether your workplace is in the office or remote working, or when conducting company business. This means we:</w:t>
      </w:r>
    </w:p>
    <w:p>
      <w:pPr>
        <w:spacing w:after="0" w:line="164" w:lineRule="exact"/>
        <w:rPr>
          <w:sz w:val="20"/>
          <w:szCs w:val="20"/>
          <w:color w:val="auto"/>
        </w:rPr>
      </w:pPr>
    </w:p>
    <w:p>
      <w:pPr>
        <w:ind w:left="842" w:hanging="418"/>
        <w:spacing w:after="0"/>
        <w:tabs>
          <w:tab w:leader="none" w:pos="842" w:val="left"/>
        </w:tabs>
        <w:numPr>
          <w:ilvl w:val="0"/>
          <w:numId w:val="176"/>
        </w:numPr>
        <w:rPr>
          <w:rFonts w:ascii="Times New Roman" w:cs="Times New Roman" w:eastAsia="Times New Roman" w:hAnsi="Times New Roman"/>
          <w:sz w:val="18"/>
          <w:szCs w:val="18"/>
          <w:color w:val="D64000"/>
        </w:rPr>
      </w:pPr>
      <w:r>
        <w:rPr>
          <w:rFonts w:ascii="Arial" w:cs="Arial" w:eastAsia="Arial" w:hAnsi="Arial"/>
          <w:sz w:val="19"/>
          <w:szCs w:val="19"/>
          <w:color w:val="auto"/>
        </w:rPr>
        <w:t>Do not report for work while impaired by drugs or alcohol</w:t>
      </w:r>
    </w:p>
    <w:p>
      <w:pPr>
        <w:spacing w:after="0" w:line="59" w:lineRule="exact"/>
        <w:rPr>
          <w:rFonts w:ascii="Times New Roman" w:cs="Times New Roman" w:eastAsia="Times New Roman" w:hAnsi="Times New Roman"/>
          <w:sz w:val="18"/>
          <w:szCs w:val="18"/>
          <w:color w:val="D64000"/>
        </w:rPr>
      </w:pPr>
    </w:p>
    <w:p>
      <w:pPr>
        <w:ind w:left="842" w:right="920" w:hanging="418"/>
        <w:spacing w:after="0" w:line="269" w:lineRule="auto"/>
        <w:tabs>
          <w:tab w:leader="none" w:pos="842" w:val="left"/>
        </w:tabs>
        <w:numPr>
          <w:ilvl w:val="0"/>
          <w:numId w:val="176"/>
        </w:numPr>
        <w:rPr>
          <w:rFonts w:ascii="Times New Roman" w:cs="Times New Roman" w:eastAsia="Times New Roman" w:hAnsi="Times New Roman"/>
          <w:sz w:val="18"/>
          <w:szCs w:val="18"/>
          <w:color w:val="D64000"/>
        </w:rPr>
      </w:pPr>
      <w:r>
        <w:rPr>
          <w:rFonts w:ascii="Arial" w:cs="Arial" w:eastAsia="Arial" w:hAnsi="Arial"/>
          <w:sz w:val="19"/>
          <w:szCs w:val="19"/>
          <w:color w:val="auto"/>
        </w:rPr>
        <w:t>Do not possess or consume alcohol on Thomson Reuters premises or while working without specific prior authorization from Thomson Reuters</w:t>
      </w:r>
    </w:p>
    <w:p>
      <w:pPr>
        <w:ind w:left="842" w:right="720" w:hanging="418"/>
        <w:spacing w:after="0" w:line="273" w:lineRule="auto"/>
        <w:tabs>
          <w:tab w:leader="none" w:pos="842" w:val="left"/>
        </w:tabs>
        <w:numPr>
          <w:ilvl w:val="0"/>
          <w:numId w:val="176"/>
        </w:numPr>
        <w:rPr>
          <w:rFonts w:ascii="Times New Roman" w:cs="Times New Roman" w:eastAsia="Times New Roman" w:hAnsi="Times New Roman"/>
          <w:sz w:val="18"/>
          <w:szCs w:val="18"/>
          <w:color w:val="D64000"/>
        </w:rPr>
      </w:pPr>
      <w:r>
        <w:rPr>
          <w:rFonts w:ascii="Arial" w:cs="Arial" w:eastAsia="Arial" w:hAnsi="Arial"/>
          <w:sz w:val="19"/>
          <w:szCs w:val="19"/>
          <w:color w:val="auto"/>
        </w:rPr>
        <w:t>Use good judgment when consuming alcohol at an event sponsored by Thomson Reuters, a customer or an organization that we’re supporting</w:t>
      </w:r>
    </w:p>
    <w:p>
      <w:pPr>
        <w:spacing w:after="0" w:line="139" w:lineRule="exact"/>
        <w:rPr>
          <w:sz w:val="20"/>
          <w:szCs w:val="20"/>
          <w:color w:val="auto"/>
        </w:rPr>
      </w:pPr>
    </w:p>
    <w:p>
      <w:pPr>
        <w:ind w:left="2" w:right="160"/>
        <w:spacing w:after="0" w:line="243" w:lineRule="auto"/>
        <w:rPr>
          <w:sz w:val="20"/>
          <w:szCs w:val="20"/>
          <w:color w:val="auto"/>
        </w:rPr>
      </w:pPr>
      <w:r>
        <w:rPr>
          <w:rFonts w:ascii="Arial" w:cs="Arial" w:eastAsia="Arial" w:hAnsi="Arial"/>
          <w:sz w:val="19"/>
          <w:szCs w:val="19"/>
          <w:color w:val="auto"/>
        </w:rPr>
        <w:t>Employees in violation will be subject to disciplinary action, up to and including termination. Violations also could lead to arrest and prosecution by law enforcement if such violations involve illicit drugs or other illegal activities. Where permissible by law, Thomson Reuters reserves the right to take appropriate steps to investigate compliance with the Code and other applicable policies, including but not limited to drug and/or alcohol testing by qualified medical professionals and searches in the workplace.</w:t>
      </w:r>
    </w:p>
    <w:p>
      <w:pPr>
        <w:spacing w:after="0" w:line="166" w:lineRule="exact"/>
        <w:rPr>
          <w:sz w:val="20"/>
          <w:szCs w:val="20"/>
          <w:color w:val="auto"/>
        </w:rPr>
      </w:pPr>
    </w:p>
    <w:p>
      <w:pPr>
        <w:ind w:left="2" w:right="80"/>
        <w:spacing w:after="0" w:line="273" w:lineRule="auto"/>
        <w:rPr>
          <w:sz w:val="20"/>
          <w:szCs w:val="20"/>
          <w:color w:val="auto"/>
        </w:rPr>
      </w:pPr>
      <w:r>
        <w:rPr>
          <w:rFonts w:ascii="Arial" w:cs="Arial" w:eastAsia="Arial" w:hAnsi="Arial"/>
          <w:sz w:val="19"/>
          <w:szCs w:val="19"/>
          <w:color w:val="auto"/>
        </w:rPr>
        <w:t>If you believe someone in the workplace may have an issue with substance abuse or may be impaired, contact your manager or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6899275" cy="166624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99275" cy="1666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2" w:hanging="102"/>
        <w:spacing w:after="0"/>
        <w:tabs>
          <w:tab w:leader="none" w:pos="102" w:val="left"/>
        </w:tabs>
        <w:numPr>
          <w:ilvl w:val="0"/>
          <w:numId w:val="177"/>
        </w:numPr>
        <w:rPr>
          <w:rFonts w:ascii="Arial" w:cs="Arial" w:eastAsia="Arial" w:hAnsi="Arial"/>
          <w:sz w:val="20"/>
          <w:szCs w:val="20"/>
          <w:b w:val="1"/>
          <w:bCs w:val="1"/>
          <w:i w:val="1"/>
          <w:iCs w:val="1"/>
          <w:color w:val="D64000"/>
        </w:rPr>
      </w:pPr>
      <w:r>
        <w:rPr>
          <w:rFonts w:ascii="Arial" w:cs="Arial" w:eastAsia="Arial" w:hAnsi="Arial"/>
          <w:sz w:val="20"/>
          <w:szCs w:val="20"/>
          <w:b w:val="1"/>
          <w:bCs w:val="1"/>
          <w:i w:val="1"/>
          <w:iCs w:val="1"/>
          <w:color w:val="D64000"/>
        </w:rPr>
        <w:t>Connecting the dots</w:t>
      </w:r>
    </w:p>
    <w:p>
      <w:pPr>
        <w:spacing w:after="0" w:line="250" w:lineRule="exact"/>
        <w:rPr>
          <w:rFonts w:ascii="Arial" w:cs="Arial" w:eastAsia="Arial" w:hAnsi="Arial"/>
          <w:sz w:val="20"/>
          <w:szCs w:val="20"/>
          <w:b w:val="1"/>
          <w:bCs w:val="1"/>
          <w:i w:val="1"/>
          <w:iCs w:val="1"/>
          <w:color w:val="D64000"/>
        </w:rPr>
      </w:pPr>
    </w:p>
    <w:p>
      <w:pPr>
        <w:ind w:left="122" w:hanging="122"/>
        <w:spacing w:after="0"/>
        <w:tabs>
          <w:tab w:leader="none" w:pos="122" w:val="left"/>
        </w:tabs>
        <w:numPr>
          <w:ilvl w:val="0"/>
          <w:numId w:val="177"/>
        </w:numPr>
        <w:rPr>
          <w:rFonts w:ascii="Arial" w:cs="Arial" w:eastAsia="Arial" w:hAnsi="Arial"/>
          <w:sz w:val="24"/>
          <w:szCs w:val="24"/>
          <w:b w:val="1"/>
          <w:bCs w:val="1"/>
          <w:color w:val="auto"/>
        </w:rPr>
      </w:pPr>
      <w:r>
        <w:rPr>
          <w:rFonts w:ascii="Arial" w:cs="Arial" w:eastAsia="Arial" w:hAnsi="Arial"/>
          <w:sz w:val="24"/>
          <w:szCs w:val="24"/>
          <w:b w:val="1"/>
          <w:bCs w:val="1"/>
          <w:color w:val="auto"/>
        </w:rPr>
        <w:t>Q</w:t>
      </w:r>
      <w:r>
        <w:rPr>
          <w:rFonts w:ascii="Arial" w:cs="Arial" w:eastAsia="Arial" w:hAnsi="Arial"/>
          <w:sz w:val="16"/>
          <w:szCs w:val="16"/>
          <w:b w:val="1"/>
          <w:bCs w:val="1"/>
          <w:color w:val="auto"/>
        </w:rPr>
        <w:t xml:space="preserve">   If I have a problem with substance abuse, does the company offer any help?</w:t>
      </w:r>
    </w:p>
    <w:p>
      <w:pPr>
        <w:spacing w:after="0" w:line="214" w:lineRule="exact"/>
        <w:rPr>
          <w:rFonts w:ascii="Arial" w:cs="Arial" w:eastAsia="Arial" w:hAnsi="Arial"/>
          <w:sz w:val="24"/>
          <w:szCs w:val="24"/>
          <w:b w:val="1"/>
          <w:bCs w:val="1"/>
          <w:color w:val="auto"/>
        </w:rPr>
      </w:pPr>
    </w:p>
    <w:p>
      <w:pPr>
        <w:ind w:left="122" w:hanging="122"/>
        <w:spacing w:after="0"/>
        <w:tabs>
          <w:tab w:leader="none" w:pos="122" w:val="left"/>
        </w:tabs>
        <w:numPr>
          <w:ilvl w:val="0"/>
          <w:numId w:val="177"/>
        </w:numPr>
        <w:rPr>
          <w:rFonts w:ascii="Arial" w:cs="Arial" w:eastAsia="Arial" w:hAnsi="Arial"/>
          <w:sz w:val="24"/>
          <w:szCs w:val="24"/>
          <w:b w:val="1"/>
          <w:bCs w:val="1"/>
          <w:color w:val="auto"/>
        </w:rPr>
      </w:pPr>
      <w:r>
        <w:rPr>
          <w:rFonts w:ascii="Arial" w:cs="Arial" w:eastAsia="Arial" w:hAnsi="Arial"/>
          <w:sz w:val="24"/>
          <w:szCs w:val="24"/>
          <w:b w:val="1"/>
          <w:bCs w:val="1"/>
          <w:color w:val="auto"/>
        </w:rPr>
        <w:t>A</w:t>
      </w:r>
      <w:r>
        <w:rPr>
          <w:rFonts w:ascii="Arial" w:cs="Arial" w:eastAsia="Arial" w:hAnsi="Arial"/>
          <w:sz w:val="16"/>
          <w:szCs w:val="16"/>
          <w:color w:val="auto"/>
        </w:rPr>
        <w:t xml:space="preserve">   Thomson Reuters offers a number of employee programs that may provide assistance. Please ask Human Resources about</w:t>
      </w:r>
    </w:p>
    <w:p>
      <w:pPr>
        <w:spacing w:after="0" w:line="37" w:lineRule="exact"/>
        <w:rPr>
          <w:sz w:val="20"/>
          <w:szCs w:val="20"/>
          <w:color w:val="auto"/>
        </w:rPr>
      </w:pPr>
    </w:p>
    <w:p>
      <w:pPr>
        <w:ind w:left="442"/>
        <w:spacing w:after="0"/>
        <w:rPr>
          <w:sz w:val="20"/>
          <w:szCs w:val="20"/>
          <w:color w:val="auto"/>
        </w:rPr>
      </w:pPr>
      <w:r>
        <w:rPr>
          <w:rFonts w:ascii="Arial" w:cs="Arial" w:eastAsia="Arial" w:hAnsi="Arial"/>
          <w:sz w:val="18"/>
          <w:szCs w:val="18"/>
          <w:color w:val="auto"/>
        </w:rPr>
        <w:t>available services in your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231140</wp:posOffset>
            </wp:positionV>
            <wp:extent cx="967740" cy="32829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4362"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16</w:t>
            </w:r>
          </w:p>
        </w:tc>
      </w:tr>
    </w:tbl>
    <w:p>
      <w:pPr>
        <w:sectPr>
          <w:pgSz w:w="11900" w:h="16838" w:orient="portrait"/>
          <w:cols w:equalWidth="0" w:num="1">
            <w:col w:w="10822"/>
          </w:cols>
          <w:pgMar w:left="538" w:top="260" w:right="539" w:bottom="1440" w:gutter="0" w:footer="0" w:header="0"/>
        </w:sectPr>
      </w:pPr>
    </w:p>
    <w:bookmarkStart w:id="197" w:name="page198"/>
    <w:bookmarkEnd w:id="1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25996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6770" cy="259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35"/>
          <w:szCs w:val="35"/>
          <w:b w:val="1"/>
          <w:bCs w:val="1"/>
          <w:color w:val="D64000"/>
        </w:rPr>
        <w:t>Recognizing and avoiding conflicts of interest</w:t>
      </w:r>
    </w:p>
    <w:p>
      <w:pPr>
        <w:spacing w:after="0" w:line="26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We are trusted to . . .</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…act in the best interests of Thomson Reuters and avoid situations that even appear to compromise our judgment.</w:t>
      </w:r>
    </w:p>
    <w:p>
      <w:pPr>
        <w:spacing w:after="0" w:line="23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Why it matters</w:t>
      </w:r>
    </w:p>
    <w:p>
      <w:pPr>
        <w:spacing w:after="0" w:line="192" w:lineRule="exact"/>
        <w:rPr>
          <w:sz w:val="20"/>
          <w:szCs w:val="20"/>
          <w:color w:val="auto"/>
        </w:rPr>
      </w:pPr>
    </w:p>
    <w:p>
      <w:pPr>
        <w:ind w:right="200"/>
        <w:spacing w:after="0" w:line="243" w:lineRule="auto"/>
        <w:rPr>
          <w:sz w:val="20"/>
          <w:szCs w:val="20"/>
          <w:color w:val="auto"/>
        </w:rPr>
      </w:pPr>
      <w:r>
        <w:rPr>
          <w:rFonts w:ascii="Arial" w:cs="Arial" w:eastAsia="Arial" w:hAnsi="Arial"/>
          <w:sz w:val="19"/>
          <w:szCs w:val="19"/>
          <w:color w:val="auto"/>
        </w:rPr>
        <w:t>A conflict of interest may arise whenever our personal interests as individuals interfere, or appear to interfere, with the interests of the company. Conflicts of interest also can arise if we take actions or have interests that may make it difficult for us to do our jobs objectively and effectively. If broken, the bonds of trust that we have developed over time with customers and partners can be difficult to rebuild. By knowing how to recognize and disclose or avoid potential conflicts, we protect our reputation and our ability to do business effectively.</w:t>
      </w:r>
    </w:p>
    <w:p>
      <w:pPr>
        <w:spacing w:after="0" w:line="19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How we deliver</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color w:val="auto"/>
        </w:rPr>
        <w:t>We avoid real or perceived conflicts of interest at all times. This means we:</w:t>
      </w:r>
    </w:p>
    <w:p>
      <w:pPr>
        <w:spacing w:after="0" w:line="206" w:lineRule="exact"/>
        <w:rPr>
          <w:sz w:val="20"/>
          <w:szCs w:val="20"/>
          <w:color w:val="auto"/>
        </w:rPr>
      </w:pPr>
    </w:p>
    <w:p>
      <w:pPr>
        <w:ind w:left="840" w:hanging="418"/>
        <w:spacing w:after="0"/>
        <w:tabs>
          <w:tab w:leader="none" w:pos="840" w:val="left"/>
        </w:tabs>
        <w:numPr>
          <w:ilvl w:val="0"/>
          <w:numId w:val="178"/>
        </w:numPr>
        <w:rPr>
          <w:rFonts w:ascii="Times New Roman" w:cs="Times New Roman" w:eastAsia="Times New Roman" w:hAnsi="Times New Roman"/>
          <w:sz w:val="18"/>
          <w:szCs w:val="18"/>
          <w:color w:val="D64000"/>
        </w:rPr>
      </w:pPr>
      <w:r>
        <w:rPr>
          <w:rFonts w:ascii="Arial" w:cs="Arial" w:eastAsia="Arial" w:hAnsi="Arial"/>
          <w:sz w:val="19"/>
          <w:szCs w:val="19"/>
          <w:color w:val="auto"/>
        </w:rPr>
        <w:t>Take responsibility for identifying situations that could compromise or appear to compromise our judgment</w:t>
      </w:r>
    </w:p>
    <w:p>
      <w:pPr>
        <w:spacing w:after="0" w:line="37"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178"/>
        </w:numPr>
        <w:rPr>
          <w:rFonts w:ascii="Times New Roman" w:cs="Times New Roman" w:eastAsia="Times New Roman" w:hAnsi="Times New Roman"/>
          <w:sz w:val="18"/>
          <w:szCs w:val="18"/>
          <w:color w:val="D64000"/>
        </w:rPr>
      </w:pPr>
      <w:r>
        <w:rPr>
          <w:rFonts w:ascii="Arial" w:cs="Arial" w:eastAsia="Arial" w:hAnsi="Arial"/>
          <w:sz w:val="19"/>
          <w:szCs w:val="19"/>
          <w:b w:val="1"/>
          <w:bCs w:val="1"/>
          <w:color w:val="1A7EE5"/>
        </w:rPr>
        <w:t xml:space="preserve">Seek Help </w:t>
      </w:r>
      <w:r>
        <w:rPr>
          <w:rFonts w:ascii="Arial" w:cs="Arial" w:eastAsia="Arial" w:hAnsi="Arial"/>
          <w:sz w:val="19"/>
          <w:szCs w:val="19"/>
          <w:color w:val="000000"/>
        </w:rPr>
        <w:t>if we suspect a potential conflict</w:t>
      </w:r>
    </w:p>
    <w:p>
      <w:pPr>
        <w:spacing w:after="0" w:line="43" w:lineRule="exact"/>
        <w:rPr>
          <w:rFonts w:ascii="Times New Roman" w:cs="Times New Roman" w:eastAsia="Times New Roman" w:hAnsi="Times New Roman"/>
          <w:sz w:val="18"/>
          <w:szCs w:val="18"/>
          <w:color w:val="D64000"/>
        </w:rPr>
      </w:pPr>
    </w:p>
    <w:p>
      <w:pPr>
        <w:ind w:left="840" w:right="120" w:hanging="418"/>
        <w:spacing w:after="0" w:line="247" w:lineRule="auto"/>
        <w:tabs>
          <w:tab w:leader="none" w:pos="840" w:val="left"/>
        </w:tabs>
        <w:numPr>
          <w:ilvl w:val="0"/>
          <w:numId w:val="178"/>
        </w:numPr>
        <w:rPr>
          <w:rFonts w:ascii="Times New Roman" w:cs="Times New Roman" w:eastAsia="Times New Roman" w:hAnsi="Times New Roman"/>
          <w:sz w:val="18"/>
          <w:szCs w:val="18"/>
          <w:color w:val="D64000"/>
        </w:rPr>
      </w:pPr>
      <w:r>
        <w:rPr>
          <w:rFonts w:ascii="Arial" w:cs="Arial" w:eastAsia="Arial" w:hAnsi="Arial"/>
          <w:sz w:val="19"/>
          <w:szCs w:val="19"/>
          <w:color w:val="auto"/>
        </w:rPr>
        <w:t>Disclose any potential conflicts in writing to the appropriate manager or to Human Resources to resolve the conflict and/or pre-clear it in writing with the Enterprise Compliance team and act consistently with whatever decision is made</w:t>
      </w:r>
    </w:p>
    <w:p>
      <w:pPr>
        <w:spacing w:after="0" w:line="216"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178"/>
        </w:numPr>
        <w:rPr>
          <w:rFonts w:ascii="Times New Roman" w:cs="Times New Roman" w:eastAsia="Times New Roman" w:hAnsi="Times New Roman"/>
          <w:sz w:val="18"/>
          <w:szCs w:val="18"/>
          <w:color w:val="D64000"/>
        </w:rPr>
      </w:pPr>
      <w:r>
        <w:rPr>
          <w:rFonts w:ascii="Arial" w:cs="Arial" w:eastAsia="Arial" w:hAnsi="Arial"/>
          <w:sz w:val="19"/>
          <w:szCs w:val="19"/>
          <w:color w:val="auto"/>
        </w:rPr>
        <w:t>Put the company’s interest in any business transaction ahead of any personal interest or gain</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Keep in mind that not all conflicts are prohibited. Some conflicts of interest are permissible if they are disclosed and approved.</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Below are some of the more common areas where conflicts arise.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90805</wp:posOffset>
            </wp:positionV>
            <wp:extent cx="967740" cy="32829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4360"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17</w:t>
            </w:r>
          </w:p>
        </w:tc>
      </w:tr>
    </w:tbl>
    <w:p>
      <w:pPr>
        <w:sectPr>
          <w:pgSz w:w="11900" w:h="16838" w:orient="portrait"/>
          <w:cols w:equalWidth="0" w:num="1">
            <w:col w:w="10820"/>
          </w:cols>
          <w:pgMar w:left="540" w:top="1440" w:right="539" w:bottom="1440" w:gutter="0" w:footer="0" w:header="0"/>
        </w:sectPr>
      </w:pPr>
    </w:p>
    <w:bookmarkStart w:id="198" w:name="page199"/>
    <w:bookmarkEnd w:id="198"/>
    <w:p>
      <w:pPr>
        <w:ind w:left="2"/>
        <w:spacing w:after="0"/>
        <w:rPr>
          <w:sz w:val="20"/>
          <w:szCs w:val="20"/>
          <w:color w:val="auto"/>
        </w:rPr>
      </w:pPr>
      <w:r>
        <w:rPr>
          <w:rFonts w:ascii="Arial" w:cs="Arial" w:eastAsia="Arial" w:hAnsi="Arial"/>
          <w:sz w:val="26"/>
          <w:szCs w:val="26"/>
          <w:i w:val="1"/>
          <w:iCs w:val="1"/>
          <w:color w:val="D64000"/>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Relatives and friends</w:t>
      </w:r>
    </w:p>
    <w:p>
      <w:pPr>
        <w:spacing w:after="0" w:line="222" w:lineRule="exact"/>
        <w:rPr>
          <w:sz w:val="20"/>
          <w:szCs w:val="20"/>
          <w:color w:val="auto"/>
        </w:rPr>
      </w:pPr>
    </w:p>
    <w:p>
      <w:pPr>
        <w:ind w:left="2" w:right="140"/>
        <w:spacing w:after="0" w:line="253" w:lineRule="auto"/>
        <w:rPr>
          <w:sz w:val="20"/>
          <w:szCs w:val="20"/>
          <w:color w:val="auto"/>
        </w:rPr>
      </w:pPr>
      <w:r>
        <w:rPr>
          <w:rFonts w:ascii="Arial" w:cs="Arial" w:eastAsia="Arial" w:hAnsi="Arial"/>
          <w:sz w:val="19"/>
          <w:szCs w:val="19"/>
          <w:color w:val="auto"/>
        </w:rPr>
        <w:t>A conflict can arise if you or someone with whom you have a close relationship receives improper personal benefits (such as cash, gifts, entertainment, services, discounts, loans or guarantees) or is selected by Thomson Reuters as a supplier, consultant or business partner as a result of your position at Thomson Reuters.</w:t>
      </w:r>
    </w:p>
    <w:p>
      <w:pPr>
        <w:spacing w:after="0" w:line="157" w:lineRule="exact"/>
        <w:rPr>
          <w:sz w:val="20"/>
          <w:szCs w:val="20"/>
          <w:color w:val="auto"/>
        </w:rPr>
      </w:pPr>
    </w:p>
    <w:p>
      <w:pPr>
        <w:ind w:left="2" w:right="100"/>
        <w:spacing w:after="0" w:line="273" w:lineRule="auto"/>
        <w:rPr>
          <w:sz w:val="20"/>
          <w:szCs w:val="20"/>
          <w:color w:val="auto"/>
        </w:rPr>
      </w:pPr>
      <w:r>
        <w:rPr>
          <w:rFonts w:ascii="Arial" w:cs="Arial" w:eastAsia="Arial" w:hAnsi="Arial"/>
          <w:sz w:val="19"/>
          <w:szCs w:val="19"/>
          <w:color w:val="auto"/>
        </w:rPr>
        <w:t>We each must avoid putting ourselves in positions where the interests of those with whom we have a close relationship could improperly influence our decisions.</w:t>
      </w:r>
    </w:p>
    <w:p>
      <w:pPr>
        <w:spacing w:after="0" w:line="139" w:lineRule="exact"/>
        <w:rPr>
          <w:sz w:val="20"/>
          <w:szCs w:val="20"/>
          <w:color w:val="auto"/>
        </w:rPr>
      </w:pPr>
    </w:p>
    <w:p>
      <w:pPr>
        <w:ind w:left="2"/>
        <w:spacing w:after="0"/>
        <w:rPr>
          <w:sz w:val="20"/>
          <w:szCs w:val="20"/>
          <w:color w:val="auto"/>
        </w:rPr>
      </w:pPr>
      <w:r>
        <w:rPr>
          <w:rFonts w:ascii="Arial" w:cs="Arial" w:eastAsia="Arial" w:hAnsi="Arial"/>
          <w:sz w:val="19"/>
          <w:szCs w:val="19"/>
          <w:color w:val="auto"/>
        </w:rPr>
        <w:t>This means we avoid:</w:t>
      </w:r>
    </w:p>
    <w:p>
      <w:pPr>
        <w:spacing w:after="0" w:line="232" w:lineRule="exact"/>
        <w:rPr>
          <w:sz w:val="20"/>
          <w:szCs w:val="20"/>
          <w:color w:val="auto"/>
        </w:rPr>
      </w:pPr>
    </w:p>
    <w:p>
      <w:pPr>
        <w:ind w:left="842" w:hanging="418"/>
        <w:spacing w:after="0"/>
        <w:tabs>
          <w:tab w:leader="none" w:pos="842" w:val="left"/>
        </w:tabs>
        <w:numPr>
          <w:ilvl w:val="1"/>
          <w:numId w:val="179"/>
        </w:numPr>
        <w:rPr>
          <w:rFonts w:ascii="Times New Roman" w:cs="Times New Roman" w:eastAsia="Times New Roman" w:hAnsi="Times New Roman"/>
          <w:sz w:val="18"/>
          <w:szCs w:val="18"/>
          <w:color w:val="D64000"/>
        </w:rPr>
      </w:pPr>
      <w:r>
        <w:rPr>
          <w:rFonts w:ascii="Arial" w:cs="Arial" w:eastAsia="Arial" w:hAnsi="Arial"/>
          <w:sz w:val="19"/>
          <w:szCs w:val="19"/>
          <w:color w:val="auto"/>
        </w:rPr>
        <w:t>Directly or indirectly supervising colleagues with whom we have a close relationship</w:t>
      </w:r>
    </w:p>
    <w:p>
      <w:pPr>
        <w:spacing w:after="0" w:line="37" w:lineRule="exact"/>
        <w:rPr>
          <w:rFonts w:ascii="Times New Roman" w:cs="Times New Roman" w:eastAsia="Times New Roman" w:hAnsi="Times New Roman"/>
          <w:sz w:val="18"/>
          <w:szCs w:val="18"/>
          <w:color w:val="D64000"/>
        </w:rPr>
      </w:pPr>
    </w:p>
    <w:p>
      <w:pPr>
        <w:ind w:left="842" w:right="200" w:hanging="418"/>
        <w:spacing w:after="0" w:line="254" w:lineRule="auto"/>
        <w:tabs>
          <w:tab w:leader="none" w:pos="842" w:val="left"/>
        </w:tabs>
        <w:numPr>
          <w:ilvl w:val="1"/>
          <w:numId w:val="179"/>
        </w:numPr>
        <w:rPr>
          <w:rFonts w:ascii="Times New Roman" w:cs="Times New Roman" w:eastAsia="Times New Roman" w:hAnsi="Times New Roman"/>
          <w:sz w:val="18"/>
          <w:szCs w:val="18"/>
          <w:color w:val="D64000"/>
        </w:rPr>
      </w:pPr>
      <w:r>
        <w:rPr>
          <w:rFonts w:ascii="Arial" w:cs="Arial" w:eastAsia="Arial" w:hAnsi="Arial"/>
          <w:sz w:val="19"/>
          <w:szCs w:val="19"/>
          <w:color w:val="auto"/>
        </w:rPr>
        <w:t>Taking part in hiring or promoting those with whom we have a close relationship or influencing their compensation, benefits or opportunities if they work at the company</w:t>
      </w:r>
    </w:p>
    <w:p>
      <w:pPr>
        <w:spacing w:after="0" w:line="1" w:lineRule="exact"/>
        <w:rPr>
          <w:rFonts w:ascii="Times New Roman" w:cs="Times New Roman" w:eastAsia="Times New Roman" w:hAnsi="Times New Roman"/>
          <w:sz w:val="18"/>
          <w:szCs w:val="18"/>
          <w:color w:val="D64000"/>
        </w:rPr>
      </w:pPr>
    </w:p>
    <w:p>
      <w:pPr>
        <w:ind w:left="842" w:right="80" w:hanging="418"/>
        <w:spacing w:after="0" w:line="251" w:lineRule="auto"/>
        <w:tabs>
          <w:tab w:leader="none" w:pos="842" w:val="left"/>
        </w:tabs>
        <w:numPr>
          <w:ilvl w:val="1"/>
          <w:numId w:val="179"/>
        </w:numPr>
        <w:rPr>
          <w:rFonts w:ascii="Times New Roman" w:cs="Times New Roman" w:eastAsia="Times New Roman" w:hAnsi="Times New Roman"/>
          <w:sz w:val="18"/>
          <w:szCs w:val="18"/>
          <w:color w:val="D64000"/>
        </w:rPr>
      </w:pPr>
      <w:r>
        <w:rPr>
          <w:rFonts w:ascii="Arial" w:cs="Arial" w:eastAsia="Arial" w:hAnsi="Arial"/>
          <w:sz w:val="19"/>
          <w:szCs w:val="19"/>
          <w:color w:val="auto"/>
        </w:rPr>
        <w:t>Participating in transactions between Thomson Reuters and businesses that are owned by or that employ someone with whom we have a close relationship. It may be a conflict of interest if you or someone with whom you have a close relationship owns more than 1% of a customer, supplier or competitor</w:t>
      </w:r>
    </w:p>
    <w:p>
      <w:pPr>
        <w:spacing w:after="0" w:line="200" w:lineRule="exact"/>
        <w:rPr>
          <w:rFonts w:ascii="Times New Roman" w:cs="Times New Roman" w:eastAsia="Times New Roman" w:hAnsi="Times New Roman"/>
          <w:sz w:val="18"/>
          <w:szCs w:val="18"/>
          <w:color w:val="D64000"/>
        </w:rPr>
      </w:pPr>
    </w:p>
    <w:p>
      <w:pPr>
        <w:spacing w:after="0" w:line="200" w:lineRule="exact"/>
        <w:rPr>
          <w:rFonts w:ascii="Times New Roman" w:cs="Times New Roman" w:eastAsia="Times New Roman" w:hAnsi="Times New Roman"/>
          <w:sz w:val="18"/>
          <w:szCs w:val="18"/>
          <w:color w:val="D64000"/>
        </w:rPr>
      </w:pPr>
    </w:p>
    <w:p>
      <w:pPr>
        <w:spacing w:after="0" w:line="200" w:lineRule="exact"/>
        <w:rPr>
          <w:rFonts w:ascii="Times New Roman" w:cs="Times New Roman" w:eastAsia="Times New Roman" w:hAnsi="Times New Roman"/>
          <w:sz w:val="18"/>
          <w:szCs w:val="18"/>
          <w:color w:val="D64000"/>
        </w:rPr>
      </w:pPr>
    </w:p>
    <w:p>
      <w:pPr>
        <w:spacing w:after="0" w:line="200" w:lineRule="exact"/>
        <w:rPr>
          <w:rFonts w:ascii="Times New Roman" w:cs="Times New Roman" w:eastAsia="Times New Roman" w:hAnsi="Times New Roman"/>
          <w:sz w:val="18"/>
          <w:szCs w:val="18"/>
          <w:color w:val="D64000"/>
        </w:rPr>
      </w:pPr>
    </w:p>
    <w:p>
      <w:pPr>
        <w:spacing w:after="0" w:line="200" w:lineRule="exact"/>
        <w:rPr>
          <w:rFonts w:ascii="Times New Roman" w:cs="Times New Roman" w:eastAsia="Times New Roman" w:hAnsi="Times New Roman"/>
          <w:sz w:val="18"/>
          <w:szCs w:val="18"/>
          <w:color w:val="D64000"/>
        </w:rPr>
      </w:pPr>
    </w:p>
    <w:p>
      <w:pPr>
        <w:spacing w:after="0" w:line="240" w:lineRule="exact"/>
        <w:rPr>
          <w:rFonts w:ascii="Times New Roman" w:cs="Times New Roman" w:eastAsia="Times New Roman" w:hAnsi="Times New Roman"/>
          <w:sz w:val="18"/>
          <w:szCs w:val="18"/>
          <w:color w:val="D64000"/>
        </w:rPr>
      </w:pPr>
    </w:p>
    <w:p>
      <w:pPr>
        <w:ind w:left="102" w:hanging="102"/>
        <w:spacing w:after="0"/>
        <w:tabs>
          <w:tab w:leader="none" w:pos="102" w:val="left"/>
        </w:tabs>
        <w:numPr>
          <w:ilvl w:val="0"/>
          <w:numId w:val="179"/>
        </w:numPr>
        <w:rPr>
          <w:rFonts w:ascii="Arial" w:cs="Arial" w:eastAsia="Arial" w:hAnsi="Arial"/>
          <w:sz w:val="20"/>
          <w:szCs w:val="20"/>
          <w:b w:val="1"/>
          <w:bCs w:val="1"/>
          <w:i w:val="1"/>
          <w:iCs w:val="1"/>
          <w:color w:val="D64000"/>
        </w:rPr>
      </w:pPr>
      <w:r>
        <w:rPr>
          <w:rFonts w:ascii="Arial" w:cs="Arial" w:eastAsia="Arial" w:hAnsi="Arial"/>
          <w:sz w:val="20"/>
          <w:szCs w:val="20"/>
          <w:b w:val="1"/>
          <w:bCs w:val="1"/>
          <w:i w:val="1"/>
          <w:iCs w:val="1"/>
          <w:color w:val="D64000"/>
        </w:rPr>
        <w:t>Connecting the dots</w:t>
      </w:r>
    </w:p>
    <w:p>
      <w:pPr>
        <w:spacing w:after="0" w:line="224" w:lineRule="exact"/>
        <w:rPr>
          <w:rFonts w:ascii="Arial" w:cs="Arial" w:eastAsia="Arial" w:hAnsi="Arial"/>
          <w:sz w:val="20"/>
          <w:szCs w:val="20"/>
          <w:b w:val="1"/>
          <w:bCs w:val="1"/>
          <w:i w:val="1"/>
          <w:iCs w:val="1"/>
          <w:color w:val="D64000"/>
        </w:rPr>
      </w:pPr>
    </w:p>
    <w:p>
      <w:pPr>
        <w:ind w:left="122" w:hanging="122"/>
        <w:spacing w:after="0"/>
        <w:tabs>
          <w:tab w:leader="none" w:pos="122" w:val="left"/>
        </w:tabs>
        <w:numPr>
          <w:ilvl w:val="0"/>
          <w:numId w:val="179"/>
        </w:numPr>
        <w:rPr>
          <w:rFonts w:ascii="Arial" w:cs="Arial" w:eastAsia="Arial" w:hAnsi="Arial"/>
          <w:sz w:val="24"/>
          <w:szCs w:val="24"/>
          <w:b w:val="1"/>
          <w:bCs w:val="1"/>
          <w:color w:val="auto"/>
        </w:rPr>
      </w:pPr>
      <w:r>
        <w:rPr>
          <w:rFonts w:ascii="Arial" w:cs="Arial" w:eastAsia="Arial" w:hAnsi="Arial"/>
          <w:sz w:val="24"/>
          <w:szCs w:val="24"/>
          <w:b w:val="1"/>
          <w:bCs w:val="1"/>
          <w:color w:val="auto"/>
        </w:rPr>
        <w:t>Q</w:t>
      </w:r>
      <w:r>
        <w:rPr>
          <w:rFonts w:ascii="Arial" w:cs="Arial" w:eastAsia="Arial" w:hAnsi="Arial"/>
          <w:sz w:val="16"/>
          <w:szCs w:val="16"/>
          <w:b w:val="1"/>
          <w:bCs w:val="1"/>
          <w:color w:val="auto"/>
        </w:rPr>
        <w:t xml:space="preserve">   How does the Code define a “close” relationship?</w:t>
      </w:r>
    </w:p>
    <w:p>
      <w:pPr>
        <w:spacing w:after="0" w:line="187" w:lineRule="exact"/>
        <w:rPr>
          <w:rFonts w:ascii="Arial" w:cs="Arial" w:eastAsia="Arial" w:hAnsi="Arial"/>
          <w:sz w:val="24"/>
          <w:szCs w:val="24"/>
          <w:b w:val="1"/>
          <w:bCs w:val="1"/>
          <w:color w:val="auto"/>
        </w:rPr>
      </w:pPr>
    </w:p>
    <w:p>
      <w:pPr>
        <w:ind w:left="122" w:hanging="122"/>
        <w:spacing w:after="0"/>
        <w:tabs>
          <w:tab w:leader="none" w:pos="122" w:val="left"/>
        </w:tabs>
        <w:numPr>
          <w:ilvl w:val="0"/>
          <w:numId w:val="179"/>
        </w:numPr>
        <w:rPr>
          <w:rFonts w:ascii="Arial" w:cs="Arial" w:eastAsia="Arial" w:hAnsi="Arial"/>
          <w:sz w:val="24"/>
          <w:szCs w:val="24"/>
          <w:b w:val="1"/>
          <w:bCs w:val="1"/>
          <w:color w:val="auto"/>
        </w:rPr>
      </w:pPr>
      <w:r>
        <w:rPr>
          <w:rFonts w:ascii="Arial" w:cs="Arial" w:eastAsia="Arial" w:hAnsi="Arial"/>
          <w:sz w:val="24"/>
          <w:szCs w:val="24"/>
          <w:b w:val="1"/>
          <w:bCs w:val="1"/>
          <w:color w:val="auto"/>
        </w:rPr>
        <w:t>A</w:t>
      </w:r>
      <w:r>
        <w:rPr>
          <w:rFonts w:ascii="Arial" w:cs="Arial" w:eastAsia="Arial" w:hAnsi="Arial"/>
          <w:sz w:val="16"/>
          <w:szCs w:val="16"/>
          <w:color w:val="auto"/>
        </w:rPr>
        <w:t xml:space="preserve">   For the purposes of the Code, people with whom you have a “close” relationship may include any person that could influence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-1337945</wp:posOffset>
            </wp:positionV>
            <wp:extent cx="6899275" cy="26416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99275" cy="2641600"/>
                    </a:xfrm>
                    <a:prstGeom prst="rect">
                      <a:avLst/>
                    </a:prstGeom>
                    <a:noFill/>
                  </pic:spPr>
                </pic:pic>
              </a:graphicData>
            </a:graphic>
          </wp:anchor>
        </w:drawing>
      </w:r>
    </w:p>
    <w:p>
      <w:pPr>
        <w:spacing w:after="0" w:line="17" w:lineRule="exact"/>
        <w:rPr>
          <w:sz w:val="20"/>
          <w:szCs w:val="20"/>
          <w:color w:val="auto"/>
        </w:rPr>
      </w:pPr>
    </w:p>
    <w:p>
      <w:pPr>
        <w:ind w:left="442"/>
        <w:spacing w:after="0"/>
        <w:rPr>
          <w:sz w:val="20"/>
          <w:szCs w:val="20"/>
          <w:color w:val="auto"/>
        </w:rPr>
      </w:pPr>
      <w:r>
        <w:rPr>
          <w:rFonts w:ascii="Arial" w:cs="Arial" w:eastAsia="Arial" w:hAnsi="Arial"/>
          <w:sz w:val="18"/>
          <w:szCs w:val="18"/>
          <w:color w:val="auto"/>
        </w:rPr>
        <w:t>appear to influence your judgment such as:</w:t>
      </w:r>
    </w:p>
    <w:p>
      <w:pPr>
        <w:spacing w:after="0" w:line="186"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A spouse, partner, parent or person you are dating</w:t>
      </w:r>
    </w:p>
    <w:p>
      <w:pPr>
        <w:spacing w:after="0" w:line="84"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Immediate family members (parents, offspring, siblings, grandparents or grandchildren)</w:t>
      </w:r>
    </w:p>
    <w:p>
      <w:pPr>
        <w:spacing w:after="0" w:line="84"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Mothers and fathers in-law, sons and daughters-in-law, brothers and sisters-in-law</w:t>
      </w:r>
    </w:p>
    <w:p>
      <w:pPr>
        <w:spacing w:after="0" w:line="84"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Cousins, uncles, aunts, nieces, nephews</w:t>
      </w:r>
    </w:p>
    <w:p>
      <w:pPr>
        <w:spacing w:after="0" w:line="84"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Any person living in the same home as you</w:t>
      </w:r>
    </w:p>
    <w:p>
      <w:pPr>
        <w:spacing w:after="0" w:line="235" w:lineRule="exact"/>
        <w:rPr>
          <w:sz w:val="20"/>
          <w:szCs w:val="20"/>
          <w:color w:val="auto"/>
        </w:rPr>
      </w:pPr>
    </w:p>
    <w:p>
      <w:pPr>
        <w:ind w:left="2"/>
        <w:spacing w:after="0"/>
        <w:rPr>
          <w:sz w:val="20"/>
          <w:szCs w:val="20"/>
          <w:color w:val="auto"/>
        </w:rPr>
      </w:pPr>
      <w:r>
        <w:rPr>
          <w:rFonts w:ascii="Arial" w:cs="Arial" w:eastAsia="Arial" w:hAnsi="Arial"/>
          <w:sz w:val="11"/>
          <w:szCs w:val="1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865620" cy="102616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65620" cy="1026160"/>
                    </a:xfrm>
                    <a:prstGeom prst="rect">
                      <a:avLst/>
                    </a:prstGeom>
                    <a:noFill/>
                  </pic:spPr>
                </pic:pic>
              </a:graphicData>
            </a:graphic>
          </wp:anchor>
        </w:drawing>
      </w:r>
    </w:p>
    <w:p>
      <w:pPr>
        <w:spacing w:after="0" w:line="175" w:lineRule="exact"/>
        <w:rPr>
          <w:sz w:val="20"/>
          <w:szCs w:val="20"/>
          <w:color w:val="auto"/>
        </w:rPr>
      </w:pPr>
    </w:p>
    <w:p>
      <w:pPr>
        <w:ind w:left="122" w:hanging="122"/>
        <w:spacing w:after="0"/>
        <w:tabs>
          <w:tab w:leader="none" w:pos="122" w:val="left"/>
        </w:tabs>
        <w:numPr>
          <w:ilvl w:val="0"/>
          <w:numId w:val="180"/>
        </w:numPr>
        <w:rPr>
          <w:rFonts w:ascii="Arial" w:cs="Arial" w:eastAsia="Arial" w:hAnsi="Arial"/>
          <w:sz w:val="24"/>
          <w:szCs w:val="24"/>
          <w:b w:val="1"/>
          <w:bCs w:val="1"/>
          <w:color w:val="auto"/>
        </w:rPr>
      </w:pPr>
      <w:r>
        <w:rPr>
          <w:rFonts w:ascii="Arial" w:cs="Arial" w:eastAsia="Arial" w:hAnsi="Arial"/>
          <w:sz w:val="24"/>
          <w:szCs w:val="24"/>
          <w:b w:val="1"/>
          <w:bCs w:val="1"/>
          <w:color w:val="auto"/>
        </w:rPr>
        <w:t>Q</w:t>
      </w:r>
      <w:r>
        <w:rPr>
          <w:rFonts w:ascii="Arial" w:cs="Arial" w:eastAsia="Arial" w:hAnsi="Arial"/>
          <w:sz w:val="16"/>
          <w:szCs w:val="16"/>
          <w:b w:val="1"/>
          <w:bCs w:val="1"/>
          <w:color w:val="auto"/>
        </w:rPr>
        <w:t xml:space="preserve">   I think my manager is dating a coworker. Is that allowed?</w:t>
      </w:r>
    </w:p>
    <w:p>
      <w:pPr>
        <w:spacing w:after="0" w:line="227" w:lineRule="exact"/>
        <w:rPr>
          <w:rFonts w:ascii="Arial" w:cs="Arial" w:eastAsia="Arial" w:hAnsi="Arial"/>
          <w:sz w:val="24"/>
          <w:szCs w:val="24"/>
          <w:b w:val="1"/>
          <w:bCs w:val="1"/>
          <w:color w:val="auto"/>
        </w:rPr>
      </w:pPr>
    </w:p>
    <w:p>
      <w:pPr>
        <w:ind w:left="442" w:right="260" w:hanging="442"/>
        <w:spacing w:after="0" w:line="313" w:lineRule="auto"/>
        <w:tabs>
          <w:tab w:leader="none" w:pos="115" w:val="left"/>
        </w:tabs>
        <w:numPr>
          <w:ilvl w:val="0"/>
          <w:numId w:val="180"/>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15"/>
          <w:szCs w:val="15"/>
          <w:color w:val="auto"/>
        </w:rPr>
        <w:t xml:space="preserve">   It is inappropriate for a manager to date one of his or her direct reports or another person who is a subordinate in his or her group.</w:t>
      </w:r>
      <w:r>
        <w:rPr>
          <w:rFonts w:ascii="Arial" w:cs="Arial" w:eastAsia="Arial" w:hAnsi="Arial"/>
          <w:sz w:val="22"/>
          <w:szCs w:val="22"/>
          <w:b w:val="1"/>
          <w:bCs w:val="1"/>
          <w:color w:val="auto"/>
        </w:rPr>
        <w:t xml:space="preserve"> </w:t>
      </w:r>
      <w:r>
        <w:rPr>
          <w:rFonts w:ascii="Arial" w:cs="Arial" w:eastAsia="Arial" w:hAnsi="Arial"/>
          <w:sz w:val="15"/>
          <w:szCs w:val="15"/>
          <w:color w:val="auto"/>
        </w:rPr>
        <w:t>Even if the relationship appears to be consensual, having one individual in a position of power over the other could result in a conflict of interest. Any concerns should be addressed to Human Resources.</w:t>
      </w:r>
    </w:p>
    <w:p>
      <w:pPr>
        <w:spacing w:after="0" w:line="268" w:lineRule="exact"/>
        <w:rPr>
          <w:sz w:val="20"/>
          <w:szCs w:val="20"/>
          <w:color w:val="auto"/>
        </w:rPr>
      </w:pPr>
    </w:p>
    <w:tbl>
      <w:tblPr>
        <w:tblLayout w:type="fixed"/>
        <w:tblInd w:w="4362"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967740" cy="32829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ectPr>
          <w:pgSz w:w="11900" w:h="16838" w:orient="portrait"/>
          <w:cols w:equalWidth="0" w:num="1">
            <w:col w:w="10822"/>
          </w:cols>
          <w:pgMar w:left="538" w:top="260" w:right="539" w:bottom="1440" w:gutter="0" w:footer="0" w:header="0"/>
        </w:sectPr>
      </w:pPr>
    </w:p>
    <w:bookmarkStart w:id="199" w:name="page200"/>
    <w:bookmarkEnd w:id="199"/>
    <w:p>
      <w:pPr>
        <w:spacing w:after="0"/>
        <w:rPr>
          <w:sz w:val="20"/>
          <w:szCs w:val="20"/>
          <w:color w:val="auto"/>
        </w:rPr>
      </w:pPr>
      <w:r>
        <w:rPr>
          <w:rFonts w:ascii="Arial" w:cs="Arial" w:eastAsia="Arial" w:hAnsi="Arial"/>
          <w:sz w:val="26"/>
          <w:szCs w:val="26"/>
          <w:i w:val="1"/>
          <w:iCs w:val="1"/>
          <w:color w:val="D64000"/>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Corporate opportunities</w:t>
      </w:r>
    </w:p>
    <w:p>
      <w:pPr>
        <w:spacing w:after="0" w:line="222" w:lineRule="exact"/>
        <w:rPr>
          <w:sz w:val="20"/>
          <w:szCs w:val="20"/>
          <w:color w:val="auto"/>
        </w:rPr>
      </w:pPr>
    </w:p>
    <w:p>
      <w:pPr>
        <w:ind w:right="860"/>
        <w:spacing w:after="0" w:line="273" w:lineRule="auto"/>
        <w:rPr>
          <w:sz w:val="20"/>
          <w:szCs w:val="20"/>
          <w:color w:val="auto"/>
        </w:rPr>
      </w:pPr>
      <w:r>
        <w:rPr>
          <w:rFonts w:ascii="Arial" w:cs="Arial" w:eastAsia="Arial" w:hAnsi="Arial"/>
          <w:sz w:val="19"/>
          <w:szCs w:val="19"/>
          <w:color w:val="auto"/>
        </w:rPr>
        <w:t>We may not take for ourselves any opportunity that was created or discovered through the use of company property, information or other resources or through our position at the company. This means we:</w:t>
      </w:r>
    </w:p>
    <w:p>
      <w:pPr>
        <w:spacing w:after="0" w:line="46" w:lineRule="exact"/>
        <w:rPr>
          <w:sz w:val="20"/>
          <w:szCs w:val="20"/>
          <w:color w:val="auto"/>
        </w:rPr>
      </w:pPr>
    </w:p>
    <w:p>
      <w:pPr>
        <w:ind w:left="840" w:right="200" w:hanging="418"/>
        <w:spacing w:after="0" w:line="273" w:lineRule="auto"/>
        <w:tabs>
          <w:tab w:leader="none" w:pos="840" w:val="left"/>
        </w:tabs>
        <w:numPr>
          <w:ilvl w:val="0"/>
          <w:numId w:val="181"/>
        </w:numPr>
        <w:rPr>
          <w:rFonts w:ascii="Times New Roman" w:cs="Times New Roman" w:eastAsia="Times New Roman" w:hAnsi="Times New Roman"/>
          <w:sz w:val="18"/>
          <w:szCs w:val="18"/>
          <w:color w:val="D64000"/>
        </w:rPr>
      </w:pPr>
      <w:r>
        <w:rPr>
          <w:rFonts w:ascii="Arial" w:cs="Arial" w:eastAsia="Arial" w:hAnsi="Arial"/>
          <w:sz w:val="19"/>
          <w:szCs w:val="19"/>
          <w:color w:val="auto"/>
        </w:rPr>
        <w:t>Use company property, company information and our position only to advance the company’s interests and not for personal gain</w:t>
      </w:r>
    </w:p>
    <w:p>
      <w:pPr>
        <w:spacing w:after="0" w:line="46" w:lineRule="exact"/>
        <w:rPr>
          <w:rFonts w:ascii="Times New Roman" w:cs="Times New Roman" w:eastAsia="Times New Roman" w:hAnsi="Times New Roman"/>
          <w:sz w:val="18"/>
          <w:szCs w:val="18"/>
          <w:color w:val="D64000"/>
        </w:rPr>
      </w:pPr>
    </w:p>
    <w:p>
      <w:pPr>
        <w:ind w:left="840" w:right="120" w:hanging="418"/>
        <w:spacing w:after="0" w:line="273" w:lineRule="auto"/>
        <w:tabs>
          <w:tab w:leader="none" w:pos="840" w:val="left"/>
        </w:tabs>
        <w:numPr>
          <w:ilvl w:val="0"/>
          <w:numId w:val="181"/>
        </w:numPr>
        <w:rPr>
          <w:rFonts w:ascii="Times New Roman" w:cs="Times New Roman" w:eastAsia="Times New Roman" w:hAnsi="Times New Roman"/>
          <w:sz w:val="18"/>
          <w:szCs w:val="18"/>
          <w:color w:val="D64000"/>
        </w:rPr>
      </w:pPr>
      <w:r>
        <w:rPr>
          <w:rFonts w:ascii="Arial" w:cs="Arial" w:eastAsia="Arial" w:hAnsi="Arial"/>
          <w:sz w:val="19"/>
          <w:szCs w:val="19"/>
          <w:color w:val="auto"/>
        </w:rPr>
        <w:t>Recognize when a product, service, invention or business connection might be of interest to Thomson Reuters and communicate it to the company</w:t>
      </w:r>
    </w:p>
    <w:p>
      <w:pPr>
        <w:spacing w:after="0" w:line="241" w:lineRule="exact"/>
        <w:rPr>
          <w:sz w:val="20"/>
          <w:szCs w:val="20"/>
          <w:color w:val="auto"/>
        </w:rPr>
      </w:pPr>
    </w:p>
    <w:p>
      <w:pPr>
        <w:spacing w:after="0"/>
        <w:rPr>
          <w:sz w:val="20"/>
          <w:szCs w:val="20"/>
          <w:color w:val="auto"/>
        </w:rPr>
      </w:pPr>
      <w:r>
        <w:rPr>
          <w:rFonts w:ascii="Arial" w:cs="Arial" w:eastAsia="Arial" w:hAnsi="Arial"/>
          <w:sz w:val="26"/>
          <w:szCs w:val="26"/>
          <w:i w:val="1"/>
          <w:iCs w:val="1"/>
          <w:color w:val="D64000"/>
        </w:rPr>
        <w:t>Outside employment</w:t>
      </w:r>
    </w:p>
    <w:p>
      <w:pPr>
        <w:spacing w:after="0" w:line="222" w:lineRule="exact"/>
        <w:rPr>
          <w:sz w:val="20"/>
          <w:szCs w:val="20"/>
          <w:color w:val="auto"/>
        </w:rPr>
      </w:pPr>
    </w:p>
    <w:p>
      <w:pPr>
        <w:ind w:right="180"/>
        <w:spacing w:after="0" w:line="246" w:lineRule="auto"/>
        <w:rPr>
          <w:sz w:val="20"/>
          <w:szCs w:val="20"/>
          <w:color w:val="auto"/>
        </w:rPr>
      </w:pPr>
      <w:r>
        <w:rPr>
          <w:rFonts w:ascii="Arial" w:cs="Arial" w:eastAsia="Arial" w:hAnsi="Arial"/>
          <w:sz w:val="19"/>
          <w:szCs w:val="19"/>
          <w:color w:val="auto"/>
        </w:rPr>
        <w:t>We take on outside employment only if it does not interfere with our judgment or ability to perform our job duties at Thomson Reuters. Disclosing outside employment to your manager or the Enterprise Compliance team is required and important to ensure that the position does not interfere or conflict with your role at TR or our work with a partner or customer. This means that while working for Thomson Reuters, we each:</w:t>
      </w:r>
    </w:p>
    <w:p>
      <w:pPr>
        <w:spacing w:after="0" w:line="191" w:lineRule="exact"/>
        <w:rPr>
          <w:sz w:val="20"/>
          <w:szCs w:val="20"/>
          <w:color w:val="auto"/>
        </w:rPr>
      </w:pPr>
    </w:p>
    <w:p>
      <w:pPr>
        <w:ind w:left="840" w:hanging="418"/>
        <w:spacing w:after="0"/>
        <w:tabs>
          <w:tab w:leader="none" w:pos="840" w:val="left"/>
        </w:tabs>
        <w:numPr>
          <w:ilvl w:val="0"/>
          <w:numId w:val="182"/>
        </w:numPr>
        <w:rPr>
          <w:rFonts w:ascii="Times New Roman" w:cs="Times New Roman" w:eastAsia="Times New Roman" w:hAnsi="Times New Roman"/>
          <w:sz w:val="18"/>
          <w:szCs w:val="18"/>
          <w:color w:val="D64000"/>
        </w:rPr>
      </w:pPr>
      <w:r>
        <w:rPr>
          <w:rFonts w:ascii="Arial" w:cs="Arial" w:eastAsia="Arial" w:hAnsi="Arial"/>
          <w:sz w:val="19"/>
          <w:szCs w:val="19"/>
          <w:color w:val="auto"/>
        </w:rPr>
        <w:t>Ensure our employment or engagement with another company does not affect our work at Thomson Reuters</w:t>
      </w:r>
    </w:p>
    <w:p>
      <w:pPr>
        <w:spacing w:after="0" w:line="112"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182"/>
        </w:numPr>
        <w:rPr>
          <w:rFonts w:ascii="Times New Roman" w:cs="Times New Roman" w:eastAsia="Times New Roman" w:hAnsi="Times New Roman"/>
          <w:sz w:val="18"/>
          <w:szCs w:val="18"/>
          <w:color w:val="D64000"/>
        </w:rPr>
      </w:pPr>
      <w:r>
        <w:rPr>
          <w:rFonts w:ascii="Arial" w:cs="Arial" w:eastAsia="Arial" w:hAnsi="Arial"/>
          <w:sz w:val="19"/>
          <w:szCs w:val="19"/>
          <w:color w:val="auto"/>
        </w:rPr>
        <w:t>Do not accept work if it would cause us to improperly disclose the company’s confidential or proprietary information</w:t>
      </w:r>
    </w:p>
    <w:p>
      <w:pPr>
        <w:spacing w:after="0" w:line="112"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182"/>
        </w:numPr>
        <w:rPr>
          <w:rFonts w:ascii="Times New Roman" w:cs="Times New Roman" w:eastAsia="Times New Roman" w:hAnsi="Times New Roman"/>
          <w:sz w:val="18"/>
          <w:szCs w:val="18"/>
          <w:color w:val="D64000"/>
        </w:rPr>
      </w:pPr>
      <w:r>
        <w:rPr>
          <w:rFonts w:ascii="Arial" w:cs="Arial" w:eastAsia="Arial" w:hAnsi="Arial"/>
          <w:sz w:val="19"/>
          <w:szCs w:val="19"/>
          <w:color w:val="auto"/>
        </w:rPr>
        <w:t>Do not compete with Thomson Reuters or work for our competitors</w:t>
      </w:r>
    </w:p>
    <w:p>
      <w:pPr>
        <w:spacing w:after="0" w:line="112" w:lineRule="exact"/>
        <w:rPr>
          <w:rFonts w:ascii="Times New Roman" w:cs="Times New Roman" w:eastAsia="Times New Roman" w:hAnsi="Times New Roman"/>
          <w:sz w:val="18"/>
          <w:szCs w:val="18"/>
          <w:color w:val="D64000"/>
        </w:rPr>
      </w:pPr>
    </w:p>
    <w:p>
      <w:pPr>
        <w:ind w:left="840" w:right="160" w:hanging="418"/>
        <w:spacing w:after="0" w:line="273" w:lineRule="auto"/>
        <w:tabs>
          <w:tab w:leader="none" w:pos="840" w:val="left"/>
        </w:tabs>
        <w:numPr>
          <w:ilvl w:val="0"/>
          <w:numId w:val="182"/>
        </w:numPr>
        <w:rPr>
          <w:rFonts w:ascii="Times New Roman" w:cs="Times New Roman" w:eastAsia="Times New Roman" w:hAnsi="Times New Roman"/>
          <w:sz w:val="18"/>
          <w:szCs w:val="18"/>
          <w:color w:val="D64000"/>
        </w:rPr>
      </w:pPr>
      <w:r>
        <w:rPr>
          <w:rFonts w:ascii="Arial" w:cs="Arial" w:eastAsia="Arial" w:hAnsi="Arial"/>
          <w:sz w:val="19"/>
          <w:szCs w:val="19"/>
          <w:color w:val="auto"/>
        </w:rPr>
        <w:t>Do not use company resources or time to perform work for second jobs, personal businesses, board memberships or civic positions, or the like</w:t>
      </w:r>
    </w:p>
    <w:p>
      <w:pPr>
        <w:spacing w:after="0" w:line="241" w:lineRule="exact"/>
        <w:rPr>
          <w:sz w:val="20"/>
          <w:szCs w:val="20"/>
          <w:color w:val="auto"/>
        </w:rPr>
      </w:pPr>
    </w:p>
    <w:p>
      <w:pPr>
        <w:spacing w:after="0"/>
        <w:rPr>
          <w:sz w:val="20"/>
          <w:szCs w:val="20"/>
          <w:color w:val="auto"/>
        </w:rPr>
      </w:pPr>
      <w:r>
        <w:rPr>
          <w:rFonts w:ascii="Arial" w:cs="Arial" w:eastAsia="Arial" w:hAnsi="Arial"/>
          <w:sz w:val="26"/>
          <w:szCs w:val="26"/>
          <w:i w:val="1"/>
          <w:iCs w:val="1"/>
          <w:color w:val="D64000"/>
        </w:rPr>
        <w:t>Practicing law on behalf of Thomson Reuters</w:t>
      </w:r>
    </w:p>
    <w:p>
      <w:pPr>
        <w:spacing w:after="0" w:line="222" w:lineRule="exact"/>
        <w:rPr>
          <w:sz w:val="20"/>
          <w:szCs w:val="20"/>
          <w:color w:val="auto"/>
        </w:rPr>
      </w:pPr>
    </w:p>
    <w:p>
      <w:pPr>
        <w:ind w:right="280"/>
        <w:spacing w:after="0" w:line="253" w:lineRule="auto"/>
        <w:rPr>
          <w:sz w:val="20"/>
          <w:szCs w:val="20"/>
          <w:color w:val="auto"/>
        </w:rPr>
      </w:pPr>
      <w:r>
        <w:rPr>
          <w:rFonts w:ascii="Arial" w:cs="Arial" w:eastAsia="Arial" w:hAnsi="Arial"/>
          <w:sz w:val="19"/>
          <w:szCs w:val="19"/>
          <w:color w:val="auto"/>
        </w:rPr>
        <w:t>Thomson Reuters employs many individuals with law degrees who also may be licensed to practice law. It is important to remember that only lawyers in the General Counsel’s Office (GCO) or those who are working at the direction and under the supervision of the GCO, may practice law or provide legal advice on behalf of Thomson Reuters.</w:t>
      </w:r>
    </w:p>
    <w:p>
      <w:pPr>
        <w:spacing w:after="0" w:line="51" w:lineRule="exact"/>
        <w:rPr>
          <w:sz w:val="20"/>
          <w:szCs w:val="20"/>
          <w:color w:val="auto"/>
        </w:rPr>
      </w:pPr>
    </w:p>
    <w:p>
      <w:pPr>
        <w:ind w:right="140"/>
        <w:spacing w:after="0" w:line="273" w:lineRule="auto"/>
        <w:rPr>
          <w:sz w:val="20"/>
          <w:szCs w:val="20"/>
          <w:color w:val="auto"/>
        </w:rPr>
      </w:pPr>
      <w:r>
        <w:rPr>
          <w:rFonts w:ascii="Arial" w:cs="Arial" w:eastAsia="Arial" w:hAnsi="Arial"/>
          <w:sz w:val="19"/>
          <w:szCs w:val="19"/>
          <w:color w:val="auto"/>
        </w:rPr>
        <w:t>This means that while working at Thomson Reuters, employees and contractors who do not meet the above criteria may not, among other things:</w:t>
      </w:r>
    </w:p>
    <w:p>
      <w:pPr>
        <w:spacing w:after="0" w:line="139" w:lineRule="exact"/>
        <w:rPr>
          <w:sz w:val="20"/>
          <w:szCs w:val="20"/>
          <w:color w:val="auto"/>
        </w:rPr>
      </w:pPr>
    </w:p>
    <w:p>
      <w:pPr>
        <w:ind w:left="840" w:hanging="418"/>
        <w:spacing w:after="0"/>
        <w:tabs>
          <w:tab w:leader="none" w:pos="840" w:val="left"/>
        </w:tabs>
        <w:numPr>
          <w:ilvl w:val="0"/>
          <w:numId w:val="183"/>
        </w:numPr>
        <w:rPr>
          <w:rFonts w:ascii="Times New Roman" w:cs="Times New Roman" w:eastAsia="Times New Roman" w:hAnsi="Times New Roman"/>
          <w:sz w:val="18"/>
          <w:szCs w:val="18"/>
          <w:color w:val="D64000"/>
        </w:rPr>
      </w:pPr>
      <w:r>
        <w:rPr>
          <w:rFonts w:ascii="Arial" w:cs="Arial" w:eastAsia="Arial" w:hAnsi="Arial"/>
          <w:sz w:val="19"/>
          <w:szCs w:val="19"/>
          <w:color w:val="auto"/>
        </w:rPr>
        <w:t>Establish an attorney-client relationship on behalf of Thomson Reuters</w:t>
      </w:r>
    </w:p>
    <w:p>
      <w:pPr>
        <w:spacing w:after="0" w:line="112" w:lineRule="exact"/>
        <w:rPr>
          <w:rFonts w:ascii="Times New Roman" w:cs="Times New Roman" w:eastAsia="Times New Roman" w:hAnsi="Times New Roman"/>
          <w:sz w:val="18"/>
          <w:szCs w:val="18"/>
          <w:color w:val="D64000"/>
        </w:rPr>
      </w:pPr>
    </w:p>
    <w:p>
      <w:pPr>
        <w:ind w:left="840" w:right="1020" w:hanging="418"/>
        <w:spacing w:after="0" w:line="273" w:lineRule="auto"/>
        <w:tabs>
          <w:tab w:leader="none" w:pos="840" w:val="left"/>
        </w:tabs>
        <w:numPr>
          <w:ilvl w:val="0"/>
          <w:numId w:val="183"/>
        </w:numPr>
        <w:rPr>
          <w:rFonts w:ascii="Times New Roman" w:cs="Times New Roman" w:eastAsia="Times New Roman" w:hAnsi="Times New Roman"/>
          <w:sz w:val="18"/>
          <w:szCs w:val="18"/>
          <w:color w:val="D64000"/>
        </w:rPr>
      </w:pPr>
      <w:r>
        <w:rPr>
          <w:rFonts w:ascii="Arial" w:cs="Arial" w:eastAsia="Arial" w:hAnsi="Arial"/>
          <w:sz w:val="19"/>
          <w:szCs w:val="19"/>
          <w:color w:val="auto"/>
        </w:rPr>
        <w:t>Provide legal advice or guidance where specialized legal skills are required, such that there is an implicit representation of authority or competence to practice law</w:t>
      </w:r>
    </w:p>
    <w:p>
      <w:pPr>
        <w:spacing w:after="0" w:line="46" w:lineRule="exact"/>
        <w:rPr>
          <w:rFonts w:ascii="Times New Roman" w:cs="Times New Roman" w:eastAsia="Times New Roman" w:hAnsi="Times New Roman"/>
          <w:sz w:val="18"/>
          <w:szCs w:val="18"/>
          <w:color w:val="D64000"/>
        </w:rPr>
      </w:pPr>
    </w:p>
    <w:p>
      <w:pPr>
        <w:ind w:left="840" w:right="20" w:hanging="418"/>
        <w:spacing w:after="0" w:line="273" w:lineRule="auto"/>
        <w:tabs>
          <w:tab w:leader="none" w:pos="840" w:val="left"/>
        </w:tabs>
        <w:numPr>
          <w:ilvl w:val="0"/>
          <w:numId w:val="183"/>
        </w:numPr>
        <w:rPr>
          <w:rFonts w:ascii="Times New Roman" w:cs="Times New Roman" w:eastAsia="Times New Roman" w:hAnsi="Times New Roman"/>
          <w:sz w:val="18"/>
          <w:szCs w:val="18"/>
          <w:color w:val="D64000"/>
        </w:rPr>
      </w:pPr>
      <w:r>
        <w:rPr>
          <w:rFonts w:ascii="Arial" w:cs="Arial" w:eastAsia="Arial" w:hAnsi="Arial"/>
          <w:sz w:val="19"/>
          <w:szCs w:val="19"/>
          <w:color w:val="auto"/>
        </w:rPr>
        <w:t>Hold themselves out as a Thomson Reuters lawyer, which means to indicate in any manner to any other person that they are competent, authorized or available to practice law on behalf of the company</w:t>
      </w:r>
    </w:p>
    <w:p>
      <w:pPr>
        <w:spacing w:after="0" w:line="139" w:lineRule="exact"/>
        <w:rPr>
          <w:sz w:val="20"/>
          <w:szCs w:val="20"/>
          <w:color w:val="auto"/>
        </w:rPr>
      </w:pPr>
    </w:p>
    <w:p>
      <w:pPr>
        <w:ind w:right="820"/>
        <w:spacing w:after="0" w:line="273" w:lineRule="auto"/>
        <w:rPr>
          <w:sz w:val="20"/>
          <w:szCs w:val="20"/>
          <w:color w:val="auto"/>
        </w:rPr>
      </w:pPr>
      <w:r>
        <w:rPr>
          <w:rFonts w:ascii="Arial" w:cs="Arial" w:eastAsia="Arial" w:hAnsi="Arial"/>
          <w:sz w:val="19"/>
          <w:szCs w:val="19"/>
          <w:color w:val="auto"/>
        </w:rPr>
        <w:t>If you are unsure if you meet the criteria to practice law on behalf of Thomson Reuters, please contact the Enterprise Compliance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967740" cy="32829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357" w:lineRule="exact"/>
        <w:rPr>
          <w:sz w:val="20"/>
          <w:szCs w:val="20"/>
          <w:color w:val="auto"/>
        </w:rPr>
      </w:pPr>
    </w:p>
    <w:tbl>
      <w:tblPr>
        <w:tblLayout w:type="fixed"/>
        <w:tblInd w:w="4360"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19</w:t>
            </w:r>
          </w:p>
        </w:tc>
      </w:tr>
    </w:tbl>
    <w:p>
      <w:pPr>
        <w:sectPr>
          <w:pgSz w:w="11900" w:h="16838" w:orient="portrait"/>
          <w:cols w:equalWidth="0" w:num="1">
            <w:col w:w="10820"/>
          </w:cols>
          <w:pgMar w:left="540" w:top="260" w:right="539" w:bottom="1440" w:gutter="0" w:footer="0" w:header="0"/>
        </w:sectPr>
      </w:pPr>
    </w:p>
    <w:bookmarkStart w:id="200" w:name="page201"/>
    <w:bookmarkEnd w:id="200"/>
    <w:p>
      <w:pPr>
        <w:spacing w:after="0"/>
        <w:rPr>
          <w:sz w:val="20"/>
          <w:szCs w:val="20"/>
          <w:color w:val="auto"/>
        </w:rPr>
      </w:pPr>
      <w:r>
        <w:rPr>
          <w:rFonts w:ascii="Arial" w:cs="Arial" w:eastAsia="Arial" w:hAnsi="Arial"/>
          <w:sz w:val="26"/>
          <w:szCs w:val="26"/>
          <w:i w:val="1"/>
          <w:iCs w:val="1"/>
          <w:color w:val="D64000"/>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Joining the Board of another company</w:t>
      </w:r>
    </w:p>
    <w:p>
      <w:pPr>
        <w:spacing w:after="0" w:line="222" w:lineRule="exact"/>
        <w:rPr>
          <w:sz w:val="20"/>
          <w:szCs w:val="20"/>
          <w:color w:val="auto"/>
        </w:rPr>
      </w:pPr>
    </w:p>
    <w:p>
      <w:pPr>
        <w:ind w:right="180"/>
        <w:spacing w:after="0" w:line="243" w:lineRule="auto"/>
        <w:rPr>
          <w:sz w:val="20"/>
          <w:szCs w:val="20"/>
          <w:color w:val="auto"/>
        </w:rPr>
      </w:pPr>
      <w:r>
        <w:rPr>
          <w:rFonts w:ascii="Arial" w:cs="Arial" w:eastAsia="Arial" w:hAnsi="Arial"/>
          <w:sz w:val="19"/>
          <w:szCs w:val="19"/>
          <w:color w:val="auto"/>
        </w:rPr>
        <w:t>Employees are permitted to serve on the board of private family businesses and other organizations that have no relation to Thomson Reuters or our businesses. Employees must receive approval from the Enterprise Compliance team before accepting an appointment to the board of any organization whose interests may conflict with Thomson Reuters interests. No employee may serve as a director of another publicly traded company unless you’ve received approval from the Thomson Reuters Chief Compliance Officer.</w:t>
      </w:r>
    </w:p>
    <w:p>
      <w:pPr>
        <w:spacing w:after="0" w:line="162" w:lineRule="exact"/>
        <w:rPr>
          <w:sz w:val="20"/>
          <w:szCs w:val="20"/>
          <w:color w:val="auto"/>
        </w:rPr>
      </w:pPr>
    </w:p>
    <w:p>
      <w:pPr>
        <w:spacing w:after="0"/>
        <w:rPr>
          <w:sz w:val="20"/>
          <w:szCs w:val="20"/>
          <w:color w:val="auto"/>
        </w:rPr>
      </w:pPr>
      <w:r>
        <w:rPr>
          <w:rFonts w:ascii="Arial" w:cs="Arial" w:eastAsia="Arial" w:hAnsi="Arial"/>
          <w:sz w:val="26"/>
          <w:szCs w:val="26"/>
          <w:i w:val="1"/>
          <w:iCs w:val="1"/>
          <w:color w:val="D64000"/>
        </w:rPr>
        <w:t>Organizational conflicts of interest</w:t>
      </w:r>
    </w:p>
    <w:p>
      <w:pPr>
        <w:spacing w:after="0" w:line="222" w:lineRule="exact"/>
        <w:rPr>
          <w:sz w:val="20"/>
          <w:szCs w:val="20"/>
          <w:color w:val="auto"/>
        </w:rPr>
      </w:pPr>
    </w:p>
    <w:p>
      <w:pPr>
        <w:ind w:right="140"/>
        <w:spacing w:after="0" w:line="273" w:lineRule="auto"/>
        <w:rPr>
          <w:sz w:val="20"/>
          <w:szCs w:val="20"/>
          <w:color w:val="auto"/>
        </w:rPr>
      </w:pPr>
      <w:r>
        <w:rPr>
          <w:rFonts w:ascii="Arial" w:cs="Arial" w:eastAsia="Arial" w:hAnsi="Arial"/>
          <w:sz w:val="19"/>
          <w:szCs w:val="19"/>
          <w:color w:val="auto"/>
        </w:rPr>
        <w:t>When dealing with the government, we avoid situations that might give Thomson Reuters an unfair competitive advantage or that could affect our ability to perform work objectively as individuals. This means we:</w:t>
      </w:r>
    </w:p>
    <w:p>
      <w:pPr>
        <w:spacing w:after="0" w:line="165" w:lineRule="exact"/>
        <w:rPr>
          <w:sz w:val="20"/>
          <w:szCs w:val="20"/>
          <w:color w:val="auto"/>
        </w:rPr>
      </w:pPr>
    </w:p>
    <w:p>
      <w:pPr>
        <w:ind w:left="840" w:right="240" w:hanging="418"/>
        <w:spacing w:after="0" w:line="256" w:lineRule="auto"/>
        <w:tabs>
          <w:tab w:leader="none" w:pos="840" w:val="left"/>
        </w:tabs>
        <w:numPr>
          <w:ilvl w:val="0"/>
          <w:numId w:val="184"/>
        </w:numPr>
        <w:rPr>
          <w:rFonts w:ascii="Times New Roman" w:cs="Times New Roman" w:eastAsia="Times New Roman" w:hAnsi="Times New Roman"/>
          <w:sz w:val="18"/>
          <w:szCs w:val="18"/>
          <w:color w:val="D64000"/>
        </w:rPr>
      </w:pPr>
      <w:r>
        <w:rPr>
          <w:rFonts w:ascii="Arial" w:cs="Arial" w:eastAsia="Arial" w:hAnsi="Arial"/>
          <w:sz w:val="19"/>
          <w:szCs w:val="19"/>
          <w:color w:val="auto"/>
        </w:rPr>
        <w:t>Follow all requirements of the Federal Acquisition Regulation (FAR) in the United States and similar regulations in all the other countries where we do business</w:t>
      </w:r>
    </w:p>
    <w:p>
      <w:pPr>
        <w:spacing w:after="0" w:line="1"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184"/>
        </w:numPr>
        <w:rPr>
          <w:rFonts w:ascii="Times New Roman" w:cs="Times New Roman" w:eastAsia="Times New Roman" w:hAnsi="Times New Roman"/>
          <w:sz w:val="18"/>
          <w:szCs w:val="18"/>
          <w:color w:val="D64000"/>
        </w:rPr>
      </w:pPr>
      <w:r>
        <w:rPr>
          <w:rFonts w:ascii="Arial" w:cs="Arial" w:eastAsia="Arial" w:hAnsi="Arial"/>
          <w:sz w:val="19"/>
          <w:szCs w:val="19"/>
          <w:color w:val="auto"/>
        </w:rPr>
        <w:t>Work in good faith to address and resolve any claims of organizational conflicts of interest</w:t>
      </w:r>
    </w:p>
    <w:p>
      <w:pPr>
        <w:spacing w:after="0" w:line="201" w:lineRule="exact"/>
        <w:rPr>
          <w:sz w:val="20"/>
          <w:szCs w:val="20"/>
          <w:color w:val="auto"/>
        </w:rPr>
      </w:pPr>
    </w:p>
    <w:p>
      <w:pPr>
        <w:ind w:right="80"/>
        <w:spacing w:after="0" w:line="253" w:lineRule="auto"/>
        <w:rPr>
          <w:sz w:val="20"/>
          <w:szCs w:val="20"/>
          <w:color w:val="auto"/>
        </w:rPr>
      </w:pPr>
      <w:r>
        <w:rPr>
          <w:rFonts w:ascii="Arial" w:cs="Arial" w:eastAsia="Arial" w:hAnsi="Arial"/>
          <w:sz w:val="19"/>
          <w:szCs w:val="19"/>
          <w:color w:val="auto"/>
        </w:rPr>
        <w:t xml:space="preserve">Remember that many conflicts or potential conflicts can actually be resolved if they are properly disclosed in a timely manner. Refer to </w:t>
      </w:r>
      <w:r>
        <w:rPr>
          <w:rFonts w:ascii="Arial" w:cs="Arial" w:eastAsia="Arial" w:hAnsi="Arial"/>
          <w:sz w:val="19"/>
          <w:szCs w:val="19"/>
          <w:b w:val="1"/>
          <w:bCs w:val="1"/>
          <w:color w:val="1A7EE5"/>
        </w:rPr>
        <w:t>Making Ethical Decisions</w:t>
      </w:r>
      <w:r>
        <w:rPr>
          <w:rFonts w:ascii="Arial" w:cs="Arial" w:eastAsia="Arial" w:hAnsi="Arial"/>
          <w:sz w:val="19"/>
          <w:szCs w:val="19"/>
          <w:color w:val="auto"/>
        </w:rPr>
        <w:t xml:space="preserve"> for guidance in handling potential conflicts of interest, and </w:t>
      </w:r>
      <w:r>
        <w:rPr>
          <w:rFonts w:ascii="Arial" w:cs="Arial" w:eastAsia="Arial" w:hAnsi="Arial"/>
          <w:sz w:val="19"/>
          <w:szCs w:val="19"/>
          <w:b w:val="1"/>
          <w:bCs w:val="1"/>
          <w:color w:val="1A7EE5"/>
        </w:rPr>
        <w:t>Seek Help</w:t>
      </w:r>
      <w:r>
        <w:rPr>
          <w:rFonts w:ascii="Arial" w:cs="Arial" w:eastAsia="Arial" w:hAnsi="Arial"/>
          <w:sz w:val="19"/>
          <w:szCs w:val="19"/>
          <w:color w:val="auto"/>
        </w:rPr>
        <w:t xml:space="preserve"> if you are ever unsure about a potential conflict.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35"/>
          <w:szCs w:val="35"/>
          <w:b w:val="1"/>
          <w:bCs w:val="1"/>
          <w:color w:val="D64000"/>
        </w:rPr>
        <w:t>Dealing fairly and honestly</w:t>
      </w:r>
    </w:p>
    <w:p>
      <w:pPr>
        <w:spacing w:after="0" w:line="332"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We are trusted to . . .</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…compete vigorously, fairly and openly.</w:t>
      </w:r>
    </w:p>
    <w:p>
      <w:pPr>
        <w:spacing w:after="0" w:line="30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Why it matters</w:t>
      </w:r>
    </w:p>
    <w:p>
      <w:pPr>
        <w:spacing w:after="0" w:line="232" w:lineRule="exact"/>
        <w:rPr>
          <w:sz w:val="20"/>
          <w:szCs w:val="20"/>
          <w:color w:val="auto"/>
        </w:rPr>
      </w:pPr>
    </w:p>
    <w:p>
      <w:pPr>
        <w:ind w:right="140"/>
        <w:spacing w:after="0" w:line="243" w:lineRule="auto"/>
        <w:rPr>
          <w:sz w:val="20"/>
          <w:szCs w:val="20"/>
          <w:color w:val="auto"/>
        </w:rPr>
      </w:pPr>
      <w:r>
        <w:rPr>
          <w:rFonts w:ascii="Arial" w:cs="Arial" w:eastAsia="Arial" w:hAnsi="Arial"/>
          <w:sz w:val="19"/>
          <w:szCs w:val="19"/>
          <w:color w:val="auto"/>
        </w:rPr>
        <w:t>Anti-competitive practices harm customers and distort markets. These practices severely damage our relationships with customers and partners by eroding their foundational trust. Competition and antitrust laws prohibit making agreements with competitors, customers, suppliers or other third parties that limit competition. Even though competition laws are complex and dynamic, we are expected to know the law in this area. If we fail to act lawfully, we can hurt the company’s reputation and leave Thomson Reuters and ourselves open to the potential of substantial fines and even criminal prosecution.</w:t>
      </w:r>
    </w:p>
    <w:p>
      <w:pPr>
        <w:spacing w:after="0" w:line="26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How we deliver</w:t>
      </w:r>
    </w:p>
    <w:p>
      <w:pPr>
        <w:spacing w:after="0" w:line="228" w:lineRule="exact"/>
        <w:rPr>
          <w:sz w:val="20"/>
          <w:szCs w:val="20"/>
          <w:color w:val="auto"/>
        </w:rPr>
      </w:pPr>
    </w:p>
    <w:p>
      <w:pPr>
        <w:spacing w:after="0"/>
        <w:rPr>
          <w:sz w:val="20"/>
          <w:szCs w:val="20"/>
          <w:color w:val="auto"/>
        </w:rPr>
      </w:pPr>
      <w:r>
        <w:rPr>
          <w:rFonts w:ascii="Arial" w:cs="Arial" w:eastAsia="Arial" w:hAnsi="Arial"/>
          <w:sz w:val="26"/>
          <w:szCs w:val="26"/>
          <w:i w:val="1"/>
          <w:iCs w:val="1"/>
          <w:color w:val="D64000"/>
        </w:rPr>
        <w:t>Fair dealing</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We treat our competitors, customers, suppliers, partners and security holders with fairness and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102235</wp:posOffset>
            </wp:positionV>
            <wp:extent cx="967740" cy="32829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4360"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20</w:t>
            </w:r>
          </w:p>
        </w:tc>
      </w:tr>
    </w:tbl>
    <w:p>
      <w:pPr>
        <w:sectPr>
          <w:pgSz w:w="11900" w:h="16838" w:orient="portrait"/>
          <w:cols w:equalWidth="0" w:num="1">
            <w:col w:w="10820"/>
          </w:cols>
          <w:pgMar w:left="540" w:top="260" w:right="539" w:bottom="1440" w:gutter="0" w:footer="0" w:header="0"/>
        </w:sectPr>
      </w:pPr>
    </w:p>
    <w:bookmarkStart w:id="201" w:name="page202"/>
    <w:bookmarkEnd w:id="201"/>
    <w:p>
      <w:pPr>
        <w:ind w:left="2"/>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This means we:</w:t>
      </w:r>
    </w:p>
    <w:p>
      <w:pPr>
        <w:spacing w:after="0" w:line="139" w:lineRule="exact"/>
        <w:rPr>
          <w:sz w:val="20"/>
          <w:szCs w:val="20"/>
          <w:color w:val="auto"/>
        </w:rPr>
      </w:pPr>
    </w:p>
    <w:p>
      <w:pPr>
        <w:ind w:left="842" w:hanging="418"/>
        <w:spacing w:after="0"/>
        <w:tabs>
          <w:tab w:leader="none" w:pos="842" w:val="left"/>
        </w:tabs>
        <w:numPr>
          <w:ilvl w:val="1"/>
          <w:numId w:val="185"/>
        </w:numPr>
        <w:rPr>
          <w:rFonts w:ascii="Times New Roman" w:cs="Times New Roman" w:eastAsia="Times New Roman" w:hAnsi="Times New Roman"/>
          <w:sz w:val="18"/>
          <w:szCs w:val="18"/>
          <w:color w:val="D64000"/>
        </w:rPr>
      </w:pPr>
      <w:r>
        <w:rPr>
          <w:rFonts w:ascii="Arial" w:cs="Arial" w:eastAsia="Arial" w:hAnsi="Arial"/>
          <w:sz w:val="19"/>
          <w:szCs w:val="19"/>
          <w:color w:val="auto"/>
        </w:rPr>
        <w:t>Comply with the letter and spirit of applicable laws</w:t>
      </w:r>
    </w:p>
    <w:p>
      <w:pPr>
        <w:spacing w:after="0" w:line="59" w:lineRule="exact"/>
        <w:rPr>
          <w:rFonts w:ascii="Times New Roman" w:cs="Times New Roman" w:eastAsia="Times New Roman" w:hAnsi="Times New Roman"/>
          <w:sz w:val="18"/>
          <w:szCs w:val="18"/>
          <w:color w:val="D64000"/>
        </w:rPr>
      </w:pPr>
    </w:p>
    <w:p>
      <w:pPr>
        <w:ind w:left="842" w:hanging="418"/>
        <w:spacing w:after="0"/>
        <w:tabs>
          <w:tab w:leader="none" w:pos="842" w:val="left"/>
        </w:tabs>
        <w:numPr>
          <w:ilvl w:val="1"/>
          <w:numId w:val="185"/>
        </w:numPr>
        <w:rPr>
          <w:rFonts w:ascii="Times New Roman" w:cs="Times New Roman" w:eastAsia="Times New Roman" w:hAnsi="Times New Roman"/>
          <w:sz w:val="18"/>
          <w:szCs w:val="18"/>
          <w:color w:val="D64000"/>
        </w:rPr>
      </w:pPr>
      <w:r>
        <w:rPr>
          <w:rFonts w:ascii="Arial" w:cs="Arial" w:eastAsia="Arial" w:hAnsi="Arial"/>
          <w:sz w:val="19"/>
          <w:szCs w:val="19"/>
          <w:color w:val="auto"/>
        </w:rPr>
        <w:t>Recommend only products, services and solutions that we believe are the proper fit for each customer’s needs</w:t>
      </w:r>
    </w:p>
    <w:p>
      <w:pPr>
        <w:spacing w:after="0" w:line="59" w:lineRule="exact"/>
        <w:rPr>
          <w:rFonts w:ascii="Times New Roman" w:cs="Times New Roman" w:eastAsia="Times New Roman" w:hAnsi="Times New Roman"/>
          <w:sz w:val="18"/>
          <w:szCs w:val="18"/>
          <w:color w:val="D64000"/>
        </w:rPr>
      </w:pPr>
    </w:p>
    <w:p>
      <w:pPr>
        <w:ind w:left="842" w:hanging="418"/>
        <w:spacing w:after="0"/>
        <w:tabs>
          <w:tab w:leader="none" w:pos="842" w:val="left"/>
        </w:tabs>
        <w:numPr>
          <w:ilvl w:val="1"/>
          <w:numId w:val="185"/>
        </w:numPr>
        <w:rPr>
          <w:rFonts w:ascii="Times New Roman" w:cs="Times New Roman" w:eastAsia="Times New Roman" w:hAnsi="Times New Roman"/>
          <w:sz w:val="18"/>
          <w:szCs w:val="18"/>
          <w:color w:val="D64000"/>
        </w:rPr>
      </w:pPr>
      <w:r>
        <w:rPr>
          <w:rFonts w:ascii="Arial" w:cs="Arial" w:eastAsia="Arial" w:hAnsi="Arial"/>
          <w:sz w:val="19"/>
          <w:szCs w:val="19"/>
          <w:color w:val="auto"/>
        </w:rPr>
        <w:t>Remain transparent and forthright in all contracting</w:t>
      </w:r>
    </w:p>
    <w:p>
      <w:pPr>
        <w:spacing w:after="0" w:line="59" w:lineRule="exact"/>
        <w:rPr>
          <w:rFonts w:ascii="Times New Roman" w:cs="Times New Roman" w:eastAsia="Times New Roman" w:hAnsi="Times New Roman"/>
          <w:sz w:val="18"/>
          <w:szCs w:val="18"/>
          <w:color w:val="D64000"/>
        </w:rPr>
      </w:pPr>
    </w:p>
    <w:p>
      <w:pPr>
        <w:ind w:left="842" w:hanging="418"/>
        <w:spacing w:after="0"/>
        <w:tabs>
          <w:tab w:leader="none" w:pos="842" w:val="left"/>
        </w:tabs>
        <w:numPr>
          <w:ilvl w:val="1"/>
          <w:numId w:val="185"/>
        </w:numPr>
        <w:rPr>
          <w:rFonts w:ascii="Times New Roman" w:cs="Times New Roman" w:eastAsia="Times New Roman" w:hAnsi="Times New Roman"/>
          <w:sz w:val="18"/>
          <w:szCs w:val="18"/>
          <w:color w:val="D64000"/>
        </w:rPr>
      </w:pPr>
      <w:r>
        <w:rPr>
          <w:rFonts w:ascii="Arial" w:cs="Arial" w:eastAsia="Arial" w:hAnsi="Arial"/>
          <w:sz w:val="19"/>
          <w:szCs w:val="19"/>
          <w:color w:val="auto"/>
        </w:rPr>
        <w:t>Award contracts based on merit and clearly defined benchmarks</w:t>
      </w:r>
    </w:p>
    <w:p>
      <w:pPr>
        <w:spacing w:after="0" w:line="59" w:lineRule="exact"/>
        <w:rPr>
          <w:rFonts w:ascii="Times New Roman" w:cs="Times New Roman" w:eastAsia="Times New Roman" w:hAnsi="Times New Roman"/>
          <w:sz w:val="18"/>
          <w:szCs w:val="18"/>
          <w:color w:val="D64000"/>
        </w:rPr>
      </w:pPr>
    </w:p>
    <w:p>
      <w:pPr>
        <w:ind w:left="842" w:hanging="418"/>
        <w:spacing w:after="0"/>
        <w:tabs>
          <w:tab w:leader="none" w:pos="842" w:val="left"/>
        </w:tabs>
        <w:numPr>
          <w:ilvl w:val="1"/>
          <w:numId w:val="185"/>
        </w:numPr>
        <w:rPr>
          <w:rFonts w:ascii="Times New Roman" w:cs="Times New Roman" w:eastAsia="Times New Roman" w:hAnsi="Times New Roman"/>
          <w:sz w:val="18"/>
          <w:szCs w:val="18"/>
          <w:color w:val="D64000"/>
        </w:rPr>
      </w:pPr>
      <w:r>
        <w:rPr>
          <w:rFonts w:ascii="Arial" w:cs="Arial" w:eastAsia="Arial" w:hAnsi="Arial"/>
          <w:sz w:val="19"/>
          <w:szCs w:val="19"/>
          <w:color w:val="auto"/>
        </w:rPr>
        <w:t>Provide accurate and timely documentation</w:t>
      </w:r>
    </w:p>
    <w:p>
      <w:pPr>
        <w:spacing w:after="0" w:line="59" w:lineRule="exact"/>
        <w:rPr>
          <w:rFonts w:ascii="Times New Roman" w:cs="Times New Roman" w:eastAsia="Times New Roman" w:hAnsi="Times New Roman"/>
          <w:sz w:val="18"/>
          <w:szCs w:val="18"/>
          <w:color w:val="D64000"/>
        </w:rPr>
      </w:pPr>
    </w:p>
    <w:p>
      <w:pPr>
        <w:ind w:left="842" w:hanging="418"/>
        <w:spacing w:after="0"/>
        <w:tabs>
          <w:tab w:leader="none" w:pos="842" w:val="left"/>
        </w:tabs>
        <w:numPr>
          <w:ilvl w:val="1"/>
          <w:numId w:val="185"/>
        </w:numPr>
        <w:rPr>
          <w:rFonts w:ascii="Times New Roman" w:cs="Times New Roman" w:eastAsia="Times New Roman" w:hAnsi="Times New Roman"/>
          <w:sz w:val="18"/>
          <w:szCs w:val="18"/>
          <w:color w:val="D64000"/>
        </w:rPr>
      </w:pPr>
      <w:r>
        <w:rPr>
          <w:rFonts w:ascii="Arial" w:cs="Arial" w:eastAsia="Arial" w:hAnsi="Arial"/>
          <w:sz w:val="19"/>
          <w:szCs w:val="19"/>
          <w:color w:val="auto"/>
        </w:rPr>
        <w:t>Deliver on what we promise</w:t>
      </w:r>
    </w:p>
    <w:p>
      <w:pPr>
        <w:spacing w:after="0" w:line="59" w:lineRule="exact"/>
        <w:rPr>
          <w:rFonts w:ascii="Times New Roman" w:cs="Times New Roman" w:eastAsia="Times New Roman" w:hAnsi="Times New Roman"/>
          <w:sz w:val="18"/>
          <w:szCs w:val="18"/>
          <w:color w:val="D64000"/>
        </w:rPr>
      </w:pPr>
    </w:p>
    <w:p>
      <w:pPr>
        <w:ind w:left="842" w:right="680" w:hanging="418"/>
        <w:spacing w:after="0" w:line="269" w:lineRule="auto"/>
        <w:tabs>
          <w:tab w:leader="none" w:pos="842" w:val="left"/>
        </w:tabs>
        <w:numPr>
          <w:ilvl w:val="1"/>
          <w:numId w:val="185"/>
        </w:numPr>
        <w:rPr>
          <w:rFonts w:ascii="Times New Roman" w:cs="Times New Roman" w:eastAsia="Times New Roman" w:hAnsi="Times New Roman"/>
          <w:sz w:val="18"/>
          <w:szCs w:val="18"/>
          <w:color w:val="D64000"/>
        </w:rPr>
      </w:pPr>
      <w:r>
        <w:rPr>
          <w:rFonts w:ascii="Arial" w:cs="Arial" w:eastAsia="Arial" w:hAnsi="Arial"/>
          <w:sz w:val="19"/>
          <w:szCs w:val="19"/>
          <w:color w:val="auto"/>
        </w:rPr>
        <w:t>Are honest and accurate in advertising and marketing claims, avoiding exaggeration, misrepresentation, and ambiguity</w:t>
      </w:r>
    </w:p>
    <w:p>
      <w:pPr>
        <w:ind w:left="842" w:right="800" w:hanging="418"/>
        <w:spacing w:after="0" w:line="268" w:lineRule="auto"/>
        <w:tabs>
          <w:tab w:leader="none" w:pos="842" w:val="left"/>
        </w:tabs>
        <w:numPr>
          <w:ilvl w:val="1"/>
          <w:numId w:val="185"/>
        </w:numPr>
        <w:rPr>
          <w:rFonts w:ascii="Times New Roman" w:cs="Times New Roman" w:eastAsia="Times New Roman" w:hAnsi="Times New Roman"/>
          <w:sz w:val="18"/>
          <w:szCs w:val="18"/>
          <w:color w:val="D64000"/>
        </w:rPr>
      </w:pPr>
      <w:r>
        <w:rPr>
          <w:rFonts w:ascii="Arial" w:cs="Arial" w:eastAsia="Arial" w:hAnsi="Arial"/>
          <w:sz w:val="19"/>
          <w:szCs w:val="19"/>
          <w:color w:val="auto"/>
        </w:rPr>
        <w:t>Take special care when making comparative claims and do not disparage or unfairly criticize a competitor’s products or services</w:t>
      </w:r>
    </w:p>
    <w:p>
      <w:pPr>
        <w:ind w:left="842" w:hanging="418"/>
        <w:spacing w:after="0"/>
        <w:tabs>
          <w:tab w:leader="none" w:pos="842" w:val="left"/>
        </w:tabs>
        <w:numPr>
          <w:ilvl w:val="1"/>
          <w:numId w:val="185"/>
        </w:numPr>
        <w:rPr>
          <w:rFonts w:ascii="Times New Roman" w:cs="Times New Roman" w:eastAsia="Times New Roman" w:hAnsi="Times New Roman"/>
          <w:sz w:val="18"/>
          <w:szCs w:val="18"/>
          <w:color w:val="D64000"/>
        </w:rPr>
      </w:pPr>
      <w:r>
        <w:rPr>
          <w:rFonts w:ascii="Arial" w:cs="Arial" w:eastAsia="Arial" w:hAnsi="Arial"/>
          <w:sz w:val="19"/>
          <w:szCs w:val="19"/>
          <w:color w:val="auto"/>
        </w:rPr>
        <w:t xml:space="preserve">Do not gather competitive intelligence in unlawful or unethical ways (see </w:t>
      </w:r>
      <w:r>
        <w:rPr>
          <w:rFonts w:ascii="Arial" w:cs="Arial" w:eastAsia="Arial" w:hAnsi="Arial"/>
          <w:sz w:val="19"/>
          <w:szCs w:val="19"/>
          <w:b w:val="1"/>
          <w:bCs w:val="1"/>
          <w:color w:val="1A7EE5"/>
        </w:rPr>
        <w:t>Competitive Intelligence</w:t>
      </w:r>
      <w:r>
        <w:rPr>
          <w:rFonts w:ascii="Arial" w:cs="Arial" w:eastAsia="Arial" w:hAnsi="Arial"/>
          <w:sz w:val="19"/>
          <w:szCs w:val="19"/>
          <w:color w:val="auto"/>
        </w:rPr>
        <w:t xml:space="preserve"> in the Code)</w:t>
      </w:r>
    </w:p>
    <w:p>
      <w:pPr>
        <w:spacing w:after="0" w:line="130" w:lineRule="exact"/>
        <w:rPr>
          <w:rFonts w:ascii="Times New Roman" w:cs="Times New Roman" w:eastAsia="Times New Roman" w:hAnsi="Times New Roman"/>
          <w:sz w:val="18"/>
          <w:szCs w:val="18"/>
          <w:color w:val="D64000"/>
        </w:rPr>
      </w:pPr>
    </w:p>
    <w:p>
      <w:pPr>
        <w:ind w:left="222" w:hanging="222"/>
        <w:spacing w:after="0"/>
        <w:tabs>
          <w:tab w:leader="none" w:pos="222" w:val="left"/>
        </w:tabs>
        <w:numPr>
          <w:ilvl w:val="0"/>
          <w:numId w:val="185"/>
        </w:numPr>
        <w:rPr>
          <w:rFonts w:ascii="Arial" w:cs="Arial" w:eastAsia="Arial" w:hAnsi="Arial"/>
          <w:sz w:val="39"/>
          <w:szCs w:val="39"/>
          <w:b w:val="1"/>
          <w:bCs w:val="1"/>
          <w:i w:val="1"/>
          <w:iCs w:val="1"/>
          <w:color w:val="123121"/>
          <w:vertAlign w:val="superscript"/>
        </w:rPr>
      </w:pPr>
      <w:r>
        <w:rPr>
          <w:rFonts w:ascii="Arial" w:cs="Arial" w:eastAsia="Arial" w:hAnsi="Arial"/>
          <w:sz w:val="19"/>
          <w:szCs w:val="19"/>
          <w:b w:val="1"/>
          <w:bCs w:val="1"/>
          <w:i w:val="1"/>
          <w:iCs w:val="1"/>
          <w:color w:val="123121"/>
        </w:rPr>
        <w:t>Seek advice before you act</w:t>
      </w:r>
    </w:p>
    <w:p>
      <w:pPr>
        <w:spacing w:after="0" w:line="43" w:lineRule="exact"/>
        <w:rPr>
          <w:rFonts w:ascii="Arial" w:cs="Arial" w:eastAsia="Arial" w:hAnsi="Arial"/>
          <w:sz w:val="39"/>
          <w:szCs w:val="39"/>
          <w:b w:val="1"/>
          <w:bCs w:val="1"/>
          <w:i w:val="1"/>
          <w:iCs w:val="1"/>
          <w:color w:val="123121"/>
          <w:vertAlign w:val="superscript"/>
        </w:rPr>
      </w:pPr>
    </w:p>
    <w:p>
      <w:pPr>
        <w:ind w:left="222" w:right="200"/>
        <w:spacing w:after="0" w:line="254" w:lineRule="auto"/>
        <w:rPr>
          <w:rFonts w:ascii="Arial" w:cs="Arial" w:eastAsia="Arial" w:hAnsi="Arial"/>
          <w:sz w:val="39"/>
          <w:szCs w:val="39"/>
          <w:b w:val="1"/>
          <w:bCs w:val="1"/>
          <w:i w:val="1"/>
          <w:iCs w:val="1"/>
          <w:color w:val="123121"/>
          <w:vertAlign w:val="superscript"/>
        </w:rPr>
      </w:pPr>
      <w:r>
        <w:rPr>
          <w:rFonts w:ascii="Arial" w:cs="Arial" w:eastAsia="Arial" w:hAnsi="Arial"/>
          <w:sz w:val="19"/>
          <w:szCs w:val="19"/>
          <w:color w:val="auto"/>
        </w:rPr>
        <w:t>We often negotiate agreements with customers, suppliers and distributors. To avoid antitrust issues, seek advice from the General Counsel’s Office before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-526415</wp:posOffset>
            </wp:positionV>
            <wp:extent cx="6865620" cy="206121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65620" cy="2061210"/>
                    </a:xfrm>
                    <a:prstGeom prst="rect">
                      <a:avLst/>
                    </a:prstGeom>
                    <a:noFill/>
                  </pic:spPr>
                </pic:pic>
              </a:graphicData>
            </a:graphic>
          </wp:anchor>
        </w:drawing>
      </w:r>
    </w:p>
    <w:p>
      <w:pPr>
        <w:spacing w:after="0" w:line="125" w:lineRule="exact"/>
        <w:rPr>
          <w:sz w:val="20"/>
          <w:szCs w:val="20"/>
          <w:color w:val="auto"/>
        </w:rPr>
      </w:pPr>
    </w:p>
    <w:p>
      <w:pPr>
        <w:ind w:left="482" w:right="1900"/>
        <w:spacing w:after="0" w:line="321"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Use customer pricing (such as deep discounts) or licensing terms to keep out or unduly hinder competitors</w:t>
      </w:r>
      <w:r>
        <w:rPr>
          <w:rFonts w:ascii="Times New Roman" w:cs="Times New Roman" w:eastAsia="Times New Roman" w:hAnsi="Times New Roman"/>
          <w:sz w:val="18"/>
          <w:szCs w:val="18"/>
          <w:color w:val="D64000"/>
        </w:rPr>
        <w:t xml:space="preserve"> ●</w:t>
      </w:r>
      <w:r>
        <w:rPr>
          <w:rFonts w:ascii="Arial" w:cs="Arial" w:eastAsia="Arial" w:hAnsi="Arial"/>
          <w:sz w:val="18"/>
          <w:szCs w:val="18"/>
          <w:color w:val="000000"/>
        </w:rPr>
        <w:t> Sell anything below cost</w:t>
      </w:r>
    </w:p>
    <w:p>
      <w:pPr>
        <w:spacing w:after="0" w:line="1" w:lineRule="exact"/>
        <w:rPr>
          <w:sz w:val="20"/>
          <w:szCs w:val="20"/>
          <w:color w:val="auto"/>
        </w:rPr>
      </w:pPr>
    </w:p>
    <w:p>
      <w:pPr>
        <w:ind w:left="482"/>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Tie the sale of any product, service or discount to another product</w:t>
      </w:r>
    </w:p>
    <w:p>
      <w:pPr>
        <w:spacing w:after="0" w:line="70" w:lineRule="exact"/>
        <w:rPr>
          <w:sz w:val="20"/>
          <w:szCs w:val="20"/>
          <w:color w:val="auto"/>
        </w:rPr>
      </w:pPr>
    </w:p>
    <w:p>
      <w:pPr>
        <w:ind w:left="482"/>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Enter an exclusive dealing or lock-in agreement</w:t>
      </w:r>
    </w:p>
    <w:p>
      <w:pPr>
        <w:spacing w:after="0" w:line="70" w:lineRule="exact"/>
        <w:rPr>
          <w:sz w:val="20"/>
          <w:szCs w:val="20"/>
          <w:color w:val="auto"/>
        </w:rPr>
      </w:pPr>
    </w:p>
    <w:p>
      <w:pPr>
        <w:ind w:left="482"/>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Treat customers, suppliers or distributors inequitably for the same products</w:t>
      </w:r>
    </w:p>
    <w:p>
      <w:pPr>
        <w:spacing w:after="0" w:line="70" w:lineRule="exact"/>
        <w:rPr>
          <w:sz w:val="20"/>
          <w:szCs w:val="20"/>
          <w:color w:val="auto"/>
        </w:rPr>
      </w:pPr>
    </w:p>
    <w:p>
      <w:pPr>
        <w:ind w:left="622" w:right="500" w:hanging="140"/>
        <w:spacing w:after="0" w:line="274"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Restrict a distributor in terms of whom they can sell to and at what price or agree to a similar restriction on Thomson Reuters</w:t>
      </w:r>
      <w:r>
        <w:rPr>
          <w:rFonts w:ascii="Times New Roman" w:cs="Times New Roman" w:eastAsia="Times New Roman" w:hAnsi="Times New Roman"/>
          <w:sz w:val="18"/>
          <w:szCs w:val="18"/>
          <w:color w:val="D64000"/>
        </w:rPr>
        <w:t xml:space="preserve"> </w:t>
      </w:r>
      <w:r>
        <w:rPr>
          <w:rFonts w:ascii="Arial" w:cs="Arial" w:eastAsia="Arial" w:hAnsi="Arial"/>
          <w:sz w:val="18"/>
          <w:szCs w:val="18"/>
          <w:color w:val="000000"/>
        </w:rPr>
        <w:t>where we resell third-party products or services</w:t>
      </w:r>
    </w:p>
    <w:p>
      <w:pPr>
        <w:spacing w:after="0" w:line="3" w:lineRule="exact"/>
        <w:rPr>
          <w:sz w:val="20"/>
          <w:szCs w:val="20"/>
          <w:color w:val="auto"/>
        </w:rPr>
      </w:pPr>
    </w:p>
    <w:p>
      <w:pPr>
        <w:ind w:left="482"/>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Impose any non-compete or other similar restriction, or accept a similar restriction on Thomson Reuters</w:t>
      </w:r>
    </w:p>
    <w:p>
      <w:pPr>
        <w:spacing w:after="0" w:line="342" w:lineRule="exact"/>
        <w:rPr>
          <w:sz w:val="20"/>
          <w:szCs w:val="20"/>
          <w:color w:val="auto"/>
        </w:rPr>
      </w:pPr>
    </w:p>
    <w:p>
      <w:pPr>
        <w:ind w:left="2"/>
        <w:spacing w:after="0"/>
        <w:rPr>
          <w:sz w:val="20"/>
          <w:szCs w:val="20"/>
          <w:color w:val="auto"/>
        </w:rPr>
      </w:pPr>
      <w:r>
        <w:rPr>
          <w:rFonts w:ascii="Arial" w:cs="Arial" w:eastAsia="Arial" w:hAnsi="Arial"/>
          <w:sz w:val="26"/>
          <w:szCs w:val="26"/>
          <w:i w:val="1"/>
          <w:iCs w:val="1"/>
          <w:color w:val="D64000"/>
        </w:rPr>
        <w:t>Competition and antitrust</w:t>
      </w:r>
    </w:p>
    <w:p>
      <w:pPr>
        <w:spacing w:after="0" w:line="195" w:lineRule="exact"/>
        <w:rPr>
          <w:sz w:val="20"/>
          <w:szCs w:val="20"/>
          <w:color w:val="auto"/>
        </w:rPr>
      </w:pPr>
    </w:p>
    <w:p>
      <w:pPr>
        <w:ind w:left="2" w:right="140"/>
        <w:spacing w:after="0" w:line="273" w:lineRule="auto"/>
        <w:rPr>
          <w:sz w:val="20"/>
          <w:szCs w:val="20"/>
          <w:color w:val="auto"/>
        </w:rPr>
      </w:pPr>
      <w:r>
        <w:rPr>
          <w:rFonts w:ascii="Arial" w:cs="Arial" w:eastAsia="Arial" w:hAnsi="Arial"/>
          <w:sz w:val="19"/>
          <w:szCs w:val="19"/>
          <w:color w:val="auto"/>
        </w:rPr>
        <w:t>We abide by all competition and antitrust laws that apply to us, avoiding situations that could put us at risk of even appearing to violate these laws. This means we do not engage in discussions with competitors to:</w:t>
      </w:r>
    </w:p>
    <w:p>
      <w:pPr>
        <w:spacing w:after="0" w:line="46" w:lineRule="exact"/>
        <w:rPr>
          <w:sz w:val="20"/>
          <w:szCs w:val="20"/>
          <w:color w:val="auto"/>
        </w:rPr>
      </w:pPr>
    </w:p>
    <w:p>
      <w:pPr>
        <w:ind w:left="842" w:hanging="418"/>
        <w:spacing w:after="0"/>
        <w:tabs>
          <w:tab w:leader="none" w:pos="842" w:val="left"/>
        </w:tabs>
        <w:numPr>
          <w:ilvl w:val="0"/>
          <w:numId w:val="186"/>
        </w:numPr>
        <w:rPr>
          <w:rFonts w:ascii="Times New Roman" w:cs="Times New Roman" w:eastAsia="Times New Roman" w:hAnsi="Times New Roman"/>
          <w:sz w:val="18"/>
          <w:szCs w:val="18"/>
          <w:color w:val="D64000"/>
        </w:rPr>
      </w:pPr>
      <w:r>
        <w:rPr>
          <w:rFonts w:ascii="Arial" w:cs="Arial" w:eastAsia="Arial" w:hAnsi="Arial"/>
          <w:sz w:val="19"/>
          <w:szCs w:val="19"/>
          <w:color w:val="auto"/>
        </w:rPr>
        <w:t>Fix prices</w:t>
      </w:r>
    </w:p>
    <w:p>
      <w:pPr>
        <w:spacing w:after="0" w:line="59" w:lineRule="exact"/>
        <w:rPr>
          <w:rFonts w:ascii="Times New Roman" w:cs="Times New Roman" w:eastAsia="Times New Roman" w:hAnsi="Times New Roman"/>
          <w:sz w:val="18"/>
          <w:szCs w:val="18"/>
          <w:color w:val="D64000"/>
        </w:rPr>
      </w:pPr>
    </w:p>
    <w:p>
      <w:pPr>
        <w:ind w:left="842" w:hanging="418"/>
        <w:spacing w:after="0"/>
        <w:tabs>
          <w:tab w:leader="none" w:pos="842" w:val="left"/>
        </w:tabs>
        <w:numPr>
          <w:ilvl w:val="0"/>
          <w:numId w:val="186"/>
        </w:numPr>
        <w:rPr>
          <w:rFonts w:ascii="Times New Roman" w:cs="Times New Roman" w:eastAsia="Times New Roman" w:hAnsi="Times New Roman"/>
          <w:sz w:val="18"/>
          <w:szCs w:val="18"/>
          <w:color w:val="D64000"/>
        </w:rPr>
      </w:pPr>
      <w:r>
        <w:rPr>
          <w:rFonts w:ascii="Arial" w:cs="Arial" w:eastAsia="Arial" w:hAnsi="Arial"/>
          <w:sz w:val="19"/>
          <w:szCs w:val="19"/>
          <w:color w:val="auto"/>
        </w:rPr>
        <w:t>Divide sales opportunities or territories</w:t>
      </w:r>
    </w:p>
    <w:p>
      <w:pPr>
        <w:spacing w:after="0" w:line="59" w:lineRule="exact"/>
        <w:rPr>
          <w:rFonts w:ascii="Times New Roman" w:cs="Times New Roman" w:eastAsia="Times New Roman" w:hAnsi="Times New Roman"/>
          <w:sz w:val="18"/>
          <w:szCs w:val="18"/>
          <w:color w:val="D64000"/>
        </w:rPr>
      </w:pPr>
    </w:p>
    <w:p>
      <w:pPr>
        <w:ind w:left="842" w:hanging="418"/>
        <w:spacing w:after="0"/>
        <w:tabs>
          <w:tab w:leader="none" w:pos="842" w:val="left"/>
        </w:tabs>
        <w:numPr>
          <w:ilvl w:val="0"/>
          <w:numId w:val="186"/>
        </w:numPr>
        <w:rPr>
          <w:rFonts w:ascii="Times New Roman" w:cs="Times New Roman" w:eastAsia="Times New Roman" w:hAnsi="Times New Roman"/>
          <w:sz w:val="18"/>
          <w:szCs w:val="18"/>
          <w:color w:val="D64000"/>
        </w:rPr>
      </w:pPr>
      <w:r>
        <w:rPr>
          <w:rFonts w:ascii="Arial" w:cs="Arial" w:eastAsia="Arial" w:hAnsi="Arial"/>
          <w:sz w:val="19"/>
          <w:szCs w:val="19"/>
          <w:color w:val="auto"/>
        </w:rPr>
        <w:t>Agree not to solicit each other’s customers</w:t>
      </w:r>
    </w:p>
    <w:p>
      <w:pPr>
        <w:spacing w:after="0" w:line="59" w:lineRule="exact"/>
        <w:rPr>
          <w:rFonts w:ascii="Times New Roman" w:cs="Times New Roman" w:eastAsia="Times New Roman" w:hAnsi="Times New Roman"/>
          <w:sz w:val="18"/>
          <w:szCs w:val="18"/>
          <w:color w:val="D64000"/>
        </w:rPr>
      </w:pPr>
    </w:p>
    <w:p>
      <w:pPr>
        <w:ind w:left="842" w:hanging="418"/>
        <w:spacing w:after="0"/>
        <w:tabs>
          <w:tab w:leader="none" w:pos="842" w:val="left"/>
        </w:tabs>
        <w:numPr>
          <w:ilvl w:val="0"/>
          <w:numId w:val="186"/>
        </w:numPr>
        <w:rPr>
          <w:rFonts w:ascii="Times New Roman" w:cs="Times New Roman" w:eastAsia="Times New Roman" w:hAnsi="Times New Roman"/>
          <w:sz w:val="18"/>
          <w:szCs w:val="18"/>
          <w:color w:val="D64000"/>
        </w:rPr>
      </w:pPr>
      <w:r>
        <w:rPr>
          <w:rFonts w:ascii="Arial" w:cs="Arial" w:eastAsia="Arial" w:hAnsi="Arial"/>
          <w:sz w:val="19"/>
          <w:szCs w:val="19"/>
          <w:color w:val="auto"/>
        </w:rPr>
        <w:t>Boycott or refuse to sell a particular product to a certain customer, supplier or vendor</w:t>
      </w:r>
    </w:p>
    <w:p>
      <w:pPr>
        <w:spacing w:after="0" w:line="59" w:lineRule="exact"/>
        <w:rPr>
          <w:rFonts w:ascii="Times New Roman" w:cs="Times New Roman" w:eastAsia="Times New Roman" w:hAnsi="Times New Roman"/>
          <w:sz w:val="18"/>
          <w:szCs w:val="18"/>
          <w:color w:val="D64000"/>
        </w:rPr>
      </w:pPr>
    </w:p>
    <w:p>
      <w:pPr>
        <w:ind w:left="842" w:hanging="418"/>
        <w:spacing w:after="0"/>
        <w:tabs>
          <w:tab w:leader="none" w:pos="842" w:val="left"/>
        </w:tabs>
        <w:numPr>
          <w:ilvl w:val="0"/>
          <w:numId w:val="186"/>
        </w:numPr>
        <w:rPr>
          <w:rFonts w:ascii="Times New Roman" w:cs="Times New Roman" w:eastAsia="Times New Roman" w:hAnsi="Times New Roman"/>
          <w:sz w:val="18"/>
          <w:szCs w:val="18"/>
          <w:color w:val="D64000"/>
        </w:rPr>
      </w:pPr>
      <w:r>
        <w:rPr>
          <w:rFonts w:ascii="Arial" w:cs="Arial" w:eastAsia="Arial" w:hAnsi="Arial"/>
          <w:sz w:val="19"/>
          <w:szCs w:val="19"/>
          <w:color w:val="auto"/>
        </w:rPr>
        <w:t>Rig bids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967740" cy="32829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4362"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21</w:t>
            </w:r>
          </w:p>
        </w:tc>
      </w:tr>
    </w:tbl>
    <w:p>
      <w:pPr>
        <w:sectPr>
          <w:pgSz w:w="11900" w:h="16838" w:orient="portrait"/>
          <w:cols w:equalWidth="0" w:num="1">
            <w:col w:w="10822"/>
          </w:cols>
          <w:pgMar w:left="538" w:top="264" w:right="539" w:bottom="1440" w:gutter="0" w:footer="0" w:header="0"/>
        </w:sectPr>
      </w:pPr>
    </w:p>
    <w:bookmarkStart w:id="202" w:name="page203"/>
    <w:bookmarkEnd w:id="202"/>
    <w:p>
      <w:pPr>
        <w:ind w:left="840" w:right="920" w:hanging="418"/>
        <w:spacing w:after="0" w:line="273" w:lineRule="auto"/>
        <w:tabs>
          <w:tab w:leader="none" w:pos="840" w:val="left"/>
        </w:tabs>
        <w:numPr>
          <w:ilvl w:val="0"/>
          <w:numId w:val="187"/>
        </w:numPr>
        <w:rPr>
          <w:rFonts w:ascii="Times New Roman" w:cs="Times New Roman" w:eastAsia="Times New Roman" w:hAnsi="Times New Roman"/>
          <w:sz w:val="18"/>
          <w:szCs w:val="18"/>
          <w:color w:val="D64000"/>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Share confidential information about pricing, profits, costs, sale terms, credit terms, customers, discounts, promotions, marketing or strategic plans, mergers and acquisitions or any other sensitive information</w:t>
      </w:r>
    </w:p>
    <w:p>
      <w:pPr>
        <w:spacing w:after="0" w:line="139" w:lineRule="exact"/>
        <w:rPr>
          <w:sz w:val="20"/>
          <w:szCs w:val="20"/>
          <w:color w:val="auto"/>
        </w:rPr>
      </w:pPr>
    </w:p>
    <w:p>
      <w:pPr>
        <w:ind w:right="20"/>
        <w:spacing w:after="0" w:line="250" w:lineRule="auto"/>
        <w:rPr>
          <w:sz w:val="20"/>
          <w:szCs w:val="20"/>
          <w:color w:val="auto"/>
        </w:rPr>
      </w:pPr>
      <w:r>
        <w:rPr>
          <w:rFonts w:ascii="Arial" w:cs="Arial" w:eastAsia="Arial" w:hAnsi="Arial"/>
          <w:sz w:val="19"/>
          <w:szCs w:val="19"/>
          <w:color w:val="auto"/>
        </w:rPr>
        <w:t xml:space="preserve">Because competition and antitrust laws are so complex and there are some exceptions and variations from country to country, you should consult the Enterprise Compliance team before taking any action that might be considered anti-competitive. View the </w:t>
      </w:r>
      <w:r>
        <w:rPr>
          <w:rFonts w:ascii="Arial" w:cs="Arial" w:eastAsia="Arial" w:hAnsi="Arial"/>
          <w:sz w:val="19"/>
          <w:szCs w:val="19"/>
          <w:b w:val="1"/>
          <w:bCs w:val="1"/>
          <w:color w:val="1A7EE5"/>
        </w:rPr>
        <w:t>Competitive Intelligence Policy, Competition Guidelines, Creating Better Documents, Competing Fairly Summary</w:t>
      </w:r>
      <w:r>
        <w:rPr>
          <w:rFonts w:ascii="Arial" w:cs="Arial" w:eastAsia="Arial" w:hAnsi="Arial"/>
          <w:sz w:val="19"/>
          <w:szCs w:val="19"/>
          <w:color w:val="auto"/>
        </w:rPr>
        <w:t xml:space="preserve"> </w:t>
      </w:r>
      <w:r>
        <w:rPr>
          <w:rFonts w:ascii="Arial" w:cs="Arial" w:eastAsia="Arial" w:hAnsi="Arial"/>
          <w:sz w:val="19"/>
          <w:szCs w:val="19"/>
          <w:b w:val="1"/>
          <w:bCs w:val="1"/>
          <w:color w:val="1A7EE5"/>
        </w:rPr>
        <w:t>Flyer and others on the Intranet</w:t>
      </w:r>
      <w:r>
        <w:rPr>
          <w:rFonts w:ascii="Arial" w:cs="Arial" w:eastAsia="Arial" w:hAnsi="Arial"/>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125730</wp:posOffset>
            </wp:positionV>
            <wp:extent cx="6899275" cy="19939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99275" cy="1993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D64000"/>
        </w:rPr>
        <w:t>   Connecting the dots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Q</w:t>
      </w:r>
      <w:r>
        <w:rPr>
          <w:rFonts w:ascii="Arial" w:cs="Arial" w:eastAsia="Arial" w:hAnsi="Arial"/>
          <w:sz w:val="17"/>
          <w:szCs w:val="17"/>
          <w:b w:val="1"/>
          <w:bCs w:val="1"/>
          <w:color w:val="auto"/>
        </w:rPr>
        <w:t>  I attended a conference recently, and an employee of a competitor struck up a conversation with me about a new product</w:t>
      </w:r>
    </w:p>
    <w:p>
      <w:pPr>
        <w:spacing w:after="0" w:line="26" w:lineRule="exact"/>
        <w:rPr>
          <w:sz w:val="20"/>
          <w:szCs w:val="20"/>
          <w:color w:val="auto"/>
        </w:rPr>
      </w:pPr>
    </w:p>
    <w:p>
      <w:pPr>
        <w:ind w:left="480" w:right="560"/>
        <w:spacing w:after="0" w:line="252" w:lineRule="auto"/>
        <w:rPr>
          <w:sz w:val="20"/>
          <w:szCs w:val="20"/>
          <w:color w:val="auto"/>
        </w:rPr>
      </w:pPr>
      <w:r>
        <w:rPr>
          <w:rFonts w:ascii="Arial" w:cs="Arial" w:eastAsia="Arial" w:hAnsi="Arial"/>
          <w:sz w:val="18"/>
          <w:szCs w:val="18"/>
          <w:b w:val="1"/>
          <w:bCs w:val="1"/>
          <w:color w:val="auto"/>
        </w:rPr>
        <w:t>they just launched. She didn’t say anything about pricing or profits, but I felt uncomfortable. What should I do in this situation?</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A</w:t>
      </w:r>
      <w:r>
        <w:rPr>
          <w:rFonts w:ascii="Arial" w:cs="Arial" w:eastAsia="Arial" w:hAnsi="Arial"/>
          <w:sz w:val="17"/>
          <w:szCs w:val="17"/>
          <w:color w:val="auto"/>
        </w:rPr>
        <w:t>  If you feel uncomfortable about any conversation with a competitor, it’s best to exit that conversation as quickly and as gracefully as</w:t>
      </w:r>
    </w:p>
    <w:p>
      <w:pPr>
        <w:spacing w:after="0" w:line="26" w:lineRule="exact"/>
        <w:rPr>
          <w:sz w:val="20"/>
          <w:szCs w:val="20"/>
          <w:color w:val="auto"/>
        </w:rPr>
      </w:pPr>
    </w:p>
    <w:p>
      <w:pPr>
        <w:jc w:val="both"/>
        <w:ind w:left="480" w:right="240"/>
        <w:spacing w:after="0" w:line="237" w:lineRule="auto"/>
        <w:rPr>
          <w:sz w:val="20"/>
          <w:szCs w:val="20"/>
          <w:color w:val="auto"/>
        </w:rPr>
      </w:pPr>
      <w:r>
        <w:rPr>
          <w:rFonts w:ascii="Arial" w:cs="Arial" w:eastAsia="Arial" w:hAnsi="Arial"/>
          <w:sz w:val="18"/>
          <w:szCs w:val="18"/>
          <w:color w:val="auto"/>
        </w:rPr>
        <w:t>possible. Remember, even if the employee didn’t reveal pricing or other sensitive information, she may have said something that could appear to violate antitrust laws to some-one listening. Contact the General Counsel’s Office if you need more clarification or want to confirm that nothing happened that could be or could appear to be a violation.</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35"/>
          <w:szCs w:val="35"/>
          <w:b w:val="1"/>
          <w:bCs w:val="1"/>
          <w:color w:val="D64000"/>
        </w:rPr>
        <w:t>Working in our global markets</w:t>
      </w:r>
    </w:p>
    <w:p>
      <w:pPr>
        <w:spacing w:after="0" w:line="292"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We are trusted to . . .</w:t>
      </w:r>
    </w:p>
    <w:p>
      <w:pPr>
        <w:spacing w:after="0" w:line="192" w:lineRule="exact"/>
        <w:rPr>
          <w:sz w:val="20"/>
          <w:szCs w:val="20"/>
          <w:color w:val="auto"/>
        </w:rPr>
      </w:pPr>
    </w:p>
    <w:p>
      <w:pPr>
        <w:ind w:right="440"/>
        <w:spacing w:after="0" w:line="273" w:lineRule="auto"/>
        <w:rPr>
          <w:sz w:val="20"/>
          <w:szCs w:val="20"/>
          <w:color w:val="auto"/>
        </w:rPr>
      </w:pPr>
      <w:r>
        <w:rPr>
          <w:rFonts w:ascii="Arial" w:cs="Arial" w:eastAsia="Arial" w:hAnsi="Arial"/>
          <w:sz w:val="19"/>
          <w:szCs w:val="19"/>
          <w:i w:val="1"/>
          <w:iCs w:val="1"/>
          <w:color w:val="auto"/>
        </w:rPr>
        <w:t>…act as responsible citizens in the global marketplace, relying on our performance and innovation, not on bribes or other corrupt practices, to earn business.</w:t>
      </w:r>
    </w:p>
    <w:p>
      <w:pPr>
        <w:spacing w:after="0" w:line="18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Why it matters</w:t>
      </w:r>
    </w:p>
    <w:p>
      <w:pPr>
        <w:spacing w:after="0" w:line="126" w:lineRule="exact"/>
        <w:rPr>
          <w:sz w:val="20"/>
          <w:szCs w:val="20"/>
          <w:color w:val="auto"/>
        </w:rPr>
      </w:pPr>
    </w:p>
    <w:p>
      <w:pPr>
        <w:ind w:right="100"/>
        <w:spacing w:after="0" w:line="239" w:lineRule="auto"/>
        <w:rPr>
          <w:sz w:val="20"/>
          <w:szCs w:val="20"/>
          <w:color w:val="auto"/>
        </w:rPr>
      </w:pPr>
      <w:r>
        <w:rPr>
          <w:rFonts w:ascii="Arial" w:cs="Arial" w:eastAsia="Arial" w:hAnsi="Arial"/>
          <w:sz w:val="19"/>
          <w:szCs w:val="19"/>
          <w:color w:val="auto"/>
        </w:rPr>
        <w:t>Bribes, corruption and illegal payments all have a deeply damaging impact on our society. They can harm economies, destabilize governments and undermine public trust. These types of actions can result in Thomson Reuters being prohibited from bidding on contracts. In addition, they can result in both personal and company fines and even imprisonment. As a team of thousands of professionals working around the world, we have both the power and the obligation to fight bribery and corruption wherever we encounter it. By embracing this responsibility with the business partners with whom we engage on a daily basis, we continue to bolster the reputation of Thomson Reuters. We also protect the communities where we work and help level the playing field, as we should win on the merits of our performance as individuals and as a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967740" cy="32829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391" w:lineRule="exact"/>
        <w:rPr>
          <w:sz w:val="20"/>
          <w:szCs w:val="20"/>
          <w:color w:val="auto"/>
        </w:rPr>
      </w:pPr>
    </w:p>
    <w:tbl>
      <w:tblPr>
        <w:tblLayout w:type="fixed"/>
        <w:tblInd w:w="4360"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22</w:t>
            </w:r>
          </w:p>
        </w:tc>
      </w:tr>
    </w:tbl>
    <w:p>
      <w:pPr>
        <w:sectPr>
          <w:pgSz w:w="11900" w:h="16838" w:orient="portrait"/>
          <w:cols w:equalWidth="0" w:num="1">
            <w:col w:w="10820"/>
          </w:cols>
          <w:pgMar w:left="540" w:top="264" w:right="539" w:bottom="1440" w:gutter="0" w:footer="0" w:header="0"/>
        </w:sectPr>
      </w:pPr>
    </w:p>
    <w:bookmarkStart w:id="203" w:name="page204"/>
    <w:bookmarkEnd w:id="203"/>
    <w:p>
      <w:pP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How we deliver</w:t>
      </w:r>
    </w:p>
    <w:p>
      <w:pPr>
        <w:spacing w:after="0" w:line="162" w:lineRule="exact"/>
        <w:rPr>
          <w:sz w:val="20"/>
          <w:szCs w:val="20"/>
          <w:color w:val="auto"/>
        </w:rPr>
      </w:pPr>
    </w:p>
    <w:p>
      <w:pPr>
        <w:spacing w:after="0"/>
        <w:rPr>
          <w:sz w:val="20"/>
          <w:szCs w:val="20"/>
          <w:color w:val="auto"/>
        </w:rPr>
      </w:pPr>
      <w:r>
        <w:rPr>
          <w:rFonts w:ascii="Arial" w:cs="Arial" w:eastAsia="Arial" w:hAnsi="Arial"/>
          <w:sz w:val="26"/>
          <w:szCs w:val="26"/>
          <w:i w:val="1"/>
          <w:iCs w:val="1"/>
          <w:color w:val="D64000"/>
        </w:rPr>
        <w:t>Anti-bribery and anti-corruption</w:t>
      </w:r>
    </w:p>
    <w:p>
      <w:pPr>
        <w:spacing w:after="0" w:line="142" w:lineRule="exact"/>
        <w:rPr>
          <w:sz w:val="20"/>
          <w:szCs w:val="20"/>
          <w:color w:val="auto"/>
        </w:rPr>
      </w:pPr>
    </w:p>
    <w:p>
      <w:pPr>
        <w:ind w:right="220"/>
        <w:spacing w:after="0" w:line="246" w:lineRule="auto"/>
        <w:rPr>
          <w:sz w:val="20"/>
          <w:szCs w:val="20"/>
          <w:color w:val="auto"/>
        </w:rPr>
      </w:pPr>
      <w:r>
        <w:rPr>
          <w:rFonts w:ascii="Arial" w:cs="Arial" w:eastAsia="Arial" w:hAnsi="Arial"/>
          <w:sz w:val="19"/>
          <w:szCs w:val="19"/>
          <w:color w:val="auto"/>
        </w:rPr>
        <w:t>We do not tolerate bribery or corruption in any form. This applies to both the public and private sectors. We take reasonable steps to ensure Thomson Reuters business partners, including vendors and other third parties do not engage in illegal or unethical actions when acting on our behalf. We expect all Thomson Reuters business partners to meet these standards, understanding that we can be held liable for their actions, which — good or bad — reflect on the company.</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340" w:type="dxa"/>
            <w:vAlign w:val="bottom"/>
          </w:tcPr>
          <w:p>
            <w:pPr>
              <w:spacing w:after="0"/>
              <w:rPr>
                <w:sz w:val="20"/>
                <w:szCs w:val="20"/>
                <w:color w:val="auto"/>
              </w:rPr>
            </w:pPr>
            <w:r>
              <w:rPr>
                <w:rFonts w:ascii="Arial" w:cs="Arial" w:eastAsia="Arial" w:hAnsi="Arial"/>
                <w:sz w:val="19"/>
                <w:szCs w:val="19"/>
                <w:color w:val="auto"/>
              </w:rPr>
              <w:t>This means we:</w:t>
            </w:r>
          </w:p>
        </w:tc>
        <w:tc>
          <w:tcPr>
            <w:tcW w:w="5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5340" w:type="dxa"/>
            <w:vAlign w:val="bottom"/>
          </w:tcPr>
          <w:p>
            <w:pPr>
              <w:ind w:left="280"/>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Do not offer or accept bribes or kickbacks</w:t>
            </w:r>
          </w:p>
        </w:tc>
        <w:tc>
          <w:tcPr>
            <w:tcW w:w="5200" w:type="dxa"/>
            <w:vAlign w:val="bottom"/>
          </w:tcPr>
          <w:p>
            <w:pPr>
              <w:ind w:left="80"/>
              <w:spacing w:after="0"/>
              <w:rPr>
                <w:sz w:val="20"/>
                <w:szCs w:val="20"/>
                <w:color w:val="auto"/>
              </w:rPr>
            </w:pPr>
            <w:r>
              <w:rPr>
                <w:rFonts w:ascii="Arial" w:cs="Arial" w:eastAsia="Arial" w:hAnsi="Arial"/>
                <w:sz w:val="19"/>
                <w:szCs w:val="19"/>
                <w:color w:val="auto"/>
              </w:rPr>
              <w:t> </w:t>
            </w:r>
          </w:p>
        </w:tc>
        <w:tc>
          <w:tcPr>
            <w:tcW w:w="0" w:type="dxa"/>
            <w:vAlign w:val="bottom"/>
          </w:tcPr>
          <w:p>
            <w:pPr>
              <w:spacing w:after="0"/>
              <w:rPr>
                <w:sz w:val="1"/>
                <w:szCs w:val="1"/>
                <w:color w:val="auto"/>
              </w:rPr>
            </w:pPr>
          </w:p>
        </w:tc>
      </w:tr>
      <w:tr>
        <w:trPr>
          <w:trHeight w:val="261"/>
        </w:trPr>
        <w:tc>
          <w:tcPr>
            <w:tcW w:w="53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Do not make facilitation or “grease” payments, even if</w:t>
            </w:r>
          </w:p>
        </w:tc>
        <w:tc>
          <w:tcPr>
            <w:tcW w:w="5200" w:type="dxa"/>
            <w:vAlign w:val="bottom"/>
          </w:tcPr>
          <w:p>
            <w:pPr>
              <w:ind w:left="400"/>
              <w:spacing w:after="0"/>
              <w:rPr>
                <w:sz w:val="20"/>
                <w:szCs w:val="20"/>
                <w:color w:val="auto"/>
              </w:rPr>
            </w:pPr>
            <w:r>
              <w:rPr>
                <w:rFonts w:ascii="Arial" w:cs="Arial" w:eastAsia="Arial" w:hAnsi="Arial"/>
                <w:sz w:val="19"/>
                <w:szCs w:val="19"/>
                <w:b w:val="1"/>
                <w:bCs w:val="1"/>
                <w:i w:val="1"/>
                <w:iCs w:val="1"/>
                <w:color w:val="123121"/>
              </w:rPr>
              <w:t>The many forms of bribery</w:t>
            </w:r>
          </w:p>
        </w:tc>
        <w:tc>
          <w:tcPr>
            <w:tcW w:w="0" w:type="dxa"/>
            <w:vAlign w:val="bottom"/>
          </w:tcPr>
          <w:p>
            <w:pPr>
              <w:spacing w:after="0"/>
              <w:rPr>
                <w:sz w:val="1"/>
                <w:szCs w:val="1"/>
                <w:color w:val="auto"/>
              </w:rPr>
            </w:pPr>
          </w:p>
        </w:tc>
      </w:tr>
      <w:tr>
        <w:trPr>
          <w:trHeight w:val="62"/>
        </w:trPr>
        <w:tc>
          <w:tcPr>
            <w:tcW w:w="5340" w:type="dxa"/>
            <w:vAlign w:val="bottom"/>
            <w:vMerge w:val="continue"/>
          </w:tcPr>
          <w:p>
            <w:pPr>
              <w:spacing w:after="0"/>
              <w:rPr>
                <w:sz w:val="5"/>
                <w:szCs w:val="5"/>
                <w:color w:val="auto"/>
              </w:rPr>
            </w:pPr>
          </w:p>
        </w:tc>
        <w:tc>
          <w:tcPr>
            <w:tcW w:w="5200" w:type="dxa"/>
            <w:vAlign w:val="bottom"/>
            <w:vMerge w:val="restart"/>
          </w:tcPr>
          <w:p>
            <w:pPr>
              <w:ind w:left="400"/>
              <w:spacing w:after="0" w:line="199" w:lineRule="exact"/>
              <w:rPr>
                <w:sz w:val="20"/>
                <w:szCs w:val="20"/>
                <w:color w:val="auto"/>
              </w:rPr>
            </w:pPr>
            <w:r>
              <w:rPr>
                <w:rFonts w:ascii="Arial" w:cs="Arial" w:eastAsia="Arial" w:hAnsi="Arial"/>
                <w:sz w:val="18"/>
                <w:szCs w:val="18"/>
                <w:color w:val="auto"/>
                <w:w w:val="98"/>
              </w:rPr>
              <w:t>Bribes can take the form of anything of value being offered or</w:t>
            </w:r>
          </w:p>
        </w:tc>
        <w:tc>
          <w:tcPr>
            <w:tcW w:w="0" w:type="dxa"/>
            <w:vAlign w:val="bottom"/>
          </w:tcPr>
          <w:p>
            <w:pPr>
              <w:spacing w:after="0"/>
              <w:rPr>
                <w:sz w:val="1"/>
                <w:szCs w:val="1"/>
                <w:color w:val="auto"/>
              </w:rPr>
            </w:pPr>
          </w:p>
        </w:tc>
      </w:tr>
      <w:tr>
        <w:trPr>
          <w:trHeight w:val="137"/>
        </w:trPr>
        <w:tc>
          <w:tcPr>
            <w:tcW w:w="5340" w:type="dxa"/>
            <w:vAlign w:val="bottom"/>
            <w:vMerge w:val="restart"/>
          </w:tcPr>
          <w:p>
            <w:pPr>
              <w:ind w:left="580"/>
              <w:spacing w:after="0"/>
              <w:rPr>
                <w:sz w:val="20"/>
                <w:szCs w:val="20"/>
                <w:color w:val="auto"/>
              </w:rPr>
            </w:pPr>
            <w:r>
              <w:rPr>
                <w:rFonts w:ascii="Arial" w:cs="Arial" w:eastAsia="Arial" w:hAnsi="Arial"/>
                <w:sz w:val="19"/>
                <w:szCs w:val="19"/>
                <w:color w:val="auto"/>
              </w:rPr>
              <w:t>they are legal in the country where requested</w:t>
            </w:r>
          </w:p>
        </w:tc>
        <w:tc>
          <w:tcPr>
            <w:tcW w:w="5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5340" w:type="dxa"/>
            <w:vAlign w:val="bottom"/>
            <w:vMerge w:val="continue"/>
          </w:tcPr>
          <w:p>
            <w:pPr>
              <w:spacing w:after="0"/>
              <w:rPr>
                <w:sz w:val="10"/>
                <w:szCs w:val="10"/>
                <w:color w:val="auto"/>
              </w:rPr>
            </w:pPr>
          </w:p>
        </w:tc>
        <w:tc>
          <w:tcPr>
            <w:tcW w:w="5200" w:type="dxa"/>
            <w:vAlign w:val="bottom"/>
            <w:vMerge w:val="restart"/>
          </w:tcPr>
          <w:p>
            <w:pPr>
              <w:ind w:left="400"/>
              <w:spacing w:after="0" w:line="199" w:lineRule="exact"/>
              <w:rPr>
                <w:sz w:val="20"/>
                <w:szCs w:val="20"/>
                <w:color w:val="auto"/>
              </w:rPr>
            </w:pPr>
            <w:r>
              <w:rPr>
                <w:rFonts w:ascii="Arial" w:cs="Arial" w:eastAsia="Arial" w:hAnsi="Arial"/>
                <w:sz w:val="18"/>
                <w:szCs w:val="18"/>
                <w:color w:val="auto"/>
                <w:w w:val="97"/>
              </w:rPr>
              <w:t>given in exchange for, or as a reward for, favorable treatment.</w:t>
            </w:r>
          </w:p>
        </w:tc>
        <w:tc>
          <w:tcPr>
            <w:tcW w:w="0" w:type="dxa"/>
            <w:vAlign w:val="bottom"/>
          </w:tcPr>
          <w:p>
            <w:pPr>
              <w:spacing w:after="0"/>
              <w:rPr>
                <w:sz w:val="1"/>
                <w:szCs w:val="1"/>
                <w:color w:val="auto"/>
              </w:rPr>
            </w:pPr>
          </w:p>
        </w:tc>
      </w:tr>
      <w:tr>
        <w:trPr>
          <w:trHeight w:val="80"/>
        </w:trPr>
        <w:tc>
          <w:tcPr>
            <w:tcW w:w="53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Report it to our manager and the Enterprise</w:t>
            </w:r>
          </w:p>
        </w:tc>
        <w:tc>
          <w:tcPr>
            <w:tcW w:w="5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5340" w:type="dxa"/>
            <w:vAlign w:val="bottom"/>
            <w:vMerge w:val="continue"/>
          </w:tcPr>
          <w:p>
            <w:pPr>
              <w:spacing w:after="0"/>
              <w:rPr>
                <w:sz w:val="15"/>
                <w:szCs w:val="15"/>
                <w:color w:val="auto"/>
              </w:rPr>
            </w:pPr>
          </w:p>
        </w:tc>
        <w:tc>
          <w:tcPr>
            <w:tcW w:w="5200" w:type="dxa"/>
            <w:vAlign w:val="bottom"/>
          </w:tcPr>
          <w:p>
            <w:pPr>
              <w:ind w:left="400"/>
              <w:spacing w:after="0" w:line="176" w:lineRule="exact"/>
              <w:rPr>
                <w:sz w:val="20"/>
                <w:szCs w:val="20"/>
                <w:color w:val="auto"/>
              </w:rPr>
            </w:pPr>
            <w:r>
              <w:rPr>
                <w:rFonts w:ascii="Arial" w:cs="Arial" w:eastAsia="Arial" w:hAnsi="Arial"/>
                <w:sz w:val="18"/>
                <w:szCs w:val="18"/>
                <w:color w:val="auto"/>
              </w:rPr>
              <w:t>There are many business interactions that can go from</w:t>
            </w:r>
          </w:p>
        </w:tc>
        <w:tc>
          <w:tcPr>
            <w:tcW w:w="0" w:type="dxa"/>
            <w:vAlign w:val="bottom"/>
          </w:tcPr>
          <w:p>
            <w:pPr>
              <w:spacing w:after="0"/>
              <w:rPr>
                <w:sz w:val="1"/>
                <w:szCs w:val="1"/>
                <w:color w:val="auto"/>
              </w:rPr>
            </w:pPr>
          </w:p>
        </w:tc>
      </w:tr>
      <w:tr>
        <w:trPr>
          <w:trHeight w:val="204"/>
        </w:trPr>
        <w:tc>
          <w:tcPr>
            <w:tcW w:w="5340" w:type="dxa"/>
            <w:vAlign w:val="bottom"/>
          </w:tcPr>
          <w:p>
            <w:pPr>
              <w:ind w:left="580"/>
              <w:spacing w:after="0" w:line="204" w:lineRule="exact"/>
              <w:rPr>
                <w:sz w:val="20"/>
                <w:szCs w:val="20"/>
                <w:color w:val="auto"/>
              </w:rPr>
            </w:pPr>
            <w:r>
              <w:rPr>
                <w:rFonts w:ascii="Arial" w:cs="Arial" w:eastAsia="Arial" w:hAnsi="Arial"/>
                <w:sz w:val="19"/>
                <w:szCs w:val="19"/>
                <w:color w:val="auto"/>
              </w:rPr>
              <w:t>Compliance team if we are offered a bribe, asked for a</w:t>
            </w:r>
          </w:p>
        </w:tc>
        <w:tc>
          <w:tcPr>
            <w:tcW w:w="5200" w:type="dxa"/>
            <w:vAlign w:val="bottom"/>
          </w:tcPr>
          <w:p>
            <w:pPr>
              <w:ind w:left="400"/>
              <w:spacing w:after="0" w:line="204" w:lineRule="exact"/>
              <w:rPr>
                <w:sz w:val="20"/>
                <w:szCs w:val="20"/>
                <w:color w:val="auto"/>
              </w:rPr>
            </w:pPr>
            <w:r>
              <w:rPr>
                <w:rFonts w:ascii="Arial" w:cs="Arial" w:eastAsia="Arial" w:hAnsi="Arial"/>
                <w:sz w:val="18"/>
                <w:szCs w:val="18"/>
                <w:color w:val="auto"/>
                <w:w w:val="98"/>
              </w:rPr>
              <w:t>legitimate to corrupt when motivated by an intention to obtain</w:t>
            </w:r>
          </w:p>
        </w:tc>
        <w:tc>
          <w:tcPr>
            <w:tcW w:w="0" w:type="dxa"/>
            <w:vAlign w:val="bottom"/>
          </w:tcPr>
          <w:p>
            <w:pPr>
              <w:spacing w:after="0"/>
              <w:rPr>
                <w:sz w:val="1"/>
                <w:szCs w:val="1"/>
                <w:color w:val="auto"/>
              </w:rPr>
            </w:pPr>
          </w:p>
        </w:tc>
      </w:tr>
      <w:tr>
        <w:trPr>
          <w:trHeight w:val="256"/>
        </w:trPr>
        <w:tc>
          <w:tcPr>
            <w:tcW w:w="5340" w:type="dxa"/>
            <w:vAlign w:val="bottom"/>
          </w:tcPr>
          <w:p>
            <w:pPr>
              <w:ind w:left="580"/>
              <w:spacing w:after="0"/>
              <w:rPr>
                <w:sz w:val="20"/>
                <w:szCs w:val="20"/>
                <w:color w:val="auto"/>
              </w:rPr>
            </w:pPr>
            <w:r>
              <w:rPr>
                <w:rFonts w:ascii="Arial" w:cs="Arial" w:eastAsia="Arial" w:hAnsi="Arial"/>
                <w:sz w:val="19"/>
                <w:szCs w:val="19"/>
                <w:color w:val="auto"/>
              </w:rPr>
              <w:t>bribe or asked to make a facilitation payment</w:t>
            </w:r>
          </w:p>
        </w:tc>
        <w:tc>
          <w:tcPr>
            <w:tcW w:w="5200" w:type="dxa"/>
            <w:vAlign w:val="bottom"/>
          </w:tcPr>
          <w:p>
            <w:pPr>
              <w:ind w:left="400"/>
              <w:spacing w:after="0"/>
              <w:rPr>
                <w:sz w:val="20"/>
                <w:szCs w:val="20"/>
                <w:color w:val="auto"/>
              </w:rPr>
            </w:pPr>
            <w:r>
              <w:rPr>
                <w:rFonts w:ascii="Arial" w:cs="Arial" w:eastAsia="Arial" w:hAnsi="Arial"/>
                <w:sz w:val="18"/>
                <w:szCs w:val="18"/>
                <w:color w:val="auto"/>
              </w:rPr>
              <w:t>favorable treatment, including providing or accepting:</w:t>
            </w:r>
          </w:p>
        </w:tc>
        <w:tc>
          <w:tcPr>
            <w:tcW w:w="0" w:type="dxa"/>
            <w:vAlign w:val="bottom"/>
          </w:tcPr>
          <w:p>
            <w:pPr>
              <w:spacing w:after="0"/>
              <w:rPr>
                <w:sz w:val="1"/>
                <w:szCs w:val="1"/>
                <w:color w:val="auto"/>
              </w:rPr>
            </w:pPr>
          </w:p>
        </w:tc>
      </w:tr>
      <w:tr>
        <w:trPr>
          <w:trHeight w:val="248"/>
        </w:trPr>
        <w:tc>
          <w:tcPr>
            <w:tcW w:w="5340" w:type="dxa"/>
            <w:vAlign w:val="bottom"/>
          </w:tcPr>
          <w:p>
            <w:pPr>
              <w:ind w:left="280"/>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Offer or accept only reasonable hospitality and</w:t>
            </w:r>
          </w:p>
        </w:tc>
        <w:tc>
          <w:tcPr>
            <w:tcW w:w="520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Cash or cash equivalents</w:t>
            </w:r>
          </w:p>
        </w:tc>
        <w:tc>
          <w:tcPr>
            <w:tcW w:w="0" w:type="dxa"/>
            <w:vAlign w:val="bottom"/>
          </w:tcPr>
          <w:p>
            <w:pPr>
              <w:spacing w:after="0"/>
              <w:rPr>
                <w:sz w:val="1"/>
                <w:szCs w:val="1"/>
                <w:color w:val="auto"/>
              </w:rPr>
            </w:pPr>
          </w:p>
        </w:tc>
      </w:tr>
      <w:tr>
        <w:trPr>
          <w:trHeight w:val="104"/>
        </w:trPr>
        <w:tc>
          <w:tcPr>
            <w:tcW w:w="5340" w:type="dxa"/>
            <w:vAlign w:val="bottom"/>
            <w:vMerge w:val="restart"/>
          </w:tcPr>
          <w:p>
            <w:pPr>
              <w:ind w:left="580"/>
              <w:spacing w:after="0"/>
              <w:rPr>
                <w:sz w:val="20"/>
                <w:szCs w:val="20"/>
                <w:color w:val="auto"/>
              </w:rPr>
            </w:pPr>
            <w:r>
              <w:rPr>
                <w:rFonts w:ascii="Arial" w:cs="Arial" w:eastAsia="Arial" w:hAnsi="Arial"/>
                <w:sz w:val="19"/>
                <w:szCs w:val="19"/>
                <w:color w:val="auto"/>
              </w:rPr>
              <w:t>business expenses</w:t>
            </w:r>
          </w:p>
        </w:tc>
        <w:tc>
          <w:tcPr>
            <w:tcW w:w="5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5340" w:type="dxa"/>
            <w:vAlign w:val="bottom"/>
            <w:vMerge w:val="continue"/>
          </w:tcPr>
          <w:p>
            <w:pPr>
              <w:spacing w:after="0"/>
              <w:rPr>
                <w:sz w:val="13"/>
                <w:szCs w:val="13"/>
                <w:color w:val="auto"/>
              </w:rPr>
            </w:pPr>
          </w:p>
        </w:tc>
        <w:tc>
          <w:tcPr>
            <w:tcW w:w="520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Facilitation payments</w:t>
            </w:r>
          </w:p>
        </w:tc>
        <w:tc>
          <w:tcPr>
            <w:tcW w:w="0" w:type="dxa"/>
            <w:vAlign w:val="bottom"/>
          </w:tcPr>
          <w:p>
            <w:pPr>
              <w:spacing w:after="0"/>
              <w:rPr>
                <w:sz w:val="1"/>
                <w:szCs w:val="1"/>
                <w:color w:val="auto"/>
              </w:rPr>
            </w:pPr>
          </w:p>
        </w:tc>
      </w:tr>
      <w:tr>
        <w:trPr>
          <w:trHeight w:val="140"/>
        </w:trPr>
        <w:tc>
          <w:tcPr>
            <w:tcW w:w="53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Record all payments and receipts honestly and</w:t>
            </w:r>
          </w:p>
        </w:tc>
        <w:tc>
          <w:tcPr>
            <w:tcW w:w="5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5340" w:type="dxa"/>
            <w:vAlign w:val="bottom"/>
            <w:vMerge w:val="continue"/>
          </w:tcPr>
          <w:p>
            <w:pPr>
              <w:spacing w:after="0"/>
              <w:rPr>
                <w:sz w:val="9"/>
                <w:szCs w:val="9"/>
                <w:color w:val="auto"/>
              </w:rPr>
            </w:pPr>
          </w:p>
        </w:tc>
        <w:tc>
          <w:tcPr>
            <w:tcW w:w="520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Unreasonable gifts, entertainment or hospitality</w:t>
            </w:r>
          </w:p>
        </w:tc>
        <w:tc>
          <w:tcPr>
            <w:tcW w:w="0" w:type="dxa"/>
            <w:vAlign w:val="bottom"/>
          </w:tcPr>
          <w:p>
            <w:pPr>
              <w:spacing w:after="0"/>
              <w:rPr>
                <w:sz w:val="1"/>
                <w:szCs w:val="1"/>
                <w:color w:val="auto"/>
              </w:rPr>
            </w:pPr>
          </w:p>
        </w:tc>
      </w:tr>
      <w:tr>
        <w:trPr>
          <w:trHeight w:val="256"/>
        </w:trPr>
        <w:tc>
          <w:tcPr>
            <w:tcW w:w="5340" w:type="dxa"/>
            <w:vAlign w:val="bottom"/>
          </w:tcPr>
          <w:p>
            <w:pPr>
              <w:ind w:left="580"/>
              <w:spacing w:after="0"/>
              <w:rPr>
                <w:sz w:val="20"/>
                <w:szCs w:val="20"/>
                <w:color w:val="auto"/>
              </w:rPr>
            </w:pPr>
            <w:r>
              <w:rPr>
                <w:rFonts w:ascii="Arial" w:cs="Arial" w:eastAsia="Arial" w:hAnsi="Arial"/>
                <w:sz w:val="19"/>
                <w:szCs w:val="19"/>
                <w:color w:val="auto"/>
              </w:rPr>
              <w:t>accurately</w:t>
            </w:r>
          </w:p>
        </w:tc>
        <w:tc>
          <w:tcPr>
            <w:tcW w:w="5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-1569720</wp:posOffset>
            </wp:positionV>
            <wp:extent cx="3289935" cy="33991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289935" cy="3399155"/>
                    </a:xfrm>
                    <a:prstGeom prst="rect">
                      <a:avLst/>
                    </a:prstGeom>
                    <a:noFill/>
                  </pic:spPr>
                </pic:pic>
              </a:graphicData>
            </a:graphic>
          </wp:anchor>
        </w:drawing>
      </w:r>
    </w:p>
    <w:p>
      <w:pPr>
        <w:sectPr>
          <w:pgSz w:w="11900" w:h="16838" w:orient="portrait"/>
          <w:cols w:equalWidth="0" w:num="1">
            <w:col w:w="10820"/>
          </w:cols>
          <w:pgMar w:left="540" w:top="253" w:right="539" w:bottom="1440" w:gutter="0" w:footer="0" w:header="0"/>
        </w:sectPr>
      </w:pPr>
    </w:p>
    <w:p>
      <w:pPr>
        <w:spacing w:after="0" w:line="22" w:lineRule="exact"/>
        <w:rPr>
          <w:sz w:val="20"/>
          <w:szCs w:val="20"/>
          <w:color w:val="auto"/>
        </w:rPr>
      </w:pPr>
    </w:p>
    <w:p>
      <w:pPr>
        <w:ind w:left="580" w:right="300" w:hanging="291"/>
        <w:spacing w:after="0" w:line="275"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Carry out a level of due diligence appropriate to the</w:t>
      </w:r>
      <w:r>
        <w:rPr>
          <w:rFonts w:ascii="Times New Roman" w:cs="Times New Roman" w:eastAsia="Times New Roman" w:hAnsi="Times New Roman"/>
          <w:sz w:val="18"/>
          <w:szCs w:val="18"/>
          <w:color w:val="D64000"/>
        </w:rPr>
        <w:t xml:space="preserve"> </w:t>
      </w:r>
      <w:r>
        <w:rPr>
          <w:rFonts w:ascii="Arial" w:cs="Arial" w:eastAsia="Arial" w:hAnsi="Arial"/>
          <w:sz w:val="19"/>
          <w:szCs w:val="19"/>
          <w:color w:val="000000"/>
        </w:rPr>
        <w:t>risk before we engage business partners</w:t>
      </w:r>
    </w:p>
    <w:p>
      <w:pPr>
        <w:spacing w:after="0" w:line="1" w:lineRule="exact"/>
        <w:rPr>
          <w:sz w:val="20"/>
          <w:szCs w:val="20"/>
          <w:color w:val="auto"/>
        </w:rPr>
      </w:pPr>
    </w:p>
    <w:p>
      <w:pPr>
        <w:ind w:left="580" w:hanging="291"/>
        <w:spacing w:after="0" w:line="259"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Communicate our Anti-Bribery &amp; Anti-Corruption Policy</w:t>
      </w:r>
      <w:r>
        <w:rPr>
          <w:rFonts w:ascii="Times New Roman" w:cs="Times New Roman" w:eastAsia="Times New Roman" w:hAnsi="Times New Roman"/>
          <w:sz w:val="18"/>
          <w:szCs w:val="18"/>
          <w:color w:val="D64000"/>
        </w:rPr>
        <w:t xml:space="preserve"> </w:t>
      </w:r>
      <w:r>
        <w:rPr>
          <w:rFonts w:ascii="Arial" w:cs="Arial" w:eastAsia="Arial" w:hAnsi="Arial"/>
          <w:sz w:val="19"/>
          <w:szCs w:val="19"/>
          <w:color w:val="000000"/>
        </w:rPr>
        <w:t>to business partners at the outset of our business relationship and as appropriate thereafter</w:t>
      </w:r>
    </w:p>
    <w:p>
      <w:pPr>
        <w:spacing w:after="0" w:line="6" w:lineRule="exact"/>
        <w:rPr>
          <w:sz w:val="20"/>
          <w:szCs w:val="20"/>
          <w:color w:val="auto"/>
        </w:rPr>
      </w:pPr>
    </w:p>
    <w:p>
      <w:pPr>
        <w:ind w:left="580" w:hanging="291"/>
        <w:spacing w:after="0" w:line="250"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Watch out for red flags, including vague descriptions of</w:t>
      </w:r>
      <w:r>
        <w:rPr>
          <w:rFonts w:ascii="Times New Roman" w:cs="Times New Roman" w:eastAsia="Times New Roman" w:hAnsi="Times New Roman"/>
          <w:sz w:val="18"/>
          <w:szCs w:val="18"/>
          <w:color w:val="D64000"/>
        </w:rPr>
        <w:t xml:space="preserve"> </w:t>
      </w:r>
      <w:r>
        <w:rPr>
          <w:rFonts w:ascii="Arial" w:cs="Arial" w:eastAsia="Arial" w:hAnsi="Arial"/>
          <w:sz w:val="19"/>
          <w:szCs w:val="19"/>
          <w:color w:val="000000"/>
        </w:rPr>
        <w:t>payments or services, payment requests in exchange for approvals or signs of over-invoicing or false invoicing</w:t>
      </w:r>
    </w:p>
    <w:p>
      <w:pPr>
        <w:spacing w:after="0" w:line="15" w:lineRule="exact"/>
        <w:rPr>
          <w:sz w:val="20"/>
          <w:szCs w:val="20"/>
          <w:color w:val="auto"/>
        </w:rPr>
      </w:pPr>
    </w:p>
    <w:p>
      <w:pPr>
        <w:ind w:left="580" w:right="320" w:hanging="291"/>
        <w:spacing w:after="0" w:line="259"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Mitigate or terminate business relationships as</w:t>
      </w:r>
      <w:r>
        <w:rPr>
          <w:rFonts w:ascii="Times New Roman" w:cs="Times New Roman" w:eastAsia="Times New Roman" w:hAnsi="Times New Roman"/>
          <w:sz w:val="18"/>
          <w:szCs w:val="18"/>
          <w:color w:val="D64000"/>
        </w:rPr>
        <w:t xml:space="preserve"> </w:t>
      </w:r>
      <w:r>
        <w:rPr>
          <w:rFonts w:ascii="Arial" w:cs="Arial" w:eastAsia="Arial" w:hAnsi="Arial"/>
          <w:sz w:val="19"/>
          <w:szCs w:val="19"/>
          <w:color w:val="000000"/>
        </w:rPr>
        <w:t>appropriate if we learn that a business partner may have violated our standards</w:t>
      </w:r>
    </w:p>
    <w:p>
      <w:pPr>
        <w:spacing w:after="0" w:line="20" w:lineRule="exact"/>
        <w:rPr>
          <w:sz w:val="20"/>
          <w:szCs w:val="20"/>
          <w:color w:val="auto"/>
        </w:rPr>
      </w:pPr>
      <w:r>
        <w:rPr>
          <w:sz w:val="20"/>
          <w:szCs w:val="20"/>
          <w:color w:val="auto"/>
        </w:rPr>
        <w:br w:type="column"/>
      </w:r>
    </w:p>
    <w:p>
      <w:pPr>
        <w:ind w:left="140" w:right="1040" w:hanging="140"/>
        <w:spacing w:after="0" w:line="258"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Unexplained or excessive rebates, discounts or</w:t>
      </w:r>
      <w:r>
        <w:rPr>
          <w:rFonts w:ascii="Times New Roman" w:cs="Times New Roman" w:eastAsia="Times New Roman" w:hAnsi="Times New Roman"/>
          <w:sz w:val="18"/>
          <w:szCs w:val="18"/>
          <w:color w:val="D64000"/>
        </w:rPr>
        <w:t xml:space="preserve"> </w:t>
      </w:r>
      <w:r>
        <w:rPr>
          <w:rFonts w:ascii="Arial" w:cs="Arial" w:eastAsia="Arial" w:hAnsi="Arial"/>
          <w:sz w:val="18"/>
          <w:szCs w:val="18"/>
          <w:color w:val="000000"/>
        </w:rPr>
        <w:t>commissions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Loans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Invoices for disguised expenses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Excessive goods or services for personal use</w:t>
      </w:r>
    </w:p>
    <w:p>
      <w:pPr>
        <w:spacing w:after="0" w:line="84" w:lineRule="exact"/>
        <w:rPr>
          <w:sz w:val="20"/>
          <w:szCs w:val="20"/>
          <w:color w:val="auto"/>
        </w:rPr>
      </w:pPr>
    </w:p>
    <w:p>
      <w:pPr>
        <w:ind w:right="800"/>
        <w:spacing w:after="0" w:line="336"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Free use of Thomson Reuters services or facilities</w:t>
      </w:r>
      <w:r>
        <w:rPr>
          <w:rFonts w:ascii="Times New Roman" w:cs="Times New Roman" w:eastAsia="Times New Roman" w:hAnsi="Times New Roman"/>
          <w:sz w:val="18"/>
          <w:szCs w:val="18"/>
          <w:color w:val="D64000"/>
        </w:rPr>
        <w:t xml:space="preserve"> ●</w:t>
      </w:r>
      <w:r>
        <w:rPr>
          <w:rFonts w:ascii="Arial" w:cs="Arial" w:eastAsia="Arial" w:hAnsi="Arial"/>
          <w:sz w:val="18"/>
          <w:szCs w:val="18"/>
          <w:color w:val="000000"/>
        </w:rPr>
        <w:t> Favors (such as the hiring of a relative)</w:t>
      </w:r>
      <w:r>
        <w:rPr>
          <w:rFonts w:ascii="Times New Roman" w:cs="Times New Roman" w:eastAsia="Times New Roman" w:hAnsi="Times New Roman"/>
          <w:sz w:val="18"/>
          <w:szCs w:val="18"/>
          <w:color w:val="D64000"/>
        </w:rPr>
        <w:t xml:space="preserve"> ●</w:t>
      </w:r>
      <w:r>
        <w:rPr>
          <w:rFonts w:ascii="Arial" w:cs="Arial" w:eastAsia="Arial" w:hAnsi="Arial"/>
          <w:sz w:val="18"/>
          <w:szCs w:val="18"/>
          <w:color w:val="000000"/>
        </w:rPr>
        <w:t> Charitable donations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Paid or unpaid internships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Job offers or promises of future employment</w:t>
      </w:r>
    </w:p>
    <w:p>
      <w:pPr>
        <w:spacing w:after="0" w:line="199" w:lineRule="exact"/>
        <w:rPr>
          <w:sz w:val="20"/>
          <w:szCs w:val="20"/>
          <w:color w:val="auto"/>
        </w:rPr>
      </w:pPr>
    </w:p>
    <w:p>
      <w:pPr>
        <w:sectPr>
          <w:pgSz w:w="11900" w:h="16838" w:orient="portrait"/>
          <w:cols w:equalWidth="0" w:num="2">
            <w:col w:w="5280" w:space="660"/>
            <w:col w:w="4880"/>
          </w:cols>
          <w:pgMar w:left="540" w:top="253" w:right="539" w:bottom="1440" w:gutter="0" w:footer="0" w:header="0"/>
          <w:type w:val="continuous"/>
        </w:sectPr>
      </w:pPr>
    </w:p>
    <w:p>
      <w:pPr>
        <w:jc w:val="center"/>
        <w:ind w:right="1500"/>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Report any known or suspected violations or concerns to the Enterprise Team or the Ethics Hotline</w:t>
      </w:r>
    </w:p>
    <w:p>
      <w:pPr>
        <w:spacing w:after="0" w:line="189" w:lineRule="exact"/>
        <w:rPr>
          <w:sz w:val="20"/>
          <w:szCs w:val="20"/>
          <w:color w:val="auto"/>
        </w:rPr>
      </w:pPr>
    </w:p>
    <w:p>
      <w:pPr>
        <w:jc w:val="center"/>
        <w:ind w:right="1460"/>
        <w:spacing w:after="0"/>
        <w:rPr>
          <w:sz w:val="20"/>
          <w:szCs w:val="20"/>
          <w:color w:val="auto"/>
        </w:rPr>
      </w:pPr>
      <w:r>
        <w:rPr>
          <w:rFonts w:ascii="Arial" w:cs="Arial" w:eastAsia="Arial" w:hAnsi="Arial"/>
          <w:sz w:val="19"/>
          <w:szCs w:val="19"/>
          <w:color w:val="auto"/>
        </w:rPr>
        <w:t xml:space="preserve">If you have any questions about bribery or corruption, contact the Enterprise Compliance team or </w:t>
      </w:r>
      <w:r>
        <w:rPr>
          <w:rFonts w:ascii="Arial" w:cs="Arial" w:eastAsia="Arial" w:hAnsi="Arial"/>
          <w:sz w:val="19"/>
          <w:szCs w:val="19"/>
          <w:b w:val="1"/>
          <w:bCs w:val="1"/>
          <w:color w:val="1A7EE5"/>
        </w:rPr>
        <w:t>Seek Help</w:t>
      </w:r>
      <w:r>
        <w:rPr>
          <w:rFonts w:ascii="Arial" w:cs="Arial" w:eastAsia="Arial" w:hAnsi="Arial"/>
          <w:sz w:val="19"/>
          <w:szCs w:val="19"/>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b w:val="1"/>
          <w:bCs w:val="1"/>
          <w:color w:val="1A7EE5"/>
        </w:rPr>
        <w:t>Anti-Bribery &amp; Anti-Corruption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101600</wp:posOffset>
            </wp:positionV>
            <wp:extent cx="967740" cy="32829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4360"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23</w:t>
            </w:r>
          </w:p>
        </w:tc>
      </w:tr>
    </w:tbl>
    <w:p>
      <w:pPr>
        <w:sectPr>
          <w:pgSz w:w="11900" w:h="16838" w:orient="portrait"/>
          <w:cols w:equalWidth="0" w:num="1">
            <w:col w:w="10820"/>
          </w:cols>
          <w:pgMar w:left="540" w:top="253" w:right="539" w:bottom="1440" w:gutter="0" w:footer="0" w:header="0"/>
          <w:type w:val="continuous"/>
        </w:sectPr>
      </w:pPr>
    </w:p>
    <w:bookmarkStart w:id="204" w:name="page205"/>
    <w:bookmarkEnd w:id="204"/>
    <w:p>
      <w:pPr>
        <w:ind w:left="222"/>
        <w:spacing w:after="0"/>
        <w:rPr>
          <w:sz w:val="20"/>
          <w:szCs w:val="20"/>
          <w:color w:val="auto"/>
        </w:rPr>
      </w:pPr>
      <w:r>
        <w:rPr>
          <w:rFonts w:ascii="Arial" w:cs="Arial" w:eastAsia="Arial" w:hAnsi="Arial"/>
          <w:sz w:val="21"/>
          <w:szCs w:val="21"/>
          <w:b w:val="1"/>
          <w:bCs w:val="1"/>
          <w:i w:val="1"/>
          <w:iCs w:val="1"/>
          <w:color w:val="D64000"/>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6770" cy="38100"/>
                    </a:xfrm>
                    <a:prstGeom prst="rect">
                      <a:avLst/>
                    </a:prstGeom>
                    <a:noFill/>
                  </pic:spPr>
                </pic:pic>
              </a:graphicData>
            </a:graphic>
          </wp:anchor>
        </w:drawing>
        <w:drawing>
          <wp:anchor simplePos="0" relativeHeight="251657728" behindDoc="1" locked="0" layoutInCell="0" allowOverlap="1">
            <wp:simplePos x="0" y="0"/>
            <wp:positionH relativeFrom="page">
              <wp:posOffset>341630</wp:posOffset>
            </wp:positionH>
            <wp:positionV relativeFrom="page">
              <wp:posOffset>181610</wp:posOffset>
            </wp:positionV>
            <wp:extent cx="6899275" cy="218757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899275" cy="2187575"/>
                    </a:xfrm>
                    <a:prstGeom prst="rect">
                      <a:avLst/>
                    </a:prstGeom>
                    <a:noFill/>
                  </pic:spPr>
                </pic:pic>
              </a:graphicData>
            </a:graphic>
          </wp:anchor>
        </w:drawing>
        <w:t>Connecting the dots</w:t>
      </w:r>
    </w:p>
    <w:p>
      <w:pPr>
        <w:spacing w:after="0" w:line="200" w:lineRule="exact"/>
        <w:rPr>
          <w:sz w:val="20"/>
          <w:szCs w:val="20"/>
          <w:color w:val="auto"/>
        </w:rPr>
      </w:pPr>
    </w:p>
    <w:p>
      <w:pPr>
        <w:ind w:left="222"/>
        <w:spacing w:after="0"/>
        <w:rPr>
          <w:sz w:val="20"/>
          <w:szCs w:val="20"/>
          <w:color w:val="auto"/>
        </w:rPr>
      </w:pPr>
      <w:r>
        <w:rPr>
          <w:rFonts w:ascii="Arial" w:cs="Arial" w:eastAsia="Arial" w:hAnsi="Arial"/>
          <w:sz w:val="25"/>
          <w:szCs w:val="25"/>
          <w:b w:val="1"/>
          <w:bCs w:val="1"/>
          <w:color w:val="auto"/>
        </w:rPr>
        <w:t>Q</w:t>
      </w:r>
      <w:r>
        <w:rPr>
          <w:rFonts w:ascii="Arial" w:cs="Arial" w:eastAsia="Arial" w:hAnsi="Arial"/>
          <w:sz w:val="17"/>
          <w:szCs w:val="17"/>
          <w:b w:val="1"/>
          <w:bCs w:val="1"/>
          <w:color w:val="auto"/>
        </w:rPr>
        <w:t xml:space="preserve">   What is a facilitation or “grease” payment?</w:t>
      </w:r>
    </w:p>
    <w:p>
      <w:pPr>
        <w:spacing w:after="0" w:line="163" w:lineRule="exact"/>
        <w:rPr>
          <w:sz w:val="20"/>
          <w:szCs w:val="20"/>
          <w:color w:val="auto"/>
        </w:rPr>
      </w:pPr>
    </w:p>
    <w:p>
      <w:pPr>
        <w:ind w:left="222"/>
        <w:spacing w:after="0"/>
        <w:rPr>
          <w:sz w:val="20"/>
          <w:szCs w:val="20"/>
          <w:color w:val="auto"/>
        </w:rPr>
      </w:pPr>
      <w:r>
        <w:rPr>
          <w:rFonts w:ascii="Arial" w:cs="Arial" w:eastAsia="Arial" w:hAnsi="Arial"/>
          <w:sz w:val="25"/>
          <w:szCs w:val="25"/>
          <w:b w:val="1"/>
          <w:bCs w:val="1"/>
          <w:color w:val="auto"/>
        </w:rPr>
        <w:t>A</w:t>
      </w:r>
      <w:r>
        <w:rPr>
          <w:rFonts w:ascii="Arial" w:cs="Arial" w:eastAsia="Arial" w:hAnsi="Arial"/>
          <w:sz w:val="17"/>
          <w:szCs w:val="17"/>
          <w:color w:val="auto"/>
        </w:rPr>
        <w:t xml:space="preserve">   A facilitation or “grease” payment is a small payment made to a</w:t>
      </w:r>
      <w:r>
        <w:rPr>
          <w:rFonts w:ascii="Arial" w:cs="Arial" w:eastAsia="Arial" w:hAnsi="Arial"/>
          <w:sz w:val="25"/>
          <w:szCs w:val="25"/>
          <w:b w:val="1"/>
          <w:bCs w:val="1"/>
          <w:color w:val="auto"/>
        </w:rPr>
        <w:t xml:space="preserve"> </w:t>
      </w:r>
      <w:r>
        <w:rPr>
          <w:rFonts w:ascii="Arial" w:cs="Arial" w:eastAsia="Arial" w:hAnsi="Arial"/>
          <w:sz w:val="17"/>
          <w:szCs w:val="17"/>
          <w:b w:val="1"/>
          <w:bCs w:val="1"/>
          <w:color w:val="auto"/>
        </w:rPr>
        <w:t>government official</w:t>
      </w:r>
      <w:r>
        <w:rPr>
          <w:rFonts w:ascii="Arial" w:cs="Arial" w:eastAsia="Arial" w:hAnsi="Arial"/>
          <w:sz w:val="25"/>
          <w:szCs w:val="25"/>
          <w:b w:val="1"/>
          <w:bCs w:val="1"/>
          <w:color w:val="auto"/>
        </w:rPr>
        <w:t xml:space="preserve"> </w:t>
      </w:r>
      <w:r>
        <w:rPr>
          <w:rFonts w:ascii="Arial" w:cs="Arial" w:eastAsia="Arial" w:hAnsi="Arial"/>
          <w:sz w:val="17"/>
          <w:szCs w:val="17"/>
          <w:color w:val="auto"/>
        </w:rPr>
        <w:t>to secure what should be a routine action,</w:t>
      </w:r>
    </w:p>
    <w:p>
      <w:pPr>
        <w:spacing w:after="0" w:line="26" w:lineRule="exact"/>
        <w:rPr>
          <w:sz w:val="20"/>
          <w:szCs w:val="20"/>
          <w:color w:val="auto"/>
        </w:rPr>
      </w:pPr>
    </w:p>
    <w:p>
      <w:pPr>
        <w:ind w:left="542" w:right="80"/>
        <w:spacing w:after="0" w:line="233" w:lineRule="auto"/>
        <w:rPr>
          <w:sz w:val="20"/>
          <w:szCs w:val="20"/>
          <w:color w:val="auto"/>
        </w:rPr>
      </w:pPr>
      <w:r>
        <w:rPr>
          <w:rFonts w:ascii="Arial" w:cs="Arial" w:eastAsia="Arial" w:hAnsi="Arial"/>
          <w:sz w:val="18"/>
          <w:szCs w:val="18"/>
          <w:color w:val="auto"/>
        </w:rPr>
        <w:t>such as processing a visa, issuing a permit or providing a utility service. This does not include official payments, such as those where a government agency has a published fee schedule for a service equally available to anyone and provides a receipt. Thomson Reuters prohibits its employees and representatives from making facilitation payments, even if doing so is legal in the country where the payment is taking place. If you are unsure whether something qualifies as a facilitation payment or if you believe such a payment is necessary to advance legitimate business goals, you must Seek Help. Similarly, if you must make a facilitation payment to protect your liberty or safety, you must notify your manager as soon as possible, and know that such extraordinary events will not be treated as policy violations.</w:t>
      </w:r>
    </w:p>
    <w:p>
      <w:pPr>
        <w:spacing w:after="0" w:line="60" w:lineRule="exact"/>
        <w:rPr>
          <w:sz w:val="20"/>
          <w:szCs w:val="20"/>
          <w:color w:val="auto"/>
        </w:rPr>
      </w:pPr>
    </w:p>
    <w:p>
      <w:pPr>
        <w:ind w:left="222" w:hanging="222"/>
        <w:spacing w:after="0"/>
        <w:tabs>
          <w:tab w:leader="none" w:pos="222" w:val="left"/>
        </w:tabs>
        <w:numPr>
          <w:ilvl w:val="0"/>
          <w:numId w:val="188"/>
        </w:numPr>
        <w:rPr>
          <w:rFonts w:ascii="Arial" w:cs="Arial" w:eastAsia="Arial" w:hAnsi="Arial"/>
          <w:sz w:val="39"/>
          <w:szCs w:val="39"/>
          <w:b w:val="1"/>
          <w:bCs w:val="1"/>
          <w:i w:val="1"/>
          <w:iCs w:val="1"/>
          <w:color w:val="123121"/>
          <w:vertAlign w:val="superscript"/>
        </w:rPr>
      </w:pPr>
      <w:r>
        <w:rPr>
          <w:rFonts w:ascii="Arial" w:cs="Arial" w:eastAsia="Arial" w:hAnsi="Arial"/>
          <w:sz w:val="19"/>
          <w:szCs w:val="19"/>
          <w:b w:val="1"/>
          <w:bCs w:val="1"/>
          <w:i w:val="1"/>
          <w:iCs w:val="1"/>
          <w:color w:val="123121"/>
        </w:rPr>
        <w:t>Identifying government officials</w:t>
      </w:r>
    </w:p>
    <w:p>
      <w:pPr>
        <w:spacing w:after="0" w:line="86" w:lineRule="exact"/>
        <w:rPr>
          <w:rFonts w:ascii="Arial" w:cs="Arial" w:eastAsia="Arial" w:hAnsi="Arial"/>
          <w:sz w:val="39"/>
          <w:szCs w:val="39"/>
          <w:b w:val="1"/>
          <w:bCs w:val="1"/>
          <w:i w:val="1"/>
          <w:iCs w:val="1"/>
          <w:color w:val="123121"/>
          <w:vertAlign w:val="superscript"/>
        </w:rPr>
      </w:pPr>
    </w:p>
    <w:p>
      <w:pPr>
        <w:ind w:left="222" w:right="140"/>
        <w:spacing w:after="0" w:line="237" w:lineRule="auto"/>
        <w:rPr>
          <w:rFonts w:ascii="Arial" w:cs="Arial" w:eastAsia="Arial" w:hAnsi="Arial"/>
          <w:sz w:val="39"/>
          <w:szCs w:val="39"/>
          <w:b w:val="1"/>
          <w:bCs w:val="1"/>
          <w:i w:val="1"/>
          <w:iCs w:val="1"/>
          <w:color w:val="123121"/>
          <w:vertAlign w:val="superscript"/>
        </w:rPr>
      </w:pPr>
      <w:r>
        <w:rPr>
          <w:rFonts w:ascii="Arial" w:cs="Arial" w:eastAsia="Arial" w:hAnsi="Arial"/>
          <w:sz w:val="18"/>
          <w:szCs w:val="18"/>
          <w:color w:val="auto"/>
        </w:rPr>
        <w:t>Our policy on bribery and corruption applies to both the public and private sectors. However, dealing with government officials poses a particularly high risk due to the strict rules and regulations that often apply to giving anything of value to a government official. Some government officials are easy to identify, but others may not be. Government officials can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-648970</wp:posOffset>
            </wp:positionV>
            <wp:extent cx="6865620" cy="216217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865620" cy="2162175"/>
                    </a:xfrm>
                    <a:prstGeom prst="rect">
                      <a:avLst/>
                    </a:prstGeom>
                    <a:noFill/>
                  </pic:spPr>
                </pic:pic>
              </a:graphicData>
            </a:graphic>
          </wp:anchor>
        </w:drawing>
      </w:r>
    </w:p>
    <w:p>
      <w:pPr>
        <w:spacing w:after="0" w:line="105"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Employees at government facilities</w:t>
      </w:r>
    </w:p>
    <w:p>
      <w:pPr>
        <w:spacing w:after="0" w:line="70"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Elected officials</w:t>
      </w:r>
    </w:p>
    <w:p>
      <w:pPr>
        <w:spacing w:after="0" w:line="70"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Law enforcement officers</w:t>
      </w:r>
    </w:p>
    <w:p>
      <w:pPr>
        <w:spacing w:after="0" w:line="70"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Customs officials</w:t>
      </w:r>
    </w:p>
    <w:p>
      <w:pPr>
        <w:spacing w:after="0" w:line="70"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Inspectors</w:t>
      </w:r>
    </w:p>
    <w:p>
      <w:pPr>
        <w:spacing w:after="0" w:line="70"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Military personnel and support teams</w:t>
      </w:r>
    </w:p>
    <w:p>
      <w:pPr>
        <w:spacing w:after="0" w:line="70"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Public utility employees</w:t>
      </w:r>
    </w:p>
    <w:p>
      <w:pPr>
        <w:spacing w:after="0" w:line="70"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Employees of state-owned or controlled entities, such as some oil firms, universities and media companies</w:t>
      </w:r>
    </w:p>
    <w:p>
      <w:pPr>
        <w:spacing w:after="0" w:line="224"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1A7EE5"/>
        </w:rPr>
        <w:t>Government Contracting policies on the Intranet</w:t>
      </w:r>
    </w:p>
    <w:p>
      <w:pPr>
        <w:spacing w:after="0" w:line="230" w:lineRule="exact"/>
        <w:rPr>
          <w:sz w:val="20"/>
          <w:szCs w:val="20"/>
          <w:color w:val="auto"/>
        </w:rPr>
      </w:pPr>
    </w:p>
    <w:p>
      <w:pPr>
        <w:ind w:left="2"/>
        <w:spacing w:after="0"/>
        <w:rPr>
          <w:sz w:val="20"/>
          <w:szCs w:val="20"/>
          <w:color w:val="auto"/>
        </w:rPr>
      </w:pPr>
      <w:r>
        <w:rPr>
          <w:rFonts w:ascii="Arial" w:cs="Arial" w:eastAsia="Arial" w:hAnsi="Arial"/>
          <w:sz w:val="26"/>
          <w:szCs w:val="26"/>
          <w:i w:val="1"/>
          <w:iCs w:val="1"/>
          <w:color w:val="D64000"/>
        </w:rPr>
        <w:t>Gifts and entertainment</w:t>
      </w:r>
    </w:p>
    <w:p>
      <w:pPr>
        <w:spacing w:after="0" w:line="222" w:lineRule="exact"/>
        <w:rPr>
          <w:sz w:val="20"/>
          <w:szCs w:val="20"/>
          <w:color w:val="auto"/>
        </w:rPr>
      </w:pPr>
    </w:p>
    <w:p>
      <w:pPr>
        <w:ind w:left="2" w:right="40"/>
        <w:spacing w:after="0" w:line="273" w:lineRule="auto"/>
        <w:rPr>
          <w:sz w:val="20"/>
          <w:szCs w:val="20"/>
          <w:color w:val="auto"/>
        </w:rPr>
      </w:pPr>
      <w:r>
        <w:rPr>
          <w:rFonts w:ascii="Arial" w:cs="Arial" w:eastAsia="Arial" w:hAnsi="Arial"/>
          <w:sz w:val="19"/>
          <w:szCs w:val="19"/>
          <w:color w:val="auto"/>
        </w:rPr>
        <w:t>We use our best judgment in the giving and receiving of gifts to avoid even the appearance of improper influence. This means we:</w:t>
      </w:r>
    </w:p>
    <w:p>
      <w:pPr>
        <w:spacing w:after="0" w:line="46" w:lineRule="exact"/>
        <w:rPr>
          <w:sz w:val="20"/>
          <w:szCs w:val="20"/>
          <w:color w:val="auto"/>
        </w:rPr>
      </w:pPr>
    </w:p>
    <w:p>
      <w:pPr>
        <w:ind w:left="842" w:hanging="418"/>
        <w:spacing w:after="0"/>
        <w:tabs>
          <w:tab w:leader="none" w:pos="842" w:val="left"/>
        </w:tabs>
        <w:numPr>
          <w:ilvl w:val="0"/>
          <w:numId w:val="189"/>
        </w:numPr>
        <w:rPr>
          <w:rFonts w:ascii="Times New Roman" w:cs="Times New Roman" w:eastAsia="Times New Roman" w:hAnsi="Times New Roman"/>
          <w:sz w:val="18"/>
          <w:szCs w:val="18"/>
          <w:color w:val="D64000"/>
        </w:rPr>
      </w:pPr>
      <w:r>
        <w:rPr>
          <w:rFonts w:ascii="Arial" w:cs="Arial" w:eastAsia="Arial" w:hAnsi="Arial"/>
          <w:sz w:val="19"/>
          <w:szCs w:val="19"/>
          <w:color w:val="auto"/>
        </w:rPr>
        <w:t>Ensure all gifts, meals, services and entertainment we give or receive are infrequent and not excessive in value</w:t>
      </w:r>
    </w:p>
    <w:p>
      <w:pPr>
        <w:spacing w:after="0" w:line="112" w:lineRule="exact"/>
        <w:rPr>
          <w:rFonts w:ascii="Times New Roman" w:cs="Times New Roman" w:eastAsia="Times New Roman" w:hAnsi="Times New Roman"/>
          <w:sz w:val="18"/>
          <w:szCs w:val="18"/>
          <w:color w:val="D64000"/>
        </w:rPr>
      </w:pPr>
    </w:p>
    <w:p>
      <w:pPr>
        <w:ind w:left="842" w:right="240" w:hanging="418"/>
        <w:spacing w:after="0" w:line="273" w:lineRule="auto"/>
        <w:tabs>
          <w:tab w:leader="none" w:pos="842" w:val="left"/>
        </w:tabs>
        <w:numPr>
          <w:ilvl w:val="0"/>
          <w:numId w:val="189"/>
        </w:numPr>
        <w:rPr>
          <w:rFonts w:ascii="Times New Roman" w:cs="Times New Roman" w:eastAsia="Times New Roman" w:hAnsi="Times New Roman"/>
          <w:sz w:val="18"/>
          <w:szCs w:val="18"/>
          <w:color w:val="D64000"/>
        </w:rPr>
      </w:pPr>
      <w:r>
        <w:rPr>
          <w:rFonts w:ascii="Arial" w:cs="Arial" w:eastAsia="Arial" w:hAnsi="Arial"/>
          <w:sz w:val="19"/>
          <w:szCs w:val="19"/>
          <w:color w:val="auto"/>
        </w:rPr>
        <w:t>Refuse to give or accept certain cash equivalents (e.g., shares, gift cards, gift certificates or honorariums) that exceed $100.00 (USD) unless approved by your manager, Human Resources or the Enterprise Compliance team</w:t>
      </w:r>
    </w:p>
    <w:p>
      <w:pPr>
        <w:spacing w:after="0" w:line="46" w:lineRule="exact"/>
        <w:rPr>
          <w:rFonts w:ascii="Times New Roman" w:cs="Times New Roman" w:eastAsia="Times New Roman" w:hAnsi="Times New Roman"/>
          <w:sz w:val="18"/>
          <w:szCs w:val="18"/>
          <w:color w:val="D64000"/>
        </w:rPr>
      </w:pPr>
    </w:p>
    <w:p>
      <w:pPr>
        <w:ind w:left="842" w:hanging="418"/>
        <w:spacing w:after="0"/>
        <w:tabs>
          <w:tab w:leader="none" w:pos="842" w:val="left"/>
        </w:tabs>
        <w:numPr>
          <w:ilvl w:val="0"/>
          <w:numId w:val="189"/>
        </w:numPr>
        <w:rPr>
          <w:rFonts w:ascii="Times New Roman" w:cs="Times New Roman" w:eastAsia="Times New Roman" w:hAnsi="Times New Roman"/>
          <w:sz w:val="18"/>
          <w:szCs w:val="18"/>
          <w:color w:val="D64000"/>
        </w:rPr>
      </w:pPr>
      <w:r>
        <w:rPr>
          <w:rFonts w:ascii="Arial" w:cs="Arial" w:eastAsia="Arial" w:hAnsi="Arial"/>
          <w:sz w:val="19"/>
          <w:szCs w:val="19"/>
          <w:color w:val="auto"/>
        </w:rPr>
        <w:t>Refuse to give or accept cash gifts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967740" cy="32829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4362"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24</w:t>
            </w:r>
          </w:p>
        </w:tc>
      </w:tr>
    </w:tbl>
    <w:p>
      <w:pPr>
        <w:sectPr>
          <w:pgSz w:w="11900" w:h="16838" w:orient="portrait"/>
          <w:cols w:equalWidth="0" w:num="1">
            <w:col w:w="10822"/>
          </w:cols>
          <w:pgMar w:left="538" w:top="1054" w:right="539" w:bottom="1440" w:gutter="0" w:footer="0" w:header="0"/>
        </w:sectPr>
      </w:pPr>
    </w:p>
    <w:bookmarkStart w:id="205" w:name="page206"/>
    <w:bookmarkEnd w:id="205"/>
    <w:p>
      <w:pPr>
        <w:ind w:left="842" w:right="80" w:hanging="418"/>
        <w:spacing w:after="0" w:line="273" w:lineRule="auto"/>
        <w:tabs>
          <w:tab w:leader="none" w:pos="842" w:val="left"/>
        </w:tabs>
        <w:numPr>
          <w:ilvl w:val="0"/>
          <w:numId w:val="190"/>
        </w:numPr>
        <w:rPr>
          <w:rFonts w:ascii="Times New Roman" w:cs="Times New Roman" w:eastAsia="Times New Roman" w:hAnsi="Times New Roman"/>
          <w:sz w:val="18"/>
          <w:szCs w:val="18"/>
          <w:color w:val="D64000"/>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Do not give or accept anything of value if it would appear to improperly obligate someone to act a certain way or if it would embarrass either party if made public</w:t>
      </w:r>
    </w:p>
    <w:p>
      <w:pPr>
        <w:spacing w:after="0" w:line="46" w:lineRule="exact"/>
        <w:rPr>
          <w:rFonts w:ascii="Times New Roman" w:cs="Times New Roman" w:eastAsia="Times New Roman" w:hAnsi="Times New Roman"/>
          <w:sz w:val="18"/>
          <w:szCs w:val="18"/>
          <w:color w:val="D64000"/>
        </w:rPr>
      </w:pPr>
    </w:p>
    <w:p>
      <w:pPr>
        <w:ind w:left="842" w:right="80" w:hanging="418"/>
        <w:spacing w:after="0" w:line="273" w:lineRule="auto"/>
        <w:tabs>
          <w:tab w:leader="none" w:pos="842" w:val="left"/>
        </w:tabs>
        <w:numPr>
          <w:ilvl w:val="0"/>
          <w:numId w:val="190"/>
        </w:numPr>
        <w:rPr>
          <w:rFonts w:ascii="Times New Roman" w:cs="Times New Roman" w:eastAsia="Times New Roman" w:hAnsi="Times New Roman"/>
          <w:sz w:val="18"/>
          <w:szCs w:val="18"/>
          <w:color w:val="D64000"/>
        </w:rPr>
      </w:pPr>
      <w:r>
        <w:rPr>
          <w:rFonts w:ascii="Arial" w:cs="Arial" w:eastAsia="Arial" w:hAnsi="Arial"/>
          <w:sz w:val="19"/>
          <w:szCs w:val="19"/>
          <w:color w:val="auto"/>
        </w:rPr>
        <w:t>Know that when a government official is involved, we may not offer or accept gifts, meals, services or entertainment without prior approval from the Enterprise Compliance team</w:t>
      </w:r>
    </w:p>
    <w:p>
      <w:pPr>
        <w:spacing w:after="0" w:line="46" w:lineRule="exact"/>
        <w:rPr>
          <w:rFonts w:ascii="Times New Roman" w:cs="Times New Roman" w:eastAsia="Times New Roman" w:hAnsi="Times New Roman"/>
          <w:sz w:val="18"/>
          <w:szCs w:val="18"/>
          <w:color w:val="D64000"/>
        </w:rPr>
      </w:pPr>
    </w:p>
    <w:p>
      <w:pPr>
        <w:ind w:left="842" w:hanging="418"/>
        <w:spacing w:after="0"/>
        <w:tabs>
          <w:tab w:leader="none" w:pos="842" w:val="left"/>
        </w:tabs>
        <w:numPr>
          <w:ilvl w:val="0"/>
          <w:numId w:val="190"/>
        </w:numPr>
        <w:rPr>
          <w:rFonts w:ascii="Times New Roman" w:cs="Times New Roman" w:eastAsia="Times New Roman" w:hAnsi="Times New Roman"/>
          <w:sz w:val="18"/>
          <w:szCs w:val="18"/>
          <w:color w:val="D64000"/>
        </w:rPr>
      </w:pPr>
      <w:r>
        <w:rPr>
          <w:rFonts w:ascii="Arial" w:cs="Arial" w:eastAsia="Arial" w:hAnsi="Arial"/>
          <w:sz w:val="19"/>
          <w:szCs w:val="19"/>
          <w:color w:val="auto"/>
        </w:rPr>
        <w:t>Will in no case connect an item of value, including gifts and travel, to an official act by a government official</w:t>
      </w:r>
    </w:p>
    <w:p>
      <w:pPr>
        <w:spacing w:after="0" w:line="112" w:lineRule="exact"/>
        <w:rPr>
          <w:rFonts w:ascii="Times New Roman" w:cs="Times New Roman" w:eastAsia="Times New Roman" w:hAnsi="Times New Roman"/>
          <w:sz w:val="18"/>
          <w:szCs w:val="18"/>
          <w:color w:val="D64000"/>
        </w:rPr>
      </w:pPr>
    </w:p>
    <w:p>
      <w:pPr>
        <w:ind w:left="842" w:right="60" w:hanging="418"/>
        <w:spacing w:after="0" w:line="273" w:lineRule="auto"/>
        <w:tabs>
          <w:tab w:leader="none" w:pos="842" w:val="left"/>
        </w:tabs>
        <w:numPr>
          <w:ilvl w:val="0"/>
          <w:numId w:val="190"/>
        </w:numPr>
        <w:rPr>
          <w:rFonts w:ascii="Times New Roman" w:cs="Times New Roman" w:eastAsia="Times New Roman" w:hAnsi="Times New Roman"/>
          <w:sz w:val="18"/>
          <w:szCs w:val="18"/>
          <w:color w:val="D64000"/>
        </w:rPr>
      </w:pPr>
      <w:r>
        <w:rPr>
          <w:rFonts w:ascii="Arial" w:cs="Arial" w:eastAsia="Arial" w:hAnsi="Arial"/>
          <w:sz w:val="19"/>
          <w:szCs w:val="19"/>
          <w:color w:val="auto"/>
        </w:rPr>
        <w:t>Know the relevant gift policies that govern our businesses (and remember some may have more restrictive policies) and the policies of anyone who might receive a gift from us and ensure that those policies are not violated</w:t>
      </w:r>
    </w:p>
    <w:p>
      <w:pPr>
        <w:spacing w:after="0" w:line="46" w:lineRule="exact"/>
        <w:rPr>
          <w:rFonts w:ascii="Times New Roman" w:cs="Times New Roman" w:eastAsia="Times New Roman" w:hAnsi="Times New Roman"/>
          <w:sz w:val="18"/>
          <w:szCs w:val="18"/>
          <w:color w:val="D64000"/>
        </w:rPr>
      </w:pPr>
    </w:p>
    <w:p>
      <w:pPr>
        <w:ind w:left="842" w:right="340" w:hanging="418"/>
        <w:spacing w:after="0" w:line="273" w:lineRule="auto"/>
        <w:tabs>
          <w:tab w:leader="none" w:pos="842" w:val="left"/>
        </w:tabs>
        <w:numPr>
          <w:ilvl w:val="0"/>
          <w:numId w:val="190"/>
        </w:numPr>
        <w:rPr>
          <w:rFonts w:ascii="Times New Roman" w:cs="Times New Roman" w:eastAsia="Times New Roman" w:hAnsi="Times New Roman"/>
          <w:sz w:val="18"/>
          <w:szCs w:val="18"/>
          <w:color w:val="D64000"/>
        </w:rPr>
      </w:pPr>
      <w:r>
        <w:rPr>
          <w:rFonts w:ascii="Arial" w:cs="Arial" w:eastAsia="Arial" w:hAnsi="Arial"/>
          <w:sz w:val="19"/>
          <w:szCs w:val="19"/>
          <w:color w:val="auto"/>
        </w:rPr>
        <w:t>Understand that in some countries, it would be offensive to return or refuse a gift and that in such situations, we may accept the gift on behalf of Thomson Reuters and consult our manager about how the gift should be treated</w:t>
      </w:r>
    </w:p>
    <w:p>
      <w:pPr>
        <w:spacing w:after="0" w:line="46" w:lineRule="exact"/>
        <w:rPr>
          <w:rFonts w:ascii="Times New Roman" w:cs="Times New Roman" w:eastAsia="Times New Roman" w:hAnsi="Times New Roman"/>
          <w:sz w:val="18"/>
          <w:szCs w:val="18"/>
          <w:color w:val="D64000"/>
        </w:rPr>
      </w:pPr>
    </w:p>
    <w:p>
      <w:pPr>
        <w:ind w:left="842" w:hanging="418"/>
        <w:spacing w:after="0"/>
        <w:tabs>
          <w:tab w:leader="none" w:pos="842" w:val="left"/>
        </w:tabs>
        <w:numPr>
          <w:ilvl w:val="0"/>
          <w:numId w:val="190"/>
        </w:numPr>
        <w:rPr>
          <w:rFonts w:ascii="Times New Roman" w:cs="Times New Roman" w:eastAsia="Times New Roman" w:hAnsi="Times New Roman"/>
          <w:sz w:val="18"/>
          <w:szCs w:val="18"/>
          <w:color w:val="D64000"/>
        </w:rPr>
      </w:pPr>
      <w:r>
        <w:rPr>
          <w:rFonts w:ascii="Arial" w:cs="Arial" w:eastAsia="Arial" w:hAnsi="Arial"/>
          <w:sz w:val="19"/>
          <w:szCs w:val="19"/>
          <w:color w:val="auto"/>
        </w:rPr>
        <w:t>Comply with applicable laws and regulations wherever we do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236855</wp:posOffset>
            </wp:positionV>
            <wp:extent cx="6865620" cy="37846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65620" cy="37846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02" w:right="180" w:hanging="96"/>
        <w:spacing w:after="0" w:line="284" w:lineRule="auto"/>
        <w:rPr>
          <w:sz w:val="20"/>
          <w:szCs w:val="20"/>
          <w:color w:val="auto"/>
        </w:rPr>
      </w:pPr>
      <w:r>
        <w:rPr>
          <w:rFonts w:ascii="Arial" w:cs="Arial" w:eastAsia="Arial" w:hAnsi="Arial"/>
          <w:sz w:val="19"/>
          <w:szCs w:val="19"/>
          <w:b w:val="1"/>
          <w:bCs w:val="1"/>
          <w:i w:val="1"/>
          <w:iCs w:val="1"/>
          <w:color w:val="123121"/>
        </w:rPr>
        <w:t>Determining what is “not excessive in value” requires your good faith judgment. It may change depending on the situation.</w:t>
      </w:r>
    </w:p>
    <w:p>
      <w:pPr>
        <w:sectPr>
          <w:pgSz w:w="11900" w:h="16838" w:orient="portrait"/>
          <w:cols w:equalWidth="0" w:num="1">
            <w:col w:w="10822"/>
          </w:cols>
          <w:pgMar w:left="538" w:top="264" w:right="539" w:bottom="1440" w:gutter="0" w:footer="0" w:header="0"/>
        </w:sectPr>
      </w:pPr>
    </w:p>
    <w:p>
      <w:pPr>
        <w:spacing w:after="0" w:line="198" w:lineRule="exact"/>
        <w:rPr>
          <w:sz w:val="20"/>
          <w:szCs w:val="20"/>
          <w:color w:val="auto"/>
        </w:rPr>
      </w:pPr>
    </w:p>
    <w:p>
      <w:pPr>
        <w:ind w:left="222" w:right="1240" w:hanging="222"/>
        <w:spacing w:after="0" w:line="184" w:lineRule="auto"/>
        <w:tabs>
          <w:tab w:leader="none" w:pos="222" w:val="left"/>
        </w:tabs>
        <w:numPr>
          <w:ilvl w:val="0"/>
          <w:numId w:val="191"/>
        </w:numPr>
        <w:rPr>
          <w:rFonts w:ascii="Arial" w:cs="Arial" w:eastAsia="Arial" w:hAnsi="Arial"/>
          <w:sz w:val="36"/>
          <w:szCs w:val="36"/>
          <w:b w:val="1"/>
          <w:bCs w:val="1"/>
          <w:i w:val="1"/>
          <w:iCs w:val="1"/>
          <w:color w:val="123121"/>
          <w:vertAlign w:val="superscript"/>
        </w:rPr>
      </w:pPr>
      <w:r>
        <w:rPr>
          <w:rFonts w:ascii="Arial" w:cs="Arial" w:eastAsia="Arial" w:hAnsi="Arial"/>
          <w:sz w:val="18"/>
          <w:szCs w:val="18"/>
          <w:b w:val="1"/>
          <w:bCs w:val="1"/>
          <w:i w:val="1"/>
          <w:iCs w:val="1"/>
          <w:color w:val="123121"/>
        </w:rPr>
        <w:t>Acceptable gifts and entertainment generally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-338455</wp:posOffset>
            </wp:positionV>
            <wp:extent cx="3702050" cy="175831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702050" cy="1758315"/>
                    </a:xfrm>
                    <a:prstGeom prst="rect">
                      <a:avLst/>
                    </a:prstGeom>
                    <a:noFill/>
                  </pic:spPr>
                </pic:pic>
              </a:graphicData>
            </a:graphic>
          </wp:anchor>
        </w:drawing>
      </w:r>
    </w:p>
    <w:p>
      <w:pPr>
        <w:spacing w:after="0" w:line="64"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Promotional items with company logos</w:t>
      </w:r>
    </w:p>
    <w:p>
      <w:pPr>
        <w:spacing w:after="0" w:line="70" w:lineRule="exact"/>
        <w:rPr>
          <w:sz w:val="20"/>
          <w:szCs w:val="20"/>
          <w:color w:val="auto"/>
        </w:rPr>
      </w:pPr>
    </w:p>
    <w:p>
      <w:pPr>
        <w:ind w:left="482" w:hanging="140"/>
        <w:spacing w:after="0" w:line="274"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Meals and entertainment of modest value when business is being</w:t>
      </w:r>
      <w:r>
        <w:rPr>
          <w:rFonts w:ascii="Times New Roman" w:cs="Times New Roman" w:eastAsia="Times New Roman" w:hAnsi="Times New Roman"/>
          <w:sz w:val="18"/>
          <w:szCs w:val="18"/>
          <w:color w:val="D64000"/>
        </w:rPr>
        <w:t xml:space="preserve"> </w:t>
      </w:r>
      <w:r>
        <w:rPr>
          <w:rFonts w:ascii="Arial" w:cs="Arial" w:eastAsia="Arial" w:hAnsi="Arial"/>
          <w:sz w:val="18"/>
          <w:szCs w:val="18"/>
          <w:color w:val="000000"/>
        </w:rPr>
        <w:t>conducted</w:t>
      </w:r>
    </w:p>
    <w:p>
      <w:pPr>
        <w:spacing w:after="0" w:line="3"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Routine tickets to a local sporting or cultural event</w:t>
      </w:r>
    </w:p>
    <w:p>
      <w:pPr>
        <w:spacing w:after="0" w:line="70" w:lineRule="exact"/>
        <w:rPr>
          <w:sz w:val="20"/>
          <w:szCs w:val="20"/>
          <w:color w:val="auto"/>
        </w:rPr>
      </w:pPr>
    </w:p>
    <w:p>
      <w:pPr>
        <w:ind w:left="482" w:right="460" w:hanging="140"/>
        <w:spacing w:after="0" w:line="274"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Gifts of nominal value that are customarily given on national</w:t>
      </w:r>
      <w:r>
        <w:rPr>
          <w:rFonts w:ascii="Times New Roman" w:cs="Times New Roman" w:eastAsia="Times New Roman" w:hAnsi="Times New Roman"/>
          <w:sz w:val="18"/>
          <w:szCs w:val="18"/>
          <w:color w:val="D64000"/>
        </w:rPr>
        <w:t xml:space="preserve"> </w:t>
      </w:r>
      <w:r>
        <w:rPr>
          <w:rFonts w:ascii="Arial" w:cs="Arial" w:eastAsia="Arial" w:hAnsi="Arial"/>
          <w:sz w:val="18"/>
          <w:szCs w:val="18"/>
          <w:color w:val="000000"/>
        </w:rPr>
        <w:t>holidays</w:t>
      </w:r>
    </w:p>
    <w:p>
      <w:pPr>
        <w:spacing w:after="0" w:line="3" w:lineRule="exact"/>
        <w:rPr>
          <w:sz w:val="20"/>
          <w:szCs w:val="20"/>
          <w:color w:val="auto"/>
        </w:rPr>
      </w:pPr>
    </w:p>
    <w:p>
      <w:pPr>
        <w:ind w:left="482" w:right="320" w:hanging="140"/>
        <w:spacing w:after="0" w:line="274"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Prizes randomly given or received through raffles, contests or</w:t>
      </w:r>
      <w:r>
        <w:rPr>
          <w:rFonts w:ascii="Times New Roman" w:cs="Times New Roman" w:eastAsia="Times New Roman" w:hAnsi="Times New Roman"/>
          <w:sz w:val="18"/>
          <w:szCs w:val="18"/>
          <w:color w:val="D64000"/>
        </w:rPr>
        <w:t xml:space="preserve"> </w:t>
      </w:r>
      <w:r>
        <w:rPr>
          <w:rFonts w:ascii="Arial" w:cs="Arial" w:eastAsia="Arial" w:hAnsi="Arial"/>
          <w:sz w:val="18"/>
          <w:szCs w:val="18"/>
          <w:color w:val="000000"/>
        </w:rPr>
        <w:t>industry events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400"/>
        <w:spacing w:after="0" w:line="284" w:lineRule="auto"/>
        <w:rPr>
          <w:sz w:val="20"/>
          <w:szCs w:val="20"/>
          <w:color w:val="auto"/>
        </w:rPr>
      </w:pPr>
      <w:r>
        <w:rPr>
          <w:rFonts w:ascii="Arial" w:cs="Arial" w:eastAsia="Arial" w:hAnsi="Arial"/>
          <w:sz w:val="19"/>
          <w:szCs w:val="19"/>
          <w:b w:val="1"/>
          <w:bCs w:val="1"/>
          <w:i w:val="1"/>
          <w:iCs w:val="1"/>
          <w:color w:val="123121"/>
        </w:rPr>
        <w:t>Unacceptable gifts and entertainment generally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-364490</wp:posOffset>
            </wp:positionV>
            <wp:extent cx="3096260" cy="175831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096260" cy="1758315"/>
                    </a:xfrm>
                    <a:prstGeom prst="rect">
                      <a:avLst/>
                    </a:prstGeom>
                    <a:noFill/>
                  </pic:spPr>
                </pic:pic>
              </a:graphicData>
            </a:graphic>
          </wp:anchor>
        </w:drawing>
      </w:r>
    </w:p>
    <w:p>
      <w:pPr>
        <w:spacing w:after="0" w:line="23" w:lineRule="exact"/>
        <w:rPr>
          <w:sz w:val="20"/>
          <w:szCs w:val="20"/>
          <w:color w:val="auto"/>
        </w:rPr>
      </w:pPr>
    </w:p>
    <w:p>
      <w:pPr>
        <w:ind w:left="120" w:right="1940"/>
        <w:spacing w:after="0" w:line="321"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Cash or certain cash equivalents</w:t>
      </w:r>
      <w:r>
        <w:rPr>
          <w:rFonts w:ascii="Times New Roman" w:cs="Times New Roman" w:eastAsia="Times New Roman" w:hAnsi="Times New Roman"/>
          <w:sz w:val="18"/>
          <w:szCs w:val="18"/>
          <w:color w:val="D64000"/>
        </w:rPr>
        <w:t xml:space="preserve"> ●</w:t>
      </w:r>
      <w:r>
        <w:rPr>
          <w:rFonts w:ascii="Arial" w:cs="Arial" w:eastAsia="Arial" w:hAnsi="Arial"/>
          <w:sz w:val="18"/>
          <w:szCs w:val="18"/>
          <w:color w:val="000000"/>
        </w:rPr>
        <w:t> Luxury goods</w:t>
      </w:r>
    </w:p>
    <w:p>
      <w:pPr>
        <w:spacing w:after="0" w:line="1" w:lineRule="exact"/>
        <w:rPr>
          <w:sz w:val="20"/>
          <w:szCs w:val="20"/>
          <w:color w:val="auto"/>
        </w:rPr>
      </w:pPr>
    </w:p>
    <w:p>
      <w:pPr>
        <w:ind w:left="260" w:right="220" w:hanging="140"/>
        <w:spacing w:after="0" w:line="274"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Events, trips or meals where there is no clear business</w:t>
      </w:r>
      <w:r>
        <w:rPr>
          <w:rFonts w:ascii="Times New Roman" w:cs="Times New Roman" w:eastAsia="Times New Roman" w:hAnsi="Times New Roman"/>
          <w:sz w:val="18"/>
          <w:szCs w:val="18"/>
          <w:color w:val="D64000"/>
        </w:rPr>
        <w:t xml:space="preserve"> </w:t>
      </w:r>
      <w:r>
        <w:rPr>
          <w:rFonts w:ascii="Arial" w:cs="Arial" w:eastAsia="Arial" w:hAnsi="Arial"/>
          <w:sz w:val="18"/>
          <w:szCs w:val="18"/>
          <w:color w:val="000000"/>
        </w:rPr>
        <w:t>purpose being conducted</w:t>
      </w:r>
    </w:p>
    <w:p>
      <w:pPr>
        <w:spacing w:after="0" w:line="3" w:lineRule="exact"/>
        <w:rPr>
          <w:sz w:val="20"/>
          <w:szCs w:val="20"/>
          <w:color w:val="auto"/>
        </w:rPr>
      </w:pPr>
    </w:p>
    <w:p>
      <w:pPr>
        <w:ind w:left="260" w:right="1020" w:hanging="140"/>
        <w:spacing w:after="0" w:line="274"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Anything of value given to or received from a</w:t>
      </w:r>
      <w:r>
        <w:rPr>
          <w:rFonts w:ascii="Times New Roman" w:cs="Times New Roman" w:eastAsia="Times New Roman" w:hAnsi="Times New Roman"/>
          <w:sz w:val="18"/>
          <w:szCs w:val="18"/>
          <w:color w:val="D64000"/>
        </w:rPr>
        <w:t xml:space="preserve"> </w:t>
      </w:r>
      <w:r>
        <w:rPr>
          <w:rFonts w:ascii="Arial" w:cs="Arial" w:eastAsia="Arial" w:hAnsi="Arial"/>
          <w:sz w:val="18"/>
          <w:szCs w:val="18"/>
          <w:color w:val="000000"/>
        </w:rPr>
        <w:t>government official</w:t>
      </w:r>
    </w:p>
    <w:p>
      <w:pPr>
        <w:spacing w:after="0" w:line="677" w:lineRule="exact"/>
        <w:rPr>
          <w:sz w:val="20"/>
          <w:szCs w:val="20"/>
          <w:color w:val="auto"/>
        </w:rPr>
      </w:pPr>
    </w:p>
    <w:p>
      <w:pPr>
        <w:sectPr>
          <w:pgSz w:w="11900" w:h="16838" w:orient="portrait"/>
          <w:cols w:equalWidth="0" w:num="2">
            <w:col w:w="5602" w:space="460"/>
            <w:col w:w="4760"/>
          </w:cols>
          <w:pgMar w:left="538" w:top="264" w:right="539" w:bottom="1440" w:gutter="0" w:footer="0" w:header="0"/>
          <w:type w:val="continuous"/>
        </w:sectPr>
      </w:pPr>
    </w:p>
    <w:p>
      <w:pPr>
        <w:spacing w:after="0" w:line="369" w:lineRule="exact"/>
        <w:rPr>
          <w:sz w:val="20"/>
          <w:szCs w:val="20"/>
          <w:color w:val="auto"/>
        </w:rPr>
      </w:pPr>
    </w:p>
    <w:p>
      <w:pPr>
        <w:ind w:left="2"/>
        <w:spacing w:after="0"/>
        <w:rPr>
          <w:sz w:val="20"/>
          <w:szCs w:val="20"/>
          <w:color w:val="auto"/>
        </w:rPr>
      </w:pPr>
      <w:r>
        <w:rPr>
          <w:rFonts w:ascii="Arial" w:cs="Arial" w:eastAsia="Arial" w:hAnsi="Arial"/>
          <w:sz w:val="19"/>
          <w:szCs w:val="19"/>
          <w:color w:val="auto"/>
        </w:rPr>
        <w:t>If you aren’t sure whether you should offer or accept a gift, ask yourself:</w:t>
      </w:r>
    </w:p>
    <w:p>
      <w:pPr>
        <w:spacing w:after="0" w:line="113" w:lineRule="exact"/>
        <w:rPr>
          <w:sz w:val="20"/>
          <w:szCs w:val="20"/>
          <w:color w:val="auto"/>
        </w:rPr>
      </w:pPr>
    </w:p>
    <w:p>
      <w:pPr>
        <w:ind w:left="842" w:right="760" w:hanging="418"/>
        <w:spacing w:after="0" w:line="256" w:lineRule="auto"/>
        <w:tabs>
          <w:tab w:leader="none" w:pos="842" w:val="left"/>
        </w:tabs>
        <w:numPr>
          <w:ilvl w:val="0"/>
          <w:numId w:val="192"/>
        </w:numPr>
        <w:rPr>
          <w:rFonts w:ascii="Times New Roman" w:cs="Times New Roman" w:eastAsia="Times New Roman" w:hAnsi="Times New Roman"/>
          <w:sz w:val="18"/>
          <w:szCs w:val="18"/>
          <w:color w:val="D64000"/>
        </w:rPr>
      </w:pPr>
      <w:r>
        <w:rPr>
          <w:rFonts w:ascii="Arial" w:cs="Arial" w:eastAsia="Arial" w:hAnsi="Arial"/>
          <w:sz w:val="19"/>
          <w:szCs w:val="19"/>
          <w:i w:val="1"/>
          <w:iCs w:val="1"/>
          <w:color w:val="auto"/>
        </w:rPr>
        <w:t>What is the intention behind the gift? For example, does either party expect something in return, such as an advantage or a favor?</w:t>
      </w:r>
    </w:p>
    <w:p>
      <w:pPr>
        <w:spacing w:after="0" w:line="1" w:lineRule="exact"/>
        <w:rPr>
          <w:rFonts w:ascii="Times New Roman" w:cs="Times New Roman" w:eastAsia="Times New Roman" w:hAnsi="Times New Roman"/>
          <w:sz w:val="18"/>
          <w:szCs w:val="18"/>
          <w:color w:val="D64000"/>
        </w:rPr>
      </w:pPr>
    </w:p>
    <w:p>
      <w:pPr>
        <w:ind w:left="842" w:hanging="418"/>
        <w:spacing w:after="0"/>
        <w:tabs>
          <w:tab w:leader="none" w:pos="842" w:val="left"/>
        </w:tabs>
        <w:numPr>
          <w:ilvl w:val="0"/>
          <w:numId w:val="192"/>
        </w:numPr>
        <w:rPr>
          <w:rFonts w:ascii="Times New Roman" w:cs="Times New Roman" w:eastAsia="Times New Roman" w:hAnsi="Times New Roman"/>
          <w:sz w:val="18"/>
          <w:szCs w:val="18"/>
          <w:color w:val="D64000"/>
        </w:rPr>
      </w:pPr>
      <w:r>
        <w:rPr>
          <w:rFonts w:ascii="Arial" w:cs="Arial" w:eastAsia="Arial" w:hAnsi="Arial"/>
          <w:sz w:val="19"/>
          <w:szCs w:val="19"/>
          <w:i w:val="1"/>
          <w:iCs w:val="1"/>
          <w:color w:val="auto"/>
        </w:rPr>
        <w:t>Do you feel uncomfortable or embarrassed if anyone else found out about it?</w:t>
      </w:r>
    </w:p>
    <w:p>
      <w:pPr>
        <w:spacing w:after="0" w:line="33" w:lineRule="exact"/>
        <w:rPr>
          <w:rFonts w:ascii="Times New Roman" w:cs="Times New Roman" w:eastAsia="Times New Roman" w:hAnsi="Times New Roman"/>
          <w:sz w:val="18"/>
          <w:szCs w:val="18"/>
          <w:color w:val="D64000"/>
        </w:rPr>
      </w:pPr>
    </w:p>
    <w:p>
      <w:pPr>
        <w:ind w:left="842" w:hanging="418"/>
        <w:spacing w:after="0"/>
        <w:tabs>
          <w:tab w:leader="none" w:pos="842" w:val="left"/>
        </w:tabs>
        <w:numPr>
          <w:ilvl w:val="0"/>
          <w:numId w:val="192"/>
        </w:numPr>
        <w:rPr>
          <w:rFonts w:ascii="Times New Roman" w:cs="Times New Roman" w:eastAsia="Times New Roman" w:hAnsi="Times New Roman"/>
          <w:sz w:val="18"/>
          <w:szCs w:val="18"/>
          <w:color w:val="D64000"/>
        </w:rPr>
      </w:pPr>
      <w:r>
        <w:rPr>
          <w:rFonts w:ascii="Arial" w:cs="Arial" w:eastAsia="Arial" w:hAnsi="Arial"/>
          <w:sz w:val="19"/>
          <w:szCs w:val="19"/>
          <w:i w:val="1"/>
          <w:iCs w:val="1"/>
          <w:color w:val="auto"/>
        </w:rPr>
        <w:t>Is the gift being given outside of the workplace so others will not know about it?</w:t>
      </w:r>
    </w:p>
    <w:p>
      <w:pPr>
        <w:spacing w:after="0" w:line="33" w:lineRule="exact"/>
        <w:rPr>
          <w:rFonts w:ascii="Times New Roman" w:cs="Times New Roman" w:eastAsia="Times New Roman" w:hAnsi="Times New Roman"/>
          <w:sz w:val="18"/>
          <w:szCs w:val="18"/>
          <w:color w:val="D64000"/>
        </w:rPr>
      </w:pPr>
    </w:p>
    <w:p>
      <w:pPr>
        <w:ind w:left="842" w:hanging="418"/>
        <w:spacing w:after="0"/>
        <w:tabs>
          <w:tab w:leader="none" w:pos="842" w:val="left"/>
        </w:tabs>
        <w:numPr>
          <w:ilvl w:val="0"/>
          <w:numId w:val="192"/>
        </w:numPr>
        <w:rPr>
          <w:rFonts w:ascii="Times New Roman" w:cs="Times New Roman" w:eastAsia="Times New Roman" w:hAnsi="Times New Roman"/>
          <w:sz w:val="18"/>
          <w:szCs w:val="18"/>
          <w:color w:val="D64000"/>
        </w:rPr>
      </w:pPr>
      <w:r>
        <w:rPr>
          <w:rFonts w:ascii="Arial" w:cs="Arial" w:eastAsia="Arial" w:hAnsi="Arial"/>
          <w:sz w:val="19"/>
          <w:szCs w:val="19"/>
          <w:i w:val="1"/>
          <w:iCs w:val="1"/>
          <w:color w:val="auto"/>
        </w:rPr>
        <w:t>Does the recipient have a policy that would prohibit it?</w:t>
      </w:r>
    </w:p>
    <w:p>
      <w:pPr>
        <w:spacing w:after="0" w:line="33" w:lineRule="exact"/>
        <w:rPr>
          <w:rFonts w:ascii="Times New Roman" w:cs="Times New Roman" w:eastAsia="Times New Roman" w:hAnsi="Times New Roman"/>
          <w:sz w:val="18"/>
          <w:szCs w:val="18"/>
          <w:color w:val="D64000"/>
        </w:rPr>
      </w:pPr>
    </w:p>
    <w:p>
      <w:pPr>
        <w:ind w:left="842" w:hanging="418"/>
        <w:spacing w:after="0"/>
        <w:tabs>
          <w:tab w:leader="none" w:pos="842" w:val="left"/>
        </w:tabs>
        <w:numPr>
          <w:ilvl w:val="0"/>
          <w:numId w:val="192"/>
        </w:numPr>
        <w:rPr>
          <w:rFonts w:ascii="Times New Roman" w:cs="Times New Roman" w:eastAsia="Times New Roman" w:hAnsi="Times New Roman"/>
          <w:sz w:val="18"/>
          <w:szCs w:val="18"/>
          <w:color w:val="D64000"/>
        </w:rPr>
      </w:pPr>
      <w:r>
        <w:rPr>
          <w:rFonts w:ascii="Arial" w:cs="Arial" w:eastAsia="Arial" w:hAnsi="Arial"/>
          <w:sz w:val="19"/>
          <w:szCs w:val="19"/>
          <w:i w:val="1"/>
          <w:iCs w:val="1"/>
          <w:color w:val="auto"/>
        </w:rPr>
        <w:t>Is the gift supported by documentation?</w:t>
      </w:r>
    </w:p>
    <w:p>
      <w:pPr>
        <w:spacing w:after="0" w:line="33" w:lineRule="exact"/>
        <w:rPr>
          <w:rFonts w:ascii="Times New Roman" w:cs="Times New Roman" w:eastAsia="Times New Roman" w:hAnsi="Times New Roman"/>
          <w:sz w:val="18"/>
          <w:szCs w:val="18"/>
          <w:color w:val="D64000"/>
        </w:rPr>
      </w:pPr>
    </w:p>
    <w:p>
      <w:pPr>
        <w:ind w:left="842" w:hanging="418"/>
        <w:spacing w:after="0"/>
        <w:tabs>
          <w:tab w:leader="none" w:pos="842" w:val="left"/>
        </w:tabs>
        <w:numPr>
          <w:ilvl w:val="0"/>
          <w:numId w:val="192"/>
        </w:numPr>
        <w:rPr>
          <w:rFonts w:ascii="Times New Roman" w:cs="Times New Roman" w:eastAsia="Times New Roman" w:hAnsi="Times New Roman"/>
          <w:sz w:val="18"/>
          <w:szCs w:val="18"/>
          <w:color w:val="D64000"/>
        </w:rPr>
      </w:pPr>
      <w:r>
        <w:rPr>
          <w:rFonts w:ascii="Arial" w:cs="Arial" w:eastAsia="Arial" w:hAnsi="Arial"/>
          <w:sz w:val="19"/>
          <w:szCs w:val="19"/>
          <w:i w:val="1"/>
          <w:iCs w:val="1"/>
          <w:color w:val="auto"/>
        </w:rPr>
        <w:t>Does it feel right? Or does something feel off?</w:t>
      </w:r>
    </w:p>
    <w:p>
      <w:pPr>
        <w:spacing w:after="0" w:line="201" w:lineRule="exact"/>
        <w:rPr>
          <w:sz w:val="20"/>
          <w:szCs w:val="20"/>
          <w:color w:val="auto"/>
        </w:rPr>
      </w:pPr>
    </w:p>
    <w:p>
      <w:pPr>
        <w:ind w:left="2" w:right="20"/>
        <w:spacing w:after="0" w:line="284" w:lineRule="auto"/>
        <w:rPr>
          <w:sz w:val="20"/>
          <w:szCs w:val="20"/>
          <w:color w:val="auto"/>
        </w:rPr>
      </w:pPr>
      <w:r>
        <w:rPr>
          <w:rFonts w:ascii="Arial" w:cs="Arial" w:eastAsia="Arial" w:hAnsi="Arial"/>
          <w:sz w:val="19"/>
          <w:szCs w:val="19"/>
          <w:color w:val="auto"/>
        </w:rPr>
        <w:t xml:space="preserve">If you have questions about whether any gift, meal, service or entertainment would be acceptable under the Code, contact the Enterprise Compliance team or </w:t>
      </w:r>
      <w:r>
        <w:rPr>
          <w:rFonts w:ascii="Arial" w:cs="Arial" w:eastAsia="Arial" w:hAnsi="Arial"/>
          <w:sz w:val="19"/>
          <w:szCs w:val="19"/>
          <w:b w:val="1"/>
          <w:bCs w:val="1"/>
          <w:color w:val="1A7EE5"/>
        </w:rPr>
        <w:t>Seek Help</w:t>
      </w:r>
      <w:r>
        <w:rPr>
          <w:rFonts w:ascii="Arial" w:cs="Arial" w:eastAsia="Arial" w:hAnsi="Arial"/>
          <w:sz w:val="19"/>
          <w:szCs w:val="19"/>
          <w:color w:val="auto"/>
        </w:rPr>
        <w:t>.</w:t>
      </w:r>
    </w:p>
    <w:p>
      <w:pPr>
        <w:spacing w:after="0" w:line="51"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1A7EE5"/>
        </w:rPr>
        <w:t>Anti-Bribery &amp; Anti-Corruption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967740" cy="32829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4362"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25</w:t>
            </w:r>
          </w:p>
        </w:tc>
      </w:tr>
    </w:tbl>
    <w:p>
      <w:pPr>
        <w:sectPr>
          <w:pgSz w:w="11900" w:h="16838" w:orient="portrait"/>
          <w:cols w:equalWidth="0" w:num="1">
            <w:col w:w="10822"/>
          </w:cols>
          <w:pgMar w:left="538" w:top="264" w:right="539" w:bottom="1440" w:gutter="0" w:footer="0" w:header="0"/>
          <w:type w:val="continuous"/>
        </w:sectPr>
      </w:pPr>
    </w:p>
    <w:bookmarkStart w:id="206" w:name="page207"/>
    <w:bookmarkEnd w:id="206"/>
    <w:p>
      <w:pPr>
        <w:spacing w:after="0"/>
        <w:rPr>
          <w:sz w:val="20"/>
          <w:szCs w:val="20"/>
          <w:color w:val="auto"/>
        </w:rPr>
      </w:pPr>
      <w:r>
        <w:rPr>
          <w:rFonts w:ascii="Arial" w:cs="Arial" w:eastAsia="Arial" w:hAnsi="Arial"/>
          <w:sz w:val="21"/>
          <w:szCs w:val="21"/>
          <w:b w:val="1"/>
          <w:bCs w:val="1"/>
          <w:i w:val="1"/>
          <w:iCs w:val="1"/>
          <w:color w:val="D64000"/>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6770" cy="38100"/>
                    </a:xfrm>
                    <a:prstGeom prst="rect">
                      <a:avLst/>
                    </a:prstGeom>
                    <a:noFill/>
                  </pic:spPr>
                </pic:pic>
              </a:graphicData>
            </a:graphic>
          </wp:anchor>
        </w:drawing>
        <w:drawing>
          <wp:anchor simplePos="0" relativeHeight="251657728" behindDoc="1" locked="0" layoutInCell="0" allowOverlap="1">
            <wp:simplePos x="0" y="0"/>
            <wp:positionH relativeFrom="page">
              <wp:posOffset>341630</wp:posOffset>
            </wp:positionH>
            <wp:positionV relativeFrom="page">
              <wp:posOffset>181610</wp:posOffset>
            </wp:positionV>
            <wp:extent cx="6899275" cy="19773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99275" cy="1977390"/>
                    </a:xfrm>
                    <a:prstGeom prst="rect">
                      <a:avLst/>
                    </a:prstGeom>
                    <a:noFill/>
                  </pic:spPr>
                </pic:pic>
              </a:graphicData>
            </a:graphic>
          </wp:anchor>
        </w:drawing>
        <w:t>  Connecting the dots</w:t>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Q</w:t>
      </w:r>
      <w:r>
        <w:rPr>
          <w:rFonts w:ascii="Arial" w:cs="Arial" w:eastAsia="Arial" w:hAnsi="Arial"/>
          <w:sz w:val="17"/>
          <w:szCs w:val="17"/>
          <w:b w:val="1"/>
          <w:bCs w:val="1"/>
          <w:color w:val="auto"/>
        </w:rPr>
        <w:t>  We engaged a local agent with good connections to help us secure a government contract. He wants to give a bottle of</w:t>
      </w:r>
    </w:p>
    <w:p>
      <w:pPr>
        <w:spacing w:after="0" w:line="26" w:lineRule="exact"/>
        <w:rPr>
          <w:sz w:val="20"/>
          <w:szCs w:val="20"/>
          <w:color w:val="auto"/>
        </w:rPr>
      </w:pPr>
    </w:p>
    <w:p>
      <w:pPr>
        <w:ind w:left="360" w:right="320"/>
        <w:spacing w:after="0" w:line="252" w:lineRule="auto"/>
        <w:rPr>
          <w:sz w:val="20"/>
          <w:szCs w:val="20"/>
          <w:color w:val="auto"/>
        </w:rPr>
      </w:pPr>
      <w:r>
        <w:rPr>
          <w:rFonts w:ascii="Arial" w:cs="Arial" w:eastAsia="Arial" w:hAnsi="Arial"/>
          <w:sz w:val="18"/>
          <w:szCs w:val="18"/>
          <w:b w:val="1"/>
          <w:bCs w:val="1"/>
          <w:color w:val="auto"/>
        </w:rPr>
        <w:t>expensive liquor to the government official who signed off on the contract and insists that it’s customary to do so. Could we get in trouble for that?</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A</w:t>
      </w:r>
      <w:r>
        <w:rPr>
          <w:rFonts w:ascii="Arial" w:cs="Arial" w:eastAsia="Arial" w:hAnsi="Arial"/>
          <w:sz w:val="17"/>
          <w:szCs w:val="17"/>
          <w:color w:val="auto"/>
        </w:rPr>
        <w:t>  Yes, Thomson Reuters can be held responsible for the actions of the agents we hire. You must tell the agent from the start not to</w:t>
      </w:r>
    </w:p>
    <w:p>
      <w:pPr>
        <w:spacing w:after="0" w:line="26" w:lineRule="exact"/>
        <w:rPr>
          <w:sz w:val="20"/>
          <w:szCs w:val="20"/>
          <w:color w:val="auto"/>
        </w:rPr>
      </w:pPr>
    </w:p>
    <w:p>
      <w:pPr>
        <w:ind w:left="360" w:right="340"/>
        <w:spacing w:after="0"/>
        <w:rPr>
          <w:sz w:val="20"/>
          <w:szCs w:val="20"/>
          <w:color w:val="auto"/>
        </w:rPr>
      </w:pPr>
      <w:r>
        <w:rPr>
          <w:rFonts w:ascii="Arial" w:cs="Arial" w:eastAsia="Arial" w:hAnsi="Arial"/>
          <w:sz w:val="18"/>
          <w:szCs w:val="18"/>
          <w:color w:val="auto"/>
        </w:rPr>
        <w:t>give gifts to a public official. More importantly, before engaging such a person, it’s important to conduct due diligence on the agent and get a contractual assurance that no improper payments will be made on behalf of Thomson Reuters.</w:t>
      </w:r>
    </w:p>
    <w:p>
      <w:pPr>
        <w:spacing w:after="0" w:line="396" w:lineRule="exact"/>
        <w:rPr>
          <w:sz w:val="20"/>
          <w:szCs w:val="20"/>
          <w:color w:val="auto"/>
        </w:rPr>
      </w:pPr>
    </w:p>
    <w:p>
      <w:pPr>
        <w:spacing w:after="0"/>
        <w:rPr>
          <w:sz w:val="20"/>
          <w:szCs w:val="20"/>
          <w:color w:val="auto"/>
        </w:rPr>
      </w:pPr>
      <w:r>
        <w:rPr>
          <w:rFonts w:ascii="Arial" w:cs="Arial" w:eastAsia="Arial" w:hAnsi="Arial"/>
          <w:sz w:val="26"/>
          <w:szCs w:val="26"/>
          <w:i w:val="1"/>
          <w:iCs w:val="1"/>
          <w:color w:val="D64000"/>
        </w:rPr>
        <w:t>Sanctions, embargoes and export controls</w:t>
      </w:r>
    </w:p>
    <w:p>
      <w:pPr>
        <w:spacing w:after="0" w:line="182" w:lineRule="exact"/>
        <w:rPr>
          <w:sz w:val="20"/>
          <w:szCs w:val="20"/>
          <w:color w:val="auto"/>
        </w:rPr>
      </w:pPr>
    </w:p>
    <w:p>
      <w:pPr>
        <w:ind w:right="200"/>
        <w:spacing w:after="0" w:line="253" w:lineRule="auto"/>
        <w:rPr>
          <w:sz w:val="20"/>
          <w:szCs w:val="20"/>
          <w:color w:val="auto"/>
        </w:rPr>
      </w:pPr>
      <w:r>
        <w:rPr>
          <w:rFonts w:ascii="Arial" w:cs="Arial" w:eastAsia="Arial" w:hAnsi="Arial"/>
          <w:sz w:val="19"/>
          <w:szCs w:val="19"/>
          <w:color w:val="auto"/>
        </w:rPr>
        <w:t>Sanctions and export controls can be complex and ever changing. As a company known for its information and resources to enable our partners to navigate difficult legal questions, it is imperative we understand and abide by these laws and regulations. That is why we are committed to following sanctions and export compliance requirements applicable to us.</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This means we:</w:t>
      </w:r>
    </w:p>
    <w:p>
      <w:pPr>
        <w:spacing w:after="0" w:line="206" w:lineRule="exact"/>
        <w:rPr>
          <w:sz w:val="20"/>
          <w:szCs w:val="20"/>
          <w:color w:val="auto"/>
        </w:rPr>
      </w:pPr>
    </w:p>
    <w:p>
      <w:pPr>
        <w:jc w:val="both"/>
        <w:ind w:left="840" w:right="100" w:hanging="418"/>
        <w:spacing w:after="0" w:line="273" w:lineRule="auto"/>
        <w:tabs>
          <w:tab w:leader="none" w:pos="840" w:val="left"/>
        </w:tabs>
        <w:numPr>
          <w:ilvl w:val="0"/>
          <w:numId w:val="193"/>
        </w:numPr>
        <w:rPr>
          <w:rFonts w:ascii="Times New Roman" w:cs="Times New Roman" w:eastAsia="Times New Roman" w:hAnsi="Times New Roman"/>
          <w:sz w:val="18"/>
          <w:szCs w:val="18"/>
          <w:color w:val="D64000"/>
        </w:rPr>
      </w:pPr>
      <w:r>
        <w:rPr>
          <w:rFonts w:ascii="Arial" w:cs="Arial" w:eastAsia="Arial" w:hAnsi="Arial"/>
          <w:sz w:val="19"/>
          <w:szCs w:val="19"/>
          <w:color w:val="auto"/>
        </w:rPr>
        <w:t>Understand our individual roles when doing business in various parts of the world and with potential customers and business partners, including understanding which trade laws apply to our business activities and business partners</w:t>
      </w:r>
    </w:p>
    <w:p>
      <w:pPr>
        <w:spacing w:after="0" w:line="46" w:lineRule="exact"/>
        <w:rPr>
          <w:rFonts w:ascii="Times New Roman" w:cs="Times New Roman" w:eastAsia="Times New Roman" w:hAnsi="Times New Roman"/>
          <w:sz w:val="18"/>
          <w:szCs w:val="18"/>
          <w:color w:val="D64000"/>
        </w:rPr>
      </w:pPr>
    </w:p>
    <w:p>
      <w:pPr>
        <w:ind w:left="840" w:right="300" w:hanging="418"/>
        <w:spacing w:after="0" w:line="273" w:lineRule="auto"/>
        <w:tabs>
          <w:tab w:leader="none" w:pos="840" w:val="left"/>
        </w:tabs>
        <w:numPr>
          <w:ilvl w:val="0"/>
          <w:numId w:val="193"/>
        </w:numPr>
        <w:rPr>
          <w:rFonts w:ascii="Times New Roman" w:cs="Times New Roman" w:eastAsia="Times New Roman" w:hAnsi="Times New Roman"/>
          <w:sz w:val="18"/>
          <w:szCs w:val="18"/>
          <w:color w:val="D64000"/>
        </w:rPr>
      </w:pPr>
      <w:r>
        <w:rPr>
          <w:rFonts w:ascii="Arial" w:cs="Arial" w:eastAsia="Arial" w:hAnsi="Arial"/>
          <w:sz w:val="19"/>
          <w:szCs w:val="19"/>
          <w:color w:val="auto"/>
        </w:rPr>
        <w:t>Remain aware of embargoed countries and global sanctions requirements (see Trade Controls and Sanctions on the Intranet)</w:t>
      </w:r>
    </w:p>
    <w:p>
      <w:pPr>
        <w:spacing w:after="0" w:line="46"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193"/>
        </w:numPr>
        <w:rPr>
          <w:rFonts w:ascii="Times New Roman" w:cs="Times New Roman" w:eastAsia="Times New Roman" w:hAnsi="Times New Roman"/>
          <w:sz w:val="18"/>
          <w:szCs w:val="18"/>
          <w:color w:val="D64000"/>
        </w:rPr>
      </w:pPr>
      <w:r>
        <w:rPr>
          <w:rFonts w:ascii="Arial" w:cs="Arial" w:eastAsia="Arial" w:hAnsi="Arial"/>
          <w:sz w:val="19"/>
          <w:szCs w:val="19"/>
          <w:color w:val="auto"/>
        </w:rPr>
        <w:t>Conduct due diligence on customers, prospective customers, and other business partners.</w:t>
      </w:r>
    </w:p>
    <w:p>
      <w:pPr>
        <w:spacing w:after="0" w:line="112" w:lineRule="exact"/>
        <w:rPr>
          <w:rFonts w:ascii="Times New Roman" w:cs="Times New Roman" w:eastAsia="Times New Roman" w:hAnsi="Times New Roman"/>
          <w:sz w:val="18"/>
          <w:szCs w:val="18"/>
          <w:color w:val="D64000"/>
        </w:rPr>
      </w:pPr>
    </w:p>
    <w:p>
      <w:pPr>
        <w:ind w:left="840" w:right="420" w:hanging="418"/>
        <w:spacing w:after="0" w:line="253" w:lineRule="auto"/>
        <w:tabs>
          <w:tab w:leader="none" w:pos="840" w:val="left"/>
        </w:tabs>
        <w:numPr>
          <w:ilvl w:val="0"/>
          <w:numId w:val="193"/>
        </w:numPr>
        <w:rPr>
          <w:rFonts w:ascii="Times New Roman" w:cs="Times New Roman" w:eastAsia="Times New Roman" w:hAnsi="Times New Roman"/>
          <w:sz w:val="18"/>
          <w:szCs w:val="18"/>
          <w:color w:val="D64000"/>
        </w:rPr>
      </w:pPr>
      <w:r>
        <w:rPr>
          <w:rFonts w:ascii="Arial" w:cs="Arial" w:eastAsia="Arial" w:hAnsi="Arial"/>
          <w:sz w:val="19"/>
          <w:szCs w:val="19"/>
          <w:color w:val="auto"/>
        </w:rPr>
        <w:t>Screen customers, prospective customers, and other business partners, on a recurring basis, against sanctions lists, including those of the U.S. Department of Treasury’s Office of Foreign Assets Control (OFAC) (and lists maintained by other countries, using leading tools and technology</w:t>
      </w:r>
    </w:p>
    <w:p>
      <w:pPr>
        <w:spacing w:after="0" w:line="64"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193"/>
        </w:numPr>
        <w:rPr>
          <w:rFonts w:ascii="Times New Roman" w:cs="Times New Roman" w:eastAsia="Times New Roman" w:hAnsi="Times New Roman"/>
          <w:sz w:val="18"/>
          <w:szCs w:val="18"/>
          <w:color w:val="D64000"/>
        </w:rPr>
      </w:pPr>
      <w:r>
        <w:rPr>
          <w:rFonts w:ascii="Arial" w:cs="Arial" w:eastAsia="Arial" w:hAnsi="Arial"/>
          <w:sz w:val="19"/>
          <w:szCs w:val="19"/>
          <w:color w:val="auto"/>
        </w:rPr>
        <w:t>Do not conduct unauthorized business with a sanctioned organization or individual</w:t>
      </w:r>
    </w:p>
    <w:p>
      <w:pPr>
        <w:spacing w:after="0" w:line="112"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193"/>
        </w:numPr>
        <w:rPr>
          <w:rFonts w:ascii="Times New Roman" w:cs="Times New Roman" w:eastAsia="Times New Roman" w:hAnsi="Times New Roman"/>
          <w:sz w:val="18"/>
          <w:szCs w:val="18"/>
          <w:color w:val="D64000"/>
        </w:rPr>
      </w:pPr>
      <w:r>
        <w:rPr>
          <w:rFonts w:ascii="Arial" w:cs="Arial" w:eastAsia="Arial" w:hAnsi="Arial"/>
          <w:sz w:val="19"/>
          <w:szCs w:val="19"/>
          <w:color w:val="auto"/>
        </w:rPr>
        <w:t>Know the requirements and procedures for products or services we are exporting</w:t>
      </w:r>
    </w:p>
    <w:p>
      <w:pPr>
        <w:spacing w:after="0" w:line="206" w:lineRule="exact"/>
        <w:rPr>
          <w:sz w:val="20"/>
          <w:szCs w:val="20"/>
          <w:color w:val="auto"/>
        </w:rPr>
      </w:pPr>
    </w:p>
    <w:p>
      <w:pPr>
        <w:ind w:right="160"/>
        <w:spacing w:after="0" w:line="284" w:lineRule="auto"/>
        <w:rPr>
          <w:sz w:val="20"/>
          <w:szCs w:val="20"/>
          <w:color w:val="auto"/>
        </w:rPr>
      </w:pPr>
      <w:r>
        <w:rPr>
          <w:rFonts w:ascii="Arial" w:cs="Arial" w:eastAsia="Arial" w:hAnsi="Arial"/>
          <w:sz w:val="19"/>
          <w:szCs w:val="19"/>
          <w:color w:val="auto"/>
        </w:rPr>
        <w:t xml:space="preserve">Remain alert for and report suspicious business requests and payment activity. If you have any questions about sanctions or export controls, </w:t>
      </w:r>
      <w:r>
        <w:rPr>
          <w:rFonts w:ascii="Arial" w:cs="Arial" w:eastAsia="Arial" w:hAnsi="Arial"/>
          <w:sz w:val="19"/>
          <w:szCs w:val="19"/>
          <w:b w:val="1"/>
          <w:bCs w:val="1"/>
          <w:color w:val="1A7EE5"/>
        </w:rPr>
        <w:t>Seek Help</w:t>
      </w:r>
      <w:r>
        <w:rPr>
          <w:rFonts w:ascii="Arial" w:cs="Arial" w:eastAsia="Arial" w:hAnsi="Arial"/>
          <w:sz w:val="19"/>
          <w:szCs w:val="19"/>
          <w:b w:val="1"/>
          <w:bCs w:val="1"/>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b w:val="1"/>
          <w:bCs w:val="1"/>
          <w:color w:val="1A7EE5"/>
        </w:rPr>
        <w:t>Trade Controls Handbook and Policies on the Intranet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967740" cy="32829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4360"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26</w:t>
            </w:r>
          </w:p>
        </w:tc>
      </w:tr>
    </w:tbl>
    <w:p>
      <w:pPr>
        <w:sectPr>
          <w:pgSz w:w="11900" w:h="16838" w:orient="portrait"/>
          <w:cols w:equalWidth="0" w:num="1">
            <w:col w:w="10820"/>
          </w:cols>
          <w:pgMar w:left="540" w:top="1094" w:right="539" w:bottom="1440" w:gutter="0" w:footer="0" w:header="0"/>
        </w:sectPr>
      </w:pPr>
    </w:p>
    <w:bookmarkStart w:id="207" w:name="page208"/>
    <w:bookmarkEnd w:id="207"/>
    <w:p>
      <w:pPr>
        <w:spacing w:after="0"/>
        <w:rPr>
          <w:sz w:val="20"/>
          <w:szCs w:val="20"/>
          <w:color w:val="auto"/>
        </w:rPr>
      </w:pPr>
      <w:r>
        <w:rPr>
          <w:rFonts w:ascii="Arial" w:cs="Arial" w:eastAsia="Arial" w:hAnsi="Arial"/>
          <w:sz w:val="21"/>
          <w:szCs w:val="21"/>
          <w:b w:val="1"/>
          <w:bCs w:val="1"/>
          <w:i w:val="1"/>
          <w:iCs w:val="1"/>
          <w:color w:val="D64000"/>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6770" cy="38100"/>
                    </a:xfrm>
                    <a:prstGeom prst="rect">
                      <a:avLst/>
                    </a:prstGeom>
                    <a:noFill/>
                  </pic:spPr>
                </pic:pic>
              </a:graphicData>
            </a:graphic>
          </wp:anchor>
        </w:drawing>
        <w:drawing>
          <wp:anchor simplePos="0" relativeHeight="251657728" behindDoc="1" locked="0" layoutInCell="0" allowOverlap="1">
            <wp:simplePos x="0" y="0"/>
            <wp:positionH relativeFrom="page">
              <wp:posOffset>341630</wp:posOffset>
            </wp:positionH>
            <wp:positionV relativeFrom="page">
              <wp:posOffset>181610</wp:posOffset>
            </wp:positionV>
            <wp:extent cx="6899275" cy="186753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99275" cy="1867535"/>
                    </a:xfrm>
                    <a:prstGeom prst="rect">
                      <a:avLst/>
                    </a:prstGeom>
                    <a:noFill/>
                  </pic:spPr>
                </pic:pic>
              </a:graphicData>
            </a:graphic>
          </wp:anchor>
        </w:drawing>
        <w:t>  Connecting the dots</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auto"/>
        </w:rPr>
        <w:t>Q</w:t>
      </w:r>
      <w:r>
        <w:rPr>
          <w:rFonts w:ascii="Arial" w:cs="Arial" w:eastAsia="Arial" w:hAnsi="Arial"/>
          <w:sz w:val="17"/>
          <w:szCs w:val="17"/>
          <w:b w:val="1"/>
          <w:bCs w:val="1"/>
          <w:color w:val="auto"/>
        </w:rPr>
        <w:t>  Recently, one of my customers asked whether some employees in their organization who work in a sanctioned country</w:t>
      </w:r>
    </w:p>
    <w:p>
      <w:pPr>
        <w:spacing w:after="0" w:line="26" w:lineRule="exact"/>
        <w:rPr>
          <w:sz w:val="20"/>
          <w:szCs w:val="20"/>
          <w:color w:val="auto"/>
        </w:rPr>
      </w:pPr>
    </w:p>
    <w:p>
      <w:pPr>
        <w:ind w:left="360" w:right="160"/>
        <w:spacing w:after="0" w:line="252" w:lineRule="auto"/>
        <w:rPr>
          <w:sz w:val="20"/>
          <w:szCs w:val="20"/>
          <w:color w:val="auto"/>
        </w:rPr>
      </w:pPr>
      <w:r>
        <w:rPr>
          <w:rFonts w:ascii="Arial" w:cs="Arial" w:eastAsia="Arial" w:hAnsi="Arial"/>
          <w:sz w:val="18"/>
          <w:szCs w:val="18"/>
          <w:b w:val="1"/>
          <w:bCs w:val="1"/>
          <w:color w:val="auto"/>
        </w:rPr>
        <w:t>could subscribe to one of our online software products. Can we add them as subscribers since we wouldn’t be exporting a physical product?</w:t>
      </w:r>
    </w:p>
    <w:p>
      <w:pPr>
        <w:spacing w:after="0" w:line="140" w:lineRule="exact"/>
        <w:rPr>
          <w:sz w:val="20"/>
          <w:szCs w:val="20"/>
          <w:color w:val="auto"/>
        </w:rPr>
      </w:pPr>
    </w:p>
    <w:p>
      <w:pPr>
        <w:ind w:left="360" w:right="1000" w:hanging="264"/>
        <w:spacing w:after="0" w:line="224" w:lineRule="auto"/>
        <w:rPr>
          <w:sz w:val="20"/>
          <w:szCs w:val="20"/>
          <w:color w:val="auto"/>
        </w:rPr>
      </w:pPr>
      <w:r>
        <w:rPr>
          <w:rFonts w:ascii="Arial" w:cs="Arial" w:eastAsia="Arial" w:hAnsi="Arial"/>
          <w:sz w:val="25"/>
          <w:szCs w:val="25"/>
          <w:b w:val="1"/>
          <w:bCs w:val="1"/>
          <w:color w:val="auto"/>
        </w:rPr>
        <w:t>A</w:t>
      </w:r>
      <w:r>
        <w:rPr>
          <w:rFonts w:ascii="Arial" w:cs="Arial" w:eastAsia="Arial" w:hAnsi="Arial"/>
          <w:sz w:val="17"/>
          <w:szCs w:val="17"/>
          <w:color w:val="auto"/>
        </w:rPr>
        <w:t>  Most likely not. Export controls cover software as well as hardware and equipment. It also appears your customer may be</w:t>
      </w:r>
      <w:r>
        <w:rPr>
          <w:rFonts w:ascii="Arial" w:cs="Arial" w:eastAsia="Arial" w:hAnsi="Arial"/>
          <w:sz w:val="25"/>
          <w:szCs w:val="25"/>
          <w:b w:val="1"/>
          <w:bCs w:val="1"/>
          <w:color w:val="auto"/>
        </w:rPr>
        <w:t xml:space="preserve"> </w:t>
      </w:r>
      <w:r>
        <w:rPr>
          <w:rFonts w:ascii="Arial" w:cs="Arial" w:eastAsia="Arial" w:hAnsi="Arial"/>
          <w:sz w:val="17"/>
          <w:szCs w:val="17"/>
          <w:color w:val="auto"/>
        </w:rPr>
        <w:t xml:space="preserve">representing individuals or entities from that sanctioned country </w:t>
      </w:r>
      <w:r>
        <w:rPr>
          <w:rFonts w:ascii="Arial" w:cs="Arial" w:eastAsia="Arial" w:hAnsi="Arial"/>
          <w:sz w:val="17"/>
          <w:szCs w:val="17"/>
          <w:b w:val="1"/>
          <w:bCs w:val="1"/>
          <w:color w:val="1A7EE5"/>
        </w:rPr>
        <w:t>Seek Help</w:t>
      </w:r>
      <w:r>
        <w:rPr>
          <w:rFonts w:ascii="Arial" w:cs="Arial" w:eastAsia="Arial" w:hAnsi="Arial"/>
          <w:sz w:val="17"/>
          <w:szCs w:val="17"/>
          <w:color w:val="auto"/>
        </w:rPr>
        <w:t xml:space="preserve"> before taking any action.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6"/>
          <w:szCs w:val="26"/>
          <w:i w:val="1"/>
          <w:iCs w:val="1"/>
          <w:color w:val="D64000"/>
        </w:rPr>
        <w:t>Anti-money laundering</w:t>
      </w:r>
    </w:p>
    <w:p>
      <w:pPr>
        <w:spacing w:after="0" w:line="222" w:lineRule="exact"/>
        <w:rPr>
          <w:sz w:val="20"/>
          <w:szCs w:val="20"/>
          <w:color w:val="auto"/>
        </w:rPr>
      </w:pPr>
    </w:p>
    <w:p>
      <w:pPr>
        <w:ind w:right="100"/>
        <w:spacing w:after="0" w:line="246" w:lineRule="auto"/>
        <w:rPr>
          <w:sz w:val="20"/>
          <w:szCs w:val="20"/>
          <w:color w:val="auto"/>
        </w:rPr>
      </w:pPr>
      <w:r>
        <w:rPr>
          <w:rFonts w:ascii="Arial" w:cs="Arial" w:eastAsia="Arial" w:hAnsi="Arial"/>
          <w:sz w:val="19"/>
          <w:szCs w:val="19"/>
          <w:color w:val="auto"/>
        </w:rPr>
        <w:t>Money laundering is the process by which funds generated through criminal activity (such as terrorism, drug dealing or fraud) are processed through commercial transactions in order to hide the source of the proceeds, avoid reporting requirements or evade taxes. We follow all anti-money- laundering and anti-terrorist financing laws that are applicable to us and do not condone or facilitate money laundering. This means we:</w:t>
      </w:r>
    </w:p>
    <w:p>
      <w:pPr>
        <w:spacing w:after="0" w:line="191" w:lineRule="exact"/>
        <w:rPr>
          <w:sz w:val="20"/>
          <w:szCs w:val="20"/>
          <w:color w:val="auto"/>
        </w:rPr>
      </w:pPr>
    </w:p>
    <w:p>
      <w:pPr>
        <w:ind w:left="840" w:right="80" w:hanging="418"/>
        <w:spacing w:after="0" w:line="247" w:lineRule="auto"/>
        <w:tabs>
          <w:tab w:leader="none" w:pos="840" w:val="left"/>
        </w:tabs>
        <w:numPr>
          <w:ilvl w:val="0"/>
          <w:numId w:val="194"/>
        </w:numPr>
        <w:rPr>
          <w:rFonts w:ascii="Times New Roman" w:cs="Times New Roman" w:eastAsia="Times New Roman" w:hAnsi="Times New Roman"/>
          <w:sz w:val="18"/>
          <w:szCs w:val="18"/>
          <w:color w:val="D64000"/>
        </w:rPr>
      </w:pPr>
      <w:r>
        <w:rPr>
          <w:rFonts w:ascii="Arial" w:cs="Arial" w:eastAsia="Arial" w:hAnsi="Arial"/>
          <w:sz w:val="19"/>
          <w:szCs w:val="19"/>
          <w:color w:val="auto"/>
        </w:rPr>
        <w:t>Emphasize the importance of knowing and understanding whom we deal with (“know your customer”), remain alert for possible instances of money laundering and immediately notify the Enterprise Compliance team of any suspicious activity (without informing the third party in question). Suspicious activity by customers or prospects may include:</w:t>
      </w:r>
    </w:p>
    <w:p>
      <w:pPr>
        <w:spacing w:after="0" w:line="217" w:lineRule="exact"/>
        <w:rPr>
          <w:rFonts w:ascii="Times New Roman" w:cs="Times New Roman" w:eastAsia="Times New Roman" w:hAnsi="Times New Roman"/>
          <w:sz w:val="18"/>
          <w:szCs w:val="18"/>
          <w:color w:val="D64000"/>
        </w:rPr>
      </w:pPr>
    </w:p>
    <w:p>
      <w:pPr>
        <w:ind w:left="1600" w:hanging="423"/>
        <w:spacing w:after="0"/>
        <w:tabs>
          <w:tab w:leader="none" w:pos="1600" w:val="left"/>
        </w:tabs>
        <w:numPr>
          <w:ilvl w:val="1"/>
          <w:numId w:val="194"/>
        </w:numPr>
        <w:rPr>
          <w:rFonts w:ascii="Times New Roman" w:cs="Times New Roman" w:eastAsia="Times New Roman" w:hAnsi="Times New Roman"/>
          <w:sz w:val="18"/>
          <w:szCs w:val="18"/>
          <w:color w:val="D64000"/>
        </w:rPr>
      </w:pPr>
      <w:r>
        <w:rPr>
          <w:rFonts w:ascii="Arial" w:cs="Arial" w:eastAsia="Arial" w:hAnsi="Arial"/>
          <w:sz w:val="19"/>
          <w:szCs w:val="19"/>
          <w:color w:val="auto"/>
        </w:rPr>
        <w:t>Reluctance to provide basic information or documentation or providing false information or documentation</w:t>
      </w:r>
    </w:p>
    <w:p>
      <w:pPr>
        <w:spacing w:after="0" w:line="33" w:lineRule="exact"/>
        <w:rPr>
          <w:rFonts w:ascii="Times New Roman" w:cs="Times New Roman" w:eastAsia="Times New Roman" w:hAnsi="Times New Roman"/>
          <w:sz w:val="18"/>
          <w:szCs w:val="18"/>
          <w:color w:val="D64000"/>
        </w:rPr>
      </w:pPr>
    </w:p>
    <w:p>
      <w:pPr>
        <w:ind w:left="1600" w:right="820" w:hanging="423"/>
        <w:spacing w:after="0" w:line="254" w:lineRule="auto"/>
        <w:tabs>
          <w:tab w:leader="none" w:pos="1600" w:val="left"/>
        </w:tabs>
        <w:numPr>
          <w:ilvl w:val="1"/>
          <w:numId w:val="194"/>
        </w:numPr>
        <w:rPr>
          <w:rFonts w:ascii="Times New Roman" w:cs="Times New Roman" w:eastAsia="Times New Roman" w:hAnsi="Times New Roman"/>
          <w:sz w:val="18"/>
          <w:szCs w:val="18"/>
          <w:color w:val="D64000"/>
        </w:rPr>
      </w:pPr>
      <w:r>
        <w:rPr>
          <w:rFonts w:ascii="Arial" w:cs="Arial" w:eastAsia="Arial" w:hAnsi="Arial"/>
          <w:sz w:val="19"/>
          <w:szCs w:val="19"/>
          <w:color w:val="auto"/>
        </w:rPr>
        <w:t>Using shell companies (companies without a business purpose) or complex or unusual structures, particularly within multiple high-risk jurisdictions</w:t>
      </w:r>
    </w:p>
    <w:p>
      <w:pPr>
        <w:spacing w:after="0" w:line="1" w:lineRule="exact"/>
        <w:rPr>
          <w:rFonts w:ascii="Times New Roman" w:cs="Times New Roman" w:eastAsia="Times New Roman" w:hAnsi="Times New Roman"/>
          <w:sz w:val="18"/>
          <w:szCs w:val="18"/>
          <w:color w:val="D64000"/>
        </w:rPr>
      </w:pPr>
    </w:p>
    <w:p>
      <w:pPr>
        <w:ind w:left="1600" w:hanging="423"/>
        <w:spacing w:after="0"/>
        <w:tabs>
          <w:tab w:leader="none" w:pos="1600" w:val="left"/>
        </w:tabs>
        <w:numPr>
          <w:ilvl w:val="1"/>
          <w:numId w:val="194"/>
        </w:numPr>
        <w:rPr>
          <w:rFonts w:ascii="Times New Roman" w:cs="Times New Roman" w:eastAsia="Times New Roman" w:hAnsi="Times New Roman"/>
          <w:sz w:val="18"/>
          <w:szCs w:val="18"/>
          <w:color w:val="D64000"/>
        </w:rPr>
      </w:pPr>
      <w:r>
        <w:rPr>
          <w:rFonts w:ascii="Arial" w:cs="Arial" w:eastAsia="Arial" w:hAnsi="Arial"/>
          <w:sz w:val="19"/>
          <w:szCs w:val="19"/>
          <w:color w:val="auto"/>
        </w:rPr>
        <w:t>Requesting Thomson Reuters to provide them secrecy</w:t>
      </w:r>
    </w:p>
    <w:p>
      <w:pPr>
        <w:spacing w:after="0" w:line="33" w:lineRule="exact"/>
        <w:rPr>
          <w:rFonts w:ascii="Times New Roman" w:cs="Times New Roman" w:eastAsia="Times New Roman" w:hAnsi="Times New Roman"/>
          <w:sz w:val="18"/>
          <w:szCs w:val="18"/>
          <w:color w:val="D64000"/>
        </w:rPr>
      </w:pPr>
    </w:p>
    <w:p>
      <w:pPr>
        <w:ind w:left="840" w:right="320" w:hanging="418"/>
        <w:spacing w:after="0" w:line="269" w:lineRule="auto"/>
        <w:tabs>
          <w:tab w:leader="none" w:pos="840" w:val="left"/>
        </w:tabs>
        <w:numPr>
          <w:ilvl w:val="0"/>
          <w:numId w:val="194"/>
        </w:numPr>
        <w:rPr>
          <w:rFonts w:ascii="Times New Roman" w:cs="Times New Roman" w:eastAsia="Times New Roman" w:hAnsi="Times New Roman"/>
          <w:sz w:val="18"/>
          <w:szCs w:val="18"/>
          <w:color w:val="D64000"/>
        </w:rPr>
      </w:pPr>
      <w:r>
        <w:rPr>
          <w:rFonts w:ascii="Arial" w:cs="Arial" w:eastAsia="Arial" w:hAnsi="Arial"/>
          <w:sz w:val="19"/>
          <w:szCs w:val="19"/>
          <w:color w:val="auto"/>
        </w:rPr>
        <w:t>Recognize that our regulated entities have enhanced obligations and those of us working in or on behalf of those businesses must make sure we understand and comply with these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61595</wp:posOffset>
            </wp:positionV>
            <wp:extent cx="967740" cy="32829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361" w:lineRule="exact"/>
        <w:rPr>
          <w:sz w:val="20"/>
          <w:szCs w:val="20"/>
          <w:color w:val="auto"/>
        </w:rPr>
      </w:pPr>
    </w:p>
    <w:tbl>
      <w:tblPr>
        <w:tblLayout w:type="fixed"/>
        <w:tblInd w:w="4360"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27</w:t>
            </w:r>
          </w:p>
        </w:tc>
      </w:tr>
    </w:tbl>
    <w:p>
      <w:pPr>
        <w:sectPr>
          <w:pgSz w:w="11900" w:h="16838" w:orient="portrait"/>
          <w:cols w:equalWidth="0" w:num="1">
            <w:col w:w="10820"/>
          </w:cols>
          <w:pgMar w:left="540" w:top="1120" w:right="539" w:bottom="1440" w:gutter="0" w:footer="0" w:header="0"/>
        </w:sectPr>
      </w:pPr>
    </w:p>
    <w:bookmarkStart w:id="208" w:name="page209"/>
    <w:bookmarkEnd w:id="2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02895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6770" cy="302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35"/>
          <w:szCs w:val="35"/>
          <w:b w:val="1"/>
          <w:bCs w:val="1"/>
          <w:color w:val="D64000"/>
        </w:rPr>
        <w:t>Responsible use of AI</w:t>
      </w:r>
    </w:p>
    <w:p>
      <w:pPr>
        <w:spacing w:after="0" w:line="332"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We are trusted to…</w:t>
      </w:r>
    </w:p>
    <w:p>
      <w:pPr>
        <w:spacing w:after="0" w:line="232" w:lineRule="exact"/>
        <w:rPr>
          <w:sz w:val="20"/>
          <w:szCs w:val="20"/>
          <w:color w:val="auto"/>
        </w:rPr>
      </w:pPr>
    </w:p>
    <w:p>
      <w:pPr>
        <w:ind w:right="880"/>
        <w:spacing w:after="0" w:line="273" w:lineRule="auto"/>
        <w:rPr>
          <w:sz w:val="20"/>
          <w:szCs w:val="20"/>
          <w:color w:val="auto"/>
        </w:rPr>
      </w:pPr>
      <w:r>
        <w:rPr>
          <w:rFonts w:ascii="Arial" w:cs="Arial" w:eastAsia="Arial" w:hAnsi="Arial"/>
          <w:sz w:val="19"/>
          <w:szCs w:val="19"/>
          <w:i w:val="1"/>
          <w:iCs w:val="1"/>
          <w:color w:val="auto"/>
        </w:rPr>
        <w:t>…ethically and responsibly design, develop, deploy and use artificial intelligence (AI) solutions, whether internally, in partnership with a third party or in the service of a customer.</w:t>
      </w:r>
    </w:p>
    <w:p>
      <w:pPr>
        <w:spacing w:after="0" w:line="128"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Why it matters</w:t>
      </w:r>
    </w:p>
    <w:p>
      <w:pPr>
        <w:spacing w:after="0" w:line="232" w:lineRule="exact"/>
        <w:rPr>
          <w:sz w:val="20"/>
          <w:szCs w:val="20"/>
          <w:color w:val="auto"/>
        </w:rPr>
      </w:pPr>
    </w:p>
    <w:p>
      <w:pPr>
        <w:ind w:right="80"/>
        <w:spacing w:after="0" w:line="258" w:lineRule="auto"/>
        <w:rPr>
          <w:sz w:val="20"/>
          <w:szCs w:val="20"/>
          <w:color w:val="auto"/>
        </w:rPr>
      </w:pPr>
      <w:r>
        <w:rPr>
          <w:rFonts w:ascii="Arial" w:cs="Arial" w:eastAsia="Arial" w:hAnsi="Arial"/>
          <w:sz w:val="19"/>
          <w:szCs w:val="19"/>
          <w:color w:val="auto"/>
        </w:rPr>
        <w:t xml:space="preserve">Thomson Reuters is committed to inform the way forward by embracing the many opportunities AI presents while recognizing the unique challenges and risks. As the landscape of AI evolves, it will challenge our ways of thinking and our ways of working. What must not change is our commitment to our </w:t>
      </w:r>
      <w:r>
        <w:rPr>
          <w:rFonts w:ascii="Arial" w:cs="Arial" w:eastAsia="Arial" w:hAnsi="Arial"/>
          <w:sz w:val="19"/>
          <w:szCs w:val="19"/>
          <w:b w:val="1"/>
          <w:bCs w:val="1"/>
          <w:color w:val="1A7EE5"/>
        </w:rPr>
        <w:t>Trust Principles</w:t>
      </w:r>
      <w:r>
        <w:rPr>
          <w:rFonts w:ascii="Arial" w:cs="Arial" w:eastAsia="Arial" w:hAnsi="Arial"/>
          <w:sz w:val="19"/>
          <w:szCs w:val="19"/>
          <w:color w:val="auto"/>
        </w:rPr>
        <w:t xml:space="preserve"> and our </w:t>
      </w:r>
      <w:r>
        <w:rPr>
          <w:rFonts w:ascii="Arial" w:cs="Arial" w:eastAsia="Arial" w:hAnsi="Arial"/>
          <w:sz w:val="19"/>
          <w:szCs w:val="19"/>
          <w:b w:val="1"/>
          <w:bCs w:val="1"/>
          <w:color w:val="1A7EE5"/>
        </w:rPr>
        <w:t>Data and AI Ethics Principles</w:t>
      </w:r>
      <w:r>
        <w:rPr>
          <w:rFonts w:ascii="Arial" w:cs="Arial" w:eastAsia="Arial" w:hAnsi="Arial"/>
          <w:sz w:val="19"/>
          <w:szCs w:val="19"/>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How we deliver</w:t>
      </w:r>
    </w:p>
    <w:p>
      <w:pPr>
        <w:spacing w:after="0" w:line="228" w:lineRule="exact"/>
        <w:rPr>
          <w:sz w:val="20"/>
          <w:szCs w:val="20"/>
          <w:color w:val="auto"/>
        </w:rPr>
      </w:pPr>
    </w:p>
    <w:p>
      <w:pPr>
        <w:spacing w:after="0"/>
        <w:rPr>
          <w:sz w:val="20"/>
          <w:szCs w:val="20"/>
          <w:color w:val="auto"/>
        </w:rPr>
      </w:pPr>
      <w:r>
        <w:rPr>
          <w:rFonts w:ascii="Arial" w:cs="Arial" w:eastAsia="Arial" w:hAnsi="Arial"/>
          <w:sz w:val="26"/>
          <w:szCs w:val="26"/>
          <w:i w:val="1"/>
          <w:iCs w:val="1"/>
          <w:color w:val="D64000"/>
        </w:rPr>
        <w:t>Data and AI Ethics Principles</w:t>
      </w:r>
    </w:p>
    <w:p>
      <w:pPr>
        <w:spacing w:after="0" w:line="182" w:lineRule="exact"/>
        <w:rPr>
          <w:sz w:val="20"/>
          <w:szCs w:val="20"/>
          <w:color w:val="auto"/>
        </w:rPr>
      </w:pPr>
    </w:p>
    <w:p>
      <w:pPr>
        <w:ind w:right="1000"/>
        <w:spacing w:after="0" w:line="273" w:lineRule="auto"/>
        <w:rPr>
          <w:sz w:val="20"/>
          <w:szCs w:val="20"/>
          <w:color w:val="auto"/>
        </w:rPr>
      </w:pPr>
      <w:r>
        <w:rPr>
          <w:rFonts w:ascii="Arial" w:cs="Arial" w:eastAsia="Arial" w:hAnsi="Arial"/>
          <w:sz w:val="19"/>
          <w:szCs w:val="19"/>
          <w:color w:val="auto"/>
        </w:rPr>
        <w:t>We will responsibly deploy artificial intelligence solutions governed by our Data and AI Ethics Principles to promote trustworthiness in our continuous design, development, and deployment of AI and our use of data, as follows:</w:t>
      </w:r>
    </w:p>
    <w:p>
      <w:pPr>
        <w:spacing w:after="0" w:line="165" w:lineRule="exact"/>
        <w:rPr>
          <w:sz w:val="20"/>
          <w:szCs w:val="20"/>
          <w:color w:val="auto"/>
        </w:rPr>
      </w:pPr>
    </w:p>
    <w:p>
      <w:pPr>
        <w:ind w:left="740" w:hanging="318"/>
        <w:spacing w:after="0"/>
        <w:tabs>
          <w:tab w:leader="none" w:pos="740" w:val="left"/>
        </w:tabs>
        <w:numPr>
          <w:ilvl w:val="0"/>
          <w:numId w:val="195"/>
        </w:numPr>
        <w:rPr>
          <w:rFonts w:ascii="Arial" w:cs="Arial" w:eastAsia="Arial" w:hAnsi="Arial"/>
          <w:sz w:val="19"/>
          <w:szCs w:val="19"/>
          <w:color w:val="D64000"/>
        </w:rPr>
      </w:pPr>
      <w:r>
        <w:rPr>
          <w:rFonts w:ascii="Arial" w:cs="Arial" w:eastAsia="Arial" w:hAnsi="Arial"/>
          <w:sz w:val="19"/>
          <w:szCs w:val="19"/>
          <w:color w:val="auto"/>
        </w:rPr>
        <w:t>That Thomson Reuters use of data and AI are informed by our Trust Principles.</w:t>
      </w:r>
    </w:p>
    <w:p>
      <w:pPr>
        <w:spacing w:after="0" w:line="37" w:lineRule="exact"/>
        <w:rPr>
          <w:rFonts w:ascii="Arial" w:cs="Arial" w:eastAsia="Arial" w:hAnsi="Arial"/>
          <w:sz w:val="19"/>
          <w:szCs w:val="19"/>
          <w:color w:val="D64000"/>
        </w:rPr>
      </w:pPr>
    </w:p>
    <w:p>
      <w:pPr>
        <w:ind w:left="740" w:right="180" w:hanging="318"/>
        <w:spacing w:after="0" w:line="254" w:lineRule="auto"/>
        <w:tabs>
          <w:tab w:leader="none" w:pos="740" w:val="left"/>
        </w:tabs>
        <w:numPr>
          <w:ilvl w:val="0"/>
          <w:numId w:val="195"/>
        </w:numPr>
        <w:rPr>
          <w:rFonts w:ascii="Arial" w:cs="Arial" w:eastAsia="Arial" w:hAnsi="Arial"/>
          <w:sz w:val="19"/>
          <w:szCs w:val="19"/>
          <w:color w:val="D64000"/>
        </w:rPr>
      </w:pPr>
      <w:r>
        <w:rPr>
          <w:rFonts w:ascii="Arial" w:cs="Arial" w:eastAsia="Arial" w:hAnsi="Arial"/>
          <w:sz w:val="19"/>
          <w:szCs w:val="19"/>
          <w:color w:val="auto"/>
        </w:rPr>
        <w:t>That Thomson Reuters will strive to partner with individuals and organizations who share similar ethical approaches to our own regarding the use of data, content, and AI.</w:t>
      </w:r>
    </w:p>
    <w:p>
      <w:pPr>
        <w:spacing w:after="0" w:line="1" w:lineRule="exact"/>
        <w:rPr>
          <w:rFonts w:ascii="Arial" w:cs="Arial" w:eastAsia="Arial" w:hAnsi="Arial"/>
          <w:sz w:val="19"/>
          <w:szCs w:val="19"/>
          <w:color w:val="D64000"/>
        </w:rPr>
      </w:pPr>
    </w:p>
    <w:p>
      <w:pPr>
        <w:ind w:left="740" w:right="120" w:hanging="318"/>
        <w:spacing w:after="0" w:line="254" w:lineRule="auto"/>
        <w:tabs>
          <w:tab w:leader="none" w:pos="740" w:val="left"/>
        </w:tabs>
        <w:numPr>
          <w:ilvl w:val="0"/>
          <w:numId w:val="195"/>
        </w:numPr>
        <w:rPr>
          <w:rFonts w:ascii="Arial" w:cs="Arial" w:eastAsia="Arial" w:hAnsi="Arial"/>
          <w:sz w:val="19"/>
          <w:szCs w:val="19"/>
          <w:color w:val="D64000"/>
        </w:rPr>
      </w:pPr>
      <w:r>
        <w:rPr>
          <w:rFonts w:ascii="Arial" w:cs="Arial" w:eastAsia="Arial" w:hAnsi="Arial"/>
          <w:sz w:val="19"/>
          <w:szCs w:val="19"/>
          <w:color w:val="auto"/>
        </w:rPr>
        <w:t>That Thomson Reuters will prioritize security and privacy in our use of data and throughout the design, development and deployment of our data and AI products and services.</w:t>
      </w:r>
    </w:p>
    <w:p>
      <w:pPr>
        <w:spacing w:after="0" w:line="1" w:lineRule="exact"/>
        <w:rPr>
          <w:rFonts w:ascii="Arial" w:cs="Arial" w:eastAsia="Arial" w:hAnsi="Arial"/>
          <w:sz w:val="19"/>
          <w:szCs w:val="19"/>
          <w:color w:val="D64000"/>
        </w:rPr>
      </w:pPr>
    </w:p>
    <w:p>
      <w:pPr>
        <w:ind w:left="740" w:right="420" w:hanging="318"/>
        <w:spacing w:after="0" w:line="269" w:lineRule="auto"/>
        <w:tabs>
          <w:tab w:leader="none" w:pos="740" w:val="left"/>
        </w:tabs>
        <w:numPr>
          <w:ilvl w:val="0"/>
          <w:numId w:val="195"/>
        </w:numPr>
        <w:rPr>
          <w:rFonts w:ascii="Arial" w:cs="Arial" w:eastAsia="Arial" w:hAnsi="Arial"/>
          <w:sz w:val="19"/>
          <w:szCs w:val="19"/>
          <w:color w:val="D64000"/>
        </w:rPr>
      </w:pPr>
      <w:r>
        <w:rPr>
          <w:rFonts w:ascii="Arial" w:cs="Arial" w:eastAsia="Arial" w:hAnsi="Arial"/>
          <w:sz w:val="19"/>
          <w:szCs w:val="19"/>
          <w:color w:val="auto"/>
        </w:rPr>
        <w:t>That Thomson Reuters will strive to maintain meaningful human involvement, and design, develop and deploy AI products and services and use data in a manner that treats people fairly.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61595</wp:posOffset>
            </wp:positionV>
            <wp:extent cx="967740" cy="32829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361" w:lineRule="exact"/>
        <w:rPr>
          <w:sz w:val="20"/>
          <w:szCs w:val="20"/>
          <w:color w:val="auto"/>
        </w:rPr>
      </w:pPr>
    </w:p>
    <w:tbl>
      <w:tblPr>
        <w:tblLayout w:type="fixed"/>
        <w:tblInd w:w="4360"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28</w:t>
            </w:r>
          </w:p>
        </w:tc>
      </w:tr>
    </w:tbl>
    <w:p>
      <w:pPr>
        <w:sectPr>
          <w:pgSz w:w="11900" w:h="16838" w:orient="portrait"/>
          <w:cols w:equalWidth="0" w:num="1">
            <w:col w:w="10820"/>
          </w:cols>
          <w:pgMar w:left="540" w:top="1440" w:right="539" w:bottom="1440" w:gutter="0" w:footer="0" w:header="0"/>
        </w:sectPr>
      </w:pPr>
    </w:p>
    <w:bookmarkStart w:id="209" w:name="page210"/>
    <w:bookmarkEnd w:id="209"/>
    <w:p>
      <w:pPr>
        <w:ind w:left="740" w:right="700" w:hanging="318"/>
        <w:spacing w:after="0" w:line="256" w:lineRule="auto"/>
        <w:tabs>
          <w:tab w:leader="none" w:pos="740" w:val="left"/>
        </w:tabs>
        <w:numPr>
          <w:ilvl w:val="0"/>
          <w:numId w:val="196"/>
        </w:numPr>
        <w:rPr>
          <w:rFonts w:ascii="Arial" w:cs="Arial" w:eastAsia="Arial" w:hAnsi="Arial"/>
          <w:sz w:val="19"/>
          <w:szCs w:val="19"/>
          <w:color w:val="D64000"/>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That Thomson Reuters aims to use data and to design, develop and deploy AI products and services that are reliable, consistent and empower socially responsible decisions.</w:t>
      </w:r>
    </w:p>
    <w:p>
      <w:pPr>
        <w:spacing w:after="0" w:line="1" w:lineRule="exact"/>
        <w:rPr>
          <w:rFonts w:ascii="Arial" w:cs="Arial" w:eastAsia="Arial" w:hAnsi="Arial"/>
          <w:sz w:val="19"/>
          <w:szCs w:val="19"/>
          <w:color w:val="D64000"/>
        </w:rPr>
      </w:pPr>
    </w:p>
    <w:p>
      <w:pPr>
        <w:ind w:left="740" w:right="140" w:hanging="318"/>
        <w:spacing w:after="0" w:line="254" w:lineRule="auto"/>
        <w:tabs>
          <w:tab w:leader="none" w:pos="740" w:val="left"/>
        </w:tabs>
        <w:numPr>
          <w:ilvl w:val="0"/>
          <w:numId w:val="196"/>
        </w:numPr>
        <w:rPr>
          <w:rFonts w:ascii="Arial" w:cs="Arial" w:eastAsia="Arial" w:hAnsi="Arial"/>
          <w:sz w:val="19"/>
          <w:szCs w:val="19"/>
          <w:color w:val="D64000"/>
        </w:rPr>
      </w:pPr>
      <w:r>
        <w:rPr>
          <w:rFonts w:ascii="Arial" w:cs="Arial" w:eastAsia="Arial" w:hAnsi="Arial"/>
          <w:sz w:val="19"/>
          <w:szCs w:val="19"/>
          <w:color w:val="auto"/>
        </w:rPr>
        <w:t>That Thomson Reuters will implement and maintain appropriate accountability measures for our use of data and our AI products and services.</w:t>
      </w:r>
    </w:p>
    <w:p>
      <w:pPr>
        <w:spacing w:after="0" w:line="1" w:lineRule="exact"/>
        <w:rPr>
          <w:rFonts w:ascii="Arial" w:cs="Arial" w:eastAsia="Arial" w:hAnsi="Arial"/>
          <w:sz w:val="19"/>
          <w:szCs w:val="19"/>
          <w:color w:val="D64000"/>
        </w:rPr>
      </w:pPr>
    </w:p>
    <w:p>
      <w:pPr>
        <w:ind w:left="740" w:right="780" w:hanging="318"/>
        <w:spacing w:after="0" w:line="254" w:lineRule="auto"/>
        <w:tabs>
          <w:tab w:leader="none" w:pos="740" w:val="left"/>
        </w:tabs>
        <w:numPr>
          <w:ilvl w:val="0"/>
          <w:numId w:val="196"/>
        </w:numPr>
        <w:rPr>
          <w:rFonts w:ascii="Arial" w:cs="Arial" w:eastAsia="Arial" w:hAnsi="Arial"/>
          <w:sz w:val="19"/>
          <w:szCs w:val="19"/>
          <w:color w:val="D64000"/>
        </w:rPr>
      </w:pPr>
      <w:r>
        <w:rPr>
          <w:rFonts w:ascii="Arial" w:cs="Arial" w:eastAsia="Arial" w:hAnsi="Arial"/>
          <w:sz w:val="19"/>
          <w:szCs w:val="19"/>
          <w:color w:val="auto"/>
        </w:rPr>
        <w:t>That Thomson Reuters will implement practices intended to make the use of data and AI in our products and services understandable.</w:t>
      </w:r>
    </w:p>
    <w:p>
      <w:pPr>
        <w:spacing w:after="0" w:line="1" w:lineRule="exact"/>
        <w:rPr>
          <w:rFonts w:ascii="Arial" w:cs="Arial" w:eastAsia="Arial" w:hAnsi="Arial"/>
          <w:sz w:val="19"/>
          <w:szCs w:val="19"/>
          <w:color w:val="D64000"/>
        </w:rPr>
      </w:pPr>
    </w:p>
    <w:p>
      <w:pPr>
        <w:ind w:left="740" w:right="180" w:hanging="318"/>
        <w:spacing w:after="0" w:line="269" w:lineRule="auto"/>
        <w:tabs>
          <w:tab w:leader="none" w:pos="740" w:val="left"/>
        </w:tabs>
        <w:numPr>
          <w:ilvl w:val="0"/>
          <w:numId w:val="196"/>
        </w:numPr>
        <w:rPr>
          <w:rFonts w:ascii="Arial" w:cs="Arial" w:eastAsia="Arial" w:hAnsi="Arial"/>
          <w:sz w:val="19"/>
          <w:szCs w:val="19"/>
          <w:color w:val="D64000"/>
        </w:rPr>
      </w:pPr>
      <w:r>
        <w:rPr>
          <w:rFonts w:ascii="Arial" w:cs="Arial" w:eastAsia="Arial" w:hAnsi="Arial"/>
          <w:sz w:val="19"/>
          <w:szCs w:val="19"/>
          <w:color w:val="auto"/>
        </w:rPr>
        <w:t>Thomson Reuters will use employee data to ensure a safe and inclusive work environment and to ensure employee compliance with regulations and company policies.</w:t>
      </w:r>
    </w:p>
    <w:p>
      <w:pPr>
        <w:spacing w:after="0" w:line="142" w:lineRule="exact"/>
        <w:rPr>
          <w:sz w:val="20"/>
          <w:szCs w:val="20"/>
          <w:color w:val="auto"/>
        </w:rPr>
      </w:pPr>
    </w:p>
    <w:p>
      <w:pPr>
        <w:ind w:right="60"/>
        <w:spacing w:after="0" w:line="253" w:lineRule="auto"/>
        <w:rPr>
          <w:sz w:val="20"/>
          <w:szCs w:val="20"/>
          <w:color w:val="auto"/>
        </w:rPr>
      </w:pPr>
      <w:r>
        <w:rPr>
          <w:rFonts w:ascii="Arial" w:cs="Arial" w:eastAsia="Arial" w:hAnsi="Arial"/>
          <w:sz w:val="19"/>
          <w:szCs w:val="19"/>
          <w:color w:val="auto"/>
        </w:rPr>
        <w:t>We believe these Data and AI Ethics Principles will provide our colleagues and partners with the right foundations to build reliable and trustworthy AI for our customers and ensure the responsible use of AI solutions internally. The Data and AI Ethics Principles will evolve as the related industries continue to grow and develop.</w:t>
      </w:r>
    </w:p>
    <w:p>
      <w:pPr>
        <w:sectPr>
          <w:pgSz w:w="11900" w:h="16838" w:orient="portrait"/>
          <w:cols w:equalWidth="0" w:num="1">
            <w:col w:w="10820"/>
          </w:cols>
          <w:pgMar w:left="540" w:top="264" w:right="539" w:bottom="1440" w:gutter="0" w:footer="0" w:header="0"/>
        </w:sectPr>
      </w:pPr>
    </w:p>
    <w:p>
      <w:pPr>
        <w:spacing w:after="0" w:line="184" w:lineRule="exact"/>
        <w:rPr>
          <w:sz w:val="20"/>
          <w:szCs w:val="20"/>
          <w:color w:val="auto"/>
        </w:rPr>
      </w:pPr>
    </w:p>
    <w:p>
      <w:pPr>
        <w:ind w:right="220"/>
        <w:spacing w:after="0" w:line="273" w:lineRule="auto"/>
        <w:rPr>
          <w:sz w:val="20"/>
          <w:szCs w:val="20"/>
          <w:color w:val="auto"/>
        </w:rPr>
      </w:pPr>
      <w:r>
        <w:rPr>
          <w:rFonts w:ascii="Arial" w:cs="Arial" w:eastAsia="Arial" w:hAnsi="Arial"/>
          <w:sz w:val="19"/>
          <w:szCs w:val="19"/>
          <w:color w:val="auto"/>
        </w:rPr>
        <w:t xml:space="preserve">When </w:t>
      </w:r>
      <w:r>
        <w:rPr>
          <w:rFonts w:ascii="Arial" w:cs="Arial" w:eastAsia="Arial" w:hAnsi="Arial"/>
          <w:sz w:val="19"/>
          <w:szCs w:val="19"/>
          <w:i w:val="1"/>
          <w:iCs w:val="1"/>
          <w:color w:val="auto"/>
        </w:rPr>
        <w:t>designing, developing, deploying or using</w:t>
      </w:r>
      <w:r>
        <w:rPr>
          <w:rFonts w:ascii="Arial" w:cs="Arial" w:eastAsia="Arial" w:hAnsi="Arial"/>
          <w:sz w:val="19"/>
          <w:szCs w:val="19"/>
          <w:color w:val="auto"/>
        </w:rPr>
        <w:t xml:space="preserve"> AI solutions, it is your responsibility to follow our AI principles, policies, and guidelines.</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For more information, visit </w:t>
      </w:r>
      <w:r>
        <w:rPr>
          <w:rFonts w:ascii="Arial" w:cs="Arial" w:eastAsia="Arial" w:hAnsi="Arial"/>
          <w:sz w:val="19"/>
          <w:szCs w:val="19"/>
          <w:b w:val="1"/>
          <w:bCs w:val="1"/>
          <w:color w:val="1A7EE5"/>
        </w:rPr>
        <w:t>Data and Model Governance, Data &amp; Model</w:t>
      </w:r>
      <w:r>
        <w:rPr>
          <w:rFonts w:ascii="Arial" w:cs="Arial" w:eastAsia="Arial" w:hAnsi="Arial"/>
          <w:sz w:val="19"/>
          <w:szCs w:val="19"/>
          <w:color w:val="auto"/>
        </w:rPr>
        <w:t xml:space="preserve"> </w:t>
      </w:r>
      <w:r>
        <w:rPr>
          <w:rFonts w:ascii="Arial" w:cs="Arial" w:eastAsia="Arial" w:hAnsi="Arial"/>
          <w:sz w:val="19"/>
          <w:szCs w:val="19"/>
          <w:b w:val="1"/>
          <w:bCs w:val="1"/>
          <w:color w:val="1A7EE5"/>
        </w:rPr>
        <w:t xml:space="preserve">Governance Policies &amp; Standards </w:t>
      </w:r>
      <w:r>
        <w:rPr>
          <w:rFonts w:ascii="Arial" w:cs="Arial" w:eastAsia="Arial" w:hAnsi="Arial"/>
          <w:sz w:val="19"/>
          <w:szCs w:val="19"/>
          <w:color w:val="000000"/>
        </w:rPr>
        <w:t>and</w:t>
      </w:r>
      <w:r>
        <w:rPr>
          <w:rFonts w:ascii="Arial" w:cs="Arial" w:eastAsia="Arial" w:hAnsi="Arial"/>
          <w:sz w:val="19"/>
          <w:szCs w:val="19"/>
          <w:b w:val="1"/>
          <w:bCs w:val="1"/>
          <w:color w:val="1A7EE5"/>
        </w:rPr>
        <w:t xml:space="preserve"> All Things AI on the Intranet</w:t>
      </w:r>
      <w:r>
        <w:rPr>
          <w:rFonts w:ascii="Arial" w:cs="Arial" w:eastAsia="Arial" w:hAnsi="Arial"/>
          <w:sz w:val="19"/>
          <w:szCs w:val="19"/>
          <w:color w:val="000000"/>
        </w:rPr>
        <w:t>.</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3121"/>
        </w:rPr>
        <w:t>Reuters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-195580</wp:posOffset>
            </wp:positionV>
            <wp:extent cx="2607945" cy="116078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607945" cy="1160780"/>
                    </a:xfrm>
                    <a:prstGeom prst="rect">
                      <a:avLst/>
                    </a:prstGeom>
                    <a:noFill/>
                  </pic:spPr>
                </pic:pic>
              </a:graphicData>
            </a:graphic>
          </wp:anchor>
        </w:drawing>
      </w:r>
    </w:p>
    <w:p>
      <w:pPr>
        <w:spacing w:after="0" w:line="94"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Reuters uses AI in several ways to improve its news reporting and delivery.</w:t>
      </w:r>
    </w:p>
    <w:p>
      <w:pPr>
        <w:spacing w:after="0" w:line="108" w:lineRule="exact"/>
        <w:rPr>
          <w:sz w:val="20"/>
          <w:szCs w:val="20"/>
          <w:color w:val="auto"/>
        </w:rPr>
      </w:pPr>
    </w:p>
    <w:p>
      <w:pPr>
        <w:ind w:right="1180"/>
        <w:spacing w:after="0" w:line="381" w:lineRule="auto"/>
        <w:rPr>
          <w:sz w:val="20"/>
          <w:szCs w:val="20"/>
          <w:color w:val="auto"/>
        </w:rPr>
      </w:pPr>
      <w:r>
        <w:rPr>
          <w:rFonts w:ascii="Arial" w:cs="Arial" w:eastAsia="Arial" w:hAnsi="Arial"/>
          <w:sz w:val="15"/>
          <w:szCs w:val="15"/>
          <w:b w:val="1"/>
          <w:bCs w:val="1"/>
          <w:color w:val="1A7EE5"/>
        </w:rPr>
        <w:t>AI Guidance for Reuters Journalists AI Journalism Handbook entry AI @ Reuters on the Intranet</w:t>
      </w:r>
    </w:p>
    <w:p>
      <w:pPr>
        <w:spacing w:after="0" w:line="200" w:lineRule="exact"/>
        <w:rPr>
          <w:sz w:val="20"/>
          <w:szCs w:val="20"/>
          <w:color w:val="auto"/>
        </w:rPr>
      </w:pPr>
    </w:p>
    <w:p>
      <w:pPr>
        <w:sectPr>
          <w:pgSz w:w="11900" w:h="16838" w:orient="portrait"/>
          <w:cols w:equalWidth="0" w:num="2">
            <w:col w:w="6240" w:space="680"/>
            <w:col w:w="3900"/>
          </w:cols>
          <w:pgMar w:left="540" w:top="264" w:right="539" w:bottom="1440" w:gutter="0" w:footer="0" w:header="0"/>
          <w:type w:val="continuous"/>
        </w:sectPr>
      </w:pPr>
    </w:p>
    <w:p>
      <w:pPr>
        <w:spacing w:after="0" w:line="28" w:lineRule="exact"/>
        <w:rPr>
          <w:sz w:val="20"/>
          <w:szCs w:val="20"/>
          <w:color w:val="auto"/>
        </w:rPr>
      </w:pPr>
    </w:p>
    <w:p>
      <w:pPr>
        <w:spacing w:after="0"/>
        <w:rPr>
          <w:sz w:val="20"/>
          <w:szCs w:val="20"/>
          <w:color w:val="auto"/>
        </w:rPr>
      </w:pPr>
      <w:r>
        <w:rPr>
          <w:rFonts w:ascii="Arial" w:cs="Arial" w:eastAsia="Arial" w:hAnsi="Arial"/>
          <w:sz w:val="35"/>
          <w:szCs w:val="35"/>
          <w:b w:val="1"/>
          <w:bCs w:val="1"/>
          <w:color w:val="D64000"/>
        </w:rPr>
        <w:t>Respecting our intellectual property and that of others</w:t>
      </w:r>
    </w:p>
    <w:p>
      <w:pPr>
        <w:spacing w:after="0" w:line="22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We are trusted to . . .</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…protect all intellectual property against misuse, whether it belongs to Thomson Reuters or to someone else.</w:t>
      </w:r>
    </w:p>
    <w:p>
      <w:pPr>
        <w:spacing w:after="0" w:line="30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Why it matters</w:t>
      </w:r>
    </w:p>
    <w:p>
      <w:pPr>
        <w:spacing w:after="0" w:line="165" w:lineRule="exact"/>
        <w:rPr>
          <w:sz w:val="20"/>
          <w:szCs w:val="20"/>
          <w:color w:val="auto"/>
        </w:rPr>
      </w:pPr>
    </w:p>
    <w:p>
      <w:pPr>
        <w:ind w:right="240"/>
        <w:spacing w:after="0" w:line="243" w:lineRule="auto"/>
        <w:rPr>
          <w:sz w:val="20"/>
          <w:szCs w:val="20"/>
          <w:color w:val="auto"/>
        </w:rPr>
      </w:pPr>
      <w:r>
        <w:rPr>
          <w:rFonts w:ascii="Arial" w:cs="Arial" w:eastAsia="Arial" w:hAnsi="Arial"/>
          <w:sz w:val="19"/>
          <w:szCs w:val="19"/>
          <w:color w:val="auto"/>
        </w:rPr>
        <w:t>Intellectual property is the lifeblood of our business. From the systems and databases we create to empower our customers with information, to the news stories we write, to the processes we use in our workplaces, intellectual property is vital to our company’s identity. Knowing how important it is to us and to others, we have a special obligation to protect the intellectual property that we create and to defend all intellectual property against improper use. By doing so, we put our company, our colleagues and ourselves in the best position to innovate and win in the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76835</wp:posOffset>
            </wp:positionV>
            <wp:extent cx="967740" cy="32829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384" w:lineRule="exact"/>
        <w:rPr>
          <w:sz w:val="20"/>
          <w:szCs w:val="20"/>
          <w:color w:val="auto"/>
        </w:rPr>
      </w:pPr>
    </w:p>
    <w:tbl>
      <w:tblPr>
        <w:tblLayout w:type="fixed"/>
        <w:tblInd w:w="4360"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29</w:t>
            </w:r>
          </w:p>
        </w:tc>
      </w:tr>
    </w:tbl>
    <w:p>
      <w:pPr>
        <w:sectPr>
          <w:pgSz w:w="11900" w:h="16838" w:orient="portrait"/>
          <w:cols w:equalWidth="0" w:num="1">
            <w:col w:w="10820"/>
          </w:cols>
          <w:pgMar w:left="540" w:top="264" w:right="539" w:bottom="1440" w:gutter="0" w:footer="0" w:header="0"/>
          <w:type w:val="continuous"/>
        </w:sectPr>
      </w:pPr>
    </w:p>
    <w:bookmarkStart w:id="210" w:name="page211"/>
    <w:bookmarkEnd w:id="210"/>
    <w:p>
      <w:pPr>
        <w:ind w:left="2"/>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How we deliver</w:t>
      </w:r>
    </w:p>
    <w:p>
      <w:pPr>
        <w:spacing w:after="0" w:line="192" w:lineRule="exact"/>
        <w:rPr>
          <w:sz w:val="20"/>
          <w:szCs w:val="20"/>
          <w:color w:val="auto"/>
        </w:rPr>
      </w:pPr>
    </w:p>
    <w:p>
      <w:pPr>
        <w:ind w:left="2"/>
        <w:spacing w:after="0"/>
        <w:rPr>
          <w:sz w:val="20"/>
          <w:szCs w:val="20"/>
          <w:color w:val="auto"/>
        </w:rPr>
      </w:pPr>
      <w:r>
        <w:rPr>
          <w:rFonts w:ascii="Arial" w:cs="Arial" w:eastAsia="Arial" w:hAnsi="Arial"/>
          <w:sz w:val="19"/>
          <w:szCs w:val="19"/>
          <w:color w:val="auto"/>
        </w:rPr>
        <w:t>We recognize when intellectual property should belong to Thomson Reuters and take all necessary action to protect it.</w:t>
      </w:r>
    </w:p>
    <w:p>
      <w:pPr>
        <w:spacing w:after="0" w:line="206" w:lineRule="exact"/>
        <w:rPr>
          <w:sz w:val="20"/>
          <w:szCs w:val="20"/>
          <w:color w:val="auto"/>
        </w:rPr>
      </w:pPr>
    </w:p>
    <w:p>
      <w:pPr>
        <w:ind w:left="2"/>
        <w:spacing w:after="0"/>
        <w:rPr>
          <w:sz w:val="20"/>
          <w:szCs w:val="20"/>
          <w:color w:val="auto"/>
        </w:rPr>
      </w:pPr>
      <w:r>
        <w:rPr>
          <w:rFonts w:ascii="Arial" w:cs="Arial" w:eastAsia="Arial" w:hAnsi="Arial"/>
          <w:sz w:val="19"/>
          <w:szCs w:val="19"/>
          <w:color w:val="auto"/>
        </w:rPr>
        <w:t>This means we:</w:t>
      </w:r>
    </w:p>
    <w:p>
      <w:pPr>
        <w:spacing w:after="0" w:line="232" w:lineRule="exact"/>
        <w:rPr>
          <w:sz w:val="20"/>
          <w:szCs w:val="20"/>
          <w:color w:val="auto"/>
        </w:rPr>
      </w:pPr>
    </w:p>
    <w:p>
      <w:pPr>
        <w:ind w:left="842" w:right="80" w:hanging="418"/>
        <w:spacing w:after="0" w:line="244" w:lineRule="auto"/>
        <w:tabs>
          <w:tab w:leader="none" w:pos="842" w:val="left"/>
        </w:tabs>
        <w:numPr>
          <w:ilvl w:val="1"/>
          <w:numId w:val="197"/>
        </w:numPr>
        <w:rPr>
          <w:rFonts w:ascii="Times New Roman" w:cs="Times New Roman" w:eastAsia="Times New Roman" w:hAnsi="Times New Roman"/>
          <w:sz w:val="18"/>
          <w:szCs w:val="18"/>
          <w:color w:val="D64000"/>
        </w:rPr>
      </w:pPr>
      <w:r>
        <w:rPr>
          <w:rFonts w:ascii="Arial" w:cs="Arial" w:eastAsia="Arial" w:hAnsi="Arial"/>
          <w:sz w:val="19"/>
          <w:szCs w:val="19"/>
          <w:color w:val="auto"/>
        </w:rPr>
        <w:t>Agree, to the extent permitted by law, that Thomson Reuters owns all intellectual property (and related rights) that we create during the course of our employment, whether we create them in the office, at home or elsewhere, if they are related to company business or created with company resources</w:t>
      </w:r>
    </w:p>
    <w:p>
      <w:pPr>
        <w:ind w:left="842" w:right="120" w:hanging="418"/>
        <w:spacing w:after="0"/>
        <w:tabs>
          <w:tab w:leader="none" w:pos="842" w:val="left"/>
        </w:tabs>
        <w:numPr>
          <w:ilvl w:val="1"/>
          <w:numId w:val="197"/>
        </w:numPr>
        <w:rPr>
          <w:rFonts w:ascii="Times New Roman" w:cs="Times New Roman" w:eastAsia="Times New Roman" w:hAnsi="Times New Roman"/>
          <w:sz w:val="18"/>
          <w:szCs w:val="18"/>
          <w:color w:val="D64000"/>
        </w:rPr>
      </w:pPr>
      <w:r>
        <w:rPr>
          <w:rFonts w:ascii="Arial" w:cs="Arial" w:eastAsia="Arial" w:hAnsi="Arial"/>
          <w:sz w:val="19"/>
          <w:szCs w:val="19"/>
          <w:color w:val="auto"/>
        </w:rPr>
        <w:t>Waive or assign to Thomson Reuters all moral rights we may have under applicable law to intellectual property that we create as employees</w:t>
      </w:r>
    </w:p>
    <w:p>
      <w:pPr>
        <w:ind w:left="842" w:right="720" w:hanging="418"/>
        <w:spacing w:after="0"/>
        <w:tabs>
          <w:tab w:leader="none" w:pos="842" w:val="left"/>
        </w:tabs>
        <w:numPr>
          <w:ilvl w:val="1"/>
          <w:numId w:val="197"/>
        </w:numPr>
        <w:rPr>
          <w:rFonts w:ascii="Times New Roman" w:cs="Times New Roman" w:eastAsia="Times New Roman" w:hAnsi="Times New Roman"/>
          <w:sz w:val="18"/>
          <w:szCs w:val="18"/>
          <w:color w:val="D64000"/>
        </w:rPr>
      </w:pPr>
      <w:r>
        <w:rPr>
          <w:rFonts w:ascii="Arial" w:cs="Arial" w:eastAsia="Arial" w:hAnsi="Arial"/>
          <w:sz w:val="19"/>
          <w:szCs w:val="19"/>
          <w:color w:val="auto"/>
        </w:rPr>
        <w:t>Promptly disclose any methods, systems, processes, designs, ideas or other patentable works we create as employees so the company can take steps to protect them</w:t>
      </w:r>
    </w:p>
    <w:p>
      <w:pPr>
        <w:ind w:left="842" w:right="260" w:hanging="418"/>
        <w:spacing w:after="0"/>
        <w:tabs>
          <w:tab w:leader="none" w:pos="842" w:val="left"/>
        </w:tabs>
        <w:numPr>
          <w:ilvl w:val="1"/>
          <w:numId w:val="197"/>
        </w:numPr>
        <w:rPr>
          <w:rFonts w:ascii="Times New Roman" w:cs="Times New Roman" w:eastAsia="Times New Roman" w:hAnsi="Times New Roman"/>
          <w:sz w:val="18"/>
          <w:szCs w:val="18"/>
          <w:color w:val="D64000"/>
        </w:rPr>
      </w:pPr>
      <w:r>
        <w:rPr>
          <w:rFonts w:ascii="Arial" w:cs="Arial" w:eastAsia="Arial" w:hAnsi="Arial"/>
          <w:sz w:val="19"/>
          <w:szCs w:val="19"/>
          <w:color w:val="auto"/>
        </w:rPr>
        <w:t>Ensure that any methods, systems, processes, designs, ideas or other patentable works we create as employees are not disclosed to third parties prior the company taking steps to protect them</w:t>
      </w:r>
    </w:p>
    <w:p>
      <w:pPr>
        <w:ind w:left="842" w:right="300" w:hanging="418"/>
        <w:spacing w:after="0"/>
        <w:tabs>
          <w:tab w:leader="none" w:pos="842" w:val="left"/>
        </w:tabs>
        <w:numPr>
          <w:ilvl w:val="1"/>
          <w:numId w:val="197"/>
        </w:numPr>
        <w:rPr>
          <w:rFonts w:ascii="Times New Roman" w:cs="Times New Roman" w:eastAsia="Times New Roman" w:hAnsi="Times New Roman"/>
          <w:sz w:val="18"/>
          <w:szCs w:val="18"/>
          <w:color w:val="D64000"/>
        </w:rPr>
      </w:pPr>
      <w:r>
        <w:rPr>
          <w:rFonts w:ascii="Arial" w:cs="Arial" w:eastAsia="Arial" w:hAnsi="Arial"/>
          <w:sz w:val="19"/>
          <w:szCs w:val="19"/>
          <w:color w:val="auto"/>
        </w:rPr>
        <w:t>Report any unauthorized use of company copyrighted works, patents, trademarks or other intellectual property of which we become aware to the General Counsel’s Office</w:t>
      </w:r>
    </w:p>
    <w:p>
      <w:pPr>
        <w:ind w:left="842" w:right="160" w:hanging="418"/>
        <w:spacing w:after="0" w:line="254" w:lineRule="auto"/>
        <w:tabs>
          <w:tab w:leader="none" w:pos="842" w:val="left"/>
        </w:tabs>
        <w:numPr>
          <w:ilvl w:val="1"/>
          <w:numId w:val="197"/>
        </w:numPr>
        <w:rPr>
          <w:rFonts w:ascii="Times New Roman" w:cs="Times New Roman" w:eastAsia="Times New Roman" w:hAnsi="Times New Roman"/>
          <w:sz w:val="18"/>
          <w:szCs w:val="18"/>
          <w:color w:val="D64000"/>
        </w:rPr>
      </w:pPr>
      <w:r>
        <w:rPr>
          <w:rFonts w:ascii="Arial" w:cs="Arial" w:eastAsia="Arial" w:hAnsi="Arial"/>
          <w:sz w:val="19"/>
          <w:szCs w:val="19"/>
          <w:color w:val="auto"/>
        </w:rPr>
        <w:t>Put copyright notices on all Thomson Reuters materials, information, services or other products intended for public distribution</w:t>
      </w:r>
    </w:p>
    <w:p>
      <w:pPr>
        <w:spacing w:after="0" w:line="200" w:lineRule="exact"/>
        <w:rPr>
          <w:rFonts w:ascii="Times New Roman" w:cs="Times New Roman" w:eastAsia="Times New Roman" w:hAnsi="Times New Roman"/>
          <w:sz w:val="18"/>
          <w:szCs w:val="18"/>
          <w:color w:val="D64000"/>
        </w:rPr>
      </w:pPr>
    </w:p>
    <w:p>
      <w:pPr>
        <w:spacing w:after="0" w:line="200" w:lineRule="exact"/>
        <w:rPr>
          <w:rFonts w:ascii="Times New Roman" w:cs="Times New Roman" w:eastAsia="Times New Roman" w:hAnsi="Times New Roman"/>
          <w:sz w:val="18"/>
          <w:szCs w:val="18"/>
          <w:color w:val="D64000"/>
        </w:rPr>
      </w:pPr>
    </w:p>
    <w:p>
      <w:pPr>
        <w:spacing w:after="0" w:line="200" w:lineRule="exact"/>
        <w:rPr>
          <w:rFonts w:ascii="Times New Roman" w:cs="Times New Roman" w:eastAsia="Times New Roman" w:hAnsi="Times New Roman"/>
          <w:sz w:val="18"/>
          <w:szCs w:val="18"/>
          <w:color w:val="D64000"/>
        </w:rPr>
      </w:pPr>
    </w:p>
    <w:p>
      <w:pPr>
        <w:spacing w:after="0" w:line="200" w:lineRule="exact"/>
        <w:rPr>
          <w:rFonts w:ascii="Times New Roman" w:cs="Times New Roman" w:eastAsia="Times New Roman" w:hAnsi="Times New Roman"/>
          <w:sz w:val="18"/>
          <w:szCs w:val="18"/>
          <w:color w:val="D64000"/>
        </w:rPr>
      </w:pPr>
    </w:p>
    <w:p>
      <w:pPr>
        <w:spacing w:after="0" w:line="331" w:lineRule="exact"/>
        <w:rPr>
          <w:rFonts w:ascii="Times New Roman" w:cs="Times New Roman" w:eastAsia="Times New Roman" w:hAnsi="Times New Roman"/>
          <w:sz w:val="18"/>
          <w:szCs w:val="18"/>
          <w:color w:val="D64000"/>
        </w:rPr>
      </w:pPr>
    </w:p>
    <w:p>
      <w:pPr>
        <w:ind w:left="122" w:hanging="122"/>
        <w:spacing w:after="0"/>
        <w:tabs>
          <w:tab w:leader="none" w:pos="122" w:val="left"/>
        </w:tabs>
        <w:numPr>
          <w:ilvl w:val="0"/>
          <w:numId w:val="197"/>
        </w:numPr>
        <w:rPr>
          <w:rFonts w:ascii="Arial" w:cs="Arial" w:eastAsia="Arial" w:hAnsi="Arial"/>
          <w:sz w:val="21"/>
          <w:szCs w:val="21"/>
          <w:b w:val="1"/>
          <w:bCs w:val="1"/>
          <w:i w:val="1"/>
          <w:iCs w:val="1"/>
          <w:color w:val="D64000"/>
        </w:rPr>
      </w:pPr>
      <w:r>
        <w:rPr>
          <w:rFonts w:ascii="Arial" w:cs="Arial" w:eastAsia="Arial" w:hAnsi="Arial"/>
          <w:sz w:val="21"/>
          <w:szCs w:val="21"/>
          <w:b w:val="1"/>
          <w:bCs w:val="1"/>
          <w:i w:val="1"/>
          <w:iCs w:val="1"/>
          <w:color w:val="D64000"/>
        </w:rPr>
        <w:t>Connecting the dots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-666115</wp:posOffset>
            </wp:positionV>
            <wp:extent cx="6899275" cy="167449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99275" cy="1674495"/>
                    </a:xfrm>
                    <a:prstGeom prst="rect">
                      <a:avLst/>
                    </a:prstGeom>
                    <a:noFill/>
                  </pic:spPr>
                </pic:pic>
              </a:graphicData>
            </a:graphic>
          </wp:anchor>
        </w:drawing>
      </w:r>
    </w:p>
    <w:p>
      <w:pPr>
        <w:spacing w:after="0" w:line="100" w:lineRule="exact"/>
        <w:rPr>
          <w:sz w:val="20"/>
          <w:szCs w:val="20"/>
          <w:color w:val="auto"/>
        </w:rPr>
      </w:pPr>
    </w:p>
    <w:p>
      <w:pPr>
        <w:ind w:left="362" w:right="340" w:hanging="264"/>
        <w:spacing w:after="0" w:line="224" w:lineRule="auto"/>
        <w:rPr>
          <w:sz w:val="20"/>
          <w:szCs w:val="20"/>
          <w:color w:val="auto"/>
        </w:rPr>
      </w:pPr>
      <w:r>
        <w:rPr>
          <w:rFonts w:ascii="Arial" w:cs="Arial" w:eastAsia="Arial" w:hAnsi="Arial"/>
          <w:sz w:val="25"/>
          <w:szCs w:val="25"/>
          <w:b w:val="1"/>
          <w:bCs w:val="1"/>
          <w:color w:val="auto"/>
        </w:rPr>
        <w:t>Q</w:t>
      </w:r>
      <w:r>
        <w:rPr>
          <w:rFonts w:ascii="Arial" w:cs="Arial" w:eastAsia="Arial" w:hAnsi="Arial"/>
          <w:sz w:val="17"/>
          <w:szCs w:val="17"/>
          <w:b w:val="1"/>
          <w:bCs w:val="1"/>
          <w:color w:val="auto"/>
        </w:rPr>
        <w:t>  My team would like to use information held in a public database for an upcoming project. Is this allowed under Thomson</w:t>
      </w:r>
      <w:r>
        <w:rPr>
          <w:rFonts w:ascii="Arial" w:cs="Arial" w:eastAsia="Arial" w:hAnsi="Arial"/>
          <w:sz w:val="25"/>
          <w:szCs w:val="25"/>
          <w:b w:val="1"/>
          <w:bCs w:val="1"/>
          <w:color w:val="auto"/>
        </w:rPr>
        <w:t xml:space="preserve"> </w:t>
      </w:r>
      <w:r>
        <w:rPr>
          <w:rFonts w:ascii="Arial" w:cs="Arial" w:eastAsia="Arial" w:hAnsi="Arial"/>
          <w:sz w:val="17"/>
          <w:szCs w:val="17"/>
          <w:b w:val="1"/>
          <w:bCs w:val="1"/>
          <w:color w:val="auto"/>
        </w:rPr>
        <w:t>Reuters policy?</w:t>
      </w:r>
    </w:p>
    <w:p>
      <w:pPr>
        <w:spacing w:after="0" w:line="192" w:lineRule="exact"/>
        <w:rPr>
          <w:sz w:val="20"/>
          <w:szCs w:val="20"/>
          <w:color w:val="auto"/>
        </w:rPr>
      </w:pPr>
    </w:p>
    <w:p>
      <w:pPr>
        <w:ind w:left="362" w:right="160" w:hanging="264"/>
        <w:spacing w:after="0" w:line="220" w:lineRule="auto"/>
        <w:rPr>
          <w:sz w:val="20"/>
          <w:szCs w:val="20"/>
          <w:color w:val="auto"/>
        </w:rPr>
      </w:pPr>
      <w:r>
        <w:rPr>
          <w:rFonts w:ascii="Arial" w:cs="Arial" w:eastAsia="Arial" w:hAnsi="Arial"/>
          <w:sz w:val="25"/>
          <w:szCs w:val="25"/>
          <w:b w:val="1"/>
          <w:bCs w:val="1"/>
          <w:color w:val="auto"/>
        </w:rPr>
        <w:t>A</w:t>
      </w:r>
      <w:r>
        <w:rPr>
          <w:rFonts w:ascii="Arial" w:cs="Arial" w:eastAsia="Arial" w:hAnsi="Arial"/>
          <w:sz w:val="17"/>
          <w:szCs w:val="17"/>
          <w:color w:val="auto"/>
        </w:rPr>
        <w:t>  Even if it appears to be accessible by the public, some information still may be subject to intellectual property protection. Contact the</w:t>
      </w:r>
      <w:r>
        <w:rPr>
          <w:rFonts w:ascii="Arial" w:cs="Arial" w:eastAsia="Arial" w:hAnsi="Arial"/>
          <w:sz w:val="25"/>
          <w:szCs w:val="25"/>
          <w:b w:val="1"/>
          <w:bCs w:val="1"/>
          <w:color w:val="auto"/>
        </w:rPr>
        <w:t xml:space="preserve"> </w:t>
      </w:r>
      <w:r>
        <w:rPr>
          <w:rFonts w:ascii="Arial" w:cs="Arial" w:eastAsia="Arial" w:hAnsi="Arial"/>
          <w:sz w:val="17"/>
          <w:szCs w:val="17"/>
          <w:color w:val="auto"/>
        </w:rPr>
        <w:t>General Counsel’s Office for guidance.</w:t>
      </w:r>
    </w:p>
    <w:p>
      <w:pPr>
        <w:spacing w:after="0" w:line="185" w:lineRule="exact"/>
        <w:rPr>
          <w:sz w:val="20"/>
          <w:szCs w:val="20"/>
          <w:color w:val="auto"/>
        </w:rPr>
      </w:pPr>
    </w:p>
    <w:p>
      <w:pPr>
        <w:ind w:left="2"/>
        <w:spacing w:after="0"/>
        <w:rPr>
          <w:sz w:val="20"/>
          <w:szCs w:val="20"/>
          <w:color w:val="auto"/>
        </w:rPr>
      </w:pPr>
      <w:r>
        <w:rPr>
          <w:rFonts w:ascii="Arial" w:cs="Arial" w:eastAsia="Arial" w:hAnsi="Arial"/>
          <w:sz w:val="21"/>
          <w:szCs w:val="2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865620" cy="76581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65620" cy="765810"/>
                    </a:xfrm>
                    <a:prstGeom prst="rect">
                      <a:avLst/>
                    </a:prstGeom>
                    <a:noFill/>
                  </pic:spPr>
                </pic:pic>
              </a:graphicData>
            </a:graphic>
          </wp:anchor>
        </w:drawing>
      </w:r>
    </w:p>
    <w:p>
      <w:pPr>
        <w:spacing w:after="0" w:line="88" w:lineRule="exact"/>
        <w:rPr>
          <w:sz w:val="20"/>
          <w:szCs w:val="20"/>
          <w:color w:val="auto"/>
        </w:rPr>
      </w:pPr>
    </w:p>
    <w:p>
      <w:pPr>
        <w:ind w:left="102"/>
        <w:spacing w:after="0"/>
        <w:rPr>
          <w:sz w:val="20"/>
          <w:szCs w:val="20"/>
          <w:color w:val="auto"/>
        </w:rPr>
      </w:pPr>
      <w:r>
        <w:rPr>
          <w:rFonts w:ascii="Arial" w:cs="Arial" w:eastAsia="Arial" w:hAnsi="Arial"/>
          <w:sz w:val="19"/>
          <w:szCs w:val="19"/>
          <w:b w:val="1"/>
          <w:bCs w:val="1"/>
          <w:i w:val="1"/>
          <w:iCs w:val="1"/>
          <w:color w:val="123121"/>
        </w:rPr>
        <w:t>What are moral rights?</w:t>
      </w:r>
    </w:p>
    <w:p>
      <w:pPr>
        <w:spacing w:after="0" w:line="64" w:lineRule="exact"/>
        <w:rPr>
          <w:sz w:val="20"/>
          <w:szCs w:val="20"/>
          <w:color w:val="auto"/>
        </w:rPr>
      </w:pPr>
    </w:p>
    <w:p>
      <w:pPr>
        <w:ind w:left="82" w:right="240"/>
        <w:spacing w:after="0" w:line="244" w:lineRule="auto"/>
        <w:rPr>
          <w:sz w:val="20"/>
          <w:szCs w:val="20"/>
          <w:color w:val="auto"/>
        </w:rPr>
      </w:pPr>
      <w:r>
        <w:rPr>
          <w:rFonts w:ascii="Arial" w:cs="Arial" w:eastAsia="Arial" w:hAnsi="Arial"/>
          <w:sz w:val="18"/>
          <w:szCs w:val="18"/>
          <w:color w:val="auto"/>
        </w:rPr>
        <w:t>Moral rights are rights relating to intellectual property, and they include the right to be recognized as the creator and the right to the integrity of any works created. The waiver or assignment in this Code is designed to ensure that Thomson Reuters can take any action concerning works created by you during your employment with Thomson Reuters.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224155</wp:posOffset>
            </wp:positionV>
            <wp:extent cx="967740" cy="32829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4362"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30</w:t>
            </w:r>
          </w:p>
        </w:tc>
      </w:tr>
    </w:tbl>
    <w:p>
      <w:pPr>
        <w:sectPr>
          <w:pgSz w:w="11900" w:h="16838" w:orient="portrait"/>
          <w:cols w:equalWidth="0" w:num="1">
            <w:col w:w="10822"/>
          </w:cols>
          <w:pgMar w:left="538" w:top="253" w:right="539" w:bottom="1440" w:gutter="0" w:footer="0" w:header="0"/>
        </w:sectPr>
      </w:pPr>
    </w:p>
    <w:bookmarkStart w:id="211" w:name="page212"/>
    <w:bookmarkEnd w:id="211"/>
    <w:p>
      <w:pPr>
        <w:ind w:left="2"/>
        <w:spacing w:after="0"/>
        <w:rPr>
          <w:sz w:val="20"/>
          <w:szCs w:val="20"/>
          <w:color w:val="auto"/>
        </w:rPr>
      </w:pPr>
      <w:r>
        <w:rPr>
          <w:rFonts w:ascii="Arial" w:cs="Arial" w:eastAsia="Arial" w:hAnsi="Arial"/>
          <w:sz w:val="26"/>
          <w:szCs w:val="26"/>
          <w:i w:val="1"/>
          <w:iCs w:val="1"/>
          <w:color w:val="D64000"/>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Intellectual property of others</w:t>
      </w:r>
    </w:p>
    <w:p>
      <w:pPr>
        <w:spacing w:after="0" w:line="222" w:lineRule="exact"/>
        <w:rPr>
          <w:sz w:val="20"/>
          <w:szCs w:val="20"/>
          <w:color w:val="auto"/>
        </w:rPr>
      </w:pPr>
    </w:p>
    <w:p>
      <w:pPr>
        <w:ind w:left="2" w:right="180"/>
        <w:spacing w:after="0" w:line="273" w:lineRule="auto"/>
        <w:rPr>
          <w:sz w:val="20"/>
          <w:szCs w:val="20"/>
          <w:color w:val="auto"/>
        </w:rPr>
      </w:pPr>
      <w:r>
        <w:rPr>
          <w:rFonts w:ascii="Arial" w:cs="Arial" w:eastAsia="Arial" w:hAnsi="Arial"/>
          <w:sz w:val="19"/>
          <w:szCs w:val="19"/>
          <w:color w:val="auto"/>
        </w:rPr>
        <w:t>We respect the intellectual property of third parties, including competitors, and do not use it in any way that would violate the law or our values. This means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43180</wp:posOffset>
            </wp:positionV>
            <wp:extent cx="2465070" cy="242316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465070" cy="2423160"/>
                    </a:xfrm>
                    <a:prstGeom prst="rect">
                      <a:avLst/>
                    </a:prstGeom>
                    <a:noFill/>
                  </pic:spPr>
                </pic:pic>
              </a:graphicData>
            </a:graphic>
          </wp:anchor>
        </w:drawing>
      </w:r>
    </w:p>
    <w:p>
      <w:pPr>
        <w:sectPr>
          <w:pgSz w:w="11900" w:h="16838" w:orient="portrait"/>
          <w:cols w:equalWidth="0" w:num="1">
            <w:col w:w="10822"/>
          </w:cols>
          <w:pgMar w:left="538" w:top="260" w:right="539" w:bottom="1440" w:gutter="0" w:footer="0" w:header="0"/>
        </w:sectPr>
      </w:pPr>
    </w:p>
    <w:p>
      <w:pPr>
        <w:spacing w:after="0" w:line="165" w:lineRule="exact"/>
        <w:rPr>
          <w:sz w:val="20"/>
          <w:szCs w:val="20"/>
          <w:color w:val="auto"/>
        </w:rPr>
      </w:pPr>
    </w:p>
    <w:p>
      <w:pPr>
        <w:ind w:left="582" w:right="100" w:hanging="291"/>
        <w:spacing w:after="0" w:line="250"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When necessary, get written permission to use or copy a third party’s</w:t>
      </w:r>
      <w:r>
        <w:rPr>
          <w:rFonts w:ascii="Times New Roman" w:cs="Times New Roman" w:eastAsia="Times New Roman" w:hAnsi="Times New Roman"/>
          <w:sz w:val="18"/>
          <w:szCs w:val="18"/>
          <w:color w:val="D64000"/>
        </w:rPr>
        <w:t xml:space="preserve"> </w:t>
      </w:r>
      <w:r>
        <w:rPr>
          <w:rFonts w:ascii="Arial" w:cs="Arial" w:eastAsia="Arial" w:hAnsi="Arial"/>
          <w:sz w:val="19"/>
          <w:szCs w:val="19"/>
          <w:color w:val="000000"/>
        </w:rPr>
        <w:t>copyrights, patents, trademarks or other intellectual property, obtain licenses or, if the circumstances require it, purchase the intellectual property outright</w:t>
      </w:r>
    </w:p>
    <w:p>
      <w:pPr>
        <w:spacing w:after="0" w:line="29" w:lineRule="exact"/>
        <w:rPr>
          <w:sz w:val="20"/>
          <w:szCs w:val="20"/>
          <w:color w:val="auto"/>
        </w:rPr>
      </w:pPr>
    </w:p>
    <w:p>
      <w:pPr>
        <w:ind w:left="582" w:right="140" w:hanging="291"/>
        <w:spacing w:after="0" w:line="259"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Ensure licensing agreements permit copying or distribution where</w:t>
      </w:r>
      <w:r>
        <w:rPr>
          <w:rFonts w:ascii="Times New Roman" w:cs="Times New Roman" w:eastAsia="Times New Roman" w:hAnsi="Times New Roman"/>
          <w:sz w:val="18"/>
          <w:szCs w:val="18"/>
          <w:color w:val="D64000"/>
        </w:rPr>
        <w:t xml:space="preserve"> </w:t>
      </w:r>
      <w:r>
        <w:rPr>
          <w:rFonts w:ascii="Arial" w:cs="Arial" w:eastAsia="Arial" w:hAnsi="Arial"/>
          <w:sz w:val="19"/>
          <w:szCs w:val="19"/>
          <w:color w:val="000000"/>
        </w:rPr>
        <w:t>necessary and do not impair the company’s rights before we copy or distribute third- party content, data, software or technologies</w:t>
      </w:r>
    </w:p>
    <w:p>
      <w:pPr>
        <w:spacing w:after="0" w:line="20" w:lineRule="exact"/>
        <w:rPr>
          <w:sz w:val="20"/>
          <w:szCs w:val="20"/>
          <w:color w:val="auto"/>
        </w:rPr>
      </w:pPr>
    </w:p>
    <w:p>
      <w:pPr>
        <w:ind w:left="582" w:hanging="291"/>
        <w:spacing w:after="0" w:line="259"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Ensure intellectual property belongs to and is assigned to Thomson</w:t>
      </w:r>
      <w:r>
        <w:rPr>
          <w:rFonts w:ascii="Times New Roman" w:cs="Times New Roman" w:eastAsia="Times New Roman" w:hAnsi="Times New Roman"/>
          <w:sz w:val="18"/>
          <w:szCs w:val="18"/>
          <w:color w:val="D64000"/>
        </w:rPr>
        <w:t xml:space="preserve"> </w:t>
      </w:r>
      <w:r>
        <w:rPr>
          <w:rFonts w:ascii="Arial" w:cs="Arial" w:eastAsia="Arial" w:hAnsi="Arial"/>
          <w:sz w:val="19"/>
          <w:szCs w:val="19"/>
          <w:color w:val="000000"/>
        </w:rPr>
        <w:t>Reuters when it is created for us by third parties or contractors, where allowable by law</w:t>
      </w:r>
    </w:p>
    <w:p>
      <w:pPr>
        <w:spacing w:after="0" w:line="20" w:lineRule="exact"/>
        <w:rPr>
          <w:sz w:val="20"/>
          <w:szCs w:val="20"/>
          <w:color w:val="auto"/>
        </w:rPr>
      </w:pPr>
    </w:p>
    <w:p>
      <w:pPr>
        <w:ind w:left="582" w:right="80" w:hanging="291"/>
        <w:spacing w:after="0" w:line="286"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Check with the General Counsel’s Office if we are in doubt about any</w:t>
      </w:r>
      <w:r>
        <w:rPr>
          <w:rFonts w:ascii="Times New Roman" w:cs="Times New Roman" w:eastAsia="Times New Roman" w:hAnsi="Times New Roman"/>
          <w:sz w:val="18"/>
          <w:szCs w:val="18"/>
          <w:color w:val="D64000"/>
        </w:rPr>
        <w:t xml:space="preserve"> </w:t>
      </w:r>
      <w:r>
        <w:rPr>
          <w:rFonts w:ascii="Arial" w:cs="Arial" w:eastAsia="Arial" w:hAnsi="Arial"/>
          <w:sz w:val="19"/>
          <w:szCs w:val="19"/>
          <w:color w:val="000000"/>
        </w:rPr>
        <w:t>intellectual property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808990</wp:posOffset>
            </wp:positionV>
            <wp:extent cx="6899275" cy="38671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899275" cy="386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3121"/>
        </w:rPr>
        <w:t>What is intellectual property?</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Examples include:</w:t>
      </w:r>
    </w:p>
    <w:p>
      <w:pPr>
        <w:spacing w:after="0" w:line="77" w:lineRule="exact"/>
        <w:rPr>
          <w:sz w:val="20"/>
          <w:szCs w:val="20"/>
          <w:color w:val="auto"/>
        </w:rPr>
      </w:pPr>
    </w:p>
    <w:p>
      <w:pPr>
        <w:ind w:left="280" w:right="200" w:hanging="126"/>
        <w:spacing w:after="0" w:line="254"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5"/>
          <w:szCs w:val="15"/>
          <w:color w:val="000000"/>
        </w:rPr>
        <w:t> The Thomson Reuters name and brand names</w:t>
      </w:r>
      <w:r>
        <w:rPr>
          <w:rFonts w:ascii="Times New Roman" w:cs="Times New Roman" w:eastAsia="Times New Roman" w:hAnsi="Times New Roman"/>
          <w:sz w:val="18"/>
          <w:szCs w:val="18"/>
          <w:color w:val="D64000"/>
        </w:rPr>
        <w:t xml:space="preserve"> </w:t>
      </w:r>
      <w:r>
        <w:rPr>
          <w:rFonts w:ascii="Arial" w:cs="Arial" w:eastAsia="Arial" w:hAnsi="Arial"/>
          <w:sz w:val="15"/>
          <w:szCs w:val="15"/>
          <w:color w:val="000000"/>
        </w:rPr>
        <w:t>that we use</w:t>
      </w:r>
    </w:p>
    <w:p>
      <w:pPr>
        <w:spacing w:after="0" w:line="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5"/>
          <w:szCs w:val="15"/>
          <w:color w:val="000000"/>
        </w:rPr>
        <w:t> Copyrights, patents, service marks</w:t>
      </w:r>
    </w:p>
    <w:p>
      <w:pPr>
        <w:spacing w:after="0" w:line="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5"/>
          <w:szCs w:val="15"/>
          <w:color w:val="000000"/>
        </w:rPr>
        <w:t> Trade secrets</w:t>
      </w:r>
    </w:p>
    <w:p>
      <w:pPr>
        <w:spacing w:after="0" w:line="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5"/>
          <w:szCs w:val="15"/>
          <w:color w:val="000000"/>
        </w:rPr>
        <w:t> Innovations</w:t>
      </w:r>
    </w:p>
    <w:p>
      <w:pPr>
        <w:spacing w:after="0" w:line="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5"/>
          <w:szCs w:val="15"/>
          <w:color w:val="000000"/>
        </w:rPr>
        <w:t> Software</w:t>
      </w:r>
    </w:p>
    <w:p>
      <w:pPr>
        <w:spacing w:after="0" w:line="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5"/>
          <w:szCs w:val="15"/>
          <w:color w:val="000000"/>
        </w:rPr>
        <w:t> Processes</w:t>
      </w:r>
    </w:p>
    <w:p>
      <w:pPr>
        <w:spacing w:after="0" w:line="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5"/>
          <w:szCs w:val="15"/>
          <w:color w:val="000000"/>
        </w:rPr>
        <w:t> Designs</w:t>
      </w:r>
    </w:p>
    <w:p>
      <w:pPr>
        <w:spacing w:after="0" w:line="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5"/>
          <w:szCs w:val="15"/>
          <w:color w:val="000000"/>
        </w:rPr>
        <w:t> Ideas</w:t>
      </w:r>
    </w:p>
    <w:p>
      <w:pPr>
        <w:spacing w:after="0" w:line="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5"/>
          <w:szCs w:val="15"/>
          <w:color w:val="000000"/>
        </w:rPr>
        <w:t> Images</w:t>
      </w:r>
    </w:p>
    <w:p>
      <w:pPr>
        <w:spacing w:after="0" w:line="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5"/>
          <w:szCs w:val="15"/>
          <w:color w:val="000000"/>
        </w:rPr>
        <w:t> Data</w:t>
      </w:r>
    </w:p>
    <w:p>
      <w:pPr>
        <w:spacing w:after="0" w:line="200" w:lineRule="exact"/>
        <w:rPr>
          <w:sz w:val="20"/>
          <w:szCs w:val="20"/>
          <w:color w:val="auto"/>
        </w:rPr>
      </w:pPr>
    </w:p>
    <w:p>
      <w:pPr>
        <w:sectPr>
          <w:pgSz w:w="11900" w:h="16838" w:orient="portrait"/>
          <w:cols w:equalWidth="0" w:num="2">
            <w:col w:w="6582" w:space="460"/>
            <w:col w:w="3780"/>
          </w:cols>
          <w:pgMar w:left="538" w:top="260"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899275" cy="121158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899275" cy="1211580"/>
                    </a:xfrm>
                    <a:prstGeom prst="rect">
                      <a:avLst/>
                    </a:prstGeom>
                    <a:noFill/>
                  </pic:spPr>
                </pic:pic>
              </a:graphicData>
            </a:graphic>
          </wp:anchor>
        </w:drawing>
      </w:r>
    </w:p>
    <w:p>
      <w:pPr>
        <w:spacing w:after="0" w:line="23" w:lineRule="exact"/>
        <w:rPr>
          <w:sz w:val="20"/>
          <w:szCs w:val="20"/>
          <w:color w:val="auto"/>
        </w:rPr>
      </w:pPr>
    </w:p>
    <w:p>
      <w:pPr>
        <w:ind w:left="122" w:hanging="122"/>
        <w:spacing w:after="0"/>
        <w:tabs>
          <w:tab w:leader="none" w:pos="122" w:val="left"/>
        </w:tabs>
        <w:numPr>
          <w:ilvl w:val="0"/>
          <w:numId w:val="198"/>
        </w:numPr>
        <w:rPr>
          <w:rFonts w:ascii="Arial" w:cs="Arial" w:eastAsia="Arial" w:hAnsi="Arial"/>
          <w:sz w:val="21"/>
          <w:szCs w:val="21"/>
          <w:b w:val="1"/>
          <w:bCs w:val="1"/>
          <w:i w:val="1"/>
          <w:iCs w:val="1"/>
          <w:color w:val="D64000"/>
        </w:rPr>
      </w:pPr>
      <w:r>
        <w:rPr>
          <w:rFonts w:ascii="Arial" w:cs="Arial" w:eastAsia="Arial" w:hAnsi="Arial"/>
          <w:sz w:val="21"/>
          <w:szCs w:val="21"/>
          <w:b w:val="1"/>
          <w:bCs w:val="1"/>
          <w:i w:val="1"/>
          <w:iCs w:val="1"/>
          <w:color w:val="D64000"/>
        </w:rPr>
        <w:t>Connecting the dots</w:t>
      </w:r>
    </w:p>
    <w:p>
      <w:pPr>
        <w:spacing w:after="0" w:line="159" w:lineRule="exact"/>
        <w:rPr>
          <w:rFonts w:ascii="Arial" w:cs="Arial" w:eastAsia="Arial" w:hAnsi="Arial"/>
          <w:sz w:val="21"/>
          <w:szCs w:val="21"/>
          <w:b w:val="1"/>
          <w:bCs w:val="1"/>
          <w:i w:val="1"/>
          <w:iCs w:val="1"/>
          <w:color w:val="D64000"/>
        </w:rPr>
      </w:pPr>
    </w:p>
    <w:p>
      <w:pPr>
        <w:ind w:left="102" w:hanging="102"/>
        <w:spacing w:after="0"/>
        <w:tabs>
          <w:tab w:leader="none" w:pos="102" w:val="left"/>
        </w:tabs>
        <w:numPr>
          <w:ilvl w:val="0"/>
          <w:numId w:val="198"/>
        </w:numPr>
        <w:rPr>
          <w:rFonts w:ascii="Arial" w:cs="Arial" w:eastAsia="Arial" w:hAnsi="Arial"/>
          <w:sz w:val="18"/>
          <w:szCs w:val="18"/>
          <w:b w:val="1"/>
          <w:bCs w:val="1"/>
          <w:color w:val="auto"/>
        </w:rPr>
      </w:pPr>
      <w:r>
        <w:rPr>
          <w:rFonts w:ascii="Arial" w:cs="Arial" w:eastAsia="Arial" w:hAnsi="Arial"/>
          <w:sz w:val="25"/>
          <w:szCs w:val="25"/>
          <w:b w:val="1"/>
          <w:bCs w:val="1"/>
          <w:color w:val="auto"/>
        </w:rPr>
        <w:t>Q</w:t>
      </w:r>
      <w:r>
        <w:rPr>
          <w:rFonts w:ascii="Arial" w:cs="Arial" w:eastAsia="Arial" w:hAnsi="Arial"/>
          <w:sz w:val="17"/>
          <w:szCs w:val="17"/>
          <w:b w:val="1"/>
          <w:bCs w:val="1"/>
          <w:color w:val="auto"/>
        </w:rPr>
        <w:t xml:space="preserve">     I was driving home from work the other day and came up with an idea to improve one of our products. Does it ultimately</w:t>
      </w:r>
    </w:p>
    <w:p>
      <w:pPr>
        <w:spacing w:after="0" w:line="26" w:lineRule="exact"/>
        <w:rPr>
          <w:sz w:val="20"/>
          <w:szCs w:val="20"/>
          <w:color w:val="auto"/>
        </w:rPr>
      </w:pPr>
    </w:p>
    <w:p>
      <w:pPr>
        <w:ind w:left="522"/>
        <w:spacing w:after="0"/>
        <w:rPr>
          <w:sz w:val="20"/>
          <w:szCs w:val="20"/>
          <w:color w:val="auto"/>
        </w:rPr>
      </w:pPr>
      <w:r>
        <w:rPr>
          <w:rFonts w:ascii="Arial" w:cs="Arial" w:eastAsia="Arial" w:hAnsi="Arial"/>
          <w:sz w:val="18"/>
          <w:szCs w:val="18"/>
          <w:b w:val="1"/>
          <w:bCs w:val="1"/>
          <w:color w:val="auto"/>
        </w:rPr>
        <w:t>belong to me or to Thomson Reuters?</w:t>
      </w:r>
    </w:p>
    <w:p>
      <w:pPr>
        <w:spacing w:after="0" w:line="209" w:lineRule="exact"/>
        <w:rPr>
          <w:sz w:val="20"/>
          <w:szCs w:val="20"/>
          <w:color w:val="auto"/>
        </w:rPr>
      </w:pPr>
    </w:p>
    <w:p>
      <w:pPr>
        <w:ind w:left="522" w:right="520" w:hanging="522"/>
        <w:spacing w:after="0" w:line="345" w:lineRule="auto"/>
        <w:tabs>
          <w:tab w:leader="none" w:pos="90" w:val="left"/>
        </w:tabs>
        <w:numPr>
          <w:ilvl w:val="0"/>
          <w:numId w:val="199"/>
        </w:numPr>
        <w:rPr>
          <w:rFonts w:ascii="Arial" w:cs="Arial" w:eastAsia="Arial" w:hAnsi="Arial"/>
          <w:sz w:val="16"/>
          <w:szCs w:val="16"/>
          <w:color w:val="auto"/>
        </w:rPr>
      </w:pPr>
      <w:r>
        <w:rPr>
          <w:rFonts w:ascii="Arial" w:cs="Arial" w:eastAsia="Arial" w:hAnsi="Arial"/>
          <w:sz w:val="23"/>
          <w:szCs w:val="23"/>
          <w:b w:val="1"/>
          <w:bCs w:val="1"/>
          <w:color w:val="auto"/>
        </w:rPr>
        <w:t>A</w:t>
      </w:r>
      <w:r>
        <w:rPr>
          <w:rFonts w:ascii="Arial" w:cs="Arial" w:eastAsia="Arial" w:hAnsi="Arial"/>
          <w:sz w:val="16"/>
          <w:szCs w:val="16"/>
          <w:color w:val="auto"/>
        </w:rPr>
        <w:t xml:space="preserve">    This idea is the intellectual property of Thomson Reuters, as it likely was the result of knowledge, resources and opportunities</w:t>
      </w:r>
      <w:r>
        <w:rPr>
          <w:rFonts w:ascii="Arial" w:cs="Arial" w:eastAsia="Arial" w:hAnsi="Arial"/>
          <w:sz w:val="23"/>
          <w:szCs w:val="23"/>
          <w:b w:val="1"/>
          <w:bCs w:val="1"/>
          <w:color w:val="auto"/>
        </w:rPr>
        <w:t xml:space="preserve"> </w:t>
      </w:r>
      <w:r>
        <w:rPr>
          <w:rFonts w:ascii="Arial" w:cs="Arial" w:eastAsia="Arial" w:hAnsi="Arial"/>
          <w:sz w:val="16"/>
          <w:szCs w:val="16"/>
          <w:color w:val="auto"/>
        </w:rPr>
        <w:t>obtained through your employment with the company. If you think it’s a viable idea, you should share it with your manager.</w:t>
      </w:r>
    </w:p>
    <w:p>
      <w:pPr>
        <w:spacing w:after="0" w:line="200" w:lineRule="exact"/>
        <w:rPr>
          <w:sz w:val="20"/>
          <w:szCs w:val="20"/>
          <w:color w:val="auto"/>
        </w:rPr>
      </w:pPr>
    </w:p>
    <w:p>
      <w:pPr>
        <w:spacing w:after="0" w:line="292" w:lineRule="exact"/>
        <w:rPr>
          <w:sz w:val="20"/>
          <w:szCs w:val="20"/>
          <w:color w:val="auto"/>
        </w:rPr>
      </w:pPr>
    </w:p>
    <w:p>
      <w:pPr>
        <w:ind w:left="2"/>
        <w:spacing w:after="0"/>
        <w:rPr>
          <w:sz w:val="20"/>
          <w:szCs w:val="20"/>
          <w:color w:val="auto"/>
        </w:rPr>
      </w:pPr>
      <w:r>
        <w:rPr>
          <w:rFonts w:ascii="Arial" w:cs="Arial" w:eastAsia="Arial" w:hAnsi="Arial"/>
          <w:sz w:val="26"/>
          <w:szCs w:val="26"/>
          <w:i w:val="1"/>
          <w:iCs w:val="1"/>
          <w:color w:val="D64000"/>
        </w:rPr>
        <w:t>Competitive intelligence</w:t>
      </w:r>
    </w:p>
    <w:p>
      <w:pPr>
        <w:spacing w:after="0" w:line="222" w:lineRule="exact"/>
        <w:rPr>
          <w:sz w:val="20"/>
          <w:szCs w:val="20"/>
          <w:color w:val="auto"/>
        </w:rPr>
      </w:pPr>
    </w:p>
    <w:p>
      <w:pPr>
        <w:ind w:left="2" w:right="60"/>
        <w:spacing w:after="0" w:line="253" w:lineRule="auto"/>
        <w:rPr>
          <w:sz w:val="20"/>
          <w:szCs w:val="20"/>
          <w:color w:val="auto"/>
        </w:rPr>
      </w:pPr>
      <w:r>
        <w:rPr>
          <w:rFonts w:ascii="Arial" w:cs="Arial" w:eastAsia="Arial" w:hAnsi="Arial"/>
          <w:sz w:val="19"/>
          <w:szCs w:val="19"/>
          <w:color w:val="auto"/>
        </w:rPr>
        <w:t>We live our values of performance and innovation by striving to better understand our competitors through extensive research and study. We obtain intelligence about our competitors only through lawful and ethical channels. In addition to following our rules on respecting the intellectual property rights of others, this means we:</w:t>
      </w:r>
    </w:p>
    <w:p>
      <w:pPr>
        <w:spacing w:after="0" w:line="64" w:lineRule="exact"/>
        <w:rPr>
          <w:sz w:val="20"/>
          <w:szCs w:val="20"/>
          <w:color w:val="auto"/>
        </w:rPr>
      </w:pPr>
    </w:p>
    <w:p>
      <w:pPr>
        <w:ind w:left="282"/>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Understand and follow all applicable laws and regulations before engaging in competitive intelligence gathering</w:t>
      </w:r>
    </w:p>
    <w:p>
      <w:pPr>
        <w:spacing w:after="0" w:line="85" w:lineRule="exact"/>
        <w:rPr>
          <w:sz w:val="20"/>
          <w:szCs w:val="20"/>
          <w:color w:val="auto"/>
        </w:rPr>
      </w:pPr>
    </w:p>
    <w:p>
      <w:pPr>
        <w:ind w:left="582" w:right="100" w:hanging="291"/>
        <w:spacing w:after="0" w:line="286"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Do not distribute data or other sensitive information about a competitor if it was received or accessed in circumstances</w:t>
      </w:r>
      <w:r>
        <w:rPr>
          <w:rFonts w:ascii="Times New Roman" w:cs="Times New Roman" w:eastAsia="Times New Roman" w:hAnsi="Times New Roman"/>
          <w:sz w:val="18"/>
          <w:szCs w:val="18"/>
          <w:color w:val="D64000"/>
        </w:rPr>
        <w:t xml:space="preserve"> </w:t>
      </w:r>
      <w:r>
        <w:rPr>
          <w:rFonts w:ascii="Arial" w:cs="Arial" w:eastAsia="Arial" w:hAnsi="Arial"/>
          <w:sz w:val="19"/>
          <w:szCs w:val="19"/>
          <w:color w:val="000000"/>
        </w:rPr>
        <w:t>that may breach any of our Competitive Intelligence Guidelines</w:t>
      </w:r>
    </w:p>
    <w:p>
      <w:pPr>
        <w:spacing w:after="0" w:line="74" w:lineRule="exact"/>
        <w:rPr>
          <w:sz w:val="20"/>
          <w:szCs w:val="20"/>
          <w:color w:val="auto"/>
        </w:rPr>
      </w:pPr>
    </w:p>
    <w:tbl>
      <w:tblPr>
        <w:tblLayout w:type="fixed"/>
        <w:tblInd w:w="4362"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967740" cy="32829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ectPr>
          <w:pgSz w:w="11900" w:h="16838" w:orient="portrait"/>
          <w:cols w:equalWidth="0" w:num="1">
            <w:col w:w="10822"/>
          </w:cols>
          <w:pgMar w:left="538" w:top="260" w:right="539" w:bottom="1440" w:gutter="0" w:footer="0" w:header="0"/>
          <w:type w:val="continuous"/>
        </w:sectPr>
      </w:pPr>
    </w:p>
    <w:bookmarkStart w:id="212" w:name="page213"/>
    <w:bookmarkEnd w:id="212"/>
    <w:p>
      <w:pPr>
        <w:ind w:left="842" w:hanging="418"/>
        <w:spacing w:after="0"/>
        <w:tabs>
          <w:tab w:leader="none" w:pos="842" w:val="left"/>
        </w:tabs>
        <w:numPr>
          <w:ilvl w:val="0"/>
          <w:numId w:val="200"/>
        </w:numPr>
        <w:rPr>
          <w:rFonts w:ascii="Times New Roman" w:cs="Times New Roman" w:eastAsia="Times New Roman" w:hAnsi="Times New Roman"/>
          <w:sz w:val="18"/>
          <w:szCs w:val="18"/>
          <w:color w:val="D64000"/>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Never misrepresent our personal or company identity to gain access to a competitor’s product or service</w:t>
      </w:r>
    </w:p>
    <w:p>
      <w:pPr>
        <w:spacing w:after="0" w:line="73" w:lineRule="exact"/>
        <w:rPr>
          <w:rFonts w:ascii="Times New Roman" w:cs="Times New Roman" w:eastAsia="Times New Roman" w:hAnsi="Times New Roman"/>
          <w:sz w:val="18"/>
          <w:szCs w:val="18"/>
          <w:color w:val="D64000"/>
        </w:rPr>
      </w:pPr>
    </w:p>
    <w:p>
      <w:pPr>
        <w:ind w:left="842" w:right="920" w:hanging="418"/>
        <w:spacing w:after="0" w:line="273" w:lineRule="auto"/>
        <w:tabs>
          <w:tab w:leader="none" w:pos="842" w:val="left"/>
        </w:tabs>
        <w:numPr>
          <w:ilvl w:val="0"/>
          <w:numId w:val="200"/>
        </w:numPr>
        <w:rPr>
          <w:rFonts w:ascii="Times New Roman" w:cs="Times New Roman" w:eastAsia="Times New Roman" w:hAnsi="Times New Roman"/>
          <w:sz w:val="18"/>
          <w:szCs w:val="18"/>
          <w:color w:val="D64000"/>
        </w:rPr>
      </w:pPr>
      <w:r>
        <w:rPr>
          <w:rFonts w:ascii="Arial" w:cs="Arial" w:eastAsia="Arial" w:hAnsi="Arial"/>
          <w:sz w:val="19"/>
          <w:szCs w:val="19"/>
          <w:color w:val="auto"/>
        </w:rPr>
        <w:t>Do not breach contract terms or encourage third parties to do so in order to help Thomson Reuters obtain competitive intelligence</w:t>
      </w:r>
    </w:p>
    <w:p>
      <w:pPr>
        <w:spacing w:after="0" w:line="243" w:lineRule="exact"/>
        <w:rPr>
          <w:sz w:val="20"/>
          <w:szCs w:val="20"/>
          <w:color w:val="auto"/>
        </w:rPr>
      </w:pPr>
    </w:p>
    <w:p>
      <w:pPr>
        <w:ind w:left="2" w:right="220"/>
        <w:spacing w:after="0" w:line="287" w:lineRule="auto"/>
        <w:rPr>
          <w:sz w:val="20"/>
          <w:szCs w:val="20"/>
          <w:color w:val="auto"/>
        </w:rPr>
      </w:pPr>
      <w:r>
        <w:rPr>
          <w:rFonts w:ascii="Arial" w:cs="Arial" w:eastAsia="Arial" w:hAnsi="Arial"/>
          <w:sz w:val="19"/>
          <w:szCs w:val="19"/>
          <w:color w:val="auto"/>
        </w:rPr>
        <w:t xml:space="preserve">Before seeking out or using any competitive intelligence, make sure you understand our </w:t>
      </w:r>
      <w:r>
        <w:rPr>
          <w:rFonts w:ascii="Arial" w:cs="Arial" w:eastAsia="Arial" w:hAnsi="Arial"/>
          <w:sz w:val="19"/>
          <w:szCs w:val="19"/>
          <w:b w:val="1"/>
          <w:bCs w:val="1"/>
          <w:color w:val="1A7EE5"/>
        </w:rPr>
        <w:t>Competitive Intelligence Policies</w:t>
      </w:r>
      <w:r>
        <w:rPr>
          <w:rFonts w:ascii="Arial" w:cs="Arial" w:eastAsia="Arial" w:hAnsi="Arial"/>
          <w:sz w:val="19"/>
          <w:szCs w:val="19"/>
          <w:color w:val="auto"/>
        </w:rPr>
        <w:t xml:space="preserve"> </w:t>
      </w:r>
      <w:r>
        <w:rPr>
          <w:rFonts w:ascii="Arial" w:cs="Arial" w:eastAsia="Arial" w:hAnsi="Arial"/>
          <w:sz w:val="19"/>
          <w:szCs w:val="19"/>
          <w:b w:val="1"/>
          <w:bCs w:val="1"/>
          <w:color w:val="1A7EE5"/>
        </w:rPr>
        <w:t>and Guidelines</w:t>
      </w:r>
      <w:r>
        <w:rPr>
          <w:rFonts w:ascii="Arial" w:cs="Arial" w:eastAsia="Arial" w:hAnsi="Arial"/>
          <w:sz w:val="19"/>
          <w:szCs w:val="19"/>
          <w:color w:val="000000"/>
        </w:rPr>
        <w:t>. If you have any questions about how to apply these guidelines, contact the Enterprise Compliance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6899275" cy="238125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899275" cy="2381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22" w:hanging="222"/>
        <w:spacing w:after="0"/>
        <w:tabs>
          <w:tab w:leader="none" w:pos="222" w:val="left"/>
        </w:tabs>
        <w:numPr>
          <w:ilvl w:val="0"/>
          <w:numId w:val="201"/>
        </w:numPr>
        <w:rPr>
          <w:rFonts w:ascii="Arial" w:cs="Arial" w:eastAsia="Arial" w:hAnsi="Arial"/>
          <w:sz w:val="21"/>
          <w:szCs w:val="21"/>
          <w:b w:val="1"/>
          <w:bCs w:val="1"/>
          <w:i w:val="1"/>
          <w:iCs w:val="1"/>
          <w:color w:val="D64000"/>
        </w:rPr>
      </w:pPr>
      <w:r>
        <w:rPr>
          <w:rFonts w:ascii="Arial" w:cs="Arial" w:eastAsia="Arial" w:hAnsi="Arial"/>
          <w:sz w:val="21"/>
          <w:szCs w:val="21"/>
          <w:b w:val="1"/>
          <w:bCs w:val="1"/>
          <w:i w:val="1"/>
          <w:iCs w:val="1"/>
          <w:color w:val="D64000"/>
        </w:rPr>
        <w:t>Connecting the dots</w:t>
      </w:r>
    </w:p>
    <w:p>
      <w:pPr>
        <w:spacing w:after="0" w:line="239" w:lineRule="exact"/>
        <w:rPr>
          <w:rFonts w:ascii="Arial" w:cs="Arial" w:eastAsia="Arial" w:hAnsi="Arial"/>
          <w:sz w:val="21"/>
          <w:szCs w:val="21"/>
          <w:b w:val="1"/>
          <w:bCs w:val="1"/>
          <w:i w:val="1"/>
          <w:iCs w:val="1"/>
          <w:color w:val="D64000"/>
        </w:rPr>
      </w:pPr>
    </w:p>
    <w:p>
      <w:pPr>
        <w:ind w:left="242" w:hanging="242"/>
        <w:spacing w:after="0"/>
        <w:tabs>
          <w:tab w:leader="none" w:pos="242" w:val="left"/>
        </w:tabs>
        <w:numPr>
          <w:ilvl w:val="0"/>
          <w:numId w:val="201"/>
        </w:numPr>
        <w:rPr>
          <w:rFonts w:ascii="Arial" w:cs="Arial" w:eastAsia="Arial" w:hAnsi="Arial"/>
          <w:sz w:val="24"/>
          <w:szCs w:val="24"/>
          <w:b w:val="1"/>
          <w:bCs w:val="1"/>
          <w:color w:val="auto"/>
        </w:rPr>
      </w:pPr>
      <w:r>
        <w:rPr>
          <w:rFonts w:ascii="Arial" w:cs="Arial" w:eastAsia="Arial" w:hAnsi="Arial"/>
          <w:sz w:val="24"/>
          <w:szCs w:val="24"/>
          <w:b w:val="1"/>
          <w:bCs w:val="1"/>
          <w:color w:val="auto"/>
        </w:rPr>
        <w:t>Q</w:t>
      </w:r>
      <w:r>
        <w:rPr>
          <w:rFonts w:ascii="Arial" w:cs="Arial" w:eastAsia="Arial" w:hAnsi="Arial"/>
          <w:sz w:val="16"/>
          <w:szCs w:val="16"/>
          <w:b w:val="1"/>
          <w:bCs w:val="1"/>
          <w:color w:val="auto"/>
        </w:rPr>
        <w:t xml:space="preserve">  I recently joined Thomson Reuters from a competitor, and I have knowledge about some of this competitor’s processes.</w:t>
      </w:r>
    </w:p>
    <w:p>
      <w:pPr>
        <w:spacing w:after="0" w:line="37" w:lineRule="exact"/>
        <w:rPr>
          <w:sz w:val="20"/>
          <w:szCs w:val="20"/>
          <w:color w:val="auto"/>
        </w:rPr>
      </w:pPr>
    </w:p>
    <w:p>
      <w:pPr>
        <w:ind w:left="522" w:right="940"/>
        <w:spacing w:after="0" w:line="252" w:lineRule="auto"/>
        <w:rPr>
          <w:sz w:val="20"/>
          <w:szCs w:val="20"/>
          <w:color w:val="auto"/>
        </w:rPr>
      </w:pPr>
      <w:r>
        <w:rPr>
          <w:rFonts w:ascii="Arial" w:cs="Arial" w:eastAsia="Arial" w:hAnsi="Arial"/>
          <w:sz w:val="18"/>
          <w:szCs w:val="18"/>
          <w:b w:val="1"/>
          <w:bCs w:val="1"/>
          <w:color w:val="auto"/>
        </w:rPr>
        <w:t>Some of this information is confidential, and some, I believe, is not. What can I use in my work or share with my Thomson Reuters colleagues?</w:t>
      </w:r>
    </w:p>
    <w:p>
      <w:pPr>
        <w:spacing w:after="0" w:line="180" w:lineRule="exact"/>
        <w:rPr>
          <w:sz w:val="20"/>
          <w:szCs w:val="20"/>
          <w:color w:val="auto"/>
        </w:rPr>
      </w:pPr>
    </w:p>
    <w:p>
      <w:pPr>
        <w:ind w:left="522" w:right="380" w:hanging="522"/>
        <w:spacing w:after="0" w:line="358" w:lineRule="auto"/>
        <w:tabs>
          <w:tab w:leader="none" w:pos="230" w:val="left"/>
        </w:tabs>
        <w:numPr>
          <w:ilvl w:val="0"/>
          <w:numId w:val="202"/>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15"/>
          <w:szCs w:val="15"/>
          <w:color w:val="auto"/>
        </w:rPr>
        <w:t xml:space="preserve">  You must not keep or share documents — in any format — related to the competitor’s business that you possessed as an</w:t>
      </w:r>
      <w:r>
        <w:rPr>
          <w:rFonts w:ascii="Arial" w:cs="Arial" w:eastAsia="Arial" w:hAnsi="Arial"/>
          <w:sz w:val="22"/>
          <w:szCs w:val="22"/>
          <w:b w:val="1"/>
          <w:bCs w:val="1"/>
          <w:color w:val="auto"/>
        </w:rPr>
        <w:t xml:space="preserve"> </w:t>
      </w:r>
      <w:r>
        <w:rPr>
          <w:rFonts w:ascii="Arial" w:cs="Arial" w:eastAsia="Arial" w:hAnsi="Arial"/>
          <w:sz w:val="15"/>
          <w:szCs w:val="15"/>
          <w:color w:val="auto"/>
        </w:rPr>
        <w:t>employee of that competitor. Even in the case of information you simply remember, if the information is confidential, you have a personal legal obligation to your former employer to protect it from disclosure, just as you would with Thomson Reuters confidential information if you left the company for a competitor. Sharing such information with Thomson Reuters could also put you and us at risk legally. For the information you recall that you believe is not confidential, it is best to contact the Enterprise Compliance team before revealing it to anyone.</w:t>
      </w:r>
    </w:p>
    <w:p>
      <w:pPr>
        <w:spacing w:after="0" w:line="200" w:lineRule="exact"/>
        <w:rPr>
          <w:sz w:val="20"/>
          <w:szCs w:val="20"/>
          <w:color w:val="auto"/>
        </w:rPr>
      </w:pPr>
    </w:p>
    <w:p>
      <w:pPr>
        <w:spacing w:after="0" w:line="313" w:lineRule="exact"/>
        <w:rPr>
          <w:sz w:val="20"/>
          <w:szCs w:val="20"/>
          <w:color w:val="auto"/>
        </w:rPr>
      </w:pPr>
    </w:p>
    <w:p>
      <w:pPr>
        <w:ind w:left="2"/>
        <w:spacing w:after="0"/>
        <w:rPr>
          <w:sz w:val="20"/>
          <w:szCs w:val="20"/>
          <w:color w:val="auto"/>
        </w:rPr>
      </w:pPr>
      <w:r>
        <w:rPr>
          <w:rFonts w:ascii="Arial" w:cs="Arial" w:eastAsia="Arial" w:hAnsi="Arial"/>
          <w:sz w:val="35"/>
          <w:szCs w:val="35"/>
          <w:b w:val="1"/>
          <w:bCs w:val="1"/>
          <w:color w:val="D64000"/>
        </w:rPr>
        <w:t>Protecting confidential information and data privacy</w:t>
      </w:r>
    </w:p>
    <w:p>
      <w:pPr>
        <w:spacing w:after="0" w:line="332"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auto"/>
        </w:rPr>
        <w:t>We are trusted to . . .</w:t>
      </w:r>
    </w:p>
    <w:p>
      <w:pPr>
        <w:spacing w:after="0" w:line="232" w:lineRule="exact"/>
        <w:rPr>
          <w:sz w:val="20"/>
          <w:szCs w:val="20"/>
          <w:color w:val="auto"/>
        </w:rPr>
      </w:pPr>
    </w:p>
    <w:p>
      <w:pPr>
        <w:ind w:left="2" w:right="640"/>
        <w:spacing w:after="0" w:line="273" w:lineRule="auto"/>
        <w:rPr>
          <w:sz w:val="20"/>
          <w:szCs w:val="20"/>
          <w:color w:val="auto"/>
        </w:rPr>
      </w:pPr>
      <w:r>
        <w:rPr>
          <w:rFonts w:ascii="Arial" w:cs="Arial" w:eastAsia="Arial" w:hAnsi="Arial"/>
          <w:sz w:val="19"/>
          <w:szCs w:val="19"/>
          <w:i w:val="1"/>
          <w:iCs w:val="1"/>
          <w:color w:val="auto"/>
        </w:rPr>
        <w:t>…safeguard and protect the confidentiality and privacy of information that we hold and prevent it from being improperly accessed, shared or lost.</w:t>
      </w:r>
    </w:p>
    <w:p>
      <w:pPr>
        <w:spacing w:after="0" w:line="234"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auto"/>
        </w:rPr>
        <w:t>Why it matters</w:t>
      </w:r>
    </w:p>
    <w:p>
      <w:pPr>
        <w:spacing w:after="0" w:line="232" w:lineRule="exact"/>
        <w:rPr>
          <w:sz w:val="20"/>
          <w:szCs w:val="20"/>
          <w:color w:val="auto"/>
        </w:rPr>
      </w:pPr>
    </w:p>
    <w:p>
      <w:pPr>
        <w:ind w:left="2" w:right="380"/>
        <w:spacing w:after="0" w:line="253" w:lineRule="auto"/>
        <w:rPr>
          <w:sz w:val="20"/>
          <w:szCs w:val="20"/>
          <w:color w:val="auto"/>
        </w:rPr>
      </w:pPr>
      <w:r>
        <w:rPr>
          <w:rFonts w:ascii="Arial" w:cs="Arial" w:eastAsia="Arial" w:hAnsi="Arial"/>
          <w:sz w:val="19"/>
          <w:szCs w:val="19"/>
          <w:color w:val="auto"/>
        </w:rPr>
        <w:t>Our competitive advantage is built on the secure and ethical management of data, including our own confidential data and sensitive data entrusted to us by others. Failure to handle data correctly can lead to market disadvantages, harm to consumers, legal consequences, and damaged business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967740" cy="32829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376" w:lineRule="exact"/>
        <w:rPr>
          <w:sz w:val="20"/>
          <w:szCs w:val="20"/>
          <w:color w:val="auto"/>
        </w:rPr>
      </w:pPr>
    </w:p>
    <w:tbl>
      <w:tblPr>
        <w:tblLayout w:type="fixed"/>
        <w:tblInd w:w="4362"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32</w:t>
            </w:r>
          </w:p>
        </w:tc>
      </w:tr>
    </w:tbl>
    <w:p>
      <w:pPr>
        <w:sectPr>
          <w:pgSz w:w="11900" w:h="16838" w:orient="portrait"/>
          <w:cols w:equalWidth="0" w:num="1">
            <w:col w:w="10822"/>
          </w:cols>
          <w:pgMar w:left="538" w:top="264" w:right="539" w:bottom="1440" w:gutter="0" w:footer="0" w:header="0"/>
        </w:sectPr>
      </w:pPr>
    </w:p>
    <w:bookmarkStart w:id="213" w:name="page214"/>
    <w:bookmarkEnd w:id="213"/>
    <w:p>
      <w:pPr>
        <w:ind w:left="2"/>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How we deliver</w:t>
      </w:r>
    </w:p>
    <w:p>
      <w:pPr>
        <w:spacing w:after="0" w:line="228" w:lineRule="exact"/>
        <w:rPr>
          <w:sz w:val="20"/>
          <w:szCs w:val="20"/>
          <w:color w:val="auto"/>
        </w:rPr>
      </w:pPr>
    </w:p>
    <w:p>
      <w:pPr>
        <w:ind w:left="2"/>
        <w:spacing w:after="0"/>
        <w:rPr>
          <w:sz w:val="20"/>
          <w:szCs w:val="20"/>
          <w:color w:val="auto"/>
        </w:rPr>
      </w:pPr>
      <w:r>
        <w:rPr>
          <w:rFonts w:ascii="Arial" w:cs="Arial" w:eastAsia="Arial" w:hAnsi="Arial"/>
          <w:sz w:val="26"/>
          <w:szCs w:val="26"/>
          <w:i w:val="1"/>
          <w:iCs w:val="1"/>
          <w:color w:val="D64000"/>
        </w:rPr>
        <w:t>Confidential information</w:t>
      </w:r>
    </w:p>
    <w:p>
      <w:pPr>
        <w:spacing w:after="0" w:line="222" w:lineRule="exact"/>
        <w:rPr>
          <w:sz w:val="20"/>
          <w:szCs w:val="20"/>
          <w:color w:val="auto"/>
        </w:rPr>
      </w:pPr>
    </w:p>
    <w:p>
      <w:pPr>
        <w:ind w:left="2" w:right="20"/>
        <w:spacing w:after="0" w:line="273" w:lineRule="auto"/>
        <w:rPr>
          <w:sz w:val="20"/>
          <w:szCs w:val="20"/>
          <w:color w:val="auto"/>
        </w:rPr>
      </w:pPr>
      <w:r>
        <w:rPr>
          <w:rFonts w:ascii="Arial" w:cs="Arial" w:eastAsia="Arial" w:hAnsi="Arial"/>
          <w:sz w:val="19"/>
          <w:szCs w:val="19"/>
          <w:color w:val="auto"/>
        </w:rPr>
        <w:t>Employees with access to nonpublic information about Thomson Reuters, our operations, customers or partners must treat such details as confidential. Disclosure is prohibited unless expressly authorized as required for legitimate business purposes.</w:t>
      </w:r>
    </w:p>
    <w:p>
      <w:pPr>
        <w:sectPr>
          <w:pgSz w:w="11900" w:h="16838" w:orient="portrait"/>
          <w:cols w:equalWidth="0" w:num="1">
            <w:col w:w="10822"/>
          </w:cols>
          <w:pgMar w:left="538" w:top="253" w:right="539" w:bottom="1440" w:gutter="0" w:footer="0" w:header="0"/>
        </w:sectPr>
      </w:pPr>
    </w:p>
    <w:p>
      <w:pPr>
        <w:spacing w:after="0" w:line="57" w:lineRule="exact"/>
        <w:rPr>
          <w:sz w:val="20"/>
          <w:szCs w:val="20"/>
          <w:color w:val="auto"/>
        </w:rPr>
      </w:pPr>
    </w:p>
    <w:p>
      <w:pPr>
        <w:ind w:left="2"/>
        <w:spacing w:after="0" w:line="276" w:lineRule="auto"/>
        <w:rPr>
          <w:sz w:val="20"/>
          <w:szCs w:val="20"/>
          <w:color w:val="auto"/>
        </w:rPr>
      </w:pPr>
      <w:r>
        <w:rPr>
          <w:rFonts w:ascii="Arial" w:cs="Arial" w:eastAsia="Arial" w:hAnsi="Arial"/>
          <w:sz w:val="19"/>
          <w:szCs w:val="19"/>
          <w:b w:val="1"/>
          <w:bCs w:val="1"/>
          <w:color w:val="1A7EE5"/>
        </w:rPr>
        <w:t xml:space="preserve">Strictly Confidential and Confidential </w:t>
      </w:r>
      <w:r>
        <w:rPr>
          <w:rFonts w:ascii="Arial" w:cs="Arial" w:eastAsia="Arial" w:hAnsi="Arial"/>
          <w:sz w:val="19"/>
          <w:szCs w:val="19"/>
          <w:color w:val="000000"/>
        </w:rPr>
        <w:t>information includes some of our most valuable</w:t>
      </w:r>
      <w:r>
        <w:rPr>
          <w:rFonts w:ascii="Arial" w:cs="Arial" w:eastAsia="Arial" w:hAnsi="Arial"/>
          <w:sz w:val="19"/>
          <w:szCs w:val="19"/>
          <w:b w:val="1"/>
          <w:bCs w:val="1"/>
          <w:color w:val="1A7EE5"/>
        </w:rPr>
        <w:t xml:space="preserve"> </w:t>
      </w:r>
      <w:r>
        <w:rPr>
          <w:rFonts w:ascii="Arial" w:cs="Arial" w:eastAsia="Arial" w:hAnsi="Arial"/>
          <w:sz w:val="19"/>
          <w:szCs w:val="19"/>
          <w:color w:val="000000"/>
        </w:rPr>
        <w:t>assets, such as the following examples:</w:t>
      </w:r>
    </w:p>
    <w:p>
      <w:pPr>
        <w:spacing w:after="0" w:line="122" w:lineRule="exact"/>
        <w:rPr>
          <w:sz w:val="20"/>
          <w:szCs w:val="20"/>
          <w:color w:val="auto"/>
        </w:rPr>
      </w:pPr>
    </w:p>
    <w:p>
      <w:pPr>
        <w:ind w:left="282"/>
        <w:spacing w:after="0"/>
        <w:tabs>
          <w:tab w:leader="none" w:pos="582" w:val="left"/>
        </w:tabs>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w:t>
      </w:r>
      <w:r>
        <w:rPr>
          <w:sz w:val="20"/>
          <w:szCs w:val="20"/>
          <w:color w:val="auto"/>
        </w:rPr>
        <w:tab/>
      </w:r>
      <w:r>
        <w:rPr>
          <w:rFonts w:ascii="Arial" w:cs="Arial" w:eastAsia="Arial" w:hAnsi="Arial"/>
          <w:sz w:val="19"/>
          <w:szCs w:val="19"/>
          <w:color w:val="auto"/>
        </w:rPr>
        <w:t>  Trade secrets</w:t>
      </w:r>
    </w:p>
    <w:p>
      <w:pPr>
        <w:spacing w:after="0" w:line="85" w:lineRule="exact"/>
        <w:rPr>
          <w:sz w:val="20"/>
          <w:szCs w:val="20"/>
          <w:color w:val="auto"/>
        </w:rPr>
      </w:pPr>
    </w:p>
    <w:p>
      <w:pPr>
        <w:ind w:left="282"/>
        <w:spacing w:after="0"/>
        <w:tabs>
          <w:tab w:leader="none" w:pos="582" w:val="left"/>
        </w:tabs>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w:t>
      </w:r>
      <w:r>
        <w:rPr>
          <w:sz w:val="20"/>
          <w:szCs w:val="20"/>
          <w:color w:val="auto"/>
        </w:rPr>
        <w:tab/>
      </w:r>
      <w:r>
        <w:rPr>
          <w:rFonts w:ascii="Arial" w:cs="Arial" w:eastAsia="Arial" w:hAnsi="Arial"/>
          <w:sz w:val="19"/>
          <w:szCs w:val="19"/>
          <w:color w:val="auto"/>
        </w:rPr>
        <w:t>  Pricing information</w:t>
      </w:r>
    </w:p>
    <w:p>
      <w:pPr>
        <w:spacing w:after="0" w:line="85" w:lineRule="exact"/>
        <w:rPr>
          <w:sz w:val="20"/>
          <w:szCs w:val="20"/>
          <w:color w:val="auto"/>
        </w:rPr>
      </w:pPr>
    </w:p>
    <w:p>
      <w:pPr>
        <w:ind w:left="282" w:right="1960"/>
        <w:spacing w:after="0" w:line="334"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Nonpublic financial information and customer information</w:t>
      </w:r>
      <w:r>
        <w:rPr>
          <w:rFonts w:ascii="Times New Roman" w:cs="Times New Roman" w:eastAsia="Times New Roman" w:hAnsi="Times New Roman"/>
          <w:sz w:val="18"/>
          <w:szCs w:val="18"/>
          <w:color w:val="D64000"/>
        </w:rPr>
        <w:t xml:space="preserve"> ●</w:t>
      </w:r>
      <w:r>
        <w:rPr>
          <w:rFonts w:ascii="Arial" w:cs="Arial" w:eastAsia="Arial" w:hAnsi="Arial"/>
          <w:sz w:val="19"/>
          <w:szCs w:val="19"/>
          <w:color w:val="000000"/>
        </w:rPr>
        <w:t xml:space="preserve">    Legal documents and privileged communications</w:t>
      </w:r>
    </w:p>
    <w:p>
      <w:pPr>
        <w:ind w:left="282"/>
        <w:spacing w:after="0"/>
        <w:tabs>
          <w:tab w:leader="none" w:pos="582" w:val="left"/>
        </w:tabs>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w:t>
      </w:r>
      <w:r>
        <w:rPr>
          <w:sz w:val="20"/>
          <w:szCs w:val="20"/>
          <w:color w:val="auto"/>
        </w:rPr>
        <w:tab/>
      </w:r>
      <w:r>
        <w:rPr>
          <w:rFonts w:ascii="Arial" w:cs="Arial" w:eastAsia="Arial" w:hAnsi="Arial"/>
          <w:sz w:val="19"/>
          <w:szCs w:val="19"/>
          <w:color w:val="auto"/>
        </w:rPr>
        <w:t>  Information about our IT systems and infrastructure</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3121"/>
        </w:rPr>
        <w:t>Reuters journalists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-271780</wp:posOffset>
            </wp:positionV>
            <wp:extent cx="1708150" cy="13290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708150" cy="1329055"/>
                    </a:xfrm>
                    <a:prstGeom prst="rect">
                      <a:avLst/>
                    </a:prstGeom>
                    <a:noFill/>
                  </pic:spPr>
                </pic:pic>
              </a:graphicData>
            </a:graphic>
          </wp:anchor>
        </w:drawing>
      </w:r>
    </w:p>
    <w:p>
      <w:pPr>
        <w:ind w:right="80"/>
        <w:spacing w:after="0" w:line="245" w:lineRule="auto"/>
        <w:rPr>
          <w:sz w:val="20"/>
          <w:szCs w:val="20"/>
          <w:color w:val="auto"/>
        </w:rPr>
      </w:pPr>
      <w:r>
        <w:rPr>
          <w:rFonts w:ascii="Arial" w:cs="Arial" w:eastAsia="Arial" w:hAnsi="Arial"/>
          <w:sz w:val="16"/>
          <w:szCs w:val="16"/>
          <w:color w:val="auto"/>
        </w:rPr>
        <w:t>should follow the policies and requirements of the Handbook of Journalism and seek guidance from their manager or the General Counsel’s Office.</w:t>
      </w:r>
    </w:p>
    <w:p>
      <w:pPr>
        <w:spacing w:after="0" w:line="211"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b w:val="1"/>
          <w:bCs w:val="1"/>
          <w:color w:val="1A7EE5"/>
        </w:rPr>
        <w:t>Handbook of Journalism on the Intranet</w:t>
      </w:r>
    </w:p>
    <w:p>
      <w:pPr>
        <w:spacing w:after="0" w:line="124" w:lineRule="exact"/>
        <w:rPr>
          <w:sz w:val="20"/>
          <w:szCs w:val="20"/>
          <w:color w:val="auto"/>
        </w:rPr>
      </w:pPr>
    </w:p>
    <w:p>
      <w:pPr>
        <w:sectPr>
          <w:pgSz w:w="11900" w:h="16838" w:orient="portrait"/>
          <w:cols w:equalWidth="0" w:num="2">
            <w:col w:w="7522" w:space="700"/>
            <w:col w:w="2600"/>
          </w:cols>
          <w:pgMar w:left="538" w:top="253" w:right="539" w:bottom="1440" w:gutter="0" w:footer="0" w:header="0"/>
          <w:type w:val="continuous"/>
        </w:sectPr>
      </w:pPr>
    </w:p>
    <w:p>
      <w:pPr>
        <w:ind w:left="282" w:right="2300"/>
        <w:spacing w:after="0" w:line="374"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Customer and product information, including contact details, subscription lists and contracts</w:t>
      </w:r>
      <w:r>
        <w:rPr>
          <w:rFonts w:ascii="Times New Roman" w:cs="Times New Roman" w:eastAsia="Times New Roman" w:hAnsi="Times New Roman"/>
          <w:sz w:val="18"/>
          <w:szCs w:val="18"/>
          <w:color w:val="D64000"/>
        </w:rPr>
        <w:t xml:space="preserve"> ●</w:t>
      </w:r>
      <w:r>
        <w:rPr>
          <w:rFonts w:ascii="Arial" w:cs="Arial" w:eastAsia="Arial" w:hAnsi="Arial"/>
          <w:sz w:val="19"/>
          <w:szCs w:val="19"/>
          <w:color w:val="000000"/>
        </w:rPr>
        <w:t xml:space="preserve">    Business plans and outlooks, including mergers, acquisitions or divestitures</w:t>
      </w:r>
    </w:p>
    <w:p>
      <w:pPr>
        <w:spacing w:after="0" w:line="175" w:lineRule="exact"/>
        <w:rPr>
          <w:sz w:val="20"/>
          <w:szCs w:val="20"/>
          <w:color w:val="auto"/>
        </w:rPr>
      </w:pPr>
    </w:p>
    <w:p>
      <w:pPr>
        <w:ind w:left="2"/>
        <w:spacing w:after="0"/>
        <w:rPr>
          <w:sz w:val="20"/>
          <w:szCs w:val="20"/>
          <w:color w:val="auto"/>
        </w:rPr>
      </w:pPr>
      <w:r>
        <w:rPr>
          <w:rFonts w:ascii="Arial" w:cs="Arial" w:eastAsia="Arial" w:hAnsi="Arial"/>
          <w:sz w:val="26"/>
          <w:szCs w:val="26"/>
          <w:i w:val="1"/>
          <w:iCs w:val="1"/>
          <w:color w:val="D64000"/>
        </w:rPr>
        <w:t>Data protection and privacy</w:t>
      </w:r>
    </w:p>
    <w:p>
      <w:pPr>
        <w:spacing w:after="0" w:line="222" w:lineRule="exact"/>
        <w:rPr>
          <w:sz w:val="20"/>
          <w:szCs w:val="20"/>
          <w:color w:val="auto"/>
        </w:rPr>
      </w:pPr>
    </w:p>
    <w:p>
      <w:pPr>
        <w:ind w:left="2" w:right="100"/>
        <w:spacing w:after="0" w:line="250" w:lineRule="auto"/>
        <w:rPr>
          <w:sz w:val="20"/>
          <w:szCs w:val="20"/>
          <w:color w:val="auto"/>
        </w:rPr>
      </w:pPr>
      <w:r>
        <w:rPr>
          <w:rFonts w:ascii="Arial" w:cs="Arial" w:eastAsia="Arial" w:hAnsi="Arial"/>
          <w:sz w:val="19"/>
          <w:szCs w:val="19"/>
          <w:color w:val="auto"/>
        </w:rPr>
        <w:t xml:space="preserve">Data protection and privacy are governed by rapidly evolving laws and regulations. Use the following references to stay informed, and consult the Enterprise Compliance and Privacy Office through our Legal Front Door on the Atrium for guidance on personal data collection, use, retention and transfer. For more information visit: </w:t>
      </w:r>
      <w:r>
        <w:rPr>
          <w:rFonts w:ascii="Arial" w:cs="Arial" w:eastAsia="Arial" w:hAnsi="Arial"/>
          <w:sz w:val="19"/>
          <w:szCs w:val="19"/>
          <w:b w:val="1"/>
          <w:bCs w:val="1"/>
          <w:color w:val="1A7EE5"/>
        </w:rPr>
        <w:t>Privacy Office on the Intranet</w:t>
      </w:r>
      <w:r>
        <w:rPr>
          <w:rFonts w:ascii="Arial" w:cs="Arial" w:eastAsia="Arial" w:hAnsi="Arial"/>
          <w:sz w:val="19"/>
          <w:szCs w:val="19"/>
          <w:color w:val="auto"/>
        </w:rPr>
        <w:t xml:space="preserve"> and </w:t>
      </w:r>
      <w:r>
        <w:rPr>
          <w:rFonts w:ascii="Arial" w:cs="Arial" w:eastAsia="Arial" w:hAnsi="Arial"/>
          <w:sz w:val="19"/>
          <w:szCs w:val="19"/>
          <w:b w:val="1"/>
          <w:bCs w:val="1"/>
          <w:color w:val="1A7EE5"/>
        </w:rPr>
        <w:t>Information Security Handbook and Policies on the Intranet</w:t>
      </w:r>
      <w:r>
        <w:rPr>
          <w:rFonts w:ascii="Arial" w:cs="Arial" w:eastAsia="Arial" w:hAnsi="Arial"/>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6865620" cy="280162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865620" cy="2801620"/>
                    </a:xfrm>
                    <a:prstGeom prst="rect">
                      <a:avLst/>
                    </a:prstGeom>
                    <a:noFill/>
                  </pic:spPr>
                </pic:pic>
              </a:graphicData>
            </a:graphic>
          </wp:anchor>
        </w:drawing>
      </w:r>
    </w:p>
    <w:p>
      <w:pPr>
        <w:spacing w:after="0" w:line="262" w:lineRule="exact"/>
        <w:rPr>
          <w:sz w:val="20"/>
          <w:szCs w:val="20"/>
          <w:color w:val="auto"/>
        </w:rPr>
      </w:pPr>
    </w:p>
    <w:p>
      <w:pPr>
        <w:ind w:left="222" w:hanging="222"/>
        <w:spacing w:after="0"/>
        <w:tabs>
          <w:tab w:leader="none" w:pos="222" w:val="left"/>
        </w:tabs>
        <w:numPr>
          <w:ilvl w:val="0"/>
          <w:numId w:val="203"/>
        </w:numPr>
        <w:rPr>
          <w:rFonts w:ascii="Arial" w:cs="Arial" w:eastAsia="Arial" w:hAnsi="Arial"/>
          <w:sz w:val="19"/>
          <w:szCs w:val="19"/>
          <w:b w:val="1"/>
          <w:bCs w:val="1"/>
          <w:i w:val="1"/>
          <w:iCs w:val="1"/>
          <w:color w:val="123121"/>
        </w:rPr>
      </w:pPr>
      <w:r>
        <w:rPr>
          <w:rFonts w:ascii="Arial" w:cs="Arial" w:eastAsia="Arial" w:hAnsi="Arial"/>
          <w:sz w:val="19"/>
          <w:szCs w:val="19"/>
          <w:b w:val="1"/>
          <w:bCs w:val="1"/>
          <w:i w:val="1"/>
          <w:iCs w:val="1"/>
          <w:color w:val="123121"/>
        </w:rPr>
        <w:t>Important information security practices</w:t>
      </w:r>
    </w:p>
    <w:p>
      <w:pPr>
        <w:spacing w:after="0" w:line="117" w:lineRule="exact"/>
        <w:rPr>
          <w:rFonts w:ascii="Arial" w:cs="Arial" w:eastAsia="Arial" w:hAnsi="Arial"/>
          <w:sz w:val="19"/>
          <w:szCs w:val="19"/>
          <w:b w:val="1"/>
          <w:bCs w:val="1"/>
          <w:i w:val="1"/>
          <w:iCs w:val="1"/>
          <w:color w:val="123121"/>
        </w:rPr>
      </w:pPr>
    </w:p>
    <w:p>
      <w:pPr>
        <w:ind w:left="222"/>
        <w:spacing w:after="0"/>
        <w:rPr>
          <w:rFonts w:ascii="Arial" w:cs="Arial" w:eastAsia="Arial" w:hAnsi="Arial"/>
          <w:sz w:val="19"/>
          <w:szCs w:val="19"/>
          <w:b w:val="1"/>
          <w:bCs w:val="1"/>
          <w:i w:val="1"/>
          <w:iCs w:val="1"/>
          <w:color w:val="123121"/>
        </w:rPr>
      </w:pPr>
      <w:r>
        <w:rPr>
          <w:rFonts w:ascii="Arial" w:cs="Arial" w:eastAsia="Arial" w:hAnsi="Arial"/>
          <w:sz w:val="18"/>
          <w:szCs w:val="18"/>
          <w:color w:val="auto"/>
        </w:rPr>
        <w:t>  There are many ways to protect data effectively. For example:</w:t>
      </w:r>
    </w:p>
    <w:p>
      <w:pPr>
        <w:spacing w:after="0" w:line="229" w:lineRule="exact"/>
        <w:rPr>
          <w:sz w:val="20"/>
          <w:szCs w:val="20"/>
          <w:color w:val="auto"/>
        </w:rPr>
      </w:pPr>
    </w:p>
    <w:p>
      <w:pPr>
        <w:ind w:left="662" w:right="780" w:hanging="140"/>
        <w:spacing w:after="0" w:line="274"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Remember that public instant messaging services including, but not limited to, WhatsApp and Signal are unapproved for</w:t>
      </w:r>
      <w:r>
        <w:rPr>
          <w:rFonts w:ascii="Times New Roman" w:cs="Times New Roman" w:eastAsia="Times New Roman" w:hAnsi="Times New Roman"/>
          <w:sz w:val="18"/>
          <w:szCs w:val="18"/>
          <w:color w:val="D64000"/>
        </w:rPr>
        <w:t xml:space="preserve"> </w:t>
      </w:r>
      <w:r>
        <w:rPr>
          <w:rFonts w:ascii="Arial" w:cs="Arial" w:eastAsia="Arial" w:hAnsi="Arial"/>
          <w:sz w:val="18"/>
          <w:szCs w:val="18"/>
          <w:color w:val="000000"/>
        </w:rPr>
        <w:t>conducting TR business</w:t>
      </w:r>
    </w:p>
    <w:p>
      <w:pPr>
        <w:spacing w:after="0" w:line="16" w:lineRule="exact"/>
        <w:rPr>
          <w:sz w:val="20"/>
          <w:szCs w:val="20"/>
          <w:color w:val="auto"/>
        </w:rPr>
      </w:pPr>
    </w:p>
    <w:p>
      <w:pPr>
        <w:ind w:left="522"/>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Put sensitive documents in locked files or drawers</w:t>
      </w:r>
    </w:p>
    <w:p>
      <w:pPr>
        <w:spacing w:after="0" w:line="84" w:lineRule="exact"/>
        <w:rPr>
          <w:sz w:val="20"/>
          <w:szCs w:val="20"/>
          <w:color w:val="auto"/>
        </w:rPr>
      </w:pPr>
    </w:p>
    <w:p>
      <w:pPr>
        <w:ind w:left="522"/>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Use shredders or secure shred bins when discarding confidential information</w:t>
      </w:r>
    </w:p>
    <w:p>
      <w:pPr>
        <w:spacing w:after="0" w:line="84" w:lineRule="exact"/>
        <w:rPr>
          <w:sz w:val="20"/>
          <w:szCs w:val="20"/>
          <w:color w:val="auto"/>
        </w:rPr>
      </w:pPr>
    </w:p>
    <w:p>
      <w:pPr>
        <w:ind w:left="522" w:right="3960"/>
        <w:spacing w:after="0" w:line="356" w:lineRule="auto"/>
        <w:rPr>
          <w:sz w:val="20"/>
          <w:szCs w:val="20"/>
          <w:color w:val="auto"/>
        </w:rPr>
      </w:pPr>
      <w:r>
        <w:rPr>
          <w:rFonts w:ascii="Times New Roman" w:cs="Times New Roman" w:eastAsia="Times New Roman" w:hAnsi="Times New Roman"/>
          <w:sz w:val="17"/>
          <w:szCs w:val="17"/>
          <w:color w:val="D64000"/>
        </w:rPr>
        <w:t>●</w:t>
      </w:r>
      <w:r>
        <w:rPr>
          <w:rFonts w:ascii="Arial" w:cs="Arial" w:eastAsia="Arial" w:hAnsi="Arial"/>
          <w:sz w:val="17"/>
          <w:szCs w:val="17"/>
          <w:color w:val="000000"/>
        </w:rPr>
        <w:t> Use password protection on computers, other devices and sensitive documents</w:t>
      </w:r>
      <w:r>
        <w:rPr>
          <w:rFonts w:ascii="Times New Roman" w:cs="Times New Roman" w:eastAsia="Times New Roman" w:hAnsi="Times New Roman"/>
          <w:sz w:val="17"/>
          <w:szCs w:val="17"/>
          <w:color w:val="D64000"/>
        </w:rPr>
        <w:t xml:space="preserve"> ●</w:t>
      </w:r>
      <w:r>
        <w:rPr>
          <w:rFonts w:ascii="Arial" w:cs="Arial" w:eastAsia="Arial" w:hAnsi="Arial"/>
          <w:sz w:val="17"/>
          <w:szCs w:val="17"/>
          <w:color w:val="000000"/>
        </w:rPr>
        <w:t> Use encryption when storing and transmitting confidential information</w:t>
      </w:r>
    </w:p>
    <w:p>
      <w:pPr>
        <w:spacing w:after="0" w:line="1" w:lineRule="exact"/>
        <w:rPr>
          <w:sz w:val="20"/>
          <w:szCs w:val="20"/>
          <w:color w:val="auto"/>
        </w:rPr>
      </w:pPr>
    </w:p>
    <w:p>
      <w:pPr>
        <w:ind w:left="662" w:right="520" w:hanging="140"/>
        <w:spacing w:after="0" w:line="274"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Take care when accessing information in areas where members of the public or other unauthorized persons, including other</w:t>
      </w:r>
      <w:r>
        <w:rPr>
          <w:rFonts w:ascii="Times New Roman" w:cs="Times New Roman" w:eastAsia="Times New Roman" w:hAnsi="Times New Roman"/>
          <w:sz w:val="18"/>
          <w:szCs w:val="18"/>
          <w:color w:val="D64000"/>
        </w:rPr>
        <w:t xml:space="preserve"> </w:t>
      </w:r>
      <w:r>
        <w:rPr>
          <w:rFonts w:ascii="Arial" w:cs="Arial" w:eastAsia="Arial" w:hAnsi="Arial"/>
          <w:sz w:val="18"/>
          <w:szCs w:val="18"/>
          <w:color w:val="000000"/>
        </w:rPr>
        <w:t>colleagues, might see it</w:t>
      </w:r>
    </w:p>
    <w:p>
      <w:pPr>
        <w:spacing w:after="0" w:line="16" w:lineRule="exact"/>
        <w:rPr>
          <w:sz w:val="20"/>
          <w:szCs w:val="20"/>
          <w:color w:val="auto"/>
        </w:rPr>
      </w:pPr>
    </w:p>
    <w:p>
      <w:pPr>
        <w:ind w:left="522"/>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Securely back up devices on a regular basis</w:t>
      </w:r>
    </w:p>
    <w:p>
      <w:pPr>
        <w:spacing w:after="0" w:line="84" w:lineRule="exact"/>
        <w:rPr>
          <w:sz w:val="20"/>
          <w:szCs w:val="20"/>
          <w:color w:val="auto"/>
        </w:rPr>
      </w:pPr>
    </w:p>
    <w:p>
      <w:pPr>
        <w:ind w:left="522"/>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Use caution when connecting to public Wi-Fi and utilize a virtual private network (VPN)</w:t>
      </w:r>
    </w:p>
    <w:p>
      <w:pPr>
        <w:spacing w:after="0" w:line="240" w:lineRule="exact"/>
        <w:rPr>
          <w:sz w:val="20"/>
          <w:szCs w:val="20"/>
          <w:color w:val="auto"/>
        </w:rPr>
      </w:pPr>
    </w:p>
    <w:p>
      <w:pPr>
        <w:ind w:left="222" w:right="940"/>
        <w:spacing w:after="0" w:line="284" w:lineRule="auto"/>
        <w:rPr>
          <w:sz w:val="20"/>
          <w:szCs w:val="20"/>
          <w:color w:val="auto"/>
        </w:rPr>
      </w:pPr>
      <w:r>
        <w:rPr>
          <w:rFonts w:ascii="Arial" w:cs="Arial" w:eastAsia="Arial" w:hAnsi="Arial"/>
          <w:sz w:val="19"/>
          <w:szCs w:val="19"/>
          <w:color w:val="auto"/>
        </w:rPr>
        <w:t xml:space="preserve">Report damaged or lost laptops and other devices, security incidents and personal data breaches immediately to </w:t>
      </w:r>
      <w:r>
        <w:rPr>
          <w:rFonts w:ascii="Arial" w:cs="Arial" w:eastAsia="Arial" w:hAnsi="Arial"/>
          <w:sz w:val="19"/>
          <w:szCs w:val="19"/>
          <w:b w:val="1"/>
          <w:bCs w:val="1"/>
          <w:color w:val="1A7EE5"/>
        </w:rPr>
        <w:t>security@thomsonreuters.com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189865</wp:posOffset>
            </wp:positionV>
            <wp:extent cx="967740" cy="32829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tbl>
      <w:tblPr>
        <w:tblLayout w:type="fixed"/>
        <w:tblInd w:w="4362"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33</w:t>
            </w:r>
          </w:p>
        </w:tc>
      </w:tr>
    </w:tbl>
    <w:p>
      <w:pPr>
        <w:sectPr>
          <w:pgSz w:w="11900" w:h="16838" w:orient="portrait"/>
          <w:cols w:equalWidth="0" w:num="1">
            <w:col w:w="10822"/>
          </w:cols>
          <w:pgMar w:left="538" w:top="253" w:right="539" w:bottom="1440" w:gutter="0" w:footer="0" w:header="0"/>
          <w:type w:val="continuous"/>
        </w:sectPr>
      </w:pPr>
    </w:p>
    <w:bookmarkStart w:id="214" w:name="page215"/>
    <w:bookmarkEnd w:id="214"/>
    <w:p>
      <w:pPr>
        <w:ind w:left="222" w:hanging="222"/>
        <w:spacing w:after="0"/>
        <w:tabs>
          <w:tab w:leader="none" w:pos="222" w:val="left"/>
        </w:tabs>
        <w:numPr>
          <w:ilvl w:val="0"/>
          <w:numId w:val="204"/>
        </w:numPr>
        <w:rPr>
          <w:rFonts w:ascii="Arial" w:cs="Arial" w:eastAsia="Arial" w:hAnsi="Arial"/>
          <w:sz w:val="35"/>
          <w:szCs w:val="35"/>
          <w:color w:val="auto"/>
          <w:vertAlign w:val="subscript"/>
        </w:rPr>
      </w:pPr>
      <w:r>
        <w:rPr>
          <w:rFonts w:ascii="Arial" w:cs="Arial" w:eastAsia="Arial" w:hAnsi="Arial"/>
          <w:sz w:val="19"/>
          <w:szCs w:val="19"/>
          <w:b w:val="1"/>
          <w:bCs w:val="1"/>
          <w:i w:val="1"/>
          <w:iCs w:val="1"/>
          <w:color w:val="123121"/>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Reporting data breaches</w:t>
      </w:r>
    </w:p>
    <w:p>
      <w:pPr>
        <w:spacing w:after="0" w:line="86" w:lineRule="exact"/>
        <w:rPr>
          <w:rFonts w:ascii="Arial" w:cs="Arial" w:eastAsia="Arial" w:hAnsi="Arial"/>
          <w:sz w:val="35"/>
          <w:szCs w:val="35"/>
          <w:color w:val="auto"/>
          <w:vertAlign w:val="subscript"/>
        </w:rPr>
      </w:pPr>
    </w:p>
    <w:p>
      <w:pPr>
        <w:ind w:left="222" w:right="220"/>
        <w:spacing w:after="0" w:line="237" w:lineRule="auto"/>
        <w:rPr>
          <w:rFonts w:ascii="Arial" w:cs="Arial" w:eastAsia="Arial" w:hAnsi="Arial"/>
          <w:sz w:val="35"/>
          <w:szCs w:val="35"/>
          <w:color w:val="auto"/>
          <w:vertAlign w:val="subscript"/>
        </w:rPr>
      </w:pPr>
      <w:r>
        <w:rPr>
          <w:rFonts w:ascii="Arial" w:cs="Arial" w:eastAsia="Arial" w:hAnsi="Arial"/>
          <w:sz w:val="18"/>
          <w:szCs w:val="18"/>
          <w:color w:val="auto"/>
        </w:rPr>
        <w:t xml:space="preserve">Any time we know or suspect that a breach of data security has occurred, whether accidental or intentional, we must report it </w:t>
      </w:r>
      <w:r>
        <w:rPr>
          <w:rFonts w:ascii="Arial" w:cs="Arial" w:eastAsia="Arial" w:hAnsi="Arial"/>
          <w:sz w:val="18"/>
          <w:szCs w:val="18"/>
          <w:b w:val="1"/>
          <w:bCs w:val="1"/>
          <w:i w:val="1"/>
          <w:iCs w:val="1"/>
          <w:color w:val="auto"/>
        </w:rPr>
        <w:t xml:space="preserve">immediately </w:t>
      </w:r>
      <w:r>
        <w:rPr>
          <w:rFonts w:ascii="Arial" w:cs="Arial" w:eastAsia="Arial" w:hAnsi="Arial"/>
          <w:sz w:val="18"/>
          <w:szCs w:val="18"/>
          <w:color w:val="auto"/>
        </w:rPr>
        <w:t>to</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1A7EE5"/>
        </w:rPr>
        <w:t>security@thomsonreuters.com.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Doing so promptly can mitigate the effects of the breach and help us take the right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actions quickly to manage the incident, secure the data and reduce the risk of future breaches.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-666115</wp:posOffset>
            </wp:positionV>
            <wp:extent cx="6865620" cy="79946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865620" cy="799465"/>
                    </a:xfrm>
                    <a:prstGeom prst="rect">
                      <a:avLst/>
                    </a:prstGeom>
                    <a:noFill/>
                  </pic:spPr>
                </pic:pic>
              </a:graphicData>
            </a:graphic>
          </wp:anchor>
        </w:drawing>
      </w:r>
    </w:p>
    <w:p>
      <w:pPr>
        <w:spacing w:after="0" w:line="270" w:lineRule="exact"/>
        <w:rPr>
          <w:sz w:val="20"/>
          <w:szCs w:val="20"/>
          <w:color w:val="auto"/>
        </w:rPr>
      </w:pPr>
    </w:p>
    <w:p>
      <w:pPr>
        <w:ind w:left="2"/>
        <w:spacing w:after="0"/>
        <w:rPr>
          <w:sz w:val="20"/>
          <w:szCs w:val="20"/>
          <w:color w:val="auto"/>
        </w:rPr>
      </w:pPr>
      <w:r>
        <w:rPr>
          <w:rFonts w:ascii="Arial" w:cs="Arial" w:eastAsia="Arial" w:hAnsi="Arial"/>
          <w:sz w:val="26"/>
          <w:szCs w:val="26"/>
          <w:i w:val="1"/>
          <w:iCs w:val="1"/>
          <w:color w:val="D64000"/>
        </w:rPr>
        <w:t>Using and protecting our confidential information and other data</w:t>
      </w:r>
    </w:p>
    <w:p>
      <w:pPr>
        <w:spacing w:after="0" w:line="169" w:lineRule="exact"/>
        <w:rPr>
          <w:sz w:val="20"/>
          <w:szCs w:val="20"/>
          <w:color w:val="auto"/>
        </w:rPr>
      </w:pPr>
    </w:p>
    <w:p>
      <w:pPr>
        <w:ind w:left="2"/>
        <w:spacing w:after="0"/>
        <w:rPr>
          <w:sz w:val="20"/>
          <w:szCs w:val="20"/>
          <w:color w:val="auto"/>
        </w:rPr>
      </w:pPr>
      <w:r>
        <w:rPr>
          <w:rFonts w:ascii="Arial" w:cs="Arial" w:eastAsia="Arial" w:hAnsi="Arial"/>
          <w:sz w:val="19"/>
          <w:szCs w:val="19"/>
          <w:color w:val="auto"/>
        </w:rPr>
        <w:t>We have established information security and privacy policies to safeguard confidential and personal data. Pursuant to the</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9"/>
          <w:szCs w:val="19"/>
          <w:color w:val="auto"/>
        </w:rPr>
        <w:t>Thomson Reuters Privacy Program, employees are expected to:</w:t>
      </w:r>
    </w:p>
    <w:p>
      <w:pPr>
        <w:spacing w:after="0" w:line="214" w:lineRule="exact"/>
        <w:rPr>
          <w:sz w:val="20"/>
          <w:szCs w:val="20"/>
          <w:color w:val="auto"/>
        </w:rPr>
      </w:pPr>
    </w:p>
    <w:p>
      <w:pPr>
        <w:ind w:left="842" w:hanging="418"/>
        <w:spacing w:after="0"/>
        <w:tabs>
          <w:tab w:leader="none" w:pos="842" w:val="left"/>
        </w:tabs>
        <w:numPr>
          <w:ilvl w:val="0"/>
          <w:numId w:val="205"/>
        </w:numPr>
        <w:rPr>
          <w:rFonts w:ascii="Times New Roman" w:cs="Times New Roman" w:eastAsia="Times New Roman" w:hAnsi="Times New Roman"/>
          <w:sz w:val="18"/>
          <w:szCs w:val="18"/>
          <w:color w:val="D64000"/>
        </w:rPr>
      </w:pPr>
      <w:r>
        <w:rPr>
          <w:rFonts w:ascii="Arial" w:cs="Arial" w:eastAsia="Arial" w:hAnsi="Arial"/>
          <w:sz w:val="19"/>
          <w:szCs w:val="19"/>
          <w:color w:val="auto"/>
        </w:rPr>
        <w:t>Understand privacy and data protection laws relevant to their role</w:t>
      </w:r>
    </w:p>
    <w:p>
      <w:pPr>
        <w:spacing w:after="0" w:line="73" w:lineRule="exact"/>
        <w:rPr>
          <w:rFonts w:ascii="Times New Roman" w:cs="Times New Roman" w:eastAsia="Times New Roman" w:hAnsi="Times New Roman"/>
          <w:sz w:val="18"/>
          <w:szCs w:val="18"/>
          <w:color w:val="D64000"/>
        </w:rPr>
      </w:pPr>
    </w:p>
    <w:p>
      <w:pPr>
        <w:ind w:left="842" w:hanging="418"/>
        <w:spacing w:after="0"/>
        <w:tabs>
          <w:tab w:leader="none" w:pos="842" w:val="left"/>
        </w:tabs>
        <w:numPr>
          <w:ilvl w:val="0"/>
          <w:numId w:val="205"/>
        </w:numPr>
        <w:rPr>
          <w:rFonts w:ascii="Times New Roman" w:cs="Times New Roman" w:eastAsia="Times New Roman" w:hAnsi="Times New Roman"/>
          <w:sz w:val="18"/>
          <w:szCs w:val="18"/>
          <w:color w:val="D64000"/>
        </w:rPr>
      </w:pPr>
      <w:r>
        <w:rPr>
          <w:rFonts w:ascii="Arial" w:cs="Arial" w:eastAsia="Arial" w:hAnsi="Arial"/>
          <w:sz w:val="19"/>
          <w:szCs w:val="19"/>
          <w:color w:val="auto"/>
        </w:rPr>
        <w:t>Adhere to internal privacy and information security policies</w:t>
      </w:r>
    </w:p>
    <w:p>
      <w:pPr>
        <w:spacing w:after="0" w:line="73" w:lineRule="exact"/>
        <w:rPr>
          <w:rFonts w:ascii="Times New Roman" w:cs="Times New Roman" w:eastAsia="Times New Roman" w:hAnsi="Times New Roman"/>
          <w:sz w:val="18"/>
          <w:szCs w:val="18"/>
          <w:color w:val="D64000"/>
        </w:rPr>
      </w:pPr>
    </w:p>
    <w:p>
      <w:pPr>
        <w:ind w:left="842" w:hanging="418"/>
        <w:spacing w:after="0"/>
        <w:tabs>
          <w:tab w:leader="none" w:pos="842" w:val="left"/>
        </w:tabs>
        <w:numPr>
          <w:ilvl w:val="0"/>
          <w:numId w:val="205"/>
        </w:numPr>
        <w:rPr>
          <w:rFonts w:ascii="Times New Roman" w:cs="Times New Roman" w:eastAsia="Times New Roman" w:hAnsi="Times New Roman"/>
          <w:sz w:val="18"/>
          <w:szCs w:val="18"/>
          <w:color w:val="D64000"/>
        </w:rPr>
      </w:pPr>
      <w:r>
        <w:rPr>
          <w:rFonts w:ascii="Arial" w:cs="Arial" w:eastAsia="Arial" w:hAnsi="Arial"/>
          <w:sz w:val="19"/>
          <w:szCs w:val="19"/>
          <w:color w:val="auto"/>
        </w:rPr>
        <w:t>Classify data correctly and handle it accordingly</w:t>
      </w:r>
    </w:p>
    <w:p>
      <w:pPr>
        <w:spacing w:after="0" w:line="73" w:lineRule="exact"/>
        <w:rPr>
          <w:rFonts w:ascii="Times New Roman" w:cs="Times New Roman" w:eastAsia="Times New Roman" w:hAnsi="Times New Roman"/>
          <w:sz w:val="18"/>
          <w:szCs w:val="18"/>
          <w:color w:val="D64000"/>
        </w:rPr>
      </w:pPr>
    </w:p>
    <w:p>
      <w:pPr>
        <w:ind w:left="842" w:hanging="418"/>
        <w:spacing w:after="0"/>
        <w:tabs>
          <w:tab w:leader="none" w:pos="842" w:val="left"/>
        </w:tabs>
        <w:numPr>
          <w:ilvl w:val="0"/>
          <w:numId w:val="205"/>
        </w:numPr>
        <w:rPr>
          <w:rFonts w:ascii="Times New Roman" w:cs="Times New Roman" w:eastAsia="Times New Roman" w:hAnsi="Times New Roman"/>
          <w:sz w:val="18"/>
          <w:szCs w:val="18"/>
          <w:color w:val="D64000"/>
        </w:rPr>
      </w:pPr>
      <w:r>
        <w:rPr>
          <w:rFonts w:ascii="Arial" w:cs="Arial" w:eastAsia="Arial" w:hAnsi="Arial"/>
          <w:sz w:val="19"/>
          <w:szCs w:val="19"/>
          <w:color w:val="auto"/>
        </w:rPr>
        <w:t>Use company-approved information storage devices</w:t>
      </w:r>
    </w:p>
    <w:p>
      <w:pPr>
        <w:spacing w:after="0" w:line="73" w:lineRule="exact"/>
        <w:rPr>
          <w:rFonts w:ascii="Times New Roman" w:cs="Times New Roman" w:eastAsia="Times New Roman" w:hAnsi="Times New Roman"/>
          <w:sz w:val="18"/>
          <w:szCs w:val="18"/>
          <w:color w:val="D64000"/>
        </w:rPr>
      </w:pPr>
    </w:p>
    <w:p>
      <w:pPr>
        <w:ind w:left="842" w:hanging="418"/>
        <w:spacing w:after="0"/>
        <w:tabs>
          <w:tab w:leader="none" w:pos="842" w:val="left"/>
        </w:tabs>
        <w:numPr>
          <w:ilvl w:val="0"/>
          <w:numId w:val="205"/>
        </w:numPr>
        <w:rPr>
          <w:rFonts w:ascii="Times New Roman" w:cs="Times New Roman" w:eastAsia="Times New Roman" w:hAnsi="Times New Roman"/>
          <w:sz w:val="18"/>
          <w:szCs w:val="18"/>
          <w:color w:val="D64000"/>
        </w:rPr>
      </w:pPr>
      <w:r>
        <w:rPr>
          <w:rFonts w:ascii="Arial" w:cs="Arial" w:eastAsia="Arial" w:hAnsi="Arial"/>
          <w:sz w:val="19"/>
          <w:szCs w:val="19"/>
          <w:color w:val="auto"/>
        </w:rPr>
        <w:t>Comply with our Privacy Statement, Internal Privacy Policy, and all applicable laws when managing personal data</w:t>
      </w:r>
    </w:p>
    <w:p>
      <w:pPr>
        <w:spacing w:after="0" w:line="73" w:lineRule="exact"/>
        <w:rPr>
          <w:rFonts w:ascii="Times New Roman" w:cs="Times New Roman" w:eastAsia="Times New Roman" w:hAnsi="Times New Roman"/>
          <w:sz w:val="18"/>
          <w:szCs w:val="18"/>
          <w:color w:val="D64000"/>
        </w:rPr>
      </w:pPr>
    </w:p>
    <w:p>
      <w:pPr>
        <w:ind w:left="842" w:hanging="418"/>
        <w:spacing w:after="0"/>
        <w:tabs>
          <w:tab w:leader="none" w:pos="842" w:val="left"/>
        </w:tabs>
        <w:numPr>
          <w:ilvl w:val="0"/>
          <w:numId w:val="205"/>
        </w:numPr>
        <w:rPr>
          <w:rFonts w:ascii="Times New Roman" w:cs="Times New Roman" w:eastAsia="Times New Roman" w:hAnsi="Times New Roman"/>
          <w:sz w:val="18"/>
          <w:szCs w:val="18"/>
          <w:color w:val="D64000"/>
        </w:rPr>
      </w:pPr>
      <w:r>
        <w:rPr>
          <w:rFonts w:ascii="Arial" w:cs="Arial" w:eastAsia="Arial" w:hAnsi="Arial"/>
          <w:sz w:val="19"/>
          <w:szCs w:val="19"/>
          <w:color w:val="auto"/>
        </w:rPr>
        <w:t>Obtain authorization before sharing any confidential or personal information</w:t>
      </w:r>
    </w:p>
    <w:p>
      <w:pPr>
        <w:spacing w:after="0" w:line="73" w:lineRule="exact"/>
        <w:rPr>
          <w:rFonts w:ascii="Times New Roman" w:cs="Times New Roman" w:eastAsia="Times New Roman" w:hAnsi="Times New Roman"/>
          <w:sz w:val="18"/>
          <w:szCs w:val="18"/>
          <w:color w:val="D64000"/>
        </w:rPr>
      </w:pPr>
    </w:p>
    <w:p>
      <w:pPr>
        <w:ind w:left="842" w:hanging="418"/>
        <w:spacing w:after="0"/>
        <w:tabs>
          <w:tab w:leader="none" w:pos="842" w:val="left"/>
        </w:tabs>
        <w:numPr>
          <w:ilvl w:val="0"/>
          <w:numId w:val="205"/>
        </w:numPr>
        <w:rPr>
          <w:rFonts w:ascii="Times New Roman" w:cs="Times New Roman" w:eastAsia="Times New Roman" w:hAnsi="Times New Roman"/>
          <w:sz w:val="18"/>
          <w:szCs w:val="18"/>
          <w:color w:val="D64000"/>
        </w:rPr>
      </w:pPr>
      <w:r>
        <w:rPr>
          <w:rFonts w:ascii="Arial" w:cs="Arial" w:eastAsia="Arial" w:hAnsi="Arial"/>
          <w:sz w:val="19"/>
          <w:szCs w:val="19"/>
          <w:color w:val="auto"/>
        </w:rPr>
        <w:t>Protect Thomson Reuters confidential information even after we leave the company</w:t>
      </w:r>
    </w:p>
    <w:p>
      <w:pPr>
        <w:spacing w:after="0" w:line="310"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1A7EE5"/>
        </w:rPr>
        <w:t>Privacy Office on the Intranet</w:t>
      </w:r>
    </w:p>
    <w:p>
      <w:pPr>
        <w:spacing w:after="0" w:line="206"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1A7EE5"/>
        </w:rPr>
        <w:t>Information Security Handbook on the Intranet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wp:posOffset>
            </wp:positionV>
            <wp:extent cx="6899275" cy="155638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899275" cy="1556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22" w:hanging="222"/>
        <w:spacing w:after="0"/>
        <w:tabs>
          <w:tab w:leader="none" w:pos="222" w:val="left"/>
        </w:tabs>
        <w:numPr>
          <w:ilvl w:val="0"/>
          <w:numId w:val="206"/>
        </w:numPr>
        <w:rPr>
          <w:rFonts w:ascii="Arial" w:cs="Arial" w:eastAsia="Arial" w:hAnsi="Arial"/>
          <w:sz w:val="21"/>
          <w:szCs w:val="21"/>
          <w:b w:val="1"/>
          <w:bCs w:val="1"/>
          <w:i w:val="1"/>
          <w:iCs w:val="1"/>
          <w:color w:val="D64000"/>
        </w:rPr>
      </w:pPr>
      <w:r>
        <w:rPr>
          <w:rFonts w:ascii="Arial" w:cs="Arial" w:eastAsia="Arial" w:hAnsi="Arial"/>
          <w:sz w:val="21"/>
          <w:szCs w:val="21"/>
          <w:b w:val="1"/>
          <w:bCs w:val="1"/>
          <w:i w:val="1"/>
          <w:iCs w:val="1"/>
          <w:color w:val="D64000"/>
        </w:rPr>
        <w:t>Connecting the dots</w:t>
      </w:r>
    </w:p>
    <w:p>
      <w:pPr>
        <w:spacing w:after="0" w:line="186" w:lineRule="exact"/>
        <w:rPr>
          <w:rFonts w:ascii="Arial" w:cs="Arial" w:eastAsia="Arial" w:hAnsi="Arial"/>
          <w:sz w:val="21"/>
          <w:szCs w:val="21"/>
          <w:b w:val="1"/>
          <w:bCs w:val="1"/>
          <w:i w:val="1"/>
          <w:iCs w:val="1"/>
          <w:color w:val="D64000"/>
        </w:rPr>
      </w:pPr>
    </w:p>
    <w:p>
      <w:pPr>
        <w:ind w:left="242" w:hanging="242"/>
        <w:spacing w:after="0"/>
        <w:tabs>
          <w:tab w:leader="none" w:pos="242" w:val="left"/>
        </w:tabs>
        <w:numPr>
          <w:ilvl w:val="0"/>
          <w:numId w:val="206"/>
        </w:numPr>
        <w:rPr>
          <w:rFonts w:ascii="Arial" w:cs="Arial" w:eastAsia="Arial" w:hAnsi="Arial"/>
          <w:sz w:val="24"/>
          <w:szCs w:val="24"/>
          <w:b w:val="1"/>
          <w:bCs w:val="1"/>
          <w:color w:val="auto"/>
        </w:rPr>
      </w:pPr>
      <w:r>
        <w:rPr>
          <w:rFonts w:ascii="Arial" w:cs="Arial" w:eastAsia="Arial" w:hAnsi="Arial"/>
          <w:sz w:val="24"/>
          <w:szCs w:val="24"/>
          <w:b w:val="1"/>
          <w:bCs w:val="1"/>
          <w:color w:val="auto"/>
        </w:rPr>
        <w:t>Q</w:t>
      </w:r>
      <w:r>
        <w:rPr>
          <w:rFonts w:ascii="Arial" w:cs="Arial" w:eastAsia="Arial" w:hAnsi="Arial"/>
          <w:sz w:val="16"/>
          <w:szCs w:val="16"/>
          <w:b w:val="1"/>
          <w:bCs w:val="1"/>
          <w:color w:val="auto"/>
        </w:rPr>
        <w:t xml:space="preserve">  A customer recently told me he doesn’t want to receive marketing e-mails from Thomson Reuters. What should I do?</w:t>
      </w:r>
    </w:p>
    <w:p>
      <w:pPr>
        <w:spacing w:after="0" w:line="201" w:lineRule="exact"/>
        <w:rPr>
          <w:rFonts w:ascii="Arial" w:cs="Arial" w:eastAsia="Arial" w:hAnsi="Arial"/>
          <w:sz w:val="24"/>
          <w:szCs w:val="24"/>
          <w:b w:val="1"/>
          <w:bCs w:val="1"/>
          <w:color w:val="auto"/>
        </w:rPr>
      </w:pPr>
    </w:p>
    <w:p>
      <w:pPr>
        <w:ind w:left="242" w:hanging="242"/>
        <w:spacing w:after="0"/>
        <w:tabs>
          <w:tab w:leader="none" w:pos="242" w:val="left"/>
        </w:tabs>
        <w:numPr>
          <w:ilvl w:val="0"/>
          <w:numId w:val="206"/>
        </w:numPr>
        <w:rPr>
          <w:rFonts w:ascii="Arial" w:cs="Arial" w:eastAsia="Arial" w:hAnsi="Arial"/>
          <w:sz w:val="24"/>
          <w:szCs w:val="24"/>
          <w:b w:val="1"/>
          <w:bCs w:val="1"/>
          <w:color w:val="auto"/>
        </w:rPr>
      </w:pPr>
      <w:r>
        <w:rPr>
          <w:rFonts w:ascii="Arial" w:cs="Arial" w:eastAsia="Arial" w:hAnsi="Arial"/>
          <w:sz w:val="24"/>
          <w:szCs w:val="24"/>
          <w:b w:val="1"/>
          <w:bCs w:val="1"/>
          <w:color w:val="auto"/>
        </w:rPr>
        <w:t>A</w:t>
      </w:r>
      <w:r>
        <w:rPr>
          <w:rFonts w:ascii="Arial" w:cs="Arial" w:eastAsia="Arial" w:hAnsi="Arial"/>
          <w:sz w:val="16"/>
          <w:szCs w:val="16"/>
          <w:color w:val="auto"/>
        </w:rPr>
        <w:t xml:space="preserve">  Immediately contact the Enterprise Compliance &amp; Privacy Office. Privacy laws granting individuals the right to opt-out of or</w:t>
      </w:r>
    </w:p>
    <w:p>
      <w:pPr>
        <w:spacing w:after="0" w:line="37" w:lineRule="exact"/>
        <w:rPr>
          <w:sz w:val="20"/>
          <w:szCs w:val="20"/>
          <w:color w:val="auto"/>
        </w:rPr>
      </w:pPr>
    </w:p>
    <w:p>
      <w:pPr>
        <w:ind w:left="522"/>
        <w:spacing w:after="0"/>
        <w:rPr>
          <w:sz w:val="20"/>
          <w:szCs w:val="20"/>
          <w:color w:val="auto"/>
        </w:rPr>
      </w:pPr>
      <w:r>
        <w:rPr>
          <w:rFonts w:ascii="Arial" w:cs="Arial" w:eastAsia="Arial" w:hAnsi="Arial"/>
          <w:sz w:val="18"/>
          <w:szCs w:val="18"/>
          <w:color w:val="auto"/>
        </w:rPr>
        <w:t>unsubscribe from marketing emails may give us a short timeframe in which to honor those requests.</w:t>
      </w:r>
    </w:p>
    <w:p>
      <w:pPr>
        <w:spacing w:after="0" w:line="214" w:lineRule="exact"/>
        <w:rPr>
          <w:sz w:val="20"/>
          <w:szCs w:val="20"/>
          <w:color w:val="auto"/>
        </w:rPr>
      </w:pPr>
    </w:p>
    <w:p>
      <w:pPr>
        <w:ind w:left="2"/>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865620" cy="95059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865620" cy="950595"/>
                    </a:xfrm>
                    <a:prstGeom prst="rect">
                      <a:avLst/>
                    </a:prstGeom>
                    <a:noFill/>
                  </pic:spPr>
                </pic:pic>
              </a:graphicData>
            </a:graphic>
          </wp:anchor>
        </w:drawing>
      </w:r>
    </w:p>
    <w:p>
      <w:pPr>
        <w:spacing w:after="0" w:line="66" w:lineRule="exact"/>
        <w:rPr>
          <w:sz w:val="20"/>
          <w:szCs w:val="20"/>
          <w:color w:val="auto"/>
        </w:rPr>
      </w:pPr>
    </w:p>
    <w:p>
      <w:pPr>
        <w:ind w:left="522" w:right="860" w:hanging="522"/>
        <w:spacing w:after="0" w:line="249" w:lineRule="auto"/>
        <w:tabs>
          <w:tab w:leader="none" w:pos="239" w:val="left"/>
        </w:tabs>
        <w:numPr>
          <w:ilvl w:val="0"/>
          <w:numId w:val="207"/>
        </w:numPr>
        <w:rPr>
          <w:rFonts w:ascii="Arial" w:cs="Arial" w:eastAsia="Arial" w:hAnsi="Arial"/>
          <w:sz w:val="23"/>
          <w:szCs w:val="23"/>
          <w:b w:val="1"/>
          <w:bCs w:val="1"/>
          <w:color w:val="auto"/>
        </w:rPr>
      </w:pPr>
      <w:r>
        <w:rPr>
          <w:rFonts w:ascii="Arial" w:cs="Arial" w:eastAsia="Arial" w:hAnsi="Arial"/>
          <w:sz w:val="23"/>
          <w:szCs w:val="23"/>
          <w:b w:val="1"/>
          <w:bCs w:val="1"/>
          <w:color w:val="auto"/>
        </w:rPr>
        <w:t>Q</w:t>
      </w:r>
      <w:r>
        <w:rPr>
          <w:rFonts w:ascii="Arial" w:cs="Arial" w:eastAsia="Arial" w:hAnsi="Arial"/>
          <w:sz w:val="16"/>
          <w:szCs w:val="16"/>
          <w:b w:val="1"/>
          <w:bCs w:val="1"/>
          <w:color w:val="auto"/>
        </w:rPr>
        <w:t xml:space="preserve">  I received a request from an individual seeking access to the personal data we hold about them and asking us to</w:t>
      </w:r>
      <w:r>
        <w:rPr>
          <w:rFonts w:ascii="Arial" w:cs="Arial" w:eastAsia="Arial" w:hAnsi="Arial"/>
          <w:sz w:val="23"/>
          <w:szCs w:val="23"/>
          <w:b w:val="1"/>
          <w:bCs w:val="1"/>
          <w:color w:val="auto"/>
        </w:rPr>
        <w:t xml:space="preserve"> </w:t>
      </w:r>
      <w:r>
        <w:rPr>
          <w:rFonts w:ascii="Arial" w:cs="Arial" w:eastAsia="Arial" w:hAnsi="Arial"/>
          <w:sz w:val="16"/>
          <w:szCs w:val="16"/>
          <w:b w:val="1"/>
          <w:bCs w:val="1"/>
          <w:color w:val="auto"/>
        </w:rPr>
        <w:t>delete/correct/complete that data. What should I do?</w:t>
      </w:r>
    </w:p>
    <w:p>
      <w:pPr>
        <w:spacing w:after="0" w:line="126" w:lineRule="exact"/>
        <w:rPr>
          <w:rFonts w:ascii="Arial" w:cs="Arial" w:eastAsia="Arial" w:hAnsi="Arial"/>
          <w:sz w:val="23"/>
          <w:szCs w:val="23"/>
          <w:b w:val="1"/>
          <w:bCs w:val="1"/>
          <w:color w:val="auto"/>
        </w:rPr>
      </w:pPr>
    </w:p>
    <w:p>
      <w:pPr>
        <w:ind w:left="522" w:right="100" w:hanging="522"/>
        <w:spacing w:after="0" w:line="384" w:lineRule="auto"/>
        <w:tabs>
          <w:tab w:leader="none" w:pos="230" w:val="left"/>
        </w:tabs>
        <w:numPr>
          <w:ilvl w:val="0"/>
          <w:numId w:val="207"/>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15"/>
          <w:szCs w:val="15"/>
          <w:color w:val="auto"/>
        </w:rPr>
        <w:t xml:space="preserve">  Immediately contact the Enterprise Compliance &amp; Privacy Office. Privacy laws granting individuals certain rights over their personal</w:t>
      </w:r>
      <w:r>
        <w:rPr>
          <w:rFonts w:ascii="Arial" w:cs="Arial" w:eastAsia="Arial" w:hAnsi="Arial"/>
          <w:sz w:val="22"/>
          <w:szCs w:val="22"/>
          <w:b w:val="1"/>
          <w:bCs w:val="1"/>
          <w:color w:val="auto"/>
        </w:rPr>
        <w:t xml:space="preserve"> </w:t>
      </w:r>
      <w:r>
        <w:rPr>
          <w:rFonts w:ascii="Arial" w:cs="Arial" w:eastAsia="Arial" w:hAnsi="Arial"/>
          <w:sz w:val="15"/>
          <w:szCs w:val="15"/>
          <w:color w:val="auto"/>
        </w:rPr>
        <w:t>data may give us a short timeframe in which to honor those requests.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967740" cy="32829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4362"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34</w:t>
            </w:r>
          </w:p>
        </w:tc>
      </w:tr>
    </w:tbl>
    <w:p>
      <w:pPr>
        <w:sectPr>
          <w:pgSz w:w="11900" w:h="16838" w:orient="portrait"/>
          <w:cols w:equalWidth="0" w:num="1">
            <w:col w:w="10822"/>
          </w:cols>
          <w:pgMar w:left="538" w:top="233" w:right="539" w:bottom="1440" w:gutter="0" w:footer="0" w:header="0"/>
        </w:sectPr>
      </w:pPr>
    </w:p>
    <w:bookmarkStart w:id="215" w:name="page216"/>
    <w:bookmarkEnd w:id="215"/>
    <w:p>
      <w:pPr>
        <w:ind w:left="2"/>
        <w:spacing w:after="0"/>
        <w:rPr>
          <w:sz w:val="20"/>
          <w:szCs w:val="20"/>
          <w:color w:val="auto"/>
        </w:rPr>
      </w:pPr>
      <w:r>
        <w:rPr>
          <w:rFonts w:ascii="Arial" w:cs="Arial" w:eastAsia="Arial" w:hAnsi="Arial"/>
          <w:sz w:val="26"/>
          <w:szCs w:val="26"/>
          <w:i w:val="1"/>
          <w:iCs w:val="1"/>
          <w:color w:val="D64000"/>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Insider trading</w:t>
      </w:r>
    </w:p>
    <w:p>
      <w:pPr>
        <w:spacing w:after="0" w:line="222" w:lineRule="exact"/>
        <w:rPr>
          <w:sz w:val="20"/>
          <w:szCs w:val="20"/>
          <w:color w:val="auto"/>
        </w:rPr>
      </w:pPr>
    </w:p>
    <w:p>
      <w:pPr>
        <w:ind w:left="2" w:right="60"/>
        <w:spacing w:after="0" w:line="246" w:lineRule="auto"/>
        <w:rPr>
          <w:sz w:val="20"/>
          <w:szCs w:val="20"/>
          <w:color w:val="auto"/>
        </w:rPr>
      </w:pPr>
      <w:r>
        <w:rPr>
          <w:rFonts w:ascii="Arial" w:cs="Arial" w:eastAsia="Arial" w:hAnsi="Arial"/>
          <w:sz w:val="19"/>
          <w:szCs w:val="19"/>
          <w:color w:val="auto"/>
        </w:rPr>
        <w:t>Some of us have access to material nonpublic information about Thomson Reuters, our customers, suppliers or other companies with which Thomson Reuters either does business or is negotiating a significant transaction or agreement. Misuse of material nonpublic information could result in violations of insider trading laws and carry severe penalties. We are careful to treat this “inside information” lawfully and ethically. This means we:</w:t>
      </w:r>
    </w:p>
    <w:p>
      <w:pPr>
        <w:spacing w:after="0" w:line="191" w:lineRule="exact"/>
        <w:rPr>
          <w:sz w:val="20"/>
          <w:szCs w:val="20"/>
          <w:color w:val="auto"/>
        </w:rPr>
      </w:pPr>
    </w:p>
    <w:p>
      <w:pPr>
        <w:ind w:left="842" w:right="380" w:hanging="418"/>
        <w:spacing w:after="0" w:line="273" w:lineRule="auto"/>
        <w:tabs>
          <w:tab w:leader="none" w:pos="842" w:val="left"/>
        </w:tabs>
        <w:numPr>
          <w:ilvl w:val="0"/>
          <w:numId w:val="208"/>
        </w:numPr>
        <w:rPr>
          <w:rFonts w:ascii="Times New Roman" w:cs="Times New Roman" w:eastAsia="Times New Roman" w:hAnsi="Times New Roman"/>
          <w:sz w:val="18"/>
          <w:szCs w:val="18"/>
          <w:color w:val="D64000"/>
        </w:rPr>
      </w:pPr>
      <w:r>
        <w:rPr>
          <w:rFonts w:ascii="Arial" w:cs="Arial" w:eastAsia="Arial" w:hAnsi="Arial"/>
          <w:sz w:val="19"/>
          <w:szCs w:val="19"/>
          <w:color w:val="auto"/>
        </w:rPr>
        <w:t>Do not trade in or encourage another person to trade in Thomson Reuters securities or securities of other public companies while in possession of material nonpublic information</w:t>
      </w:r>
    </w:p>
    <w:p>
      <w:pPr>
        <w:spacing w:after="0" w:line="6" w:lineRule="exact"/>
        <w:rPr>
          <w:rFonts w:ascii="Times New Roman" w:cs="Times New Roman" w:eastAsia="Times New Roman" w:hAnsi="Times New Roman"/>
          <w:sz w:val="18"/>
          <w:szCs w:val="18"/>
          <w:color w:val="D64000"/>
        </w:rPr>
      </w:pPr>
    </w:p>
    <w:p>
      <w:pPr>
        <w:ind w:left="842" w:right="440" w:hanging="418"/>
        <w:spacing w:after="0" w:line="253" w:lineRule="auto"/>
        <w:tabs>
          <w:tab w:leader="none" w:pos="842" w:val="left"/>
        </w:tabs>
        <w:numPr>
          <w:ilvl w:val="0"/>
          <w:numId w:val="208"/>
        </w:numPr>
        <w:rPr>
          <w:rFonts w:ascii="Times New Roman" w:cs="Times New Roman" w:eastAsia="Times New Roman" w:hAnsi="Times New Roman"/>
          <w:sz w:val="18"/>
          <w:szCs w:val="18"/>
          <w:color w:val="D64000"/>
        </w:rPr>
      </w:pPr>
      <w:r>
        <w:rPr>
          <w:rFonts w:ascii="Arial" w:cs="Arial" w:eastAsia="Arial" w:hAnsi="Arial"/>
          <w:sz w:val="19"/>
          <w:szCs w:val="19"/>
          <w:color w:val="auto"/>
        </w:rPr>
        <w:t>Do not engage in “tipping” — the disclosure of material nonpublic information about Thomson Reuters or other public companies to other people, such as relatives or friends, who may trade on the basis of the information or disclose it to others</w:t>
      </w:r>
    </w:p>
    <w:p>
      <w:pPr>
        <w:spacing w:after="0" w:line="157" w:lineRule="exact"/>
        <w:rPr>
          <w:sz w:val="20"/>
          <w:szCs w:val="20"/>
          <w:color w:val="auto"/>
        </w:rPr>
      </w:pPr>
    </w:p>
    <w:p>
      <w:pPr>
        <w:ind w:left="2" w:right="280"/>
        <w:spacing w:after="0" w:line="273" w:lineRule="auto"/>
        <w:rPr>
          <w:sz w:val="20"/>
          <w:szCs w:val="20"/>
          <w:color w:val="auto"/>
        </w:rPr>
      </w:pPr>
      <w:r>
        <w:rPr>
          <w:rFonts w:ascii="Arial" w:cs="Arial" w:eastAsia="Arial" w:hAnsi="Arial"/>
          <w:sz w:val="19"/>
          <w:szCs w:val="19"/>
          <w:color w:val="auto"/>
        </w:rPr>
        <w:t>If you are not sure whether certain information is considered material or nonpublic, consult the General Counsel’s Office for guidance before engaging in any securities transactions.</w:t>
      </w:r>
    </w:p>
    <w:p>
      <w:pPr>
        <w:spacing w:after="0" w:line="137"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1A7EE5"/>
        </w:rPr>
        <w:t>Insider Trading Policy on the Intranet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wp:posOffset>
            </wp:positionV>
            <wp:extent cx="6865620" cy="82423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865620" cy="824230"/>
                    </a:xfrm>
                    <a:prstGeom prst="rect">
                      <a:avLst/>
                    </a:prstGeom>
                    <a:noFill/>
                  </pic:spPr>
                </pic:pic>
              </a:graphicData>
            </a:graphic>
          </wp:anchor>
        </w:drawing>
      </w:r>
    </w:p>
    <w:p>
      <w:pPr>
        <w:spacing w:after="0" w:line="320" w:lineRule="exact"/>
        <w:rPr>
          <w:sz w:val="20"/>
          <w:szCs w:val="20"/>
          <w:color w:val="auto"/>
        </w:rPr>
      </w:pPr>
    </w:p>
    <w:p>
      <w:pPr>
        <w:ind w:left="222"/>
        <w:spacing w:after="0"/>
        <w:rPr>
          <w:sz w:val="20"/>
          <w:szCs w:val="20"/>
          <w:color w:val="auto"/>
        </w:rPr>
      </w:pPr>
      <w:r>
        <w:rPr>
          <w:rFonts w:ascii="Arial" w:cs="Arial" w:eastAsia="Arial" w:hAnsi="Arial"/>
          <w:sz w:val="19"/>
          <w:szCs w:val="19"/>
          <w:b w:val="1"/>
          <w:bCs w:val="1"/>
          <w:i w:val="1"/>
          <w:iCs w:val="1"/>
          <w:color w:val="123121"/>
        </w:rPr>
        <w:t>Insiders</w:t>
      </w:r>
    </w:p>
    <w:p>
      <w:pPr>
        <w:spacing w:after="0" w:line="113" w:lineRule="exact"/>
        <w:rPr>
          <w:sz w:val="20"/>
          <w:szCs w:val="20"/>
          <w:color w:val="auto"/>
        </w:rPr>
      </w:pPr>
    </w:p>
    <w:p>
      <w:pPr>
        <w:ind w:left="222" w:right="220"/>
        <w:spacing w:after="0" w:line="253" w:lineRule="auto"/>
        <w:rPr>
          <w:sz w:val="20"/>
          <w:szCs w:val="20"/>
          <w:color w:val="auto"/>
        </w:rPr>
      </w:pPr>
      <w:r>
        <w:rPr>
          <w:rFonts w:ascii="Arial" w:cs="Arial" w:eastAsia="Arial" w:hAnsi="Arial"/>
          <w:sz w:val="19"/>
          <w:szCs w:val="19"/>
          <w:color w:val="auto"/>
        </w:rPr>
        <w:t>We have designated certain people as “Thomson Reuters Insiders” because of their position, managerial responsibilities, or access or potential access to material nonpublic information about the company. Thomson Reuters Insiders are subject to additional restrictions related to trading in securities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248285</wp:posOffset>
            </wp:positionV>
            <wp:extent cx="6865620" cy="275971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65620" cy="275971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222" w:hanging="222"/>
        <w:spacing w:after="0"/>
        <w:tabs>
          <w:tab w:leader="none" w:pos="222" w:val="left"/>
        </w:tabs>
        <w:numPr>
          <w:ilvl w:val="0"/>
          <w:numId w:val="209"/>
        </w:numPr>
        <w:rPr>
          <w:rFonts w:ascii="Arial" w:cs="Arial" w:eastAsia="Arial" w:hAnsi="Arial"/>
          <w:sz w:val="19"/>
          <w:szCs w:val="19"/>
          <w:b w:val="1"/>
          <w:bCs w:val="1"/>
          <w:i w:val="1"/>
          <w:iCs w:val="1"/>
          <w:color w:val="123121"/>
        </w:rPr>
      </w:pPr>
      <w:r>
        <w:rPr>
          <w:rFonts w:ascii="Arial" w:cs="Arial" w:eastAsia="Arial" w:hAnsi="Arial"/>
          <w:sz w:val="19"/>
          <w:szCs w:val="19"/>
          <w:b w:val="1"/>
          <w:bCs w:val="1"/>
          <w:i w:val="1"/>
          <w:iCs w:val="1"/>
          <w:color w:val="123121"/>
        </w:rPr>
        <w:t>Inside information</w:t>
      </w:r>
    </w:p>
    <w:p>
      <w:pPr>
        <w:spacing w:after="0" w:line="117" w:lineRule="exact"/>
        <w:rPr>
          <w:rFonts w:ascii="Arial" w:cs="Arial" w:eastAsia="Arial" w:hAnsi="Arial"/>
          <w:sz w:val="19"/>
          <w:szCs w:val="19"/>
          <w:b w:val="1"/>
          <w:bCs w:val="1"/>
          <w:i w:val="1"/>
          <w:iCs w:val="1"/>
          <w:color w:val="123121"/>
        </w:rPr>
      </w:pPr>
    </w:p>
    <w:p>
      <w:pPr>
        <w:ind w:left="222" w:right="320"/>
        <w:spacing w:after="0" w:line="236" w:lineRule="auto"/>
        <w:rPr>
          <w:rFonts w:ascii="Arial" w:cs="Arial" w:eastAsia="Arial" w:hAnsi="Arial"/>
          <w:sz w:val="19"/>
          <w:szCs w:val="19"/>
          <w:b w:val="1"/>
          <w:bCs w:val="1"/>
          <w:i w:val="1"/>
          <w:iCs w:val="1"/>
          <w:color w:val="123121"/>
        </w:rPr>
      </w:pPr>
      <w:r>
        <w:rPr>
          <w:rFonts w:ascii="Arial" w:cs="Arial" w:eastAsia="Arial" w:hAnsi="Arial"/>
          <w:sz w:val="18"/>
          <w:szCs w:val="18"/>
          <w:color w:val="auto"/>
        </w:rPr>
        <w:t>Whether information is “material” and “nonpublic” depends on the facts and circumstances. Information is material if it would, if generally available, reasonably be expected to result in a significant change in, or have a significant effect on, the market price or value of any securities. Information also is material if it would have a significant influence on a reasonable investor’s investment decisions. Information is nonpublic if it is not generally known or available to the public through an official company communication, such as a press release, website posting, securities filing or distribution to shareholders or through widely reported media coverage. Examples of material nonpublic information may include:</w:t>
      </w:r>
    </w:p>
    <w:p>
      <w:pPr>
        <w:spacing w:after="0" w:line="208" w:lineRule="exact"/>
        <w:rPr>
          <w:sz w:val="20"/>
          <w:szCs w:val="20"/>
          <w:color w:val="auto"/>
        </w:rPr>
      </w:pPr>
    </w:p>
    <w:p>
      <w:pPr>
        <w:ind w:left="522" w:right="2400"/>
        <w:spacing w:after="0" w:line="336"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Earnings results and any future financial forecasts or outlooks that have not been publicly disclosed</w:t>
      </w:r>
      <w:r>
        <w:rPr>
          <w:rFonts w:ascii="Times New Roman" w:cs="Times New Roman" w:eastAsia="Times New Roman" w:hAnsi="Times New Roman"/>
          <w:sz w:val="18"/>
          <w:szCs w:val="18"/>
          <w:color w:val="D64000"/>
        </w:rPr>
        <w:t xml:space="preserve"> ●</w:t>
      </w:r>
      <w:r>
        <w:rPr>
          <w:rFonts w:ascii="Arial" w:cs="Arial" w:eastAsia="Arial" w:hAnsi="Arial"/>
          <w:sz w:val="18"/>
          <w:szCs w:val="18"/>
          <w:color w:val="000000"/>
        </w:rPr>
        <w:t> Significant changes in business operations or strategies</w:t>
      </w:r>
      <w:r>
        <w:rPr>
          <w:rFonts w:ascii="Times New Roman" w:cs="Times New Roman" w:eastAsia="Times New Roman" w:hAnsi="Times New Roman"/>
          <w:sz w:val="18"/>
          <w:szCs w:val="18"/>
          <w:color w:val="D64000"/>
        </w:rPr>
        <w:t xml:space="preserve"> ●</w:t>
      </w:r>
      <w:r>
        <w:rPr>
          <w:rFonts w:ascii="Arial" w:cs="Arial" w:eastAsia="Arial" w:hAnsi="Arial"/>
          <w:sz w:val="18"/>
          <w:szCs w:val="18"/>
          <w:color w:val="000000"/>
        </w:rPr>
        <w:t> Significant potential acquisitions or sales</w:t>
      </w:r>
    </w:p>
    <w:p>
      <w:pPr>
        <w:spacing w:after="0" w:line="2" w:lineRule="exact"/>
        <w:rPr>
          <w:sz w:val="20"/>
          <w:szCs w:val="20"/>
          <w:color w:val="auto"/>
        </w:rPr>
      </w:pPr>
    </w:p>
    <w:p>
      <w:pPr>
        <w:ind w:left="522" w:right="2380"/>
        <w:spacing w:after="0" w:line="336"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Cybersecurity or other technology-related risks and incidents, including vulnerabilities and breaches</w:t>
      </w:r>
      <w:r>
        <w:rPr>
          <w:rFonts w:ascii="Times New Roman" w:cs="Times New Roman" w:eastAsia="Times New Roman" w:hAnsi="Times New Roman"/>
          <w:sz w:val="18"/>
          <w:szCs w:val="18"/>
          <w:color w:val="D64000"/>
        </w:rPr>
        <w:t xml:space="preserve"> ●</w:t>
      </w:r>
      <w:r>
        <w:rPr>
          <w:rFonts w:ascii="Arial" w:cs="Arial" w:eastAsia="Arial" w:hAnsi="Arial"/>
          <w:sz w:val="18"/>
          <w:szCs w:val="18"/>
          <w:color w:val="000000"/>
        </w:rPr>
        <w:t> Gains or losses of major suppliers or customers</w:t>
      </w:r>
    </w:p>
    <w:p>
      <w:pPr>
        <w:spacing w:after="0" w:line="1" w:lineRule="exact"/>
        <w:rPr>
          <w:sz w:val="20"/>
          <w:szCs w:val="20"/>
          <w:color w:val="auto"/>
        </w:rPr>
      </w:pPr>
    </w:p>
    <w:p>
      <w:pPr>
        <w:ind w:left="522"/>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Introductions or launches of new, significant products or services</w:t>
      </w:r>
    </w:p>
    <w:p>
      <w:pPr>
        <w:spacing w:after="0" w:line="84" w:lineRule="exact"/>
        <w:rPr>
          <w:sz w:val="20"/>
          <w:szCs w:val="20"/>
          <w:color w:val="auto"/>
        </w:rPr>
      </w:pPr>
    </w:p>
    <w:p>
      <w:pPr>
        <w:ind w:left="522"/>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Changes in senior management or our Board of Directors</w:t>
      </w:r>
    </w:p>
    <w:p>
      <w:pPr>
        <w:spacing w:after="0" w:line="84" w:lineRule="exact"/>
        <w:rPr>
          <w:sz w:val="20"/>
          <w:szCs w:val="20"/>
          <w:color w:val="auto"/>
        </w:rPr>
      </w:pPr>
    </w:p>
    <w:p>
      <w:pPr>
        <w:ind w:left="522"/>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Actual or threatened significant lawsuits or material government or regulatory investigation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250190</wp:posOffset>
            </wp:positionV>
            <wp:extent cx="967740" cy="32829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362"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35</w:t>
            </w:r>
          </w:p>
        </w:tc>
      </w:tr>
    </w:tbl>
    <w:p>
      <w:pPr>
        <w:sectPr>
          <w:pgSz w:w="11900" w:h="16838" w:orient="portrait"/>
          <w:cols w:equalWidth="0" w:num="1">
            <w:col w:w="10822"/>
          </w:cols>
          <w:pgMar w:left="538" w:top="260" w:right="539" w:bottom="1440" w:gutter="0" w:footer="0" w:header="0"/>
        </w:sectPr>
      </w:pPr>
    </w:p>
    <w:bookmarkStart w:id="216" w:name="page217"/>
    <w:bookmarkEnd w:id="216"/>
    <w:p>
      <w:pPr>
        <w:spacing w:after="0"/>
        <w:rPr>
          <w:sz w:val="20"/>
          <w:szCs w:val="20"/>
          <w:color w:val="auto"/>
        </w:rPr>
      </w:pPr>
      <w:r>
        <w:rPr>
          <w:rFonts w:ascii="Arial" w:cs="Arial" w:eastAsia="Arial" w:hAnsi="Arial"/>
          <w:sz w:val="35"/>
          <w:szCs w:val="35"/>
          <w:b w:val="1"/>
          <w:bCs w:val="1"/>
          <w:color w:val="D64000"/>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Using information and communications systems responsibly</w:t>
      </w:r>
    </w:p>
    <w:p>
      <w:pPr>
        <w:spacing w:after="0" w:line="26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We are trusted to . . .</w:t>
      </w:r>
    </w:p>
    <w:p>
      <w:pPr>
        <w:spacing w:after="0" w:line="192"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i w:val="1"/>
          <w:iCs w:val="1"/>
          <w:color w:val="auto"/>
        </w:rPr>
        <w:t>…respect company communications systems and use them appropriately so that they operate as efficiently and effectively as possible.</w:t>
      </w:r>
    </w:p>
    <w:p>
      <w:pPr>
        <w:spacing w:after="0" w:line="18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Why it matters</w:t>
      </w:r>
    </w:p>
    <w:p>
      <w:pPr>
        <w:spacing w:after="0" w:line="179" w:lineRule="exact"/>
        <w:rPr>
          <w:sz w:val="20"/>
          <w:szCs w:val="20"/>
          <w:color w:val="auto"/>
        </w:rPr>
      </w:pPr>
    </w:p>
    <w:p>
      <w:pPr>
        <w:ind w:right="80"/>
        <w:spacing w:after="0" w:line="243" w:lineRule="auto"/>
        <w:rPr>
          <w:sz w:val="20"/>
          <w:szCs w:val="20"/>
          <w:color w:val="auto"/>
        </w:rPr>
      </w:pPr>
      <w:r>
        <w:rPr>
          <w:rFonts w:ascii="Arial" w:cs="Arial" w:eastAsia="Arial" w:hAnsi="Arial"/>
          <w:sz w:val="19"/>
          <w:szCs w:val="19"/>
          <w:color w:val="auto"/>
        </w:rPr>
        <w:t>Nearly all of the work Thomson Reuters does on a daily basis runs in some way through our information and communications systems. When we each take personal responsibility for using these systems properly, it protects the integrity of the data we store and transmit, and it ensures that we all have prompt access to the systems we need to help our company thrive. Likewise, improper use leaves us all vulnerable to hackers, data breaches, shutdowns and miscommunications, as well as legal repercussions.</w:t>
      </w:r>
    </w:p>
    <w:p>
      <w:pPr>
        <w:spacing w:after="0" w:line="208"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How we deliver</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color w:val="auto"/>
        </w:rPr>
        <w:t>We use company information and communications systems properly. This means we:</w:t>
      </w:r>
    </w:p>
    <w:p>
      <w:pPr>
        <w:spacing w:after="0" w:line="2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Limit personal use of e-mail, the internet and phones</w:t>
      </w:r>
    </w:p>
    <w:p>
      <w:pPr>
        <w:spacing w:after="0" w:line="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When sending e-mail or opening attachments, follow the process of “think before you click”</w:t>
      </w:r>
    </w:p>
    <w:p>
      <w:pPr>
        <w:spacing w:after="0" w:line="46" w:lineRule="exact"/>
        <w:rPr>
          <w:sz w:val="20"/>
          <w:szCs w:val="20"/>
          <w:color w:val="auto"/>
        </w:rPr>
      </w:pPr>
    </w:p>
    <w:p>
      <w:pPr>
        <w:ind w:left="280" w:right="540"/>
        <w:spacing w:after="0" w:line="265"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Do not access, download or send material that is offensive, harassing, explicit or otherwise inappropriate for work</w:t>
      </w:r>
      <w:r>
        <w:rPr>
          <w:rFonts w:ascii="Times New Roman" w:cs="Times New Roman" w:eastAsia="Times New Roman" w:hAnsi="Times New Roman"/>
          <w:sz w:val="18"/>
          <w:szCs w:val="18"/>
          <w:color w:val="D64000"/>
        </w:rPr>
        <w:t xml:space="preserve"> ●</w:t>
      </w:r>
      <w:r>
        <w:rPr>
          <w:rFonts w:ascii="Arial" w:cs="Arial" w:eastAsia="Arial" w:hAnsi="Arial"/>
          <w:sz w:val="19"/>
          <w:szCs w:val="19"/>
          <w:color w:val="000000"/>
        </w:rPr>
        <w:t xml:space="preserve">    Never use, download or redistribute personal, unauthorized or copyrighted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-116205</wp:posOffset>
            </wp:positionV>
            <wp:extent cx="2195830" cy="103505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195830" cy="1035050"/>
                    </a:xfrm>
                    <a:prstGeom prst="rect">
                      <a:avLst/>
                    </a:prstGeom>
                    <a:noFill/>
                  </pic:spPr>
                </pic:pic>
              </a:graphicData>
            </a:graphic>
          </wp:anchor>
        </w:drawing>
      </w:r>
    </w:p>
    <w:p>
      <w:pPr>
        <w:sectPr>
          <w:pgSz w:w="11900" w:h="16838" w:orient="portrait"/>
          <w:cols w:equalWidth="0" w:num="1">
            <w:col w:w="10820"/>
          </w:cols>
          <w:pgMar w:left="540" w:top="248" w:right="539" w:bottom="1440" w:gutter="0" w:footer="0" w:header="0"/>
        </w:sectPr>
      </w:pPr>
    </w:p>
    <w:p>
      <w:pPr>
        <w:spacing w:after="0" w:line="20" w:lineRule="exact"/>
        <w:rPr>
          <w:sz w:val="20"/>
          <w:szCs w:val="20"/>
          <w:color w:val="auto"/>
        </w:rPr>
      </w:pPr>
    </w:p>
    <w:p>
      <w:pPr>
        <w:ind w:left="580"/>
        <w:spacing w:after="0"/>
        <w:rPr>
          <w:sz w:val="20"/>
          <w:szCs w:val="20"/>
          <w:color w:val="auto"/>
        </w:rPr>
      </w:pPr>
      <w:r>
        <w:rPr>
          <w:rFonts w:ascii="Arial" w:cs="Arial" w:eastAsia="Arial" w:hAnsi="Arial"/>
          <w:sz w:val="19"/>
          <w:szCs w:val="19"/>
          <w:color w:val="auto"/>
        </w:rPr>
        <w:t>software on work devices</w:t>
      </w:r>
    </w:p>
    <w:p>
      <w:pPr>
        <w:spacing w:after="0" w:line="37" w:lineRule="exact"/>
        <w:rPr>
          <w:sz w:val="20"/>
          <w:szCs w:val="20"/>
          <w:color w:val="auto"/>
        </w:rPr>
      </w:pPr>
    </w:p>
    <w:p>
      <w:pPr>
        <w:ind w:left="580" w:hanging="291"/>
        <w:spacing w:after="0" w:line="251"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Never share user IDs, passwords, access details, software, services or</w:t>
      </w:r>
      <w:r>
        <w:rPr>
          <w:rFonts w:ascii="Times New Roman" w:cs="Times New Roman" w:eastAsia="Times New Roman" w:hAnsi="Times New Roman"/>
          <w:sz w:val="18"/>
          <w:szCs w:val="18"/>
          <w:color w:val="D64000"/>
        </w:rPr>
        <w:t xml:space="preserve"> </w:t>
      </w:r>
      <w:r>
        <w:rPr>
          <w:rFonts w:ascii="Arial" w:cs="Arial" w:eastAsia="Arial" w:hAnsi="Arial"/>
          <w:sz w:val="19"/>
          <w:szCs w:val="19"/>
          <w:color w:val="000000"/>
        </w:rPr>
        <w:t>authentication devices (e.g., SecureID tokens) that are intended for individual use to gain access to a system</w:t>
      </w:r>
    </w:p>
    <w:p>
      <w:pPr>
        <w:spacing w:after="0" w:line="2" w:lineRule="exact"/>
        <w:rPr>
          <w:sz w:val="20"/>
          <w:szCs w:val="20"/>
          <w:color w:val="auto"/>
        </w:rPr>
      </w:pPr>
    </w:p>
    <w:p>
      <w:pPr>
        <w:ind w:left="580" w:right="500" w:hanging="291"/>
        <w:spacing w:after="0" w:line="260"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You must only use Thomson Reuters authorized collaboration tools and</w:t>
      </w:r>
      <w:r>
        <w:rPr>
          <w:rFonts w:ascii="Times New Roman" w:cs="Times New Roman" w:eastAsia="Times New Roman" w:hAnsi="Times New Roman"/>
          <w:sz w:val="18"/>
          <w:szCs w:val="18"/>
          <w:color w:val="D64000"/>
        </w:rPr>
        <w:t xml:space="preserve"> </w:t>
      </w:r>
      <w:r>
        <w:rPr>
          <w:rFonts w:ascii="Arial" w:cs="Arial" w:eastAsia="Arial" w:hAnsi="Arial"/>
          <w:sz w:val="19"/>
          <w:szCs w:val="19"/>
          <w:color w:val="000000"/>
        </w:rPr>
        <w:t>devices for official Thomson Reuters business</w:t>
      </w:r>
    </w:p>
    <w:p>
      <w:pPr>
        <w:spacing w:after="0" w:line="20" w:lineRule="exact"/>
        <w:rPr>
          <w:sz w:val="20"/>
          <w:szCs w:val="20"/>
          <w:color w:val="auto"/>
        </w:rPr>
      </w:pPr>
      <w:r>
        <w:rPr>
          <w:sz w:val="20"/>
          <w:szCs w:val="20"/>
          <w:color w:val="auto"/>
        </w:rPr>
        <w:br w:type="column"/>
      </w:r>
    </w:p>
    <w:p>
      <w:pPr>
        <w:spacing w:after="0" w:line="234" w:lineRule="auto"/>
        <w:rPr>
          <w:sz w:val="20"/>
          <w:szCs w:val="20"/>
          <w:color w:val="auto"/>
        </w:rPr>
      </w:pPr>
      <w:r>
        <w:rPr>
          <w:rFonts w:ascii="Arial" w:cs="Arial" w:eastAsia="Arial" w:hAnsi="Arial"/>
          <w:sz w:val="18"/>
          <w:szCs w:val="18"/>
          <w:b w:val="1"/>
          <w:bCs w:val="1"/>
          <w:i w:val="1"/>
          <w:iCs w:val="1"/>
          <w:color w:val="123121"/>
        </w:rPr>
        <w:t>Monitoring and recording</w:t>
      </w:r>
    </w:p>
    <w:p>
      <w:pPr>
        <w:spacing w:after="0" w:line="1" w:lineRule="exact"/>
        <w:rPr>
          <w:sz w:val="20"/>
          <w:szCs w:val="20"/>
          <w:color w:val="auto"/>
        </w:rPr>
      </w:pPr>
    </w:p>
    <w:p>
      <w:pPr>
        <w:ind w:right="140"/>
        <w:spacing w:after="0" w:line="244" w:lineRule="auto"/>
        <w:rPr>
          <w:sz w:val="20"/>
          <w:szCs w:val="20"/>
          <w:color w:val="auto"/>
        </w:rPr>
      </w:pPr>
      <w:r>
        <w:rPr>
          <w:rFonts w:ascii="Arial" w:cs="Arial" w:eastAsia="Arial" w:hAnsi="Arial"/>
          <w:sz w:val="16"/>
          <w:szCs w:val="16"/>
          <w:color w:val="auto"/>
        </w:rPr>
        <w:t>Where permitted by applicable law, Thomson Reuters reserves the right to monitor and record your use of information, communications, technology or infrastructure owned or supplied by Thomson Reuters.</w:t>
      </w:r>
    </w:p>
    <w:p>
      <w:pPr>
        <w:spacing w:after="0" w:line="117" w:lineRule="exact"/>
        <w:rPr>
          <w:sz w:val="20"/>
          <w:szCs w:val="20"/>
          <w:color w:val="auto"/>
        </w:rPr>
      </w:pPr>
    </w:p>
    <w:p>
      <w:pPr>
        <w:sectPr>
          <w:pgSz w:w="11900" w:h="16838" w:orient="portrait"/>
          <w:cols w:equalWidth="0" w:num="2">
            <w:col w:w="7200" w:space="440"/>
            <w:col w:w="3180"/>
          </w:cols>
          <w:pgMar w:left="540" w:top="248" w:right="539" w:bottom="1440" w:gutter="0" w:footer="0" w:header="0"/>
          <w:type w:val="continuous"/>
        </w:sectPr>
      </w:pPr>
    </w:p>
    <w:p>
      <w:pPr>
        <w:ind w:left="580" w:right="120" w:hanging="291"/>
        <w:spacing w:after="0" w:line="253"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Third party instant messaging solutions such as WhatsApp and Signal are unapproved for Thomson Reuters business</w:t>
      </w:r>
      <w:r>
        <w:rPr>
          <w:rFonts w:ascii="Times New Roman" w:cs="Times New Roman" w:eastAsia="Times New Roman" w:hAnsi="Times New Roman"/>
          <w:sz w:val="18"/>
          <w:szCs w:val="18"/>
          <w:color w:val="D64000"/>
        </w:rPr>
        <w:t xml:space="preserve"> </w:t>
      </w:r>
      <w:r>
        <w:rPr>
          <w:rFonts w:ascii="Arial" w:cs="Arial" w:eastAsia="Arial" w:hAnsi="Arial"/>
          <w:sz w:val="19"/>
          <w:szCs w:val="19"/>
          <w:color w:val="000000"/>
        </w:rPr>
        <w:t>purposes</w:t>
      </w:r>
    </w:p>
    <w:p>
      <w:pPr>
        <w:spacing w:after="0" w:line="1" w:lineRule="exact"/>
        <w:rPr>
          <w:sz w:val="20"/>
          <w:szCs w:val="20"/>
          <w:color w:val="auto"/>
        </w:rPr>
      </w:pPr>
    </w:p>
    <w:p>
      <w:pPr>
        <w:ind w:left="280" w:right="2480"/>
        <w:spacing w:after="0" w:line="288"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Respect company security controls and access information only within our authorized level</w:t>
      </w:r>
      <w:r>
        <w:rPr>
          <w:rFonts w:ascii="Times New Roman" w:cs="Times New Roman" w:eastAsia="Times New Roman" w:hAnsi="Times New Roman"/>
          <w:sz w:val="18"/>
          <w:szCs w:val="18"/>
          <w:color w:val="D64000"/>
        </w:rPr>
        <w:t xml:space="preserve"> ●</w:t>
      </w:r>
      <w:r>
        <w:rPr>
          <w:rFonts w:ascii="Arial" w:cs="Arial" w:eastAsia="Arial" w:hAnsi="Arial"/>
          <w:sz w:val="19"/>
          <w:szCs w:val="19"/>
          <w:color w:val="000000"/>
        </w:rPr>
        <w:t xml:space="preserve">    Never use personal devices to store or access company data</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Never share data classified as Strictly Confidential, Confidential or Internal Use with 3rd parties</w:t>
      </w:r>
    </w:p>
    <w:p>
      <w:pPr>
        <w:spacing w:after="0" w:line="46" w:lineRule="exact"/>
        <w:rPr>
          <w:sz w:val="20"/>
          <w:szCs w:val="20"/>
          <w:color w:val="auto"/>
        </w:rPr>
      </w:pPr>
    </w:p>
    <w:p>
      <w:pPr>
        <w:ind w:left="580" w:right="340" w:hanging="291"/>
        <w:spacing w:after="0" w:line="286"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Avoid careless, exaggerated or inaccurate statements that could be easily misunderstood or used against Thomson</w:t>
      </w:r>
      <w:r>
        <w:rPr>
          <w:rFonts w:ascii="Times New Roman" w:cs="Times New Roman" w:eastAsia="Times New Roman" w:hAnsi="Times New Roman"/>
          <w:sz w:val="18"/>
          <w:szCs w:val="18"/>
          <w:color w:val="D64000"/>
        </w:rPr>
        <w:t xml:space="preserve"> </w:t>
      </w:r>
      <w:r>
        <w:rPr>
          <w:rFonts w:ascii="Arial" w:cs="Arial" w:eastAsia="Arial" w:hAnsi="Arial"/>
          <w:sz w:val="19"/>
          <w:szCs w:val="19"/>
          <w:color w:val="000000"/>
        </w:rPr>
        <w:t>Reuters in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186690</wp:posOffset>
            </wp:positionV>
            <wp:extent cx="967740" cy="32829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4360"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36</w:t>
            </w:r>
          </w:p>
        </w:tc>
      </w:tr>
    </w:tbl>
    <w:p>
      <w:pPr>
        <w:sectPr>
          <w:pgSz w:w="11900" w:h="16838" w:orient="portrait"/>
          <w:cols w:equalWidth="0" w:num="1">
            <w:col w:w="10820"/>
          </w:cols>
          <w:pgMar w:left="540" w:top="248" w:right="539" w:bottom="1440" w:gutter="0" w:footer="0" w:header="0"/>
          <w:type w:val="continuous"/>
        </w:sectPr>
      </w:pPr>
    </w:p>
    <w:bookmarkStart w:id="217" w:name="page218"/>
    <w:bookmarkEnd w:id="217"/>
    <w:p>
      <w:pPr>
        <w:jc w:val="both"/>
        <w:ind w:left="840" w:right="520" w:hanging="418"/>
        <w:spacing w:after="0" w:line="284" w:lineRule="auto"/>
        <w:tabs>
          <w:tab w:leader="none" w:pos="840" w:val="left"/>
        </w:tabs>
        <w:numPr>
          <w:ilvl w:val="0"/>
          <w:numId w:val="210"/>
        </w:numPr>
        <w:rPr>
          <w:rFonts w:ascii="Times New Roman" w:cs="Times New Roman" w:eastAsia="Times New Roman" w:hAnsi="Times New Roman"/>
          <w:sz w:val="18"/>
          <w:szCs w:val="18"/>
          <w:color w:val="D64000"/>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xml:space="preserve">We recognize some guidelines may run counter to specific job duties performed by some of you. To request a business exception to any of these policies or guidelines, contact the </w:t>
      </w:r>
      <w:r>
        <w:rPr>
          <w:rFonts w:ascii="Arial" w:cs="Arial" w:eastAsia="Arial" w:hAnsi="Arial"/>
          <w:sz w:val="19"/>
          <w:szCs w:val="19"/>
          <w:b w:val="1"/>
          <w:bCs w:val="1"/>
          <w:color w:val="1A7EE5"/>
        </w:rPr>
        <w:t>TR Global Service Desk</w:t>
      </w:r>
      <w:r>
        <w:rPr>
          <w:rFonts w:ascii="Arial" w:cs="Arial" w:eastAsia="Arial" w:hAnsi="Arial"/>
          <w:sz w:val="19"/>
          <w:szCs w:val="19"/>
          <w:color w:val="auto"/>
        </w:rPr>
        <w:t xml:space="preserve"> for instructions</w:t>
      </w:r>
    </w:p>
    <w:p>
      <w:pPr>
        <w:spacing w:after="0" w:line="24"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210"/>
        </w:numPr>
        <w:rPr>
          <w:rFonts w:ascii="Times New Roman" w:cs="Times New Roman" w:eastAsia="Times New Roman" w:hAnsi="Times New Roman"/>
          <w:sz w:val="18"/>
          <w:szCs w:val="18"/>
          <w:color w:val="D64000"/>
        </w:rPr>
      </w:pPr>
      <w:r>
        <w:rPr>
          <w:rFonts w:ascii="Arial" w:cs="Arial" w:eastAsia="Arial" w:hAnsi="Arial"/>
          <w:sz w:val="19"/>
          <w:szCs w:val="19"/>
          <w:color w:val="auto"/>
        </w:rPr>
        <w:t xml:space="preserve">Report any suspected breaches or incidents to </w:t>
      </w:r>
      <w:r>
        <w:rPr>
          <w:rFonts w:ascii="Arial" w:cs="Arial" w:eastAsia="Arial" w:hAnsi="Arial"/>
          <w:sz w:val="19"/>
          <w:szCs w:val="19"/>
          <w:b w:val="1"/>
          <w:bCs w:val="1"/>
          <w:color w:val="1A7EE5"/>
        </w:rPr>
        <w:t>security@thomsonreuters.com</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1A7EE5"/>
        </w:rPr>
        <w:t>Information Security Handbook and policies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1A7EE5"/>
        </w:rPr>
        <w:t>Mobile Device Management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6899275" cy="175831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899275" cy="175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D64000"/>
        </w:rPr>
        <w:t>  Connecting the dots</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Q</w:t>
      </w:r>
      <w:r>
        <w:rPr>
          <w:rFonts w:ascii="Arial" w:cs="Arial" w:eastAsia="Arial" w:hAnsi="Arial"/>
          <w:sz w:val="17"/>
          <w:szCs w:val="17"/>
          <w:b w:val="1"/>
          <w:bCs w:val="1"/>
          <w:color w:val="auto"/>
        </w:rPr>
        <w:t>  Can I use my company e-mail address to send personal e-mails to my friends?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A</w:t>
      </w:r>
      <w:r>
        <w:rPr>
          <w:rFonts w:ascii="Arial" w:cs="Arial" w:eastAsia="Arial" w:hAnsi="Arial"/>
          <w:sz w:val="17"/>
          <w:szCs w:val="17"/>
          <w:color w:val="auto"/>
        </w:rPr>
        <w:t>  Yes, as long as you limit this practice, follow our guidelines about dangerous, illegal and inappropriate material, and do not let it</w:t>
      </w:r>
    </w:p>
    <w:p>
      <w:pPr>
        <w:spacing w:after="0" w:line="26" w:lineRule="exact"/>
        <w:rPr>
          <w:sz w:val="20"/>
          <w:szCs w:val="20"/>
          <w:color w:val="auto"/>
        </w:rPr>
      </w:pPr>
    </w:p>
    <w:p>
      <w:pPr>
        <w:jc w:val="both"/>
        <w:ind w:left="380" w:right="260"/>
        <w:spacing w:after="0" w:line="237" w:lineRule="auto"/>
        <w:rPr>
          <w:sz w:val="20"/>
          <w:szCs w:val="20"/>
          <w:color w:val="auto"/>
        </w:rPr>
      </w:pPr>
      <w:r>
        <w:rPr>
          <w:rFonts w:ascii="Arial" w:cs="Arial" w:eastAsia="Arial" w:hAnsi="Arial"/>
          <w:sz w:val="18"/>
          <w:szCs w:val="18"/>
          <w:color w:val="auto"/>
        </w:rPr>
        <w:t>interfere with your work. It’s important to remember when discussing personal matters on company systems that any message you send or receive through company communications systems and devices — including e-mails, social media posts, and text or SMS messages — may be the property of Thomson Reuters and may be accessed by the company.</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35"/>
          <w:szCs w:val="35"/>
          <w:b w:val="1"/>
          <w:bCs w:val="1"/>
          <w:color w:val="D64000"/>
        </w:rPr>
        <w:t>Safe guarding our assets</w:t>
      </w:r>
    </w:p>
    <w:p>
      <w:pPr>
        <w:spacing w:after="0" w:line="22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We are trusted to . . .</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…use company assets properly and protect them against loss, theft, misuse, damage and waste.</w:t>
      </w:r>
    </w:p>
    <w:p>
      <w:pPr>
        <w:spacing w:after="0" w:line="19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Why it matters</w:t>
      </w:r>
    </w:p>
    <w:p>
      <w:pPr>
        <w:spacing w:after="0" w:line="192" w:lineRule="exact"/>
        <w:rPr>
          <w:sz w:val="20"/>
          <w:szCs w:val="20"/>
          <w:color w:val="auto"/>
        </w:rPr>
      </w:pPr>
    </w:p>
    <w:p>
      <w:pPr>
        <w:ind w:right="100"/>
        <w:spacing w:after="0" w:line="246" w:lineRule="auto"/>
        <w:rPr>
          <w:sz w:val="20"/>
          <w:szCs w:val="20"/>
          <w:color w:val="auto"/>
        </w:rPr>
      </w:pPr>
      <w:r>
        <w:rPr>
          <w:rFonts w:ascii="Arial" w:cs="Arial" w:eastAsia="Arial" w:hAnsi="Arial"/>
          <w:sz w:val="19"/>
          <w:szCs w:val="19"/>
          <w:color w:val="auto"/>
        </w:rPr>
        <w:t>Thomson Reuters computers, phones, office supplies and facilities exist for the purpose of helping us all maximize our performance as individuals, as a team and as a business. By respecting these assets, we ensure they remain accessible and fully functional when our customers and colleagues need them. We also help make sure company time and resources are used on positive initiatives, not on fixing preventable problems.</w:t>
      </w:r>
    </w:p>
    <w:p>
      <w:pPr>
        <w:spacing w:after="0" w:line="19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How we deliver</w:t>
      </w:r>
    </w:p>
    <w:p>
      <w:pPr>
        <w:spacing w:after="0" w:line="192" w:lineRule="exact"/>
        <w:rPr>
          <w:sz w:val="20"/>
          <w:szCs w:val="20"/>
          <w:color w:val="auto"/>
        </w:rPr>
      </w:pPr>
    </w:p>
    <w:p>
      <w:pPr>
        <w:jc w:val="both"/>
        <w:ind w:right="200"/>
        <w:spacing w:after="0" w:line="273" w:lineRule="auto"/>
        <w:rPr>
          <w:sz w:val="20"/>
          <w:szCs w:val="20"/>
          <w:color w:val="auto"/>
        </w:rPr>
      </w:pPr>
      <w:r>
        <w:rPr>
          <w:rFonts w:ascii="Arial" w:cs="Arial" w:eastAsia="Arial" w:hAnsi="Arial"/>
          <w:sz w:val="19"/>
          <w:szCs w:val="19"/>
          <w:color w:val="auto"/>
        </w:rPr>
        <w:t>We use company assets for legitimate and authorized business purposes only. We consider misappropriation, carelessness or waste of assets to be a breach of our duty and the taking of assets from company property without permission to be theft.</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color w:val="auto"/>
        </w:rPr>
        <w:t>This means we:</w:t>
      </w:r>
    </w:p>
    <w:p>
      <w:pPr>
        <w:spacing w:after="0" w:line="232" w:lineRule="exact"/>
        <w:rPr>
          <w:sz w:val="20"/>
          <w:szCs w:val="20"/>
          <w:color w:val="auto"/>
        </w:rPr>
      </w:pPr>
    </w:p>
    <w:p>
      <w:pPr>
        <w:ind w:left="840" w:hanging="418"/>
        <w:spacing w:after="0"/>
        <w:tabs>
          <w:tab w:leader="none" w:pos="840" w:val="left"/>
        </w:tabs>
        <w:numPr>
          <w:ilvl w:val="0"/>
          <w:numId w:val="211"/>
        </w:numPr>
        <w:rPr>
          <w:rFonts w:ascii="Times New Roman" w:cs="Times New Roman" w:eastAsia="Times New Roman" w:hAnsi="Times New Roman"/>
          <w:sz w:val="18"/>
          <w:szCs w:val="18"/>
          <w:color w:val="D64000"/>
        </w:rPr>
      </w:pPr>
      <w:r>
        <w:rPr>
          <w:rFonts w:ascii="Arial" w:cs="Arial" w:eastAsia="Arial" w:hAnsi="Arial"/>
          <w:sz w:val="19"/>
          <w:szCs w:val="19"/>
          <w:color w:val="auto"/>
        </w:rPr>
        <w:t>Access company systems or information only when we are authorized and enabled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253365</wp:posOffset>
            </wp:positionV>
            <wp:extent cx="967740" cy="32829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4360"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37</w:t>
            </w:r>
          </w:p>
        </w:tc>
      </w:tr>
    </w:tbl>
    <w:p>
      <w:pPr>
        <w:sectPr>
          <w:pgSz w:w="11900" w:h="16838" w:orient="portrait"/>
          <w:cols w:equalWidth="0" w:num="1">
            <w:col w:w="10820"/>
          </w:cols>
          <w:pgMar w:left="540" w:top="264" w:right="539" w:bottom="1440" w:gutter="0" w:footer="0" w:header="0"/>
        </w:sectPr>
      </w:pPr>
    </w:p>
    <w:bookmarkStart w:id="218" w:name="page219"/>
    <w:bookmarkEnd w:id="218"/>
    <w:p>
      <w:pPr>
        <w:ind w:left="840" w:hanging="418"/>
        <w:spacing w:after="0"/>
        <w:tabs>
          <w:tab w:leader="none" w:pos="840" w:val="left"/>
        </w:tabs>
        <w:numPr>
          <w:ilvl w:val="0"/>
          <w:numId w:val="212"/>
        </w:numPr>
        <w:rPr>
          <w:rFonts w:ascii="Times New Roman" w:cs="Times New Roman" w:eastAsia="Times New Roman" w:hAnsi="Times New Roman"/>
          <w:sz w:val="18"/>
          <w:szCs w:val="18"/>
          <w:color w:val="D64000"/>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Never use company assets for illegal activities</w:t>
      </w:r>
    </w:p>
    <w:p>
      <w:pPr>
        <w:spacing w:after="0" w:line="112"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212"/>
        </w:numPr>
        <w:rPr>
          <w:rFonts w:ascii="Times New Roman" w:cs="Times New Roman" w:eastAsia="Times New Roman" w:hAnsi="Times New Roman"/>
          <w:sz w:val="18"/>
          <w:szCs w:val="18"/>
          <w:color w:val="D64000"/>
        </w:rPr>
      </w:pPr>
      <w:r>
        <w:rPr>
          <w:rFonts w:ascii="Arial" w:cs="Arial" w:eastAsia="Arial" w:hAnsi="Arial"/>
          <w:sz w:val="19"/>
          <w:szCs w:val="19"/>
          <w:color w:val="auto"/>
        </w:rPr>
        <w:t>Limit personal use of company assets to when it does not interfere with our work and does not violate this Code</w:t>
      </w:r>
    </w:p>
    <w:p>
      <w:pPr>
        <w:spacing w:after="0" w:line="112"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212"/>
        </w:numPr>
        <w:rPr>
          <w:rFonts w:ascii="Times New Roman" w:cs="Times New Roman" w:eastAsia="Times New Roman" w:hAnsi="Times New Roman"/>
          <w:sz w:val="18"/>
          <w:szCs w:val="18"/>
          <w:color w:val="D64000"/>
        </w:rPr>
      </w:pPr>
      <w:r>
        <w:rPr>
          <w:rFonts w:ascii="Arial" w:cs="Arial" w:eastAsia="Arial" w:hAnsi="Arial"/>
          <w:sz w:val="19"/>
          <w:szCs w:val="19"/>
          <w:color w:val="auto"/>
        </w:rPr>
        <w:t>Prevent improper third-party use of company property</w:t>
      </w:r>
    </w:p>
    <w:p>
      <w:pPr>
        <w:spacing w:after="0" w:line="112"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212"/>
        </w:numPr>
        <w:rPr>
          <w:rFonts w:ascii="Times New Roman" w:cs="Times New Roman" w:eastAsia="Times New Roman" w:hAnsi="Times New Roman"/>
          <w:sz w:val="18"/>
          <w:szCs w:val="18"/>
          <w:color w:val="D64000"/>
        </w:rPr>
      </w:pPr>
      <w:r>
        <w:rPr>
          <w:rFonts w:ascii="Arial" w:cs="Arial" w:eastAsia="Arial" w:hAnsi="Arial"/>
          <w:sz w:val="19"/>
          <w:szCs w:val="19"/>
          <w:color w:val="auto"/>
        </w:rPr>
        <w:t>Immediately report any loss, theft, misuse, damage or waste</w:t>
      </w:r>
    </w:p>
    <w:p>
      <w:pPr>
        <w:spacing w:after="0" w:line="112" w:lineRule="exact"/>
        <w:rPr>
          <w:rFonts w:ascii="Times New Roman" w:cs="Times New Roman" w:eastAsia="Times New Roman" w:hAnsi="Times New Roman"/>
          <w:sz w:val="18"/>
          <w:szCs w:val="18"/>
          <w:color w:val="D64000"/>
        </w:rPr>
      </w:pPr>
    </w:p>
    <w:p>
      <w:pPr>
        <w:ind w:left="840" w:right="60" w:hanging="418"/>
        <w:spacing w:after="0" w:line="273" w:lineRule="auto"/>
        <w:tabs>
          <w:tab w:leader="none" w:pos="840" w:val="left"/>
        </w:tabs>
        <w:numPr>
          <w:ilvl w:val="0"/>
          <w:numId w:val="212"/>
        </w:numPr>
        <w:rPr>
          <w:rFonts w:ascii="Times New Roman" w:cs="Times New Roman" w:eastAsia="Times New Roman" w:hAnsi="Times New Roman"/>
          <w:sz w:val="18"/>
          <w:szCs w:val="18"/>
          <w:color w:val="D64000"/>
        </w:rPr>
      </w:pPr>
      <w:r>
        <w:rPr>
          <w:rFonts w:ascii="Arial" w:cs="Arial" w:eastAsia="Arial" w:hAnsi="Arial"/>
          <w:sz w:val="19"/>
          <w:szCs w:val="19"/>
          <w:color w:val="auto"/>
        </w:rPr>
        <w:t>Stop using all Thomson Reuters assets in our possession or that we have access to and return them if we leave the company</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color w:val="1A7EE5"/>
        </w:rPr>
        <w:t>Global Security on the Intranet</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color w:val="1A7EE5"/>
        </w:rPr>
        <w:t>Information Security on the Intranet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269240</wp:posOffset>
            </wp:positionV>
            <wp:extent cx="6870065" cy="181292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870065" cy="181292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20" w:hanging="109"/>
        <w:spacing w:after="0"/>
        <w:tabs>
          <w:tab w:leader="none" w:pos="120" w:val="left"/>
        </w:tabs>
        <w:numPr>
          <w:ilvl w:val="0"/>
          <w:numId w:val="213"/>
        </w:numPr>
        <w:rPr>
          <w:rFonts w:ascii="Arial" w:cs="Arial" w:eastAsia="Arial" w:hAnsi="Arial"/>
          <w:sz w:val="19"/>
          <w:szCs w:val="19"/>
          <w:b w:val="1"/>
          <w:bCs w:val="1"/>
          <w:i w:val="1"/>
          <w:iCs w:val="1"/>
          <w:color w:val="123121"/>
        </w:rPr>
      </w:pPr>
      <w:r>
        <w:rPr>
          <w:rFonts w:ascii="Arial" w:cs="Arial" w:eastAsia="Arial" w:hAnsi="Arial"/>
          <w:sz w:val="19"/>
          <w:szCs w:val="19"/>
          <w:b w:val="1"/>
          <w:bCs w:val="1"/>
          <w:i w:val="1"/>
          <w:iCs w:val="1"/>
          <w:color w:val="123121"/>
        </w:rPr>
        <w:t>Examples of assets of Thomson Reuters include:</w:t>
      </w:r>
    </w:p>
    <w:p>
      <w:pPr>
        <w:spacing w:after="0" w:line="117" w:lineRule="exact"/>
        <w:rPr>
          <w:rFonts w:ascii="Arial" w:cs="Arial" w:eastAsia="Arial" w:hAnsi="Arial"/>
          <w:sz w:val="19"/>
          <w:szCs w:val="19"/>
          <w:b w:val="1"/>
          <w:bCs w:val="1"/>
          <w:i w:val="1"/>
          <w:iCs w:val="1"/>
          <w:color w:val="123121"/>
        </w:rPr>
      </w:pPr>
    </w:p>
    <w:p>
      <w:pPr>
        <w:ind w:left="660" w:hanging="225"/>
        <w:spacing w:after="0"/>
        <w:tabs>
          <w:tab w:leader="none" w:pos="660" w:val="left"/>
        </w:tabs>
        <w:numPr>
          <w:ilvl w:val="1"/>
          <w:numId w:val="213"/>
        </w:numPr>
        <w:rPr>
          <w:rFonts w:ascii="Times New Roman" w:cs="Times New Roman" w:eastAsia="Times New Roman" w:hAnsi="Times New Roman"/>
          <w:sz w:val="18"/>
          <w:szCs w:val="18"/>
          <w:color w:val="D64000"/>
        </w:rPr>
      </w:pPr>
      <w:r>
        <w:rPr>
          <w:rFonts w:ascii="Arial" w:cs="Arial" w:eastAsia="Arial" w:hAnsi="Arial"/>
          <w:sz w:val="18"/>
          <w:szCs w:val="18"/>
          <w:color w:val="auto"/>
        </w:rPr>
        <w:t>Computers, printers, copiers, scanners and monitors</w:t>
      </w:r>
    </w:p>
    <w:p>
      <w:pPr>
        <w:spacing w:after="0" w:line="123" w:lineRule="exact"/>
        <w:rPr>
          <w:rFonts w:ascii="Times New Roman" w:cs="Times New Roman" w:eastAsia="Times New Roman" w:hAnsi="Times New Roman"/>
          <w:sz w:val="18"/>
          <w:szCs w:val="18"/>
          <w:color w:val="D64000"/>
        </w:rPr>
      </w:pPr>
    </w:p>
    <w:p>
      <w:pPr>
        <w:ind w:left="660" w:hanging="225"/>
        <w:spacing w:after="0"/>
        <w:tabs>
          <w:tab w:leader="none" w:pos="660" w:val="left"/>
        </w:tabs>
        <w:numPr>
          <w:ilvl w:val="1"/>
          <w:numId w:val="213"/>
        </w:numPr>
        <w:rPr>
          <w:rFonts w:ascii="Times New Roman" w:cs="Times New Roman" w:eastAsia="Times New Roman" w:hAnsi="Times New Roman"/>
          <w:sz w:val="18"/>
          <w:szCs w:val="18"/>
          <w:color w:val="D64000"/>
        </w:rPr>
      </w:pPr>
      <w:r>
        <w:rPr>
          <w:rFonts w:ascii="Arial" w:cs="Arial" w:eastAsia="Arial" w:hAnsi="Arial"/>
          <w:sz w:val="18"/>
          <w:szCs w:val="18"/>
          <w:color w:val="auto"/>
        </w:rPr>
        <w:t>Phones, tablets and other mobile devices</w:t>
      </w:r>
    </w:p>
    <w:p>
      <w:pPr>
        <w:spacing w:after="0" w:line="123" w:lineRule="exact"/>
        <w:rPr>
          <w:rFonts w:ascii="Times New Roman" w:cs="Times New Roman" w:eastAsia="Times New Roman" w:hAnsi="Times New Roman"/>
          <w:sz w:val="18"/>
          <w:szCs w:val="18"/>
          <w:color w:val="D64000"/>
        </w:rPr>
      </w:pPr>
    </w:p>
    <w:p>
      <w:pPr>
        <w:ind w:left="660" w:hanging="225"/>
        <w:spacing w:after="0"/>
        <w:tabs>
          <w:tab w:leader="none" w:pos="660" w:val="left"/>
        </w:tabs>
        <w:numPr>
          <w:ilvl w:val="1"/>
          <w:numId w:val="213"/>
        </w:numPr>
        <w:rPr>
          <w:rFonts w:ascii="Times New Roman" w:cs="Times New Roman" w:eastAsia="Times New Roman" w:hAnsi="Times New Roman"/>
          <w:sz w:val="18"/>
          <w:szCs w:val="18"/>
          <w:color w:val="D64000"/>
        </w:rPr>
      </w:pPr>
      <w:r>
        <w:rPr>
          <w:rFonts w:ascii="Arial" w:cs="Arial" w:eastAsia="Arial" w:hAnsi="Arial"/>
          <w:sz w:val="18"/>
          <w:szCs w:val="18"/>
          <w:color w:val="auto"/>
        </w:rPr>
        <w:t>Intellectual property, such as software codes, licenses, brand names, business plans and inventions</w:t>
      </w:r>
    </w:p>
    <w:p>
      <w:pPr>
        <w:spacing w:after="0" w:line="123" w:lineRule="exact"/>
        <w:rPr>
          <w:rFonts w:ascii="Times New Roman" w:cs="Times New Roman" w:eastAsia="Times New Roman" w:hAnsi="Times New Roman"/>
          <w:sz w:val="18"/>
          <w:szCs w:val="18"/>
          <w:color w:val="D64000"/>
        </w:rPr>
      </w:pPr>
    </w:p>
    <w:p>
      <w:pPr>
        <w:ind w:left="660" w:hanging="225"/>
        <w:spacing w:after="0"/>
        <w:tabs>
          <w:tab w:leader="none" w:pos="660" w:val="left"/>
        </w:tabs>
        <w:numPr>
          <w:ilvl w:val="1"/>
          <w:numId w:val="213"/>
        </w:numPr>
        <w:rPr>
          <w:rFonts w:ascii="Times New Roman" w:cs="Times New Roman" w:eastAsia="Times New Roman" w:hAnsi="Times New Roman"/>
          <w:sz w:val="18"/>
          <w:szCs w:val="18"/>
          <w:color w:val="D64000"/>
        </w:rPr>
      </w:pPr>
      <w:r>
        <w:rPr>
          <w:rFonts w:ascii="Arial" w:cs="Arial" w:eastAsia="Arial" w:hAnsi="Arial"/>
          <w:sz w:val="18"/>
          <w:szCs w:val="18"/>
          <w:color w:val="auto"/>
        </w:rPr>
        <w:t>Buildings and other physical property</w:t>
      </w:r>
    </w:p>
    <w:p>
      <w:pPr>
        <w:spacing w:after="0" w:line="123" w:lineRule="exact"/>
        <w:rPr>
          <w:rFonts w:ascii="Times New Roman" w:cs="Times New Roman" w:eastAsia="Times New Roman" w:hAnsi="Times New Roman"/>
          <w:sz w:val="18"/>
          <w:szCs w:val="18"/>
          <w:color w:val="D64000"/>
        </w:rPr>
      </w:pPr>
    </w:p>
    <w:p>
      <w:pPr>
        <w:ind w:left="660" w:hanging="225"/>
        <w:spacing w:after="0"/>
        <w:tabs>
          <w:tab w:leader="none" w:pos="660" w:val="left"/>
        </w:tabs>
        <w:numPr>
          <w:ilvl w:val="1"/>
          <w:numId w:val="213"/>
        </w:numPr>
        <w:rPr>
          <w:rFonts w:ascii="Times New Roman" w:cs="Times New Roman" w:eastAsia="Times New Roman" w:hAnsi="Times New Roman"/>
          <w:sz w:val="18"/>
          <w:szCs w:val="18"/>
          <w:color w:val="D64000"/>
        </w:rPr>
      </w:pPr>
      <w:r>
        <w:rPr>
          <w:rFonts w:ascii="Arial" w:cs="Arial" w:eastAsia="Arial" w:hAnsi="Arial"/>
          <w:sz w:val="18"/>
          <w:szCs w:val="18"/>
          <w:color w:val="auto"/>
        </w:rPr>
        <w:t>Office supplies and equipment</w:t>
      </w:r>
    </w:p>
    <w:p>
      <w:pPr>
        <w:spacing w:after="0" w:line="123" w:lineRule="exact"/>
        <w:rPr>
          <w:rFonts w:ascii="Times New Roman" w:cs="Times New Roman" w:eastAsia="Times New Roman" w:hAnsi="Times New Roman"/>
          <w:sz w:val="18"/>
          <w:szCs w:val="18"/>
          <w:color w:val="D64000"/>
        </w:rPr>
      </w:pPr>
    </w:p>
    <w:p>
      <w:pPr>
        <w:ind w:left="660" w:hanging="225"/>
        <w:spacing w:after="0"/>
        <w:tabs>
          <w:tab w:leader="none" w:pos="660" w:val="left"/>
        </w:tabs>
        <w:numPr>
          <w:ilvl w:val="1"/>
          <w:numId w:val="213"/>
        </w:numPr>
        <w:rPr>
          <w:rFonts w:ascii="Times New Roman" w:cs="Times New Roman" w:eastAsia="Times New Roman" w:hAnsi="Times New Roman"/>
          <w:sz w:val="18"/>
          <w:szCs w:val="18"/>
          <w:color w:val="D64000"/>
        </w:rPr>
      </w:pPr>
      <w:r>
        <w:rPr>
          <w:rFonts w:ascii="Arial" w:cs="Arial" w:eastAsia="Arial" w:hAnsi="Arial"/>
          <w:sz w:val="18"/>
          <w:szCs w:val="18"/>
          <w:color w:val="auto"/>
        </w:rPr>
        <w:t>Customer, supplier or distributor lists and information</w:t>
      </w:r>
    </w:p>
    <w:p>
      <w:pPr>
        <w:spacing w:after="0" w:line="123" w:lineRule="exact"/>
        <w:rPr>
          <w:rFonts w:ascii="Times New Roman" w:cs="Times New Roman" w:eastAsia="Times New Roman" w:hAnsi="Times New Roman"/>
          <w:sz w:val="18"/>
          <w:szCs w:val="18"/>
          <w:color w:val="D64000"/>
        </w:rPr>
      </w:pPr>
    </w:p>
    <w:p>
      <w:pPr>
        <w:ind w:left="660" w:hanging="225"/>
        <w:spacing w:after="0"/>
        <w:tabs>
          <w:tab w:leader="none" w:pos="660" w:val="left"/>
        </w:tabs>
        <w:numPr>
          <w:ilvl w:val="1"/>
          <w:numId w:val="213"/>
        </w:numPr>
        <w:rPr>
          <w:rFonts w:ascii="Times New Roman" w:cs="Times New Roman" w:eastAsia="Times New Roman" w:hAnsi="Times New Roman"/>
          <w:sz w:val="18"/>
          <w:szCs w:val="18"/>
          <w:color w:val="D64000"/>
        </w:rPr>
      </w:pPr>
      <w:r>
        <w:rPr>
          <w:rFonts w:ascii="Arial" w:cs="Arial" w:eastAsia="Arial" w:hAnsi="Arial"/>
          <w:sz w:val="18"/>
          <w:szCs w:val="18"/>
          <w:color w:val="auto"/>
        </w:rPr>
        <w:t>Memos, notes and other documents made by us or a third-party business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240665</wp:posOffset>
            </wp:positionV>
            <wp:extent cx="967740" cy="32829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360"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38</w:t>
            </w:r>
          </w:p>
        </w:tc>
      </w:tr>
    </w:tbl>
    <w:p>
      <w:pPr>
        <w:sectPr>
          <w:pgSz w:w="11900" w:h="16838" w:orient="portrait"/>
          <w:cols w:equalWidth="0" w:num="1">
            <w:col w:w="10820"/>
          </w:cols>
          <w:pgMar w:left="540" w:top="264" w:right="539" w:bottom="1440" w:gutter="0" w:footer="0" w:header="0"/>
        </w:sectPr>
      </w:pPr>
    </w:p>
    <w:bookmarkStart w:id="219" w:name="page220"/>
    <w:bookmarkEnd w:id="2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26504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6770" cy="265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35"/>
          <w:szCs w:val="35"/>
          <w:b w:val="1"/>
          <w:bCs w:val="1"/>
          <w:color w:val="D64000"/>
        </w:rPr>
        <w:t>Accurate financial records</w:t>
      </w:r>
    </w:p>
    <w:p>
      <w:pPr>
        <w:spacing w:after="0" w:line="252"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We are trusted to . . .</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…maintain records that are in accordance with company accounting policies and legal requirements.</w:t>
      </w:r>
    </w:p>
    <w:p>
      <w:pPr>
        <w:spacing w:after="0" w:line="222"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Why it matters</w:t>
      </w:r>
    </w:p>
    <w:p>
      <w:pPr>
        <w:spacing w:after="0" w:line="205" w:lineRule="exact"/>
        <w:rPr>
          <w:sz w:val="20"/>
          <w:szCs w:val="20"/>
          <w:color w:val="auto"/>
        </w:rPr>
      </w:pPr>
    </w:p>
    <w:p>
      <w:pPr>
        <w:ind w:right="200"/>
        <w:spacing w:after="0" w:line="243" w:lineRule="auto"/>
        <w:rPr>
          <w:sz w:val="20"/>
          <w:szCs w:val="20"/>
          <w:color w:val="auto"/>
        </w:rPr>
      </w:pPr>
      <w:r>
        <w:rPr>
          <w:rFonts w:ascii="Arial" w:cs="Arial" w:eastAsia="Arial" w:hAnsi="Arial"/>
          <w:sz w:val="19"/>
          <w:szCs w:val="19"/>
          <w:color w:val="auto"/>
        </w:rPr>
        <w:t>We are a publicly listed company, and our global operations require us to comply with various securities and financial reporting obligations. When we take accountability for ensuring the financial records that we handle are accurate and complete, we protect the company’s reputation for integrity and uphold our commitment to trust. Reliable financial reporting allows shareholders to fairly assess our performance, provides management with information to allocate our resources most effectively and prevents violations.</w:t>
      </w:r>
    </w:p>
    <w:p>
      <w:pPr>
        <w:spacing w:after="0" w:line="222"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How we deliver</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We produce accurate, fair and timely records for management, directors, shareholders, government regulators and others.</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This means we:</w:t>
      </w:r>
    </w:p>
    <w:p>
      <w:pPr>
        <w:spacing w:after="0" w:line="188" w:lineRule="exact"/>
        <w:rPr>
          <w:sz w:val="20"/>
          <w:szCs w:val="20"/>
          <w:color w:val="auto"/>
        </w:rPr>
      </w:pPr>
    </w:p>
    <w:p>
      <w:pPr>
        <w:ind w:left="840" w:right="20" w:hanging="418"/>
        <w:spacing w:after="0" w:line="273" w:lineRule="auto"/>
        <w:tabs>
          <w:tab w:leader="none" w:pos="840" w:val="left"/>
        </w:tabs>
        <w:numPr>
          <w:ilvl w:val="0"/>
          <w:numId w:val="214"/>
        </w:numPr>
        <w:rPr>
          <w:rFonts w:ascii="Times New Roman" w:cs="Times New Roman" w:eastAsia="Times New Roman" w:hAnsi="Times New Roman"/>
          <w:sz w:val="18"/>
          <w:szCs w:val="18"/>
          <w:color w:val="D64000"/>
        </w:rPr>
      </w:pPr>
      <w:r>
        <w:rPr>
          <w:rFonts w:ascii="Arial" w:cs="Arial" w:eastAsia="Arial" w:hAnsi="Arial"/>
          <w:sz w:val="19"/>
          <w:szCs w:val="19"/>
          <w:color w:val="auto"/>
        </w:rPr>
        <w:t>Take personal responsibility for ensuring all transactions, books, and records — including time sheets, sales records and expense reports — are complete, accurate, documented and recorded in a timely manner</w:t>
      </w:r>
    </w:p>
    <w:p>
      <w:pPr>
        <w:spacing w:after="0" w:line="46"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214"/>
        </w:numPr>
        <w:rPr>
          <w:rFonts w:ascii="Times New Roman" w:cs="Times New Roman" w:eastAsia="Times New Roman" w:hAnsi="Times New Roman"/>
          <w:sz w:val="18"/>
          <w:szCs w:val="18"/>
          <w:color w:val="D64000"/>
        </w:rPr>
      </w:pPr>
      <w:r>
        <w:rPr>
          <w:rFonts w:ascii="Arial" w:cs="Arial" w:eastAsia="Arial" w:hAnsi="Arial"/>
          <w:sz w:val="19"/>
          <w:szCs w:val="19"/>
          <w:color w:val="auto"/>
        </w:rPr>
        <w:t>Never falsify or distort the facts of any transaction, or keep unrecorded, undisclosed or off- the-books records</w:t>
      </w:r>
    </w:p>
    <w:p>
      <w:pPr>
        <w:spacing w:after="0" w:line="112"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214"/>
        </w:numPr>
        <w:rPr>
          <w:rFonts w:ascii="Times New Roman" w:cs="Times New Roman" w:eastAsia="Times New Roman" w:hAnsi="Times New Roman"/>
          <w:sz w:val="18"/>
          <w:szCs w:val="18"/>
          <w:color w:val="D64000"/>
        </w:rPr>
      </w:pPr>
      <w:r>
        <w:rPr>
          <w:rFonts w:ascii="Arial" w:cs="Arial" w:eastAsia="Arial" w:hAnsi="Arial"/>
          <w:sz w:val="19"/>
          <w:szCs w:val="19"/>
          <w:color w:val="auto"/>
        </w:rPr>
        <w:t>Exercise reasonable diligence when approving transactions and expenditures or signing documents</w:t>
      </w:r>
    </w:p>
    <w:p>
      <w:pPr>
        <w:spacing w:after="0" w:line="112"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214"/>
        </w:numPr>
        <w:rPr>
          <w:rFonts w:ascii="Times New Roman" w:cs="Times New Roman" w:eastAsia="Times New Roman" w:hAnsi="Times New Roman"/>
          <w:sz w:val="18"/>
          <w:szCs w:val="18"/>
          <w:color w:val="D64000"/>
        </w:rPr>
      </w:pPr>
      <w:r>
        <w:rPr>
          <w:rFonts w:ascii="Arial" w:cs="Arial" w:eastAsia="Arial" w:hAnsi="Arial"/>
          <w:sz w:val="19"/>
          <w:szCs w:val="19"/>
          <w:color w:val="auto"/>
        </w:rPr>
        <w:t>Understand the importance of internal controls and consistently comply with them</w:t>
      </w:r>
    </w:p>
    <w:p>
      <w:pPr>
        <w:spacing w:after="0" w:line="112" w:lineRule="exact"/>
        <w:rPr>
          <w:rFonts w:ascii="Times New Roman" w:cs="Times New Roman" w:eastAsia="Times New Roman" w:hAnsi="Times New Roman"/>
          <w:sz w:val="18"/>
          <w:szCs w:val="18"/>
          <w:color w:val="D64000"/>
        </w:rPr>
      </w:pPr>
    </w:p>
    <w:p>
      <w:pPr>
        <w:ind w:left="840" w:right="700" w:hanging="418"/>
        <w:spacing w:after="0" w:line="273" w:lineRule="auto"/>
        <w:tabs>
          <w:tab w:leader="none" w:pos="840" w:val="left"/>
        </w:tabs>
        <w:numPr>
          <w:ilvl w:val="0"/>
          <w:numId w:val="214"/>
        </w:numPr>
        <w:rPr>
          <w:rFonts w:ascii="Times New Roman" w:cs="Times New Roman" w:eastAsia="Times New Roman" w:hAnsi="Times New Roman"/>
          <w:sz w:val="18"/>
          <w:szCs w:val="18"/>
          <w:color w:val="D64000"/>
        </w:rPr>
      </w:pPr>
      <w:r>
        <w:rPr>
          <w:rFonts w:ascii="Arial" w:cs="Arial" w:eastAsia="Arial" w:hAnsi="Arial"/>
          <w:sz w:val="19"/>
          <w:szCs w:val="19"/>
          <w:color w:val="auto"/>
        </w:rPr>
        <w:t>Provide full, fair, accurate, timely and understandable disclosures in public communications and in reports or documents that we file with, or submit to, securities regulatory authorities and stock exchanges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967740" cy="32829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357" w:lineRule="exact"/>
        <w:rPr>
          <w:sz w:val="20"/>
          <w:szCs w:val="20"/>
          <w:color w:val="auto"/>
        </w:rPr>
      </w:pPr>
    </w:p>
    <w:tbl>
      <w:tblPr>
        <w:tblLayout w:type="fixed"/>
        <w:tblInd w:w="4360"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39</w:t>
            </w:r>
          </w:p>
        </w:tc>
      </w:tr>
    </w:tbl>
    <w:p>
      <w:pPr>
        <w:sectPr>
          <w:pgSz w:w="11900" w:h="16838" w:orient="portrait"/>
          <w:cols w:equalWidth="0" w:num="1">
            <w:col w:w="10820"/>
          </w:cols>
          <w:pgMar w:left="540" w:top="1440" w:right="539" w:bottom="1440" w:gutter="0" w:footer="0" w:header="0"/>
        </w:sectPr>
      </w:pPr>
    </w:p>
    <w:bookmarkStart w:id="220" w:name="page221"/>
    <w:bookmarkEnd w:id="220"/>
    <w:p>
      <w:pPr>
        <w:ind w:left="842" w:hanging="418"/>
        <w:spacing w:after="0"/>
        <w:tabs>
          <w:tab w:leader="none" w:pos="842" w:val="left"/>
        </w:tabs>
        <w:numPr>
          <w:ilvl w:val="1"/>
          <w:numId w:val="215"/>
        </w:numPr>
        <w:rPr>
          <w:rFonts w:ascii="Times New Roman" w:cs="Times New Roman" w:eastAsia="Times New Roman" w:hAnsi="Times New Roman"/>
          <w:sz w:val="18"/>
          <w:szCs w:val="18"/>
          <w:color w:val="D64000"/>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Pay business-related expenses with company funds only if we have authorization from our manager</w:t>
      </w:r>
    </w:p>
    <w:p>
      <w:pPr>
        <w:spacing w:after="0" w:line="112" w:lineRule="exact"/>
        <w:rPr>
          <w:rFonts w:ascii="Times New Roman" w:cs="Times New Roman" w:eastAsia="Times New Roman" w:hAnsi="Times New Roman"/>
          <w:sz w:val="18"/>
          <w:szCs w:val="18"/>
          <w:color w:val="D64000"/>
        </w:rPr>
      </w:pPr>
    </w:p>
    <w:p>
      <w:pPr>
        <w:ind w:left="842" w:right="360" w:hanging="418"/>
        <w:spacing w:after="0" w:line="273" w:lineRule="auto"/>
        <w:tabs>
          <w:tab w:leader="none" w:pos="842" w:val="left"/>
        </w:tabs>
        <w:numPr>
          <w:ilvl w:val="1"/>
          <w:numId w:val="215"/>
        </w:numPr>
        <w:rPr>
          <w:rFonts w:ascii="Times New Roman" w:cs="Times New Roman" w:eastAsia="Times New Roman" w:hAnsi="Times New Roman"/>
          <w:sz w:val="18"/>
          <w:szCs w:val="18"/>
          <w:color w:val="D64000"/>
        </w:rPr>
      </w:pPr>
      <w:r>
        <w:rPr>
          <w:rFonts w:ascii="Arial" w:cs="Arial" w:eastAsia="Arial" w:hAnsi="Arial"/>
          <w:sz w:val="19"/>
          <w:szCs w:val="19"/>
          <w:color w:val="auto"/>
        </w:rPr>
        <w:t>Prepare disclosures in accordance with Thomson Reuters disclosure controls and procedures and other internal policies</w:t>
      </w:r>
    </w:p>
    <w:p>
      <w:pPr>
        <w:spacing w:after="0" w:line="203" w:lineRule="exact"/>
        <w:rPr>
          <w:rFonts w:ascii="Times New Roman" w:cs="Times New Roman" w:eastAsia="Times New Roman" w:hAnsi="Times New Roman"/>
          <w:sz w:val="18"/>
          <w:szCs w:val="18"/>
          <w:color w:val="D64000"/>
        </w:rPr>
      </w:pPr>
    </w:p>
    <w:p>
      <w:pPr>
        <w:ind w:left="102" w:hanging="102"/>
        <w:spacing w:after="0"/>
        <w:tabs>
          <w:tab w:leader="none" w:pos="102" w:val="left"/>
        </w:tabs>
        <w:numPr>
          <w:ilvl w:val="0"/>
          <w:numId w:val="215"/>
        </w:numPr>
        <w:rPr>
          <w:rFonts w:ascii="Arial" w:cs="Arial" w:eastAsia="Arial" w:hAnsi="Arial"/>
          <w:sz w:val="19"/>
          <w:szCs w:val="19"/>
          <w:b w:val="1"/>
          <w:bCs w:val="1"/>
          <w:color w:val="1A7EE5"/>
        </w:rPr>
      </w:pPr>
      <w:r>
        <w:rPr>
          <w:rFonts w:ascii="Arial" w:cs="Arial" w:eastAsia="Arial" w:hAnsi="Arial"/>
          <w:sz w:val="19"/>
          <w:szCs w:val="19"/>
          <w:b w:val="1"/>
          <w:bCs w:val="1"/>
          <w:color w:val="1A7EE5"/>
        </w:rPr>
        <w:t>Disclosure Controls and Procedures on the Intranet</w:t>
      </w:r>
    </w:p>
    <w:p>
      <w:pPr>
        <w:spacing w:after="0" w:line="200" w:lineRule="exact"/>
        <w:rPr>
          <w:rFonts w:ascii="Arial" w:cs="Arial" w:eastAsia="Arial" w:hAnsi="Arial"/>
          <w:sz w:val="19"/>
          <w:szCs w:val="19"/>
          <w:b w:val="1"/>
          <w:bCs w:val="1"/>
          <w:color w:val="1A7EE5"/>
        </w:rPr>
      </w:pPr>
    </w:p>
    <w:p>
      <w:pPr>
        <w:spacing w:after="0" w:line="200" w:lineRule="exact"/>
        <w:rPr>
          <w:rFonts w:ascii="Arial" w:cs="Arial" w:eastAsia="Arial" w:hAnsi="Arial"/>
          <w:sz w:val="19"/>
          <w:szCs w:val="19"/>
          <w:b w:val="1"/>
          <w:bCs w:val="1"/>
          <w:color w:val="1A7EE5"/>
        </w:rPr>
      </w:pPr>
    </w:p>
    <w:p>
      <w:pPr>
        <w:spacing w:after="0" w:line="200" w:lineRule="exact"/>
        <w:rPr>
          <w:rFonts w:ascii="Arial" w:cs="Arial" w:eastAsia="Arial" w:hAnsi="Arial"/>
          <w:sz w:val="19"/>
          <w:szCs w:val="19"/>
          <w:b w:val="1"/>
          <w:bCs w:val="1"/>
          <w:color w:val="1A7EE5"/>
        </w:rPr>
      </w:pPr>
    </w:p>
    <w:p>
      <w:pPr>
        <w:spacing w:after="0" w:line="331" w:lineRule="exact"/>
        <w:rPr>
          <w:rFonts w:ascii="Arial" w:cs="Arial" w:eastAsia="Arial" w:hAnsi="Arial"/>
          <w:sz w:val="19"/>
          <w:szCs w:val="19"/>
          <w:b w:val="1"/>
          <w:bCs w:val="1"/>
          <w:color w:val="1A7EE5"/>
        </w:rPr>
      </w:pPr>
    </w:p>
    <w:p>
      <w:pPr>
        <w:ind w:left="102" w:hanging="102"/>
        <w:spacing w:after="0"/>
        <w:tabs>
          <w:tab w:leader="none" w:pos="102" w:val="left"/>
        </w:tabs>
        <w:numPr>
          <w:ilvl w:val="0"/>
          <w:numId w:val="215"/>
        </w:numPr>
        <w:rPr>
          <w:rFonts w:ascii="Arial" w:cs="Arial" w:eastAsia="Arial" w:hAnsi="Arial"/>
          <w:sz w:val="20"/>
          <w:szCs w:val="20"/>
          <w:b w:val="1"/>
          <w:bCs w:val="1"/>
          <w:i w:val="1"/>
          <w:iCs w:val="1"/>
          <w:color w:val="D64000"/>
        </w:rPr>
      </w:pPr>
      <w:r>
        <w:rPr>
          <w:rFonts w:ascii="Arial" w:cs="Arial" w:eastAsia="Arial" w:hAnsi="Arial"/>
          <w:sz w:val="20"/>
          <w:szCs w:val="20"/>
          <w:b w:val="1"/>
          <w:bCs w:val="1"/>
          <w:i w:val="1"/>
          <w:iCs w:val="1"/>
          <w:color w:val="D64000"/>
        </w:rPr>
        <w:t>Connecting the dots</w:t>
      </w:r>
    </w:p>
    <w:p>
      <w:pPr>
        <w:spacing w:after="0" w:line="184" w:lineRule="exact"/>
        <w:rPr>
          <w:rFonts w:ascii="Arial" w:cs="Arial" w:eastAsia="Arial" w:hAnsi="Arial"/>
          <w:sz w:val="20"/>
          <w:szCs w:val="20"/>
          <w:b w:val="1"/>
          <w:bCs w:val="1"/>
          <w:i w:val="1"/>
          <w:iCs w:val="1"/>
          <w:color w:val="D64000"/>
        </w:rPr>
      </w:pPr>
    </w:p>
    <w:p>
      <w:pPr>
        <w:ind w:left="442" w:right="340" w:hanging="442"/>
        <w:spacing w:after="0" w:line="324" w:lineRule="auto"/>
        <w:tabs>
          <w:tab w:leader="none" w:pos="124" w:val="left"/>
        </w:tabs>
        <w:numPr>
          <w:ilvl w:val="0"/>
          <w:numId w:val="215"/>
        </w:numPr>
        <w:rPr>
          <w:rFonts w:ascii="Arial" w:cs="Arial" w:eastAsia="Arial" w:hAnsi="Arial"/>
          <w:sz w:val="24"/>
          <w:szCs w:val="24"/>
          <w:b w:val="1"/>
          <w:bCs w:val="1"/>
          <w:color w:val="auto"/>
        </w:rPr>
      </w:pPr>
      <w:r>
        <w:rPr>
          <w:rFonts w:ascii="Arial" w:cs="Arial" w:eastAsia="Arial" w:hAnsi="Arial"/>
          <w:sz w:val="24"/>
          <w:szCs w:val="24"/>
          <w:b w:val="1"/>
          <w:bCs w:val="1"/>
          <w:color w:val="auto"/>
        </w:rPr>
        <w:t>Q</w:t>
      </w:r>
      <w:r>
        <w:rPr>
          <w:rFonts w:ascii="Arial" w:cs="Arial" w:eastAsia="Arial" w:hAnsi="Arial"/>
          <w:sz w:val="16"/>
          <w:szCs w:val="16"/>
          <w:b w:val="1"/>
          <w:bCs w:val="1"/>
          <w:color w:val="auto"/>
        </w:rPr>
        <w:t xml:space="preserve">   A contractor has asked us to make a payment to a company for his services instead of to him personally. We previously</w:t>
      </w:r>
      <w:r>
        <w:rPr>
          <w:rFonts w:ascii="Arial" w:cs="Arial" w:eastAsia="Arial" w:hAnsi="Arial"/>
          <w:sz w:val="24"/>
          <w:szCs w:val="24"/>
          <w:b w:val="1"/>
          <w:bCs w:val="1"/>
          <w:color w:val="auto"/>
        </w:rPr>
        <w:t xml:space="preserve"> </w:t>
      </w:r>
      <w:r>
        <w:rPr>
          <w:rFonts w:ascii="Arial" w:cs="Arial" w:eastAsia="Arial" w:hAnsi="Arial"/>
          <w:sz w:val="16"/>
          <w:szCs w:val="16"/>
          <w:b w:val="1"/>
          <w:bCs w:val="1"/>
          <w:color w:val="auto"/>
        </w:rPr>
        <w:t>engaged the contractor in his own name. Is this permissible?</w:t>
      </w:r>
    </w:p>
    <w:p>
      <w:pPr>
        <w:spacing w:after="0" w:line="1" w:lineRule="exact"/>
        <w:rPr>
          <w:rFonts w:ascii="Arial" w:cs="Arial" w:eastAsia="Arial" w:hAnsi="Arial"/>
          <w:sz w:val="24"/>
          <w:szCs w:val="24"/>
          <w:b w:val="1"/>
          <w:bCs w:val="1"/>
          <w:color w:val="auto"/>
        </w:rPr>
      </w:pPr>
    </w:p>
    <w:p>
      <w:pPr>
        <w:ind w:left="442" w:right="640" w:hanging="442"/>
        <w:spacing w:after="0" w:line="384" w:lineRule="auto"/>
        <w:tabs>
          <w:tab w:leader="none" w:pos="115" w:val="left"/>
        </w:tabs>
        <w:numPr>
          <w:ilvl w:val="0"/>
          <w:numId w:val="215"/>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15"/>
          <w:szCs w:val="15"/>
          <w:color w:val="auto"/>
        </w:rPr>
        <w:t xml:space="preserve">   No. Payments to vendors and contractors must be supported by appropriate documentation. They also must be accurate and</w:t>
      </w:r>
      <w:r>
        <w:rPr>
          <w:rFonts w:ascii="Arial" w:cs="Arial" w:eastAsia="Arial" w:hAnsi="Arial"/>
          <w:sz w:val="22"/>
          <w:szCs w:val="22"/>
          <w:b w:val="1"/>
          <w:bCs w:val="1"/>
          <w:color w:val="auto"/>
        </w:rPr>
        <w:t xml:space="preserve"> </w:t>
      </w:r>
      <w:r>
        <w:rPr>
          <w:rFonts w:ascii="Arial" w:cs="Arial" w:eastAsia="Arial" w:hAnsi="Arial"/>
          <w:sz w:val="15"/>
          <w:szCs w:val="15"/>
          <w:color w:val="auto"/>
        </w:rPr>
        <w:t>complete, which includes making payments to the same person or company that we engaged.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-1536700</wp:posOffset>
            </wp:positionV>
            <wp:extent cx="6899275" cy="155638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899275" cy="1556385"/>
                    </a:xfrm>
                    <a:prstGeom prst="rect">
                      <a:avLst/>
                    </a:prstGeom>
                    <a:noFill/>
                  </pic:spPr>
                </pic:pic>
              </a:graphicData>
            </a:graphic>
          </wp:anchor>
        </w:drawing>
      </w:r>
    </w:p>
    <w:p>
      <w:pPr>
        <w:spacing w:after="0" w:line="383" w:lineRule="exact"/>
        <w:rPr>
          <w:sz w:val="20"/>
          <w:szCs w:val="20"/>
          <w:color w:val="auto"/>
        </w:rPr>
      </w:pPr>
    </w:p>
    <w:p>
      <w:pPr>
        <w:ind w:left="2"/>
        <w:spacing w:after="0"/>
        <w:rPr>
          <w:sz w:val="20"/>
          <w:szCs w:val="20"/>
          <w:color w:val="auto"/>
        </w:rPr>
      </w:pPr>
      <w:r>
        <w:rPr>
          <w:rFonts w:ascii="Arial" w:cs="Arial" w:eastAsia="Arial" w:hAnsi="Arial"/>
          <w:sz w:val="26"/>
          <w:szCs w:val="26"/>
          <w:i w:val="1"/>
          <w:iCs w:val="1"/>
          <w:color w:val="D64000"/>
        </w:rPr>
        <w:t>Tax payments and records</w:t>
      </w:r>
    </w:p>
    <w:p>
      <w:pPr>
        <w:spacing w:after="0" w:line="182" w:lineRule="exact"/>
        <w:rPr>
          <w:sz w:val="20"/>
          <w:szCs w:val="20"/>
          <w:color w:val="auto"/>
        </w:rPr>
      </w:pPr>
    </w:p>
    <w:p>
      <w:pPr>
        <w:ind w:left="2" w:right="260"/>
        <w:spacing w:after="0" w:line="253" w:lineRule="auto"/>
        <w:rPr>
          <w:sz w:val="20"/>
          <w:szCs w:val="20"/>
          <w:color w:val="auto"/>
        </w:rPr>
      </w:pPr>
      <w:r>
        <w:rPr>
          <w:rFonts w:ascii="Arial" w:cs="Arial" w:eastAsia="Arial" w:hAnsi="Arial"/>
          <w:sz w:val="19"/>
          <w:szCs w:val="19"/>
          <w:color w:val="auto"/>
        </w:rPr>
        <w:t>We have the responsibility to ensure that reasonable procedures are in place to prevent those acting on behalf of Thomson Reuters (including employees, agents, contractors, service providers, distributors and other associated persons) do not knowingly facilitate the evasion of taxes (for ourselves or those with whom we do business) anywhere in the world.</w:t>
      </w:r>
    </w:p>
    <w:p>
      <w:pPr>
        <w:spacing w:after="0" w:line="117" w:lineRule="exact"/>
        <w:rPr>
          <w:sz w:val="20"/>
          <w:szCs w:val="20"/>
          <w:color w:val="auto"/>
        </w:rPr>
      </w:pPr>
    </w:p>
    <w:p>
      <w:pPr>
        <w:ind w:left="2" w:right="260"/>
        <w:spacing w:after="0" w:line="253" w:lineRule="auto"/>
        <w:rPr>
          <w:sz w:val="20"/>
          <w:szCs w:val="20"/>
          <w:color w:val="auto"/>
        </w:rPr>
      </w:pPr>
      <w:r>
        <w:rPr>
          <w:rFonts w:ascii="Arial" w:cs="Arial" w:eastAsia="Arial" w:hAnsi="Arial"/>
          <w:sz w:val="19"/>
          <w:szCs w:val="19"/>
          <w:color w:val="auto"/>
        </w:rPr>
        <w:t>Tax evasion includes activities such as: failure to register as a taxpayer in a local jurisdiction, under-reporting of income, claiming non-allowable expenses, issuing invoices for services not received, backdating documents, deliberately mispricing assets or helping to move assets/funds knowing that tax will be evaded as a result.</w:t>
      </w:r>
    </w:p>
    <w:p>
      <w:pPr>
        <w:spacing w:after="0" w:line="153" w:lineRule="exact"/>
        <w:rPr>
          <w:sz w:val="20"/>
          <w:szCs w:val="20"/>
          <w:color w:val="auto"/>
        </w:rPr>
      </w:pPr>
    </w:p>
    <w:p>
      <w:pPr>
        <w:ind w:left="2"/>
        <w:spacing w:after="0"/>
        <w:rPr>
          <w:sz w:val="20"/>
          <w:szCs w:val="20"/>
          <w:color w:val="auto"/>
        </w:rPr>
      </w:pPr>
      <w:r>
        <w:rPr>
          <w:rFonts w:ascii="Arial" w:cs="Arial" w:eastAsia="Arial" w:hAnsi="Arial"/>
          <w:sz w:val="26"/>
          <w:szCs w:val="26"/>
          <w:i w:val="1"/>
          <w:iCs w:val="1"/>
          <w:color w:val="D64000"/>
        </w:rPr>
        <w:t>Raising concerns</w:t>
      </w:r>
    </w:p>
    <w:p>
      <w:pPr>
        <w:spacing w:after="0" w:line="155" w:lineRule="exact"/>
        <w:rPr>
          <w:sz w:val="20"/>
          <w:szCs w:val="20"/>
          <w:color w:val="auto"/>
        </w:rPr>
      </w:pPr>
    </w:p>
    <w:p>
      <w:pPr>
        <w:ind w:left="2" w:right="420"/>
        <w:spacing w:after="0" w:line="243" w:lineRule="auto"/>
        <w:rPr>
          <w:sz w:val="20"/>
          <w:szCs w:val="20"/>
          <w:color w:val="auto"/>
        </w:rPr>
      </w:pPr>
      <w:r>
        <w:rPr>
          <w:rFonts w:ascii="Arial" w:cs="Arial" w:eastAsia="Arial" w:hAnsi="Arial"/>
          <w:sz w:val="19"/>
          <w:szCs w:val="19"/>
          <w:color w:val="auto"/>
        </w:rPr>
        <w:t>We have a responsibility to raise good faith concerns about questionable financial matters. The Audit Committee of the Thomson Reuters Board of Directors is committed to facilitating employee efforts to make these concerns known and has established procedures for how to treat complaints about accounting, internal controls, auditing matters and disclosure controls. This includes procedures for receiving, retaining and processing such complaints, as well as for submitting confidential and anonymous concerns.</w:t>
      </w:r>
    </w:p>
    <w:p>
      <w:pPr>
        <w:spacing w:after="0" w:line="166" w:lineRule="exact"/>
        <w:rPr>
          <w:sz w:val="20"/>
          <w:szCs w:val="20"/>
          <w:color w:val="auto"/>
        </w:rPr>
      </w:pPr>
    </w:p>
    <w:p>
      <w:pPr>
        <w:ind w:left="2" w:right="540"/>
        <w:spacing w:after="0" w:line="253" w:lineRule="auto"/>
        <w:rPr>
          <w:sz w:val="20"/>
          <w:szCs w:val="20"/>
          <w:color w:val="auto"/>
        </w:rPr>
      </w:pPr>
      <w:r>
        <w:rPr>
          <w:rFonts w:ascii="Arial" w:cs="Arial" w:eastAsia="Arial" w:hAnsi="Arial"/>
          <w:sz w:val="19"/>
          <w:szCs w:val="19"/>
          <w:color w:val="auto"/>
        </w:rPr>
        <w:t xml:space="preserve">In addition, it is unlawful to fraudulently influence, coerce, manipulate or mislead any independent public or certified accountant who is auditing our financial statements. </w:t>
      </w:r>
      <w:r>
        <w:rPr>
          <w:rFonts w:ascii="Arial" w:cs="Arial" w:eastAsia="Arial" w:hAnsi="Arial"/>
          <w:sz w:val="19"/>
          <w:szCs w:val="19"/>
          <w:b w:val="1"/>
          <w:bCs w:val="1"/>
          <w:color w:val="1A7EE5"/>
        </w:rPr>
        <w:t>Seek Help</w:t>
      </w:r>
      <w:r>
        <w:rPr>
          <w:rFonts w:ascii="Arial" w:cs="Arial" w:eastAsia="Arial" w:hAnsi="Arial"/>
          <w:sz w:val="19"/>
          <w:szCs w:val="19"/>
          <w:color w:val="auto"/>
        </w:rPr>
        <w:t xml:space="preserve"> for more information, including on how to submit reports anonymously.</w:t>
      </w:r>
    </w:p>
    <w:p>
      <w:pPr>
        <w:spacing w:after="0" w:line="155"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1A7EE5"/>
        </w:rPr>
        <w:t>Protocol for Internal Reporting and Investigation of a Fraud Allegation on the Intranet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967740" cy="32829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4362"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40</w:t>
            </w:r>
          </w:p>
        </w:tc>
      </w:tr>
    </w:tbl>
    <w:p>
      <w:pPr>
        <w:sectPr>
          <w:pgSz w:w="11900" w:h="16838" w:orient="portrait"/>
          <w:cols w:equalWidth="0" w:num="1">
            <w:col w:w="10822"/>
          </w:cols>
          <w:pgMar w:left="538" w:top="264" w:right="539" w:bottom="1440" w:gutter="0" w:footer="0" w:header="0"/>
        </w:sectPr>
      </w:pPr>
    </w:p>
    <w:bookmarkStart w:id="221" w:name="page222"/>
    <w:bookmarkEnd w:id="221"/>
    <w:p>
      <w:pPr>
        <w:ind w:left="222"/>
        <w:spacing w:after="0"/>
        <w:rPr>
          <w:sz w:val="20"/>
          <w:szCs w:val="20"/>
          <w:color w:val="auto"/>
        </w:rPr>
      </w:pPr>
      <w:r>
        <w:rPr>
          <w:rFonts w:ascii="Arial" w:cs="Arial" w:eastAsia="Arial" w:hAnsi="Arial"/>
          <w:sz w:val="19"/>
          <w:szCs w:val="19"/>
          <w:b w:val="1"/>
          <w:bCs w:val="1"/>
          <w:i w:val="1"/>
          <w:iCs w:val="1"/>
          <w:color w:val="123121"/>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228854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6770" cy="2288540"/>
                    </a:xfrm>
                    <a:prstGeom prst="rect">
                      <a:avLst/>
                    </a:prstGeom>
                    <a:noFill/>
                  </pic:spPr>
                </pic:pic>
              </a:graphicData>
            </a:graphic>
          </wp:anchor>
        </w:drawing>
        <w:t>Reportable fraud</w:t>
      </w:r>
    </w:p>
    <w:p>
      <w:pPr>
        <w:spacing w:after="0" w:line="117" w:lineRule="exact"/>
        <w:rPr>
          <w:sz w:val="20"/>
          <w:szCs w:val="20"/>
          <w:color w:val="auto"/>
        </w:rPr>
      </w:pPr>
    </w:p>
    <w:p>
      <w:pPr>
        <w:ind w:left="222"/>
        <w:spacing w:after="0"/>
        <w:rPr>
          <w:sz w:val="20"/>
          <w:szCs w:val="20"/>
          <w:color w:val="auto"/>
        </w:rPr>
      </w:pPr>
      <w:r>
        <w:rPr>
          <w:rFonts w:ascii="Arial" w:cs="Arial" w:eastAsia="Arial" w:hAnsi="Arial"/>
          <w:sz w:val="18"/>
          <w:szCs w:val="18"/>
          <w:color w:val="auto"/>
        </w:rPr>
        <w:t>Report any other types of fraud or dishonest activity that you have seen or suspect, including:</w:t>
      </w:r>
    </w:p>
    <w:p>
      <w:pPr>
        <w:spacing w:after="0" w:line="149" w:lineRule="exact"/>
        <w:rPr>
          <w:sz w:val="20"/>
          <w:szCs w:val="20"/>
          <w:color w:val="auto"/>
        </w:rPr>
      </w:pPr>
    </w:p>
    <w:p>
      <w:pPr>
        <w:ind w:left="482" w:right="3980"/>
        <w:spacing w:after="0" w:line="321"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Questionable transactions with customers, agents, vendors or other consultants</w:t>
      </w:r>
      <w:r>
        <w:rPr>
          <w:rFonts w:ascii="Times New Roman" w:cs="Times New Roman" w:eastAsia="Times New Roman" w:hAnsi="Times New Roman"/>
          <w:sz w:val="18"/>
          <w:szCs w:val="18"/>
          <w:color w:val="D64000"/>
        </w:rPr>
        <w:t xml:space="preserve"> ●</w:t>
      </w:r>
      <w:r>
        <w:rPr>
          <w:rFonts w:ascii="Arial" w:cs="Arial" w:eastAsia="Arial" w:hAnsi="Arial"/>
          <w:sz w:val="18"/>
          <w:szCs w:val="18"/>
          <w:color w:val="000000"/>
        </w:rPr>
        <w:t> Forgeries or other alterations of documents</w:t>
      </w:r>
    </w:p>
    <w:p>
      <w:pPr>
        <w:spacing w:after="0" w:line="1" w:lineRule="exact"/>
        <w:rPr>
          <w:sz w:val="20"/>
          <w:szCs w:val="20"/>
          <w:color w:val="auto"/>
        </w:rPr>
      </w:pPr>
    </w:p>
    <w:p>
      <w:pPr>
        <w:ind w:left="482" w:right="3940"/>
        <w:spacing w:after="0" w:line="321"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Billings that are higher or lower than agreed-upon prices for products or services</w:t>
      </w:r>
      <w:r>
        <w:rPr>
          <w:rFonts w:ascii="Times New Roman" w:cs="Times New Roman" w:eastAsia="Times New Roman" w:hAnsi="Times New Roman"/>
          <w:sz w:val="18"/>
          <w:szCs w:val="18"/>
          <w:color w:val="D64000"/>
        </w:rPr>
        <w:t xml:space="preserve"> ●</w:t>
      </w:r>
      <w:r>
        <w:rPr>
          <w:rFonts w:ascii="Arial" w:cs="Arial" w:eastAsia="Arial" w:hAnsi="Arial"/>
          <w:sz w:val="18"/>
          <w:szCs w:val="18"/>
          <w:color w:val="000000"/>
        </w:rPr>
        <w:t> Payments made for any reason other than described in a contract</w:t>
      </w:r>
    </w:p>
    <w:p>
      <w:pPr>
        <w:spacing w:after="0" w:line="1" w:lineRule="exact"/>
        <w:rPr>
          <w:sz w:val="20"/>
          <w:szCs w:val="20"/>
          <w:color w:val="auto"/>
        </w:rPr>
      </w:pPr>
    </w:p>
    <w:p>
      <w:pPr>
        <w:ind w:left="482"/>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Payments made through intermediaries that deviate from everyday business transactions</w:t>
      </w:r>
    </w:p>
    <w:p>
      <w:pPr>
        <w:spacing w:after="0" w:line="70" w:lineRule="exact"/>
        <w:rPr>
          <w:sz w:val="20"/>
          <w:szCs w:val="20"/>
          <w:color w:val="auto"/>
        </w:rPr>
      </w:pPr>
    </w:p>
    <w:p>
      <w:pPr>
        <w:ind w:left="482" w:right="2360"/>
        <w:spacing w:after="0" w:line="321"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Transfers or deposits in the bank account of an individual instead of the company we contracted with</w:t>
      </w:r>
      <w:r>
        <w:rPr>
          <w:rFonts w:ascii="Times New Roman" w:cs="Times New Roman" w:eastAsia="Times New Roman" w:hAnsi="Times New Roman"/>
          <w:sz w:val="18"/>
          <w:szCs w:val="18"/>
          <w:color w:val="D64000"/>
        </w:rPr>
        <w:t xml:space="preserve"> ●</w:t>
      </w:r>
      <w:r>
        <w:rPr>
          <w:rFonts w:ascii="Arial" w:cs="Arial" w:eastAsia="Arial" w:hAnsi="Arial"/>
          <w:sz w:val="18"/>
          <w:szCs w:val="18"/>
          <w:color w:val="000000"/>
        </w:rPr>
        <w:t> Embezzlement, theft or misappropriation of company or customer assets</w:t>
      </w:r>
    </w:p>
    <w:p>
      <w:pPr>
        <w:spacing w:after="0" w:line="1" w:lineRule="exact"/>
        <w:rPr>
          <w:sz w:val="20"/>
          <w:szCs w:val="20"/>
          <w:color w:val="auto"/>
        </w:rPr>
      </w:pPr>
    </w:p>
    <w:p>
      <w:pPr>
        <w:ind w:left="482" w:right="1580"/>
        <w:spacing w:after="0" w:line="350"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Verbal arrangements with customers or unauthorized written agreements that are outside of an official contract</w:t>
      </w:r>
      <w:r>
        <w:rPr>
          <w:rFonts w:ascii="Times New Roman" w:cs="Times New Roman" w:eastAsia="Times New Roman" w:hAnsi="Times New Roman"/>
          <w:sz w:val="18"/>
          <w:szCs w:val="18"/>
          <w:color w:val="D64000"/>
        </w:rPr>
        <w:t xml:space="preserve"> ●</w:t>
      </w:r>
      <w:r>
        <w:rPr>
          <w:rFonts w:ascii="Arial" w:cs="Arial" w:eastAsia="Arial" w:hAnsi="Arial"/>
          <w:sz w:val="18"/>
          <w:szCs w:val="18"/>
          <w:color w:val="000000"/>
        </w:rPr>
        <w:t> Any activity intended to unfairly influence commission payments</w:t>
      </w:r>
    </w:p>
    <w:p>
      <w:pPr>
        <w:spacing w:after="0" w:line="215" w:lineRule="exact"/>
        <w:rPr>
          <w:sz w:val="20"/>
          <w:szCs w:val="20"/>
          <w:color w:val="auto"/>
        </w:rPr>
      </w:pPr>
    </w:p>
    <w:p>
      <w:pPr>
        <w:ind w:left="222" w:hanging="222"/>
        <w:spacing w:after="0"/>
        <w:tabs>
          <w:tab w:leader="none" w:pos="222" w:val="left"/>
        </w:tabs>
        <w:numPr>
          <w:ilvl w:val="0"/>
          <w:numId w:val="216"/>
        </w:numPr>
        <w:rPr>
          <w:rFonts w:ascii="Arial" w:cs="Arial" w:eastAsia="Arial" w:hAnsi="Arial"/>
          <w:sz w:val="39"/>
          <w:szCs w:val="39"/>
          <w:i w:val="1"/>
          <w:iCs w:val="1"/>
          <w:color w:val="auto"/>
          <w:vertAlign w:val="superscript"/>
        </w:rPr>
      </w:pPr>
      <w:r>
        <w:rPr>
          <w:rFonts w:ascii="Arial" w:cs="Arial" w:eastAsia="Arial" w:hAnsi="Arial"/>
          <w:sz w:val="19"/>
          <w:szCs w:val="19"/>
          <w:b w:val="1"/>
          <w:bCs w:val="1"/>
          <w:i w:val="1"/>
          <w:iCs w:val="1"/>
          <w:color w:val="123121"/>
        </w:rPr>
        <w:t>Reportable auditing and accounting issues</w:t>
      </w:r>
    </w:p>
    <w:p>
      <w:pPr>
        <w:spacing w:after="0" w:line="86" w:lineRule="exact"/>
        <w:rPr>
          <w:rFonts w:ascii="Arial" w:cs="Arial" w:eastAsia="Arial" w:hAnsi="Arial"/>
          <w:sz w:val="39"/>
          <w:szCs w:val="39"/>
          <w:i w:val="1"/>
          <w:iCs w:val="1"/>
          <w:color w:val="auto"/>
          <w:vertAlign w:val="superscript"/>
        </w:rPr>
      </w:pPr>
    </w:p>
    <w:p>
      <w:pPr>
        <w:ind w:left="222"/>
        <w:spacing w:after="0"/>
        <w:rPr>
          <w:rFonts w:ascii="Arial" w:cs="Arial" w:eastAsia="Arial" w:hAnsi="Arial"/>
          <w:sz w:val="39"/>
          <w:szCs w:val="39"/>
          <w:i w:val="1"/>
          <w:iCs w:val="1"/>
          <w:color w:val="auto"/>
          <w:vertAlign w:val="superscript"/>
        </w:rPr>
      </w:pPr>
      <w:r>
        <w:rPr>
          <w:rFonts w:ascii="Arial" w:cs="Arial" w:eastAsia="Arial" w:hAnsi="Arial"/>
          <w:sz w:val="18"/>
          <w:szCs w:val="18"/>
          <w:color w:val="auto"/>
        </w:rPr>
        <w:t>Promptly report complaints or concerns involving: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-416560</wp:posOffset>
            </wp:positionV>
            <wp:extent cx="6865620" cy="146367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865620" cy="1463675"/>
                    </a:xfrm>
                    <a:prstGeom prst="rect">
                      <a:avLst/>
                    </a:prstGeom>
                    <a:noFill/>
                  </pic:spPr>
                </pic:pic>
              </a:graphicData>
            </a:graphic>
          </wp:anchor>
        </w:drawing>
      </w:r>
    </w:p>
    <w:p>
      <w:pPr>
        <w:spacing w:after="0" w:line="113" w:lineRule="exact"/>
        <w:rPr>
          <w:sz w:val="20"/>
          <w:szCs w:val="20"/>
          <w:color w:val="auto"/>
        </w:rPr>
      </w:pPr>
    </w:p>
    <w:p>
      <w:pPr>
        <w:ind w:left="522" w:right="1540" w:hanging="140"/>
        <w:spacing w:after="0" w:line="274"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Fraud or deliberate errors in preparation, maintenance, or review of any Thomson Reuters financial statement or</w:t>
      </w:r>
      <w:r>
        <w:rPr>
          <w:rFonts w:ascii="Times New Roman" w:cs="Times New Roman" w:eastAsia="Times New Roman" w:hAnsi="Times New Roman"/>
          <w:sz w:val="18"/>
          <w:szCs w:val="18"/>
          <w:color w:val="D64000"/>
        </w:rPr>
        <w:t xml:space="preserve"> </w:t>
      </w:r>
      <w:r>
        <w:rPr>
          <w:rFonts w:ascii="Arial" w:cs="Arial" w:eastAsia="Arial" w:hAnsi="Arial"/>
          <w:sz w:val="18"/>
          <w:szCs w:val="18"/>
          <w:color w:val="000000"/>
        </w:rPr>
        <w:t>record</w:t>
      </w:r>
    </w:p>
    <w:p>
      <w:pPr>
        <w:spacing w:after="0" w:line="3" w:lineRule="exact"/>
        <w:rPr>
          <w:sz w:val="20"/>
          <w:szCs w:val="20"/>
          <w:color w:val="auto"/>
        </w:rPr>
      </w:pPr>
    </w:p>
    <w:p>
      <w:pPr>
        <w:ind w:left="382"/>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Deficiencies or noncompliance with internal accounting controls</w:t>
      </w:r>
    </w:p>
    <w:p>
      <w:pPr>
        <w:spacing w:after="0" w:line="70" w:lineRule="exact"/>
        <w:rPr>
          <w:sz w:val="20"/>
          <w:szCs w:val="20"/>
          <w:color w:val="auto"/>
        </w:rPr>
      </w:pPr>
    </w:p>
    <w:p>
      <w:pPr>
        <w:ind w:left="382" w:right="1540"/>
        <w:spacing w:after="0" w:line="350"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Misrepresentation or false statements to or by a senior officer or accountant regarding financial audits or records</w:t>
      </w:r>
      <w:r>
        <w:rPr>
          <w:rFonts w:ascii="Times New Roman" w:cs="Times New Roman" w:eastAsia="Times New Roman" w:hAnsi="Times New Roman"/>
          <w:sz w:val="18"/>
          <w:szCs w:val="18"/>
          <w:color w:val="D64000"/>
        </w:rPr>
        <w:t xml:space="preserve"> ●</w:t>
      </w:r>
      <w:r>
        <w:rPr>
          <w:rFonts w:ascii="Arial" w:cs="Arial" w:eastAsia="Arial" w:hAnsi="Arial"/>
          <w:sz w:val="18"/>
          <w:szCs w:val="18"/>
          <w:color w:val="000000"/>
        </w:rPr>
        <w:t> Deviations from full and fair reporting of the company’s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
        <w:spacing w:after="0"/>
        <w:rPr>
          <w:sz w:val="20"/>
          <w:szCs w:val="20"/>
          <w:color w:val="auto"/>
        </w:rPr>
      </w:pPr>
      <w:r>
        <w:rPr>
          <w:rFonts w:ascii="Arial" w:cs="Arial" w:eastAsia="Arial" w:hAnsi="Arial"/>
          <w:sz w:val="35"/>
          <w:szCs w:val="35"/>
          <w:b w:val="1"/>
          <w:bCs w:val="1"/>
          <w:color w:val="D64000"/>
        </w:rPr>
        <w:t>Managing our records</w:t>
      </w:r>
    </w:p>
    <w:p>
      <w:pPr>
        <w:spacing w:after="0" w:line="332"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auto"/>
        </w:rPr>
        <w:t>We are trusted to . . .</w:t>
      </w:r>
    </w:p>
    <w:p>
      <w:pPr>
        <w:spacing w:after="0" w:line="192" w:lineRule="exact"/>
        <w:rPr>
          <w:sz w:val="20"/>
          <w:szCs w:val="20"/>
          <w:color w:val="auto"/>
        </w:rPr>
      </w:pPr>
    </w:p>
    <w:p>
      <w:pPr>
        <w:ind w:left="2"/>
        <w:spacing w:after="0"/>
        <w:rPr>
          <w:sz w:val="20"/>
          <w:szCs w:val="20"/>
          <w:color w:val="auto"/>
        </w:rPr>
      </w:pPr>
      <w:r>
        <w:rPr>
          <w:rFonts w:ascii="Arial" w:cs="Arial" w:eastAsia="Arial" w:hAnsi="Arial"/>
          <w:sz w:val="19"/>
          <w:szCs w:val="19"/>
          <w:i w:val="1"/>
          <w:iCs w:val="1"/>
          <w:color w:val="auto"/>
        </w:rPr>
        <w:t>…properly maintain and dispose of electronic and physical records.</w:t>
      </w:r>
    </w:p>
    <w:p>
      <w:pPr>
        <w:spacing w:after="0" w:line="235"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auto"/>
        </w:rPr>
        <w:t>Why it matters</w:t>
      </w:r>
    </w:p>
    <w:p>
      <w:pPr>
        <w:spacing w:after="0" w:line="165" w:lineRule="exact"/>
        <w:rPr>
          <w:sz w:val="20"/>
          <w:szCs w:val="20"/>
          <w:color w:val="auto"/>
        </w:rPr>
      </w:pPr>
    </w:p>
    <w:p>
      <w:pPr>
        <w:ind w:left="2" w:right="20"/>
        <w:spacing w:after="0" w:line="243" w:lineRule="auto"/>
        <w:rPr>
          <w:sz w:val="20"/>
          <w:szCs w:val="20"/>
          <w:color w:val="auto"/>
        </w:rPr>
      </w:pPr>
      <w:r>
        <w:rPr>
          <w:rFonts w:ascii="Arial" w:cs="Arial" w:eastAsia="Arial" w:hAnsi="Arial"/>
          <w:sz w:val="19"/>
          <w:szCs w:val="19"/>
          <w:color w:val="auto"/>
        </w:rPr>
        <w:t>As a largely information-based business, Thomson Reuters generates thousands of business records every day, in addition to financial records. These records must be created, stored and disposed of according to strict legal requirements. When we can access records in a timely fashion, we provide better service to our business partners and we avoid risks around audits, regulatory issues or litigation. At the same time, records kept past their disposal dates can create avoidable information security, privacy or legal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967740" cy="32829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384" w:lineRule="exact"/>
        <w:rPr>
          <w:sz w:val="20"/>
          <w:szCs w:val="20"/>
          <w:color w:val="auto"/>
        </w:rPr>
      </w:pPr>
    </w:p>
    <w:tbl>
      <w:tblPr>
        <w:tblLayout w:type="fixed"/>
        <w:tblInd w:w="4362"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41</w:t>
            </w:r>
          </w:p>
        </w:tc>
      </w:tr>
    </w:tbl>
    <w:p>
      <w:pPr>
        <w:sectPr>
          <w:pgSz w:w="11900" w:h="16838" w:orient="portrait"/>
          <w:cols w:equalWidth="0" w:num="1">
            <w:col w:w="10822"/>
          </w:cols>
          <w:pgMar w:left="538" w:top="383" w:right="539" w:bottom="1440" w:gutter="0" w:footer="0" w:header="0"/>
        </w:sectPr>
      </w:pPr>
    </w:p>
    <w:bookmarkStart w:id="222" w:name="page223"/>
    <w:bookmarkEnd w:id="222"/>
    <w:p>
      <w:pP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How we deliver</w:t>
      </w:r>
    </w:p>
    <w:p>
      <w:pPr>
        <w:spacing w:after="0" w:line="165" w:lineRule="exact"/>
        <w:rPr>
          <w:sz w:val="20"/>
          <w:szCs w:val="20"/>
          <w:color w:val="auto"/>
        </w:rPr>
      </w:pPr>
    </w:p>
    <w:p>
      <w:pPr>
        <w:ind w:right="420"/>
        <w:spacing w:after="0" w:line="273" w:lineRule="auto"/>
        <w:rPr>
          <w:sz w:val="20"/>
          <w:szCs w:val="20"/>
          <w:color w:val="auto"/>
        </w:rPr>
      </w:pPr>
      <w:r>
        <w:rPr>
          <w:rFonts w:ascii="Arial" w:cs="Arial" w:eastAsia="Arial" w:hAnsi="Arial"/>
          <w:sz w:val="19"/>
          <w:szCs w:val="19"/>
          <w:color w:val="auto"/>
        </w:rPr>
        <w:t>We care for, store, retrieve and dispose of our business records according to applicable records management policy. This means we:</w:t>
      </w:r>
    </w:p>
    <w:p>
      <w:pPr>
        <w:spacing w:after="0" w:line="73" w:lineRule="exact"/>
        <w:rPr>
          <w:sz w:val="20"/>
          <w:szCs w:val="20"/>
          <w:color w:val="auto"/>
        </w:rPr>
      </w:pPr>
    </w:p>
    <w:tbl>
      <w:tblPr>
        <w:tblLayout w:type="fixed"/>
        <w:tblInd w:w="280" w:type="dxa"/>
        <w:tblCellMar>
          <w:top w:w="0" w:type="dxa"/>
          <w:left w:w="0" w:type="dxa"/>
          <w:bottom w:w="0" w:type="dxa"/>
          <w:right w:w="0" w:type="dxa"/>
        </w:tblCellMar>
      </w:tblPr>
      <w:tr>
        <w:trPr>
          <w:trHeight w:val="22"/>
        </w:trPr>
        <w:tc>
          <w:tcPr>
            <w:tcW w:w="6860" w:type="dxa"/>
            <w:vAlign w:val="bottom"/>
            <w:vMerge w:val="restart"/>
          </w:tcPr>
          <w:p>
            <w:pPr>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Consistently organize our filing, storage and retrieval of electronic and</w:t>
            </w:r>
          </w:p>
        </w:tc>
        <w:tc>
          <w:tcPr>
            <w:tcW w:w="220" w:type="dxa"/>
            <w:vAlign w:val="bottom"/>
            <w:vMerge w:val="restart"/>
          </w:tcPr>
          <w:p>
            <w:pPr>
              <w:ind w:left="120"/>
              <w:spacing w:after="0"/>
              <w:rPr>
                <w:sz w:val="20"/>
                <w:szCs w:val="20"/>
                <w:color w:val="auto"/>
              </w:rPr>
            </w:pPr>
            <w:r>
              <w:rPr>
                <w:rFonts w:ascii="Arial" w:cs="Arial" w:eastAsia="Arial" w:hAnsi="Arial"/>
                <w:sz w:val="19"/>
                <w:szCs w:val="19"/>
                <w:color w:val="auto"/>
              </w:rPr>
              <w:t> </w:t>
            </w: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860" w:type="dxa"/>
            <w:vAlign w:val="bottom"/>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3440" w:type="dxa"/>
            <w:vAlign w:val="bottom"/>
            <w:shd w:val="clear" w:color="auto" w:fill="E1F4CD"/>
          </w:tcPr>
          <w:p>
            <w:pPr>
              <w:ind w:left="120"/>
              <w:spacing w:after="0"/>
              <w:rPr>
                <w:sz w:val="20"/>
                <w:szCs w:val="20"/>
                <w:color w:val="auto"/>
              </w:rPr>
            </w:pPr>
            <w:r>
              <w:rPr>
                <w:rFonts w:ascii="Arial" w:cs="Arial" w:eastAsia="Arial" w:hAnsi="Arial"/>
                <w:sz w:val="18"/>
                <w:szCs w:val="18"/>
                <w:b w:val="1"/>
                <w:bCs w:val="1"/>
                <w:i w:val="1"/>
                <w:iCs w:val="1"/>
                <w:color w:val="123121"/>
              </w:rPr>
              <w:t>What is a record?</w:t>
            </w:r>
          </w:p>
        </w:tc>
        <w:tc>
          <w:tcPr>
            <w:tcW w:w="0" w:type="dxa"/>
            <w:vAlign w:val="bottom"/>
          </w:tcPr>
          <w:p>
            <w:pPr>
              <w:spacing w:after="0"/>
              <w:rPr>
                <w:sz w:val="1"/>
                <w:szCs w:val="1"/>
                <w:color w:val="auto"/>
              </w:rPr>
            </w:pPr>
          </w:p>
        </w:tc>
      </w:tr>
      <w:tr>
        <w:trPr>
          <w:trHeight w:val="256"/>
        </w:trPr>
        <w:tc>
          <w:tcPr>
            <w:tcW w:w="6860" w:type="dxa"/>
            <w:vAlign w:val="bottom"/>
          </w:tcPr>
          <w:p>
            <w:pPr>
              <w:ind w:left="300"/>
              <w:spacing w:after="0"/>
              <w:rPr>
                <w:sz w:val="20"/>
                <w:szCs w:val="20"/>
                <w:color w:val="auto"/>
              </w:rPr>
            </w:pPr>
            <w:r>
              <w:rPr>
                <w:rFonts w:ascii="Arial" w:cs="Arial" w:eastAsia="Arial" w:hAnsi="Arial"/>
                <w:sz w:val="19"/>
                <w:szCs w:val="19"/>
                <w:color w:val="auto"/>
              </w:rPr>
              <w:t>physical recorded information</w:t>
            </w:r>
          </w:p>
        </w:tc>
        <w:tc>
          <w:tcPr>
            <w:tcW w:w="220" w:type="dxa"/>
            <w:vAlign w:val="bottom"/>
          </w:tcPr>
          <w:p>
            <w:pPr>
              <w:spacing w:after="0"/>
              <w:rPr>
                <w:sz w:val="22"/>
                <w:szCs w:val="22"/>
                <w:color w:val="auto"/>
              </w:rPr>
            </w:pPr>
          </w:p>
        </w:tc>
        <w:tc>
          <w:tcPr>
            <w:tcW w:w="3440" w:type="dxa"/>
            <w:vAlign w:val="bottom"/>
            <w:vMerge w:val="restart"/>
            <w:shd w:val="clear" w:color="auto" w:fill="E1F4CD"/>
          </w:tcPr>
          <w:p>
            <w:pPr>
              <w:ind w:left="200"/>
              <w:spacing w:after="0"/>
              <w:rPr>
                <w:sz w:val="20"/>
                <w:szCs w:val="20"/>
                <w:color w:val="auto"/>
              </w:rPr>
            </w:pPr>
            <w:r>
              <w:rPr>
                <w:rFonts w:ascii="Arial" w:cs="Arial" w:eastAsia="Arial" w:hAnsi="Arial"/>
                <w:sz w:val="18"/>
                <w:szCs w:val="18"/>
                <w:color w:val="auto"/>
              </w:rPr>
              <w:t>A record is any recorded information</w:t>
            </w:r>
          </w:p>
        </w:tc>
        <w:tc>
          <w:tcPr>
            <w:tcW w:w="0" w:type="dxa"/>
            <w:vAlign w:val="bottom"/>
          </w:tcPr>
          <w:p>
            <w:pPr>
              <w:spacing w:after="0"/>
              <w:rPr>
                <w:sz w:val="1"/>
                <w:szCs w:val="1"/>
                <w:color w:val="auto"/>
              </w:rPr>
            </w:pPr>
          </w:p>
        </w:tc>
      </w:tr>
      <w:tr>
        <w:trPr>
          <w:trHeight w:val="80"/>
        </w:trPr>
        <w:tc>
          <w:tcPr>
            <w:tcW w:w="6860" w:type="dxa"/>
            <w:vAlign w:val="bottom"/>
            <w:vMerge w:val="restart"/>
          </w:tcPr>
          <w:p>
            <w:pPr>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Use the proper storage method specified by legal, fiscal, regulatory or</w:t>
            </w:r>
          </w:p>
        </w:tc>
        <w:tc>
          <w:tcPr>
            <w:tcW w:w="220" w:type="dxa"/>
            <w:vAlign w:val="bottom"/>
          </w:tcPr>
          <w:p>
            <w:pPr>
              <w:spacing w:after="0"/>
              <w:rPr>
                <w:sz w:val="6"/>
                <w:szCs w:val="6"/>
                <w:color w:val="auto"/>
              </w:rPr>
            </w:pPr>
          </w:p>
        </w:tc>
        <w:tc>
          <w:tcPr>
            <w:tcW w:w="3440" w:type="dxa"/>
            <w:vAlign w:val="bottom"/>
            <w:vMerge w:val="continue"/>
            <w:shd w:val="clear" w:color="auto" w:fill="E1F4CD"/>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shd w:val="clear" w:color="auto" w:fill="E1F4CD"/>
          </w:tcPr>
          <w:p>
            <w:pPr>
              <w:ind w:left="200"/>
              <w:spacing w:after="0" w:line="181" w:lineRule="exact"/>
              <w:rPr>
                <w:sz w:val="20"/>
                <w:szCs w:val="20"/>
                <w:color w:val="auto"/>
              </w:rPr>
            </w:pPr>
            <w:r>
              <w:rPr>
                <w:rFonts w:ascii="Arial" w:cs="Arial" w:eastAsia="Arial" w:hAnsi="Arial"/>
                <w:sz w:val="18"/>
                <w:szCs w:val="18"/>
                <w:color w:val="auto"/>
              </w:rPr>
              <w:t>(electronic or physical) made or</w:t>
            </w:r>
          </w:p>
        </w:tc>
        <w:tc>
          <w:tcPr>
            <w:tcW w:w="0" w:type="dxa"/>
            <w:vAlign w:val="bottom"/>
          </w:tcPr>
          <w:p>
            <w:pPr>
              <w:spacing w:after="0"/>
              <w:rPr>
                <w:sz w:val="1"/>
                <w:szCs w:val="1"/>
                <w:color w:val="auto"/>
              </w:rPr>
            </w:pPr>
          </w:p>
        </w:tc>
      </w:tr>
      <w:tr>
        <w:trPr>
          <w:trHeight w:val="217"/>
        </w:trPr>
        <w:tc>
          <w:tcPr>
            <w:tcW w:w="6860" w:type="dxa"/>
            <w:vAlign w:val="bottom"/>
          </w:tcPr>
          <w:p>
            <w:pPr>
              <w:ind w:left="300"/>
              <w:spacing w:after="0" w:line="217" w:lineRule="exact"/>
              <w:rPr>
                <w:sz w:val="20"/>
                <w:szCs w:val="20"/>
                <w:color w:val="auto"/>
              </w:rPr>
            </w:pPr>
            <w:r>
              <w:rPr>
                <w:rFonts w:ascii="Arial" w:cs="Arial" w:eastAsia="Arial" w:hAnsi="Arial"/>
                <w:sz w:val="19"/>
                <w:szCs w:val="19"/>
                <w:color w:val="auto"/>
              </w:rPr>
              <w:t>operational requirements</w:t>
            </w:r>
          </w:p>
        </w:tc>
        <w:tc>
          <w:tcPr>
            <w:tcW w:w="220" w:type="dxa"/>
            <w:vAlign w:val="bottom"/>
          </w:tcPr>
          <w:p>
            <w:pPr>
              <w:spacing w:after="0"/>
              <w:rPr>
                <w:sz w:val="18"/>
                <w:szCs w:val="18"/>
                <w:color w:val="auto"/>
              </w:rPr>
            </w:pPr>
          </w:p>
        </w:tc>
        <w:tc>
          <w:tcPr>
            <w:tcW w:w="3440" w:type="dxa"/>
            <w:vAlign w:val="bottom"/>
            <w:shd w:val="clear" w:color="auto" w:fill="E1F4CD"/>
          </w:tcPr>
          <w:p>
            <w:pPr>
              <w:ind w:left="200"/>
              <w:spacing w:after="0"/>
              <w:rPr>
                <w:sz w:val="20"/>
                <w:szCs w:val="20"/>
                <w:color w:val="auto"/>
              </w:rPr>
            </w:pPr>
            <w:r>
              <w:rPr>
                <w:rFonts w:ascii="Arial" w:cs="Arial" w:eastAsia="Arial" w:hAnsi="Arial"/>
                <w:sz w:val="18"/>
                <w:szCs w:val="18"/>
                <w:color w:val="auto"/>
              </w:rPr>
              <w:t>received and retained by an</w:t>
            </w:r>
          </w:p>
        </w:tc>
        <w:tc>
          <w:tcPr>
            <w:tcW w:w="0" w:type="dxa"/>
            <w:vAlign w:val="bottom"/>
          </w:tcPr>
          <w:p>
            <w:pPr>
              <w:spacing w:after="0"/>
              <w:rPr>
                <w:sz w:val="1"/>
                <w:szCs w:val="1"/>
                <w:color w:val="auto"/>
              </w:rPr>
            </w:pPr>
          </w:p>
        </w:tc>
      </w:tr>
      <w:tr>
        <w:trPr>
          <w:trHeight w:val="199"/>
        </w:trPr>
        <w:tc>
          <w:tcPr>
            <w:tcW w:w="6860" w:type="dxa"/>
            <w:vAlign w:val="bottom"/>
            <w:vMerge w:val="restart"/>
          </w:tcPr>
          <w:p>
            <w:pPr>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Protect records from loss, damage or deletion</w:t>
            </w:r>
          </w:p>
        </w:tc>
        <w:tc>
          <w:tcPr>
            <w:tcW w:w="220" w:type="dxa"/>
            <w:vAlign w:val="bottom"/>
          </w:tcPr>
          <w:p>
            <w:pPr>
              <w:spacing w:after="0"/>
              <w:rPr>
                <w:sz w:val="17"/>
                <w:szCs w:val="17"/>
                <w:color w:val="auto"/>
              </w:rPr>
            </w:pPr>
          </w:p>
        </w:tc>
        <w:tc>
          <w:tcPr>
            <w:tcW w:w="3440" w:type="dxa"/>
            <w:vAlign w:val="bottom"/>
            <w:shd w:val="clear" w:color="auto" w:fill="E1F4CD"/>
          </w:tcPr>
          <w:p>
            <w:pPr>
              <w:ind w:left="200"/>
              <w:spacing w:after="0" w:line="199" w:lineRule="exact"/>
              <w:rPr>
                <w:sz w:val="20"/>
                <w:szCs w:val="20"/>
                <w:color w:val="auto"/>
              </w:rPr>
            </w:pPr>
            <w:r>
              <w:rPr>
                <w:rFonts w:ascii="Arial" w:cs="Arial" w:eastAsia="Arial" w:hAnsi="Arial"/>
                <w:sz w:val="18"/>
                <w:szCs w:val="18"/>
                <w:color w:val="auto"/>
              </w:rPr>
              <w:t>organization in pursuance of legal</w:t>
            </w:r>
          </w:p>
        </w:tc>
        <w:tc>
          <w:tcPr>
            <w:tcW w:w="0" w:type="dxa"/>
            <w:vAlign w:val="bottom"/>
          </w:tcPr>
          <w:p>
            <w:pPr>
              <w:spacing w:after="0"/>
              <w:rPr>
                <w:sz w:val="1"/>
                <w:szCs w:val="1"/>
                <w:color w:val="auto"/>
              </w:rPr>
            </w:pPr>
          </w:p>
        </w:tc>
      </w:tr>
      <w:tr>
        <w:trPr>
          <w:trHeight w:val="132"/>
        </w:trPr>
        <w:tc>
          <w:tcPr>
            <w:tcW w:w="68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3440" w:type="dxa"/>
            <w:vAlign w:val="bottom"/>
            <w:vMerge w:val="restart"/>
            <w:shd w:val="clear" w:color="auto" w:fill="E1F4CD"/>
          </w:tcPr>
          <w:p>
            <w:pPr>
              <w:ind w:left="200"/>
              <w:spacing w:after="0" w:line="199" w:lineRule="exact"/>
              <w:rPr>
                <w:sz w:val="20"/>
                <w:szCs w:val="20"/>
                <w:color w:val="auto"/>
              </w:rPr>
            </w:pPr>
            <w:r>
              <w:rPr>
                <w:rFonts w:ascii="Arial" w:cs="Arial" w:eastAsia="Arial" w:hAnsi="Arial"/>
                <w:sz w:val="18"/>
                <w:szCs w:val="18"/>
                <w:color w:val="auto"/>
              </w:rPr>
              <w:t>obligations or value to the</w:t>
            </w:r>
          </w:p>
        </w:tc>
        <w:tc>
          <w:tcPr>
            <w:tcW w:w="0" w:type="dxa"/>
            <w:vAlign w:val="bottom"/>
          </w:tcPr>
          <w:p>
            <w:pPr>
              <w:spacing w:after="0"/>
              <w:rPr>
                <w:sz w:val="1"/>
                <w:szCs w:val="1"/>
                <w:color w:val="auto"/>
              </w:rPr>
            </w:pPr>
          </w:p>
        </w:tc>
      </w:tr>
      <w:tr>
        <w:trPr>
          <w:trHeight w:val="67"/>
        </w:trPr>
        <w:tc>
          <w:tcPr>
            <w:tcW w:w="6860" w:type="dxa"/>
            <w:vAlign w:val="bottom"/>
            <w:vMerge w:val="restart"/>
          </w:tcPr>
          <w:p>
            <w:pPr>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Retain all records related to any pending or threatened litigation or</w:t>
            </w:r>
          </w:p>
        </w:tc>
        <w:tc>
          <w:tcPr>
            <w:tcW w:w="220" w:type="dxa"/>
            <w:vAlign w:val="bottom"/>
          </w:tcPr>
          <w:p>
            <w:pPr>
              <w:spacing w:after="0"/>
              <w:rPr>
                <w:sz w:val="5"/>
                <w:szCs w:val="5"/>
                <w:color w:val="auto"/>
              </w:rPr>
            </w:pPr>
          </w:p>
        </w:tc>
        <w:tc>
          <w:tcPr>
            <w:tcW w:w="3440" w:type="dxa"/>
            <w:vAlign w:val="bottom"/>
            <w:vMerge w:val="continue"/>
            <w:shd w:val="clear" w:color="auto" w:fill="E1F4CD"/>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6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shd w:val="clear" w:color="auto" w:fill="E1F4CD"/>
          </w:tcPr>
          <w:p>
            <w:pPr>
              <w:ind w:left="200"/>
              <w:spacing w:after="0" w:line="199" w:lineRule="exact"/>
              <w:rPr>
                <w:sz w:val="20"/>
                <w:szCs w:val="20"/>
                <w:color w:val="auto"/>
              </w:rPr>
            </w:pPr>
            <w:r>
              <w:rPr>
                <w:rFonts w:ascii="Arial" w:cs="Arial" w:eastAsia="Arial" w:hAnsi="Arial"/>
                <w:sz w:val="18"/>
                <w:szCs w:val="18"/>
                <w:color w:val="auto"/>
              </w:rPr>
              <w:t>government or in the transaction of</w:t>
            </w:r>
          </w:p>
        </w:tc>
        <w:tc>
          <w:tcPr>
            <w:tcW w:w="0" w:type="dxa"/>
            <w:vAlign w:val="bottom"/>
          </w:tcPr>
          <w:p>
            <w:pPr>
              <w:spacing w:after="0"/>
              <w:rPr>
                <w:sz w:val="1"/>
                <w:szCs w:val="1"/>
                <w:color w:val="auto"/>
              </w:rPr>
            </w:pPr>
          </w:p>
        </w:tc>
      </w:tr>
      <w:tr>
        <w:trPr>
          <w:trHeight w:val="221"/>
        </w:trPr>
        <w:tc>
          <w:tcPr>
            <w:tcW w:w="6860" w:type="dxa"/>
            <w:vAlign w:val="bottom"/>
          </w:tcPr>
          <w:p>
            <w:pPr>
              <w:ind w:left="300"/>
              <w:spacing w:after="0"/>
              <w:rPr>
                <w:sz w:val="20"/>
                <w:szCs w:val="20"/>
                <w:color w:val="auto"/>
              </w:rPr>
            </w:pPr>
            <w:r>
              <w:rPr>
                <w:rFonts w:ascii="Arial" w:cs="Arial" w:eastAsia="Arial" w:hAnsi="Arial"/>
                <w:sz w:val="19"/>
                <w:szCs w:val="19"/>
                <w:color w:val="auto"/>
              </w:rPr>
              <w:t>government investigation until otherwise directed by the General Counsel’s</w:t>
            </w:r>
          </w:p>
        </w:tc>
        <w:tc>
          <w:tcPr>
            <w:tcW w:w="220" w:type="dxa"/>
            <w:vAlign w:val="bottom"/>
          </w:tcPr>
          <w:p>
            <w:pPr>
              <w:spacing w:after="0"/>
              <w:rPr>
                <w:sz w:val="19"/>
                <w:szCs w:val="19"/>
                <w:color w:val="auto"/>
              </w:rPr>
            </w:pPr>
          </w:p>
        </w:tc>
        <w:tc>
          <w:tcPr>
            <w:tcW w:w="3440" w:type="dxa"/>
            <w:vAlign w:val="bottom"/>
            <w:shd w:val="clear" w:color="auto" w:fill="E1F4CD"/>
          </w:tcPr>
          <w:p>
            <w:pPr>
              <w:ind w:left="200"/>
              <w:spacing w:after="0"/>
              <w:rPr>
                <w:sz w:val="20"/>
                <w:szCs w:val="20"/>
                <w:color w:val="auto"/>
              </w:rPr>
            </w:pPr>
            <w:r>
              <w:rPr>
                <w:rFonts w:ascii="Arial" w:cs="Arial" w:eastAsia="Arial" w:hAnsi="Arial"/>
                <w:sz w:val="18"/>
                <w:szCs w:val="18"/>
                <w:color w:val="auto"/>
              </w:rPr>
              <w:t>business.</w:t>
            </w:r>
          </w:p>
        </w:tc>
        <w:tc>
          <w:tcPr>
            <w:tcW w:w="0" w:type="dxa"/>
            <w:vAlign w:val="bottom"/>
          </w:tcPr>
          <w:p>
            <w:pPr>
              <w:spacing w:after="0"/>
              <w:rPr>
                <w:sz w:val="1"/>
                <w:szCs w:val="1"/>
                <w:color w:val="auto"/>
              </w:rPr>
            </w:pPr>
          </w:p>
        </w:tc>
      </w:tr>
      <w:tr>
        <w:trPr>
          <w:trHeight w:val="247"/>
        </w:trPr>
        <w:tc>
          <w:tcPr>
            <w:tcW w:w="6860" w:type="dxa"/>
            <w:vAlign w:val="bottom"/>
          </w:tcPr>
          <w:p>
            <w:pPr>
              <w:ind w:left="300"/>
              <w:spacing w:after="0"/>
              <w:rPr>
                <w:sz w:val="20"/>
                <w:szCs w:val="20"/>
                <w:color w:val="auto"/>
              </w:rPr>
            </w:pPr>
            <w:r>
              <w:rPr>
                <w:rFonts w:ascii="Arial" w:cs="Arial" w:eastAsia="Arial" w:hAnsi="Arial"/>
                <w:sz w:val="19"/>
                <w:szCs w:val="19"/>
                <w:color w:val="auto"/>
              </w:rPr>
              <w:t>Office</w:t>
            </w:r>
          </w:p>
        </w:tc>
        <w:tc>
          <w:tcPr>
            <w:tcW w:w="220" w:type="dxa"/>
            <w:vAlign w:val="bottom"/>
          </w:tcPr>
          <w:p>
            <w:pPr>
              <w:spacing w:after="0"/>
              <w:rPr>
                <w:sz w:val="21"/>
                <w:szCs w:val="21"/>
                <w:color w:val="auto"/>
              </w:rPr>
            </w:pPr>
          </w:p>
        </w:tc>
        <w:tc>
          <w:tcPr>
            <w:tcW w:w="3440" w:type="dxa"/>
            <w:vAlign w:val="bottom"/>
            <w:shd w:val="clear" w:color="auto" w:fill="E1F4CD"/>
          </w:tcPr>
          <w:p>
            <w:pPr>
              <w:spacing w:after="0"/>
              <w:rPr>
                <w:sz w:val="21"/>
                <w:szCs w:val="2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Dispose of all records (electronic and physical) according to retention and disposal schedules</w:t>
      </w:r>
    </w:p>
    <w:p>
      <w:pPr>
        <w:spacing w:after="0" w:line="152" w:lineRule="exact"/>
        <w:rPr>
          <w:sz w:val="20"/>
          <w:szCs w:val="20"/>
          <w:color w:val="auto"/>
        </w:rPr>
      </w:pPr>
    </w:p>
    <w:p>
      <w:pPr>
        <w:ind w:right="380"/>
        <w:spacing w:after="0" w:line="273" w:lineRule="auto"/>
        <w:rPr>
          <w:sz w:val="20"/>
          <w:szCs w:val="20"/>
          <w:color w:val="auto"/>
        </w:rPr>
      </w:pPr>
      <w:r>
        <w:rPr>
          <w:rFonts w:ascii="Arial" w:cs="Arial" w:eastAsia="Arial" w:hAnsi="Arial"/>
          <w:sz w:val="19"/>
          <w:szCs w:val="19"/>
          <w:color w:val="auto"/>
        </w:rPr>
        <w:t>It may be a criminal offense to destroy or falsify documents or emails related to a legal proceeding. Contact the Enterprise Compliance team if you have legal questions about whether a document should be retained.</w:t>
      </w:r>
    </w:p>
    <w:p>
      <w:pPr>
        <w:spacing w:after="0" w:line="71"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 xml:space="preserve">For more information on how long to maintain certain categories of records, see our </w:t>
      </w:r>
      <w:r>
        <w:rPr>
          <w:rFonts w:ascii="Arial" w:cs="Arial" w:eastAsia="Arial" w:hAnsi="Arial"/>
          <w:sz w:val="19"/>
          <w:szCs w:val="19"/>
          <w:b w:val="1"/>
          <w:bCs w:val="1"/>
          <w:color w:val="1A7EE5"/>
        </w:rPr>
        <w:t>Records &amp; Information Governance on</w:t>
      </w:r>
      <w:r>
        <w:rPr>
          <w:rFonts w:ascii="Arial" w:cs="Arial" w:eastAsia="Arial" w:hAnsi="Arial"/>
          <w:sz w:val="19"/>
          <w:szCs w:val="19"/>
          <w:color w:val="auto"/>
        </w:rPr>
        <w:t xml:space="preserve"> </w:t>
      </w:r>
      <w:r>
        <w:rPr>
          <w:rFonts w:ascii="Arial" w:cs="Arial" w:eastAsia="Arial" w:hAnsi="Arial"/>
          <w:sz w:val="19"/>
          <w:szCs w:val="19"/>
          <w:b w:val="1"/>
          <w:bCs w:val="1"/>
          <w:color w:val="1A7EE5"/>
        </w:rPr>
        <w:t>the Intranet.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6899275" cy="19939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899275" cy="1993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0"/>
        <w:spacing w:after="0"/>
        <w:rPr>
          <w:sz w:val="20"/>
          <w:szCs w:val="20"/>
          <w:color w:val="auto"/>
        </w:rPr>
      </w:pPr>
      <w:r>
        <w:rPr>
          <w:rFonts w:ascii="Arial" w:cs="Arial" w:eastAsia="Arial" w:hAnsi="Arial"/>
          <w:sz w:val="21"/>
          <w:szCs w:val="21"/>
          <w:b w:val="1"/>
          <w:bCs w:val="1"/>
          <w:i w:val="1"/>
          <w:iCs w:val="1"/>
          <w:color w:val="D64000"/>
        </w:rPr>
        <w:t>Connecting the dots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Q</w:t>
      </w:r>
      <w:r>
        <w:rPr>
          <w:rFonts w:ascii="Arial" w:cs="Arial" w:eastAsia="Arial" w:hAnsi="Arial"/>
          <w:sz w:val="17"/>
          <w:szCs w:val="17"/>
          <w:b w:val="1"/>
          <w:bCs w:val="1"/>
          <w:color w:val="auto"/>
        </w:rPr>
        <w:t>  How long do I need to retain emails and other messaging?</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A</w:t>
      </w:r>
      <w:r>
        <w:rPr>
          <w:rFonts w:ascii="Arial" w:cs="Arial" w:eastAsia="Arial" w:hAnsi="Arial"/>
          <w:sz w:val="17"/>
          <w:szCs w:val="17"/>
          <w:color w:val="auto"/>
        </w:rPr>
        <w:t>  If an email is not part of a business record and has served its business purpose and there is no legal or regulatory obligation to</w:t>
      </w:r>
    </w:p>
    <w:p>
      <w:pPr>
        <w:spacing w:after="0" w:line="26" w:lineRule="exact"/>
        <w:rPr>
          <w:sz w:val="20"/>
          <w:szCs w:val="20"/>
          <w:color w:val="auto"/>
        </w:rPr>
      </w:pPr>
    </w:p>
    <w:p>
      <w:pPr>
        <w:ind w:left="380" w:right="260"/>
        <w:spacing w:after="0" w:line="235" w:lineRule="auto"/>
        <w:rPr>
          <w:sz w:val="20"/>
          <w:szCs w:val="20"/>
          <w:color w:val="auto"/>
        </w:rPr>
      </w:pPr>
      <w:r>
        <w:rPr>
          <w:rFonts w:ascii="Arial" w:cs="Arial" w:eastAsia="Arial" w:hAnsi="Arial"/>
          <w:sz w:val="18"/>
          <w:szCs w:val="18"/>
          <w:color w:val="auto"/>
        </w:rPr>
        <w:t>retain it, it should be deleted. If an email is part of a business record or there is a legal or regulatory obligation to retain it, you should remove it from your personal work email account and store it in an appropriate manner for future reference by the company (e.g., in a cloud folder related to the record). If you are subject to a “legal hold,” you should always retain emails until you’ve been notified by the General Counsel’s Office that the hold has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243205</wp:posOffset>
            </wp:positionV>
            <wp:extent cx="967740" cy="32829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4360"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42</w:t>
            </w:r>
          </w:p>
        </w:tc>
      </w:tr>
    </w:tbl>
    <w:p>
      <w:pPr>
        <w:sectPr>
          <w:pgSz w:w="11900" w:h="16838" w:orient="portrait"/>
          <w:cols w:equalWidth="0" w:num="1">
            <w:col w:w="10820"/>
          </w:cols>
          <w:pgMar w:left="540" w:top="253" w:right="539" w:bottom="1440" w:gutter="0" w:footer="0" w:header="0"/>
        </w:sectPr>
      </w:pPr>
    </w:p>
    <w:bookmarkStart w:id="223" w:name="page224"/>
    <w:bookmarkEnd w:id="223"/>
    <w:p>
      <w:pPr>
        <w:spacing w:after="0" w:line="225" w:lineRule="auto"/>
        <w:framePr w:w="3760" w:h="1750" w:wrap="auto" w:vAnchor="page" w:hAnchor="page" w:x="7320" w:y="4353"/>
        <w:rPr>
          <w:rFonts w:ascii="Arial" w:cs="Arial" w:eastAsia="Arial" w:hAnsi="Arial"/>
          <w:sz w:val="18"/>
          <w:szCs w:val="18"/>
          <w:color w:val="auto"/>
        </w:rPr>
      </w:pPr>
      <w:r>
        <w:rPr>
          <w:rFonts w:ascii="Arial" w:cs="Arial" w:eastAsia="Arial" w:hAnsi="Arial"/>
          <w:sz w:val="18"/>
          <w:szCs w:val="18"/>
          <w:color w:val="auto"/>
        </w:rPr>
        <w:t>Government contracting laws and regulations can be complex and are often subject to change. The Thomson Reuters Government Contract Compliance Policy provides guidance on contracting with governments. For guidance specific to your location, consult the General Counsel’s Office to verify that you are complying with applicable laws, policies and standards.</w:t>
      </w:r>
    </w:p>
    <w:p>
      <w:pPr>
        <w:ind w:left="2"/>
        <w:spacing w:after="0"/>
        <w:rPr>
          <w:sz w:val="20"/>
          <w:szCs w:val="20"/>
          <w:color w:val="auto"/>
        </w:rPr>
      </w:pPr>
      <w:r>
        <w:rPr>
          <w:rFonts w:ascii="Arial" w:cs="Arial" w:eastAsia="Arial" w:hAnsi="Arial"/>
          <w:sz w:val="35"/>
          <w:szCs w:val="35"/>
          <w:b w:val="1"/>
          <w:bCs w:val="1"/>
          <w:color w:val="D64000"/>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Contract authorization</w:t>
      </w:r>
    </w:p>
    <w:p>
      <w:pPr>
        <w:spacing w:after="0" w:line="332" w:lineRule="exact"/>
        <w:rPr>
          <w:rFonts w:ascii="Arial" w:cs="Arial" w:eastAsia="Arial" w:hAnsi="Arial"/>
          <w:sz w:val="18"/>
          <w:szCs w:val="18"/>
          <w:color w:val="auto"/>
        </w:rPr>
      </w:pPr>
    </w:p>
    <w:p>
      <w:pPr>
        <w:ind w:left="2"/>
        <w:spacing w:after="0"/>
        <w:rPr>
          <w:sz w:val="20"/>
          <w:szCs w:val="20"/>
          <w:color w:val="auto"/>
        </w:rPr>
      </w:pPr>
      <w:r>
        <w:rPr>
          <w:rFonts w:ascii="Arial" w:cs="Arial" w:eastAsia="Arial" w:hAnsi="Arial"/>
          <w:sz w:val="28"/>
          <w:szCs w:val="28"/>
          <w:b w:val="1"/>
          <w:bCs w:val="1"/>
          <w:color w:val="auto"/>
        </w:rPr>
        <w:t>We are trusted to . . .</w:t>
      </w:r>
    </w:p>
    <w:p>
      <w:pPr>
        <w:spacing w:after="0" w:line="126" w:lineRule="exact"/>
        <w:rPr>
          <w:rFonts w:ascii="Arial" w:cs="Arial" w:eastAsia="Arial" w:hAnsi="Arial"/>
          <w:sz w:val="18"/>
          <w:szCs w:val="18"/>
          <w:color w:val="auto"/>
        </w:rPr>
      </w:pPr>
    </w:p>
    <w:p>
      <w:pPr>
        <w:ind w:left="2"/>
        <w:spacing w:after="0"/>
        <w:rPr>
          <w:sz w:val="20"/>
          <w:szCs w:val="20"/>
          <w:color w:val="auto"/>
        </w:rPr>
      </w:pPr>
      <w:r>
        <w:rPr>
          <w:rFonts w:ascii="Arial" w:cs="Arial" w:eastAsia="Arial" w:hAnsi="Arial"/>
          <w:sz w:val="19"/>
          <w:szCs w:val="19"/>
          <w:i w:val="1"/>
          <w:iCs w:val="1"/>
          <w:color w:val="auto"/>
        </w:rPr>
        <w:t>…sign contracts or agreements on behalf of Thomson Reuters only if we are authorized.</w:t>
      </w:r>
    </w:p>
    <w:p>
      <w:pPr>
        <w:spacing w:after="0" w:line="261" w:lineRule="exact"/>
        <w:rPr>
          <w:rFonts w:ascii="Arial" w:cs="Arial" w:eastAsia="Arial" w:hAnsi="Arial"/>
          <w:sz w:val="18"/>
          <w:szCs w:val="18"/>
          <w:color w:val="auto"/>
        </w:rPr>
      </w:pPr>
    </w:p>
    <w:p>
      <w:pPr>
        <w:ind w:left="2"/>
        <w:spacing w:after="0"/>
        <w:rPr>
          <w:sz w:val="20"/>
          <w:szCs w:val="20"/>
          <w:color w:val="auto"/>
        </w:rPr>
      </w:pPr>
      <w:r>
        <w:rPr>
          <w:rFonts w:ascii="Arial" w:cs="Arial" w:eastAsia="Arial" w:hAnsi="Arial"/>
          <w:sz w:val="28"/>
          <w:szCs w:val="28"/>
          <w:b w:val="1"/>
          <w:bCs w:val="1"/>
          <w:color w:val="auto"/>
        </w:rPr>
        <w:t>Why it matters</w:t>
      </w:r>
    </w:p>
    <w:p>
      <w:pPr>
        <w:spacing w:after="0" w:line="126" w:lineRule="exact"/>
        <w:rPr>
          <w:rFonts w:ascii="Arial" w:cs="Arial" w:eastAsia="Arial" w:hAnsi="Arial"/>
          <w:sz w:val="18"/>
          <w:szCs w:val="18"/>
          <w:color w:val="auto"/>
        </w:rPr>
      </w:pPr>
    </w:p>
    <w:p>
      <w:pPr>
        <w:ind w:left="2" w:right="620"/>
        <w:spacing w:after="0" w:line="273" w:lineRule="auto"/>
        <w:rPr>
          <w:sz w:val="20"/>
          <w:szCs w:val="20"/>
          <w:color w:val="auto"/>
        </w:rPr>
      </w:pPr>
      <w:r>
        <w:rPr>
          <w:rFonts w:ascii="Arial" w:cs="Arial" w:eastAsia="Arial" w:hAnsi="Arial"/>
          <w:sz w:val="19"/>
          <w:szCs w:val="19"/>
          <w:color w:val="auto"/>
        </w:rPr>
        <w:t>Miscommunications or errors made in contracting can cause loss of business, delays, legal action, fines, and ultimately damage the trust we have built with our customers and business partners.</w:t>
      </w:r>
    </w:p>
    <w:p>
      <w:pPr>
        <w:spacing w:after="0" w:line="168" w:lineRule="exact"/>
        <w:rPr>
          <w:rFonts w:ascii="Arial" w:cs="Arial" w:eastAsia="Arial" w:hAnsi="Arial"/>
          <w:sz w:val="18"/>
          <w:szCs w:val="18"/>
          <w:color w:val="auto"/>
        </w:rPr>
      </w:pPr>
    </w:p>
    <w:p>
      <w:pPr>
        <w:ind w:left="2"/>
        <w:spacing w:after="0"/>
        <w:rPr>
          <w:sz w:val="20"/>
          <w:szCs w:val="20"/>
          <w:color w:val="auto"/>
        </w:rPr>
      </w:pPr>
      <w:r>
        <w:rPr>
          <w:rFonts w:ascii="Arial" w:cs="Arial" w:eastAsia="Arial" w:hAnsi="Arial"/>
          <w:sz w:val="28"/>
          <w:szCs w:val="28"/>
          <w:b w:val="1"/>
          <w:bCs w:val="1"/>
          <w:color w:val="auto"/>
        </w:rPr>
        <w:t>How we deliver</w:t>
      </w:r>
    </w:p>
    <w:p>
      <w:pPr>
        <w:spacing w:after="0" w:line="192" w:lineRule="exact"/>
        <w:rPr>
          <w:rFonts w:ascii="Arial" w:cs="Arial" w:eastAsia="Arial" w:hAnsi="Arial"/>
          <w:sz w:val="18"/>
          <w:szCs w:val="18"/>
          <w:color w:val="auto"/>
        </w:rPr>
      </w:pPr>
    </w:p>
    <w:p>
      <w:pPr>
        <w:ind w:left="2"/>
        <w:spacing w:after="0"/>
        <w:rPr>
          <w:sz w:val="20"/>
          <w:szCs w:val="20"/>
          <w:color w:val="auto"/>
        </w:rPr>
      </w:pPr>
      <w:r>
        <w:rPr>
          <w:rFonts w:ascii="Arial" w:cs="Arial" w:eastAsia="Arial" w:hAnsi="Arial"/>
          <w:sz w:val="19"/>
          <w:szCs w:val="19"/>
          <w:color w:val="auto"/>
        </w:rPr>
        <w:t>We strive to deliver and receive the promises in our contracts and agreements. This means we:</w:t>
      </w:r>
    </w:p>
    <w:p>
      <w:pPr>
        <w:spacing w:after="0" w:line="139" w:lineRule="exact"/>
        <w:rPr>
          <w:rFonts w:ascii="Arial" w:cs="Arial" w:eastAsia="Arial" w:hAnsi="Arial"/>
          <w:sz w:val="18"/>
          <w:szCs w:val="18"/>
          <w:color w:val="auto"/>
        </w:rPr>
      </w:pPr>
    </w:p>
    <w:tbl>
      <w:tblPr>
        <w:tblLayout w:type="fixed"/>
        <w:tblInd w:w="282" w:type="dxa"/>
        <w:tblCellMar>
          <w:top w:w="0" w:type="dxa"/>
          <w:left w:w="0" w:type="dxa"/>
          <w:bottom w:w="0" w:type="dxa"/>
          <w:right w:w="0" w:type="dxa"/>
        </w:tblCellMar>
      </w:tblPr>
      <w:tr>
        <w:trPr>
          <w:trHeight w:val="225"/>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Consult the Procurement department (Global Services) for third-</w:t>
            </w:r>
          </w:p>
        </w:tc>
        <w:tc>
          <w:tcPr>
            <w:tcW w:w="320" w:type="dxa"/>
            <w:vAlign w:val="bottom"/>
          </w:tcPr>
          <w:p>
            <w:pPr>
              <w:ind w:left="180"/>
              <w:spacing w:after="0"/>
              <w:rPr>
                <w:sz w:val="20"/>
                <w:szCs w:val="20"/>
                <w:color w:val="auto"/>
              </w:rPr>
            </w:pPr>
            <w:r>
              <w:rPr>
                <w:rFonts w:ascii="Arial" w:cs="Arial" w:eastAsia="Arial" w:hAnsi="Arial"/>
                <w:sz w:val="19"/>
                <w:szCs w:val="19"/>
                <w:color w:val="auto"/>
              </w:rPr>
              <w:t> </w:t>
            </w:r>
          </w:p>
        </w:tc>
        <w:tc>
          <w:tcPr>
            <w:tcW w:w="2140" w:type="dxa"/>
            <w:vAlign w:val="bottom"/>
            <w:vMerge w:val="restart"/>
          </w:tcPr>
          <w:p>
            <w:pPr>
              <w:ind w:left="80"/>
              <w:spacing w:after="0"/>
              <w:rPr>
                <w:sz w:val="20"/>
                <w:szCs w:val="20"/>
                <w:color w:val="auto"/>
              </w:rPr>
            </w:pPr>
            <w:r>
              <w:rPr>
                <w:rFonts w:ascii="Arial" w:cs="Arial" w:eastAsia="Arial" w:hAnsi="Arial"/>
                <w:sz w:val="18"/>
                <w:szCs w:val="18"/>
                <w:b w:val="1"/>
                <w:bCs w:val="1"/>
                <w:i w:val="1"/>
                <w:iCs w:val="1"/>
                <w:color w:val="auto"/>
                <w:w w:val="97"/>
              </w:rPr>
              <w:t>Government contracting</w:t>
            </w:r>
          </w:p>
        </w:tc>
        <w:tc>
          <w:tcPr>
            <w:tcW w:w="0" w:type="dxa"/>
            <w:vAlign w:val="bottom"/>
          </w:tcPr>
          <w:p>
            <w:pPr>
              <w:spacing w:after="0"/>
              <w:rPr>
                <w:sz w:val="1"/>
                <w:szCs w:val="1"/>
                <w:color w:val="auto"/>
              </w:rPr>
            </w:pPr>
          </w:p>
        </w:tc>
      </w:tr>
      <w:tr>
        <w:trPr>
          <w:trHeight w:val="141"/>
        </w:trPr>
        <w:tc>
          <w:tcPr>
            <w:tcW w:w="6140" w:type="dxa"/>
            <w:vAlign w:val="bottom"/>
            <w:vMerge w:val="restart"/>
          </w:tcPr>
          <w:p>
            <w:pPr>
              <w:ind w:left="300"/>
              <w:spacing w:after="0"/>
              <w:rPr>
                <w:sz w:val="20"/>
                <w:szCs w:val="20"/>
                <w:color w:val="auto"/>
              </w:rPr>
            </w:pPr>
            <w:r>
              <w:rPr>
                <w:rFonts w:ascii="Arial" w:cs="Arial" w:eastAsia="Arial" w:hAnsi="Arial"/>
                <w:sz w:val="19"/>
                <w:szCs w:val="19"/>
                <w:color w:val="auto"/>
              </w:rPr>
              <w:t>party vendor or supplier contracts and follow Procurement policies</w:t>
            </w:r>
          </w:p>
        </w:tc>
        <w:tc>
          <w:tcPr>
            <w:tcW w:w="320" w:type="dxa"/>
            <w:vAlign w:val="bottom"/>
          </w:tcPr>
          <w:p>
            <w:pPr>
              <w:spacing w:after="0"/>
              <w:rPr>
                <w:sz w:val="12"/>
                <w:szCs w:val="12"/>
                <w:color w:val="auto"/>
              </w:rPr>
            </w:pPr>
          </w:p>
        </w:tc>
        <w:tc>
          <w:tcPr>
            <w:tcW w:w="2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61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4265930</wp:posOffset>
            </wp:positionH>
            <wp:positionV relativeFrom="paragraph">
              <wp:posOffset>-290830</wp:posOffset>
            </wp:positionV>
            <wp:extent cx="2599690" cy="153987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599690" cy="1539875"/>
                    </a:xfrm>
                    <a:prstGeom prst="rect">
                      <a:avLst/>
                    </a:prstGeom>
                    <a:noFill/>
                  </pic:spPr>
                </pic:pic>
              </a:graphicData>
            </a:graphic>
          </wp:anchor>
        </w:drawing>
      </w:r>
    </w:p>
    <w:p>
      <w:pPr>
        <w:spacing w:after="0" w:line="16" w:lineRule="exact"/>
        <w:rPr>
          <w:rFonts w:ascii="Arial" w:cs="Arial" w:eastAsia="Arial" w:hAnsi="Arial"/>
          <w:sz w:val="18"/>
          <w:szCs w:val="18"/>
          <w:color w:val="auto"/>
        </w:rPr>
      </w:pPr>
    </w:p>
    <w:p>
      <w:pPr>
        <w:ind w:left="582" w:right="4360" w:hanging="291"/>
        <w:spacing w:after="0" w:line="259"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Ensure that any contract or proposal is carefully reviewed and</w:t>
      </w:r>
      <w:r>
        <w:rPr>
          <w:rFonts w:ascii="Times New Roman" w:cs="Times New Roman" w:eastAsia="Times New Roman" w:hAnsi="Times New Roman"/>
          <w:sz w:val="18"/>
          <w:szCs w:val="18"/>
          <w:color w:val="D64000"/>
        </w:rPr>
        <w:t xml:space="preserve"> </w:t>
      </w:r>
      <w:r>
        <w:rPr>
          <w:rFonts w:ascii="Arial" w:cs="Arial" w:eastAsia="Arial" w:hAnsi="Arial"/>
          <w:sz w:val="19"/>
          <w:szCs w:val="19"/>
          <w:color w:val="000000"/>
        </w:rPr>
        <w:t>properly authorized and executed by the appropriate signatories and legal entities</w:t>
      </w:r>
    </w:p>
    <w:p>
      <w:pPr>
        <w:spacing w:after="0" w:line="20" w:lineRule="exact"/>
        <w:rPr>
          <w:rFonts w:ascii="Arial" w:cs="Arial" w:eastAsia="Arial" w:hAnsi="Arial"/>
          <w:sz w:val="18"/>
          <w:szCs w:val="18"/>
          <w:color w:val="auto"/>
        </w:rPr>
      </w:pPr>
    </w:p>
    <w:p>
      <w:pPr>
        <w:jc w:val="right"/>
        <w:ind w:left="282" w:right="4940"/>
        <w:spacing w:after="0" w:line="282"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Do not provide or agree to unapproved non-standard terms or</w:t>
      </w:r>
      <w:r>
        <w:rPr>
          <w:rFonts w:ascii="Times New Roman" w:cs="Times New Roman" w:eastAsia="Times New Roman" w:hAnsi="Times New Roman"/>
          <w:sz w:val="18"/>
          <w:szCs w:val="18"/>
          <w:color w:val="D64000"/>
        </w:rPr>
        <w:t xml:space="preserve"> </w:t>
      </w:r>
      <w:r>
        <w:rPr>
          <w:rFonts w:ascii="Arial" w:cs="Arial" w:eastAsia="Arial" w:hAnsi="Arial"/>
          <w:sz w:val="19"/>
          <w:szCs w:val="19"/>
          <w:color w:val="000000"/>
        </w:rPr>
        <w:t>unauthorized “side letters” to customers or business partners</w:t>
      </w:r>
    </w:p>
    <w:p>
      <w:pPr>
        <w:spacing w:after="0" w:line="1" w:lineRule="exact"/>
        <w:rPr>
          <w:rFonts w:ascii="Arial" w:cs="Arial" w:eastAsia="Arial" w:hAnsi="Arial"/>
          <w:sz w:val="18"/>
          <w:szCs w:val="18"/>
          <w:color w:val="auto"/>
        </w:rPr>
      </w:pPr>
    </w:p>
    <w:p>
      <w:pPr>
        <w:jc w:val="both"/>
        <w:ind w:left="582" w:right="4800" w:hanging="291"/>
        <w:spacing w:after="0" w:line="248"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Ensure complete, accurate documentation of contracts, related</w:t>
      </w:r>
      <w:r>
        <w:rPr>
          <w:rFonts w:ascii="Times New Roman" w:cs="Times New Roman" w:eastAsia="Times New Roman" w:hAnsi="Times New Roman"/>
          <w:sz w:val="18"/>
          <w:szCs w:val="18"/>
          <w:color w:val="D64000"/>
        </w:rPr>
        <w:t xml:space="preserve"> </w:t>
      </w:r>
      <w:r>
        <w:rPr>
          <w:rFonts w:ascii="Arial" w:cs="Arial" w:eastAsia="Arial" w:hAnsi="Arial"/>
          <w:sz w:val="19"/>
          <w:szCs w:val="19"/>
          <w:color w:val="000000"/>
        </w:rPr>
        <w:t>orders and customer status in applications to process customer accounts</w:t>
      </w:r>
    </w:p>
    <w:p>
      <w:pPr>
        <w:spacing w:after="0" w:line="1" w:lineRule="exact"/>
        <w:rPr>
          <w:rFonts w:ascii="Arial" w:cs="Arial" w:eastAsia="Arial" w:hAnsi="Arial"/>
          <w:sz w:val="18"/>
          <w:szCs w:val="18"/>
          <w:color w:val="auto"/>
        </w:rPr>
      </w:pPr>
    </w:p>
    <w:p>
      <w:pPr>
        <w:ind w:left="582" w:right="440" w:hanging="291"/>
        <w:spacing w:after="0" w:line="266"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Follow the rules that govern public procurement when providing products and services to governments and ensure</w:t>
      </w:r>
      <w:r>
        <w:rPr>
          <w:rFonts w:ascii="Times New Roman" w:cs="Times New Roman" w:eastAsia="Times New Roman" w:hAnsi="Times New Roman"/>
          <w:sz w:val="18"/>
          <w:szCs w:val="18"/>
          <w:color w:val="D64000"/>
        </w:rPr>
        <w:t xml:space="preserve"> </w:t>
      </w:r>
      <w:r>
        <w:rPr>
          <w:rFonts w:ascii="Arial" w:cs="Arial" w:eastAsia="Arial" w:hAnsi="Arial"/>
          <w:sz w:val="19"/>
          <w:szCs w:val="19"/>
          <w:color w:val="000000"/>
        </w:rPr>
        <w:t>compliance with the Government Contract Compliance Policy</w:t>
      </w:r>
    </w:p>
    <w:p>
      <w:pPr>
        <w:spacing w:after="0" w:line="117" w:lineRule="exact"/>
        <w:rPr>
          <w:rFonts w:ascii="Arial" w:cs="Arial" w:eastAsia="Arial" w:hAnsi="Arial"/>
          <w:sz w:val="18"/>
          <w:szCs w:val="18"/>
          <w:color w:val="auto"/>
        </w:rPr>
      </w:pPr>
    </w:p>
    <w:p>
      <w:pPr>
        <w:ind w:left="2"/>
        <w:spacing w:after="0"/>
        <w:rPr>
          <w:sz w:val="20"/>
          <w:szCs w:val="20"/>
          <w:color w:val="auto"/>
        </w:rPr>
      </w:pPr>
      <w:r>
        <w:rPr>
          <w:rFonts w:ascii="Arial" w:cs="Arial" w:eastAsia="Arial" w:hAnsi="Arial"/>
          <w:sz w:val="19"/>
          <w:szCs w:val="19"/>
          <w:b w:val="1"/>
          <w:bCs w:val="1"/>
          <w:color w:val="1A7EE5"/>
        </w:rPr>
        <w:t>Government Contracting policies on the Intranet</w:t>
      </w:r>
    </w:p>
    <w:p>
      <w:pPr>
        <w:spacing w:after="0" w:line="60" w:lineRule="exact"/>
        <w:rPr>
          <w:rFonts w:ascii="Arial" w:cs="Arial" w:eastAsia="Arial" w:hAnsi="Arial"/>
          <w:sz w:val="18"/>
          <w:szCs w:val="18"/>
          <w:color w:val="auto"/>
        </w:rPr>
      </w:pPr>
    </w:p>
    <w:p>
      <w:pPr>
        <w:ind w:left="2"/>
        <w:spacing w:after="0"/>
        <w:rPr>
          <w:sz w:val="20"/>
          <w:szCs w:val="20"/>
          <w:color w:val="auto"/>
        </w:rPr>
      </w:pPr>
      <w:r>
        <w:rPr>
          <w:rFonts w:ascii="Arial" w:cs="Arial" w:eastAsia="Arial" w:hAnsi="Arial"/>
          <w:sz w:val="19"/>
          <w:szCs w:val="19"/>
          <w:b w:val="1"/>
          <w:bCs w:val="1"/>
          <w:color w:val="1A7EE5"/>
        </w:rPr>
        <w:t>Global Services Policies on the Intranet</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6899275" cy="38735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899275" cy="387350"/>
                    </a:xfrm>
                    <a:prstGeom prst="rect">
                      <a:avLst/>
                    </a:prstGeom>
                    <a:noFill/>
                  </pic:spPr>
                </pic:pic>
              </a:graphicData>
            </a:graphic>
          </wp:anchor>
        </w:drawing>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222" w:hanging="222"/>
        <w:spacing w:after="0"/>
        <w:tabs>
          <w:tab w:leader="none" w:pos="222" w:val="left"/>
        </w:tabs>
        <w:numPr>
          <w:ilvl w:val="0"/>
          <w:numId w:val="217"/>
        </w:numPr>
        <w:rPr>
          <w:rFonts w:ascii="Arial" w:cs="Arial" w:eastAsia="Arial" w:hAnsi="Arial"/>
          <w:sz w:val="39"/>
          <w:szCs w:val="39"/>
          <w:color w:val="auto"/>
          <w:vertAlign w:val="superscript"/>
        </w:rPr>
      </w:pPr>
      <w:r>
        <w:rPr>
          <w:rFonts w:ascii="Arial" w:cs="Arial" w:eastAsia="Arial" w:hAnsi="Arial"/>
          <w:sz w:val="21"/>
          <w:szCs w:val="21"/>
          <w:b w:val="1"/>
          <w:bCs w:val="1"/>
          <w:i w:val="1"/>
          <w:iCs w:val="1"/>
          <w:color w:val="D64000"/>
        </w:rPr>
        <w:t>Connecting the dots</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0</wp:posOffset>
            </wp:positionH>
            <wp:positionV relativeFrom="paragraph">
              <wp:posOffset>-242570</wp:posOffset>
            </wp:positionV>
            <wp:extent cx="6865620" cy="141351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865620" cy="1413510"/>
                    </a:xfrm>
                    <a:prstGeom prst="rect">
                      <a:avLst/>
                    </a:prstGeom>
                    <a:noFill/>
                  </pic:spPr>
                </pic:pic>
              </a:graphicData>
            </a:graphic>
          </wp:anchor>
        </w:drawing>
      </w:r>
    </w:p>
    <w:p>
      <w:pPr>
        <w:spacing w:after="0" w:line="171" w:lineRule="exact"/>
        <w:rPr>
          <w:rFonts w:ascii="Arial" w:cs="Arial" w:eastAsia="Arial" w:hAnsi="Arial"/>
          <w:sz w:val="18"/>
          <w:szCs w:val="18"/>
          <w:color w:val="auto"/>
        </w:rPr>
      </w:pPr>
    </w:p>
    <w:p>
      <w:pPr>
        <w:ind w:left="482" w:right="760" w:hanging="264"/>
        <w:spacing w:after="0" w:line="224" w:lineRule="auto"/>
        <w:rPr>
          <w:sz w:val="20"/>
          <w:szCs w:val="20"/>
          <w:color w:val="auto"/>
        </w:rPr>
      </w:pPr>
      <w:r>
        <w:rPr>
          <w:rFonts w:ascii="Arial" w:cs="Arial" w:eastAsia="Arial" w:hAnsi="Arial"/>
          <w:sz w:val="25"/>
          <w:szCs w:val="25"/>
          <w:b w:val="1"/>
          <w:bCs w:val="1"/>
          <w:color w:val="auto"/>
        </w:rPr>
        <w:t>Q</w:t>
      </w:r>
      <w:r>
        <w:rPr>
          <w:rFonts w:ascii="Arial" w:cs="Arial" w:eastAsia="Arial" w:hAnsi="Arial"/>
          <w:sz w:val="17"/>
          <w:szCs w:val="17"/>
          <w:b w:val="1"/>
          <w:bCs w:val="1"/>
          <w:color w:val="auto"/>
        </w:rPr>
        <w:t>  I received a vendor invoice for an amount that exceeds my authority limit. Can I split the amount into two separate</w:t>
      </w:r>
      <w:r>
        <w:rPr>
          <w:rFonts w:ascii="Arial" w:cs="Arial" w:eastAsia="Arial" w:hAnsi="Arial"/>
          <w:sz w:val="25"/>
          <w:szCs w:val="25"/>
          <w:b w:val="1"/>
          <w:bCs w:val="1"/>
          <w:color w:val="auto"/>
        </w:rPr>
        <w:t xml:space="preserve"> </w:t>
      </w:r>
      <w:r>
        <w:rPr>
          <w:rFonts w:ascii="Arial" w:cs="Arial" w:eastAsia="Arial" w:hAnsi="Arial"/>
          <w:sz w:val="17"/>
          <w:szCs w:val="17"/>
          <w:b w:val="1"/>
          <w:bCs w:val="1"/>
          <w:color w:val="auto"/>
        </w:rPr>
        <w:t>payments that I am authorized to approve?</w:t>
      </w:r>
    </w:p>
    <w:p>
      <w:pPr>
        <w:spacing w:after="0" w:line="192" w:lineRule="exact"/>
        <w:rPr>
          <w:rFonts w:ascii="Arial" w:cs="Arial" w:eastAsia="Arial" w:hAnsi="Arial"/>
          <w:sz w:val="18"/>
          <w:szCs w:val="18"/>
          <w:color w:val="auto"/>
        </w:rPr>
      </w:pPr>
    </w:p>
    <w:p>
      <w:pPr>
        <w:ind w:left="222"/>
        <w:spacing w:after="0"/>
        <w:rPr>
          <w:sz w:val="20"/>
          <w:szCs w:val="20"/>
          <w:color w:val="auto"/>
        </w:rPr>
      </w:pPr>
      <w:r>
        <w:rPr>
          <w:rFonts w:ascii="Arial" w:cs="Arial" w:eastAsia="Arial" w:hAnsi="Arial"/>
          <w:sz w:val="25"/>
          <w:szCs w:val="25"/>
          <w:b w:val="1"/>
          <w:bCs w:val="1"/>
          <w:color w:val="auto"/>
        </w:rPr>
        <w:t>A</w:t>
      </w:r>
      <w:r>
        <w:rPr>
          <w:rFonts w:ascii="Arial" w:cs="Arial" w:eastAsia="Arial" w:hAnsi="Arial"/>
          <w:sz w:val="17"/>
          <w:szCs w:val="17"/>
          <w:color w:val="auto"/>
        </w:rPr>
        <w:t>  No. Splitting an invoice into separate payments in order to meet an authorization level is considered a circumvention of our internal</w:t>
      </w:r>
    </w:p>
    <w:p>
      <w:pPr>
        <w:spacing w:after="0" w:line="26" w:lineRule="exact"/>
        <w:rPr>
          <w:rFonts w:ascii="Arial" w:cs="Arial" w:eastAsia="Arial" w:hAnsi="Arial"/>
          <w:sz w:val="18"/>
          <w:szCs w:val="18"/>
          <w:color w:val="auto"/>
        </w:rPr>
      </w:pPr>
    </w:p>
    <w:p>
      <w:pPr>
        <w:ind w:left="482" w:right="240"/>
        <w:spacing w:after="0"/>
        <w:rPr>
          <w:sz w:val="20"/>
          <w:szCs w:val="20"/>
          <w:color w:val="auto"/>
        </w:rPr>
      </w:pPr>
      <w:r>
        <w:rPr>
          <w:rFonts w:ascii="Arial" w:cs="Arial" w:eastAsia="Arial" w:hAnsi="Arial"/>
          <w:sz w:val="18"/>
          <w:szCs w:val="18"/>
          <w:color w:val="auto"/>
        </w:rPr>
        <w:t>controls. If the vendor payment amount exceeds your authorization level, the next-level approver in your management chain must approve the payment.</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0</wp:posOffset>
            </wp:positionH>
            <wp:positionV relativeFrom="paragraph">
              <wp:posOffset>217170</wp:posOffset>
            </wp:positionV>
            <wp:extent cx="967740" cy="32829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tbl>
      <w:tblPr>
        <w:tblLayout w:type="fixed"/>
        <w:tblInd w:w="4362"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43</w:t>
            </w:r>
          </w:p>
        </w:tc>
      </w:tr>
    </w:tbl>
    <w:p>
      <w:pPr>
        <w:sectPr>
          <w:pgSz w:w="11900" w:h="16838" w:orient="portrait"/>
          <w:cols w:equalWidth="0" w:num="1">
            <w:col w:w="10822"/>
          </w:cols>
          <w:pgMar w:left="538" w:top="248" w:right="539" w:bottom="1440" w:gutter="0" w:footer="0" w:header="0"/>
        </w:sectPr>
      </w:pPr>
    </w:p>
    <w:bookmarkStart w:id="224" w:name="page225"/>
    <w:bookmarkEnd w:id="224"/>
    <w:p>
      <w:pPr>
        <w:ind w:left="222" w:hanging="222"/>
        <w:spacing w:after="0"/>
        <w:tabs>
          <w:tab w:leader="none" w:pos="222" w:val="left"/>
        </w:tabs>
        <w:numPr>
          <w:ilvl w:val="0"/>
          <w:numId w:val="218"/>
        </w:numPr>
        <w:rPr>
          <w:rFonts w:ascii="Arial" w:cs="Arial" w:eastAsia="Arial" w:hAnsi="Arial"/>
          <w:sz w:val="39"/>
          <w:szCs w:val="39"/>
          <w:color w:val="auto"/>
          <w:vertAlign w:val="superscript"/>
        </w:rPr>
      </w:pPr>
      <w:r>
        <w:rPr>
          <w:rFonts w:ascii="Arial" w:cs="Arial" w:eastAsia="Arial" w:hAnsi="Arial"/>
          <w:sz w:val="19"/>
          <w:szCs w:val="19"/>
          <w:b w:val="1"/>
          <w:bCs w:val="1"/>
          <w:i w:val="1"/>
          <w:iCs w:val="1"/>
          <w:color w:val="123121"/>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Unauthorized side letters</w:t>
      </w:r>
    </w:p>
    <w:p>
      <w:pPr>
        <w:spacing w:after="0" w:line="86" w:lineRule="exact"/>
        <w:rPr>
          <w:rFonts w:ascii="Arial" w:cs="Arial" w:eastAsia="Arial" w:hAnsi="Arial"/>
          <w:sz w:val="39"/>
          <w:szCs w:val="39"/>
          <w:color w:val="auto"/>
          <w:vertAlign w:val="superscript"/>
        </w:rPr>
      </w:pPr>
    </w:p>
    <w:p>
      <w:pPr>
        <w:ind w:left="222" w:right="300"/>
        <w:spacing w:after="0"/>
        <w:rPr>
          <w:rFonts w:ascii="Arial" w:cs="Arial" w:eastAsia="Arial" w:hAnsi="Arial"/>
          <w:sz w:val="39"/>
          <w:szCs w:val="39"/>
          <w:color w:val="auto"/>
          <w:vertAlign w:val="superscript"/>
        </w:rPr>
      </w:pPr>
      <w:r>
        <w:rPr>
          <w:rFonts w:ascii="Arial" w:cs="Arial" w:eastAsia="Arial" w:hAnsi="Arial"/>
          <w:sz w:val="18"/>
          <w:szCs w:val="18"/>
          <w:color w:val="auto"/>
        </w:rPr>
        <w:t>Unauthorized side letters are undisclosed, unapproved letters, e-mails, notes or oral agreements that vary contract terms. They may bind us to something we cannot deliver or expose us to unwanted liability They can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-548005</wp:posOffset>
            </wp:positionV>
            <wp:extent cx="6865620" cy="167449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865620" cy="1674495"/>
                    </a:xfrm>
                    <a:prstGeom prst="rect">
                      <a:avLst/>
                    </a:prstGeom>
                    <a:noFill/>
                  </pic:spPr>
                </pic:pic>
              </a:graphicData>
            </a:graphic>
          </wp:anchor>
        </w:drawing>
      </w:r>
    </w:p>
    <w:p>
      <w:pPr>
        <w:spacing w:after="0" w:line="105" w:lineRule="exact"/>
        <w:rPr>
          <w:sz w:val="20"/>
          <w:szCs w:val="20"/>
          <w:color w:val="auto"/>
        </w:rPr>
      </w:pPr>
    </w:p>
    <w:p>
      <w:pPr>
        <w:ind w:left="342" w:right="4040"/>
        <w:spacing w:after="0" w:line="321"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Early outs, or the ability for the customer to terminate before the contract expires</w:t>
      </w:r>
      <w:r>
        <w:rPr>
          <w:rFonts w:ascii="Times New Roman" w:cs="Times New Roman" w:eastAsia="Times New Roman" w:hAnsi="Times New Roman"/>
          <w:sz w:val="18"/>
          <w:szCs w:val="18"/>
          <w:color w:val="D64000"/>
        </w:rPr>
        <w:t xml:space="preserve"> ●</w:t>
      </w:r>
      <w:r>
        <w:rPr>
          <w:rFonts w:ascii="Arial" w:cs="Arial" w:eastAsia="Arial" w:hAnsi="Arial"/>
          <w:sz w:val="18"/>
          <w:szCs w:val="18"/>
          <w:color w:val="000000"/>
        </w:rPr>
        <w:t> Guarantees that the customer will achieve certain milestones</w:t>
      </w:r>
    </w:p>
    <w:p>
      <w:pPr>
        <w:spacing w:after="0" w:line="1" w:lineRule="exact"/>
        <w:rPr>
          <w:sz w:val="20"/>
          <w:szCs w:val="20"/>
          <w:color w:val="auto"/>
        </w:rPr>
      </w:pPr>
    </w:p>
    <w:p>
      <w:pPr>
        <w:ind w:left="342"/>
        <w:spacing w:after="0"/>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Statements that directly contradict parts of the contract, including payment terms</w:t>
      </w:r>
    </w:p>
    <w:p>
      <w:pPr>
        <w:spacing w:after="0" w:line="70" w:lineRule="exact"/>
        <w:rPr>
          <w:sz w:val="20"/>
          <w:szCs w:val="20"/>
          <w:color w:val="auto"/>
        </w:rPr>
      </w:pPr>
    </w:p>
    <w:p>
      <w:pPr>
        <w:ind w:left="342" w:right="2520"/>
        <w:spacing w:after="0" w:line="350" w:lineRule="auto"/>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8"/>
          <w:szCs w:val="18"/>
          <w:color w:val="000000"/>
        </w:rPr>
        <w:t> Commitments for products or services Thomson Reuters is unable or unwilling to provide or perform</w:t>
      </w:r>
      <w:r>
        <w:rPr>
          <w:rFonts w:ascii="Times New Roman" w:cs="Times New Roman" w:eastAsia="Times New Roman" w:hAnsi="Times New Roman"/>
          <w:sz w:val="18"/>
          <w:szCs w:val="18"/>
          <w:color w:val="D64000"/>
        </w:rPr>
        <w:t xml:space="preserve"> ●</w:t>
      </w:r>
      <w:r>
        <w:rPr>
          <w:rFonts w:ascii="Arial" w:cs="Arial" w:eastAsia="Arial" w:hAnsi="Arial"/>
          <w:sz w:val="18"/>
          <w:szCs w:val="18"/>
          <w:color w:val="000000"/>
        </w:rPr>
        <w:t> Offers of free or discounted products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 w:right="940"/>
        <w:spacing w:after="0" w:line="295" w:lineRule="auto"/>
        <w:rPr>
          <w:sz w:val="20"/>
          <w:szCs w:val="20"/>
          <w:color w:val="auto"/>
        </w:rPr>
      </w:pPr>
      <w:r>
        <w:rPr>
          <w:rFonts w:ascii="Arial" w:cs="Arial" w:eastAsia="Arial" w:hAnsi="Arial"/>
          <w:sz w:val="35"/>
          <w:szCs w:val="35"/>
          <w:b w:val="1"/>
          <w:bCs w:val="1"/>
          <w:color w:val="D64000"/>
        </w:rPr>
        <w:t>Engaging with the media, public speaking and using social media</w:t>
      </w:r>
    </w:p>
    <w:p>
      <w:pPr>
        <w:spacing w:after="0" w:line="50"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auto"/>
        </w:rPr>
        <w:t>We are trusted to…</w:t>
      </w:r>
    </w:p>
    <w:p>
      <w:pPr>
        <w:spacing w:after="0" w:line="192" w:lineRule="exact"/>
        <w:rPr>
          <w:sz w:val="20"/>
          <w:szCs w:val="20"/>
          <w:color w:val="auto"/>
        </w:rPr>
      </w:pPr>
    </w:p>
    <w:p>
      <w:pPr>
        <w:ind w:left="2" w:right="200"/>
        <w:spacing w:after="0" w:line="273" w:lineRule="auto"/>
        <w:rPr>
          <w:sz w:val="20"/>
          <w:szCs w:val="20"/>
          <w:color w:val="auto"/>
        </w:rPr>
      </w:pPr>
      <w:r>
        <w:rPr>
          <w:rFonts w:ascii="Arial" w:cs="Arial" w:eastAsia="Arial" w:hAnsi="Arial"/>
          <w:sz w:val="19"/>
          <w:szCs w:val="19"/>
          <w:i w:val="1"/>
          <w:iCs w:val="1"/>
          <w:color w:val="auto"/>
        </w:rPr>
        <w:t>…speak to the media, participate in public speaking events, or communicate on social media on behalf of Thomson Reuters only if we are authorized to do so.</w:t>
      </w:r>
    </w:p>
    <w:p>
      <w:pPr>
        <w:spacing w:after="0" w:line="128"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auto"/>
        </w:rPr>
        <w:t>Why it matters</w:t>
      </w:r>
    </w:p>
    <w:p>
      <w:pPr>
        <w:spacing w:after="0" w:line="205" w:lineRule="exact"/>
        <w:rPr>
          <w:sz w:val="20"/>
          <w:szCs w:val="20"/>
          <w:color w:val="auto"/>
        </w:rPr>
      </w:pPr>
    </w:p>
    <w:p>
      <w:pPr>
        <w:ind w:left="2" w:right="100"/>
        <w:spacing w:after="0" w:line="246" w:lineRule="auto"/>
        <w:rPr>
          <w:sz w:val="20"/>
          <w:szCs w:val="20"/>
          <w:color w:val="auto"/>
        </w:rPr>
      </w:pPr>
      <w:r>
        <w:rPr>
          <w:rFonts w:ascii="Arial" w:cs="Arial" w:eastAsia="Arial" w:hAnsi="Arial"/>
          <w:sz w:val="19"/>
          <w:szCs w:val="19"/>
          <w:color w:val="auto"/>
        </w:rPr>
        <w:t>We are fully aware of the power of media and our responsibility to use it wisely. Our company’s stock price, reputation and ability to compete can be affected by the information we make public. By being aware of the risks and not appearing to speak on behalf of the company without authorization, we can help make sure the company consistently gets an accurate message across to its intended audience while also exercising our individual right to post on social media.</w:t>
      </w:r>
    </w:p>
    <w:p>
      <w:pPr>
        <w:spacing w:after="0" w:line="154" w:lineRule="exact"/>
        <w:rPr>
          <w:sz w:val="20"/>
          <w:szCs w:val="20"/>
          <w:color w:val="auto"/>
        </w:rPr>
      </w:pPr>
    </w:p>
    <w:p>
      <w:pPr>
        <w:ind w:left="2"/>
        <w:spacing w:after="0"/>
        <w:rPr>
          <w:sz w:val="20"/>
          <w:szCs w:val="20"/>
          <w:color w:val="auto"/>
        </w:rPr>
      </w:pPr>
      <w:r>
        <w:rPr>
          <w:rFonts w:ascii="Arial" w:cs="Arial" w:eastAsia="Arial" w:hAnsi="Arial"/>
          <w:sz w:val="28"/>
          <w:szCs w:val="28"/>
          <w:b w:val="1"/>
          <w:bCs w:val="1"/>
          <w:color w:val="auto"/>
        </w:rPr>
        <w:t>How we deliver</w:t>
      </w:r>
    </w:p>
    <w:p>
      <w:pPr>
        <w:spacing w:after="0" w:line="188" w:lineRule="exact"/>
        <w:rPr>
          <w:sz w:val="20"/>
          <w:szCs w:val="20"/>
          <w:color w:val="auto"/>
        </w:rPr>
      </w:pPr>
    </w:p>
    <w:p>
      <w:pPr>
        <w:ind w:left="2"/>
        <w:spacing w:after="0"/>
        <w:rPr>
          <w:sz w:val="20"/>
          <w:szCs w:val="20"/>
          <w:color w:val="auto"/>
        </w:rPr>
      </w:pPr>
      <w:r>
        <w:rPr>
          <w:rFonts w:ascii="Arial" w:cs="Arial" w:eastAsia="Arial" w:hAnsi="Arial"/>
          <w:sz w:val="26"/>
          <w:szCs w:val="26"/>
          <w:i w:val="1"/>
          <w:iCs w:val="1"/>
          <w:color w:val="D64000"/>
        </w:rPr>
        <w:t>Authorized Spokesperson</w:t>
      </w:r>
    </w:p>
    <w:p>
      <w:pPr>
        <w:spacing w:after="0" w:line="182" w:lineRule="exact"/>
        <w:rPr>
          <w:sz w:val="20"/>
          <w:szCs w:val="20"/>
          <w:color w:val="auto"/>
        </w:rPr>
      </w:pPr>
    </w:p>
    <w:p>
      <w:pPr>
        <w:ind w:left="2" w:right="100"/>
        <w:spacing w:after="0" w:line="273" w:lineRule="auto"/>
        <w:rPr>
          <w:sz w:val="20"/>
          <w:szCs w:val="20"/>
          <w:color w:val="auto"/>
        </w:rPr>
      </w:pPr>
      <w:r>
        <w:rPr>
          <w:rFonts w:ascii="Arial" w:cs="Arial" w:eastAsia="Arial" w:hAnsi="Arial"/>
          <w:sz w:val="19"/>
          <w:szCs w:val="19"/>
          <w:color w:val="auto"/>
        </w:rPr>
        <w:t>If we receive requests for information from outside of the company, even seemingly simple ones, we refer them to colleagues authorized to act as company spokespersons, in collaboration with the Communications team. These spokespersons:</w:t>
      </w:r>
    </w:p>
    <w:p>
      <w:pPr>
        <w:spacing w:after="0" w:line="73" w:lineRule="exact"/>
        <w:rPr>
          <w:sz w:val="20"/>
          <w:szCs w:val="20"/>
          <w:color w:val="auto"/>
        </w:rPr>
      </w:pPr>
    </w:p>
    <w:p>
      <w:pPr>
        <w:ind w:left="842" w:hanging="418"/>
        <w:spacing w:after="0"/>
        <w:tabs>
          <w:tab w:leader="none" w:pos="842" w:val="left"/>
        </w:tabs>
        <w:numPr>
          <w:ilvl w:val="0"/>
          <w:numId w:val="219"/>
        </w:numPr>
        <w:rPr>
          <w:rFonts w:ascii="Times New Roman" w:cs="Times New Roman" w:eastAsia="Times New Roman" w:hAnsi="Times New Roman"/>
          <w:sz w:val="18"/>
          <w:szCs w:val="18"/>
          <w:color w:val="D64000"/>
        </w:rPr>
      </w:pPr>
      <w:r>
        <w:rPr>
          <w:rFonts w:ascii="Arial" w:cs="Arial" w:eastAsia="Arial" w:hAnsi="Arial"/>
          <w:sz w:val="19"/>
          <w:szCs w:val="19"/>
          <w:color w:val="auto"/>
        </w:rPr>
        <w:t>Handle requests from media, shareholders, financial analysts and government authorities</w:t>
      </w:r>
    </w:p>
    <w:p>
      <w:pPr>
        <w:spacing w:after="0" w:line="73" w:lineRule="exact"/>
        <w:rPr>
          <w:rFonts w:ascii="Times New Roman" w:cs="Times New Roman" w:eastAsia="Times New Roman" w:hAnsi="Times New Roman"/>
          <w:sz w:val="18"/>
          <w:szCs w:val="18"/>
          <w:color w:val="D64000"/>
        </w:rPr>
      </w:pPr>
    </w:p>
    <w:p>
      <w:pPr>
        <w:ind w:left="842" w:hanging="418"/>
        <w:spacing w:after="0"/>
        <w:tabs>
          <w:tab w:leader="none" w:pos="842" w:val="left"/>
        </w:tabs>
        <w:numPr>
          <w:ilvl w:val="0"/>
          <w:numId w:val="219"/>
        </w:numPr>
        <w:rPr>
          <w:rFonts w:ascii="Times New Roman" w:cs="Times New Roman" w:eastAsia="Times New Roman" w:hAnsi="Times New Roman"/>
          <w:sz w:val="18"/>
          <w:szCs w:val="18"/>
          <w:color w:val="D64000"/>
        </w:rPr>
      </w:pPr>
      <w:r>
        <w:rPr>
          <w:rFonts w:ascii="Arial" w:cs="Arial" w:eastAsia="Arial" w:hAnsi="Arial"/>
          <w:sz w:val="19"/>
          <w:szCs w:val="19"/>
          <w:color w:val="auto"/>
        </w:rPr>
        <w:t>Disclose information according to the requirements of securities regulatory authorities and stock exchanges</w:t>
      </w:r>
    </w:p>
    <w:p>
      <w:pPr>
        <w:spacing w:after="0" w:line="73" w:lineRule="exact"/>
        <w:rPr>
          <w:rFonts w:ascii="Times New Roman" w:cs="Times New Roman" w:eastAsia="Times New Roman" w:hAnsi="Times New Roman"/>
          <w:sz w:val="18"/>
          <w:szCs w:val="18"/>
          <w:color w:val="D64000"/>
        </w:rPr>
      </w:pPr>
    </w:p>
    <w:p>
      <w:pPr>
        <w:ind w:left="842" w:hanging="418"/>
        <w:spacing w:after="0"/>
        <w:tabs>
          <w:tab w:leader="none" w:pos="842" w:val="left"/>
        </w:tabs>
        <w:numPr>
          <w:ilvl w:val="0"/>
          <w:numId w:val="219"/>
        </w:numPr>
        <w:rPr>
          <w:rFonts w:ascii="Times New Roman" w:cs="Times New Roman" w:eastAsia="Times New Roman" w:hAnsi="Times New Roman"/>
          <w:sz w:val="18"/>
          <w:szCs w:val="18"/>
          <w:color w:val="D64000"/>
        </w:rPr>
      </w:pPr>
      <w:r>
        <w:rPr>
          <w:rFonts w:ascii="Arial" w:cs="Arial" w:eastAsia="Arial" w:hAnsi="Arial"/>
          <w:sz w:val="19"/>
          <w:szCs w:val="19"/>
          <w:color w:val="auto"/>
        </w:rPr>
        <w:t>Ensure that the information disclosed is accurate and is appropriate to be communicated publicly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967740" cy="32829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4362"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44</w:t>
            </w:r>
          </w:p>
        </w:tc>
      </w:tr>
    </w:tbl>
    <w:p>
      <w:pPr>
        <w:sectPr>
          <w:pgSz w:w="11900" w:h="16838" w:orient="portrait"/>
          <w:cols w:equalWidth="0" w:num="1">
            <w:col w:w="10822"/>
          </w:cols>
          <w:pgMar w:left="538" w:top="200" w:right="539" w:bottom="1440" w:gutter="0" w:footer="0" w:header="0"/>
        </w:sectPr>
      </w:pPr>
    </w:p>
    <w:bookmarkStart w:id="225" w:name="page226"/>
    <w:bookmarkEnd w:id="225"/>
    <w:p>
      <w:pPr>
        <w:spacing w:after="0"/>
        <w:rPr>
          <w:sz w:val="20"/>
          <w:szCs w:val="20"/>
          <w:color w:val="auto"/>
        </w:rPr>
      </w:pPr>
      <w:r>
        <w:rPr>
          <w:rFonts w:ascii="Arial" w:cs="Arial" w:eastAsia="Arial" w:hAnsi="Arial"/>
          <w:sz w:val="26"/>
          <w:szCs w:val="26"/>
          <w:i w:val="1"/>
          <w:iCs w:val="1"/>
          <w:color w:val="D64000"/>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Public speaking and engaging with the media</w:t>
      </w:r>
    </w:p>
    <w:p>
      <w:pPr>
        <w:spacing w:after="0" w:line="155" w:lineRule="exact"/>
        <w:rPr>
          <w:sz w:val="20"/>
          <w:szCs w:val="20"/>
          <w:color w:val="auto"/>
        </w:rPr>
      </w:pPr>
    </w:p>
    <w:p>
      <w:pPr>
        <w:ind w:right="260"/>
        <w:spacing w:after="0" w:line="258" w:lineRule="auto"/>
        <w:rPr>
          <w:sz w:val="20"/>
          <w:szCs w:val="20"/>
          <w:color w:val="auto"/>
        </w:rPr>
      </w:pPr>
      <w:r>
        <w:rPr>
          <w:rFonts w:ascii="Arial" w:cs="Arial" w:eastAsia="Arial" w:hAnsi="Arial"/>
          <w:sz w:val="19"/>
          <w:szCs w:val="19"/>
          <w:color w:val="auto"/>
        </w:rPr>
        <w:t xml:space="preserve">If an employee, delivers a speech at a conference or event, participates in a panel discussion, or gives an interview in the media or provides any comment to a member of the press, they are assumed to be speaking on behalf of the company and must receive explicit approval from their manager and the </w:t>
      </w:r>
      <w:r>
        <w:rPr>
          <w:rFonts w:ascii="Arial" w:cs="Arial" w:eastAsia="Arial" w:hAnsi="Arial"/>
          <w:sz w:val="19"/>
          <w:szCs w:val="19"/>
          <w:b w:val="1"/>
          <w:bCs w:val="1"/>
          <w:color w:val="1A7EE5"/>
        </w:rPr>
        <w:t>Communications team</w:t>
      </w:r>
      <w:r>
        <w:rPr>
          <w:rFonts w:ascii="Arial" w:cs="Arial" w:eastAsia="Arial" w:hAnsi="Arial"/>
          <w:sz w:val="19"/>
          <w:szCs w:val="19"/>
          <w:color w:val="auto"/>
        </w:rPr>
        <w:t>.</w:t>
      </w:r>
    </w:p>
    <w:p>
      <w:pPr>
        <w:spacing w:after="0" w:line="64" w:lineRule="exact"/>
        <w:rPr>
          <w:sz w:val="20"/>
          <w:szCs w:val="20"/>
          <w:color w:val="auto"/>
        </w:rPr>
      </w:pPr>
    </w:p>
    <w:p>
      <w:pPr>
        <w:ind w:right="40"/>
        <w:spacing w:after="0" w:line="247" w:lineRule="auto"/>
        <w:rPr>
          <w:sz w:val="20"/>
          <w:szCs w:val="20"/>
          <w:color w:val="auto"/>
        </w:rPr>
      </w:pPr>
      <w:r>
        <w:rPr>
          <w:rFonts w:ascii="Arial" w:cs="Arial" w:eastAsia="Arial" w:hAnsi="Arial"/>
          <w:sz w:val="19"/>
          <w:szCs w:val="19"/>
          <w:color w:val="auto"/>
        </w:rPr>
        <w:t xml:space="preserve">If you are unexpectedly approached by the media — in person at a conference or under any other circumstances — you must consult the Communications team before agreeing to an interview. In some instances, we may need to make it clear that these views do not represent those of Thomson Reuters and the </w:t>
      </w:r>
      <w:r>
        <w:rPr>
          <w:rFonts w:ascii="Arial" w:cs="Arial" w:eastAsia="Arial" w:hAnsi="Arial"/>
          <w:sz w:val="19"/>
          <w:szCs w:val="19"/>
          <w:b w:val="1"/>
          <w:bCs w:val="1"/>
          <w:color w:val="1A7EE5"/>
        </w:rPr>
        <w:t>Communications team</w:t>
      </w:r>
      <w:r>
        <w:rPr>
          <w:rFonts w:ascii="Arial" w:cs="Arial" w:eastAsia="Arial" w:hAnsi="Arial"/>
          <w:sz w:val="19"/>
          <w:szCs w:val="19"/>
          <w:color w:val="auto"/>
        </w:rPr>
        <w:t xml:space="preserve"> can advise accordingly in such cases.</w:t>
      </w:r>
    </w:p>
    <w:p>
      <w:pPr>
        <w:spacing w:after="0" w:line="319" w:lineRule="exact"/>
        <w:rPr>
          <w:sz w:val="20"/>
          <w:szCs w:val="20"/>
          <w:color w:val="auto"/>
        </w:rPr>
      </w:pPr>
    </w:p>
    <w:p>
      <w:pPr>
        <w:jc w:val="both"/>
        <w:ind w:right="220"/>
        <w:spacing w:after="0" w:line="253" w:lineRule="auto"/>
        <w:rPr>
          <w:sz w:val="20"/>
          <w:szCs w:val="20"/>
          <w:color w:val="auto"/>
        </w:rPr>
      </w:pPr>
      <w:r>
        <w:rPr>
          <w:rFonts w:ascii="Arial" w:cs="Arial" w:eastAsia="Arial" w:hAnsi="Arial"/>
          <w:sz w:val="19"/>
          <w:szCs w:val="19"/>
          <w:color w:val="auto"/>
        </w:rPr>
        <w:t>In our capacity as Thomson Reuters employees, we must have approval before engaging with journalists, media outlets, or blogs to create content for distribution in the media and on social media platforms, such as Twitter, LinkedIn, Facebook, and Instagram.</w:t>
      </w:r>
    </w:p>
    <w:p>
      <w:pPr>
        <w:spacing w:after="0" w:line="87" w:lineRule="exact"/>
        <w:rPr>
          <w:sz w:val="20"/>
          <w:szCs w:val="20"/>
          <w:color w:val="auto"/>
        </w:rPr>
      </w:pPr>
    </w:p>
    <w:p>
      <w:pPr>
        <w:spacing w:after="0"/>
        <w:rPr>
          <w:sz w:val="20"/>
          <w:szCs w:val="20"/>
          <w:color w:val="auto"/>
        </w:rPr>
      </w:pPr>
      <w:r>
        <w:rPr>
          <w:rFonts w:ascii="Arial" w:cs="Arial" w:eastAsia="Arial" w:hAnsi="Arial"/>
          <w:sz w:val="26"/>
          <w:szCs w:val="26"/>
          <w:i w:val="1"/>
          <w:iCs w:val="1"/>
          <w:color w:val="D64000"/>
        </w:rPr>
        <w:t>Personal use of social media and other online communications</w:t>
      </w:r>
    </w:p>
    <w:p>
      <w:pPr>
        <w:spacing w:after="0" w:line="142" w:lineRule="exact"/>
        <w:rPr>
          <w:sz w:val="20"/>
          <w:szCs w:val="20"/>
          <w:color w:val="auto"/>
        </w:rPr>
      </w:pPr>
    </w:p>
    <w:p>
      <w:pPr>
        <w:ind w:right="960"/>
        <w:spacing w:after="0" w:line="273" w:lineRule="auto"/>
        <w:rPr>
          <w:sz w:val="20"/>
          <w:szCs w:val="20"/>
          <w:color w:val="auto"/>
        </w:rPr>
      </w:pPr>
      <w:r>
        <w:rPr>
          <w:rFonts w:ascii="Arial" w:cs="Arial" w:eastAsia="Arial" w:hAnsi="Arial"/>
          <w:sz w:val="19"/>
          <w:szCs w:val="19"/>
          <w:color w:val="auto"/>
        </w:rPr>
        <w:t>As a leading provider of business information services, Thomson Reuters recognizes and encourages independent participation in social media and online communications if done so responsibly.</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color w:val="auto"/>
        </w:rPr>
        <w:t>This means we:</w:t>
      </w:r>
    </w:p>
    <w:p>
      <w:pPr>
        <w:spacing w:after="0" w:line="113" w:lineRule="exact"/>
        <w:rPr>
          <w:sz w:val="20"/>
          <w:szCs w:val="20"/>
          <w:color w:val="auto"/>
        </w:rPr>
      </w:pPr>
    </w:p>
    <w:p>
      <w:pPr>
        <w:ind w:left="840" w:right="120" w:hanging="418"/>
        <w:spacing w:after="0" w:line="269" w:lineRule="auto"/>
        <w:tabs>
          <w:tab w:leader="none" w:pos="840" w:val="left"/>
        </w:tabs>
        <w:numPr>
          <w:ilvl w:val="0"/>
          <w:numId w:val="220"/>
        </w:numPr>
        <w:rPr>
          <w:rFonts w:ascii="Times New Roman" w:cs="Times New Roman" w:eastAsia="Times New Roman" w:hAnsi="Times New Roman"/>
          <w:sz w:val="18"/>
          <w:szCs w:val="18"/>
          <w:color w:val="D64000"/>
        </w:rPr>
      </w:pPr>
      <w:r>
        <w:rPr>
          <w:rFonts w:ascii="Arial" w:cs="Arial" w:eastAsia="Arial" w:hAnsi="Arial"/>
          <w:sz w:val="19"/>
          <w:szCs w:val="19"/>
          <w:color w:val="auto"/>
        </w:rPr>
        <w:t>Are transparent and, if writing about Thomson Reuters or its products, services or industry, always disclose that we are employees, whether talking on behalf of the company or in a personal capacity;</w:t>
      </w:r>
    </w:p>
    <w:p>
      <w:pPr>
        <w:ind w:left="840" w:right="340" w:hanging="418"/>
        <w:spacing w:after="0" w:line="269" w:lineRule="auto"/>
        <w:tabs>
          <w:tab w:leader="none" w:pos="840" w:val="left"/>
        </w:tabs>
        <w:numPr>
          <w:ilvl w:val="0"/>
          <w:numId w:val="220"/>
        </w:numPr>
        <w:rPr>
          <w:rFonts w:ascii="Times New Roman" w:cs="Times New Roman" w:eastAsia="Times New Roman" w:hAnsi="Times New Roman"/>
          <w:sz w:val="18"/>
          <w:szCs w:val="18"/>
          <w:color w:val="D64000"/>
        </w:rPr>
      </w:pPr>
      <w:r>
        <w:rPr>
          <w:rFonts w:ascii="Arial" w:cs="Arial" w:eastAsia="Arial" w:hAnsi="Arial"/>
          <w:sz w:val="19"/>
          <w:szCs w:val="19"/>
          <w:color w:val="auto"/>
        </w:rPr>
        <w:t>If writing personally and there is any risk of confusion, however slight, make it clear that the views expressed are personal and not the company’s views;</w:t>
      </w:r>
    </w:p>
    <w:p>
      <w:pPr>
        <w:ind w:left="840" w:right="640" w:hanging="418"/>
        <w:spacing w:after="0" w:line="269" w:lineRule="auto"/>
        <w:tabs>
          <w:tab w:leader="none" w:pos="840" w:val="left"/>
        </w:tabs>
        <w:numPr>
          <w:ilvl w:val="0"/>
          <w:numId w:val="220"/>
        </w:numPr>
        <w:rPr>
          <w:rFonts w:ascii="Times New Roman" w:cs="Times New Roman" w:eastAsia="Times New Roman" w:hAnsi="Times New Roman"/>
          <w:sz w:val="18"/>
          <w:szCs w:val="18"/>
          <w:color w:val="D64000"/>
        </w:rPr>
      </w:pPr>
      <w:r>
        <w:rPr>
          <w:rFonts w:ascii="Arial" w:cs="Arial" w:eastAsia="Arial" w:hAnsi="Arial"/>
          <w:sz w:val="19"/>
          <w:szCs w:val="19"/>
          <w:color w:val="auto"/>
        </w:rPr>
        <w:t>Unless authorized by the company to do so, do not reveal confidential data or sensitive information about the company or its customers, vendors or suppliers</w:t>
      </w:r>
    </w:p>
    <w:p>
      <w:pPr>
        <w:ind w:left="840" w:right="200" w:hanging="418"/>
        <w:spacing w:after="0" w:line="269" w:lineRule="auto"/>
        <w:tabs>
          <w:tab w:leader="none" w:pos="840" w:val="left"/>
        </w:tabs>
        <w:numPr>
          <w:ilvl w:val="0"/>
          <w:numId w:val="220"/>
        </w:numPr>
        <w:rPr>
          <w:rFonts w:ascii="Times New Roman" w:cs="Times New Roman" w:eastAsia="Times New Roman" w:hAnsi="Times New Roman"/>
          <w:sz w:val="18"/>
          <w:szCs w:val="18"/>
          <w:color w:val="D64000"/>
        </w:rPr>
      </w:pPr>
      <w:r>
        <w:rPr>
          <w:rFonts w:ascii="Arial" w:cs="Arial" w:eastAsia="Arial" w:hAnsi="Arial"/>
          <w:sz w:val="19"/>
          <w:szCs w:val="19"/>
          <w:color w:val="auto"/>
        </w:rPr>
        <w:t>Are careful to not discuss company trade secrets, contracting, upcoming product releases or any other proprietary information</w:t>
      </w:r>
    </w:p>
    <w:p>
      <w:pPr>
        <w:ind w:left="840" w:right="780" w:hanging="418"/>
        <w:spacing w:after="0" w:line="269" w:lineRule="auto"/>
        <w:tabs>
          <w:tab w:leader="none" w:pos="840" w:val="left"/>
        </w:tabs>
        <w:numPr>
          <w:ilvl w:val="0"/>
          <w:numId w:val="220"/>
        </w:numPr>
        <w:rPr>
          <w:rFonts w:ascii="Times New Roman" w:cs="Times New Roman" w:eastAsia="Times New Roman" w:hAnsi="Times New Roman"/>
          <w:sz w:val="18"/>
          <w:szCs w:val="18"/>
          <w:color w:val="D64000"/>
        </w:rPr>
      </w:pPr>
      <w:r>
        <w:rPr>
          <w:rFonts w:ascii="Arial" w:cs="Arial" w:eastAsia="Arial" w:hAnsi="Arial"/>
          <w:sz w:val="19"/>
          <w:szCs w:val="19"/>
          <w:color w:val="auto"/>
        </w:rPr>
        <w:t>Act sensibly and follow the Social Media Guidelines if posting about fellow employees, customers, vendors, suppliers or partner organizations</w:t>
      </w:r>
    </w:p>
    <w:p>
      <w:pPr>
        <w:ind w:left="840" w:hanging="418"/>
        <w:spacing w:after="0"/>
        <w:tabs>
          <w:tab w:leader="none" w:pos="840" w:val="left"/>
        </w:tabs>
        <w:numPr>
          <w:ilvl w:val="0"/>
          <w:numId w:val="220"/>
        </w:numPr>
        <w:rPr>
          <w:rFonts w:ascii="Times New Roman" w:cs="Times New Roman" w:eastAsia="Times New Roman" w:hAnsi="Times New Roman"/>
          <w:sz w:val="18"/>
          <w:szCs w:val="18"/>
          <w:color w:val="D64000"/>
        </w:rPr>
      </w:pPr>
      <w:r>
        <w:rPr>
          <w:rFonts w:ascii="Arial" w:cs="Arial" w:eastAsia="Arial" w:hAnsi="Arial"/>
          <w:sz w:val="19"/>
          <w:szCs w:val="19"/>
          <w:color w:val="auto"/>
        </w:rPr>
        <w:t>Do not create Thomson Reuters–branded social media channels without Digital Oversight Committee approval;</w:t>
      </w:r>
    </w:p>
    <w:p>
      <w:pPr>
        <w:spacing w:after="0" w:line="59"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220"/>
        </w:numPr>
        <w:rPr>
          <w:rFonts w:ascii="Times New Roman" w:cs="Times New Roman" w:eastAsia="Times New Roman" w:hAnsi="Times New Roman"/>
          <w:sz w:val="18"/>
          <w:szCs w:val="18"/>
          <w:color w:val="D64000"/>
        </w:rPr>
      </w:pPr>
      <w:r>
        <w:rPr>
          <w:rFonts w:ascii="Arial" w:cs="Arial" w:eastAsia="Arial" w:hAnsi="Arial"/>
          <w:sz w:val="19"/>
          <w:szCs w:val="19"/>
          <w:color w:val="auto"/>
        </w:rPr>
        <w:t>Make sure the time and effort we spend independently on social media do not interfere with our job duties</w:t>
      </w:r>
    </w:p>
    <w:p>
      <w:pPr>
        <w:spacing w:after="0" w:line="59"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220"/>
        </w:numPr>
        <w:rPr>
          <w:rFonts w:ascii="Times New Roman" w:cs="Times New Roman" w:eastAsia="Times New Roman" w:hAnsi="Times New Roman"/>
          <w:sz w:val="18"/>
          <w:szCs w:val="18"/>
          <w:color w:val="D64000"/>
        </w:rPr>
      </w:pPr>
      <w:r>
        <w:rPr>
          <w:rFonts w:ascii="Arial" w:cs="Arial" w:eastAsia="Arial" w:hAnsi="Arial"/>
          <w:sz w:val="19"/>
          <w:szCs w:val="19"/>
          <w:color w:val="auto"/>
        </w:rPr>
        <w:t>Are mindful of what is posted, even when it’s not related to Thomson Reuters</w:t>
      </w:r>
    </w:p>
    <w:p>
      <w:pPr>
        <w:spacing w:after="0" w:line="166" w:lineRule="exact"/>
        <w:rPr>
          <w:sz w:val="20"/>
          <w:szCs w:val="20"/>
          <w:color w:val="auto"/>
        </w:rPr>
      </w:pPr>
    </w:p>
    <w:p>
      <w:pPr>
        <w:ind w:right="200"/>
        <w:spacing w:after="0" w:line="273" w:lineRule="auto"/>
        <w:rPr>
          <w:sz w:val="20"/>
          <w:szCs w:val="20"/>
          <w:color w:val="auto"/>
        </w:rPr>
      </w:pPr>
      <w:r>
        <w:rPr>
          <w:rFonts w:ascii="Arial" w:cs="Arial" w:eastAsia="Arial" w:hAnsi="Arial"/>
          <w:sz w:val="19"/>
          <w:szCs w:val="19"/>
          <w:color w:val="auto"/>
        </w:rPr>
        <w:t>Be aware that some of us in certain jobs may need to comply with supplemental policies regarding social media. If you have any additional questions on personal or corporate social media use, please contact the Communications team.</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1A7EE5"/>
        </w:rPr>
        <w:t>Social Media Guidelines on the Intranet</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color w:val="1A7EE5"/>
        </w:rPr>
        <w:t>TR Communications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967740" cy="32829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4360"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45</w:t>
            </w:r>
          </w:p>
        </w:tc>
      </w:tr>
    </w:tbl>
    <w:p>
      <w:pPr>
        <w:sectPr>
          <w:pgSz w:w="11900" w:h="16838" w:orient="portrait"/>
          <w:cols w:equalWidth="0" w:num="1">
            <w:col w:w="10820"/>
          </w:cols>
          <w:pgMar w:left="540" w:top="260" w:right="539" w:bottom="1440" w:gutter="0" w:footer="0" w:header="0"/>
        </w:sectPr>
      </w:pPr>
    </w:p>
    <w:bookmarkStart w:id="226" w:name="page227"/>
    <w:bookmarkEnd w:id="226"/>
    <w:p>
      <w:pPr>
        <w:ind w:left="102" w:hanging="102"/>
        <w:spacing w:after="0"/>
        <w:tabs>
          <w:tab w:leader="none" w:pos="102" w:val="left"/>
        </w:tabs>
        <w:numPr>
          <w:ilvl w:val="0"/>
          <w:numId w:val="221"/>
        </w:numPr>
        <w:rPr>
          <w:rFonts w:ascii="Arial" w:cs="Arial" w:eastAsia="Arial" w:hAnsi="Arial"/>
          <w:sz w:val="20"/>
          <w:szCs w:val="20"/>
          <w:b w:val="1"/>
          <w:bCs w:val="1"/>
          <w:i w:val="1"/>
          <w:iCs w:val="1"/>
          <w:color w:val="D64000"/>
        </w:rPr>
      </w:pPr>
      <w:r>
        <w:rPr>
          <w:rFonts w:ascii="Arial" w:cs="Arial" w:eastAsia="Arial" w:hAnsi="Arial"/>
          <w:sz w:val="20"/>
          <w:szCs w:val="20"/>
          <w:b w:val="1"/>
          <w:bCs w:val="1"/>
          <w:i w:val="1"/>
          <w:iCs w:val="1"/>
          <w:color w:val="D64000"/>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6770" cy="38100"/>
                    </a:xfrm>
                    <a:prstGeom prst="rect">
                      <a:avLst/>
                    </a:prstGeom>
                    <a:noFill/>
                  </pic:spPr>
                </pic:pic>
              </a:graphicData>
            </a:graphic>
          </wp:anchor>
        </w:drawing>
        <w:drawing>
          <wp:anchor simplePos="0" relativeHeight="251657728" behindDoc="1" locked="0" layoutInCell="0" allowOverlap="1">
            <wp:simplePos x="0" y="0"/>
            <wp:positionH relativeFrom="page">
              <wp:posOffset>341630</wp:posOffset>
            </wp:positionH>
            <wp:positionV relativeFrom="page">
              <wp:posOffset>181610</wp:posOffset>
            </wp:positionV>
            <wp:extent cx="6899275" cy="181737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6899275" cy="1817370"/>
                    </a:xfrm>
                    <a:prstGeom prst="rect">
                      <a:avLst/>
                    </a:prstGeom>
                    <a:noFill/>
                  </pic:spPr>
                </pic:pic>
              </a:graphicData>
            </a:graphic>
          </wp:anchor>
        </w:drawing>
        <w:t>Connecting the dots</w:t>
      </w:r>
    </w:p>
    <w:p>
      <w:pPr>
        <w:spacing w:after="0" w:line="131" w:lineRule="exact"/>
        <w:rPr>
          <w:rFonts w:ascii="Arial" w:cs="Arial" w:eastAsia="Arial" w:hAnsi="Arial"/>
          <w:sz w:val="20"/>
          <w:szCs w:val="20"/>
          <w:b w:val="1"/>
          <w:bCs w:val="1"/>
          <w:i w:val="1"/>
          <w:iCs w:val="1"/>
          <w:color w:val="D64000"/>
        </w:rPr>
      </w:pPr>
    </w:p>
    <w:p>
      <w:pPr>
        <w:ind w:left="122" w:hanging="122"/>
        <w:spacing w:after="0"/>
        <w:tabs>
          <w:tab w:leader="none" w:pos="122" w:val="left"/>
        </w:tabs>
        <w:numPr>
          <w:ilvl w:val="0"/>
          <w:numId w:val="221"/>
        </w:numPr>
        <w:rPr>
          <w:rFonts w:ascii="Arial" w:cs="Arial" w:eastAsia="Arial" w:hAnsi="Arial"/>
          <w:sz w:val="24"/>
          <w:szCs w:val="24"/>
          <w:b w:val="1"/>
          <w:bCs w:val="1"/>
          <w:color w:val="auto"/>
        </w:rPr>
      </w:pPr>
      <w:r>
        <w:rPr>
          <w:rFonts w:ascii="Arial" w:cs="Arial" w:eastAsia="Arial" w:hAnsi="Arial"/>
          <w:sz w:val="24"/>
          <w:szCs w:val="24"/>
          <w:b w:val="1"/>
          <w:bCs w:val="1"/>
          <w:color w:val="auto"/>
        </w:rPr>
        <w:t>Q</w:t>
      </w:r>
      <w:r>
        <w:rPr>
          <w:rFonts w:ascii="Arial" w:cs="Arial" w:eastAsia="Arial" w:hAnsi="Arial"/>
          <w:sz w:val="16"/>
          <w:szCs w:val="16"/>
          <w:b w:val="1"/>
          <w:bCs w:val="1"/>
          <w:color w:val="auto"/>
        </w:rPr>
        <w:t xml:space="preserve">   I saw an article online that had incorrect claims about a Thomson Reuters service. Can I correct it in a comment on the</w:t>
      </w:r>
    </w:p>
    <w:p>
      <w:pPr>
        <w:spacing w:after="0" w:line="37" w:lineRule="exact"/>
        <w:rPr>
          <w:sz w:val="20"/>
          <w:szCs w:val="20"/>
          <w:color w:val="auto"/>
        </w:rPr>
      </w:pPr>
    </w:p>
    <w:p>
      <w:pPr>
        <w:ind w:left="442"/>
        <w:spacing w:after="0"/>
        <w:rPr>
          <w:sz w:val="20"/>
          <w:szCs w:val="20"/>
          <w:color w:val="auto"/>
        </w:rPr>
      </w:pPr>
      <w:r>
        <w:rPr>
          <w:rFonts w:ascii="Arial" w:cs="Arial" w:eastAsia="Arial" w:hAnsi="Arial"/>
          <w:sz w:val="18"/>
          <w:szCs w:val="18"/>
          <w:b w:val="1"/>
          <w:bCs w:val="1"/>
          <w:color w:val="auto"/>
        </w:rPr>
        <w:t>article if I make it clear that I’m speaking as myself and not as an official company spokesperson?</w:t>
      </w:r>
    </w:p>
    <w:p>
      <w:pPr>
        <w:spacing w:after="0" w:line="129" w:lineRule="exact"/>
        <w:rPr>
          <w:sz w:val="20"/>
          <w:szCs w:val="20"/>
          <w:color w:val="auto"/>
        </w:rPr>
      </w:pPr>
    </w:p>
    <w:p>
      <w:pPr>
        <w:ind w:left="442" w:right="140" w:hanging="442"/>
        <w:spacing w:after="0" w:line="313" w:lineRule="auto"/>
        <w:tabs>
          <w:tab w:leader="none" w:pos="115" w:val="left"/>
        </w:tabs>
        <w:numPr>
          <w:ilvl w:val="0"/>
          <w:numId w:val="222"/>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15"/>
          <w:szCs w:val="15"/>
          <w:color w:val="auto"/>
        </w:rPr>
        <w:t xml:space="preserve">   Please refer this situation to the Communications department so they can properly investigate the issue and address it if needed. In</w:t>
      </w:r>
      <w:r>
        <w:rPr>
          <w:rFonts w:ascii="Arial" w:cs="Arial" w:eastAsia="Arial" w:hAnsi="Arial"/>
          <w:sz w:val="22"/>
          <w:szCs w:val="22"/>
          <w:b w:val="1"/>
          <w:bCs w:val="1"/>
          <w:color w:val="auto"/>
        </w:rPr>
        <w:t xml:space="preserve"> </w:t>
      </w:r>
      <w:r>
        <w:rPr>
          <w:rFonts w:ascii="Arial" w:cs="Arial" w:eastAsia="Arial" w:hAnsi="Arial"/>
          <w:sz w:val="15"/>
          <w:szCs w:val="15"/>
          <w:color w:val="auto"/>
        </w:rPr>
        <w:t>general, you should avoid posting any information about Thomson Reuters products, stock, strategies, customers or competitors, even if you’re trying to clear up confusion or false claims. This is managed by our company’s communications specialists.</w:t>
      </w:r>
    </w:p>
    <w:p>
      <w:pPr>
        <w:spacing w:after="0" w:line="144" w:lineRule="exact"/>
        <w:rPr>
          <w:sz w:val="20"/>
          <w:szCs w:val="20"/>
          <w:color w:val="auto"/>
        </w:rPr>
      </w:pPr>
    </w:p>
    <w:p>
      <w:pPr>
        <w:ind w:left="2"/>
        <w:spacing w:after="0"/>
        <w:rPr>
          <w:sz w:val="20"/>
          <w:szCs w:val="20"/>
          <w:color w:val="auto"/>
        </w:rPr>
      </w:pPr>
      <w:r>
        <w:rPr>
          <w:rFonts w:ascii="Arial" w:cs="Arial" w:eastAsia="Arial" w:hAnsi="Arial"/>
          <w:sz w:val="11"/>
          <w:szCs w:val="1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865620" cy="145542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865620" cy="1455420"/>
                    </a:xfrm>
                    <a:prstGeom prst="rect">
                      <a:avLst/>
                    </a:prstGeom>
                    <a:noFill/>
                  </pic:spPr>
                </pic:pic>
              </a:graphicData>
            </a:graphic>
          </wp:anchor>
        </w:drawing>
      </w:r>
    </w:p>
    <w:p>
      <w:pPr>
        <w:spacing w:after="0" w:line="96" w:lineRule="exact"/>
        <w:rPr>
          <w:sz w:val="20"/>
          <w:szCs w:val="20"/>
          <w:color w:val="auto"/>
        </w:rPr>
      </w:pPr>
    </w:p>
    <w:p>
      <w:pPr>
        <w:ind w:left="442" w:right="280" w:hanging="442"/>
        <w:spacing w:after="0" w:line="338" w:lineRule="auto"/>
        <w:tabs>
          <w:tab w:leader="none" w:pos="124" w:val="left"/>
        </w:tabs>
        <w:numPr>
          <w:ilvl w:val="0"/>
          <w:numId w:val="223"/>
        </w:numPr>
        <w:rPr>
          <w:rFonts w:ascii="Arial" w:cs="Arial" w:eastAsia="Arial" w:hAnsi="Arial"/>
          <w:sz w:val="24"/>
          <w:szCs w:val="24"/>
          <w:b w:val="1"/>
          <w:bCs w:val="1"/>
          <w:color w:val="auto"/>
        </w:rPr>
      </w:pPr>
      <w:r>
        <w:rPr>
          <w:rFonts w:ascii="Arial" w:cs="Arial" w:eastAsia="Arial" w:hAnsi="Arial"/>
          <w:sz w:val="24"/>
          <w:szCs w:val="24"/>
          <w:b w:val="1"/>
          <w:bCs w:val="1"/>
          <w:color w:val="auto"/>
        </w:rPr>
        <w:t>Q</w:t>
      </w:r>
      <w:r>
        <w:rPr>
          <w:rFonts w:ascii="Arial" w:cs="Arial" w:eastAsia="Arial" w:hAnsi="Arial"/>
          <w:sz w:val="16"/>
          <w:szCs w:val="16"/>
          <w:b w:val="1"/>
          <w:bCs w:val="1"/>
          <w:color w:val="auto"/>
        </w:rPr>
        <w:t xml:space="preserve">   I am active on social media and have several different accounts. Sometimes I want to post content that overlaps with the</w:t>
      </w:r>
      <w:r>
        <w:rPr>
          <w:rFonts w:ascii="Arial" w:cs="Arial" w:eastAsia="Arial" w:hAnsi="Arial"/>
          <w:sz w:val="24"/>
          <w:szCs w:val="24"/>
          <w:b w:val="1"/>
          <w:bCs w:val="1"/>
          <w:color w:val="auto"/>
        </w:rPr>
        <w:t xml:space="preserve"> </w:t>
      </w:r>
      <w:r>
        <w:rPr>
          <w:rFonts w:ascii="Arial" w:cs="Arial" w:eastAsia="Arial" w:hAnsi="Arial"/>
          <w:sz w:val="16"/>
          <w:szCs w:val="16"/>
          <w:b w:val="1"/>
          <w:bCs w:val="1"/>
          <w:color w:val="auto"/>
        </w:rPr>
        <w:t>interests of Thomson Reuters. Am I allowed to?</w:t>
      </w:r>
    </w:p>
    <w:p>
      <w:pPr>
        <w:spacing w:after="0" w:line="1" w:lineRule="exact"/>
        <w:rPr>
          <w:rFonts w:ascii="Arial" w:cs="Arial" w:eastAsia="Arial" w:hAnsi="Arial"/>
          <w:sz w:val="24"/>
          <w:szCs w:val="24"/>
          <w:b w:val="1"/>
          <w:bCs w:val="1"/>
          <w:color w:val="auto"/>
        </w:rPr>
      </w:pPr>
    </w:p>
    <w:p>
      <w:pPr>
        <w:ind w:left="442" w:right="40" w:hanging="442"/>
        <w:spacing w:after="0" w:line="289" w:lineRule="auto"/>
        <w:tabs>
          <w:tab w:leader="none" w:pos="115" w:val="left"/>
        </w:tabs>
        <w:numPr>
          <w:ilvl w:val="0"/>
          <w:numId w:val="223"/>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15"/>
          <w:szCs w:val="15"/>
          <w:color w:val="auto"/>
        </w:rPr>
        <w:t xml:space="preserve">   Before posting such content, it is important to make sure that it doesn’t reveal confidential or nonpublic information about the</w:t>
      </w:r>
      <w:r>
        <w:rPr>
          <w:rFonts w:ascii="Arial" w:cs="Arial" w:eastAsia="Arial" w:hAnsi="Arial"/>
          <w:sz w:val="22"/>
          <w:szCs w:val="22"/>
          <w:b w:val="1"/>
          <w:bCs w:val="1"/>
          <w:color w:val="auto"/>
        </w:rPr>
        <w:t xml:space="preserve"> </w:t>
      </w:r>
      <w:r>
        <w:rPr>
          <w:rFonts w:ascii="Arial" w:cs="Arial" w:eastAsia="Arial" w:hAnsi="Arial"/>
          <w:sz w:val="15"/>
          <w:szCs w:val="15"/>
          <w:color w:val="auto"/>
        </w:rPr>
        <w:t>company, our customers, our colleagues or other people or companies that we do business with. You shouldn’t cite or reference customers or business associates without their approval. Also, if you are commenting on products and services we sell or those sold or offered by our competitors, you should be mindful of the Trust Principles and make it clear that you are employed by the company. In any event, you should make it clear that any opinions are your own and not those of Thomson Reuters. See the Social Media Guidelines, and if in doubt, talk to your manager or Corporate Communications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344805</wp:posOffset>
            </wp:positionV>
            <wp:extent cx="967740" cy="32829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4362"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46</w:t>
            </w:r>
          </w:p>
        </w:tc>
      </w:tr>
    </w:tbl>
    <w:p>
      <w:pPr>
        <w:sectPr>
          <w:pgSz w:w="11900" w:h="16838" w:orient="portrait"/>
          <w:cols w:equalWidth="0" w:num="1">
            <w:col w:w="10822"/>
          </w:cols>
          <w:pgMar w:left="538" w:top="1200" w:right="539" w:bottom="1440" w:gutter="0" w:footer="0" w:header="0"/>
        </w:sectPr>
      </w:pPr>
    </w:p>
    <w:bookmarkStart w:id="227" w:name="page228"/>
    <w:bookmarkEnd w:id="2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18897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6770"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35"/>
          <w:szCs w:val="35"/>
          <w:b w:val="1"/>
          <w:bCs w:val="1"/>
          <w:color w:val="D64000"/>
        </w:rPr>
        <w:t>Being a responsible global corporate citizen</w:t>
      </w:r>
    </w:p>
    <w:p>
      <w:pPr>
        <w:spacing w:after="0" w:line="332"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We are trusted to . . .</w:t>
      </w:r>
    </w:p>
    <w:p>
      <w:pPr>
        <w:spacing w:after="0" w:line="232" w:lineRule="exact"/>
        <w:rPr>
          <w:sz w:val="20"/>
          <w:szCs w:val="20"/>
          <w:color w:val="auto"/>
        </w:rPr>
      </w:pPr>
    </w:p>
    <w:p>
      <w:pPr>
        <w:ind w:right="200"/>
        <w:spacing w:after="0" w:line="273" w:lineRule="auto"/>
        <w:rPr>
          <w:sz w:val="20"/>
          <w:szCs w:val="20"/>
          <w:color w:val="auto"/>
        </w:rPr>
      </w:pPr>
      <w:r>
        <w:rPr>
          <w:rFonts w:ascii="Arial" w:cs="Arial" w:eastAsia="Arial" w:hAnsi="Arial"/>
          <w:sz w:val="19"/>
          <w:szCs w:val="19"/>
          <w:i w:val="1"/>
          <w:iCs w:val="1"/>
          <w:color w:val="auto"/>
        </w:rPr>
        <w:t>…respect human rights and our environment and to hold our employees, customers, vendors, suppliers, and other business partners to the same high standard we demand of ourselves.</w:t>
      </w:r>
    </w:p>
    <w:p>
      <w:pPr>
        <w:spacing w:after="0" w:line="23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Why it matters</w:t>
      </w:r>
    </w:p>
    <w:p>
      <w:pPr>
        <w:spacing w:after="0" w:line="232" w:lineRule="exact"/>
        <w:rPr>
          <w:sz w:val="20"/>
          <w:szCs w:val="20"/>
          <w:color w:val="auto"/>
        </w:rPr>
      </w:pPr>
    </w:p>
    <w:p>
      <w:pPr>
        <w:ind w:right="40"/>
        <w:spacing w:after="0" w:line="238" w:lineRule="auto"/>
        <w:rPr>
          <w:sz w:val="20"/>
          <w:szCs w:val="20"/>
          <w:color w:val="auto"/>
        </w:rPr>
      </w:pPr>
      <w:r>
        <w:rPr>
          <w:rFonts w:ascii="Arial" w:cs="Arial" w:eastAsia="Arial" w:hAnsi="Arial"/>
          <w:sz w:val="19"/>
          <w:szCs w:val="19"/>
          <w:color w:val="auto"/>
        </w:rPr>
        <w:t xml:space="preserve">Thomson Reuters works with thousands of professionals all over the world, and as members of the United Nations Global Compact, we are committed to creating positive change in the areas of human rights and environmental responsibility. We are aligned to the United Nations Guiding Principles on Business and Human Rights (UNGPs) and, as part of this obligation, we have established a </w:t>
      </w:r>
      <w:r>
        <w:rPr>
          <w:rFonts w:ascii="Arial" w:cs="Arial" w:eastAsia="Arial" w:hAnsi="Arial"/>
          <w:sz w:val="19"/>
          <w:szCs w:val="19"/>
          <w:b w:val="1"/>
          <w:bCs w:val="1"/>
          <w:color w:val="1A7EE5"/>
        </w:rPr>
        <w:t>Human Rights Policy</w:t>
      </w:r>
      <w:r>
        <w:rPr>
          <w:rFonts w:ascii="Arial" w:cs="Arial" w:eastAsia="Arial" w:hAnsi="Arial"/>
          <w:sz w:val="19"/>
          <w:szCs w:val="19"/>
          <w:color w:val="auto"/>
        </w:rPr>
        <w:t xml:space="preserve"> that underscores our commitment and approach to human rights. We are committed to respecting all internationally recognized human rights and treating all our colleagues with dignity and respect, and we expect our business partners to do the same. We are also committed to protecting and preserving the environment and seeking sustainable sourcing solutions. We know that our responsibilities are great, as are our opportunities, which is why we are committed to driving innovation and performance, proving to our partners, our employees and the world that we are leaders committed to long-term success.</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1A7EE5"/>
        </w:rPr>
        <w:t>Social Impact Institute</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1A7EE5"/>
        </w:rPr>
        <w:t>Thomson Reuters Foundation</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1A7EE5"/>
        </w:rPr>
        <w:t>United Nations Global Compact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967740" cy="32829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4360"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47</w:t>
            </w:r>
          </w:p>
        </w:tc>
      </w:tr>
    </w:tbl>
    <w:p>
      <w:pPr>
        <w:sectPr>
          <w:pgSz w:w="11900" w:h="16838" w:orient="portrait"/>
          <w:cols w:equalWidth="0" w:num="1">
            <w:col w:w="10820"/>
          </w:cols>
          <w:pgMar w:left="540" w:top="1440" w:right="539" w:bottom="1440" w:gutter="0" w:footer="0" w:header="0"/>
        </w:sectPr>
      </w:pPr>
    </w:p>
    <w:bookmarkStart w:id="228" w:name="page229"/>
    <w:bookmarkEnd w:id="228"/>
    <w:p>
      <w:pP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How we deliver</w:t>
      </w:r>
    </w:p>
    <w:p>
      <w:pPr>
        <w:spacing w:after="0" w:line="228" w:lineRule="exact"/>
        <w:rPr>
          <w:sz w:val="20"/>
          <w:szCs w:val="20"/>
          <w:color w:val="auto"/>
        </w:rPr>
      </w:pPr>
    </w:p>
    <w:p>
      <w:pPr>
        <w:spacing w:after="0"/>
        <w:rPr>
          <w:sz w:val="20"/>
          <w:szCs w:val="20"/>
          <w:color w:val="auto"/>
        </w:rPr>
      </w:pPr>
      <w:r>
        <w:rPr>
          <w:rFonts w:ascii="Arial" w:cs="Arial" w:eastAsia="Arial" w:hAnsi="Arial"/>
          <w:sz w:val="26"/>
          <w:szCs w:val="26"/>
          <w:i w:val="1"/>
          <w:iCs w:val="1"/>
          <w:color w:val="D64000"/>
        </w:rPr>
        <w:t>Human rights</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We strive to protect human rights and worker rights wherever we do business. This means we:</w:t>
      </w:r>
    </w:p>
    <w:p>
      <w:pPr>
        <w:spacing w:after="0" w:line="206" w:lineRule="exact"/>
        <w:rPr>
          <w:sz w:val="20"/>
          <w:szCs w:val="20"/>
          <w:color w:val="auto"/>
        </w:rPr>
      </w:pPr>
    </w:p>
    <w:p>
      <w:pPr>
        <w:ind w:left="840" w:hanging="418"/>
        <w:spacing w:after="0"/>
        <w:tabs>
          <w:tab w:leader="none" w:pos="840" w:val="left"/>
        </w:tabs>
        <w:numPr>
          <w:ilvl w:val="0"/>
          <w:numId w:val="224"/>
        </w:numPr>
        <w:rPr>
          <w:rFonts w:ascii="Times New Roman" w:cs="Times New Roman" w:eastAsia="Times New Roman" w:hAnsi="Times New Roman"/>
          <w:sz w:val="18"/>
          <w:szCs w:val="18"/>
          <w:color w:val="D64000"/>
        </w:rPr>
      </w:pPr>
      <w:r>
        <w:rPr>
          <w:rFonts w:ascii="Arial" w:cs="Arial" w:eastAsia="Arial" w:hAnsi="Arial"/>
          <w:sz w:val="19"/>
          <w:szCs w:val="19"/>
          <w:color w:val="auto"/>
        </w:rPr>
        <w:t>Comply with local labor laws and practices and maintain our own high ethical standards of worker treatment</w:t>
      </w:r>
    </w:p>
    <w:p>
      <w:pPr>
        <w:spacing w:after="0" w:line="112"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224"/>
        </w:numPr>
        <w:rPr>
          <w:rFonts w:ascii="Times New Roman" w:cs="Times New Roman" w:eastAsia="Times New Roman" w:hAnsi="Times New Roman"/>
          <w:sz w:val="18"/>
          <w:szCs w:val="18"/>
          <w:color w:val="D64000"/>
        </w:rPr>
      </w:pPr>
      <w:r>
        <w:rPr>
          <w:rFonts w:ascii="Arial" w:cs="Arial" w:eastAsia="Arial" w:hAnsi="Arial"/>
          <w:sz w:val="19"/>
          <w:szCs w:val="19"/>
          <w:color w:val="auto"/>
        </w:rPr>
        <w:t>Do not condone or use forced or child labor or engage in human trafficking or slavery</w:t>
      </w:r>
    </w:p>
    <w:p>
      <w:pPr>
        <w:spacing w:after="0" w:line="112"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224"/>
        </w:numPr>
        <w:rPr>
          <w:rFonts w:ascii="Times New Roman" w:cs="Times New Roman" w:eastAsia="Times New Roman" w:hAnsi="Times New Roman"/>
          <w:sz w:val="18"/>
          <w:szCs w:val="18"/>
          <w:color w:val="D64000"/>
        </w:rPr>
      </w:pPr>
      <w:r>
        <w:rPr>
          <w:rFonts w:ascii="Arial" w:cs="Arial" w:eastAsia="Arial" w:hAnsi="Arial"/>
          <w:sz w:val="19"/>
          <w:szCs w:val="19"/>
          <w:color w:val="auto"/>
        </w:rPr>
        <w:t>Do not condone human rights violations</w:t>
      </w:r>
    </w:p>
    <w:p>
      <w:pPr>
        <w:spacing w:after="0" w:line="112" w:lineRule="exact"/>
        <w:rPr>
          <w:rFonts w:ascii="Times New Roman" w:cs="Times New Roman" w:eastAsia="Times New Roman" w:hAnsi="Times New Roman"/>
          <w:sz w:val="18"/>
          <w:szCs w:val="18"/>
          <w:color w:val="D64000"/>
        </w:rPr>
      </w:pPr>
    </w:p>
    <w:p>
      <w:pPr>
        <w:ind w:left="840" w:right="60" w:hanging="418"/>
        <w:spacing w:after="0" w:line="273" w:lineRule="auto"/>
        <w:tabs>
          <w:tab w:leader="none" w:pos="840" w:val="left"/>
        </w:tabs>
        <w:numPr>
          <w:ilvl w:val="0"/>
          <w:numId w:val="224"/>
        </w:numPr>
        <w:rPr>
          <w:rFonts w:ascii="Times New Roman" w:cs="Times New Roman" w:eastAsia="Times New Roman" w:hAnsi="Times New Roman"/>
          <w:sz w:val="18"/>
          <w:szCs w:val="18"/>
          <w:color w:val="D64000"/>
        </w:rPr>
      </w:pPr>
      <w:r>
        <w:rPr>
          <w:rFonts w:ascii="Arial" w:cs="Arial" w:eastAsia="Arial" w:hAnsi="Arial"/>
          <w:sz w:val="19"/>
          <w:szCs w:val="19"/>
          <w:color w:val="auto"/>
        </w:rPr>
        <w:t>Engage workers on the basis of recognized employment or independent contractor relationships in accordance with local law</w:t>
      </w:r>
    </w:p>
    <w:p>
      <w:pPr>
        <w:spacing w:after="0" w:line="46"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224"/>
        </w:numPr>
        <w:rPr>
          <w:rFonts w:ascii="Times New Roman" w:cs="Times New Roman" w:eastAsia="Times New Roman" w:hAnsi="Times New Roman"/>
          <w:sz w:val="18"/>
          <w:szCs w:val="18"/>
          <w:color w:val="D64000"/>
        </w:rPr>
      </w:pPr>
      <w:r>
        <w:rPr>
          <w:rFonts w:ascii="Arial" w:cs="Arial" w:eastAsia="Arial" w:hAnsi="Arial"/>
          <w:sz w:val="19"/>
          <w:szCs w:val="19"/>
          <w:color w:val="auto"/>
        </w:rPr>
        <w:t>Provide clear information about wages and benefits to workers before they’re hired</w:t>
      </w:r>
    </w:p>
    <w:p>
      <w:pPr>
        <w:spacing w:after="0" w:line="112"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224"/>
        </w:numPr>
        <w:rPr>
          <w:rFonts w:ascii="Times New Roman" w:cs="Times New Roman" w:eastAsia="Times New Roman" w:hAnsi="Times New Roman"/>
          <w:sz w:val="18"/>
          <w:szCs w:val="18"/>
          <w:color w:val="D64000"/>
        </w:rPr>
      </w:pPr>
      <w:r>
        <w:rPr>
          <w:rFonts w:ascii="Arial" w:cs="Arial" w:eastAsia="Arial" w:hAnsi="Arial"/>
          <w:sz w:val="19"/>
          <w:szCs w:val="19"/>
          <w:color w:val="auto"/>
        </w:rPr>
        <w:t>Ensure wages and benefits comply with applicable laws</w:t>
      </w:r>
    </w:p>
    <w:p>
      <w:pPr>
        <w:spacing w:after="0" w:line="112" w:lineRule="exact"/>
        <w:rPr>
          <w:rFonts w:ascii="Times New Roman" w:cs="Times New Roman" w:eastAsia="Times New Roman" w:hAnsi="Times New Roman"/>
          <w:sz w:val="18"/>
          <w:szCs w:val="18"/>
          <w:color w:val="D64000"/>
        </w:rPr>
      </w:pPr>
    </w:p>
    <w:p>
      <w:pPr>
        <w:ind w:left="840" w:right="820" w:hanging="418"/>
        <w:spacing w:after="0" w:line="273" w:lineRule="auto"/>
        <w:tabs>
          <w:tab w:leader="none" w:pos="840" w:val="left"/>
        </w:tabs>
        <w:numPr>
          <w:ilvl w:val="0"/>
          <w:numId w:val="224"/>
        </w:numPr>
        <w:rPr>
          <w:rFonts w:ascii="Times New Roman" w:cs="Times New Roman" w:eastAsia="Times New Roman" w:hAnsi="Times New Roman"/>
          <w:sz w:val="18"/>
          <w:szCs w:val="18"/>
          <w:color w:val="D64000"/>
        </w:rPr>
      </w:pPr>
      <w:r>
        <w:rPr>
          <w:rFonts w:ascii="Arial" w:cs="Arial" w:eastAsia="Arial" w:hAnsi="Arial"/>
          <w:sz w:val="19"/>
          <w:szCs w:val="19"/>
          <w:color w:val="auto"/>
        </w:rPr>
        <w:t>Respect workers’ rights to associate freely, join or form unions or works councils and bargain collectively in accordance with local law</w:t>
      </w:r>
    </w:p>
    <w:p>
      <w:pPr>
        <w:spacing w:after="0" w:line="46" w:lineRule="exact"/>
        <w:rPr>
          <w:rFonts w:ascii="Times New Roman" w:cs="Times New Roman" w:eastAsia="Times New Roman" w:hAnsi="Times New Roman"/>
          <w:sz w:val="18"/>
          <w:szCs w:val="18"/>
          <w:color w:val="D64000"/>
        </w:rPr>
      </w:pPr>
    </w:p>
    <w:p>
      <w:pPr>
        <w:ind w:left="840" w:right="660" w:hanging="418"/>
        <w:spacing w:after="0" w:line="273" w:lineRule="auto"/>
        <w:tabs>
          <w:tab w:leader="none" w:pos="840" w:val="left"/>
        </w:tabs>
        <w:numPr>
          <w:ilvl w:val="0"/>
          <w:numId w:val="224"/>
        </w:numPr>
        <w:rPr>
          <w:rFonts w:ascii="Times New Roman" w:cs="Times New Roman" w:eastAsia="Times New Roman" w:hAnsi="Times New Roman"/>
          <w:sz w:val="18"/>
          <w:szCs w:val="18"/>
          <w:color w:val="D64000"/>
        </w:rPr>
      </w:pPr>
      <w:r>
        <w:rPr>
          <w:rFonts w:ascii="Arial" w:cs="Arial" w:eastAsia="Arial" w:hAnsi="Arial"/>
          <w:sz w:val="19"/>
          <w:szCs w:val="19"/>
          <w:color w:val="auto"/>
        </w:rPr>
        <w:t>Work with high-quality suppliers and other partners that have committed to operating under ethical standards equivalent to our own</w:t>
      </w:r>
    </w:p>
    <w:p>
      <w:pPr>
        <w:spacing w:after="0" w:line="139" w:lineRule="exact"/>
        <w:rPr>
          <w:sz w:val="20"/>
          <w:szCs w:val="20"/>
          <w:color w:val="auto"/>
        </w:rPr>
      </w:pPr>
    </w:p>
    <w:p>
      <w:pPr>
        <w:ind w:right="100"/>
        <w:spacing w:after="0" w:line="258" w:lineRule="auto"/>
        <w:rPr>
          <w:sz w:val="20"/>
          <w:szCs w:val="20"/>
          <w:color w:val="auto"/>
        </w:rPr>
      </w:pPr>
      <w:r>
        <w:rPr>
          <w:rFonts w:ascii="Arial" w:cs="Arial" w:eastAsia="Arial" w:hAnsi="Arial"/>
          <w:sz w:val="19"/>
          <w:szCs w:val="19"/>
          <w:color w:val="auto"/>
        </w:rPr>
        <w:t xml:space="preserve">If you believe you’ve encountered a violation of our human rights standards, either within one of our workplaces or involving one of our business partners, contact your manager, Human Resources or the Enterprise Compliance team or you can report it anonymously through the </w:t>
      </w:r>
      <w:r>
        <w:rPr>
          <w:rFonts w:ascii="Arial" w:cs="Arial" w:eastAsia="Arial" w:hAnsi="Arial"/>
          <w:sz w:val="19"/>
          <w:szCs w:val="19"/>
          <w:b w:val="1"/>
          <w:bCs w:val="1"/>
          <w:color w:val="1A7EE5"/>
        </w:rPr>
        <w:t>Ethics Hotline</w:t>
      </w:r>
      <w:r>
        <w:rPr>
          <w:rFonts w:ascii="Arial" w:cs="Arial" w:eastAsia="Arial" w:hAnsi="Arial"/>
          <w:sz w:val="19"/>
          <w:szCs w:val="19"/>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color w:val="1A7EE5"/>
        </w:rPr>
        <w:t>Human Rights Policy</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1A7EE5"/>
        </w:rPr>
        <w:t>Supply Chain Ethical Code</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1A7EE5"/>
        </w:rPr>
        <w:t>Modern Slavery Act Transparency Statement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6"/>
          <w:szCs w:val="26"/>
          <w:i w:val="1"/>
          <w:iCs w:val="1"/>
          <w:color w:val="D64000"/>
        </w:rPr>
        <w:t>Responsible sourcing and the Supply Chain Ethical Code</w:t>
      </w:r>
    </w:p>
    <w:p>
      <w:pPr>
        <w:spacing w:after="0" w:line="222" w:lineRule="exact"/>
        <w:rPr>
          <w:sz w:val="20"/>
          <w:szCs w:val="20"/>
          <w:color w:val="auto"/>
        </w:rPr>
      </w:pPr>
    </w:p>
    <w:p>
      <w:pPr>
        <w:ind w:right="620"/>
        <w:spacing w:after="0" w:line="273" w:lineRule="auto"/>
        <w:rPr>
          <w:sz w:val="20"/>
          <w:szCs w:val="20"/>
          <w:color w:val="auto"/>
        </w:rPr>
      </w:pPr>
      <w:r>
        <w:rPr>
          <w:rFonts w:ascii="Arial" w:cs="Arial" w:eastAsia="Arial" w:hAnsi="Arial"/>
          <w:sz w:val="19"/>
          <w:szCs w:val="19"/>
          <w:color w:val="auto"/>
        </w:rPr>
        <w:t>We actively seek suppliers who share our ethical standards and commitment to environmentally sound and sustainable practices. This means we:</w:t>
      </w:r>
    </w:p>
    <w:p>
      <w:pPr>
        <w:spacing w:after="0" w:line="165" w:lineRule="exact"/>
        <w:rPr>
          <w:sz w:val="20"/>
          <w:szCs w:val="20"/>
          <w:color w:val="auto"/>
        </w:rPr>
      </w:pPr>
    </w:p>
    <w:p>
      <w:pPr>
        <w:ind w:left="840" w:hanging="418"/>
        <w:spacing w:after="0"/>
        <w:tabs>
          <w:tab w:leader="none" w:pos="840" w:val="left"/>
        </w:tabs>
        <w:numPr>
          <w:ilvl w:val="0"/>
          <w:numId w:val="225"/>
        </w:numPr>
        <w:rPr>
          <w:rFonts w:ascii="Times New Roman" w:cs="Times New Roman" w:eastAsia="Times New Roman" w:hAnsi="Times New Roman"/>
          <w:sz w:val="18"/>
          <w:szCs w:val="18"/>
          <w:color w:val="D64000"/>
        </w:rPr>
      </w:pPr>
      <w:r>
        <w:rPr>
          <w:rFonts w:ascii="Arial" w:cs="Arial" w:eastAsia="Arial" w:hAnsi="Arial"/>
          <w:sz w:val="19"/>
          <w:szCs w:val="19"/>
          <w:color w:val="auto"/>
        </w:rPr>
        <w:t>Perform due diligence on third-party suppliers, partners and other third parties acting on our behalf</w:t>
      </w:r>
    </w:p>
    <w:p>
      <w:pPr>
        <w:spacing w:after="0" w:line="73" w:lineRule="exact"/>
        <w:rPr>
          <w:rFonts w:ascii="Times New Roman" w:cs="Times New Roman" w:eastAsia="Times New Roman" w:hAnsi="Times New Roman"/>
          <w:sz w:val="18"/>
          <w:szCs w:val="18"/>
          <w:color w:val="D64000"/>
        </w:rPr>
      </w:pPr>
    </w:p>
    <w:p>
      <w:pPr>
        <w:ind w:left="840" w:right="820" w:hanging="418"/>
        <w:spacing w:after="0" w:line="273" w:lineRule="auto"/>
        <w:tabs>
          <w:tab w:leader="none" w:pos="840" w:val="left"/>
        </w:tabs>
        <w:numPr>
          <w:ilvl w:val="0"/>
          <w:numId w:val="225"/>
        </w:numPr>
        <w:rPr>
          <w:rFonts w:ascii="Times New Roman" w:cs="Times New Roman" w:eastAsia="Times New Roman" w:hAnsi="Times New Roman"/>
          <w:sz w:val="18"/>
          <w:szCs w:val="18"/>
          <w:color w:val="D64000"/>
        </w:rPr>
      </w:pPr>
      <w:r>
        <w:rPr>
          <w:rFonts w:ascii="Arial" w:cs="Arial" w:eastAsia="Arial" w:hAnsi="Arial"/>
          <w:sz w:val="19"/>
          <w:szCs w:val="19"/>
          <w:color w:val="auto"/>
        </w:rPr>
        <w:t>Include renewable energy, pollution control and sustainability among the factors in our process of choosing suppliers</w:t>
      </w:r>
    </w:p>
    <w:p>
      <w:pPr>
        <w:spacing w:after="0" w:line="6"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225"/>
        </w:numPr>
        <w:rPr>
          <w:rFonts w:ascii="Times New Roman" w:cs="Times New Roman" w:eastAsia="Times New Roman" w:hAnsi="Times New Roman"/>
          <w:sz w:val="18"/>
          <w:szCs w:val="18"/>
          <w:color w:val="D64000"/>
        </w:rPr>
      </w:pPr>
      <w:r>
        <w:rPr>
          <w:rFonts w:ascii="Arial" w:cs="Arial" w:eastAsia="Arial" w:hAnsi="Arial"/>
          <w:sz w:val="19"/>
          <w:szCs w:val="19"/>
          <w:color w:val="auto"/>
        </w:rPr>
        <w:t>Seek a supply chain that reflects our employee base, customers and partners around the world</w:t>
      </w:r>
    </w:p>
    <w:p>
      <w:pPr>
        <w:spacing w:after="0" w:line="73" w:lineRule="exact"/>
        <w:rPr>
          <w:rFonts w:ascii="Times New Roman" w:cs="Times New Roman" w:eastAsia="Times New Roman" w:hAnsi="Times New Roman"/>
          <w:sz w:val="18"/>
          <w:szCs w:val="18"/>
          <w:color w:val="D64000"/>
        </w:rPr>
      </w:pPr>
    </w:p>
    <w:p>
      <w:pPr>
        <w:ind w:left="840" w:right="500" w:hanging="418"/>
        <w:spacing w:after="0" w:line="273" w:lineRule="auto"/>
        <w:tabs>
          <w:tab w:leader="none" w:pos="840" w:val="left"/>
        </w:tabs>
        <w:numPr>
          <w:ilvl w:val="0"/>
          <w:numId w:val="225"/>
        </w:numPr>
        <w:rPr>
          <w:rFonts w:ascii="Times New Roman" w:cs="Times New Roman" w:eastAsia="Times New Roman" w:hAnsi="Times New Roman"/>
          <w:sz w:val="18"/>
          <w:szCs w:val="18"/>
          <w:color w:val="D64000"/>
        </w:rPr>
      </w:pPr>
      <w:r>
        <w:rPr>
          <w:rFonts w:ascii="Arial" w:cs="Arial" w:eastAsia="Arial" w:hAnsi="Arial"/>
          <w:sz w:val="19"/>
          <w:szCs w:val="19"/>
          <w:color w:val="auto"/>
        </w:rPr>
        <w:t>Make prospective and current suppliers aware of our Supply Chain Ethical Code and seek their commitment in following it</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b w:val="1"/>
          <w:bCs w:val="1"/>
          <w:color w:val="1A7EE5"/>
        </w:rPr>
        <w:t>Supply Chain Ethical Code</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1A7EE5"/>
        </w:rPr>
        <w:t>Modern Slavery Act Transparency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967740" cy="32829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4360"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48</w:t>
            </w:r>
          </w:p>
        </w:tc>
      </w:tr>
    </w:tbl>
    <w:p>
      <w:pPr>
        <w:sectPr>
          <w:pgSz w:w="11900" w:h="16838" w:orient="portrait"/>
          <w:cols w:equalWidth="0" w:num="1">
            <w:col w:w="10820"/>
          </w:cols>
          <w:pgMar w:left="540" w:top="253" w:right="539" w:bottom="1440" w:gutter="0" w:footer="0" w:header="0"/>
        </w:sectPr>
      </w:pPr>
    </w:p>
    <w:bookmarkStart w:id="229" w:name="page230"/>
    <w:bookmarkEnd w:id="229"/>
    <w:p>
      <w:pPr>
        <w:spacing w:after="0"/>
        <w:rPr>
          <w:sz w:val="20"/>
          <w:szCs w:val="20"/>
          <w:color w:val="auto"/>
        </w:rPr>
      </w:pPr>
      <w:r>
        <w:rPr>
          <w:rFonts w:ascii="Arial" w:cs="Arial" w:eastAsia="Arial" w:hAnsi="Arial"/>
          <w:sz w:val="26"/>
          <w:szCs w:val="26"/>
          <w:i w:val="1"/>
          <w:iCs w:val="1"/>
          <w:color w:val="D64000"/>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Environmental responsibility</w:t>
      </w:r>
    </w:p>
    <w:p>
      <w:pPr>
        <w:spacing w:after="0" w:line="222" w:lineRule="exact"/>
        <w:rPr>
          <w:sz w:val="20"/>
          <w:szCs w:val="20"/>
          <w:color w:val="auto"/>
        </w:rPr>
      </w:pPr>
    </w:p>
    <w:p>
      <w:pPr>
        <w:ind w:right="340"/>
        <w:spacing w:after="0" w:line="273" w:lineRule="auto"/>
        <w:rPr>
          <w:sz w:val="20"/>
          <w:szCs w:val="20"/>
          <w:color w:val="auto"/>
        </w:rPr>
      </w:pPr>
      <w:r>
        <w:rPr>
          <w:rFonts w:ascii="Arial" w:cs="Arial" w:eastAsia="Arial" w:hAnsi="Arial"/>
          <w:sz w:val="19"/>
          <w:szCs w:val="19"/>
          <w:color w:val="auto"/>
        </w:rPr>
        <w:t>We are committed to limiting our environmental impact. By managing our resources and seeking sustainable solutions, we can ensure a better future for all of us. This means we:</w:t>
      </w:r>
    </w:p>
    <w:p>
      <w:pPr>
        <w:spacing w:after="0" w:line="165" w:lineRule="exact"/>
        <w:rPr>
          <w:sz w:val="20"/>
          <w:szCs w:val="20"/>
          <w:color w:val="auto"/>
        </w:rPr>
      </w:pPr>
    </w:p>
    <w:p>
      <w:pPr>
        <w:ind w:left="840" w:hanging="418"/>
        <w:spacing w:after="0"/>
        <w:tabs>
          <w:tab w:leader="none" w:pos="840" w:val="left"/>
        </w:tabs>
        <w:numPr>
          <w:ilvl w:val="0"/>
          <w:numId w:val="226"/>
        </w:numPr>
        <w:rPr>
          <w:rFonts w:ascii="Times New Roman" w:cs="Times New Roman" w:eastAsia="Times New Roman" w:hAnsi="Times New Roman"/>
          <w:sz w:val="18"/>
          <w:szCs w:val="18"/>
          <w:color w:val="D64000"/>
        </w:rPr>
      </w:pPr>
      <w:r>
        <w:rPr>
          <w:rFonts w:ascii="Arial" w:cs="Arial" w:eastAsia="Arial" w:hAnsi="Arial"/>
          <w:sz w:val="19"/>
          <w:szCs w:val="19"/>
          <w:color w:val="auto"/>
        </w:rPr>
        <w:t>Comply with all applicable environmental laws and regulations, meeting or exceeding their requirements</w:t>
      </w:r>
    </w:p>
    <w:p>
      <w:pPr>
        <w:spacing w:after="0" w:line="73" w:lineRule="exact"/>
        <w:rPr>
          <w:rFonts w:ascii="Times New Roman" w:cs="Times New Roman" w:eastAsia="Times New Roman" w:hAnsi="Times New Roman"/>
          <w:sz w:val="18"/>
          <w:szCs w:val="18"/>
          <w:color w:val="D64000"/>
        </w:rPr>
      </w:pPr>
    </w:p>
    <w:p>
      <w:pPr>
        <w:ind w:left="840" w:right="740" w:hanging="418"/>
        <w:spacing w:after="0" w:line="273" w:lineRule="auto"/>
        <w:tabs>
          <w:tab w:leader="none" w:pos="840" w:val="left"/>
        </w:tabs>
        <w:numPr>
          <w:ilvl w:val="0"/>
          <w:numId w:val="226"/>
        </w:numPr>
        <w:rPr>
          <w:rFonts w:ascii="Times New Roman" w:cs="Times New Roman" w:eastAsia="Times New Roman" w:hAnsi="Times New Roman"/>
          <w:sz w:val="18"/>
          <w:szCs w:val="18"/>
          <w:color w:val="D64000"/>
        </w:rPr>
      </w:pPr>
      <w:r>
        <w:rPr>
          <w:rFonts w:ascii="Arial" w:cs="Arial" w:eastAsia="Arial" w:hAnsi="Arial"/>
          <w:sz w:val="19"/>
          <w:szCs w:val="19"/>
          <w:color w:val="auto"/>
        </w:rPr>
        <w:t>Know and follow all company policies and procedures aimed at ensuring environmental safety and resource efficiency</w:t>
      </w:r>
    </w:p>
    <w:p>
      <w:pPr>
        <w:spacing w:after="0" w:line="6" w:lineRule="exact"/>
        <w:rPr>
          <w:rFonts w:ascii="Times New Roman" w:cs="Times New Roman" w:eastAsia="Times New Roman" w:hAnsi="Times New Roman"/>
          <w:sz w:val="18"/>
          <w:szCs w:val="18"/>
          <w:color w:val="D64000"/>
        </w:rPr>
      </w:pPr>
    </w:p>
    <w:p>
      <w:pPr>
        <w:ind w:left="840" w:right="260" w:hanging="418"/>
        <w:spacing w:after="0" w:line="273" w:lineRule="auto"/>
        <w:tabs>
          <w:tab w:leader="none" w:pos="840" w:val="left"/>
        </w:tabs>
        <w:numPr>
          <w:ilvl w:val="0"/>
          <w:numId w:val="226"/>
        </w:numPr>
        <w:rPr>
          <w:rFonts w:ascii="Times New Roman" w:cs="Times New Roman" w:eastAsia="Times New Roman" w:hAnsi="Times New Roman"/>
          <w:sz w:val="18"/>
          <w:szCs w:val="18"/>
          <w:color w:val="D64000"/>
        </w:rPr>
      </w:pPr>
      <w:r>
        <w:rPr>
          <w:rFonts w:ascii="Arial" w:cs="Arial" w:eastAsia="Arial" w:hAnsi="Arial"/>
          <w:sz w:val="19"/>
          <w:szCs w:val="19"/>
          <w:color w:val="auto"/>
        </w:rPr>
        <w:t>Understand the potential dangers and safe practices of any hazardous and/or regulated materials before allowing them into our workplaces</w:t>
      </w:r>
    </w:p>
    <w:p>
      <w:pPr>
        <w:spacing w:after="0" w:line="6"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226"/>
        </w:numPr>
        <w:rPr>
          <w:rFonts w:ascii="Times New Roman" w:cs="Times New Roman" w:eastAsia="Times New Roman" w:hAnsi="Times New Roman"/>
          <w:sz w:val="18"/>
          <w:szCs w:val="18"/>
          <w:color w:val="D64000"/>
        </w:rPr>
      </w:pPr>
      <w:r>
        <w:rPr>
          <w:rFonts w:ascii="Arial" w:cs="Arial" w:eastAsia="Arial" w:hAnsi="Arial"/>
          <w:sz w:val="19"/>
          <w:szCs w:val="19"/>
          <w:color w:val="auto"/>
        </w:rPr>
        <w:t>Seek opportunities to support conservation and recycling in our workplaces</w:t>
      </w:r>
    </w:p>
    <w:p>
      <w:pPr>
        <w:spacing w:after="0" w:line="73"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226"/>
        </w:numPr>
        <w:rPr>
          <w:rFonts w:ascii="Times New Roman" w:cs="Times New Roman" w:eastAsia="Times New Roman" w:hAnsi="Times New Roman"/>
          <w:sz w:val="18"/>
          <w:szCs w:val="18"/>
          <w:color w:val="D64000"/>
        </w:rPr>
      </w:pPr>
      <w:r>
        <w:rPr>
          <w:rFonts w:ascii="Arial" w:cs="Arial" w:eastAsia="Arial" w:hAnsi="Arial"/>
          <w:sz w:val="19"/>
          <w:szCs w:val="19"/>
          <w:color w:val="auto"/>
        </w:rPr>
        <w:t>Take responsibility as individuals to find new ways to make our workplaces more sustainable</w:t>
      </w:r>
    </w:p>
    <w:p>
      <w:pPr>
        <w:spacing w:after="0" w:line="71"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226"/>
        </w:numPr>
        <w:rPr>
          <w:rFonts w:ascii="Times New Roman" w:cs="Times New Roman" w:eastAsia="Times New Roman" w:hAnsi="Times New Roman"/>
          <w:sz w:val="18"/>
          <w:szCs w:val="18"/>
          <w:color w:val="D64000"/>
        </w:rPr>
      </w:pPr>
      <w:r>
        <w:rPr>
          <w:rFonts w:ascii="Arial" w:cs="Arial" w:eastAsia="Arial" w:hAnsi="Arial"/>
          <w:sz w:val="19"/>
          <w:szCs w:val="19"/>
          <w:color w:val="auto"/>
        </w:rPr>
        <w:t xml:space="preserve">For more information on our sustainability efforts, please see the </w:t>
      </w:r>
      <w:r>
        <w:rPr>
          <w:rFonts w:ascii="Arial" w:cs="Arial" w:eastAsia="Arial" w:hAnsi="Arial"/>
          <w:sz w:val="19"/>
          <w:szCs w:val="19"/>
          <w:b w:val="1"/>
          <w:bCs w:val="1"/>
          <w:color w:val="1A7EE5"/>
        </w:rPr>
        <w:t>Social Impact Report</w:t>
      </w:r>
    </w:p>
    <w:p>
      <w:pPr>
        <w:spacing w:after="0" w:line="206" w:lineRule="exact"/>
        <w:rPr>
          <w:sz w:val="20"/>
          <w:szCs w:val="20"/>
          <w:color w:val="auto"/>
        </w:rPr>
      </w:pPr>
    </w:p>
    <w:p>
      <w:pPr>
        <w:ind w:right="180"/>
        <w:spacing w:after="0" w:line="276" w:lineRule="auto"/>
        <w:rPr>
          <w:sz w:val="20"/>
          <w:szCs w:val="20"/>
          <w:color w:val="auto"/>
        </w:rPr>
      </w:pPr>
      <w:r>
        <w:rPr>
          <w:rFonts w:ascii="Arial" w:cs="Arial" w:eastAsia="Arial" w:hAnsi="Arial"/>
          <w:sz w:val="19"/>
          <w:szCs w:val="19"/>
          <w:color w:val="auto"/>
        </w:rPr>
        <w:t xml:space="preserve">Contact </w:t>
      </w:r>
      <w:r>
        <w:rPr>
          <w:rFonts w:ascii="Arial" w:cs="Arial" w:eastAsia="Arial" w:hAnsi="Arial"/>
          <w:sz w:val="19"/>
          <w:szCs w:val="19"/>
          <w:b w:val="1"/>
          <w:bCs w:val="1"/>
          <w:color w:val="1A7EE5"/>
        </w:rPr>
        <w:t>Global Real Estate &amp; Facility Management</w:t>
      </w:r>
      <w:r>
        <w:rPr>
          <w:rFonts w:ascii="Arial" w:cs="Arial" w:eastAsia="Arial" w:hAnsi="Arial"/>
          <w:sz w:val="19"/>
          <w:szCs w:val="19"/>
          <w:color w:val="auto"/>
        </w:rPr>
        <w:t xml:space="preserve"> if you have any environmental safety concerns or if you have ideas on how to increase our sustainability or bolster our conservation efforts even more.</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color w:val="1A7EE5"/>
        </w:rPr>
        <w:t>Environment, Health and Safety Policy on the Intranet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35"/>
          <w:szCs w:val="35"/>
          <w:b w:val="1"/>
          <w:bCs w:val="1"/>
          <w:color w:val="D64000"/>
        </w:rPr>
        <w:t>Contributing to our communities</w:t>
      </w:r>
    </w:p>
    <w:p>
      <w:pPr>
        <w:spacing w:after="0" w:line="332"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We are trusted to . . .</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…support the communities where we live and work by investing in people and projects that make a positive impact.</w:t>
      </w:r>
    </w:p>
    <w:p>
      <w:pPr>
        <w:spacing w:after="0" w:line="30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Why it matters</w:t>
      </w:r>
    </w:p>
    <w:p>
      <w:pPr>
        <w:spacing w:after="0" w:line="165" w:lineRule="exact"/>
        <w:rPr>
          <w:sz w:val="20"/>
          <w:szCs w:val="20"/>
          <w:color w:val="auto"/>
        </w:rPr>
      </w:pPr>
    </w:p>
    <w:p>
      <w:pPr>
        <w:ind w:right="40"/>
        <w:spacing w:after="0" w:line="246" w:lineRule="auto"/>
        <w:rPr>
          <w:sz w:val="20"/>
          <w:szCs w:val="20"/>
          <w:color w:val="auto"/>
        </w:rPr>
      </w:pPr>
      <w:r>
        <w:rPr>
          <w:rFonts w:ascii="Arial" w:cs="Arial" w:eastAsia="Arial" w:hAnsi="Arial"/>
          <w:sz w:val="19"/>
          <w:szCs w:val="19"/>
          <w:color w:val="auto"/>
        </w:rPr>
        <w:t>Thomson Reuters operates on a global scale and relies on local relationships and resources for support. When we improve our communities, we can improve the lives of our current and future workforce, as well as the lives of our customers. By seeking worthy causes to support and inviting collaboration and open communication, we can help our communities grow and succeed with us.</w:t>
      </w:r>
    </w:p>
    <w:p>
      <w:pPr>
        <w:spacing w:after="0" w:line="26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How we deliver</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color w:val="auto"/>
        </w:rPr>
        <w:t>We collaborate with our colleagues and partners to support our communities and encourage charitable work.</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This means we:</w:t>
      </w:r>
    </w:p>
    <w:p>
      <w:pPr>
        <w:spacing w:after="0" w:line="232" w:lineRule="exact"/>
        <w:rPr>
          <w:sz w:val="20"/>
          <w:szCs w:val="20"/>
          <w:color w:val="auto"/>
        </w:rPr>
      </w:pPr>
    </w:p>
    <w:p>
      <w:pPr>
        <w:ind w:left="840" w:hanging="418"/>
        <w:spacing w:after="0"/>
        <w:tabs>
          <w:tab w:leader="none" w:pos="840" w:val="left"/>
        </w:tabs>
        <w:numPr>
          <w:ilvl w:val="0"/>
          <w:numId w:val="227"/>
        </w:numPr>
        <w:rPr>
          <w:rFonts w:ascii="Times New Roman" w:cs="Times New Roman" w:eastAsia="Times New Roman" w:hAnsi="Times New Roman"/>
          <w:sz w:val="18"/>
          <w:szCs w:val="18"/>
          <w:color w:val="D64000"/>
        </w:rPr>
      </w:pPr>
      <w:r>
        <w:rPr>
          <w:rFonts w:ascii="Arial" w:cs="Arial" w:eastAsia="Arial" w:hAnsi="Arial"/>
          <w:sz w:val="19"/>
          <w:szCs w:val="19"/>
          <w:color w:val="auto"/>
        </w:rPr>
        <w:t>Listen to the concerns of community members and work together on solutions</w:t>
      </w:r>
    </w:p>
    <w:p>
      <w:pPr>
        <w:spacing w:after="0" w:line="73"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227"/>
        </w:numPr>
        <w:rPr>
          <w:rFonts w:ascii="Times New Roman" w:cs="Times New Roman" w:eastAsia="Times New Roman" w:hAnsi="Times New Roman"/>
          <w:sz w:val="18"/>
          <w:szCs w:val="18"/>
          <w:color w:val="D64000"/>
        </w:rPr>
      </w:pPr>
      <w:r>
        <w:rPr>
          <w:rFonts w:ascii="Arial" w:cs="Arial" w:eastAsia="Arial" w:hAnsi="Arial"/>
          <w:sz w:val="19"/>
          <w:szCs w:val="19"/>
          <w:color w:val="auto"/>
        </w:rPr>
        <w:t>Connect Thomson Reuters employees to vetted and approved charitable causes for philanthropic opportunities</w:t>
      </w:r>
    </w:p>
    <w:p>
      <w:pPr>
        <w:spacing w:after="0" w:line="73" w:lineRule="exact"/>
        <w:rPr>
          <w:rFonts w:ascii="Times New Roman" w:cs="Times New Roman" w:eastAsia="Times New Roman" w:hAnsi="Times New Roman"/>
          <w:sz w:val="18"/>
          <w:szCs w:val="18"/>
          <w:color w:val="D64000"/>
        </w:rPr>
      </w:pPr>
    </w:p>
    <w:p>
      <w:pPr>
        <w:ind w:left="840" w:right="620" w:hanging="418"/>
        <w:spacing w:after="0" w:line="273" w:lineRule="auto"/>
        <w:tabs>
          <w:tab w:leader="none" w:pos="840" w:val="left"/>
        </w:tabs>
        <w:numPr>
          <w:ilvl w:val="0"/>
          <w:numId w:val="227"/>
        </w:numPr>
        <w:rPr>
          <w:rFonts w:ascii="Times New Roman" w:cs="Times New Roman" w:eastAsia="Times New Roman" w:hAnsi="Times New Roman"/>
          <w:sz w:val="18"/>
          <w:szCs w:val="18"/>
          <w:color w:val="D64000"/>
        </w:rPr>
      </w:pPr>
      <w:r>
        <w:rPr>
          <w:rFonts w:ascii="Arial" w:cs="Arial" w:eastAsia="Arial" w:hAnsi="Arial"/>
          <w:sz w:val="19"/>
          <w:szCs w:val="19"/>
          <w:color w:val="auto"/>
        </w:rPr>
        <w:t>Offer all regular employees paid time off for volunteering consistent with regional or other policies that govern volunteering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967740" cy="32829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357" w:lineRule="exact"/>
        <w:rPr>
          <w:sz w:val="20"/>
          <w:szCs w:val="20"/>
          <w:color w:val="auto"/>
        </w:rPr>
      </w:pPr>
    </w:p>
    <w:tbl>
      <w:tblPr>
        <w:tblLayout w:type="fixed"/>
        <w:tblInd w:w="4360"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49</w:t>
            </w:r>
          </w:p>
        </w:tc>
      </w:tr>
    </w:tbl>
    <w:p>
      <w:pPr>
        <w:sectPr>
          <w:pgSz w:w="11900" w:h="16838" w:orient="portrait"/>
          <w:cols w:equalWidth="0" w:num="1">
            <w:col w:w="10820"/>
          </w:cols>
          <w:pgMar w:left="540" w:top="260" w:right="539" w:bottom="1440" w:gutter="0" w:footer="0" w:header="0"/>
        </w:sectPr>
      </w:pPr>
    </w:p>
    <w:bookmarkStart w:id="230" w:name="page231"/>
    <w:bookmarkEnd w:id="230"/>
    <w:p>
      <w:pPr>
        <w:ind w:left="840" w:hanging="418"/>
        <w:spacing w:after="0"/>
        <w:tabs>
          <w:tab w:leader="none" w:pos="840" w:val="left"/>
        </w:tabs>
        <w:numPr>
          <w:ilvl w:val="0"/>
          <w:numId w:val="228"/>
        </w:numPr>
        <w:rPr>
          <w:rFonts w:ascii="Times New Roman" w:cs="Times New Roman" w:eastAsia="Times New Roman" w:hAnsi="Times New Roman"/>
          <w:sz w:val="18"/>
          <w:szCs w:val="18"/>
          <w:color w:val="D64000"/>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Ensure all in-kind donations, such as equipment and products, are approved by our Tax and Finance departments</w:t>
      </w:r>
    </w:p>
    <w:p>
      <w:pPr>
        <w:spacing w:after="0" w:line="112" w:lineRule="exact"/>
        <w:rPr>
          <w:rFonts w:ascii="Times New Roman" w:cs="Times New Roman" w:eastAsia="Times New Roman" w:hAnsi="Times New Roman"/>
          <w:sz w:val="18"/>
          <w:szCs w:val="18"/>
          <w:color w:val="D64000"/>
        </w:rPr>
      </w:pPr>
    </w:p>
    <w:p>
      <w:pPr>
        <w:ind w:left="840" w:right="380" w:hanging="418"/>
        <w:spacing w:after="0" w:line="273" w:lineRule="auto"/>
        <w:tabs>
          <w:tab w:leader="none" w:pos="840" w:val="left"/>
        </w:tabs>
        <w:numPr>
          <w:ilvl w:val="0"/>
          <w:numId w:val="228"/>
        </w:numPr>
        <w:rPr>
          <w:rFonts w:ascii="Times New Roman" w:cs="Times New Roman" w:eastAsia="Times New Roman" w:hAnsi="Times New Roman"/>
          <w:sz w:val="18"/>
          <w:szCs w:val="18"/>
          <w:color w:val="D64000"/>
        </w:rPr>
      </w:pPr>
      <w:r>
        <w:rPr>
          <w:rFonts w:ascii="Arial" w:cs="Arial" w:eastAsia="Arial" w:hAnsi="Arial"/>
          <w:sz w:val="19"/>
          <w:szCs w:val="19"/>
          <w:color w:val="auto"/>
        </w:rPr>
        <w:t>Offer a Corporate Matching program that matches employees’ qualifying personal charitable donations to vetted and approved causes</w:t>
      </w:r>
    </w:p>
    <w:p>
      <w:pPr>
        <w:spacing w:after="0" w:line="46" w:lineRule="exact"/>
        <w:rPr>
          <w:rFonts w:ascii="Times New Roman" w:cs="Times New Roman" w:eastAsia="Times New Roman" w:hAnsi="Times New Roman"/>
          <w:sz w:val="18"/>
          <w:szCs w:val="18"/>
          <w:color w:val="D64000"/>
        </w:rPr>
      </w:pPr>
    </w:p>
    <w:p>
      <w:pPr>
        <w:ind w:left="840" w:right="520" w:hanging="418"/>
        <w:spacing w:after="0" w:line="273" w:lineRule="auto"/>
        <w:tabs>
          <w:tab w:leader="none" w:pos="840" w:val="left"/>
        </w:tabs>
        <w:numPr>
          <w:ilvl w:val="0"/>
          <w:numId w:val="228"/>
        </w:numPr>
        <w:rPr>
          <w:rFonts w:ascii="Times New Roman" w:cs="Times New Roman" w:eastAsia="Times New Roman" w:hAnsi="Times New Roman"/>
          <w:sz w:val="18"/>
          <w:szCs w:val="18"/>
          <w:color w:val="D64000"/>
        </w:rPr>
      </w:pPr>
      <w:r>
        <w:rPr>
          <w:rFonts w:ascii="Arial" w:cs="Arial" w:eastAsia="Arial" w:hAnsi="Arial"/>
          <w:sz w:val="19"/>
          <w:szCs w:val="19"/>
          <w:color w:val="auto"/>
        </w:rPr>
        <w:t>Offer a Volunteer Rewards program to employees who volunteer 20+ hours per year with vetted and approved causes</w:t>
      </w:r>
    </w:p>
    <w:p>
      <w:pPr>
        <w:spacing w:after="0" w:line="46" w:lineRule="exact"/>
        <w:rPr>
          <w:rFonts w:ascii="Times New Roman" w:cs="Times New Roman" w:eastAsia="Times New Roman" w:hAnsi="Times New Roman"/>
          <w:sz w:val="18"/>
          <w:szCs w:val="18"/>
          <w:color w:val="D64000"/>
        </w:rPr>
      </w:pPr>
    </w:p>
    <w:p>
      <w:pPr>
        <w:ind w:left="840" w:right="180" w:hanging="418"/>
        <w:spacing w:after="0" w:line="273" w:lineRule="auto"/>
        <w:tabs>
          <w:tab w:leader="none" w:pos="840" w:val="left"/>
        </w:tabs>
        <w:numPr>
          <w:ilvl w:val="0"/>
          <w:numId w:val="228"/>
        </w:numPr>
        <w:rPr>
          <w:rFonts w:ascii="Times New Roman" w:cs="Times New Roman" w:eastAsia="Times New Roman" w:hAnsi="Times New Roman"/>
          <w:sz w:val="18"/>
          <w:szCs w:val="18"/>
          <w:color w:val="D64000"/>
        </w:rPr>
      </w:pPr>
      <w:r>
        <w:rPr>
          <w:rFonts w:ascii="Arial" w:cs="Arial" w:eastAsia="Arial" w:hAnsi="Arial"/>
          <w:sz w:val="19"/>
          <w:szCs w:val="19"/>
          <w:color w:val="auto"/>
        </w:rPr>
        <w:t>Donate on behalf of Thomson Reuters only to charitable causes and organizations that have been approved in My Giving and adhere to our Program Guidelines</w:t>
      </w:r>
    </w:p>
    <w:p>
      <w:pPr>
        <w:spacing w:after="0" w:line="137"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 xml:space="preserve">If you have a community cause or event you think the company might be interested in supporting, contact the </w:t>
      </w:r>
      <w:r>
        <w:rPr>
          <w:rFonts w:ascii="Arial" w:cs="Arial" w:eastAsia="Arial" w:hAnsi="Arial"/>
          <w:sz w:val="19"/>
          <w:szCs w:val="19"/>
          <w:b w:val="1"/>
          <w:bCs w:val="1"/>
          <w:color w:val="1A7EE5"/>
        </w:rPr>
        <w:t>Social Impact</w:t>
      </w:r>
      <w:r>
        <w:rPr>
          <w:rFonts w:ascii="Arial" w:cs="Arial" w:eastAsia="Arial" w:hAnsi="Arial"/>
          <w:sz w:val="19"/>
          <w:szCs w:val="19"/>
          <w:color w:val="auto"/>
        </w:rPr>
        <w:t xml:space="preserve"> </w:t>
      </w:r>
      <w:r>
        <w:rPr>
          <w:rFonts w:ascii="Arial" w:cs="Arial" w:eastAsia="Arial" w:hAnsi="Arial"/>
          <w:sz w:val="19"/>
          <w:szCs w:val="19"/>
          <w:b w:val="1"/>
          <w:bCs w:val="1"/>
          <w:color w:val="1A7EE5"/>
        </w:rPr>
        <w:t xml:space="preserve">Institute </w:t>
      </w:r>
      <w:r>
        <w:rPr>
          <w:rFonts w:ascii="Arial" w:cs="Arial" w:eastAsia="Arial" w:hAnsi="Arial"/>
          <w:sz w:val="19"/>
          <w:szCs w:val="19"/>
          <w:color w:val="000000"/>
        </w:rPr>
        <w:t>and view the</w:t>
      </w:r>
      <w:r>
        <w:rPr>
          <w:rFonts w:ascii="Arial" w:cs="Arial" w:eastAsia="Arial" w:hAnsi="Arial"/>
          <w:sz w:val="19"/>
          <w:szCs w:val="19"/>
          <w:b w:val="1"/>
          <w:bCs w:val="1"/>
          <w:color w:val="1A7EE5"/>
        </w:rPr>
        <w:t xml:space="preserve"> MyGiving Program Guidelines on the intranet.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35"/>
          <w:szCs w:val="35"/>
          <w:b w:val="1"/>
          <w:bCs w:val="1"/>
          <w:color w:val="D64000"/>
        </w:rPr>
        <w:t>Participating in the political process</w:t>
      </w:r>
    </w:p>
    <w:p>
      <w:pPr>
        <w:spacing w:after="0" w:line="22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We are trusted to . . .</w:t>
      </w:r>
    </w:p>
    <w:p>
      <w:pPr>
        <w:spacing w:after="0" w:line="192" w:lineRule="exact"/>
        <w:rPr>
          <w:sz w:val="20"/>
          <w:szCs w:val="20"/>
          <w:color w:val="auto"/>
        </w:rPr>
      </w:pPr>
    </w:p>
    <w:p>
      <w:pPr>
        <w:ind w:right="140"/>
        <w:spacing w:after="0" w:line="273" w:lineRule="auto"/>
        <w:rPr>
          <w:sz w:val="20"/>
          <w:szCs w:val="20"/>
          <w:color w:val="auto"/>
        </w:rPr>
      </w:pPr>
      <w:r>
        <w:rPr>
          <w:rFonts w:ascii="Arial" w:cs="Arial" w:eastAsia="Arial" w:hAnsi="Arial"/>
          <w:sz w:val="19"/>
          <w:szCs w:val="19"/>
          <w:i w:val="1"/>
          <w:iCs w:val="1"/>
          <w:color w:val="auto"/>
        </w:rPr>
        <w:t>…support and respect each other’s individual right to take part in political activities while keeping Thomson Reuters separate from any political activity.</w:t>
      </w:r>
    </w:p>
    <w:p>
      <w:pPr>
        <w:spacing w:after="0" w:line="128"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Why it matters</w:t>
      </w:r>
    </w:p>
    <w:p>
      <w:pPr>
        <w:spacing w:after="0" w:line="232" w:lineRule="exact"/>
        <w:rPr>
          <w:sz w:val="20"/>
          <w:szCs w:val="20"/>
          <w:color w:val="auto"/>
        </w:rPr>
      </w:pPr>
    </w:p>
    <w:p>
      <w:pPr>
        <w:ind w:right="220"/>
        <w:spacing w:after="0" w:line="241" w:lineRule="auto"/>
        <w:rPr>
          <w:sz w:val="20"/>
          <w:szCs w:val="20"/>
          <w:color w:val="auto"/>
        </w:rPr>
      </w:pPr>
      <w:r>
        <w:rPr>
          <w:rFonts w:ascii="Arial" w:cs="Arial" w:eastAsia="Arial" w:hAnsi="Arial"/>
          <w:sz w:val="19"/>
          <w:szCs w:val="19"/>
          <w:color w:val="auto"/>
        </w:rPr>
        <w:t xml:space="preserve">The political process can be an effective way to create positive change in our world. However, rules regarding companies’ political donations are strict in most countries where Thomson Reuters operates. Therefore, we must make sure Thomson Reuters is not mistakenly connected to any political group or activity. This is especially important for our news operations, which our </w:t>
      </w:r>
      <w:r>
        <w:rPr>
          <w:rFonts w:ascii="Arial" w:cs="Arial" w:eastAsia="Arial" w:hAnsi="Arial"/>
          <w:sz w:val="19"/>
          <w:szCs w:val="19"/>
          <w:b w:val="1"/>
          <w:bCs w:val="1"/>
          <w:color w:val="1A7EE5"/>
        </w:rPr>
        <w:t>Trust Principles</w:t>
      </w:r>
      <w:r>
        <w:rPr>
          <w:rFonts w:ascii="Arial" w:cs="Arial" w:eastAsia="Arial" w:hAnsi="Arial"/>
          <w:sz w:val="19"/>
          <w:szCs w:val="19"/>
          <w:color w:val="auto"/>
        </w:rPr>
        <w:t xml:space="preserve"> dictate we must remain free from political bias, both in appearance and in practice. Just as the Trust Principles apply to all Thomson Reuters employees and not journalists alone, so too does the obligation for all of us to ensure that the company is not improperly linked to any particular political group or activity.</w:t>
      </w:r>
    </w:p>
    <w:p>
      <w:pPr>
        <w:spacing w:after="0" w:line="30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How we deliver</w:t>
      </w:r>
    </w:p>
    <w:p>
      <w:pPr>
        <w:spacing w:after="0" w:line="232" w:lineRule="exact"/>
        <w:rPr>
          <w:sz w:val="20"/>
          <w:szCs w:val="20"/>
          <w:color w:val="auto"/>
        </w:rPr>
      </w:pPr>
    </w:p>
    <w:p>
      <w:pPr>
        <w:ind w:right="360"/>
        <w:spacing w:after="0" w:line="273" w:lineRule="auto"/>
        <w:rPr>
          <w:sz w:val="20"/>
          <w:szCs w:val="20"/>
          <w:color w:val="auto"/>
        </w:rPr>
      </w:pPr>
      <w:r>
        <w:rPr>
          <w:rFonts w:ascii="Arial" w:cs="Arial" w:eastAsia="Arial" w:hAnsi="Arial"/>
          <w:sz w:val="19"/>
          <w:szCs w:val="19"/>
          <w:color w:val="auto"/>
        </w:rPr>
        <w:t>Although we encourage employees to responsibly participate in politics and civic matters as individuals, Thomson Reuters does not support any political party, candidate, group or religion (i.e., any “political cause”). This means the company:</w:t>
      </w:r>
    </w:p>
    <w:p>
      <w:pPr>
        <w:spacing w:after="0" w:line="46" w:lineRule="exact"/>
        <w:rPr>
          <w:sz w:val="20"/>
          <w:szCs w:val="20"/>
          <w:color w:val="auto"/>
        </w:rPr>
      </w:pPr>
    </w:p>
    <w:p>
      <w:pPr>
        <w:ind w:left="840" w:hanging="418"/>
        <w:spacing w:after="0"/>
        <w:tabs>
          <w:tab w:leader="none" w:pos="840" w:val="left"/>
        </w:tabs>
        <w:numPr>
          <w:ilvl w:val="0"/>
          <w:numId w:val="229"/>
        </w:numPr>
        <w:rPr>
          <w:rFonts w:ascii="Times New Roman" w:cs="Times New Roman" w:eastAsia="Times New Roman" w:hAnsi="Times New Roman"/>
          <w:sz w:val="18"/>
          <w:szCs w:val="18"/>
          <w:color w:val="D64000"/>
        </w:rPr>
      </w:pPr>
      <w:r>
        <w:rPr>
          <w:rFonts w:ascii="Arial" w:cs="Arial" w:eastAsia="Arial" w:hAnsi="Arial"/>
          <w:sz w:val="19"/>
          <w:szCs w:val="19"/>
          <w:color w:val="auto"/>
        </w:rPr>
        <w:t>Never makes contributions to any political cause as a company</w:t>
      </w:r>
    </w:p>
    <w:p>
      <w:pPr>
        <w:spacing w:after="0" w:line="112"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229"/>
        </w:numPr>
        <w:rPr>
          <w:rFonts w:ascii="Times New Roman" w:cs="Times New Roman" w:eastAsia="Times New Roman" w:hAnsi="Times New Roman"/>
          <w:sz w:val="18"/>
          <w:szCs w:val="18"/>
          <w:color w:val="D64000"/>
        </w:rPr>
      </w:pPr>
      <w:r>
        <w:rPr>
          <w:rFonts w:ascii="Arial" w:cs="Arial" w:eastAsia="Arial" w:hAnsi="Arial"/>
          <w:sz w:val="19"/>
          <w:szCs w:val="19"/>
          <w:color w:val="auto"/>
        </w:rPr>
        <w:t>Never requires any employee to contribute to, support or oppose any cause</w:t>
      </w:r>
    </w:p>
    <w:p>
      <w:pPr>
        <w:spacing w:after="0" w:line="112" w:lineRule="exact"/>
        <w:rPr>
          <w:rFonts w:ascii="Times New Roman" w:cs="Times New Roman" w:eastAsia="Times New Roman" w:hAnsi="Times New Roman"/>
          <w:sz w:val="18"/>
          <w:szCs w:val="18"/>
          <w:color w:val="D64000"/>
        </w:rPr>
      </w:pPr>
    </w:p>
    <w:p>
      <w:pPr>
        <w:ind w:left="840" w:right="180" w:hanging="418"/>
        <w:spacing w:after="0" w:line="273" w:lineRule="auto"/>
        <w:tabs>
          <w:tab w:leader="none" w:pos="840" w:val="left"/>
        </w:tabs>
        <w:numPr>
          <w:ilvl w:val="0"/>
          <w:numId w:val="229"/>
        </w:numPr>
        <w:rPr>
          <w:rFonts w:ascii="Times New Roman" w:cs="Times New Roman" w:eastAsia="Times New Roman" w:hAnsi="Times New Roman"/>
          <w:sz w:val="18"/>
          <w:szCs w:val="18"/>
          <w:color w:val="D64000"/>
        </w:rPr>
      </w:pPr>
      <w:r>
        <w:rPr>
          <w:rFonts w:ascii="Arial" w:cs="Arial" w:eastAsia="Arial" w:hAnsi="Arial"/>
          <w:sz w:val="19"/>
          <w:szCs w:val="19"/>
          <w:color w:val="auto"/>
        </w:rPr>
        <w:t>Does not express a preference for or support, directly or indirectly, any political cause or take sides in international conflicts or disputes</w:t>
      </w:r>
    </w:p>
    <w:p>
      <w:pPr>
        <w:spacing w:after="0" w:line="46" w:lineRule="exact"/>
        <w:rPr>
          <w:rFonts w:ascii="Times New Roman" w:cs="Times New Roman" w:eastAsia="Times New Roman" w:hAnsi="Times New Roman"/>
          <w:sz w:val="18"/>
          <w:szCs w:val="18"/>
          <w:color w:val="D64000"/>
        </w:rPr>
      </w:pPr>
    </w:p>
    <w:p>
      <w:pPr>
        <w:ind w:left="840" w:right="420" w:hanging="418"/>
        <w:spacing w:after="0" w:line="273" w:lineRule="auto"/>
        <w:tabs>
          <w:tab w:leader="none" w:pos="840" w:val="left"/>
        </w:tabs>
        <w:numPr>
          <w:ilvl w:val="0"/>
          <w:numId w:val="229"/>
        </w:numPr>
        <w:rPr>
          <w:rFonts w:ascii="Times New Roman" w:cs="Times New Roman" w:eastAsia="Times New Roman" w:hAnsi="Times New Roman"/>
          <w:sz w:val="18"/>
          <w:szCs w:val="18"/>
          <w:color w:val="D64000"/>
        </w:rPr>
      </w:pPr>
      <w:r>
        <w:rPr>
          <w:rFonts w:ascii="Arial" w:cs="Arial" w:eastAsia="Arial" w:hAnsi="Arial"/>
          <w:sz w:val="19"/>
          <w:szCs w:val="19"/>
          <w:color w:val="auto"/>
        </w:rPr>
        <w:t>Is careful not to align Thomson Reuters or its businesses with any political cause or with a particular side in any dispute</w:t>
      </w:r>
    </w:p>
    <w:p>
      <w:pPr>
        <w:spacing w:after="0" w:line="46" w:lineRule="exact"/>
        <w:rPr>
          <w:rFonts w:ascii="Times New Roman" w:cs="Times New Roman" w:eastAsia="Times New Roman" w:hAnsi="Times New Roman"/>
          <w:sz w:val="18"/>
          <w:szCs w:val="18"/>
          <w:color w:val="D64000"/>
        </w:rPr>
      </w:pPr>
    </w:p>
    <w:p>
      <w:pPr>
        <w:ind w:left="840" w:right="200" w:hanging="418"/>
        <w:spacing w:after="0" w:line="273" w:lineRule="auto"/>
        <w:tabs>
          <w:tab w:leader="none" w:pos="840" w:val="left"/>
        </w:tabs>
        <w:numPr>
          <w:ilvl w:val="0"/>
          <w:numId w:val="229"/>
        </w:numPr>
        <w:rPr>
          <w:rFonts w:ascii="Times New Roman" w:cs="Times New Roman" w:eastAsia="Times New Roman" w:hAnsi="Times New Roman"/>
          <w:sz w:val="18"/>
          <w:szCs w:val="18"/>
          <w:color w:val="D64000"/>
        </w:rPr>
      </w:pPr>
      <w:r>
        <w:rPr>
          <w:rFonts w:ascii="Arial" w:cs="Arial" w:eastAsia="Arial" w:hAnsi="Arial"/>
          <w:sz w:val="19"/>
          <w:szCs w:val="19"/>
          <w:color w:val="auto"/>
        </w:rPr>
        <w:t>Obtains prior approval from the Enterprise Compliance team before taking an external position on advocacy — for example, joining a business consortium on a particular initiative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967740" cy="32829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357" w:lineRule="exact"/>
        <w:rPr>
          <w:sz w:val="20"/>
          <w:szCs w:val="20"/>
          <w:color w:val="auto"/>
        </w:rPr>
      </w:pPr>
    </w:p>
    <w:tbl>
      <w:tblPr>
        <w:tblLayout w:type="fixed"/>
        <w:tblInd w:w="4360"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50</w:t>
            </w:r>
          </w:p>
        </w:tc>
      </w:tr>
    </w:tbl>
    <w:p>
      <w:pPr>
        <w:sectPr>
          <w:pgSz w:w="11900" w:h="16838" w:orient="portrait"/>
          <w:cols w:equalWidth="0" w:num="1">
            <w:col w:w="10820"/>
          </w:cols>
          <w:pgMar w:left="540" w:top="264" w:right="539" w:bottom="1440" w:gutter="0" w:footer="0" w:header="0"/>
        </w:sectPr>
      </w:pPr>
    </w:p>
    <w:bookmarkStart w:id="231" w:name="page232"/>
    <w:bookmarkEnd w:id="231"/>
    <w:p>
      <w:pPr>
        <w:spacing w:after="0" w:line="196" w:lineRule="auto"/>
        <w:framePr w:w="1940" w:h="160" w:wrap="auto" w:vAnchor="page" w:hAnchor="page" w:x="8500" w:y="7692"/>
        <w:rPr>
          <w:rFonts w:ascii="Arial" w:cs="Arial" w:eastAsia="Arial" w:hAnsi="Arial"/>
          <w:sz w:val="17"/>
          <w:szCs w:val="17"/>
          <w:b w:val="1"/>
          <w:bCs w:val="1"/>
          <w:i w:val="1"/>
          <w:iCs w:val="1"/>
          <w:color w:val="123121"/>
        </w:rPr>
      </w:pPr>
      <w:r>
        <w:rPr>
          <w:rFonts w:ascii="Arial" w:cs="Arial" w:eastAsia="Arial" w:hAnsi="Arial"/>
          <w:sz w:val="17"/>
          <w:szCs w:val="17"/>
          <w:b w:val="1"/>
          <w:bCs w:val="1"/>
          <w:i w:val="1"/>
          <w:iCs w:val="1"/>
          <w:color w:val="123121"/>
        </w:rPr>
        <w:t>Supplemental policies</w:t>
      </w:r>
    </w:p>
    <w:p>
      <w:pPr>
        <w:spacing w:after="0" w:line="228" w:lineRule="auto"/>
        <w:framePr w:w="2680" w:h="700" w:wrap="auto" w:vAnchor="page" w:hAnchor="page" w:x="8500" w:y="8012"/>
        <w:rPr>
          <w:rFonts w:ascii="Arial" w:cs="Arial" w:eastAsia="Arial" w:hAnsi="Arial"/>
          <w:sz w:val="16"/>
          <w:szCs w:val="16"/>
          <w:b w:val="1"/>
          <w:bCs w:val="1"/>
          <w:i w:val="1"/>
          <w:iCs w:val="1"/>
          <w:color w:val="123121"/>
        </w:rPr>
      </w:pPr>
      <w:r>
        <w:rPr>
          <w:rFonts w:ascii="Arial" w:cs="Arial" w:eastAsia="Arial" w:hAnsi="Arial"/>
          <w:sz w:val="16"/>
          <w:szCs w:val="16"/>
          <w:b w:val="1"/>
          <w:bCs w:val="1"/>
          <w:i w:val="1"/>
          <w:iCs w:val="1"/>
          <w:color w:val="123121"/>
        </w:rPr>
        <w:t>Be aware that some of us in certain jobs may have supplemental policies regarding lobbying and personal political activity.</w:t>
      </w:r>
    </w:p>
    <w:p>
      <w:pPr>
        <w:spacing w:after="0"/>
        <w:rPr>
          <w:sz w:val="20"/>
          <w:szCs w:val="20"/>
          <w:color w:val="auto"/>
        </w:rPr>
      </w:pPr>
      <w:r>
        <w:rPr>
          <w:rFonts w:ascii="Arial" w:cs="Arial" w:eastAsia="Arial" w:hAnsi="Arial"/>
          <w:sz w:val="26"/>
          <w:szCs w:val="26"/>
          <w:i w:val="1"/>
          <w:iCs w:val="1"/>
          <w:color w:val="D64000"/>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Lobbying</w:t>
      </w:r>
    </w:p>
    <w:p>
      <w:pPr>
        <w:spacing w:after="0" w:line="182" w:lineRule="exact"/>
        <w:rPr>
          <w:rFonts w:ascii="Arial" w:cs="Arial" w:eastAsia="Arial" w:hAnsi="Arial"/>
          <w:sz w:val="16"/>
          <w:szCs w:val="16"/>
          <w:b w:val="1"/>
          <w:bCs w:val="1"/>
          <w:i w:val="1"/>
          <w:iCs w:val="1"/>
          <w:color w:val="123121"/>
        </w:rPr>
      </w:pPr>
    </w:p>
    <w:p>
      <w:pPr>
        <w:ind w:right="200"/>
        <w:spacing w:after="0" w:line="243" w:lineRule="auto"/>
        <w:rPr>
          <w:sz w:val="20"/>
          <w:szCs w:val="20"/>
          <w:color w:val="auto"/>
        </w:rPr>
      </w:pPr>
      <w:r>
        <w:rPr>
          <w:rFonts w:ascii="Arial" w:cs="Arial" w:eastAsia="Arial" w:hAnsi="Arial"/>
          <w:sz w:val="19"/>
          <w:szCs w:val="19"/>
          <w:color w:val="auto"/>
        </w:rPr>
        <w:t>At times, we may discuss with government officials various issues and topics that could impact our business, regulators and politicians. When these discussions focus on the possible impact of proposed laws, rules or regulations on our business, we adhere to the Trust Principles and obtain prior approval from the Enterprise Compliance team before taking an external position on potential legislation, policy, program or position of federal, state, provincial or local government. If we do take a position, we must follow all applicable lobbying laws, restrictions and regulations.</w:t>
      </w:r>
    </w:p>
    <w:p>
      <w:pPr>
        <w:spacing w:after="0" w:line="166" w:lineRule="exact"/>
        <w:rPr>
          <w:rFonts w:ascii="Arial" w:cs="Arial" w:eastAsia="Arial" w:hAnsi="Arial"/>
          <w:sz w:val="16"/>
          <w:szCs w:val="16"/>
          <w:b w:val="1"/>
          <w:bCs w:val="1"/>
          <w:i w:val="1"/>
          <w:iCs w:val="1"/>
          <w:color w:val="123121"/>
        </w:rPr>
      </w:pPr>
    </w:p>
    <w:p>
      <w:pPr>
        <w:ind w:right="80"/>
        <w:spacing w:after="0" w:line="273" w:lineRule="auto"/>
        <w:rPr>
          <w:sz w:val="20"/>
          <w:szCs w:val="20"/>
          <w:color w:val="auto"/>
        </w:rPr>
      </w:pPr>
      <w:r>
        <w:rPr>
          <w:rFonts w:ascii="Arial" w:cs="Arial" w:eastAsia="Arial" w:hAnsi="Arial"/>
          <w:sz w:val="19"/>
          <w:szCs w:val="19"/>
          <w:color w:val="auto"/>
        </w:rPr>
        <w:t>We will not provide anything of value, including gifts or campaign contributions, to a government official without prior approval from the Enterprise Compliance team or connect any item of value to an official act by a government official.</w:t>
      </w:r>
    </w:p>
    <w:p>
      <w:pPr>
        <w:spacing w:after="0" w:line="135" w:lineRule="exact"/>
        <w:rPr>
          <w:rFonts w:ascii="Arial" w:cs="Arial" w:eastAsia="Arial" w:hAnsi="Arial"/>
          <w:sz w:val="16"/>
          <w:szCs w:val="16"/>
          <w:b w:val="1"/>
          <w:bCs w:val="1"/>
          <w:i w:val="1"/>
          <w:iCs w:val="1"/>
          <w:color w:val="123121"/>
        </w:rPr>
      </w:pPr>
    </w:p>
    <w:p>
      <w:pPr>
        <w:spacing w:after="0"/>
        <w:rPr>
          <w:sz w:val="20"/>
          <w:szCs w:val="20"/>
          <w:color w:val="auto"/>
        </w:rPr>
      </w:pPr>
      <w:r>
        <w:rPr>
          <w:rFonts w:ascii="Arial" w:cs="Arial" w:eastAsia="Arial" w:hAnsi="Arial"/>
          <w:sz w:val="26"/>
          <w:szCs w:val="26"/>
          <w:i w:val="1"/>
          <w:iCs w:val="1"/>
          <w:color w:val="D64000"/>
        </w:rPr>
        <w:t>Independence from foreign government interests</w:t>
      </w:r>
    </w:p>
    <w:p>
      <w:pPr>
        <w:spacing w:after="0" w:line="222" w:lineRule="exact"/>
        <w:rPr>
          <w:rFonts w:ascii="Arial" w:cs="Arial" w:eastAsia="Arial" w:hAnsi="Arial"/>
          <w:sz w:val="16"/>
          <w:szCs w:val="16"/>
          <w:b w:val="1"/>
          <w:bCs w:val="1"/>
          <w:i w:val="1"/>
          <w:iCs w:val="1"/>
          <w:color w:val="123121"/>
        </w:rPr>
      </w:pPr>
    </w:p>
    <w:p>
      <w:pPr>
        <w:ind w:right="100"/>
        <w:spacing w:after="0"/>
        <w:rPr>
          <w:sz w:val="20"/>
          <w:szCs w:val="20"/>
          <w:color w:val="auto"/>
        </w:rPr>
      </w:pPr>
      <w:r>
        <w:rPr>
          <w:rFonts w:ascii="Arial" w:cs="Arial" w:eastAsia="Arial" w:hAnsi="Arial"/>
          <w:sz w:val="19"/>
          <w:szCs w:val="19"/>
          <w:color w:val="auto"/>
        </w:rPr>
        <w:t>In the United States, we are exempt from coverage of the Foreign Agents Registration Act (FARA) because we only engage in activities in support of Thomson Reuters commercial business, and do not directly promote the public or political interests of a foreign government or foreign political party. In no event will our corporate or individual political activities be directed by a foreign government or foreign political party. If we conduct activities of a political nature in the United States, those activities will be authorized only to the extent they further the bona fide commercial, industrial or financial operations of Thomson Reuters. We will therefore represent the interests of our non-U.S. citizen stakeholders only through authorized private and nonpolitical activities related to our commercial interests, or through other activities not serving predominantly any foreign interest.</w:t>
      </w:r>
    </w:p>
    <w:p>
      <w:pPr>
        <w:spacing w:after="0" w:line="375" w:lineRule="exact"/>
        <w:rPr>
          <w:rFonts w:ascii="Arial" w:cs="Arial" w:eastAsia="Arial" w:hAnsi="Arial"/>
          <w:sz w:val="16"/>
          <w:szCs w:val="16"/>
          <w:b w:val="1"/>
          <w:bCs w:val="1"/>
          <w:i w:val="1"/>
          <w:iCs w:val="1"/>
          <w:color w:val="123121"/>
        </w:rPr>
      </w:pPr>
    </w:p>
    <w:p>
      <w:pPr>
        <w:spacing w:after="0"/>
        <w:rPr>
          <w:sz w:val="20"/>
          <w:szCs w:val="20"/>
          <w:color w:val="auto"/>
        </w:rPr>
      </w:pPr>
      <w:r>
        <w:rPr>
          <w:rFonts w:ascii="Arial" w:cs="Arial" w:eastAsia="Arial" w:hAnsi="Arial"/>
          <w:sz w:val="26"/>
          <w:szCs w:val="26"/>
          <w:i w:val="1"/>
          <w:iCs w:val="1"/>
          <w:color w:val="D64000"/>
        </w:rPr>
        <w:t>Personal political activity</w:t>
      </w:r>
    </w:p>
    <w:p>
      <w:pPr>
        <w:spacing w:after="0" w:line="222" w:lineRule="exact"/>
        <w:rPr>
          <w:rFonts w:ascii="Arial" w:cs="Arial" w:eastAsia="Arial" w:hAnsi="Arial"/>
          <w:sz w:val="16"/>
          <w:szCs w:val="16"/>
          <w:b w:val="1"/>
          <w:bCs w:val="1"/>
          <w:i w:val="1"/>
          <w:iCs w:val="1"/>
          <w:color w:val="123121"/>
        </w:rPr>
      </w:pPr>
    </w:p>
    <w:p>
      <w:pPr>
        <w:ind w:right="660"/>
        <w:spacing w:after="0" w:line="273" w:lineRule="auto"/>
        <w:rPr>
          <w:sz w:val="20"/>
          <w:szCs w:val="20"/>
          <w:color w:val="auto"/>
        </w:rPr>
      </w:pPr>
      <w:r>
        <w:rPr>
          <w:rFonts w:ascii="Arial" w:cs="Arial" w:eastAsia="Arial" w:hAnsi="Arial"/>
          <w:sz w:val="19"/>
          <w:szCs w:val="19"/>
          <w:color w:val="auto"/>
        </w:rPr>
        <w:t>If we plan to campaign for or serve in political office as individuals, we are careful to separate ourselves from Thomson Reuters in these efforts. This means we:</w:t>
      </w:r>
    </w:p>
    <w:p>
      <w:pPr>
        <w:spacing w:after="0" w:line="46" w:lineRule="exact"/>
        <w:rPr>
          <w:rFonts w:ascii="Arial" w:cs="Arial" w:eastAsia="Arial" w:hAnsi="Arial"/>
          <w:sz w:val="16"/>
          <w:szCs w:val="16"/>
          <w:b w:val="1"/>
          <w:bCs w:val="1"/>
          <w:i w:val="1"/>
          <w:iCs w:val="1"/>
          <w:color w:val="123121"/>
        </w:rPr>
      </w:pPr>
    </w:p>
    <w:p>
      <w:pPr>
        <w:ind w:left="840" w:right="100" w:hanging="418"/>
        <w:spacing w:after="0" w:line="273" w:lineRule="auto"/>
        <w:tabs>
          <w:tab w:leader="none" w:pos="840" w:val="left"/>
        </w:tabs>
        <w:numPr>
          <w:ilvl w:val="0"/>
          <w:numId w:val="230"/>
        </w:numPr>
        <w:rPr>
          <w:rFonts w:ascii="Times New Roman" w:cs="Times New Roman" w:eastAsia="Times New Roman" w:hAnsi="Times New Roman"/>
          <w:sz w:val="18"/>
          <w:szCs w:val="18"/>
          <w:color w:val="D64000"/>
        </w:rPr>
      </w:pPr>
      <w:r>
        <w:rPr>
          <w:rFonts w:ascii="Arial" w:cs="Arial" w:eastAsia="Arial" w:hAnsi="Arial"/>
          <w:sz w:val="19"/>
          <w:szCs w:val="19"/>
          <w:color w:val="auto"/>
        </w:rPr>
        <w:t>Notify the Enterprise Compliance team about plans to run for office and excuse ourselves from any political matters involving Thomson Reuters</w:t>
      </w:r>
    </w:p>
    <w:p>
      <w:pPr>
        <w:spacing w:after="0" w:line="46" w:lineRule="exact"/>
        <w:rPr>
          <w:rFonts w:ascii="Times New Roman" w:cs="Times New Roman" w:eastAsia="Times New Roman" w:hAnsi="Times New Roman"/>
          <w:sz w:val="18"/>
          <w:szCs w:val="18"/>
          <w:color w:val="D64000"/>
        </w:rPr>
      </w:pPr>
    </w:p>
    <w:p>
      <w:pPr>
        <w:ind w:left="840" w:right="760" w:hanging="418"/>
        <w:spacing w:after="0" w:line="273" w:lineRule="auto"/>
        <w:tabs>
          <w:tab w:leader="none" w:pos="840" w:val="left"/>
        </w:tabs>
        <w:numPr>
          <w:ilvl w:val="0"/>
          <w:numId w:val="230"/>
        </w:numPr>
        <w:rPr>
          <w:rFonts w:ascii="Times New Roman" w:cs="Times New Roman" w:eastAsia="Times New Roman" w:hAnsi="Times New Roman"/>
          <w:sz w:val="18"/>
          <w:szCs w:val="18"/>
          <w:color w:val="D64000"/>
        </w:rPr>
      </w:pPr>
      <w:r>
        <w:rPr>
          <w:rFonts w:ascii="Arial" w:cs="Arial" w:eastAsia="Arial" w:hAnsi="Arial"/>
          <w:sz w:val="19"/>
          <w:szCs w:val="19"/>
          <w:color w:val="auto"/>
        </w:rPr>
        <w:t>Do not pressure or influence co-workers, customers or business partners whom we know through our job at Thomson Reuters in ways related to our own personal political activity</w:t>
      </w:r>
    </w:p>
    <w:p>
      <w:pPr>
        <w:spacing w:after="0" w:line="46" w:lineRule="exact"/>
        <w:rPr>
          <w:rFonts w:ascii="Times New Roman" w:cs="Times New Roman" w:eastAsia="Times New Roman" w:hAnsi="Times New Roman"/>
          <w:sz w:val="18"/>
          <w:szCs w:val="18"/>
          <w:color w:val="D64000"/>
        </w:rPr>
      </w:pPr>
    </w:p>
    <w:p>
      <w:pPr>
        <w:ind w:left="840" w:hanging="418"/>
        <w:spacing w:after="0"/>
        <w:tabs>
          <w:tab w:leader="none" w:pos="840" w:val="left"/>
        </w:tabs>
        <w:numPr>
          <w:ilvl w:val="0"/>
          <w:numId w:val="230"/>
        </w:numPr>
        <w:rPr>
          <w:rFonts w:ascii="Times New Roman" w:cs="Times New Roman" w:eastAsia="Times New Roman" w:hAnsi="Times New Roman"/>
          <w:sz w:val="18"/>
          <w:szCs w:val="18"/>
          <w:color w:val="D64000"/>
        </w:rPr>
      </w:pPr>
      <w:r>
        <w:rPr>
          <w:rFonts w:ascii="Arial" w:cs="Arial" w:eastAsia="Arial" w:hAnsi="Arial"/>
          <w:sz w:val="19"/>
          <w:szCs w:val="19"/>
          <w:color w:val="auto"/>
        </w:rPr>
        <w:t>Do not reimburse employees or increase compensation to make up for personal political contributions</w:t>
      </w:r>
    </w:p>
    <w:p>
      <w:pPr>
        <w:spacing w:after="0" w:line="20" w:lineRule="exact"/>
        <w:rPr>
          <w:rFonts w:ascii="Arial" w:cs="Arial" w:eastAsia="Arial" w:hAnsi="Arial"/>
          <w:sz w:val="16"/>
          <w:szCs w:val="16"/>
          <w:b w:val="1"/>
          <w:bCs w:val="1"/>
          <w:i w:val="1"/>
          <w:iCs w:val="1"/>
          <w:color w:val="123121"/>
        </w:rPr>
      </w:pPr>
      <w:r>
        <w:rPr>
          <w:rFonts w:ascii="Arial" w:cs="Arial" w:eastAsia="Arial" w:hAnsi="Arial"/>
          <w:sz w:val="16"/>
          <w:szCs w:val="16"/>
          <w:b w:val="1"/>
          <w:bCs w:val="1"/>
          <w:i w:val="1"/>
          <w:iCs w:val="1"/>
          <w:color w:val="123121"/>
        </w:rPr>
        <w:drawing>
          <wp:anchor simplePos="0" relativeHeight="251657728" behindDoc="1" locked="0" layoutInCell="0" allowOverlap="1">
            <wp:simplePos x="0" y="0"/>
            <wp:positionH relativeFrom="column">
              <wp:posOffset>5013325</wp:posOffset>
            </wp:positionH>
            <wp:positionV relativeFrom="paragraph">
              <wp:posOffset>85090</wp:posOffset>
            </wp:positionV>
            <wp:extent cx="1851025" cy="85852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851025" cy="858520"/>
                    </a:xfrm>
                    <a:prstGeom prst="rect">
                      <a:avLst/>
                    </a:prstGeom>
                    <a:noFill/>
                  </pic:spPr>
                </pic:pic>
              </a:graphicData>
            </a:graphic>
          </wp:anchor>
        </w:drawing>
      </w:r>
    </w:p>
    <w:p>
      <w:pPr>
        <w:spacing w:after="0" w:line="133" w:lineRule="exact"/>
        <w:rPr>
          <w:rFonts w:ascii="Arial" w:cs="Arial" w:eastAsia="Arial" w:hAnsi="Arial"/>
          <w:sz w:val="16"/>
          <w:szCs w:val="16"/>
          <w:b w:val="1"/>
          <w:bCs w:val="1"/>
          <w:i w:val="1"/>
          <w:iCs w:val="1"/>
          <w:color w:val="123121"/>
        </w:rPr>
      </w:pPr>
    </w:p>
    <w:p>
      <w:pPr>
        <w:ind w:left="720" w:right="3380" w:hanging="446"/>
        <w:spacing w:after="0" w:line="288" w:lineRule="auto"/>
        <w:tabs>
          <w:tab w:leader="none" w:pos="700" w:val="left"/>
        </w:tabs>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w:t>
      </w:r>
      <w:r>
        <w:rPr>
          <w:sz w:val="20"/>
          <w:szCs w:val="20"/>
          <w:color w:val="auto"/>
        </w:rPr>
        <w:tab/>
      </w:r>
      <w:r>
        <w:rPr>
          <w:rFonts w:ascii="Arial" w:cs="Arial" w:eastAsia="Arial" w:hAnsi="Arial"/>
          <w:sz w:val="19"/>
          <w:szCs w:val="19"/>
          <w:color w:val="auto"/>
        </w:rPr>
        <w:t>   Abide by laws and regulations in those states and countries that limit political contributions by employees or their family members</w:t>
      </w:r>
    </w:p>
    <w:p>
      <w:pPr>
        <w:spacing w:after="0" w:line="85" w:lineRule="exact"/>
        <w:rPr>
          <w:rFonts w:ascii="Arial" w:cs="Arial" w:eastAsia="Arial" w:hAnsi="Arial"/>
          <w:sz w:val="16"/>
          <w:szCs w:val="16"/>
          <w:b w:val="1"/>
          <w:bCs w:val="1"/>
          <w:i w:val="1"/>
          <w:iCs w:val="1"/>
          <w:color w:val="123121"/>
        </w:rPr>
      </w:pPr>
    </w:p>
    <w:p>
      <w:pPr>
        <w:ind w:left="720" w:right="3280" w:hanging="446"/>
        <w:spacing w:after="0" w:line="260" w:lineRule="auto"/>
        <w:tabs>
          <w:tab w:leader="none" w:pos="700" w:val="left"/>
        </w:tabs>
        <w:rPr>
          <w:sz w:val="20"/>
          <w:szCs w:val="20"/>
          <w:color w:val="auto"/>
        </w:rPr>
      </w:pPr>
      <w:r>
        <w:rPr>
          <w:rFonts w:ascii="Times New Roman" w:cs="Times New Roman" w:eastAsia="Times New Roman" w:hAnsi="Times New Roman"/>
          <w:sz w:val="18"/>
          <w:szCs w:val="18"/>
          <w:color w:val="D64000"/>
        </w:rPr>
        <w:t>●</w:t>
      </w:r>
      <w:r>
        <w:rPr>
          <w:rFonts w:ascii="Arial" w:cs="Arial" w:eastAsia="Arial" w:hAnsi="Arial"/>
          <w:sz w:val="19"/>
          <w:szCs w:val="19"/>
          <w:color w:val="000000"/>
        </w:rPr>
        <w:t xml:space="preserve"> </w:t>
      </w:r>
      <w:r>
        <w:rPr>
          <w:sz w:val="20"/>
          <w:szCs w:val="20"/>
          <w:color w:val="auto"/>
        </w:rPr>
        <w:tab/>
      </w:r>
      <w:r>
        <w:rPr>
          <w:rFonts w:ascii="Arial" w:cs="Arial" w:eastAsia="Arial" w:hAnsi="Arial"/>
          <w:sz w:val="19"/>
          <w:szCs w:val="19"/>
          <w:color w:val="auto"/>
        </w:rPr>
        <w:t>   Take special care to make it clear that our political activities and expressed political views are personal and not those of Thomson Reuters — especially if our business works with a governmental entity</w:t>
      </w:r>
    </w:p>
    <w:p>
      <w:pPr>
        <w:spacing w:after="0" w:line="20" w:lineRule="exact"/>
        <w:rPr>
          <w:rFonts w:ascii="Arial" w:cs="Arial" w:eastAsia="Arial" w:hAnsi="Arial"/>
          <w:sz w:val="16"/>
          <w:szCs w:val="16"/>
          <w:b w:val="1"/>
          <w:bCs w:val="1"/>
          <w:i w:val="1"/>
          <w:iCs w:val="1"/>
          <w:color w:val="123121"/>
        </w:rPr>
      </w:pPr>
      <w:r>
        <w:rPr>
          <w:rFonts w:ascii="Arial" w:cs="Arial" w:eastAsia="Arial" w:hAnsi="Arial"/>
          <w:sz w:val="16"/>
          <w:szCs w:val="16"/>
          <w:b w:val="1"/>
          <w:bCs w:val="1"/>
          <w:i w:val="1"/>
          <w:iCs w:val="1"/>
          <w:color w:val="123121"/>
        </w:rPr>
        <w:drawing>
          <wp:anchor simplePos="0" relativeHeight="251657728" behindDoc="1" locked="0" layoutInCell="0" allowOverlap="1">
            <wp:simplePos x="0" y="0"/>
            <wp:positionH relativeFrom="column">
              <wp:posOffset>-635</wp:posOffset>
            </wp:positionH>
            <wp:positionV relativeFrom="paragraph">
              <wp:posOffset>100965</wp:posOffset>
            </wp:positionV>
            <wp:extent cx="967740" cy="32829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0" w:lineRule="exact"/>
        <w:rPr>
          <w:rFonts w:ascii="Arial" w:cs="Arial" w:eastAsia="Arial" w:hAnsi="Arial"/>
          <w:sz w:val="16"/>
          <w:szCs w:val="16"/>
          <w:b w:val="1"/>
          <w:bCs w:val="1"/>
          <w:i w:val="1"/>
          <w:iCs w:val="1"/>
          <w:color w:val="123121"/>
        </w:rPr>
      </w:pPr>
    </w:p>
    <w:p>
      <w:pPr>
        <w:spacing w:after="0" w:line="223" w:lineRule="exact"/>
        <w:rPr>
          <w:rFonts w:ascii="Arial" w:cs="Arial" w:eastAsia="Arial" w:hAnsi="Arial"/>
          <w:sz w:val="16"/>
          <w:szCs w:val="16"/>
          <w:b w:val="1"/>
          <w:bCs w:val="1"/>
          <w:i w:val="1"/>
          <w:iCs w:val="1"/>
          <w:color w:val="123121"/>
        </w:rPr>
      </w:pPr>
    </w:p>
    <w:tbl>
      <w:tblPr>
        <w:tblLayout w:type="fixed"/>
        <w:tblInd w:w="4360"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51</w:t>
            </w:r>
          </w:p>
        </w:tc>
      </w:tr>
    </w:tbl>
    <w:p>
      <w:pPr>
        <w:sectPr>
          <w:pgSz w:w="11900" w:h="16838" w:orient="portrait"/>
          <w:cols w:equalWidth="0" w:num="1">
            <w:col w:w="10820"/>
          </w:cols>
          <w:pgMar w:left="540" w:top="260" w:right="539" w:bottom="1440" w:gutter="0" w:footer="0" w:header="0"/>
        </w:sectPr>
      </w:pPr>
    </w:p>
    <w:bookmarkStart w:id="232" w:name="page233"/>
    <w:bookmarkEnd w:id="232"/>
    <w:p>
      <w:pPr>
        <w:spacing w:after="0"/>
        <w:rPr>
          <w:sz w:val="20"/>
          <w:szCs w:val="20"/>
          <w:color w:val="auto"/>
        </w:rPr>
      </w:pPr>
      <w:r>
        <w:rPr>
          <w:rFonts w:ascii="Arial" w:cs="Arial" w:eastAsia="Arial" w:hAnsi="Arial"/>
          <w:sz w:val="35"/>
          <w:szCs w:val="35"/>
          <w:b w:val="1"/>
          <w:bCs w:val="1"/>
          <w:color w:val="D64000"/>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Seek Help: Helpful contact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 Contacts for External Inquiries (Including Investor and Media Relations)</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1A7EE5"/>
        </w:rPr>
        <w:t>https://www.thomsonreuters.com/en/contact-us.html</w:t>
      </w:r>
    </w:p>
    <w:p>
      <w:pPr>
        <w:spacing w:after="0" w:line="292" w:lineRule="exact"/>
        <w:rPr>
          <w:sz w:val="20"/>
          <w:szCs w:val="20"/>
          <w:color w:val="auto"/>
        </w:rPr>
      </w:pPr>
    </w:p>
    <w:p>
      <w:pPr>
        <w:ind w:right="100"/>
        <w:spacing w:after="0" w:line="247" w:lineRule="auto"/>
        <w:rPr>
          <w:sz w:val="20"/>
          <w:szCs w:val="20"/>
          <w:color w:val="auto"/>
        </w:rPr>
      </w:pPr>
      <w:r>
        <w:rPr>
          <w:rFonts w:ascii="Arial" w:cs="Arial" w:eastAsia="Arial" w:hAnsi="Arial"/>
          <w:sz w:val="19"/>
          <w:szCs w:val="19"/>
          <w:b w:val="1"/>
          <w:bCs w:val="1"/>
          <w:color w:val="auto"/>
        </w:rPr>
        <w:t xml:space="preserve">Human Resources Representatives, General Counsel’s Office (GCO) and Communications Representatives. </w:t>
      </w:r>
      <w:r>
        <w:rPr>
          <w:rFonts w:ascii="Arial" w:cs="Arial" w:eastAsia="Arial" w:hAnsi="Arial"/>
          <w:sz w:val="19"/>
          <w:szCs w:val="19"/>
          <w:color w:val="auto"/>
        </w:rPr>
        <w:t>If you do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not know how to contact your local Human Resources representative, a lawyer in the GCO who supports your business or your local Communications representative, please review the list below. You also can find contact information and additional policies and procedures in the </w:t>
      </w:r>
      <w:r>
        <w:rPr>
          <w:rFonts w:ascii="Arial" w:cs="Arial" w:eastAsia="Arial" w:hAnsi="Arial"/>
          <w:sz w:val="19"/>
          <w:szCs w:val="19"/>
          <w:color w:val="1A7EE5"/>
        </w:rPr>
        <w:t>“Resources”</w:t>
      </w:r>
      <w:r>
        <w:rPr>
          <w:rFonts w:ascii="Arial" w:cs="Arial" w:eastAsia="Arial" w:hAnsi="Arial"/>
          <w:sz w:val="19"/>
          <w:szCs w:val="19"/>
          <w:color w:val="auto"/>
        </w:rPr>
        <w:t xml:space="preserve"> section of the Thomson Reuters Intranet.</w:t>
      </w:r>
    </w:p>
    <w:p>
      <w:pPr>
        <w:spacing w:after="0" w:line="245"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color w:val="auto"/>
        </w:rPr>
        <w:t>Code of Business Conduct and Ethics</w:t>
      </w:r>
      <w:r>
        <w:rPr>
          <w:sz w:val="20"/>
          <w:szCs w:val="20"/>
          <w:color w:val="auto"/>
        </w:rPr>
        <w:tab/>
      </w:r>
      <w:r>
        <w:rPr>
          <w:rFonts w:ascii="Arial" w:cs="Arial" w:eastAsia="Arial" w:hAnsi="Arial"/>
          <w:sz w:val="17"/>
          <w:szCs w:val="17"/>
          <w:b w:val="1"/>
          <w:bCs w:val="1"/>
          <w:color w:val="auto"/>
        </w:rPr>
        <w:t>Reuters Ethics + Standards</w:t>
      </w:r>
    </w:p>
    <w:p>
      <w:pPr>
        <w:spacing w:after="0" w:line="45" w:lineRule="exact"/>
        <w:rPr>
          <w:sz w:val="20"/>
          <w:szCs w:val="20"/>
          <w:color w:val="auto"/>
        </w:rPr>
      </w:pPr>
    </w:p>
    <w:p>
      <w:pPr>
        <w:spacing w:after="0"/>
        <w:tabs>
          <w:tab w:leader="none" w:pos="5380" w:val="left"/>
          <w:tab w:leader="none" w:pos="5720" w:val="left"/>
        </w:tabs>
        <w:rPr>
          <w:sz w:val="20"/>
          <w:szCs w:val="20"/>
          <w:color w:val="auto"/>
        </w:rPr>
      </w:pPr>
      <w:r>
        <w:rPr>
          <w:rFonts w:ascii="Arial" w:cs="Arial" w:eastAsia="Arial" w:hAnsi="Arial"/>
          <w:sz w:val="18"/>
          <w:szCs w:val="18"/>
          <w:color w:val="auto"/>
        </w:rPr>
        <w:t>TR.com</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1A7EE5"/>
        </w:rPr>
        <w:t>https://ir.thomsonreuters.com/corporate-</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1A7EE5"/>
        </w:rPr>
        <w:t>Reuters.Ethics@thomsonreuters.com</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1A7EE5"/>
        </w:rPr>
        <w:t>governance/code-conduct</w:t>
      </w:r>
    </w:p>
    <w:p>
      <w:pPr>
        <w:sectPr>
          <w:pgSz w:w="11900" w:h="16838" w:orient="portrait"/>
          <w:cols w:equalWidth="0" w:num="1">
            <w:col w:w="10820"/>
          </w:cols>
          <w:pgMar w:left="540" w:top="248" w:right="539" w:bottom="1440" w:gutter="0" w:footer="0" w:header="0"/>
        </w:sectPr>
      </w:pPr>
    </w:p>
    <w:p>
      <w:pPr>
        <w:spacing w:after="0" w:line="82" w:lineRule="exact"/>
        <w:rPr>
          <w:sz w:val="20"/>
          <w:szCs w:val="20"/>
          <w:color w:val="auto"/>
        </w:rPr>
      </w:pPr>
    </w:p>
    <w:p>
      <w:pPr>
        <w:ind w:right="660"/>
        <w:spacing w:after="0" w:line="259" w:lineRule="auto"/>
        <w:rPr>
          <w:sz w:val="20"/>
          <w:szCs w:val="20"/>
          <w:color w:val="auto"/>
        </w:rPr>
      </w:pPr>
      <w:r>
        <w:rPr>
          <w:rFonts w:ascii="Arial" w:cs="Arial" w:eastAsia="Arial" w:hAnsi="Arial"/>
          <w:sz w:val="18"/>
          <w:szCs w:val="18"/>
          <w:color w:val="auto"/>
        </w:rPr>
        <w:t xml:space="preserve">TR Intranet: </w:t>
      </w:r>
      <w:r>
        <w:rPr>
          <w:rFonts w:ascii="Arial" w:cs="Arial" w:eastAsia="Arial" w:hAnsi="Arial"/>
          <w:sz w:val="18"/>
          <w:szCs w:val="18"/>
          <w:color w:val="1A7EE5"/>
        </w:rPr>
        <w:t>https://trten.sharepoint.com/sites/intr-code-of-business-conduct-and-ethics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2615565</wp:posOffset>
            </wp:positionH>
            <wp:positionV relativeFrom="paragraph">
              <wp:posOffset>114300</wp:posOffset>
            </wp:positionV>
            <wp:extent cx="647700" cy="6477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647700" cy="64770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Ethics Hotline</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Webform: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1A7EE5"/>
        </w:rPr>
        <w:t>http://www.thomsonreuters. ethicspoint.com</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TR Intranet:</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1A7EE5"/>
        </w:rPr>
        <w:t>https://trten.sharepoint.com/sites/intr-business-conduct-and-ethics-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1A7EE5"/>
        </w:rPr>
        <w:t>hotline</w:t>
      </w:r>
    </w:p>
    <w:p>
      <w:pPr>
        <w:spacing w:after="0" w:line="5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1A7EE5"/>
        </w:rPr>
        <w:t xml:space="preserve">+1.877.373.8837 </w:t>
      </w:r>
      <w:r>
        <w:rPr>
          <w:rFonts w:ascii="Arial" w:cs="Arial" w:eastAsia="Arial" w:hAnsi="Arial"/>
          <w:sz w:val="18"/>
          <w:szCs w:val="18"/>
          <w:color w:val="000000"/>
        </w:rPr>
        <w:t>(outside of the United States and Canada, dial</w:t>
      </w:r>
      <w:r>
        <w:rPr>
          <w:rFonts w:ascii="Arial" w:cs="Arial" w:eastAsia="Arial" w:hAnsi="Arial"/>
          <w:sz w:val="18"/>
          <w:szCs w:val="18"/>
          <w:color w:val="1A7EE5"/>
        </w:rPr>
        <w:t xml:space="preserve"> </w:t>
      </w:r>
      <w:r>
        <w:rPr>
          <w:rFonts w:ascii="Arial" w:cs="Arial" w:eastAsia="Arial" w:hAnsi="Arial"/>
          <w:sz w:val="18"/>
          <w:szCs w:val="18"/>
          <w:color w:val="000000"/>
        </w:rPr>
        <w:t>your country access number first to dial toll-free)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Counsel’s Office - Legal Front Door</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1A7EE5"/>
        </w:rPr>
        <w:t>https://trten.sharepoint.com/sites/intr-general- counsel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Compliance</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1A7EE5"/>
        </w:rPr>
        <w:t>echelp@thomsonreuters.com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Records &amp; Information Governance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1A7EE5"/>
        </w:rPr>
        <w:t>echelp@thomsonreuters.com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Office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1A7EE5"/>
        </w:rPr>
        <w:t>privacy.enquiries@thomsonreuters.com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Compliance and Audit Department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1A7EE5"/>
        </w:rPr>
        <w:t>corporatecompliance@thomsonreuters.com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87630</wp:posOffset>
            </wp:positionV>
            <wp:extent cx="967740" cy="32829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967740" cy="328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color w:val="auto"/>
        </w:rPr>
        <w:t xml:space="preserve">Human Resources Contacts for Employees and Managers </w:t>
      </w:r>
      <w:r>
        <w:rPr>
          <w:rFonts w:ascii="Arial" w:cs="Arial" w:eastAsia="Arial" w:hAnsi="Arial"/>
          <w:sz w:val="18"/>
          <w:szCs w:val="18"/>
          <w:color w:val="1A7EE5"/>
        </w:rPr>
        <w:t>https://trten.sharepoint.com/sites/intr-hr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Security</w:t>
      </w:r>
    </w:p>
    <w:p>
      <w:pPr>
        <w:spacing w:after="0" w:line="23" w:lineRule="exact"/>
        <w:rPr>
          <w:sz w:val="20"/>
          <w:szCs w:val="20"/>
          <w:color w:val="auto"/>
        </w:rPr>
      </w:pPr>
    </w:p>
    <w:p>
      <w:pPr>
        <w:ind w:right="1300"/>
        <w:spacing w:after="0"/>
        <w:rPr>
          <w:sz w:val="20"/>
          <w:szCs w:val="20"/>
          <w:color w:val="auto"/>
        </w:rPr>
      </w:pPr>
      <w:r>
        <w:rPr>
          <w:rFonts w:ascii="Arial" w:cs="Arial" w:eastAsia="Arial" w:hAnsi="Arial"/>
          <w:sz w:val="18"/>
          <w:szCs w:val="18"/>
          <w:color w:val="1A7EE5"/>
        </w:rPr>
        <w:t>https://trten.sharepoint.com/sites/intr-global-real-estate/SitePages/Global-Security.aspx</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Operations Center (SOC) for Security Emergencies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1A7EE5"/>
        </w:rPr>
        <w:t>SecurityOps@thomsonreuters.com</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1A7EE5"/>
        </w:rPr>
        <w:t>+1 651 848 8835</w:t>
      </w:r>
    </w:p>
    <w:p>
      <w:pPr>
        <w:spacing w:after="0" w:line="310" w:lineRule="exact"/>
        <w:rPr>
          <w:sz w:val="20"/>
          <w:szCs w:val="20"/>
          <w:color w:val="auto"/>
        </w:rPr>
      </w:pPr>
    </w:p>
    <w:p>
      <w:pPr>
        <w:ind w:right="1400"/>
        <w:spacing w:after="0" w:line="288" w:lineRule="auto"/>
        <w:rPr>
          <w:sz w:val="20"/>
          <w:szCs w:val="20"/>
          <w:color w:val="auto"/>
        </w:rPr>
      </w:pPr>
      <w:r>
        <w:rPr>
          <w:rFonts w:ascii="Arial" w:cs="Arial" w:eastAsia="Arial" w:hAnsi="Arial"/>
          <w:sz w:val="17"/>
          <w:szCs w:val="17"/>
          <w:color w:val="1A7EE5"/>
        </w:rPr>
        <w:t>https://thomsonreuters.ethicspointvp.com/custo m/thomsonreuters/en/sec/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1A7EE5"/>
        </w:rPr>
        <w:t>tr.ehs@thomsonreuters.com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 Global Service Desk</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1A7EE5"/>
        </w:rPr>
        <w:t>https://thomsonreuters.service- now.com/sp/?id=index</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Security Risk Management (ISRM)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1A7EE5"/>
        </w:rPr>
        <w:t>security@thomsonreuters.com</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 Communications Team</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1A7EE5"/>
        </w:rPr>
        <w:t>MediaRelations@thomsonreuters.com</w:t>
      </w:r>
    </w:p>
    <w:p>
      <w:pPr>
        <w:spacing w:after="0" w:line="822" w:lineRule="exact"/>
        <w:rPr>
          <w:sz w:val="20"/>
          <w:szCs w:val="20"/>
          <w:color w:val="auto"/>
        </w:rPr>
      </w:pPr>
    </w:p>
    <w:p>
      <w:pPr>
        <w:sectPr>
          <w:pgSz w:w="11900" w:h="16838" w:orient="portrait"/>
          <w:cols w:equalWidth="0" w:num="2">
            <w:col w:w="5200" w:space="540"/>
            <w:col w:w="5080"/>
          </w:cols>
          <w:pgMar w:left="540" w:top="248" w:right="539" w:bottom="1440" w:gutter="0" w:footer="0" w:header="0"/>
          <w:type w:val="continuous"/>
        </w:sectPr>
      </w:pPr>
    </w:p>
    <w:p>
      <w:pPr>
        <w:spacing w:after="0" w:line="222" w:lineRule="exact"/>
        <w:rPr>
          <w:sz w:val="20"/>
          <w:szCs w:val="20"/>
          <w:color w:val="auto"/>
        </w:rPr>
      </w:pPr>
    </w:p>
    <w:tbl>
      <w:tblPr>
        <w:tblLayout w:type="fixed"/>
        <w:tblInd w:w="4360" w:type="dxa"/>
        <w:tblCellMar>
          <w:top w:w="0" w:type="dxa"/>
          <w:left w:w="0" w:type="dxa"/>
          <w:bottom w:w="0" w:type="dxa"/>
          <w:right w:w="0" w:type="dxa"/>
        </w:tblCellMar>
      </w:tblPr>
      <w:tr>
        <w:trPr>
          <w:trHeight w:val="256"/>
        </w:trPr>
        <w:tc>
          <w:tcPr>
            <w:tcW w:w="4220" w:type="dxa"/>
            <w:vAlign w:val="bottom"/>
          </w:tcPr>
          <w:p>
            <w:pPr>
              <w:spacing w:after="0"/>
              <w:rPr>
                <w:sz w:val="20"/>
                <w:szCs w:val="20"/>
                <w:color w:val="auto"/>
              </w:rPr>
            </w:pPr>
            <w:r>
              <w:rPr>
                <w:rFonts w:ascii="Arial" w:cs="Arial" w:eastAsia="Arial" w:hAnsi="Arial"/>
                <w:sz w:val="19"/>
                <w:szCs w:val="19"/>
                <w:color w:val="auto"/>
              </w:rPr>
              <w:t>© 2024 Thomson Reuters</w:t>
            </w:r>
          </w:p>
        </w:tc>
        <w:tc>
          <w:tcPr>
            <w:tcW w:w="2240" w:type="dxa"/>
            <w:vAlign w:val="bottom"/>
          </w:tcPr>
          <w:p>
            <w:pPr>
              <w:jc w:val="right"/>
              <w:spacing w:after="0"/>
              <w:rPr>
                <w:sz w:val="20"/>
                <w:szCs w:val="20"/>
                <w:color w:val="auto"/>
              </w:rPr>
            </w:pPr>
            <w:r>
              <w:rPr>
                <w:rFonts w:ascii="Arial" w:cs="Arial" w:eastAsia="Arial" w:hAnsi="Arial"/>
                <w:sz w:val="19"/>
                <w:szCs w:val="19"/>
                <w:color w:val="auto"/>
              </w:rPr>
              <w:t>52</w:t>
            </w:r>
          </w:p>
        </w:tc>
      </w:tr>
    </w:tbl>
    <w:p>
      <w:pPr>
        <w:sectPr>
          <w:pgSz w:w="11900" w:h="16838" w:orient="portrait"/>
          <w:cols w:equalWidth="0" w:num="1">
            <w:col w:w="10820"/>
          </w:cols>
          <w:pgMar w:left="540" w:top="248" w:right="539" w:bottom="1440" w:gutter="0" w:footer="0" w:header="0"/>
          <w:type w:val="continuous"/>
        </w:sectPr>
      </w:pPr>
    </w:p>
    <w:bookmarkStart w:id="233" w:name="page234"/>
    <w:bookmarkEnd w:id="233"/>
    <w:p>
      <w:pPr>
        <w:spacing w:after="0"/>
        <w:rPr>
          <w:sz w:val="20"/>
          <w:szCs w:val="20"/>
          <w:color w:val="auto"/>
        </w:rPr>
      </w:pPr>
      <w:r>
        <w:rPr>
          <w:rFonts w:ascii="Arial" w:cs="Arial" w:eastAsia="Arial" w:hAnsi="Arial"/>
          <w:sz w:val="35"/>
          <w:szCs w:val="35"/>
          <w:b w:val="1"/>
          <w:bCs w:val="1"/>
          <w:color w:val="D64000"/>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Legal notice</w:t>
      </w:r>
    </w:p>
    <w:p>
      <w:pPr>
        <w:spacing w:after="0" w:line="236" w:lineRule="exact"/>
        <w:rPr>
          <w:sz w:val="20"/>
          <w:szCs w:val="20"/>
          <w:color w:val="auto"/>
        </w:rPr>
      </w:pPr>
    </w:p>
    <w:p>
      <w:pPr>
        <w:ind w:right="60"/>
        <w:spacing w:after="0" w:line="253" w:lineRule="auto"/>
        <w:rPr>
          <w:sz w:val="20"/>
          <w:szCs w:val="20"/>
          <w:color w:val="auto"/>
        </w:rPr>
      </w:pPr>
      <w:r>
        <w:rPr>
          <w:rFonts w:ascii="Arial" w:cs="Arial" w:eastAsia="Arial" w:hAnsi="Arial"/>
          <w:sz w:val="19"/>
          <w:szCs w:val="19"/>
          <w:color w:val="auto"/>
        </w:rPr>
        <w:t>This Code serves as a reference to you. Thomson Reuters reserves the right to modify, suspend or revoke this Code and any and all policies, procedures and programs in whole or in part, at any time, with or without notice. Thomson Reuters also reserves the right to interpret this Code and these policies in its sole discretion as it deems appropriate.</w:t>
      </w:r>
    </w:p>
    <w:p>
      <w:pPr>
        <w:spacing w:after="0" w:line="157"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Neither this Code nor any statements made by any employee of Thomson Reuters, whether oral or written, confer any rights, privileges or benefits on any employee, create an entitlement to continued employment at Thomson Reuters, establish conditions of employment or create an express or implied employment contract of any kind between employees and Thomson Reuters. In addition, all employees should understand that this Code does not modify their employment relationship, whether at will or governed by a written contract.</w:t>
      </w:r>
    </w:p>
    <w:p>
      <w:pPr>
        <w:spacing w:after="0" w:line="164" w:lineRule="exact"/>
        <w:rPr>
          <w:sz w:val="20"/>
          <w:szCs w:val="20"/>
          <w:color w:val="auto"/>
        </w:rPr>
      </w:pPr>
    </w:p>
    <w:p>
      <w:pPr>
        <w:ind w:right="60"/>
        <w:spacing w:after="0" w:line="254" w:lineRule="auto"/>
        <w:rPr>
          <w:sz w:val="20"/>
          <w:szCs w:val="20"/>
          <w:color w:val="auto"/>
        </w:rPr>
      </w:pPr>
      <w:r>
        <w:rPr>
          <w:rFonts w:ascii="Arial" w:cs="Arial" w:eastAsia="Arial" w:hAnsi="Arial"/>
          <w:sz w:val="19"/>
          <w:szCs w:val="19"/>
          <w:color w:val="auto"/>
        </w:rPr>
        <w:t xml:space="preserve">The version of this Code that appears online at </w:t>
      </w:r>
      <w:r>
        <w:rPr>
          <w:rFonts w:ascii="Arial" w:cs="Arial" w:eastAsia="Arial" w:hAnsi="Arial"/>
          <w:sz w:val="19"/>
          <w:szCs w:val="19"/>
          <w:b w:val="1"/>
          <w:bCs w:val="1"/>
          <w:color w:val="D64000"/>
        </w:rPr>
        <w:t>www.thomsonreuters.com</w:t>
      </w:r>
      <w:r>
        <w:rPr>
          <w:rFonts w:ascii="Arial" w:cs="Arial" w:eastAsia="Arial" w:hAnsi="Arial"/>
          <w:sz w:val="19"/>
          <w:szCs w:val="19"/>
          <w:color w:val="auto"/>
        </w:rPr>
        <w:t xml:space="preserve"> may be more current and up-to-date and supersedes any paper copies or previous versions should there be any discrepancy between paper copies, previous versions and what is posted online.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color w:val="D64000"/>
        </w:rPr>
        <w:t>Thomson Reuters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D64000"/>
        </w:rPr>
        <w:t>www.thomsonreuters.com</w:t>
      </w:r>
    </w:p>
    <w:p>
      <w:pPr>
        <w:sectPr>
          <w:pgSz w:w="11900" w:h="16838" w:orient="portrait"/>
          <w:cols w:equalWidth="0" w:num="1">
            <w:col w:w="10800"/>
          </w:cols>
          <w:pgMar w:left="540" w:top="248" w:right="55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21"/>
          <w:szCs w:val="21"/>
          <w:b w:val="1"/>
          <w:bCs w:val="1"/>
          <w:color w:val="auto"/>
        </w:rPr>
        <w:t>Exhibit 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32"/>
          <w:szCs w:val="32"/>
          <w:b w:val="1"/>
          <w:bCs w:val="1"/>
          <w:color w:val="auto"/>
        </w:rPr>
        <w:t>THOMSON REUTERS</w:t>
      </w:r>
    </w:p>
    <w:p>
      <w:pPr>
        <w:spacing w:after="0" w:line="255"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31"/>
          <w:szCs w:val="31"/>
          <w:b w:val="1"/>
          <w:bCs w:val="1"/>
          <w:color w:val="auto"/>
        </w:rPr>
        <w:t>AUDIT COMMITTEE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5"/>
          <w:szCs w:val="25"/>
          <w:b w:val="1"/>
          <w:bCs w:val="1"/>
          <w:color w:val="auto"/>
        </w:rPr>
        <w:t>A</w:t>
      </w:r>
      <w:r>
        <w:rPr>
          <w:rFonts w:ascii="Times New Roman" w:cs="Times New Roman" w:eastAsia="Times New Roman" w:hAnsi="Times New Roman"/>
          <w:sz w:val="20"/>
          <w:szCs w:val="20"/>
          <w:b w:val="1"/>
          <w:bCs w:val="1"/>
          <w:color w:val="auto"/>
        </w:rPr>
        <w:t>DOPTED EFFECTIVE</w:t>
      </w:r>
    </w:p>
    <w:p>
      <w:pPr>
        <w:spacing w:after="0" w:line="5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5"/>
          <w:szCs w:val="25"/>
          <w:b w:val="1"/>
          <w:bCs w:val="1"/>
          <w:color w:val="auto"/>
        </w:rPr>
        <w:t>F</w:t>
      </w:r>
      <w:r>
        <w:rPr>
          <w:rFonts w:ascii="Times New Roman" w:cs="Times New Roman" w:eastAsia="Times New Roman" w:hAnsi="Times New Roman"/>
          <w:sz w:val="20"/>
          <w:szCs w:val="20"/>
          <w:b w:val="1"/>
          <w:bCs w:val="1"/>
          <w:color w:val="auto"/>
        </w:rPr>
        <w:t>EBRUARY</w:t>
      </w:r>
      <w:r>
        <w:rPr>
          <w:rFonts w:ascii="Times New Roman" w:cs="Times New Roman" w:eastAsia="Times New Roman" w:hAnsi="Times New Roman"/>
          <w:sz w:val="25"/>
          <w:szCs w:val="25"/>
          <w:b w:val="1"/>
          <w:bCs w:val="1"/>
          <w:color w:val="auto"/>
        </w:rPr>
        <w:t xml:space="preserve"> 25, 2025</w:t>
      </w:r>
    </w:p>
    <w:p>
      <w:pPr>
        <w:sectPr>
          <w:pgSz w:w="11900" w:h="16838" w:orient="portrait"/>
          <w:cols w:equalWidth="0" w:num="1">
            <w:col w:w="9920"/>
          </w:cols>
          <w:pgMar w:left="1440" w:top="110" w:right="539" w:bottom="1440" w:gutter="0" w:footer="0" w:header="0"/>
        </w:sectPr>
      </w:pPr>
    </w:p>
    <w:bookmarkStart w:id="235" w:name="page236"/>
    <w:bookmarkEnd w:id="235"/>
    <w:p>
      <w:pPr>
        <w:jc w:val="center"/>
        <w:ind w:right="-199"/>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i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326"/>
        </w:trPr>
        <w:tc>
          <w:tcPr>
            <w:tcW w:w="480" w:type="dxa"/>
            <w:vAlign w:val="bottom"/>
          </w:tcPr>
          <w:p>
            <w:pPr>
              <w:spacing w:after="0"/>
              <w:rPr>
                <w:sz w:val="24"/>
                <w:szCs w:val="24"/>
                <w:color w:val="auto"/>
              </w:rPr>
            </w:pPr>
          </w:p>
        </w:tc>
        <w:tc>
          <w:tcPr>
            <w:tcW w:w="8160" w:type="dxa"/>
            <w:vAlign w:val="bottom"/>
          </w:tcPr>
          <w:p>
            <w:pPr>
              <w:ind w:left="3660"/>
              <w:spacing w:after="0"/>
              <w:rPr>
                <w:sz w:val="20"/>
                <w:szCs w:val="20"/>
                <w:color w:val="auto"/>
              </w:rPr>
            </w:pPr>
            <w:r>
              <w:rPr>
                <w:rFonts w:ascii="Times New Roman" w:cs="Times New Roman" w:eastAsia="Times New Roman" w:hAnsi="Times New Roman"/>
                <w:sz w:val="25"/>
                <w:szCs w:val="25"/>
                <w:b w:val="1"/>
                <w:bCs w:val="1"/>
                <w:color w:val="auto"/>
              </w:rPr>
              <w:t>TABLE OF CONTENTS</w:t>
            </w:r>
          </w:p>
        </w:tc>
        <w:tc>
          <w:tcPr>
            <w:tcW w:w="1960" w:type="dxa"/>
            <w:vAlign w:val="bottom"/>
          </w:tcPr>
          <w:p>
            <w:pPr>
              <w:spacing w:after="0"/>
              <w:rPr>
                <w:sz w:val="24"/>
                <w:szCs w:val="24"/>
                <w:color w:val="auto"/>
              </w:rPr>
            </w:pPr>
          </w:p>
        </w:tc>
      </w:tr>
      <w:tr>
        <w:trPr>
          <w:trHeight w:val="507"/>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1.</w:t>
            </w:r>
          </w:p>
        </w:tc>
        <w:tc>
          <w:tcPr>
            <w:tcW w:w="8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PURPOSE</w:t>
            </w:r>
          </w:p>
        </w:tc>
        <w:tc>
          <w:tcPr>
            <w:tcW w:w="1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451"/>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2.</w:t>
            </w:r>
          </w:p>
        </w:tc>
        <w:tc>
          <w:tcPr>
            <w:tcW w:w="8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MEMBERS</w:t>
            </w:r>
          </w:p>
        </w:tc>
        <w:tc>
          <w:tcPr>
            <w:tcW w:w="1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450"/>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3.</w:t>
            </w:r>
          </w:p>
        </w:tc>
        <w:tc>
          <w:tcPr>
            <w:tcW w:w="8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RESPONSIBILITIES</w:t>
            </w:r>
          </w:p>
        </w:tc>
        <w:tc>
          <w:tcPr>
            <w:tcW w:w="1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451"/>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4.</w:t>
            </w:r>
          </w:p>
        </w:tc>
        <w:tc>
          <w:tcPr>
            <w:tcW w:w="8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COMPLAINTS PROCEDURE</w:t>
            </w:r>
          </w:p>
        </w:tc>
        <w:tc>
          <w:tcPr>
            <w:tcW w:w="1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w:t>
            </w:r>
          </w:p>
        </w:tc>
      </w:tr>
      <w:tr>
        <w:trPr>
          <w:trHeight w:val="450"/>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5.</w:t>
            </w:r>
          </w:p>
        </w:tc>
        <w:tc>
          <w:tcPr>
            <w:tcW w:w="8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REPORTING AND DISCLOSURE</w:t>
            </w:r>
          </w:p>
        </w:tc>
        <w:tc>
          <w:tcPr>
            <w:tcW w:w="1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w:t>
            </w:r>
          </w:p>
        </w:tc>
      </w:tr>
      <w:tr>
        <w:trPr>
          <w:trHeight w:val="451"/>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6.</w:t>
            </w:r>
          </w:p>
        </w:tc>
        <w:tc>
          <w:tcPr>
            <w:tcW w:w="8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REVIEW</w:t>
            </w:r>
          </w:p>
        </w:tc>
        <w:tc>
          <w:tcPr>
            <w:tcW w:w="1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w:t>
            </w:r>
          </w:p>
        </w:tc>
      </w:tr>
      <w:tr>
        <w:trPr>
          <w:trHeight w:val="450"/>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7.</w:t>
            </w:r>
          </w:p>
        </w:tc>
        <w:tc>
          <w:tcPr>
            <w:tcW w:w="8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ASSESSMENT</w:t>
            </w:r>
          </w:p>
        </w:tc>
        <w:tc>
          <w:tcPr>
            <w:tcW w:w="1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w:t>
            </w:r>
          </w:p>
        </w:tc>
      </w:tr>
      <w:tr>
        <w:trPr>
          <w:trHeight w:val="451"/>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8.</w:t>
            </w:r>
          </w:p>
        </w:tc>
        <w:tc>
          <w:tcPr>
            <w:tcW w:w="8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MEETINGS</w:t>
            </w:r>
          </w:p>
        </w:tc>
        <w:tc>
          <w:tcPr>
            <w:tcW w:w="1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w:t>
            </w:r>
          </w:p>
        </w:tc>
      </w:tr>
      <w:tr>
        <w:trPr>
          <w:trHeight w:val="451"/>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9.</w:t>
            </w:r>
          </w:p>
        </w:tc>
        <w:tc>
          <w:tcPr>
            <w:tcW w:w="8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CHAIR</w:t>
            </w:r>
          </w:p>
        </w:tc>
        <w:tc>
          <w:tcPr>
            <w:tcW w:w="1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r>
      <w:tr>
        <w:trPr>
          <w:trHeight w:val="450"/>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10.</w:t>
            </w:r>
          </w:p>
        </w:tc>
        <w:tc>
          <w:tcPr>
            <w:tcW w:w="8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REMOVAL AND VACANCIES</w:t>
            </w:r>
          </w:p>
        </w:tc>
        <w:tc>
          <w:tcPr>
            <w:tcW w:w="1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r>
      <w:tr>
        <w:trPr>
          <w:trHeight w:val="450"/>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11.</w:t>
            </w:r>
          </w:p>
        </w:tc>
        <w:tc>
          <w:tcPr>
            <w:tcW w:w="8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ACCESS TO MANAGEMENT AND OUTSIDE ADVISORS</w:t>
            </w:r>
          </w:p>
        </w:tc>
        <w:tc>
          <w:tcPr>
            <w:tcW w:w="1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r>
      <w:tr>
        <w:trPr>
          <w:trHeight w:val="451"/>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12.</w:t>
            </w:r>
          </w:p>
        </w:tc>
        <w:tc>
          <w:tcPr>
            <w:tcW w:w="81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DEFINITIONS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r>
    </w:tbl>
    <w:p>
      <w:pPr>
        <w:sectPr>
          <w:pgSz w:w="11900" w:h="16838" w:orient="portrait"/>
          <w:cols w:equalWidth="0" w:num="1">
            <w:col w:w="10600"/>
          </w:cols>
          <w:pgMar w:left="540" w:top="404" w:right="759" w:bottom="1440" w:gutter="0" w:footer="0" w:header="0"/>
        </w:sectPr>
      </w:pPr>
    </w:p>
    <w:bookmarkStart w:id="236" w:name="page237"/>
    <w:bookmarkEnd w:id="236"/>
    <w:p>
      <w:pPr>
        <w:jc w:val="center"/>
        <w:ind w:right="-1"/>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- 1 -</w:t>
      </w:r>
    </w:p>
    <w:p>
      <w:pPr>
        <w:spacing w:after="0" w:line="200" w:lineRule="exact"/>
        <w:rPr>
          <w:sz w:val="20"/>
          <w:szCs w:val="20"/>
          <w:color w:val="auto"/>
        </w:rPr>
      </w:pPr>
    </w:p>
    <w:p>
      <w:pPr>
        <w:spacing w:after="0" w:line="28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5"/>
          <w:szCs w:val="25"/>
          <w:b w:val="1"/>
          <w:bCs w:val="1"/>
          <w:color w:val="auto"/>
        </w:rPr>
        <w:t>THOMSON REUTERS</w:t>
      </w:r>
    </w:p>
    <w:p>
      <w:pPr>
        <w:spacing w:after="0" w:line="2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1"/>
          <w:szCs w:val="21"/>
          <w:b w:val="1"/>
          <w:bCs w:val="1"/>
          <w:color w:val="auto"/>
        </w:rPr>
        <w:t>AUDIT COMMITTEE CHARTER</w:t>
      </w:r>
    </w:p>
    <w:p>
      <w:pPr>
        <w:spacing w:after="0" w:line="236" w:lineRule="exact"/>
        <w:rPr>
          <w:sz w:val="20"/>
          <w:szCs w:val="20"/>
          <w:color w:val="auto"/>
        </w:rPr>
      </w:pPr>
    </w:p>
    <w:p>
      <w:pPr>
        <w:ind w:left="522" w:hanging="522"/>
        <w:spacing w:after="0"/>
        <w:tabs>
          <w:tab w:leader="none" w:pos="522" w:val="left"/>
        </w:tabs>
        <w:numPr>
          <w:ilvl w:val="0"/>
          <w:numId w:val="23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PURPOSE</w:t>
      </w:r>
    </w:p>
    <w:p>
      <w:pPr>
        <w:spacing w:after="0" w:line="213" w:lineRule="exact"/>
        <w:rPr>
          <w:rFonts w:ascii="Times New Roman" w:cs="Times New Roman" w:eastAsia="Times New Roman" w:hAnsi="Times New Roman"/>
          <w:sz w:val="21"/>
          <w:szCs w:val="21"/>
          <w:b w:val="1"/>
          <w:bCs w:val="1"/>
          <w:color w:val="auto"/>
        </w:rPr>
      </w:pPr>
    </w:p>
    <w:p>
      <w:pPr>
        <w:ind w:left="542"/>
        <w:spacing w:after="0" w:line="272"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Audit Committee is responsible for assisting the Board of Directors (the “Board”) of Thomson Reuters Corporation (the “Corporation”) in fulfilling its oversight responsibilities in relation to:</w:t>
      </w:r>
    </w:p>
    <w:p>
      <w:pPr>
        <w:spacing w:after="0" w:line="168" w:lineRule="exact"/>
        <w:rPr>
          <w:rFonts w:ascii="Times New Roman" w:cs="Times New Roman" w:eastAsia="Times New Roman" w:hAnsi="Times New Roman"/>
          <w:sz w:val="21"/>
          <w:szCs w:val="21"/>
          <w:b w:val="1"/>
          <w:bCs w:val="1"/>
          <w:color w:val="auto"/>
        </w:rPr>
      </w:pPr>
    </w:p>
    <w:p>
      <w:pPr>
        <w:ind w:left="1282" w:hanging="527"/>
        <w:spacing w:after="0" w:line="272" w:lineRule="auto"/>
        <w:tabs>
          <w:tab w:leader="none" w:pos="1282"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the integrity of financial statements and other financial information relating to the Corporation and its subsidiaries (collectively, “Thomson Reuters”);</w:t>
      </w:r>
    </w:p>
    <w:p>
      <w:pPr>
        <w:spacing w:after="0" w:line="141" w:lineRule="exact"/>
        <w:rPr>
          <w:rFonts w:ascii="Times New Roman" w:cs="Times New Roman" w:eastAsia="Times New Roman" w:hAnsi="Times New Roman"/>
          <w:sz w:val="18"/>
          <w:szCs w:val="18"/>
          <w:color w:val="auto"/>
        </w:rPr>
      </w:pPr>
    </w:p>
    <w:p>
      <w:pPr>
        <w:ind w:left="1282" w:hanging="527"/>
        <w:spacing w:after="0"/>
        <w:tabs>
          <w:tab w:leader="none" w:pos="1282"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the qualifications, independence and performance of Thomson Reuters auditor;</w:t>
      </w:r>
    </w:p>
    <w:p>
      <w:pPr>
        <w:spacing w:after="0" w:line="209" w:lineRule="exact"/>
        <w:rPr>
          <w:rFonts w:ascii="Times New Roman" w:cs="Times New Roman" w:eastAsia="Times New Roman" w:hAnsi="Times New Roman"/>
          <w:sz w:val="18"/>
          <w:szCs w:val="18"/>
          <w:color w:val="auto"/>
        </w:rPr>
      </w:pPr>
    </w:p>
    <w:p>
      <w:pPr>
        <w:ind w:left="1282" w:hanging="527"/>
        <w:spacing w:after="0" w:line="272" w:lineRule="auto"/>
        <w:tabs>
          <w:tab w:leader="none" w:pos="1282"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the adequacy and effectiveness of Thomson Reuters internal control over financial reporting and disclosure controls and procedures;</w:t>
      </w:r>
    </w:p>
    <w:p>
      <w:pPr>
        <w:spacing w:after="0" w:line="141" w:lineRule="exact"/>
        <w:rPr>
          <w:rFonts w:ascii="Times New Roman" w:cs="Times New Roman" w:eastAsia="Times New Roman" w:hAnsi="Times New Roman"/>
          <w:sz w:val="18"/>
          <w:szCs w:val="18"/>
          <w:color w:val="auto"/>
        </w:rPr>
      </w:pPr>
    </w:p>
    <w:p>
      <w:pPr>
        <w:ind w:left="1282" w:hanging="527"/>
        <w:spacing w:after="0"/>
        <w:tabs>
          <w:tab w:leader="none" w:pos="1282"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the effectiveness of Thomson Reuters internal audit function;</w:t>
      </w:r>
    </w:p>
    <w:p>
      <w:pPr>
        <w:spacing w:after="0" w:line="209" w:lineRule="exact"/>
        <w:rPr>
          <w:rFonts w:ascii="Times New Roman" w:cs="Times New Roman" w:eastAsia="Times New Roman" w:hAnsi="Times New Roman"/>
          <w:sz w:val="18"/>
          <w:szCs w:val="18"/>
          <w:color w:val="auto"/>
        </w:rPr>
      </w:pPr>
    </w:p>
    <w:p>
      <w:pPr>
        <w:ind w:left="1282" w:hanging="527"/>
        <w:spacing w:after="0"/>
        <w:tabs>
          <w:tab w:leader="none" w:pos="1282"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the assessment and management of risk;</w:t>
      </w:r>
    </w:p>
    <w:p>
      <w:pPr>
        <w:spacing w:after="0" w:line="209" w:lineRule="exact"/>
        <w:rPr>
          <w:rFonts w:ascii="Times New Roman" w:cs="Times New Roman" w:eastAsia="Times New Roman" w:hAnsi="Times New Roman"/>
          <w:sz w:val="18"/>
          <w:szCs w:val="18"/>
          <w:color w:val="auto"/>
        </w:rPr>
      </w:pPr>
    </w:p>
    <w:p>
      <w:pPr>
        <w:ind w:left="1282" w:hanging="527"/>
        <w:spacing w:after="0"/>
        <w:tabs>
          <w:tab w:leader="none" w:pos="1282"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disclosures related to environmental, social and governance (“ESG”) matters; and</w:t>
      </w:r>
    </w:p>
    <w:p>
      <w:pPr>
        <w:spacing w:after="0" w:line="209" w:lineRule="exact"/>
        <w:rPr>
          <w:rFonts w:ascii="Times New Roman" w:cs="Times New Roman" w:eastAsia="Times New Roman" w:hAnsi="Times New Roman"/>
          <w:sz w:val="18"/>
          <w:szCs w:val="18"/>
          <w:color w:val="auto"/>
        </w:rPr>
      </w:pPr>
    </w:p>
    <w:p>
      <w:pPr>
        <w:ind w:left="1282" w:hanging="527"/>
        <w:spacing w:after="0"/>
        <w:tabs>
          <w:tab w:leader="none" w:pos="1282"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any additional matters delegated to the Audit Committee by the Board.</w:t>
      </w:r>
    </w:p>
    <w:p>
      <w:pPr>
        <w:spacing w:after="0" w:line="231" w:lineRule="exact"/>
        <w:rPr>
          <w:rFonts w:ascii="Times New Roman" w:cs="Times New Roman" w:eastAsia="Times New Roman" w:hAnsi="Times New Roman"/>
          <w:sz w:val="18"/>
          <w:szCs w:val="18"/>
          <w:color w:val="auto"/>
        </w:rPr>
      </w:pPr>
    </w:p>
    <w:p>
      <w:pPr>
        <w:ind w:left="522" w:hanging="522"/>
        <w:spacing w:after="0"/>
        <w:tabs>
          <w:tab w:leader="none" w:pos="522" w:val="left"/>
        </w:tabs>
        <w:numPr>
          <w:ilvl w:val="0"/>
          <w:numId w:val="23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MEMBERS</w:t>
      </w:r>
    </w:p>
    <w:p>
      <w:pPr>
        <w:spacing w:after="0" w:line="213" w:lineRule="exact"/>
        <w:rPr>
          <w:rFonts w:ascii="Times New Roman" w:cs="Times New Roman" w:eastAsia="Times New Roman" w:hAnsi="Times New Roman"/>
          <w:sz w:val="21"/>
          <w:szCs w:val="21"/>
          <w:b w:val="1"/>
          <w:bCs w:val="1"/>
          <w:color w:val="auto"/>
        </w:rPr>
      </w:pPr>
    </w:p>
    <w:p>
      <w:pPr>
        <w:jc w:val="both"/>
        <w:ind w:left="542"/>
        <w:spacing w:after="0" w:line="248"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Board must appoint a minimum of three and a maximum of eight directors to be members of the Audit Committee. The members of the Audit Committee are selected by the Board on the recommendation of the Corporate Governance Committee. All members of the Audit Committee must meet the criteria for independence contained in applicable law and stock exchange rules and requirements.</w:t>
      </w:r>
    </w:p>
    <w:p>
      <w:pPr>
        <w:spacing w:after="0" w:line="167" w:lineRule="exact"/>
        <w:rPr>
          <w:rFonts w:ascii="Times New Roman" w:cs="Times New Roman" w:eastAsia="Times New Roman" w:hAnsi="Times New Roman"/>
          <w:sz w:val="21"/>
          <w:szCs w:val="21"/>
          <w:b w:val="1"/>
          <w:bCs w:val="1"/>
          <w:color w:val="auto"/>
        </w:rPr>
      </w:pPr>
    </w:p>
    <w:p>
      <w:pPr>
        <w:jc w:val="both"/>
        <w:ind w:left="542"/>
        <w:spacing w:after="0" w:line="24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Every member of the Audit Committee shall, in the judgment of the Board, be Financially Literate or must become Financially Literate within a reasonable period of time after appointment to the Audit Committee. In addition, in the judgment of the Board, at least one member of the Audit Committee shall have accounting or related financial management expertise (in accordance with applicable Nasdaq Stock Market rules), and at least one member shall be an Audit Committee Financial Expert.</w:t>
      </w:r>
    </w:p>
    <w:p>
      <w:pPr>
        <w:spacing w:after="0" w:line="171" w:lineRule="exact"/>
        <w:rPr>
          <w:rFonts w:ascii="Times New Roman" w:cs="Times New Roman" w:eastAsia="Times New Roman" w:hAnsi="Times New Roman"/>
          <w:sz w:val="21"/>
          <w:szCs w:val="21"/>
          <w:b w:val="1"/>
          <w:bCs w:val="1"/>
          <w:color w:val="auto"/>
        </w:rPr>
      </w:pPr>
    </w:p>
    <w:p>
      <w:pPr>
        <w:ind w:left="542"/>
        <w:spacing w:after="0" w:line="272"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Members of the Audit Committee may not serve on more than two other public company audit committees except with the prior approval of the Board.</w:t>
      </w:r>
    </w:p>
    <w:p>
      <w:pPr>
        <w:spacing w:after="0" w:line="164" w:lineRule="exact"/>
        <w:rPr>
          <w:rFonts w:ascii="Times New Roman" w:cs="Times New Roman" w:eastAsia="Times New Roman" w:hAnsi="Times New Roman"/>
          <w:sz w:val="21"/>
          <w:szCs w:val="21"/>
          <w:b w:val="1"/>
          <w:bCs w:val="1"/>
          <w:color w:val="auto"/>
        </w:rPr>
      </w:pPr>
    </w:p>
    <w:p>
      <w:pPr>
        <w:ind w:left="522" w:hanging="522"/>
        <w:spacing w:after="0"/>
        <w:tabs>
          <w:tab w:leader="none" w:pos="522" w:val="left"/>
        </w:tabs>
        <w:numPr>
          <w:ilvl w:val="0"/>
          <w:numId w:val="23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RESPONSIBILITIES</w:t>
      </w:r>
    </w:p>
    <w:p>
      <w:pPr>
        <w:spacing w:after="0" w:line="213" w:lineRule="exact"/>
        <w:rPr>
          <w:rFonts w:ascii="Times New Roman" w:cs="Times New Roman" w:eastAsia="Times New Roman" w:hAnsi="Times New Roman"/>
          <w:sz w:val="21"/>
          <w:szCs w:val="21"/>
          <w:b w:val="1"/>
          <w:bCs w:val="1"/>
          <w:color w:val="auto"/>
        </w:rPr>
      </w:pPr>
    </w:p>
    <w:p>
      <w:pPr>
        <w:jc w:val="both"/>
        <w:ind w:left="542"/>
        <w:spacing w:after="0" w:line="254"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Audit Committee is responsible for performing the duties set out below as well as any other duties that are otherwise required by applicable law or stock exchange rules and requirements or are delegated to the Audit Committee by the Board.</w:t>
      </w:r>
    </w:p>
    <w:p>
      <w:pPr>
        <w:sectPr>
          <w:pgSz w:w="11900" w:h="16838" w:orient="portrait"/>
          <w:cols w:equalWidth="0" w:num="1">
            <w:col w:w="10802"/>
          </w:cols>
          <w:pgMar w:left="538" w:top="404" w:right="559" w:bottom="1440" w:gutter="0" w:footer="0" w:header="0"/>
        </w:sectPr>
      </w:pPr>
    </w:p>
    <w:bookmarkStart w:id="237" w:name="page238"/>
    <w:bookmarkEnd w:id="237"/>
    <w:p>
      <w:pPr>
        <w:ind w:left="4680"/>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- 2 -</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   Appointment and Review of the Auditor</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color w:val="auto"/>
        </w:rPr>
        <w:t>The auditor is accountable to the Audit Committee and reports directly to the Audit Committee. Accordingly, the Audit Committee will evaluate and be directly responsible for Thomson Reuters relationship with the auditor. Specifically, the Audit Committee will:</w:t>
      </w:r>
    </w:p>
    <w:p>
      <w:pPr>
        <w:spacing w:after="0" w:line="187" w:lineRule="exact"/>
        <w:rPr>
          <w:sz w:val="20"/>
          <w:szCs w:val="20"/>
          <w:color w:val="auto"/>
        </w:rPr>
      </w:pPr>
    </w:p>
    <w:p>
      <w:pPr>
        <w:jc w:val="both"/>
        <w:ind w:left="740" w:hanging="527"/>
        <w:spacing w:after="0" w:line="254" w:lineRule="auto"/>
        <w:tabs>
          <w:tab w:leader="none" w:pos="7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select, evaluate and recommend to the Board, to put forward for shareholder approval at the annual meeting, the auditor to be proposed for appointment or reappointment, as the case may be, to prepare or issue an auditor’s report as well as perform audit, review, attest or other services for the Corporation;</w:t>
      </w:r>
    </w:p>
    <w:p>
      <w:pPr>
        <w:spacing w:after="0" w:line="160" w:lineRule="exact"/>
        <w:rPr>
          <w:rFonts w:ascii="Times New Roman" w:cs="Times New Roman" w:eastAsia="Times New Roman" w:hAnsi="Times New Roman"/>
          <w:sz w:val="18"/>
          <w:szCs w:val="18"/>
          <w:color w:val="auto"/>
        </w:rPr>
      </w:pPr>
    </w:p>
    <w:p>
      <w:pPr>
        <w:ind w:left="740" w:hanging="527"/>
        <w:spacing w:after="0"/>
        <w:tabs>
          <w:tab w:leader="none" w:pos="7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review and approve the auditor’s engagement letter;</w:t>
      </w:r>
    </w:p>
    <w:p>
      <w:pPr>
        <w:spacing w:after="0" w:line="209" w:lineRule="exact"/>
        <w:rPr>
          <w:rFonts w:ascii="Times New Roman" w:cs="Times New Roman" w:eastAsia="Times New Roman" w:hAnsi="Times New Roman"/>
          <w:sz w:val="18"/>
          <w:szCs w:val="18"/>
          <w:color w:val="auto"/>
        </w:rPr>
      </w:pPr>
    </w:p>
    <w:p>
      <w:pPr>
        <w:jc w:val="both"/>
        <w:ind w:left="740" w:hanging="527"/>
        <w:spacing w:after="0" w:line="254" w:lineRule="auto"/>
        <w:tabs>
          <w:tab w:leader="none" w:pos="7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after seeking and taking into account the views of senior management and the officer in charge of internal audit, review the independence, experience, qualifications and performance of the auditor, including the lead audit partner;</w:t>
      </w:r>
    </w:p>
    <w:p>
      <w:pPr>
        <w:spacing w:after="0" w:line="160" w:lineRule="exact"/>
        <w:rPr>
          <w:rFonts w:ascii="Times New Roman" w:cs="Times New Roman" w:eastAsia="Times New Roman" w:hAnsi="Times New Roman"/>
          <w:sz w:val="18"/>
          <w:szCs w:val="18"/>
          <w:color w:val="auto"/>
        </w:rPr>
      </w:pPr>
    </w:p>
    <w:p>
      <w:pPr>
        <w:ind w:left="740" w:hanging="527"/>
        <w:spacing w:after="0" w:line="272" w:lineRule="auto"/>
        <w:tabs>
          <w:tab w:leader="none" w:pos="7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oversee the auditor’s work, including investigating and resolving any disagreements between senior management and the auditor regarding financial reporting or the internal audit function;</w:t>
      </w:r>
    </w:p>
    <w:p>
      <w:pPr>
        <w:spacing w:after="0" w:line="141" w:lineRule="exact"/>
        <w:rPr>
          <w:rFonts w:ascii="Times New Roman" w:cs="Times New Roman" w:eastAsia="Times New Roman" w:hAnsi="Times New Roman"/>
          <w:sz w:val="18"/>
          <w:szCs w:val="18"/>
          <w:color w:val="auto"/>
        </w:rPr>
      </w:pPr>
    </w:p>
    <w:p>
      <w:pPr>
        <w:jc w:val="both"/>
        <w:ind w:left="740" w:hanging="527"/>
        <w:spacing w:after="0" w:line="248" w:lineRule="auto"/>
        <w:tabs>
          <w:tab w:leader="none" w:pos="7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at least annually, obtain and review a report by the auditor describing its internal quality-control procedures, any material issues raised by the most recent internal quality-control review, or peer review, of the firm, or by any inquiry or investigation by governmental or professional authorities, within the preceding five years, respecting one or more independent audits carried out by the auditor and any steps taken to deal with any such issues; and</w:t>
      </w:r>
    </w:p>
    <w:p>
      <w:pPr>
        <w:spacing w:after="0" w:line="167" w:lineRule="exact"/>
        <w:rPr>
          <w:rFonts w:ascii="Times New Roman" w:cs="Times New Roman" w:eastAsia="Times New Roman" w:hAnsi="Times New Roman"/>
          <w:sz w:val="18"/>
          <w:szCs w:val="18"/>
          <w:color w:val="auto"/>
        </w:rPr>
      </w:pPr>
    </w:p>
    <w:p>
      <w:pPr>
        <w:ind w:left="740" w:hanging="527"/>
        <w:spacing w:after="0"/>
        <w:tabs>
          <w:tab w:leader="none" w:pos="7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where appropriate, terminate the auditor.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   Confirmation of the Auditor’s Independence</w:t>
      </w:r>
    </w:p>
    <w:p>
      <w:pPr>
        <w:spacing w:after="0" w:line="21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1"/>
          <w:szCs w:val="21"/>
          <w:color w:val="auto"/>
        </w:rPr>
        <w:t>At least annually, and before the auditor issues its report on the Corporation’s annual consolidated financial statements, the Audit Committee will:</w:t>
      </w:r>
    </w:p>
    <w:p>
      <w:pPr>
        <w:spacing w:after="0" w:line="168" w:lineRule="exact"/>
        <w:rPr>
          <w:sz w:val="20"/>
          <w:szCs w:val="20"/>
          <w:color w:val="auto"/>
        </w:rPr>
      </w:pPr>
    </w:p>
    <w:p>
      <w:pPr>
        <w:jc w:val="both"/>
        <w:ind w:left="740" w:hanging="527"/>
        <w:spacing w:after="0" w:line="254" w:lineRule="auto"/>
        <w:tabs>
          <w:tab w:leader="none" w:pos="7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confirm that the auditor has submitted a formal written statement describing all of its relationships with Thomson Reuters that, in the auditor’s professional judgment, may reasonably be thought to bear on its independence;</w:t>
      </w:r>
    </w:p>
    <w:p>
      <w:pPr>
        <w:spacing w:after="0" w:line="160" w:lineRule="exact"/>
        <w:rPr>
          <w:rFonts w:ascii="Times New Roman" w:cs="Times New Roman" w:eastAsia="Times New Roman" w:hAnsi="Times New Roman"/>
          <w:sz w:val="18"/>
          <w:szCs w:val="18"/>
          <w:color w:val="auto"/>
        </w:rPr>
      </w:pPr>
    </w:p>
    <w:p>
      <w:pPr>
        <w:ind w:left="740" w:hanging="527"/>
        <w:spacing w:after="0" w:line="272" w:lineRule="auto"/>
        <w:tabs>
          <w:tab w:leader="none" w:pos="7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discuss with the auditor any disclosed relationships or services, including any non-audit services the auditor has provided to Thomson Reuters, that may affect its independence;</w:t>
      </w:r>
    </w:p>
    <w:p>
      <w:pPr>
        <w:spacing w:after="0" w:line="141" w:lineRule="exact"/>
        <w:rPr>
          <w:rFonts w:ascii="Times New Roman" w:cs="Times New Roman" w:eastAsia="Times New Roman" w:hAnsi="Times New Roman"/>
          <w:sz w:val="18"/>
          <w:szCs w:val="18"/>
          <w:color w:val="auto"/>
        </w:rPr>
      </w:pPr>
    </w:p>
    <w:p>
      <w:pPr>
        <w:jc w:val="both"/>
        <w:ind w:left="740" w:hanging="527"/>
        <w:spacing w:after="0" w:line="248" w:lineRule="auto"/>
        <w:tabs>
          <w:tab w:leader="none" w:pos="7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obtain written confirmation from the auditor that it is independent with respect to Thomson Reuters within the meaning of the Rules of Professional Conduct adopted by the Ontario Institute of Chartered Accountants, the standards established by the Public Company Accounting Oversight Board (“PCAOB”) and the standards established by the United States Securities and Exchange Commission; and</w:t>
      </w:r>
    </w:p>
    <w:p>
      <w:pPr>
        <w:sectPr>
          <w:pgSz w:w="11900" w:h="16838" w:orient="portrait"/>
          <w:cols w:equalWidth="0" w:num="1">
            <w:col w:w="10260"/>
          </w:cols>
          <w:pgMar w:left="1080" w:top="404" w:right="559" w:bottom="1440" w:gutter="0" w:footer="0" w:header="0"/>
        </w:sectPr>
      </w:pPr>
    </w:p>
    <w:bookmarkStart w:id="238" w:name="page239"/>
    <w:bookmarkEnd w:id="238"/>
    <w:p>
      <w:pPr>
        <w:ind w:left="4680"/>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- 3 -</w:t>
      </w:r>
    </w:p>
    <w:p>
      <w:pPr>
        <w:spacing w:after="0" w:line="236" w:lineRule="exact"/>
        <w:rPr>
          <w:sz w:val="20"/>
          <w:szCs w:val="20"/>
          <w:color w:val="auto"/>
        </w:rPr>
      </w:pPr>
    </w:p>
    <w:p>
      <w:pPr>
        <w:ind w:left="740" w:hanging="527"/>
        <w:spacing w:after="0" w:line="272" w:lineRule="auto"/>
        <w:tabs>
          <w:tab w:leader="none" w:pos="74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confirm that the auditor has complied with applicable law with respect to the rotation of certain members of the audit engagement team for Thomson Reuters.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   Pre-Approval of Non-Audit Services</w:t>
      </w:r>
    </w:p>
    <w:p>
      <w:pPr>
        <w:spacing w:after="0" w:line="21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The Audit Committee will pre-approve the appointment of the auditor for any non-audit services, provided that it will not approve any services that are prohibited under applicable law. The Audit Committee has established policies and procedures, and may revise such from time to time, which pre-approve the appointment of the auditor for certain non-audit services. In addition, the Audit Committee may delegate to one or more members the authority to pre-approve the appointment of the auditor for any non-audit services to the extent permitted by applicable law, provided that any pre-approvals granted pursuant to such delegation shall be reported to the full Audit Committee at its next scheduled meeting following such pre-approval.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   Communications with the Auditor</w:t>
      </w:r>
    </w:p>
    <w:p>
      <w:pPr>
        <w:spacing w:after="0" w:line="21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Audit Committee has the authority to communicate directly with the auditor and will meet privately with the auditor as frequently as the Audit Committee determines is appropriate to fulfill its responsibilities, which will not be less frequently than annually, to discuss any items of concern to the Audit Committee or the auditor, including, without limitation:</w:t>
      </w:r>
    </w:p>
    <w:p>
      <w:pPr>
        <w:spacing w:after="0" w:line="194" w:lineRule="exact"/>
        <w:rPr>
          <w:sz w:val="20"/>
          <w:szCs w:val="20"/>
          <w:color w:val="auto"/>
        </w:rPr>
      </w:pPr>
    </w:p>
    <w:p>
      <w:pPr>
        <w:ind w:left="740" w:hanging="527"/>
        <w:spacing w:after="0"/>
        <w:tabs>
          <w:tab w:leader="none" w:pos="7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planning and staffing of the audit;</w:t>
      </w:r>
    </w:p>
    <w:p>
      <w:pPr>
        <w:spacing w:after="0" w:line="209" w:lineRule="exact"/>
        <w:rPr>
          <w:rFonts w:ascii="Times New Roman" w:cs="Times New Roman" w:eastAsia="Times New Roman" w:hAnsi="Times New Roman"/>
          <w:sz w:val="18"/>
          <w:szCs w:val="18"/>
          <w:color w:val="auto"/>
        </w:rPr>
      </w:pPr>
    </w:p>
    <w:p>
      <w:pPr>
        <w:jc w:val="both"/>
        <w:ind w:left="740" w:hanging="527"/>
        <w:spacing w:after="0" w:line="254" w:lineRule="auto"/>
        <w:tabs>
          <w:tab w:leader="none" w:pos="7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any material written communications between the auditor and senior management, such as any management representation letter, management letter, schedule of adjusted differences and summary of uncorrected misstatements;</w:t>
      </w:r>
    </w:p>
    <w:p>
      <w:pPr>
        <w:spacing w:after="0" w:line="160" w:lineRule="exact"/>
        <w:rPr>
          <w:rFonts w:ascii="Times New Roman" w:cs="Times New Roman" w:eastAsia="Times New Roman" w:hAnsi="Times New Roman"/>
          <w:sz w:val="18"/>
          <w:szCs w:val="18"/>
          <w:color w:val="auto"/>
        </w:rPr>
      </w:pPr>
    </w:p>
    <w:p>
      <w:pPr>
        <w:ind w:left="740" w:hanging="527"/>
        <w:spacing w:after="0" w:line="272" w:lineRule="auto"/>
        <w:tabs>
          <w:tab w:leader="none" w:pos="7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whether or not the auditor is satisfied with the quality and effectiveness of financial recording procedures and systems;</w:t>
      </w:r>
    </w:p>
    <w:p>
      <w:pPr>
        <w:spacing w:after="0" w:line="141" w:lineRule="exact"/>
        <w:rPr>
          <w:rFonts w:ascii="Times New Roman" w:cs="Times New Roman" w:eastAsia="Times New Roman" w:hAnsi="Times New Roman"/>
          <w:sz w:val="18"/>
          <w:szCs w:val="18"/>
          <w:color w:val="auto"/>
        </w:rPr>
      </w:pPr>
    </w:p>
    <w:p>
      <w:pPr>
        <w:ind w:left="740" w:hanging="527"/>
        <w:spacing w:after="0"/>
        <w:tabs>
          <w:tab w:leader="none" w:pos="7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the extent to which the auditor is satisfied with the nature and scope of its examination;</w:t>
      </w:r>
    </w:p>
    <w:p>
      <w:pPr>
        <w:spacing w:after="0" w:line="209" w:lineRule="exact"/>
        <w:rPr>
          <w:rFonts w:ascii="Times New Roman" w:cs="Times New Roman" w:eastAsia="Times New Roman" w:hAnsi="Times New Roman"/>
          <w:sz w:val="18"/>
          <w:szCs w:val="18"/>
          <w:color w:val="auto"/>
        </w:rPr>
      </w:pPr>
    </w:p>
    <w:p>
      <w:pPr>
        <w:ind w:left="740" w:hanging="527"/>
        <w:spacing w:after="0" w:line="272" w:lineRule="auto"/>
        <w:tabs>
          <w:tab w:leader="none" w:pos="7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any instances of fraud or other illegal acts involving senior management or employees involved in financial reporting of Thomson Reuters;</w:t>
      </w:r>
    </w:p>
    <w:p>
      <w:pPr>
        <w:spacing w:after="0" w:line="141" w:lineRule="exact"/>
        <w:rPr>
          <w:rFonts w:ascii="Times New Roman" w:cs="Times New Roman" w:eastAsia="Times New Roman" w:hAnsi="Times New Roman"/>
          <w:sz w:val="18"/>
          <w:szCs w:val="18"/>
          <w:color w:val="auto"/>
        </w:rPr>
      </w:pPr>
    </w:p>
    <w:p>
      <w:pPr>
        <w:jc w:val="both"/>
        <w:ind w:left="740" w:hanging="527"/>
        <w:spacing w:after="0" w:line="248" w:lineRule="auto"/>
        <w:tabs>
          <w:tab w:leader="none" w:pos="7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whether or not the auditor has received the full cooperation of senior management and other employees of Thomson Reuters and whether the auditor has encountered any audit problems or difficulties in the course of its audit work, including any restrictions on the scope of the auditor’s work or access to required information and any significant disagreements with management (along with management’s response);</w:t>
      </w:r>
    </w:p>
    <w:p>
      <w:pPr>
        <w:spacing w:after="0" w:line="167" w:lineRule="exact"/>
        <w:rPr>
          <w:rFonts w:ascii="Times New Roman" w:cs="Times New Roman" w:eastAsia="Times New Roman" w:hAnsi="Times New Roman"/>
          <w:sz w:val="18"/>
          <w:szCs w:val="18"/>
          <w:color w:val="auto"/>
        </w:rPr>
      </w:pPr>
    </w:p>
    <w:p>
      <w:pPr>
        <w:ind w:left="740" w:hanging="527"/>
        <w:spacing w:after="0" w:line="272" w:lineRule="auto"/>
        <w:tabs>
          <w:tab w:leader="none" w:pos="7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the auditor’s observations of the competence and performance of the Chief Financial Officer and other key financial personnel; and</w:t>
      </w:r>
    </w:p>
    <w:p>
      <w:pPr>
        <w:sectPr>
          <w:pgSz w:w="11900" w:h="16838" w:orient="portrait"/>
          <w:cols w:equalWidth="0" w:num="1">
            <w:col w:w="10260"/>
          </w:cols>
          <w:pgMar w:left="1080" w:top="404" w:right="559" w:bottom="1440" w:gutter="0" w:footer="0" w:header="0"/>
        </w:sectPr>
      </w:pPr>
    </w:p>
    <w:bookmarkStart w:id="239" w:name="page240"/>
    <w:bookmarkEnd w:id="239"/>
    <w:p>
      <w:pPr>
        <w:ind w:left="4680"/>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- 4 -</w:t>
      </w:r>
    </w:p>
    <w:p>
      <w:pPr>
        <w:spacing w:after="0" w:line="236" w:lineRule="exact"/>
        <w:rPr>
          <w:sz w:val="20"/>
          <w:szCs w:val="20"/>
          <w:color w:val="auto"/>
        </w:rPr>
      </w:pPr>
    </w:p>
    <w:p>
      <w:pPr>
        <w:ind w:left="740" w:hanging="527"/>
        <w:spacing w:after="0" w:line="272" w:lineRule="auto"/>
        <w:tabs>
          <w:tab w:leader="none" w:pos="74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the items required to be communicated to the Audit Committee under the standards established by the PCAOB, Canadian authoritative guidance or under Canadian generally accepted auditing standards (“GAAS”).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   Review of the Audit Plan</w:t>
      </w:r>
    </w:p>
    <w:p>
      <w:pPr>
        <w:spacing w:after="0" w:line="21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Audit Committee will discuss with the auditor the nature of an audit and the responsibility assumed by the auditor when conducting an audit of financial statements prepared in accordance with International Financial Reporting Standards as issued by the International Accounting Standards Board (“IFRS”). The Audit Committee will review a summary of the auditor’s audit plan.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   Review of Auditor’s Fees</w:t>
      </w:r>
    </w:p>
    <w:p>
      <w:pPr>
        <w:spacing w:after="0" w:line="2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Audit Committee will determine the auditor’s fees and other terms of the auditor’s engagement. In determining the auditor’s fees, the Audit Committee will consider, among other things, the number and nature of reports to be issued by the auditor, the quality of the internal control over financial reporting of Thomson Reuters, the size, complexity and financial condition of Thomson Reuters and the extent of internal audit and other support to be provided to the auditor by Thomson Reuters.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   Review of Annual Financial Statements</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color w:val="auto"/>
        </w:rPr>
        <w:t>The Audit Committee will review and discuss the annual consolidated financial statements of the Corporation and the related management’s discussion and analysis with senior management and the auditor, before recommending them for approval by the Board.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Audit Committee will also review and discuss the following with the senior management and the auditor:</w:t>
      </w:r>
    </w:p>
    <w:p>
      <w:pPr>
        <w:spacing w:after="0" w:line="236" w:lineRule="exact"/>
        <w:rPr>
          <w:sz w:val="20"/>
          <w:szCs w:val="20"/>
          <w:color w:val="auto"/>
        </w:rPr>
      </w:pPr>
    </w:p>
    <w:p>
      <w:pPr>
        <w:ind w:left="740" w:hanging="527"/>
        <w:spacing w:after="0"/>
        <w:tabs>
          <w:tab w:leader="none" w:pos="7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critical accounting policies and practices used or to be used by Thomson Reuters;</w:t>
      </w:r>
    </w:p>
    <w:p>
      <w:pPr>
        <w:spacing w:after="0" w:line="209" w:lineRule="exact"/>
        <w:rPr>
          <w:rFonts w:ascii="Times New Roman" w:cs="Times New Roman" w:eastAsia="Times New Roman" w:hAnsi="Times New Roman"/>
          <w:sz w:val="18"/>
          <w:szCs w:val="18"/>
          <w:color w:val="auto"/>
        </w:rPr>
      </w:pPr>
    </w:p>
    <w:p>
      <w:pPr>
        <w:ind w:left="740" w:hanging="527"/>
        <w:spacing w:after="0"/>
        <w:tabs>
          <w:tab w:leader="none" w:pos="7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critical audit matters to be disclosed in the auditor’s report; and</w:t>
      </w:r>
    </w:p>
    <w:p>
      <w:pPr>
        <w:spacing w:after="0" w:line="209" w:lineRule="exact"/>
        <w:rPr>
          <w:rFonts w:ascii="Times New Roman" w:cs="Times New Roman" w:eastAsia="Times New Roman" w:hAnsi="Times New Roman"/>
          <w:sz w:val="18"/>
          <w:szCs w:val="18"/>
          <w:color w:val="auto"/>
        </w:rPr>
      </w:pPr>
    </w:p>
    <w:p>
      <w:pPr>
        <w:jc w:val="both"/>
        <w:ind w:left="740" w:hanging="527"/>
        <w:spacing w:after="0" w:line="259" w:lineRule="auto"/>
        <w:tabs>
          <w:tab w:leader="none" w:pos="7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alternative treatments of financial information within IFRS that have been discussed with senior management, ramifications of the use of such alternative disclosures and treatments, and the treatment preferred by the auditor.</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(h)   Approval of Quarterly Financial Statements and Earnings Press Releases</w:t>
      </w:r>
    </w:p>
    <w:p>
      <w:pPr>
        <w:spacing w:after="0" w:line="21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Audit Committee will review and approve the quarterly consolidated financial statements of the Corporation and the related management’s discussion and analysis after discussion with senior management and the auditor. The Audit Committee will also engage the auditor to review the consolidated quarterly financial statements of the Corporation prior to the Audit Committee’s review of such financial statements.</w:t>
      </w:r>
    </w:p>
    <w:p>
      <w:pPr>
        <w:sectPr>
          <w:pgSz w:w="11900" w:h="16838" w:orient="portrait"/>
          <w:cols w:equalWidth="0" w:num="1">
            <w:col w:w="10260"/>
          </w:cols>
          <w:pgMar w:left="1080" w:top="404" w:right="559" w:bottom="1440" w:gutter="0" w:footer="0" w:header="0"/>
        </w:sectPr>
      </w:pPr>
    </w:p>
    <w:bookmarkStart w:id="240" w:name="page241"/>
    <w:bookmarkEnd w:id="240"/>
    <w:p>
      <w:pPr>
        <w:ind w:left="4680"/>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- 5 -</w:t>
      </w:r>
    </w:p>
    <w:p>
      <w:pPr>
        <w:spacing w:after="0" w:line="23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The Audit Committee will review and approve annual and quarterly earnings press releases prior to their public release. The Audit Committee will also discuss financial information and earnings guidance provided to analysts and rating agencies. The Audit Committee will also review the type and presentation of information to be included in earnings press releases and guidance (including the use of “pro forma” or “adjusted” non-IFRS financial measures). The Audit Committee’s discussion of financial information and earnings guidance provided to analysts and rating agencies may be done generally (i.e., discussion of the types of information to be disclosed and the type of presentation to be made) and the Audit Committee need not discuss in advance each instance in which the Corporation may provide such information or guidance.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  Review of Other Financial Information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Audit Committee will:</w:t>
      </w:r>
    </w:p>
    <w:p>
      <w:pPr>
        <w:spacing w:after="0" w:line="116" w:lineRule="exact"/>
        <w:rPr>
          <w:sz w:val="20"/>
          <w:szCs w:val="20"/>
          <w:color w:val="auto"/>
        </w:rPr>
      </w:pPr>
    </w:p>
    <w:p>
      <w:pPr>
        <w:jc w:val="both"/>
        <w:ind w:left="740" w:right="20" w:hanging="527"/>
        <w:spacing w:after="0" w:line="245" w:lineRule="auto"/>
        <w:tabs>
          <w:tab w:leader="none" w:pos="7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periodically assess the adequacy of procedures that are in place for management’s review of all other financial information extracted or derived from Thomson Reuters financial statements that were previously reviewed by the Audit Committee before such information is released to the public, including, without limitation, financial information or statements for use in prospectuses or other offering or public disclosure documents and financial statements required by regulatory authorities;</w:t>
      </w:r>
    </w:p>
    <w:p>
      <w:pPr>
        <w:spacing w:after="0" w:line="79" w:lineRule="exact"/>
        <w:rPr>
          <w:rFonts w:ascii="Times New Roman" w:cs="Times New Roman" w:eastAsia="Times New Roman" w:hAnsi="Times New Roman"/>
          <w:sz w:val="18"/>
          <w:szCs w:val="18"/>
          <w:color w:val="auto"/>
        </w:rPr>
      </w:pPr>
    </w:p>
    <w:p>
      <w:pPr>
        <w:jc w:val="both"/>
        <w:ind w:left="740" w:right="20" w:hanging="527"/>
        <w:spacing w:after="0" w:line="248" w:lineRule="auto"/>
        <w:tabs>
          <w:tab w:leader="none" w:pos="7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review major issues regarding accounting principles and financial statement presentations, including any significant changes in Thomson Reuters selection or application of accounting principles, and major issues as to the adequacy of Thomson Reuters internal control over financial reporting and any special audit steps adopted in light of any material control deficiencies;</w:t>
      </w:r>
    </w:p>
    <w:p>
      <w:pPr>
        <w:spacing w:after="0" w:line="75" w:lineRule="exact"/>
        <w:rPr>
          <w:rFonts w:ascii="Times New Roman" w:cs="Times New Roman" w:eastAsia="Times New Roman" w:hAnsi="Times New Roman"/>
          <w:sz w:val="18"/>
          <w:szCs w:val="18"/>
          <w:color w:val="auto"/>
        </w:rPr>
      </w:pPr>
    </w:p>
    <w:p>
      <w:pPr>
        <w:jc w:val="both"/>
        <w:ind w:left="740" w:right="20" w:hanging="527"/>
        <w:spacing w:after="0" w:line="254" w:lineRule="auto"/>
        <w:tabs>
          <w:tab w:leader="none" w:pos="7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review analyses prepared by management and/or the auditor setting forth significant financial reporting issues and judgments made in connection with the preparation of Thomson Reuters financial statements, including analyses of the effects of alternative IFRS methods on the financial statements; and</w:t>
      </w:r>
    </w:p>
    <w:p>
      <w:pPr>
        <w:spacing w:after="0" w:line="68" w:lineRule="exact"/>
        <w:rPr>
          <w:rFonts w:ascii="Times New Roman" w:cs="Times New Roman" w:eastAsia="Times New Roman" w:hAnsi="Times New Roman"/>
          <w:sz w:val="18"/>
          <w:szCs w:val="18"/>
          <w:color w:val="auto"/>
        </w:rPr>
      </w:pPr>
    </w:p>
    <w:p>
      <w:pPr>
        <w:ind w:left="740" w:right="20" w:hanging="527"/>
        <w:spacing w:after="0" w:line="272" w:lineRule="auto"/>
        <w:tabs>
          <w:tab w:leader="none" w:pos="7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review the effect of regulatory and accounting initiatives as well as off-balance sheet structures on the financial statements.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(j)  Review of the Internal Audit Function</w:t>
      </w:r>
    </w:p>
    <w:p>
      <w:pPr>
        <w:spacing w:after="0" w:line="213"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1"/>
          <w:szCs w:val="21"/>
          <w:color w:val="auto"/>
        </w:rPr>
        <w:t>The Audit Committee will review the mandate, budget, planned activities, staffing and organizational structure of Thomson Reuters internal audit function (part of which may be outsourced to a firm other than the auditor) to confirm that it is independent of management and has sufficient resources to carry out its mandate. The Audit Committee will discuss this mandate with the auditor.</w:t>
      </w:r>
    </w:p>
    <w:p>
      <w:pPr>
        <w:spacing w:after="0" w:line="168"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21"/>
          <w:szCs w:val="21"/>
          <w:color w:val="auto"/>
        </w:rPr>
        <w:t>The Audit Committee will review the appointment and replacement of the officer in charge of internal audit and will review summaries of reports to management prepared by the internal</w:t>
      </w:r>
    </w:p>
    <w:p>
      <w:pPr>
        <w:sectPr>
          <w:pgSz w:w="11900" w:h="16838" w:orient="portrait"/>
          <w:cols w:equalWidth="0" w:num="1">
            <w:col w:w="10280"/>
          </w:cols>
          <w:pgMar w:left="1080" w:top="404" w:right="539" w:bottom="1440" w:gutter="0" w:footer="0" w:header="0"/>
        </w:sectPr>
      </w:pPr>
    </w:p>
    <w:bookmarkStart w:id="241" w:name="page242"/>
    <w:bookmarkEnd w:id="241"/>
    <w:p>
      <w:pPr>
        <w:ind w:left="4680"/>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- 6 -</w:t>
      </w:r>
    </w:p>
    <w:p>
      <w:pPr>
        <w:spacing w:after="0" w:line="23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audit department and management’s responses. The Audit Committee will also annually review the effectiveness of the internal audit function and will report its findings to the Board.</w:t>
      </w:r>
    </w:p>
    <w:p>
      <w:pPr>
        <w:spacing w:after="0" w:line="14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officer in charge of internal audit reports directly to the Chair of the Audit Committee and has a dotted line reporting relationship to the Chief Financial Officer. The Audit Committee has the authority to communicate directly with the officer in charge of internal audit and will meet privately with him or her as frequently as the Audit Committee determines is appropriate to fulfill its responsibilities, which will not be less frequently than annually, to discuss any areas of concern to the Audit Committee or the officer in charge of internal audit.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(k)  Relations with Senior Management</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color w:val="auto"/>
        </w:rPr>
        <w:t>The Audit Committee members will meet privately with senior management as frequently as the Audit Committee determines is appropriate to fulfill its responsibilities, which will not be less frequently than annually, to discuss any areas of concern to the Audit Committee or senior management.</w:t>
      </w:r>
    </w:p>
    <w:p>
      <w:pPr>
        <w:spacing w:after="0" w:line="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Audit Committee will review the appointment and replacement of the Chief Accounting Officer &amp; Controller and the Treasurer and jointly recommend with the Human Resources Committee the appointment and replacement of the Chief Financial Officer, and review succession plans for such positions and other senior finance positions at least annually.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  Oversight of Internal Controls and Disclosure Controls</w:t>
      </w:r>
    </w:p>
    <w:p>
      <w:pPr>
        <w:spacing w:after="0" w:line="2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Audit Committee will review with senior management the adequacy and effectiveness of internal control over financial reporting (within the meaning of applicable law) that is maintained by Thomson Reuters to provide reasonable assurance regarding the reliability of financial reporting and the preparation of financial statements in accordance with IFRS. The Audit Committee will review any special audit steps adopted in light of material weaknesses or significant deficiencies (in each case within the meaning of applicable law).</w:t>
      </w:r>
    </w:p>
    <w:p>
      <w:pPr>
        <w:spacing w:after="0" w:line="1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Audit Committee will review with senior management the adequacy and effectiveness of the disclosure controls and procedures (within the meaning of applicable law) that are maintained by Thomson Reuters to confirm that material information about Thomson Reuters that is required to be disclosed under applicable law or stock exchange rules and requirements is disclosed within the required time periods.</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Audit Committee will also review disclosures made to it by the Chief Executive Officer and Chief Financial Officer during their certification process for applicable securities law filings about any material weaknesses or significant deficiencies in the design or operation of Thomson Reuters internal control over financial reporting and any fraud, whether or not material, involving management or other employees who have a significant role in Thomson Reuters internal control over financial reporting.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  Financial Regulatory Compliance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Audit Committee will review with Thomson Reuters legal counsel:</w:t>
      </w:r>
    </w:p>
    <w:p>
      <w:pPr>
        <w:sectPr>
          <w:pgSz w:w="11900" w:h="16838" w:orient="portrait"/>
          <w:cols w:equalWidth="0" w:num="1">
            <w:col w:w="10260"/>
          </w:cols>
          <w:pgMar w:left="1080" w:top="404" w:right="559" w:bottom="1440" w:gutter="0" w:footer="0" w:header="0"/>
        </w:sectPr>
      </w:pPr>
    </w:p>
    <w:bookmarkStart w:id="242" w:name="page243"/>
    <w:bookmarkEnd w:id="242"/>
    <w:p>
      <w:pPr>
        <w:jc w:val="center"/>
        <w:ind w:right="-1"/>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- 7 -</w:t>
      </w:r>
    </w:p>
    <w:p>
      <w:pPr>
        <w:spacing w:after="0" w:line="236" w:lineRule="exact"/>
        <w:rPr>
          <w:sz w:val="20"/>
          <w:szCs w:val="20"/>
          <w:color w:val="auto"/>
        </w:rPr>
      </w:pPr>
    </w:p>
    <w:p>
      <w:pPr>
        <w:ind w:left="1282" w:hanging="527"/>
        <w:spacing w:after="0"/>
        <w:tabs>
          <w:tab w:leader="none" w:pos="1282"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any material financial regulatory matters; and</w:t>
      </w:r>
    </w:p>
    <w:p>
      <w:pPr>
        <w:spacing w:after="0" w:line="116" w:lineRule="exact"/>
        <w:rPr>
          <w:rFonts w:ascii="Times New Roman" w:cs="Times New Roman" w:eastAsia="Times New Roman" w:hAnsi="Times New Roman"/>
          <w:sz w:val="18"/>
          <w:szCs w:val="18"/>
          <w:color w:val="auto"/>
        </w:rPr>
      </w:pPr>
    </w:p>
    <w:p>
      <w:pPr>
        <w:ind w:left="1282" w:hanging="527"/>
        <w:spacing w:after="0"/>
        <w:tabs>
          <w:tab w:leader="none" w:pos="1282"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any material inquiries received regarding financial matters from governmental agencies.</w:t>
      </w:r>
    </w:p>
    <w:p>
      <w:pPr>
        <w:spacing w:after="0" w:line="205" w:lineRule="exact"/>
        <w:rPr>
          <w:sz w:val="20"/>
          <w:szCs w:val="20"/>
          <w:color w:val="auto"/>
        </w:rPr>
      </w:pPr>
    </w:p>
    <w:p>
      <w:pPr>
        <w:ind w:left="542"/>
        <w:spacing w:after="0"/>
        <w:rPr>
          <w:sz w:val="20"/>
          <w:szCs w:val="20"/>
          <w:color w:val="auto"/>
        </w:rPr>
      </w:pPr>
      <w:r>
        <w:rPr>
          <w:rFonts w:ascii="Times New Roman" w:cs="Times New Roman" w:eastAsia="Times New Roman" w:hAnsi="Times New Roman"/>
          <w:sz w:val="21"/>
          <w:szCs w:val="21"/>
          <w:b w:val="1"/>
          <w:bCs w:val="1"/>
          <w:color w:val="auto"/>
        </w:rPr>
        <w:t>(n)  Risk Assessment and Risk Management</w:t>
      </w:r>
    </w:p>
    <w:p>
      <w:pPr>
        <w:spacing w:after="0" w:line="213" w:lineRule="exact"/>
        <w:rPr>
          <w:sz w:val="20"/>
          <w:szCs w:val="20"/>
          <w:color w:val="auto"/>
        </w:rPr>
      </w:pPr>
    </w:p>
    <w:p>
      <w:pPr>
        <w:jc w:val="both"/>
        <w:ind w:left="542"/>
        <w:spacing w:after="0"/>
        <w:rPr>
          <w:sz w:val="20"/>
          <w:szCs w:val="20"/>
          <w:color w:val="auto"/>
        </w:rPr>
      </w:pPr>
      <w:r>
        <w:rPr>
          <w:rFonts w:ascii="Times New Roman" w:cs="Times New Roman" w:eastAsia="Times New Roman" w:hAnsi="Times New Roman"/>
          <w:sz w:val="21"/>
          <w:szCs w:val="21"/>
          <w:color w:val="auto"/>
        </w:rPr>
        <w:t>The Audit Committee will discuss the Corporation’s guidelines and policies that govern the overall process by which risk assessment and risk management is undertaken at the Corporation. In furtherance thereof, the Audit Committee will periodically review reports from or meet with the Risk Committee regarding the Corporation’s processes for assessing and managing risk. In this regard, the Audit Committee acknowledges that risk topics not otherwise assigned to the Audit Committee or the Human Resources Committee will be overseen by the Risk Committee, and that the Corporate Governance Committee will oversee the division of responsibilities between the Board and its committees. As part of this division of responsibilities, the Audit Committee will discuss the Corporation’s major financial risk exposures and the steps that management has taken to monitor and control such exposures including, without limitation, regarding financial, operational, legal, treasury, tax, information security and disaster recovery/business continuity risks related thereto.</w:t>
      </w:r>
    </w:p>
    <w:p>
      <w:pPr>
        <w:spacing w:after="0" w:line="200" w:lineRule="exact"/>
        <w:rPr>
          <w:sz w:val="20"/>
          <w:szCs w:val="20"/>
          <w:color w:val="auto"/>
        </w:rPr>
      </w:pPr>
    </w:p>
    <w:p>
      <w:pPr>
        <w:spacing w:after="0" w:line="220" w:lineRule="exact"/>
        <w:rPr>
          <w:sz w:val="20"/>
          <w:szCs w:val="20"/>
          <w:color w:val="auto"/>
        </w:rPr>
      </w:pPr>
    </w:p>
    <w:p>
      <w:pPr>
        <w:ind w:left="542"/>
        <w:spacing w:after="0"/>
        <w:rPr>
          <w:sz w:val="20"/>
          <w:szCs w:val="20"/>
          <w:color w:val="auto"/>
        </w:rPr>
      </w:pPr>
      <w:r>
        <w:rPr>
          <w:rFonts w:ascii="Times New Roman" w:cs="Times New Roman" w:eastAsia="Times New Roman" w:hAnsi="Times New Roman"/>
          <w:sz w:val="21"/>
          <w:szCs w:val="21"/>
          <w:b w:val="1"/>
          <w:bCs w:val="1"/>
          <w:color w:val="auto"/>
        </w:rPr>
        <w:t>(o)  Taxation Matters</w:t>
      </w:r>
    </w:p>
    <w:p>
      <w:pPr>
        <w:spacing w:after="0" w:line="213" w:lineRule="exact"/>
        <w:rPr>
          <w:sz w:val="20"/>
          <w:szCs w:val="20"/>
          <w:color w:val="auto"/>
        </w:rPr>
      </w:pPr>
    </w:p>
    <w:p>
      <w:pPr>
        <w:jc w:val="both"/>
        <w:ind w:left="542"/>
        <w:spacing w:after="0" w:line="272" w:lineRule="auto"/>
        <w:rPr>
          <w:sz w:val="20"/>
          <w:szCs w:val="20"/>
          <w:color w:val="auto"/>
        </w:rPr>
      </w:pPr>
      <w:r>
        <w:rPr>
          <w:rFonts w:ascii="Times New Roman" w:cs="Times New Roman" w:eastAsia="Times New Roman" w:hAnsi="Times New Roman"/>
          <w:sz w:val="21"/>
          <w:szCs w:val="21"/>
          <w:color w:val="auto"/>
        </w:rPr>
        <w:t>The Audit Committee will periodically review with senior management the status of significant taxation matters of Thomson Reuters.</w:t>
      </w:r>
    </w:p>
    <w:p>
      <w:pPr>
        <w:spacing w:after="0" w:line="138" w:lineRule="exact"/>
        <w:rPr>
          <w:sz w:val="20"/>
          <w:szCs w:val="20"/>
          <w:color w:val="auto"/>
        </w:rPr>
      </w:pPr>
    </w:p>
    <w:p>
      <w:pPr>
        <w:ind w:left="542"/>
        <w:spacing w:after="0"/>
        <w:rPr>
          <w:sz w:val="20"/>
          <w:szCs w:val="20"/>
          <w:color w:val="auto"/>
        </w:rPr>
      </w:pPr>
      <w:r>
        <w:rPr>
          <w:rFonts w:ascii="Times New Roman" w:cs="Times New Roman" w:eastAsia="Times New Roman" w:hAnsi="Times New Roman"/>
          <w:sz w:val="21"/>
          <w:szCs w:val="21"/>
          <w:b w:val="1"/>
          <w:bCs w:val="1"/>
          <w:color w:val="auto"/>
        </w:rPr>
        <w:t>(p)  Hiring Employees of the Auditor</w:t>
      </w:r>
    </w:p>
    <w:p>
      <w:pPr>
        <w:spacing w:after="0" w:line="213" w:lineRule="exact"/>
        <w:rPr>
          <w:sz w:val="20"/>
          <w:szCs w:val="20"/>
          <w:color w:val="auto"/>
        </w:rPr>
      </w:pPr>
    </w:p>
    <w:p>
      <w:pPr>
        <w:jc w:val="both"/>
        <w:ind w:left="542"/>
        <w:spacing w:after="0" w:line="272" w:lineRule="auto"/>
        <w:rPr>
          <w:sz w:val="20"/>
          <w:szCs w:val="20"/>
          <w:color w:val="auto"/>
        </w:rPr>
      </w:pPr>
      <w:r>
        <w:rPr>
          <w:rFonts w:ascii="Times New Roman" w:cs="Times New Roman" w:eastAsia="Times New Roman" w:hAnsi="Times New Roman"/>
          <w:sz w:val="21"/>
          <w:szCs w:val="21"/>
          <w:color w:val="auto"/>
        </w:rPr>
        <w:t>The Audit Committee will maintain and monitor compliance with policies for hiring partners and employees and former partners and employees of the auditor.</w:t>
      </w:r>
    </w:p>
    <w:p>
      <w:pPr>
        <w:spacing w:after="0" w:line="138" w:lineRule="exact"/>
        <w:rPr>
          <w:sz w:val="20"/>
          <w:szCs w:val="20"/>
          <w:color w:val="auto"/>
        </w:rPr>
      </w:pPr>
    </w:p>
    <w:p>
      <w:pPr>
        <w:ind w:left="542"/>
        <w:spacing w:after="0"/>
        <w:rPr>
          <w:sz w:val="20"/>
          <w:szCs w:val="20"/>
          <w:color w:val="auto"/>
        </w:rPr>
      </w:pPr>
      <w:r>
        <w:rPr>
          <w:rFonts w:ascii="Times New Roman" w:cs="Times New Roman" w:eastAsia="Times New Roman" w:hAnsi="Times New Roman"/>
          <w:sz w:val="21"/>
          <w:szCs w:val="21"/>
          <w:b w:val="1"/>
          <w:bCs w:val="1"/>
          <w:color w:val="auto"/>
        </w:rPr>
        <w:t>(q)  Environmental, Social and Governance (“ESG”) Matters</w:t>
      </w:r>
    </w:p>
    <w:p>
      <w:pPr>
        <w:spacing w:after="0" w:line="213" w:lineRule="exact"/>
        <w:rPr>
          <w:sz w:val="20"/>
          <w:szCs w:val="20"/>
          <w:color w:val="auto"/>
        </w:rPr>
      </w:pPr>
    </w:p>
    <w:p>
      <w:pPr>
        <w:jc w:val="both"/>
        <w:ind w:left="542"/>
        <w:spacing w:after="0" w:line="245" w:lineRule="auto"/>
        <w:rPr>
          <w:sz w:val="20"/>
          <w:szCs w:val="20"/>
          <w:color w:val="auto"/>
        </w:rPr>
      </w:pPr>
      <w:r>
        <w:rPr>
          <w:rFonts w:ascii="Times New Roman" w:cs="Times New Roman" w:eastAsia="Times New Roman" w:hAnsi="Times New Roman"/>
          <w:sz w:val="21"/>
          <w:szCs w:val="21"/>
          <w:color w:val="auto"/>
        </w:rPr>
        <w:t>At least annually, the Audit Committee will review with senior management the type and presentation of Thomson Reuters’ key ESG disclosures and the adequacy and effectiveness of applicable internal controls related to such disclosures. The Audit Committee’s review of ESG disclosures may be done generally and the Audit Committee need not review or discuss in advance each ESG disclosure. The Audit Committee will also oversee key finance-related initiatives related to ESG.</w:t>
      </w:r>
    </w:p>
    <w:p>
      <w:pPr>
        <w:spacing w:after="0" w:line="194" w:lineRule="exact"/>
        <w:rPr>
          <w:sz w:val="20"/>
          <w:szCs w:val="20"/>
          <w:color w:val="auto"/>
        </w:rPr>
      </w:pPr>
    </w:p>
    <w:p>
      <w:pPr>
        <w:ind w:left="522" w:hanging="522"/>
        <w:spacing w:after="0"/>
        <w:tabs>
          <w:tab w:leader="none" w:pos="522" w:val="left"/>
        </w:tabs>
        <w:numPr>
          <w:ilvl w:val="0"/>
          <w:numId w:val="2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COMPLAINTS PROCEDURE</w:t>
      </w:r>
    </w:p>
    <w:p>
      <w:pPr>
        <w:spacing w:after="0" w:line="213" w:lineRule="exact"/>
        <w:rPr>
          <w:rFonts w:ascii="Times New Roman" w:cs="Times New Roman" w:eastAsia="Times New Roman" w:hAnsi="Times New Roman"/>
          <w:sz w:val="21"/>
          <w:szCs w:val="21"/>
          <w:b w:val="1"/>
          <w:bCs w:val="1"/>
          <w:color w:val="auto"/>
        </w:rPr>
      </w:pPr>
    </w:p>
    <w:p>
      <w:pPr>
        <w:jc w:val="both"/>
        <w:ind w:left="542"/>
        <w:spacing w:after="0" w:line="248"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Audit Committee will maintain procedures for the receipt, retention and treatment of complaints received by Thomson Reuters regarding accounting, internal accounting controls, auditing matters and disclosure controls and procedures for the confidential, anonymous submission of concerns by employees of Thomson Reuters regarding questionable</w:t>
      </w:r>
    </w:p>
    <w:p>
      <w:pPr>
        <w:sectPr>
          <w:pgSz w:w="11900" w:h="16838" w:orient="portrait"/>
          <w:cols w:equalWidth="0" w:num="1">
            <w:col w:w="10802"/>
          </w:cols>
          <w:pgMar w:left="538" w:top="404" w:right="559" w:bottom="1440" w:gutter="0" w:footer="0" w:header="0"/>
        </w:sectPr>
      </w:pPr>
    </w:p>
    <w:bookmarkStart w:id="243" w:name="page244"/>
    <w:bookmarkEnd w:id="243"/>
    <w:p>
      <w:pPr>
        <w:jc w:val="center"/>
        <w:ind w:right="-1"/>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- 8 -</w:t>
      </w:r>
    </w:p>
    <w:p>
      <w:pPr>
        <w:spacing w:after="0" w:line="236" w:lineRule="exact"/>
        <w:rPr>
          <w:sz w:val="20"/>
          <w:szCs w:val="20"/>
          <w:color w:val="auto"/>
        </w:rPr>
      </w:pPr>
    </w:p>
    <w:p>
      <w:pPr>
        <w:ind w:left="542"/>
        <w:spacing w:after="0"/>
        <w:rPr>
          <w:sz w:val="20"/>
          <w:szCs w:val="20"/>
          <w:color w:val="auto"/>
        </w:rPr>
      </w:pPr>
      <w:r>
        <w:rPr>
          <w:rFonts w:ascii="Times New Roman" w:cs="Times New Roman" w:eastAsia="Times New Roman" w:hAnsi="Times New Roman"/>
          <w:sz w:val="21"/>
          <w:szCs w:val="21"/>
          <w:color w:val="auto"/>
        </w:rPr>
        <w:t>accounting, internal accounting controls, auditing matters or disclosure controls and procedures.</w:t>
      </w:r>
    </w:p>
    <w:p>
      <w:pPr>
        <w:spacing w:after="0" w:line="232" w:lineRule="exact"/>
        <w:rPr>
          <w:sz w:val="20"/>
          <w:szCs w:val="20"/>
          <w:color w:val="auto"/>
        </w:rPr>
      </w:pPr>
    </w:p>
    <w:p>
      <w:pPr>
        <w:ind w:left="542" w:right="7060" w:hanging="542"/>
        <w:spacing w:after="0" w:line="462" w:lineRule="auto"/>
        <w:tabs>
          <w:tab w:leader="none" w:pos="531" w:val="left"/>
        </w:tabs>
        <w:numPr>
          <w:ilvl w:val="0"/>
          <w:numId w:val="2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REPORTING AND DISCLOSURE </w:t>
      </w:r>
      <w:r>
        <w:rPr>
          <w:rFonts w:ascii="Times New Roman" w:cs="Times New Roman" w:eastAsia="Times New Roman" w:hAnsi="Times New Roman"/>
          <w:sz w:val="21"/>
          <w:szCs w:val="21"/>
          <w:color w:val="auto"/>
        </w:rPr>
        <w:t>The Audit Committee will:</w:t>
      </w:r>
    </w:p>
    <w:p>
      <w:pPr>
        <w:spacing w:after="0" w:line="1" w:lineRule="exact"/>
        <w:rPr>
          <w:rFonts w:ascii="Times New Roman" w:cs="Times New Roman" w:eastAsia="Times New Roman" w:hAnsi="Times New Roman"/>
          <w:sz w:val="21"/>
          <w:szCs w:val="21"/>
          <w:b w:val="1"/>
          <w:bCs w:val="1"/>
          <w:color w:val="auto"/>
        </w:rPr>
      </w:pPr>
    </w:p>
    <w:p>
      <w:pPr>
        <w:ind w:left="1282" w:hanging="527"/>
        <w:spacing w:after="0" w:line="272" w:lineRule="auto"/>
        <w:tabs>
          <w:tab w:leader="none" w:pos="1282"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regularly report to the Board on all significant matters it has addressed and with respect to such other matters as are within its responsibilities; and</w:t>
      </w:r>
    </w:p>
    <w:p>
      <w:pPr>
        <w:spacing w:after="0" w:line="48" w:lineRule="exact"/>
        <w:rPr>
          <w:rFonts w:ascii="Times New Roman" w:cs="Times New Roman" w:eastAsia="Times New Roman" w:hAnsi="Times New Roman"/>
          <w:sz w:val="18"/>
          <w:szCs w:val="18"/>
          <w:color w:val="auto"/>
        </w:rPr>
      </w:pPr>
    </w:p>
    <w:p>
      <w:pPr>
        <w:ind w:left="1282" w:hanging="527"/>
        <w:spacing w:after="0" w:line="272" w:lineRule="auto"/>
        <w:tabs>
          <w:tab w:leader="none" w:pos="1282"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oversee the preparation of and review any disclosure with respect to its activities in discharging the responsibilities set out in this Charter included in materials sent to shareholders of the Corporation.</w:t>
      </w:r>
    </w:p>
    <w:p>
      <w:pPr>
        <w:spacing w:after="0" w:line="164" w:lineRule="exact"/>
        <w:rPr>
          <w:rFonts w:ascii="Times New Roman" w:cs="Times New Roman" w:eastAsia="Times New Roman" w:hAnsi="Times New Roman"/>
          <w:sz w:val="18"/>
          <w:szCs w:val="18"/>
          <w:color w:val="auto"/>
        </w:rPr>
      </w:pPr>
    </w:p>
    <w:p>
      <w:pPr>
        <w:ind w:left="522" w:hanging="522"/>
        <w:spacing w:after="0"/>
        <w:tabs>
          <w:tab w:leader="none" w:pos="522" w:val="left"/>
        </w:tabs>
        <w:numPr>
          <w:ilvl w:val="0"/>
          <w:numId w:val="2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REVIEW</w:t>
      </w:r>
    </w:p>
    <w:p>
      <w:pPr>
        <w:spacing w:after="0" w:line="213" w:lineRule="exact"/>
        <w:rPr>
          <w:rFonts w:ascii="Times New Roman" w:cs="Times New Roman" w:eastAsia="Times New Roman" w:hAnsi="Times New Roman"/>
          <w:sz w:val="21"/>
          <w:szCs w:val="21"/>
          <w:b w:val="1"/>
          <w:bCs w:val="1"/>
          <w:color w:val="auto"/>
        </w:rPr>
      </w:pPr>
    </w:p>
    <w:p>
      <w:pPr>
        <w:jc w:val="both"/>
        <w:ind w:left="542"/>
        <w:spacing w:after="0" w:line="254"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Audit Committee will review this Charter at least annually and submit it to the Corporate Governance Committee together with any proposed amendments. The Corporate Governance Committee will review this Charter and submit it to the Board for approval with such further amendments as it deems necessary and appropriate.</w:t>
      </w:r>
    </w:p>
    <w:p>
      <w:pPr>
        <w:spacing w:after="0" w:line="183" w:lineRule="exact"/>
        <w:rPr>
          <w:rFonts w:ascii="Times New Roman" w:cs="Times New Roman" w:eastAsia="Times New Roman" w:hAnsi="Times New Roman"/>
          <w:sz w:val="21"/>
          <w:szCs w:val="21"/>
          <w:b w:val="1"/>
          <w:bCs w:val="1"/>
          <w:color w:val="auto"/>
        </w:rPr>
      </w:pPr>
    </w:p>
    <w:p>
      <w:pPr>
        <w:ind w:left="522" w:hanging="522"/>
        <w:spacing w:after="0"/>
        <w:tabs>
          <w:tab w:leader="none" w:pos="522" w:val="left"/>
        </w:tabs>
        <w:numPr>
          <w:ilvl w:val="0"/>
          <w:numId w:val="2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ASSESSMENT</w:t>
      </w:r>
    </w:p>
    <w:p>
      <w:pPr>
        <w:spacing w:after="0" w:line="213" w:lineRule="exact"/>
        <w:rPr>
          <w:rFonts w:ascii="Times New Roman" w:cs="Times New Roman" w:eastAsia="Times New Roman" w:hAnsi="Times New Roman"/>
          <w:sz w:val="21"/>
          <w:szCs w:val="21"/>
          <w:b w:val="1"/>
          <w:bCs w:val="1"/>
          <w:color w:val="auto"/>
        </w:rPr>
      </w:pPr>
    </w:p>
    <w:p>
      <w:pPr>
        <w:jc w:val="both"/>
        <w:ind w:left="542"/>
        <w:spacing w:after="0" w:line="254"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At least annually, the Board, acting through the Corporate Governance Committee, will review the effectiveness of the Audit Committee in fulfilling its responsibilities and duties as set out in this Charter and in a manner consistent with the Corporate Governance Guidelines adopted by the Board.</w:t>
      </w:r>
    </w:p>
    <w:p>
      <w:pPr>
        <w:spacing w:after="0" w:line="183" w:lineRule="exact"/>
        <w:rPr>
          <w:rFonts w:ascii="Times New Roman" w:cs="Times New Roman" w:eastAsia="Times New Roman" w:hAnsi="Times New Roman"/>
          <w:sz w:val="21"/>
          <w:szCs w:val="21"/>
          <w:b w:val="1"/>
          <w:bCs w:val="1"/>
          <w:color w:val="auto"/>
        </w:rPr>
      </w:pPr>
    </w:p>
    <w:p>
      <w:pPr>
        <w:ind w:left="522" w:hanging="522"/>
        <w:spacing w:after="0"/>
        <w:tabs>
          <w:tab w:leader="none" w:pos="522" w:val="left"/>
        </w:tabs>
        <w:numPr>
          <w:ilvl w:val="0"/>
          <w:numId w:val="2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MEETINGS</w:t>
      </w:r>
    </w:p>
    <w:p>
      <w:pPr>
        <w:spacing w:after="0" w:line="213" w:lineRule="exact"/>
        <w:rPr>
          <w:rFonts w:ascii="Times New Roman" w:cs="Times New Roman" w:eastAsia="Times New Roman" w:hAnsi="Times New Roman"/>
          <w:sz w:val="21"/>
          <w:szCs w:val="21"/>
          <w:b w:val="1"/>
          <w:bCs w:val="1"/>
          <w:color w:val="auto"/>
        </w:rPr>
      </w:pPr>
    </w:p>
    <w:p>
      <w:pPr>
        <w:jc w:val="both"/>
        <w:ind w:left="542"/>
        <w:spacing w:after="0" w:line="24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Quorum for meetings of the Audit Committee will be a majority of its members. A meeting of the Audit Committee may be called by the Chair or any other member of the Audit Committee, the Chairman, any Deputy Chairman, the Lead Independent Director, the Chief Executive Officer, the auditor, the officer in charge of the internal audit or the Company Secretary. The Company Secretary or his/her designate will act as Secretary to the Audit Committee unless the Chair of the Audit Committee decides otherwise.</w:t>
      </w:r>
    </w:p>
    <w:p>
      <w:pPr>
        <w:spacing w:after="0" w:line="171" w:lineRule="exact"/>
        <w:rPr>
          <w:rFonts w:ascii="Times New Roman" w:cs="Times New Roman" w:eastAsia="Times New Roman" w:hAnsi="Times New Roman"/>
          <w:sz w:val="21"/>
          <w:szCs w:val="21"/>
          <w:b w:val="1"/>
          <w:bCs w:val="1"/>
          <w:color w:val="auto"/>
        </w:rPr>
      </w:pPr>
    </w:p>
    <w:p>
      <w:pPr>
        <w:ind w:left="542"/>
        <w:spacing w:after="0" w:line="272"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Audit Committee will ordinarily meet in camera at the end of each of its meetings and may meet in camera at any other time as required.</w:t>
      </w:r>
    </w:p>
    <w:p>
      <w:pPr>
        <w:spacing w:after="0" w:line="141" w:lineRule="exact"/>
        <w:rPr>
          <w:rFonts w:ascii="Times New Roman" w:cs="Times New Roman" w:eastAsia="Times New Roman" w:hAnsi="Times New Roman"/>
          <w:sz w:val="21"/>
          <w:szCs w:val="21"/>
          <w:b w:val="1"/>
          <w:bCs w:val="1"/>
          <w:color w:val="auto"/>
        </w:rPr>
      </w:pPr>
    </w:p>
    <w:p>
      <w:pPr>
        <w:ind w:left="542"/>
        <w:spacing w:after="0" w:line="272"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Audit Committee will meet as frequently as it determines is appropriate to fulfill its responsibilities, which typically will not be less than quarterly.</w:t>
      </w:r>
    </w:p>
    <w:p>
      <w:pPr>
        <w:sectPr>
          <w:pgSz w:w="11900" w:h="16838" w:orient="portrait"/>
          <w:cols w:equalWidth="0" w:num="1">
            <w:col w:w="10802"/>
          </w:cols>
          <w:pgMar w:left="538" w:top="404" w:right="559" w:bottom="1440" w:gutter="0" w:footer="0" w:header="0"/>
        </w:sectPr>
      </w:pPr>
    </w:p>
    <w:bookmarkStart w:id="244" w:name="page245"/>
    <w:bookmarkEnd w:id="244"/>
    <w:p>
      <w:pPr>
        <w:jc w:val="center"/>
        <w:ind w:right="-1"/>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- 9 -</w:t>
      </w:r>
    </w:p>
    <w:p>
      <w:pPr>
        <w:spacing w:after="0" w:line="232" w:lineRule="exact"/>
        <w:rPr>
          <w:sz w:val="20"/>
          <w:szCs w:val="20"/>
          <w:color w:val="auto"/>
        </w:rPr>
      </w:pPr>
    </w:p>
    <w:p>
      <w:pPr>
        <w:ind w:left="522" w:hanging="522"/>
        <w:spacing w:after="0"/>
        <w:tabs>
          <w:tab w:leader="none" w:pos="522" w:val="left"/>
        </w:tabs>
        <w:numPr>
          <w:ilvl w:val="0"/>
          <w:numId w:val="24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CHAIR</w:t>
      </w:r>
    </w:p>
    <w:p>
      <w:pPr>
        <w:spacing w:after="0" w:line="213" w:lineRule="exact"/>
        <w:rPr>
          <w:rFonts w:ascii="Times New Roman" w:cs="Times New Roman" w:eastAsia="Times New Roman" w:hAnsi="Times New Roman"/>
          <w:sz w:val="21"/>
          <w:szCs w:val="21"/>
          <w:b w:val="1"/>
          <w:bCs w:val="1"/>
          <w:color w:val="auto"/>
        </w:rPr>
      </w:pPr>
    </w:p>
    <w:p>
      <w:pPr>
        <w:jc w:val="both"/>
        <w:ind w:left="542"/>
        <w:spacing w:after="0" w:line="254"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Each year, the Board on the recommendation of the Corporate Governance Committee will appoint one member to be Chair of the Audit Committee. If, in any year, the Board does not appoint a Chair, the incumbent Chair will continue in office until a successor is appointed.</w:t>
      </w:r>
    </w:p>
    <w:p>
      <w:pPr>
        <w:spacing w:after="0" w:line="183" w:lineRule="exact"/>
        <w:rPr>
          <w:rFonts w:ascii="Times New Roman" w:cs="Times New Roman" w:eastAsia="Times New Roman" w:hAnsi="Times New Roman"/>
          <w:sz w:val="21"/>
          <w:szCs w:val="21"/>
          <w:b w:val="1"/>
          <w:bCs w:val="1"/>
          <w:color w:val="auto"/>
        </w:rPr>
      </w:pPr>
    </w:p>
    <w:p>
      <w:pPr>
        <w:ind w:left="522" w:hanging="522"/>
        <w:spacing w:after="0"/>
        <w:tabs>
          <w:tab w:leader="none" w:pos="522" w:val="left"/>
        </w:tabs>
        <w:numPr>
          <w:ilvl w:val="0"/>
          <w:numId w:val="24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REMOVAL AND VACANCIES</w:t>
      </w:r>
    </w:p>
    <w:p>
      <w:pPr>
        <w:spacing w:after="0" w:line="213" w:lineRule="exact"/>
        <w:rPr>
          <w:rFonts w:ascii="Times New Roman" w:cs="Times New Roman" w:eastAsia="Times New Roman" w:hAnsi="Times New Roman"/>
          <w:sz w:val="21"/>
          <w:szCs w:val="21"/>
          <w:b w:val="1"/>
          <w:bCs w:val="1"/>
          <w:color w:val="auto"/>
        </w:rPr>
      </w:pPr>
    </w:p>
    <w:p>
      <w:pPr>
        <w:jc w:val="both"/>
        <w:ind w:left="542"/>
        <w:spacing w:after="0" w:line="24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Any member may be removed and replaced at any time by the Board and will automatically cease to be a member as soon as the member ceases to meet the qualifications set out above. The Board will fill vacancies on the Audit Committee by appointment from among qualified members of the Board on the recommendation of the Corporate Governance Committee. If a vacancy exists on the Audit Committee, the remaining members will exercise all of its powers so long as a quorum remains in office.</w:t>
      </w:r>
    </w:p>
    <w:p>
      <w:pPr>
        <w:spacing w:after="0" w:line="194" w:lineRule="exact"/>
        <w:rPr>
          <w:rFonts w:ascii="Times New Roman" w:cs="Times New Roman" w:eastAsia="Times New Roman" w:hAnsi="Times New Roman"/>
          <w:sz w:val="21"/>
          <w:szCs w:val="21"/>
          <w:b w:val="1"/>
          <w:bCs w:val="1"/>
          <w:color w:val="auto"/>
        </w:rPr>
      </w:pPr>
    </w:p>
    <w:p>
      <w:pPr>
        <w:ind w:left="522" w:hanging="522"/>
        <w:spacing w:after="0"/>
        <w:tabs>
          <w:tab w:leader="none" w:pos="522" w:val="left"/>
        </w:tabs>
        <w:numPr>
          <w:ilvl w:val="0"/>
          <w:numId w:val="24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ACCESS TO MANAGEMENT AND OUTSIDE ADVISORS</w:t>
      </w:r>
    </w:p>
    <w:p>
      <w:pPr>
        <w:spacing w:after="0" w:line="213" w:lineRule="exact"/>
        <w:rPr>
          <w:rFonts w:ascii="Times New Roman" w:cs="Times New Roman" w:eastAsia="Times New Roman" w:hAnsi="Times New Roman"/>
          <w:sz w:val="21"/>
          <w:szCs w:val="21"/>
          <w:b w:val="1"/>
          <w:bCs w:val="1"/>
          <w:color w:val="auto"/>
        </w:rPr>
      </w:pPr>
    </w:p>
    <w:p>
      <w:pPr>
        <w:ind w:left="542"/>
        <w:spacing w:after="0" w:line="272"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Audit Committee may invite any member of management, employee, outside advisor or other person to attend any of its meetings.</w:t>
      </w:r>
    </w:p>
    <w:p>
      <w:pPr>
        <w:spacing w:after="0" w:line="141" w:lineRule="exact"/>
        <w:rPr>
          <w:rFonts w:ascii="Times New Roman" w:cs="Times New Roman" w:eastAsia="Times New Roman" w:hAnsi="Times New Roman"/>
          <w:sz w:val="21"/>
          <w:szCs w:val="21"/>
          <w:b w:val="1"/>
          <w:bCs w:val="1"/>
          <w:color w:val="auto"/>
        </w:rPr>
      </w:pPr>
    </w:p>
    <w:p>
      <w:pPr>
        <w:jc w:val="both"/>
        <w:ind w:left="542"/>
        <w:spacing w:after="0" w:line="24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In carrying out its duties, the Audit Committee may retain an outside advisor without Board approval at the expense of Thomson Reuters and has the authority to determine any such advisor’s fees and other retention terms. Thomson Reuters will also provide appropriate funding, as determined by the Audit Committee, for the payment of the compensation of the auditor, independent counsel and outside advisors and any ordinary administrative expenses of the Audit Committee that are necessary or appropriate in carrying out its duties.</w:t>
      </w:r>
    </w:p>
    <w:p>
      <w:pPr>
        <w:spacing w:after="0" w:line="194" w:lineRule="exact"/>
        <w:rPr>
          <w:rFonts w:ascii="Times New Roman" w:cs="Times New Roman" w:eastAsia="Times New Roman" w:hAnsi="Times New Roman"/>
          <w:sz w:val="21"/>
          <w:szCs w:val="21"/>
          <w:b w:val="1"/>
          <w:bCs w:val="1"/>
          <w:color w:val="auto"/>
        </w:rPr>
      </w:pPr>
    </w:p>
    <w:p>
      <w:pPr>
        <w:ind w:left="522" w:hanging="522"/>
        <w:spacing w:after="0"/>
        <w:tabs>
          <w:tab w:leader="none" w:pos="522" w:val="left"/>
        </w:tabs>
        <w:numPr>
          <w:ilvl w:val="0"/>
          <w:numId w:val="24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DEFINITIONS</w:t>
      </w:r>
    </w:p>
    <w:p>
      <w:pPr>
        <w:spacing w:after="0" w:line="213" w:lineRule="exact"/>
        <w:rPr>
          <w:rFonts w:ascii="Times New Roman" w:cs="Times New Roman" w:eastAsia="Times New Roman" w:hAnsi="Times New Roman"/>
          <w:sz w:val="21"/>
          <w:szCs w:val="21"/>
          <w:b w:val="1"/>
          <w:bCs w:val="1"/>
          <w:color w:val="auto"/>
        </w:rPr>
      </w:pPr>
    </w:p>
    <w:p>
      <w:pPr>
        <w:ind w:left="542" w:right="2700"/>
        <w:spacing w:after="0" w:line="460"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Capitalized terms used in this Charter have the meanings attributed to them below: </w:t>
      </w:r>
      <w:r>
        <w:rPr>
          <w:rFonts w:ascii="Times New Roman" w:cs="Times New Roman" w:eastAsia="Times New Roman" w:hAnsi="Times New Roman"/>
          <w:sz w:val="21"/>
          <w:szCs w:val="21"/>
          <w:b w:val="1"/>
          <w:bCs w:val="1"/>
          <w:color w:val="auto"/>
        </w:rPr>
        <w:t xml:space="preserve">“Audit Committee Financial Expert” </w:t>
      </w:r>
      <w:r>
        <w:rPr>
          <w:rFonts w:ascii="Times New Roman" w:cs="Times New Roman" w:eastAsia="Times New Roman" w:hAnsi="Times New Roman"/>
          <w:sz w:val="21"/>
          <w:szCs w:val="21"/>
          <w:color w:val="auto"/>
        </w:rPr>
        <w:t>means a person who has the following attributes:</w:t>
      </w:r>
    </w:p>
    <w:p>
      <w:pPr>
        <w:spacing w:after="0" w:line="1" w:lineRule="exact"/>
        <w:rPr>
          <w:rFonts w:ascii="Times New Roman" w:cs="Times New Roman" w:eastAsia="Times New Roman" w:hAnsi="Times New Roman"/>
          <w:sz w:val="21"/>
          <w:szCs w:val="21"/>
          <w:b w:val="1"/>
          <w:bCs w:val="1"/>
          <w:color w:val="auto"/>
        </w:rPr>
      </w:pPr>
    </w:p>
    <w:p>
      <w:pPr>
        <w:ind w:left="1702" w:hanging="523"/>
        <w:spacing w:after="0"/>
        <w:tabs>
          <w:tab w:leader="none" w:pos="1702" w:val="left"/>
        </w:tabs>
        <w:numPr>
          <w:ilvl w:val="1"/>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understanding of generally accepted accounting principles and financial statements;</w:t>
      </w:r>
    </w:p>
    <w:p>
      <w:pPr>
        <w:spacing w:after="0" w:line="235" w:lineRule="exact"/>
        <w:rPr>
          <w:rFonts w:ascii="Times New Roman" w:cs="Times New Roman" w:eastAsia="Times New Roman" w:hAnsi="Times New Roman"/>
          <w:sz w:val="21"/>
          <w:szCs w:val="21"/>
          <w:color w:val="auto"/>
        </w:rPr>
      </w:pPr>
    </w:p>
    <w:p>
      <w:pPr>
        <w:ind w:left="1702" w:hanging="523"/>
        <w:spacing w:after="0" w:line="272" w:lineRule="auto"/>
        <w:tabs>
          <w:tab w:leader="none" w:pos="1702" w:val="left"/>
        </w:tabs>
        <w:numPr>
          <w:ilvl w:val="1"/>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ability to assess the general application of such principles in connection with the accounting for estimates, accruals and reserves;</w:t>
      </w:r>
    </w:p>
    <w:p>
      <w:pPr>
        <w:spacing w:after="0" w:line="168" w:lineRule="exact"/>
        <w:rPr>
          <w:rFonts w:ascii="Times New Roman" w:cs="Times New Roman" w:eastAsia="Times New Roman" w:hAnsi="Times New Roman"/>
          <w:sz w:val="21"/>
          <w:szCs w:val="21"/>
          <w:color w:val="auto"/>
        </w:rPr>
      </w:pPr>
    </w:p>
    <w:p>
      <w:pPr>
        <w:jc w:val="both"/>
        <w:ind w:left="1702" w:hanging="523"/>
        <w:spacing w:after="0" w:line="248" w:lineRule="auto"/>
        <w:tabs>
          <w:tab w:leader="none" w:pos="1702" w:val="left"/>
        </w:tabs>
        <w:numPr>
          <w:ilvl w:val="1"/>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experience preparing, auditing, analyzing or evaluating financial statements that present a breadth and level of complexity of accounting issues that are generally comparable to the breadth and complexity of issues that can reasonably be expected to be raised by Thomson Reuters financial statements, or experience actively supervising one or more person’s engaged in such activities;</w:t>
      </w:r>
    </w:p>
    <w:p>
      <w:pPr>
        <w:sectPr>
          <w:pgSz w:w="11900" w:h="16838" w:orient="portrait"/>
          <w:cols w:equalWidth="0" w:num="1">
            <w:col w:w="10802"/>
          </w:cols>
          <w:pgMar w:left="538" w:top="404" w:right="559" w:bottom="1440" w:gutter="0" w:footer="0" w:header="0"/>
        </w:sectPr>
      </w:pPr>
    </w:p>
    <w:bookmarkStart w:id="245" w:name="page246"/>
    <w:bookmarkEnd w:id="245"/>
    <w:p>
      <w:pPr>
        <w:ind w:left="4641"/>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- 10 -</w:t>
      </w:r>
    </w:p>
    <w:p>
      <w:pPr>
        <w:spacing w:after="0" w:line="236" w:lineRule="exact"/>
        <w:rPr>
          <w:sz w:val="20"/>
          <w:szCs w:val="20"/>
          <w:color w:val="auto"/>
        </w:rPr>
      </w:pPr>
    </w:p>
    <w:p>
      <w:pPr>
        <w:ind w:left="1161" w:hanging="523"/>
        <w:spacing w:after="0"/>
        <w:tabs>
          <w:tab w:leader="none" w:pos="1161" w:val="left"/>
        </w:tabs>
        <w:numPr>
          <w:ilvl w:val="1"/>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understanding of internal controls and procedures for financial reporting; and</w:t>
      </w:r>
    </w:p>
    <w:p>
      <w:pPr>
        <w:spacing w:after="0" w:line="235" w:lineRule="exact"/>
        <w:rPr>
          <w:rFonts w:ascii="Times New Roman" w:cs="Times New Roman" w:eastAsia="Times New Roman" w:hAnsi="Times New Roman"/>
          <w:sz w:val="21"/>
          <w:szCs w:val="21"/>
          <w:color w:val="auto"/>
        </w:rPr>
      </w:pPr>
    </w:p>
    <w:p>
      <w:pPr>
        <w:ind w:left="1161" w:hanging="523"/>
        <w:spacing w:after="0"/>
        <w:tabs>
          <w:tab w:leader="none" w:pos="1161" w:val="left"/>
        </w:tabs>
        <w:numPr>
          <w:ilvl w:val="1"/>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understanding of audit committee functions.</w:t>
      </w:r>
    </w:p>
    <w:p>
      <w:pPr>
        <w:spacing w:after="0" w:line="209" w:lineRule="exact"/>
        <w:rPr>
          <w:rFonts w:ascii="Times New Roman" w:cs="Times New Roman" w:eastAsia="Times New Roman" w:hAnsi="Times New Roman"/>
          <w:sz w:val="21"/>
          <w:szCs w:val="21"/>
          <w:color w:val="auto"/>
        </w:rPr>
      </w:pPr>
    </w:p>
    <w:p>
      <w:pPr>
        <w:ind w:left="101" w:hanging="101"/>
        <w:spacing w:after="0"/>
        <w:tabs>
          <w:tab w:leader="none" w:pos="101"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shall have acquired such attributes through:</w:t>
      </w:r>
    </w:p>
    <w:p>
      <w:pPr>
        <w:spacing w:after="0" w:line="247" w:lineRule="exact"/>
        <w:rPr>
          <w:rFonts w:ascii="Times New Roman" w:cs="Times New Roman" w:eastAsia="Times New Roman" w:hAnsi="Times New Roman"/>
          <w:sz w:val="20"/>
          <w:szCs w:val="20"/>
          <w:color w:val="auto"/>
        </w:rPr>
      </w:pPr>
    </w:p>
    <w:p>
      <w:pPr>
        <w:jc w:val="both"/>
        <w:ind w:left="1161" w:hanging="523"/>
        <w:spacing w:after="0" w:line="254" w:lineRule="auto"/>
        <w:tabs>
          <w:tab w:leader="none" w:pos="1161" w:val="left"/>
        </w:tabs>
        <w:numPr>
          <w:ilvl w:val="1"/>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education and experience as a principal financial officer, principal accounting officer, controller, public accountant or auditor or experience in one or more positions that involve the performance of similar functions;</w:t>
      </w:r>
    </w:p>
    <w:p>
      <w:pPr>
        <w:spacing w:after="0" w:line="187" w:lineRule="exact"/>
        <w:rPr>
          <w:sz w:val="20"/>
          <w:szCs w:val="20"/>
          <w:color w:val="auto"/>
        </w:rPr>
      </w:pPr>
    </w:p>
    <w:p>
      <w:pPr>
        <w:ind w:left="1161" w:hanging="523"/>
        <w:spacing w:after="0" w:line="272" w:lineRule="auto"/>
        <w:tabs>
          <w:tab w:leader="none" w:pos="1161"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experience actively supervising a principal financial officer, principal accounting officer, controller, public accountant, auditor or person performing similar functions;</w:t>
      </w:r>
    </w:p>
    <w:p>
      <w:pPr>
        <w:spacing w:after="0" w:line="168" w:lineRule="exact"/>
        <w:rPr>
          <w:rFonts w:ascii="Times New Roman" w:cs="Times New Roman" w:eastAsia="Times New Roman" w:hAnsi="Times New Roman"/>
          <w:sz w:val="21"/>
          <w:szCs w:val="21"/>
          <w:color w:val="auto"/>
        </w:rPr>
      </w:pPr>
    </w:p>
    <w:p>
      <w:pPr>
        <w:ind w:left="1161" w:hanging="523"/>
        <w:spacing w:after="0" w:line="272" w:lineRule="auto"/>
        <w:tabs>
          <w:tab w:leader="none" w:pos="1161"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experience overseeing or assessing the performance of companies or public accountants with respect to the preparation, auditing or evaluation of financial statements; or</w:t>
      </w:r>
    </w:p>
    <w:p>
      <w:pPr>
        <w:spacing w:after="0" w:line="168" w:lineRule="exact"/>
        <w:rPr>
          <w:rFonts w:ascii="Times New Roman" w:cs="Times New Roman" w:eastAsia="Times New Roman" w:hAnsi="Times New Roman"/>
          <w:sz w:val="21"/>
          <w:szCs w:val="21"/>
          <w:color w:val="auto"/>
        </w:rPr>
      </w:pPr>
    </w:p>
    <w:p>
      <w:pPr>
        <w:ind w:left="1161" w:hanging="523"/>
        <w:spacing w:after="0"/>
        <w:tabs>
          <w:tab w:leader="none" w:pos="1161"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relevant experience.</w:t>
      </w:r>
    </w:p>
    <w:p>
      <w:pPr>
        <w:spacing w:after="0" w:line="205" w:lineRule="exact"/>
        <w:rPr>
          <w:sz w:val="20"/>
          <w:szCs w:val="20"/>
          <w:color w:val="auto"/>
        </w:rPr>
      </w:pPr>
    </w:p>
    <w:p>
      <w:pPr>
        <w:jc w:val="both"/>
        <w:ind w:left="1"/>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Financially Literate</w:t>
      </w:r>
      <w:r>
        <w:rPr>
          <w:rFonts w:ascii="Times New Roman" w:cs="Times New Roman" w:eastAsia="Times New Roman" w:hAnsi="Times New Roman"/>
          <w:sz w:val="21"/>
          <w:szCs w:val="21"/>
          <w:color w:val="auto"/>
        </w:rPr>
        <w:t>” means the ability to read and understand a set of financial statements that present a breadth and level of complexity of accounting issues that are generally comparable to the breadth and complexity of the issues that can reasonably be expected to be raised by Thomson Reuters financial statements.</w:t>
      </w:r>
    </w:p>
    <w:sectPr>
      <w:pgSz w:w="11900" w:h="16838" w:orient="portrait"/>
      <w:cols w:equalWidth="0" w:num="1">
        <w:col w:w="10261"/>
      </w:cols>
      <w:pgMar w:left="1079" w:top="40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75DFCF0"/>
    <w:multiLevelType w:val="hybridMultilevel"/>
    <w:lvl w:ilvl="0">
      <w:lvlJc w:val="left"/>
      <w:lvlText w:val="☐"/>
      <w:numFmt w:val="bullet"/>
      <w:start w:val="1"/>
    </w:lvl>
  </w:abstractNum>
  <w:abstractNum w:abstractNumId="1">
    <w:nsid w:val="4F97E3E4"/>
    <w:multiLevelType w:val="hybridMultilevel"/>
    <w:lvl w:ilvl="0">
      <w:lvlJc w:val="left"/>
      <w:lvlText w:val="☒"/>
      <w:numFmt w:val="bullet"/>
      <w:start w:val="1"/>
    </w:lvl>
  </w:abstractNum>
  <w:abstractNum w:abstractNumId="2">
    <w:nsid w:val="53B0A9E"/>
    <w:multiLevelType w:val="hybridMultilevel"/>
    <w:lvl w:ilvl="0">
      <w:lvlJc w:val="left"/>
      <w:lvlText w:val="†"/>
      <w:numFmt w:val="bullet"/>
      <w:start w:val="1"/>
    </w:lvl>
  </w:abstractNum>
  <w:abstractNum w:abstractNumId="3">
    <w:nsid w:val="34FD6B4F"/>
    <w:multiLevelType w:val="hybridMultilevel"/>
    <w:lvl w:ilvl="0">
      <w:lvlJc w:val="left"/>
      <w:lvlText w:val="%1."/>
      <w:numFmt w:val="lowerLetter"/>
      <w:start w:val="1"/>
    </w:lvl>
  </w:abstractNum>
  <w:abstractNum w:abstractNumId="4">
    <w:nsid w:val="5915FF32"/>
    <w:multiLevelType w:val="hybridMultilevel"/>
    <w:lvl w:ilvl="0">
      <w:lvlJc w:val="left"/>
      <w:lvlText w:val="%1."/>
      <w:numFmt w:val="lowerLetter"/>
      <w:start w:val="2"/>
    </w:lvl>
    <w:lvl w:ilvl="1">
      <w:lvlJc w:val="left"/>
      <w:lvlText w:val="(%2)"/>
      <w:numFmt w:val="decimal"/>
      <w:start w:val="1"/>
    </w:lvl>
  </w:abstractNum>
  <w:abstractNum w:abstractNumId="5">
    <w:nsid w:val="56438D15"/>
    <w:multiLevelType w:val="hybridMultilevel"/>
    <w:lvl w:ilvl="0">
      <w:lvlJc w:val="left"/>
      <w:lvlText w:val=" "/>
      <w:numFmt w:val="bullet"/>
      <w:start w:val="1"/>
    </w:lvl>
  </w:abstractNum>
  <w:abstractNum w:abstractNumId="6">
    <w:nsid w:val="519E3149"/>
    <w:multiLevelType w:val="hybridMultilevel"/>
    <w:lvl w:ilvl="0">
      <w:lvlJc w:val="left"/>
      <w:lvlText w:val="%1."/>
      <w:numFmt w:val="decimal"/>
      <w:start w:val="1"/>
    </w:lvl>
  </w:abstractNum>
  <w:abstractNum w:abstractNumId="7">
    <w:nsid w:val="2C6E4AFD"/>
    <w:multiLevelType w:val="hybridMultilevel"/>
    <w:lvl w:ilvl="0">
      <w:lvlJc w:val="left"/>
      <w:lvlText w:val="%1."/>
      <w:numFmt w:val="decimal"/>
      <w:start w:val="2"/>
    </w:lvl>
  </w:abstractNum>
  <w:abstractNum w:abstractNumId="8">
    <w:nsid w:val="17A1B582"/>
    <w:multiLevelType w:val="hybridMultilevel"/>
    <w:lvl w:ilvl="0">
      <w:lvlJc w:val="left"/>
      <w:lvlText w:val="%1."/>
      <w:numFmt w:val="decimal"/>
      <w:start w:val="3"/>
    </w:lvl>
  </w:abstractNum>
  <w:abstractNum w:abstractNumId="9">
    <w:nsid w:val="4DF72E4E"/>
    <w:multiLevelType w:val="hybridMultilevel"/>
    <w:lvl w:ilvl="0">
      <w:lvlJc w:val="left"/>
      <w:lvlText w:val="%1."/>
      <w:numFmt w:val="decimal"/>
      <w:start w:val="4"/>
    </w:lvl>
  </w:abstractNum>
  <w:abstractNum w:abstractNumId="10">
    <w:nsid w:val="5046B5A9"/>
    <w:multiLevelType w:val="hybridMultilevel"/>
    <w:lvl w:ilvl="0">
      <w:lvlJc w:val="left"/>
      <w:lvlText w:val="(%1)"/>
      <w:numFmt w:val="lowerRoman"/>
      <w:start w:val="2"/>
    </w:lvl>
  </w:abstractNum>
  <w:abstractNum w:abstractNumId="11">
    <w:nsid w:val="5D888A08"/>
    <w:multiLevelType w:val="hybridMultilevel"/>
    <w:lvl w:ilvl="0">
      <w:lvlJc w:val="left"/>
      <w:lvlText w:val="%1."/>
      <w:numFmt w:val="decimal"/>
      <w:start w:val="5"/>
    </w:lvl>
  </w:abstractNum>
  <w:abstractNum w:abstractNumId="12">
    <w:nsid w:val="2A082C70"/>
    <w:multiLevelType w:val="hybridMultilevel"/>
    <w:lvl w:ilvl="0">
      <w:lvlJc w:val="left"/>
      <w:lvlText w:val="%1."/>
      <w:numFmt w:val="decimal"/>
      <w:start w:val="6"/>
    </w:lvl>
  </w:abstractNum>
  <w:abstractNum w:abstractNumId="13">
    <w:nsid w:val="5EC6AFD4"/>
    <w:multiLevelType w:val="hybridMultilevel"/>
    <w:lvl w:ilvl="0">
      <w:lvlJc w:val="left"/>
      <w:lvlText w:val="%1."/>
      <w:numFmt w:val="decimal"/>
      <w:start w:val="7"/>
    </w:lvl>
  </w:abstractNum>
  <w:abstractNum w:abstractNumId="14">
    <w:nsid w:val="19E21BB2"/>
    <w:multiLevelType w:val="hybridMultilevel"/>
    <w:lvl w:ilvl="0">
      <w:lvlJc w:val="left"/>
      <w:lvlText w:val="%1."/>
      <w:numFmt w:val="decimal"/>
      <w:start w:val="8"/>
    </w:lvl>
  </w:abstractNum>
  <w:abstractNum w:abstractNumId="15">
    <w:nsid w:val="75E0858A"/>
    <w:multiLevelType w:val="hybridMultilevel"/>
    <w:lvl w:ilvl="0">
      <w:lvlJc w:val="left"/>
      <w:lvlText w:val="%1."/>
      <w:numFmt w:val="decimal"/>
      <w:start w:val="9"/>
    </w:lvl>
  </w:abstractNum>
  <w:abstractNum w:abstractNumId="16">
    <w:nsid w:val="57A61A29"/>
    <w:multiLevelType w:val="hybridMultilevel"/>
    <w:lvl w:ilvl="0">
      <w:lvlJc w:val="left"/>
      <w:lvlText w:val="%1."/>
      <w:numFmt w:val="decimal"/>
      <w:start w:val="10"/>
    </w:lvl>
  </w:abstractNum>
  <w:abstractNum w:abstractNumId="17">
    <w:nsid w:val="5399C654"/>
    <w:multiLevelType w:val="hybridMultilevel"/>
    <w:lvl w:ilvl="0">
      <w:lvlJc w:val="left"/>
      <w:lvlText w:val="%1."/>
      <w:numFmt w:val="decimal"/>
      <w:start w:val="11"/>
    </w:lvl>
  </w:abstractNum>
  <w:abstractNum w:abstractNumId="18">
    <w:nsid w:val="20EE1348"/>
    <w:multiLevelType w:val="hybridMultilevel"/>
    <w:lvl w:ilvl="0">
      <w:lvlJc w:val="left"/>
      <w:lvlText w:val="•"/>
      <w:numFmt w:val="bullet"/>
      <w:start w:val="1"/>
    </w:lvl>
  </w:abstractNum>
  <w:abstractNum w:abstractNumId="19">
    <w:nsid w:val="4427069A"/>
    <w:multiLevelType w:val="hybridMultilevel"/>
    <w:lvl w:ilvl="0">
      <w:lvlJc w:val="left"/>
      <w:lvlText w:val="*"/>
      <w:numFmt w:val="bullet"/>
      <w:start w:val="1"/>
    </w:lvl>
  </w:abstractNum>
  <w:abstractNum w:abstractNumId="20">
    <w:nsid w:val="B37E80A"/>
    <w:multiLevelType w:val="hybridMultilevel"/>
    <w:lvl w:ilvl="0">
      <w:lvlJc w:val="left"/>
      <w:lvlText w:val="•"/>
      <w:numFmt w:val="bullet"/>
      <w:start w:val="1"/>
    </w:lvl>
  </w:abstractNum>
  <w:abstractNum w:abstractNumId="21">
    <w:nsid w:val="2157F6BC"/>
    <w:multiLevelType w:val="hybridMultilevel"/>
    <w:lvl w:ilvl="0">
      <w:lvlJc w:val="left"/>
      <w:lvlText w:val="•"/>
      <w:numFmt w:val="bullet"/>
      <w:start w:val="1"/>
    </w:lvl>
  </w:abstractNum>
  <w:abstractNum w:abstractNumId="22">
    <w:nsid w:val="704E1DD5"/>
    <w:multiLevelType w:val="hybridMultilevel"/>
    <w:lvl w:ilvl="0">
      <w:lvlJc w:val="left"/>
      <w:lvlText w:val="(%1)"/>
      <w:numFmt w:val="decimal"/>
      <w:start w:val="1"/>
    </w:lvl>
  </w:abstractNum>
  <w:abstractNum w:abstractNumId="23">
    <w:nsid w:val="57D2F10E"/>
    <w:multiLevelType w:val="hybridMultilevel"/>
    <w:lvl w:ilvl="0">
      <w:lvlJc w:val="left"/>
      <w:lvlText w:val="(%1)"/>
      <w:numFmt w:val="decimal"/>
      <w:start w:val="1"/>
    </w:lvl>
  </w:abstractNum>
  <w:abstractNum w:abstractNumId="24">
    <w:nsid w:val="BFFAE18"/>
    <w:multiLevelType w:val="hybridMultilevel"/>
    <w:lvl w:ilvl="0">
      <w:lvlJc w:val="left"/>
      <w:lvlText w:val="•"/>
      <w:numFmt w:val="bullet"/>
      <w:start w:val="1"/>
    </w:lvl>
  </w:abstractNum>
  <w:abstractNum w:abstractNumId="25">
    <w:nsid w:val="E3E47A8"/>
    <w:multiLevelType w:val="hybridMultilevel"/>
    <w:lvl w:ilvl="0">
      <w:lvlJc w:val="left"/>
      <w:lvlText w:val="•"/>
      <w:numFmt w:val="bullet"/>
      <w:start w:val="1"/>
    </w:lvl>
  </w:abstractNum>
  <w:abstractNum w:abstractNumId="26">
    <w:nsid w:val="2E48F044"/>
    <w:multiLevelType w:val="hybridMultilevel"/>
    <w:lvl w:ilvl="0">
      <w:lvlJc w:val="left"/>
      <w:lvlText w:val="•"/>
      <w:numFmt w:val="bullet"/>
      <w:start w:val="1"/>
    </w:lvl>
  </w:abstractNum>
  <w:abstractNum w:abstractNumId="27">
    <w:nsid w:val="49D0FEAC"/>
    <w:multiLevelType w:val="hybridMultilevel"/>
    <w:lvl w:ilvl="0">
      <w:lvlJc w:val="left"/>
      <w:lvlText w:val="•"/>
      <w:numFmt w:val="bullet"/>
      <w:start w:val="1"/>
    </w:lvl>
  </w:abstractNum>
  <w:abstractNum w:abstractNumId="28">
    <w:nsid w:val="4BEE5A5B"/>
    <w:multiLevelType w:val="hybridMultilevel"/>
    <w:lvl w:ilvl="0">
      <w:lvlJc w:val="left"/>
      <w:lvlText w:val="•"/>
      <w:numFmt w:val="bullet"/>
      <w:start w:val="1"/>
    </w:lvl>
  </w:abstractNum>
  <w:abstractNum w:abstractNumId="29">
    <w:nsid w:val="5551B9F3"/>
    <w:multiLevelType w:val="hybridMultilevel"/>
    <w:lvl w:ilvl="0">
      <w:lvlJc w:val="left"/>
      <w:lvlText w:val="•"/>
      <w:numFmt w:val="bullet"/>
      <w:start w:val="1"/>
    </w:lvl>
  </w:abstractNum>
  <w:abstractNum w:abstractNumId="30">
    <w:nsid w:val="24F6AB8E"/>
    <w:multiLevelType w:val="hybridMultilevel"/>
    <w:lvl w:ilvl="0">
      <w:lvlJc w:val="left"/>
      <w:lvlText w:val="•"/>
      <w:numFmt w:val="bullet"/>
      <w:start w:val="1"/>
    </w:lvl>
  </w:abstractNum>
  <w:abstractNum w:abstractNumId="31">
    <w:nsid w:val="634C574C"/>
    <w:multiLevelType w:val="hybridMultilevel"/>
    <w:lvl w:ilvl="0">
      <w:lvlJc w:val="left"/>
      <w:lvlText w:val="(%1)"/>
      <w:numFmt w:val="decimal"/>
      <w:start w:val="1"/>
    </w:lvl>
  </w:abstractNum>
  <w:abstractNum w:abstractNumId="32">
    <w:nsid w:val="24E99DD7"/>
    <w:multiLevelType w:val="hybridMultilevel"/>
    <w:lvl w:ilvl="0">
      <w:lvlJc w:val="left"/>
      <w:lvlText w:val="•"/>
      <w:numFmt w:val="bullet"/>
      <w:start w:val="1"/>
    </w:lvl>
  </w:abstractNum>
  <w:abstractNum w:abstractNumId="33">
    <w:nsid w:val="2A31B62D"/>
    <w:multiLevelType w:val="hybridMultilevel"/>
    <w:lvl w:ilvl="0">
      <w:lvlJc w:val="left"/>
      <w:lvlText w:val="•"/>
      <w:numFmt w:val="bullet"/>
      <w:start w:val="1"/>
    </w:lvl>
  </w:abstractNum>
  <w:abstractNum w:abstractNumId="34">
    <w:nsid w:val="1849C29B"/>
    <w:multiLevelType w:val="hybridMultilevel"/>
    <w:lvl w:ilvl="0">
      <w:lvlJc w:val="left"/>
      <w:lvlText w:val="(%1)"/>
      <w:numFmt w:val="decimal"/>
      <w:start w:val="1"/>
    </w:lvl>
  </w:abstractNum>
  <w:abstractNum w:abstractNumId="35">
    <w:nsid w:val="7DFF9D09"/>
    <w:multiLevelType w:val="hybridMultilevel"/>
    <w:lvl w:ilvl="0">
      <w:lvlJc w:val="left"/>
      <w:lvlText w:val="•"/>
      <w:numFmt w:val="bullet"/>
      <w:start w:val="1"/>
    </w:lvl>
  </w:abstractNum>
  <w:abstractNum w:abstractNumId="36">
    <w:nsid w:val="754342"/>
    <w:multiLevelType w:val="hybridMultilevel"/>
    <w:lvl w:ilvl="0">
      <w:lvlJc w:val="left"/>
      <w:lvlText w:val="(%1)"/>
      <w:numFmt w:val="decimal"/>
      <w:start w:val="1"/>
    </w:lvl>
  </w:abstractNum>
  <w:abstractNum w:abstractNumId="37">
    <w:nsid w:val="69E7F3E5"/>
    <w:multiLevelType w:val="hybridMultilevel"/>
    <w:lvl w:ilvl="0">
      <w:lvlJc w:val="left"/>
      <w:lvlText w:val="(%1)"/>
      <w:numFmt w:val="decimal"/>
      <w:start w:val="1"/>
    </w:lvl>
  </w:abstractNum>
  <w:abstractNum w:abstractNumId="38">
    <w:nsid w:val="2A6DE806"/>
    <w:multiLevelType w:val="hybridMultilevel"/>
    <w:lvl w:ilvl="0">
      <w:lvlJc w:val="left"/>
      <w:lvlText w:val="(%1)"/>
      <w:numFmt w:val="decimal"/>
      <w:start w:val="1"/>
    </w:lvl>
  </w:abstractNum>
  <w:abstractNum w:abstractNumId="39">
    <w:nsid w:val="1816F8C4"/>
    <w:multiLevelType w:val="hybridMultilevel"/>
    <w:lvl w:ilvl="0">
      <w:lvlJc w:val="left"/>
      <w:lvlText w:val="(%1)"/>
      <w:numFmt w:val="decimal"/>
      <w:start w:val="1"/>
    </w:lvl>
  </w:abstractNum>
  <w:abstractNum w:abstractNumId="40">
    <w:nsid w:val="37DF2233"/>
    <w:multiLevelType w:val="hybridMultilevel"/>
    <w:lvl w:ilvl="0">
      <w:lvlJc w:val="left"/>
      <w:lvlText w:val="(%1)"/>
      <w:numFmt w:val="decimal"/>
      <w:start w:val="1"/>
    </w:lvl>
  </w:abstractNum>
  <w:abstractNum w:abstractNumId="41">
    <w:nsid w:val="7AB49DAF"/>
    <w:multiLevelType w:val="hybridMultilevel"/>
    <w:lvl w:ilvl="0">
      <w:lvlJc w:val="left"/>
      <w:lvlText w:val="•"/>
      <w:numFmt w:val="bullet"/>
      <w:start w:val="1"/>
    </w:lvl>
  </w:abstractNum>
  <w:abstractNum w:abstractNumId="42">
    <w:nsid w:val="759F82CD"/>
    <w:multiLevelType w:val="hybridMultilevel"/>
    <w:lvl w:ilvl="0">
      <w:lvlJc w:val="left"/>
      <w:lvlText w:val=" "/>
      <w:numFmt w:val="bullet"/>
      <w:start w:val="1"/>
    </w:lvl>
  </w:abstractNum>
  <w:abstractNum w:abstractNumId="43">
    <w:nsid w:val="61E74EA3"/>
    <w:multiLevelType w:val="hybridMultilevel"/>
    <w:lvl w:ilvl="0">
      <w:lvlJc w:val="left"/>
      <w:lvlText w:val="•"/>
      <w:numFmt w:val="bullet"/>
      <w:start w:val="1"/>
    </w:lvl>
  </w:abstractNum>
  <w:abstractNum w:abstractNumId="44">
    <w:nsid w:val="597B4D84"/>
    <w:multiLevelType w:val="hybridMultilevel"/>
    <w:lvl w:ilvl="0">
      <w:lvlJc w:val="left"/>
      <w:lvlText w:val=" "/>
      <w:numFmt w:val="bullet"/>
      <w:start w:val="1"/>
    </w:lvl>
    <w:lvl w:ilvl="1">
      <w:lvlJc w:val="left"/>
      <w:lvlText w:val="•"/>
      <w:numFmt w:val="bullet"/>
      <w:start w:val="1"/>
    </w:lvl>
  </w:abstractNum>
  <w:abstractNum w:abstractNumId="45">
    <w:nsid w:val="F819E7F"/>
    <w:multiLevelType w:val="hybridMultilevel"/>
    <w:lvl w:ilvl="0">
      <w:lvlJc w:val="left"/>
      <w:lvlText w:val="•"/>
      <w:numFmt w:val="bullet"/>
      <w:start w:val="1"/>
    </w:lvl>
  </w:abstractNum>
  <w:abstractNum w:abstractNumId="46">
    <w:nsid w:val="57C7D42D"/>
    <w:multiLevelType w:val="hybridMultilevel"/>
    <w:lvl w:ilvl="0">
      <w:lvlJc w:val="left"/>
      <w:lvlText w:val=" "/>
      <w:numFmt w:val="bullet"/>
      <w:start w:val="1"/>
    </w:lvl>
  </w:abstractNum>
  <w:abstractNum w:abstractNumId="47">
    <w:nsid w:val="312167AD"/>
    <w:multiLevelType w:val="hybridMultilevel"/>
    <w:lvl w:ilvl="0">
      <w:lvlJc w:val="left"/>
      <w:lvlText w:val=" "/>
      <w:numFmt w:val="bullet"/>
      <w:start w:val="1"/>
    </w:lvl>
  </w:abstractNum>
  <w:abstractNum w:abstractNumId="48">
    <w:nsid w:val="631B64D4"/>
    <w:multiLevelType w:val="hybridMultilevel"/>
    <w:lvl w:ilvl="0">
      <w:lvlJc w:val="left"/>
      <w:lvlText w:val="•"/>
      <w:numFmt w:val="bullet"/>
      <w:start w:val="1"/>
    </w:lvl>
  </w:abstractNum>
  <w:abstractNum w:abstractNumId="49">
    <w:nsid w:val="78B5E776"/>
    <w:multiLevelType w:val="hybridMultilevel"/>
    <w:lvl w:ilvl="0">
      <w:lvlJc w:val="left"/>
      <w:lvlText w:val=" "/>
      <w:numFmt w:val="bullet"/>
      <w:start w:val="1"/>
    </w:lvl>
  </w:abstractNum>
  <w:abstractNum w:abstractNumId="50">
    <w:nsid w:val="75486E47"/>
    <w:multiLevelType w:val="hybridMultilevel"/>
    <w:lvl w:ilvl="0">
      <w:lvlJc w:val="left"/>
      <w:lvlText w:val="•"/>
      <w:numFmt w:val="bullet"/>
      <w:start w:val="1"/>
    </w:lvl>
    <w:lvl w:ilvl="1">
      <w:lvlJc w:val="left"/>
      <w:lvlText w:val=" "/>
      <w:numFmt w:val="bullet"/>
      <w:start w:val="1"/>
    </w:lvl>
  </w:abstractNum>
  <w:abstractNum w:abstractNumId="51">
    <w:nsid w:val="6E534CDE"/>
    <w:multiLevelType w:val="hybridMultilevel"/>
    <w:lvl w:ilvl="0">
      <w:lvlJc w:val="left"/>
      <w:lvlText w:val=" "/>
      <w:numFmt w:val="bullet"/>
      <w:start w:val="1"/>
    </w:lvl>
  </w:abstractNum>
  <w:abstractNum w:abstractNumId="52">
    <w:nsid w:val="1A0DDE32"/>
    <w:multiLevelType w:val="hybridMultilevel"/>
    <w:lvl w:ilvl="0">
      <w:lvlJc w:val="left"/>
      <w:lvlText w:val="•"/>
      <w:numFmt w:val="bullet"/>
      <w:start w:val="1"/>
    </w:lvl>
  </w:abstractNum>
  <w:abstractNum w:abstractNumId="53">
    <w:nsid w:val="65968C1C"/>
    <w:multiLevelType w:val="hybridMultilevel"/>
    <w:lvl w:ilvl="0">
      <w:lvlJc w:val="left"/>
      <w:lvlText w:val="(%1)"/>
      <w:numFmt w:val="decimal"/>
      <w:start w:val="1"/>
    </w:lvl>
  </w:abstractNum>
  <w:abstractNum w:abstractNumId="54">
    <w:nsid w:val="46263DEC"/>
    <w:multiLevelType w:val="hybridMultilevel"/>
    <w:lvl w:ilvl="0">
      <w:lvlJc w:val="left"/>
      <w:lvlText w:val="(%1)"/>
      <w:numFmt w:val="decimal"/>
      <w:start w:val="1"/>
    </w:lvl>
  </w:abstractNum>
  <w:abstractNum w:abstractNumId="55">
    <w:nsid w:val="260D8C4A"/>
    <w:multiLevelType w:val="hybridMultilevel"/>
    <w:lvl w:ilvl="0">
      <w:lvlJc w:val="left"/>
      <w:lvlText w:val="•"/>
      <w:numFmt w:val="bullet"/>
      <w:start w:val="1"/>
    </w:lvl>
  </w:abstractNum>
  <w:abstractNum w:abstractNumId="56">
    <w:nsid w:val="73D4D3C4"/>
    <w:multiLevelType w:val="hybridMultilevel"/>
    <w:lvl w:ilvl="0">
      <w:lvlJc w:val="left"/>
      <w:lvlText w:val=" "/>
      <w:numFmt w:val="bullet"/>
      <w:start w:val="1"/>
    </w:lvl>
  </w:abstractNum>
  <w:abstractNum w:abstractNumId="57">
    <w:nsid w:val="746F2E30"/>
    <w:multiLevelType w:val="hybridMultilevel"/>
    <w:lvl w:ilvl="0">
      <w:lvlJc w:val="left"/>
      <w:lvlText w:val="•"/>
      <w:numFmt w:val="bullet"/>
      <w:start w:val="1"/>
    </w:lvl>
  </w:abstractNum>
  <w:abstractNum w:abstractNumId="58">
    <w:nsid w:val="6FDE8AF6"/>
    <w:multiLevelType w:val="hybridMultilevel"/>
    <w:lvl w:ilvl="0">
      <w:lvlJc w:val="left"/>
      <w:lvlText w:val="(%1)"/>
      <w:numFmt w:val="lowerRoman"/>
      <w:start w:val="2"/>
    </w:lvl>
  </w:abstractNum>
  <w:abstractNum w:abstractNumId="59">
    <w:nsid w:val="3FC32E20"/>
    <w:multiLevelType w:val="hybridMultilevel"/>
    <w:lvl w:ilvl="0">
      <w:lvlJc w:val="left"/>
      <w:lvlText w:val="•"/>
      <w:numFmt w:val="bullet"/>
      <w:start w:val="1"/>
    </w:lvl>
  </w:abstractNum>
  <w:abstractNum w:abstractNumId="60">
    <w:nsid w:val="49C0E823"/>
    <w:multiLevelType w:val="hybridMultilevel"/>
    <w:lvl w:ilvl="0">
      <w:lvlJc w:val="left"/>
      <w:lvlText w:val="•"/>
      <w:numFmt w:val="bullet"/>
      <w:start w:val="1"/>
    </w:lvl>
  </w:abstractNum>
  <w:abstractNum w:abstractNumId="61">
    <w:nsid w:val="14D53685"/>
    <w:multiLevelType w:val="hybridMultilevel"/>
    <w:lvl w:ilvl="0">
      <w:lvlJc w:val="left"/>
      <w:lvlText w:val="(%1)"/>
      <w:numFmt w:val="decimal"/>
      <w:start w:val="1"/>
    </w:lvl>
  </w:abstractNum>
  <w:abstractNum w:abstractNumId="62">
    <w:nsid w:val="230F856C"/>
    <w:multiLevelType w:val="hybridMultilevel"/>
    <w:lvl w:ilvl="0">
      <w:lvlJc w:val="left"/>
      <w:lvlText w:val="•"/>
      <w:numFmt w:val="bullet"/>
      <w:start w:val="1"/>
    </w:lvl>
  </w:abstractNum>
  <w:abstractNum w:abstractNumId="63">
    <w:nsid w:val="6EAA85FB"/>
    <w:multiLevelType w:val="hybridMultilevel"/>
    <w:lvl w:ilvl="0">
      <w:lvlJc w:val="left"/>
      <w:lvlText w:val="•"/>
      <w:numFmt w:val="bullet"/>
      <w:start w:val="1"/>
    </w:lvl>
  </w:abstractNum>
  <w:abstractNum w:abstractNumId="64">
    <w:nsid w:val="3F06ECB2"/>
    <w:multiLevelType w:val="hybridMultilevel"/>
    <w:lvl w:ilvl="0">
      <w:lvlJc w:val="left"/>
      <w:lvlText w:val="•"/>
      <w:numFmt w:val="bullet"/>
      <w:start w:val="1"/>
    </w:lvl>
  </w:abstractNum>
  <w:abstractNum w:abstractNumId="65">
    <w:nsid w:val="3B594807"/>
    <w:multiLevelType w:val="hybridMultilevel"/>
    <w:lvl w:ilvl="0">
      <w:lvlJc w:val="left"/>
      <w:lvlText w:val="•"/>
      <w:numFmt w:val="bullet"/>
      <w:start w:val="1"/>
    </w:lvl>
  </w:abstractNum>
  <w:abstractNum w:abstractNumId="66">
    <w:nsid w:val="6CAA2304"/>
    <w:multiLevelType w:val="hybridMultilevel"/>
    <w:lvl w:ilvl="0">
      <w:lvlJc w:val="left"/>
      <w:lvlText w:val="(%1)"/>
      <w:numFmt w:val="decimal"/>
      <w:start w:val="1"/>
    </w:lvl>
  </w:abstractNum>
  <w:abstractNum w:abstractNumId="67">
    <w:nsid w:val="3F7C2FF4"/>
    <w:multiLevelType w:val="hybridMultilevel"/>
    <w:lvl w:ilvl="0">
      <w:lvlJc w:val="left"/>
      <w:lvlText w:val="(%1)"/>
      <w:numFmt w:val="decimal"/>
      <w:start w:val="1"/>
    </w:lvl>
  </w:abstractNum>
  <w:abstractNum w:abstractNumId="68">
    <w:nsid w:val="25413BEC"/>
    <w:multiLevelType w:val="hybridMultilevel"/>
    <w:lvl w:ilvl="0">
      <w:lvlJc w:val="left"/>
      <w:lvlText w:val="(%1)"/>
      <w:numFmt w:val="decimal"/>
      <w:start w:val="1"/>
    </w:lvl>
  </w:abstractNum>
  <w:abstractNum w:abstractNumId="69">
    <w:nsid w:val="17180B0B"/>
    <w:multiLevelType w:val="hybridMultilevel"/>
    <w:lvl w:ilvl="0">
      <w:lvlJc w:val="left"/>
      <w:lvlText w:val="(%1)"/>
      <w:numFmt w:val="decimal"/>
      <w:start w:val="1"/>
    </w:lvl>
  </w:abstractNum>
  <w:abstractNum w:abstractNumId="70">
    <w:nsid w:val="579328B9"/>
    <w:multiLevelType w:val="hybridMultilevel"/>
    <w:lvl w:ilvl="0">
      <w:lvlJc w:val="left"/>
      <w:lvlText w:val="•"/>
      <w:numFmt w:val="bullet"/>
      <w:start w:val="1"/>
    </w:lvl>
  </w:abstractNum>
  <w:abstractNum w:abstractNumId="71">
    <w:nsid w:val="5D205E20"/>
    <w:multiLevelType w:val="hybridMultilevel"/>
    <w:lvl w:ilvl="0">
      <w:lvlJc w:val="left"/>
      <w:lvlText w:val="•"/>
      <w:numFmt w:val="bullet"/>
      <w:start w:val="1"/>
    </w:lvl>
  </w:abstractNum>
  <w:abstractNum w:abstractNumId="72">
    <w:nsid w:val="11CCA8BA"/>
    <w:multiLevelType w:val="hybridMultilevel"/>
    <w:lvl w:ilvl="0">
      <w:lvlJc w:val="left"/>
      <w:lvlText w:val="•"/>
      <w:numFmt w:val="bullet"/>
      <w:start w:val="1"/>
    </w:lvl>
  </w:abstractNum>
  <w:abstractNum w:abstractNumId="73">
    <w:nsid w:val="4D32AB86"/>
    <w:multiLevelType w:val="hybridMultilevel"/>
    <w:lvl w:ilvl="0">
      <w:lvlJc w:val="left"/>
      <w:lvlText w:val="•"/>
      <w:numFmt w:val="bullet"/>
      <w:start w:val="1"/>
    </w:lvl>
  </w:abstractNum>
  <w:abstractNum w:abstractNumId="74">
    <w:nsid w:val="3F07ACC3"/>
    <w:multiLevelType w:val="hybridMultilevel"/>
    <w:lvl w:ilvl="0">
      <w:lvlJc w:val="left"/>
      <w:lvlText w:val="•"/>
      <w:numFmt w:val="bullet"/>
      <w:start w:val="1"/>
    </w:lvl>
  </w:abstractNum>
  <w:abstractNum w:abstractNumId="75">
    <w:nsid w:val="6B47F63E"/>
    <w:multiLevelType w:val="hybridMultilevel"/>
    <w:lvl w:ilvl="0">
      <w:lvlJc w:val="left"/>
      <w:lvlText w:val="•"/>
      <w:numFmt w:val="bullet"/>
      <w:start w:val="1"/>
    </w:lvl>
  </w:abstractNum>
  <w:abstractNum w:abstractNumId="76">
    <w:nsid w:val="5CB44A05"/>
    <w:multiLevelType w:val="hybridMultilevel"/>
    <w:lvl w:ilvl="0">
      <w:lvlJc w:val="left"/>
      <w:lvlText w:val="•"/>
      <w:numFmt w:val="bullet"/>
      <w:start w:val="1"/>
    </w:lvl>
  </w:abstractNum>
  <w:abstractNum w:abstractNumId="77">
    <w:nsid w:val="16CF80F1"/>
    <w:multiLevelType w:val="hybridMultilevel"/>
    <w:lvl w:ilvl="0">
      <w:lvlJc w:val="left"/>
      <w:lvlText w:val="•"/>
      <w:numFmt w:val="bullet"/>
      <w:start w:val="1"/>
    </w:lvl>
  </w:abstractNum>
  <w:abstractNum w:abstractNumId="78">
    <w:nsid w:val="1C695DEC"/>
    <w:multiLevelType w:val="hybridMultilevel"/>
    <w:lvl w:ilvl="0">
      <w:lvlJc w:val="left"/>
      <w:lvlText w:val="•"/>
      <w:numFmt w:val="bullet"/>
      <w:start w:val="1"/>
    </w:lvl>
  </w:abstractNum>
  <w:abstractNum w:abstractNumId="79">
    <w:nsid w:val="3FCFAED9"/>
    <w:multiLevelType w:val="hybridMultilevel"/>
    <w:lvl w:ilvl="0">
      <w:lvlJc w:val="left"/>
      <w:lvlText w:val="•"/>
      <w:numFmt w:val="bullet"/>
      <w:start w:val="1"/>
    </w:lvl>
  </w:abstractNum>
  <w:abstractNum w:abstractNumId="80">
    <w:nsid w:val="F856867"/>
    <w:multiLevelType w:val="hybridMultilevel"/>
    <w:lvl w:ilvl="0">
      <w:lvlJc w:val="left"/>
      <w:lvlText w:val="•"/>
      <w:numFmt w:val="bullet"/>
      <w:start w:val="1"/>
    </w:lvl>
  </w:abstractNum>
  <w:abstractNum w:abstractNumId="81">
    <w:nsid w:val="11B1CC33"/>
    <w:multiLevelType w:val="hybridMultilevel"/>
    <w:lvl w:ilvl="0">
      <w:lvlJc w:val="left"/>
      <w:lvlText w:val="•"/>
      <w:numFmt w:val="bullet"/>
      <w:start w:val="1"/>
    </w:lvl>
  </w:abstractNum>
  <w:abstractNum w:abstractNumId="82">
    <w:nsid w:val="2E22FBB7"/>
    <w:multiLevelType w:val="hybridMultilevel"/>
    <w:lvl w:ilvl="0">
      <w:lvlJc w:val="left"/>
      <w:lvlText w:val="•"/>
      <w:numFmt w:val="bullet"/>
      <w:start w:val="1"/>
    </w:lvl>
  </w:abstractNum>
  <w:abstractNum w:abstractNumId="83">
    <w:nsid w:val="29934699"/>
    <w:multiLevelType w:val="hybridMultilevel"/>
    <w:lvl w:ilvl="0">
      <w:lvlJc w:val="left"/>
      <w:lvlText w:val="•"/>
      <w:numFmt w:val="bullet"/>
      <w:start w:val="1"/>
    </w:lvl>
  </w:abstractNum>
  <w:abstractNum w:abstractNumId="84">
    <w:nsid w:val="77485850"/>
    <w:multiLevelType w:val="hybridMultilevel"/>
    <w:lvl w:ilvl="0">
      <w:lvlJc w:val="left"/>
      <w:lvlText w:val="•"/>
      <w:numFmt w:val="bullet"/>
      <w:start w:val="1"/>
    </w:lvl>
  </w:abstractNum>
  <w:abstractNum w:abstractNumId="85">
    <w:nsid w:val="744939A3"/>
    <w:multiLevelType w:val="hybridMultilevel"/>
    <w:lvl w:ilvl="0">
      <w:lvlJc w:val="left"/>
      <w:lvlText w:val="•"/>
      <w:numFmt w:val="bullet"/>
      <w:start w:val="1"/>
    </w:lvl>
  </w:abstractNum>
  <w:abstractNum w:abstractNumId="86">
    <w:nsid w:val="4FA0D2E3"/>
    <w:multiLevelType w:val="hybridMultilevel"/>
    <w:lvl w:ilvl="0">
      <w:lvlJc w:val="left"/>
      <w:lvlText w:val="•"/>
      <w:numFmt w:val="bullet"/>
      <w:start w:val="1"/>
    </w:lvl>
  </w:abstractNum>
  <w:abstractNum w:abstractNumId="87">
    <w:nsid w:val="6B1D2C14"/>
    <w:multiLevelType w:val="hybridMultilevel"/>
    <w:lvl w:ilvl="0">
      <w:lvlJc w:val="left"/>
      <w:lvlText w:val=" "/>
      <w:numFmt w:val="bullet"/>
      <w:start w:val="1"/>
    </w:lvl>
  </w:abstractNum>
  <w:abstractNum w:abstractNumId="88">
    <w:nsid w:val="68B867D3"/>
    <w:multiLevelType w:val="hybridMultilevel"/>
    <w:lvl w:ilvl="0">
      <w:lvlJc w:val="left"/>
      <w:lvlText w:val="•"/>
      <w:numFmt w:val="bullet"/>
      <w:start w:val="1"/>
    </w:lvl>
  </w:abstractNum>
  <w:abstractNum w:abstractNumId="89">
    <w:nsid w:val="3F7F5DD9"/>
    <w:multiLevelType w:val="hybridMultilevel"/>
    <w:lvl w:ilvl="0">
      <w:lvlJc w:val="left"/>
      <w:lvlText w:val=" "/>
      <w:numFmt w:val="bullet"/>
      <w:start w:val="1"/>
    </w:lvl>
  </w:abstractNum>
  <w:abstractNum w:abstractNumId="90">
    <w:nsid w:val="2AE05A34"/>
    <w:multiLevelType w:val="hybridMultilevel"/>
    <w:lvl w:ilvl="0">
      <w:lvlJc w:val="left"/>
      <w:lvlText w:val="•"/>
      <w:numFmt w:val="bullet"/>
      <w:start w:val="1"/>
    </w:lvl>
  </w:abstractNum>
  <w:abstractNum w:abstractNumId="91">
    <w:nsid w:val="32794FF7"/>
    <w:multiLevelType w:val="hybridMultilevel"/>
    <w:lvl w:ilvl="0">
      <w:lvlJc w:val="left"/>
      <w:lvlText w:val=" "/>
      <w:numFmt w:val="bullet"/>
      <w:start w:val="1"/>
    </w:lvl>
  </w:abstractNum>
  <w:abstractNum w:abstractNumId="92">
    <w:nsid w:val="5454945E"/>
    <w:multiLevelType w:val="hybridMultilevel"/>
    <w:lvl w:ilvl="0">
      <w:lvlJc w:val="left"/>
      <w:lvlText w:val="•"/>
      <w:numFmt w:val="bullet"/>
      <w:start w:val="1"/>
    </w:lvl>
  </w:abstractNum>
  <w:abstractNum w:abstractNumId="93">
    <w:nsid w:val="4DEFDFA0"/>
    <w:multiLevelType w:val="hybridMultilevel"/>
    <w:lvl w:ilvl="0">
      <w:lvlJc w:val="left"/>
      <w:lvlText w:val=" "/>
      <w:numFmt w:val="bullet"/>
      <w:start w:val="1"/>
    </w:lvl>
  </w:abstractNum>
  <w:abstractNum w:abstractNumId="94">
    <w:nsid w:val="2123D5F2"/>
    <w:multiLevelType w:val="hybridMultilevel"/>
    <w:lvl w:ilvl="0">
      <w:lvlJc w:val="left"/>
      <w:lvlText w:val="•"/>
      <w:numFmt w:val="bullet"/>
      <w:start w:val="1"/>
    </w:lvl>
  </w:abstractNum>
  <w:abstractNum w:abstractNumId="95">
    <w:nsid w:val="135B8110"/>
    <w:multiLevelType w:val="hybridMultilevel"/>
    <w:lvl w:ilvl="0">
      <w:lvlJc w:val="left"/>
      <w:lvlText w:val=" "/>
      <w:numFmt w:val="bullet"/>
      <w:start w:val="1"/>
    </w:lvl>
  </w:abstractNum>
  <w:abstractNum w:abstractNumId="96">
    <w:nsid w:val="94927A8"/>
    <w:multiLevelType w:val="hybridMultilevel"/>
    <w:lvl w:ilvl="0">
      <w:lvlJc w:val="left"/>
      <w:lvlText w:val="•"/>
      <w:numFmt w:val="bullet"/>
      <w:start w:val="1"/>
    </w:lvl>
  </w:abstractNum>
  <w:abstractNum w:abstractNumId="97">
    <w:nsid w:val="DCDF8F6"/>
    <w:multiLevelType w:val="hybridMultilevel"/>
    <w:lvl w:ilvl="0">
      <w:lvlJc w:val="left"/>
      <w:lvlText w:val=" "/>
      <w:numFmt w:val="bullet"/>
      <w:start w:val="1"/>
    </w:lvl>
  </w:abstractNum>
  <w:abstractNum w:abstractNumId="98">
    <w:nsid w:val="52D7B105"/>
    <w:multiLevelType w:val="hybridMultilevel"/>
    <w:lvl w:ilvl="0">
      <w:lvlJc w:val="left"/>
      <w:lvlText w:val="•"/>
      <w:numFmt w:val="bullet"/>
      <w:start w:val="1"/>
    </w:lvl>
  </w:abstractNum>
  <w:abstractNum w:abstractNumId="99">
    <w:nsid w:val="2E8A6394"/>
    <w:multiLevelType w:val="hybridMultilevel"/>
    <w:lvl w:ilvl="0">
      <w:lvlJc w:val="left"/>
      <w:lvlText w:val=" "/>
      <w:numFmt w:val="bullet"/>
      <w:start w:val="1"/>
    </w:lvl>
  </w:abstractNum>
  <w:abstractNum w:abstractNumId="100">
    <w:nsid w:val="24E60401"/>
    <w:multiLevelType w:val="hybridMultilevel"/>
    <w:lvl w:ilvl="0">
      <w:lvlJc w:val="left"/>
      <w:lvlText w:val="•"/>
      <w:numFmt w:val="bullet"/>
      <w:start w:val="1"/>
    </w:lvl>
  </w:abstractNum>
  <w:abstractNum w:abstractNumId="101">
    <w:nsid w:val="2A6AD9BE"/>
    <w:multiLevelType w:val="hybridMultilevel"/>
    <w:lvl w:ilvl="0">
      <w:lvlJc w:val="left"/>
      <w:lvlText w:val=" "/>
      <w:numFmt w:val="bullet"/>
      <w:start w:val="1"/>
    </w:lvl>
    <w:lvl w:ilvl="1">
      <w:lvlJc w:val="left"/>
      <w:lvlText w:val="\endash "/>
      <w:numFmt w:val="bullet"/>
      <w:start w:val="1"/>
    </w:lvl>
  </w:abstractNum>
  <w:abstractNum w:abstractNumId="102">
    <w:nsid w:val="BAAC1B4"/>
    <w:multiLevelType w:val="hybridMultilevel"/>
    <w:lvl w:ilvl="0">
      <w:lvlJc w:val="left"/>
      <w:lvlText w:val="•"/>
      <w:numFmt w:val="bullet"/>
      <w:start w:val="1"/>
    </w:lvl>
  </w:abstractNum>
  <w:abstractNum w:abstractNumId="103">
    <w:nsid w:val="36B2ACBC"/>
    <w:multiLevelType w:val="hybridMultilevel"/>
    <w:lvl w:ilvl="0">
      <w:lvlJc w:val="left"/>
      <w:lvlText w:val="•"/>
      <w:numFmt w:val="bullet"/>
      <w:start w:val="1"/>
    </w:lvl>
  </w:abstractNum>
  <w:abstractNum w:abstractNumId="104">
    <w:nsid w:val="779D8544"/>
    <w:multiLevelType w:val="hybridMultilevel"/>
    <w:lvl w:ilvl="0">
      <w:lvlJc w:val="left"/>
      <w:lvlText w:val="•"/>
      <w:numFmt w:val="bullet"/>
      <w:start w:val="1"/>
    </w:lvl>
  </w:abstractNum>
  <w:abstractNum w:abstractNumId="105">
    <w:nsid w:val="4AB26E78"/>
    <w:multiLevelType w:val="hybridMultilevel"/>
    <w:lvl w:ilvl="0">
      <w:lvlJc w:val="left"/>
      <w:lvlText w:val="•"/>
      <w:numFmt w:val="bullet"/>
      <w:start w:val="1"/>
    </w:lvl>
  </w:abstractNum>
  <w:abstractNum w:abstractNumId="106">
    <w:nsid w:val="21FAA2FA"/>
    <w:multiLevelType w:val="hybridMultilevel"/>
    <w:lvl w:ilvl="0">
      <w:lvlJc w:val="left"/>
      <w:lvlText w:val="•"/>
      <w:numFmt w:val="bullet"/>
      <w:start w:val="1"/>
    </w:lvl>
  </w:abstractNum>
  <w:abstractNum w:abstractNumId="107">
    <w:nsid w:val="5451CF49"/>
    <w:multiLevelType w:val="hybridMultilevel"/>
    <w:lvl w:ilvl="0">
      <w:lvlJc w:val="left"/>
      <w:lvlText w:val="(%1)"/>
      <w:numFmt w:val="decimal"/>
      <w:start w:val="1"/>
    </w:lvl>
  </w:abstractNum>
  <w:abstractNum w:abstractNumId="108">
    <w:nsid w:val="6181EF69"/>
    <w:multiLevelType w:val="hybridMultilevel"/>
    <w:lvl w:ilvl="0">
      <w:lvlJc w:val="left"/>
      <w:lvlText w:val="(%1)"/>
      <w:numFmt w:val="decimal"/>
      <w:start w:val="1"/>
    </w:lvl>
  </w:abstractNum>
  <w:abstractNum w:abstractNumId="109">
    <w:nsid w:val="3E6400E6"/>
    <w:multiLevelType w:val="hybridMultilevel"/>
    <w:lvl w:ilvl="0">
      <w:lvlJc w:val="left"/>
      <w:lvlText w:val="•"/>
      <w:numFmt w:val="bullet"/>
      <w:start w:val="1"/>
    </w:lvl>
  </w:abstractNum>
  <w:abstractNum w:abstractNumId="110">
    <w:nsid w:val="14217E23"/>
    <w:multiLevelType w:val="hybridMultilevel"/>
    <w:lvl w:ilvl="0">
      <w:lvlJc w:val="left"/>
      <w:lvlText w:val="(%1)"/>
      <w:numFmt w:val="decimal"/>
      <w:start w:val="1"/>
    </w:lvl>
  </w:abstractNum>
  <w:abstractNum w:abstractNumId="111">
    <w:nsid w:val="710757D0"/>
    <w:multiLevelType w:val="hybridMultilevel"/>
    <w:lvl w:ilvl="0">
      <w:lvlJc w:val="left"/>
      <w:lvlText w:val="(%1)"/>
      <w:numFmt w:val="decimal"/>
      <w:start w:val="1"/>
    </w:lvl>
  </w:abstractNum>
  <w:abstractNum w:abstractNumId="112">
    <w:nsid w:val="5015CD1A"/>
    <w:multiLevelType w:val="hybridMultilevel"/>
    <w:lvl w:ilvl="0">
      <w:lvlJc w:val="left"/>
      <w:lvlText w:val="(%1)"/>
      <w:numFmt w:val="decimal"/>
      <w:start w:val="1"/>
    </w:lvl>
    <w:lvl w:ilvl="1">
      <w:lvlJc w:val="left"/>
      <w:lvlText w:val=" "/>
      <w:numFmt w:val="bullet"/>
      <w:start w:val="1"/>
    </w:lvl>
  </w:abstractNum>
  <w:abstractNum w:abstractNumId="113">
    <w:nsid w:val="424479DA"/>
    <w:multiLevelType w:val="hybridMultilevel"/>
    <w:lvl w:ilvl="0">
      <w:lvlJc w:val="left"/>
      <w:lvlText w:val="(%1)"/>
      <w:numFmt w:val="decimal"/>
      <w:start w:val="1"/>
    </w:lvl>
  </w:abstractNum>
  <w:abstractNum w:abstractNumId="114">
    <w:nsid w:val="1A9A9E69"/>
    <w:multiLevelType w:val="hybridMultilevel"/>
    <w:lvl w:ilvl="0">
      <w:lvlJc w:val="left"/>
      <w:lvlText w:val="(%1)"/>
      <w:numFmt w:val="decimal"/>
      <w:start w:val="1"/>
    </w:lvl>
  </w:abstractNum>
  <w:abstractNum w:abstractNumId="115">
    <w:nsid w:val="475E256A"/>
    <w:multiLevelType w:val="hybridMultilevel"/>
    <w:lvl w:ilvl="0">
      <w:lvlJc w:val="left"/>
      <w:lvlText w:val="(%1)"/>
      <w:numFmt w:val="decimal"/>
      <w:start w:val="1"/>
    </w:lvl>
  </w:abstractNum>
  <w:abstractNum w:abstractNumId="116">
    <w:nsid w:val="368DB37E"/>
    <w:multiLevelType w:val="hybridMultilevel"/>
    <w:lvl w:ilvl="0">
      <w:lvlJc w:val="left"/>
      <w:lvlText w:val="(%1)"/>
      <w:numFmt w:val="decimal"/>
      <w:start w:val="1"/>
    </w:lvl>
  </w:abstractNum>
  <w:abstractNum w:abstractNumId="117">
    <w:nsid w:val="6A3B714C"/>
    <w:multiLevelType w:val="hybridMultilevel"/>
    <w:lvl w:ilvl="0">
      <w:lvlJc w:val="left"/>
      <w:lvlText w:val="(%1)"/>
      <w:numFmt w:val="decimal"/>
      <w:start w:val="1"/>
    </w:lvl>
  </w:abstractNum>
  <w:abstractNum w:abstractNumId="118">
    <w:nsid w:val="327B517E"/>
    <w:multiLevelType w:val="hybridMultilevel"/>
    <w:lvl w:ilvl="0">
      <w:lvlJc w:val="left"/>
      <w:lvlText w:val="(%1)"/>
      <w:numFmt w:val="decimal"/>
      <w:start w:val="1"/>
    </w:lvl>
  </w:abstractNum>
  <w:abstractNum w:abstractNumId="119">
    <w:nsid w:val="1F461B51"/>
    <w:multiLevelType w:val="hybridMultilevel"/>
    <w:lvl w:ilvl="0">
      <w:lvlJc w:val="left"/>
      <w:lvlText w:val="(%1)"/>
      <w:numFmt w:val="decimal"/>
      <w:start w:val="1"/>
    </w:lvl>
  </w:abstractNum>
  <w:abstractNum w:abstractNumId="120">
    <w:nsid w:val="29BACF25"/>
    <w:multiLevelType w:val="hybridMultilevel"/>
    <w:lvl w:ilvl="0">
      <w:lvlJc w:val="left"/>
      <w:lvlText w:val="•"/>
      <w:numFmt w:val="bullet"/>
      <w:start w:val="1"/>
    </w:lvl>
  </w:abstractNum>
  <w:abstractNum w:abstractNumId="121">
    <w:nsid w:val="5D5BABB3"/>
    <w:multiLevelType w:val="hybridMultilevel"/>
    <w:lvl w:ilvl="0">
      <w:lvlJc w:val="left"/>
      <w:lvlText w:val="(%1)"/>
      <w:numFmt w:val="decimal"/>
      <w:start w:val="1"/>
    </w:lvl>
  </w:abstractNum>
  <w:abstractNum w:abstractNumId="122">
    <w:nsid w:val="51BF6B48"/>
    <w:multiLevelType w:val="hybridMultilevel"/>
    <w:lvl w:ilvl="0">
      <w:lvlJc w:val="left"/>
      <w:lvlText w:val="(%1)"/>
      <w:numFmt w:val="decimal"/>
      <w:start w:val="1"/>
    </w:lvl>
  </w:abstractNum>
  <w:abstractNum w:abstractNumId="123">
    <w:nsid w:val="7E0F6384"/>
    <w:multiLevelType w:val="hybridMultilevel"/>
    <w:lvl w:ilvl="0">
      <w:lvlJc w:val="left"/>
      <w:lvlText w:val="•"/>
      <w:numFmt w:val="bullet"/>
      <w:start w:val="1"/>
    </w:lvl>
  </w:abstractNum>
  <w:abstractNum w:abstractNumId="124">
    <w:nsid w:val="2B4B8B53"/>
    <w:multiLevelType w:val="hybridMultilevel"/>
    <w:lvl w:ilvl="0">
      <w:lvlJc w:val="left"/>
      <w:lvlText w:val="(%1)"/>
      <w:numFmt w:val="decimal"/>
      <w:start w:val="1"/>
    </w:lvl>
  </w:abstractNum>
  <w:abstractNum w:abstractNumId="125">
    <w:nsid w:val="72E3413A"/>
    <w:multiLevelType w:val="hybridMultilevel"/>
    <w:lvl w:ilvl="0">
      <w:lvlJc w:val="left"/>
      <w:lvlText w:val="(%1)"/>
      <w:numFmt w:val="decimal"/>
      <w:start w:val="1"/>
    </w:lvl>
  </w:abstractNum>
  <w:abstractNum w:abstractNumId="126">
    <w:nsid w:val="116AE494"/>
    <w:multiLevelType w:val="hybridMultilevel"/>
    <w:lvl w:ilvl="0">
      <w:lvlJc w:val="left"/>
      <w:lvlText w:val="(%1)"/>
      <w:numFmt w:val="decimal"/>
      <w:start w:val="1"/>
    </w:lvl>
  </w:abstractNum>
  <w:abstractNum w:abstractNumId="127">
    <w:nsid w:val="3494B2FB"/>
    <w:multiLevelType w:val="hybridMultilevel"/>
    <w:lvl w:ilvl="0">
      <w:lvlJc w:val="left"/>
      <w:lvlText w:val="•"/>
      <w:numFmt w:val="bullet"/>
      <w:start w:val="1"/>
    </w:lvl>
  </w:abstractNum>
  <w:abstractNum w:abstractNumId="128">
    <w:nsid w:val="B13A31"/>
    <w:multiLevelType w:val="hybridMultilevel"/>
    <w:lvl w:ilvl="0">
      <w:lvlJc w:val="left"/>
      <w:lvlText w:val="(%1)"/>
      <w:numFmt w:val="decimal"/>
      <w:start w:val="1"/>
    </w:lvl>
  </w:abstractNum>
  <w:abstractNum w:abstractNumId="129">
    <w:nsid w:val="64429599"/>
    <w:multiLevelType w:val="hybridMultilevel"/>
    <w:lvl w:ilvl="0">
      <w:lvlJc w:val="left"/>
      <w:lvlText w:val="•"/>
      <w:numFmt w:val="bullet"/>
      <w:start w:val="1"/>
    </w:lvl>
  </w:abstractNum>
  <w:abstractNum w:abstractNumId="130">
    <w:nsid w:val="631F1690"/>
    <w:multiLevelType w:val="hybridMultilevel"/>
    <w:lvl w:ilvl="0">
      <w:lvlJc w:val="left"/>
      <w:lvlText w:val="(%1)"/>
      <w:numFmt w:val="decimal"/>
      <w:start w:val="1"/>
    </w:lvl>
  </w:abstractNum>
  <w:abstractNum w:abstractNumId="131">
    <w:nsid w:val="25973E32"/>
    <w:multiLevelType w:val="hybridMultilevel"/>
    <w:lvl w:ilvl="0">
      <w:lvlJc w:val="left"/>
      <w:lvlText w:val="(%1)"/>
      <w:numFmt w:val="decimal"/>
      <w:start w:val="1"/>
    </w:lvl>
  </w:abstractNum>
  <w:abstractNum w:abstractNumId="132">
    <w:nsid w:val="EAD6F57"/>
    <w:multiLevelType w:val="hybridMultilevel"/>
    <w:lvl w:ilvl="0">
      <w:lvlJc w:val="left"/>
      <w:lvlText w:val="(%1)"/>
      <w:numFmt w:val="decimal"/>
      <w:start w:val="1"/>
    </w:lvl>
  </w:abstractNum>
  <w:abstractNum w:abstractNumId="133">
    <w:nsid w:val="6EC9D844"/>
    <w:multiLevelType w:val="hybridMultilevel"/>
    <w:lvl w:ilvl="0">
      <w:lvlJc w:val="left"/>
      <w:lvlText w:val="(%1)"/>
      <w:numFmt w:val="decimal"/>
      <w:start w:val="1"/>
    </w:lvl>
  </w:abstractNum>
  <w:abstractNum w:abstractNumId="134">
    <w:nsid w:val="5C49EAEE"/>
    <w:multiLevelType w:val="hybridMultilevel"/>
    <w:lvl w:ilvl="0">
      <w:lvlJc w:val="left"/>
      <w:lvlText w:val="(%1)"/>
      <w:numFmt w:val="decimal"/>
      <w:start w:val="1"/>
    </w:lvl>
  </w:abstractNum>
  <w:abstractNum w:abstractNumId="135">
    <w:nsid w:val="64AF49B"/>
    <w:multiLevelType w:val="hybridMultilevel"/>
    <w:lvl w:ilvl="0">
      <w:lvlJc w:val="left"/>
      <w:lvlText w:val="(%1)"/>
      <w:numFmt w:val="decimal"/>
      <w:start w:val="1"/>
    </w:lvl>
  </w:abstractNum>
  <w:abstractNum w:abstractNumId="136">
    <w:nsid w:val="397C46BC"/>
    <w:multiLevelType w:val="hybridMultilevel"/>
    <w:lvl w:ilvl="0">
      <w:lvlJc w:val="left"/>
      <w:lvlText w:val="(%1)"/>
      <w:numFmt w:val="decimal"/>
      <w:start w:val="1"/>
    </w:lvl>
  </w:abstractNum>
  <w:abstractNum w:abstractNumId="137">
    <w:nsid w:val="7E448DE9"/>
    <w:multiLevelType w:val="hybridMultilevel"/>
    <w:lvl w:ilvl="0">
      <w:lvlJc w:val="left"/>
      <w:lvlText w:val="(%1)"/>
      <w:numFmt w:val="decimal"/>
      <w:start w:val="1"/>
    </w:lvl>
  </w:abstractNum>
  <w:abstractNum w:abstractNumId="138">
    <w:nsid w:val="5A9CC3E5"/>
    <w:multiLevelType w:val="hybridMultilevel"/>
    <w:lvl w:ilvl="0">
      <w:lvlJc w:val="left"/>
      <w:lvlText w:val="(%1)"/>
      <w:numFmt w:val="decimal"/>
      <w:start w:val="1"/>
    </w:lvl>
  </w:abstractNum>
  <w:abstractNum w:abstractNumId="139">
    <w:nsid w:val="1AFE3625"/>
    <w:multiLevelType w:val="hybridMultilevel"/>
    <w:lvl w:ilvl="0">
      <w:lvlJc w:val="left"/>
      <w:lvlText w:val="(%1)"/>
      <w:numFmt w:val="decimal"/>
      <w:start w:val="1"/>
    </w:lvl>
  </w:abstractNum>
  <w:abstractNum w:abstractNumId="140">
    <w:nsid w:val="3CA88ECF"/>
    <w:multiLevelType w:val="hybridMultilevel"/>
    <w:lvl w:ilvl="0">
      <w:lvlJc w:val="left"/>
      <w:lvlText w:val="(%1)"/>
      <w:numFmt w:val="decimal"/>
      <w:start w:val="1"/>
    </w:lvl>
  </w:abstractNum>
  <w:abstractNum w:abstractNumId="141">
    <w:nsid w:val="6EBE4208"/>
    <w:multiLevelType w:val="hybridMultilevel"/>
    <w:lvl w:ilvl="0">
      <w:lvlJc w:val="left"/>
      <w:lvlText w:val="(%1)"/>
      <w:numFmt w:val="decimal"/>
      <w:start w:val="1"/>
    </w:lvl>
  </w:abstractNum>
  <w:abstractNum w:abstractNumId="142">
    <w:nsid w:val="C058DF5"/>
    <w:multiLevelType w:val="hybridMultilevel"/>
    <w:lvl w:ilvl="0">
      <w:lvlJc w:val="left"/>
      <w:lvlText w:val="•"/>
      <w:numFmt w:val="bullet"/>
      <w:start w:val="1"/>
    </w:lvl>
  </w:abstractNum>
  <w:abstractNum w:abstractNumId="143">
    <w:nsid w:val="CBE5BE9"/>
    <w:multiLevelType w:val="hybridMultilevel"/>
    <w:lvl w:ilvl="0">
      <w:lvlJc w:val="left"/>
      <w:lvlText w:val="•"/>
      <w:numFmt w:val="bullet"/>
      <w:start w:val="1"/>
    </w:lvl>
  </w:abstractNum>
  <w:abstractNum w:abstractNumId="144">
    <w:nsid w:val="3102BBE2"/>
    <w:multiLevelType w:val="hybridMultilevel"/>
    <w:lvl w:ilvl="0">
      <w:lvlJc w:val="left"/>
      <w:lvlText w:val="(%1)"/>
      <w:numFmt w:val="decimal"/>
      <w:start w:val="1"/>
    </w:lvl>
  </w:abstractNum>
  <w:abstractNum w:abstractNumId="145">
    <w:nsid w:val="26A02C5E"/>
    <w:multiLevelType w:val="hybridMultilevel"/>
    <w:lvl w:ilvl="0">
      <w:lvlJc w:val="left"/>
      <w:lvlText w:val="(%1)"/>
      <w:numFmt w:val="decimal"/>
      <w:start w:val="1"/>
    </w:lvl>
  </w:abstractNum>
  <w:abstractNum w:abstractNumId="146">
    <w:nsid w:val="541C8153"/>
    <w:multiLevelType w:val="hybridMultilevel"/>
    <w:lvl w:ilvl="0">
      <w:lvlJc w:val="left"/>
      <w:lvlText w:val="(%1)"/>
      <w:numFmt w:val="lowerRoman"/>
      <w:start w:val="1"/>
    </w:lvl>
  </w:abstractNum>
  <w:abstractNum w:abstractNumId="147">
    <w:nsid w:val="67906F60"/>
    <w:multiLevelType w:val="hybridMultilevel"/>
    <w:lvl w:ilvl="0">
      <w:lvlJc w:val="left"/>
      <w:lvlText w:val="(%1)"/>
      <w:numFmt w:val="lowerRoman"/>
      <w:start w:val="1"/>
    </w:lvl>
  </w:abstractNum>
  <w:abstractNum w:abstractNumId="148">
    <w:nsid w:val="10DB9DAA"/>
    <w:multiLevelType w:val="hybridMultilevel"/>
    <w:lvl w:ilvl="0">
      <w:lvlJc w:val="left"/>
      <w:lvlText w:val="•"/>
      <w:numFmt w:val="bullet"/>
      <w:start w:val="1"/>
    </w:lvl>
  </w:abstractNum>
  <w:abstractNum w:abstractNumId="149">
    <w:nsid w:val="697D2D2"/>
    <w:multiLevelType w:val="hybridMultilevel"/>
    <w:lvl w:ilvl="0">
      <w:lvlJc w:val="left"/>
      <w:lvlText w:val="(%1)"/>
      <w:numFmt w:val="decimal"/>
      <w:start w:val="1"/>
    </w:lvl>
  </w:abstractNum>
  <w:abstractNum w:abstractNumId="150">
    <w:nsid w:val="6D68AB2"/>
    <w:multiLevelType w:val="hybridMultilevel"/>
    <w:lvl w:ilvl="0">
      <w:lvlJc w:val="left"/>
      <w:lvlText w:val="•"/>
      <w:numFmt w:val="bullet"/>
      <w:start w:val="1"/>
    </w:lvl>
  </w:abstractNum>
  <w:abstractNum w:abstractNumId="151">
    <w:nsid w:val="3A966CD0"/>
    <w:multiLevelType w:val="hybridMultilevel"/>
    <w:lvl w:ilvl="0">
      <w:lvlJc w:val="left"/>
      <w:lvlText w:val="•"/>
      <w:numFmt w:val="bullet"/>
      <w:start w:val="1"/>
    </w:lvl>
  </w:abstractNum>
  <w:abstractNum w:abstractNumId="152">
    <w:nsid w:val="63F37E85"/>
    <w:multiLevelType w:val="hybridMultilevel"/>
    <w:lvl w:ilvl="0">
      <w:lvlJc w:val="left"/>
      <w:lvlText w:val="•"/>
      <w:numFmt w:val="bullet"/>
      <w:start w:val="1"/>
    </w:lvl>
  </w:abstractNum>
  <w:abstractNum w:abstractNumId="153">
    <w:nsid w:val="5895F5FA"/>
    <w:multiLevelType w:val="hybridMultilevel"/>
    <w:lvl w:ilvl="0">
      <w:lvlJc w:val="left"/>
      <w:lvlText w:val="(%1)"/>
      <w:numFmt w:val="decimal"/>
      <w:start w:val="1"/>
    </w:lvl>
  </w:abstractNum>
  <w:abstractNum w:abstractNumId="154">
    <w:nsid w:val="38A5D054"/>
    <w:multiLevelType w:val="hybridMultilevel"/>
    <w:lvl w:ilvl="0">
      <w:lvlJc w:val="left"/>
      <w:lvlText w:val="•"/>
      <w:numFmt w:val="bullet"/>
      <w:start w:val="1"/>
    </w:lvl>
  </w:abstractNum>
  <w:abstractNum w:abstractNumId="155">
    <w:nsid w:val="F3F09D8"/>
    <w:multiLevelType w:val="hybridMultilevel"/>
    <w:lvl w:ilvl="0">
      <w:lvlJc w:val="left"/>
      <w:lvlText w:val="•"/>
      <w:numFmt w:val="bullet"/>
      <w:start w:val="1"/>
    </w:lvl>
  </w:abstractNum>
  <w:abstractNum w:abstractNumId="156">
    <w:nsid w:val="4B793735"/>
    <w:multiLevelType w:val="hybridMultilevel"/>
    <w:lvl w:ilvl="0">
      <w:lvlJc w:val="left"/>
      <w:lvlText w:val="%1."/>
      <w:numFmt w:val="decimal"/>
      <w:start w:val="1"/>
    </w:lvl>
    <w:lvl w:ilvl="1">
      <w:lvlJc w:val="left"/>
      <w:lvlText w:val="%2)"/>
      <w:numFmt w:val="lowerLetter"/>
      <w:start w:val="1"/>
    </w:lvl>
  </w:abstractNum>
  <w:abstractNum w:abstractNumId="157">
    <w:nsid w:val="4A10B4E8"/>
    <w:multiLevelType w:val="hybridMultilevel"/>
    <w:lvl w:ilvl="0">
      <w:lvlJc w:val="left"/>
      <w:lvlText w:val="%1."/>
      <w:numFmt w:val="decimal"/>
      <w:start w:val="1"/>
    </w:lvl>
    <w:lvl w:ilvl="1">
      <w:lvlJc w:val="left"/>
      <w:lvlText w:val="%2)"/>
      <w:numFmt w:val="lowerLetter"/>
      <w:start w:val="1"/>
    </w:lvl>
  </w:abstractNum>
  <w:abstractNum w:abstractNumId="158">
    <w:nsid w:val="43D3BCD4"/>
    <w:multiLevelType w:val="hybridMultilevel"/>
    <w:lvl w:ilvl="0">
      <w:lvlJc w:val="left"/>
      <w:lvlText w:val="(%1)"/>
      <w:numFmt w:val="lowerLetter"/>
      <w:start w:val="1"/>
    </w:lvl>
  </w:abstractNum>
  <w:abstractNum w:abstractNumId="159">
    <w:nsid w:val="4C2A7166"/>
    <w:multiLevelType w:val="hybridMultilevel"/>
    <w:lvl w:ilvl="0">
      <w:lvlJc w:val="left"/>
      <w:lvlText w:val="%1)"/>
      <w:numFmt w:val="lowerLetter"/>
      <w:start w:val="1"/>
    </w:lvl>
  </w:abstractNum>
  <w:abstractNum w:abstractNumId="160">
    <w:nsid w:val="2E534A82"/>
    <w:multiLevelType w:val="hybridMultilevel"/>
    <w:lvl w:ilvl="0">
      <w:lvlJc w:val="left"/>
      <w:lvlText w:val="%1)"/>
      <w:numFmt w:val="lowerLetter"/>
      <w:start w:val="1"/>
    </w:lvl>
  </w:abstractNum>
  <w:abstractNum w:abstractNumId="161">
    <w:nsid w:val="26F2D364"/>
    <w:multiLevelType w:val="hybridMultilevel"/>
    <w:lvl w:ilvl="0">
      <w:lvlJc w:val="left"/>
      <w:lvlText w:val="%1."/>
      <w:numFmt w:val="decimal"/>
      <w:start w:val="1"/>
    </w:lvl>
  </w:abstractNum>
  <w:abstractNum w:abstractNumId="162">
    <w:nsid w:val="71C1AF98"/>
    <w:multiLevelType w:val="hybridMultilevel"/>
    <w:lvl w:ilvl="0">
      <w:lvlJc w:val="left"/>
      <w:lvlText w:val="●"/>
      <w:numFmt w:val="bullet"/>
      <w:start w:val="1"/>
    </w:lvl>
  </w:abstractNum>
  <w:abstractNum w:abstractNumId="163">
    <w:nsid w:val="3D00B9D9"/>
    <w:multiLevelType w:val="hybridMultilevel"/>
    <w:lvl w:ilvl="0">
      <w:lvlJc w:val="left"/>
      <w:lvlText w:val="●"/>
      <w:numFmt w:val="bullet"/>
      <w:start w:val="1"/>
    </w:lvl>
  </w:abstractNum>
  <w:abstractNum w:abstractNumId="164">
    <w:nsid w:val="15BCABA8"/>
    <w:multiLevelType w:val="hybridMultilevel"/>
    <w:lvl w:ilvl="0">
      <w:lvlJc w:val="left"/>
      <w:lvlText w:val="●"/>
      <w:numFmt w:val="bullet"/>
      <w:start w:val="1"/>
    </w:lvl>
  </w:abstractNum>
  <w:abstractNum w:abstractNumId="165">
    <w:nsid w:val="4E0B9A87"/>
    <w:multiLevelType w:val="hybridMultilevel"/>
    <w:lvl w:ilvl="0">
      <w:lvlJc w:val="left"/>
      <w:lvlText w:val="●"/>
      <w:numFmt w:val="bullet"/>
      <w:start w:val="1"/>
    </w:lvl>
  </w:abstractNum>
  <w:abstractNum w:abstractNumId="166">
    <w:nsid w:val="434BAE75"/>
    <w:multiLevelType w:val="hybridMultilevel"/>
    <w:lvl w:ilvl="0">
      <w:lvlJc w:val="left"/>
      <w:lvlText w:val=" "/>
      <w:numFmt w:val="bullet"/>
      <w:start w:val="1"/>
    </w:lvl>
  </w:abstractNum>
  <w:abstractNum w:abstractNumId="167">
    <w:nsid w:val="4F38F265"/>
    <w:multiLevelType w:val="hybridMultilevel"/>
    <w:lvl w:ilvl="0">
      <w:lvlJc w:val="left"/>
      <w:lvlText w:val="●"/>
      <w:numFmt w:val="bullet"/>
      <w:start w:val="1"/>
    </w:lvl>
  </w:abstractNum>
  <w:abstractNum w:abstractNumId="168">
    <w:nsid w:val="4C502870"/>
    <w:multiLevelType w:val="hybridMultilevel"/>
    <w:lvl w:ilvl="0">
      <w:lvlJc w:val="left"/>
      <w:lvlText w:val="●"/>
      <w:numFmt w:val="bullet"/>
      <w:start w:val="1"/>
    </w:lvl>
  </w:abstractNum>
  <w:abstractNum w:abstractNumId="169">
    <w:nsid w:val="1DE8725A"/>
    <w:multiLevelType w:val="hybridMultilevel"/>
    <w:lvl w:ilvl="0">
      <w:lvlJc w:val="left"/>
      <w:lvlText w:val="●"/>
      <w:numFmt w:val="bullet"/>
      <w:start w:val="1"/>
    </w:lvl>
  </w:abstractNum>
  <w:abstractNum w:abstractNumId="170">
    <w:nsid w:val="6A37288A"/>
    <w:multiLevelType w:val="hybridMultilevel"/>
    <w:lvl w:ilvl="0">
      <w:lvlJc w:val="left"/>
      <w:lvlText w:val="●"/>
      <w:numFmt w:val="bullet"/>
      <w:start w:val="1"/>
    </w:lvl>
  </w:abstractNum>
  <w:abstractNum w:abstractNumId="171">
    <w:nsid w:val="8F8B73F"/>
    <w:multiLevelType w:val="hybridMultilevel"/>
    <w:lvl w:ilvl="0">
      <w:lvlJc w:val="left"/>
      <w:lvlText w:val="●"/>
      <w:numFmt w:val="bullet"/>
      <w:start w:val="1"/>
    </w:lvl>
  </w:abstractNum>
  <w:abstractNum w:abstractNumId="172">
    <w:nsid w:val="CA6B462"/>
    <w:multiLevelType w:val="hybridMultilevel"/>
    <w:lvl w:ilvl="0">
      <w:lvlJc w:val="left"/>
      <w:lvlText w:val="●"/>
      <w:numFmt w:val="bullet"/>
      <w:start w:val="1"/>
    </w:lvl>
  </w:abstractNum>
  <w:abstractNum w:abstractNumId="173">
    <w:nsid w:val="763CB680"/>
    <w:multiLevelType w:val="hybridMultilevel"/>
    <w:lvl w:ilvl="0">
      <w:lvlJc w:val="left"/>
      <w:lvlText w:val="●"/>
      <w:numFmt w:val="bullet"/>
      <w:start w:val="1"/>
    </w:lvl>
  </w:abstractNum>
  <w:abstractNum w:abstractNumId="174">
    <w:nsid w:val="15B71329"/>
    <w:multiLevelType w:val="hybridMultilevel"/>
    <w:lvl w:ilvl="0">
      <w:lvlJc w:val="left"/>
      <w:lvlText w:val="●"/>
      <w:numFmt w:val="bullet"/>
      <w:start w:val="1"/>
    </w:lvl>
  </w:abstractNum>
  <w:abstractNum w:abstractNumId="175">
    <w:nsid w:val="3DA97044"/>
    <w:multiLevelType w:val="hybridMultilevel"/>
    <w:lvl w:ilvl="0">
      <w:lvlJc w:val="left"/>
      <w:lvlText w:val="●"/>
      <w:numFmt w:val="bullet"/>
      <w:start w:val="1"/>
    </w:lvl>
  </w:abstractNum>
  <w:abstractNum w:abstractNumId="176">
    <w:nsid w:val="1CDCE2DE"/>
    <w:multiLevelType w:val="hybridMultilevel"/>
    <w:lvl w:ilvl="0">
      <w:lvlJc w:val="left"/>
      <w:lvlText w:val=" "/>
      <w:numFmt w:val="bullet"/>
      <w:start w:val="1"/>
    </w:lvl>
  </w:abstractNum>
  <w:abstractNum w:abstractNumId="177">
    <w:nsid w:val="69D3947C"/>
    <w:multiLevelType w:val="hybridMultilevel"/>
    <w:lvl w:ilvl="0">
      <w:lvlJc w:val="left"/>
      <w:lvlText w:val="●"/>
      <w:numFmt w:val="bullet"/>
      <w:start w:val="1"/>
    </w:lvl>
  </w:abstractNum>
  <w:abstractNum w:abstractNumId="178">
    <w:nsid w:val="2539DFA5"/>
    <w:multiLevelType w:val="hybridMultilevel"/>
    <w:lvl w:ilvl="0">
      <w:lvlJc w:val="left"/>
      <w:lvlText w:val=" "/>
      <w:numFmt w:val="bullet"/>
      <w:start w:val="1"/>
    </w:lvl>
    <w:lvl w:ilvl="1">
      <w:lvlJc w:val="left"/>
      <w:lvlText w:val="●"/>
      <w:numFmt w:val="bullet"/>
      <w:start w:val="1"/>
    </w:lvl>
  </w:abstractNum>
  <w:abstractNum w:abstractNumId="179">
    <w:nsid w:val="2DB88089"/>
    <w:multiLevelType w:val="hybridMultilevel"/>
    <w:lvl w:ilvl="0">
      <w:lvlJc w:val="left"/>
      <w:lvlText w:val=" "/>
      <w:numFmt w:val="bullet"/>
      <w:start w:val="1"/>
    </w:lvl>
  </w:abstractNum>
  <w:abstractNum w:abstractNumId="180">
    <w:nsid w:val="706B674E"/>
    <w:multiLevelType w:val="hybridMultilevel"/>
    <w:lvl w:ilvl="0">
      <w:lvlJc w:val="left"/>
      <w:lvlText w:val="●"/>
      <w:numFmt w:val="bullet"/>
      <w:start w:val="1"/>
    </w:lvl>
  </w:abstractNum>
  <w:abstractNum w:abstractNumId="181">
    <w:nsid w:val="2C106A57"/>
    <w:multiLevelType w:val="hybridMultilevel"/>
    <w:lvl w:ilvl="0">
      <w:lvlJc w:val="left"/>
      <w:lvlText w:val="●"/>
      <w:numFmt w:val="bullet"/>
      <w:start w:val="1"/>
    </w:lvl>
  </w:abstractNum>
  <w:abstractNum w:abstractNumId="182">
    <w:nsid w:val="684EED59"/>
    <w:multiLevelType w:val="hybridMultilevel"/>
    <w:lvl w:ilvl="0">
      <w:lvlJc w:val="left"/>
      <w:lvlText w:val="●"/>
      <w:numFmt w:val="bullet"/>
      <w:start w:val="1"/>
    </w:lvl>
  </w:abstractNum>
  <w:abstractNum w:abstractNumId="183">
    <w:nsid w:val="545EE5D3"/>
    <w:multiLevelType w:val="hybridMultilevel"/>
    <w:lvl w:ilvl="0">
      <w:lvlJc w:val="left"/>
      <w:lvlText w:val="●"/>
      <w:numFmt w:val="bullet"/>
      <w:start w:val="1"/>
    </w:lvl>
  </w:abstractNum>
  <w:abstractNum w:abstractNumId="184">
    <w:nsid w:val="4A66051"/>
    <w:multiLevelType w:val="hybridMultilevel"/>
    <w:lvl w:ilvl="0">
      <w:lvlJc w:val="left"/>
      <w:lvlText w:val=" "/>
      <w:numFmt w:val="bullet"/>
      <w:start w:val="1"/>
    </w:lvl>
    <w:lvl w:ilvl="1">
      <w:lvlJc w:val="left"/>
      <w:lvlText w:val="●"/>
      <w:numFmt w:val="bullet"/>
      <w:start w:val="1"/>
    </w:lvl>
  </w:abstractNum>
  <w:abstractNum w:abstractNumId="185">
    <w:nsid w:val="20F4BDAD"/>
    <w:multiLevelType w:val="hybridMultilevel"/>
    <w:lvl w:ilvl="0">
      <w:lvlJc w:val="left"/>
      <w:lvlText w:val="●"/>
      <w:numFmt w:val="bullet"/>
      <w:start w:val="1"/>
    </w:lvl>
  </w:abstractNum>
  <w:abstractNum w:abstractNumId="186">
    <w:nsid w:val="639DEFAC"/>
    <w:multiLevelType w:val="hybridMultilevel"/>
    <w:lvl w:ilvl="0">
      <w:lvlJc w:val="left"/>
      <w:lvlText w:val="●"/>
      <w:numFmt w:val="bullet"/>
      <w:start w:val="1"/>
    </w:lvl>
  </w:abstractNum>
  <w:abstractNum w:abstractNumId="187">
    <w:nsid w:val="501F9786"/>
    <w:multiLevelType w:val="hybridMultilevel"/>
    <w:lvl w:ilvl="0">
      <w:lvlJc w:val="left"/>
      <w:lvlText w:val=" "/>
      <w:numFmt w:val="bullet"/>
      <w:start w:val="1"/>
    </w:lvl>
  </w:abstractNum>
  <w:abstractNum w:abstractNumId="188">
    <w:nsid w:val="6B057295"/>
    <w:multiLevelType w:val="hybridMultilevel"/>
    <w:lvl w:ilvl="0">
      <w:lvlJc w:val="left"/>
      <w:lvlText w:val="●"/>
      <w:numFmt w:val="bullet"/>
      <w:start w:val="1"/>
    </w:lvl>
  </w:abstractNum>
  <w:abstractNum w:abstractNumId="189">
    <w:nsid w:val="2771AC80"/>
    <w:multiLevelType w:val="hybridMultilevel"/>
    <w:lvl w:ilvl="0">
      <w:lvlJc w:val="left"/>
      <w:lvlText w:val="●"/>
      <w:numFmt w:val="bullet"/>
      <w:start w:val="1"/>
    </w:lvl>
  </w:abstractNum>
  <w:abstractNum w:abstractNumId="190">
    <w:nsid w:val="1C4A08EC"/>
    <w:multiLevelType w:val="hybridMultilevel"/>
    <w:lvl w:ilvl="0">
      <w:lvlJc w:val="left"/>
      <w:lvlText w:val=" "/>
      <w:numFmt w:val="bullet"/>
      <w:start w:val="1"/>
    </w:lvl>
  </w:abstractNum>
  <w:abstractNum w:abstractNumId="191">
    <w:nsid w:val="1958BD17"/>
    <w:multiLevelType w:val="hybridMultilevel"/>
    <w:lvl w:ilvl="0">
      <w:lvlJc w:val="left"/>
      <w:lvlText w:val="●"/>
      <w:numFmt w:val="bullet"/>
      <w:start w:val="1"/>
    </w:lvl>
  </w:abstractNum>
  <w:abstractNum w:abstractNumId="192">
    <w:nsid w:val="4E647FE4"/>
    <w:multiLevelType w:val="hybridMultilevel"/>
    <w:lvl w:ilvl="0">
      <w:lvlJc w:val="left"/>
      <w:lvlText w:val="●"/>
      <w:numFmt w:val="bullet"/>
      <w:start w:val="1"/>
    </w:lvl>
  </w:abstractNum>
  <w:abstractNum w:abstractNumId="193">
    <w:nsid w:val="E0BB885"/>
    <w:multiLevelType w:val="hybridMultilevel"/>
    <w:lvl w:ilvl="0">
      <w:lvlJc w:val="left"/>
      <w:lvlText w:val="●"/>
      <w:numFmt w:val="bullet"/>
      <w:start w:val="1"/>
    </w:lvl>
    <w:lvl w:ilvl="1">
      <w:lvlJc w:val="left"/>
      <w:lvlText w:val="●"/>
      <w:numFmt w:val="bullet"/>
      <w:start w:val="1"/>
    </w:lvl>
  </w:abstractNum>
  <w:abstractNum w:abstractNumId="194">
    <w:nsid w:val="565976F1"/>
    <w:multiLevelType w:val="hybridMultilevel"/>
    <w:lvl w:ilvl="0">
      <w:lvlJc w:val="left"/>
      <w:lvlText w:val="%1."/>
      <w:numFmt w:val="decimal"/>
      <w:start w:val="1"/>
    </w:lvl>
  </w:abstractNum>
  <w:abstractNum w:abstractNumId="195">
    <w:nsid w:val="64212B8C"/>
    <w:multiLevelType w:val="hybridMultilevel"/>
    <w:lvl w:ilvl="0">
      <w:lvlJc w:val="left"/>
      <w:lvlText w:val="%1."/>
      <w:numFmt w:val="decimal"/>
      <w:start w:val="5"/>
    </w:lvl>
  </w:abstractNum>
  <w:abstractNum w:abstractNumId="196">
    <w:nsid w:val="5C17530C"/>
    <w:multiLevelType w:val="hybridMultilevel"/>
    <w:lvl w:ilvl="0">
      <w:lvlJc w:val="left"/>
      <w:lvlText w:val=" "/>
      <w:numFmt w:val="bullet"/>
      <w:start w:val="1"/>
    </w:lvl>
    <w:lvl w:ilvl="1">
      <w:lvlJc w:val="left"/>
      <w:lvlText w:val="●"/>
      <w:numFmt w:val="bullet"/>
      <w:start w:val="1"/>
    </w:lvl>
  </w:abstractNum>
  <w:abstractNum w:abstractNumId="197">
    <w:nsid w:val="19A52566"/>
    <w:multiLevelType w:val="hybridMultilevel"/>
    <w:lvl w:ilvl="0">
      <w:lvlJc w:val="left"/>
      <w:lvlText w:val=" "/>
      <w:numFmt w:val="bullet"/>
      <w:start w:val="1"/>
    </w:lvl>
  </w:abstractNum>
  <w:abstractNum w:abstractNumId="198">
    <w:nsid w:val="335A1DF1"/>
    <w:multiLevelType w:val="hybridMultilevel"/>
    <w:lvl w:ilvl="0">
      <w:lvlJc w:val="left"/>
      <w:lvlText w:val=" "/>
      <w:numFmt w:val="bullet"/>
      <w:start w:val="1"/>
    </w:lvl>
  </w:abstractNum>
  <w:abstractNum w:abstractNumId="199">
    <w:nsid w:val="28677B7C"/>
    <w:multiLevelType w:val="hybridMultilevel"/>
    <w:lvl w:ilvl="0">
      <w:lvlJc w:val="left"/>
      <w:lvlText w:val="●"/>
      <w:numFmt w:val="bullet"/>
      <w:start w:val="1"/>
    </w:lvl>
  </w:abstractNum>
  <w:abstractNum w:abstractNumId="200">
    <w:nsid w:val="378D97C0"/>
    <w:multiLevelType w:val="hybridMultilevel"/>
    <w:lvl w:ilvl="0">
      <w:lvlJc w:val="left"/>
      <w:lvlText w:val=" "/>
      <w:numFmt w:val="bullet"/>
      <w:start w:val="1"/>
    </w:lvl>
  </w:abstractNum>
  <w:abstractNum w:abstractNumId="201">
    <w:nsid w:val="1D91467C"/>
    <w:multiLevelType w:val="hybridMultilevel"/>
    <w:lvl w:ilvl="0">
      <w:lvlJc w:val="left"/>
      <w:lvlText w:val=" "/>
      <w:numFmt w:val="bullet"/>
      <w:start w:val="1"/>
    </w:lvl>
  </w:abstractNum>
  <w:abstractNum w:abstractNumId="202">
    <w:nsid w:val="316032BB"/>
    <w:multiLevelType w:val="hybridMultilevel"/>
    <w:lvl w:ilvl="0">
      <w:lvlJc w:val="left"/>
      <w:lvlText w:val=" "/>
      <w:numFmt w:val="bullet"/>
      <w:start w:val="1"/>
    </w:lvl>
  </w:abstractNum>
  <w:abstractNum w:abstractNumId="203">
    <w:nsid w:val="44344C22"/>
    <w:multiLevelType w:val="hybridMultilevel"/>
    <w:lvl w:ilvl="0">
      <w:lvlJc w:val="left"/>
      <w:lvlText w:val=" "/>
      <w:numFmt w:val="bullet"/>
      <w:start w:val="1"/>
    </w:lvl>
  </w:abstractNum>
  <w:abstractNum w:abstractNumId="204">
    <w:nsid w:val="13CDFCFC"/>
    <w:multiLevelType w:val="hybridMultilevel"/>
    <w:lvl w:ilvl="0">
      <w:lvlJc w:val="left"/>
      <w:lvlText w:val="●"/>
      <w:numFmt w:val="bullet"/>
      <w:start w:val="1"/>
    </w:lvl>
  </w:abstractNum>
  <w:abstractNum w:abstractNumId="205">
    <w:nsid w:val="471745E4"/>
    <w:multiLevelType w:val="hybridMultilevel"/>
    <w:lvl w:ilvl="0">
      <w:lvlJc w:val="left"/>
      <w:lvlText w:val=" "/>
      <w:numFmt w:val="bullet"/>
      <w:start w:val="1"/>
    </w:lvl>
  </w:abstractNum>
  <w:abstractNum w:abstractNumId="206">
    <w:nsid w:val="1DDBC66"/>
    <w:multiLevelType w:val="hybridMultilevel"/>
    <w:lvl w:ilvl="0">
      <w:lvlJc w:val="left"/>
      <w:lvlText w:val=" "/>
      <w:numFmt w:val="bullet"/>
      <w:start w:val="1"/>
    </w:lvl>
  </w:abstractNum>
  <w:abstractNum w:abstractNumId="207">
    <w:nsid w:val="30AADFDA"/>
    <w:multiLevelType w:val="hybridMultilevel"/>
    <w:lvl w:ilvl="0">
      <w:lvlJc w:val="left"/>
      <w:lvlText w:val="●"/>
      <w:numFmt w:val="bullet"/>
      <w:start w:val="1"/>
    </w:lvl>
  </w:abstractNum>
  <w:abstractNum w:abstractNumId="208">
    <w:nsid w:val="30EADA61"/>
    <w:multiLevelType w:val="hybridMultilevel"/>
    <w:lvl w:ilvl="0">
      <w:lvlJc w:val="left"/>
      <w:lvlText w:val=" "/>
      <w:numFmt w:val="bullet"/>
      <w:start w:val="1"/>
    </w:lvl>
  </w:abstractNum>
  <w:abstractNum w:abstractNumId="209">
    <w:nsid w:val="27179C0B"/>
    <w:multiLevelType w:val="hybridMultilevel"/>
    <w:lvl w:ilvl="0">
      <w:lvlJc w:val="left"/>
      <w:lvlText w:val="●"/>
      <w:numFmt w:val="bullet"/>
      <w:start w:val="1"/>
    </w:lvl>
  </w:abstractNum>
  <w:abstractNum w:abstractNumId="210">
    <w:nsid w:val="5E636063"/>
    <w:multiLevelType w:val="hybridMultilevel"/>
    <w:lvl w:ilvl="0">
      <w:lvlJc w:val="left"/>
      <w:lvlText w:val="●"/>
      <w:numFmt w:val="bullet"/>
      <w:start w:val="1"/>
    </w:lvl>
  </w:abstractNum>
  <w:abstractNum w:abstractNumId="211">
    <w:nsid w:val="215641AF"/>
    <w:multiLevelType w:val="hybridMultilevel"/>
    <w:lvl w:ilvl="0">
      <w:lvlJc w:val="left"/>
      <w:lvlText w:val="●"/>
      <w:numFmt w:val="bullet"/>
      <w:start w:val="1"/>
    </w:lvl>
  </w:abstractNum>
  <w:abstractNum w:abstractNumId="212">
    <w:nsid w:val="53280662"/>
    <w:multiLevelType w:val="hybridMultilevel"/>
    <w:lvl w:ilvl="0">
      <w:lvlJc w:val="left"/>
      <w:lvlText w:val=" "/>
      <w:numFmt w:val="bullet"/>
      <w:start w:val="1"/>
    </w:lvl>
    <w:lvl w:ilvl="1">
      <w:lvlJc w:val="left"/>
      <w:lvlText w:val="●"/>
      <w:numFmt w:val="bullet"/>
      <w:start w:val="1"/>
    </w:lvl>
  </w:abstractNum>
  <w:abstractNum w:abstractNumId="213">
    <w:nsid w:val="46B24DBC"/>
    <w:multiLevelType w:val="hybridMultilevel"/>
    <w:lvl w:ilvl="0">
      <w:lvlJc w:val="left"/>
      <w:lvlText w:val="●"/>
      <w:numFmt w:val="bullet"/>
      <w:start w:val="1"/>
    </w:lvl>
  </w:abstractNum>
  <w:abstractNum w:abstractNumId="214">
    <w:nsid w:val="75B52783"/>
    <w:multiLevelType w:val="hybridMultilevel"/>
    <w:lvl w:ilvl="0">
      <w:lvlJc w:val="left"/>
      <w:lvlText w:val=" "/>
      <w:numFmt w:val="bullet"/>
      <w:start w:val="1"/>
    </w:lvl>
    <w:lvl w:ilvl="1">
      <w:lvlJc w:val="left"/>
      <w:lvlText w:val="●"/>
      <w:numFmt w:val="bullet"/>
      <w:start w:val="1"/>
    </w:lvl>
  </w:abstractNum>
  <w:abstractNum w:abstractNumId="215">
    <w:nsid w:val="57CE66B4"/>
    <w:multiLevelType w:val="hybridMultilevel"/>
    <w:lvl w:ilvl="0">
      <w:lvlJc w:val="left"/>
      <w:lvlText w:val=" "/>
      <w:numFmt w:val="bullet"/>
      <w:start w:val="1"/>
    </w:lvl>
  </w:abstractNum>
  <w:abstractNum w:abstractNumId="216">
    <w:nsid w:val="67A70B69"/>
    <w:multiLevelType w:val="hybridMultilevel"/>
    <w:lvl w:ilvl="0">
      <w:lvlJc w:val="left"/>
      <w:lvlText w:val=" "/>
      <w:numFmt w:val="bullet"/>
      <w:start w:val="1"/>
    </w:lvl>
  </w:abstractNum>
  <w:abstractNum w:abstractNumId="217">
    <w:nsid w:val="5953172F"/>
    <w:multiLevelType w:val="hybridMultilevel"/>
    <w:lvl w:ilvl="0">
      <w:lvlJc w:val="left"/>
      <w:lvlText w:val=" "/>
      <w:numFmt w:val="bullet"/>
      <w:start w:val="1"/>
    </w:lvl>
  </w:abstractNum>
  <w:abstractNum w:abstractNumId="218">
    <w:nsid w:val="27EDFE3A"/>
    <w:multiLevelType w:val="hybridMultilevel"/>
    <w:lvl w:ilvl="0">
      <w:lvlJc w:val="left"/>
      <w:lvlText w:val="●"/>
      <w:numFmt w:val="bullet"/>
      <w:start w:val="1"/>
    </w:lvl>
  </w:abstractNum>
  <w:abstractNum w:abstractNumId="219">
    <w:nsid w:val="52AC7DFF"/>
    <w:multiLevelType w:val="hybridMultilevel"/>
    <w:lvl w:ilvl="0">
      <w:lvlJc w:val="left"/>
      <w:lvlText w:val="●"/>
      <w:numFmt w:val="bullet"/>
      <w:start w:val="1"/>
    </w:lvl>
  </w:abstractNum>
  <w:abstractNum w:abstractNumId="220">
    <w:nsid w:val="C4C3AF"/>
    <w:multiLevelType w:val="hybridMultilevel"/>
    <w:lvl w:ilvl="0">
      <w:lvlJc w:val="left"/>
      <w:lvlText w:val=" "/>
      <w:numFmt w:val="bullet"/>
      <w:start w:val="1"/>
    </w:lvl>
  </w:abstractNum>
  <w:abstractNum w:abstractNumId="221">
    <w:nsid w:val="44380727"/>
    <w:multiLevelType w:val="hybridMultilevel"/>
    <w:lvl w:ilvl="0">
      <w:lvlJc w:val="left"/>
      <w:lvlText w:val=" "/>
      <w:numFmt w:val="bullet"/>
      <w:start w:val="1"/>
    </w:lvl>
  </w:abstractNum>
  <w:abstractNum w:abstractNumId="222">
    <w:nsid w:val="6C053B16"/>
    <w:multiLevelType w:val="hybridMultilevel"/>
    <w:lvl w:ilvl="0">
      <w:lvlJc w:val="left"/>
      <w:lvlText w:val=" "/>
      <w:numFmt w:val="bullet"/>
      <w:start w:val="1"/>
    </w:lvl>
  </w:abstractNum>
  <w:abstractNum w:abstractNumId="223">
    <w:nsid w:val="4F294393"/>
    <w:multiLevelType w:val="hybridMultilevel"/>
    <w:lvl w:ilvl="0">
      <w:lvlJc w:val="left"/>
      <w:lvlText w:val="●"/>
      <w:numFmt w:val="bullet"/>
      <w:start w:val="1"/>
    </w:lvl>
  </w:abstractNum>
  <w:abstractNum w:abstractNumId="224">
    <w:nsid w:val="5243BFAC"/>
    <w:multiLevelType w:val="hybridMultilevel"/>
    <w:lvl w:ilvl="0">
      <w:lvlJc w:val="left"/>
      <w:lvlText w:val="●"/>
      <w:numFmt w:val="bullet"/>
      <w:start w:val="1"/>
    </w:lvl>
  </w:abstractNum>
  <w:abstractNum w:abstractNumId="225">
    <w:nsid w:val="425EB207"/>
    <w:multiLevelType w:val="hybridMultilevel"/>
    <w:lvl w:ilvl="0">
      <w:lvlJc w:val="left"/>
      <w:lvlText w:val="●"/>
      <w:numFmt w:val="bullet"/>
      <w:start w:val="1"/>
    </w:lvl>
  </w:abstractNum>
  <w:abstractNum w:abstractNumId="226">
    <w:nsid w:val="334A6F1F"/>
    <w:multiLevelType w:val="hybridMultilevel"/>
    <w:lvl w:ilvl="0">
      <w:lvlJc w:val="left"/>
      <w:lvlText w:val="●"/>
      <w:numFmt w:val="bullet"/>
      <w:start w:val="1"/>
    </w:lvl>
  </w:abstractNum>
  <w:abstractNum w:abstractNumId="227">
    <w:nsid w:val="2E5B12B8"/>
    <w:multiLevelType w:val="hybridMultilevel"/>
    <w:lvl w:ilvl="0">
      <w:lvlJc w:val="left"/>
      <w:lvlText w:val="●"/>
      <w:numFmt w:val="bullet"/>
      <w:start w:val="1"/>
    </w:lvl>
  </w:abstractNum>
  <w:abstractNum w:abstractNumId="228">
    <w:nsid w:val="5C03D76D"/>
    <w:multiLevelType w:val="hybridMultilevel"/>
    <w:lvl w:ilvl="0">
      <w:lvlJc w:val="left"/>
      <w:lvlText w:val="●"/>
      <w:numFmt w:val="bullet"/>
      <w:start w:val="1"/>
    </w:lvl>
  </w:abstractNum>
  <w:abstractNum w:abstractNumId="229">
    <w:nsid w:val="66A48D11"/>
    <w:multiLevelType w:val="hybridMultilevel"/>
    <w:lvl w:ilvl="0">
      <w:lvlJc w:val="left"/>
      <w:lvlText w:val="●"/>
      <w:numFmt w:val="bullet"/>
      <w:start w:val="1"/>
    </w:lvl>
  </w:abstractNum>
  <w:abstractNum w:abstractNumId="230">
    <w:nsid w:val="56C28E34"/>
    <w:multiLevelType w:val="hybridMultilevel"/>
    <w:lvl w:ilvl="0">
      <w:lvlJc w:val="left"/>
      <w:lvlText w:val="%1."/>
      <w:numFmt w:val="decimal"/>
      <w:start w:val="1"/>
    </w:lvl>
    <w:lvl w:ilvl="1">
      <w:lvlJc w:val="left"/>
      <w:lvlText w:val="·"/>
      <w:numFmt w:val="bullet"/>
      <w:start w:val="1"/>
    </w:lvl>
  </w:abstractNum>
  <w:abstractNum w:abstractNumId="231">
    <w:nsid w:val="13916F2D"/>
    <w:multiLevelType w:val="hybridMultilevel"/>
    <w:lvl w:ilvl="0">
      <w:lvlJc w:val="left"/>
      <w:lvlText w:val="·"/>
      <w:numFmt w:val="bullet"/>
      <w:start w:val="1"/>
    </w:lvl>
  </w:abstractNum>
  <w:abstractNum w:abstractNumId="232">
    <w:nsid w:val="435D38D"/>
    <w:multiLevelType w:val="hybridMultilevel"/>
    <w:lvl w:ilvl="0">
      <w:lvlJc w:val="left"/>
      <w:lvlText w:val="·"/>
      <w:numFmt w:val="bullet"/>
      <w:start w:val="1"/>
    </w:lvl>
  </w:abstractNum>
  <w:abstractNum w:abstractNumId="233">
    <w:nsid w:val="822C0EF"/>
    <w:multiLevelType w:val="hybridMultilevel"/>
    <w:lvl w:ilvl="0">
      <w:lvlJc w:val="left"/>
      <w:lvlText w:val="·"/>
      <w:numFmt w:val="bullet"/>
      <w:start w:val="1"/>
    </w:lvl>
  </w:abstractNum>
  <w:abstractNum w:abstractNumId="234">
    <w:nsid w:val="57C5BB4F"/>
    <w:multiLevelType w:val="hybridMultilevel"/>
    <w:lvl w:ilvl="0">
      <w:lvlJc w:val="left"/>
      <w:lvlText w:val="·"/>
      <w:numFmt w:val="bullet"/>
      <w:start w:val="1"/>
    </w:lvl>
  </w:abstractNum>
  <w:abstractNum w:abstractNumId="235">
    <w:nsid w:val="1803D089"/>
    <w:multiLevelType w:val="hybridMultilevel"/>
    <w:lvl w:ilvl="0">
      <w:lvlJc w:val="left"/>
      <w:lvlText w:val="·"/>
      <w:numFmt w:val="bullet"/>
      <w:start w:val="1"/>
    </w:lvl>
  </w:abstractNum>
  <w:abstractNum w:abstractNumId="236">
    <w:nsid w:val="4F3A06D4"/>
    <w:multiLevelType w:val="hybridMultilevel"/>
    <w:lvl w:ilvl="0">
      <w:lvlJc w:val="left"/>
      <w:lvlText w:val="·"/>
      <w:numFmt w:val="bullet"/>
      <w:start w:val="1"/>
    </w:lvl>
  </w:abstractNum>
  <w:abstractNum w:abstractNumId="237">
    <w:nsid w:val="59A377B6"/>
    <w:multiLevelType w:val="hybridMultilevel"/>
    <w:lvl w:ilvl="0">
      <w:lvlJc w:val="left"/>
      <w:lvlText w:val="·"/>
      <w:numFmt w:val="bullet"/>
      <w:start w:val="1"/>
    </w:lvl>
  </w:abstractNum>
  <w:abstractNum w:abstractNumId="238">
    <w:nsid w:val="48AEB063"/>
    <w:multiLevelType w:val="hybridMultilevel"/>
    <w:lvl w:ilvl="0">
      <w:lvlJc w:val="left"/>
      <w:lvlText w:val="·"/>
      <w:numFmt w:val="bullet"/>
      <w:start w:val="1"/>
    </w:lvl>
  </w:abstractNum>
  <w:abstractNum w:abstractNumId="239">
    <w:nsid w:val="24E135"/>
    <w:multiLevelType w:val="hybridMultilevel"/>
    <w:lvl w:ilvl="0">
      <w:lvlJc w:val="left"/>
      <w:lvlText w:val="%1."/>
      <w:numFmt w:val="decimal"/>
      <w:start w:val="4"/>
    </w:lvl>
  </w:abstractNum>
  <w:abstractNum w:abstractNumId="240">
    <w:nsid w:val="BB13C1"/>
    <w:multiLevelType w:val="hybridMultilevel"/>
    <w:lvl w:ilvl="0">
      <w:lvlJc w:val="left"/>
      <w:lvlText w:val="%1."/>
      <w:numFmt w:val="decimal"/>
      <w:start w:val="5"/>
    </w:lvl>
    <w:lvl w:ilvl="1">
      <w:lvlJc w:val="left"/>
      <w:lvlText w:val="·"/>
      <w:numFmt w:val="bullet"/>
      <w:start w:val="1"/>
    </w:lvl>
  </w:abstractNum>
  <w:abstractNum w:abstractNumId="241">
    <w:nsid w:val="271210C7"/>
    <w:multiLevelType w:val="hybridMultilevel"/>
    <w:lvl w:ilvl="0">
      <w:lvlJc w:val="left"/>
      <w:lvlText w:val="%1."/>
      <w:numFmt w:val="decimal"/>
      <w:start w:val="9"/>
    </w:lvl>
    <w:lvl w:ilvl="1">
      <w:lvlJc w:val="left"/>
      <w:lvlText w:val="(%2)"/>
      <w:numFmt w:val="lowerLetter"/>
      <w:start w:val="1"/>
    </w:lvl>
  </w:abstractNum>
  <w:abstractNum w:abstractNumId="242">
    <w:nsid w:val="217B22E4"/>
    <w:multiLevelType w:val="hybridMultilevel"/>
    <w:lvl w:ilvl="0">
      <w:lvlJc w:val="left"/>
      <w:lvlText w:val=" "/>
      <w:numFmt w:val="bullet"/>
      <w:start w:val="1"/>
    </w:lvl>
    <w:lvl w:ilvl="1">
      <w:lvlJc w:val="left"/>
      <w:lvlText w:val="(%2)"/>
      <w:numFmt w:val="lowerLetter"/>
      <w:start w:val="4"/>
    </w:lvl>
  </w:abstractNum>
  <w:abstractNum w:abstractNumId="243">
    <w:nsid w:val="53E31A24"/>
    <w:multiLevelType w:val="hybridMultilevel"/>
    <w:lvl w:ilvl="0">
      <w:lvlJc w:val="left"/>
      <w:lvlText w:val=" "/>
      <w:numFmt w:val="bullet"/>
      <w:start w:val="1"/>
    </w:lvl>
    <w:lvl w:ilvl="1">
      <w:lvlJc w:val="left"/>
      <w:lvlText w:val="(%2)"/>
      <w:numFmt w:val="lowerLetter"/>
      <w:start w:val="9"/>
    </w:lvl>
  </w:abstractNum>
  <w:abstractNum w:abstractNumId="244">
    <w:nsid w:val="6DC45E83"/>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jpe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jpeg"/><Relationship Id="rId477" Type="http://schemas.openxmlformats.org/officeDocument/2006/relationships/image" Target="media/image470.png"/><Relationship Id="rId478" Type="http://schemas.openxmlformats.org/officeDocument/2006/relationships/image" Target="media/image471.jpeg"/><Relationship Id="rId479" Type="http://schemas.openxmlformats.org/officeDocument/2006/relationships/image" Target="media/image472.jpeg"/><Relationship Id="rId480" Type="http://schemas.openxmlformats.org/officeDocument/2006/relationships/image" Target="media/image473.jpeg"/><Relationship Id="rId481" Type="http://schemas.openxmlformats.org/officeDocument/2006/relationships/image" Target="media/image474.jpeg"/><Relationship Id="rId482" Type="http://schemas.openxmlformats.org/officeDocument/2006/relationships/image" Target="media/image475.jpeg"/><Relationship Id="rId483" Type="http://schemas.openxmlformats.org/officeDocument/2006/relationships/image" Target="media/image476.pn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jpeg"/><Relationship Id="rId489" Type="http://schemas.openxmlformats.org/officeDocument/2006/relationships/image" Target="media/image482.png"/><Relationship Id="rId490" Type="http://schemas.openxmlformats.org/officeDocument/2006/relationships/image" Target="media/image483.jpeg"/><Relationship Id="rId491" Type="http://schemas.openxmlformats.org/officeDocument/2006/relationships/image" Target="media/image484.jpeg"/><Relationship Id="rId492" Type="http://schemas.openxmlformats.org/officeDocument/2006/relationships/image" Target="media/image485.jpeg"/><Relationship Id="rId493" Type="http://schemas.openxmlformats.org/officeDocument/2006/relationships/image" Target="media/image486.jpeg"/><Relationship Id="rId494" Type="http://schemas.openxmlformats.org/officeDocument/2006/relationships/image" Target="media/image487.jpeg"/><Relationship Id="rId495" Type="http://schemas.openxmlformats.org/officeDocument/2006/relationships/image" Target="media/image488.png"/><Relationship Id="rId496" Type="http://schemas.openxmlformats.org/officeDocument/2006/relationships/image" Target="media/image489.jpeg"/><Relationship Id="rId497" Type="http://schemas.openxmlformats.org/officeDocument/2006/relationships/image" Target="media/image490.png"/><Relationship Id="rId498" Type="http://schemas.openxmlformats.org/officeDocument/2006/relationships/image" Target="media/image491.jpeg"/><Relationship Id="rId499" Type="http://schemas.openxmlformats.org/officeDocument/2006/relationships/image" Target="media/image492.jpeg"/><Relationship Id="rId500" Type="http://schemas.openxmlformats.org/officeDocument/2006/relationships/image" Target="media/image493.jpeg"/><Relationship Id="rId501" Type="http://schemas.openxmlformats.org/officeDocument/2006/relationships/image" Target="media/image494.jpeg"/><Relationship Id="rId502" Type="http://schemas.openxmlformats.org/officeDocument/2006/relationships/image" Target="media/image495.png"/><Relationship Id="rId503" Type="http://schemas.openxmlformats.org/officeDocument/2006/relationships/image" Target="media/image496.jpe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jpe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jpe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jpeg"/><Relationship Id="rId544" Type="http://schemas.openxmlformats.org/officeDocument/2006/relationships/image" Target="media/image537.jpeg"/><Relationship Id="rId545" Type="http://schemas.openxmlformats.org/officeDocument/2006/relationships/image" Target="media/image538.jpe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jpeg"/><Relationship Id="rId549" Type="http://schemas.openxmlformats.org/officeDocument/2006/relationships/image" Target="media/image542.jpeg"/><Relationship Id="rId550" Type="http://schemas.openxmlformats.org/officeDocument/2006/relationships/image" Target="media/image543.png"/><Relationship Id="rId551" Type="http://schemas.openxmlformats.org/officeDocument/2006/relationships/image" Target="media/image544.jpeg"/><Relationship Id="rId552" Type="http://schemas.openxmlformats.org/officeDocument/2006/relationships/image" Target="media/image545.png"/><Relationship Id="rId553" Type="http://schemas.openxmlformats.org/officeDocument/2006/relationships/image" Target="media/image546.jpeg"/><Relationship Id="rId554" Type="http://schemas.openxmlformats.org/officeDocument/2006/relationships/image" Target="media/image547.jpeg"/><Relationship Id="rId555" Type="http://schemas.openxmlformats.org/officeDocument/2006/relationships/image" Target="media/image548.png"/><Relationship Id="rId556" Type="http://schemas.openxmlformats.org/officeDocument/2006/relationships/image" Target="media/image549.jpeg"/><Relationship Id="rId557" Type="http://schemas.openxmlformats.org/officeDocument/2006/relationships/image" Target="media/image550.png"/><Relationship Id="rId558" Type="http://schemas.openxmlformats.org/officeDocument/2006/relationships/image" Target="media/image551.jpeg"/><Relationship Id="rId559" Type="http://schemas.openxmlformats.org/officeDocument/2006/relationships/image" Target="media/image552.png"/><Relationship Id="rId560" Type="http://schemas.openxmlformats.org/officeDocument/2006/relationships/image" Target="media/image553.jpeg"/><Relationship Id="rId561" Type="http://schemas.openxmlformats.org/officeDocument/2006/relationships/image" Target="media/image554.png"/><Relationship Id="rId562" Type="http://schemas.openxmlformats.org/officeDocument/2006/relationships/image" Target="media/image555.jpeg"/><Relationship Id="rId563" Type="http://schemas.openxmlformats.org/officeDocument/2006/relationships/image" Target="media/image556.png"/><Relationship Id="rId564" Type="http://schemas.openxmlformats.org/officeDocument/2006/relationships/image" Target="media/image557.jpe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jpeg"/><Relationship Id="rId568" Type="http://schemas.openxmlformats.org/officeDocument/2006/relationships/image" Target="media/image561.png"/><Relationship Id="rId569" Type="http://schemas.openxmlformats.org/officeDocument/2006/relationships/image" Target="media/image562.jpe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jpe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jpeg"/><Relationship Id="rId578" Type="http://schemas.openxmlformats.org/officeDocument/2006/relationships/image" Target="media/image571.png"/><Relationship Id="rId579" Type="http://schemas.openxmlformats.org/officeDocument/2006/relationships/image" Target="media/image572.jpeg"/><Relationship Id="rId580" Type="http://schemas.openxmlformats.org/officeDocument/2006/relationships/image" Target="media/image573.png"/><Relationship Id="rId581" Type="http://schemas.openxmlformats.org/officeDocument/2006/relationships/image" Target="media/image574.jpeg"/><Relationship Id="rId582" Type="http://schemas.openxmlformats.org/officeDocument/2006/relationships/image" Target="media/image575.png"/><Relationship Id="rId583" Type="http://schemas.openxmlformats.org/officeDocument/2006/relationships/image" Target="media/image576.jpe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jpeg"/><Relationship Id="rId587" Type="http://schemas.openxmlformats.org/officeDocument/2006/relationships/image" Target="media/image580.png"/><Relationship Id="rId588" Type="http://schemas.openxmlformats.org/officeDocument/2006/relationships/image" Target="media/image581.jpe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jpeg"/><Relationship Id="rId593" Type="http://schemas.openxmlformats.org/officeDocument/2006/relationships/image" Target="media/image586.png"/><Relationship Id="rId594" Type="http://schemas.openxmlformats.org/officeDocument/2006/relationships/image" Target="media/image587.jpeg"/><Relationship Id="rId595" Type="http://schemas.openxmlformats.org/officeDocument/2006/relationships/image" Target="media/image588.png"/><Relationship Id="rId596" Type="http://schemas.openxmlformats.org/officeDocument/2006/relationships/image" Target="media/image589.jpe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jpe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jpe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jpe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jpe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jpe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jpe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jpeg"/><Relationship Id="rId621" Type="http://schemas.openxmlformats.org/officeDocument/2006/relationships/image" Target="media/image614.png"/><Relationship Id="rId622" Type="http://schemas.openxmlformats.org/officeDocument/2006/relationships/image" Target="media/image615.jpe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jpe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jpe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jpeg"/><Relationship Id="rId633" Type="http://schemas.openxmlformats.org/officeDocument/2006/relationships/image" Target="media/image626.png"/><Relationship Id="rId634" Type="http://schemas.openxmlformats.org/officeDocument/2006/relationships/image" Target="media/image627.jpe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jpe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jpe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jpe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jpe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jpe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jpe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jpeg"/><Relationship Id="rId660" Type="http://schemas.openxmlformats.org/officeDocument/2006/relationships/image" Target="media/image653.png"/><Relationship Id="rId661" Type="http://schemas.openxmlformats.org/officeDocument/2006/relationships/image" Target="media/image654.jpe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jpe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jpe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jpe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jpeg"/><Relationship Id="rId674" Type="http://schemas.openxmlformats.org/officeDocument/2006/relationships/image" Target="media/image667.png"/><Relationship Id="rId675" Type="http://schemas.openxmlformats.org/officeDocument/2006/relationships/image" Target="media/image668.jpe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jpeg"/><Relationship Id="rId679" Type="http://schemas.openxmlformats.org/officeDocument/2006/relationships/image" Target="media/image672.png"/><Relationship Id="rId680" Type="http://schemas.openxmlformats.org/officeDocument/2006/relationships/image" Target="media/image673.jpe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jpeg"/><Relationship Id="rId685" Type="http://schemas.openxmlformats.org/officeDocument/2006/relationships/image" Target="media/image678.png"/><Relationship Id="rId686" Type="http://schemas.openxmlformats.org/officeDocument/2006/relationships/image" Target="media/image679.jpeg"/><Relationship Id="rId687" Type="http://schemas.openxmlformats.org/officeDocument/2006/relationships/image" Target="media/image680.png"/><Relationship Id="rId688" Type="http://schemas.openxmlformats.org/officeDocument/2006/relationships/image" Target="media/image681.jpeg"/><Relationship Id="rId689" Type="http://schemas.openxmlformats.org/officeDocument/2006/relationships/image" Target="media/image682.png"/><Relationship Id="rId690" Type="http://schemas.openxmlformats.org/officeDocument/2006/relationships/image" Target="media/image683.jpeg"/><Relationship Id="rId691" Type="http://schemas.openxmlformats.org/officeDocument/2006/relationships/image" Target="media/image684.png"/><Relationship Id="rId692" Type="http://schemas.openxmlformats.org/officeDocument/2006/relationships/image" Target="media/image685.jpe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jpeg"/><Relationship Id="rId696" Type="http://schemas.openxmlformats.org/officeDocument/2006/relationships/image" Target="media/image689.png"/><Relationship Id="rId697" Type="http://schemas.openxmlformats.org/officeDocument/2006/relationships/image" Target="media/image690.jpeg"/><Relationship Id="rId698" Type="http://schemas.openxmlformats.org/officeDocument/2006/relationships/image" Target="media/image691.jpe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2025-03-06T16:09:19Z</dcterms:created>
  <dcterms:modified xsi:type="dcterms:W3CDTF">2025-03-06T16:09:19Z</dcterms:modified>
</cp:coreProperties>
</file>